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4C8D003" w14:textId="77777777" w:rsidR="003229AA" w:rsidRDefault="003229AA" w:rsidP="002825FF">
      <w:pPr>
        <w:pStyle w:val="Baseparagraphcentred"/>
        <w:keepLines/>
      </w:pPr>
    </w:p>
    <w:p w14:paraId="6326F4F7" w14:textId="77777777" w:rsidR="003229AA" w:rsidRDefault="003229AA" w:rsidP="002825FF">
      <w:pPr>
        <w:pStyle w:val="Baseparagraphcentred"/>
        <w:keepLines/>
      </w:pPr>
    </w:p>
    <w:p w14:paraId="727E1AD3" w14:textId="77777777" w:rsidR="003229AA" w:rsidRDefault="003229AA" w:rsidP="002825FF">
      <w:pPr>
        <w:pStyle w:val="Baseparagraphcentred"/>
        <w:keepLines/>
      </w:pPr>
    </w:p>
    <w:p w14:paraId="549DEB26" w14:textId="77777777" w:rsidR="003229AA" w:rsidRDefault="003229AA" w:rsidP="002825FF">
      <w:pPr>
        <w:pStyle w:val="Baseparagraphcentred"/>
        <w:keepLines/>
      </w:pPr>
    </w:p>
    <w:p w14:paraId="0C29ED90" w14:textId="77777777" w:rsidR="003229AA" w:rsidRDefault="003229AA" w:rsidP="002825FF">
      <w:pPr>
        <w:pStyle w:val="Baseparagraphcentred"/>
        <w:keepLines/>
      </w:pPr>
    </w:p>
    <w:p w14:paraId="1CB4A514" w14:textId="77777777" w:rsidR="003229AA" w:rsidRDefault="003229AA" w:rsidP="002825FF">
      <w:pPr>
        <w:pStyle w:val="Baseparagraphcentred"/>
        <w:keepLines/>
      </w:pPr>
    </w:p>
    <w:p w14:paraId="78D8C41B" w14:textId="77777777" w:rsidR="003229AA" w:rsidRDefault="003229AA" w:rsidP="002825FF">
      <w:pPr>
        <w:pStyle w:val="Baseparagraphcentred"/>
        <w:keepLines/>
      </w:pPr>
    </w:p>
    <w:p w14:paraId="779679B8" w14:textId="77777777" w:rsidR="003229AA" w:rsidRDefault="003229AA" w:rsidP="002825FF">
      <w:pPr>
        <w:pStyle w:val="Baseparagraphcentred"/>
        <w:keepLines/>
      </w:pPr>
    </w:p>
    <w:p w14:paraId="56ED40B3" w14:textId="5733C196" w:rsidR="00B17774" w:rsidRPr="00E63B3D" w:rsidRDefault="00B17774" w:rsidP="002825FF">
      <w:pPr>
        <w:pStyle w:val="Baseparagraphcentred"/>
        <w:keepLines/>
      </w:pPr>
    </w:p>
    <w:p w14:paraId="66D7E599" w14:textId="77777777" w:rsidR="00B17774" w:rsidRPr="00E63B3D" w:rsidRDefault="00B17774" w:rsidP="002825FF">
      <w:pPr>
        <w:pStyle w:val="Baseparagraphcentred"/>
        <w:keepLines/>
      </w:pPr>
    </w:p>
    <w:p w14:paraId="038FFEDE" w14:textId="0CEAFF3B" w:rsidR="00B17774" w:rsidRPr="00E63B3D" w:rsidRDefault="000D5089" w:rsidP="002825FF">
      <w:pPr>
        <w:pStyle w:val="BillName"/>
        <w:keepLines/>
      </w:pPr>
      <w:bookmarkStart w:id="0" w:name="BillName"/>
      <w:bookmarkEnd w:id="0"/>
      <w:r w:rsidRPr="00E63B3D">
        <w:t>Treasury Laws Amendment (</w:t>
      </w:r>
      <w:r w:rsidR="00CF33D7" w:rsidRPr="00E63B3D">
        <w:t>Petroleu</w:t>
      </w:r>
      <w:r w:rsidR="00644263" w:rsidRPr="00E63B3D">
        <w:t>m Resource Rent Tax Reforms No. </w:t>
      </w:r>
      <w:r w:rsidR="00CF33D7" w:rsidRPr="00E63B3D">
        <w:t>1</w:t>
      </w:r>
      <w:r w:rsidRPr="00E63B3D">
        <w:t>) Bill 2019</w:t>
      </w:r>
    </w:p>
    <w:p w14:paraId="46314DC9" w14:textId="77777777" w:rsidR="00B17774" w:rsidRPr="00E63B3D" w:rsidRDefault="00B17774" w:rsidP="002825FF">
      <w:pPr>
        <w:pStyle w:val="Baseparagraphcentred"/>
        <w:keepLines/>
      </w:pPr>
    </w:p>
    <w:p w14:paraId="6C81E844" w14:textId="77777777" w:rsidR="00B17774" w:rsidRPr="00E63B3D" w:rsidRDefault="00B17774" w:rsidP="002825FF">
      <w:pPr>
        <w:pStyle w:val="Baseparagraphcentred"/>
        <w:keepLines/>
      </w:pPr>
    </w:p>
    <w:p w14:paraId="4EB86726" w14:textId="77777777" w:rsidR="00B17774" w:rsidRPr="00E63B3D" w:rsidRDefault="00B17774" w:rsidP="002825FF">
      <w:pPr>
        <w:pStyle w:val="Baseparagraphcentred"/>
        <w:keepLines/>
      </w:pPr>
    </w:p>
    <w:p w14:paraId="1359EC9B" w14:textId="77777777" w:rsidR="00B17774" w:rsidRPr="00E63B3D" w:rsidRDefault="00B17774" w:rsidP="002825FF">
      <w:pPr>
        <w:pStyle w:val="Baseparagraphcentred"/>
        <w:keepLines/>
      </w:pPr>
    </w:p>
    <w:p w14:paraId="7D3E416B" w14:textId="77777777" w:rsidR="003229AA" w:rsidRDefault="003229AA" w:rsidP="002825FF">
      <w:pPr>
        <w:pStyle w:val="Baseparagraphcentred"/>
        <w:keepLines/>
      </w:pPr>
      <w:r>
        <w:t>EXPOSURE DRAFT EXPLANATORY MATERIALS</w:t>
      </w:r>
    </w:p>
    <w:p w14:paraId="77CE9813" w14:textId="0B19F0F9" w:rsidR="00B17774" w:rsidRPr="00E63B3D" w:rsidRDefault="00B17774" w:rsidP="002825FF">
      <w:pPr>
        <w:pStyle w:val="Baseparagraphcentred"/>
        <w:keepLines/>
      </w:pPr>
    </w:p>
    <w:p w14:paraId="4BACF9BA" w14:textId="77777777" w:rsidR="00B17774" w:rsidRPr="00E63B3D" w:rsidRDefault="00B17774" w:rsidP="002825FF">
      <w:pPr>
        <w:pStyle w:val="Baseparagraphcentred"/>
        <w:keepLines/>
      </w:pPr>
    </w:p>
    <w:p w14:paraId="45F532E8" w14:textId="77777777" w:rsidR="00B17774" w:rsidRPr="00E63B3D" w:rsidRDefault="00B17774" w:rsidP="002825FF">
      <w:pPr>
        <w:pStyle w:val="Baseparagraphcentred"/>
        <w:keepLines/>
      </w:pPr>
    </w:p>
    <w:p w14:paraId="6D794C3C" w14:textId="77777777" w:rsidR="003229AA" w:rsidRDefault="003229AA" w:rsidP="002825FF">
      <w:pPr>
        <w:pStyle w:val="ParaCentredNoSpacing"/>
        <w:keepLines/>
      </w:pPr>
    </w:p>
    <w:p w14:paraId="4E63A957" w14:textId="77777777" w:rsidR="003229AA" w:rsidRDefault="003229AA" w:rsidP="002825FF">
      <w:pPr>
        <w:pStyle w:val="ParaCentredNoSpacing"/>
        <w:keepLines/>
      </w:pPr>
    </w:p>
    <w:p w14:paraId="32A6F7D1" w14:textId="5796C72B" w:rsidR="00773B68" w:rsidRPr="00E63B3D" w:rsidRDefault="00773B68" w:rsidP="002825FF">
      <w:pPr>
        <w:pStyle w:val="ParaCentredNoSpacing"/>
        <w:keepLines/>
      </w:pPr>
    </w:p>
    <w:p w14:paraId="4A7DEB8F" w14:textId="77777777" w:rsidR="00B17774" w:rsidRPr="00E63B3D" w:rsidRDefault="00B17774" w:rsidP="002825FF">
      <w:pPr>
        <w:keepLines/>
      </w:pPr>
    </w:p>
    <w:p w14:paraId="5BC2B699" w14:textId="77777777" w:rsidR="00813A51" w:rsidRPr="00E63B3D" w:rsidRDefault="00813A51" w:rsidP="002825FF">
      <w:pPr>
        <w:keepLines/>
        <w:sectPr w:rsidR="00813A51" w:rsidRPr="00E63B3D" w:rsidSect="00E74E50">
          <w:headerReference w:type="even" r:id="rId14"/>
          <w:headerReference w:type="default" r:id="rId15"/>
          <w:footerReference w:type="even" r:id="rId16"/>
          <w:footerReference w:type="default" r:id="rId17"/>
          <w:headerReference w:type="first" r:id="rId18"/>
          <w:footerReference w:type="first" r:id="rId19"/>
          <w:pgSz w:w="9979" w:h="14175" w:code="13"/>
          <w:pgMar w:top="567" w:right="1134" w:bottom="567" w:left="1134" w:header="709" w:footer="709" w:gutter="0"/>
          <w:cols w:space="708"/>
          <w:titlePg/>
          <w:docGrid w:linePitch="360"/>
        </w:sectPr>
      </w:pPr>
    </w:p>
    <w:p w14:paraId="57E3E9C4" w14:textId="77777777" w:rsidR="00B17774" w:rsidRPr="00E63B3D" w:rsidRDefault="00B17774" w:rsidP="002825FF">
      <w:pPr>
        <w:pStyle w:val="TOCHeading"/>
        <w:keepLines/>
      </w:pPr>
      <w:r w:rsidRPr="00E63B3D">
        <w:lastRenderedPageBreak/>
        <w:t>Table of contents</w:t>
      </w:r>
    </w:p>
    <w:p w14:paraId="586417FF" w14:textId="77777777" w:rsidR="00E01077" w:rsidRDefault="00734F84">
      <w:pPr>
        <w:pStyle w:val="TOC2"/>
        <w:rPr>
          <w:rFonts w:asciiTheme="minorHAnsi" w:eastAsiaTheme="minorEastAsia" w:hAnsiTheme="minorHAnsi" w:cstheme="minorBidi"/>
          <w:sz w:val="22"/>
          <w:szCs w:val="22"/>
        </w:rPr>
      </w:pPr>
      <w:r w:rsidRPr="00E63B3D">
        <w:fldChar w:fldCharType="begin"/>
      </w:r>
      <w:r w:rsidRPr="00E63B3D">
        <w:instrText xml:space="preserve"> TOC \t "Chapter Heading,1,Chapter heading subdocument,2" </w:instrText>
      </w:r>
      <w:r w:rsidRPr="00E63B3D">
        <w:fldChar w:fldCharType="separate"/>
      </w:r>
      <w:r w:rsidR="00E01077">
        <w:t>Glossary</w:t>
      </w:r>
      <w:r w:rsidR="00E01077">
        <w:tab/>
      </w:r>
      <w:r w:rsidR="00E01077">
        <w:fldChar w:fldCharType="begin"/>
      </w:r>
      <w:r w:rsidR="00E01077">
        <w:instrText xml:space="preserve"> PAGEREF _Toc532550746 \h </w:instrText>
      </w:r>
      <w:r w:rsidR="00E01077">
        <w:fldChar w:fldCharType="separate"/>
      </w:r>
      <w:r w:rsidR="00F95382">
        <w:t>1</w:t>
      </w:r>
      <w:r w:rsidR="00E01077">
        <w:fldChar w:fldCharType="end"/>
      </w:r>
    </w:p>
    <w:p w14:paraId="12F96AC4" w14:textId="77777777" w:rsidR="00E01077" w:rsidRDefault="00E01077">
      <w:pPr>
        <w:pStyle w:val="TOC1"/>
        <w:rPr>
          <w:rFonts w:asciiTheme="minorHAnsi" w:eastAsiaTheme="minorEastAsia" w:hAnsiTheme="minorHAnsi" w:cstheme="minorBidi"/>
          <w:noProof/>
          <w:sz w:val="22"/>
          <w:szCs w:val="22"/>
        </w:rPr>
      </w:pPr>
      <w:r>
        <w:rPr>
          <w:noProof/>
        </w:rPr>
        <w:t>Chapter 1</w:t>
      </w:r>
      <w:r>
        <w:rPr>
          <w:rFonts w:asciiTheme="minorHAnsi" w:eastAsiaTheme="minorEastAsia" w:hAnsiTheme="minorHAnsi" w:cstheme="minorBidi"/>
          <w:noProof/>
          <w:sz w:val="22"/>
          <w:szCs w:val="22"/>
        </w:rPr>
        <w:tab/>
      </w:r>
      <w:r>
        <w:rPr>
          <w:noProof/>
        </w:rPr>
        <w:t>Uplift rates for carried-forward expenditure</w:t>
      </w:r>
      <w:r>
        <w:rPr>
          <w:noProof/>
        </w:rPr>
        <w:tab/>
      </w:r>
      <w:r>
        <w:rPr>
          <w:noProof/>
        </w:rPr>
        <w:fldChar w:fldCharType="begin"/>
      </w:r>
      <w:r>
        <w:rPr>
          <w:noProof/>
        </w:rPr>
        <w:instrText xml:space="preserve"> PAGEREF _Toc532550747 \h </w:instrText>
      </w:r>
      <w:r>
        <w:rPr>
          <w:noProof/>
        </w:rPr>
      </w:r>
      <w:r>
        <w:rPr>
          <w:noProof/>
        </w:rPr>
        <w:fldChar w:fldCharType="separate"/>
      </w:r>
      <w:r w:rsidR="00F95382">
        <w:rPr>
          <w:noProof/>
        </w:rPr>
        <w:t>3</w:t>
      </w:r>
      <w:r>
        <w:rPr>
          <w:noProof/>
        </w:rPr>
        <w:fldChar w:fldCharType="end"/>
      </w:r>
    </w:p>
    <w:p w14:paraId="0581AA43" w14:textId="77777777" w:rsidR="00E01077" w:rsidRDefault="00E01077">
      <w:pPr>
        <w:pStyle w:val="TOC1"/>
        <w:rPr>
          <w:rFonts w:asciiTheme="minorHAnsi" w:eastAsiaTheme="minorEastAsia" w:hAnsiTheme="minorHAnsi" w:cstheme="minorBidi"/>
          <w:noProof/>
          <w:sz w:val="22"/>
          <w:szCs w:val="22"/>
        </w:rPr>
      </w:pPr>
      <w:r>
        <w:rPr>
          <w:noProof/>
        </w:rPr>
        <w:t>Chapter 2</w:t>
      </w:r>
      <w:r>
        <w:rPr>
          <w:rFonts w:asciiTheme="minorHAnsi" w:eastAsiaTheme="minorEastAsia" w:hAnsiTheme="minorHAnsi" w:cstheme="minorBidi"/>
          <w:noProof/>
          <w:sz w:val="22"/>
          <w:szCs w:val="22"/>
        </w:rPr>
        <w:tab/>
      </w:r>
      <w:r>
        <w:rPr>
          <w:noProof/>
        </w:rPr>
        <w:t>Onshore petroleum projects</w:t>
      </w:r>
      <w:r>
        <w:rPr>
          <w:noProof/>
        </w:rPr>
        <w:tab/>
      </w:r>
      <w:r>
        <w:rPr>
          <w:noProof/>
        </w:rPr>
        <w:fldChar w:fldCharType="begin"/>
      </w:r>
      <w:r>
        <w:rPr>
          <w:noProof/>
        </w:rPr>
        <w:instrText xml:space="preserve"> PAGEREF _Toc532550748 \h </w:instrText>
      </w:r>
      <w:r>
        <w:rPr>
          <w:noProof/>
        </w:rPr>
      </w:r>
      <w:r>
        <w:rPr>
          <w:noProof/>
        </w:rPr>
        <w:fldChar w:fldCharType="separate"/>
      </w:r>
      <w:r w:rsidR="00F95382">
        <w:rPr>
          <w:noProof/>
        </w:rPr>
        <w:t>17</w:t>
      </w:r>
      <w:r>
        <w:rPr>
          <w:noProof/>
        </w:rPr>
        <w:fldChar w:fldCharType="end"/>
      </w:r>
    </w:p>
    <w:p w14:paraId="16A1DB46" w14:textId="77777777" w:rsidR="00E5385B" w:rsidRPr="00E63B3D" w:rsidRDefault="00734F84" w:rsidP="002825FF">
      <w:pPr>
        <w:keepLines/>
        <w:rPr>
          <w:rFonts w:ascii="Helvetica" w:hAnsi="Helvetica"/>
          <w:noProof/>
          <w:sz w:val="24"/>
        </w:rPr>
      </w:pPr>
      <w:r w:rsidRPr="00E63B3D">
        <w:rPr>
          <w:rFonts w:ascii="Helvetica" w:hAnsi="Helvetica"/>
          <w:noProof/>
          <w:sz w:val="24"/>
        </w:rPr>
        <w:fldChar w:fldCharType="end"/>
      </w:r>
    </w:p>
    <w:p w14:paraId="5A65D290" w14:textId="77777777" w:rsidR="00B17774" w:rsidRPr="00E63B3D" w:rsidRDefault="00B17774" w:rsidP="002825FF">
      <w:pPr>
        <w:pStyle w:val="Hiddentext"/>
        <w:keepLines/>
      </w:pPr>
    </w:p>
    <w:p w14:paraId="0F4BC71F" w14:textId="77777777" w:rsidR="00B17774" w:rsidRPr="00E63B3D" w:rsidRDefault="00B17774" w:rsidP="002825FF">
      <w:pPr>
        <w:pStyle w:val="base-text-paragraphnonumbers"/>
        <w:keepLines/>
        <w:sectPr w:rsidR="00B17774" w:rsidRPr="00E63B3D" w:rsidSect="00E74E50">
          <w:headerReference w:type="even" r:id="rId20"/>
          <w:headerReference w:type="default" r:id="rId21"/>
          <w:footerReference w:type="even" r:id="rId22"/>
          <w:footerReference w:type="default" r:id="rId23"/>
          <w:headerReference w:type="first" r:id="rId24"/>
          <w:footerReference w:type="first" r:id="rId25"/>
          <w:type w:val="oddPage"/>
          <w:pgSz w:w="9979" w:h="14175" w:code="9"/>
          <w:pgMar w:top="567" w:right="1134" w:bottom="567" w:left="1134" w:header="709" w:footer="709" w:gutter="0"/>
          <w:cols w:space="708"/>
          <w:titlePg/>
          <w:docGrid w:linePitch="360"/>
        </w:sectPr>
      </w:pPr>
    </w:p>
    <w:p w14:paraId="6922B006" w14:textId="77777777" w:rsidR="00B17774" w:rsidRPr="00E63B3D" w:rsidRDefault="00B17774" w:rsidP="002825FF">
      <w:pPr>
        <w:pStyle w:val="Chapterheadingsubdocument"/>
        <w:keepLines/>
      </w:pPr>
      <w:bookmarkStart w:id="1" w:name="_Toc532550746"/>
      <w:r w:rsidRPr="00E63B3D">
        <w:rPr>
          <w:rStyle w:val="ChapterNameOnly"/>
        </w:rPr>
        <w:lastRenderedPageBreak/>
        <w:t>Glossary</w:t>
      </w:r>
      <w:bookmarkEnd w:id="1"/>
    </w:p>
    <w:p w14:paraId="72C7C61F" w14:textId="77777777" w:rsidR="00B17774" w:rsidRPr="00E63B3D" w:rsidRDefault="00B17774" w:rsidP="002825FF">
      <w:pPr>
        <w:pStyle w:val="BTPwithextraspacing"/>
        <w:keepLines/>
      </w:pPr>
      <w:r w:rsidRPr="00E63B3D">
        <w:t>The following abbreviations and acronyms are used throughout this explanatory memorandum.</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21"/>
        <w:gridCol w:w="3885"/>
      </w:tblGrid>
      <w:tr w:rsidR="00E01077" w:rsidRPr="00E63B3D" w14:paraId="6A5AD9F1" w14:textId="77777777" w:rsidTr="001610E9">
        <w:tc>
          <w:tcPr>
            <w:tcW w:w="2721" w:type="dxa"/>
          </w:tcPr>
          <w:p w14:paraId="4669E670" w14:textId="77777777" w:rsidR="00E01077" w:rsidRPr="00E63B3D" w:rsidRDefault="00E01077" w:rsidP="002825FF">
            <w:pPr>
              <w:pStyle w:val="tableheaderwithintable"/>
              <w:keepLines/>
            </w:pPr>
            <w:r w:rsidRPr="00E63B3D">
              <w:t>Abbreviation</w:t>
            </w:r>
          </w:p>
        </w:tc>
        <w:tc>
          <w:tcPr>
            <w:tcW w:w="3885" w:type="dxa"/>
          </w:tcPr>
          <w:p w14:paraId="67BA1F97" w14:textId="77777777" w:rsidR="00E01077" w:rsidRPr="00E63B3D" w:rsidRDefault="00E01077" w:rsidP="002825FF">
            <w:pPr>
              <w:pStyle w:val="tableheaderwithintable"/>
              <w:keepLines/>
            </w:pPr>
            <w:r w:rsidRPr="00E63B3D">
              <w:t>Definition</w:t>
            </w:r>
          </w:p>
        </w:tc>
      </w:tr>
      <w:tr w:rsidR="00E01077" w:rsidRPr="00E63B3D" w14:paraId="5B3E1C85" w14:textId="77777777" w:rsidTr="001610E9">
        <w:tc>
          <w:tcPr>
            <w:tcW w:w="2721" w:type="dxa"/>
          </w:tcPr>
          <w:p w14:paraId="3A67D695" w14:textId="77777777" w:rsidR="00E01077" w:rsidRPr="00006789" w:rsidRDefault="00E01077" w:rsidP="002825FF">
            <w:pPr>
              <w:pStyle w:val="Glossarytabletext"/>
              <w:keepLines/>
              <w:rPr>
                <w:lang w:eastAsia="en-US"/>
              </w:rPr>
            </w:pPr>
            <w:bookmarkStart w:id="2" w:name="GlossaryTableStart"/>
            <w:bookmarkEnd w:id="2"/>
            <w:r w:rsidRPr="00006789">
              <w:rPr>
                <w:lang w:eastAsia="en-US"/>
              </w:rPr>
              <w:t>ABR</w:t>
            </w:r>
          </w:p>
        </w:tc>
        <w:tc>
          <w:tcPr>
            <w:tcW w:w="3885" w:type="dxa"/>
          </w:tcPr>
          <w:p w14:paraId="3C9FD86A" w14:textId="77777777" w:rsidR="00E01077" w:rsidRPr="00006789" w:rsidRDefault="00E01077" w:rsidP="002825FF">
            <w:pPr>
              <w:pStyle w:val="Glossarytabletext"/>
              <w:keepLines/>
              <w:rPr>
                <w:lang w:eastAsia="en-US"/>
              </w:rPr>
            </w:pPr>
            <w:r w:rsidRPr="00006789">
              <w:rPr>
                <w:lang w:eastAsia="en-US"/>
              </w:rPr>
              <w:t>Augmented Bond Rate</w:t>
            </w:r>
          </w:p>
        </w:tc>
      </w:tr>
      <w:tr w:rsidR="00E01077" w:rsidRPr="00E63B3D" w14:paraId="6FD928EE" w14:textId="77777777" w:rsidTr="001610E9">
        <w:tc>
          <w:tcPr>
            <w:tcW w:w="2721" w:type="dxa"/>
          </w:tcPr>
          <w:p w14:paraId="78D8F520" w14:textId="77777777" w:rsidR="00E01077" w:rsidRPr="00006789" w:rsidRDefault="00E01077" w:rsidP="002825FF">
            <w:pPr>
              <w:pStyle w:val="Glossarytabletext"/>
              <w:keepLines/>
              <w:rPr>
                <w:lang w:eastAsia="en-US"/>
              </w:rPr>
            </w:pPr>
            <w:r w:rsidRPr="00006789">
              <w:rPr>
                <w:lang w:eastAsia="en-US"/>
              </w:rPr>
              <w:t>Act</w:t>
            </w:r>
          </w:p>
        </w:tc>
        <w:tc>
          <w:tcPr>
            <w:tcW w:w="3885" w:type="dxa"/>
          </w:tcPr>
          <w:p w14:paraId="3640D286" w14:textId="77777777" w:rsidR="00E01077" w:rsidRPr="00006789" w:rsidRDefault="00E01077" w:rsidP="002825FF">
            <w:pPr>
              <w:pStyle w:val="Glossarytabletext"/>
              <w:keepLines/>
              <w:rPr>
                <w:i/>
                <w:lang w:eastAsia="en-US"/>
              </w:rPr>
            </w:pPr>
            <w:r w:rsidRPr="00006789">
              <w:rPr>
                <w:i/>
                <w:lang w:eastAsia="en-US"/>
              </w:rPr>
              <w:t>Petroleum Resource Rent Tax Assessment Act 1987</w:t>
            </w:r>
          </w:p>
        </w:tc>
      </w:tr>
      <w:tr w:rsidR="00E01077" w:rsidRPr="00E63B3D" w14:paraId="5D311419" w14:textId="77777777" w:rsidTr="001610E9">
        <w:tc>
          <w:tcPr>
            <w:tcW w:w="2721" w:type="dxa"/>
          </w:tcPr>
          <w:p w14:paraId="790432E3" w14:textId="77777777" w:rsidR="00E01077" w:rsidRPr="00006789" w:rsidRDefault="00E01077" w:rsidP="002825FF">
            <w:pPr>
              <w:pStyle w:val="Glossarytabletext"/>
              <w:keepLines/>
              <w:rPr>
                <w:lang w:eastAsia="en-US"/>
              </w:rPr>
            </w:pPr>
            <w:r w:rsidRPr="00006789">
              <w:rPr>
                <w:lang w:eastAsia="en-US"/>
              </w:rPr>
              <w:t>GDP</w:t>
            </w:r>
          </w:p>
        </w:tc>
        <w:tc>
          <w:tcPr>
            <w:tcW w:w="3885" w:type="dxa"/>
          </w:tcPr>
          <w:p w14:paraId="3121150B" w14:textId="77777777" w:rsidR="00E01077" w:rsidRPr="00006789" w:rsidRDefault="00E01077" w:rsidP="002825FF">
            <w:pPr>
              <w:pStyle w:val="Glossarytabletext"/>
              <w:keepLines/>
              <w:rPr>
                <w:lang w:eastAsia="en-US"/>
              </w:rPr>
            </w:pPr>
            <w:r w:rsidRPr="00006789">
              <w:rPr>
                <w:lang w:eastAsia="en-US"/>
              </w:rPr>
              <w:t>Gross Domestic Product</w:t>
            </w:r>
          </w:p>
        </w:tc>
      </w:tr>
      <w:tr w:rsidR="00E01077" w:rsidRPr="00E63B3D" w14:paraId="717ECD4F" w14:textId="77777777" w:rsidTr="001610E9">
        <w:tc>
          <w:tcPr>
            <w:tcW w:w="2721" w:type="dxa"/>
          </w:tcPr>
          <w:p w14:paraId="3EDCD966" w14:textId="77777777" w:rsidR="00E01077" w:rsidRPr="00006789" w:rsidRDefault="00E01077" w:rsidP="002825FF">
            <w:pPr>
              <w:pStyle w:val="Glossarytabletext"/>
              <w:keepLines/>
              <w:rPr>
                <w:lang w:eastAsia="en-US"/>
              </w:rPr>
            </w:pPr>
            <w:r w:rsidRPr="00006789">
              <w:rPr>
                <w:lang w:eastAsia="en-US"/>
              </w:rPr>
              <w:t>LNG</w:t>
            </w:r>
          </w:p>
        </w:tc>
        <w:tc>
          <w:tcPr>
            <w:tcW w:w="3885" w:type="dxa"/>
          </w:tcPr>
          <w:p w14:paraId="398D017C" w14:textId="77777777" w:rsidR="00E01077" w:rsidRPr="00006789" w:rsidRDefault="00E01077" w:rsidP="002825FF">
            <w:pPr>
              <w:pStyle w:val="Glossarytabletext"/>
              <w:keepLines/>
              <w:rPr>
                <w:lang w:eastAsia="en-US"/>
              </w:rPr>
            </w:pPr>
            <w:r>
              <w:rPr>
                <w:lang w:eastAsia="en-US"/>
              </w:rPr>
              <w:t>Liquefied</w:t>
            </w:r>
            <w:r w:rsidRPr="00006789">
              <w:rPr>
                <w:lang w:eastAsia="en-US"/>
              </w:rPr>
              <w:t xml:space="preserve"> natural gas</w:t>
            </w:r>
          </w:p>
        </w:tc>
      </w:tr>
      <w:tr w:rsidR="00E01077" w:rsidRPr="00E63B3D" w14:paraId="0BB662C3" w14:textId="77777777" w:rsidTr="001610E9">
        <w:tc>
          <w:tcPr>
            <w:tcW w:w="2721" w:type="dxa"/>
          </w:tcPr>
          <w:p w14:paraId="289732AE" w14:textId="77777777" w:rsidR="00E01077" w:rsidRPr="00006789" w:rsidRDefault="00E01077" w:rsidP="002825FF">
            <w:pPr>
              <w:pStyle w:val="Glossarytabletext"/>
              <w:keepLines/>
              <w:rPr>
                <w:lang w:eastAsia="en-US"/>
              </w:rPr>
            </w:pPr>
            <w:r w:rsidRPr="00006789">
              <w:rPr>
                <w:lang w:eastAsia="en-US"/>
              </w:rPr>
              <w:t>LTBR</w:t>
            </w:r>
          </w:p>
        </w:tc>
        <w:tc>
          <w:tcPr>
            <w:tcW w:w="3885" w:type="dxa"/>
          </w:tcPr>
          <w:p w14:paraId="4B80151A" w14:textId="77777777" w:rsidR="00E01077" w:rsidRPr="00006789" w:rsidRDefault="00E01077" w:rsidP="002825FF">
            <w:pPr>
              <w:pStyle w:val="Glossarytabletext"/>
              <w:keepLines/>
              <w:rPr>
                <w:lang w:eastAsia="en-US"/>
              </w:rPr>
            </w:pPr>
            <w:r w:rsidRPr="00006789">
              <w:rPr>
                <w:lang w:eastAsia="en-US"/>
              </w:rPr>
              <w:t>the Government long-term bond rate</w:t>
            </w:r>
          </w:p>
        </w:tc>
      </w:tr>
      <w:tr w:rsidR="00E01077" w:rsidRPr="00E63B3D" w14:paraId="40F77BB8" w14:textId="77777777" w:rsidTr="001610E9">
        <w:tc>
          <w:tcPr>
            <w:tcW w:w="2721" w:type="dxa"/>
          </w:tcPr>
          <w:p w14:paraId="6EF77DEC" w14:textId="77777777" w:rsidR="00E01077" w:rsidRPr="00006789" w:rsidRDefault="00E01077" w:rsidP="002825FF">
            <w:pPr>
              <w:pStyle w:val="Glossarytabletext"/>
              <w:keepLines/>
              <w:rPr>
                <w:lang w:eastAsia="en-US"/>
              </w:rPr>
            </w:pPr>
            <w:r w:rsidRPr="00006789">
              <w:rPr>
                <w:lang w:eastAsia="en-US"/>
              </w:rPr>
              <w:t>PRRT</w:t>
            </w:r>
          </w:p>
        </w:tc>
        <w:tc>
          <w:tcPr>
            <w:tcW w:w="3885" w:type="dxa"/>
          </w:tcPr>
          <w:p w14:paraId="27A6B195" w14:textId="77777777" w:rsidR="00E01077" w:rsidRPr="00006789" w:rsidRDefault="00E01077" w:rsidP="002825FF">
            <w:pPr>
              <w:pStyle w:val="Glossarytabletext"/>
              <w:keepLines/>
              <w:rPr>
                <w:lang w:eastAsia="en-US"/>
              </w:rPr>
            </w:pPr>
            <w:r w:rsidRPr="00006789">
              <w:rPr>
                <w:lang w:eastAsia="en-US"/>
              </w:rPr>
              <w:t>Petroleum Resource Rent Tax</w:t>
            </w:r>
          </w:p>
        </w:tc>
      </w:tr>
    </w:tbl>
    <w:p w14:paraId="70A40A0E" w14:textId="77777777" w:rsidR="00E5385B" w:rsidRPr="00E63B3D" w:rsidRDefault="00E5385B" w:rsidP="002825FF">
      <w:pPr>
        <w:keepLines/>
      </w:pPr>
      <w:bookmarkStart w:id="3" w:name="GlossaryTableStart"/>
      <w:bookmarkEnd w:id="3"/>
    </w:p>
    <w:p w14:paraId="6022B8D0" w14:textId="77777777" w:rsidR="00B17774" w:rsidRPr="00E63B3D" w:rsidRDefault="00B17774" w:rsidP="002825FF">
      <w:pPr>
        <w:keepLines/>
      </w:pPr>
    </w:p>
    <w:p w14:paraId="2F18FBD3" w14:textId="77777777" w:rsidR="00E679CA" w:rsidRPr="00E63B3D" w:rsidRDefault="00E679CA" w:rsidP="002825FF">
      <w:pPr>
        <w:keepLines/>
        <w:sectPr w:rsidR="00E679CA" w:rsidRPr="00E63B3D" w:rsidSect="00E74E50">
          <w:headerReference w:type="even" r:id="rId26"/>
          <w:headerReference w:type="default" r:id="rId27"/>
          <w:footerReference w:type="even" r:id="rId28"/>
          <w:footerReference w:type="default" r:id="rId29"/>
          <w:footerReference w:type="first" r:id="rId30"/>
          <w:type w:val="oddPage"/>
          <w:pgSz w:w="9979" w:h="14175" w:code="9"/>
          <w:pgMar w:top="567" w:right="1134" w:bottom="567" w:left="1134" w:header="709" w:footer="709" w:gutter="0"/>
          <w:pgNumType w:start="1"/>
          <w:cols w:space="708"/>
          <w:titlePg/>
          <w:docGrid w:linePitch="360"/>
        </w:sectPr>
      </w:pPr>
    </w:p>
    <w:p w14:paraId="11CC0335" w14:textId="04656B88" w:rsidR="00B17774" w:rsidRPr="00E63B3D" w:rsidRDefault="00840701" w:rsidP="002825FF">
      <w:pPr>
        <w:pStyle w:val="ChapterHeading"/>
        <w:keepLines/>
      </w:pPr>
      <w:r w:rsidRPr="00E63B3D">
        <w:lastRenderedPageBreak/>
        <w:br/>
      </w:r>
      <w:bookmarkStart w:id="4" w:name="_Toc532550747"/>
      <w:r w:rsidR="00841763" w:rsidRPr="00E63B3D">
        <w:rPr>
          <w:rStyle w:val="ChapterNameOnly"/>
        </w:rPr>
        <w:t>U</w:t>
      </w:r>
      <w:r w:rsidR="00A3553F" w:rsidRPr="00E63B3D">
        <w:rPr>
          <w:rStyle w:val="ChapterNameOnly"/>
        </w:rPr>
        <w:t xml:space="preserve">plift rates for </w:t>
      </w:r>
      <w:r w:rsidR="001C42D3" w:rsidRPr="00E63B3D">
        <w:rPr>
          <w:rStyle w:val="ChapterNameOnly"/>
        </w:rPr>
        <w:t>carried-forward expenditure</w:t>
      </w:r>
      <w:bookmarkEnd w:id="4"/>
    </w:p>
    <w:p w14:paraId="5AA3B9A1" w14:textId="77777777" w:rsidR="00B17774" w:rsidRPr="00E63B3D" w:rsidRDefault="00B17774" w:rsidP="002825FF">
      <w:pPr>
        <w:pStyle w:val="Heading2"/>
        <w:keepLines/>
      </w:pPr>
      <w:r w:rsidRPr="00E63B3D">
        <w:t>Outline of chapter</w:t>
      </w:r>
    </w:p>
    <w:p w14:paraId="56154A3A" w14:textId="7532BAF9" w:rsidR="00B17774" w:rsidRPr="00E63B3D" w:rsidRDefault="000D5089" w:rsidP="003229AA">
      <w:pPr>
        <w:pStyle w:val="base-text-paragraph"/>
        <w:keepLines/>
      </w:pPr>
      <w:bookmarkStart w:id="5" w:name="_Ref529447021"/>
      <w:bookmarkStart w:id="6" w:name="_Ref529542295"/>
      <w:r w:rsidRPr="00E63B3D">
        <w:t xml:space="preserve">Schedule 1 to the </w:t>
      </w:r>
      <w:r w:rsidR="003229AA" w:rsidRPr="003229AA">
        <w:t xml:space="preserve">Exposure Draft </w:t>
      </w:r>
      <w:r w:rsidRPr="00E63B3D">
        <w:t xml:space="preserve">amends the Act to reduce the uplift rates that apply to </w:t>
      </w:r>
      <w:r w:rsidR="002B7A42">
        <w:t xml:space="preserve">certain categories of </w:t>
      </w:r>
      <w:r w:rsidR="001C42D3" w:rsidRPr="00E63B3D">
        <w:t>carried-forward expenditure</w:t>
      </w:r>
      <w:r w:rsidRPr="00E63B3D">
        <w:t>.</w:t>
      </w:r>
      <w:bookmarkEnd w:id="5"/>
      <w:bookmarkEnd w:id="6"/>
      <w:r w:rsidRPr="00E63B3D">
        <w:t xml:space="preserve"> </w:t>
      </w:r>
    </w:p>
    <w:p w14:paraId="09CD6CC3" w14:textId="77777777" w:rsidR="00B17774" w:rsidRPr="00E63B3D" w:rsidRDefault="00B17774" w:rsidP="002825FF">
      <w:pPr>
        <w:pStyle w:val="Heading2"/>
        <w:keepLines/>
      </w:pPr>
      <w:r w:rsidRPr="00E63B3D">
        <w:t>Context of amendments</w:t>
      </w:r>
    </w:p>
    <w:p w14:paraId="29A06C0C" w14:textId="5890C4F6" w:rsidR="00A3553F" w:rsidRPr="00E63B3D" w:rsidRDefault="00FC6CC6" w:rsidP="002825FF">
      <w:pPr>
        <w:pStyle w:val="base-text-paragraph"/>
        <w:keepLines/>
      </w:pPr>
      <w:r w:rsidRPr="00E63B3D">
        <w:t xml:space="preserve">The PRRT is a profit-based cash-flow tax on petroleum production, designed to ensure the Australian community receives a </w:t>
      </w:r>
      <w:r w:rsidR="00745AF8">
        <w:t>fair</w:t>
      </w:r>
      <w:r w:rsidR="00745AF8" w:rsidRPr="00E63B3D">
        <w:t xml:space="preserve"> </w:t>
      </w:r>
      <w:r w:rsidRPr="00E63B3D">
        <w:t>return on the extraction of Australia’s finite petroleum resources</w:t>
      </w:r>
      <w:r w:rsidR="00745AF8">
        <w:t xml:space="preserve"> while minimising disincentives for business to invest in the petroleum industry</w:t>
      </w:r>
      <w:r w:rsidRPr="00E63B3D">
        <w:t xml:space="preserve">. </w:t>
      </w:r>
    </w:p>
    <w:p w14:paraId="0DD879EB" w14:textId="0773F7CB" w:rsidR="00167E97" w:rsidRPr="00E63B3D" w:rsidRDefault="00167E97" w:rsidP="002825FF">
      <w:pPr>
        <w:pStyle w:val="base-text-paragraph"/>
        <w:keepLines/>
      </w:pPr>
      <w:r w:rsidRPr="00E63B3D">
        <w:t>Section 22 o</w:t>
      </w:r>
      <w:r w:rsidR="00077A13" w:rsidRPr="00E63B3D">
        <w:t xml:space="preserve">f the Act outlines the formula </w:t>
      </w:r>
      <w:r w:rsidRPr="00E63B3D">
        <w:t xml:space="preserve">on which PRRT is payable. A person is </w:t>
      </w:r>
      <w:r w:rsidR="00077A13" w:rsidRPr="00E63B3D">
        <w:t xml:space="preserve">subject to </w:t>
      </w:r>
      <w:r w:rsidRPr="00E63B3D">
        <w:t>tax</w:t>
      </w:r>
      <w:r w:rsidR="00077A13" w:rsidRPr="00E63B3D">
        <w:t xml:space="preserve"> o</w:t>
      </w:r>
      <w:r w:rsidRPr="00E63B3D">
        <w:t>n the taxable profit they receive for a year of tax in relation to a petroleum project</w:t>
      </w:r>
      <w:r w:rsidR="00077A13" w:rsidRPr="00E63B3D">
        <w:t xml:space="preserve"> (section 21)</w:t>
      </w:r>
      <w:r w:rsidRPr="00E63B3D">
        <w:t xml:space="preserve">. The taxable profit is the person’s assessable receipts (section 23) less the sum of their deductible expenditure (section 32) and exploration expenditure transferred to the </w:t>
      </w:r>
      <w:r w:rsidR="00964C40">
        <w:t xml:space="preserve">petroleum </w:t>
      </w:r>
      <w:r w:rsidRPr="00E63B3D">
        <w:t>project (Division 3A of Part V).</w:t>
      </w:r>
    </w:p>
    <w:p w14:paraId="67303BDC" w14:textId="77777777" w:rsidR="00167E97" w:rsidRPr="00E63B3D" w:rsidRDefault="00167E97" w:rsidP="002825FF">
      <w:pPr>
        <w:pStyle w:val="base-text-paragraph"/>
        <w:keepLines/>
      </w:pPr>
      <w:r w:rsidRPr="00E63B3D">
        <w:t>The categories of deductible expenditure are:</w:t>
      </w:r>
    </w:p>
    <w:p w14:paraId="40754974" w14:textId="77777777" w:rsidR="00167E97" w:rsidRPr="00E63B3D" w:rsidRDefault="00167E97" w:rsidP="002825FF">
      <w:pPr>
        <w:pStyle w:val="dotpoint"/>
        <w:keepLines/>
      </w:pPr>
      <w:r w:rsidRPr="00E63B3D">
        <w:t>general project expenditure;</w:t>
      </w:r>
    </w:p>
    <w:p w14:paraId="6E8FBB82" w14:textId="1E3DAB5A" w:rsidR="00167E97" w:rsidRPr="00E63B3D" w:rsidRDefault="00167E97" w:rsidP="002825FF">
      <w:pPr>
        <w:pStyle w:val="dotpoint"/>
        <w:keepLines/>
      </w:pPr>
      <w:r w:rsidRPr="00E63B3D">
        <w:t xml:space="preserve">exploration expenditure, which can, in certain circumstances, be transferred between certain </w:t>
      </w:r>
      <w:r w:rsidR="00964C40">
        <w:t xml:space="preserve">petroleum </w:t>
      </w:r>
      <w:r w:rsidRPr="00E63B3D">
        <w:t>projects;</w:t>
      </w:r>
    </w:p>
    <w:p w14:paraId="1B19584C" w14:textId="4D7C4CBB" w:rsidR="00167E97" w:rsidRPr="00E63B3D" w:rsidRDefault="00167E97" w:rsidP="002825FF">
      <w:pPr>
        <w:pStyle w:val="dotpoint"/>
        <w:keepLines/>
      </w:pPr>
      <w:r w:rsidRPr="00E63B3D">
        <w:t xml:space="preserve">resource tax expenditure, which is grossed-up by the PRRT rate </w:t>
      </w:r>
      <w:r w:rsidR="00BF116F" w:rsidRPr="00E63B3D">
        <w:t xml:space="preserve">(40 per cent) </w:t>
      </w:r>
      <w:r w:rsidRPr="00E63B3D">
        <w:t>to give credit for royalties and excise paid on a</w:t>
      </w:r>
      <w:r w:rsidR="00964C40" w:rsidRPr="00964C40">
        <w:t xml:space="preserve"> </w:t>
      </w:r>
      <w:r w:rsidR="00964C40">
        <w:t>petroleum</w:t>
      </w:r>
      <w:r w:rsidRPr="00E63B3D">
        <w:t xml:space="preserve"> project’s output;</w:t>
      </w:r>
    </w:p>
    <w:p w14:paraId="365D2F01" w14:textId="0927F38F" w:rsidR="00167E97" w:rsidRPr="00E63B3D" w:rsidRDefault="00167E97" w:rsidP="002825FF">
      <w:pPr>
        <w:pStyle w:val="dotpoint"/>
        <w:keepLines/>
      </w:pPr>
      <w:r w:rsidRPr="00E63B3D">
        <w:t xml:space="preserve">acquired exploration expenditure and starting base expenditure, which recognise investments made in </w:t>
      </w:r>
      <w:r w:rsidR="00964C40">
        <w:t xml:space="preserve">petroleum </w:t>
      </w:r>
      <w:r w:rsidRPr="00E63B3D">
        <w:t xml:space="preserve">projects </w:t>
      </w:r>
      <w:r w:rsidR="002B7A42">
        <w:t xml:space="preserve">that </w:t>
      </w:r>
      <w:r w:rsidRPr="00E63B3D">
        <w:t>transitioned to the PRRT regime; and</w:t>
      </w:r>
    </w:p>
    <w:p w14:paraId="2FE11993" w14:textId="77777777" w:rsidR="00167E97" w:rsidRPr="00E63B3D" w:rsidRDefault="00167E97" w:rsidP="002825FF">
      <w:pPr>
        <w:pStyle w:val="dotpoint"/>
        <w:keepLines/>
      </w:pPr>
      <w:r w:rsidRPr="00E63B3D">
        <w:t>closing-down expenditure, which can give rise to a refundable credit to the extent of prior PRRT liabilities.</w:t>
      </w:r>
    </w:p>
    <w:p w14:paraId="4F4E75DE" w14:textId="5A9910AA" w:rsidR="00167E97" w:rsidRPr="00E63B3D" w:rsidRDefault="00167E97" w:rsidP="002825FF">
      <w:pPr>
        <w:pStyle w:val="base-text-paragraph"/>
        <w:keepLines/>
      </w:pPr>
      <w:r w:rsidRPr="00E63B3D">
        <w:t>PRRT liabilities are calculated on a project basis meaning deductible expenditure can generally only be used to offset assessable receipts from the same</w:t>
      </w:r>
      <w:r w:rsidR="00A80D24" w:rsidRPr="00E63B3D">
        <w:t xml:space="preserve"> petroleum</w:t>
      </w:r>
      <w:r w:rsidRPr="00E63B3D">
        <w:t xml:space="preserve"> project and generally cannot be transferred to other projects of the taxpayer. Exploration expenditure is an exception to this principle. </w:t>
      </w:r>
    </w:p>
    <w:p w14:paraId="50CE078A" w14:textId="2905B526" w:rsidR="00FC6CC6" w:rsidRPr="00E63B3D" w:rsidRDefault="00FC6CC6" w:rsidP="002825FF">
      <w:pPr>
        <w:pStyle w:val="Heading3"/>
        <w:keepLines/>
      </w:pPr>
      <w:r w:rsidRPr="00E63B3D">
        <w:lastRenderedPageBreak/>
        <w:t>Expenditure uplifts</w:t>
      </w:r>
    </w:p>
    <w:p w14:paraId="0C51CD98" w14:textId="2F83D884" w:rsidR="00FC6CC6" w:rsidRPr="00E63B3D" w:rsidRDefault="00FC6CC6" w:rsidP="002825FF">
      <w:pPr>
        <w:pStyle w:val="base-text-paragraph"/>
        <w:keepLines/>
      </w:pPr>
      <w:r w:rsidRPr="00E63B3D">
        <w:t>Due to the</w:t>
      </w:r>
      <w:r w:rsidR="00077A13" w:rsidRPr="00E63B3D">
        <w:t>ir nature, petroleum projects</w:t>
      </w:r>
      <w:r w:rsidRPr="00E63B3D">
        <w:t xml:space="preserve"> experience periods of negative cash flow during exploration and construction before a project becomes cash flow positive. Taxpayers may carry-forward unutilised expenditure to offset future positive cash-flow periods. </w:t>
      </w:r>
    </w:p>
    <w:p w14:paraId="5E33F441" w14:textId="4C656C0D" w:rsidR="00167E97" w:rsidRPr="00E63B3D" w:rsidRDefault="00FC6CC6" w:rsidP="002825FF">
      <w:pPr>
        <w:pStyle w:val="base-text-paragraph"/>
        <w:keepLines/>
      </w:pPr>
      <w:r w:rsidRPr="00E63B3D">
        <w:t xml:space="preserve">The PRRT </w:t>
      </w:r>
      <w:r w:rsidR="00B377E6" w:rsidRPr="00E63B3D">
        <w:t xml:space="preserve">applies </w:t>
      </w:r>
      <w:r w:rsidRPr="00E63B3D">
        <w:t xml:space="preserve">an uplift rate to carried-forward expenditure. The uplift rates are specific to different types of expenditure </w:t>
      </w:r>
      <w:r w:rsidR="00ED58CC" w:rsidRPr="00E63B3D">
        <w:t>and</w:t>
      </w:r>
      <w:r w:rsidR="00167E97" w:rsidRPr="00E63B3D">
        <w:t xml:space="preserve"> are generally calculated by reference to either an </w:t>
      </w:r>
      <w:r w:rsidR="00ED58CC" w:rsidRPr="00E63B3D">
        <w:t>ABR</w:t>
      </w:r>
      <w:r w:rsidR="00167E97" w:rsidRPr="00E63B3D">
        <w:t xml:space="preserve"> consisting of the LTBR and a premium, or the GDP factor outlined in section 2A of the Act</w:t>
      </w:r>
      <w:r w:rsidR="00D4648B" w:rsidRPr="00E63B3D">
        <w:t xml:space="preserve">. </w:t>
      </w:r>
    </w:p>
    <w:p w14:paraId="3714BE78" w14:textId="31DBD870" w:rsidR="00D536B6" w:rsidRPr="00E63B3D" w:rsidRDefault="00D536B6" w:rsidP="002825FF">
      <w:pPr>
        <w:pStyle w:val="Heading3"/>
        <w:keepLines/>
      </w:pPr>
      <w:r w:rsidRPr="00E63B3D">
        <w:t>Review of the PRRT</w:t>
      </w:r>
    </w:p>
    <w:p w14:paraId="6B314990" w14:textId="69EEFB26" w:rsidR="00A3553F" w:rsidRPr="00E63B3D" w:rsidRDefault="00A3553F" w:rsidP="002825FF">
      <w:pPr>
        <w:pStyle w:val="base-text-paragraph"/>
        <w:keepLines/>
      </w:pPr>
      <w:r w:rsidRPr="00E63B3D">
        <w:t xml:space="preserve">The Government initiated </w:t>
      </w:r>
      <w:r w:rsidR="00FC6CC6" w:rsidRPr="00E63B3D">
        <w:t>a</w:t>
      </w:r>
      <w:r w:rsidRPr="00E63B3D">
        <w:t xml:space="preserve"> </w:t>
      </w:r>
      <w:r w:rsidR="00D536B6" w:rsidRPr="00E63B3D">
        <w:t>Review of the Petroleum Resource Rent Tax, led by Michael Callaghan AM PSM,</w:t>
      </w:r>
      <w:r w:rsidRPr="00E63B3D">
        <w:t xml:space="preserve"> </w:t>
      </w:r>
      <w:r w:rsidR="00D536B6" w:rsidRPr="00E63B3D">
        <w:t>on 30</w:t>
      </w:r>
      <w:r w:rsidRPr="00E63B3D">
        <w:t xml:space="preserve"> November </w:t>
      </w:r>
      <w:r w:rsidR="00FC6CC6" w:rsidRPr="00E63B3D">
        <w:t xml:space="preserve">2016. The Review considered </w:t>
      </w:r>
      <w:r w:rsidRPr="00E63B3D">
        <w:t xml:space="preserve">whether the PRRT </w:t>
      </w:r>
      <w:r w:rsidR="00FC6CC6" w:rsidRPr="00E63B3D">
        <w:t>was</w:t>
      </w:r>
      <w:r w:rsidRPr="00E63B3D">
        <w:t xml:space="preserve"> operating as </w:t>
      </w:r>
      <w:r w:rsidR="00FC6CC6" w:rsidRPr="00E63B3D">
        <w:t>it was originally intended and</w:t>
      </w:r>
      <w:r w:rsidRPr="00E63B3D">
        <w:t xml:space="preserve"> the reasons for </w:t>
      </w:r>
      <w:r w:rsidR="00DC5B94">
        <w:t>a</w:t>
      </w:r>
      <w:r w:rsidR="00DC5B94" w:rsidRPr="00E63B3D">
        <w:t xml:space="preserve"> </w:t>
      </w:r>
      <w:r w:rsidRPr="00E63B3D">
        <w:t xml:space="preserve">rapid decline of Australia's PRRT revenues. </w:t>
      </w:r>
    </w:p>
    <w:p w14:paraId="5CDFFEEA" w14:textId="364F1345" w:rsidR="00A3553F" w:rsidRPr="00E63B3D" w:rsidRDefault="00A3553F" w:rsidP="002825FF">
      <w:pPr>
        <w:pStyle w:val="base-text-paragraph"/>
        <w:keepLines/>
      </w:pPr>
      <w:r w:rsidRPr="00E63B3D">
        <w:t xml:space="preserve">The Callaghan Review received significant input from a wide range of industry and other </w:t>
      </w:r>
      <w:r w:rsidR="00797488" w:rsidRPr="00E63B3D">
        <w:t xml:space="preserve">community stakeholders. The Government released the Review </w:t>
      </w:r>
      <w:r w:rsidR="00D536B6" w:rsidRPr="00E63B3D">
        <w:t>on 28</w:t>
      </w:r>
      <w:r w:rsidRPr="00E63B3D">
        <w:t xml:space="preserve"> April 2017. </w:t>
      </w:r>
    </w:p>
    <w:p w14:paraId="4C20AE34" w14:textId="76F80211" w:rsidR="00A3553F" w:rsidRPr="00E63B3D" w:rsidRDefault="00A3553F" w:rsidP="002825FF">
      <w:pPr>
        <w:pStyle w:val="base-text-paragraph"/>
        <w:keepLines/>
      </w:pPr>
      <w:r w:rsidRPr="00E63B3D">
        <w:t>The Review found that</w:t>
      </w:r>
      <w:r w:rsidR="00F062A4" w:rsidRPr="00E63B3D">
        <w:t>,</w:t>
      </w:r>
      <w:r w:rsidRPr="00E63B3D">
        <w:t xml:space="preserve"> while the PRRT remained the preferred way to achieve a fair return to the community without discouraging investment</w:t>
      </w:r>
      <w:r w:rsidR="00F062A4" w:rsidRPr="00E63B3D">
        <w:t>,</w:t>
      </w:r>
      <w:r w:rsidRPr="00E63B3D">
        <w:t xml:space="preserve"> ‘changes should be made to PRRT arrangements to make them more compatible with the developments that have taken place in the Australian oil and gas industry.’</w:t>
      </w:r>
    </w:p>
    <w:p w14:paraId="599FDE27" w14:textId="2C1CD759" w:rsidR="00A3553F" w:rsidRPr="00E63B3D" w:rsidRDefault="00A3553F" w:rsidP="002825FF">
      <w:pPr>
        <w:pStyle w:val="base-text-paragraph"/>
        <w:keepLines/>
      </w:pPr>
      <w:r w:rsidRPr="00E63B3D">
        <w:t>For example, since the PRRT was introduced in 1988</w:t>
      </w:r>
      <w:r w:rsidR="00483788">
        <w:t>,</w:t>
      </w:r>
      <w:r w:rsidRPr="00E63B3D">
        <w:t xml:space="preserve"> the nature of petroleum production has changed, shifting from crude oil and condensate to a more sig</w:t>
      </w:r>
      <w:r w:rsidR="005D4092" w:rsidRPr="00E63B3D">
        <w:t>nificant role for LNG. O</w:t>
      </w:r>
      <w:r w:rsidRPr="00E63B3D">
        <w:t xml:space="preserve">ver the past 30 years, oil and condensate production has nearly halved, and </w:t>
      </w:r>
      <w:r w:rsidR="006666FF" w:rsidRPr="00E63B3D">
        <w:t>LNG</w:t>
      </w:r>
      <w:r w:rsidRPr="00E63B3D">
        <w:t xml:space="preserve"> production has increased over sevenfold.</w:t>
      </w:r>
    </w:p>
    <w:p w14:paraId="325B17F5" w14:textId="2BDD0DC0" w:rsidR="005D4092" w:rsidRPr="00E63B3D" w:rsidRDefault="005D4092" w:rsidP="002825FF">
      <w:pPr>
        <w:pStyle w:val="base-text-paragraph"/>
        <w:keepLines/>
      </w:pPr>
      <w:r w:rsidRPr="00E63B3D">
        <w:t>LNG projects are characterised by a considerably longer development timeline, increasing the delay betw</w:t>
      </w:r>
      <w:r w:rsidR="00F062A4" w:rsidRPr="00E63B3D">
        <w:t xml:space="preserve">een an initial investment and </w:t>
      </w:r>
      <w:r w:rsidRPr="00E63B3D">
        <w:t>positive cash flow. This, in turn</w:t>
      </w:r>
      <w:r w:rsidR="00934278" w:rsidRPr="00E63B3D">
        <w:t>,</w:t>
      </w:r>
      <w:r w:rsidRPr="00E63B3D">
        <w:t xml:space="preserve"> increases the total uplift applied to expenditure over the course of a project.</w:t>
      </w:r>
    </w:p>
    <w:p w14:paraId="146751D4" w14:textId="50E17731" w:rsidR="00FC6CC6" w:rsidRPr="00E63B3D" w:rsidRDefault="00FC6CC6" w:rsidP="002825FF">
      <w:pPr>
        <w:pStyle w:val="base-text-paragraph"/>
        <w:keepLines/>
      </w:pPr>
      <w:r w:rsidRPr="00E63B3D">
        <w:t>In this context, the Review identified that PRRT uplift rates for deductible expenditure are now overly generous.</w:t>
      </w:r>
    </w:p>
    <w:p w14:paraId="3CA5AB8A" w14:textId="1227AD95" w:rsidR="00A3553F" w:rsidRPr="00E63B3D" w:rsidRDefault="00FC2E07" w:rsidP="002825FF">
      <w:pPr>
        <w:pStyle w:val="Heading3"/>
        <w:keepLines/>
      </w:pPr>
      <w:r w:rsidRPr="00E63B3D">
        <w:t>Government response – tranche one</w:t>
      </w:r>
    </w:p>
    <w:p w14:paraId="013AF4D2" w14:textId="77777777" w:rsidR="00934278" w:rsidRPr="00E63B3D" w:rsidRDefault="00934278" w:rsidP="002825FF">
      <w:pPr>
        <w:pStyle w:val="base-text-paragraph"/>
        <w:keepLines/>
        <w:numPr>
          <w:ilvl w:val="1"/>
          <w:numId w:val="50"/>
        </w:numPr>
      </w:pPr>
      <w:r w:rsidRPr="00E63B3D">
        <w:t xml:space="preserve">On 2 November 2018, the Government released its final response to the Review. The Government's response is available on the Treasury website: </w:t>
      </w:r>
      <w:hyperlink r:id="rId31" w:history="1">
        <w:r w:rsidRPr="00E63B3D">
          <w:rPr>
            <w:rStyle w:val="Hyperlink"/>
            <w:color w:val="auto"/>
          </w:rPr>
          <w:t>www.treasury.gov.au</w:t>
        </w:r>
      </w:hyperlink>
      <w:r w:rsidRPr="00E63B3D">
        <w:t xml:space="preserve">. </w:t>
      </w:r>
    </w:p>
    <w:p w14:paraId="5F19835B" w14:textId="691665DA" w:rsidR="00390F75" w:rsidRPr="00E63B3D" w:rsidRDefault="001C42D3" w:rsidP="003229AA">
      <w:pPr>
        <w:pStyle w:val="base-text-paragraph"/>
        <w:keepLines/>
      </w:pPr>
      <w:r w:rsidRPr="00E63B3D">
        <w:lastRenderedPageBreak/>
        <w:t xml:space="preserve">The Government is implementing its response to the Review in two tranches of legislation. The first tranche of legislation </w:t>
      </w:r>
      <w:r w:rsidR="00D4648B" w:rsidRPr="00E63B3D">
        <w:t xml:space="preserve">is contained in this </w:t>
      </w:r>
      <w:r w:rsidR="003229AA" w:rsidRPr="003229AA">
        <w:t xml:space="preserve">Exposure Draft </w:t>
      </w:r>
      <w:r w:rsidR="00D4648B" w:rsidRPr="00E63B3D">
        <w:t xml:space="preserve">and </w:t>
      </w:r>
      <w:r w:rsidR="00390F75" w:rsidRPr="00E63B3D">
        <w:t>will:</w:t>
      </w:r>
    </w:p>
    <w:p w14:paraId="10622DA7" w14:textId="17AB047B" w:rsidR="00390F75" w:rsidRPr="00E63B3D" w:rsidRDefault="001C42D3" w:rsidP="002825FF">
      <w:pPr>
        <w:pStyle w:val="dotpoint"/>
        <w:keepLines/>
      </w:pPr>
      <w:r w:rsidRPr="00E63B3D">
        <w:t xml:space="preserve">lower the uplift rates that apply to </w:t>
      </w:r>
      <w:r w:rsidR="002B7A42">
        <w:t xml:space="preserve">certain categories of </w:t>
      </w:r>
      <w:r w:rsidRPr="00E63B3D">
        <w:t>carried-forward expenditure</w:t>
      </w:r>
      <w:r w:rsidR="00390F75" w:rsidRPr="00E63B3D">
        <w:t>; and</w:t>
      </w:r>
    </w:p>
    <w:p w14:paraId="28B20137" w14:textId="7BBF715F" w:rsidR="001C42D3" w:rsidRPr="00E63B3D" w:rsidRDefault="001C42D3" w:rsidP="002825FF">
      <w:pPr>
        <w:pStyle w:val="dotpoint"/>
        <w:keepLines/>
      </w:pPr>
      <w:r w:rsidRPr="00E63B3D">
        <w:t>remove onshore</w:t>
      </w:r>
      <w:r w:rsidR="00A80D24" w:rsidRPr="00E63B3D">
        <w:t xml:space="preserve"> petroleum</w:t>
      </w:r>
      <w:r w:rsidRPr="00E63B3D">
        <w:t xml:space="preserve"> projects from the scope of the PRRT (see Chapter 2). </w:t>
      </w:r>
    </w:p>
    <w:p w14:paraId="1798D236" w14:textId="76687377" w:rsidR="000D5089" w:rsidRPr="00E63B3D" w:rsidRDefault="00FC2E07" w:rsidP="002825FF">
      <w:pPr>
        <w:pStyle w:val="Heading3"/>
        <w:keepLines/>
      </w:pPr>
      <w:r w:rsidRPr="00E63B3D">
        <w:t>Government response – tranche two</w:t>
      </w:r>
    </w:p>
    <w:p w14:paraId="646CDE4E" w14:textId="6980E5A5" w:rsidR="000D5089" w:rsidRPr="00E63B3D" w:rsidRDefault="000D5089" w:rsidP="002825FF">
      <w:pPr>
        <w:pStyle w:val="base-text-paragraph"/>
        <w:keepLines/>
      </w:pPr>
      <w:r w:rsidRPr="00E63B3D">
        <w:t>The second tranche o</w:t>
      </w:r>
      <w:r w:rsidR="00A06E3B" w:rsidRPr="00E63B3D">
        <w:t>f amendments</w:t>
      </w:r>
      <w:r w:rsidRPr="00E63B3D">
        <w:t xml:space="preserve"> will implement the follow</w:t>
      </w:r>
      <w:r w:rsidR="001C42D3" w:rsidRPr="00E63B3D">
        <w:t>ing</w:t>
      </w:r>
      <w:r w:rsidRPr="00E63B3D">
        <w:t xml:space="preserve"> changes announced in the Government response:</w:t>
      </w:r>
    </w:p>
    <w:p w14:paraId="3F994E99" w14:textId="26A0D249" w:rsidR="000D5089" w:rsidRPr="00E63B3D" w:rsidRDefault="00D536B6" w:rsidP="00E01077">
      <w:pPr>
        <w:pStyle w:val="dotpoint"/>
      </w:pPr>
      <w:r w:rsidRPr="00E63B3D">
        <w:t>i</w:t>
      </w:r>
      <w:r w:rsidR="000D5089" w:rsidRPr="00E63B3D">
        <w:t>mproved rules will be introduced to identify petroleum projects to ensure the true scope</w:t>
      </w:r>
      <w:r w:rsidR="00AF1427" w:rsidRPr="00E63B3D">
        <w:t xml:space="preserve"> of each project is recognised;</w:t>
      </w:r>
    </w:p>
    <w:p w14:paraId="77690B83" w14:textId="0C599897" w:rsidR="000D5089" w:rsidRPr="00E63B3D" w:rsidRDefault="00D536B6" w:rsidP="00E01077">
      <w:pPr>
        <w:pStyle w:val="dotpoint"/>
      </w:pPr>
      <w:r w:rsidRPr="00E63B3D">
        <w:t>m</w:t>
      </w:r>
      <w:r w:rsidR="000D5089" w:rsidRPr="00E63B3D">
        <w:t>ore corporate groups will be able to access the benefits of grouping, including group lodgement obligations and broader acces</w:t>
      </w:r>
      <w:r w:rsidR="00AF1427" w:rsidRPr="00E63B3D">
        <w:t>s to functional currency rules;</w:t>
      </w:r>
    </w:p>
    <w:p w14:paraId="13EB88D1" w14:textId="44E0E669" w:rsidR="000D5089" w:rsidRPr="00E63B3D" w:rsidRDefault="00D536B6" w:rsidP="00E01077">
      <w:pPr>
        <w:pStyle w:val="dotpoint"/>
      </w:pPr>
      <w:r w:rsidRPr="00E63B3D">
        <w:t>g</w:t>
      </w:r>
      <w:r w:rsidR="000D5089" w:rsidRPr="00E63B3D">
        <w:t>reater certainty will be created for deductible expenditure arising before a</w:t>
      </w:r>
      <w:r w:rsidR="00A80D24" w:rsidRPr="00E63B3D">
        <w:t xml:space="preserve"> petroleum</w:t>
      </w:r>
      <w:r w:rsidR="000D5089" w:rsidRPr="00E63B3D">
        <w:t xml:space="preserve"> project starts to derive assessable receipts by taxpayers being required to lodge annual PRRT returns, and </w:t>
      </w:r>
      <w:r w:rsidR="00B95018">
        <w:t>receive</w:t>
      </w:r>
      <w:r w:rsidR="00B95018" w:rsidRPr="00E63B3D">
        <w:t xml:space="preserve"> </w:t>
      </w:r>
      <w:r w:rsidR="000D5089" w:rsidRPr="00E63B3D">
        <w:t xml:space="preserve">assessments, after they start holding an interest in an exploration permit, retention lease or production </w:t>
      </w:r>
      <w:r w:rsidR="0088014A" w:rsidRPr="00E63B3D">
        <w:t>licence</w:t>
      </w:r>
      <w:r w:rsidR="000D5089" w:rsidRPr="00E63B3D">
        <w:t xml:space="preserve"> rather than when they start generating assessable receipts from production</w:t>
      </w:r>
      <w:r w:rsidR="00AF1427" w:rsidRPr="00E63B3D">
        <w:t>;</w:t>
      </w:r>
    </w:p>
    <w:p w14:paraId="4DEC86E0" w14:textId="15E7C284" w:rsidR="000D5089" w:rsidRDefault="00D536B6" w:rsidP="00E01077">
      <w:pPr>
        <w:pStyle w:val="dotpoint"/>
      </w:pPr>
      <w:r w:rsidRPr="00E63B3D">
        <w:t>t</w:t>
      </w:r>
      <w:r w:rsidR="000D5089" w:rsidRPr="00E63B3D">
        <w:t xml:space="preserve">axpayers will be able to use a substituted accounting period </w:t>
      </w:r>
      <w:r w:rsidR="00483788" w:rsidRPr="00E63B3D">
        <w:t>or PRRT purposes</w:t>
      </w:r>
      <w:r w:rsidR="00483788">
        <w:t xml:space="preserve"> if</w:t>
      </w:r>
      <w:r w:rsidR="00483788" w:rsidRPr="00E63B3D">
        <w:t xml:space="preserve"> </w:t>
      </w:r>
      <w:r w:rsidR="000D5089" w:rsidRPr="00E63B3D">
        <w:t xml:space="preserve">they have </w:t>
      </w:r>
      <w:r w:rsidR="00AF1427" w:rsidRPr="00E63B3D">
        <w:t xml:space="preserve">adopted </w:t>
      </w:r>
      <w:r w:rsidR="00483788">
        <w:t>the period for</w:t>
      </w:r>
      <w:r w:rsidR="00483788" w:rsidRPr="00E63B3D">
        <w:t xml:space="preserve"> </w:t>
      </w:r>
      <w:r w:rsidR="00AF1427" w:rsidRPr="00E63B3D">
        <w:t>income tax purposes</w:t>
      </w:r>
      <w:r w:rsidR="00B95018" w:rsidRPr="00E63B3D">
        <w:t xml:space="preserve"> </w:t>
      </w:r>
      <w:r w:rsidR="00AF1427" w:rsidRPr="00E63B3D">
        <w:t>;</w:t>
      </w:r>
    </w:p>
    <w:p w14:paraId="28E79B48" w14:textId="58EE614D" w:rsidR="00B95018" w:rsidRPr="00E63B3D" w:rsidRDefault="00B95018" w:rsidP="00E01077">
      <w:pPr>
        <w:pStyle w:val="dotpoint"/>
      </w:pPr>
      <w:r>
        <w:t xml:space="preserve">a new power for the </w:t>
      </w:r>
      <w:r w:rsidRPr="009451AD">
        <w:t>Commissioner of Taxation to administratively exempt projects from PRRT obligations where they are clearly unlikely to pay PRRT in the foreseeable future</w:t>
      </w:r>
      <w:r>
        <w:t xml:space="preserve"> until they start production or PRRT becomes payable;</w:t>
      </w:r>
    </w:p>
    <w:p w14:paraId="05FF2E1F" w14:textId="67DEFED7" w:rsidR="000D5089" w:rsidRPr="00E63B3D" w:rsidRDefault="00D536B6" w:rsidP="00E01077">
      <w:pPr>
        <w:pStyle w:val="dotpoint"/>
      </w:pPr>
      <w:r w:rsidRPr="00E63B3D">
        <w:t>t</w:t>
      </w:r>
      <w:r w:rsidR="000D5089" w:rsidRPr="00E63B3D">
        <w:t xml:space="preserve">he PRRT general anti-avoidance provisions will be </w:t>
      </w:r>
      <w:r w:rsidRPr="00E63B3D">
        <w:t>strengthened</w:t>
      </w:r>
      <w:r w:rsidR="000D5089" w:rsidRPr="00E63B3D">
        <w:t xml:space="preserve"> to reflect changes made to Part IVA of the </w:t>
      </w:r>
      <w:r w:rsidR="000D5089" w:rsidRPr="00E63B3D">
        <w:rPr>
          <w:i/>
        </w:rPr>
        <w:t>I</w:t>
      </w:r>
      <w:r w:rsidRPr="00E63B3D">
        <w:rPr>
          <w:i/>
        </w:rPr>
        <w:t>ncome Tax Assessment Act 1936</w:t>
      </w:r>
      <w:r w:rsidR="000D5089" w:rsidRPr="00E63B3D">
        <w:t xml:space="preserve">. </w:t>
      </w:r>
    </w:p>
    <w:p w14:paraId="10F6D1F9" w14:textId="26DCD21F" w:rsidR="001C42D3" w:rsidRPr="00E63B3D" w:rsidRDefault="00DC5B94" w:rsidP="002825FF">
      <w:pPr>
        <w:pStyle w:val="base-text-paragraph"/>
        <w:keepLines/>
      </w:pPr>
      <w:r>
        <w:t>The Government intends to progress</w:t>
      </w:r>
      <w:r w:rsidR="00B377E6" w:rsidRPr="00E63B3D">
        <w:t xml:space="preserve"> t</w:t>
      </w:r>
      <w:r w:rsidR="00FC2E07" w:rsidRPr="00E63B3D">
        <w:t>he</w:t>
      </w:r>
      <w:r w:rsidR="00AE7CCB" w:rsidRPr="00E63B3D">
        <w:t xml:space="preserve"> second tranche of legislation</w:t>
      </w:r>
      <w:r w:rsidR="00FC2E07" w:rsidRPr="00E63B3D">
        <w:t xml:space="preserve"> </w:t>
      </w:r>
      <w:r w:rsidR="00B377E6" w:rsidRPr="00E63B3D">
        <w:t xml:space="preserve">in </w:t>
      </w:r>
      <w:r w:rsidR="00FC2E07" w:rsidRPr="00E63B3D">
        <w:t xml:space="preserve">2019. </w:t>
      </w:r>
      <w:r>
        <w:t xml:space="preserve">The Government also intends to progress consequential amendments to regulations in 2019. </w:t>
      </w:r>
    </w:p>
    <w:p w14:paraId="4673E587" w14:textId="3E77F19D" w:rsidR="000D5089" w:rsidRPr="00E63B3D" w:rsidRDefault="00D536B6" w:rsidP="002825FF">
      <w:pPr>
        <w:pStyle w:val="Heading3"/>
        <w:keepLines/>
      </w:pPr>
      <w:r w:rsidRPr="00E63B3D">
        <w:lastRenderedPageBreak/>
        <w:t>Review of Gas Transfer Pricing Regulations</w:t>
      </w:r>
    </w:p>
    <w:p w14:paraId="5D812511" w14:textId="722275B9" w:rsidR="00D536B6" w:rsidRPr="00E63B3D" w:rsidRDefault="00AF1427" w:rsidP="002825FF">
      <w:pPr>
        <w:pStyle w:val="base-text-paragraph"/>
        <w:keepLines/>
      </w:pPr>
      <w:r w:rsidRPr="00E63B3D">
        <w:t>Further to these legislative reforms, t</w:t>
      </w:r>
      <w:r w:rsidR="001C42D3" w:rsidRPr="00E63B3D">
        <w:t>he Treasury will commence a review into the regulations that determine the price of gas in integrated LNG projects for PRRT purposes. The Treasury will consult closely with the industry and community.</w:t>
      </w:r>
      <w:r w:rsidR="001610E9" w:rsidRPr="00E63B3D">
        <w:t xml:space="preserve"> The Treasury will consult and report back to Government within 12 to 18 months.</w:t>
      </w:r>
    </w:p>
    <w:p w14:paraId="23D14109" w14:textId="77777777" w:rsidR="00B17774" w:rsidRPr="00E63B3D" w:rsidRDefault="00B17774" w:rsidP="002825FF">
      <w:pPr>
        <w:pStyle w:val="Heading2"/>
        <w:keepLines/>
      </w:pPr>
      <w:r w:rsidRPr="00E63B3D">
        <w:t>Summary of new law</w:t>
      </w:r>
    </w:p>
    <w:p w14:paraId="61B4F169" w14:textId="449BD07F" w:rsidR="001C42D3" w:rsidRPr="00E63B3D" w:rsidRDefault="001C42D3" w:rsidP="002825FF">
      <w:pPr>
        <w:pStyle w:val="base-text-paragraph"/>
        <w:keepLines/>
      </w:pPr>
      <w:r w:rsidRPr="00006789">
        <w:fldChar w:fldCharType="begin"/>
      </w:r>
      <w:r w:rsidRPr="00E63B3D">
        <w:instrText xml:space="preserve"> REF _Ref529542295 \h </w:instrText>
      </w:r>
      <w:r w:rsidRPr="00006789">
        <w:fldChar w:fldCharType="separate"/>
      </w:r>
      <w:r w:rsidR="00F95382" w:rsidRPr="00E63B3D">
        <w:t xml:space="preserve">Schedule 1 to the </w:t>
      </w:r>
      <w:r w:rsidR="00F95382" w:rsidRPr="003229AA">
        <w:t xml:space="preserve">Exposure Draft </w:t>
      </w:r>
      <w:r w:rsidR="00F95382" w:rsidRPr="00E63B3D">
        <w:t xml:space="preserve">amends the Act to reduce the uplift rates that apply to </w:t>
      </w:r>
      <w:r w:rsidR="00F95382">
        <w:t xml:space="preserve">certain categories of </w:t>
      </w:r>
      <w:r w:rsidR="00F95382" w:rsidRPr="00E63B3D">
        <w:t>carried-forward expenditure.</w:t>
      </w:r>
      <w:r w:rsidRPr="00006789">
        <w:fldChar w:fldCharType="end"/>
      </w:r>
    </w:p>
    <w:p w14:paraId="6CA72BF6" w14:textId="74D140CF" w:rsidR="001610E9" w:rsidRPr="00E63B3D" w:rsidRDefault="001610E9" w:rsidP="002825FF">
      <w:pPr>
        <w:pStyle w:val="base-text-paragraph"/>
        <w:keepLines/>
      </w:pPr>
      <w:r w:rsidRPr="00E63B3D">
        <w:t xml:space="preserve">For </w:t>
      </w:r>
      <w:r w:rsidR="00A80D24" w:rsidRPr="00E63B3D">
        <w:t>petroleum</w:t>
      </w:r>
      <w:r w:rsidRPr="00E63B3D">
        <w:t xml:space="preserve"> projects that successfully apply for a production licence </w:t>
      </w:r>
      <w:r w:rsidR="002B7A42">
        <w:t xml:space="preserve">from </w:t>
      </w:r>
      <w:bookmarkStart w:id="7" w:name="_GoBack"/>
      <w:bookmarkEnd w:id="7"/>
      <w:r w:rsidRPr="00E63B3D">
        <w:t>1 July 2019</w:t>
      </w:r>
      <w:r w:rsidR="00483788">
        <w:t xml:space="preserve"> (based on the date specified in a production licence notice)</w:t>
      </w:r>
      <w:r w:rsidRPr="00E63B3D">
        <w:t xml:space="preserve">, the general expenditure uplift rate will be </w:t>
      </w:r>
      <w:r w:rsidR="00AF1427" w:rsidRPr="00E63B3D">
        <w:t>the LTBR</w:t>
      </w:r>
      <w:r w:rsidRPr="00E63B3D">
        <w:t>+5</w:t>
      </w:r>
      <w:r w:rsidR="00B45643">
        <w:t> </w:t>
      </w:r>
      <w:r w:rsidRPr="00E63B3D">
        <w:t xml:space="preserve">percentage points until </w:t>
      </w:r>
      <w:r w:rsidR="00B45643">
        <w:t>the year ten</w:t>
      </w:r>
      <w:r w:rsidRPr="00E63B3D">
        <w:t xml:space="preserve"> years from the financial year in which a project first </w:t>
      </w:r>
      <w:r w:rsidR="008F63D5" w:rsidRPr="00E63B3D">
        <w:t>derives</w:t>
      </w:r>
      <w:r w:rsidRPr="00E63B3D">
        <w:t xml:space="preserve"> assessable petroleum receipts, after which the uplift rate for remaining deductions will </w:t>
      </w:r>
      <w:r w:rsidR="00B45643">
        <w:t>equal the</w:t>
      </w:r>
      <w:r w:rsidR="00B45643" w:rsidRPr="00E63B3D">
        <w:t xml:space="preserve"> </w:t>
      </w:r>
      <w:r w:rsidRPr="00E63B3D">
        <w:t xml:space="preserve">LTBR. </w:t>
      </w:r>
    </w:p>
    <w:p w14:paraId="644E7C7E" w14:textId="201963F7" w:rsidR="001610E9" w:rsidRPr="00E63B3D" w:rsidRDefault="001610E9" w:rsidP="002825FF">
      <w:pPr>
        <w:pStyle w:val="base-text-paragraph"/>
        <w:keepLines/>
      </w:pPr>
      <w:r w:rsidRPr="00E63B3D">
        <w:t xml:space="preserve">For exploration expenditure incurred or transferred from 1 July 2019, the uplift rate will be LTBR+5 percentage points for </w:t>
      </w:r>
      <w:r w:rsidR="00B45643">
        <w:t>ten</w:t>
      </w:r>
      <w:r w:rsidR="00B45643" w:rsidRPr="00E63B3D">
        <w:t xml:space="preserve"> </w:t>
      </w:r>
      <w:r w:rsidRPr="00E63B3D">
        <w:t xml:space="preserve">years from the time the expenditure </w:t>
      </w:r>
      <w:r w:rsidR="00AF1427" w:rsidRPr="00E63B3D">
        <w:t>is incurred, with any remaining</w:t>
      </w:r>
      <w:r w:rsidRPr="00E63B3D">
        <w:t xml:space="preserve"> amount maintained in real terms by applying the GDP </w:t>
      </w:r>
      <w:r w:rsidR="00C05FAE">
        <w:t>factor</w:t>
      </w:r>
      <w:r w:rsidR="00C05FAE" w:rsidRPr="00E63B3D">
        <w:t xml:space="preserve"> </w:t>
      </w:r>
      <w:r w:rsidRPr="00E63B3D">
        <w:t>until the expenditure is deducted.</w:t>
      </w:r>
    </w:p>
    <w:p w14:paraId="320ADED7" w14:textId="091CAE49" w:rsidR="001610E9" w:rsidRPr="00E63B3D" w:rsidRDefault="001610E9" w:rsidP="002825FF">
      <w:pPr>
        <w:pStyle w:val="base-text-paragraph"/>
        <w:keepLines/>
      </w:pPr>
      <w:r w:rsidRPr="00E63B3D">
        <w:t xml:space="preserve">Where exploration expenditure incurred before 1 July 2019 is deducted within a </w:t>
      </w:r>
      <w:r w:rsidR="00A80D24" w:rsidRPr="00E63B3D">
        <w:t xml:space="preserve">petroleum </w:t>
      </w:r>
      <w:r w:rsidRPr="00E63B3D">
        <w:t>projec</w:t>
      </w:r>
      <w:r w:rsidR="001A747E" w:rsidRPr="00E63B3D">
        <w:t>t,</w:t>
      </w:r>
      <w:r w:rsidRPr="00E63B3D">
        <w:t xml:space="preserve"> the </w:t>
      </w:r>
      <w:r w:rsidR="001A747E" w:rsidRPr="00E63B3D">
        <w:t xml:space="preserve">current uplift rate equal to the </w:t>
      </w:r>
      <w:r w:rsidRPr="00E63B3D">
        <w:t xml:space="preserve">LTBR+15 percentage </w:t>
      </w:r>
      <w:r w:rsidR="001A747E" w:rsidRPr="00E63B3D">
        <w:t>points</w:t>
      </w:r>
      <w:r w:rsidR="00A80D24" w:rsidRPr="00E63B3D">
        <w:t xml:space="preserve"> </w:t>
      </w:r>
      <w:r w:rsidR="002B7A42">
        <w:t xml:space="preserve">(if it currently applies) </w:t>
      </w:r>
      <w:r w:rsidR="00A80D24" w:rsidRPr="00E63B3D">
        <w:t xml:space="preserve">will </w:t>
      </w:r>
      <w:r w:rsidR="001A747E" w:rsidRPr="00E63B3D">
        <w:t xml:space="preserve">continue to </w:t>
      </w:r>
      <w:r w:rsidR="00A80D24" w:rsidRPr="00E63B3D">
        <w:t>apply until 1 </w:t>
      </w:r>
      <w:r w:rsidRPr="00E63B3D">
        <w:t>July 2019</w:t>
      </w:r>
      <w:r w:rsidR="00AF1427" w:rsidRPr="00E63B3D">
        <w:t>.</w:t>
      </w:r>
      <w:r w:rsidRPr="00E63B3D">
        <w:t xml:space="preserve"> </w:t>
      </w:r>
      <w:r w:rsidR="00AF1427" w:rsidRPr="00E63B3D">
        <w:t>From</w:t>
      </w:r>
      <w:r w:rsidRPr="00E63B3D">
        <w:t xml:space="preserve"> </w:t>
      </w:r>
      <w:r w:rsidR="00AF1427" w:rsidRPr="00E63B3D">
        <w:t xml:space="preserve">that date, </w:t>
      </w:r>
      <w:r w:rsidRPr="00E63B3D">
        <w:t xml:space="preserve">the uplift rate </w:t>
      </w:r>
      <w:r w:rsidR="00AF1427" w:rsidRPr="00E63B3D">
        <w:t>equal to the</w:t>
      </w:r>
      <w:r w:rsidRPr="00E63B3D">
        <w:t xml:space="preserve"> LTBR+5</w:t>
      </w:r>
      <w:r w:rsidR="00483788">
        <w:t> </w:t>
      </w:r>
      <w:r w:rsidR="008639DB" w:rsidRPr="00E63B3D">
        <w:t>percentage points</w:t>
      </w:r>
      <w:r w:rsidRPr="00E63B3D">
        <w:t xml:space="preserve"> will apply.</w:t>
      </w:r>
    </w:p>
    <w:p w14:paraId="2DB8C3BF" w14:textId="24D8B034" w:rsidR="00B17774" w:rsidRPr="00E63B3D" w:rsidRDefault="001C42D3" w:rsidP="002825FF">
      <w:pPr>
        <w:pStyle w:val="base-text-paragraph"/>
        <w:keepLines/>
      </w:pPr>
      <w:r w:rsidRPr="00E63B3D">
        <w:t xml:space="preserve">Lower uplift rates will limit the scope for excessive compounding of deductions. </w:t>
      </w:r>
      <w:r w:rsidR="00A3553F" w:rsidRPr="00E63B3D">
        <w:t>These changes will ensure the production of petroleum resources is taxed appropriately while continuing to support the development of Australia’s LNG industry.</w:t>
      </w:r>
    </w:p>
    <w:p w14:paraId="243A492F" w14:textId="77777777" w:rsidR="00B17774" w:rsidRPr="00E63B3D" w:rsidRDefault="00B17774" w:rsidP="002825FF">
      <w:pPr>
        <w:pStyle w:val="Heading2with18pointafter"/>
        <w:keepLines/>
      </w:pPr>
      <w:r w:rsidRPr="00E63B3D">
        <w:lastRenderedPageBreak/>
        <w:t>Comparison of key features of new law and current law</w:t>
      </w:r>
    </w:p>
    <w:tbl>
      <w:tblPr>
        <w:tblW w:w="0" w:type="auto"/>
        <w:tblInd w:w="1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75"/>
        <w:gridCol w:w="3276"/>
      </w:tblGrid>
      <w:tr w:rsidR="00B17774" w:rsidRPr="00E63B3D" w14:paraId="3BC6A9C0" w14:textId="77777777" w:rsidTr="001610E9">
        <w:trPr>
          <w:cantSplit/>
          <w:tblHeader/>
        </w:trPr>
        <w:tc>
          <w:tcPr>
            <w:tcW w:w="3275" w:type="dxa"/>
          </w:tcPr>
          <w:p w14:paraId="6B165EE5" w14:textId="77777777" w:rsidR="00B17774" w:rsidRPr="00006789" w:rsidRDefault="00B17774" w:rsidP="002825FF">
            <w:pPr>
              <w:pStyle w:val="tableheaderwithintable"/>
              <w:keepLines/>
              <w:rPr>
                <w:lang w:eastAsia="en-US"/>
              </w:rPr>
            </w:pPr>
            <w:r w:rsidRPr="00006789">
              <w:rPr>
                <w:lang w:eastAsia="en-US"/>
              </w:rPr>
              <w:t>New law</w:t>
            </w:r>
          </w:p>
        </w:tc>
        <w:tc>
          <w:tcPr>
            <w:tcW w:w="3276" w:type="dxa"/>
          </w:tcPr>
          <w:p w14:paraId="54437AB1" w14:textId="77777777" w:rsidR="00B17774" w:rsidRPr="00006789" w:rsidRDefault="00B17774" w:rsidP="002825FF">
            <w:pPr>
              <w:pStyle w:val="tableheaderwithintable"/>
              <w:keepLines/>
              <w:rPr>
                <w:lang w:eastAsia="en-US"/>
              </w:rPr>
            </w:pPr>
            <w:r w:rsidRPr="00006789">
              <w:rPr>
                <w:lang w:eastAsia="en-US"/>
              </w:rPr>
              <w:t>Current law</w:t>
            </w:r>
          </w:p>
        </w:tc>
      </w:tr>
      <w:tr w:rsidR="00193308" w:rsidRPr="00E63B3D" w14:paraId="25268337" w14:textId="77777777" w:rsidTr="00AD3553">
        <w:trPr>
          <w:cantSplit/>
        </w:trPr>
        <w:tc>
          <w:tcPr>
            <w:tcW w:w="6551" w:type="dxa"/>
            <w:gridSpan w:val="2"/>
          </w:tcPr>
          <w:p w14:paraId="18483503" w14:textId="302CF5A9" w:rsidR="00193308" w:rsidRPr="00006789" w:rsidRDefault="00193308" w:rsidP="002825FF">
            <w:pPr>
              <w:pStyle w:val="tableheaderwithintable"/>
              <w:keepLines/>
              <w:rPr>
                <w:lang w:eastAsia="en-US"/>
              </w:rPr>
            </w:pPr>
            <w:r w:rsidRPr="00006789">
              <w:rPr>
                <w:lang w:eastAsia="en-US"/>
              </w:rPr>
              <w:t>Pre-July 1990 expenditure</w:t>
            </w:r>
          </w:p>
        </w:tc>
      </w:tr>
      <w:tr w:rsidR="00193308" w:rsidRPr="00E63B3D" w14:paraId="7A592440" w14:textId="77777777" w:rsidTr="00AD3553">
        <w:trPr>
          <w:cantSplit/>
        </w:trPr>
        <w:tc>
          <w:tcPr>
            <w:tcW w:w="3275" w:type="dxa"/>
          </w:tcPr>
          <w:p w14:paraId="5184A7A0" w14:textId="4A24AAFB" w:rsidR="00193308" w:rsidRPr="00006789" w:rsidRDefault="00193308" w:rsidP="002825FF">
            <w:pPr>
              <w:pStyle w:val="tabletext"/>
              <w:keepLines/>
              <w:rPr>
                <w:lang w:eastAsia="en-US"/>
              </w:rPr>
            </w:pPr>
            <w:r w:rsidRPr="00006789">
              <w:rPr>
                <w:lang w:eastAsia="en-US"/>
              </w:rPr>
              <w:t>No change</w:t>
            </w:r>
            <w:r w:rsidR="0058162D" w:rsidRPr="00006789">
              <w:rPr>
                <w:lang w:eastAsia="en-US"/>
              </w:rPr>
              <w:t>.</w:t>
            </w:r>
          </w:p>
        </w:tc>
        <w:tc>
          <w:tcPr>
            <w:tcW w:w="3276" w:type="dxa"/>
          </w:tcPr>
          <w:p w14:paraId="691F8C60" w14:textId="7AF57901" w:rsidR="00193308" w:rsidRPr="00006789" w:rsidRDefault="00193308" w:rsidP="002825FF">
            <w:pPr>
              <w:pStyle w:val="tabletext"/>
              <w:keepLines/>
              <w:rPr>
                <w:lang w:eastAsia="en-US"/>
              </w:rPr>
            </w:pPr>
            <w:r w:rsidRPr="00006789">
              <w:rPr>
                <w:lang w:eastAsia="en-US"/>
              </w:rPr>
              <w:t xml:space="preserve">General expenditure (Class 1 ABR general expenditure) and exploration expenditure (Class 1 ABR </w:t>
            </w:r>
            <w:r w:rsidR="0058162D" w:rsidRPr="00006789">
              <w:rPr>
                <w:lang w:eastAsia="en-US"/>
              </w:rPr>
              <w:t xml:space="preserve">exploration expenditure) incurred prior to </w:t>
            </w:r>
            <w:r w:rsidR="002B7A42">
              <w:rPr>
                <w:lang w:eastAsia="en-US"/>
              </w:rPr>
              <w:t xml:space="preserve">1 </w:t>
            </w:r>
            <w:r w:rsidR="0058162D" w:rsidRPr="00006789">
              <w:rPr>
                <w:lang w:eastAsia="en-US"/>
              </w:rPr>
              <w:t xml:space="preserve">July 1990 is subject to an uplift rate equal to </w:t>
            </w:r>
            <w:r w:rsidR="0085661A" w:rsidRPr="00006789">
              <w:rPr>
                <w:lang w:eastAsia="en-US"/>
              </w:rPr>
              <w:t xml:space="preserve">the </w:t>
            </w:r>
            <w:r w:rsidR="0058162D" w:rsidRPr="00006789">
              <w:rPr>
                <w:lang w:eastAsia="en-US"/>
              </w:rPr>
              <w:t>LTBR+15 percentage points.</w:t>
            </w:r>
          </w:p>
        </w:tc>
      </w:tr>
      <w:tr w:rsidR="001610E9" w:rsidRPr="00E63B3D" w14:paraId="4E83BF98" w14:textId="77777777" w:rsidTr="001610E9">
        <w:trPr>
          <w:cantSplit/>
        </w:trPr>
        <w:tc>
          <w:tcPr>
            <w:tcW w:w="6551" w:type="dxa"/>
            <w:gridSpan w:val="2"/>
          </w:tcPr>
          <w:p w14:paraId="5468AB62" w14:textId="083F646C" w:rsidR="001610E9" w:rsidRPr="00006789" w:rsidRDefault="00193308" w:rsidP="002825FF">
            <w:pPr>
              <w:pStyle w:val="tableheaderwithintable"/>
              <w:keepLines/>
              <w:rPr>
                <w:lang w:eastAsia="en-US"/>
              </w:rPr>
            </w:pPr>
            <w:r w:rsidRPr="00006789">
              <w:rPr>
                <w:lang w:eastAsia="en-US"/>
              </w:rPr>
              <w:t>General expenditure</w:t>
            </w:r>
          </w:p>
        </w:tc>
      </w:tr>
      <w:tr w:rsidR="001610E9" w:rsidRPr="00E63B3D" w14:paraId="275F3821" w14:textId="77777777" w:rsidTr="001610E9">
        <w:trPr>
          <w:cantSplit/>
        </w:trPr>
        <w:tc>
          <w:tcPr>
            <w:tcW w:w="3275" w:type="dxa"/>
          </w:tcPr>
          <w:p w14:paraId="01302A5A" w14:textId="7BC03247" w:rsidR="001610E9" w:rsidRPr="00006789" w:rsidRDefault="00193308" w:rsidP="002825FF">
            <w:pPr>
              <w:pStyle w:val="tabletext"/>
              <w:keepLines/>
              <w:rPr>
                <w:lang w:eastAsia="en-US"/>
              </w:rPr>
            </w:pPr>
            <w:r w:rsidRPr="00006789">
              <w:rPr>
                <w:lang w:eastAsia="en-US"/>
              </w:rPr>
              <w:t>No change</w:t>
            </w:r>
            <w:r w:rsidR="0058162D" w:rsidRPr="00006789">
              <w:rPr>
                <w:lang w:eastAsia="en-US"/>
              </w:rPr>
              <w:t>.</w:t>
            </w:r>
          </w:p>
        </w:tc>
        <w:tc>
          <w:tcPr>
            <w:tcW w:w="3276" w:type="dxa"/>
          </w:tcPr>
          <w:p w14:paraId="2FD55D0B" w14:textId="318E234D" w:rsidR="00C856C0" w:rsidRPr="00E63B3D" w:rsidRDefault="001610E9" w:rsidP="002825FF">
            <w:pPr>
              <w:pStyle w:val="tabletext"/>
              <w:keepLines/>
              <w:rPr>
                <w:rFonts w:eastAsia="Arial"/>
              </w:rPr>
            </w:pPr>
            <w:r w:rsidRPr="00006789">
              <w:rPr>
                <w:lang w:eastAsia="en-US"/>
              </w:rPr>
              <w:t xml:space="preserve">General expenditure </w:t>
            </w:r>
            <w:r w:rsidR="00193308" w:rsidRPr="00006789">
              <w:rPr>
                <w:lang w:eastAsia="en-US"/>
              </w:rPr>
              <w:t xml:space="preserve">incurred more than five years prior to a production </w:t>
            </w:r>
            <w:r w:rsidR="0088014A" w:rsidRPr="00E63B3D">
              <w:rPr>
                <w:lang w:eastAsia="en-US"/>
              </w:rPr>
              <w:t>licence</w:t>
            </w:r>
            <w:r w:rsidR="00193308" w:rsidRPr="00006789">
              <w:rPr>
                <w:lang w:eastAsia="en-US"/>
              </w:rPr>
              <w:t xml:space="preserve"> being </w:t>
            </w:r>
            <w:r w:rsidR="00D84645" w:rsidRPr="00006789">
              <w:rPr>
                <w:lang w:eastAsia="en-US"/>
              </w:rPr>
              <w:t>applied for</w:t>
            </w:r>
            <w:r w:rsidR="00193308" w:rsidRPr="00006789">
              <w:rPr>
                <w:lang w:eastAsia="en-US"/>
              </w:rPr>
              <w:t xml:space="preserve"> (</w:t>
            </w:r>
            <w:r w:rsidR="00193308" w:rsidRPr="00E63B3D">
              <w:rPr>
                <w:rFonts w:eastAsia="Arial"/>
              </w:rPr>
              <w:t xml:space="preserve">Class 1 GDP </w:t>
            </w:r>
            <w:r w:rsidR="008F63D5" w:rsidRPr="00CB43DC">
              <w:rPr>
                <w:rFonts w:eastAsia="Arial"/>
              </w:rPr>
              <w:t>f</w:t>
            </w:r>
            <w:r w:rsidR="00193308" w:rsidRPr="00E63B3D">
              <w:rPr>
                <w:rFonts w:eastAsia="Arial"/>
              </w:rPr>
              <w:t xml:space="preserve">actor </w:t>
            </w:r>
            <w:r w:rsidR="008F63D5" w:rsidRPr="00E63B3D">
              <w:rPr>
                <w:rFonts w:eastAsia="Arial"/>
              </w:rPr>
              <w:t>e</w:t>
            </w:r>
            <w:r w:rsidR="00193308" w:rsidRPr="00E63B3D">
              <w:rPr>
                <w:rFonts w:eastAsia="Arial"/>
              </w:rPr>
              <w:t xml:space="preserve">xpenditure) is subject to an uplift rate equal to the GDP factor. </w:t>
            </w:r>
          </w:p>
        </w:tc>
      </w:tr>
      <w:tr w:rsidR="001610E9" w:rsidRPr="00E63B3D" w14:paraId="7712ADE4" w14:textId="77777777" w:rsidTr="008408D5">
        <w:trPr>
          <w:cantSplit/>
          <w:trHeight w:val="3176"/>
        </w:trPr>
        <w:tc>
          <w:tcPr>
            <w:tcW w:w="3275" w:type="dxa"/>
          </w:tcPr>
          <w:p w14:paraId="1755B87E" w14:textId="34ED0A07" w:rsidR="001610E9" w:rsidRPr="00006789" w:rsidRDefault="0058162D" w:rsidP="002825FF">
            <w:pPr>
              <w:pStyle w:val="tabletext"/>
              <w:keepLines/>
              <w:rPr>
                <w:lang w:eastAsia="en-US"/>
              </w:rPr>
            </w:pPr>
            <w:r w:rsidRPr="00006789">
              <w:rPr>
                <w:lang w:eastAsia="en-US"/>
              </w:rPr>
              <w:t xml:space="preserve">No change for existing </w:t>
            </w:r>
            <w:r w:rsidR="00A80D24" w:rsidRPr="00006789">
              <w:rPr>
                <w:lang w:eastAsia="en-US"/>
              </w:rPr>
              <w:t xml:space="preserve">petroleum </w:t>
            </w:r>
            <w:r w:rsidRPr="00006789">
              <w:rPr>
                <w:lang w:eastAsia="en-US"/>
              </w:rPr>
              <w:t xml:space="preserve">projects where the production </w:t>
            </w:r>
            <w:r w:rsidR="0088014A" w:rsidRPr="00E63B3D">
              <w:rPr>
                <w:lang w:eastAsia="en-US"/>
              </w:rPr>
              <w:t>licence</w:t>
            </w:r>
            <w:r w:rsidRPr="00006789">
              <w:rPr>
                <w:lang w:eastAsia="en-US"/>
              </w:rPr>
              <w:t xml:space="preserve"> was applied for prior to 1 July 2019.</w:t>
            </w:r>
          </w:p>
          <w:p w14:paraId="05C253D9" w14:textId="04A68C35" w:rsidR="0058162D" w:rsidRPr="00006789" w:rsidRDefault="0058162D" w:rsidP="002825FF">
            <w:pPr>
              <w:pStyle w:val="tabletext"/>
              <w:keepLines/>
              <w:rPr>
                <w:lang w:eastAsia="en-US"/>
              </w:rPr>
            </w:pPr>
            <w:r w:rsidRPr="00006789">
              <w:rPr>
                <w:lang w:eastAsia="en-US"/>
              </w:rPr>
              <w:t xml:space="preserve">General expenditure incurred </w:t>
            </w:r>
            <w:r w:rsidR="00C856C0" w:rsidRPr="00006789">
              <w:rPr>
                <w:lang w:eastAsia="en-US"/>
              </w:rPr>
              <w:t>less</w:t>
            </w:r>
            <w:r w:rsidRPr="00006789">
              <w:rPr>
                <w:lang w:eastAsia="en-US"/>
              </w:rPr>
              <w:t xml:space="preserve"> than five years prior to a production </w:t>
            </w:r>
            <w:r w:rsidR="0088014A" w:rsidRPr="00E63B3D">
              <w:rPr>
                <w:lang w:eastAsia="en-US"/>
              </w:rPr>
              <w:t>licence</w:t>
            </w:r>
            <w:r w:rsidRPr="00006789">
              <w:rPr>
                <w:lang w:eastAsia="en-US"/>
              </w:rPr>
              <w:t xml:space="preserve"> being </w:t>
            </w:r>
            <w:r w:rsidR="00D84645" w:rsidRPr="00006789">
              <w:rPr>
                <w:lang w:eastAsia="en-US"/>
              </w:rPr>
              <w:t>applied for</w:t>
            </w:r>
            <w:r w:rsidRPr="00006789">
              <w:rPr>
                <w:lang w:eastAsia="en-US"/>
              </w:rPr>
              <w:t xml:space="preserve"> in relation to a new </w:t>
            </w:r>
            <w:r w:rsidR="00A80D24" w:rsidRPr="00006789">
              <w:rPr>
                <w:lang w:eastAsia="en-US"/>
              </w:rPr>
              <w:t xml:space="preserve">petroleum </w:t>
            </w:r>
            <w:r w:rsidRPr="00006789">
              <w:rPr>
                <w:lang w:eastAsia="en-US"/>
              </w:rPr>
              <w:t>project is subject to:</w:t>
            </w:r>
          </w:p>
          <w:p w14:paraId="6FE3536F" w14:textId="045D82AF" w:rsidR="0058162D" w:rsidRPr="00006789" w:rsidRDefault="0058162D" w:rsidP="002825FF">
            <w:pPr>
              <w:pStyle w:val="tabledotpoint"/>
              <w:keepLines/>
              <w:rPr>
                <w:lang w:eastAsia="en-US"/>
              </w:rPr>
            </w:pPr>
            <w:r w:rsidRPr="00006789">
              <w:rPr>
                <w:lang w:eastAsia="en-US"/>
              </w:rPr>
              <w:t>for t</w:t>
            </w:r>
            <w:r w:rsidR="008721DF" w:rsidRPr="00006789">
              <w:rPr>
                <w:lang w:eastAsia="en-US"/>
              </w:rPr>
              <w:t>he t</w:t>
            </w:r>
            <w:r w:rsidRPr="00006789">
              <w:rPr>
                <w:lang w:eastAsia="en-US"/>
              </w:rPr>
              <w:t xml:space="preserve">en years after the project first </w:t>
            </w:r>
            <w:r w:rsidR="008F63D5" w:rsidRPr="00006789">
              <w:rPr>
                <w:lang w:eastAsia="en-US"/>
              </w:rPr>
              <w:t>derives</w:t>
            </w:r>
            <w:r w:rsidRPr="00006789">
              <w:rPr>
                <w:lang w:eastAsia="en-US"/>
              </w:rPr>
              <w:t xml:space="preserve"> assessable petroleum receipts – an uplift rate equal to </w:t>
            </w:r>
            <w:r w:rsidR="0085661A" w:rsidRPr="00006789">
              <w:rPr>
                <w:lang w:eastAsia="en-US"/>
              </w:rPr>
              <w:t xml:space="preserve">the </w:t>
            </w:r>
            <w:r w:rsidRPr="00006789">
              <w:rPr>
                <w:lang w:eastAsia="en-US"/>
              </w:rPr>
              <w:t>LTBR+5 percentage points; and</w:t>
            </w:r>
          </w:p>
          <w:p w14:paraId="11192736" w14:textId="77777777" w:rsidR="0058162D" w:rsidRDefault="0058162D" w:rsidP="002825FF">
            <w:pPr>
              <w:pStyle w:val="tabledotpoint"/>
              <w:keepLines/>
              <w:rPr>
                <w:lang w:eastAsia="en-US"/>
              </w:rPr>
            </w:pPr>
            <w:r w:rsidRPr="00006789">
              <w:rPr>
                <w:lang w:eastAsia="en-US"/>
              </w:rPr>
              <w:t>then – an uplift rate equal to the LTBR.</w:t>
            </w:r>
          </w:p>
          <w:p w14:paraId="2097D44F" w14:textId="59FBF343" w:rsidR="004B09AC" w:rsidRPr="00006789" w:rsidRDefault="004B09AC" w:rsidP="00006789">
            <w:pPr>
              <w:pStyle w:val="tabledotpoint"/>
              <w:keepLines/>
              <w:numPr>
                <w:ilvl w:val="0"/>
                <w:numId w:val="0"/>
              </w:numPr>
              <w:rPr>
                <w:lang w:eastAsia="en-US"/>
              </w:rPr>
            </w:pPr>
            <w:r w:rsidRPr="00F37920">
              <w:t>Class 2 ABR general expenditure is relabelled Class 2 uplifted general expenditure.</w:t>
            </w:r>
          </w:p>
        </w:tc>
        <w:tc>
          <w:tcPr>
            <w:tcW w:w="3276" w:type="dxa"/>
          </w:tcPr>
          <w:p w14:paraId="7BB8AEB1" w14:textId="126B143F" w:rsidR="001610E9" w:rsidRPr="00006789" w:rsidRDefault="00193308" w:rsidP="002825FF">
            <w:pPr>
              <w:pStyle w:val="tabletext"/>
              <w:keepLines/>
              <w:rPr>
                <w:lang w:eastAsia="en-US"/>
              </w:rPr>
            </w:pPr>
            <w:r w:rsidRPr="00006789">
              <w:rPr>
                <w:lang w:eastAsia="en-US"/>
              </w:rPr>
              <w:t xml:space="preserve">General expenditure incurred </w:t>
            </w:r>
            <w:r w:rsidR="00C856C0" w:rsidRPr="00006789">
              <w:rPr>
                <w:lang w:eastAsia="en-US"/>
              </w:rPr>
              <w:t>less</w:t>
            </w:r>
            <w:r w:rsidRPr="00006789">
              <w:rPr>
                <w:lang w:eastAsia="en-US"/>
              </w:rPr>
              <w:t xml:space="preserve"> than five years prior to a production </w:t>
            </w:r>
            <w:r w:rsidR="0088014A" w:rsidRPr="00E63B3D">
              <w:rPr>
                <w:lang w:eastAsia="en-US"/>
              </w:rPr>
              <w:t>licence</w:t>
            </w:r>
            <w:r w:rsidRPr="00006789">
              <w:rPr>
                <w:lang w:eastAsia="en-US"/>
              </w:rPr>
              <w:t xml:space="preserve"> being </w:t>
            </w:r>
            <w:r w:rsidR="00D84645" w:rsidRPr="00006789">
              <w:rPr>
                <w:lang w:eastAsia="en-US"/>
              </w:rPr>
              <w:t>applied for</w:t>
            </w:r>
            <w:r w:rsidRPr="00006789">
              <w:rPr>
                <w:lang w:eastAsia="en-US"/>
              </w:rPr>
              <w:t xml:space="preserve"> (Class 2 ABR general expenditure) is subject to an uplift rate equal to </w:t>
            </w:r>
            <w:r w:rsidR="0085661A" w:rsidRPr="00006789">
              <w:rPr>
                <w:lang w:eastAsia="en-US"/>
              </w:rPr>
              <w:t xml:space="preserve">the </w:t>
            </w:r>
            <w:r w:rsidRPr="00006789">
              <w:rPr>
                <w:lang w:eastAsia="en-US"/>
              </w:rPr>
              <w:t>LTBR+5 percentage points</w:t>
            </w:r>
            <w:r w:rsidR="0058162D" w:rsidRPr="00006789">
              <w:rPr>
                <w:lang w:eastAsia="en-US"/>
              </w:rPr>
              <w:t>.</w:t>
            </w:r>
          </w:p>
        </w:tc>
      </w:tr>
      <w:tr w:rsidR="001610E9" w:rsidRPr="00E63B3D" w14:paraId="6B9AFDE3" w14:textId="77777777" w:rsidTr="001610E9">
        <w:trPr>
          <w:cantSplit/>
        </w:trPr>
        <w:tc>
          <w:tcPr>
            <w:tcW w:w="6551" w:type="dxa"/>
            <w:gridSpan w:val="2"/>
          </w:tcPr>
          <w:p w14:paraId="06A7BA19" w14:textId="7DE485D1" w:rsidR="001610E9" w:rsidRPr="00006789" w:rsidRDefault="00193308" w:rsidP="002825FF">
            <w:pPr>
              <w:pStyle w:val="tableheaderwithintable"/>
              <w:keepLines/>
              <w:rPr>
                <w:lang w:eastAsia="en-US"/>
              </w:rPr>
            </w:pPr>
            <w:r w:rsidRPr="00E63B3D">
              <w:rPr>
                <w:rFonts w:eastAsia="Arial"/>
              </w:rPr>
              <w:lastRenderedPageBreak/>
              <w:t>Exploration expenditure</w:t>
            </w:r>
          </w:p>
        </w:tc>
      </w:tr>
      <w:tr w:rsidR="001610E9" w:rsidRPr="00E63B3D" w14:paraId="6282D2E2" w14:textId="77777777" w:rsidTr="001610E9">
        <w:trPr>
          <w:cantSplit/>
        </w:trPr>
        <w:tc>
          <w:tcPr>
            <w:tcW w:w="3275" w:type="dxa"/>
          </w:tcPr>
          <w:p w14:paraId="65739BAA" w14:textId="30F46FDB" w:rsidR="008721DF" w:rsidRPr="00006789" w:rsidRDefault="008672E8" w:rsidP="002825FF">
            <w:pPr>
              <w:pStyle w:val="tabletext"/>
              <w:keepLines/>
              <w:rPr>
                <w:lang w:eastAsia="en-US"/>
              </w:rPr>
            </w:pPr>
            <w:r w:rsidRPr="00006789">
              <w:rPr>
                <w:lang w:eastAsia="en-US"/>
              </w:rPr>
              <w:t>No change</w:t>
            </w:r>
            <w:r w:rsidR="008721DF" w:rsidRPr="00006789">
              <w:rPr>
                <w:lang w:eastAsia="en-US"/>
              </w:rPr>
              <w:t xml:space="preserve"> for e</w:t>
            </w:r>
            <w:r w:rsidR="00D84645" w:rsidRPr="00006789">
              <w:rPr>
                <w:lang w:eastAsia="en-US"/>
              </w:rPr>
              <w:t>xploration e</w:t>
            </w:r>
            <w:r w:rsidR="008721DF" w:rsidRPr="00006789">
              <w:rPr>
                <w:lang w:eastAsia="en-US"/>
              </w:rPr>
              <w:t>xpen</w:t>
            </w:r>
            <w:r w:rsidR="00D84645" w:rsidRPr="00006789">
              <w:rPr>
                <w:lang w:eastAsia="en-US"/>
              </w:rPr>
              <w:t>diture incurred prior to 1 July </w:t>
            </w:r>
            <w:r w:rsidR="008721DF" w:rsidRPr="00006789">
              <w:rPr>
                <w:lang w:eastAsia="en-US"/>
              </w:rPr>
              <w:t>2019</w:t>
            </w:r>
            <w:r w:rsidR="008E62CC" w:rsidRPr="00006789">
              <w:rPr>
                <w:lang w:eastAsia="en-US"/>
              </w:rPr>
              <w:t xml:space="preserve"> and more than five years prior to a production </w:t>
            </w:r>
            <w:r w:rsidR="0088014A" w:rsidRPr="00E63B3D">
              <w:rPr>
                <w:lang w:eastAsia="en-US"/>
              </w:rPr>
              <w:t>licence</w:t>
            </w:r>
            <w:r w:rsidR="008E62CC" w:rsidRPr="00006789">
              <w:rPr>
                <w:lang w:eastAsia="en-US"/>
              </w:rPr>
              <w:t xml:space="preserve"> being applied for</w:t>
            </w:r>
            <w:r w:rsidR="008E62CC" w:rsidRPr="00E63B3D">
              <w:rPr>
                <w:lang w:eastAsia="en-US"/>
              </w:rPr>
              <w:t xml:space="preserve">, which continues to </w:t>
            </w:r>
            <w:r w:rsidR="008E62CC" w:rsidRPr="00CB43DC">
              <w:rPr>
                <w:lang w:eastAsia="en-US"/>
              </w:rPr>
              <w:t xml:space="preserve">be </w:t>
            </w:r>
            <w:r w:rsidR="008E62CC" w:rsidRPr="00E63B3D">
              <w:rPr>
                <w:lang w:eastAsia="en-US"/>
              </w:rPr>
              <w:t>subject to an uplift rate equal to the GDP factor</w:t>
            </w:r>
            <w:r w:rsidR="008721DF" w:rsidRPr="00006789">
              <w:rPr>
                <w:lang w:eastAsia="en-US"/>
              </w:rPr>
              <w:t>.</w:t>
            </w:r>
          </w:p>
          <w:p w14:paraId="4FDA6AA4" w14:textId="0B9D81EE" w:rsidR="008721DF" w:rsidRPr="00006789" w:rsidRDefault="008721DF" w:rsidP="002825FF">
            <w:pPr>
              <w:pStyle w:val="tabletext"/>
              <w:keepLines/>
              <w:rPr>
                <w:lang w:eastAsia="en-US"/>
              </w:rPr>
            </w:pPr>
            <w:r w:rsidRPr="00006789">
              <w:rPr>
                <w:lang w:eastAsia="en-US"/>
              </w:rPr>
              <w:t xml:space="preserve">Exploration expenditure incurred on or after 1 July 2019 </w:t>
            </w:r>
            <w:r w:rsidR="004B09AC">
              <w:rPr>
                <w:lang w:eastAsia="en-US"/>
              </w:rPr>
              <w:t>(</w:t>
            </w:r>
            <w:r w:rsidR="004B09AC" w:rsidRPr="00CB43DC">
              <w:t>Class 2 uplifted exploration expenditure</w:t>
            </w:r>
            <w:r w:rsidR="004B09AC">
              <w:rPr>
                <w:lang w:eastAsia="en-US"/>
              </w:rPr>
              <w:t xml:space="preserve">) </w:t>
            </w:r>
            <w:r w:rsidRPr="00006789">
              <w:rPr>
                <w:lang w:eastAsia="en-US"/>
              </w:rPr>
              <w:t>is subject to:</w:t>
            </w:r>
          </w:p>
          <w:p w14:paraId="0939E9A7" w14:textId="2C56D8CC" w:rsidR="008721DF" w:rsidRPr="00006789" w:rsidRDefault="008721DF" w:rsidP="002825FF">
            <w:pPr>
              <w:pStyle w:val="tabledotpoint"/>
              <w:keepLines/>
              <w:rPr>
                <w:lang w:eastAsia="en-US"/>
              </w:rPr>
            </w:pPr>
            <w:r w:rsidRPr="00006789">
              <w:rPr>
                <w:lang w:eastAsia="en-US"/>
              </w:rPr>
              <w:t xml:space="preserve">for the ten years after the expenditure is incurred – an uplift rate equal to </w:t>
            </w:r>
            <w:r w:rsidR="0085661A" w:rsidRPr="00006789">
              <w:rPr>
                <w:lang w:eastAsia="en-US"/>
              </w:rPr>
              <w:t xml:space="preserve">the </w:t>
            </w:r>
            <w:r w:rsidRPr="00006789">
              <w:rPr>
                <w:lang w:eastAsia="en-US"/>
              </w:rPr>
              <w:t>LTBR+5percentage points; and</w:t>
            </w:r>
          </w:p>
          <w:p w14:paraId="13293EED" w14:textId="74AD490C" w:rsidR="001610E9" w:rsidRPr="00006789" w:rsidRDefault="008721DF" w:rsidP="002825FF">
            <w:pPr>
              <w:pStyle w:val="tabledotpoint"/>
              <w:keepLines/>
              <w:rPr>
                <w:lang w:eastAsia="en-US"/>
              </w:rPr>
            </w:pPr>
            <w:r w:rsidRPr="00006789">
              <w:rPr>
                <w:lang w:eastAsia="en-US"/>
              </w:rPr>
              <w:t xml:space="preserve">then – an uplift rate equal to the GDP </w:t>
            </w:r>
            <w:r w:rsidR="00A418EE" w:rsidRPr="00006789">
              <w:rPr>
                <w:lang w:eastAsia="en-US"/>
              </w:rPr>
              <w:t>f</w:t>
            </w:r>
            <w:r w:rsidRPr="00006789">
              <w:rPr>
                <w:lang w:eastAsia="en-US"/>
              </w:rPr>
              <w:t>actor.</w:t>
            </w:r>
          </w:p>
        </w:tc>
        <w:tc>
          <w:tcPr>
            <w:tcW w:w="3276" w:type="dxa"/>
          </w:tcPr>
          <w:p w14:paraId="305FB3D6" w14:textId="2C73FC87" w:rsidR="001610E9" w:rsidRPr="00006789" w:rsidRDefault="00193308" w:rsidP="002825FF">
            <w:pPr>
              <w:pStyle w:val="tabletext"/>
              <w:keepLines/>
              <w:rPr>
                <w:lang w:eastAsia="en-US"/>
              </w:rPr>
            </w:pPr>
            <w:r w:rsidRPr="00006789">
              <w:rPr>
                <w:lang w:eastAsia="en-US"/>
              </w:rPr>
              <w:t xml:space="preserve">Exploration expenditure incurred more than five years prior to a production </w:t>
            </w:r>
            <w:r w:rsidR="0088014A" w:rsidRPr="00006789">
              <w:rPr>
                <w:lang w:eastAsia="en-US"/>
              </w:rPr>
              <w:t>licence</w:t>
            </w:r>
            <w:r w:rsidRPr="00006789">
              <w:rPr>
                <w:lang w:eastAsia="en-US"/>
              </w:rPr>
              <w:t xml:space="preserve"> being </w:t>
            </w:r>
            <w:r w:rsidR="00D84645" w:rsidRPr="00006789">
              <w:rPr>
                <w:lang w:eastAsia="en-US"/>
              </w:rPr>
              <w:t>applied for</w:t>
            </w:r>
            <w:r w:rsidRPr="00006789">
              <w:rPr>
                <w:lang w:eastAsia="en-US"/>
              </w:rPr>
              <w:t xml:space="preserve"> (</w:t>
            </w:r>
            <w:r w:rsidRPr="00E63B3D">
              <w:rPr>
                <w:rFonts w:eastAsia="Arial"/>
              </w:rPr>
              <w:t>Clas</w:t>
            </w:r>
            <w:r w:rsidRPr="00CB43DC">
              <w:rPr>
                <w:rFonts w:eastAsia="Arial"/>
              </w:rPr>
              <w:t xml:space="preserve">s </w:t>
            </w:r>
            <w:r w:rsidR="008672E8" w:rsidRPr="00E63B3D">
              <w:rPr>
                <w:rFonts w:eastAsia="Arial"/>
              </w:rPr>
              <w:t>2</w:t>
            </w:r>
            <w:r w:rsidRPr="00E63B3D">
              <w:rPr>
                <w:rFonts w:eastAsia="Arial"/>
              </w:rPr>
              <w:t xml:space="preserve"> </w:t>
            </w:r>
            <w:r w:rsidR="008672E8" w:rsidRPr="00E63B3D">
              <w:rPr>
                <w:rFonts w:eastAsia="Arial"/>
              </w:rPr>
              <w:t xml:space="preserve">GDP </w:t>
            </w:r>
            <w:r w:rsidR="008F63D5" w:rsidRPr="00E63B3D">
              <w:rPr>
                <w:rFonts w:eastAsia="Arial"/>
              </w:rPr>
              <w:t>f</w:t>
            </w:r>
            <w:r w:rsidR="008672E8" w:rsidRPr="00E63B3D">
              <w:rPr>
                <w:rFonts w:eastAsia="Arial"/>
              </w:rPr>
              <w:t>actor</w:t>
            </w:r>
            <w:r w:rsidRPr="00E63B3D">
              <w:rPr>
                <w:rFonts w:eastAsia="Arial"/>
              </w:rPr>
              <w:t xml:space="preserve"> </w:t>
            </w:r>
            <w:r w:rsidR="008F63D5" w:rsidRPr="00E63B3D">
              <w:rPr>
                <w:rFonts w:eastAsia="Arial"/>
              </w:rPr>
              <w:t>e</w:t>
            </w:r>
            <w:r w:rsidR="00B211AC" w:rsidRPr="00E63B3D">
              <w:rPr>
                <w:rFonts w:eastAsia="Arial"/>
              </w:rPr>
              <w:t>xploration e</w:t>
            </w:r>
            <w:r w:rsidRPr="00E63B3D">
              <w:rPr>
                <w:rFonts w:eastAsia="Arial"/>
              </w:rPr>
              <w:t>xpenditure</w:t>
            </w:r>
            <w:r w:rsidRPr="00006789">
              <w:rPr>
                <w:lang w:eastAsia="en-US"/>
              </w:rPr>
              <w:t>) is subject to an uplift rate equal to the GDP factor.</w:t>
            </w:r>
          </w:p>
        </w:tc>
      </w:tr>
      <w:tr w:rsidR="008721DF" w:rsidRPr="00E63B3D" w14:paraId="4BE5ED79" w14:textId="77777777" w:rsidTr="008408D5">
        <w:trPr>
          <w:cantSplit/>
          <w:trHeight w:val="3147"/>
        </w:trPr>
        <w:tc>
          <w:tcPr>
            <w:tcW w:w="3275" w:type="dxa"/>
          </w:tcPr>
          <w:p w14:paraId="26862748" w14:textId="78AB83F5" w:rsidR="008721DF" w:rsidRPr="00006789" w:rsidRDefault="008721DF" w:rsidP="002825FF">
            <w:pPr>
              <w:pStyle w:val="tabletext"/>
              <w:keepLines/>
              <w:rPr>
                <w:lang w:eastAsia="en-US"/>
              </w:rPr>
            </w:pPr>
            <w:r w:rsidRPr="00006789">
              <w:rPr>
                <w:lang w:eastAsia="en-US"/>
              </w:rPr>
              <w:t xml:space="preserve">From 1 July 2019, exploration expenditure incurred prior to that date and less than five years prior to a production </w:t>
            </w:r>
            <w:r w:rsidR="0088014A" w:rsidRPr="00E63B3D">
              <w:rPr>
                <w:lang w:eastAsia="en-US"/>
              </w:rPr>
              <w:t>licence</w:t>
            </w:r>
            <w:r w:rsidRPr="00006789">
              <w:rPr>
                <w:lang w:eastAsia="en-US"/>
              </w:rPr>
              <w:t xml:space="preserve"> being </w:t>
            </w:r>
            <w:r w:rsidR="00D84645" w:rsidRPr="00006789">
              <w:rPr>
                <w:lang w:eastAsia="en-US"/>
              </w:rPr>
              <w:t>applied for</w:t>
            </w:r>
            <w:r w:rsidR="00A418EE" w:rsidRPr="00006789">
              <w:rPr>
                <w:lang w:eastAsia="en-US"/>
              </w:rPr>
              <w:t xml:space="preserve"> is subject to</w:t>
            </w:r>
            <w:r w:rsidRPr="00006789">
              <w:rPr>
                <w:lang w:eastAsia="en-US"/>
              </w:rPr>
              <w:t xml:space="preserve"> an uplift rate equal to </w:t>
            </w:r>
            <w:r w:rsidR="0085661A" w:rsidRPr="00006789">
              <w:rPr>
                <w:lang w:eastAsia="en-US"/>
              </w:rPr>
              <w:t xml:space="preserve">the </w:t>
            </w:r>
            <w:r w:rsidRPr="00006789">
              <w:rPr>
                <w:lang w:eastAsia="en-US"/>
              </w:rPr>
              <w:t>LTBR+5 percentage points.</w:t>
            </w:r>
          </w:p>
          <w:p w14:paraId="3BD812AC" w14:textId="4FD62D88" w:rsidR="008721DF" w:rsidRPr="00006789" w:rsidRDefault="008721DF" w:rsidP="002825FF">
            <w:pPr>
              <w:pStyle w:val="tabletext"/>
              <w:keepLines/>
              <w:rPr>
                <w:lang w:eastAsia="en-US"/>
              </w:rPr>
            </w:pPr>
            <w:r w:rsidRPr="00006789">
              <w:rPr>
                <w:lang w:eastAsia="en-US"/>
              </w:rPr>
              <w:t>Exploration expenditure incurred on or after 1 July 2019 is subject to:</w:t>
            </w:r>
          </w:p>
          <w:p w14:paraId="6B512227" w14:textId="0404316B" w:rsidR="008721DF" w:rsidRPr="00006789" w:rsidRDefault="008721DF" w:rsidP="002825FF">
            <w:pPr>
              <w:pStyle w:val="tabledotpoint"/>
              <w:keepLines/>
              <w:rPr>
                <w:lang w:eastAsia="en-US"/>
              </w:rPr>
            </w:pPr>
            <w:r w:rsidRPr="00006789">
              <w:rPr>
                <w:lang w:eastAsia="en-US"/>
              </w:rPr>
              <w:t xml:space="preserve">for the ten years after the expenditure is incurred – an uplift rate equal to </w:t>
            </w:r>
            <w:r w:rsidR="0085661A" w:rsidRPr="00006789">
              <w:rPr>
                <w:lang w:eastAsia="en-US"/>
              </w:rPr>
              <w:t xml:space="preserve">the </w:t>
            </w:r>
            <w:r w:rsidRPr="00006789">
              <w:rPr>
                <w:lang w:eastAsia="en-US"/>
              </w:rPr>
              <w:t>LTBR+5 percentage points; and</w:t>
            </w:r>
          </w:p>
          <w:p w14:paraId="166A26C5" w14:textId="77777777" w:rsidR="008408D5" w:rsidRDefault="008721DF" w:rsidP="002825FF">
            <w:pPr>
              <w:pStyle w:val="tabledotpoint"/>
              <w:keepLines/>
              <w:rPr>
                <w:lang w:eastAsia="en-US"/>
              </w:rPr>
            </w:pPr>
            <w:r w:rsidRPr="00006789">
              <w:rPr>
                <w:lang w:eastAsia="en-US"/>
              </w:rPr>
              <w:t xml:space="preserve">then – an uplift rate equal to the </w:t>
            </w:r>
            <w:r w:rsidR="00A418EE" w:rsidRPr="00006789">
              <w:rPr>
                <w:lang w:eastAsia="en-US"/>
              </w:rPr>
              <w:t>GDP f</w:t>
            </w:r>
            <w:r w:rsidRPr="00006789">
              <w:rPr>
                <w:lang w:eastAsia="en-US"/>
              </w:rPr>
              <w:t>actor.</w:t>
            </w:r>
          </w:p>
          <w:p w14:paraId="08DAB638" w14:textId="615E4E72" w:rsidR="004B09AC" w:rsidRPr="00006789" w:rsidRDefault="004B09AC" w:rsidP="00006789">
            <w:pPr>
              <w:pStyle w:val="tabledotpoint"/>
              <w:keepLines/>
              <w:numPr>
                <w:ilvl w:val="0"/>
                <w:numId w:val="0"/>
              </w:numPr>
              <w:rPr>
                <w:lang w:eastAsia="en-US"/>
              </w:rPr>
            </w:pPr>
            <w:r w:rsidRPr="00CB43DC">
              <w:t>Class 2 ABR exploration expenditure is relabelled Class 2 uplifted exploration expenditure</w:t>
            </w:r>
            <w:r>
              <w:t>.</w:t>
            </w:r>
          </w:p>
        </w:tc>
        <w:tc>
          <w:tcPr>
            <w:tcW w:w="3276" w:type="dxa"/>
          </w:tcPr>
          <w:p w14:paraId="498D46E7" w14:textId="66F241B1" w:rsidR="008721DF" w:rsidRPr="00006789" w:rsidRDefault="008721DF" w:rsidP="002825FF">
            <w:pPr>
              <w:pStyle w:val="tabletext"/>
              <w:keepLines/>
              <w:rPr>
                <w:lang w:eastAsia="en-US"/>
              </w:rPr>
            </w:pPr>
            <w:r w:rsidRPr="00006789">
              <w:rPr>
                <w:lang w:eastAsia="en-US"/>
              </w:rPr>
              <w:t xml:space="preserve">Exploration expenditure incurred less than five years prior to a production </w:t>
            </w:r>
            <w:r w:rsidR="0088014A" w:rsidRPr="00E63B3D">
              <w:rPr>
                <w:lang w:eastAsia="en-US"/>
              </w:rPr>
              <w:t>licence</w:t>
            </w:r>
            <w:r w:rsidRPr="00006789">
              <w:rPr>
                <w:lang w:eastAsia="en-US"/>
              </w:rPr>
              <w:t xml:space="preserve"> being </w:t>
            </w:r>
            <w:r w:rsidR="00D84645" w:rsidRPr="00006789">
              <w:rPr>
                <w:lang w:eastAsia="en-US"/>
              </w:rPr>
              <w:t>applied for</w:t>
            </w:r>
            <w:r w:rsidRPr="00006789">
              <w:rPr>
                <w:lang w:eastAsia="en-US"/>
              </w:rPr>
              <w:t xml:space="preserve"> (</w:t>
            </w:r>
            <w:r w:rsidRPr="00E63B3D">
              <w:rPr>
                <w:rFonts w:eastAsia="Arial"/>
              </w:rPr>
              <w:t>Clas</w:t>
            </w:r>
            <w:r w:rsidRPr="00CB43DC">
              <w:rPr>
                <w:rFonts w:eastAsia="Arial"/>
              </w:rPr>
              <w:t xml:space="preserve">s 2 ABR </w:t>
            </w:r>
            <w:r w:rsidR="008F63D5" w:rsidRPr="00E63B3D">
              <w:rPr>
                <w:rFonts w:eastAsia="Arial"/>
              </w:rPr>
              <w:t>e</w:t>
            </w:r>
            <w:r w:rsidRPr="00E63B3D">
              <w:rPr>
                <w:rFonts w:eastAsia="Arial"/>
              </w:rPr>
              <w:t xml:space="preserve">xploration </w:t>
            </w:r>
            <w:r w:rsidR="008F63D5" w:rsidRPr="00E63B3D">
              <w:rPr>
                <w:rFonts w:eastAsia="Arial"/>
              </w:rPr>
              <w:t>e</w:t>
            </w:r>
            <w:r w:rsidRPr="00E63B3D">
              <w:rPr>
                <w:rFonts w:eastAsia="Arial"/>
              </w:rPr>
              <w:t>xpenditure</w:t>
            </w:r>
            <w:r w:rsidRPr="00006789">
              <w:rPr>
                <w:lang w:eastAsia="en-US"/>
              </w:rPr>
              <w:t xml:space="preserve">) is subject to an uplift rate equal to </w:t>
            </w:r>
            <w:r w:rsidR="0085661A" w:rsidRPr="00006789">
              <w:rPr>
                <w:lang w:eastAsia="en-US"/>
              </w:rPr>
              <w:t xml:space="preserve">the </w:t>
            </w:r>
            <w:r w:rsidRPr="00006789">
              <w:rPr>
                <w:lang w:eastAsia="en-US"/>
              </w:rPr>
              <w:t>LTBR+15 percentage points.</w:t>
            </w:r>
          </w:p>
        </w:tc>
      </w:tr>
      <w:tr w:rsidR="00193308" w:rsidRPr="00E63B3D" w14:paraId="019DB481" w14:textId="77777777" w:rsidTr="00AD3553">
        <w:trPr>
          <w:cantSplit/>
        </w:trPr>
        <w:tc>
          <w:tcPr>
            <w:tcW w:w="6551" w:type="dxa"/>
            <w:gridSpan w:val="2"/>
          </w:tcPr>
          <w:p w14:paraId="1998450D" w14:textId="77777777" w:rsidR="00193308" w:rsidRPr="00006789" w:rsidRDefault="00193308" w:rsidP="002825FF">
            <w:pPr>
              <w:pStyle w:val="tableheaderwithintable"/>
              <w:keepLines/>
              <w:rPr>
                <w:lang w:eastAsia="en-US"/>
              </w:rPr>
            </w:pPr>
            <w:r w:rsidRPr="00006789">
              <w:rPr>
                <w:rFonts w:eastAsia="Arial"/>
                <w:lang w:eastAsia="ja-JP"/>
              </w:rPr>
              <w:t>Transferred exploration expenditure</w:t>
            </w:r>
          </w:p>
        </w:tc>
      </w:tr>
      <w:tr w:rsidR="00193308" w:rsidRPr="00E63B3D" w14:paraId="01AF6BCD" w14:textId="77777777" w:rsidTr="00AD3553">
        <w:trPr>
          <w:cantSplit/>
        </w:trPr>
        <w:tc>
          <w:tcPr>
            <w:tcW w:w="3275" w:type="dxa"/>
          </w:tcPr>
          <w:p w14:paraId="6B5B1D30" w14:textId="0B357F90" w:rsidR="008721DF" w:rsidRPr="00006789" w:rsidRDefault="00193308" w:rsidP="002825FF">
            <w:pPr>
              <w:pStyle w:val="tabletext"/>
              <w:keepLines/>
              <w:rPr>
                <w:rFonts w:eastAsia="Arial"/>
                <w:lang w:eastAsia="ja-JP"/>
              </w:rPr>
            </w:pPr>
            <w:r w:rsidRPr="00006789">
              <w:rPr>
                <w:rFonts w:eastAsia="Arial"/>
                <w:lang w:eastAsia="ja-JP"/>
              </w:rPr>
              <w:t xml:space="preserve">All exploration expenditure transferred </w:t>
            </w:r>
            <w:r w:rsidR="00B211AC" w:rsidRPr="00006789">
              <w:rPr>
                <w:rFonts w:eastAsia="Arial"/>
                <w:lang w:eastAsia="ja-JP"/>
              </w:rPr>
              <w:t xml:space="preserve">between </w:t>
            </w:r>
            <w:r w:rsidR="00964C40">
              <w:t xml:space="preserve">petroleum </w:t>
            </w:r>
            <w:r w:rsidR="00B211AC" w:rsidRPr="00006789">
              <w:rPr>
                <w:rFonts w:eastAsia="Arial"/>
                <w:lang w:eastAsia="ja-JP"/>
              </w:rPr>
              <w:t xml:space="preserve">projects </w:t>
            </w:r>
            <w:r w:rsidR="002B7A42">
              <w:rPr>
                <w:rFonts w:eastAsia="Arial"/>
                <w:lang w:eastAsia="ja-JP"/>
              </w:rPr>
              <w:t>from</w:t>
            </w:r>
            <w:r w:rsidR="002B7A42" w:rsidRPr="00006789">
              <w:rPr>
                <w:rFonts w:eastAsia="Arial"/>
                <w:lang w:eastAsia="ja-JP"/>
              </w:rPr>
              <w:t xml:space="preserve"> </w:t>
            </w:r>
            <w:r w:rsidR="00B211AC" w:rsidRPr="00006789">
              <w:rPr>
                <w:rFonts w:eastAsia="Arial"/>
                <w:lang w:eastAsia="ja-JP"/>
              </w:rPr>
              <w:t>1 </w:t>
            </w:r>
            <w:r w:rsidR="008721DF" w:rsidRPr="00006789">
              <w:rPr>
                <w:rFonts w:eastAsia="Arial"/>
                <w:lang w:eastAsia="ja-JP"/>
              </w:rPr>
              <w:t>July 2019 is subject to:</w:t>
            </w:r>
          </w:p>
          <w:p w14:paraId="22BC96DD" w14:textId="73153B2B" w:rsidR="008721DF" w:rsidRPr="00006789" w:rsidRDefault="008721DF" w:rsidP="002825FF">
            <w:pPr>
              <w:pStyle w:val="tabledotpoint"/>
              <w:keepLines/>
              <w:rPr>
                <w:lang w:eastAsia="en-US"/>
              </w:rPr>
            </w:pPr>
            <w:r w:rsidRPr="00006789">
              <w:rPr>
                <w:lang w:eastAsia="en-US"/>
              </w:rPr>
              <w:t xml:space="preserve">for the ten years after the expenditure is </w:t>
            </w:r>
            <w:r w:rsidR="00D84645" w:rsidRPr="00006789">
              <w:rPr>
                <w:lang w:eastAsia="en-US"/>
              </w:rPr>
              <w:t>incurred</w:t>
            </w:r>
            <w:r w:rsidRPr="00006789">
              <w:rPr>
                <w:lang w:eastAsia="en-US"/>
              </w:rPr>
              <w:t xml:space="preserve"> – an uplift rate equal to </w:t>
            </w:r>
            <w:r w:rsidR="0085661A" w:rsidRPr="00006789">
              <w:rPr>
                <w:lang w:eastAsia="en-US"/>
              </w:rPr>
              <w:t xml:space="preserve">the </w:t>
            </w:r>
            <w:r w:rsidRPr="00006789">
              <w:rPr>
                <w:lang w:eastAsia="en-US"/>
              </w:rPr>
              <w:t>LTBR+5 percentage points; and</w:t>
            </w:r>
          </w:p>
          <w:p w14:paraId="1A2275DC" w14:textId="5F59AB66" w:rsidR="00193308" w:rsidRPr="00006789" w:rsidRDefault="008721DF" w:rsidP="002825FF">
            <w:pPr>
              <w:pStyle w:val="tabledotpoint"/>
              <w:keepLines/>
              <w:rPr>
                <w:lang w:eastAsia="en-US"/>
              </w:rPr>
            </w:pPr>
            <w:r w:rsidRPr="00006789">
              <w:rPr>
                <w:lang w:eastAsia="en-US"/>
              </w:rPr>
              <w:t xml:space="preserve">then – an uplift rate equal to the GDP </w:t>
            </w:r>
            <w:r w:rsidR="00A418EE" w:rsidRPr="00006789">
              <w:rPr>
                <w:lang w:eastAsia="en-US"/>
              </w:rPr>
              <w:t>f</w:t>
            </w:r>
            <w:r w:rsidRPr="00006789">
              <w:rPr>
                <w:lang w:eastAsia="en-US"/>
              </w:rPr>
              <w:t>actor.</w:t>
            </w:r>
          </w:p>
        </w:tc>
        <w:tc>
          <w:tcPr>
            <w:tcW w:w="3276" w:type="dxa"/>
          </w:tcPr>
          <w:p w14:paraId="371026DB" w14:textId="76CF0E85" w:rsidR="00193308" w:rsidRPr="00006789" w:rsidRDefault="00193308" w:rsidP="002825FF">
            <w:pPr>
              <w:pStyle w:val="tabletext"/>
              <w:keepLines/>
              <w:rPr>
                <w:lang w:eastAsia="en-US"/>
              </w:rPr>
            </w:pPr>
            <w:r w:rsidRPr="00006789">
              <w:rPr>
                <w:lang w:eastAsia="en-US"/>
              </w:rPr>
              <w:t xml:space="preserve">The uplift rate for transferred exploration expenditure is either </w:t>
            </w:r>
            <w:r w:rsidR="00CE20AD" w:rsidRPr="00006789">
              <w:rPr>
                <w:lang w:eastAsia="en-US"/>
              </w:rPr>
              <w:t xml:space="preserve">the </w:t>
            </w:r>
            <w:r w:rsidRPr="00006789">
              <w:rPr>
                <w:lang w:eastAsia="en-US"/>
              </w:rPr>
              <w:t xml:space="preserve">LTBR+15 percentage points or the GDP factor depending on the date the expenditure was incurred and the </w:t>
            </w:r>
            <w:r w:rsidR="00647F10" w:rsidRPr="00006789">
              <w:rPr>
                <w:lang w:eastAsia="en-US"/>
              </w:rPr>
              <w:t xml:space="preserve">application </w:t>
            </w:r>
            <w:r w:rsidRPr="00006789">
              <w:rPr>
                <w:lang w:eastAsia="en-US"/>
              </w:rPr>
              <w:t xml:space="preserve">date </w:t>
            </w:r>
            <w:r w:rsidR="00647F10" w:rsidRPr="00006789">
              <w:rPr>
                <w:lang w:eastAsia="en-US"/>
              </w:rPr>
              <w:t xml:space="preserve">of the </w:t>
            </w:r>
            <w:r w:rsidRPr="00006789">
              <w:rPr>
                <w:lang w:eastAsia="en-US"/>
              </w:rPr>
              <w:t xml:space="preserve">receiving project’s production </w:t>
            </w:r>
            <w:r w:rsidR="0088014A" w:rsidRPr="00E63B3D">
              <w:rPr>
                <w:lang w:eastAsia="en-US"/>
              </w:rPr>
              <w:t>licence</w:t>
            </w:r>
            <w:r w:rsidRPr="00006789">
              <w:rPr>
                <w:lang w:eastAsia="en-US"/>
              </w:rPr>
              <w:t>.</w:t>
            </w:r>
          </w:p>
        </w:tc>
      </w:tr>
      <w:tr w:rsidR="001610E9" w:rsidRPr="00E63B3D" w14:paraId="2C017767" w14:textId="77777777" w:rsidTr="001610E9">
        <w:trPr>
          <w:cantSplit/>
        </w:trPr>
        <w:tc>
          <w:tcPr>
            <w:tcW w:w="6551" w:type="dxa"/>
            <w:gridSpan w:val="2"/>
          </w:tcPr>
          <w:p w14:paraId="5B176819" w14:textId="3D79BB21" w:rsidR="001610E9" w:rsidRPr="00006789" w:rsidRDefault="001610E9" w:rsidP="002825FF">
            <w:pPr>
              <w:pStyle w:val="tableheaderwithintable"/>
              <w:keepLines/>
              <w:rPr>
                <w:lang w:eastAsia="en-US"/>
              </w:rPr>
            </w:pPr>
            <w:r w:rsidRPr="00E63B3D">
              <w:rPr>
                <w:rFonts w:eastAsia="Arial"/>
              </w:rPr>
              <w:lastRenderedPageBreak/>
              <w:t>Resource tax expenditure</w:t>
            </w:r>
          </w:p>
        </w:tc>
      </w:tr>
      <w:tr w:rsidR="001610E9" w:rsidRPr="00E63B3D" w14:paraId="3537091E" w14:textId="77777777" w:rsidTr="001610E9">
        <w:trPr>
          <w:cantSplit/>
        </w:trPr>
        <w:tc>
          <w:tcPr>
            <w:tcW w:w="3275" w:type="dxa"/>
          </w:tcPr>
          <w:p w14:paraId="34F0ADB4" w14:textId="0DD8C3E8" w:rsidR="001610E9" w:rsidRPr="00006789" w:rsidRDefault="00193308" w:rsidP="002825FF">
            <w:pPr>
              <w:pStyle w:val="tabletext"/>
              <w:keepLines/>
              <w:rPr>
                <w:lang w:eastAsia="en-US"/>
              </w:rPr>
            </w:pPr>
            <w:r w:rsidRPr="00006789">
              <w:rPr>
                <w:lang w:eastAsia="en-US"/>
              </w:rPr>
              <w:t>No change</w:t>
            </w:r>
            <w:r w:rsidR="0058162D" w:rsidRPr="00006789">
              <w:rPr>
                <w:lang w:eastAsia="en-US"/>
              </w:rPr>
              <w:t>.</w:t>
            </w:r>
          </w:p>
        </w:tc>
        <w:tc>
          <w:tcPr>
            <w:tcW w:w="3276" w:type="dxa"/>
          </w:tcPr>
          <w:p w14:paraId="1044A9E9" w14:textId="73AE47B1" w:rsidR="001610E9" w:rsidRPr="00006789" w:rsidRDefault="001610E9" w:rsidP="002825FF">
            <w:pPr>
              <w:pStyle w:val="tabletext"/>
              <w:keepLines/>
              <w:rPr>
                <w:lang w:eastAsia="en-US"/>
              </w:rPr>
            </w:pPr>
            <w:r w:rsidRPr="00006789">
              <w:rPr>
                <w:lang w:eastAsia="en-US"/>
              </w:rPr>
              <w:t xml:space="preserve">Resource tax expenditure is subject to an uplift rate equal to </w:t>
            </w:r>
            <w:r w:rsidR="0085661A" w:rsidRPr="00006789">
              <w:rPr>
                <w:lang w:eastAsia="en-US"/>
              </w:rPr>
              <w:t xml:space="preserve">the </w:t>
            </w:r>
            <w:r w:rsidRPr="00006789">
              <w:rPr>
                <w:lang w:eastAsia="en-US"/>
              </w:rPr>
              <w:t>LTBR+5 percentage points</w:t>
            </w:r>
            <w:r w:rsidR="0058162D" w:rsidRPr="00006789">
              <w:rPr>
                <w:lang w:eastAsia="en-US"/>
              </w:rPr>
              <w:t>.</w:t>
            </w:r>
          </w:p>
        </w:tc>
      </w:tr>
      <w:tr w:rsidR="001610E9" w:rsidRPr="00E63B3D" w14:paraId="737E2A48" w14:textId="77777777" w:rsidTr="001610E9">
        <w:trPr>
          <w:cantSplit/>
        </w:trPr>
        <w:tc>
          <w:tcPr>
            <w:tcW w:w="6551" w:type="dxa"/>
            <w:gridSpan w:val="2"/>
          </w:tcPr>
          <w:p w14:paraId="4DEC0B66" w14:textId="70A0FCA8" w:rsidR="001610E9" w:rsidRPr="00E63B3D" w:rsidRDefault="001610E9" w:rsidP="002825FF">
            <w:pPr>
              <w:pStyle w:val="tableheaderwithintable"/>
              <w:keepLines/>
              <w:rPr>
                <w:rFonts w:eastAsia="Arial"/>
              </w:rPr>
            </w:pPr>
            <w:r w:rsidRPr="00006789">
              <w:rPr>
                <w:rFonts w:eastAsia="Arial"/>
                <w:lang w:eastAsia="ja-JP"/>
              </w:rPr>
              <w:t>Closing down expenditure</w:t>
            </w:r>
          </w:p>
        </w:tc>
      </w:tr>
      <w:tr w:rsidR="001610E9" w:rsidRPr="00E63B3D" w14:paraId="361A4794" w14:textId="77777777" w:rsidTr="001610E9">
        <w:trPr>
          <w:cantSplit/>
        </w:trPr>
        <w:tc>
          <w:tcPr>
            <w:tcW w:w="3275" w:type="dxa"/>
          </w:tcPr>
          <w:p w14:paraId="4568C788" w14:textId="756A6605" w:rsidR="001610E9" w:rsidRPr="00006789" w:rsidRDefault="00193308" w:rsidP="002825FF">
            <w:pPr>
              <w:pStyle w:val="tabletext"/>
              <w:keepLines/>
              <w:rPr>
                <w:lang w:eastAsia="en-US"/>
              </w:rPr>
            </w:pPr>
            <w:r w:rsidRPr="00006789">
              <w:rPr>
                <w:lang w:eastAsia="en-US"/>
              </w:rPr>
              <w:t>No change</w:t>
            </w:r>
            <w:r w:rsidR="0058162D" w:rsidRPr="00006789">
              <w:rPr>
                <w:lang w:eastAsia="en-US"/>
              </w:rPr>
              <w:t>.</w:t>
            </w:r>
          </w:p>
        </w:tc>
        <w:tc>
          <w:tcPr>
            <w:tcW w:w="3276" w:type="dxa"/>
          </w:tcPr>
          <w:p w14:paraId="5FBB78E8" w14:textId="4E940680" w:rsidR="001610E9" w:rsidRPr="00006789" w:rsidRDefault="00193308" w:rsidP="002825FF">
            <w:pPr>
              <w:pStyle w:val="tabletext"/>
              <w:keepLines/>
              <w:rPr>
                <w:lang w:eastAsia="en-US"/>
              </w:rPr>
            </w:pPr>
            <w:r w:rsidRPr="00006789">
              <w:rPr>
                <w:lang w:eastAsia="en-US"/>
              </w:rPr>
              <w:t>Closing down expenditure is not uplifted but is creditable</w:t>
            </w:r>
            <w:r w:rsidR="00B211AC" w:rsidRPr="00006789">
              <w:rPr>
                <w:lang w:eastAsia="en-US"/>
              </w:rPr>
              <w:t xml:space="preserve"> at 40 per </w:t>
            </w:r>
            <w:r w:rsidRPr="00006789">
              <w:rPr>
                <w:lang w:eastAsia="en-US"/>
              </w:rPr>
              <w:t>cent of the excess over assessable receipts, to the value of the entity’s past PRRT liabilities</w:t>
            </w:r>
            <w:r w:rsidR="0058162D" w:rsidRPr="00006789">
              <w:rPr>
                <w:lang w:eastAsia="en-US"/>
              </w:rPr>
              <w:t>.</w:t>
            </w:r>
          </w:p>
        </w:tc>
      </w:tr>
    </w:tbl>
    <w:p w14:paraId="2F5A00C3" w14:textId="77777777" w:rsidR="00B17774" w:rsidRPr="00E63B3D" w:rsidRDefault="00B17774" w:rsidP="002825FF">
      <w:pPr>
        <w:pStyle w:val="Heading2"/>
        <w:keepLines/>
      </w:pPr>
      <w:r w:rsidRPr="00E63B3D">
        <w:t>Detailed explanation of new law</w:t>
      </w:r>
    </w:p>
    <w:p w14:paraId="2ADC0AD0" w14:textId="4514254D" w:rsidR="00B17774" w:rsidRPr="00E63B3D" w:rsidRDefault="00D84645" w:rsidP="002825FF">
      <w:pPr>
        <w:pStyle w:val="Heading3"/>
        <w:keepLines/>
      </w:pPr>
      <w:r w:rsidRPr="00E63B3D">
        <w:t>General expenditure uplifts</w:t>
      </w:r>
    </w:p>
    <w:p w14:paraId="0FE4516B" w14:textId="006D01C0" w:rsidR="00D84645" w:rsidRPr="00E63B3D" w:rsidRDefault="00D84645" w:rsidP="002825FF">
      <w:pPr>
        <w:pStyle w:val="base-text-paragraph"/>
        <w:keepLines/>
      </w:pPr>
      <w:r w:rsidRPr="00006789">
        <w:rPr>
          <w:lang w:eastAsia="en-US"/>
        </w:rPr>
        <w:t xml:space="preserve">General expenditure incurred </w:t>
      </w:r>
      <w:r w:rsidR="002825FF" w:rsidRPr="00006789">
        <w:rPr>
          <w:lang w:eastAsia="en-US"/>
        </w:rPr>
        <w:t>less</w:t>
      </w:r>
      <w:r w:rsidRPr="00006789">
        <w:rPr>
          <w:lang w:eastAsia="en-US"/>
        </w:rPr>
        <w:t xml:space="preserve"> than five years prior to a production </w:t>
      </w:r>
      <w:r w:rsidR="0088014A" w:rsidRPr="00006789">
        <w:rPr>
          <w:lang w:eastAsia="en-US"/>
        </w:rPr>
        <w:t>licence</w:t>
      </w:r>
      <w:r w:rsidRPr="00006789">
        <w:rPr>
          <w:lang w:eastAsia="en-US"/>
        </w:rPr>
        <w:t xml:space="preserve"> being applied for (Class 2 ABR general expenditure) is currently subject to an uplift rate equal to </w:t>
      </w:r>
      <w:r w:rsidR="0085661A" w:rsidRPr="00006789">
        <w:rPr>
          <w:lang w:eastAsia="en-US"/>
        </w:rPr>
        <w:t xml:space="preserve">the </w:t>
      </w:r>
      <w:r w:rsidRPr="00006789">
        <w:rPr>
          <w:lang w:eastAsia="en-US"/>
        </w:rPr>
        <w:t>LTBR+5 percentage points</w:t>
      </w:r>
      <w:r w:rsidR="002825FF" w:rsidRPr="00006789">
        <w:rPr>
          <w:lang w:eastAsia="en-US"/>
        </w:rPr>
        <w:t xml:space="preserve"> (section </w:t>
      </w:r>
      <w:r w:rsidR="00CA0854" w:rsidRPr="00006789">
        <w:rPr>
          <w:lang w:eastAsia="en-US"/>
        </w:rPr>
        <w:t>34A</w:t>
      </w:r>
      <w:r w:rsidR="002825FF" w:rsidRPr="00006789">
        <w:rPr>
          <w:lang w:eastAsia="en-US"/>
        </w:rPr>
        <w:t xml:space="preserve"> of the Act)</w:t>
      </w:r>
      <w:r w:rsidRPr="00006789">
        <w:rPr>
          <w:lang w:eastAsia="en-US"/>
        </w:rPr>
        <w:t>.</w:t>
      </w:r>
    </w:p>
    <w:p w14:paraId="6B4907E6" w14:textId="70E8D8C5" w:rsidR="00894280" w:rsidRPr="00E63B3D" w:rsidRDefault="00894280" w:rsidP="002825FF">
      <w:pPr>
        <w:pStyle w:val="base-text-paragraph"/>
        <w:keepLines/>
      </w:pPr>
      <w:r w:rsidRPr="00E63B3D">
        <w:t xml:space="preserve">General expenditure incurred </w:t>
      </w:r>
      <w:r w:rsidR="002825FF" w:rsidRPr="00E63B3D">
        <w:t>less</w:t>
      </w:r>
      <w:r w:rsidRPr="00E63B3D">
        <w:t xml:space="preserve"> than five years prior to a production </w:t>
      </w:r>
      <w:r w:rsidR="0088014A" w:rsidRPr="00E63B3D">
        <w:t>licence</w:t>
      </w:r>
      <w:r w:rsidRPr="00E63B3D">
        <w:t xml:space="preserve"> being applied for in relation to a new petroleum project is subject to</w:t>
      </w:r>
      <w:r w:rsidR="00F2497A" w:rsidRPr="00E63B3D">
        <w:t xml:space="preserve"> the following uplift rates</w:t>
      </w:r>
      <w:r w:rsidRPr="00E63B3D">
        <w:t>:</w:t>
      </w:r>
    </w:p>
    <w:p w14:paraId="6BC0ECCD" w14:textId="1C0BE09D" w:rsidR="00894280" w:rsidRPr="00E63B3D" w:rsidRDefault="00894280" w:rsidP="002825FF">
      <w:pPr>
        <w:pStyle w:val="dotpoint"/>
        <w:keepLines/>
      </w:pPr>
      <w:r w:rsidRPr="00E63B3D">
        <w:t xml:space="preserve">for the ten years after the project first earns assessable petroleum receipts – an uplift rate equal to </w:t>
      </w:r>
      <w:r w:rsidR="0085661A" w:rsidRPr="00E63B3D">
        <w:t xml:space="preserve">the </w:t>
      </w:r>
      <w:r w:rsidRPr="00E63B3D">
        <w:t>LTBR+5</w:t>
      </w:r>
      <w:r w:rsidR="00006789">
        <w:t> </w:t>
      </w:r>
      <w:r w:rsidRPr="00E63B3D">
        <w:t>percentage points</w:t>
      </w:r>
      <w:r w:rsidR="00F2497A" w:rsidRPr="00E63B3D">
        <w:t>;</w:t>
      </w:r>
      <w:r w:rsidR="00F2497A" w:rsidRPr="00E63B3D">
        <w:rPr>
          <w:rStyle w:val="Referencingstyle"/>
        </w:rPr>
        <w:t xml:space="preserve"> [Schedule 1, </w:t>
      </w:r>
      <w:r w:rsidR="00006789">
        <w:rPr>
          <w:rStyle w:val="Referencingstyle"/>
        </w:rPr>
        <w:t xml:space="preserve">item </w:t>
      </w:r>
      <w:r w:rsidR="00912F33">
        <w:rPr>
          <w:rStyle w:val="Referencingstyle"/>
        </w:rPr>
        <w:t>4</w:t>
      </w:r>
      <w:r w:rsidR="00F2497A" w:rsidRPr="00E63B3D">
        <w:rPr>
          <w:rStyle w:val="Referencingstyle"/>
        </w:rPr>
        <w:t xml:space="preserve">, </w:t>
      </w:r>
      <w:r w:rsidR="00006789">
        <w:rPr>
          <w:rStyle w:val="Referencingstyle"/>
        </w:rPr>
        <w:t>subsection </w:t>
      </w:r>
      <w:r w:rsidR="00F2497A" w:rsidRPr="00E63B3D">
        <w:rPr>
          <w:rStyle w:val="Referencingstyle"/>
        </w:rPr>
        <w:t xml:space="preserve">34A(4) </w:t>
      </w:r>
      <w:r w:rsidR="00006789" w:rsidRPr="00E63B3D">
        <w:rPr>
          <w:rStyle w:val="Referencingstyle"/>
        </w:rPr>
        <w:t>(</w:t>
      </w:r>
      <w:r w:rsidR="00006789">
        <w:rPr>
          <w:rStyle w:val="Referencingstyle"/>
        </w:rPr>
        <w:t xml:space="preserve">paragraph (c) of the </w:t>
      </w:r>
      <w:r w:rsidR="00006789" w:rsidRPr="00E63B3D">
        <w:rPr>
          <w:rStyle w:val="Referencingstyle"/>
        </w:rPr>
        <w:t>definition of ‘</w:t>
      </w:r>
      <w:r w:rsidR="0053619B">
        <w:rPr>
          <w:rStyle w:val="Referencingstyle"/>
        </w:rPr>
        <w:t>uplift</w:t>
      </w:r>
      <w:r w:rsidR="00006789">
        <w:rPr>
          <w:rStyle w:val="Referencingstyle"/>
        </w:rPr>
        <w:t xml:space="preserve"> rate</w:t>
      </w:r>
      <w:r w:rsidR="00006789" w:rsidRPr="00E63B3D">
        <w:rPr>
          <w:rStyle w:val="Referencingstyle"/>
        </w:rPr>
        <w:t>’)</w:t>
      </w:r>
      <w:r w:rsidR="00006789" w:rsidRPr="00E63B3D" w:rsidDel="00006789">
        <w:rPr>
          <w:rStyle w:val="Referencingstyle"/>
        </w:rPr>
        <w:t xml:space="preserve"> </w:t>
      </w:r>
      <w:r w:rsidR="00F2497A" w:rsidRPr="00E63B3D">
        <w:rPr>
          <w:rStyle w:val="Referencingstyle"/>
        </w:rPr>
        <w:t>of the Act]</w:t>
      </w:r>
      <w:r w:rsidR="00F2497A" w:rsidRPr="00E63B3D">
        <w:t xml:space="preserve"> </w:t>
      </w:r>
    </w:p>
    <w:p w14:paraId="60C785FE" w14:textId="0EB4B4D0" w:rsidR="00D84645" w:rsidRPr="00E63B3D" w:rsidRDefault="00894280" w:rsidP="002825FF">
      <w:pPr>
        <w:pStyle w:val="dotpoint"/>
        <w:keepLines/>
        <w:rPr>
          <w:rStyle w:val="Referencingstyle"/>
          <w:b w:val="0"/>
          <w:i w:val="0"/>
          <w:sz w:val="22"/>
        </w:rPr>
      </w:pPr>
      <w:r w:rsidRPr="00006789">
        <w:t>then – an uplift rate equal to the LTBR.</w:t>
      </w:r>
      <w:r w:rsidR="00F2497A" w:rsidRPr="00E63B3D">
        <w:rPr>
          <w:rStyle w:val="Referencingstyle"/>
        </w:rPr>
        <w:t xml:space="preserve"> </w:t>
      </w:r>
      <w:r w:rsidR="00006789" w:rsidRPr="00E63B3D">
        <w:rPr>
          <w:rStyle w:val="Referencingstyle"/>
        </w:rPr>
        <w:t xml:space="preserve">[Schedule 1, </w:t>
      </w:r>
      <w:r w:rsidR="00006789">
        <w:rPr>
          <w:rStyle w:val="Referencingstyle"/>
        </w:rPr>
        <w:t xml:space="preserve">item </w:t>
      </w:r>
      <w:r w:rsidR="00912F33">
        <w:rPr>
          <w:rStyle w:val="Referencingstyle"/>
        </w:rPr>
        <w:t>4</w:t>
      </w:r>
      <w:r w:rsidR="00006789" w:rsidRPr="00E63B3D">
        <w:rPr>
          <w:rStyle w:val="Referencingstyle"/>
        </w:rPr>
        <w:t xml:space="preserve">, </w:t>
      </w:r>
      <w:r w:rsidR="00006789">
        <w:rPr>
          <w:rStyle w:val="Referencingstyle"/>
        </w:rPr>
        <w:t>subsection </w:t>
      </w:r>
      <w:r w:rsidR="00006789" w:rsidRPr="00E63B3D">
        <w:rPr>
          <w:rStyle w:val="Referencingstyle"/>
        </w:rPr>
        <w:t>34A(4) (</w:t>
      </w:r>
      <w:r w:rsidR="00006789">
        <w:rPr>
          <w:rStyle w:val="Referencingstyle"/>
        </w:rPr>
        <w:t xml:space="preserve">paragraphs (a) and (b) of the </w:t>
      </w:r>
      <w:r w:rsidR="00006789" w:rsidRPr="00E63B3D">
        <w:rPr>
          <w:rStyle w:val="Referencingstyle"/>
        </w:rPr>
        <w:t>definition of ‘</w:t>
      </w:r>
      <w:r w:rsidR="0053619B">
        <w:rPr>
          <w:rStyle w:val="Referencingstyle"/>
        </w:rPr>
        <w:t>uplift</w:t>
      </w:r>
      <w:r w:rsidR="00006789">
        <w:rPr>
          <w:rStyle w:val="Referencingstyle"/>
        </w:rPr>
        <w:t xml:space="preserve"> rate</w:t>
      </w:r>
      <w:r w:rsidR="00006789" w:rsidRPr="00E63B3D">
        <w:rPr>
          <w:rStyle w:val="Referencingstyle"/>
        </w:rPr>
        <w:t>’)</w:t>
      </w:r>
      <w:r w:rsidR="00006789" w:rsidRPr="00E63B3D" w:rsidDel="00006789">
        <w:rPr>
          <w:rStyle w:val="Referencingstyle"/>
        </w:rPr>
        <w:t xml:space="preserve"> </w:t>
      </w:r>
      <w:r w:rsidR="00006789" w:rsidRPr="00E63B3D">
        <w:rPr>
          <w:rStyle w:val="Referencingstyle"/>
        </w:rPr>
        <w:t>of the Act]</w:t>
      </w:r>
    </w:p>
    <w:p w14:paraId="1459C8D2" w14:textId="29EEC67A" w:rsidR="005B2F59" w:rsidRPr="00E63B3D" w:rsidRDefault="005B2F59" w:rsidP="002825FF">
      <w:pPr>
        <w:pStyle w:val="Heading4"/>
        <w:keepLines/>
      </w:pPr>
      <w:r w:rsidRPr="00E63B3D">
        <w:t xml:space="preserve">New </w:t>
      </w:r>
      <w:r w:rsidR="00964C40">
        <w:t xml:space="preserve">petroleum </w:t>
      </w:r>
      <w:r w:rsidR="00BD0EE2" w:rsidRPr="00E63B3D">
        <w:t>projects</w:t>
      </w:r>
    </w:p>
    <w:p w14:paraId="35724835" w14:textId="0BB18EF2" w:rsidR="00894280" w:rsidRPr="00E63B3D" w:rsidRDefault="00894280" w:rsidP="002825FF">
      <w:pPr>
        <w:pStyle w:val="base-text-paragraph"/>
        <w:keepLines/>
      </w:pPr>
      <w:r w:rsidRPr="00E63B3D">
        <w:t xml:space="preserve">A </w:t>
      </w:r>
      <w:r w:rsidR="00964C40">
        <w:t xml:space="preserve">petroleum </w:t>
      </w:r>
      <w:r w:rsidRPr="00E63B3D">
        <w:t xml:space="preserve">project is </w:t>
      </w:r>
      <w:r w:rsidR="00A1348D" w:rsidRPr="00E63B3D">
        <w:t xml:space="preserve">generally </w:t>
      </w:r>
      <w:r w:rsidRPr="00E63B3D">
        <w:t>a new project subject to the amended general expenditure uplift rates if:</w:t>
      </w:r>
    </w:p>
    <w:p w14:paraId="51C3439B" w14:textId="2697BCB2" w:rsidR="00894280" w:rsidRPr="00E63B3D" w:rsidRDefault="00894280" w:rsidP="002825FF">
      <w:pPr>
        <w:pStyle w:val="dotpoint"/>
        <w:keepLines/>
      </w:pPr>
      <w:r w:rsidRPr="00E63B3D">
        <w:t>there is a production licence notice for the project and the notice specifies a date on or after 1 July 2019; or</w:t>
      </w:r>
    </w:p>
    <w:p w14:paraId="262EAF97" w14:textId="5D35BC5F" w:rsidR="00894280" w:rsidRPr="00E63B3D" w:rsidRDefault="00894280" w:rsidP="002825FF">
      <w:pPr>
        <w:pStyle w:val="dotpoint"/>
        <w:keepLines/>
      </w:pPr>
      <w:r w:rsidRPr="00E63B3D">
        <w:t xml:space="preserve">if there is no production licence notice, the production licence was granted on or after 1 July 2019. </w:t>
      </w:r>
    </w:p>
    <w:p w14:paraId="684B0D0C" w14:textId="40FCC45A" w:rsidR="002064F3" w:rsidRPr="00E63B3D" w:rsidRDefault="002064F3" w:rsidP="002825FF">
      <w:pPr>
        <w:pStyle w:val="dotpoint"/>
        <w:keepLines/>
        <w:numPr>
          <w:ilvl w:val="0"/>
          <w:numId w:val="0"/>
        </w:numPr>
        <w:ind w:left="1984"/>
        <w:rPr>
          <w:rStyle w:val="Referencingstyle"/>
        </w:rPr>
      </w:pPr>
      <w:r w:rsidRPr="00E63B3D">
        <w:rPr>
          <w:rStyle w:val="Referencingstyle"/>
        </w:rPr>
        <w:t>[Schedule 1, item</w:t>
      </w:r>
      <w:r w:rsidR="007F42AF" w:rsidRPr="00E63B3D">
        <w:rPr>
          <w:rStyle w:val="Referencingstyle"/>
        </w:rPr>
        <w:t>s</w:t>
      </w:r>
      <w:r w:rsidRPr="00E63B3D">
        <w:rPr>
          <w:rStyle w:val="Referencingstyle"/>
        </w:rPr>
        <w:t xml:space="preserve"> </w:t>
      </w:r>
      <w:r w:rsidR="00912F33">
        <w:rPr>
          <w:rStyle w:val="Referencingstyle"/>
        </w:rPr>
        <w:t>4</w:t>
      </w:r>
      <w:r w:rsidR="00006789" w:rsidRPr="00E63B3D">
        <w:rPr>
          <w:rStyle w:val="Referencingstyle"/>
        </w:rPr>
        <w:t xml:space="preserve"> </w:t>
      </w:r>
      <w:r w:rsidR="00006789">
        <w:rPr>
          <w:rStyle w:val="Referencingstyle"/>
        </w:rPr>
        <w:t>and</w:t>
      </w:r>
      <w:r w:rsidR="00006789" w:rsidRPr="00E63B3D">
        <w:rPr>
          <w:rStyle w:val="Referencingstyle"/>
        </w:rPr>
        <w:t xml:space="preserve"> </w:t>
      </w:r>
      <w:r w:rsidR="00912F33">
        <w:rPr>
          <w:rStyle w:val="Referencingstyle"/>
        </w:rPr>
        <w:t>5</w:t>
      </w:r>
      <w:r w:rsidRPr="00E63B3D">
        <w:rPr>
          <w:rStyle w:val="Referencingstyle"/>
        </w:rPr>
        <w:t xml:space="preserve">, </w:t>
      </w:r>
      <w:r w:rsidR="00006789">
        <w:rPr>
          <w:rStyle w:val="Referencingstyle"/>
        </w:rPr>
        <w:t>subsection</w:t>
      </w:r>
      <w:r w:rsidR="00006789" w:rsidRPr="00E63B3D">
        <w:rPr>
          <w:rStyle w:val="Referencingstyle"/>
        </w:rPr>
        <w:t xml:space="preserve"> </w:t>
      </w:r>
      <w:r w:rsidRPr="00E63B3D">
        <w:rPr>
          <w:rStyle w:val="Referencingstyle"/>
        </w:rPr>
        <w:t>34A(4)</w:t>
      </w:r>
      <w:r w:rsidR="00006789" w:rsidRPr="00E63B3D">
        <w:rPr>
          <w:rStyle w:val="Referencingstyle"/>
        </w:rPr>
        <w:t xml:space="preserve"> (</w:t>
      </w:r>
      <w:r w:rsidR="00586387">
        <w:rPr>
          <w:rStyle w:val="Referencingstyle"/>
        </w:rPr>
        <w:t>subparagraphs</w:t>
      </w:r>
      <w:r w:rsidR="00006789">
        <w:rPr>
          <w:rStyle w:val="Referencingstyle"/>
        </w:rPr>
        <w:t xml:space="preserve"> </w:t>
      </w:r>
      <w:r w:rsidR="00006789" w:rsidRPr="00E63B3D">
        <w:rPr>
          <w:rStyle w:val="Referencingstyle"/>
        </w:rPr>
        <w:t>(a)(i) and (ii)</w:t>
      </w:r>
      <w:r w:rsidR="00006789">
        <w:rPr>
          <w:rStyle w:val="Referencingstyle"/>
        </w:rPr>
        <w:t xml:space="preserve"> of the </w:t>
      </w:r>
      <w:r w:rsidR="00006789" w:rsidRPr="00E63B3D">
        <w:rPr>
          <w:rStyle w:val="Referencingstyle"/>
        </w:rPr>
        <w:t>definition of ‘</w:t>
      </w:r>
      <w:r w:rsidR="0053619B">
        <w:rPr>
          <w:rStyle w:val="Referencingstyle"/>
        </w:rPr>
        <w:t>uplift</w:t>
      </w:r>
      <w:r w:rsidR="00006789">
        <w:rPr>
          <w:rStyle w:val="Referencingstyle"/>
        </w:rPr>
        <w:t xml:space="preserve"> rate</w:t>
      </w:r>
      <w:r w:rsidR="00006789" w:rsidRPr="00E63B3D">
        <w:rPr>
          <w:rStyle w:val="Referencingstyle"/>
        </w:rPr>
        <w:t>’)</w:t>
      </w:r>
      <w:r w:rsidRPr="00E63B3D">
        <w:rPr>
          <w:rStyle w:val="Referencingstyle"/>
        </w:rPr>
        <w:t xml:space="preserve"> </w:t>
      </w:r>
      <w:r w:rsidR="007F42AF" w:rsidRPr="00E63B3D">
        <w:rPr>
          <w:rStyle w:val="Referencingstyle"/>
        </w:rPr>
        <w:t>and subsection</w:t>
      </w:r>
      <w:r w:rsidR="00006789">
        <w:rPr>
          <w:rStyle w:val="Referencingstyle"/>
        </w:rPr>
        <w:t> </w:t>
      </w:r>
      <w:r w:rsidR="007F42AF" w:rsidRPr="00E63B3D">
        <w:rPr>
          <w:rStyle w:val="Referencingstyle"/>
        </w:rPr>
        <w:t>34A(5) (definition of ‘post</w:t>
      </w:r>
      <w:r w:rsidR="007F42AF" w:rsidRPr="00E63B3D">
        <w:rPr>
          <w:rStyle w:val="Referencingstyle"/>
        </w:rPr>
        <w:noBreakHyphen/>
        <w:t>June 2019 licence</w:t>
      </w:r>
      <w:r w:rsidR="0049426A" w:rsidRPr="00E63B3D">
        <w:rPr>
          <w:rStyle w:val="Referencingstyle"/>
        </w:rPr>
        <w:t>’</w:t>
      </w:r>
      <w:r w:rsidR="007F42AF" w:rsidRPr="00E63B3D">
        <w:rPr>
          <w:rStyle w:val="Referencingstyle"/>
        </w:rPr>
        <w:t xml:space="preserve">) </w:t>
      </w:r>
      <w:r w:rsidRPr="00E63B3D">
        <w:rPr>
          <w:rStyle w:val="Referencingstyle"/>
        </w:rPr>
        <w:t>of the Act]</w:t>
      </w:r>
    </w:p>
    <w:p w14:paraId="7400C941" w14:textId="3C58732A" w:rsidR="00894280" w:rsidRPr="00912F33" w:rsidRDefault="00894280" w:rsidP="00912F33">
      <w:pPr>
        <w:pStyle w:val="base-text-paragraph"/>
        <w:keepLines/>
        <w:rPr>
          <w:rStyle w:val="Referencingstyle"/>
          <w:b w:val="0"/>
          <w:i w:val="0"/>
          <w:sz w:val="22"/>
        </w:rPr>
      </w:pPr>
      <w:r w:rsidRPr="00006789">
        <w:lastRenderedPageBreak/>
        <w:t xml:space="preserve">A production licence notice specifies the day sufficient information has been provided to support an application for a production licence (subsection 258(7) of the </w:t>
      </w:r>
      <w:r w:rsidRPr="00912F33">
        <w:rPr>
          <w:i/>
        </w:rPr>
        <w:t>Offshore Petroleum and Greenhouse Gas Storage Act 2006</w:t>
      </w:r>
      <w:r w:rsidR="00A52694" w:rsidRPr="00E63B3D">
        <w:t>)</w:t>
      </w:r>
      <w:r w:rsidRPr="00E63B3D">
        <w:t xml:space="preserve">. </w:t>
      </w:r>
      <w:r w:rsidR="00006789">
        <w:t xml:space="preserve">As such, the date specified in the notice is often referred to as the application date, even if an incomplete application was made at an earlier date. </w:t>
      </w:r>
      <w:r w:rsidR="007F42AF" w:rsidRPr="00E63B3D">
        <w:rPr>
          <w:rStyle w:val="Referencingstyle"/>
        </w:rPr>
        <w:t>[Schedule 1, item</w:t>
      </w:r>
      <w:r w:rsidR="00912F33">
        <w:rPr>
          <w:rStyle w:val="Referencingstyle"/>
        </w:rPr>
        <w:t>s</w:t>
      </w:r>
      <w:r w:rsidR="007F42AF" w:rsidRPr="00E63B3D">
        <w:rPr>
          <w:rStyle w:val="Referencingstyle"/>
        </w:rPr>
        <w:t xml:space="preserve"> </w:t>
      </w:r>
      <w:r w:rsidR="00912F33">
        <w:rPr>
          <w:rStyle w:val="Referencingstyle"/>
        </w:rPr>
        <w:t>1 and 5</w:t>
      </w:r>
      <w:r w:rsidR="007F42AF" w:rsidRPr="00E63B3D">
        <w:rPr>
          <w:rStyle w:val="Referencingstyle"/>
        </w:rPr>
        <w:t>, subsection 34A(5) (paragraph</w:t>
      </w:r>
      <w:r w:rsidR="00912F33">
        <w:rPr>
          <w:rStyle w:val="Referencingstyle"/>
        </w:rPr>
        <w:t> </w:t>
      </w:r>
      <w:r w:rsidR="007F42AF" w:rsidRPr="00E63B3D">
        <w:rPr>
          <w:rStyle w:val="Referencingstyle"/>
        </w:rPr>
        <w:t>(a) of the definition of ‘post</w:t>
      </w:r>
      <w:r w:rsidR="007F42AF" w:rsidRPr="00E63B3D">
        <w:rPr>
          <w:rStyle w:val="Referencingstyle"/>
        </w:rPr>
        <w:noBreakHyphen/>
        <w:t>June 2019 licence</w:t>
      </w:r>
      <w:r w:rsidR="0049426A" w:rsidRPr="00E63B3D">
        <w:rPr>
          <w:rStyle w:val="Referencingstyle"/>
        </w:rPr>
        <w:t>’</w:t>
      </w:r>
      <w:r w:rsidR="007F42AF" w:rsidRPr="00E63B3D">
        <w:rPr>
          <w:rStyle w:val="Referencingstyle"/>
        </w:rPr>
        <w:t>) of the Act</w:t>
      </w:r>
      <w:r w:rsidR="00912F33">
        <w:rPr>
          <w:rStyle w:val="Referencingstyle"/>
        </w:rPr>
        <w:t xml:space="preserve"> and the note to subsection 258(7) of the </w:t>
      </w:r>
      <w:r w:rsidR="00912F33" w:rsidRPr="00912F33">
        <w:rPr>
          <w:rStyle w:val="Referencingstyle"/>
        </w:rPr>
        <w:t>Offshore Petroleum and Greenhouse Gas Storage Act 2006</w:t>
      </w:r>
      <w:r w:rsidR="007F42AF" w:rsidRPr="00E63B3D">
        <w:rPr>
          <w:rStyle w:val="Referencingstyle"/>
        </w:rPr>
        <w:t>]</w:t>
      </w:r>
    </w:p>
    <w:p w14:paraId="216F5D41" w14:textId="512602BF" w:rsidR="00BD0EE2" w:rsidRPr="00E63B3D" w:rsidRDefault="00BD0EE2" w:rsidP="002825FF">
      <w:pPr>
        <w:pStyle w:val="base-text-paragraph"/>
        <w:keepLines/>
      </w:pPr>
      <w:r w:rsidRPr="00E63B3D">
        <w:t xml:space="preserve">Similar principles are relevant for determining whether general expenditure </w:t>
      </w:r>
      <w:r w:rsidRPr="00006789">
        <w:rPr>
          <w:lang w:eastAsia="en-US"/>
        </w:rPr>
        <w:t xml:space="preserve">was incurred less than five years prior to the application for the production </w:t>
      </w:r>
      <w:r w:rsidR="0088014A" w:rsidRPr="00006789">
        <w:rPr>
          <w:lang w:eastAsia="en-US"/>
        </w:rPr>
        <w:t>licence</w:t>
      </w:r>
      <w:r w:rsidR="00CA0854" w:rsidRPr="00006789">
        <w:rPr>
          <w:lang w:eastAsia="en-US"/>
        </w:rPr>
        <w:t xml:space="preserve"> (paragraph 34A(1)(a) of the Act)</w:t>
      </w:r>
      <w:r w:rsidRPr="00006789">
        <w:rPr>
          <w:lang w:eastAsia="en-US"/>
        </w:rPr>
        <w:t xml:space="preserve">. </w:t>
      </w:r>
    </w:p>
    <w:p w14:paraId="405E8A1B" w14:textId="2DAB5883" w:rsidR="00BD0EE2" w:rsidRPr="00E63B3D" w:rsidRDefault="00BD0EE2" w:rsidP="00BD0EE2">
      <w:pPr>
        <w:pStyle w:val="Heading4"/>
      </w:pPr>
      <w:r w:rsidRPr="00E63B3D">
        <w:t>New combined projects</w:t>
      </w:r>
    </w:p>
    <w:p w14:paraId="51CD32C3" w14:textId="36E6A7CF" w:rsidR="00F2497A" w:rsidRPr="00E63B3D" w:rsidRDefault="00A1348D" w:rsidP="002825FF">
      <w:pPr>
        <w:pStyle w:val="base-text-paragraph"/>
        <w:keepLines/>
      </w:pPr>
      <w:r w:rsidRPr="00E63B3D">
        <w:t xml:space="preserve">Petroleum projects may be combined under combination certificates issued by the Minister for Resources if the projects are sufficiently related (subsection 20(1) of the Act). </w:t>
      </w:r>
      <w:r w:rsidR="00F2497A" w:rsidRPr="00E63B3D">
        <w:t xml:space="preserve">All of the production licences relating to the Bass Strait exploration permit are taken to be a single </w:t>
      </w:r>
      <w:r w:rsidR="00964C40">
        <w:t xml:space="preserve">petroleum </w:t>
      </w:r>
      <w:r w:rsidR="00F2497A" w:rsidRPr="00E63B3D">
        <w:t xml:space="preserve">project, as are the licences relating to the North West Shelf exploration permits (subsection 19(1A) and 19(1B) of the Act). </w:t>
      </w:r>
    </w:p>
    <w:p w14:paraId="7314C9BF" w14:textId="6C5D9697" w:rsidR="00A1348D" w:rsidRPr="00E63B3D" w:rsidRDefault="00A1348D" w:rsidP="002825FF">
      <w:pPr>
        <w:pStyle w:val="base-text-paragraph"/>
        <w:keepLines/>
      </w:pPr>
      <w:r w:rsidRPr="00E63B3D">
        <w:t xml:space="preserve">A combined </w:t>
      </w:r>
      <w:r w:rsidR="00964C40">
        <w:t xml:space="preserve">petroleum </w:t>
      </w:r>
      <w:r w:rsidRPr="00E63B3D">
        <w:t>project is a new project subject to the amended general expenditure uplift rates if</w:t>
      </w:r>
      <w:r w:rsidR="002064F3" w:rsidRPr="00E63B3D">
        <w:t xml:space="preserve"> one or more of the production licences that make up the combined project</w:t>
      </w:r>
      <w:r w:rsidRPr="00E63B3D">
        <w:t>:</w:t>
      </w:r>
    </w:p>
    <w:p w14:paraId="6ABB4FDF" w14:textId="4AA8C234" w:rsidR="002064F3" w:rsidRPr="00E63B3D" w:rsidRDefault="002064F3" w:rsidP="002825FF">
      <w:pPr>
        <w:pStyle w:val="dotpoint"/>
        <w:keepLines/>
      </w:pPr>
      <w:r w:rsidRPr="00E63B3D">
        <w:t>is subject to a production licence notice and the notice specifies a date on or after 1 July 2019; or</w:t>
      </w:r>
    </w:p>
    <w:p w14:paraId="2EF402CB" w14:textId="77777777" w:rsidR="002064F3" w:rsidRPr="00E63B3D" w:rsidRDefault="002064F3" w:rsidP="002825FF">
      <w:pPr>
        <w:pStyle w:val="dotpoint"/>
        <w:keepLines/>
      </w:pPr>
      <w:r w:rsidRPr="00E63B3D">
        <w:t xml:space="preserve">if there is no production licence notice, the production licence was granted on or after 1 July 2019. </w:t>
      </w:r>
    </w:p>
    <w:p w14:paraId="1F6D3774" w14:textId="44830541" w:rsidR="002064F3" w:rsidRPr="00E63B3D" w:rsidRDefault="002064F3" w:rsidP="002825FF">
      <w:pPr>
        <w:pStyle w:val="base-text-paragraph"/>
        <w:keepLines/>
        <w:numPr>
          <w:ilvl w:val="0"/>
          <w:numId w:val="0"/>
        </w:numPr>
        <w:ind w:left="1984"/>
        <w:rPr>
          <w:rStyle w:val="Referencingstyle"/>
        </w:rPr>
      </w:pPr>
      <w:r w:rsidRPr="00E63B3D">
        <w:rPr>
          <w:rStyle w:val="Referencingstyle"/>
        </w:rPr>
        <w:t>[Schedule 1, item</w:t>
      </w:r>
      <w:r w:rsidR="00586387">
        <w:rPr>
          <w:rStyle w:val="Referencingstyle"/>
        </w:rPr>
        <w:t>s</w:t>
      </w:r>
      <w:r w:rsidRPr="00E63B3D">
        <w:rPr>
          <w:rStyle w:val="Referencingstyle"/>
        </w:rPr>
        <w:t xml:space="preserve"> </w:t>
      </w:r>
      <w:r w:rsidR="00912F33">
        <w:rPr>
          <w:rStyle w:val="Referencingstyle"/>
        </w:rPr>
        <w:t>4</w:t>
      </w:r>
      <w:r w:rsidR="00586387">
        <w:rPr>
          <w:rStyle w:val="Referencingstyle"/>
        </w:rPr>
        <w:t xml:space="preserve"> and </w:t>
      </w:r>
      <w:r w:rsidR="00912F33">
        <w:rPr>
          <w:rStyle w:val="Referencingstyle"/>
        </w:rPr>
        <w:t>5</w:t>
      </w:r>
      <w:r w:rsidRPr="00E63B3D">
        <w:rPr>
          <w:rStyle w:val="Referencingstyle"/>
        </w:rPr>
        <w:t>, sub</w:t>
      </w:r>
      <w:r w:rsidR="00586387">
        <w:rPr>
          <w:rStyle w:val="Referencingstyle"/>
        </w:rPr>
        <w:t>section</w:t>
      </w:r>
      <w:r w:rsidRPr="00E63B3D">
        <w:rPr>
          <w:rStyle w:val="Referencingstyle"/>
        </w:rPr>
        <w:t xml:space="preserve">s 34A(4) </w:t>
      </w:r>
      <w:r w:rsidR="005B2F59" w:rsidRPr="00E63B3D">
        <w:rPr>
          <w:rStyle w:val="Referencingstyle"/>
        </w:rPr>
        <w:t>(</w:t>
      </w:r>
      <w:r w:rsidR="00586387">
        <w:rPr>
          <w:rStyle w:val="Referencingstyle"/>
        </w:rPr>
        <w:t xml:space="preserve">subparagraphs </w:t>
      </w:r>
      <w:r w:rsidR="00586387" w:rsidRPr="00E63B3D">
        <w:rPr>
          <w:rStyle w:val="Referencingstyle"/>
        </w:rPr>
        <w:t>(b)(i) and (ii)</w:t>
      </w:r>
      <w:r w:rsidR="00586387">
        <w:rPr>
          <w:rStyle w:val="Referencingstyle"/>
        </w:rPr>
        <w:t xml:space="preserve"> of the </w:t>
      </w:r>
      <w:r w:rsidR="005B2F59" w:rsidRPr="00E63B3D">
        <w:rPr>
          <w:rStyle w:val="Referencingstyle"/>
        </w:rPr>
        <w:t xml:space="preserve">definition of ‘augmented bond rate’) </w:t>
      </w:r>
      <w:r w:rsidR="0049426A" w:rsidRPr="00E63B3D">
        <w:rPr>
          <w:rStyle w:val="Referencingstyle"/>
        </w:rPr>
        <w:t>and subsection 34A(5) (definition of ‘post</w:t>
      </w:r>
      <w:r w:rsidR="0049426A" w:rsidRPr="00E63B3D">
        <w:rPr>
          <w:rStyle w:val="Referencingstyle"/>
        </w:rPr>
        <w:noBreakHyphen/>
        <w:t xml:space="preserve">June 2019 licence’) </w:t>
      </w:r>
      <w:r w:rsidRPr="00E63B3D">
        <w:rPr>
          <w:rStyle w:val="Referencingstyle"/>
        </w:rPr>
        <w:t>of the Act]</w:t>
      </w:r>
    </w:p>
    <w:p w14:paraId="36013E5E" w14:textId="716D5F29" w:rsidR="008F63D5" w:rsidRPr="00E63B3D" w:rsidRDefault="00964C40" w:rsidP="002825FF">
      <w:pPr>
        <w:pStyle w:val="base-text-paragraph"/>
        <w:keepLines/>
        <w:rPr>
          <w:rStyle w:val="Referencingstyle"/>
          <w:b w:val="0"/>
          <w:i w:val="0"/>
          <w:sz w:val="22"/>
        </w:rPr>
      </w:pPr>
      <w:r>
        <w:t>Petroleum p</w:t>
      </w:r>
      <w:r w:rsidR="008F63D5" w:rsidRPr="00006789">
        <w:t xml:space="preserve">rojects and combined projects that are not new projects are not subject to the amendments to the general expenditure uplift rates. </w:t>
      </w:r>
      <w:r w:rsidR="008F63D5" w:rsidRPr="00006789">
        <w:rPr>
          <w:lang w:eastAsia="en-US"/>
        </w:rPr>
        <w:t>Class 2 ABR general expenditure</w:t>
      </w:r>
      <w:r w:rsidR="008F63D5" w:rsidRPr="00E63B3D">
        <w:t xml:space="preserve"> </w:t>
      </w:r>
      <w:r w:rsidR="0049426A" w:rsidRPr="00E63B3D">
        <w:t xml:space="preserve">incurred </w:t>
      </w:r>
      <w:r w:rsidR="008F63D5" w:rsidRPr="00E63B3D">
        <w:t xml:space="preserve">in relation to these </w:t>
      </w:r>
      <w:r>
        <w:t xml:space="preserve">petroleum </w:t>
      </w:r>
      <w:r w:rsidR="008F63D5" w:rsidRPr="00E63B3D">
        <w:t xml:space="preserve">projects continues to be uplifted at the </w:t>
      </w:r>
      <w:r w:rsidR="008F63D5" w:rsidRPr="00006789">
        <w:rPr>
          <w:lang w:eastAsia="en-US"/>
        </w:rPr>
        <w:t xml:space="preserve">rate equal to </w:t>
      </w:r>
      <w:r w:rsidR="0085661A" w:rsidRPr="00006789">
        <w:rPr>
          <w:lang w:eastAsia="en-US"/>
        </w:rPr>
        <w:t xml:space="preserve">the </w:t>
      </w:r>
      <w:r w:rsidR="008F63D5" w:rsidRPr="00006789">
        <w:rPr>
          <w:lang w:eastAsia="en-US"/>
        </w:rPr>
        <w:t>LTBR+5 percentage points.</w:t>
      </w:r>
      <w:r w:rsidR="009F3C75" w:rsidRPr="00E63B3D">
        <w:rPr>
          <w:rStyle w:val="Referencingstyle"/>
        </w:rPr>
        <w:t xml:space="preserve"> [Schedule 1, item </w:t>
      </w:r>
      <w:r w:rsidR="00912F33">
        <w:rPr>
          <w:rStyle w:val="Referencingstyle"/>
        </w:rPr>
        <w:t>4</w:t>
      </w:r>
      <w:r w:rsidR="008F63D5" w:rsidRPr="00E63B3D">
        <w:rPr>
          <w:rStyle w:val="Referencingstyle"/>
        </w:rPr>
        <w:t xml:space="preserve">, </w:t>
      </w:r>
      <w:r w:rsidR="00586387">
        <w:rPr>
          <w:rStyle w:val="Referencingstyle"/>
        </w:rPr>
        <w:t>subsection</w:t>
      </w:r>
      <w:r w:rsidR="00586387" w:rsidRPr="00E63B3D">
        <w:rPr>
          <w:rStyle w:val="Referencingstyle"/>
        </w:rPr>
        <w:t xml:space="preserve"> </w:t>
      </w:r>
      <w:r w:rsidR="008F63D5" w:rsidRPr="00E63B3D">
        <w:rPr>
          <w:rStyle w:val="Referencingstyle"/>
        </w:rPr>
        <w:t>34A(4) (</w:t>
      </w:r>
      <w:r w:rsidR="00586387">
        <w:rPr>
          <w:rStyle w:val="Referencingstyle"/>
        </w:rPr>
        <w:t xml:space="preserve">paragraph (c) of the </w:t>
      </w:r>
      <w:r w:rsidR="008F63D5" w:rsidRPr="00E63B3D">
        <w:rPr>
          <w:rStyle w:val="Referencingstyle"/>
        </w:rPr>
        <w:t>definition of ‘</w:t>
      </w:r>
      <w:r w:rsidR="0053619B">
        <w:rPr>
          <w:rStyle w:val="Referencingstyle"/>
        </w:rPr>
        <w:t>uplift</w:t>
      </w:r>
      <w:r w:rsidR="00586387">
        <w:rPr>
          <w:rStyle w:val="Referencingstyle"/>
        </w:rPr>
        <w:t xml:space="preserve"> </w:t>
      </w:r>
      <w:r w:rsidR="008F63D5" w:rsidRPr="00E63B3D">
        <w:rPr>
          <w:rStyle w:val="Referencingstyle"/>
        </w:rPr>
        <w:t>rate’) of the Act]</w:t>
      </w:r>
    </w:p>
    <w:p w14:paraId="2BDB5F2D" w14:textId="7BC66AA1" w:rsidR="005B2F59" w:rsidRPr="00E63B3D" w:rsidRDefault="005B2F59" w:rsidP="002825FF">
      <w:pPr>
        <w:pStyle w:val="Heading4"/>
        <w:keepLines/>
      </w:pPr>
      <w:r w:rsidRPr="00E63B3D">
        <w:t>The amended general expenditure uplift rates</w:t>
      </w:r>
    </w:p>
    <w:p w14:paraId="30DBCFFA" w14:textId="0BE88BDA" w:rsidR="005B2F59" w:rsidRPr="00E63B3D" w:rsidRDefault="005B2F59" w:rsidP="00586387">
      <w:pPr>
        <w:pStyle w:val="base-text-paragraph"/>
        <w:keepLines/>
      </w:pPr>
      <w:r w:rsidRPr="00E63B3D">
        <w:t xml:space="preserve">The uplift rate equal to </w:t>
      </w:r>
      <w:r w:rsidR="0085661A" w:rsidRPr="00E63B3D">
        <w:t xml:space="preserve">the </w:t>
      </w:r>
      <w:r w:rsidRPr="00E63B3D">
        <w:t xml:space="preserve">LTBR+5 percentage points continues to apply in relation to new </w:t>
      </w:r>
      <w:r w:rsidR="00964C40">
        <w:t xml:space="preserve">petroleum </w:t>
      </w:r>
      <w:r w:rsidRPr="00E63B3D">
        <w:t xml:space="preserve">projects before the project </w:t>
      </w:r>
      <w:r w:rsidR="008F63D5" w:rsidRPr="00E63B3D">
        <w:t>derives</w:t>
      </w:r>
      <w:r w:rsidRPr="00E63B3D">
        <w:t xml:space="preserve"> assessable petroleum receipts and</w:t>
      </w:r>
      <w:r w:rsidR="0049426A" w:rsidRPr="00E63B3D">
        <w:t xml:space="preserve"> for the</w:t>
      </w:r>
      <w:r w:rsidRPr="00E63B3D">
        <w:t xml:space="preserve"> ten years after the projects first </w:t>
      </w:r>
      <w:r w:rsidR="008F63D5" w:rsidRPr="00E63B3D">
        <w:t>derives</w:t>
      </w:r>
      <w:r w:rsidRPr="00E63B3D">
        <w:t xml:space="preserve"> assessable petroleum receipts. </w:t>
      </w:r>
      <w:r w:rsidR="00586387" w:rsidRPr="00586387">
        <w:rPr>
          <w:rStyle w:val="Referencingstyle"/>
        </w:rPr>
        <w:t xml:space="preserve">[Schedule 1, item </w:t>
      </w:r>
      <w:r w:rsidR="00912F33">
        <w:rPr>
          <w:rStyle w:val="Referencingstyle"/>
        </w:rPr>
        <w:t>4</w:t>
      </w:r>
      <w:r w:rsidR="00586387">
        <w:rPr>
          <w:rStyle w:val="Referencingstyle"/>
        </w:rPr>
        <w:t>, subsection 34A(4) (paragraph </w:t>
      </w:r>
      <w:r w:rsidR="00586387" w:rsidRPr="00586387">
        <w:rPr>
          <w:rStyle w:val="Referencingstyle"/>
        </w:rPr>
        <w:t>(c</w:t>
      </w:r>
      <w:r w:rsidR="0053619B">
        <w:rPr>
          <w:rStyle w:val="Referencingstyle"/>
        </w:rPr>
        <w:t>) of the definition of ‘uplift</w:t>
      </w:r>
      <w:r w:rsidR="00586387" w:rsidRPr="00586387">
        <w:rPr>
          <w:rStyle w:val="Referencingstyle"/>
        </w:rPr>
        <w:t xml:space="preserve"> rate’) of the Act]</w:t>
      </w:r>
    </w:p>
    <w:p w14:paraId="549CF2E2" w14:textId="7349E982" w:rsidR="005B2F59" w:rsidRPr="00E63B3D" w:rsidRDefault="008F63D5" w:rsidP="002825FF">
      <w:pPr>
        <w:pStyle w:val="base-text-paragraph"/>
        <w:keepLines/>
        <w:rPr>
          <w:rStyle w:val="Referencingstyle"/>
          <w:b w:val="0"/>
          <w:i w:val="0"/>
          <w:sz w:val="22"/>
        </w:rPr>
      </w:pPr>
      <w:r w:rsidRPr="00006789">
        <w:lastRenderedPageBreak/>
        <w:t>After this period elapses, the uplift rate equal to</w:t>
      </w:r>
      <w:r w:rsidR="0085661A" w:rsidRPr="00E63B3D">
        <w:t xml:space="preserve"> the</w:t>
      </w:r>
      <w:r w:rsidRPr="00E63B3D">
        <w:t xml:space="preserve"> LTBR begins to apply to the </w:t>
      </w:r>
      <w:r w:rsidR="0085661A" w:rsidRPr="00E63B3D">
        <w:t xml:space="preserve">general </w:t>
      </w:r>
      <w:r w:rsidRPr="00E63B3D">
        <w:t>expenditure</w:t>
      </w:r>
      <w:r w:rsidR="0085661A" w:rsidRPr="00E63B3D">
        <w:t xml:space="preserve"> that relates to the </w:t>
      </w:r>
      <w:r w:rsidR="00964C40">
        <w:t xml:space="preserve">petroleum </w:t>
      </w:r>
      <w:r w:rsidR="0085661A" w:rsidRPr="00E63B3D">
        <w:t>project</w:t>
      </w:r>
      <w:r w:rsidRPr="00E63B3D">
        <w:t xml:space="preserve">. </w:t>
      </w:r>
      <w:r w:rsidRPr="00E63B3D">
        <w:rPr>
          <w:rStyle w:val="Referencingstyle"/>
        </w:rPr>
        <w:t>[Schedule </w:t>
      </w:r>
      <w:r w:rsidR="0085661A" w:rsidRPr="00E63B3D">
        <w:rPr>
          <w:rStyle w:val="Referencingstyle"/>
        </w:rPr>
        <w:t>1, item </w:t>
      </w:r>
      <w:r w:rsidR="00912F33">
        <w:rPr>
          <w:rStyle w:val="Referencingstyle"/>
        </w:rPr>
        <w:t>4</w:t>
      </w:r>
      <w:r w:rsidRPr="00E63B3D">
        <w:rPr>
          <w:rStyle w:val="Referencingstyle"/>
        </w:rPr>
        <w:t xml:space="preserve">, </w:t>
      </w:r>
      <w:r w:rsidR="00586387">
        <w:rPr>
          <w:rStyle w:val="Referencingstyle"/>
        </w:rPr>
        <w:t>subsection</w:t>
      </w:r>
      <w:r w:rsidR="00586387" w:rsidRPr="00E63B3D">
        <w:rPr>
          <w:rStyle w:val="Referencingstyle"/>
        </w:rPr>
        <w:t xml:space="preserve"> </w:t>
      </w:r>
      <w:r w:rsidRPr="00E63B3D">
        <w:rPr>
          <w:rStyle w:val="Referencingstyle"/>
        </w:rPr>
        <w:t>34A(4) (</w:t>
      </w:r>
      <w:r w:rsidR="00586387">
        <w:rPr>
          <w:rStyle w:val="Referencingstyle"/>
        </w:rPr>
        <w:t xml:space="preserve">subparagraph </w:t>
      </w:r>
      <w:r w:rsidR="00586387" w:rsidRPr="00E63B3D">
        <w:rPr>
          <w:rStyle w:val="Referencingstyle"/>
        </w:rPr>
        <w:t>(a)(iii)</w:t>
      </w:r>
      <w:r w:rsidR="00586387">
        <w:rPr>
          <w:rStyle w:val="Referencingstyle"/>
        </w:rPr>
        <w:t xml:space="preserve"> </w:t>
      </w:r>
      <w:r w:rsidR="002B7A42">
        <w:rPr>
          <w:rStyle w:val="Referencingstyle"/>
        </w:rPr>
        <w:t xml:space="preserve">and (iv) </w:t>
      </w:r>
      <w:r w:rsidR="00586387">
        <w:rPr>
          <w:rStyle w:val="Referencingstyle"/>
        </w:rPr>
        <w:t xml:space="preserve">of the </w:t>
      </w:r>
      <w:r w:rsidRPr="00E63B3D">
        <w:rPr>
          <w:rStyle w:val="Referencingstyle"/>
        </w:rPr>
        <w:t>definition of ‘</w:t>
      </w:r>
      <w:r w:rsidR="0053619B">
        <w:rPr>
          <w:rStyle w:val="Referencingstyle"/>
        </w:rPr>
        <w:t>uplift</w:t>
      </w:r>
      <w:r w:rsidR="00586387">
        <w:rPr>
          <w:rStyle w:val="Referencingstyle"/>
        </w:rPr>
        <w:t xml:space="preserve"> rate</w:t>
      </w:r>
      <w:r w:rsidRPr="00E63B3D">
        <w:rPr>
          <w:rStyle w:val="Referencingstyle"/>
        </w:rPr>
        <w:t>’) of the Act]</w:t>
      </w:r>
    </w:p>
    <w:p w14:paraId="5799894C" w14:textId="2A8CEA92" w:rsidR="0085661A" w:rsidRPr="00E63B3D" w:rsidRDefault="0085661A" w:rsidP="002825FF">
      <w:pPr>
        <w:pStyle w:val="base-text-paragraph"/>
        <w:keepLines/>
      </w:pPr>
      <w:r w:rsidRPr="00E63B3D">
        <w:t xml:space="preserve">It does not matter who derives the assessable petroleum receipts as the test applies on a project basis. </w:t>
      </w:r>
    </w:p>
    <w:p w14:paraId="3413F3A3" w14:textId="44217498" w:rsidR="008F63D5" w:rsidRPr="00E63B3D" w:rsidRDefault="008F63D5" w:rsidP="0049426A">
      <w:pPr>
        <w:pStyle w:val="base-text-paragraph"/>
        <w:keepNext/>
        <w:keepLines/>
      </w:pPr>
      <w:r w:rsidRPr="00E63B3D">
        <w:t xml:space="preserve">For combined projects, the ten-year period during </w:t>
      </w:r>
      <w:r w:rsidR="0049426A" w:rsidRPr="00E63B3D">
        <w:t>which</w:t>
      </w:r>
      <w:r w:rsidRPr="00E63B3D">
        <w:t xml:space="preserve"> the current uplift rate continues to apply begins when:</w:t>
      </w:r>
    </w:p>
    <w:p w14:paraId="42475E2B" w14:textId="57D27B4E" w:rsidR="008F63D5" w:rsidRPr="00E63B3D" w:rsidRDefault="008F63D5" w:rsidP="0049426A">
      <w:pPr>
        <w:pStyle w:val="dotpoint"/>
        <w:keepNext/>
        <w:keepLines/>
      </w:pPr>
      <w:r w:rsidRPr="00E63B3D">
        <w:t>the combined project first derives assessable petroleum receipts; or</w:t>
      </w:r>
    </w:p>
    <w:p w14:paraId="4DEDAF74" w14:textId="13D61D63" w:rsidR="008F63D5" w:rsidRPr="00E63B3D" w:rsidRDefault="008F63D5" w:rsidP="0049426A">
      <w:pPr>
        <w:pStyle w:val="dotpoint"/>
        <w:keepNext/>
        <w:keepLines/>
      </w:pPr>
      <w:r w:rsidRPr="00E63B3D">
        <w:t>a pre-combination project that relates to one of the post</w:t>
      </w:r>
      <w:r w:rsidRPr="00E63B3D">
        <w:noBreakHyphen/>
        <w:t xml:space="preserve">July 2019 production licences in the combined project first derived assessable petroleum receipts. </w:t>
      </w:r>
    </w:p>
    <w:p w14:paraId="16DD99D9" w14:textId="75900CB8" w:rsidR="008F63D5" w:rsidRPr="00E63B3D" w:rsidRDefault="00586387" w:rsidP="002825FF">
      <w:pPr>
        <w:pStyle w:val="dotpoint"/>
        <w:keepLines/>
        <w:numPr>
          <w:ilvl w:val="0"/>
          <w:numId w:val="0"/>
        </w:numPr>
        <w:ind w:left="1984"/>
      </w:pPr>
      <w:r w:rsidRPr="00E63B3D">
        <w:rPr>
          <w:rStyle w:val="Referencingstyle"/>
        </w:rPr>
        <w:t>[Schedule 1, item </w:t>
      </w:r>
      <w:r w:rsidR="00912F33">
        <w:rPr>
          <w:rStyle w:val="Referencingstyle"/>
        </w:rPr>
        <w:t>4</w:t>
      </w:r>
      <w:r w:rsidRPr="00E63B3D">
        <w:rPr>
          <w:rStyle w:val="Referencingstyle"/>
        </w:rPr>
        <w:t xml:space="preserve">, </w:t>
      </w:r>
      <w:r>
        <w:rPr>
          <w:rStyle w:val="Referencingstyle"/>
        </w:rPr>
        <w:t>subsection</w:t>
      </w:r>
      <w:r w:rsidRPr="00E63B3D">
        <w:rPr>
          <w:rStyle w:val="Referencingstyle"/>
        </w:rPr>
        <w:t xml:space="preserve"> 34A(4) (</w:t>
      </w:r>
      <w:r>
        <w:rPr>
          <w:rStyle w:val="Referencingstyle"/>
        </w:rPr>
        <w:t>subparagraphs (b</w:t>
      </w:r>
      <w:r w:rsidRPr="00E63B3D">
        <w:rPr>
          <w:rStyle w:val="Referencingstyle"/>
        </w:rPr>
        <w:t>)(iii)</w:t>
      </w:r>
      <w:r>
        <w:rPr>
          <w:rStyle w:val="Referencingstyle"/>
        </w:rPr>
        <w:t xml:space="preserve"> and (iv) of the </w:t>
      </w:r>
      <w:r w:rsidRPr="00E63B3D">
        <w:rPr>
          <w:rStyle w:val="Referencingstyle"/>
        </w:rPr>
        <w:t>definition of ‘</w:t>
      </w:r>
      <w:r w:rsidR="0053619B">
        <w:rPr>
          <w:rStyle w:val="Referencingstyle"/>
        </w:rPr>
        <w:t>uplift</w:t>
      </w:r>
      <w:r>
        <w:rPr>
          <w:rStyle w:val="Referencingstyle"/>
        </w:rPr>
        <w:t xml:space="preserve"> rate</w:t>
      </w:r>
      <w:r w:rsidRPr="00E63B3D">
        <w:rPr>
          <w:rStyle w:val="Referencingstyle"/>
        </w:rPr>
        <w:t>’) of the Act]</w:t>
      </w:r>
    </w:p>
    <w:p w14:paraId="27160BF9" w14:textId="537050EE" w:rsidR="008F63D5" w:rsidRPr="00E63B3D" w:rsidRDefault="008F63D5" w:rsidP="002825FF">
      <w:pPr>
        <w:pStyle w:val="base-text-paragraph"/>
        <w:keepLines/>
      </w:pPr>
      <w:r w:rsidRPr="00E63B3D">
        <w:t xml:space="preserve">Where a pre-combination project was itself a combined project, the provisions apply in a recursive manner. </w:t>
      </w:r>
    </w:p>
    <w:p w14:paraId="694E9B0B" w14:textId="0E24463F" w:rsidR="00115895" w:rsidRPr="00E63B3D" w:rsidRDefault="00115895" w:rsidP="00115895">
      <w:pPr>
        <w:pStyle w:val="ExampleHeading"/>
      </w:pPr>
      <w:bookmarkStart w:id="8" w:name="_Ref531626226"/>
      <w:r w:rsidRPr="00E63B3D">
        <w:t xml:space="preserve"> Combined </w:t>
      </w:r>
      <w:r w:rsidR="006534C3">
        <w:t>p</w:t>
      </w:r>
      <w:r w:rsidRPr="00E63B3D">
        <w:t>rojects</w:t>
      </w:r>
      <w:bookmarkEnd w:id="8"/>
    </w:p>
    <w:p w14:paraId="079ED61B" w14:textId="4473267B" w:rsidR="00115895" w:rsidRPr="00E63B3D" w:rsidRDefault="00115895" w:rsidP="00115895">
      <w:pPr>
        <w:pStyle w:val="exampletext"/>
      </w:pPr>
      <w:r w:rsidRPr="00E63B3D">
        <w:t>Project Alpha was granted a production licence in 2010. Following successful drilling</w:t>
      </w:r>
      <w:r w:rsidR="00DC5B94">
        <w:t>,</w:t>
      </w:r>
      <w:r w:rsidRPr="00E63B3D">
        <w:t xml:space="preserve"> a second production licence is granted in 2020 for an adjacent gas field. </w:t>
      </w:r>
    </w:p>
    <w:p w14:paraId="73888CDE" w14:textId="77777777" w:rsidR="00115895" w:rsidRPr="00E63B3D" w:rsidRDefault="00115895" w:rsidP="00115895">
      <w:pPr>
        <w:pStyle w:val="exampletext"/>
      </w:pPr>
      <w:r w:rsidRPr="00E63B3D">
        <w:t>The joint venture applies for and is granted a combination certificate for the project. Because one of the production licences was granted after 1 July 2019, the ten year period will commence at the time the combined project first derives assessable receipts.</w:t>
      </w:r>
    </w:p>
    <w:p w14:paraId="5891104A" w14:textId="20A78A6C" w:rsidR="00115895" w:rsidRPr="00E63B3D" w:rsidRDefault="00115895" w:rsidP="00115895">
      <w:pPr>
        <w:pStyle w:val="ExampleHeading"/>
      </w:pPr>
      <w:r w:rsidRPr="00E63B3D">
        <w:t xml:space="preserve"> </w:t>
      </w:r>
      <w:bookmarkStart w:id="9" w:name="_Ref531626283"/>
      <w:r w:rsidRPr="00E63B3D">
        <w:t xml:space="preserve">Additional </w:t>
      </w:r>
      <w:r w:rsidR="006534C3">
        <w:t>c</w:t>
      </w:r>
      <w:r w:rsidRPr="00E63B3D">
        <w:t>ombination</w:t>
      </w:r>
      <w:bookmarkEnd w:id="9"/>
      <w:r w:rsidRPr="00E63B3D">
        <w:t>s</w:t>
      </w:r>
    </w:p>
    <w:p w14:paraId="502AD973" w14:textId="2C368BD1" w:rsidR="00115895" w:rsidRPr="00E63B3D" w:rsidRDefault="00115895" w:rsidP="00115895">
      <w:pPr>
        <w:pStyle w:val="exampletext"/>
      </w:pPr>
      <w:r w:rsidRPr="00E63B3D">
        <w:t xml:space="preserve">Further to </w:t>
      </w:r>
      <w:r w:rsidRPr="00006789">
        <w:fldChar w:fldCharType="begin"/>
      </w:r>
      <w:r w:rsidRPr="00E63B3D">
        <w:instrText xml:space="preserve"> REF _Ref531626226 \r \h </w:instrText>
      </w:r>
      <w:r w:rsidRPr="00006789">
        <w:fldChar w:fldCharType="separate"/>
      </w:r>
      <w:r w:rsidR="00F95382">
        <w:t>Example 1.1</w:t>
      </w:r>
      <w:r w:rsidRPr="00006789">
        <w:fldChar w:fldCharType="end"/>
      </w:r>
      <w:r w:rsidRPr="00E63B3D">
        <w:t>, a third production licence is combined with the project in 2023. There is no change to the ten year period because it was already triggered by the first post-June 2019 licence.</w:t>
      </w:r>
    </w:p>
    <w:p w14:paraId="68AB7FCC" w14:textId="439E8D51" w:rsidR="0085661A" w:rsidRPr="00E63B3D" w:rsidRDefault="0085661A" w:rsidP="00115895">
      <w:pPr>
        <w:pStyle w:val="base-text-paragraph"/>
        <w:keepLines/>
      </w:pPr>
      <w:r w:rsidRPr="00E63B3D">
        <w:t xml:space="preserve">Once a combined project is subject to the amendments and the uplift rate equal to the LTBR begins to apply to the project, the project is always subject to this uplift rate. If one or more, but not all, of the production </w:t>
      </w:r>
      <w:r w:rsidR="0088014A" w:rsidRPr="00E63B3D">
        <w:t>licence</w:t>
      </w:r>
      <w:r w:rsidRPr="00E63B3D">
        <w:t xml:space="preserve">s cease, the combined project is taken to continue (subsection 19(3) of the Act). </w:t>
      </w:r>
    </w:p>
    <w:p w14:paraId="7B0FAA71" w14:textId="7E9DBFED" w:rsidR="0085661A" w:rsidRPr="00E63B3D" w:rsidRDefault="0085661A" w:rsidP="002825FF">
      <w:pPr>
        <w:pStyle w:val="base-text-paragraph"/>
        <w:keepLines/>
      </w:pPr>
      <w:r w:rsidRPr="00E63B3D">
        <w:t xml:space="preserve">The continuing combined project will continue to be a new project subject to the new uplift rate even if the remaining production licences were issued prior to 1 July 2019 or had not derived assessable petroleum receipts before that time. </w:t>
      </w:r>
    </w:p>
    <w:p w14:paraId="53F3446A" w14:textId="5676192A" w:rsidR="00115895" w:rsidRPr="00E63B3D" w:rsidRDefault="0085661A" w:rsidP="00115895">
      <w:pPr>
        <w:pStyle w:val="ExampleHeading"/>
      </w:pPr>
      <w:r w:rsidRPr="00E63B3D">
        <w:lastRenderedPageBreak/>
        <w:t xml:space="preserve"> </w:t>
      </w:r>
      <w:r w:rsidR="00115895" w:rsidRPr="00E63B3D">
        <w:t>Combined project where a production licence ceases</w:t>
      </w:r>
    </w:p>
    <w:p w14:paraId="369479CA" w14:textId="1AC7DF61" w:rsidR="00115895" w:rsidRPr="00E63B3D" w:rsidRDefault="00115895" w:rsidP="00115895">
      <w:pPr>
        <w:pStyle w:val="exampletext"/>
      </w:pPr>
      <w:r w:rsidRPr="00E63B3D">
        <w:t xml:space="preserve">Further to </w:t>
      </w:r>
      <w:r w:rsidRPr="00006789">
        <w:fldChar w:fldCharType="begin"/>
      </w:r>
      <w:r w:rsidRPr="00E63B3D">
        <w:instrText xml:space="preserve"> REF _Ref531626226 \r \h </w:instrText>
      </w:r>
      <w:r w:rsidRPr="00006789">
        <w:fldChar w:fldCharType="separate"/>
      </w:r>
      <w:r w:rsidR="00F95382">
        <w:t>Example 1.1</w:t>
      </w:r>
      <w:r w:rsidRPr="00006789">
        <w:fldChar w:fldCharType="end"/>
      </w:r>
      <w:r w:rsidRPr="00E63B3D">
        <w:t xml:space="preserve">, but disregarding </w:t>
      </w:r>
      <w:r w:rsidRPr="00006789">
        <w:fldChar w:fldCharType="begin"/>
      </w:r>
      <w:r w:rsidRPr="00E63B3D">
        <w:instrText xml:space="preserve"> REF _Ref531626283 \r \h </w:instrText>
      </w:r>
      <w:r w:rsidRPr="00006789">
        <w:fldChar w:fldCharType="separate"/>
      </w:r>
      <w:r w:rsidR="00F95382">
        <w:t>Example 1.2</w:t>
      </w:r>
      <w:r w:rsidRPr="00006789">
        <w:fldChar w:fldCharType="end"/>
      </w:r>
      <w:r w:rsidRPr="00E63B3D">
        <w:t xml:space="preserve">, the second production licence ceases in 2025. In 2028, a third production licence is granted and is combined with the first production licence. There is no change to the ten year period </w:t>
      </w:r>
      <w:r w:rsidR="00900FA6">
        <w:t>that</w:t>
      </w:r>
      <w:r w:rsidR="00900FA6" w:rsidRPr="00E63B3D">
        <w:t xml:space="preserve"> </w:t>
      </w:r>
      <w:r w:rsidRPr="00E63B3D">
        <w:t>commenced when the combined project first earned assessable receipts.</w:t>
      </w:r>
    </w:p>
    <w:p w14:paraId="13BA2CF6" w14:textId="2C1167C1" w:rsidR="008F63D5" w:rsidRPr="00E63B3D" w:rsidRDefault="008F63D5" w:rsidP="002825FF">
      <w:pPr>
        <w:pStyle w:val="Heading4"/>
        <w:keepLines/>
      </w:pPr>
      <w:r w:rsidRPr="00E63B3D">
        <w:t>Class 1 GDP factor expenditure</w:t>
      </w:r>
    </w:p>
    <w:p w14:paraId="6F569DEA" w14:textId="7D1491BD" w:rsidR="00D65B3B" w:rsidRPr="00E63B3D" w:rsidRDefault="00D65B3B" w:rsidP="002825FF">
      <w:pPr>
        <w:pStyle w:val="base-text-paragraph"/>
        <w:keepLines/>
      </w:pPr>
      <w:r w:rsidRPr="00E63B3D">
        <w:t xml:space="preserve">General expenditure incurred more than five years prior to a production </w:t>
      </w:r>
      <w:r w:rsidR="0088014A" w:rsidRPr="00E63B3D">
        <w:t>licence</w:t>
      </w:r>
      <w:r w:rsidRPr="00E63B3D">
        <w:t xml:space="preserve"> being applied for (Class 1 GDP </w:t>
      </w:r>
      <w:r w:rsidR="008408D5" w:rsidRPr="00E63B3D">
        <w:t>f</w:t>
      </w:r>
      <w:r w:rsidRPr="00E63B3D">
        <w:t xml:space="preserve">actor </w:t>
      </w:r>
      <w:r w:rsidR="008408D5" w:rsidRPr="00E63B3D">
        <w:t>e</w:t>
      </w:r>
      <w:r w:rsidRPr="00E63B3D">
        <w:t xml:space="preserve">xpenditure) is not subject to the amendments and </w:t>
      </w:r>
      <w:r w:rsidR="000954AD" w:rsidRPr="00E63B3D">
        <w:t xml:space="preserve">remains </w:t>
      </w:r>
      <w:r w:rsidRPr="00E63B3D">
        <w:t>subject to an uplift rate equal to the GDP factor</w:t>
      </w:r>
      <w:r w:rsidR="0049426A" w:rsidRPr="00E63B3D">
        <w:t xml:space="preserve"> (section 35 of the Act)</w:t>
      </w:r>
      <w:r w:rsidRPr="00E63B3D">
        <w:t>.</w:t>
      </w:r>
    </w:p>
    <w:p w14:paraId="7C174FFB" w14:textId="6BBBFEB1" w:rsidR="008408D5" w:rsidRPr="00E63B3D" w:rsidRDefault="008408D5" w:rsidP="002825FF">
      <w:pPr>
        <w:pStyle w:val="Heading3"/>
        <w:keepLines/>
      </w:pPr>
      <w:r w:rsidRPr="00E63B3D">
        <w:t>Exploration expenditure uplifts</w:t>
      </w:r>
    </w:p>
    <w:p w14:paraId="72047271" w14:textId="1927F4B3" w:rsidR="008408D5" w:rsidRPr="00E63B3D" w:rsidRDefault="008408D5" w:rsidP="002825FF">
      <w:pPr>
        <w:pStyle w:val="base-text-paragraph"/>
        <w:keepLines/>
      </w:pPr>
      <w:r w:rsidRPr="00E63B3D">
        <w:t xml:space="preserve">Exploration expenditure incurred more than five years prior to a production </w:t>
      </w:r>
      <w:r w:rsidR="0088014A" w:rsidRPr="00E63B3D">
        <w:t>licence</w:t>
      </w:r>
      <w:r w:rsidRPr="00E63B3D">
        <w:t xml:space="preserve"> being applied for (Class 2 GDP factor exploration Expenditure) is currently subject to an uplift rate equal to the GDP factor.</w:t>
      </w:r>
    </w:p>
    <w:p w14:paraId="2725AF1F" w14:textId="00D15AD8" w:rsidR="008408D5" w:rsidRPr="00E63B3D" w:rsidRDefault="008408D5" w:rsidP="002825FF">
      <w:pPr>
        <w:pStyle w:val="base-text-paragraph"/>
        <w:keepLines/>
      </w:pPr>
      <w:r w:rsidRPr="00E63B3D">
        <w:t xml:space="preserve">Exploration expenditure incurred less than five years prior to a production </w:t>
      </w:r>
      <w:r w:rsidR="0088014A" w:rsidRPr="00E63B3D">
        <w:t>licence</w:t>
      </w:r>
      <w:r w:rsidRPr="00E63B3D">
        <w:t xml:space="preserve"> being applied for (Class 2 ABR exploration expenditure) is currently subject to an uplift rate equal to the LTBR+15</w:t>
      </w:r>
      <w:r w:rsidR="00483788">
        <w:t> </w:t>
      </w:r>
      <w:r w:rsidRPr="00E63B3D">
        <w:t>percentage points.</w:t>
      </w:r>
    </w:p>
    <w:p w14:paraId="1A19886B" w14:textId="73A0A873" w:rsidR="008408D5" w:rsidRPr="00E63B3D" w:rsidRDefault="00627173" w:rsidP="002825FF">
      <w:pPr>
        <w:pStyle w:val="Heading4"/>
        <w:keepLines/>
      </w:pPr>
      <w:r w:rsidRPr="00E63B3D">
        <w:t>Exploration e</w:t>
      </w:r>
      <w:r w:rsidR="008408D5" w:rsidRPr="00E63B3D">
        <w:t>xpenditure incurred before 1 July 2019</w:t>
      </w:r>
      <w:r w:rsidR="00994A99" w:rsidRPr="00E63B3D">
        <w:t xml:space="preserve"> and retained in the same </w:t>
      </w:r>
      <w:r w:rsidR="00964C40">
        <w:t xml:space="preserve">petroleum </w:t>
      </w:r>
      <w:r w:rsidR="00994A99" w:rsidRPr="00E63B3D">
        <w:t>project</w:t>
      </w:r>
    </w:p>
    <w:p w14:paraId="6C1EE2BA" w14:textId="19AA7013" w:rsidR="008615EB" w:rsidRPr="00E63B3D" w:rsidRDefault="008408D5" w:rsidP="002825FF">
      <w:pPr>
        <w:pStyle w:val="base-text-paragraph"/>
        <w:keepLines/>
      </w:pPr>
      <w:r w:rsidRPr="00E63B3D">
        <w:t xml:space="preserve">Class 2 ABR exploration expenditure </w:t>
      </w:r>
      <w:r w:rsidR="00A418EE" w:rsidRPr="00E63B3D">
        <w:t xml:space="preserve">incurred before 1 July 2019 </w:t>
      </w:r>
      <w:r w:rsidR="00994A99" w:rsidRPr="00E63B3D">
        <w:t xml:space="preserve">and retained within the same </w:t>
      </w:r>
      <w:r w:rsidR="00964C40">
        <w:t xml:space="preserve">petroleum </w:t>
      </w:r>
      <w:r w:rsidR="00994A99" w:rsidRPr="00E63B3D">
        <w:t xml:space="preserve">project </w:t>
      </w:r>
      <w:r w:rsidR="00A418EE" w:rsidRPr="00E63B3D">
        <w:t>continues to be subject to an uplift rate equal to the LTBR+15 percentage points until 1</w:t>
      </w:r>
      <w:r w:rsidR="00964C40">
        <w:t> </w:t>
      </w:r>
      <w:r w:rsidR="00A418EE" w:rsidRPr="00E63B3D">
        <w:t xml:space="preserve">July 2019. </w:t>
      </w:r>
      <w:r w:rsidR="008615EB" w:rsidRPr="00E63B3D">
        <w:rPr>
          <w:rStyle w:val="Referencingstyle"/>
        </w:rPr>
        <w:t>[Schedule 1, item</w:t>
      </w:r>
      <w:r w:rsidR="00C940A7">
        <w:rPr>
          <w:rStyle w:val="Referencingstyle"/>
        </w:rPr>
        <w:t xml:space="preserve"> </w:t>
      </w:r>
      <w:r w:rsidR="00912F33">
        <w:rPr>
          <w:rStyle w:val="Referencingstyle"/>
        </w:rPr>
        <w:t>44</w:t>
      </w:r>
      <w:r w:rsidR="008615EB" w:rsidRPr="00E63B3D">
        <w:rPr>
          <w:rStyle w:val="Referencingstyle"/>
        </w:rPr>
        <w:t xml:space="preserve">, subparagraph 8(3)(a)(i) and </w:t>
      </w:r>
      <w:r w:rsidR="00C940A7">
        <w:rPr>
          <w:rStyle w:val="Referencingstyle"/>
        </w:rPr>
        <w:t xml:space="preserve">paragraph </w:t>
      </w:r>
      <w:r w:rsidR="008615EB" w:rsidRPr="00E63B3D">
        <w:rPr>
          <w:rStyle w:val="Referencingstyle"/>
        </w:rPr>
        <w:t>8(3)(b) (</w:t>
      </w:r>
      <w:r w:rsidR="00C940A7">
        <w:rPr>
          <w:rStyle w:val="Referencingstyle"/>
        </w:rPr>
        <w:t xml:space="preserve">subparagraph (i) of the </w:t>
      </w:r>
      <w:r w:rsidR="008615EB" w:rsidRPr="00E63B3D">
        <w:rPr>
          <w:rStyle w:val="Referencingstyle"/>
        </w:rPr>
        <w:t>definition of ‘</w:t>
      </w:r>
      <w:r w:rsidR="00C940A7">
        <w:rPr>
          <w:rStyle w:val="Referencingstyle"/>
        </w:rPr>
        <w:t>uplift</w:t>
      </w:r>
      <w:r w:rsidR="008615EB" w:rsidRPr="00E63B3D">
        <w:rPr>
          <w:rStyle w:val="Referencingstyle"/>
        </w:rPr>
        <w:t xml:space="preserve"> rate’) </w:t>
      </w:r>
      <w:r w:rsidR="007F3161" w:rsidRPr="00E63B3D">
        <w:rPr>
          <w:rStyle w:val="Referencingstyle"/>
        </w:rPr>
        <w:t xml:space="preserve">in Schedule 1 to </w:t>
      </w:r>
      <w:r w:rsidR="008615EB" w:rsidRPr="00E63B3D">
        <w:rPr>
          <w:rStyle w:val="Referencingstyle"/>
        </w:rPr>
        <w:t>the Act]</w:t>
      </w:r>
    </w:p>
    <w:p w14:paraId="6C7D900C" w14:textId="3A9A484B" w:rsidR="00A418EE" w:rsidRPr="00D918B2" w:rsidRDefault="008615EB" w:rsidP="002825FF">
      <w:pPr>
        <w:pStyle w:val="base-text-paragraph"/>
        <w:keepLines/>
        <w:rPr>
          <w:rStyle w:val="Referencingstyle"/>
          <w:b w:val="0"/>
          <w:i w:val="0"/>
          <w:sz w:val="22"/>
        </w:rPr>
      </w:pPr>
      <w:r w:rsidRPr="00E63B3D">
        <w:t>From 1 July 2019</w:t>
      </w:r>
      <w:r w:rsidR="00A418EE" w:rsidRPr="00E63B3D">
        <w:t xml:space="preserve">, the </w:t>
      </w:r>
      <w:r w:rsidRPr="00E63B3D">
        <w:t xml:space="preserve">exploration </w:t>
      </w:r>
      <w:r w:rsidR="00A418EE" w:rsidRPr="00E63B3D">
        <w:t>expenditure is subject to an uplift rate equal to the LTBR+5 percentage points indefinitely.</w:t>
      </w:r>
      <w:r w:rsidRPr="00E63B3D">
        <w:t xml:space="preserve"> </w:t>
      </w:r>
      <w:r w:rsidRPr="00E63B3D">
        <w:rPr>
          <w:rStyle w:val="Referencingstyle"/>
        </w:rPr>
        <w:t xml:space="preserve">[Schedule 1, item </w:t>
      </w:r>
      <w:r w:rsidR="00912F33">
        <w:rPr>
          <w:rStyle w:val="Referencingstyle"/>
        </w:rPr>
        <w:t>44</w:t>
      </w:r>
      <w:r w:rsidRPr="00E63B3D">
        <w:rPr>
          <w:rStyle w:val="Referencingstyle"/>
        </w:rPr>
        <w:t>, paragraph 8(3)(b) (</w:t>
      </w:r>
      <w:r w:rsidR="00FE7802">
        <w:rPr>
          <w:rStyle w:val="Referencingstyle"/>
        </w:rPr>
        <w:t xml:space="preserve">subparagraph (ii) of the </w:t>
      </w:r>
      <w:r w:rsidRPr="00E63B3D">
        <w:rPr>
          <w:rStyle w:val="Referencingstyle"/>
        </w:rPr>
        <w:t>definition of ‘</w:t>
      </w:r>
      <w:r w:rsidR="00FE7802">
        <w:rPr>
          <w:rStyle w:val="Referencingstyle"/>
        </w:rPr>
        <w:t xml:space="preserve">uplift </w:t>
      </w:r>
      <w:r w:rsidRPr="00E63B3D">
        <w:rPr>
          <w:rStyle w:val="Referencingstyle"/>
        </w:rPr>
        <w:t xml:space="preserve">rate’) </w:t>
      </w:r>
      <w:r w:rsidR="007F3161" w:rsidRPr="00E63B3D">
        <w:rPr>
          <w:rStyle w:val="Referencingstyle"/>
        </w:rPr>
        <w:t xml:space="preserve">in Schedule 1 to </w:t>
      </w:r>
      <w:r w:rsidRPr="00E63B3D">
        <w:rPr>
          <w:rStyle w:val="Referencingstyle"/>
        </w:rPr>
        <w:t>the Act]</w:t>
      </w:r>
    </w:p>
    <w:p w14:paraId="2602AF05" w14:textId="34969834" w:rsidR="00771013" w:rsidRDefault="00771013" w:rsidP="00D918B2">
      <w:pPr>
        <w:pStyle w:val="ExampleHeading"/>
      </w:pPr>
      <w:r>
        <w:t xml:space="preserve"> Exploration expenditure incurred before 1 July 2019</w:t>
      </w:r>
    </w:p>
    <w:p w14:paraId="547E8249" w14:textId="1947C5F7" w:rsidR="00771013" w:rsidRPr="00771013" w:rsidRDefault="00771013" w:rsidP="00D918B2">
      <w:pPr>
        <w:pStyle w:val="exampletext"/>
      </w:pPr>
      <w:r w:rsidRPr="00771013">
        <w:t xml:space="preserve">Project </w:t>
      </w:r>
      <w:r w:rsidR="00C6193E">
        <w:t>Beta</w:t>
      </w:r>
      <w:r w:rsidRPr="00771013">
        <w:t xml:space="preserve"> was granted a production licence in </w:t>
      </w:r>
      <w:r>
        <w:t xml:space="preserve">the </w:t>
      </w:r>
      <w:r w:rsidRPr="00771013">
        <w:t>2010</w:t>
      </w:r>
      <w:r>
        <w:t>-11 financial year</w:t>
      </w:r>
      <w:r w:rsidRPr="00771013">
        <w:t xml:space="preserve">. </w:t>
      </w:r>
      <w:r>
        <w:t xml:space="preserve">Its sole operator </w:t>
      </w:r>
      <w:r w:rsidRPr="00771013">
        <w:t>incurred total exploration</w:t>
      </w:r>
      <w:r>
        <w:t xml:space="preserve"> costs of $500 million in </w:t>
      </w:r>
      <w:r w:rsidR="00A733D1">
        <w:t xml:space="preserve">the </w:t>
      </w:r>
      <w:r>
        <w:t>2007-08 financial year.</w:t>
      </w:r>
      <w:r w:rsidRPr="00771013">
        <w:t xml:space="preserve"> </w:t>
      </w:r>
    </w:p>
    <w:p w14:paraId="7B204031" w14:textId="5CBB82C2" w:rsidR="00771013" w:rsidRDefault="00771013" w:rsidP="00D918B2">
      <w:pPr>
        <w:pStyle w:val="exampletext"/>
      </w:pPr>
      <w:r w:rsidRPr="00771013">
        <w:t xml:space="preserve">Project </w:t>
      </w:r>
      <w:r w:rsidR="00C6193E">
        <w:t>Beta</w:t>
      </w:r>
      <w:r w:rsidRPr="00771013">
        <w:t xml:space="preserve"> starts to earn assessable receipts and </w:t>
      </w:r>
      <w:r>
        <w:t>is entitled to deduct</w:t>
      </w:r>
      <w:r w:rsidRPr="00771013">
        <w:t xml:space="preserve"> the exploration expenditure in the 2021-22 financial year. The </w:t>
      </w:r>
      <w:r>
        <w:t xml:space="preserve">uplift rate equal to the </w:t>
      </w:r>
      <w:r w:rsidRPr="00771013">
        <w:t>LTBR+15 percentage point</w:t>
      </w:r>
      <w:r w:rsidR="009C3BE1">
        <w:t>s</w:t>
      </w:r>
      <w:r w:rsidRPr="00771013">
        <w:t xml:space="preserve"> applies </w:t>
      </w:r>
      <w:r>
        <w:t>up to and including the 2018-19 financial year because</w:t>
      </w:r>
      <w:r w:rsidRPr="00771013">
        <w:t xml:space="preserve"> the exploration expenditure was incurred af</w:t>
      </w:r>
      <w:r>
        <w:t xml:space="preserve">ter 1 July 1990 and less than five </w:t>
      </w:r>
      <w:r w:rsidRPr="00771013">
        <w:t xml:space="preserve">years before the production licence came into effect. </w:t>
      </w:r>
    </w:p>
    <w:p w14:paraId="62FA3A2C" w14:textId="04B16044" w:rsidR="00771013" w:rsidRPr="00336064" w:rsidRDefault="00771013" w:rsidP="00D918B2">
      <w:pPr>
        <w:pStyle w:val="exampletext"/>
      </w:pPr>
      <w:r>
        <w:lastRenderedPageBreak/>
        <w:t>From the 2019-20 financial year, t</w:t>
      </w:r>
      <w:r w:rsidRPr="00771013">
        <w:t xml:space="preserve">he </w:t>
      </w:r>
      <w:r>
        <w:t>uplift rate equal to the LTBR+5 </w:t>
      </w:r>
      <w:r w:rsidRPr="00771013">
        <w:t>percentage points</w:t>
      </w:r>
      <w:r>
        <w:t xml:space="preserve"> applies</w:t>
      </w:r>
      <w:r w:rsidRPr="00771013">
        <w:t>.</w:t>
      </w:r>
    </w:p>
    <w:p w14:paraId="58302BAF" w14:textId="49A23E9B" w:rsidR="008408D5" w:rsidRDefault="008408D5" w:rsidP="002825FF">
      <w:pPr>
        <w:pStyle w:val="base-text-paragraph"/>
        <w:keepLines/>
      </w:pPr>
      <w:r w:rsidRPr="00E63B3D">
        <w:t xml:space="preserve">Class 2 GDP factor exploration </w:t>
      </w:r>
      <w:r w:rsidR="00A418EE" w:rsidRPr="00E63B3D">
        <w:t>e</w:t>
      </w:r>
      <w:r w:rsidRPr="00E63B3D">
        <w:t xml:space="preserve">xpenditure incurred before 1 July 2019 continues to be uplifted at the rate equal to the GDP factor indefinitely. </w:t>
      </w:r>
    </w:p>
    <w:p w14:paraId="3B15E269" w14:textId="7A148172" w:rsidR="00C6193E" w:rsidRDefault="00C6193E" w:rsidP="00D918B2">
      <w:pPr>
        <w:pStyle w:val="ExampleHeading"/>
      </w:pPr>
      <w:r>
        <w:t xml:space="preserve"> </w:t>
      </w:r>
      <w:r w:rsidRPr="00C6193E">
        <w:t>Class 2 GDP factor exploration expenditure</w:t>
      </w:r>
    </w:p>
    <w:p w14:paraId="66EBAB38" w14:textId="15C8E70B" w:rsidR="00C6193E" w:rsidRDefault="00C6193E" w:rsidP="00D918B2">
      <w:pPr>
        <w:pStyle w:val="exampletext"/>
      </w:pPr>
      <w:r w:rsidRPr="00C6193E">
        <w:t xml:space="preserve">Project </w:t>
      </w:r>
      <w:r w:rsidR="00900FA6">
        <w:t>Gamma</w:t>
      </w:r>
      <w:r w:rsidR="00900FA6" w:rsidRPr="00C6193E">
        <w:t xml:space="preserve"> </w:t>
      </w:r>
      <w:r w:rsidRPr="00C6193E">
        <w:t>was granted a production licence in the 2010-11 financial year. Its sole operator incurred total exploration costs of $500</w:t>
      </w:r>
      <w:r w:rsidR="00A733D1">
        <w:t> </w:t>
      </w:r>
      <w:r w:rsidRPr="00C6193E">
        <w:t xml:space="preserve">million in </w:t>
      </w:r>
      <w:r w:rsidR="00A733D1">
        <w:t xml:space="preserve">the </w:t>
      </w:r>
      <w:r w:rsidRPr="00C6193E">
        <w:t>200</w:t>
      </w:r>
      <w:r w:rsidR="00336064">
        <w:t>0</w:t>
      </w:r>
      <w:r w:rsidRPr="00C6193E">
        <w:t>-0</w:t>
      </w:r>
      <w:r w:rsidR="00336064">
        <w:t>1</w:t>
      </w:r>
      <w:r w:rsidRPr="00C6193E">
        <w:t xml:space="preserve"> financial year.</w:t>
      </w:r>
    </w:p>
    <w:p w14:paraId="60C94E61" w14:textId="57F051D4" w:rsidR="00336064" w:rsidRDefault="00336064" w:rsidP="00D918B2">
      <w:pPr>
        <w:pStyle w:val="exampletext"/>
      </w:pPr>
      <w:r w:rsidRPr="00771013">
        <w:t xml:space="preserve">Project </w:t>
      </w:r>
      <w:r w:rsidR="00900FA6">
        <w:t>Gamma</w:t>
      </w:r>
      <w:r w:rsidR="00900FA6" w:rsidRPr="00771013">
        <w:t xml:space="preserve"> </w:t>
      </w:r>
      <w:r w:rsidRPr="00771013">
        <w:t xml:space="preserve">starts to earn assessable receipts and </w:t>
      </w:r>
      <w:r>
        <w:t>is entitled to deduct</w:t>
      </w:r>
      <w:r w:rsidRPr="00771013">
        <w:t xml:space="preserve"> the exploration expenditure in the 2021-22 financial year.</w:t>
      </w:r>
    </w:p>
    <w:p w14:paraId="054E57B6" w14:textId="11914F03" w:rsidR="00336064" w:rsidRPr="00336064" w:rsidRDefault="00336064" w:rsidP="00D918B2">
      <w:pPr>
        <w:pStyle w:val="exampletext"/>
      </w:pPr>
      <w:r>
        <w:t>The GDP factor uplift applies indefinitely as the exploration expenditure was incurred after 1 July 1990 and more than five years before the production licence came into effect. There is no change in the uplift after 1 July 2019.</w:t>
      </w:r>
    </w:p>
    <w:p w14:paraId="3F87A592" w14:textId="0ED5E892" w:rsidR="008408D5" w:rsidRPr="00E63B3D" w:rsidRDefault="008408D5" w:rsidP="002825FF">
      <w:pPr>
        <w:pStyle w:val="Heading4"/>
        <w:keepLines/>
      </w:pPr>
      <w:r w:rsidRPr="00E63B3D">
        <w:t>E</w:t>
      </w:r>
      <w:r w:rsidR="00627173" w:rsidRPr="00E63B3D">
        <w:t>xploration e</w:t>
      </w:r>
      <w:r w:rsidRPr="00E63B3D">
        <w:t>xpenditure incurred after 1 July 2019</w:t>
      </w:r>
    </w:p>
    <w:p w14:paraId="5D8CA933" w14:textId="56B501BC" w:rsidR="005E2C68" w:rsidRPr="00E63B3D" w:rsidRDefault="00A418EE" w:rsidP="002825FF">
      <w:pPr>
        <w:pStyle w:val="base-text-paragraph"/>
        <w:keepLines/>
      </w:pPr>
      <w:r w:rsidRPr="00E63B3D">
        <w:t xml:space="preserve">From 1 July 2019, there is no distinction drawn between </w:t>
      </w:r>
      <w:r w:rsidR="00627173" w:rsidRPr="00E63B3D">
        <w:t xml:space="preserve">exploration </w:t>
      </w:r>
      <w:r w:rsidRPr="00E63B3D">
        <w:t xml:space="preserve">expenditure incurred more than five years prior </w:t>
      </w:r>
      <w:r w:rsidRPr="00006789">
        <w:rPr>
          <w:lang w:eastAsia="en-US"/>
        </w:rPr>
        <w:t xml:space="preserve">to a production </w:t>
      </w:r>
      <w:r w:rsidR="0088014A" w:rsidRPr="00006789">
        <w:rPr>
          <w:lang w:eastAsia="en-US"/>
        </w:rPr>
        <w:t>licence</w:t>
      </w:r>
      <w:r w:rsidRPr="00006789">
        <w:rPr>
          <w:lang w:eastAsia="en-US"/>
        </w:rPr>
        <w:t xml:space="preserve"> application being made</w:t>
      </w:r>
      <w:r w:rsidR="00CE20AD" w:rsidRPr="00006789">
        <w:rPr>
          <w:lang w:eastAsia="en-US"/>
        </w:rPr>
        <w:t xml:space="preserve"> and expenditure incurred at a later time</w:t>
      </w:r>
      <w:r w:rsidRPr="00006789">
        <w:rPr>
          <w:lang w:eastAsia="en-US"/>
        </w:rPr>
        <w:t xml:space="preserve">. </w:t>
      </w:r>
      <w:r w:rsidR="005E2C68" w:rsidRPr="00E63B3D">
        <w:rPr>
          <w:rStyle w:val="Referencingstyle"/>
        </w:rPr>
        <w:t xml:space="preserve">[Schedule 1, items </w:t>
      </w:r>
      <w:r w:rsidR="00912F33">
        <w:rPr>
          <w:rStyle w:val="Referencingstyle"/>
        </w:rPr>
        <w:t>34</w:t>
      </w:r>
      <w:r w:rsidR="00FE7802">
        <w:rPr>
          <w:rStyle w:val="Referencingstyle"/>
        </w:rPr>
        <w:t xml:space="preserve">, </w:t>
      </w:r>
      <w:r w:rsidR="00912F33">
        <w:rPr>
          <w:rStyle w:val="Referencingstyle"/>
        </w:rPr>
        <w:t xml:space="preserve">35 </w:t>
      </w:r>
      <w:r w:rsidR="00FE7802">
        <w:rPr>
          <w:rStyle w:val="Referencingstyle"/>
        </w:rPr>
        <w:t xml:space="preserve">and </w:t>
      </w:r>
      <w:r w:rsidR="00912F33">
        <w:rPr>
          <w:rStyle w:val="Referencingstyle"/>
        </w:rPr>
        <w:t>36</w:t>
      </w:r>
      <w:r w:rsidR="005E2C68" w:rsidRPr="00E63B3D">
        <w:rPr>
          <w:rStyle w:val="Referencingstyle"/>
        </w:rPr>
        <w:t>, clause 1 (definitions of ‘ABR expenditure year’</w:t>
      </w:r>
      <w:r w:rsidR="00FE7802">
        <w:rPr>
          <w:rStyle w:val="Referencingstyle"/>
        </w:rPr>
        <w:t xml:space="preserve">, </w:t>
      </w:r>
      <w:r w:rsidR="005E2C68" w:rsidRPr="00E63B3D">
        <w:rPr>
          <w:rStyle w:val="Referencingstyle"/>
        </w:rPr>
        <w:t>‘</w:t>
      </w:r>
      <w:r w:rsidR="00FE7802">
        <w:rPr>
          <w:rStyle w:val="Referencingstyle"/>
        </w:rPr>
        <w:t>GDP expenditure year</w:t>
      </w:r>
      <w:r w:rsidR="005E2C68" w:rsidRPr="00E63B3D">
        <w:rPr>
          <w:rStyle w:val="Referencingstyle"/>
        </w:rPr>
        <w:t>’</w:t>
      </w:r>
      <w:r w:rsidR="00FE7802">
        <w:rPr>
          <w:rStyle w:val="Referencingstyle"/>
        </w:rPr>
        <w:t xml:space="preserve"> and ‘standard uplift expenditure year’</w:t>
      </w:r>
      <w:r w:rsidR="005E2C68" w:rsidRPr="00E63B3D">
        <w:rPr>
          <w:rStyle w:val="Referencingstyle"/>
        </w:rPr>
        <w:t xml:space="preserve">) in Schedule </w:t>
      </w:r>
      <w:r w:rsidR="00930C8A" w:rsidRPr="00E63B3D">
        <w:rPr>
          <w:rStyle w:val="Referencingstyle"/>
        </w:rPr>
        <w:t xml:space="preserve">1 </w:t>
      </w:r>
      <w:r w:rsidR="005E2C68" w:rsidRPr="00E63B3D">
        <w:rPr>
          <w:rStyle w:val="Referencingstyle"/>
        </w:rPr>
        <w:t>to the Act]</w:t>
      </w:r>
    </w:p>
    <w:p w14:paraId="2BE18DF1" w14:textId="7843F964" w:rsidR="008408D5" w:rsidRPr="00E63B3D" w:rsidRDefault="00A418EE" w:rsidP="00554D1A">
      <w:pPr>
        <w:pStyle w:val="base-text-paragraph"/>
        <w:keepNext/>
        <w:keepLines/>
      </w:pPr>
      <w:r w:rsidRPr="00006789">
        <w:rPr>
          <w:lang w:eastAsia="en-US"/>
        </w:rPr>
        <w:t xml:space="preserve">All </w:t>
      </w:r>
      <w:r w:rsidR="00CE20AD" w:rsidRPr="00006789">
        <w:rPr>
          <w:lang w:eastAsia="en-US"/>
        </w:rPr>
        <w:t xml:space="preserve">exploration </w:t>
      </w:r>
      <w:r w:rsidRPr="00006789">
        <w:rPr>
          <w:lang w:eastAsia="en-US"/>
        </w:rPr>
        <w:t>expenditure incurred on or after 1 July 2019 is subject to the following uplift rates:</w:t>
      </w:r>
    </w:p>
    <w:p w14:paraId="5AD9E81E" w14:textId="7910648E" w:rsidR="00A418EE" w:rsidRPr="00E63B3D" w:rsidRDefault="00A418EE" w:rsidP="002825FF">
      <w:pPr>
        <w:pStyle w:val="dotpoint"/>
        <w:keepLines/>
        <w:rPr>
          <w:rStyle w:val="Referencingstyle"/>
        </w:rPr>
      </w:pPr>
      <w:r w:rsidRPr="00006789">
        <w:t xml:space="preserve">for the ten years after the </w:t>
      </w:r>
      <w:r w:rsidR="00CE20AD" w:rsidRPr="00E63B3D">
        <w:t xml:space="preserve">exploration </w:t>
      </w:r>
      <w:r w:rsidRPr="00E63B3D">
        <w:t xml:space="preserve">expenditure is incurred – an uplift rate equal to the LTBR+5 percentage points; </w:t>
      </w:r>
      <w:r w:rsidRPr="00E63B3D">
        <w:rPr>
          <w:rStyle w:val="Referencingstyle"/>
        </w:rPr>
        <w:t>[Schedule 1, item </w:t>
      </w:r>
      <w:r w:rsidR="00912F33">
        <w:rPr>
          <w:rStyle w:val="Referencingstyle"/>
        </w:rPr>
        <w:t>44</w:t>
      </w:r>
      <w:r w:rsidRPr="00E63B3D">
        <w:rPr>
          <w:rStyle w:val="Referencingstyle"/>
        </w:rPr>
        <w:t xml:space="preserve">, subparagraph 8(3)(a)(ii) and </w:t>
      </w:r>
      <w:r w:rsidR="00FE7802">
        <w:rPr>
          <w:rStyle w:val="Referencingstyle"/>
        </w:rPr>
        <w:t xml:space="preserve">paragraph </w:t>
      </w:r>
      <w:r w:rsidRPr="00E63B3D">
        <w:rPr>
          <w:rStyle w:val="Referencingstyle"/>
        </w:rPr>
        <w:t xml:space="preserve">8(3)(b) </w:t>
      </w:r>
      <w:r w:rsidR="008615EB" w:rsidRPr="00E63B3D">
        <w:rPr>
          <w:rStyle w:val="Referencingstyle"/>
        </w:rPr>
        <w:t>(</w:t>
      </w:r>
      <w:r w:rsidR="00FE7802">
        <w:rPr>
          <w:rStyle w:val="Referencingstyle"/>
        </w:rPr>
        <w:t xml:space="preserve">subparagraph (iv) of the </w:t>
      </w:r>
      <w:r w:rsidR="008615EB" w:rsidRPr="00E63B3D">
        <w:rPr>
          <w:rStyle w:val="Referencingstyle"/>
        </w:rPr>
        <w:t>definition of ‘</w:t>
      </w:r>
      <w:r w:rsidR="00FE7802">
        <w:rPr>
          <w:rStyle w:val="Referencingstyle"/>
        </w:rPr>
        <w:t>uplift</w:t>
      </w:r>
      <w:r w:rsidR="008615EB" w:rsidRPr="00E63B3D">
        <w:rPr>
          <w:rStyle w:val="Referencingstyle"/>
        </w:rPr>
        <w:t xml:space="preserve"> rate’) </w:t>
      </w:r>
      <w:r w:rsidR="007F3161" w:rsidRPr="00E63B3D">
        <w:rPr>
          <w:rStyle w:val="Referencingstyle"/>
        </w:rPr>
        <w:t xml:space="preserve">in Schedule 1 to </w:t>
      </w:r>
      <w:r w:rsidRPr="00E63B3D">
        <w:rPr>
          <w:rStyle w:val="Referencingstyle"/>
        </w:rPr>
        <w:t>the Act]</w:t>
      </w:r>
    </w:p>
    <w:p w14:paraId="7048A370" w14:textId="04EEA4EF" w:rsidR="00A418EE" w:rsidRPr="00E63B3D" w:rsidRDefault="00A418EE" w:rsidP="002825FF">
      <w:pPr>
        <w:pStyle w:val="dotpoint"/>
        <w:keepLines/>
      </w:pPr>
      <w:r w:rsidRPr="00E63B3D">
        <w:t xml:space="preserve">then – an uplift rate equal to the GDP factor. </w:t>
      </w:r>
      <w:r w:rsidRPr="00E63B3D">
        <w:rPr>
          <w:rStyle w:val="Referencingstyle"/>
        </w:rPr>
        <w:t>[Schedule 1, item </w:t>
      </w:r>
      <w:r w:rsidR="00912F33">
        <w:rPr>
          <w:rStyle w:val="Referencingstyle"/>
        </w:rPr>
        <w:t>44</w:t>
      </w:r>
      <w:r w:rsidRPr="00E63B3D">
        <w:rPr>
          <w:rStyle w:val="Referencingstyle"/>
        </w:rPr>
        <w:t xml:space="preserve">, paragraph 8(3)(b) </w:t>
      </w:r>
      <w:r w:rsidR="00FE7802">
        <w:rPr>
          <w:rStyle w:val="Referencingstyle"/>
        </w:rPr>
        <w:t xml:space="preserve">(subparagraph (iii) of the </w:t>
      </w:r>
      <w:r w:rsidR="008615EB" w:rsidRPr="00E63B3D">
        <w:rPr>
          <w:rStyle w:val="Referencingstyle"/>
        </w:rPr>
        <w:t>definition of ‘</w:t>
      </w:r>
      <w:r w:rsidR="00FE7802">
        <w:rPr>
          <w:rStyle w:val="Referencingstyle"/>
        </w:rPr>
        <w:t>uplift</w:t>
      </w:r>
      <w:r w:rsidR="008615EB" w:rsidRPr="00E63B3D">
        <w:rPr>
          <w:rStyle w:val="Referencingstyle"/>
        </w:rPr>
        <w:t xml:space="preserve"> rate’) </w:t>
      </w:r>
      <w:r w:rsidR="007F3161" w:rsidRPr="00E63B3D">
        <w:rPr>
          <w:rStyle w:val="Referencingstyle"/>
        </w:rPr>
        <w:t xml:space="preserve">in Schedule 1 to </w:t>
      </w:r>
      <w:r w:rsidRPr="00E63B3D">
        <w:rPr>
          <w:rStyle w:val="Referencingstyle"/>
        </w:rPr>
        <w:t>the Act]</w:t>
      </w:r>
    </w:p>
    <w:p w14:paraId="7F159B43" w14:textId="77777777" w:rsidR="005E2C68" w:rsidRPr="00E63B3D" w:rsidRDefault="005E2C68" w:rsidP="005E2C68">
      <w:pPr>
        <w:pStyle w:val="Heading4"/>
        <w:keepLines/>
      </w:pPr>
      <w:r w:rsidRPr="00E63B3D">
        <w:lastRenderedPageBreak/>
        <w:t>Exploration expenditure transferred before 1 July 2019</w:t>
      </w:r>
    </w:p>
    <w:p w14:paraId="7AF244EF" w14:textId="501748BF" w:rsidR="005E2C68" w:rsidRPr="00E63B3D" w:rsidRDefault="005E2C68" w:rsidP="005E2C68">
      <w:pPr>
        <w:pStyle w:val="base-text-paragraph"/>
        <w:keepNext/>
        <w:keepLines/>
      </w:pPr>
      <w:r w:rsidRPr="00E63B3D">
        <w:t xml:space="preserve">Exploration expenditure transferred prior to 1 July 2019 continues to be transferred subject to the </w:t>
      </w:r>
      <w:r w:rsidR="00DC5B94">
        <w:t xml:space="preserve">following </w:t>
      </w:r>
      <w:r w:rsidRPr="00E63B3D">
        <w:t>existing uplift rates:</w:t>
      </w:r>
    </w:p>
    <w:p w14:paraId="3B4B7EBC" w14:textId="523A165A" w:rsidR="005E2C68" w:rsidRPr="00E63B3D" w:rsidRDefault="005E2C68" w:rsidP="005E2C68">
      <w:pPr>
        <w:pStyle w:val="dotpoint"/>
        <w:keepNext/>
        <w:keepLines/>
      </w:pPr>
      <w:r w:rsidRPr="00E63B3D">
        <w:t>for expenditure incurred by the transferring entity more than five years prior to the date specified in the receiving project’s production licence notice (or the date of the grant if there is no notice) – an uplift rate equal to the GDP factor (Clause 3</w:t>
      </w:r>
      <w:r w:rsidR="001117B9">
        <w:t>8</w:t>
      </w:r>
      <w:r w:rsidRPr="00E63B3D">
        <w:t xml:space="preserve"> in Schedule 1 to the Act);</w:t>
      </w:r>
    </w:p>
    <w:p w14:paraId="5A49BA27" w14:textId="38AEB92D" w:rsidR="005E2C68" w:rsidRPr="00E63B3D" w:rsidRDefault="00DC5B94" w:rsidP="005E2C68">
      <w:pPr>
        <w:pStyle w:val="dotpoint"/>
        <w:keepLines/>
      </w:pPr>
      <w:r>
        <w:t>f</w:t>
      </w:r>
      <w:r w:rsidR="005E2C68" w:rsidRPr="00E63B3D">
        <w:t xml:space="preserve">or expenditure incurred by the transferring entity </w:t>
      </w:r>
      <w:r w:rsidR="000032B0" w:rsidRPr="00E63B3D">
        <w:t>less</w:t>
      </w:r>
      <w:r w:rsidR="005E2C68" w:rsidRPr="00E63B3D">
        <w:t xml:space="preserve"> than five years prior to the date specified in the receiving project’s production licence notice (or the date of the grant if there is no notice) – an uplift rate equal to the LTBR+15 percentage points. </w:t>
      </w:r>
      <w:r w:rsidR="005E2C68" w:rsidRPr="00E63B3D">
        <w:rPr>
          <w:rStyle w:val="Referencingstyle"/>
        </w:rPr>
        <w:t xml:space="preserve">[Schedule 1, items </w:t>
      </w:r>
      <w:r w:rsidR="00912F33">
        <w:rPr>
          <w:rStyle w:val="Referencingstyle"/>
        </w:rPr>
        <w:t xml:space="preserve">75 </w:t>
      </w:r>
      <w:r w:rsidR="00FE7802">
        <w:rPr>
          <w:rStyle w:val="Referencingstyle"/>
        </w:rPr>
        <w:t xml:space="preserve">and </w:t>
      </w:r>
      <w:r w:rsidR="00912F33">
        <w:rPr>
          <w:rStyle w:val="Referencingstyle"/>
        </w:rPr>
        <w:t>76</w:t>
      </w:r>
      <w:r w:rsidR="005E2C68" w:rsidRPr="00E63B3D">
        <w:rPr>
          <w:rStyle w:val="Referencingstyle"/>
        </w:rPr>
        <w:t>, paragraph 37(1)(c) and paragraph</w:t>
      </w:r>
      <w:r w:rsidR="00FE7802">
        <w:rPr>
          <w:rStyle w:val="Referencingstyle"/>
        </w:rPr>
        <w:t> </w:t>
      </w:r>
      <w:r w:rsidR="005E2C68" w:rsidRPr="00E63B3D">
        <w:rPr>
          <w:rStyle w:val="Referencingstyle"/>
        </w:rPr>
        <w:t>37(2)(c) (</w:t>
      </w:r>
      <w:r w:rsidR="00FE7802">
        <w:rPr>
          <w:rStyle w:val="Referencingstyle"/>
        </w:rPr>
        <w:t xml:space="preserve">subparagraph (i) of the </w:t>
      </w:r>
      <w:r w:rsidR="005E2C68" w:rsidRPr="00E63B3D">
        <w:rPr>
          <w:rStyle w:val="Referencingstyle"/>
        </w:rPr>
        <w:t>definition of ‘</w:t>
      </w:r>
      <w:r w:rsidR="00FE7802">
        <w:rPr>
          <w:rStyle w:val="Referencingstyle"/>
        </w:rPr>
        <w:t>uplift</w:t>
      </w:r>
      <w:r w:rsidR="005E2C68" w:rsidRPr="00E63B3D">
        <w:rPr>
          <w:rStyle w:val="Referencingstyle"/>
        </w:rPr>
        <w:t xml:space="preserve"> rate’) in Schedule 1 to the Act]</w:t>
      </w:r>
    </w:p>
    <w:p w14:paraId="0D1B48AA" w14:textId="14D53BCE" w:rsidR="008408D5" w:rsidRPr="00E63B3D" w:rsidRDefault="00CE20AD" w:rsidP="002825FF">
      <w:pPr>
        <w:pStyle w:val="Heading4"/>
        <w:keepLines/>
      </w:pPr>
      <w:r w:rsidRPr="00E63B3D">
        <w:t>Exploration e</w:t>
      </w:r>
      <w:r w:rsidR="008408D5" w:rsidRPr="00E63B3D">
        <w:t>xpenditure transferred after 1 July 2019</w:t>
      </w:r>
    </w:p>
    <w:p w14:paraId="39F76452" w14:textId="7683E18A" w:rsidR="00627173" w:rsidRPr="00E63B3D" w:rsidRDefault="00994A99" w:rsidP="005E2C68">
      <w:pPr>
        <w:pStyle w:val="base-text-paragraph"/>
        <w:keepNext/>
        <w:keepLines/>
      </w:pPr>
      <w:r w:rsidRPr="00E63B3D">
        <w:t xml:space="preserve">All expenditure transferred after 1 July 2019 is </w:t>
      </w:r>
      <w:r w:rsidR="00627173" w:rsidRPr="00E63B3D">
        <w:t xml:space="preserve">subject to the amended uplift rates, regardless of when the expenditure was incurred. That is, </w:t>
      </w:r>
      <w:r w:rsidR="00627173" w:rsidRPr="00006789">
        <w:rPr>
          <w:lang w:eastAsia="en-US"/>
        </w:rPr>
        <w:t xml:space="preserve">all exploration expenditure transferred on or after 1 July 2019 is </w:t>
      </w:r>
      <w:r w:rsidR="00CE20AD" w:rsidRPr="00006789">
        <w:rPr>
          <w:lang w:eastAsia="en-US"/>
        </w:rPr>
        <w:t xml:space="preserve">transferred </w:t>
      </w:r>
      <w:r w:rsidR="00627173" w:rsidRPr="00006789">
        <w:rPr>
          <w:lang w:eastAsia="en-US"/>
        </w:rPr>
        <w:t>subject to the following uplift rates:</w:t>
      </w:r>
    </w:p>
    <w:p w14:paraId="62D06186" w14:textId="5D5340F7" w:rsidR="00627173" w:rsidRPr="00E63B3D" w:rsidRDefault="00627173" w:rsidP="005E2C68">
      <w:pPr>
        <w:pStyle w:val="dotpoint"/>
        <w:keepNext/>
        <w:keepLines/>
        <w:rPr>
          <w:rStyle w:val="Referencingstyle"/>
        </w:rPr>
      </w:pPr>
      <w:r w:rsidRPr="00CB43DC">
        <w:t xml:space="preserve">for the ten years after the expenditure is incurred – an uplift rate equal to the LTBR+5 percentage points; </w:t>
      </w:r>
      <w:r w:rsidRPr="00E63B3D">
        <w:rPr>
          <w:rStyle w:val="Referencingstyle"/>
        </w:rPr>
        <w:t>[Schedule 1, items </w:t>
      </w:r>
      <w:r w:rsidR="00912F33">
        <w:rPr>
          <w:rStyle w:val="Referencingstyle"/>
        </w:rPr>
        <w:t xml:space="preserve">75 </w:t>
      </w:r>
      <w:r w:rsidR="00FE7802">
        <w:rPr>
          <w:rStyle w:val="Referencingstyle"/>
        </w:rPr>
        <w:t xml:space="preserve">and </w:t>
      </w:r>
      <w:r w:rsidR="00912F33">
        <w:rPr>
          <w:rStyle w:val="Referencingstyle"/>
        </w:rPr>
        <w:t>76</w:t>
      </w:r>
      <w:r w:rsidRPr="00E63B3D">
        <w:rPr>
          <w:rStyle w:val="Referencingstyle"/>
        </w:rPr>
        <w:t xml:space="preserve">, </w:t>
      </w:r>
      <w:r w:rsidR="007F3161" w:rsidRPr="00E63B3D">
        <w:rPr>
          <w:rStyle w:val="Referencingstyle"/>
        </w:rPr>
        <w:t xml:space="preserve">paragraph 37(1)(d) and </w:t>
      </w:r>
      <w:r w:rsidRPr="00E63B3D">
        <w:rPr>
          <w:rStyle w:val="Referencingstyle"/>
        </w:rPr>
        <w:t>paragraph 37(2)(c) (</w:t>
      </w:r>
      <w:r w:rsidR="00FE7802">
        <w:rPr>
          <w:rStyle w:val="Referencingstyle"/>
        </w:rPr>
        <w:t xml:space="preserve">subparagraph </w:t>
      </w:r>
      <w:r w:rsidR="00FE7802" w:rsidRPr="00E63B3D">
        <w:rPr>
          <w:rStyle w:val="Referencingstyle"/>
        </w:rPr>
        <w:t>(iii)</w:t>
      </w:r>
      <w:r w:rsidR="00FE7802">
        <w:rPr>
          <w:rStyle w:val="Referencingstyle"/>
        </w:rPr>
        <w:t xml:space="preserve"> of the </w:t>
      </w:r>
      <w:r w:rsidRPr="00E63B3D">
        <w:rPr>
          <w:rStyle w:val="Referencingstyle"/>
        </w:rPr>
        <w:t>definition of ‘</w:t>
      </w:r>
      <w:r w:rsidR="00FE7802">
        <w:rPr>
          <w:rStyle w:val="Referencingstyle"/>
        </w:rPr>
        <w:t>uplift</w:t>
      </w:r>
      <w:r w:rsidRPr="00E63B3D">
        <w:rPr>
          <w:rStyle w:val="Referencingstyle"/>
        </w:rPr>
        <w:t xml:space="preserve"> rate’) </w:t>
      </w:r>
      <w:r w:rsidR="007F3161" w:rsidRPr="00E63B3D">
        <w:rPr>
          <w:rStyle w:val="Referencingstyle"/>
        </w:rPr>
        <w:t xml:space="preserve">in Schedule 1 to </w:t>
      </w:r>
      <w:r w:rsidRPr="00E63B3D">
        <w:rPr>
          <w:rStyle w:val="Referencingstyle"/>
        </w:rPr>
        <w:t>the Act]</w:t>
      </w:r>
    </w:p>
    <w:p w14:paraId="6F3A334F" w14:textId="5DF034B9" w:rsidR="00627173" w:rsidRPr="00D918B2" w:rsidRDefault="00627173" w:rsidP="002825FF">
      <w:pPr>
        <w:pStyle w:val="dotpoint"/>
        <w:keepLines/>
        <w:rPr>
          <w:rStyle w:val="Referencingstyle"/>
          <w:b w:val="0"/>
          <w:i w:val="0"/>
          <w:sz w:val="22"/>
        </w:rPr>
      </w:pPr>
      <w:r w:rsidRPr="00E63B3D">
        <w:t xml:space="preserve">then – an uplift rate equal to the GDP factor. </w:t>
      </w:r>
      <w:r w:rsidR="007F3161" w:rsidRPr="00E63B3D">
        <w:rPr>
          <w:rStyle w:val="Referencingstyle"/>
        </w:rPr>
        <w:t>[Schedule 1, item</w:t>
      </w:r>
      <w:r w:rsidRPr="00E63B3D">
        <w:rPr>
          <w:rStyle w:val="Referencingstyle"/>
        </w:rPr>
        <w:t> </w:t>
      </w:r>
      <w:r w:rsidR="00912F33">
        <w:rPr>
          <w:rStyle w:val="Referencingstyle"/>
        </w:rPr>
        <w:t>76</w:t>
      </w:r>
      <w:r w:rsidRPr="00E63B3D">
        <w:rPr>
          <w:rStyle w:val="Referencingstyle"/>
        </w:rPr>
        <w:t>, paragraph 37(2)(c) (</w:t>
      </w:r>
      <w:r w:rsidR="00FE7802">
        <w:rPr>
          <w:rStyle w:val="Referencingstyle"/>
        </w:rPr>
        <w:t xml:space="preserve">subparagraph (ii) of the </w:t>
      </w:r>
      <w:r w:rsidRPr="00E63B3D">
        <w:rPr>
          <w:rStyle w:val="Referencingstyle"/>
        </w:rPr>
        <w:t>definition of ‘</w:t>
      </w:r>
      <w:r w:rsidR="00FE7802">
        <w:rPr>
          <w:rStyle w:val="Referencingstyle"/>
        </w:rPr>
        <w:t>uplift</w:t>
      </w:r>
      <w:r w:rsidRPr="00E63B3D">
        <w:rPr>
          <w:rStyle w:val="Referencingstyle"/>
        </w:rPr>
        <w:t xml:space="preserve"> rate’) </w:t>
      </w:r>
      <w:r w:rsidR="007F3161" w:rsidRPr="00E63B3D">
        <w:rPr>
          <w:rStyle w:val="Referencingstyle"/>
        </w:rPr>
        <w:t xml:space="preserve">in Schedule 1 to </w:t>
      </w:r>
      <w:r w:rsidRPr="00E63B3D">
        <w:rPr>
          <w:rStyle w:val="Referencingstyle"/>
        </w:rPr>
        <w:t>the Act]</w:t>
      </w:r>
    </w:p>
    <w:p w14:paraId="17C9F3C5" w14:textId="1545AF8B" w:rsidR="00C6193E" w:rsidRDefault="00C6193E" w:rsidP="00D918B2">
      <w:pPr>
        <w:pStyle w:val="ExampleHeading"/>
      </w:pPr>
      <w:r>
        <w:t xml:space="preserve"> </w:t>
      </w:r>
      <w:bookmarkStart w:id="10" w:name="_Ref532542952"/>
      <w:r>
        <w:t>Exploration expenditure transferred after 1 July 2019</w:t>
      </w:r>
      <w:bookmarkEnd w:id="10"/>
    </w:p>
    <w:p w14:paraId="4F0BDDB8" w14:textId="252D7278" w:rsidR="00C6193E" w:rsidRDefault="00C6193E" w:rsidP="00D918B2">
      <w:pPr>
        <w:pStyle w:val="exampletext"/>
      </w:pPr>
      <w:r w:rsidRPr="00C6193E">
        <w:t xml:space="preserve">Project </w:t>
      </w:r>
      <w:r w:rsidR="00336064">
        <w:t>Delta</w:t>
      </w:r>
      <w:r w:rsidRPr="00C6193E">
        <w:t xml:space="preserve"> was granted a production licence in the 2010-11 financial year. Its sole operator incurred total exploration costs of $500 million in </w:t>
      </w:r>
      <w:r w:rsidR="00A733D1">
        <w:t xml:space="preserve">the </w:t>
      </w:r>
      <w:r w:rsidRPr="00C6193E">
        <w:t>2007-08 financial year</w:t>
      </w:r>
      <w:r>
        <w:t>, which are never deducted within the project</w:t>
      </w:r>
      <w:r w:rsidRPr="00C6193E">
        <w:t>.</w:t>
      </w:r>
    </w:p>
    <w:p w14:paraId="0C2BA339" w14:textId="0B60116D" w:rsidR="00C6193E" w:rsidRDefault="00C6193E" w:rsidP="00D918B2">
      <w:pPr>
        <w:pStyle w:val="exampletext"/>
      </w:pPr>
      <w:r>
        <w:t>The operator also has an interest in Project Theta that</w:t>
      </w:r>
      <w:r w:rsidR="00A733D1">
        <w:t xml:space="preserve"> has a notional taxable profit and</w:t>
      </w:r>
      <w:r>
        <w:t xml:space="preserve">, without transferred exploration expenditure, would pay PRRT in 2020-21. </w:t>
      </w:r>
    </w:p>
    <w:p w14:paraId="57C7AD9D" w14:textId="4E545B0B" w:rsidR="00C6193E" w:rsidRDefault="00C6193E" w:rsidP="00D918B2">
      <w:pPr>
        <w:pStyle w:val="exampletext"/>
      </w:pPr>
      <w:r>
        <w:t>The operator is</w:t>
      </w:r>
      <w:r w:rsidRPr="00C6193E">
        <w:t xml:space="preserve"> required to transfer its exploration expenditure from Project </w:t>
      </w:r>
      <w:r w:rsidR="00336064">
        <w:t>Delta</w:t>
      </w:r>
      <w:r>
        <w:t xml:space="preserve"> to Project Theta. The uplift rate equal to the LTBR+5 </w:t>
      </w:r>
      <w:r w:rsidRPr="00C6193E">
        <w:t xml:space="preserve">percentage points </w:t>
      </w:r>
      <w:r>
        <w:t xml:space="preserve">applies </w:t>
      </w:r>
      <w:r w:rsidRPr="00C6193E">
        <w:t xml:space="preserve">for </w:t>
      </w:r>
      <w:r>
        <w:t>the ten years from the 2007</w:t>
      </w:r>
      <w:r w:rsidR="00A733D1">
        <w:noBreakHyphen/>
      </w:r>
      <w:r w:rsidRPr="00C6193E">
        <w:t>08</w:t>
      </w:r>
      <w:r w:rsidR="00A733D1">
        <w:t> </w:t>
      </w:r>
      <w:r w:rsidRPr="00C6193E">
        <w:t xml:space="preserve">financial year </w:t>
      </w:r>
      <w:r>
        <w:t>during which</w:t>
      </w:r>
      <w:r w:rsidRPr="00C6193E">
        <w:t xml:space="preserve"> the exploration expenditure was incurred. From the 2017-18 financial year</w:t>
      </w:r>
      <w:r w:rsidR="00F02817" w:rsidRPr="00F02817">
        <w:t xml:space="preserve"> </w:t>
      </w:r>
      <w:r w:rsidR="00F02817">
        <w:t>to the 2020</w:t>
      </w:r>
      <w:r w:rsidR="00F02817">
        <w:noBreakHyphen/>
        <w:t>21 financial year</w:t>
      </w:r>
      <w:r w:rsidRPr="00C6193E">
        <w:t xml:space="preserve">, </w:t>
      </w:r>
      <w:r>
        <w:t xml:space="preserve">the </w:t>
      </w:r>
      <w:r w:rsidRPr="00C6193E">
        <w:t>augmented total is uplifted at th</w:t>
      </w:r>
      <w:r w:rsidR="00F02817">
        <w:t xml:space="preserve">e rate equal to the </w:t>
      </w:r>
      <w:r w:rsidRPr="00C6193E">
        <w:t xml:space="preserve">GDP </w:t>
      </w:r>
      <w:r w:rsidR="00336064">
        <w:t>factor</w:t>
      </w:r>
      <w:r w:rsidRPr="00C6193E">
        <w:t>.</w:t>
      </w:r>
    </w:p>
    <w:p w14:paraId="3F49C917" w14:textId="4C1F9681" w:rsidR="00336064" w:rsidRPr="00336064" w:rsidRDefault="00336064" w:rsidP="00D918B2">
      <w:pPr>
        <w:pStyle w:val="base-text-paragraph"/>
      </w:pPr>
      <w:r>
        <w:lastRenderedPageBreak/>
        <w:t xml:space="preserve">It would not change the outcome in </w:t>
      </w:r>
      <w:r>
        <w:fldChar w:fldCharType="begin"/>
      </w:r>
      <w:r>
        <w:instrText xml:space="preserve"> REF _Ref532542952 \r \h </w:instrText>
      </w:r>
      <w:r>
        <w:fldChar w:fldCharType="separate"/>
      </w:r>
      <w:r w:rsidR="00F95382">
        <w:t>Example 1.6</w:t>
      </w:r>
      <w:r>
        <w:fldChar w:fldCharType="end"/>
      </w:r>
      <w:r>
        <w:t xml:space="preserve"> if the production licence was granted at an earlier time within five years of </w:t>
      </w:r>
      <w:r w:rsidR="00DB69CF">
        <w:t xml:space="preserve">the </w:t>
      </w:r>
      <w:r>
        <w:t xml:space="preserve">financial year in which the exploration expenditure was incurred. </w:t>
      </w:r>
    </w:p>
    <w:p w14:paraId="56979C76" w14:textId="77777777" w:rsidR="00B17774" w:rsidRPr="00E63B3D" w:rsidRDefault="00B17774" w:rsidP="002825FF">
      <w:pPr>
        <w:pStyle w:val="Heading2"/>
        <w:keepLines/>
      </w:pPr>
      <w:r w:rsidRPr="00E63B3D">
        <w:t>Consequential amendments</w:t>
      </w:r>
    </w:p>
    <w:p w14:paraId="24669225" w14:textId="2EF5DD10" w:rsidR="006D0C15" w:rsidRPr="00E63B3D" w:rsidRDefault="008E62CC" w:rsidP="00C44A88">
      <w:pPr>
        <w:pStyle w:val="base-text-paragraph"/>
        <w:keepLines/>
        <w:numPr>
          <w:ilvl w:val="1"/>
          <w:numId w:val="7"/>
        </w:numPr>
      </w:pPr>
      <w:r w:rsidRPr="00E63B3D">
        <w:t xml:space="preserve">Class 2 ABR general expenditure is relabelled </w:t>
      </w:r>
      <w:r w:rsidR="006D0C15" w:rsidRPr="00E63B3D">
        <w:t xml:space="preserve">Class 2 uplifted general expenditure. This reflects the change of the uplift rate to incorporate the GDP factor for some financial years. </w:t>
      </w:r>
      <w:r w:rsidR="0016694E">
        <w:t xml:space="preserve">Similarly, </w:t>
      </w:r>
      <w:r w:rsidR="006D0C15" w:rsidRPr="00CB43DC">
        <w:t>Class 2 ABR exploration expenditure is relabelled Class 2 uplifted exploration expenditure. This</w:t>
      </w:r>
      <w:r w:rsidR="006D0C15" w:rsidRPr="00E63B3D">
        <w:t xml:space="preserve"> reflects that this class applies to all exploration expenditure incurred on or after 1 July 2019. </w:t>
      </w:r>
      <w:r w:rsidR="006D0C15" w:rsidRPr="00E63B3D">
        <w:rPr>
          <w:rStyle w:val="Referencingstyle"/>
        </w:rPr>
        <w:t>[Schedule 1, items </w:t>
      </w:r>
      <w:r w:rsidR="00912F33">
        <w:rPr>
          <w:rStyle w:val="Referencingstyle"/>
        </w:rPr>
        <w:t>2</w:t>
      </w:r>
      <w:r w:rsidR="00F61AEF">
        <w:rPr>
          <w:rStyle w:val="Referencingstyle"/>
        </w:rPr>
        <w:t xml:space="preserve">, </w:t>
      </w:r>
      <w:r w:rsidR="00912F33">
        <w:rPr>
          <w:rStyle w:val="Referencingstyle"/>
        </w:rPr>
        <w:t>3</w:t>
      </w:r>
      <w:r w:rsidR="003C54F1">
        <w:rPr>
          <w:rStyle w:val="Referencingstyle"/>
        </w:rPr>
        <w:t xml:space="preserve">, </w:t>
      </w:r>
      <w:r w:rsidR="00912F33">
        <w:rPr>
          <w:rStyle w:val="Referencingstyle"/>
        </w:rPr>
        <w:t>6</w:t>
      </w:r>
      <w:r w:rsidR="00F61AEF">
        <w:rPr>
          <w:rStyle w:val="Referencingstyle"/>
        </w:rPr>
        <w:t xml:space="preserve"> to </w:t>
      </w:r>
      <w:r w:rsidR="00BB470F">
        <w:rPr>
          <w:rStyle w:val="Referencingstyle"/>
        </w:rPr>
        <w:t>34</w:t>
      </w:r>
      <w:r w:rsidR="00F61AEF">
        <w:rPr>
          <w:rStyle w:val="Referencingstyle"/>
        </w:rPr>
        <w:t xml:space="preserve">, </w:t>
      </w:r>
      <w:r w:rsidR="00912F33">
        <w:rPr>
          <w:rStyle w:val="Referencingstyle"/>
        </w:rPr>
        <w:t>37</w:t>
      </w:r>
      <w:r w:rsidR="003C54F1">
        <w:rPr>
          <w:rStyle w:val="Referencingstyle"/>
        </w:rPr>
        <w:t xml:space="preserve"> to </w:t>
      </w:r>
      <w:r w:rsidR="00912F33">
        <w:rPr>
          <w:rStyle w:val="Referencingstyle"/>
        </w:rPr>
        <w:t>39</w:t>
      </w:r>
      <w:r w:rsidR="00F61AEF">
        <w:rPr>
          <w:rStyle w:val="Referencingstyle"/>
        </w:rPr>
        <w:t xml:space="preserve">, </w:t>
      </w:r>
      <w:r w:rsidR="00912F33">
        <w:rPr>
          <w:rStyle w:val="Referencingstyle"/>
        </w:rPr>
        <w:t>41</w:t>
      </w:r>
      <w:r w:rsidR="00F61AEF">
        <w:rPr>
          <w:rStyle w:val="Referencingstyle"/>
        </w:rPr>
        <w:t xml:space="preserve">, </w:t>
      </w:r>
      <w:r w:rsidR="00912F33">
        <w:rPr>
          <w:rStyle w:val="Referencingstyle"/>
        </w:rPr>
        <w:t>44</w:t>
      </w:r>
      <w:r w:rsidR="00557145">
        <w:rPr>
          <w:rStyle w:val="Referencingstyle"/>
        </w:rPr>
        <w:t xml:space="preserve">, </w:t>
      </w:r>
      <w:r w:rsidR="00912F33">
        <w:rPr>
          <w:rStyle w:val="Referencingstyle"/>
        </w:rPr>
        <w:t>47</w:t>
      </w:r>
      <w:r w:rsidR="00C14F09">
        <w:rPr>
          <w:rStyle w:val="Referencingstyle"/>
        </w:rPr>
        <w:t>,</w:t>
      </w:r>
      <w:r w:rsidR="00912F33">
        <w:rPr>
          <w:rStyle w:val="Referencingstyle"/>
        </w:rPr>
        <w:t xml:space="preserve"> </w:t>
      </w:r>
      <w:r w:rsidR="00C14F09">
        <w:rPr>
          <w:rStyle w:val="Referencingstyle"/>
        </w:rPr>
        <w:t xml:space="preserve">50 to 52, 54, </w:t>
      </w:r>
      <w:r w:rsidR="00912F33">
        <w:rPr>
          <w:rStyle w:val="Referencingstyle"/>
        </w:rPr>
        <w:t>56</w:t>
      </w:r>
      <w:r w:rsidR="00F61AEF">
        <w:rPr>
          <w:rStyle w:val="Referencingstyle"/>
        </w:rPr>
        <w:t xml:space="preserve">, </w:t>
      </w:r>
      <w:r w:rsidR="00912F33">
        <w:rPr>
          <w:rStyle w:val="Referencingstyle"/>
        </w:rPr>
        <w:t>61</w:t>
      </w:r>
      <w:r w:rsidR="00F61AEF">
        <w:rPr>
          <w:rStyle w:val="Referencingstyle"/>
        </w:rPr>
        <w:t xml:space="preserve">, </w:t>
      </w:r>
      <w:r w:rsidR="00912F33">
        <w:rPr>
          <w:rStyle w:val="Referencingstyle"/>
        </w:rPr>
        <w:t xml:space="preserve">75 </w:t>
      </w:r>
      <w:r w:rsidR="00F61AEF">
        <w:rPr>
          <w:rStyle w:val="Referencingstyle"/>
        </w:rPr>
        <w:t xml:space="preserve">and </w:t>
      </w:r>
      <w:r w:rsidR="00912F33">
        <w:rPr>
          <w:rStyle w:val="Referencingstyle"/>
        </w:rPr>
        <w:t>76</w:t>
      </w:r>
      <w:r w:rsidR="00F61AEF">
        <w:rPr>
          <w:rStyle w:val="Referencingstyle"/>
        </w:rPr>
        <w:t xml:space="preserve">, </w:t>
      </w:r>
      <w:r w:rsidR="00006789">
        <w:rPr>
          <w:rStyle w:val="Referencingstyle"/>
        </w:rPr>
        <w:t xml:space="preserve">the formula </w:t>
      </w:r>
      <w:r w:rsidR="00F31297">
        <w:rPr>
          <w:rStyle w:val="Referencingstyle"/>
        </w:rPr>
        <w:t xml:space="preserve">and the definition of ‘augmented bond rate’ </w:t>
      </w:r>
      <w:r w:rsidR="00006789">
        <w:rPr>
          <w:rStyle w:val="Referencingstyle"/>
        </w:rPr>
        <w:t>in subsection 34A(4)</w:t>
      </w:r>
      <w:r w:rsidR="00F31297">
        <w:rPr>
          <w:rStyle w:val="Referencingstyle"/>
        </w:rPr>
        <w:t>,</w:t>
      </w:r>
      <w:r w:rsidR="003C54F1">
        <w:rPr>
          <w:rStyle w:val="Referencingstyle"/>
        </w:rPr>
        <w:t xml:space="preserve"> </w:t>
      </w:r>
      <w:r w:rsidR="00557145">
        <w:rPr>
          <w:rStyle w:val="Referencingstyle"/>
        </w:rPr>
        <w:t>s</w:t>
      </w:r>
      <w:r w:rsidR="003C54F1">
        <w:rPr>
          <w:rStyle w:val="Referencingstyle"/>
        </w:rPr>
        <w:t xml:space="preserve">ections 34A, 35A, </w:t>
      </w:r>
      <w:r w:rsidR="00557145">
        <w:rPr>
          <w:rStyle w:val="Referencingstyle"/>
        </w:rPr>
        <w:t>paragraphs 32(c), 32(e), 35(3)(c), 35C(5)(c), 35C(5)(e), 35E(3)(c), 34E(3)(e), 48A(5)(b), 58K(2)(a) and</w:t>
      </w:r>
      <w:r w:rsidR="00C14F09">
        <w:rPr>
          <w:rStyle w:val="Referencingstyle"/>
        </w:rPr>
        <w:t> </w:t>
      </w:r>
      <w:r w:rsidR="00557145">
        <w:rPr>
          <w:rStyle w:val="Referencingstyle"/>
        </w:rPr>
        <w:t xml:space="preserve">58M(2)(a), subparagraphs 48(1)(a)(i), 48K(1)(b)(iii), </w:t>
      </w:r>
      <w:r w:rsidR="00C44A88" w:rsidRPr="00C44A88">
        <w:rPr>
          <w:rStyle w:val="Referencingstyle"/>
        </w:rPr>
        <w:t>58K(1)(b)(iii)</w:t>
      </w:r>
      <w:r w:rsidR="00C44A88">
        <w:rPr>
          <w:rStyle w:val="Referencingstyle"/>
        </w:rPr>
        <w:t xml:space="preserve">, </w:t>
      </w:r>
      <w:r w:rsidR="00557145">
        <w:rPr>
          <w:rStyle w:val="Referencingstyle"/>
        </w:rPr>
        <w:t xml:space="preserve">58M(1)(c)(iii), </w:t>
      </w:r>
      <w:r w:rsidR="0053619B">
        <w:rPr>
          <w:rStyle w:val="Referencingstyle"/>
        </w:rPr>
        <w:t xml:space="preserve">the notes to paragraph 48A(5)(c), </w:t>
      </w:r>
      <w:r w:rsidR="00C44A88">
        <w:rPr>
          <w:rStyle w:val="Referencingstyle"/>
        </w:rPr>
        <w:t xml:space="preserve">subparagraphs 48(1)(a)(ia) </w:t>
      </w:r>
      <w:r w:rsidR="0053619B">
        <w:rPr>
          <w:rStyle w:val="Referencingstyle"/>
        </w:rPr>
        <w:t xml:space="preserve">and subsections 36A(1) and 36B(1), </w:t>
      </w:r>
      <w:r w:rsidR="00557145">
        <w:rPr>
          <w:rStyle w:val="Referencingstyle"/>
        </w:rPr>
        <w:t xml:space="preserve">and the headings to </w:t>
      </w:r>
      <w:r w:rsidR="001B47AD">
        <w:rPr>
          <w:rStyle w:val="Referencingstyle"/>
        </w:rPr>
        <w:t>subsections 58K(2) and 58M(2)</w:t>
      </w:r>
      <w:r w:rsidR="006D0C15" w:rsidRPr="00E63B3D">
        <w:rPr>
          <w:rStyle w:val="Referencingstyle"/>
        </w:rPr>
        <w:t xml:space="preserve"> of the Act</w:t>
      </w:r>
      <w:r w:rsidR="001B47AD">
        <w:rPr>
          <w:rStyle w:val="Referencingstyle"/>
        </w:rPr>
        <w:t xml:space="preserve">, and </w:t>
      </w:r>
      <w:r w:rsidR="00BB470F">
        <w:rPr>
          <w:rStyle w:val="Referencingstyle"/>
        </w:rPr>
        <w:t xml:space="preserve">clause 1 (definition of ‘augmented bond rate’), </w:t>
      </w:r>
      <w:r w:rsidR="001B47AD">
        <w:rPr>
          <w:rStyle w:val="Referencingstyle"/>
        </w:rPr>
        <w:t>clause 5 (paragraph (a) of the definition of ‘notional taxable profit’), clause 37, subclauses 8(3) to (7), and paragraphs 6(1)(a) and</w:t>
      </w:r>
      <w:r w:rsidR="00C14F09">
        <w:rPr>
          <w:rStyle w:val="Referencingstyle"/>
        </w:rPr>
        <w:t> </w:t>
      </w:r>
      <w:r w:rsidR="001B47AD">
        <w:rPr>
          <w:rStyle w:val="Referencingstyle"/>
        </w:rPr>
        <w:t>7(a) in Schedule 1 to the Act</w:t>
      </w:r>
      <w:r w:rsidR="006D0C15" w:rsidRPr="00E63B3D">
        <w:rPr>
          <w:rStyle w:val="Referencingstyle"/>
        </w:rPr>
        <w:t>]</w:t>
      </w:r>
    </w:p>
    <w:p w14:paraId="49F32D92" w14:textId="6D7B3161" w:rsidR="006D0C15" w:rsidRPr="00E63B3D" w:rsidRDefault="0016694E" w:rsidP="002825FF">
      <w:pPr>
        <w:pStyle w:val="base-text-paragraph"/>
        <w:keepLines/>
        <w:numPr>
          <w:ilvl w:val="1"/>
          <w:numId w:val="7"/>
        </w:numPr>
      </w:pPr>
      <w:r>
        <w:t>T</w:t>
      </w:r>
      <w:r w:rsidR="006D0C15" w:rsidRPr="00E63B3D">
        <w:t xml:space="preserve">he concept of an ABR expenditure year in Schedule 1 to the Act is relabelled </w:t>
      </w:r>
      <w:r w:rsidR="00DB69CF">
        <w:t xml:space="preserve">a </w:t>
      </w:r>
      <w:r w:rsidR="006D0C15" w:rsidRPr="00E63B3D">
        <w:t xml:space="preserve">standard uplift expenditure year. </w:t>
      </w:r>
      <w:r>
        <w:t xml:space="preserve">This incorporates the 2019-20 financial year and future financial years. </w:t>
      </w:r>
      <w:r w:rsidR="006D0C15" w:rsidRPr="00E63B3D">
        <w:rPr>
          <w:rStyle w:val="Referencingstyle"/>
        </w:rPr>
        <w:t>[Schedule 1, items </w:t>
      </w:r>
      <w:r w:rsidR="00C44A88">
        <w:rPr>
          <w:rStyle w:val="Referencingstyle"/>
        </w:rPr>
        <w:t>34 to 36</w:t>
      </w:r>
      <w:r w:rsidR="002F1B02">
        <w:rPr>
          <w:rStyle w:val="Referencingstyle"/>
        </w:rPr>
        <w:t>,</w:t>
      </w:r>
      <w:r w:rsidR="000C1F97">
        <w:rPr>
          <w:rStyle w:val="Referencingstyle"/>
        </w:rPr>
        <w:t xml:space="preserve"> </w:t>
      </w:r>
      <w:r w:rsidR="00912F33">
        <w:rPr>
          <w:rStyle w:val="Referencingstyle"/>
        </w:rPr>
        <w:t>40</w:t>
      </w:r>
      <w:r w:rsidR="000C1F97">
        <w:rPr>
          <w:rStyle w:val="Referencingstyle"/>
        </w:rPr>
        <w:t xml:space="preserve">, </w:t>
      </w:r>
      <w:r w:rsidR="00912F33">
        <w:rPr>
          <w:rStyle w:val="Referencingstyle"/>
        </w:rPr>
        <w:t xml:space="preserve">42 </w:t>
      </w:r>
      <w:r w:rsidR="002F1B02">
        <w:rPr>
          <w:rStyle w:val="Referencingstyle"/>
        </w:rPr>
        <w:t>to</w:t>
      </w:r>
      <w:r w:rsidR="000C1F97">
        <w:rPr>
          <w:rStyle w:val="Referencingstyle"/>
        </w:rPr>
        <w:t xml:space="preserve"> </w:t>
      </w:r>
      <w:r w:rsidR="00912F33">
        <w:rPr>
          <w:rStyle w:val="Referencingstyle"/>
        </w:rPr>
        <w:t>46</w:t>
      </w:r>
      <w:r w:rsidR="002F1B02">
        <w:rPr>
          <w:rStyle w:val="Referencingstyle"/>
        </w:rPr>
        <w:t xml:space="preserve">, </w:t>
      </w:r>
      <w:r w:rsidR="00BB470F">
        <w:rPr>
          <w:rStyle w:val="Referencingstyle"/>
        </w:rPr>
        <w:t xml:space="preserve">48, 49, 51, 53, 55, </w:t>
      </w:r>
      <w:r w:rsidR="00912F33">
        <w:rPr>
          <w:rStyle w:val="Referencingstyle"/>
        </w:rPr>
        <w:t xml:space="preserve">57 </w:t>
      </w:r>
      <w:r w:rsidR="002F1B02">
        <w:rPr>
          <w:rStyle w:val="Referencingstyle"/>
        </w:rPr>
        <w:t xml:space="preserve">to </w:t>
      </w:r>
      <w:r w:rsidR="00912F33">
        <w:rPr>
          <w:rStyle w:val="Referencingstyle"/>
        </w:rPr>
        <w:t>60</w:t>
      </w:r>
      <w:r w:rsidR="002F1B02">
        <w:rPr>
          <w:rStyle w:val="Referencingstyle"/>
        </w:rPr>
        <w:t xml:space="preserve">, </w:t>
      </w:r>
      <w:r w:rsidR="00912F33">
        <w:rPr>
          <w:rStyle w:val="Referencingstyle"/>
        </w:rPr>
        <w:t xml:space="preserve">62 </w:t>
      </w:r>
      <w:r w:rsidR="002F1B02">
        <w:rPr>
          <w:rStyle w:val="Referencingstyle"/>
        </w:rPr>
        <w:t xml:space="preserve">to </w:t>
      </w:r>
      <w:r w:rsidR="00912F33">
        <w:rPr>
          <w:rStyle w:val="Referencingstyle"/>
        </w:rPr>
        <w:t>76</w:t>
      </w:r>
      <w:r w:rsidR="002F1B02">
        <w:rPr>
          <w:rStyle w:val="Referencingstyle"/>
        </w:rPr>
        <w:t xml:space="preserve">, </w:t>
      </w:r>
      <w:r w:rsidR="00BB470F" w:rsidRPr="00E63B3D">
        <w:rPr>
          <w:rStyle w:val="Referencingstyle"/>
        </w:rPr>
        <w:t>clause 1 (definitions of ‘ABR expenditure year’</w:t>
      </w:r>
      <w:r w:rsidR="00BB470F">
        <w:rPr>
          <w:rStyle w:val="Referencingstyle"/>
        </w:rPr>
        <w:t xml:space="preserve">, </w:t>
      </w:r>
      <w:r w:rsidR="00BB470F" w:rsidRPr="00E63B3D">
        <w:rPr>
          <w:rStyle w:val="Referencingstyle"/>
        </w:rPr>
        <w:t>‘</w:t>
      </w:r>
      <w:r w:rsidR="00BB470F">
        <w:rPr>
          <w:rStyle w:val="Referencingstyle"/>
        </w:rPr>
        <w:t>GDP expenditure year</w:t>
      </w:r>
      <w:r w:rsidR="00BB470F" w:rsidRPr="00E63B3D">
        <w:rPr>
          <w:rStyle w:val="Referencingstyle"/>
        </w:rPr>
        <w:t>’</w:t>
      </w:r>
      <w:r w:rsidR="00BB470F">
        <w:rPr>
          <w:rStyle w:val="Referencingstyle"/>
        </w:rPr>
        <w:t xml:space="preserve"> and ‘standard uplift expenditure year’</w:t>
      </w:r>
      <w:r w:rsidR="00BB470F" w:rsidRPr="00E63B3D">
        <w:rPr>
          <w:rStyle w:val="Referencingstyle"/>
        </w:rPr>
        <w:t>)</w:t>
      </w:r>
      <w:r w:rsidR="00BB470F">
        <w:rPr>
          <w:rStyle w:val="Referencingstyle"/>
        </w:rPr>
        <w:t xml:space="preserve"> </w:t>
      </w:r>
      <w:r w:rsidR="002F1B02">
        <w:rPr>
          <w:rStyle w:val="Referencingstyle"/>
        </w:rPr>
        <w:t>clauses 24, 33 and 37, subclauses 8(3) to (7), paragraphs 6(1)(b) and 7(b), and subparagraphs 25(c)(i) and 34(c)(i) in Schedule 1 to</w:t>
      </w:r>
      <w:r w:rsidR="006D0C15" w:rsidRPr="00E63B3D">
        <w:rPr>
          <w:rStyle w:val="Referencingstyle"/>
        </w:rPr>
        <w:t xml:space="preserve"> the Act]</w:t>
      </w:r>
    </w:p>
    <w:p w14:paraId="4E2EA3B5" w14:textId="333F640A" w:rsidR="00B17774" w:rsidRPr="00E63B3D" w:rsidRDefault="00B17774" w:rsidP="002825FF">
      <w:pPr>
        <w:pStyle w:val="Heading2"/>
        <w:keepLines/>
      </w:pPr>
      <w:r w:rsidRPr="00E63B3D">
        <w:t>Application provisions</w:t>
      </w:r>
    </w:p>
    <w:p w14:paraId="6E4B3B01" w14:textId="292E81FC" w:rsidR="00DF631D" w:rsidRPr="00E63B3D" w:rsidRDefault="00F15913" w:rsidP="003229AA">
      <w:pPr>
        <w:pStyle w:val="base-text-paragraph"/>
        <w:keepLines/>
        <w:numPr>
          <w:ilvl w:val="1"/>
          <w:numId w:val="7"/>
        </w:numPr>
      </w:pPr>
      <w:r w:rsidRPr="00E63B3D">
        <w:t xml:space="preserve">The amendments commence </w:t>
      </w:r>
      <w:r w:rsidR="00DB69CF">
        <w:t>on</w:t>
      </w:r>
      <w:r w:rsidR="00DB69CF" w:rsidRPr="00E63B3D">
        <w:t xml:space="preserve"> </w:t>
      </w:r>
      <w:r w:rsidR="00C928E7">
        <w:t>1 July 2019</w:t>
      </w:r>
      <w:r w:rsidRPr="00E63B3D">
        <w:t xml:space="preserve">. </w:t>
      </w:r>
      <w:r w:rsidRPr="00E63B3D">
        <w:rPr>
          <w:rStyle w:val="Referencingstyle"/>
        </w:rPr>
        <w:t xml:space="preserve">[Clause 2 of the </w:t>
      </w:r>
      <w:r w:rsidR="003229AA" w:rsidRPr="003229AA">
        <w:rPr>
          <w:rStyle w:val="Referencingstyle"/>
        </w:rPr>
        <w:t>Exposure Draft</w:t>
      </w:r>
      <w:r w:rsidRPr="00E63B3D">
        <w:rPr>
          <w:rStyle w:val="Referencingstyle"/>
        </w:rPr>
        <w:t>]</w:t>
      </w:r>
    </w:p>
    <w:p w14:paraId="7465E03E" w14:textId="27DD3CFF" w:rsidR="00F15913" w:rsidRPr="00E63B3D" w:rsidRDefault="00F15913" w:rsidP="002825FF">
      <w:pPr>
        <w:pStyle w:val="base-text-paragraph"/>
        <w:keepLines/>
        <w:numPr>
          <w:ilvl w:val="1"/>
          <w:numId w:val="7"/>
        </w:numPr>
      </w:pPr>
      <w:r w:rsidRPr="00E63B3D">
        <w:t xml:space="preserve">The amendments generally apply from 1 July 2019. The application of the amendments to expenditure incurred prior to that date and </w:t>
      </w:r>
      <w:r w:rsidR="00A80D24" w:rsidRPr="00E63B3D">
        <w:t xml:space="preserve">petroleum </w:t>
      </w:r>
      <w:r w:rsidRPr="00E63B3D">
        <w:t xml:space="preserve">projects that were the subject of a production licence </w:t>
      </w:r>
      <w:r w:rsidR="009F3C75" w:rsidRPr="00E63B3D">
        <w:t xml:space="preserve">notice that </w:t>
      </w:r>
      <w:r w:rsidR="00DC5B94">
        <w:t>specifies</w:t>
      </w:r>
      <w:r w:rsidR="00DC5B94" w:rsidRPr="00E63B3D">
        <w:t xml:space="preserve"> </w:t>
      </w:r>
      <w:r w:rsidR="009F3C75" w:rsidRPr="00E63B3D">
        <w:t xml:space="preserve">an earlier </w:t>
      </w:r>
      <w:r w:rsidRPr="00E63B3D">
        <w:t xml:space="preserve">date are discussed earlier in this Chapter. </w:t>
      </w:r>
    </w:p>
    <w:p w14:paraId="25CE53BF" w14:textId="77777777" w:rsidR="00A3553F" w:rsidRPr="00E63B3D" w:rsidRDefault="00A3553F" w:rsidP="002825FF">
      <w:pPr>
        <w:keepLines/>
        <w:sectPr w:rsidR="00A3553F" w:rsidRPr="00E63B3D" w:rsidSect="00E74E50">
          <w:footerReference w:type="even" r:id="rId32"/>
          <w:footerReference w:type="default" r:id="rId33"/>
          <w:footerReference w:type="first" r:id="rId34"/>
          <w:type w:val="oddPage"/>
          <w:pgSz w:w="9979" w:h="14175" w:code="9"/>
          <w:pgMar w:top="567" w:right="1134" w:bottom="567" w:left="1134" w:header="709" w:footer="709" w:gutter="0"/>
          <w:cols w:space="708"/>
          <w:titlePg/>
          <w:docGrid w:linePitch="360"/>
        </w:sectPr>
      </w:pPr>
    </w:p>
    <w:p w14:paraId="776F9AD4" w14:textId="5DAD15BA" w:rsidR="00A3553F" w:rsidRPr="00E63B3D" w:rsidRDefault="00A3553F" w:rsidP="002825FF">
      <w:pPr>
        <w:pStyle w:val="ChapterHeading"/>
        <w:keepLines/>
        <w:numPr>
          <w:ilvl w:val="0"/>
          <w:numId w:val="7"/>
        </w:numPr>
      </w:pPr>
      <w:r w:rsidRPr="00E63B3D">
        <w:lastRenderedPageBreak/>
        <w:br/>
      </w:r>
      <w:bookmarkStart w:id="11" w:name="_Toc532550748"/>
      <w:r w:rsidRPr="00E63B3D">
        <w:rPr>
          <w:rStyle w:val="ChapterNameOnly"/>
        </w:rPr>
        <w:t xml:space="preserve">Onshore </w:t>
      </w:r>
      <w:r w:rsidR="00A80D24" w:rsidRPr="00E63B3D">
        <w:rPr>
          <w:rStyle w:val="ChapterNameOnly"/>
        </w:rPr>
        <w:t xml:space="preserve">petroleum </w:t>
      </w:r>
      <w:r w:rsidRPr="00E63B3D">
        <w:rPr>
          <w:rStyle w:val="ChapterNameOnly"/>
        </w:rPr>
        <w:t>projects</w:t>
      </w:r>
      <w:bookmarkEnd w:id="11"/>
    </w:p>
    <w:p w14:paraId="0F93AC0F" w14:textId="77777777" w:rsidR="00A3553F" w:rsidRPr="00E63B3D" w:rsidRDefault="00A3553F" w:rsidP="002825FF">
      <w:pPr>
        <w:pStyle w:val="Heading2"/>
        <w:keepLines/>
      </w:pPr>
      <w:r w:rsidRPr="00E63B3D">
        <w:t>Outline of chapter</w:t>
      </w:r>
    </w:p>
    <w:p w14:paraId="2F3C6449" w14:textId="4DA2D625" w:rsidR="00A3553F" w:rsidRPr="00E63B3D" w:rsidRDefault="001C42D3" w:rsidP="002825FF">
      <w:pPr>
        <w:keepLines/>
        <w:numPr>
          <w:ilvl w:val="1"/>
          <w:numId w:val="7"/>
        </w:numPr>
      </w:pPr>
      <w:bookmarkStart w:id="12" w:name="_Ref529783558"/>
      <w:bookmarkStart w:id="13" w:name="_Ref529790519"/>
      <w:r w:rsidRPr="00E63B3D">
        <w:t xml:space="preserve">Schedule 2 to the </w:t>
      </w:r>
      <w:r w:rsidR="003229AA">
        <w:t>Exposure Draft</w:t>
      </w:r>
      <w:r w:rsidRPr="00E63B3D">
        <w:t xml:space="preserve"> amends the Act to remove onshore </w:t>
      </w:r>
      <w:r w:rsidR="00A80D24" w:rsidRPr="00E63B3D">
        <w:t xml:space="preserve">petroleum </w:t>
      </w:r>
      <w:r w:rsidRPr="00E63B3D">
        <w:t xml:space="preserve">projects from the scope of the PRRT. Onshore </w:t>
      </w:r>
      <w:r w:rsidR="00A80D24" w:rsidRPr="00E63B3D">
        <w:t xml:space="preserve">petroleum </w:t>
      </w:r>
      <w:r w:rsidRPr="00E63B3D">
        <w:t>projects are generally not expected to result in PRRT liabilities but can reduce taxpayers’ PRRT liabilities for offshore projects because of the transfer of exploration expenditure.</w:t>
      </w:r>
      <w:bookmarkEnd w:id="12"/>
      <w:bookmarkEnd w:id="13"/>
      <w:r w:rsidRPr="00E63B3D">
        <w:t xml:space="preserve"> </w:t>
      </w:r>
    </w:p>
    <w:p w14:paraId="3AE01E22" w14:textId="77777777" w:rsidR="00A3553F" w:rsidRPr="00E63B3D" w:rsidRDefault="00A3553F" w:rsidP="002825FF">
      <w:pPr>
        <w:pStyle w:val="Heading2"/>
        <w:keepLines/>
      </w:pPr>
      <w:r w:rsidRPr="00E63B3D">
        <w:t>Context of amendments</w:t>
      </w:r>
    </w:p>
    <w:p w14:paraId="22C4E076" w14:textId="5DAD70DF" w:rsidR="009C5020" w:rsidRPr="00E63B3D" w:rsidRDefault="001C42D3" w:rsidP="002825FF">
      <w:pPr>
        <w:pStyle w:val="base-text-paragraph"/>
        <w:keepLines/>
      </w:pPr>
      <w:r w:rsidRPr="00E63B3D">
        <w:t xml:space="preserve">The PRRT originally only applied to certain petroleum projects in Commonwealth waters. </w:t>
      </w:r>
      <w:r w:rsidR="009C5020" w:rsidRPr="00E63B3D">
        <w:t>Onshore petroleum projects were subject to other resource taxation arrangements, including State and Commonwealth royalties, crude oil excise and the Resource Rent Royalty.</w:t>
      </w:r>
    </w:p>
    <w:p w14:paraId="5683717B" w14:textId="5B9C42B2" w:rsidR="001C42D3" w:rsidRPr="00E63B3D" w:rsidRDefault="000D3B64" w:rsidP="002825FF">
      <w:pPr>
        <w:pStyle w:val="base-text-paragraph"/>
        <w:keepLines/>
      </w:pPr>
      <w:r w:rsidRPr="00E63B3D">
        <w:t>From 1 July 2012, t</w:t>
      </w:r>
      <w:r w:rsidR="001C42D3" w:rsidRPr="00E63B3D">
        <w:t xml:space="preserve">he </w:t>
      </w:r>
      <w:r w:rsidR="001C42D3" w:rsidRPr="00E63B3D">
        <w:rPr>
          <w:i/>
        </w:rPr>
        <w:t>Petroleum Resource Rent Tax Assessment Amendment Act 2012</w:t>
      </w:r>
      <w:r w:rsidR="001C42D3" w:rsidRPr="00E63B3D">
        <w:t xml:space="preserve"> extended the PRRT to onshore </w:t>
      </w:r>
      <w:r w:rsidR="00964C40">
        <w:t xml:space="preserve">petroleum </w:t>
      </w:r>
      <w:r w:rsidR="001C42D3" w:rsidRPr="00E63B3D">
        <w:t xml:space="preserve">projects, including coastal waters within State and Territory jurisdictions, and the North West Shelf. </w:t>
      </w:r>
    </w:p>
    <w:p w14:paraId="42F0E17B" w14:textId="7F97479E" w:rsidR="001F015A" w:rsidRPr="00E63B3D" w:rsidRDefault="00AE11A1" w:rsidP="002825FF">
      <w:pPr>
        <w:pStyle w:val="base-text-paragraph"/>
        <w:keepLines/>
      </w:pPr>
      <w:r w:rsidRPr="00E63B3D">
        <w:t>The Review of the Petroleum Resource Rent Tax noted that:</w:t>
      </w:r>
    </w:p>
    <w:p w14:paraId="47862070" w14:textId="25DD66E4" w:rsidR="00AE11A1" w:rsidRPr="00E63B3D" w:rsidRDefault="00AE11A1" w:rsidP="00AE11A1">
      <w:pPr>
        <w:pStyle w:val="exampletext"/>
      </w:pPr>
      <w:r w:rsidRPr="00E63B3D">
        <w:t>A key feature of the extension of the PRRT to onshore projects and the North West Shelf … project in 2012 was that transitioning projects were provided with a starting base amount that is carried forward and uplifted at LTBR plus 5 percentage points until it is applied against the assessable receipts of the project. These projects have very large starting bases mainly because most used the market value approach, including the value of the resource, to determine their starting base and the valuation was done when oil prices were relatively high…</w:t>
      </w:r>
    </w:p>
    <w:p w14:paraId="3EE98D94" w14:textId="25E65A23" w:rsidR="00AE11A1" w:rsidRPr="00E63B3D" w:rsidRDefault="00AE11A1" w:rsidP="00AE11A1">
      <w:pPr>
        <w:pStyle w:val="exampletext"/>
      </w:pPr>
      <w:r w:rsidRPr="00E63B3D">
        <w:t>The extension of PRRT to onshore projects has also meant that these projects can transfer exploration expenditure to other PRRT paying projects within a wholly owned group of companies, which is likely to have lowered PRRT revenue since 2012.</w:t>
      </w:r>
    </w:p>
    <w:p w14:paraId="2E071170" w14:textId="77777777" w:rsidR="00A3553F" w:rsidRPr="00E63B3D" w:rsidRDefault="00A3553F" w:rsidP="002825FF">
      <w:pPr>
        <w:pStyle w:val="Heading2"/>
        <w:keepLines/>
      </w:pPr>
      <w:r w:rsidRPr="00E63B3D">
        <w:lastRenderedPageBreak/>
        <w:t>Summary of new law</w:t>
      </w:r>
    </w:p>
    <w:p w14:paraId="6034C2C9" w14:textId="46BFD8F0" w:rsidR="00A3553F" w:rsidRPr="00E63B3D" w:rsidRDefault="001F015A" w:rsidP="002825FF">
      <w:pPr>
        <w:pStyle w:val="base-text-paragraph"/>
        <w:keepLines/>
        <w:numPr>
          <w:ilvl w:val="1"/>
          <w:numId w:val="7"/>
        </w:numPr>
      </w:pPr>
      <w:r w:rsidRPr="00006789">
        <w:fldChar w:fldCharType="begin"/>
      </w:r>
      <w:r w:rsidRPr="00E63B3D">
        <w:instrText xml:space="preserve"> REF _Ref529790519 \h </w:instrText>
      </w:r>
      <w:r w:rsidRPr="00006789">
        <w:fldChar w:fldCharType="separate"/>
      </w:r>
      <w:r w:rsidR="00F95382" w:rsidRPr="00E63B3D">
        <w:t xml:space="preserve">Schedule 2 to the </w:t>
      </w:r>
      <w:r w:rsidR="00F95382">
        <w:t>Exposure Draft</w:t>
      </w:r>
      <w:r w:rsidR="00F95382" w:rsidRPr="00E63B3D">
        <w:t xml:space="preserve"> amends the Act to remove onshore petroleum projects from the scope of the PRRT. Onshore petroleum projects are generally not expected to result in PRRT liabilities but can reduce taxpayers’ PRRT liabilities for offshore projects because of the transfer of exploration expenditure.</w:t>
      </w:r>
      <w:r w:rsidRPr="00006789">
        <w:fldChar w:fldCharType="end"/>
      </w:r>
    </w:p>
    <w:p w14:paraId="00374804" w14:textId="09765F23" w:rsidR="001F015A" w:rsidRPr="00E63B3D" w:rsidRDefault="001F015A" w:rsidP="002825FF">
      <w:pPr>
        <w:pStyle w:val="base-text-paragraph"/>
        <w:keepLines/>
        <w:numPr>
          <w:ilvl w:val="1"/>
          <w:numId w:val="7"/>
        </w:numPr>
      </w:pPr>
      <w:r w:rsidRPr="00E63B3D">
        <w:t xml:space="preserve">Removing onshore petroleum projects from the PRRT addresses the integrity risk posed by transfers of exploration expenditure and removes the regulator burden associated with the PRRT for these projects. Onshore oil and gas projects will continue to be subject to State royalties. </w:t>
      </w:r>
    </w:p>
    <w:p w14:paraId="632195B3" w14:textId="77777777" w:rsidR="00A3553F" w:rsidRPr="00E63B3D" w:rsidRDefault="00A3553F" w:rsidP="002825FF">
      <w:pPr>
        <w:pStyle w:val="Heading2with18pointafter"/>
        <w:keepLines/>
      </w:pPr>
      <w:r w:rsidRPr="00E63B3D">
        <w:t>Comparison of key features of new law and current law</w:t>
      </w:r>
    </w:p>
    <w:tbl>
      <w:tblPr>
        <w:tblW w:w="0" w:type="auto"/>
        <w:tblInd w:w="1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75"/>
        <w:gridCol w:w="3276"/>
      </w:tblGrid>
      <w:tr w:rsidR="00A3553F" w:rsidRPr="00E63B3D" w14:paraId="6082082F" w14:textId="77777777" w:rsidTr="00663733">
        <w:trPr>
          <w:cantSplit/>
          <w:tblHeader/>
        </w:trPr>
        <w:tc>
          <w:tcPr>
            <w:tcW w:w="3275" w:type="dxa"/>
          </w:tcPr>
          <w:p w14:paraId="1A78D776" w14:textId="77777777" w:rsidR="00A3553F" w:rsidRPr="00006789" w:rsidRDefault="00A3553F" w:rsidP="002825FF">
            <w:pPr>
              <w:pStyle w:val="tableheaderwithintable"/>
              <w:keepLines/>
              <w:rPr>
                <w:lang w:eastAsia="en-US"/>
              </w:rPr>
            </w:pPr>
            <w:r w:rsidRPr="00006789">
              <w:rPr>
                <w:lang w:eastAsia="en-US"/>
              </w:rPr>
              <w:t>New law</w:t>
            </w:r>
          </w:p>
        </w:tc>
        <w:tc>
          <w:tcPr>
            <w:tcW w:w="3276" w:type="dxa"/>
          </w:tcPr>
          <w:p w14:paraId="28EE7EC5" w14:textId="77777777" w:rsidR="00A3553F" w:rsidRPr="00006789" w:rsidRDefault="00A3553F" w:rsidP="002825FF">
            <w:pPr>
              <w:pStyle w:val="tableheaderwithintable"/>
              <w:keepLines/>
              <w:rPr>
                <w:lang w:eastAsia="en-US"/>
              </w:rPr>
            </w:pPr>
            <w:r w:rsidRPr="00006789">
              <w:rPr>
                <w:lang w:eastAsia="en-US"/>
              </w:rPr>
              <w:t>Current law</w:t>
            </w:r>
          </w:p>
        </w:tc>
      </w:tr>
      <w:tr w:rsidR="00A3553F" w:rsidRPr="00E63B3D" w14:paraId="146707A1" w14:textId="77777777" w:rsidTr="00663733">
        <w:trPr>
          <w:cantSplit/>
        </w:trPr>
        <w:tc>
          <w:tcPr>
            <w:tcW w:w="3275" w:type="dxa"/>
          </w:tcPr>
          <w:p w14:paraId="7780CAE3" w14:textId="64A1957C" w:rsidR="00A3553F" w:rsidRPr="00006789" w:rsidRDefault="00663733" w:rsidP="002825FF">
            <w:pPr>
              <w:pStyle w:val="tabletext"/>
              <w:keepLines/>
              <w:rPr>
                <w:lang w:eastAsia="en-US"/>
              </w:rPr>
            </w:pPr>
            <w:r w:rsidRPr="00006789">
              <w:rPr>
                <w:lang w:eastAsia="en-US"/>
              </w:rPr>
              <w:t xml:space="preserve">The PRRT ceases to apply to onshore </w:t>
            </w:r>
            <w:r w:rsidR="00A80D24" w:rsidRPr="00006789">
              <w:rPr>
                <w:lang w:eastAsia="en-US"/>
              </w:rPr>
              <w:t xml:space="preserve">petroleum </w:t>
            </w:r>
            <w:r w:rsidRPr="00006789">
              <w:rPr>
                <w:lang w:eastAsia="en-US"/>
              </w:rPr>
              <w:t>projects.</w:t>
            </w:r>
          </w:p>
        </w:tc>
        <w:tc>
          <w:tcPr>
            <w:tcW w:w="3276" w:type="dxa"/>
          </w:tcPr>
          <w:p w14:paraId="22F4622C" w14:textId="1BF764AB" w:rsidR="00A3553F" w:rsidRPr="00006789" w:rsidRDefault="00663733" w:rsidP="002825FF">
            <w:pPr>
              <w:pStyle w:val="tabletext"/>
              <w:keepLines/>
              <w:rPr>
                <w:lang w:eastAsia="en-US"/>
              </w:rPr>
            </w:pPr>
            <w:r w:rsidRPr="00006789">
              <w:rPr>
                <w:lang w:eastAsia="en-US"/>
              </w:rPr>
              <w:t>PRRT applies to onshore petroleum</w:t>
            </w:r>
            <w:r w:rsidR="00A80D24" w:rsidRPr="00006789">
              <w:rPr>
                <w:lang w:eastAsia="en-US"/>
              </w:rPr>
              <w:t xml:space="preserve"> </w:t>
            </w:r>
            <w:r w:rsidRPr="00006789">
              <w:rPr>
                <w:lang w:eastAsia="en-US"/>
              </w:rPr>
              <w:t xml:space="preserve">projects. </w:t>
            </w:r>
          </w:p>
        </w:tc>
      </w:tr>
    </w:tbl>
    <w:p w14:paraId="4F9C7691" w14:textId="77777777" w:rsidR="00A3553F" w:rsidRPr="00E63B3D" w:rsidRDefault="00A3553F" w:rsidP="002825FF">
      <w:pPr>
        <w:pStyle w:val="Heading2"/>
        <w:keepLines/>
      </w:pPr>
      <w:r w:rsidRPr="00E63B3D">
        <w:t>Detailed explanation of new law</w:t>
      </w:r>
    </w:p>
    <w:p w14:paraId="173703F0" w14:textId="77777777" w:rsidR="001F015A" w:rsidRPr="00E63B3D" w:rsidRDefault="001F015A" w:rsidP="002825FF">
      <w:pPr>
        <w:pStyle w:val="base-text-paragraph"/>
        <w:keepLines/>
        <w:numPr>
          <w:ilvl w:val="1"/>
          <w:numId w:val="7"/>
        </w:numPr>
      </w:pPr>
      <w:r w:rsidRPr="00E63B3D">
        <w:t xml:space="preserve">Petroleum projects are based on production licences. The definition of a ‘production licence’ in the Act is an expanded definition of the same defined term in the </w:t>
      </w:r>
      <w:r w:rsidRPr="00E63B3D">
        <w:rPr>
          <w:i/>
        </w:rPr>
        <w:t>Offshore Petroleum and Greenhouse Gas Storage Act 2006</w:t>
      </w:r>
      <w:r w:rsidRPr="00E63B3D">
        <w:t xml:space="preserve"> (paragraph (a) of the definition). The expanded definition includes licences in the Western Greater Sunrise area governed by the Timor Sea Treaty (paragraph (b)) and onshore production licences (paragraph (c)).</w:t>
      </w:r>
    </w:p>
    <w:p w14:paraId="407D72AA" w14:textId="3B86A1AF" w:rsidR="00A3553F" w:rsidRPr="00E63B3D" w:rsidRDefault="001F015A" w:rsidP="002825FF">
      <w:pPr>
        <w:pStyle w:val="base-text-paragraph"/>
        <w:keepLines/>
        <w:numPr>
          <w:ilvl w:val="1"/>
          <w:numId w:val="7"/>
        </w:numPr>
      </w:pPr>
      <w:r w:rsidRPr="00E63B3D">
        <w:t>Other PRRT concepts are defined in a similar manner.</w:t>
      </w:r>
    </w:p>
    <w:p w14:paraId="601C5F73" w14:textId="4750C63C" w:rsidR="001F015A" w:rsidRPr="00E63B3D" w:rsidRDefault="001F015A" w:rsidP="002825FF">
      <w:pPr>
        <w:pStyle w:val="base-text-paragraph"/>
        <w:keepLines/>
        <w:numPr>
          <w:ilvl w:val="1"/>
          <w:numId w:val="7"/>
        </w:numPr>
        <w:rPr>
          <w:rStyle w:val="Referencingstyle"/>
          <w:b w:val="0"/>
          <w:i w:val="0"/>
          <w:sz w:val="22"/>
        </w:rPr>
      </w:pPr>
      <w:r w:rsidRPr="00006789">
        <w:lastRenderedPageBreak/>
        <w:t xml:space="preserve">Schedule 2 to the </w:t>
      </w:r>
      <w:r w:rsidR="003229AA">
        <w:t>Exposure Draft</w:t>
      </w:r>
      <w:r w:rsidRPr="00006789">
        <w:t xml:space="preserve"> amends definitions to remove the parts of the definitions that relate to onshore </w:t>
      </w:r>
      <w:r w:rsidR="00964C40">
        <w:t xml:space="preserve">petroleum </w:t>
      </w:r>
      <w:r w:rsidRPr="00006789">
        <w:t>projects</w:t>
      </w:r>
      <w:r w:rsidR="00FE2D32" w:rsidRPr="00E63B3D">
        <w:t xml:space="preserve"> and repeals other definitions specific to onshore projects</w:t>
      </w:r>
      <w:r w:rsidRPr="00E63B3D">
        <w:t>. This has the effect of removing onshore</w:t>
      </w:r>
      <w:r w:rsidR="00964C40" w:rsidRPr="00964C40">
        <w:t xml:space="preserve"> </w:t>
      </w:r>
      <w:r w:rsidR="00964C40">
        <w:t>petroleum</w:t>
      </w:r>
      <w:r w:rsidRPr="00E63B3D">
        <w:t xml:space="preserve"> projects </w:t>
      </w:r>
      <w:r w:rsidR="005B16AE" w:rsidRPr="00E63B3D">
        <w:t xml:space="preserve">from </w:t>
      </w:r>
      <w:r w:rsidRPr="00E63B3D">
        <w:t xml:space="preserve">the PRRT. </w:t>
      </w:r>
      <w:r w:rsidR="009C5020" w:rsidRPr="00E63B3D">
        <w:rPr>
          <w:rStyle w:val="Referencingstyle"/>
        </w:rPr>
        <w:t xml:space="preserve">[Schedule 2, items </w:t>
      </w:r>
      <w:r w:rsidR="009260AB">
        <w:rPr>
          <w:rStyle w:val="Referencingstyle"/>
        </w:rPr>
        <w:t>1</w:t>
      </w:r>
      <w:r w:rsidR="003D3E06">
        <w:rPr>
          <w:rStyle w:val="Referencingstyle"/>
        </w:rPr>
        <w:t xml:space="preserve">, </w:t>
      </w:r>
      <w:r w:rsidR="00912F33">
        <w:rPr>
          <w:rStyle w:val="Referencingstyle"/>
        </w:rPr>
        <w:t>3</w:t>
      </w:r>
      <w:r w:rsidR="003D3E06">
        <w:rPr>
          <w:rStyle w:val="Referencingstyle"/>
        </w:rPr>
        <w:t>,</w:t>
      </w:r>
      <w:r w:rsidR="00A80B70">
        <w:rPr>
          <w:rStyle w:val="Referencingstyle"/>
        </w:rPr>
        <w:t xml:space="preserve"> </w:t>
      </w:r>
      <w:r w:rsidR="00912F33">
        <w:rPr>
          <w:rStyle w:val="Referencingstyle"/>
        </w:rPr>
        <w:t>5</w:t>
      </w:r>
      <w:r w:rsidR="00C14F09">
        <w:rPr>
          <w:rStyle w:val="Referencingstyle"/>
        </w:rPr>
        <w:t>, 6, 8</w:t>
      </w:r>
      <w:r w:rsidR="003D3E06">
        <w:rPr>
          <w:rStyle w:val="Referencingstyle"/>
        </w:rPr>
        <w:t xml:space="preserve"> to </w:t>
      </w:r>
      <w:r w:rsidR="00312390">
        <w:rPr>
          <w:rStyle w:val="Referencingstyle"/>
        </w:rPr>
        <w:t>25</w:t>
      </w:r>
      <w:r w:rsidR="0022688F">
        <w:rPr>
          <w:rStyle w:val="Referencingstyle"/>
        </w:rPr>
        <w:t xml:space="preserve"> and </w:t>
      </w:r>
      <w:r w:rsidR="00312390">
        <w:rPr>
          <w:rStyle w:val="Referencingstyle"/>
        </w:rPr>
        <w:t>27</w:t>
      </w:r>
      <w:r w:rsidR="00FE2D32" w:rsidRPr="00E63B3D">
        <w:rPr>
          <w:rStyle w:val="Referencingstyle"/>
        </w:rPr>
        <w:t>, section 2</w:t>
      </w:r>
      <w:r w:rsidRPr="00E63B3D">
        <w:rPr>
          <w:rStyle w:val="Referencingstyle"/>
        </w:rPr>
        <w:t xml:space="preserve"> </w:t>
      </w:r>
      <w:r w:rsidR="00FE2D32" w:rsidRPr="00E63B3D">
        <w:rPr>
          <w:rStyle w:val="Referencingstyle"/>
        </w:rPr>
        <w:t xml:space="preserve">(definitions of ‘access authority’, ‘applicable commencement date’, ‘block’, </w:t>
      </w:r>
      <w:r w:rsidR="003D3E06">
        <w:rPr>
          <w:rStyle w:val="Referencingstyle"/>
        </w:rPr>
        <w:t xml:space="preserve">‘consolidated group’, </w:t>
      </w:r>
      <w:r w:rsidR="001D20B5" w:rsidRPr="00E63B3D">
        <w:rPr>
          <w:rStyle w:val="Referencingstyle"/>
        </w:rPr>
        <w:t xml:space="preserve">‘created’, </w:t>
      </w:r>
      <w:r w:rsidR="00FE2D32" w:rsidRPr="00E63B3D">
        <w:rPr>
          <w:rStyle w:val="Referencingstyle"/>
        </w:rPr>
        <w:t>‘excluded fee’, ‘exploration permit’, ‘exploration permit area’, ‘</w:t>
      </w:r>
      <w:r w:rsidR="00A858C2" w:rsidRPr="00E63B3D">
        <w:rPr>
          <w:rStyle w:val="Referencingstyle"/>
        </w:rPr>
        <w:t xml:space="preserve">head company’, </w:t>
      </w:r>
      <w:r w:rsidR="00FE2D32" w:rsidRPr="00E63B3D">
        <w:rPr>
          <w:rStyle w:val="Referencingstyle"/>
        </w:rPr>
        <w:t xml:space="preserve">‘holder of a registered interest’, ‘infrastructure licence’, </w:t>
      </w:r>
      <w:r w:rsidR="003D3E06">
        <w:rPr>
          <w:rStyle w:val="Referencingstyle"/>
        </w:rPr>
        <w:t xml:space="preserve">‘MEC group’, ‘member’, </w:t>
      </w:r>
      <w:r w:rsidR="00FE2D32" w:rsidRPr="00E63B3D">
        <w:rPr>
          <w:rStyle w:val="Referencingstyle"/>
        </w:rPr>
        <w:t xml:space="preserve">‘onshore area’, ‘onshore petroleum project’, ‘pipeline licence’, </w:t>
      </w:r>
      <w:r w:rsidR="004D20BE" w:rsidRPr="00E63B3D">
        <w:rPr>
          <w:rStyle w:val="Referencingstyle"/>
        </w:rPr>
        <w:t>‘post</w:t>
      </w:r>
      <w:r w:rsidR="004D20BE" w:rsidRPr="00E63B3D">
        <w:rPr>
          <w:rStyle w:val="Referencingstyle"/>
          <w:rFonts w:ascii="MS Mincho" w:eastAsia="MS Mincho" w:hAnsi="MS Mincho" w:cs="MS Mincho"/>
        </w:rPr>
        <w:t>‑</w:t>
      </w:r>
      <w:r w:rsidR="004D20BE" w:rsidRPr="00E63B3D">
        <w:rPr>
          <w:rStyle w:val="Referencingstyle"/>
        </w:rPr>
        <w:t xml:space="preserve">30 June 2008 petroleum project’, </w:t>
      </w:r>
      <w:r w:rsidR="00FE2D32" w:rsidRPr="00E63B3D">
        <w:rPr>
          <w:rStyle w:val="Referencingstyle"/>
        </w:rPr>
        <w:t xml:space="preserve">‘production licence’, ‘production licence area’, </w:t>
      </w:r>
      <w:r w:rsidR="003D2268" w:rsidRPr="00E63B3D">
        <w:rPr>
          <w:rStyle w:val="Referencingstyle"/>
        </w:rPr>
        <w:t xml:space="preserve">‘production licence notice’ </w:t>
      </w:r>
      <w:r w:rsidR="003D3E06">
        <w:rPr>
          <w:rStyle w:val="Referencingstyle"/>
        </w:rPr>
        <w:t xml:space="preserve">‘provisional head company’, </w:t>
      </w:r>
      <w:r w:rsidR="00FE2D32" w:rsidRPr="00E63B3D">
        <w:rPr>
          <w:rStyle w:val="Referencingstyle"/>
        </w:rPr>
        <w:t>‘regist</w:t>
      </w:r>
      <w:r w:rsidR="00AE11A1" w:rsidRPr="00E63B3D">
        <w:rPr>
          <w:rStyle w:val="Referencingstyle"/>
        </w:rPr>
        <w:t>ered holder’, ‘retention lease’</w:t>
      </w:r>
      <w:r w:rsidR="002311A8">
        <w:rPr>
          <w:rStyle w:val="Referencingstyle"/>
        </w:rPr>
        <w:t xml:space="preserve">, </w:t>
      </w:r>
      <w:r w:rsidR="00FE2D32" w:rsidRPr="00E63B3D">
        <w:rPr>
          <w:rStyle w:val="Referencingstyle"/>
        </w:rPr>
        <w:t>‘retention lease area’</w:t>
      </w:r>
      <w:r w:rsidR="002311A8">
        <w:rPr>
          <w:rStyle w:val="Referencingstyle"/>
        </w:rPr>
        <w:t xml:space="preserve"> and ‘subsidiary member’</w:t>
      </w:r>
      <w:r w:rsidR="00FE2D32" w:rsidRPr="00E63B3D">
        <w:rPr>
          <w:rStyle w:val="Referencingstyle"/>
        </w:rPr>
        <w:t>)</w:t>
      </w:r>
      <w:r w:rsidR="0022688F">
        <w:rPr>
          <w:rStyle w:val="Referencingstyle"/>
        </w:rPr>
        <w:t xml:space="preserve"> and </w:t>
      </w:r>
      <w:r w:rsidR="003745B1">
        <w:rPr>
          <w:rStyle w:val="Referencingstyle"/>
        </w:rPr>
        <w:t xml:space="preserve">section </w:t>
      </w:r>
      <w:r w:rsidR="0035007E" w:rsidRPr="00E63B3D">
        <w:rPr>
          <w:rStyle w:val="Referencingstyle"/>
        </w:rPr>
        <w:t>2AA</w:t>
      </w:r>
      <w:r w:rsidR="0022688F">
        <w:rPr>
          <w:rStyle w:val="Referencingstyle"/>
        </w:rPr>
        <w:t xml:space="preserve"> </w:t>
      </w:r>
      <w:r w:rsidRPr="00E63B3D">
        <w:rPr>
          <w:rStyle w:val="Referencingstyle"/>
        </w:rPr>
        <w:t xml:space="preserve">of </w:t>
      </w:r>
      <w:r w:rsidR="003F6718" w:rsidRPr="00E63B3D">
        <w:rPr>
          <w:rStyle w:val="Referencingstyle"/>
        </w:rPr>
        <w:t xml:space="preserve">the </w:t>
      </w:r>
      <w:r w:rsidRPr="00E63B3D">
        <w:rPr>
          <w:rStyle w:val="Referencingstyle"/>
        </w:rPr>
        <w:t>Act]</w:t>
      </w:r>
    </w:p>
    <w:p w14:paraId="27A4C35E" w14:textId="77777777" w:rsidR="00A3553F" w:rsidRPr="00E63B3D" w:rsidRDefault="00A3553F" w:rsidP="002825FF">
      <w:pPr>
        <w:pStyle w:val="Heading2"/>
        <w:keepLines/>
      </w:pPr>
      <w:r w:rsidRPr="00E63B3D">
        <w:t>Consequential amendments</w:t>
      </w:r>
    </w:p>
    <w:p w14:paraId="200E9EF6" w14:textId="4A83B719" w:rsidR="00162B2B" w:rsidRPr="00E63B3D" w:rsidRDefault="00162B2B" w:rsidP="002825FF">
      <w:pPr>
        <w:pStyle w:val="Heading3"/>
        <w:keepLines/>
      </w:pPr>
      <w:r w:rsidRPr="00E63B3D">
        <w:t>Combination of petroleum projects</w:t>
      </w:r>
    </w:p>
    <w:p w14:paraId="7D0738FD" w14:textId="7BC7FB35" w:rsidR="00E41920" w:rsidRPr="00E63B3D" w:rsidRDefault="00E41920" w:rsidP="002825FF">
      <w:pPr>
        <w:pStyle w:val="base-text-paragraph"/>
        <w:keepLines/>
        <w:numPr>
          <w:ilvl w:val="1"/>
          <w:numId w:val="48"/>
        </w:numPr>
      </w:pPr>
      <w:r w:rsidRPr="00E63B3D">
        <w:t>S</w:t>
      </w:r>
      <w:r w:rsidR="00162B2B" w:rsidRPr="00E63B3D">
        <w:t>ubs</w:t>
      </w:r>
      <w:r w:rsidRPr="00E63B3D">
        <w:t>ection 20</w:t>
      </w:r>
      <w:r w:rsidR="00162B2B" w:rsidRPr="00E63B3D">
        <w:t>(1)</w:t>
      </w:r>
      <w:r w:rsidRPr="00E63B3D">
        <w:t xml:space="preserve"> of the Act allows the Resources Minister to combine petroleum projects into a single project where the projects are sufficiently related. The factors the Minister must take into account in deciding whether to combine </w:t>
      </w:r>
      <w:r w:rsidR="00964C40">
        <w:t xml:space="preserve">petroleum </w:t>
      </w:r>
      <w:r w:rsidRPr="00E63B3D">
        <w:t xml:space="preserve">projects differ for the combination of onshore and offshore projects. Amendments are made to </w:t>
      </w:r>
      <w:r w:rsidR="00162B2B" w:rsidRPr="00E63B3D">
        <w:t>subsection</w:t>
      </w:r>
      <w:r w:rsidRPr="00E63B3D">
        <w:t xml:space="preserve"> 20</w:t>
      </w:r>
      <w:r w:rsidR="00162B2B" w:rsidRPr="00E63B3D">
        <w:t>(1)</w:t>
      </w:r>
      <w:r w:rsidRPr="00E63B3D">
        <w:t xml:space="preserve"> to reflect the removal of onshore </w:t>
      </w:r>
      <w:r w:rsidR="00964C40">
        <w:t xml:space="preserve">petroleum </w:t>
      </w:r>
      <w:r w:rsidRPr="00E63B3D">
        <w:t xml:space="preserve">projects from the PRRT. </w:t>
      </w:r>
      <w:r w:rsidRPr="00E63B3D">
        <w:rPr>
          <w:rStyle w:val="Referencingstyle"/>
        </w:rPr>
        <w:t>[Schedu</w:t>
      </w:r>
      <w:r w:rsidR="00162B2B" w:rsidRPr="00E63B3D">
        <w:rPr>
          <w:rStyle w:val="Referencingstyle"/>
        </w:rPr>
        <w:t>le 2, items </w:t>
      </w:r>
      <w:r w:rsidR="00312390">
        <w:rPr>
          <w:rStyle w:val="Referencingstyle"/>
        </w:rPr>
        <w:t>28</w:t>
      </w:r>
      <w:r w:rsidR="00312390" w:rsidRPr="00E63B3D">
        <w:rPr>
          <w:rStyle w:val="Referencingstyle"/>
        </w:rPr>
        <w:t xml:space="preserve"> </w:t>
      </w:r>
      <w:r w:rsidR="00162B2B" w:rsidRPr="00E63B3D">
        <w:rPr>
          <w:rStyle w:val="Referencingstyle"/>
        </w:rPr>
        <w:t xml:space="preserve">and </w:t>
      </w:r>
      <w:r w:rsidR="00312390">
        <w:rPr>
          <w:rStyle w:val="Referencingstyle"/>
        </w:rPr>
        <w:t>29</w:t>
      </w:r>
      <w:r w:rsidR="00162B2B" w:rsidRPr="00E63B3D">
        <w:rPr>
          <w:rStyle w:val="Referencingstyle"/>
        </w:rPr>
        <w:t>, paragraphs </w:t>
      </w:r>
      <w:r w:rsidRPr="00E63B3D">
        <w:rPr>
          <w:rStyle w:val="Referencingstyle"/>
        </w:rPr>
        <w:t>20(1)(c)</w:t>
      </w:r>
      <w:r w:rsidR="00162B2B" w:rsidRPr="00E63B3D">
        <w:rPr>
          <w:rStyle w:val="Referencingstyle"/>
        </w:rPr>
        <w:t> </w:t>
      </w:r>
      <w:r w:rsidR="00174CB8" w:rsidRPr="00E63B3D">
        <w:rPr>
          <w:rStyle w:val="Referencingstyle"/>
        </w:rPr>
        <w:t xml:space="preserve">and </w:t>
      </w:r>
      <w:r w:rsidRPr="00E63B3D">
        <w:rPr>
          <w:rStyle w:val="Referencingstyle"/>
        </w:rPr>
        <w:t xml:space="preserve">(d) of </w:t>
      </w:r>
      <w:r w:rsidR="003F6718" w:rsidRPr="00E63B3D">
        <w:rPr>
          <w:rStyle w:val="Referencingstyle"/>
        </w:rPr>
        <w:t xml:space="preserve">the </w:t>
      </w:r>
      <w:r w:rsidRPr="00E63B3D">
        <w:rPr>
          <w:rStyle w:val="Referencingstyle"/>
        </w:rPr>
        <w:t>Act]</w:t>
      </w:r>
    </w:p>
    <w:p w14:paraId="76E7BE4B" w14:textId="10F9CDF4" w:rsidR="00A3553F" w:rsidRPr="00E63B3D" w:rsidRDefault="00162B2B" w:rsidP="002825FF">
      <w:pPr>
        <w:pStyle w:val="base-text-paragraph"/>
        <w:keepLines/>
        <w:numPr>
          <w:ilvl w:val="1"/>
          <w:numId w:val="7"/>
        </w:numPr>
        <w:rPr>
          <w:rStyle w:val="Referencingstyle"/>
          <w:b w:val="0"/>
          <w:i w:val="0"/>
          <w:sz w:val="22"/>
        </w:rPr>
      </w:pPr>
      <w:r w:rsidRPr="00006789">
        <w:t xml:space="preserve">Subsection 20(1A) of the Act prevents the Resources Minister from combining </w:t>
      </w:r>
      <w:r w:rsidR="001117B9">
        <w:t xml:space="preserve">certain </w:t>
      </w:r>
      <w:r w:rsidRPr="00006789">
        <w:t xml:space="preserve">onshore and offshore petroleum projects. This subsection is amended to remove this limitation as it is no longer necessary. A requirement the Minister not combine </w:t>
      </w:r>
      <w:r w:rsidR="00DB69CF">
        <w:t>the</w:t>
      </w:r>
      <w:r w:rsidR="00DB69CF" w:rsidRPr="00006789">
        <w:t xml:space="preserve"> </w:t>
      </w:r>
      <w:r w:rsidRPr="00006789">
        <w:t xml:space="preserve">North West Shelf </w:t>
      </w:r>
      <w:r w:rsidR="00DB69CF">
        <w:t>P</w:t>
      </w:r>
      <w:r w:rsidRPr="00006789">
        <w:t xml:space="preserve">roject with another petroleum project is retained. </w:t>
      </w:r>
      <w:r w:rsidRPr="00E63B3D">
        <w:rPr>
          <w:rStyle w:val="Referencingstyle"/>
        </w:rPr>
        <w:t>[Schedule 2, item </w:t>
      </w:r>
      <w:r w:rsidR="00312390">
        <w:rPr>
          <w:rStyle w:val="Referencingstyle"/>
        </w:rPr>
        <w:t>30</w:t>
      </w:r>
      <w:r w:rsidRPr="00E63B3D">
        <w:rPr>
          <w:rStyle w:val="Referencingstyle"/>
        </w:rPr>
        <w:t xml:space="preserve">, subsection 20(1A) of </w:t>
      </w:r>
      <w:r w:rsidR="003F6718" w:rsidRPr="00E63B3D">
        <w:rPr>
          <w:rStyle w:val="Referencingstyle"/>
        </w:rPr>
        <w:t xml:space="preserve">the </w:t>
      </w:r>
      <w:r w:rsidRPr="00E63B3D">
        <w:rPr>
          <w:rStyle w:val="Referencingstyle"/>
        </w:rPr>
        <w:t>Act]</w:t>
      </w:r>
    </w:p>
    <w:p w14:paraId="62AA8FA6" w14:textId="24775569" w:rsidR="005E5B11" w:rsidRPr="00C928E7" w:rsidRDefault="005E5B11" w:rsidP="00C928E7">
      <w:pPr>
        <w:pStyle w:val="base-text-paragraph"/>
        <w:keepLines/>
        <w:numPr>
          <w:ilvl w:val="1"/>
          <w:numId w:val="7"/>
        </w:numPr>
        <w:rPr>
          <w:rStyle w:val="Referencingstyle"/>
          <w:b w:val="0"/>
          <w:i w:val="0"/>
          <w:sz w:val="22"/>
        </w:rPr>
      </w:pPr>
      <w:r w:rsidRPr="00006789">
        <w:t xml:space="preserve">Subsection 20(2) of the Act outlines the period during which the Resources Minister may combine </w:t>
      </w:r>
      <w:r w:rsidR="00964C40">
        <w:t xml:space="preserve">petroleum </w:t>
      </w:r>
      <w:r w:rsidRPr="00006789">
        <w:t xml:space="preserve">projects. References in this subsection to the period that applies for the purposes of onshore </w:t>
      </w:r>
      <w:r w:rsidR="00964C40">
        <w:t xml:space="preserve">petroleum </w:t>
      </w:r>
      <w:r w:rsidRPr="00006789">
        <w:t xml:space="preserve">projects are repealed. </w:t>
      </w:r>
      <w:r w:rsidRPr="00E63B3D">
        <w:rPr>
          <w:rStyle w:val="Referencingstyle"/>
        </w:rPr>
        <w:t>[Schedule 2, item </w:t>
      </w:r>
      <w:r w:rsidR="00312390">
        <w:rPr>
          <w:rStyle w:val="Referencingstyle"/>
        </w:rPr>
        <w:t>31</w:t>
      </w:r>
      <w:r w:rsidRPr="00E63B3D">
        <w:rPr>
          <w:rStyle w:val="Referencingstyle"/>
        </w:rPr>
        <w:t>, paragraph 20(2)</w:t>
      </w:r>
      <w:r w:rsidR="006A753C">
        <w:rPr>
          <w:rStyle w:val="Referencingstyle"/>
        </w:rPr>
        <w:t>(a</w:t>
      </w:r>
      <w:r w:rsidRPr="00E63B3D">
        <w:rPr>
          <w:rStyle w:val="Referencingstyle"/>
        </w:rPr>
        <w:t>) of</w:t>
      </w:r>
      <w:r w:rsidR="003F6718" w:rsidRPr="00E63B3D">
        <w:rPr>
          <w:rStyle w:val="Referencingstyle"/>
        </w:rPr>
        <w:t xml:space="preserve"> the</w:t>
      </w:r>
      <w:r w:rsidRPr="00E63B3D">
        <w:rPr>
          <w:rStyle w:val="Referencingstyle"/>
        </w:rPr>
        <w:t xml:space="preserve"> Act]</w:t>
      </w:r>
    </w:p>
    <w:p w14:paraId="2F6D02E6" w14:textId="77777777" w:rsidR="008F6CAD" w:rsidRPr="00E63B3D" w:rsidRDefault="00D6008D" w:rsidP="002825FF">
      <w:pPr>
        <w:pStyle w:val="Heading3"/>
        <w:keepLines/>
      </w:pPr>
      <w:r w:rsidRPr="00E63B3D">
        <w:t>Time expenditure incurred</w:t>
      </w:r>
      <w:r w:rsidR="00D734A1" w:rsidRPr="00E63B3D">
        <w:t xml:space="preserve"> and assessable receipts derived</w:t>
      </w:r>
    </w:p>
    <w:p w14:paraId="42584284" w14:textId="2C8685EF" w:rsidR="00D6008D" w:rsidRPr="00006789" w:rsidRDefault="004D20BE" w:rsidP="002825FF">
      <w:pPr>
        <w:pStyle w:val="base-text-paragraph"/>
        <w:keepLines/>
        <w:rPr>
          <w:rStyle w:val="Referencingstyle"/>
          <w:i w:val="0"/>
          <w:sz w:val="22"/>
        </w:rPr>
      </w:pPr>
      <w:r w:rsidRPr="00006789">
        <w:t>Subsection 45(2) allows eligible real expenditure to be incurred for an onshore</w:t>
      </w:r>
      <w:r w:rsidR="00964C40" w:rsidRPr="00964C40">
        <w:t xml:space="preserve"> </w:t>
      </w:r>
      <w:r w:rsidR="00964C40">
        <w:t>petroleum</w:t>
      </w:r>
      <w:r w:rsidRPr="00006789">
        <w:t xml:space="preserve"> project after a particular date</w:t>
      </w:r>
      <w:r w:rsidR="00620B10" w:rsidRPr="00E63B3D">
        <w:t xml:space="preserve">. </w:t>
      </w:r>
      <w:r w:rsidRPr="00E63B3D">
        <w:t>This provision is now unnecessary and is repealed. Other amendments are made to section</w:t>
      </w:r>
      <w:r w:rsidR="00964C40">
        <w:t> </w:t>
      </w:r>
      <w:r w:rsidRPr="00E63B3D">
        <w:t xml:space="preserve">45 to reflect this change. </w:t>
      </w:r>
      <w:r w:rsidR="00620B10" w:rsidRPr="00E63B3D">
        <w:rPr>
          <w:rStyle w:val="Referencingstyle"/>
        </w:rPr>
        <w:t xml:space="preserve">[Schedule 2, items </w:t>
      </w:r>
      <w:r w:rsidR="00312390">
        <w:rPr>
          <w:rStyle w:val="Referencingstyle"/>
        </w:rPr>
        <w:t>53</w:t>
      </w:r>
      <w:r w:rsidR="00312390" w:rsidRPr="00E63B3D">
        <w:rPr>
          <w:rStyle w:val="Referencingstyle"/>
        </w:rPr>
        <w:t xml:space="preserve"> </w:t>
      </w:r>
      <w:r w:rsidR="00620B10" w:rsidRPr="00E63B3D">
        <w:rPr>
          <w:rStyle w:val="Referencingstyle"/>
        </w:rPr>
        <w:t xml:space="preserve">to </w:t>
      </w:r>
      <w:r w:rsidR="00312390">
        <w:rPr>
          <w:rStyle w:val="Referencingstyle"/>
        </w:rPr>
        <w:t>59</w:t>
      </w:r>
      <w:r w:rsidR="00620B10" w:rsidRPr="00E63B3D">
        <w:rPr>
          <w:rStyle w:val="Referencingstyle"/>
        </w:rPr>
        <w:t>, section 45 of the Act]</w:t>
      </w:r>
    </w:p>
    <w:p w14:paraId="5BB403A5" w14:textId="7EFD1FE7" w:rsidR="00FE5705" w:rsidRDefault="00FE5705" w:rsidP="002825FF">
      <w:pPr>
        <w:pStyle w:val="base-text-paragraph"/>
        <w:keepLines/>
        <w:rPr>
          <w:rStyle w:val="Referencingstyle"/>
          <w:b w:val="0"/>
          <w:i w:val="0"/>
          <w:sz w:val="22"/>
        </w:rPr>
      </w:pPr>
      <w:r>
        <w:rPr>
          <w:rStyle w:val="Referencingstyle"/>
          <w:b w:val="0"/>
          <w:i w:val="0"/>
          <w:sz w:val="22"/>
        </w:rPr>
        <w:lastRenderedPageBreak/>
        <w:t xml:space="preserve">Subsection 45(4) concerns the North West Shelf </w:t>
      </w:r>
      <w:r w:rsidR="00DB69CF">
        <w:rPr>
          <w:rStyle w:val="Referencingstyle"/>
          <w:b w:val="0"/>
          <w:i w:val="0"/>
          <w:sz w:val="22"/>
        </w:rPr>
        <w:t>P</w:t>
      </w:r>
      <w:r>
        <w:rPr>
          <w:rStyle w:val="Referencingstyle"/>
          <w:b w:val="0"/>
          <w:i w:val="0"/>
          <w:sz w:val="22"/>
        </w:rPr>
        <w:t>roject. This provision is amended so it no longer relies on the repealed provisions of Schedule 2</w:t>
      </w:r>
      <w:r w:rsidR="00DB69CF">
        <w:rPr>
          <w:rStyle w:val="Referencingstyle"/>
          <w:b w:val="0"/>
          <w:i w:val="0"/>
          <w:sz w:val="22"/>
        </w:rPr>
        <w:t xml:space="preserve"> to the Act (see paragraph </w:t>
      </w:r>
      <w:r w:rsidR="00DB69CF">
        <w:rPr>
          <w:rStyle w:val="Referencingstyle"/>
          <w:b w:val="0"/>
          <w:i w:val="0"/>
          <w:sz w:val="22"/>
        </w:rPr>
        <w:fldChar w:fldCharType="begin"/>
      </w:r>
      <w:r w:rsidR="00DB69CF">
        <w:rPr>
          <w:rStyle w:val="Referencingstyle"/>
          <w:b w:val="0"/>
          <w:i w:val="0"/>
          <w:sz w:val="22"/>
        </w:rPr>
        <w:instrText xml:space="preserve"> REF _Ref532549936 \r \h </w:instrText>
      </w:r>
      <w:r w:rsidR="00DB69CF">
        <w:rPr>
          <w:rStyle w:val="Referencingstyle"/>
          <w:b w:val="0"/>
          <w:i w:val="0"/>
          <w:sz w:val="22"/>
        </w:rPr>
      </w:r>
      <w:r w:rsidR="00DB69CF">
        <w:rPr>
          <w:rStyle w:val="Referencingstyle"/>
          <w:b w:val="0"/>
          <w:i w:val="0"/>
          <w:sz w:val="22"/>
        </w:rPr>
        <w:fldChar w:fldCharType="separate"/>
      </w:r>
      <w:r w:rsidR="00F95382">
        <w:rPr>
          <w:rStyle w:val="Referencingstyle"/>
          <w:b w:val="0"/>
          <w:i w:val="0"/>
          <w:sz w:val="22"/>
        </w:rPr>
        <w:t>2.20</w:t>
      </w:r>
      <w:r w:rsidR="00DB69CF">
        <w:rPr>
          <w:rStyle w:val="Referencingstyle"/>
          <w:b w:val="0"/>
          <w:i w:val="0"/>
          <w:sz w:val="22"/>
        </w:rPr>
        <w:fldChar w:fldCharType="end"/>
      </w:r>
      <w:r w:rsidR="00DB69CF">
        <w:rPr>
          <w:rStyle w:val="Referencingstyle"/>
          <w:b w:val="0"/>
          <w:i w:val="0"/>
          <w:sz w:val="22"/>
        </w:rPr>
        <w:t>)</w:t>
      </w:r>
      <w:r>
        <w:rPr>
          <w:rStyle w:val="Referencingstyle"/>
          <w:b w:val="0"/>
          <w:i w:val="0"/>
          <w:sz w:val="22"/>
        </w:rPr>
        <w:t xml:space="preserve">. The amendment is not designed to alter the date a person may incur eligible real expenditure in relation to the project because the amendment does not apply </w:t>
      </w:r>
      <w:r w:rsidR="00DB69CF">
        <w:rPr>
          <w:rStyle w:val="Referencingstyle"/>
          <w:b w:val="0"/>
          <w:i w:val="0"/>
          <w:sz w:val="22"/>
        </w:rPr>
        <w:t>in</w:t>
      </w:r>
      <w:r w:rsidR="00DB69CF">
        <w:rPr>
          <w:rStyle w:val="Referencingstyle"/>
          <w:b w:val="0"/>
          <w:i w:val="0"/>
          <w:sz w:val="22"/>
        </w:rPr>
        <w:t xml:space="preserve"> </w:t>
      </w:r>
      <w:r>
        <w:rPr>
          <w:rStyle w:val="Referencingstyle"/>
          <w:b w:val="0"/>
          <w:i w:val="0"/>
          <w:sz w:val="22"/>
        </w:rPr>
        <w:t xml:space="preserve">previous financial years. </w:t>
      </w:r>
    </w:p>
    <w:p w14:paraId="4D857C8C" w14:textId="4FBDEAC9" w:rsidR="00D734A1" w:rsidRPr="00E63B3D" w:rsidRDefault="00D734A1" w:rsidP="002825FF">
      <w:pPr>
        <w:pStyle w:val="base-text-paragraph"/>
        <w:keepLines/>
        <w:rPr>
          <w:rStyle w:val="Referencingstyle"/>
          <w:b w:val="0"/>
          <w:i w:val="0"/>
          <w:sz w:val="22"/>
        </w:rPr>
      </w:pPr>
      <w:r w:rsidRPr="00E63B3D">
        <w:rPr>
          <w:rStyle w:val="Referencingstyle"/>
          <w:b w:val="0"/>
          <w:i w:val="0"/>
          <w:sz w:val="22"/>
        </w:rPr>
        <w:t xml:space="preserve">Under section 31 of the Act, various assessable receipts may be derived in relation to an </w:t>
      </w:r>
      <w:r w:rsidR="0088014A" w:rsidRPr="00E63B3D">
        <w:rPr>
          <w:rStyle w:val="Referencingstyle"/>
          <w:b w:val="0"/>
          <w:i w:val="0"/>
          <w:sz w:val="22"/>
        </w:rPr>
        <w:t>on</w:t>
      </w:r>
      <w:r w:rsidRPr="00E63B3D">
        <w:rPr>
          <w:rStyle w:val="Referencingstyle"/>
          <w:b w:val="0"/>
          <w:i w:val="0"/>
          <w:sz w:val="22"/>
        </w:rPr>
        <w:t xml:space="preserve">shore </w:t>
      </w:r>
      <w:r w:rsidR="00964C40">
        <w:t xml:space="preserve">petroleum </w:t>
      </w:r>
      <w:r w:rsidRPr="00E63B3D">
        <w:rPr>
          <w:rStyle w:val="Referencingstyle"/>
          <w:b w:val="0"/>
          <w:i w:val="0"/>
          <w:sz w:val="22"/>
        </w:rPr>
        <w:t xml:space="preserve">project or the North West Shelf </w:t>
      </w:r>
      <w:r w:rsidR="00DB69CF">
        <w:rPr>
          <w:rStyle w:val="Referencingstyle"/>
          <w:b w:val="0"/>
          <w:i w:val="0"/>
          <w:sz w:val="22"/>
        </w:rPr>
        <w:t>P</w:t>
      </w:r>
      <w:r w:rsidRPr="00E63B3D">
        <w:rPr>
          <w:rStyle w:val="Referencingstyle"/>
          <w:b w:val="0"/>
          <w:i w:val="0"/>
          <w:sz w:val="22"/>
        </w:rPr>
        <w:t>roject on or after 1 July 2012 when those projects were brought into the PRRT. Section 31 is amended to remove the unnecessary reference to onshore</w:t>
      </w:r>
      <w:r w:rsidR="00964C40" w:rsidRPr="00964C40">
        <w:t xml:space="preserve"> </w:t>
      </w:r>
      <w:r w:rsidR="00964C40">
        <w:t>petroleum</w:t>
      </w:r>
      <w:r w:rsidRPr="00E63B3D">
        <w:rPr>
          <w:rStyle w:val="Referencingstyle"/>
          <w:b w:val="0"/>
          <w:i w:val="0"/>
          <w:sz w:val="22"/>
        </w:rPr>
        <w:t xml:space="preserve"> projects. </w:t>
      </w:r>
      <w:r w:rsidRPr="00E63B3D">
        <w:rPr>
          <w:rStyle w:val="Referencingstyle"/>
        </w:rPr>
        <w:t>[Schedule 2, item</w:t>
      </w:r>
      <w:r w:rsidR="007746B7">
        <w:rPr>
          <w:rStyle w:val="Referencingstyle"/>
        </w:rPr>
        <w:t xml:space="preserve">s </w:t>
      </w:r>
      <w:r w:rsidR="00312390">
        <w:rPr>
          <w:rStyle w:val="Referencingstyle"/>
        </w:rPr>
        <w:t xml:space="preserve">37 </w:t>
      </w:r>
      <w:r w:rsidR="007746B7">
        <w:rPr>
          <w:rStyle w:val="Referencingstyle"/>
        </w:rPr>
        <w:t xml:space="preserve">to </w:t>
      </w:r>
      <w:r w:rsidR="00312390">
        <w:rPr>
          <w:rStyle w:val="Referencingstyle"/>
        </w:rPr>
        <w:t>39</w:t>
      </w:r>
      <w:r w:rsidRPr="00E63B3D">
        <w:rPr>
          <w:rStyle w:val="Referencingstyle"/>
        </w:rPr>
        <w:t xml:space="preserve">, </w:t>
      </w:r>
      <w:r w:rsidR="007746B7">
        <w:rPr>
          <w:rStyle w:val="Referencingstyle"/>
        </w:rPr>
        <w:t>section 31</w:t>
      </w:r>
      <w:r w:rsidRPr="00E63B3D">
        <w:rPr>
          <w:rStyle w:val="Referencingstyle"/>
        </w:rPr>
        <w:t xml:space="preserve"> of the Act]</w:t>
      </w:r>
    </w:p>
    <w:p w14:paraId="2E994DAF" w14:textId="43E50340" w:rsidR="00D734A1" w:rsidRPr="00E63B3D" w:rsidRDefault="00D734A1" w:rsidP="002825FF">
      <w:pPr>
        <w:pStyle w:val="base-text-paragraph"/>
        <w:keepLines/>
      </w:pPr>
      <w:r w:rsidRPr="00E63B3D">
        <w:t xml:space="preserve">Section 31AA of the Act provides that </w:t>
      </w:r>
      <w:r w:rsidR="004D20BE" w:rsidRPr="00E63B3D">
        <w:t>the timing rule in section </w:t>
      </w:r>
      <w:r w:rsidRPr="00E63B3D">
        <w:t>45 does not affect the application of Division 2 of Part V (assessable receipts) to onshore petroleum projects</w:t>
      </w:r>
      <w:r w:rsidRPr="00E63B3D">
        <w:rPr>
          <w:rStyle w:val="Referencingstyle"/>
          <w:b w:val="0"/>
          <w:i w:val="0"/>
          <w:sz w:val="22"/>
        </w:rPr>
        <w:t xml:space="preserve"> or the North West Shelf </w:t>
      </w:r>
      <w:r w:rsidR="00DB69CF">
        <w:rPr>
          <w:rStyle w:val="Referencingstyle"/>
          <w:b w:val="0"/>
          <w:i w:val="0"/>
          <w:sz w:val="22"/>
        </w:rPr>
        <w:t>P</w:t>
      </w:r>
      <w:r w:rsidRPr="00E63B3D">
        <w:rPr>
          <w:rStyle w:val="Referencingstyle"/>
          <w:b w:val="0"/>
          <w:i w:val="0"/>
          <w:sz w:val="22"/>
        </w:rPr>
        <w:t>roject</w:t>
      </w:r>
      <w:r w:rsidRPr="00E63B3D">
        <w:t>. This ensures that expenditure incurred prior to 1 July 2012 can be taken into account to the extent it is relevant to working out a taxpayer’s assessable receipts. An amendment is made to remove the unnecessary reference</w:t>
      </w:r>
      <w:r w:rsidR="00E51359" w:rsidRPr="00E63B3D">
        <w:t>s</w:t>
      </w:r>
      <w:r w:rsidRPr="00E63B3D">
        <w:t xml:space="preserve"> to onshore petroleum projects. </w:t>
      </w:r>
      <w:r w:rsidRPr="00E63B3D">
        <w:rPr>
          <w:rStyle w:val="Referencingstyle"/>
        </w:rPr>
        <w:t xml:space="preserve">[Schedule 2, item </w:t>
      </w:r>
      <w:r w:rsidR="00312390">
        <w:rPr>
          <w:rStyle w:val="Referencingstyle"/>
        </w:rPr>
        <w:t>40</w:t>
      </w:r>
      <w:r w:rsidRPr="00E63B3D">
        <w:rPr>
          <w:rStyle w:val="Referencingstyle"/>
        </w:rPr>
        <w:t xml:space="preserve">, </w:t>
      </w:r>
      <w:r w:rsidR="00E51359" w:rsidRPr="00E63B3D">
        <w:rPr>
          <w:rStyle w:val="Referencingstyle"/>
        </w:rPr>
        <w:t>section 31AA</w:t>
      </w:r>
      <w:r w:rsidRPr="00E63B3D">
        <w:rPr>
          <w:rStyle w:val="Referencingstyle"/>
        </w:rPr>
        <w:t xml:space="preserve"> of the Act]</w:t>
      </w:r>
    </w:p>
    <w:p w14:paraId="16355E67" w14:textId="77777777" w:rsidR="00B565C8" w:rsidRDefault="00B565C8" w:rsidP="00B565C8">
      <w:pPr>
        <w:pStyle w:val="Heading3"/>
        <w:rPr>
          <w:rStyle w:val="Referencingstyle"/>
          <w:b/>
          <w:i w:val="0"/>
          <w:sz w:val="22"/>
        </w:rPr>
      </w:pPr>
      <w:r>
        <w:rPr>
          <w:rStyle w:val="Referencingstyle"/>
          <w:b/>
          <w:i w:val="0"/>
          <w:sz w:val="22"/>
        </w:rPr>
        <w:t>Consolidation</w:t>
      </w:r>
    </w:p>
    <w:p w14:paraId="18736059" w14:textId="77777777" w:rsidR="00B565C8" w:rsidRPr="00336064" w:rsidRDefault="00B565C8" w:rsidP="00336064">
      <w:pPr>
        <w:pStyle w:val="base-text-paragraph"/>
        <w:keepLines/>
        <w:numPr>
          <w:ilvl w:val="1"/>
          <w:numId w:val="53"/>
        </w:numPr>
        <w:rPr>
          <w:rStyle w:val="Referencingstyle"/>
          <w:b w:val="0"/>
          <w:i w:val="0"/>
          <w:sz w:val="22"/>
        </w:rPr>
      </w:pPr>
      <w:r w:rsidRPr="00336064">
        <w:rPr>
          <w:rStyle w:val="Referencingstyle"/>
          <w:b w:val="0"/>
          <w:i w:val="0"/>
          <w:sz w:val="22"/>
        </w:rPr>
        <w:t>Division 8 of Part V of the Act contains provisions related to tax conso</w:t>
      </w:r>
      <w:r w:rsidRPr="00B565C8">
        <w:rPr>
          <w:rStyle w:val="Referencingstyle"/>
          <w:b w:val="0"/>
          <w:i w:val="0"/>
          <w:sz w:val="22"/>
        </w:rPr>
        <w:t xml:space="preserve">lidated groups. These provisions allow certain corporate groups to treat all of the entities within the group as a single entity for specific PRRT purposes. The purposes to which this single entity rule extend only apply to onshore </w:t>
      </w:r>
      <w:r>
        <w:t xml:space="preserve">petroleum </w:t>
      </w:r>
      <w:r w:rsidRPr="00336064">
        <w:rPr>
          <w:rStyle w:val="Referencingstyle"/>
          <w:b w:val="0"/>
          <w:i w:val="0"/>
          <w:sz w:val="22"/>
        </w:rPr>
        <w:t xml:space="preserve">projects. The </w:t>
      </w:r>
      <w:r w:rsidRPr="00B565C8">
        <w:rPr>
          <w:rStyle w:val="Referencingstyle"/>
          <w:b w:val="0"/>
          <w:i w:val="0"/>
          <w:sz w:val="22"/>
        </w:rPr>
        <w:t xml:space="preserve">consolidation regime is therefore repealed. </w:t>
      </w:r>
      <w:r w:rsidRPr="00E63B3D">
        <w:rPr>
          <w:rStyle w:val="Referencingstyle"/>
        </w:rPr>
        <w:t xml:space="preserve">[Schedule </w:t>
      </w:r>
      <w:r>
        <w:rPr>
          <w:rStyle w:val="Referencingstyle"/>
        </w:rPr>
        <w:t>2</w:t>
      </w:r>
      <w:r w:rsidRPr="00E63B3D">
        <w:rPr>
          <w:rStyle w:val="Referencingstyle"/>
        </w:rPr>
        <w:t xml:space="preserve">, items </w:t>
      </w:r>
      <w:r>
        <w:rPr>
          <w:rStyle w:val="Referencingstyle"/>
        </w:rPr>
        <w:t>74, 77, 79 and 86 to 91</w:t>
      </w:r>
      <w:r w:rsidRPr="00E63B3D">
        <w:rPr>
          <w:rStyle w:val="Referencingstyle"/>
        </w:rPr>
        <w:t>, Division 8 of Part V, and subsections 93(1) and</w:t>
      </w:r>
      <w:r>
        <w:rPr>
          <w:rStyle w:val="Referencingstyle"/>
        </w:rPr>
        <w:t> </w:t>
      </w:r>
      <w:r w:rsidRPr="00E63B3D">
        <w:rPr>
          <w:rStyle w:val="Referencingstyle"/>
        </w:rPr>
        <w:t>109(5) of the Act</w:t>
      </w:r>
      <w:r>
        <w:rPr>
          <w:rStyle w:val="Referencingstyle"/>
        </w:rPr>
        <w:t>, and items 95, 100, 105 and 110 of the table in subsection 721</w:t>
      </w:r>
      <w:r>
        <w:rPr>
          <w:rStyle w:val="Referencingstyle"/>
        </w:rPr>
        <w:noBreakHyphen/>
        <w:t>10(2), subsections 721-10(5) and (6) and Notes 1 and 3 to subsections 703-50(1) and 719-50(1) of the Income Tax Assessment Act 1997</w:t>
      </w:r>
      <w:r w:rsidRPr="00E63B3D">
        <w:rPr>
          <w:rStyle w:val="Referencingstyle"/>
        </w:rPr>
        <w:t>]</w:t>
      </w:r>
    </w:p>
    <w:p w14:paraId="7C4B8D94" w14:textId="1D440263" w:rsidR="00AE71C5" w:rsidRDefault="00B565C8" w:rsidP="00B565C8">
      <w:pPr>
        <w:pStyle w:val="Heading3"/>
        <w:keepLines/>
      </w:pPr>
      <w:r>
        <w:t xml:space="preserve"> </w:t>
      </w:r>
      <w:r w:rsidR="00AE71C5">
        <w:t>Transfers of exploration expenditure</w:t>
      </w:r>
    </w:p>
    <w:p w14:paraId="6D4F5ADB" w14:textId="43BA8D1C" w:rsidR="00AE71C5" w:rsidRDefault="00AE71C5" w:rsidP="00AE71C5">
      <w:pPr>
        <w:pStyle w:val="base-text-paragraph"/>
        <w:keepLines/>
        <w:numPr>
          <w:ilvl w:val="1"/>
          <w:numId w:val="52"/>
        </w:numPr>
      </w:pPr>
      <w:r w:rsidRPr="00006789">
        <w:t xml:space="preserve">Clause 4C in Schedule 1 prevents the transfer of exploration expenditure incurred prior to 1 July 2012 in relation to onshore petroleum projects or the North West Shelf </w:t>
      </w:r>
      <w:r w:rsidR="00DB69CF">
        <w:t>P</w:t>
      </w:r>
      <w:r w:rsidRPr="00006789">
        <w:t xml:space="preserve">roject. This clause is amended to remove the reference to onshore petroleum projects. </w:t>
      </w:r>
      <w:r w:rsidRPr="00E63B3D">
        <w:rPr>
          <w:rStyle w:val="Referencingstyle"/>
        </w:rPr>
        <w:t xml:space="preserve">[Schedule 2, items </w:t>
      </w:r>
      <w:r w:rsidR="00312390">
        <w:rPr>
          <w:rStyle w:val="Referencingstyle"/>
        </w:rPr>
        <w:t>80</w:t>
      </w:r>
      <w:r w:rsidR="00312390" w:rsidRPr="00E63B3D">
        <w:rPr>
          <w:rStyle w:val="Referencingstyle"/>
        </w:rPr>
        <w:t xml:space="preserve"> </w:t>
      </w:r>
      <w:r w:rsidRPr="00E63B3D">
        <w:rPr>
          <w:rStyle w:val="Referencingstyle"/>
        </w:rPr>
        <w:t>and </w:t>
      </w:r>
      <w:r w:rsidR="00312390">
        <w:rPr>
          <w:rStyle w:val="Referencingstyle"/>
        </w:rPr>
        <w:t>81</w:t>
      </w:r>
      <w:r w:rsidRPr="00E63B3D">
        <w:rPr>
          <w:rStyle w:val="Referencingstyle"/>
        </w:rPr>
        <w:t>, clause 4C in Schedule 1 to the Act]</w:t>
      </w:r>
    </w:p>
    <w:p w14:paraId="185D6591" w14:textId="647DDF6E" w:rsidR="00AE71C5" w:rsidRPr="00E63B3D" w:rsidRDefault="00AE71C5" w:rsidP="00AE71C5">
      <w:pPr>
        <w:pStyle w:val="base-text-paragraph"/>
        <w:keepLines/>
        <w:rPr>
          <w:rStyle w:val="Referencingstyle"/>
          <w:b w:val="0"/>
          <w:i w:val="0"/>
          <w:sz w:val="22"/>
        </w:rPr>
      </w:pPr>
      <w:r>
        <w:t>The amendment to clause 4C does not allow exploration expenditure incurred prior to 1 July 2012 to be transferred. The amendment only applies from 1 July 2019 at which time onshore</w:t>
      </w:r>
      <w:r w:rsidR="00964C40" w:rsidRPr="00964C40">
        <w:t xml:space="preserve"> </w:t>
      </w:r>
      <w:r w:rsidR="00964C40">
        <w:t>petroleum</w:t>
      </w:r>
      <w:r>
        <w:t xml:space="preserve"> projects cease to be subject to the PRRT or to be capable of transferring any expenditure (other than expenditure transferred with respect to an earlier financial year). </w:t>
      </w:r>
    </w:p>
    <w:p w14:paraId="64181F2E" w14:textId="77777777" w:rsidR="00B565C8" w:rsidRDefault="00B565C8" w:rsidP="00B565C8">
      <w:pPr>
        <w:pStyle w:val="Heading3"/>
        <w:keepLines/>
      </w:pPr>
      <w:r>
        <w:lastRenderedPageBreak/>
        <w:t>Starting base expenditure</w:t>
      </w:r>
    </w:p>
    <w:p w14:paraId="0C712020" w14:textId="1259189C" w:rsidR="00B565C8" w:rsidRPr="00E63B3D" w:rsidRDefault="00B565C8" w:rsidP="00336064">
      <w:pPr>
        <w:pStyle w:val="base-text-paragraph"/>
        <w:keepLines/>
        <w:numPr>
          <w:ilvl w:val="1"/>
          <w:numId w:val="54"/>
        </w:numPr>
      </w:pPr>
      <w:bookmarkStart w:id="14" w:name="_Ref532549936"/>
      <w:r w:rsidRPr="00E63B3D">
        <w:t>Schedule 2 to the Act was inserted in 2012 to provide a</w:t>
      </w:r>
      <w:r>
        <w:t>n amount of</w:t>
      </w:r>
      <w:r w:rsidRPr="00E63B3D">
        <w:t xml:space="preserve"> starting base </w:t>
      </w:r>
      <w:r>
        <w:t xml:space="preserve">expenditure </w:t>
      </w:r>
      <w:r w:rsidRPr="00E63B3D">
        <w:t xml:space="preserve">for onshore petroleum projects and the North West Shelf </w:t>
      </w:r>
      <w:r w:rsidR="00DB69CF">
        <w:t>P</w:t>
      </w:r>
      <w:r w:rsidRPr="00E63B3D">
        <w:t>roject. The Schedule has no further application in relation to onshore</w:t>
      </w:r>
      <w:r w:rsidRPr="00964C40">
        <w:t xml:space="preserve"> </w:t>
      </w:r>
      <w:r>
        <w:t>petroleum</w:t>
      </w:r>
      <w:r w:rsidRPr="00E63B3D">
        <w:t xml:space="preserve"> projects or the North West Shelf </w:t>
      </w:r>
      <w:r w:rsidR="00DB69CF">
        <w:t>P</w:t>
      </w:r>
      <w:r w:rsidRPr="00E63B3D">
        <w:t xml:space="preserve">roject. For this reason, the Schedule is repealed. </w:t>
      </w:r>
      <w:r w:rsidRPr="00E63B3D">
        <w:rPr>
          <w:rStyle w:val="Referencingstyle"/>
        </w:rPr>
        <w:t xml:space="preserve">[Schedule 2, item </w:t>
      </w:r>
      <w:r>
        <w:rPr>
          <w:rStyle w:val="Referencingstyle"/>
        </w:rPr>
        <w:t>84</w:t>
      </w:r>
      <w:r w:rsidRPr="00E63B3D">
        <w:rPr>
          <w:rStyle w:val="Referencingstyle"/>
        </w:rPr>
        <w:t>, Schedule 2 to the Act]</w:t>
      </w:r>
      <w:bookmarkEnd w:id="14"/>
    </w:p>
    <w:p w14:paraId="6AEA1B21" w14:textId="7F11D9A2" w:rsidR="00B565C8" w:rsidRPr="00B565C8" w:rsidRDefault="00B565C8" w:rsidP="00B565C8">
      <w:pPr>
        <w:pStyle w:val="base-text-paragraph"/>
        <w:keepLines/>
        <w:numPr>
          <w:ilvl w:val="1"/>
          <w:numId w:val="51"/>
        </w:numPr>
        <w:rPr>
          <w:rStyle w:val="Referencingstyle"/>
          <w:b w:val="0"/>
          <w:i w:val="0"/>
          <w:sz w:val="22"/>
        </w:rPr>
      </w:pPr>
      <w:r w:rsidRPr="00E63B3D">
        <w:t xml:space="preserve">Various provisions that refer to Schedule 2 to the Act are repealed or amended as a consequence of the repeal of that Schedule. </w:t>
      </w:r>
      <w:r w:rsidRPr="00E63B3D">
        <w:rPr>
          <w:rStyle w:val="Referencingstyle"/>
        </w:rPr>
        <w:t xml:space="preserve">[Schedule 2, items </w:t>
      </w:r>
      <w:r>
        <w:rPr>
          <w:rStyle w:val="Referencingstyle"/>
        </w:rPr>
        <w:t xml:space="preserve">2, 4, 26, 45 to </w:t>
      </w:r>
      <w:r w:rsidR="007C22FF">
        <w:rPr>
          <w:rStyle w:val="Referencingstyle"/>
        </w:rPr>
        <w:t xml:space="preserve">48, </w:t>
      </w:r>
      <w:r>
        <w:rPr>
          <w:rStyle w:val="Referencingstyle"/>
        </w:rPr>
        <w:t xml:space="preserve">50, 52, 60 to 65, 67 to 69, </w:t>
      </w:r>
      <w:r w:rsidR="00E03354">
        <w:rPr>
          <w:rStyle w:val="Referencingstyle"/>
        </w:rPr>
        <w:t xml:space="preserve">71, </w:t>
      </w:r>
      <w:r>
        <w:rPr>
          <w:rStyle w:val="Referencingstyle"/>
        </w:rPr>
        <w:t xml:space="preserve">72, 73, 75 and 76, </w:t>
      </w:r>
      <w:r w:rsidRPr="00E63B3D">
        <w:rPr>
          <w:rStyle w:val="Referencingstyle"/>
        </w:rPr>
        <w:t>section 2 (the note to the definition of ‘assessment’ and the definitions</w:t>
      </w:r>
      <w:r w:rsidRPr="00006789">
        <w:rPr>
          <w:rStyle w:val="Referencingstyle"/>
        </w:rPr>
        <w:t xml:space="preserve"> of </w:t>
      </w:r>
      <w:r w:rsidRPr="00E63B3D">
        <w:rPr>
          <w:rStyle w:val="Referencingstyle"/>
        </w:rPr>
        <w:t>‘acquisition’, ‘starting base amount’, ‘starting base asset’ and ‘value’), subsections 35E</w:t>
      </w:r>
      <w:r>
        <w:rPr>
          <w:rStyle w:val="Referencingstyle"/>
        </w:rPr>
        <w:t>(1), 35E(1B), 35E</w:t>
      </w:r>
      <w:r w:rsidRPr="00E63B3D">
        <w:rPr>
          <w:rStyle w:val="Referencingstyle"/>
        </w:rPr>
        <w:t>(4), 48(2A) and 48A(7A), paragraphs 35E(1A)(b)</w:t>
      </w:r>
      <w:r>
        <w:rPr>
          <w:rStyle w:val="Referencingstyle"/>
        </w:rPr>
        <w:t>, 48(3)(c),</w:t>
      </w:r>
      <w:r w:rsidRPr="00E63B3D">
        <w:rPr>
          <w:rStyle w:val="Referencingstyle"/>
        </w:rPr>
        <w:t xml:space="preserve"> 48A(5)(ca)</w:t>
      </w:r>
      <w:r>
        <w:rPr>
          <w:rStyle w:val="Referencingstyle"/>
        </w:rPr>
        <w:t xml:space="preserve"> and</w:t>
      </w:r>
      <w:r w:rsidR="00E03354">
        <w:rPr>
          <w:rStyle w:val="Referencingstyle"/>
        </w:rPr>
        <w:t> </w:t>
      </w:r>
      <w:r>
        <w:rPr>
          <w:rStyle w:val="Referencingstyle"/>
        </w:rPr>
        <w:t>48A(11)(c)</w:t>
      </w:r>
      <w:r w:rsidRPr="00E63B3D">
        <w:rPr>
          <w:rStyle w:val="Referencingstyle"/>
        </w:rPr>
        <w:t xml:space="preserve">, subparagraphs 48(1)(a)(ib), </w:t>
      </w:r>
      <w:r>
        <w:rPr>
          <w:rStyle w:val="Referencingstyle"/>
        </w:rPr>
        <w:t>58K(1)(b)(v</w:t>
      </w:r>
      <w:r w:rsidRPr="00E63B3D">
        <w:rPr>
          <w:rStyle w:val="Referencingstyle"/>
        </w:rPr>
        <w:t>i)</w:t>
      </w:r>
      <w:r>
        <w:rPr>
          <w:rStyle w:val="Referencingstyle"/>
        </w:rPr>
        <w:t xml:space="preserve">, </w:t>
      </w:r>
      <w:r w:rsidRPr="00E63B3D">
        <w:rPr>
          <w:rStyle w:val="Referencingstyle"/>
        </w:rPr>
        <w:t>58K(1)(b)(vii)</w:t>
      </w:r>
      <w:r>
        <w:rPr>
          <w:rStyle w:val="Referencingstyle"/>
        </w:rPr>
        <w:t>, 58M(1)(c)(v</w:t>
      </w:r>
      <w:r w:rsidRPr="00E63B3D">
        <w:rPr>
          <w:rStyle w:val="Referencingstyle"/>
        </w:rPr>
        <w:t>i) and</w:t>
      </w:r>
      <w:r>
        <w:rPr>
          <w:rStyle w:val="Referencingstyle"/>
        </w:rPr>
        <w:t> </w:t>
      </w:r>
      <w:r w:rsidRPr="00E63B3D">
        <w:rPr>
          <w:rStyle w:val="Referencingstyle"/>
        </w:rPr>
        <w:t xml:space="preserve">58M(1)(c)(vii), and the notes to subsection 35E(1), </w:t>
      </w:r>
      <w:r>
        <w:rPr>
          <w:rStyle w:val="Referencingstyle"/>
        </w:rPr>
        <w:t xml:space="preserve">subsection 44(2), </w:t>
      </w:r>
      <w:r w:rsidRPr="00E63B3D">
        <w:rPr>
          <w:rStyle w:val="Referencingstyle"/>
        </w:rPr>
        <w:t xml:space="preserve">section 61 and subsection 67(2) of </w:t>
      </w:r>
      <w:r w:rsidRPr="00006789">
        <w:rPr>
          <w:rStyle w:val="Referencingstyle"/>
        </w:rPr>
        <w:t>the Act]</w:t>
      </w:r>
    </w:p>
    <w:p w14:paraId="321FA0F9" w14:textId="6AD70832" w:rsidR="00B565C8" w:rsidRPr="00E63B3D" w:rsidRDefault="00B565C8" w:rsidP="00B565C8">
      <w:pPr>
        <w:pStyle w:val="base-text-paragraph"/>
        <w:keepLines/>
      </w:pPr>
      <w:r>
        <w:t xml:space="preserve">The amendments to section 35E of the Act do not affect the continued availability or uplift of carried-forward starting base expenditure already recognised in relation to the North West Shelf </w:t>
      </w:r>
      <w:r w:rsidR="00DB69CF">
        <w:t>P</w:t>
      </w:r>
      <w:r>
        <w:t>roject</w:t>
      </w:r>
      <w:r w:rsidR="007C22FF">
        <w:t xml:space="preserve"> under subsection 35E(3)</w:t>
      </w:r>
      <w:r>
        <w:t xml:space="preserve">. </w:t>
      </w:r>
    </w:p>
    <w:p w14:paraId="264D4988" w14:textId="14130F44" w:rsidR="00A27F63" w:rsidRPr="00E63B3D" w:rsidRDefault="00A27F63" w:rsidP="002825FF">
      <w:pPr>
        <w:pStyle w:val="Heading3"/>
        <w:keepLines/>
      </w:pPr>
      <w:r w:rsidRPr="00E63B3D">
        <w:t>Other amendments</w:t>
      </w:r>
    </w:p>
    <w:p w14:paraId="33DDF151" w14:textId="46C10EF2" w:rsidR="00574BB9" w:rsidRPr="00006789" w:rsidRDefault="00574BB9" w:rsidP="002825FF">
      <w:pPr>
        <w:pStyle w:val="base-text-paragraph"/>
        <w:keepLines/>
        <w:rPr>
          <w:rStyle w:val="Referencingstyle"/>
          <w:b w:val="0"/>
          <w:i w:val="0"/>
          <w:sz w:val="22"/>
        </w:rPr>
      </w:pPr>
      <w:r w:rsidRPr="00E63B3D">
        <w:t xml:space="preserve">The </w:t>
      </w:r>
      <w:r w:rsidR="00C86DCE" w:rsidRPr="00E63B3D">
        <w:t xml:space="preserve">cost of </w:t>
      </w:r>
      <w:r w:rsidRPr="00E63B3D">
        <w:t xml:space="preserve">exploration </w:t>
      </w:r>
      <w:r w:rsidR="00C86DCE" w:rsidRPr="00E63B3D">
        <w:t>for</w:t>
      </w:r>
      <w:r w:rsidRPr="00E63B3D">
        <w:t xml:space="preserve"> non-petroleum resources </w:t>
      </w:r>
      <w:r w:rsidR="00C86DCE" w:rsidRPr="00E63B3D">
        <w:t>is</w:t>
      </w:r>
      <w:r w:rsidRPr="00E63B3D">
        <w:t xml:space="preserve"> currently excluded from the PRRT. </w:t>
      </w:r>
      <w:r w:rsidR="00C86DCE" w:rsidRPr="00E63B3D">
        <w:t xml:space="preserve">This exclusion clarifies that the cost of exploration for coal is excluded notwithstanding a project may recover incidental amounts of coal seam gas. </w:t>
      </w:r>
      <w:r w:rsidRPr="00E63B3D">
        <w:t xml:space="preserve">Following the exclusion of onshore petroleum projects from the scope of the PRRT, these specific exclusions are no longer required. </w:t>
      </w:r>
      <w:r w:rsidRPr="00E63B3D">
        <w:rPr>
          <w:rStyle w:val="Referencingstyle"/>
        </w:rPr>
        <w:t xml:space="preserve">[Schedule </w:t>
      </w:r>
      <w:r w:rsidR="001117B9">
        <w:rPr>
          <w:rStyle w:val="Referencingstyle"/>
        </w:rPr>
        <w:t>2</w:t>
      </w:r>
      <w:r w:rsidRPr="00E63B3D">
        <w:rPr>
          <w:rStyle w:val="Referencingstyle"/>
        </w:rPr>
        <w:t>, item</w:t>
      </w:r>
      <w:r w:rsidR="00C24566" w:rsidRPr="00E63B3D">
        <w:rPr>
          <w:rStyle w:val="Referencingstyle"/>
        </w:rPr>
        <w:t>s</w:t>
      </w:r>
      <w:r w:rsidRPr="00E63B3D">
        <w:rPr>
          <w:rStyle w:val="Referencingstyle"/>
        </w:rPr>
        <w:t> </w:t>
      </w:r>
      <w:r w:rsidR="00312390">
        <w:rPr>
          <w:rStyle w:val="Referencingstyle"/>
        </w:rPr>
        <w:t>27</w:t>
      </w:r>
      <w:r w:rsidR="00312390" w:rsidRPr="00E63B3D">
        <w:rPr>
          <w:rStyle w:val="Referencingstyle"/>
        </w:rPr>
        <w:t xml:space="preserve"> </w:t>
      </w:r>
      <w:r w:rsidR="00C24566" w:rsidRPr="00E63B3D">
        <w:rPr>
          <w:rStyle w:val="Referencingstyle"/>
        </w:rPr>
        <w:t xml:space="preserve">and </w:t>
      </w:r>
      <w:r w:rsidR="00312390">
        <w:rPr>
          <w:rStyle w:val="Referencingstyle"/>
        </w:rPr>
        <w:t>51</w:t>
      </w:r>
      <w:r w:rsidRPr="00E63B3D">
        <w:rPr>
          <w:rStyle w:val="Referencingstyle"/>
        </w:rPr>
        <w:t xml:space="preserve">, sections 2AB and 2AC, and subsections 37(2A), (2B) </w:t>
      </w:r>
      <w:r w:rsidR="00F73233" w:rsidRPr="00E63B3D">
        <w:rPr>
          <w:rStyle w:val="Referencingstyle"/>
        </w:rPr>
        <w:t>and </w:t>
      </w:r>
      <w:r w:rsidRPr="00E63B3D">
        <w:rPr>
          <w:rStyle w:val="Referencingstyle"/>
        </w:rPr>
        <w:t>(2C) of the Act]</w:t>
      </w:r>
    </w:p>
    <w:p w14:paraId="0BE8C73C" w14:textId="44A70DD5" w:rsidR="00DC5B94" w:rsidRPr="00E63B3D" w:rsidRDefault="00DC5B94" w:rsidP="00DC5B94">
      <w:pPr>
        <w:pStyle w:val="base-text-paragraph"/>
        <w:keepLines/>
      </w:pPr>
      <w:r w:rsidRPr="00E63B3D">
        <w:t xml:space="preserve">Assessable petroleum receipts currently include </w:t>
      </w:r>
      <w:r>
        <w:t xml:space="preserve">the </w:t>
      </w:r>
      <w:r w:rsidRPr="00E63B3D">
        <w:t xml:space="preserve">project natural gas </w:t>
      </w:r>
      <w:r>
        <w:t xml:space="preserve">receipts </w:t>
      </w:r>
      <w:r w:rsidRPr="00E63B3D">
        <w:t xml:space="preserve">of an integrated operation that recovers petroleum from an onshore petroleum project. Transfer pricing principles apply to calculating the amount of these assessable petroleum receipts. This category of assessable petroleum receipts is removed. Further consequential amendments are required to the transfer pricing rules in the </w:t>
      </w:r>
      <w:r w:rsidRPr="00E63B3D">
        <w:rPr>
          <w:i/>
        </w:rPr>
        <w:t>Petroleum Resource Rent Tax Assessment Regulation 2015</w:t>
      </w:r>
      <w:r w:rsidRPr="00E63B3D">
        <w:t xml:space="preserve">. These amendments will be progressed in 2019. </w:t>
      </w:r>
      <w:r w:rsidRPr="00E63B3D">
        <w:rPr>
          <w:rStyle w:val="Referencingstyle"/>
        </w:rPr>
        <w:t xml:space="preserve">[Schedule 2, item </w:t>
      </w:r>
      <w:r w:rsidR="00312390">
        <w:rPr>
          <w:rStyle w:val="Referencingstyle"/>
        </w:rPr>
        <w:t>32</w:t>
      </w:r>
      <w:r w:rsidR="00312390" w:rsidRPr="00E63B3D">
        <w:rPr>
          <w:rStyle w:val="Referencingstyle"/>
        </w:rPr>
        <w:t xml:space="preserve"> </w:t>
      </w:r>
      <w:r w:rsidRPr="00E63B3D">
        <w:rPr>
          <w:rStyle w:val="Referencingstyle"/>
        </w:rPr>
        <w:t xml:space="preserve">to </w:t>
      </w:r>
      <w:r w:rsidR="00312390">
        <w:rPr>
          <w:rStyle w:val="Referencingstyle"/>
        </w:rPr>
        <w:t>34</w:t>
      </w:r>
      <w:r w:rsidRPr="00E63B3D">
        <w:rPr>
          <w:rStyle w:val="Referencingstyle"/>
        </w:rPr>
        <w:t>, paragraphs</w:t>
      </w:r>
      <w:r>
        <w:rPr>
          <w:rStyle w:val="Referencingstyle"/>
        </w:rPr>
        <w:t> </w:t>
      </w:r>
      <w:r w:rsidRPr="00E63B3D">
        <w:rPr>
          <w:rStyle w:val="Referencingstyle"/>
        </w:rPr>
        <w:t>24(1)(a), (e) and (f) of the Act]</w:t>
      </w:r>
      <w:r w:rsidRPr="00E63B3D">
        <w:t xml:space="preserve"> </w:t>
      </w:r>
    </w:p>
    <w:p w14:paraId="687A3296" w14:textId="57CA90B9" w:rsidR="00DC5B94" w:rsidRPr="00E63B3D" w:rsidRDefault="00DC5B94" w:rsidP="00DC5B94">
      <w:pPr>
        <w:pStyle w:val="base-text-paragraph"/>
        <w:keepLines/>
        <w:rPr>
          <w:rStyle w:val="Referencingstyle"/>
          <w:b w:val="0"/>
          <w:i w:val="0"/>
          <w:sz w:val="22"/>
        </w:rPr>
      </w:pPr>
      <w:r w:rsidRPr="00E63B3D">
        <w:rPr>
          <w:rStyle w:val="Referencingstyle"/>
          <w:b w:val="0"/>
          <w:i w:val="0"/>
          <w:sz w:val="22"/>
        </w:rPr>
        <w:t xml:space="preserve">In reviewing the Act, it was identified that the definition of ‘non-arm’s length transaction’ in subsection 24(2) had become redundant because of an earlier amendment. The definition is repealed. </w:t>
      </w:r>
      <w:r w:rsidRPr="00E63B3D">
        <w:rPr>
          <w:rStyle w:val="Referencingstyle"/>
        </w:rPr>
        <w:t xml:space="preserve">[Schedule 2, item </w:t>
      </w:r>
      <w:r w:rsidR="00312390">
        <w:rPr>
          <w:rStyle w:val="Referencingstyle"/>
        </w:rPr>
        <w:t>35</w:t>
      </w:r>
      <w:r w:rsidRPr="00E63B3D">
        <w:rPr>
          <w:rStyle w:val="Referencingstyle"/>
        </w:rPr>
        <w:t>, subsection 24(2) (definition of ‘non-arm’s length transaction’) of the Act]</w:t>
      </w:r>
    </w:p>
    <w:p w14:paraId="671F526C" w14:textId="111EFC13" w:rsidR="00DC5B94" w:rsidRPr="00E63B3D" w:rsidRDefault="00DC5B94" w:rsidP="00DC5B94">
      <w:pPr>
        <w:pStyle w:val="base-text-paragraph"/>
        <w:keepLines/>
        <w:rPr>
          <w:rStyle w:val="Referencingstyle"/>
          <w:b w:val="0"/>
          <w:i w:val="0"/>
          <w:sz w:val="22"/>
        </w:rPr>
      </w:pPr>
      <w:r w:rsidRPr="00006789">
        <w:t>An example explain</w:t>
      </w:r>
      <w:r w:rsidRPr="00E63B3D">
        <w:t xml:space="preserve">ing the concept of assessable incidental production receipts is repealed as the example relates to an onshore coal seam gas project. </w:t>
      </w:r>
      <w:r w:rsidRPr="00E63B3D">
        <w:rPr>
          <w:rStyle w:val="Referencingstyle"/>
        </w:rPr>
        <w:t xml:space="preserve">[Schedule 2, item </w:t>
      </w:r>
      <w:r w:rsidR="00312390">
        <w:rPr>
          <w:rStyle w:val="Referencingstyle"/>
        </w:rPr>
        <w:t>36</w:t>
      </w:r>
      <w:r w:rsidRPr="00E63B3D">
        <w:rPr>
          <w:rStyle w:val="Referencingstyle"/>
        </w:rPr>
        <w:t>, the example to subsection 29A(1) of the Act]</w:t>
      </w:r>
    </w:p>
    <w:p w14:paraId="4D42C4DF" w14:textId="6CB929D5" w:rsidR="006378DB" w:rsidRPr="00E63B3D" w:rsidRDefault="006378DB" w:rsidP="00DC5B94">
      <w:pPr>
        <w:pStyle w:val="base-text-paragraph"/>
        <w:keepLines/>
        <w:numPr>
          <w:ilvl w:val="1"/>
          <w:numId w:val="7"/>
        </w:numPr>
        <w:rPr>
          <w:rStyle w:val="Referencingstyle"/>
          <w:b w:val="0"/>
          <w:i w:val="0"/>
          <w:sz w:val="22"/>
        </w:rPr>
      </w:pPr>
      <w:r w:rsidRPr="00E63B3D">
        <w:rPr>
          <w:rStyle w:val="Referencingstyle"/>
          <w:b w:val="0"/>
          <w:i w:val="0"/>
          <w:sz w:val="22"/>
        </w:rPr>
        <w:lastRenderedPageBreak/>
        <w:t xml:space="preserve">Section 35C provides a deduction for resource tax expenditure. This includes expenditure on royalties. A reference to State and Territory ownership of petroleum resources is repealed because this reference relates exclusively to onshore </w:t>
      </w:r>
      <w:r w:rsidR="00964C40">
        <w:t xml:space="preserve">petroleum </w:t>
      </w:r>
      <w:r w:rsidRPr="00E63B3D">
        <w:rPr>
          <w:rStyle w:val="Referencingstyle"/>
          <w:b w:val="0"/>
          <w:i w:val="0"/>
          <w:sz w:val="22"/>
        </w:rPr>
        <w:t xml:space="preserve">projects. </w:t>
      </w:r>
      <w:r w:rsidRPr="00E63B3D">
        <w:rPr>
          <w:rStyle w:val="Referencingstyle"/>
        </w:rPr>
        <w:t xml:space="preserve">[Schedule 2, item </w:t>
      </w:r>
      <w:r w:rsidR="00312390">
        <w:rPr>
          <w:rStyle w:val="Referencingstyle"/>
        </w:rPr>
        <w:t>43</w:t>
      </w:r>
      <w:r w:rsidRPr="00E63B3D">
        <w:rPr>
          <w:rStyle w:val="Referencingstyle"/>
        </w:rPr>
        <w:t>, subparagraph 35C(3)(c)(i) of the Act]</w:t>
      </w:r>
    </w:p>
    <w:p w14:paraId="379E20C1" w14:textId="32ADDAA9" w:rsidR="008641F1" w:rsidRPr="00E63B3D" w:rsidRDefault="008641F1" w:rsidP="003745B1">
      <w:pPr>
        <w:pStyle w:val="base-text-paragraph"/>
        <w:keepLines/>
        <w:numPr>
          <w:ilvl w:val="1"/>
          <w:numId w:val="7"/>
        </w:numPr>
      </w:pPr>
      <w:r w:rsidRPr="00E63B3D">
        <w:t xml:space="preserve">Section 35D provides a deduction for acquired exploration expenditure. In practice, this category of expenditure only applies to onshore </w:t>
      </w:r>
      <w:r w:rsidR="00964C40">
        <w:t xml:space="preserve">petroleum </w:t>
      </w:r>
      <w:r w:rsidRPr="00E63B3D">
        <w:t xml:space="preserve">projects. Accordingly, this section </w:t>
      </w:r>
      <w:r w:rsidR="007746B7">
        <w:t>and associated provisions are</w:t>
      </w:r>
      <w:r w:rsidRPr="00E63B3D">
        <w:t xml:space="preserve"> repealed</w:t>
      </w:r>
      <w:r w:rsidR="00F060A6">
        <w:t xml:space="preserve"> or amended</w:t>
      </w:r>
      <w:r w:rsidRPr="00E63B3D">
        <w:t xml:space="preserve">. </w:t>
      </w:r>
      <w:r w:rsidRPr="00006789">
        <w:rPr>
          <w:rStyle w:val="Referencingstyle"/>
        </w:rPr>
        <w:t>[Schedule 2, item</w:t>
      </w:r>
      <w:r w:rsidR="004268FE">
        <w:rPr>
          <w:rStyle w:val="Referencingstyle"/>
        </w:rPr>
        <w:t>s</w:t>
      </w:r>
      <w:r w:rsidRPr="00006789">
        <w:rPr>
          <w:rStyle w:val="Referencingstyle"/>
        </w:rPr>
        <w:t xml:space="preserve"> </w:t>
      </w:r>
      <w:r w:rsidR="00312390">
        <w:rPr>
          <w:rStyle w:val="Referencingstyle"/>
        </w:rPr>
        <w:t>7</w:t>
      </w:r>
      <w:r w:rsidR="0053619B">
        <w:rPr>
          <w:rStyle w:val="Referencingstyle"/>
        </w:rPr>
        <w:t xml:space="preserve">, </w:t>
      </w:r>
      <w:r w:rsidR="00312390">
        <w:rPr>
          <w:rStyle w:val="Referencingstyle"/>
        </w:rPr>
        <w:t>41</w:t>
      </w:r>
      <w:r w:rsidR="0053619B">
        <w:rPr>
          <w:rStyle w:val="Referencingstyle"/>
        </w:rPr>
        <w:t xml:space="preserve">, </w:t>
      </w:r>
      <w:r w:rsidR="00312390">
        <w:rPr>
          <w:rStyle w:val="Referencingstyle"/>
        </w:rPr>
        <w:t>42</w:t>
      </w:r>
      <w:r w:rsidR="0053619B">
        <w:rPr>
          <w:rStyle w:val="Referencingstyle"/>
        </w:rPr>
        <w:t xml:space="preserve">, </w:t>
      </w:r>
      <w:r w:rsidR="00312390">
        <w:rPr>
          <w:rStyle w:val="Referencingstyle"/>
        </w:rPr>
        <w:t>44</w:t>
      </w:r>
      <w:r w:rsidR="007746B7" w:rsidRPr="00006789">
        <w:rPr>
          <w:rStyle w:val="Referencingstyle"/>
        </w:rPr>
        <w:t xml:space="preserve">, </w:t>
      </w:r>
      <w:r w:rsidR="00312390">
        <w:rPr>
          <w:rStyle w:val="Referencingstyle"/>
        </w:rPr>
        <w:t>49</w:t>
      </w:r>
      <w:r w:rsidR="00FD46E5">
        <w:rPr>
          <w:rStyle w:val="Referencingstyle"/>
        </w:rPr>
        <w:t xml:space="preserve">, </w:t>
      </w:r>
      <w:r w:rsidR="00312390">
        <w:rPr>
          <w:rStyle w:val="Referencingstyle"/>
        </w:rPr>
        <w:t>66</w:t>
      </w:r>
      <w:r w:rsidR="00FD46E5">
        <w:rPr>
          <w:rStyle w:val="Referencingstyle"/>
        </w:rPr>
        <w:t xml:space="preserve">, </w:t>
      </w:r>
      <w:r w:rsidR="00312390">
        <w:rPr>
          <w:rStyle w:val="Referencingstyle"/>
        </w:rPr>
        <w:t>70</w:t>
      </w:r>
      <w:r w:rsidR="00FD46E5">
        <w:rPr>
          <w:rStyle w:val="Referencingstyle"/>
        </w:rPr>
        <w:t xml:space="preserve">, </w:t>
      </w:r>
      <w:r w:rsidR="003745B1">
        <w:rPr>
          <w:rStyle w:val="Referencingstyle"/>
        </w:rPr>
        <w:t xml:space="preserve">78, </w:t>
      </w:r>
      <w:r w:rsidR="00312390">
        <w:rPr>
          <w:rStyle w:val="Referencingstyle"/>
        </w:rPr>
        <w:t xml:space="preserve">82 </w:t>
      </w:r>
      <w:r w:rsidR="00FD46E5">
        <w:rPr>
          <w:rStyle w:val="Referencingstyle"/>
        </w:rPr>
        <w:t xml:space="preserve">and </w:t>
      </w:r>
      <w:r w:rsidR="00312390">
        <w:rPr>
          <w:rStyle w:val="Referencingstyle"/>
        </w:rPr>
        <w:t>83</w:t>
      </w:r>
      <w:r w:rsidR="00FD46E5">
        <w:rPr>
          <w:rStyle w:val="Referencingstyle"/>
        </w:rPr>
        <w:t xml:space="preserve">, </w:t>
      </w:r>
      <w:r w:rsidRPr="00006789">
        <w:rPr>
          <w:rStyle w:val="Referencingstyle"/>
        </w:rPr>
        <w:t>section 35D</w:t>
      </w:r>
      <w:r w:rsidR="00964C40">
        <w:rPr>
          <w:rStyle w:val="Referencingstyle"/>
        </w:rPr>
        <w:t>, section </w:t>
      </w:r>
      <w:r w:rsidR="007746B7">
        <w:rPr>
          <w:rStyle w:val="Referencingstyle"/>
        </w:rPr>
        <w:t xml:space="preserve">2 (definition of ‘eligible real expenditure’), </w:t>
      </w:r>
      <w:r w:rsidR="00B45E8B">
        <w:rPr>
          <w:rStyle w:val="Referencingstyle"/>
        </w:rPr>
        <w:t xml:space="preserve">subsection 34A(5), </w:t>
      </w:r>
      <w:r w:rsidR="00F060A6">
        <w:rPr>
          <w:rStyle w:val="Referencingstyle"/>
        </w:rPr>
        <w:t>paragraphs 32(fb)</w:t>
      </w:r>
      <w:r w:rsidR="003745B1">
        <w:rPr>
          <w:rStyle w:val="Referencingstyle"/>
        </w:rPr>
        <w:t xml:space="preserve">, </w:t>
      </w:r>
      <w:r w:rsidR="00F060A6">
        <w:rPr>
          <w:rStyle w:val="Referencingstyle"/>
        </w:rPr>
        <w:t>35E(3)(h)</w:t>
      </w:r>
      <w:r w:rsidR="003745B1">
        <w:rPr>
          <w:rStyle w:val="Referencingstyle"/>
        </w:rPr>
        <w:t xml:space="preserve"> and </w:t>
      </w:r>
      <w:r w:rsidR="003745B1" w:rsidRPr="003745B1">
        <w:rPr>
          <w:rStyle w:val="Referencingstyle"/>
        </w:rPr>
        <w:t>97(1A)(b)</w:t>
      </w:r>
      <w:r w:rsidR="00B45E8B">
        <w:rPr>
          <w:rStyle w:val="Referencingstyle"/>
        </w:rPr>
        <w:t>,</w:t>
      </w:r>
      <w:r w:rsidR="00FD46E5">
        <w:rPr>
          <w:rStyle w:val="Referencingstyle"/>
        </w:rPr>
        <w:t xml:space="preserve"> subparagraphs</w:t>
      </w:r>
      <w:r w:rsidR="002942F3">
        <w:rPr>
          <w:rStyle w:val="Referencingstyle"/>
        </w:rPr>
        <w:t> </w:t>
      </w:r>
      <w:r w:rsidR="00FD46E5">
        <w:rPr>
          <w:rStyle w:val="Referencingstyle"/>
        </w:rPr>
        <w:t>58K(1)(b)(v) and </w:t>
      </w:r>
      <w:r w:rsidR="00B45E8B">
        <w:rPr>
          <w:rStyle w:val="Referencingstyle"/>
        </w:rPr>
        <w:t>58M(1)(c)(v)</w:t>
      </w:r>
      <w:r w:rsidRPr="00006789">
        <w:rPr>
          <w:rStyle w:val="Referencingstyle"/>
        </w:rPr>
        <w:t xml:space="preserve"> of the Act</w:t>
      </w:r>
      <w:r w:rsidR="00964C40">
        <w:rPr>
          <w:rStyle w:val="Referencingstyle"/>
        </w:rPr>
        <w:t>, and paragraph </w:t>
      </w:r>
      <w:r w:rsidR="00B45E8B">
        <w:rPr>
          <w:rStyle w:val="Referencingstyle"/>
        </w:rPr>
        <w:t>(a) of the definitions of ‘notional taxable profit in clauses 5 and 9 in Schedule 1 to the Act</w:t>
      </w:r>
      <w:r w:rsidRPr="00006789">
        <w:rPr>
          <w:rStyle w:val="Referencingstyle"/>
        </w:rPr>
        <w:t>]</w:t>
      </w:r>
    </w:p>
    <w:p w14:paraId="581EB485" w14:textId="4AC62561" w:rsidR="00FF3B79" w:rsidRPr="00E63B3D" w:rsidRDefault="007D6B78" w:rsidP="002825FF">
      <w:pPr>
        <w:pStyle w:val="base-text-paragraph"/>
        <w:keepLines/>
        <w:rPr>
          <w:rStyle w:val="Referencingstyle"/>
          <w:b w:val="0"/>
          <w:i w:val="0"/>
          <w:sz w:val="22"/>
        </w:rPr>
      </w:pPr>
      <w:r w:rsidRPr="00E63B3D">
        <w:rPr>
          <w:rStyle w:val="Referencingstyle"/>
          <w:b w:val="0"/>
          <w:i w:val="0"/>
          <w:sz w:val="22"/>
        </w:rPr>
        <w:t xml:space="preserve">An amendment is made to the definition of ‘Resource Rent Tax area’ in the </w:t>
      </w:r>
      <w:r w:rsidRPr="00E63B3D">
        <w:rPr>
          <w:rStyle w:val="Referencingstyle"/>
          <w:b w:val="0"/>
          <w:sz w:val="22"/>
        </w:rPr>
        <w:t>Excise Tariff Act 1921</w:t>
      </w:r>
      <w:r w:rsidRPr="00E63B3D">
        <w:rPr>
          <w:rStyle w:val="Referencingstyle"/>
          <w:b w:val="0"/>
          <w:i w:val="0"/>
          <w:sz w:val="22"/>
        </w:rPr>
        <w:t xml:space="preserve"> to remove a redundant reference to onshore areas. </w:t>
      </w:r>
      <w:r w:rsidRPr="00E63B3D">
        <w:rPr>
          <w:rStyle w:val="Referencingstyle"/>
        </w:rPr>
        <w:t xml:space="preserve">[Schedule 2, item </w:t>
      </w:r>
      <w:r w:rsidR="00282B37">
        <w:rPr>
          <w:rStyle w:val="Referencingstyle"/>
        </w:rPr>
        <w:t>85</w:t>
      </w:r>
      <w:r w:rsidR="00BB7CD3" w:rsidRPr="00E63B3D">
        <w:rPr>
          <w:rStyle w:val="Referencingstyle"/>
        </w:rPr>
        <w:t xml:space="preserve">, </w:t>
      </w:r>
      <w:r w:rsidRPr="00E63B3D">
        <w:rPr>
          <w:rStyle w:val="Referencingstyle"/>
        </w:rPr>
        <w:t>subsection 3(1) (definition of ‘Resource Rent Tax area’) of the Excise Tariff Act 1921]</w:t>
      </w:r>
    </w:p>
    <w:p w14:paraId="337C3896" w14:textId="77777777" w:rsidR="00A3553F" w:rsidRPr="00E63B3D" w:rsidRDefault="00A3553F" w:rsidP="002825FF">
      <w:pPr>
        <w:pStyle w:val="Heading2"/>
        <w:keepLines/>
      </w:pPr>
      <w:r w:rsidRPr="00E63B3D">
        <w:t>Application and transitional provisions</w:t>
      </w:r>
    </w:p>
    <w:p w14:paraId="1807F9F4" w14:textId="3053B76C" w:rsidR="00CB1DBB" w:rsidRPr="00E63B3D" w:rsidRDefault="00CB1DBB" w:rsidP="002825FF">
      <w:pPr>
        <w:pStyle w:val="base-text-paragraph"/>
        <w:keepLines/>
        <w:numPr>
          <w:ilvl w:val="1"/>
          <w:numId w:val="47"/>
        </w:numPr>
      </w:pPr>
      <w:r w:rsidRPr="00E63B3D">
        <w:t xml:space="preserve">The amendments commence </w:t>
      </w:r>
      <w:r w:rsidR="005E368E">
        <w:t>on 1 July 2019</w:t>
      </w:r>
      <w:r w:rsidRPr="00E63B3D">
        <w:t xml:space="preserve">. </w:t>
      </w:r>
      <w:r w:rsidRPr="00E63B3D">
        <w:rPr>
          <w:rStyle w:val="Referencingstyle"/>
        </w:rPr>
        <w:t xml:space="preserve">[Clause 2 of the </w:t>
      </w:r>
      <w:r w:rsidR="003229AA">
        <w:rPr>
          <w:rStyle w:val="Referencingstyle"/>
        </w:rPr>
        <w:t>Exposure Draft</w:t>
      </w:r>
      <w:r w:rsidRPr="00E63B3D">
        <w:rPr>
          <w:rStyle w:val="Referencingstyle"/>
        </w:rPr>
        <w:t>]</w:t>
      </w:r>
    </w:p>
    <w:p w14:paraId="050CD49E" w14:textId="1EB87384" w:rsidR="00CB1DBB" w:rsidRPr="00E63B3D" w:rsidRDefault="00CB1DBB" w:rsidP="002825FF">
      <w:pPr>
        <w:pStyle w:val="base-text-paragraph"/>
        <w:keepLines/>
        <w:numPr>
          <w:ilvl w:val="1"/>
          <w:numId w:val="7"/>
        </w:numPr>
      </w:pPr>
      <w:r w:rsidRPr="00E63B3D">
        <w:t xml:space="preserve">The amendments </w:t>
      </w:r>
      <w:r w:rsidR="00D37D53" w:rsidRPr="00E63B3D">
        <w:t>a</w:t>
      </w:r>
      <w:r w:rsidRPr="00E63B3D">
        <w:t xml:space="preserve">pply </w:t>
      </w:r>
      <w:r w:rsidR="00D37D53" w:rsidRPr="00E63B3D">
        <w:t>to the financial year commencing on 1 </w:t>
      </w:r>
      <w:r w:rsidRPr="00E63B3D">
        <w:t>July 2019</w:t>
      </w:r>
      <w:r w:rsidR="00D37D53" w:rsidRPr="00E63B3D">
        <w:t xml:space="preserve"> and later financial years</w:t>
      </w:r>
      <w:r w:rsidRPr="00E63B3D">
        <w:t>.</w:t>
      </w:r>
      <w:r w:rsidR="00D37D53" w:rsidRPr="00E63B3D">
        <w:t xml:space="preserve"> </w:t>
      </w:r>
    </w:p>
    <w:p w14:paraId="5D99BBB5" w14:textId="22AA7E95" w:rsidR="00D37D53" w:rsidRPr="00E63B3D" w:rsidRDefault="00D37D53" w:rsidP="002825FF">
      <w:pPr>
        <w:pStyle w:val="base-text-paragraph"/>
        <w:keepLines/>
        <w:numPr>
          <w:ilvl w:val="1"/>
          <w:numId w:val="7"/>
        </w:numPr>
      </w:pPr>
      <w:r w:rsidRPr="00E63B3D">
        <w:t xml:space="preserve">The old law continues to apply to the 2018-19 financial year and earlier financial years. Anything that is required or permitted to be done after 1 July 2019 in relation to an earlier financial year continues to be subject to the old law. </w:t>
      </w:r>
      <w:r w:rsidRPr="00E63B3D">
        <w:rPr>
          <w:rStyle w:val="Referencingstyle"/>
        </w:rPr>
        <w:t>[Schedule 2, item</w:t>
      </w:r>
      <w:r w:rsidR="005E368E">
        <w:rPr>
          <w:rStyle w:val="Referencingstyle"/>
        </w:rPr>
        <w:t>s</w:t>
      </w:r>
      <w:r w:rsidRPr="00E63B3D">
        <w:rPr>
          <w:rStyle w:val="Referencingstyle"/>
        </w:rPr>
        <w:t xml:space="preserve"> </w:t>
      </w:r>
      <w:r w:rsidR="007B3712">
        <w:rPr>
          <w:rStyle w:val="Referencingstyle"/>
        </w:rPr>
        <w:t xml:space="preserve">92 </w:t>
      </w:r>
      <w:r w:rsidR="005E368E">
        <w:rPr>
          <w:rStyle w:val="Referencingstyle"/>
        </w:rPr>
        <w:t xml:space="preserve">to </w:t>
      </w:r>
      <w:r w:rsidR="007B3712">
        <w:rPr>
          <w:rStyle w:val="Referencingstyle"/>
        </w:rPr>
        <w:t>97</w:t>
      </w:r>
      <w:r w:rsidRPr="00E63B3D">
        <w:rPr>
          <w:rStyle w:val="Referencingstyle"/>
        </w:rPr>
        <w:t>]</w:t>
      </w:r>
    </w:p>
    <w:p w14:paraId="34925EF0" w14:textId="06168551" w:rsidR="00D37D53" w:rsidRPr="00E63B3D" w:rsidRDefault="00D37D53" w:rsidP="002825FF">
      <w:pPr>
        <w:pStyle w:val="base-text-paragraph"/>
        <w:keepLines/>
        <w:numPr>
          <w:ilvl w:val="1"/>
          <w:numId w:val="7"/>
        </w:numPr>
      </w:pPr>
      <w:r w:rsidRPr="00E63B3D">
        <w:t xml:space="preserve">A special transitional rule applies to relieve taxpayers from the obligation to lodge a 2018-19 PRRT return in relation to an onshore </w:t>
      </w:r>
      <w:r w:rsidR="00964C40">
        <w:t xml:space="preserve">petroleum </w:t>
      </w:r>
      <w:r w:rsidRPr="00E63B3D">
        <w:t>project if:</w:t>
      </w:r>
    </w:p>
    <w:p w14:paraId="54B796C8" w14:textId="6C041BF5" w:rsidR="00D37D53" w:rsidRPr="00E63B3D" w:rsidRDefault="00D37D53" w:rsidP="00006789">
      <w:pPr>
        <w:pStyle w:val="dotpoint"/>
      </w:pPr>
      <w:r w:rsidRPr="00E63B3D">
        <w:t>there is no PRRT payable in relation to the project for that financial year; and</w:t>
      </w:r>
    </w:p>
    <w:p w14:paraId="74B18514" w14:textId="65887238" w:rsidR="00D37D53" w:rsidRPr="00E63B3D" w:rsidRDefault="00D37D53" w:rsidP="00006789">
      <w:pPr>
        <w:pStyle w:val="dotpoint"/>
      </w:pPr>
      <w:r w:rsidRPr="00E63B3D">
        <w:t xml:space="preserve">there is no exploration expenditure </w:t>
      </w:r>
      <w:r w:rsidR="0061574F">
        <w:t>that is required to be transferred</w:t>
      </w:r>
      <w:r w:rsidR="0061574F" w:rsidRPr="00E63B3D">
        <w:t xml:space="preserve"> </w:t>
      </w:r>
      <w:r w:rsidRPr="00E63B3D">
        <w:t>in relation to the project for that financial year.</w:t>
      </w:r>
    </w:p>
    <w:p w14:paraId="491E8CBB" w14:textId="01C6E8F5" w:rsidR="00D37D53" w:rsidRPr="00E63B3D" w:rsidRDefault="00D37D53" w:rsidP="00006789">
      <w:pPr>
        <w:pStyle w:val="dotpoint"/>
        <w:numPr>
          <w:ilvl w:val="0"/>
          <w:numId w:val="0"/>
        </w:numPr>
        <w:ind w:left="1984"/>
        <w:rPr>
          <w:rStyle w:val="Referencingstyle"/>
        </w:rPr>
      </w:pPr>
      <w:r w:rsidRPr="00E63B3D">
        <w:rPr>
          <w:rStyle w:val="Referencingstyle"/>
        </w:rPr>
        <w:t xml:space="preserve">[Schedule 2, item </w:t>
      </w:r>
      <w:r w:rsidR="007B3712">
        <w:rPr>
          <w:rStyle w:val="Referencingstyle"/>
        </w:rPr>
        <w:t>98</w:t>
      </w:r>
      <w:r w:rsidRPr="00E63B3D">
        <w:rPr>
          <w:rStyle w:val="Referencingstyle"/>
        </w:rPr>
        <w:t>]</w:t>
      </w:r>
    </w:p>
    <w:p w14:paraId="363BFE53" w14:textId="5719B14D" w:rsidR="00D37D53" w:rsidRDefault="008B0982" w:rsidP="00D918B2">
      <w:pPr>
        <w:pStyle w:val="base-text-paragraph"/>
      </w:pPr>
      <w:r w:rsidRPr="00D600DE">
        <w:t xml:space="preserve">However, the Commissioner </w:t>
      </w:r>
      <w:r>
        <w:t xml:space="preserve">of Taxation </w:t>
      </w:r>
      <w:r w:rsidRPr="00D600DE">
        <w:t xml:space="preserve">may require </w:t>
      </w:r>
      <w:r>
        <w:t>a</w:t>
      </w:r>
      <w:r w:rsidRPr="00D600DE">
        <w:t xml:space="preserve"> person to </w:t>
      </w:r>
      <w:r>
        <w:t>lodge</w:t>
      </w:r>
      <w:r w:rsidRPr="00D600DE">
        <w:t xml:space="preserve"> a return </w:t>
      </w:r>
      <w:r>
        <w:t xml:space="preserve">for an onshore project </w:t>
      </w:r>
      <w:r w:rsidRPr="00D600DE">
        <w:t xml:space="preserve">under section 60 of the </w:t>
      </w:r>
      <w:r>
        <w:t>Act. The Commissioner may also</w:t>
      </w:r>
      <w:r w:rsidRPr="00D600DE">
        <w:t xml:space="preserve"> make an assessment</w:t>
      </w:r>
      <w:r>
        <w:t xml:space="preserve"> of the person’s taxable profit</w:t>
      </w:r>
      <w:r w:rsidRPr="00D600DE">
        <w:t xml:space="preserve"> under subsection 63(1) of </w:t>
      </w:r>
      <w:r>
        <w:t>the</w:t>
      </w:r>
      <w:r w:rsidRPr="00D600DE">
        <w:t xml:space="preserve"> Act.</w:t>
      </w:r>
    </w:p>
    <w:sectPr w:rsidR="00D37D53" w:rsidSect="00C743D3">
      <w:footerReference w:type="even" r:id="rId35"/>
      <w:footerReference w:type="default" r:id="rId36"/>
      <w:footerReference w:type="first" r:id="rId37"/>
      <w:type w:val="oddPage"/>
      <w:pgSz w:w="9979" w:h="14175" w:code="9"/>
      <w:pgMar w:top="567" w:right="1134" w:bottom="567"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F70958E" w14:textId="77777777" w:rsidR="00771013" w:rsidRDefault="00771013" w:rsidP="00E679CA">
      <w:pPr>
        <w:spacing w:before="0" w:after="0"/>
      </w:pPr>
      <w:r>
        <w:separator/>
      </w:r>
    </w:p>
  </w:endnote>
  <w:endnote w:type="continuationSeparator" w:id="0">
    <w:p w14:paraId="5618D8EC" w14:textId="77777777" w:rsidR="00771013" w:rsidRDefault="00771013" w:rsidP="00E679CA">
      <w:pPr>
        <w:spacing w:before="0" w:after="0"/>
      </w:pPr>
      <w:r>
        <w:continuationSeparator/>
      </w:r>
    </w:p>
  </w:endnote>
  <w:endnote w:type="continuationNotice" w:id="1">
    <w:p w14:paraId="3CDE8B2B" w14:textId="77777777" w:rsidR="00771013" w:rsidRDefault="00771013">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10F96A" w14:textId="77777777" w:rsidR="00771013" w:rsidRDefault="00771013" w:rsidP="001610E9">
    <w:pPr>
      <w:pStyle w:val="leftfooter"/>
    </w:pPr>
    <w:r>
      <w:fldChar w:fldCharType="begin"/>
    </w:r>
    <w:r>
      <w:instrText xml:space="preserve"> PAGE   \* MERGEFORMAT </w:instrText>
    </w:r>
    <w:r>
      <w:fldChar w:fldCharType="separate"/>
    </w:r>
    <w:r w:rsidR="00E01077">
      <w:rPr>
        <w:noProof/>
      </w:rPr>
      <w:t>1</w:t>
    </w:r>
    <w:r>
      <w:rPr>
        <w:noProof/>
      </w:rPr>
      <w:fldChar w:fldCharType="end"/>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1C6F06" w14:textId="77777777" w:rsidR="00771013" w:rsidRDefault="00771013" w:rsidP="001610E9">
    <w:pPr>
      <w:pStyle w:val="leftfooter"/>
    </w:pPr>
    <w:r>
      <w:fldChar w:fldCharType="begin"/>
    </w:r>
    <w:r>
      <w:instrText xml:space="preserve"> PAGE   \* MERGEFORMAT </w:instrText>
    </w:r>
    <w:r>
      <w:fldChar w:fldCharType="separate"/>
    </w:r>
    <w:r w:rsidR="00F95382">
      <w:rPr>
        <w:noProof/>
      </w:rPr>
      <w:t>14</w:t>
    </w:r>
    <w:r>
      <w:rPr>
        <w:noProof/>
      </w:rPr>
      <w:fldChar w:fldCharType="end"/>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B0A814" w14:textId="77777777" w:rsidR="00771013" w:rsidRDefault="00771013" w:rsidP="001610E9">
    <w:pPr>
      <w:pStyle w:val="rightfooter"/>
    </w:pPr>
    <w:r>
      <w:fldChar w:fldCharType="begin"/>
    </w:r>
    <w:r>
      <w:instrText xml:space="preserve"> PAGE   \* MERGEFORMAT </w:instrText>
    </w:r>
    <w:r>
      <w:fldChar w:fldCharType="separate"/>
    </w:r>
    <w:r w:rsidR="00F95382">
      <w:rPr>
        <w:noProof/>
      </w:rPr>
      <w:t>5</w:t>
    </w:r>
    <w:r>
      <w:rPr>
        <w:noProof/>
      </w:rPr>
      <w:fldChar w:fldCharType="end"/>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C13815" w14:textId="77777777" w:rsidR="00771013" w:rsidRDefault="00771013" w:rsidP="001610E9">
    <w:pPr>
      <w:pStyle w:val="rightfooter"/>
    </w:pPr>
    <w:r>
      <w:fldChar w:fldCharType="begin"/>
    </w:r>
    <w:r>
      <w:instrText xml:space="preserve"> PAGE  \* Arabic  \* MERGEFORMAT </w:instrText>
    </w:r>
    <w:r>
      <w:fldChar w:fldCharType="separate"/>
    </w:r>
    <w:r w:rsidR="00F95382">
      <w:rPr>
        <w:noProof/>
      </w:rPr>
      <w:t>3</w:t>
    </w:r>
    <w:r>
      <w:rPr>
        <w:noProof/>
      </w:rPr>
      <w:fldChar w:fldCharType="end"/>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A87F90" w14:textId="77777777" w:rsidR="00771013" w:rsidRDefault="00771013" w:rsidP="001610E9">
    <w:pPr>
      <w:pStyle w:val="leftfooter"/>
    </w:pPr>
    <w:r>
      <w:fldChar w:fldCharType="begin"/>
    </w:r>
    <w:r>
      <w:instrText xml:space="preserve"> PAGE   \* MERGEFORMAT </w:instrText>
    </w:r>
    <w:r>
      <w:fldChar w:fldCharType="separate"/>
    </w:r>
    <w:r w:rsidR="00F95382">
      <w:rPr>
        <w:noProof/>
      </w:rPr>
      <w:t>22</w:t>
    </w:r>
    <w:r>
      <w:rPr>
        <w:noProof/>
      </w:rPr>
      <w:fldChar w:fldCharType="end"/>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ACC5B7" w14:textId="77777777" w:rsidR="00771013" w:rsidRDefault="00771013" w:rsidP="001610E9">
    <w:pPr>
      <w:pStyle w:val="rightfooter"/>
    </w:pPr>
    <w:r>
      <w:fldChar w:fldCharType="begin"/>
    </w:r>
    <w:r>
      <w:instrText xml:space="preserve"> PAGE   \* MERGEFORMAT </w:instrText>
    </w:r>
    <w:r>
      <w:fldChar w:fldCharType="separate"/>
    </w:r>
    <w:r w:rsidR="00F95382">
      <w:rPr>
        <w:noProof/>
      </w:rPr>
      <w:t>21</w:t>
    </w:r>
    <w:r>
      <w:rPr>
        <w:noProof/>
      </w:rPr>
      <w:fldChar w:fldCharType="end"/>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6D820C" w14:textId="77777777" w:rsidR="00771013" w:rsidRDefault="00771013" w:rsidP="001610E9">
    <w:pPr>
      <w:pStyle w:val="rightfooter"/>
    </w:pPr>
    <w:r>
      <w:fldChar w:fldCharType="begin"/>
    </w:r>
    <w:r>
      <w:instrText xml:space="preserve"> PAGE  \* Arabic  \* MERGEFORMAT </w:instrText>
    </w:r>
    <w:r>
      <w:fldChar w:fldCharType="separate"/>
    </w:r>
    <w:r w:rsidR="00F95382">
      <w:rPr>
        <w:noProof/>
      </w:rPr>
      <w:t>17</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DBB9C1" w14:textId="77777777" w:rsidR="00771013" w:rsidRDefault="00771013" w:rsidP="001610E9">
    <w:pPr>
      <w:pStyle w:val="rightfooter"/>
    </w:pPr>
    <w:r>
      <w:fldChar w:fldCharType="begin"/>
    </w:r>
    <w:r>
      <w:instrText xml:space="preserve"> PAGE   \* MERGEFORMAT </w:instrText>
    </w:r>
    <w:r>
      <w:fldChar w:fldCharType="separate"/>
    </w:r>
    <w:r w:rsidR="00E01077">
      <w:rPr>
        <w:noProof/>
      </w:rPr>
      <w:t>1</w:t>
    </w:r>
    <w:r>
      <w:rPr>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ED747B" w14:textId="77777777" w:rsidR="00E01077" w:rsidRDefault="00E01077">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D46E41" w14:textId="77777777" w:rsidR="00771013" w:rsidRDefault="00771013" w:rsidP="001610E9">
    <w:pPr>
      <w:pStyle w:val="leftfooter"/>
    </w:pPr>
    <w:r>
      <w:fldChar w:fldCharType="begin"/>
    </w:r>
    <w:r>
      <w:instrText xml:space="preserve"> PAGE   \* MERGEFORMAT </w:instrText>
    </w:r>
    <w:r>
      <w:fldChar w:fldCharType="separate"/>
    </w:r>
    <w:r w:rsidR="00E01077">
      <w:rPr>
        <w:noProof/>
      </w:rPr>
      <w:t>3</w:t>
    </w:r>
    <w:r>
      <w:rPr>
        <w:noProof/>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6F4DC6" w14:textId="77777777" w:rsidR="00771013" w:rsidRDefault="00771013" w:rsidP="001610E9">
    <w:pPr>
      <w:pStyle w:val="rightfooter"/>
    </w:pPr>
    <w:r>
      <w:fldChar w:fldCharType="begin"/>
    </w:r>
    <w:r>
      <w:instrText xml:space="preserve"> PAGE   \* MERGEFORMAT </w:instrText>
    </w:r>
    <w:r>
      <w:fldChar w:fldCharType="separate"/>
    </w:r>
    <w:r w:rsidR="00E01077">
      <w:rPr>
        <w:noProof/>
      </w:rPr>
      <w:t>3</w:t>
    </w:r>
    <w:r>
      <w:rPr>
        <w:noProof/>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54D304" w14:textId="77777777" w:rsidR="00771013" w:rsidRPr="00B2068E" w:rsidRDefault="00771013" w:rsidP="001610E9">
    <w:pPr>
      <w:pStyle w:val="Foo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3CE3C5" w14:textId="77777777" w:rsidR="00771013" w:rsidRDefault="00771013" w:rsidP="001610E9">
    <w:pPr>
      <w:pStyle w:val="leftfooter"/>
    </w:pPr>
    <w:r>
      <w:fldChar w:fldCharType="begin"/>
    </w:r>
    <w:r>
      <w:instrText xml:space="preserve"> PAGE   \* MERGEFORMAT </w:instrText>
    </w:r>
    <w:r>
      <w:fldChar w:fldCharType="separate"/>
    </w:r>
    <w:r w:rsidR="00E01077">
      <w:rPr>
        <w:noProof/>
      </w:rPr>
      <w:t>1</w:t>
    </w:r>
    <w:r>
      <w:rPr>
        <w:noProof/>
      </w:rP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4A5F90" w14:textId="77777777" w:rsidR="00771013" w:rsidRDefault="00771013" w:rsidP="001610E9">
    <w:pPr>
      <w:pStyle w:val="rightfooter"/>
    </w:pPr>
    <w:r>
      <w:fldChar w:fldCharType="begin"/>
    </w:r>
    <w:r>
      <w:instrText xml:space="preserve"> PAGE   \* MERGEFORMAT </w:instrText>
    </w:r>
    <w:r>
      <w:fldChar w:fldCharType="separate"/>
    </w:r>
    <w:r w:rsidR="00E01077">
      <w:rPr>
        <w:noProof/>
      </w:rPr>
      <w:t>1</w:t>
    </w:r>
    <w:r>
      <w:rPr>
        <w:noProof/>
      </w:rPr>
      <w:fldChar w:fldCharType="end"/>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A4770B" w14:textId="77777777" w:rsidR="00771013" w:rsidRDefault="00771013" w:rsidP="001610E9">
    <w:pPr>
      <w:pStyle w:val="rightfooter"/>
    </w:pPr>
    <w:r>
      <w:fldChar w:fldCharType="begin"/>
    </w:r>
    <w:r>
      <w:instrText xml:space="preserve"> PAGE  \* Arabic  \* MERGEFORMAT </w:instrText>
    </w:r>
    <w:r>
      <w:fldChar w:fldCharType="separate"/>
    </w:r>
    <w:r w:rsidR="00F95382">
      <w:rPr>
        <w:noProof/>
      </w:rPr>
      <w:t>1</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72F4064" w14:textId="77777777" w:rsidR="00771013" w:rsidRDefault="00771013" w:rsidP="00E679CA">
      <w:pPr>
        <w:spacing w:before="0" w:after="0"/>
      </w:pPr>
      <w:r>
        <w:separator/>
      </w:r>
    </w:p>
  </w:footnote>
  <w:footnote w:type="continuationSeparator" w:id="0">
    <w:p w14:paraId="085F2E90" w14:textId="77777777" w:rsidR="00771013" w:rsidRDefault="00771013" w:rsidP="00E679CA">
      <w:pPr>
        <w:spacing w:before="0" w:after="0"/>
      </w:pPr>
      <w:r>
        <w:continuationSeparator/>
      </w:r>
    </w:p>
  </w:footnote>
  <w:footnote w:type="continuationNotice" w:id="1">
    <w:p w14:paraId="34789B79" w14:textId="77777777" w:rsidR="00771013" w:rsidRDefault="00771013">
      <w:pPr>
        <w:spacing w:before="0"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18BAD5" w14:textId="77777777" w:rsidR="00771013" w:rsidRDefault="00771013" w:rsidP="001610E9">
    <w:pPr>
      <w:pStyle w:val="leftheader"/>
    </w:pPr>
    <w:r>
      <w:fldChar w:fldCharType="begin"/>
    </w:r>
    <w:r>
      <w:instrText xml:space="preserve"> macrobutton nomacro [Click here and insert the name of the Bill] </w:instrText>
    </w:r>
    <w: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F9B506" w14:textId="77777777" w:rsidR="00771013" w:rsidRDefault="00771013" w:rsidP="001610E9">
    <w:pPr>
      <w:pStyle w:val="rightheader"/>
    </w:pPr>
    <w:r>
      <w:fldChar w:fldCharType="begin"/>
    </w:r>
    <w:r>
      <w:instrText xml:space="preserve"> macrobutton nomacro [Click here and enter the name of the Chapter </w:instrText>
    </w:r>
    <w: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03914990"/>
      <w:docPartObj>
        <w:docPartGallery w:val="Watermarks"/>
        <w:docPartUnique/>
      </w:docPartObj>
    </w:sdtPr>
    <w:sdtEndPr/>
    <w:sdtContent>
      <w:p w14:paraId="588224AE" w14:textId="77777777" w:rsidR="00771013" w:rsidRDefault="00F95382">
        <w:pPr>
          <w:pStyle w:val="Header"/>
        </w:pPr>
        <w:r>
          <w:rPr>
            <w:noProof/>
            <w:lang w:val="en-US" w:eastAsia="en-US"/>
          </w:rPr>
          <w:pict w14:anchorId="2EE9FD2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50"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149688" w14:textId="77777777" w:rsidR="00771013" w:rsidRDefault="00771013" w:rsidP="001610E9">
    <w:pPr>
      <w:pStyle w:val="left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9EB9E2" w14:textId="77777777" w:rsidR="00771013" w:rsidRDefault="00771013" w:rsidP="001610E9">
    <w:pPr>
      <w:pStyle w:val="right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C7CF87" w14:textId="77777777" w:rsidR="00771013" w:rsidRDefault="00771013">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E9325D" w14:textId="77777777" w:rsidR="00771013" w:rsidRPr="00422FA2" w:rsidRDefault="00F85C14" w:rsidP="00422FA2">
    <w:pPr>
      <w:pStyle w:val="leftheader"/>
    </w:pPr>
    <w:fldSimple w:instr=" STYLEREF  &quot;Bill Name&quot;  \* MERGEFORMAT ">
      <w:r w:rsidR="00F95382">
        <w:rPr>
          <w:noProof/>
        </w:rPr>
        <w:t>Treasury Laws Amendment (Petroleum Resource Rent Tax Reforms No. 1) Bill 2019</w:t>
      </w:r>
    </w:fldSimple>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BBCC37" w14:textId="77777777" w:rsidR="00771013" w:rsidRDefault="00F85C14" w:rsidP="001610E9">
    <w:pPr>
      <w:pStyle w:val="rightheader"/>
    </w:pPr>
    <w:fldSimple w:instr=" STYLEREF  &quot;ChapterNameOnly&quot;  \* MERGEFORMAT ">
      <w:r w:rsidR="00F95382">
        <w:rPr>
          <w:noProof/>
        </w:rPr>
        <w:t>Onshore petroleum projects</w:t>
      </w:r>
    </w:fldSimple>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8F1226C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4AF866FE"/>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BD5627D4"/>
    <w:lvl w:ilvl="0">
      <w:start w:val="1"/>
      <w:numFmt w:val="decimal"/>
      <w:pStyle w:val="ListNumber3"/>
      <w:lvlText w:val="%1."/>
      <w:lvlJc w:val="left"/>
      <w:pPr>
        <w:tabs>
          <w:tab w:val="num" w:pos="926"/>
        </w:tabs>
        <w:ind w:left="926" w:hanging="360"/>
      </w:pPr>
    </w:lvl>
  </w:abstractNum>
  <w:abstractNum w:abstractNumId="3">
    <w:nsid w:val="FFFFFF7F"/>
    <w:multiLevelType w:val="singleLevel"/>
    <w:tmpl w:val="68E813CC"/>
    <w:lvl w:ilvl="0">
      <w:start w:val="1"/>
      <w:numFmt w:val="decimal"/>
      <w:pStyle w:val="ListNumber2"/>
      <w:lvlText w:val="%1."/>
      <w:lvlJc w:val="left"/>
      <w:pPr>
        <w:tabs>
          <w:tab w:val="num" w:pos="643"/>
        </w:tabs>
        <w:ind w:left="643" w:hanging="360"/>
      </w:pPr>
    </w:lvl>
  </w:abstractNum>
  <w:abstractNum w:abstractNumId="4">
    <w:nsid w:val="FFFFFF80"/>
    <w:multiLevelType w:val="singleLevel"/>
    <w:tmpl w:val="8F2ACFCC"/>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F1F87428"/>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C3F664EA"/>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6FC66E10"/>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769CBACA"/>
    <w:lvl w:ilvl="0">
      <w:start w:val="1"/>
      <w:numFmt w:val="decimal"/>
      <w:pStyle w:val="ListNumber"/>
      <w:lvlText w:val="%1."/>
      <w:lvlJc w:val="left"/>
      <w:pPr>
        <w:tabs>
          <w:tab w:val="num" w:pos="360"/>
        </w:tabs>
        <w:ind w:left="360" w:hanging="360"/>
      </w:pPr>
    </w:lvl>
  </w:abstractNum>
  <w:abstractNum w:abstractNumId="9">
    <w:nsid w:val="FFFFFF89"/>
    <w:multiLevelType w:val="singleLevel"/>
    <w:tmpl w:val="699AB89A"/>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17AE2BEC"/>
    <w:multiLevelType w:val="multilevel"/>
    <w:tmpl w:val="6D98FC9A"/>
    <w:styleLink w:val="TableDotPointList"/>
    <w:lvl w:ilvl="0">
      <w:start w:val="1"/>
      <w:numFmt w:val="bullet"/>
      <w:pStyle w:val="tabledotpoint"/>
      <w:lvlText w:val="•"/>
      <w:lvlJc w:val="left"/>
      <w:pPr>
        <w:tabs>
          <w:tab w:val="num" w:pos="284"/>
        </w:tabs>
        <w:ind w:left="284" w:hanging="284"/>
      </w:pPr>
      <w:rPr>
        <w:rFonts w:ascii="Times New Roman" w:hAnsi="Times New Roman" w:cs="Times New Roman" w:hint="default"/>
        <w:color w:val="000000" w:themeColor="text1"/>
      </w:rPr>
    </w:lvl>
    <w:lvl w:ilvl="1">
      <w:start w:val="1"/>
      <w:numFmt w:val="bullet"/>
      <w:pStyle w:val="tabledotpoint2"/>
      <w:lvlText w:val="–"/>
      <w:lvlJc w:val="left"/>
      <w:pPr>
        <w:tabs>
          <w:tab w:val="num" w:pos="567"/>
        </w:tabs>
        <w:ind w:left="567" w:hanging="283"/>
      </w:pPr>
      <w:rPr>
        <w:rFonts w:ascii="Times New Roman" w:hAnsi="Times New Roman" w:cs="Times New Roman" w:hint="default"/>
        <w:color w:val="000000" w:themeColor="text1"/>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nsid w:val="18220900"/>
    <w:multiLevelType w:val="multilevel"/>
    <w:tmpl w:val="0C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2">
    <w:nsid w:val="1BEB4EC5"/>
    <w:multiLevelType w:val="multilevel"/>
    <w:tmpl w:val="C42A210A"/>
    <w:lvl w:ilvl="0">
      <w:start w:val="1"/>
      <w:numFmt w:val="bullet"/>
      <w:lvlText w:val="•"/>
      <w:lvlJc w:val="left"/>
      <w:pPr>
        <w:tabs>
          <w:tab w:val="num" w:pos="284"/>
        </w:tabs>
        <w:ind w:left="284" w:hanging="284"/>
      </w:pPr>
      <w:rPr>
        <w:rFonts w:ascii="Times New Roman" w:hAnsi="Times New Roman" w:cs="Times New Roman" w:hint="default"/>
        <w:color w:val="000000" w:themeColor="text1"/>
      </w:rPr>
    </w:lvl>
    <w:lvl w:ilvl="1">
      <w:start w:val="1"/>
      <w:numFmt w:val="bullet"/>
      <w:lvlText w:val="–"/>
      <w:lvlJc w:val="left"/>
      <w:pPr>
        <w:tabs>
          <w:tab w:val="num" w:pos="567"/>
        </w:tabs>
        <w:ind w:left="567" w:hanging="283"/>
      </w:pPr>
      <w:rPr>
        <w:rFonts w:ascii="Times New Roman" w:hAnsi="Times New Roman" w:cs="Times New Roman" w:hint="default"/>
        <w:color w:val="000000" w:themeColor="text1"/>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nsid w:val="21252E96"/>
    <w:multiLevelType w:val="multilevel"/>
    <w:tmpl w:val="2C983042"/>
    <w:name w:val="ExampleDotPointList"/>
    <w:lvl w:ilvl="0">
      <w:start w:val="1"/>
      <w:numFmt w:val="bullet"/>
      <w:lvlRestart w:val="0"/>
      <w:lvlText w:val="•"/>
      <w:lvlJc w:val="left"/>
      <w:pPr>
        <w:tabs>
          <w:tab w:val="num" w:pos="2268"/>
        </w:tabs>
        <w:ind w:left="2268" w:hanging="284"/>
      </w:pPr>
      <w:rPr>
        <w:b w:val="0"/>
        <w:i w:val="0"/>
        <w:color w:val="000000"/>
      </w:rPr>
    </w:lvl>
    <w:lvl w:ilvl="1">
      <w:start w:val="1"/>
      <w:numFmt w:val="bullet"/>
      <w:lvlText w:val="–"/>
      <w:lvlJc w:val="left"/>
      <w:pPr>
        <w:tabs>
          <w:tab w:val="num" w:pos="2551"/>
        </w:tabs>
        <w:ind w:left="2551" w:hanging="283"/>
      </w:pPr>
      <w:rPr>
        <w:b w:val="0"/>
        <w:i w:val="0"/>
        <w:color w:val="000000"/>
      </w:rPr>
    </w:lvl>
    <w:lvl w:ilvl="2">
      <w:start w:val="1"/>
      <w:numFmt w:val="decimal"/>
      <w:lvlText w:val="%3"/>
      <w:lvlJc w:val="left"/>
      <w:pPr>
        <w:tabs>
          <w:tab w:val="num" w:pos="1701"/>
        </w:tabs>
        <w:ind w:left="1701" w:hanging="567"/>
      </w:pPr>
      <w:rPr>
        <w:b w:val="0"/>
        <w:i w:val="0"/>
        <w:color w:val="000000"/>
      </w:rPr>
    </w:lvl>
    <w:lvl w:ilvl="3">
      <w:start w:val="1"/>
      <w:numFmt w:val="decimal"/>
      <w:lvlText w:val="%4"/>
      <w:lvlJc w:val="left"/>
      <w:pPr>
        <w:tabs>
          <w:tab w:val="num" w:pos="2268"/>
        </w:tabs>
        <w:ind w:left="2268" w:hanging="567"/>
      </w:pPr>
      <w:rPr>
        <w:b w:val="0"/>
        <w:i w:val="0"/>
        <w:color w:val="000000"/>
      </w:rPr>
    </w:lvl>
    <w:lvl w:ilvl="4">
      <w:start w:val="1"/>
      <w:numFmt w:val="decimal"/>
      <w:lvlText w:val="%5"/>
      <w:lvlJc w:val="left"/>
      <w:pPr>
        <w:tabs>
          <w:tab w:val="num" w:pos="2835"/>
        </w:tabs>
        <w:ind w:left="2835" w:hanging="567"/>
      </w:pPr>
      <w:rPr>
        <w:b w:val="0"/>
        <w:i w:val="0"/>
        <w:color w:val="000000"/>
      </w:rPr>
    </w:lvl>
    <w:lvl w:ilvl="5">
      <w:start w:val="1"/>
      <w:numFmt w:val="decimal"/>
      <w:lvlText w:val="%6"/>
      <w:lvlJc w:val="left"/>
      <w:pPr>
        <w:tabs>
          <w:tab w:val="num" w:pos="3402"/>
        </w:tabs>
        <w:ind w:left="3402" w:hanging="567"/>
      </w:pPr>
      <w:rPr>
        <w:b w:val="0"/>
        <w:i w:val="0"/>
        <w:color w:val="000000"/>
      </w:rPr>
    </w:lvl>
    <w:lvl w:ilvl="6">
      <w:start w:val="1"/>
      <w:numFmt w:val="decimal"/>
      <w:lvlText w:val="%7"/>
      <w:lvlJc w:val="left"/>
      <w:pPr>
        <w:tabs>
          <w:tab w:val="num" w:pos="3969"/>
        </w:tabs>
        <w:ind w:left="3969" w:hanging="567"/>
      </w:pPr>
      <w:rPr>
        <w:b w:val="0"/>
        <w:i w:val="0"/>
        <w:color w:val="000000"/>
      </w:rPr>
    </w:lvl>
    <w:lvl w:ilvl="7">
      <w:start w:val="1"/>
      <w:numFmt w:val="decimal"/>
      <w:lvlText w:val="%8"/>
      <w:lvlJc w:val="left"/>
      <w:pPr>
        <w:tabs>
          <w:tab w:val="num" w:pos="4536"/>
        </w:tabs>
        <w:ind w:left="4536" w:hanging="567"/>
      </w:pPr>
      <w:rPr>
        <w:b w:val="0"/>
        <w:i w:val="0"/>
        <w:color w:val="000000"/>
      </w:rPr>
    </w:lvl>
    <w:lvl w:ilvl="8">
      <w:start w:val="1"/>
      <w:numFmt w:val="decimal"/>
      <w:lvlText w:val="%9"/>
      <w:lvlJc w:val="left"/>
      <w:pPr>
        <w:tabs>
          <w:tab w:val="num" w:pos="5103"/>
        </w:tabs>
        <w:ind w:left="5103" w:hanging="567"/>
      </w:pPr>
      <w:rPr>
        <w:b w:val="0"/>
        <w:i w:val="0"/>
        <w:color w:val="000000"/>
      </w:rPr>
    </w:lvl>
  </w:abstractNum>
  <w:abstractNum w:abstractNumId="14">
    <w:nsid w:val="289229AF"/>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nsid w:val="33824974"/>
    <w:multiLevelType w:val="multilevel"/>
    <w:tmpl w:val="0C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nsid w:val="3D714D4B"/>
    <w:multiLevelType w:val="multilevel"/>
    <w:tmpl w:val="A316FE50"/>
    <w:styleLink w:val="ChapterList"/>
    <w:lvl w:ilvl="0">
      <w:start w:val="1"/>
      <w:numFmt w:val="decimal"/>
      <w:pStyle w:val="ChapterHeading"/>
      <w:lvlText w:val="Chapter %1"/>
      <w:lvlJc w:val="left"/>
      <w:pPr>
        <w:tabs>
          <w:tab w:val="num" w:pos="1134"/>
        </w:tabs>
        <w:ind w:left="0" w:firstLine="0"/>
      </w:pPr>
      <w:rPr>
        <w:rFonts w:hint="default"/>
      </w:rPr>
    </w:lvl>
    <w:lvl w:ilvl="1">
      <w:start w:val="1"/>
      <w:numFmt w:val="decimal"/>
      <w:pStyle w:val="base-text-paragraph"/>
      <w:lvlText w:val="%1.%2"/>
      <w:lvlJc w:val="left"/>
      <w:pPr>
        <w:tabs>
          <w:tab w:val="num" w:pos="1985"/>
        </w:tabs>
        <w:ind w:left="1134" w:firstLine="0"/>
      </w:pPr>
      <w:rPr>
        <w:rFonts w:hint="default"/>
      </w:rPr>
    </w:lvl>
    <w:lvl w:ilvl="2">
      <w:start w:val="1"/>
      <w:numFmt w:val="decimal"/>
      <w:lvlRestart w:val="1"/>
      <w:pStyle w:val="Diagram"/>
      <w:suff w:val="nothing"/>
      <w:lvlText w:val="Diagram %1.%3"/>
      <w:lvlJc w:val="left"/>
      <w:pPr>
        <w:ind w:left="1134" w:firstLine="0"/>
      </w:pPr>
      <w:rPr>
        <w:rFonts w:hint="default"/>
      </w:rPr>
    </w:lvl>
    <w:lvl w:ilvl="3">
      <w:start w:val="1"/>
      <w:numFmt w:val="decimal"/>
      <w:lvlRestart w:val="1"/>
      <w:pStyle w:val="ExampleHeading"/>
      <w:suff w:val="nothing"/>
      <w:lvlText w:val="Example %1.%4"/>
      <w:lvlJc w:val="left"/>
      <w:pPr>
        <w:ind w:left="1134" w:firstLine="0"/>
      </w:pPr>
      <w:rPr>
        <w:rFonts w:hint="default"/>
      </w:rPr>
    </w:lvl>
    <w:lvl w:ilvl="4">
      <w:start w:val="1"/>
      <w:numFmt w:val="decimal"/>
      <w:lvlRestart w:val="1"/>
      <w:pStyle w:val="TableHeadingoutsidetable"/>
      <w:suff w:val="nothing"/>
      <w:lvlText w:val="Table %1.%5"/>
      <w:lvlJc w:val="left"/>
      <w:pPr>
        <w:ind w:left="1134" w:firstLine="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nsid w:val="3F950960"/>
    <w:multiLevelType w:val="multilevel"/>
    <w:tmpl w:val="AD1C7528"/>
    <w:name w:val="DotPointList"/>
    <w:lvl w:ilvl="0">
      <w:start w:val="1"/>
      <w:numFmt w:val="bullet"/>
      <w:lvlRestart w:val="0"/>
      <w:pStyle w:val="dotpoint"/>
      <w:lvlText w:val="•"/>
      <w:lvlJc w:val="left"/>
      <w:pPr>
        <w:tabs>
          <w:tab w:val="num" w:pos="2268"/>
        </w:tabs>
        <w:ind w:left="2268" w:hanging="284"/>
      </w:pPr>
      <w:rPr>
        <w:b w:val="0"/>
        <w:i w:val="0"/>
        <w:color w:val="000000"/>
      </w:rPr>
    </w:lvl>
    <w:lvl w:ilvl="1">
      <w:start w:val="1"/>
      <w:numFmt w:val="bullet"/>
      <w:lvlText w:val="–"/>
      <w:lvlJc w:val="left"/>
      <w:pPr>
        <w:tabs>
          <w:tab w:val="num" w:pos="2551"/>
        </w:tabs>
        <w:ind w:left="2551" w:hanging="283"/>
      </w:pPr>
      <w:rPr>
        <w:b w:val="0"/>
        <w:i w:val="0"/>
        <w:color w:val="000000"/>
      </w:rPr>
    </w:lvl>
    <w:lvl w:ilvl="2">
      <w:start w:val="1"/>
      <w:numFmt w:val="decimal"/>
      <w:lvlText w:val="%3"/>
      <w:lvlJc w:val="left"/>
      <w:pPr>
        <w:tabs>
          <w:tab w:val="num" w:pos="1701"/>
        </w:tabs>
        <w:ind w:left="1701" w:hanging="567"/>
      </w:pPr>
      <w:rPr>
        <w:b w:val="0"/>
        <w:i w:val="0"/>
        <w:color w:val="000000"/>
      </w:rPr>
    </w:lvl>
    <w:lvl w:ilvl="3">
      <w:start w:val="1"/>
      <w:numFmt w:val="decimal"/>
      <w:lvlText w:val="%4"/>
      <w:lvlJc w:val="left"/>
      <w:pPr>
        <w:tabs>
          <w:tab w:val="num" w:pos="2268"/>
        </w:tabs>
        <w:ind w:left="2268" w:hanging="567"/>
      </w:pPr>
      <w:rPr>
        <w:b w:val="0"/>
        <w:i w:val="0"/>
        <w:color w:val="000000"/>
      </w:rPr>
    </w:lvl>
    <w:lvl w:ilvl="4">
      <w:start w:val="1"/>
      <w:numFmt w:val="decimal"/>
      <w:lvlText w:val="%5"/>
      <w:lvlJc w:val="left"/>
      <w:pPr>
        <w:tabs>
          <w:tab w:val="num" w:pos="2835"/>
        </w:tabs>
        <w:ind w:left="2835" w:hanging="567"/>
      </w:pPr>
      <w:rPr>
        <w:b w:val="0"/>
        <w:i w:val="0"/>
        <w:color w:val="000000"/>
      </w:rPr>
    </w:lvl>
    <w:lvl w:ilvl="5">
      <w:start w:val="1"/>
      <w:numFmt w:val="decimal"/>
      <w:lvlText w:val="%6"/>
      <w:lvlJc w:val="left"/>
      <w:pPr>
        <w:tabs>
          <w:tab w:val="num" w:pos="3402"/>
        </w:tabs>
        <w:ind w:left="3402" w:hanging="567"/>
      </w:pPr>
      <w:rPr>
        <w:b w:val="0"/>
        <w:i w:val="0"/>
        <w:color w:val="000000"/>
      </w:rPr>
    </w:lvl>
    <w:lvl w:ilvl="6">
      <w:start w:val="1"/>
      <w:numFmt w:val="decimal"/>
      <w:lvlText w:val="%7"/>
      <w:lvlJc w:val="left"/>
      <w:pPr>
        <w:tabs>
          <w:tab w:val="num" w:pos="3969"/>
        </w:tabs>
        <w:ind w:left="3969" w:hanging="567"/>
      </w:pPr>
      <w:rPr>
        <w:b w:val="0"/>
        <w:i w:val="0"/>
        <w:color w:val="000000"/>
      </w:rPr>
    </w:lvl>
    <w:lvl w:ilvl="7">
      <w:start w:val="1"/>
      <w:numFmt w:val="decimal"/>
      <w:lvlText w:val="%8"/>
      <w:lvlJc w:val="left"/>
      <w:pPr>
        <w:tabs>
          <w:tab w:val="num" w:pos="4536"/>
        </w:tabs>
        <w:ind w:left="4536" w:hanging="567"/>
      </w:pPr>
      <w:rPr>
        <w:b w:val="0"/>
        <w:i w:val="0"/>
        <w:color w:val="000000"/>
      </w:rPr>
    </w:lvl>
    <w:lvl w:ilvl="8">
      <w:start w:val="1"/>
      <w:numFmt w:val="decimal"/>
      <w:lvlText w:val="%9"/>
      <w:lvlJc w:val="left"/>
      <w:pPr>
        <w:tabs>
          <w:tab w:val="num" w:pos="5103"/>
        </w:tabs>
        <w:ind w:left="5103" w:hanging="567"/>
      </w:pPr>
      <w:rPr>
        <w:b w:val="0"/>
        <w:i w:val="0"/>
        <w:color w:val="000000"/>
      </w:rPr>
    </w:lvl>
  </w:abstractNum>
  <w:abstractNum w:abstractNumId="18">
    <w:nsid w:val="478D416D"/>
    <w:multiLevelType w:val="multilevel"/>
    <w:tmpl w:val="34AAEAB6"/>
    <w:styleLink w:val="DotPointList"/>
    <w:lvl w:ilvl="0">
      <w:start w:val="1"/>
      <w:numFmt w:val="bullet"/>
      <w:lvlText w:val="•"/>
      <w:lvlJc w:val="left"/>
      <w:pPr>
        <w:tabs>
          <w:tab w:val="num" w:pos="2268"/>
        </w:tabs>
        <w:ind w:left="2268" w:hanging="283"/>
      </w:pPr>
      <w:rPr>
        <w:rFonts w:ascii="Times New Roman" w:hAnsi="Times New Roman" w:cs="Times New Roman" w:hint="default"/>
        <w:color w:val="000000" w:themeColor="text1"/>
      </w:rPr>
    </w:lvl>
    <w:lvl w:ilvl="1">
      <w:start w:val="1"/>
      <w:numFmt w:val="bullet"/>
      <w:pStyle w:val="dotpoint2"/>
      <w:lvlText w:val="–"/>
      <w:lvlJc w:val="left"/>
      <w:pPr>
        <w:tabs>
          <w:tab w:val="num" w:pos="2552"/>
        </w:tabs>
        <w:ind w:left="2552" w:hanging="284"/>
      </w:pPr>
      <w:rPr>
        <w:rFonts w:ascii="Times New Roman" w:hAnsi="Times New Roman" w:cs="Times New Roman" w:hint="default"/>
        <w:color w:val="000000" w:themeColor="text1"/>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nsid w:val="4D795738"/>
    <w:multiLevelType w:val="multilevel"/>
    <w:tmpl w:val="0C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0">
    <w:nsid w:val="5EF53485"/>
    <w:multiLevelType w:val="multilevel"/>
    <w:tmpl w:val="148465C2"/>
    <w:styleLink w:val="ExampleDotPointList"/>
    <w:lvl w:ilvl="0">
      <w:start w:val="1"/>
      <w:numFmt w:val="bullet"/>
      <w:pStyle w:val="exampledotpoint1"/>
      <w:lvlText w:val="•"/>
      <w:lvlJc w:val="left"/>
      <w:pPr>
        <w:tabs>
          <w:tab w:val="num" w:pos="2268"/>
        </w:tabs>
        <w:ind w:left="2268" w:hanging="283"/>
      </w:pPr>
      <w:rPr>
        <w:rFonts w:ascii="Times New Roman" w:hAnsi="Times New Roman" w:cs="Times New Roman" w:hint="default"/>
        <w:color w:val="000000" w:themeColor="text1"/>
      </w:rPr>
    </w:lvl>
    <w:lvl w:ilvl="1">
      <w:start w:val="1"/>
      <w:numFmt w:val="bullet"/>
      <w:pStyle w:val="exampledotpoint2"/>
      <w:lvlText w:val="–"/>
      <w:lvlJc w:val="left"/>
      <w:pPr>
        <w:tabs>
          <w:tab w:val="num" w:pos="2552"/>
        </w:tabs>
        <w:ind w:left="2552" w:hanging="284"/>
      </w:pPr>
      <w:rPr>
        <w:rFonts w:ascii="Times New Roman" w:hAnsi="Times New Roman" w:cs="Times New Roman" w:hint="default"/>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nsid w:val="65DF6494"/>
    <w:multiLevelType w:val="multilevel"/>
    <w:tmpl w:val="A316FE50"/>
    <w:numStyleLink w:val="ChapterList"/>
  </w:abstractNum>
  <w:abstractNum w:abstractNumId="22">
    <w:nsid w:val="75FC0FE8"/>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nsid w:val="7C8C5E81"/>
    <w:multiLevelType w:val="multilevel"/>
    <w:tmpl w:val="0C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num w:numId="1">
    <w:abstractNumId w:val="15"/>
  </w:num>
  <w:num w:numId="2">
    <w:abstractNumId w:val="11"/>
  </w:num>
  <w:num w:numId="3">
    <w:abstractNumId w:val="14"/>
  </w:num>
  <w:num w:numId="4">
    <w:abstractNumId w:val="22"/>
  </w:num>
  <w:num w:numId="5">
    <w:abstractNumId w:val="19"/>
  </w:num>
  <w:num w:numId="6">
    <w:abstractNumId w:val="23"/>
  </w:num>
  <w:num w:numId="7">
    <w:abstractNumId w:val="21"/>
    <w:lvlOverride w:ilvl="0">
      <w:lvl w:ilvl="0">
        <w:start w:val="1"/>
        <w:numFmt w:val="decimal"/>
        <w:pStyle w:val="ChapterHeading"/>
        <w:lvlText w:val="Chapter %1"/>
        <w:lvlJc w:val="left"/>
        <w:pPr>
          <w:tabs>
            <w:tab w:val="num" w:pos="1134"/>
          </w:tabs>
          <w:ind w:left="0" w:firstLine="0"/>
        </w:pPr>
        <w:rPr>
          <w:rFonts w:hint="default"/>
        </w:rPr>
      </w:lvl>
    </w:lvlOverride>
    <w:lvlOverride w:ilvl="1">
      <w:lvl w:ilvl="1">
        <w:start w:val="1"/>
        <w:numFmt w:val="decimal"/>
        <w:pStyle w:val="base-text-paragraph"/>
        <w:lvlText w:val="%1.%2"/>
        <w:lvlJc w:val="left"/>
        <w:pPr>
          <w:tabs>
            <w:tab w:val="num" w:pos="1985"/>
          </w:tabs>
          <w:ind w:left="1134" w:firstLine="0"/>
        </w:pPr>
        <w:rPr>
          <w:rFonts w:hint="default"/>
        </w:rPr>
      </w:lvl>
    </w:lvlOverride>
    <w:lvlOverride w:ilvl="2">
      <w:lvl w:ilvl="2">
        <w:start w:val="1"/>
        <w:numFmt w:val="decimal"/>
        <w:lvlRestart w:val="1"/>
        <w:pStyle w:val="Diagram"/>
        <w:suff w:val="nothing"/>
        <w:lvlText w:val="Diagram %1.%3"/>
        <w:lvlJc w:val="left"/>
        <w:pPr>
          <w:ind w:left="1134" w:firstLine="0"/>
        </w:pPr>
        <w:rPr>
          <w:rFonts w:hint="default"/>
        </w:rPr>
      </w:lvl>
    </w:lvlOverride>
    <w:lvlOverride w:ilvl="3">
      <w:lvl w:ilvl="3">
        <w:start w:val="1"/>
        <w:numFmt w:val="decimal"/>
        <w:lvlRestart w:val="1"/>
        <w:pStyle w:val="ExampleHeading"/>
        <w:suff w:val="nothing"/>
        <w:lvlText w:val="Example %1.%4"/>
        <w:lvlJc w:val="left"/>
        <w:pPr>
          <w:ind w:left="1134" w:firstLine="0"/>
        </w:pPr>
        <w:rPr>
          <w:rFonts w:hint="default"/>
        </w:rPr>
      </w:lvl>
    </w:lvlOverride>
    <w:lvlOverride w:ilvl="4">
      <w:lvl w:ilvl="4">
        <w:start w:val="1"/>
        <w:numFmt w:val="decimal"/>
        <w:lvlRestart w:val="1"/>
        <w:pStyle w:val="TableHeadingoutsidetable"/>
        <w:suff w:val="nothing"/>
        <w:lvlText w:val="Table %1.%5"/>
        <w:lvlJc w:val="left"/>
        <w:pPr>
          <w:ind w:left="1134" w:firstLine="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8">
    <w:abstractNumId w:val="21"/>
    <w:lvlOverride w:ilvl="2">
      <w:lvl w:ilvl="2">
        <w:start w:val="1"/>
        <w:numFmt w:val="decimal"/>
        <w:lvlRestart w:val="1"/>
        <w:pStyle w:val="Diagram"/>
        <w:suff w:val="nothing"/>
        <w:lvlText w:val="Diagram %1.%3"/>
        <w:lvlJc w:val="left"/>
        <w:pPr>
          <w:ind w:left="1134" w:firstLine="0"/>
        </w:pPr>
        <w:rPr>
          <w:rFonts w:ascii="Times New Roman" w:hAnsi="Times New Roman" w:cs="Times New Roman"/>
          <w:b/>
          <w:bCs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3">
      <w:lvl w:ilvl="3">
        <w:start w:val="1"/>
        <w:numFmt w:val="decimal"/>
        <w:lvlRestart w:val="1"/>
        <w:pStyle w:val="ExampleHeading"/>
        <w:suff w:val="nothing"/>
        <w:lvlText w:val="Example %1.%4"/>
        <w:lvlJc w:val="left"/>
        <w:pPr>
          <w:ind w:left="1134" w:firstLine="0"/>
        </w:pPr>
        <w:rPr>
          <w:rFonts w:ascii="Times New Roman" w:hAnsi="Times New Roman" w:cs="Times New Roman"/>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9">
    <w:abstractNumId w:val="16"/>
  </w:num>
  <w:num w:numId="10">
    <w:abstractNumId w:val="21"/>
    <w:lvlOverride w:ilvl="2">
      <w:lvl w:ilvl="2">
        <w:start w:val="1"/>
        <w:numFmt w:val="decimal"/>
        <w:lvlRestart w:val="1"/>
        <w:pStyle w:val="Diagram"/>
        <w:suff w:val="nothing"/>
        <w:lvlText w:val="Diagram %1.%3"/>
        <w:lvlJc w:val="left"/>
        <w:pPr>
          <w:ind w:left="1134" w:firstLine="0"/>
        </w:pPr>
        <w:rPr>
          <w:rFonts w:ascii="Times New Roman" w:hAnsi="Times New Roman" w:cs="Times New Roman"/>
          <w:b/>
          <w:bCs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3">
      <w:lvl w:ilvl="3">
        <w:start w:val="1"/>
        <w:numFmt w:val="decimal"/>
        <w:lvlRestart w:val="1"/>
        <w:pStyle w:val="ExampleHeading"/>
        <w:suff w:val="nothing"/>
        <w:lvlText w:val="Example %1.%4"/>
        <w:lvlJc w:val="left"/>
        <w:pPr>
          <w:ind w:left="1134" w:firstLine="0"/>
        </w:pPr>
        <w:rPr>
          <w:rFonts w:ascii="Times New Roman" w:hAnsi="Times New Roman" w:cs="Times New Roman"/>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11">
    <w:abstractNumId w:val="17"/>
  </w:num>
  <w:num w:numId="12">
    <w:abstractNumId w:val="18"/>
  </w:num>
  <w:num w:numId="13">
    <w:abstractNumId w:val="18"/>
  </w:num>
  <w:num w:numId="14">
    <w:abstractNumId w:val="20"/>
  </w:num>
  <w:num w:numId="15">
    <w:abstractNumId w:val="20"/>
  </w:num>
  <w:num w:numId="16">
    <w:abstractNumId w:val="20"/>
  </w:num>
  <w:num w:numId="17">
    <w:abstractNumId w:val="21"/>
    <w:lvlOverride w:ilvl="2">
      <w:lvl w:ilvl="2">
        <w:start w:val="1"/>
        <w:numFmt w:val="decimal"/>
        <w:lvlRestart w:val="1"/>
        <w:pStyle w:val="Diagram"/>
        <w:suff w:val="nothing"/>
        <w:lvlText w:val="Diagram %1.%3"/>
        <w:lvlJc w:val="left"/>
        <w:pPr>
          <w:ind w:left="1134" w:firstLine="0"/>
        </w:pPr>
        <w:rPr>
          <w:rFonts w:ascii="Times New Roman" w:hAnsi="Times New Roman" w:cs="Times New Roman"/>
          <w:b/>
          <w:bCs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3">
      <w:lvl w:ilvl="3">
        <w:start w:val="1"/>
        <w:numFmt w:val="decimal"/>
        <w:lvlRestart w:val="1"/>
        <w:pStyle w:val="ExampleHeading"/>
        <w:suff w:val="nothing"/>
        <w:lvlText w:val="Example %1.%4"/>
        <w:lvlJc w:val="left"/>
        <w:pPr>
          <w:ind w:left="1134" w:firstLine="0"/>
        </w:pPr>
        <w:rPr>
          <w:rFonts w:ascii="Times New Roman" w:hAnsi="Times New Roman" w:cs="Times New Roman"/>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18">
    <w:abstractNumId w:val="9"/>
  </w:num>
  <w:num w:numId="19">
    <w:abstractNumId w:val="9"/>
  </w:num>
  <w:num w:numId="20">
    <w:abstractNumId w:val="7"/>
  </w:num>
  <w:num w:numId="21">
    <w:abstractNumId w:val="7"/>
  </w:num>
  <w:num w:numId="22">
    <w:abstractNumId w:val="6"/>
  </w:num>
  <w:num w:numId="23">
    <w:abstractNumId w:val="6"/>
  </w:num>
  <w:num w:numId="24">
    <w:abstractNumId w:val="5"/>
  </w:num>
  <w:num w:numId="25">
    <w:abstractNumId w:val="5"/>
  </w:num>
  <w:num w:numId="26">
    <w:abstractNumId w:val="4"/>
  </w:num>
  <w:num w:numId="27">
    <w:abstractNumId w:val="4"/>
  </w:num>
  <w:num w:numId="28">
    <w:abstractNumId w:val="8"/>
  </w:num>
  <w:num w:numId="29">
    <w:abstractNumId w:val="8"/>
  </w:num>
  <w:num w:numId="30">
    <w:abstractNumId w:val="3"/>
  </w:num>
  <w:num w:numId="31">
    <w:abstractNumId w:val="3"/>
  </w:num>
  <w:num w:numId="32">
    <w:abstractNumId w:val="2"/>
  </w:num>
  <w:num w:numId="33">
    <w:abstractNumId w:val="2"/>
  </w:num>
  <w:num w:numId="34">
    <w:abstractNumId w:val="1"/>
  </w:num>
  <w:num w:numId="35">
    <w:abstractNumId w:val="1"/>
  </w:num>
  <w:num w:numId="36">
    <w:abstractNumId w:val="0"/>
  </w:num>
  <w:num w:numId="37">
    <w:abstractNumId w:val="0"/>
  </w:num>
  <w:num w:numId="38">
    <w:abstractNumId w:val="12"/>
  </w:num>
  <w:num w:numId="39">
    <w:abstractNumId w:val="12"/>
  </w:num>
  <w:num w:numId="40">
    <w:abstractNumId w:val="10"/>
  </w:num>
  <w:num w:numId="41">
    <w:abstractNumId w:val="21"/>
    <w:lvlOverride w:ilvl="0">
      <w:lvl w:ilvl="0">
        <w:start w:val="1"/>
        <w:numFmt w:val="decimal"/>
        <w:pStyle w:val="ChapterHeading"/>
        <w:lvlText w:val="Chapter %1"/>
        <w:lvlJc w:val="left"/>
        <w:pPr>
          <w:tabs>
            <w:tab w:val="num" w:pos="1134"/>
          </w:tabs>
          <w:ind w:left="0" w:firstLine="0"/>
        </w:pPr>
        <w:rPr>
          <w:rFonts w:hint="default"/>
        </w:rPr>
      </w:lvl>
    </w:lvlOverride>
    <w:lvlOverride w:ilvl="1">
      <w:lvl w:ilvl="1">
        <w:start w:val="1"/>
        <w:numFmt w:val="decimal"/>
        <w:pStyle w:val="base-text-paragraph"/>
        <w:lvlText w:val="%1.%2"/>
        <w:lvlJc w:val="left"/>
        <w:pPr>
          <w:tabs>
            <w:tab w:val="num" w:pos="1985"/>
          </w:tabs>
          <w:ind w:left="1134" w:firstLine="0"/>
        </w:pPr>
        <w:rPr>
          <w:rFonts w:hint="default"/>
          <w:b w:val="0"/>
        </w:rPr>
      </w:lvl>
    </w:lvlOverride>
    <w:lvlOverride w:ilvl="2">
      <w:lvl w:ilvl="2">
        <w:start w:val="1"/>
        <w:numFmt w:val="decimal"/>
        <w:lvlRestart w:val="1"/>
        <w:pStyle w:val="Diagram"/>
        <w:suff w:val="nothing"/>
        <w:lvlText w:val="Diagram %1.%3"/>
        <w:lvlJc w:val="left"/>
        <w:pPr>
          <w:ind w:left="1134" w:firstLine="0"/>
        </w:pPr>
        <w:rPr>
          <w:rFonts w:hint="default"/>
        </w:rPr>
      </w:lvl>
    </w:lvlOverride>
    <w:lvlOverride w:ilvl="3">
      <w:lvl w:ilvl="3">
        <w:start w:val="1"/>
        <w:numFmt w:val="decimal"/>
        <w:lvlRestart w:val="1"/>
        <w:pStyle w:val="ExampleHeading"/>
        <w:suff w:val="nothing"/>
        <w:lvlText w:val="Example %1.%4"/>
        <w:lvlJc w:val="left"/>
        <w:pPr>
          <w:ind w:left="1134" w:firstLine="0"/>
        </w:pPr>
        <w:rPr>
          <w:rFonts w:hint="default"/>
        </w:rPr>
      </w:lvl>
    </w:lvlOverride>
    <w:lvlOverride w:ilvl="4">
      <w:lvl w:ilvl="4">
        <w:start w:val="1"/>
        <w:numFmt w:val="decimal"/>
        <w:lvlRestart w:val="1"/>
        <w:pStyle w:val="TableHeadingoutsidetable"/>
        <w:suff w:val="nothing"/>
        <w:lvlText w:val="Table %1.%5"/>
        <w:lvlJc w:val="left"/>
        <w:pPr>
          <w:ind w:left="1134" w:firstLine="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42">
    <w:abstractNumId w:val="13"/>
  </w:num>
  <w:num w:numId="43">
    <w:abstractNumId w:val="21"/>
  </w:num>
  <w:num w:numId="44">
    <w:abstractNumId w:val="10"/>
  </w:num>
  <w:num w:numId="45">
    <w:abstractNumId w:val="10"/>
  </w:num>
  <w:num w:numId="46">
    <w:abstractNumId w:val="10"/>
  </w:num>
  <w:num w:numId="47">
    <w:abstractNumId w:val="21"/>
    <w:lvlOverride w:ilvl="0">
      <w:lvl w:ilvl="0">
        <w:start w:val="1"/>
        <w:numFmt w:val="decimal"/>
        <w:pStyle w:val="ChapterHeading"/>
        <w:lvlText w:val="Chapter %1"/>
        <w:lvlJc w:val="left"/>
        <w:pPr>
          <w:tabs>
            <w:tab w:val="num" w:pos="1134"/>
          </w:tabs>
          <w:ind w:left="0" w:firstLine="0"/>
        </w:pPr>
        <w:rPr>
          <w:rFonts w:hint="default"/>
        </w:rPr>
      </w:lvl>
    </w:lvlOverride>
    <w:lvlOverride w:ilvl="1">
      <w:lvl w:ilvl="1">
        <w:start w:val="1"/>
        <w:numFmt w:val="decimal"/>
        <w:pStyle w:val="base-text-paragraph"/>
        <w:lvlText w:val="%1.%2"/>
        <w:lvlJc w:val="left"/>
        <w:pPr>
          <w:tabs>
            <w:tab w:val="num" w:pos="1985"/>
          </w:tabs>
          <w:ind w:left="1134" w:firstLine="0"/>
        </w:pPr>
        <w:rPr>
          <w:rFonts w:hint="default"/>
        </w:rPr>
      </w:lvl>
    </w:lvlOverride>
    <w:lvlOverride w:ilvl="2">
      <w:lvl w:ilvl="2">
        <w:start w:val="1"/>
        <w:numFmt w:val="decimal"/>
        <w:lvlRestart w:val="1"/>
        <w:pStyle w:val="Diagram"/>
        <w:suff w:val="nothing"/>
        <w:lvlText w:val="Diagram %1.%3"/>
        <w:lvlJc w:val="left"/>
        <w:pPr>
          <w:ind w:left="1134" w:firstLine="0"/>
        </w:pPr>
        <w:rPr>
          <w:rFonts w:hint="default"/>
        </w:rPr>
      </w:lvl>
    </w:lvlOverride>
    <w:lvlOverride w:ilvl="3">
      <w:lvl w:ilvl="3">
        <w:start w:val="1"/>
        <w:numFmt w:val="decimal"/>
        <w:lvlRestart w:val="1"/>
        <w:pStyle w:val="ExampleHeading"/>
        <w:suff w:val="nothing"/>
        <w:lvlText w:val="Example %1.%4"/>
        <w:lvlJc w:val="left"/>
        <w:pPr>
          <w:ind w:left="1134" w:firstLine="0"/>
        </w:pPr>
        <w:rPr>
          <w:rFonts w:hint="default"/>
        </w:rPr>
      </w:lvl>
    </w:lvlOverride>
    <w:lvlOverride w:ilvl="4">
      <w:lvl w:ilvl="4">
        <w:start w:val="1"/>
        <w:numFmt w:val="decimal"/>
        <w:lvlRestart w:val="1"/>
        <w:pStyle w:val="TableHeadingoutsidetable"/>
        <w:suff w:val="nothing"/>
        <w:lvlText w:val="Table %1.%5"/>
        <w:lvlJc w:val="left"/>
        <w:pPr>
          <w:ind w:left="1134" w:firstLine="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48">
    <w:abstractNumId w:val="21"/>
    <w:lvlOverride w:ilvl="0">
      <w:lvl w:ilvl="0">
        <w:start w:val="1"/>
        <w:numFmt w:val="decimal"/>
        <w:pStyle w:val="ChapterHeading"/>
        <w:lvlText w:val="Chapter %1"/>
        <w:lvlJc w:val="left"/>
        <w:pPr>
          <w:tabs>
            <w:tab w:val="num" w:pos="1134"/>
          </w:tabs>
          <w:ind w:left="0" w:firstLine="0"/>
        </w:pPr>
        <w:rPr>
          <w:rFonts w:hint="default"/>
        </w:rPr>
      </w:lvl>
    </w:lvlOverride>
    <w:lvlOverride w:ilvl="1">
      <w:lvl w:ilvl="1">
        <w:start w:val="1"/>
        <w:numFmt w:val="decimal"/>
        <w:pStyle w:val="base-text-paragraph"/>
        <w:lvlText w:val="%1.%2"/>
        <w:lvlJc w:val="left"/>
        <w:pPr>
          <w:tabs>
            <w:tab w:val="num" w:pos="1985"/>
          </w:tabs>
          <w:ind w:left="1134" w:firstLine="0"/>
        </w:pPr>
        <w:rPr>
          <w:rFonts w:hint="default"/>
        </w:rPr>
      </w:lvl>
    </w:lvlOverride>
    <w:lvlOverride w:ilvl="2">
      <w:lvl w:ilvl="2">
        <w:start w:val="1"/>
        <w:numFmt w:val="decimal"/>
        <w:lvlRestart w:val="1"/>
        <w:pStyle w:val="Diagram"/>
        <w:suff w:val="nothing"/>
        <w:lvlText w:val="Diagram %1.%3"/>
        <w:lvlJc w:val="left"/>
        <w:pPr>
          <w:ind w:left="1134" w:firstLine="0"/>
        </w:pPr>
        <w:rPr>
          <w:rFonts w:hint="default"/>
        </w:rPr>
      </w:lvl>
    </w:lvlOverride>
    <w:lvlOverride w:ilvl="3">
      <w:lvl w:ilvl="3">
        <w:start w:val="1"/>
        <w:numFmt w:val="decimal"/>
        <w:lvlRestart w:val="1"/>
        <w:pStyle w:val="ExampleHeading"/>
        <w:suff w:val="nothing"/>
        <w:lvlText w:val="Example %1.%4"/>
        <w:lvlJc w:val="left"/>
        <w:pPr>
          <w:ind w:left="1134" w:firstLine="0"/>
        </w:pPr>
        <w:rPr>
          <w:rFonts w:hint="default"/>
        </w:rPr>
      </w:lvl>
    </w:lvlOverride>
    <w:lvlOverride w:ilvl="4">
      <w:lvl w:ilvl="4">
        <w:start w:val="1"/>
        <w:numFmt w:val="decimal"/>
        <w:lvlRestart w:val="1"/>
        <w:pStyle w:val="TableHeadingoutsidetable"/>
        <w:suff w:val="nothing"/>
        <w:lvlText w:val="Table %1.%5"/>
        <w:lvlJc w:val="left"/>
        <w:pPr>
          <w:ind w:left="1134" w:firstLine="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49">
    <w:abstractNumId w:val="21"/>
    <w:lvlOverride w:ilvl="2">
      <w:lvl w:ilvl="2">
        <w:start w:val="1"/>
        <w:numFmt w:val="decimal"/>
        <w:lvlRestart w:val="1"/>
        <w:pStyle w:val="Diagram"/>
        <w:suff w:val="nothing"/>
        <w:lvlText w:val="Diagram %1.%3"/>
        <w:lvlJc w:val="left"/>
        <w:pPr>
          <w:ind w:left="1134" w:firstLine="0"/>
        </w:pPr>
        <w:rPr>
          <w:rFonts w:ascii="Times New Roman" w:hAnsi="Times New Roman" w:cs="Times New Roman"/>
          <w:b/>
          <w:bCs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3">
      <w:lvl w:ilvl="3">
        <w:start w:val="1"/>
        <w:numFmt w:val="decimal"/>
        <w:lvlRestart w:val="1"/>
        <w:pStyle w:val="ExampleHeading"/>
        <w:suff w:val="nothing"/>
        <w:lvlText w:val="Example %1.%4"/>
        <w:lvlJc w:val="left"/>
        <w:pPr>
          <w:ind w:left="1134" w:firstLine="0"/>
        </w:pPr>
        <w:rPr>
          <w:rFonts w:ascii="Times New Roman" w:hAnsi="Times New Roman" w:cs="Times New Roman"/>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50">
    <w:abstractNumId w:val="21"/>
    <w:lvlOverride w:ilvl="0">
      <w:lvl w:ilvl="0">
        <w:start w:val="1"/>
        <w:numFmt w:val="decimal"/>
        <w:pStyle w:val="ChapterHeading"/>
        <w:lvlText w:val="Chapter %1"/>
        <w:lvlJc w:val="left"/>
        <w:pPr>
          <w:tabs>
            <w:tab w:val="num" w:pos="1134"/>
          </w:tabs>
          <w:ind w:left="0" w:firstLine="0"/>
        </w:pPr>
        <w:rPr>
          <w:rFonts w:hint="default"/>
        </w:rPr>
      </w:lvl>
    </w:lvlOverride>
    <w:lvlOverride w:ilvl="1">
      <w:lvl w:ilvl="1">
        <w:start w:val="1"/>
        <w:numFmt w:val="decimal"/>
        <w:pStyle w:val="base-text-paragraph"/>
        <w:lvlText w:val="%1.%2"/>
        <w:lvlJc w:val="left"/>
        <w:pPr>
          <w:tabs>
            <w:tab w:val="num" w:pos="1985"/>
          </w:tabs>
          <w:ind w:left="1134" w:firstLine="0"/>
        </w:pPr>
        <w:rPr>
          <w:rFonts w:hint="default"/>
        </w:rPr>
      </w:lvl>
    </w:lvlOverride>
    <w:lvlOverride w:ilvl="2">
      <w:lvl w:ilvl="2">
        <w:start w:val="1"/>
        <w:numFmt w:val="decimal"/>
        <w:lvlRestart w:val="1"/>
        <w:pStyle w:val="Diagram"/>
        <w:suff w:val="nothing"/>
        <w:lvlText w:val="Diagram %1.%3"/>
        <w:lvlJc w:val="left"/>
        <w:pPr>
          <w:ind w:left="1134" w:firstLine="0"/>
        </w:pPr>
        <w:rPr>
          <w:rFonts w:hint="default"/>
        </w:rPr>
      </w:lvl>
    </w:lvlOverride>
    <w:lvlOverride w:ilvl="3">
      <w:lvl w:ilvl="3">
        <w:start w:val="1"/>
        <w:numFmt w:val="decimal"/>
        <w:lvlRestart w:val="1"/>
        <w:pStyle w:val="ExampleHeading"/>
        <w:suff w:val="nothing"/>
        <w:lvlText w:val="Example %1.%4"/>
        <w:lvlJc w:val="left"/>
        <w:pPr>
          <w:ind w:left="1134" w:firstLine="0"/>
        </w:pPr>
        <w:rPr>
          <w:rFonts w:hint="default"/>
        </w:rPr>
      </w:lvl>
    </w:lvlOverride>
    <w:lvlOverride w:ilvl="4">
      <w:lvl w:ilvl="4">
        <w:start w:val="1"/>
        <w:numFmt w:val="decimal"/>
        <w:lvlRestart w:val="1"/>
        <w:pStyle w:val="TableHeadingoutsidetable"/>
        <w:suff w:val="nothing"/>
        <w:lvlText w:val="Table %1.%5"/>
        <w:lvlJc w:val="left"/>
        <w:pPr>
          <w:ind w:left="1134" w:firstLine="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51">
    <w:abstractNumId w:val="21"/>
    <w:lvlOverride w:ilvl="0">
      <w:lvl w:ilvl="0">
        <w:start w:val="1"/>
        <w:numFmt w:val="decimal"/>
        <w:pStyle w:val="ChapterHeading"/>
        <w:lvlText w:val="Chapter %1"/>
        <w:lvlJc w:val="left"/>
        <w:pPr>
          <w:tabs>
            <w:tab w:val="num" w:pos="1134"/>
          </w:tabs>
          <w:ind w:left="0" w:firstLine="0"/>
        </w:pPr>
        <w:rPr>
          <w:rFonts w:hint="default"/>
        </w:rPr>
      </w:lvl>
    </w:lvlOverride>
    <w:lvlOverride w:ilvl="1">
      <w:lvl w:ilvl="1">
        <w:start w:val="1"/>
        <w:numFmt w:val="decimal"/>
        <w:pStyle w:val="base-text-paragraph"/>
        <w:lvlText w:val="%1.%2"/>
        <w:lvlJc w:val="left"/>
        <w:pPr>
          <w:tabs>
            <w:tab w:val="num" w:pos="1985"/>
          </w:tabs>
          <w:ind w:left="1134" w:firstLine="0"/>
        </w:pPr>
        <w:rPr>
          <w:rFonts w:hint="default"/>
        </w:rPr>
      </w:lvl>
    </w:lvlOverride>
    <w:lvlOverride w:ilvl="2">
      <w:lvl w:ilvl="2">
        <w:start w:val="1"/>
        <w:numFmt w:val="decimal"/>
        <w:lvlRestart w:val="1"/>
        <w:pStyle w:val="Diagram"/>
        <w:suff w:val="nothing"/>
        <w:lvlText w:val="Diagram %1.%3"/>
        <w:lvlJc w:val="left"/>
        <w:pPr>
          <w:ind w:left="1134" w:firstLine="0"/>
        </w:pPr>
        <w:rPr>
          <w:rFonts w:hint="default"/>
        </w:rPr>
      </w:lvl>
    </w:lvlOverride>
    <w:lvlOverride w:ilvl="3">
      <w:lvl w:ilvl="3">
        <w:start w:val="1"/>
        <w:numFmt w:val="decimal"/>
        <w:lvlRestart w:val="1"/>
        <w:pStyle w:val="ExampleHeading"/>
        <w:suff w:val="nothing"/>
        <w:lvlText w:val="Example %1.%4"/>
        <w:lvlJc w:val="left"/>
        <w:pPr>
          <w:ind w:left="1134" w:firstLine="0"/>
        </w:pPr>
        <w:rPr>
          <w:rFonts w:hint="default"/>
        </w:rPr>
      </w:lvl>
    </w:lvlOverride>
    <w:lvlOverride w:ilvl="4">
      <w:lvl w:ilvl="4">
        <w:start w:val="1"/>
        <w:numFmt w:val="decimal"/>
        <w:lvlRestart w:val="1"/>
        <w:pStyle w:val="TableHeadingoutsidetable"/>
        <w:suff w:val="nothing"/>
        <w:lvlText w:val="Table %1.%5"/>
        <w:lvlJc w:val="left"/>
        <w:pPr>
          <w:ind w:left="1134" w:firstLine="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52">
    <w:abstractNumId w:val="21"/>
    <w:lvlOverride w:ilvl="0">
      <w:lvl w:ilvl="0">
        <w:start w:val="1"/>
        <w:numFmt w:val="decimal"/>
        <w:pStyle w:val="ChapterHeading"/>
        <w:lvlText w:val="Chapter %1"/>
        <w:lvlJc w:val="left"/>
        <w:pPr>
          <w:tabs>
            <w:tab w:val="num" w:pos="1134"/>
          </w:tabs>
          <w:ind w:left="0" w:firstLine="0"/>
        </w:pPr>
        <w:rPr>
          <w:rFonts w:hint="default"/>
        </w:rPr>
      </w:lvl>
    </w:lvlOverride>
    <w:lvlOverride w:ilvl="1">
      <w:lvl w:ilvl="1">
        <w:start w:val="1"/>
        <w:numFmt w:val="decimal"/>
        <w:pStyle w:val="base-text-paragraph"/>
        <w:lvlText w:val="%1.%2"/>
        <w:lvlJc w:val="left"/>
        <w:pPr>
          <w:tabs>
            <w:tab w:val="num" w:pos="1985"/>
          </w:tabs>
          <w:ind w:left="1134" w:firstLine="0"/>
        </w:pPr>
        <w:rPr>
          <w:rFonts w:hint="default"/>
        </w:rPr>
      </w:lvl>
    </w:lvlOverride>
    <w:lvlOverride w:ilvl="2">
      <w:lvl w:ilvl="2">
        <w:start w:val="1"/>
        <w:numFmt w:val="decimal"/>
        <w:lvlRestart w:val="1"/>
        <w:pStyle w:val="Diagram"/>
        <w:suff w:val="nothing"/>
        <w:lvlText w:val="Diagram %1.%3"/>
        <w:lvlJc w:val="left"/>
        <w:pPr>
          <w:ind w:left="1134" w:firstLine="0"/>
        </w:pPr>
        <w:rPr>
          <w:rFonts w:hint="default"/>
        </w:rPr>
      </w:lvl>
    </w:lvlOverride>
    <w:lvlOverride w:ilvl="3">
      <w:lvl w:ilvl="3">
        <w:start w:val="1"/>
        <w:numFmt w:val="decimal"/>
        <w:lvlRestart w:val="1"/>
        <w:pStyle w:val="ExampleHeading"/>
        <w:suff w:val="nothing"/>
        <w:lvlText w:val="Example %1.%4"/>
        <w:lvlJc w:val="left"/>
        <w:pPr>
          <w:ind w:left="1134" w:firstLine="0"/>
        </w:pPr>
        <w:rPr>
          <w:rFonts w:hint="default"/>
        </w:rPr>
      </w:lvl>
    </w:lvlOverride>
    <w:lvlOverride w:ilvl="4">
      <w:lvl w:ilvl="4">
        <w:start w:val="1"/>
        <w:numFmt w:val="decimal"/>
        <w:lvlRestart w:val="1"/>
        <w:pStyle w:val="TableHeadingoutsidetable"/>
        <w:suff w:val="nothing"/>
        <w:lvlText w:val="Table %1.%5"/>
        <w:lvlJc w:val="left"/>
        <w:pPr>
          <w:ind w:left="1134" w:firstLine="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53">
    <w:abstractNumId w:val="21"/>
    <w:lvlOverride w:ilvl="0">
      <w:lvl w:ilvl="0">
        <w:start w:val="1"/>
        <w:numFmt w:val="decimal"/>
        <w:pStyle w:val="ChapterHeading"/>
        <w:lvlText w:val="Chapter %1"/>
        <w:lvlJc w:val="left"/>
        <w:pPr>
          <w:tabs>
            <w:tab w:val="num" w:pos="1134"/>
          </w:tabs>
          <w:ind w:left="0" w:firstLine="0"/>
        </w:pPr>
        <w:rPr>
          <w:rFonts w:hint="default"/>
        </w:rPr>
      </w:lvl>
    </w:lvlOverride>
    <w:lvlOverride w:ilvl="1">
      <w:lvl w:ilvl="1">
        <w:start w:val="1"/>
        <w:numFmt w:val="decimal"/>
        <w:pStyle w:val="base-text-paragraph"/>
        <w:lvlText w:val="%1.%2"/>
        <w:lvlJc w:val="left"/>
        <w:pPr>
          <w:tabs>
            <w:tab w:val="num" w:pos="1985"/>
          </w:tabs>
          <w:ind w:left="1134" w:firstLine="0"/>
        </w:pPr>
        <w:rPr>
          <w:rFonts w:hint="default"/>
        </w:rPr>
      </w:lvl>
    </w:lvlOverride>
    <w:lvlOverride w:ilvl="2">
      <w:lvl w:ilvl="2">
        <w:start w:val="1"/>
        <w:numFmt w:val="decimal"/>
        <w:lvlRestart w:val="1"/>
        <w:pStyle w:val="Diagram"/>
        <w:suff w:val="nothing"/>
        <w:lvlText w:val="Diagram %1.%3"/>
        <w:lvlJc w:val="left"/>
        <w:pPr>
          <w:ind w:left="1134" w:firstLine="0"/>
        </w:pPr>
        <w:rPr>
          <w:rFonts w:hint="default"/>
        </w:rPr>
      </w:lvl>
    </w:lvlOverride>
    <w:lvlOverride w:ilvl="3">
      <w:lvl w:ilvl="3">
        <w:start w:val="1"/>
        <w:numFmt w:val="decimal"/>
        <w:lvlRestart w:val="1"/>
        <w:pStyle w:val="ExampleHeading"/>
        <w:suff w:val="nothing"/>
        <w:lvlText w:val="Example %1.%4"/>
        <w:lvlJc w:val="left"/>
        <w:pPr>
          <w:ind w:left="1134" w:firstLine="0"/>
        </w:pPr>
        <w:rPr>
          <w:rFonts w:hint="default"/>
        </w:rPr>
      </w:lvl>
    </w:lvlOverride>
    <w:lvlOverride w:ilvl="4">
      <w:lvl w:ilvl="4">
        <w:start w:val="1"/>
        <w:numFmt w:val="decimal"/>
        <w:lvlRestart w:val="1"/>
        <w:pStyle w:val="TableHeadingoutsidetable"/>
        <w:suff w:val="nothing"/>
        <w:lvlText w:val="Table %1.%5"/>
        <w:lvlJc w:val="left"/>
        <w:pPr>
          <w:ind w:left="1134" w:firstLine="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54">
    <w:abstractNumId w:val="21"/>
    <w:lvlOverride w:ilvl="0">
      <w:lvl w:ilvl="0">
        <w:start w:val="1"/>
        <w:numFmt w:val="decimal"/>
        <w:pStyle w:val="ChapterHeading"/>
        <w:lvlText w:val="Chapter %1"/>
        <w:lvlJc w:val="left"/>
        <w:pPr>
          <w:tabs>
            <w:tab w:val="num" w:pos="1134"/>
          </w:tabs>
          <w:ind w:left="0" w:firstLine="0"/>
        </w:pPr>
        <w:rPr>
          <w:rFonts w:hint="default"/>
        </w:rPr>
      </w:lvl>
    </w:lvlOverride>
    <w:lvlOverride w:ilvl="1">
      <w:lvl w:ilvl="1">
        <w:start w:val="1"/>
        <w:numFmt w:val="decimal"/>
        <w:pStyle w:val="base-text-paragraph"/>
        <w:lvlText w:val="%1.%2"/>
        <w:lvlJc w:val="left"/>
        <w:pPr>
          <w:tabs>
            <w:tab w:val="num" w:pos="1985"/>
          </w:tabs>
          <w:ind w:left="1134" w:firstLine="0"/>
        </w:pPr>
        <w:rPr>
          <w:rFonts w:hint="default"/>
        </w:rPr>
      </w:lvl>
    </w:lvlOverride>
    <w:lvlOverride w:ilvl="2">
      <w:lvl w:ilvl="2">
        <w:start w:val="1"/>
        <w:numFmt w:val="decimal"/>
        <w:lvlRestart w:val="1"/>
        <w:pStyle w:val="Diagram"/>
        <w:suff w:val="nothing"/>
        <w:lvlText w:val="Diagram %1.%3"/>
        <w:lvlJc w:val="left"/>
        <w:pPr>
          <w:ind w:left="1134" w:firstLine="0"/>
        </w:pPr>
        <w:rPr>
          <w:rFonts w:hint="default"/>
        </w:rPr>
      </w:lvl>
    </w:lvlOverride>
    <w:lvlOverride w:ilvl="3">
      <w:lvl w:ilvl="3">
        <w:start w:val="1"/>
        <w:numFmt w:val="decimal"/>
        <w:lvlRestart w:val="1"/>
        <w:pStyle w:val="ExampleHeading"/>
        <w:suff w:val="nothing"/>
        <w:lvlText w:val="Example %1.%4"/>
        <w:lvlJc w:val="left"/>
        <w:pPr>
          <w:ind w:left="1134" w:firstLine="0"/>
        </w:pPr>
        <w:rPr>
          <w:rFonts w:hint="default"/>
        </w:rPr>
      </w:lvl>
    </w:lvlOverride>
    <w:lvlOverride w:ilvl="4">
      <w:lvl w:ilvl="4">
        <w:start w:val="1"/>
        <w:numFmt w:val="decimal"/>
        <w:lvlRestart w:val="1"/>
        <w:pStyle w:val="TableHeadingoutsidetable"/>
        <w:suff w:val="nothing"/>
        <w:lvlText w:val="Table %1.%5"/>
        <w:lvlJc w:val="left"/>
        <w:pPr>
          <w:ind w:left="1134" w:firstLine="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20"/>
  <w:attachedTemplate r:id="rId1"/>
  <w:revisionView w:markup="0"/>
  <w:defaultTabStop w:val="720"/>
  <w:evenAndOddHeaders/>
  <w:characterSpacingControl w:val="doNotCompress"/>
  <w:hdrShapeDefaults>
    <o:shapedefaults v:ext="edit" spidmax="2051"/>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171A"/>
    <w:rsid w:val="000032B0"/>
    <w:rsid w:val="00006789"/>
    <w:rsid w:val="0002054A"/>
    <w:rsid w:val="00030A40"/>
    <w:rsid w:val="00047E50"/>
    <w:rsid w:val="000656CA"/>
    <w:rsid w:val="000765FC"/>
    <w:rsid w:val="00077A13"/>
    <w:rsid w:val="000954AD"/>
    <w:rsid w:val="000C1F97"/>
    <w:rsid w:val="000C2A9D"/>
    <w:rsid w:val="000C44D7"/>
    <w:rsid w:val="000C4876"/>
    <w:rsid w:val="000C71F6"/>
    <w:rsid w:val="000D04A2"/>
    <w:rsid w:val="000D3B64"/>
    <w:rsid w:val="000D5089"/>
    <w:rsid w:val="000E4B50"/>
    <w:rsid w:val="00107A5E"/>
    <w:rsid w:val="001117B9"/>
    <w:rsid w:val="00115895"/>
    <w:rsid w:val="001177D5"/>
    <w:rsid w:val="00123B9E"/>
    <w:rsid w:val="00127BE8"/>
    <w:rsid w:val="001505E1"/>
    <w:rsid w:val="001610E9"/>
    <w:rsid w:val="00162B2B"/>
    <w:rsid w:val="001642A7"/>
    <w:rsid w:val="0016694E"/>
    <w:rsid w:val="00167E97"/>
    <w:rsid w:val="00174CB8"/>
    <w:rsid w:val="001753F4"/>
    <w:rsid w:val="00183FF3"/>
    <w:rsid w:val="00191B9E"/>
    <w:rsid w:val="001929F4"/>
    <w:rsid w:val="00193308"/>
    <w:rsid w:val="001A033B"/>
    <w:rsid w:val="001A747E"/>
    <w:rsid w:val="001B47AD"/>
    <w:rsid w:val="001C1751"/>
    <w:rsid w:val="001C38DE"/>
    <w:rsid w:val="001C42D3"/>
    <w:rsid w:val="001D20B5"/>
    <w:rsid w:val="001F015A"/>
    <w:rsid w:val="001F171A"/>
    <w:rsid w:val="00205B45"/>
    <w:rsid w:val="002064F3"/>
    <w:rsid w:val="0022688F"/>
    <w:rsid w:val="002311A8"/>
    <w:rsid w:val="0027289D"/>
    <w:rsid w:val="002742B0"/>
    <w:rsid w:val="0028232D"/>
    <w:rsid w:val="002825FF"/>
    <w:rsid w:val="00282B37"/>
    <w:rsid w:val="002942F3"/>
    <w:rsid w:val="00295ABD"/>
    <w:rsid w:val="002B7A42"/>
    <w:rsid w:val="002C6729"/>
    <w:rsid w:val="002D0B7C"/>
    <w:rsid w:val="002D5523"/>
    <w:rsid w:val="002F0D2B"/>
    <w:rsid w:val="002F1B02"/>
    <w:rsid w:val="002F5853"/>
    <w:rsid w:val="00307165"/>
    <w:rsid w:val="00312390"/>
    <w:rsid w:val="003175C6"/>
    <w:rsid w:val="003229AA"/>
    <w:rsid w:val="00331F4D"/>
    <w:rsid w:val="00336064"/>
    <w:rsid w:val="003365F4"/>
    <w:rsid w:val="0035007E"/>
    <w:rsid w:val="003713AF"/>
    <w:rsid w:val="003745B1"/>
    <w:rsid w:val="00375F1D"/>
    <w:rsid w:val="003828E9"/>
    <w:rsid w:val="00390F75"/>
    <w:rsid w:val="00394F8F"/>
    <w:rsid w:val="003A1741"/>
    <w:rsid w:val="003A657F"/>
    <w:rsid w:val="003B6B47"/>
    <w:rsid w:val="003B77F0"/>
    <w:rsid w:val="003C54F1"/>
    <w:rsid w:val="003C5918"/>
    <w:rsid w:val="003D2268"/>
    <w:rsid w:val="003D3E06"/>
    <w:rsid w:val="003D4F69"/>
    <w:rsid w:val="003D5015"/>
    <w:rsid w:val="003E5AB0"/>
    <w:rsid w:val="003E7AB0"/>
    <w:rsid w:val="003F6718"/>
    <w:rsid w:val="003F7021"/>
    <w:rsid w:val="00405C1F"/>
    <w:rsid w:val="00411EF6"/>
    <w:rsid w:val="004130E6"/>
    <w:rsid w:val="00422FA2"/>
    <w:rsid w:val="004268FE"/>
    <w:rsid w:val="004360EF"/>
    <w:rsid w:val="00445C8A"/>
    <w:rsid w:val="00472055"/>
    <w:rsid w:val="00483788"/>
    <w:rsid w:val="00483FDE"/>
    <w:rsid w:val="0049426A"/>
    <w:rsid w:val="004B07C6"/>
    <w:rsid w:val="004B09AC"/>
    <w:rsid w:val="004B0AAF"/>
    <w:rsid w:val="004D20BE"/>
    <w:rsid w:val="004F1CAF"/>
    <w:rsid w:val="004F3C00"/>
    <w:rsid w:val="00530281"/>
    <w:rsid w:val="00535F17"/>
    <w:rsid w:val="0053619B"/>
    <w:rsid w:val="0055086F"/>
    <w:rsid w:val="00551665"/>
    <w:rsid w:val="00554D1A"/>
    <w:rsid w:val="00555087"/>
    <w:rsid w:val="00557145"/>
    <w:rsid w:val="00567602"/>
    <w:rsid w:val="00574BB9"/>
    <w:rsid w:val="00574CA0"/>
    <w:rsid w:val="0058162D"/>
    <w:rsid w:val="00586387"/>
    <w:rsid w:val="00592120"/>
    <w:rsid w:val="005A496E"/>
    <w:rsid w:val="005B16AE"/>
    <w:rsid w:val="005B2F59"/>
    <w:rsid w:val="005D4092"/>
    <w:rsid w:val="005E100E"/>
    <w:rsid w:val="005E2C68"/>
    <w:rsid w:val="005E3647"/>
    <w:rsid w:val="005E368E"/>
    <w:rsid w:val="005E37A1"/>
    <w:rsid w:val="005E5B11"/>
    <w:rsid w:val="0061574F"/>
    <w:rsid w:val="006168B0"/>
    <w:rsid w:val="00617EA8"/>
    <w:rsid w:val="00620083"/>
    <w:rsid w:val="00620B10"/>
    <w:rsid w:val="00626BA5"/>
    <w:rsid w:val="00627173"/>
    <w:rsid w:val="0063127E"/>
    <w:rsid w:val="006378DB"/>
    <w:rsid w:val="00643FA8"/>
    <w:rsid w:val="00644263"/>
    <w:rsid w:val="00647F10"/>
    <w:rsid w:val="006534C3"/>
    <w:rsid w:val="00663733"/>
    <w:rsid w:val="006666FF"/>
    <w:rsid w:val="00670A85"/>
    <w:rsid w:val="00694FC8"/>
    <w:rsid w:val="00697A36"/>
    <w:rsid w:val="006A05D6"/>
    <w:rsid w:val="006A72CB"/>
    <w:rsid w:val="006A753C"/>
    <w:rsid w:val="006B26FF"/>
    <w:rsid w:val="006D078B"/>
    <w:rsid w:val="006D0C15"/>
    <w:rsid w:val="006D63AC"/>
    <w:rsid w:val="006F233D"/>
    <w:rsid w:val="006F5EF4"/>
    <w:rsid w:val="00706CE0"/>
    <w:rsid w:val="007070BD"/>
    <w:rsid w:val="00722229"/>
    <w:rsid w:val="00726705"/>
    <w:rsid w:val="00734F84"/>
    <w:rsid w:val="007429A6"/>
    <w:rsid w:val="00745AF8"/>
    <w:rsid w:val="00747A03"/>
    <w:rsid w:val="00770A60"/>
    <w:rsid w:val="00771013"/>
    <w:rsid w:val="00773B68"/>
    <w:rsid w:val="007746B7"/>
    <w:rsid w:val="007925AD"/>
    <w:rsid w:val="00793A60"/>
    <w:rsid w:val="00795A45"/>
    <w:rsid w:val="00797488"/>
    <w:rsid w:val="007B3712"/>
    <w:rsid w:val="007B4EDA"/>
    <w:rsid w:val="007C22FF"/>
    <w:rsid w:val="007C2588"/>
    <w:rsid w:val="007C2B20"/>
    <w:rsid w:val="007D347C"/>
    <w:rsid w:val="007D6B78"/>
    <w:rsid w:val="007F3161"/>
    <w:rsid w:val="007F42AF"/>
    <w:rsid w:val="007F603F"/>
    <w:rsid w:val="008007A0"/>
    <w:rsid w:val="00803DE4"/>
    <w:rsid w:val="008062C8"/>
    <w:rsid w:val="00813A51"/>
    <w:rsid w:val="00817D6B"/>
    <w:rsid w:val="00821429"/>
    <w:rsid w:val="00840701"/>
    <w:rsid w:val="008408D5"/>
    <w:rsid w:val="00841763"/>
    <w:rsid w:val="00842748"/>
    <w:rsid w:val="00842A1C"/>
    <w:rsid w:val="0085661A"/>
    <w:rsid w:val="008615EB"/>
    <w:rsid w:val="00863591"/>
    <w:rsid w:val="008639DB"/>
    <w:rsid w:val="008641F1"/>
    <w:rsid w:val="008672E8"/>
    <w:rsid w:val="008721DF"/>
    <w:rsid w:val="008769D3"/>
    <w:rsid w:val="0088014A"/>
    <w:rsid w:val="00894280"/>
    <w:rsid w:val="008A7F9F"/>
    <w:rsid w:val="008B0982"/>
    <w:rsid w:val="008C1219"/>
    <w:rsid w:val="008D0A8B"/>
    <w:rsid w:val="008D1BF8"/>
    <w:rsid w:val="008D4F94"/>
    <w:rsid w:val="008D78FA"/>
    <w:rsid w:val="008E2757"/>
    <w:rsid w:val="008E62CC"/>
    <w:rsid w:val="008E6E38"/>
    <w:rsid w:val="008F5B50"/>
    <w:rsid w:val="008F63D5"/>
    <w:rsid w:val="008F6CAD"/>
    <w:rsid w:val="00900FA6"/>
    <w:rsid w:val="00902E07"/>
    <w:rsid w:val="00912F33"/>
    <w:rsid w:val="00924BA5"/>
    <w:rsid w:val="009260AB"/>
    <w:rsid w:val="00930C8A"/>
    <w:rsid w:val="00932A59"/>
    <w:rsid w:val="0093363A"/>
    <w:rsid w:val="00934278"/>
    <w:rsid w:val="00934C7A"/>
    <w:rsid w:val="00935516"/>
    <w:rsid w:val="00946B26"/>
    <w:rsid w:val="00954D9C"/>
    <w:rsid w:val="00964C40"/>
    <w:rsid w:val="009770C9"/>
    <w:rsid w:val="0098134F"/>
    <w:rsid w:val="00992CEE"/>
    <w:rsid w:val="00994A99"/>
    <w:rsid w:val="009B5E73"/>
    <w:rsid w:val="009B77B5"/>
    <w:rsid w:val="009C2FC2"/>
    <w:rsid w:val="009C3BE1"/>
    <w:rsid w:val="009C5020"/>
    <w:rsid w:val="009D4FA8"/>
    <w:rsid w:val="009D7ECD"/>
    <w:rsid w:val="009E1E36"/>
    <w:rsid w:val="009E6819"/>
    <w:rsid w:val="009F3AE1"/>
    <w:rsid w:val="009F3C75"/>
    <w:rsid w:val="00A0476B"/>
    <w:rsid w:val="00A0653F"/>
    <w:rsid w:val="00A06E3B"/>
    <w:rsid w:val="00A07323"/>
    <w:rsid w:val="00A1348D"/>
    <w:rsid w:val="00A16A99"/>
    <w:rsid w:val="00A2308B"/>
    <w:rsid w:val="00A25E72"/>
    <w:rsid w:val="00A27F63"/>
    <w:rsid w:val="00A3553F"/>
    <w:rsid w:val="00A37D1C"/>
    <w:rsid w:val="00A418EE"/>
    <w:rsid w:val="00A41EDC"/>
    <w:rsid w:val="00A451B1"/>
    <w:rsid w:val="00A52694"/>
    <w:rsid w:val="00A733D1"/>
    <w:rsid w:val="00A75FAC"/>
    <w:rsid w:val="00A80B70"/>
    <w:rsid w:val="00A80D24"/>
    <w:rsid w:val="00A858C2"/>
    <w:rsid w:val="00A9571E"/>
    <w:rsid w:val="00AA6878"/>
    <w:rsid w:val="00AA6F43"/>
    <w:rsid w:val="00AB3D03"/>
    <w:rsid w:val="00AB6B0E"/>
    <w:rsid w:val="00AD3553"/>
    <w:rsid w:val="00AD5B62"/>
    <w:rsid w:val="00AD5F50"/>
    <w:rsid w:val="00AE11A1"/>
    <w:rsid w:val="00AE355F"/>
    <w:rsid w:val="00AE71C5"/>
    <w:rsid w:val="00AE7CCB"/>
    <w:rsid w:val="00AF1427"/>
    <w:rsid w:val="00AF6C55"/>
    <w:rsid w:val="00B040B3"/>
    <w:rsid w:val="00B17774"/>
    <w:rsid w:val="00B211AC"/>
    <w:rsid w:val="00B377E6"/>
    <w:rsid w:val="00B45643"/>
    <w:rsid w:val="00B45E8B"/>
    <w:rsid w:val="00B47401"/>
    <w:rsid w:val="00B502A1"/>
    <w:rsid w:val="00B506F8"/>
    <w:rsid w:val="00B52568"/>
    <w:rsid w:val="00B55E90"/>
    <w:rsid w:val="00B565C8"/>
    <w:rsid w:val="00B77FE7"/>
    <w:rsid w:val="00B85309"/>
    <w:rsid w:val="00B92636"/>
    <w:rsid w:val="00B95018"/>
    <w:rsid w:val="00BB470F"/>
    <w:rsid w:val="00BB4E0D"/>
    <w:rsid w:val="00BB72FC"/>
    <w:rsid w:val="00BB7CD3"/>
    <w:rsid w:val="00BC1307"/>
    <w:rsid w:val="00BD0EE2"/>
    <w:rsid w:val="00BD1BD0"/>
    <w:rsid w:val="00BE0F09"/>
    <w:rsid w:val="00BE27C2"/>
    <w:rsid w:val="00BF116F"/>
    <w:rsid w:val="00C05FAE"/>
    <w:rsid w:val="00C14F09"/>
    <w:rsid w:val="00C24566"/>
    <w:rsid w:val="00C44A88"/>
    <w:rsid w:val="00C5436A"/>
    <w:rsid w:val="00C6193E"/>
    <w:rsid w:val="00C743D3"/>
    <w:rsid w:val="00C83EC4"/>
    <w:rsid w:val="00C856C0"/>
    <w:rsid w:val="00C86DCE"/>
    <w:rsid w:val="00C928E7"/>
    <w:rsid w:val="00C940A7"/>
    <w:rsid w:val="00CA0854"/>
    <w:rsid w:val="00CA1FB4"/>
    <w:rsid w:val="00CB1DBB"/>
    <w:rsid w:val="00CB43DC"/>
    <w:rsid w:val="00CB527E"/>
    <w:rsid w:val="00CD1112"/>
    <w:rsid w:val="00CE20AD"/>
    <w:rsid w:val="00CF33D7"/>
    <w:rsid w:val="00D069D5"/>
    <w:rsid w:val="00D30080"/>
    <w:rsid w:val="00D37D53"/>
    <w:rsid w:val="00D40C49"/>
    <w:rsid w:val="00D4648B"/>
    <w:rsid w:val="00D46961"/>
    <w:rsid w:val="00D536B6"/>
    <w:rsid w:val="00D6008D"/>
    <w:rsid w:val="00D65B3B"/>
    <w:rsid w:val="00D734A1"/>
    <w:rsid w:val="00D83206"/>
    <w:rsid w:val="00D84645"/>
    <w:rsid w:val="00D87A66"/>
    <w:rsid w:val="00D918B2"/>
    <w:rsid w:val="00DB69CF"/>
    <w:rsid w:val="00DC5B94"/>
    <w:rsid w:val="00DE0F61"/>
    <w:rsid w:val="00DE55C2"/>
    <w:rsid w:val="00DF631D"/>
    <w:rsid w:val="00E01077"/>
    <w:rsid w:val="00E0222F"/>
    <w:rsid w:val="00E03354"/>
    <w:rsid w:val="00E41920"/>
    <w:rsid w:val="00E51359"/>
    <w:rsid w:val="00E5385B"/>
    <w:rsid w:val="00E56A6F"/>
    <w:rsid w:val="00E63B3D"/>
    <w:rsid w:val="00E679CA"/>
    <w:rsid w:val="00E74E50"/>
    <w:rsid w:val="00EA21FA"/>
    <w:rsid w:val="00EA5BB7"/>
    <w:rsid w:val="00EC0F5E"/>
    <w:rsid w:val="00ED58CC"/>
    <w:rsid w:val="00ED75D0"/>
    <w:rsid w:val="00EE5DE4"/>
    <w:rsid w:val="00F02817"/>
    <w:rsid w:val="00F060A6"/>
    <w:rsid w:val="00F062A4"/>
    <w:rsid w:val="00F15913"/>
    <w:rsid w:val="00F2497A"/>
    <w:rsid w:val="00F31297"/>
    <w:rsid w:val="00F46D06"/>
    <w:rsid w:val="00F470FF"/>
    <w:rsid w:val="00F51071"/>
    <w:rsid w:val="00F60F68"/>
    <w:rsid w:val="00F61AEF"/>
    <w:rsid w:val="00F73233"/>
    <w:rsid w:val="00F76CE7"/>
    <w:rsid w:val="00F83B70"/>
    <w:rsid w:val="00F85C14"/>
    <w:rsid w:val="00F9382B"/>
    <w:rsid w:val="00F95382"/>
    <w:rsid w:val="00F97B77"/>
    <w:rsid w:val="00FA3866"/>
    <w:rsid w:val="00FA3A64"/>
    <w:rsid w:val="00FB62CE"/>
    <w:rsid w:val="00FC2E07"/>
    <w:rsid w:val="00FC6CC6"/>
    <w:rsid w:val="00FD46E5"/>
    <w:rsid w:val="00FE2D32"/>
    <w:rsid w:val="00FE5705"/>
    <w:rsid w:val="00FE6108"/>
    <w:rsid w:val="00FE7802"/>
    <w:rsid w:val="00FF3B7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3BC592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99"/>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index heading" w:uiPriority="99"/>
    <w:lsdException w:name="caption" w:uiPriority="35" w:qFormat="1"/>
    <w:lsdException w:name="table of figures" w:uiPriority="99"/>
    <w:lsdException w:name="footnote reference" w:uiPriority="99"/>
    <w:lsdException w:name="annotation reference" w:uiPriority="99"/>
    <w:lsdException w:name="endnote reference" w:uiPriority="99"/>
    <w:lsdException w:name="endnote text" w:uiPriority="99"/>
    <w:lsdException w:name="table of authorities" w:uiPriority="99"/>
    <w:lsdException w:name="macro" w:uiPriority="99"/>
    <w:lsdException w:name="toa heading" w:uiPriority="99"/>
    <w:lsdException w:name="Title" w:semiHidden="0" w:unhideWhenUsed="0" w:qFormat="1"/>
    <w:lsdException w:name="Default Paragraph Font" w:uiPriority="1"/>
    <w:lsdException w:name="Subtitle" w:semiHidden="0" w:unhideWhenUsed="0" w:qFormat="1"/>
    <w:lsdException w:name="Hyperlink" w:uiPriority="99"/>
    <w:lsdException w:name="Strong" w:semiHidden="0" w:unhideWhenUsed="0" w:qFormat="1"/>
    <w:lsdException w:name="Emphasis" w:semiHidden="0" w:unhideWhenUsed="0" w:qFormat="1"/>
    <w:lsdException w:name="Document Map" w:uiPriority="99"/>
    <w:lsdException w:name="HTML Top of Form" w:uiPriority="99"/>
    <w:lsdException w:name="HTML Bottom of Form" w:uiPriority="99"/>
    <w:lsdException w:name="Normal (Web)" w:uiPriority="99"/>
    <w:lsdException w:name="Normal Table" w:uiPriority="99"/>
    <w:lsdException w:name="annotation subject" w:uiPriority="99"/>
    <w:lsdException w:name="No List" w:uiPriority="99"/>
    <w:lsdException w:name="Balloo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qFormat="1"/>
  </w:latentStyles>
  <w:style w:type="paragraph" w:default="1" w:styleId="Normal">
    <w:name w:val="Normal"/>
    <w:qFormat/>
    <w:rsid w:val="000C2A9D"/>
    <w:pPr>
      <w:spacing w:before="120" w:after="120" w:line="240" w:lineRule="auto"/>
    </w:pPr>
    <w:rPr>
      <w:rFonts w:ascii="Times New Roman" w:eastAsia="Times New Roman" w:hAnsi="Times New Roman" w:cs="Times New Roman"/>
      <w:szCs w:val="20"/>
      <w:lang w:eastAsia="en-AU"/>
    </w:rPr>
  </w:style>
  <w:style w:type="paragraph" w:styleId="Heading1">
    <w:name w:val="heading 1"/>
    <w:basedOn w:val="Normal"/>
    <w:next w:val="base-text-paragraph"/>
    <w:link w:val="Heading1Char"/>
    <w:qFormat/>
    <w:rsid w:val="00E56A6F"/>
    <w:pPr>
      <w:keepNext/>
      <w:spacing w:before="720"/>
      <w:outlineLvl w:val="0"/>
    </w:pPr>
    <w:rPr>
      <w:rFonts w:ascii="Helvetica" w:hAnsi="Helvetica"/>
      <w:b/>
      <w:caps/>
      <w:sz w:val="28"/>
    </w:rPr>
  </w:style>
  <w:style w:type="paragraph" w:styleId="Heading2">
    <w:name w:val="heading 2"/>
    <w:basedOn w:val="Heading1"/>
    <w:next w:val="base-text-paragraph"/>
    <w:link w:val="Heading2Char"/>
    <w:qFormat/>
    <w:rsid w:val="006A05D6"/>
    <w:pPr>
      <w:spacing w:before="480" w:after="200"/>
      <w:outlineLvl w:val="1"/>
    </w:pPr>
    <w:rPr>
      <w:caps w:val="0"/>
      <w:sz w:val="26"/>
    </w:rPr>
  </w:style>
  <w:style w:type="paragraph" w:styleId="Heading3">
    <w:name w:val="heading 3"/>
    <w:basedOn w:val="Heading2"/>
    <w:next w:val="base-text-paragraph"/>
    <w:link w:val="Heading3Char"/>
    <w:qFormat/>
    <w:rsid w:val="00E56A6F"/>
    <w:pPr>
      <w:spacing w:before="240"/>
      <w:outlineLvl w:val="2"/>
    </w:pPr>
    <w:rPr>
      <w:sz w:val="22"/>
    </w:rPr>
  </w:style>
  <w:style w:type="paragraph" w:styleId="Heading4">
    <w:name w:val="heading 4"/>
    <w:basedOn w:val="Heading3"/>
    <w:next w:val="base-text-paragraph"/>
    <w:link w:val="Heading4Char"/>
    <w:qFormat/>
    <w:rsid w:val="00E56A6F"/>
    <w:pPr>
      <w:spacing w:before="120"/>
      <w:ind w:left="1134"/>
      <w:outlineLvl w:val="3"/>
    </w:pPr>
    <w:rPr>
      <w:rFonts w:ascii="Times New Roman" w:hAnsi="Times New Roman"/>
      <w:i/>
    </w:rPr>
  </w:style>
  <w:style w:type="paragraph" w:styleId="Heading5">
    <w:name w:val="heading 5"/>
    <w:basedOn w:val="Heading4"/>
    <w:next w:val="base-text-paragraph"/>
    <w:link w:val="Heading5Char"/>
    <w:qFormat/>
    <w:rsid w:val="00E56A6F"/>
    <w:pPr>
      <w:spacing w:after="60"/>
      <w:outlineLvl w:val="4"/>
    </w:pPr>
    <w:rPr>
      <w:b w:val="0"/>
      <w:bCs/>
      <w:iCs/>
      <w:szCs w:val="26"/>
    </w:rPr>
  </w:style>
  <w:style w:type="paragraph" w:styleId="Heading6">
    <w:name w:val="heading 6"/>
    <w:basedOn w:val="Heading5"/>
    <w:next w:val="base-text-paragraph"/>
    <w:link w:val="Heading6Char"/>
    <w:qFormat/>
    <w:rsid w:val="00E56A6F"/>
    <w:pPr>
      <w:outlineLvl w:val="5"/>
    </w:pPr>
    <w:rPr>
      <w:bCs w:val="0"/>
      <w:i w:val="0"/>
      <w:szCs w:val="22"/>
      <w:u w:val="single"/>
    </w:rPr>
  </w:style>
  <w:style w:type="paragraph" w:styleId="Heading7">
    <w:name w:val="heading 7"/>
    <w:basedOn w:val="Normal"/>
    <w:next w:val="Normal"/>
    <w:link w:val="Heading7Char"/>
    <w:qFormat/>
    <w:rsid w:val="00E56A6F"/>
    <w:pPr>
      <w:spacing w:before="240" w:after="60"/>
      <w:outlineLvl w:val="6"/>
    </w:pPr>
    <w:rPr>
      <w:sz w:val="24"/>
      <w:szCs w:val="24"/>
    </w:rPr>
  </w:style>
  <w:style w:type="paragraph" w:styleId="Heading8">
    <w:name w:val="heading 8"/>
    <w:basedOn w:val="Normal"/>
    <w:next w:val="Normal"/>
    <w:link w:val="Heading8Char"/>
    <w:qFormat/>
    <w:rsid w:val="00E56A6F"/>
    <w:pPr>
      <w:spacing w:before="240" w:after="60"/>
      <w:outlineLvl w:val="7"/>
    </w:pPr>
    <w:rPr>
      <w:i/>
      <w:iCs/>
      <w:sz w:val="24"/>
      <w:szCs w:val="24"/>
    </w:rPr>
  </w:style>
  <w:style w:type="paragraph" w:styleId="Heading9">
    <w:name w:val="heading 9"/>
    <w:basedOn w:val="Normal"/>
    <w:next w:val="Normal"/>
    <w:link w:val="Heading9Char"/>
    <w:qFormat/>
    <w:rsid w:val="00E56A6F"/>
    <w:p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styleId="111111">
    <w:name w:val="Outline List 2"/>
    <w:basedOn w:val="NoList"/>
    <w:semiHidden/>
    <w:rsid w:val="00E56A6F"/>
    <w:pPr>
      <w:numPr>
        <w:numId w:val="1"/>
      </w:numPr>
    </w:pPr>
  </w:style>
  <w:style w:type="numbering" w:styleId="1ai">
    <w:name w:val="Outline List 1"/>
    <w:basedOn w:val="NoList"/>
    <w:semiHidden/>
    <w:rsid w:val="00E56A6F"/>
    <w:pPr>
      <w:numPr>
        <w:numId w:val="4"/>
      </w:numPr>
    </w:pPr>
  </w:style>
  <w:style w:type="character" w:customStyle="1" w:styleId="Heading1Char">
    <w:name w:val="Heading 1 Char"/>
    <w:basedOn w:val="DefaultParagraphFont"/>
    <w:link w:val="Heading1"/>
    <w:rsid w:val="00E56A6F"/>
    <w:rPr>
      <w:rFonts w:ascii="Helvetica" w:eastAsia="Times New Roman" w:hAnsi="Helvetica" w:cs="Times New Roman"/>
      <w:b/>
      <w:caps/>
      <w:sz w:val="28"/>
      <w:szCs w:val="20"/>
      <w:lang w:eastAsia="en-AU"/>
    </w:rPr>
  </w:style>
  <w:style w:type="character" w:customStyle="1" w:styleId="Heading2Char">
    <w:name w:val="Heading 2 Char"/>
    <w:basedOn w:val="DefaultParagraphFont"/>
    <w:link w:val="Heading2"/>
    <w:rsid w:val="006A05D6"/>
    <w:rPr>
      <w:rFonts w:ascii="Helvetica" w:eastAsia="Times New Roman" w:hAnsi="Helvetica" w:cs="Times New Roman"/>
      <w:b/>
      <w:sz w:val="26"/>
      <w:szCs w:val="20"/>
      <w:lang w:eastAsia="en-AU"/>
    </w:rPr>
  </w:style>
  <w:style w:type="character" w:customStyle="1" w:styleId="Heading3Char">
    <w:name w:val="Heading 3 Char"/>
    <w:basedOn w:val="DefaultParagraphFont"/>
    <w:link w:val="Heading3"/>
    <w:rsid w:val="00E56A6F"/>
    <w:rPr>
      <w:rFonts w:ascii="Helvetica" w:eastAsia="Times New Roman" w:hAnsi="Helvetica" w:cs="Times New Roman"/>
      <w:b/>
      <w:szCs w:val="20"/>
      <w:lang w:eastAsia="en-AU"/>
    </w:rPr>
  </w:style>
  <w:style w:type="character" w:customStyle="1" w:styleId="Heading4Char">
    <w:name w:val="Heading 4 Char"/>
    <w:basedOn w:val="DefaultParagraphFont"/>
    <w:link w:val="Heading4"/>
    <w:rsid w:val="00E56A6F"/>
    <w:rPr>
      <w:rFonts w:ascii="Times New Roman" w:eastAsia="Times New Roman" w:hAnsi="Times New Roman" w:cs="Times New Roman"/>
      <w:b/>
      <w:i/>
      <w:szCs w:val="20"/>
      <w:lang w:eastAsia="en-AU"/>
    </w:rPr>
  </w:style>
  <w:style w:type="character" w:customStyle="1" w:styleId="Heading5Char">
    <w:name w:val="Heading 5 Char"/>
    <w:basedOn w:val="DefaultParagraphFont"/>
    <w:link w:val="Heading5"/>
    <w:rsid w:val="00E56A6F"/>
    <w:rPr>
      <w:rFonts w:ascii="Times New Roman" w:eastAsia="Times New Roman" w:hAnsi="Times New Roman" w:cs="Times New Roman"/>
      <w:bCs/>
      <w:i/>
      <w:iCs/>
      <w:szCs w:val="26"/>
      <w:lang w:eastAsia="en-AU"/>
    </w:rPr>
  </w:style>
  <w:style w:type="character" w:customStyle="1" w:styleId="Heading6Char">
    <w:name w:val="Heading 6 Char"/>
    <w:basedOn w:val="DefaultParagraphFont"/>
    <w:link w:val="Heading6"/>
    <w:rsid w:val="00E56A6F"/>
    <w:rPr>
      <w:rFonts w:ascii="Times New Roman" w:eastAsia="Times New Roman" w:hAnsi="Times New Roman" w:cs="Times New Roman"/>
      <w:iCs/>
      <w:u w:val="single"/>
      <w:lang w:eastAsia="en-AU"/>
    </w:rPr>
  </w:style>
  <w:style w:type="character" w:customStyle="1" w:styleId="Heading7Char">
    <w:name w:val="Heading 7 Char"/>
    <w:basedOn w:val="DefaultParagraphFont"/>
    <w:link w:val="Heading7"/>
    <w:rsid w:val="00E56A6F"/>
    <w:rPr>
      <w:rFonts w:ascii="Times New Roman" w:eastAsia="Times New Roman" w:hAnsi="Times New Roman" w:cs="Times New Roman"/>
      <w:sz w:val="24"/>
      <w:szCs w:val="24"/>
      <w:lang w:eastAsia="en-AU"/>
    </w:rPr>
  </w:style>
  <w:style w:type="character" w:customStyle="1" w:styleId="Heading8Char">
    <w:name w:val="Heading 8 Char"/>
    <w:basedOn w:val="DefaultParagraphFont"/>
    <w:link w:val="Heading8"/>
    <w:rsid w:val="00E56A6F"/>
    <w:rPr>
      <w:rFonts w:ascii="Times New Roman" w:eastAsia="Times New Roman" w:hAnsi="Times New Roman" w:cs="Times New Roman"/>
      <w:i/>
      <w:iCs/>
      <w:sz w:val="24"/>
      <w:szCs w:val="24"/>
      <w:lang w:eastAsia="en-AU"/>
    </w:rPr>
  </w:style>
  <w:style w:type="character" w:customStyle="1" w:styleId="Heading9Char">
    <w:name w:val="Heading 9 Char"/>
    <w:basedOn w:val="DefaultParagraphFont"/>
    <w:link w:val="Heading9"/>
    <w:rsid w:val="00E56A6F"/>
    <w:rPr>
      <w:rFonts w:ascii="Arial" w:eastAsia="Times New Roman" w:hAnsi="Arial" w:cs="Arial"/>
      <w:lang w:eastAsia="en-AU"/>
    </w:rPr>
  </w:style>
  <w:style w:type="numbering" w:styleId="ArticleSection">
    <w:name w:val="Outline List 3"/>
    <w:basedOn w:val="NoList"/>
    <w:semiHidden/>
    <w:rsid w:val="00E56A6F"/>
    <w:pPr>
      <w:numPr>
        <w:numId w:val="6"/>
      </w:numPr>
    </w:pPr>
  </w:style>
  <w:style w:type="paragraph" w:customStyle="1" w:styleId="Baseparagraphcentred">
    <w:name w:val="Base paragraph centred"/>
    <w:basedOn w:val="Normal"/>
    <w:rsid w:val="00734F84"/>
    <w:pPr>
      <w:spacing w:before="200" w:after="200"/>
      <w:jc w:val="center"/>
    </w:pPr>
  </w:style>
  <w:style w:type="paragraph" w:customStyle="1" w:styleId="base-text-paragraph">
    <w:name w:val="base-text-paragraph"/>
    <w:basedOn w:val="Normal"/>
    <w:link w:val="base-text-paragraphChar"/>
    <w:qFormat/>
    <w:rsid w:val="00E56A6F"/>
    <w:pPr>
      <w:numPr>
        <w:ilvl w:val="1"/>
        <w:numId w:val="41"/>
      </w:numPr>
    </w:pPr>
  </w:style>
  <w:style w:type="character" w:customStyle="1" w:styleId="base-text-paragraphChar">
    <w:name w:val="base-text-paragraph Char"/>
    <w:basedOn w:val="DefaultParagraphFont"/>
    <w:link w:val="base-text-paragraph"/>
    <w:rsid w:val="00E56A6F"/>
    <w:rPr>
      <w:rFonts w:ascii="Times New Roman" w:eastAsia="Times New Roman" w:hAnsi="Times New Roman" w:cs="Times New Roman"/>
      <w:szCs w:val="20"/>
      <w:lang w:eastAsia="en-AU"/>
    </w:rPr>
  </w:style>
  <w:style w:type="paragraph" w:customStyle="1" w:styleId="base-text-paragraphnonumbers">
    <w:name w:val="base-text-paragraph no numbers"/>
    <w:basedOn w:val="Normal"/>
    <w:qFormat/>
    <w:rsid w:val="00E56A6F"/>
    <w:pPr>
      <w:ind w:left="1134"/>
    </w:pPr>
  </w:style>
  <w:style w:type="paragraph" w:customStyle="1" w:styleId="BillName">
    <w:name w:val="Bill Name"/>
    <w:basedOn w:val="Normal"/>
    <w:next w:val="Baseparagraphcentred"/>
    <w:rsid w:val="00734F84"/>
    <w:pPr>
      <w:pBdr>
        <w:top w:val="single" w:sz="4" w:space="12" w:color="auto"/>
        <w:bottom w:val="single" w:sz="4" w:space="12" w:color="auto"/>
      </w:pBdr>
      <w:spacing w:before="200" w:after="200"/>
      <w:jc w:val="center"/>
    </w:pPr>
    <w:rPr>
      <w:caps/>
    </w:rPr>
  </w:style>
  <w:style w:type="paragraph" w:styleId="BlockText">
    <w:name w:val="Block Text"/>
    <w:basedOn w:val="Normal"/>
    <w:semiHidden/>
    <w:rsid w:val="00E56A6F"/>
    <w:pPr>
      <w:ind w:left="1440" w:right="1440"/>
    </w:pPr>
  </w:style>
  <w:style w:type="paragraph" w:styleId="BodyText">
    <w:name w:val="Body Text"/>
    <w:basedOn w:val="Normal"/>
    <w:link w:val="BodyTextChar"/>
    <w:semiHidden/>
    <w:rsid w:val="00E56A6F"/>
  </w:style>
  <w:style w:type="character" w:customStyle="1" w:styleId="BodyTextChar">
    <w:name w:val="Body Text Char"/>
    <w:basedOn w:val="DefaultParagraphFont"/>
    <w:link w:val="BodyText"/>
    <w:semiHidden/>
    <w:rsid w:val="00E56A6F"/>
    <w:rPr>
      <w:rFonts w:ascii="Times New Roman" w:eastAsia="Times New Roman" w:hAnsi="Times New Roman" w:cs="Times New Roman"/>
      <w:szCs w:val="20"/>
      <w:lang w:eastAsia="en-AU"/>
    </w:rPr>
  </w:style>
  <w:style w:type="paragraph" w:styleId="BodyText2">
    <w:name w:val="Body Text 2"/>
    <w:basedOn w:val="Normal"/>
    <w:link w:val="BodyText2Char"/>
    <w:semiHidden/>
    <w:rsid w:val="00E56A6F"/>
    <w:pPr>
      <w:spacing w:line="480" w:lineRule="auto"/>
    </w:pPr>
  </w:style>
  <w:style w:type="character" w:customStyle="1" w:styleId="BodyText2Char">
    <w:name w:val="Body Text 2 Char"/>
    <w:basedOn w:val="DefaultParagraphFont"/>
    <w:link w:val="BodyText2"/>
    <w:semiHidden/>
    <w:rsid w:val="00E56A6F"/>
    <w:rPr>
      <w:rFonts w:ascii="Times New Roman" w:eastAsia="Times New Roman" w:hAnsi="Times New Roman" w:cs="Times New Roman"/>
      <w:szCs w:val="20"/>
      <w:lang w:eastAsia="en-AU"/>
    </w:rPr>
  </w:style>
  <w:style w:type="paragraph" w:styleId="BodyText3">
    <w:name w:val="Body Text 3"/>
    <w:basedOn w:val="Normal"/>
    <w:link w:val="BodyText3Char"/>
    <w:semiHidden/>
    <w:rsid w:val="00E56A6F"/>
    <w:rPr>
      <w:sz w:val="16"/>
      <w:szCs w:val="16"/>
    </w:rPr>
  </w:style>
  <w:style w:type="character" w:customStyle="1" w:styleId="BodyText3Char">
    <w:name w:val="Body Text 3 Char"/>
    <w:basedOn w:val="DefaultParagraphFont"/>
    <w:link w:val="BodyText3"/>
    <w:semiHidden/>
    <w:rsid w:val="00E56A6F"/>
    <w:rPr>
      <w:rFonts w:ascii="Times New Roman" w:eastAsia="Times New Roman" w:hAnsi="Times New Roman" w:cs="Times New Roman"/>
      <w:sz w:val="16"/>
      <w:szCs w:val="16"/>
      <w:lang w:eastAsia="en-AU"/>
    </w:rPr>
  </w:style>
  <w:style w:type="paragraph" w:styleId="BodyTextFirstIndent">
    <w:name w:val="Body Text First Indent"/>
    <w:basedOn w:val="BodyText"/>
    <w:link w:val="BodyTextFirstIndentChar"/>
    <w:semiHidden/>
    <w:rsid w:val="00E56A6F"/>
    <w:pPr>
      <w:ind w:firstLine="210"/>
    </w:pPr>
  </w:style>
  <w:style w:type="character" w:customStyle="1" w:styleId="BodyTextFirstIndentChar">
    <w:name w:val="Body Text First Indent Char"/>
    <w:basedOn w:val="BodyTextChar"/>
    <w:link w:val="BodyTextFirstIndent"/>
    <w:semiHidden/>
    <w:rsid w:val="00E56A6F"/>
    <w:rPr>
      <w:rFonts w:ascii="Times New Roman" w:eastAsia="Times New Roman" w:hAnsi="Times New Roman" w:cs="Times New Roman"/>
      <w:szCs w:val="20"/>
      <w:lang w:eastAsia="en-AU"/>
    </w:rPr>
  </w:style>
  <w:style w:type="paragraph" w:styleId="BodyTextIndent">
    <w:name w:val="Body Text Indent"/>
    <w:basedOn w:val="Normal"/>
    <w:link w:val="BodyTextIndentChar"/>
    <w:semiHidden/>
    <w:rsid w:val="00E56A6F"/>
    <w:pPr>
      <w:ind w:left="283"/>
    </w:pPr>
  </w:style>
  <w:style w:type="character" w:customStyle="1" w:styleId="BodyTextIndentChar">
    <w:name w:val="Body Text Indent Char"/>
    <w:basedOn w:val="DefaultParagraphFont"/>
    <w:link w:val="BodyTextIndent"/>
    <w:semiHidden/>
    <w:rsid w:val="00E56A6F"/>
    <w:rPr>
      <w:rFonts w:ascii="Times New Roman" w:eastAsia="Times New Roman" w:hAnsi="Times New Roman" w:cs="Times New Roman"/>
      <w:szCs w:val="20"/>
      <w:lang w:eastAsia="en-AU"/>
    </w:rPr>
  </w:style>
  <w:style w:type="paragraph" w:styleId="BodyTextFirstIndent2">
    <w:name w:val="Body Text First Indent 2"/>
    <w:basedOn w:val="BodyTextIndent"/>
    <w:link w:val="BodyTextFirstIndent2Char"/>
    <w:semiHidden/>
    <w:rsid w:val="00E56A6F"/>
    <w:pPr>
      <w:ind w:firstLine="210"/>
    </w:pPr>
  </w:style>
  <w:style w:type="character" w:customStyle="1" w:styleId="BodyTextFirstIndent2Char">
    <w:name w:val="Body Text First Indent 2 Char"/>
    <w:basedOn w:val="BodyTextIndentChar"/>
    <w:link w:val="BodyTextFirstIndent2"/>
    <w:semiHidden/>
    <w:rsid w:val="00E56A6F"/>
    <w:rPr>
      <w:rFonts w:ascii="Times New Roman" w:eastAsia="Times New Roman" w:hAnsi="Times New Roman" w:cs="Times New Roman"/>
      <w:szCs w:val="20"/>
      <w:lang w:eastAsia="en-AU"/>
    </w:rPr>
  </w:style>
  <w:style w:type="paragraph" w:styleId="BodyTextIndent2">
    <w:name w:val="Body Text Indent 2"/>
    <w:basedOn w:val="Normal"/>
    <w:link w:val="BodyTextIndent2Char"/>
    <w:semiHidden/>
    <w:rsid w:val="00E56A6F"/>
    <w:pPr>
      <w:spacing w:line="480" w:lineRule="auto"/>
      <w:ind w:left="283"/>
    </w:pPr>
  </w:style>
  <w:style w:type="character" w:customStyle="1" w:styleId="BodyTextIndent2Char">
    <w:name w:val="Body Text Indent 2 Char"/>
    <w:basedOn w:val="DefaultParagraphFont"/>
    <w:link w:val="BodyTextIndent2"/>
    <w:semiHidden/>
    <w:rsid w:val="00E56A6F"/>
    <w:rPr>
      <w:rFonts w:ascii="Times New Roman" w:eastAsia="Times New Roman" w:hAnsi="Times New Roman" w:cs="Times New Roman"/>
      <w:szCs w:val="20"/>
      <w:lang w:eastAsia="en-AU"/>
    </w:rPr>
  </w:style>
  <w:style w:type="paragraph" w:styleId="BodyTextIndent3">
    <w:name w:val="Body Text Indent 3"/>
    <w:basedOn w:val="Normal"/>
    <w:link w:val="BodyTextIndent3Char"/>
    <w:semiHidden/>
    <w:rsid w:val="00E56A6F"/>
    <w:pPr>
      <w:ind w:left="283"/>
    </w:pPr>
    <w:rPr>
      <w:sz w:val="16"/>
      <w:szCs w:val="16"/>
    </w:rPr>
  </w:style>
  <w:style w:type="character" w:customStyle="1" w:styleId="BodyTextIndent3Char">
    <w:name w:val="Body Text Indent 3 Char"/>
    <w:basedOn w:val="DefaultParagraphFont"/>
    <w:link w:val="BodyTextIndent3"/>
    <w:semiHidden/>
    <w:rsid w:val="00E56A6F"/>
    <w:rPr>
      <w:rFonts w:ascii="Times New Roman" w:eastAsia="Times New Roman" w:hAnsi="Times New Roman" w:cs="Times New Roman"/>
      <w:sz w:val="16"/>
      <w:szCs w:val="16"/>
      <w:lang w:eastAsia="en-AU"/>
    </w:rPr>
  </w:style>
  <w:style w:type="character" w:customStyle="1" w:styleId="Bold">
    <w:name w:val="Bold"/>
    <w:basedOn w:val="DefaultParagraphFont"/>
    <w:rsid w:val="00E56A6F"/>
    <w:rPr>
      <w:b/>
    </w:rPr>
  </w:style>
  <w:style w:type="character" w:customStyle="1" w:styleId="BoldItalic">
    <w:name w:val="BoldItalic"/>
    <w:basedOn w:val="DefaultParagraphFont"/>
    <w:rsid w:val="00E56A6F"/>
    <w:rPr>
      <w:b/>
      <w:i/>
    </w:rPr>
  </w:style>
  <w:style w:type="paragraph" w:customStyle="1" w:styleId="BTPwithextraspacing">
    <w:name w:val="BTP with extra spacing"/>
    <w:basedOn w:val="Normal"/>
    <w:rsid w:val="00E56A6F"/>
    <w:pPr>
      <w:spacing w:before="360" w:after="360"/>
      <w:ind w:left="1134"/>
    </w:pPr>
  </w:style>
  <w:style w:type="paragraph" w:customStyle="1" w:styleId="ChapterHeading">
    <w:name w:val="Chapter Heading"/>
    <w:next w:val="Heading2"/>
    <w:rsid w:val="006A05D6"/>
    <w:pPr>
      <w:numPr>
        <w:numId w:val="41"/>
      </w:numPr>
      <w:pBdr>
        <w:top w:val="single" w:sz="4" w:space="1" w:color="auto"/>
        <w:bottom w:val="single" w:sz="4" w:space="1" w:color="auto"/>
      </w:pBdr>
      <w:spacing w:before="240" w:after="360" w:line="260" w:lineRule="atLeast"/>
    </w:pPr>
    <w:rPr>
      <w:rFonts w:ascii="Helvetica" w:eastAsia="Times New Roman" w:hAnsi="Helvetica" w:cs="Times New Roman"/>
      <w:b/>
      <w:i/>
      <w:sz w:val="38"/>
      <w:szCs w:val="20"/>
      <w:lang w:eastAsia="en-AU"/>
    </w:rPr>
  </w:style>
  <w:style w:type="paragraph" w:customStyle="1" w:styleId="Chapterheadingsubdocument">
    <w:name w:val="Chapter heading subdocument"/>
    <w:basedOn w:val="Normal"/>
    <w:next w:val="base-text-paragraphnonumbers"/>
    <w:rsid w:val="006A05D6"/>
    <w:pPr>
      <w:pBdr>
        <w:top w:val="single" w:sz="4" w:space="1" w:color="auto"/>
        <w:bottom w:val="single" w:sz="4" w:space="1" w:color="auto"/>
      </w:pBdr>
      <w:spacing w:before="240" w:after="360" w:line="260" w:lineRule="atLeast"/>
    </w:pPr>
    <w:rPr>
      <w:rFonts w:ascii="Helvetica" w:hAnsi="Helvetica"/>
      <w:b/>
      <w:i/>
      <w:sz w:val="38"/>
    </w:rPr>
  </w:style>
  <w:style w:type="numbering" w:customStyle="1" w:styleId="ChapterList">
    <w:name w:val="ChapterList"/>
    <w:uiPriority w:val="99"/>
    <w:rsid w:val="00E56A6F"/>
    <w:pPr>
      <w:numPr>
        <w:numId w:val="9"/>
      </w:numPr>
    </w:pPr>
  </w:style>
  <w:style w:type="paragraph" w:styleId="Closing">
    <w:name w:val="Closing"/>
    <w:basedOn w:val="Normal"/>
    <w:link w:val="ClosingChar"/>
    <w:semiHidden/>
    <w:rsid w:val="00E56A6F"/>
    <w:pPr>
      <w:ind w:left="4252"/>
    </w:pPr>
  </w:style>
  <w:style w:type="character" w:customStyle="1" w:styleId="ClosingChar">
    <w:name w:val="Closing Char"/>
    <w:basedOn w:val="DefaultParagraphFont"/>
    <w:link w:val="Closing"/>
    <w:semiHidden/>
    <w:rsid w:val="00E56A6F"/>
    <w:rPr>
      <w:rFonts w:ascii="Times New Roman" w:eastAsia="Times New Roman" w:hAnsi="Times New Roman" w:cs="Times New Roman"/>
      <w:szCs w:val="20"/>
      <w:lang w:eastAsia="en-AU"/>
    </w:rPr>
  </w:style>
  <w:style w:type="paragraph" w:styleId="Date">
    <w:name w:val="Date"/>
    <w:basedOn w:val="Normal"/>
    <w:next w:val="Normal"/>
    <w:link w:val="DateChar"/>
    <w:semiHidden/>
    <w:rsid w:val="00E56A6F"/>
  </w:style>
  <w:style w:type="character" w:customStyle="1" w:styleId="DateChar">
    <w:name w:val="Date Char"/>
    <w:basedOn w:val="DefaultParagraphFont"/>
    <w:link w:val="Date"/>
    <w:semiHidden/>
    <w:rsid w:val="00E56A6F"/>
    <w:rPr>
      <w:rFonts w:ascii="Times New Roman" w:eastAsia="Times New Roman" w:hAnsi="Times New Roman" w:cs="Times New Roman"/>
      <w:szCs w:val="20"/>
      <w:lang w:eastAsia="en-AU"/>
    </w:rPr>
  </w:style>
  <w:style w:type="paragraph" w:customStyle="1" w:styleId="Diagram">
    <w:name w:val="Diagram"/>
    <w:basedOn w:val="Normal"/>
    <w:next w:val="base-text-paragraphnonumbers"/>
    <w:rsid w:val="00E56A6F"/>
    <w:pPr>
      <w:keepNext/>
      <w:numPr>
        <w:ilvl w:val="2"/>
        <w:numId w:val="41"/>
      </w:numPr>
      <w:spacing w:before="0" w:after="0"/>
    </w:pPr>
    <w:rPr>
      <w:b/>
    </w:rPr>
  </w:style>
  <w:style w:type="paragraph" w:customStyle="1" w:styleId="dotpoint">
    <w:name w:val="dot point"/>
    <w:basedOn w:val="Normal"/>
    <w:rsid w:val="00E56A6F"/>
    <w:pPr>
      <w:numPr>
        <w:numId w:val="11"/>
      </w:numPr>
    </w:pPr>
  </w:style>
  <w:style w:type="paragraph" w:customStyle="1" w:styleId="dotpoint2">
    <w:name w:val="dot point 2"/>
    <w:basedOn w:val="Normal"/>
    <w:rsid w:val="00E56A6F"/>
    <w:pPr>
      <w:numPr>
        <w:ilvl w:val="1"/>
        <w:numId w:val="13"/>
      </w:numPr>
    </w:pPr>
  </w:style>
  <w:style w:type="numbering" w:customStyle="1" w:styleId="DotPointList">
    <w:name w:val="Dot Point List"/>
    <w:uiPriority w:val="99"/>
    <w:rsid w:val="00E56A6F"/>
    <w:pPr>
      <w:numPr>
        <w:numId w:val="12"/>
      </w:numPr>
    </w:pPr>
  </w:style>
  <w:style w:type="paragraph" w:styleId="E-mailSignature">
    <w:name w:val="E-mail Signature"/>
    <w:basedOn w:val="Normal"/>
    <w:link w:val="E-mailSignatureChar"/>
    <w:semiHidden/>
    <w:rsid w:val="00E56A6F"/>
  </w:style>
  <w:style w:type="character" w:customStyle="1" w:styleId="E-mailSignatureChar">
    <w:name w:val="E-mail Signature Char"/>
    <w:basedOn w:val="DefaultParagraphFont"/>
    <w:link w:val="E-mailSignature"/>
    <w:semiHidden/>
    <w:rsid w:val="00E56A6F"/>
    <w:rPr>
      <w:rFonts w:ascii="Times New Roman" w:eastAsia="Times New Roman" w:hAnsi="Times New Roman" w:cs="Times New Roman"/>
      <w:szCs w:val="20"/>
      <w:lang w:eastAsia="en-AU"/>
    </w:rPr>
  </w:style>
  <w:style w:type="character" w:styleId="Emphasis">
    <w:name w:val="Emphasis"/>
    <w:basedOn w:val="DefaultParagraphFont"/>
    <w:qFormat/>
    <w:rsid w:val="00E56A6F"/>
    <w:rPr>
      <w:i/>
      <w:iCs/>
    </w:rPr>
  </w:style>
  <w:style w:type="paragraph" w:styleId="EnvelopeAddress">
    <w:name w:val="envelope address"/>
    <w:basedOn w:val="Normal"/>
    <w:semiHidden/>
    <w:rsid w:val="00E56A6F"/>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semiHidden/>
    <w:rsid w:val="00E56A6F"/>
    <w:rPr>
      <w:rFonts w:ascii="Arial" w:hAnsi="Arial" w:cs="Arial"/>
      <w:sz w:val="20"/>
    </w:rPr>
  </w:style>
  <w:style w:type="paragraph" w:customStyle="1" w:styleId="exampletext">
    <w:name w:val="example text"/>
    <w:basedOn w:val="Normal"/>
    <w:rsid w:val="00E56A6F"/>
    <w:pPr>
      <w:ind w:left="1985"/>
    </w:pPr>
    <w:rPr>
      <w:sz w:val="20"/>
    </w:rPr>
  </w:style>
  <w:style w:type="paragraph" w:customStyle="1" w:styleId="exampledotpoint1">
    <w:name w:val="example dot point 1"/>
    <w:basedOn w:val="exampletext"/>
    <w:rsid w:val="006A05D6"/>
    <w:pPr>
      <w:numPr>
        <w:numId w:val="16"/>
      </w:numPr>
      <w:spacing w:before="200" w:after="200"/>
      <w:ind w:left="2269" w:hanging="284"/>
    </w:pPr>
  </w:style>
  <w:style w:type="paragraph" w:customStyle="1" w:styleId="exampledotpoint2">
    <w:name w:val="example dot point 2"/>
    <w:basedOn w:val="exampletext"/>
    <w:rsid w:val="006A05D6"/>
    <w:pPr>
      <w:numPr>
        <w:ilvl w:val="1"/>
        <w:numId w:val="16"/>
      </w:numPr>
      <w:spacing w:before="200" w:after="200"/>
    </w:pPr>
  </w:style>
  <w:style w:type="numbering" w:customStyle="1" w:styleId="ExampleDotPointList">
    <w:name w:val="Example Dot Point List"/>
    <w:uiPriority w:val="99"/>
    <w:rsid w:val="00E56A6F"/>
    <w:pPr>
      <w:numPr>
        <w:numId w:val="14"/>
      </w:numPr>
    </w:pPr>
  </w:style>
  <w:style w:type="paragraph" w:customStyle="1" w:styleId="ExampleHeading">
    <w:name w:val="Example Heading"/>
    <w:basedOn w:val="Normal"/>
    <w:next w:val="exampletext"/>
    <w:rsid w:val="00E56A6F"/>
    <w:pPr>
      <w:keepNext/>
      <w:numPr>
        <w:ilvl w:val="3"/>
        <w:numId w:val="41"/>
      </w:numPr>
    </w:pPr>
    <w:rPr>
      <w:b/>
    </w:rPr>
  </w:style>
  <w:style w:type="paragraph" w:customStyle="1" w:styleId="exampleindent">
    <w:name w:val="example indent"/>
    <w:basedOn w:val="exampletext"/>
    <w:rsid w:val="00E56A6F"/>
    <w:pPr>
      <w:ind w:left="2268"/>
    </w:pPr>
  </w:style>
  <w:style w:type="character" w:styleId="FollowedHyperlink">
    <w:name w:val="FollowedHyperlink"/>
    <w:basedOn w:val="DefaultParagraphFont"/>
    <w:rsid w:val="00E56A6F"/>
    <w:rPr>
      <w:color w:val="954F72" w:themeColor="followedHyperlink"/>
      <w:u w:val="single"/>
    </w:rPr>
  </w:style>
  <w:style w:type="character" w:customStyle="1" w:styleId="Font15point">
    <w:name w:val="Font 15 point"/>
    <w:basedOn w:val="DefaultParagraphFont"/>
    <w:rsid w:val="00E56A6F"/>
    <w:rPr>
      <w:sz w:val="30"/>
    </w:rPr>
  </w:style>
  <w:style w:type="character" w:customStyle="1" w:styleId="Font19point">
    <w:name w:val="Font 19 point"/>
    <w:basedOn w:val="DefaultParagraphFont"/>
    <w:rsid w:val="00E56A6F"/>
    <w:rPr>
      <w:sz w:val="38"/>
    </w:rPr>
  </w:style>
  <w:style w:type="character" w:customStyle="1" w:styleId="Font30point">
    <w:name w:val="Font 30 point"/>
    <w:basedOn w:val="DefaultParagraphFont"/>
    <w:rsid w:val="00E56A6F"/>
    <w:rPr>
      <w:sz w:val="60"/>
    </w:rPr>
  </w:style>
  <w:style w:type="paragraph" w:styleId="Footer">
    <w:name w:val="footer"/>
    <w:basedOn w:val="Normal"/>
    <w:link w:val="FooterChar"/>
    <w:semiHidden/>
    <w:rsid w:val="00E56A6F"/>
    <w:pPr>
      <w:tabs>
        <w:tab w:val="center" w:pos="4153"/>
        <w:tab w:val="right" w:pos="8306"/>
      </w:tabs>
    </w:pPr>
  </w:style>
  <w:style w:type="character" w:customStyle="1" w:styleId="FooterChar">
    <w:name w:val="Footer Char"/>
    <w:basedOn w:val="DefaultParagraphFont"/>
    <w:link w:val="Footer"/>
    <w:semiHidden/>
    <w:rsid w:val="00E56A6F"/>
    <w:rPr>
      <w:rFonts w:ascii="Times New Roman" w:eastAsia="Times New Roman" w:hAnsi="Times New Roman" w:cs="Times New Roman"/>
      <w:szCs w:val="20"/>
      <w:lang w:eastAsia="en-AU"/>
    </w:rPr>
  </w:style>
  <w:style w:type="paragraph" w:styleId="FootnoteText">
    <w:name w:val="footnote text"/>
    <w:basedOn w:val="Normal"/>
    <w:link w:val="FootnoteTextChar"/>
    <w:rsid w:val="00E56A6F"/>
    <w:pPr>
      <w:tabs>
        <w:tab w:val="left" w:pos="284"/>
      </w:tabs>
      <w:spacing w:before="0" w:after="0"/>
      <w:ind w:left="284" w:hanging="284"/>
    </w:pPr>
    <w:rPr>
      <w:sz w:val="20"/>
    </w:rPr>
  </w:style>
  <w:style w:type="character" w:customStyle="1" w:styleId="FootnoteTextChar">
    <w:name w:val="Footnote Text Char"/>
    <w:basedOn w:val="DefaultParagraphFont"/>
    <w:link w:val="FootnoteText"/>
    <w:rsid w:val="00E56A6F"/>
    <w:rPr>
      <w:rFonts w:ascii="Times New Roman" w:eastAsia="Times New Roman" w:hAnsi="Times New Roman" w:cs="Times New Roman"/>
      <w:sz w:val="20"/>
      <w:szCs w:val="20"/>
      <w:lang w:eastAsia="en-AU"/>
    </w:rPr>
  </w:style>
  <w:style w:type="paragraph" w:customStyle="1" w:styleId="Glossarytabletext">
    <w:name w:val="Glossary table text"/>
    <w:basedOn w:val="Normal"/>
    <w:rsid w:val="00E56A6F"/>
    <w:pPr>
      <w:spacing w:before="60" w:after="60"/>
    </w:pPr>
    <w:rPr>
      <w:sz w:val="20"/>
    </w:rPr>
  </w:style>
  <w:style w:type="paragraph" w:styleId="Header">
    <w:name w:val="header"/>
    <w:basedOn w:val="Normal"/>
    <w:link w:val="HeaderChar"/>
    <w:semiHidden/>
    <w:rsid w:val="00E56A6F"/>
    <w:pPr>
      <w:tabs>
        <w:tab w:val="center" w:pos="4153"/>
        <w:tab w:val="right" w:pos="8306"/>
      </w:tabs>
    </w:pPr>
  </w:style>
  <w:style w:type="character" w:customStyle="1" w:styleId="HeaderChar">
    <w:name w:val="Header Char"/>
    <w:basedOn w:val="DefaultParagraphFont"/>
    <w:link w:val="Header"/>
    <w:semiHidden/>
    <w:rsid w:val="00E56A6F"/>
    <w:rPr>
      <w:rFonts w:ascii="Times New Roman" w:eastAsia="Times New Roman" w:hAnsi="Times New Roman" w:cs="Times New Roman"/>
      <w:szCs w:val="20"/>
      <w:lang w:eastAsia="en-AU"/>
    </w:rPr>
  </w:style>
  <w:style w:type="paragraph" w:customStyle="1" w:styleId="Heading2with18pointafter">
    <w:name w:val="Heading 2 with 18 point after"/>
    <w:basedOn w:val="Heading2"/>
    <w:next w:val="Normal"/>
    <w:rsid w:val="00E56A6F"/>
    <w:pPr>
      <w:spacing w:after="360"/>
    </w:pPr>
  </w:style>
  <w:style w:type="paragraph" w:customStyle="1" w:styleId="Hiddentext">
    <w:name w:val="Hiddentext"/>
    <w:basedOn w:val="Normal"/>
    <w:rsid w:val="00E56A6F"/>
    <w:rPr>
      <w:vanish/>
    </w:rPr>
  </w:style>
  <w:style w:type="character" w:styleId="HTMLAcronym">
    <w:name w:val="HTML Acronym"/>
    <w:basedOn w:val="DefaultParagraphFont"/>
    <w:semiHidden/>
    <w:rsid w:val="00E56A6F"/>
  </w:style>
  <w:style w:type="paragraph" w:styleId="HTMLAddress">
    <w:name w:val="HTML Address"/>
    <w:basedOn w:val="Normal"/>
    <w:link w:val="HTMLAddressChar"/>
    <w:semiHidden/>
    <w:rsid w:val="00E56A6F"/>
    <w:rPr>
      <w:i/>
      <w:iCs/>
    </w:rPr>
  </w:style>
  <w:style w:type="character" w:customStyle="1" w:styleId="HTMLAddressChar">
    <w:name w:val="HTML Address Char"/>
    <w:basedOn w:val="DefaultParagraphFont"/>
    <w:link w:val="HTMLAddress"/>
    <w:semiHidden/>
    <w:rsid w:val="00E56A6F"/>
    <w:rPr>
      <w:rFonts w:ascii="Times New Roman" w:eastAsia="Times New Roman" w:hAnsi="Times New Roman" w:cs="Times New Roman"/>
      <w:i/>
      <w:iCs/>
      <w:szCs w:val="20"/>
      <w:lang w:eastAsia="en-AU"/>
    </w:rPr>
  </w:style>
  <w:style w:type="character" w:styleId="HTMLCite">
    <w:name w:val="HTML Cite"/>
    <w:basedOn w:val="DefaultParagraphFont"/>
    <w:semiHidden/>
    <w:rsid w:val="00E56A6F"/>
    <w:rPr>
      <w:i/>
      <w:iCs/>
    </w:rPr>
  </w:style>
  <w:style w:type="character" w:styleId="HTMLCode">
    <w:name w:val="HTML Code"/>
    <w:basedOn w:val="DefaultParagraphFont"/>
    <w:semiHidden/>
    <w:rsid w:val="00E56A6F"/>
    <w:rPr>
      <w:rFonts w:ascii="Courier New" w:hAnsi="Courier New" w:cs="Courier New"/>
      <w:sz w:val="20"/>
      <w:szCs w:val="20"/>
    </w:rPr>
  </w:style>
  <w:style w:type="character" w:styleId="HTMLDefinition">
    <w:name w:val="HTML Definition"/>
    <w:basedOn w:val="DefaultParagraphFont"/>
    <w:semiHidden/>
    <w:rsid w:val="00E56A6F"/>
    <w:rPr>
      <w:i/>
      <w:iCs/>
    </w:rPr>
  </w:style>
  <w:style w:type="character" w:styleId="HTMLKeyboard">
    <w:name w:val="HTML Keyboard"/>
    <w:basedOn w:val="DefaultParagraphFont"/>
    <w:semiHidden/>
    <w:rsid w:val="00E56A6F"/>
    <w:rPr>
      <w:rFonts w:ascii="Courier New" w:hAnsi="Courier New" w:cs="Courier New"/>
      <w:sz w:val="20"/>
      <w:szCs w:val="20"/>
    </w:rPr>
  </w:style>
  <w:style w:type="paragraph" w:styleId="HTMLPreformatted">
    <w:name w:val="HTML Preformatted"/>
    <w:basedOn w:val="Normal"/>
    <w:link w:val="HTMLPreformattedChar"/>
    <w:semiHidden/>
    <w:rsid w:val="00E56A6F"/>
    <w:rPr>
      <w:rFonts w:ascii="Courier New" w:hAnsi="Courier New" w:cs="Courier New"/>
      <w:sz w:val="20"/>
    </w:rPr>
  </w:style>
  <w:style w:type="character" w:customStyle="1" w:styleId="HTMLPreformattedChar">
    <w:name w:val="HTML Preformatted Char"/>
    <w:basedOn w:val="DefaultParagraphFont"/>
    <w:link w:val="HTMLPreformatted"/>
    <w:semiHidden/>
    <w:rsid w:val="00E56A6F"/>
    <w:rPr>
      <w:rFonts w:ascii="Courier New" w:eastAsia="Times New Roman" w:hAnsi="Courier New" w:cs="Courier New"/>
      <w:sz w:val="20"/>
      <w:szCs w:val="20"/>
      <w:lang w:eastAsia="en-AU"/>
    </w:rPr>
  </w:style>
  <w:style w:type="character" w:styleId="HTMLSample">
    <w:name w:val="HTML Sample"/>
    <w:basedOn w:val="DefaultParagraphFont"/>
    <w:semiHidden/>
    <w:rsid w:val="00E56A6F"/>
    <w:rPr>
      <w:rFonts w:ascii="Courier New" w:hAnsi="Courier New" w:cs="Courier New"/>
    </w:rPr>
  </w:style>
  <w:style w:type="character" w:styleId="HTMLTypewriter">
    <w:name w:val="HTML Typewriter"/>
    <w:basedOn w:val="DefaultParagraphFont"/>
    <w:semiHidden/>
    <w:rsid w:val="00E56A6F"/>
    <w:rPr>
      <w:rFonts w:ascii="Courier New" w:hAnsi="Courier New" w:cs="Courier New"/>
      <w:sz w:val="20"/>
      <w:szCs w:val="20"/>
    </w:rPr>
  </w:style>
  <w:style w:type="character" w:styleId="HTMLVariable">
    <w:name w:val="HTML Variable"/>
    <w:basedOn w:val="DefaultParagraphFont"/>
    <w:semiHidden/>
    <w:rsid w:val="00E56A6F"/>
    <w:rPr>
      <w:i/>
      <w:iCs/>
    </w:rPr>
  </w:style>
  <w:style w:type="character" w:styleId="Hyperlink">
    <w:name w:val="Hyperlink"/>
    <w:basedOn w:val="DefaultParagraphFont"/>
    <w:uiPriority w:val="99"/>
    <w:rsid w:val="00E56A6F"/>
    <w:rPr>
      <w:color w:val="0563C1" w:themeColor="hyperlink"/>
      <w:u w:val="single"/>
    </w:rPr>
  </w:style>
  <w:style w:type="character" w:customStyle="1" w:styleId="Italic">
    <w:name w:val="Italic"/>
    <w:basedOn w:val="DefaultParagraphFont"/>
    <w:rsid w:val="00E56A6F"/>
    <w:rPr>
      <w:i/>
    </w:rPr>
  </w:style>
  <w:style w:type="paragraph" w:customStyle="1" w:styleId="leftfooter">
    <w:name w:val="left footer"/>
    <w:basedOn w:val="Normal"/>
    <w:rsid w:val="00E56A6F"/>
    <w:pPr>
      <w:pBdr>
        <w:top w:val="single" w:sz="4" w:space="1" w:color="auto"/>
      </w:pBdr>
      <w:spacing w:before="240" w:after="0"/>
    </w:pPr>
    <w:rPr>
      <w:i/>
      <w:sz w:val="20"/>
    </w:rPr>
  </w:style>
  <w:style w:type="paragraph" w:customStyle="1" w:styleId="leftheader">
    <w:name w:val="left header"/>
    <w:basedOn w:val="Normal"/>
    <w:rsid w:val="00E56A6F"/>
    <w:pPr>
      <w:pBdr>
        <w:bottom w:val="single" w:sz="4" w:space="1" w:color="auto"/>
      </w:pBdr>
    </w:pPr>
    <w:rPr>
      <w:i/>
      <w:sz w:val="20"/>
    </w:rPr>
  </w:style>
  <w:style w:type="character" w:styleId="LineNumber">
    <w:name w:val="line number"/>
    <w:basedOn w:val="DefaultParagraphFont"/>
    <w:semiHidden/>
    <w:rsid w:val="00E56A6F"/>
  </w:style>
  <w:style w:type="paragraph" w:styleId="List">
    <w:name w:val="List"/>
    <w:basedOn w:val="Normal"/>
    <w:semiHidden/>
    <w:rsid w:val="00E56A6F"/>
    <w:pPr>
      <w:ind w:left="283" w:hanging="283"/>
    </w:pPr>
  </w:style>
  <w:style w:type="paragraph" w:styleId="List2">
    <w:name w:val="List 2"/>
    <w:basedOn w:val="Normal"/>
    <w:semiHidden/>
    <w:rsid w:val="00E56A6F"/>
    <w:pPr>
      <w:ind w:left="566" w:hanging="283"/>
    </w:pPr>
  </w:style>
  <w:style w:type="paragraph" w:styleId="List3">
    <w:name w:val="List 3"/>
    <w:basedOn w:val="Normal"/>
    <w:semiHidden/>
    <w:rsid w:val="00E56A6F"/>
    <w:pPr>
      <w:ind w:left="849" w:hanging="283"/>
    </w:pPr>
  </w:style>
  <w:style w:type="paragraph" w:styleId="List4">
    <w:name w:val="List 4"/>
    <w:basedOn w:val="Normal"/>
    <w:semiHidden/>
    <w:rsid w:val="00E56A6F"/>
    <w:pPr>
      <w:ind w:left="1132" w:hanging="283"/>
    </w:pPr>
  </w:style>
  <w:style w:type="paragraph" w:styleId="List5">
    <w:name w:val="List 5"/>
    <w:basedOn w:val="Normal"/>
    <w:semiHidden/>
    <w:rsid w:val="00E56A6F"/>
    <w:pPr>
      <w:ind w:left="1415" w:hanging="283"/>
    </w:pPr>
  </w:style>
  <w:style w:type="paragraph" w:styleId="ListBullet">
    <w:name w:val="List Bullet"/>
    <w:basedOn w:val="Normal"/>
    <w:semiHidden/>
    <w:rsid w:val="00E56A6F"/>
    <w:pPr>
      <w:numPr>
        <w:numId w:val="19"/>
      </w:numPr>
    </w:pPr>
  </w:style>
  <w:style w:type="paragraph" w:styleId="ListBullet2">
    <w:name w:val="List Bullet 2"/>
    <w:basedOn w:val="Normal"/>
    <w:semiHidden/>
    <w:rsid w:val="00E56A6F"/>
    <w:pPr>
      <w:numPr>
        <w:numId w:val="21"/>
      </w:numPr>
    </w:pPr>
  </w:style>
  <w:style w:type="paragraph" w:styleId="ListBullet3">
    <w:name w:val="List Bullet 3"/>
    <w:basedOn w:val="Normal"/>
    <w:semiHidden/>
    <w:rsid w:val="00E56A6F"/>
    <w:pPr>
      <w:numPr>
        <w:numId w:val="23"/>
      </w:numPr>
    </w:pPr>
  </w:style>
  <w:style w:type="paragraph" w:styleId="ListBullet4">
    <w:name w:val="List Bullet 4"/>
    <w:basedOn w:val="Normal"/>
    <w:semiHidden/>
    <w:rsid w:val="00E56A6F"/>
    <w:pPr>
      <w:numPr>
        <w:numId w:val="25"/>
      </w:numPr>
    </w:pPr>
  </w:style>
  <w:style w:type="paragraph" w:styleId="ListBullet5">
    <w:name w:val="List Bullet 5"/>
    <w:basedOn w:val="Normal"/>
    <w:semiHidden/>
    <w:rsid w:val="00E56A6F"/>
    <w:pPr>
      <w:numPr>
        <w:numId w:val="27"/>
      </w:numPr>
    </w:pPr>
  </w:style>
  <w:style w:type="paragraph" w:styleId="ListContinue">
    <w:name w:val="List Continue"/>
    <w:basedOn w:val="Normal"/>
    <w:semiHidden/>
    <w:rsid w:val="00E56A6F"/>
    <w:pPr>
      <w:ind w:left="283"/>
    </w:pPr>
  </w:style>
  <w:style w:type="paragraph" w:styleId="ListContinue2">
    <w:name w:val="List Continue 2"/>
    <w:basedOn w:val="Normal"/>
    <w:semiHidden/>
    <w:rsid w:val="00E56A6F"/>
    <w:pPr>
      <w:ind w:left="566"/>
    </w:pPr>
  </w:style>
  <w:style w:type="paragraph" w:styleId="ListContinue3">
    <w:name w:val="List Continue 3"/>
    <w:basedOn w:val="Normal"/>
    <w:semiHidden/>
    <w:rsid w:val="00E56A6F"/>
    <w:pPr>
      <w:ind w:left="849"/>
    </w:pPr>
  </w:style>
  <w:style w:type="paragraph" w:styleId="ListContinue4">
    <w:name w:val="List Continue 4"/>
    <w:basedOn w:val="Normal"/>
    <w:semiHidden/>
    <w:rsid w:val="00E56A6F"/>
    <w:pPr>
      <w:ind w:left="1132"/>
    </w:pPr>
  </w:style>
  <w:style w:type="paragraph" w:styleId="ListContinue5">
    <w:name w:val="List Continue 5"/>
    <w:basedOn w:val="Normal"/>
    <w:semiHidden/>
    <w:rsid w:val="00E56A6F"/>
    <w:pPr>
      <w:ind w:left="1415"/>
    </w:pPr>
  </w:style>
  <w:style w:type="paragraph" w:styleId="ListNumber">
    <w:name w:val="List Number"/>
    <w:basedOn w:val="Normal"/>
    <w:semiHidden/>
    <w:rsid w:val="00E56A6F"/>
    <w:pPr>
      <w:numPr>
        <w:numId w:val="29"/>
      </w:numPr>
    </w:pPr>
  </w:style>
  <w:style w:type="paragraph" w:styleId="ListNumber2">
    <w:name w:val="List Number 2"/>
    <w:basedOn w:val="Normal"/>
    <w:semiHidden/>
    <w:rsid w:val="00E56A6F"/>
    <w:pPr>
      <w:numPr>
        <w:numId w:val="31"/>
      </w:numPr>
    </w:pPr>
  </w:style>
  <w:style w:type="paragraph" w:styleId="ListNumber3">
    <w:name w:val="List Number 3"/>
    <w:basedOn w:val="Normal"/>
    <w:semiHidden/>
    <w:rsid w:val="00E56A6F"/>
    <w:pPr>
      <w:numPr>
        <w:numId w:val="33"/>
      </w:numPr>
    </w:pPr>
  </w:style>
  <w:style w:type="paragraph" w:styleId="ListNumber4">
    <w:name w:val="List Number 4"/>
    <w:basedOn w:val="Normal"/>
    <w:semiHidden/>
    <w:rsid w:val="00E56A6F"/>
    <w:pPr>
      <w:numPr>
        <w:numId w:val="35"/>
      </w:numPr>
    </w:pPr>
  </w:style>
  <w:style w:type="paragraph" w:styleId="ListNumber5">
    <w:name w:val="List Number 5"/>
    <w:basedOn w:val="Normal"/>
    <w:semiHidden/>
    <w:rsid w:val="00E56A6F"/>
    <w:pPr>
      <w:numPr>
        <w:numId w:val="37"/>
      </w:numPr>
    </w:pPr>
  </w:style>
  <w:style w:type="paragraph" w:styleId="ListParagraph">
    <w:name w:val="List Paragraph"/>
    <w:basedOn w:val="Normal"/>
    <w:uiPriority w:val="34"/>
    <w:qFormat/>
    <w:rsid w:val="00E56A6F"/>
    <w:pPr>
      <w:ind w:left="720"/>
      <w:contextualSpacing/>
    </w:pPr>
  </w:style>
  <w:style w:type="paragraph" w:styleId="MessageHeader">
    <w:name w:val="Message Header"/>
    <w:basedOn w:val="Normal"/>
    <w:link w:val="MessageHeaderChar"/>
    <w:semiHidden/>
    <w:rsid w:val="00E56A6F"/>
    <w:pPr>
      <w:pBdr>
        <w:top w:val="single" w:sz="6" w:space="1" w:color="auto"/>
        <w:left w:val="single" w:sz="6" w:space="1" w:color="auto"/>
        <w:bottom w:val="single" w:sz="6" w:space="1" w:color="auto"/>
        <w:right w:val="single" w:sz="6" w:space="1" w:color="auto"/>
      </w:pBdr>
      <w:shd w:val="pct20" w:color="auto" w:fill="auto"/>
      <w:ind w:hanging="1134"/>
    </w:pPr>
    <w:rPr>
      <w:rFonts w:ascii="Arial" w:hAnsi="Arial" w:cs="Arial"/>
      <w:sz w:val="24"/>
      <w:szCs w:val="24"/>
    </w:rPr>
  </w:style>
  <w:style w:type="character" w:customStyle="1" w:styleId="MessageHeaderChar">
    <w:name w:val="Message Header Char"/>
    <w:basedOn w:val="DefaultParagraphFont"/>
    <w:link w:val="MessageHeader"/>
    <w:semiHidden/>
    <w:rsid w:val="00E56A6F"/>
    <w:rPr>
      <w:rFonts w:ascii="Arial" w:eastAsia="Times New Roman" w:hAnsi="Arial" w:cs="Arial"/>
      <w:sz w:val="24"/>
      <w:szCs w:val="24"/>
      <w:shd w:val="pct20" w:color="auto" w:fill="auto"/>
      <w:lang w:eastAsia="en-AU"/>
    </w:rPr>
  </w:style>
  <w:style w:type="paragraph" w:styleId="NormalWeb">
    <w:name w:val="Normal (Web)"/>
    <w:basedOn w:val="Normal"/>
    <w:uiPriority w:val="99"/>
    <w:semiHidden/>
    <w:rsid w:val="00E56A6F"/>
    <w:rPr>
      <w:sz w:val="24"/>
      <w:szCs w:val="24"/>
    </w:rPr>
  </w:style>
  <w:style w:type="paragraph" w:styleId="NormalIndent">
    <w:name w:val="Normal Indent"/>
    <w:basedOn w:val="Normal"/>
    <w:semiHidden/>
    <w:rsid w:val="00E56A6F"/>
    <w:pPr>
      <w:ind w:left="720"/>
    </w:pPr>
  </w:style>
  <w:style w:type="paragraph" w:styleId="NoteHeading">
    <w:name w:val="Note Heading"/>
    <w:basedOn w:val="Normal"/>
    <w:next w:val="Normal"/>
    <w:link w:val="NoteHeadingChar"/>
    <w:semiHidden/>
    <w:rsid w:val="00E56A6F"/>
  </w:style>
  <w:style w:type="character" w:customStyle="1" w:styleId="NoteHeadingChar">
    <w:name w:val="Note Heading Char"/>
    <w:basedOn w:val="DefaultParagraphFont"/>
    <w:link w:val="NoteHeading"/>
    <w:semiHidden/>
    <w:rsid w:val="00E56A6F"/>
    <w:rPr>
      <w:rFonts w:ascii="Times New Roman" w:eastAsia="Times New Roman" w:hAnsi="Times New Roman" w:cs="Times New Roman"/>
      <w:szCs w:val="20"/>
      <w:lang w:eastAsia="en-AU"/>
    </w:rPr>
  </w:style>
  <w:style w:type="character" w:styleId="PageNumber">
    <w:name w:val="page number"/>
    <w:basedOn w:val="DefaultParagraphFont"/>
    <w:semiHidden/>
    <w:rsid w:val="00E56A6F"/>
  </w:style>
  <w:style w:type="paragraph" w:styleId="PlainText">
    <w:name w:val="Plain Text"/>
    <w:basedOn w:val="Normal"/>
    <w:link w:val="PlainTextChar"/>
    <w:semiHidden/>
    <w:rsid w:val="00E56A6F"/>
    <w:rPr>
      <w:rFonts w:ascii="Courier New" w:hAnsi="Courier New" w:cs="Courier New"/>
      <w:sz w:val="20"/>
    </w:rPr>
  </w:style>
  <w:style w:type="character" w:customStyle="1" w:styleId="PlainTextChar">
    <w:name w:val="Plain Text Char"/>
    <w:basedOn w:val="DefaultParagraphFont"/>
    <w:link w:val="PlainText"/>
    <w:semiHidden/>
    <w:rsid w:val="00E56A6F"/>
    <w:rPr>
      <w:rFonts w:ascii="Courier New" w:eastAsia="Times New Roman" w:hAnsi="Courier New" w:cs="Courier New"/>
      <w:sz w:val="20"/>
      <w:szCs w:val="20"/>
      <w:lang w:eastAsia="en-AU"/>
    </w:rPr>
  </w:style>
  <w:style w:type="character" w:customStyle="1" w:styleId="Referencingstyle">
    <w:name w:val="Referencing style"/>
    <w:basedOn w:val="DefaultParagraphFont"/>
    <w:rsid w:val="00E56A6F"/>
    <w:rPr>
      <w:b/>
      <w:i/>
      <w:sz w:val="18"/>
    </w:rPr>
  </w:style>
  <w:style w:type="paragraph" w:customStyle="1" w:styleId="rightfooter">
    <w:name w:val="right footer"/>
    <w:basedOn w:val="Normal"/>
    <w:rsid w:val="00E56A6F"/>
    <w:pPr>
      <w:pBdr>
        <w:top w:val="single" w:sz="4" w:space="1" w:color="auto"/>
      </w:pBdr>
      <w:spacing w:before="240" w:after="0"/>
      <w:jc w:val="right"/>
    </w:pPr>
    <w:rPr>
      <w:i/>
      <w:sz w:val="20"/>
    </w:rPr>
  </w:style>
  <w:style w:type="paragraph" w:customStyle="1" w:styleId="rightheader">
    <w:name w:val="right header"/>
    <w:basedOn w:val="Normal"/>
    <w:rsid w:val="00E56A6F"/>
    <w:pPr>
      <w:pBdr>
        <w:bottom w:val="single" w:sz="4" w:space="1" w:color="auto"/>
      </w:pBdr>
      <w:jc w:val="right"/>
    </w:pPr>
    <w:rPr>
      <w:i/>
      <w:sz w:val="20"/>
    </w:rPr>
  </w:style>
  <w:style w:type="paragraph" w:styleId="Salutation">
    <w:name w:val="Salutation"/>
    <w:basedOn w:val="Normal"/>
    <w:next w:val="Normal"/>
    <w:link w:val="SalutationChar"/>
    <w:semiHidden/>
    <w:rsid w:val="00E56A6F"/>
  </w:style>
  <w:style w:type="character" w:customStyle="1" w:styleId="SalutationChar">
    <w:name w:val="Salutation Char"/>
    <w:basedOn w:val="DefaultParagraphFont"/>
    <w:link w:val="Salutation"/>
    <w:semiHidden/>
    <w:rsid w:val="00E56A6F"/>
    <w:rPr>
      <w:rFonts w:ascii="Times New Roman" w:eastAsia="Times New Roman" w:hAnsi="Times New Roman" w:cs="Times New Roman"/>
      <w:szCs w:val="20"/>
      <w:lang w:eastAsia="en-AU"/>
    </w:rPr>
  </w:style>
  <w:style w:type="paragraph" w:styleId="Signature">
    <w:name w:val="Signature"/>
    <w:basedOn w:val="Normal"/>
    <w:link w:val="SignatureChar"/>
    <w:semiHidden/>
    <w:rsid w:val="00E56A6F"/>
    <w:pPr>
      <w:ind w:left="4252"/>
    </w:pPr>
  </w:style>
  <w:style w:type="character" w:customStyle="1" w:styleId="SignatureChar">
    <w:name w:val="Signature Char"/>
    <w:basedOn w:val="DefaultParagraphFont"/>
    <w:link w:val="Signature"/>
    <w:semiHidden/>
    <w:rsid w:val="00E56A6F"/>
    <w:rPr>
      <w:rFonts w:ascii="Times New Roman" w:eastAsia="Times New Roman" w:hAnsi="Times New Roman" w:cs="Times New Roman"/>
      <w:szCs w:val="20"/>
      <w:lang w:eastAsia="en-AU"/>
    </w:rPr>
  </w:style>
  <w:style w:type="paragraph" w:customStyle="1" w:styleId="SingleParagraph">
    <w:name w:val="Single Paragraph"/>
    <w:basedOn w:val="Normal"/>
    <w:rsid w:val="00E56A6F"/>
    <w:pPr>
      <w:spacing w:after="0"/>
    </w:pPr>
  </w:style>
  <w:style w:type="character" w:styleId="Strong">
    <w:name w:val="Strong"/>
    <w:basedOn w:val="DefaultParagraphFont"/>
    <w:qFormat/>
    <w:rsid w:val="00E56A6F"/>
    <w:rPr>
      <w:b/>
      <w:bCs/>
    </w:rPr>
  </w:style>
  <w:style w:type="paragraph" w:styleId="Subtitle">
    <w:name w:val="Subtitle"/>
    <w:basedOn w:val="Normal"/>
    <w:link w:val="SubtitleChar"/>
    <w:qFormat/>
    <w:rsid w:val="00E56A6F"/>
    <w:pPr>
      <w:spacing w:after="60"/>
      <w:jc w:val="center"/>
      <w:outlineLvl w:val="1"/>
    </w:pPr>
    <w:rPr>
      <w:rFonts w:ascii="Arial" w:hAnsi="Arial" w:cs="Arial"/>
      <w:sz w:val="24"/>
      <w:szCs w:val="24"/>
    </w:rPr>
  </w:style>
  <w:style w:type="character" w:customStyle="1" w:styleId="SubtitleChar">
    <w:name w:val="Subtitle Char"/>
    <w:basedOn w:val="DefaultParagraphFont"/>
    <w:link w:val="Subtitle"/>
    <w:rsid w:val="00E56A6F"/>
    <w:rPr>
      <w:rFonts w:ascii="Arial" w:eastAsia="Times New Roman" w:hAnsi="Arial" w:cs="Arial"/>
      <w:sz w:val="24"/>
      <w:szCs w:val="24"/>
      <w:lang w:eastAsia="en-AU"/>
    </w:rPr>
  </w:style>
  <w:style w:type="table" w:styleId="Table3Deffects1">
    <w:name w:val="Table 3D effects 1"/>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E56A6F"/>
    <w:pPr>
      <w:spacing w:before="120" w:after="120" w:line="240" w:lineRule="auto"/>
      <w:ind w:left="1134"/>
    </w:pPr>
    <w:rPr>
      <w:rFonts w:ascii="Times New Roman" w:eastAsia="Times New Roman" w:hAnsi="Times New Roman" w:cs="Times New Roman"/>
      <w:color w:val="000080"/>
      <w:sz w:val="20"/>
      <w:szCs w:val="20"/>
      <w:lang w:eastAsia="en-A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E56A6F"/>
    <w:pPr>
      <w:spacing w:before="120" w:after="120" w:line="240" w:lineRule="auto"/>
      <w:ind w:left="1134"/>
    </w:pPr>
    <w:rPr>
      <w:rFonts w:ascii="Times New Roman" w:eastAsia="Times New Roman" w:hAnsi="Times New Roman" w:cs="Times New Roman"/>
      <w:color w:val="FFFFFF"/>
      <w:sz w:val="20"/>
      <w:szCs w:val="20"/>
      <w:lang w:eastAsia="en-A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E56A6F"/>
    <w:pPr>
      <w:spacing w:before="120" w:after="120" w:line="240" w:lineRule="auto"/>
      <w:ind w:left="1134"/>
    </w:pPr>
    <w:rPr>
      <w:rFonts w:ascii="Times New Roman" w:eastAsia="Times New Roman" w:hAnsi="Times New Roman" w:cs="Times New Roman"/>
      <w:b/>
      <w:bCs/>
      <w:sz w:val="20"/>
      <w:szCs w:val="20"/>
      <w:lang w:eastAsia="en-A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E56A6F"/>
    <w:pPr>
      <w:spacing w:before="120" w:after="120" w:line="240" w:lineRule="auto"/>
      <w:ind w:left="1134"/>
    </w:pPr>
    <w:rPr>
      <w:rFonts w:ascii="Times New Roman" w:eastAsia="Times New Roman" w:hAnsi="Times New Roman" w:cs="Times New Roman"/>
      <w:b/>
      <w:bCs/>
      <w:sz w:val="20"/>
      <w:szCs w:val="20"/>
      <w:lang w:eastAsia="en-A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E56A6F"/>
    <w:pPr>
      <w:spacing w:before="120" w:after="120" w:line="240" w:lineRule="auto"/>
      <w:ind w:left="1134"/>
    </w:pPr>
    <w:rPr>
      <w:rFonts w:ascii="Times New Roman" w:eastAsia="Times New Roman" w:hAnsi="Times New Roman" w:cs="Times New Roman"/>
      <w:b/>
      <w:bCs/>
      <w:sz w:val="20"/>
      <w:szCs w:val="20"/>
      <w:lang w:eastAsia="en-A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customStyle="1" w:styleId="tabletext">
    <w:name w:val="table text"/>
    <w:basedOn w:val="Normal"/>
    <w:rsid w:val="00E56A6F"/>
    <w:pPr>
      <w:spacing w:before="40" w:after="40"/>
    </w:pPr>
    <w:rPr>
      <w:sz w:val="20"/>
    </w:rPr>
  </w:style>
  <w:style w:type="paragraph" w:customStyle="1" w:styleId="tabledotpoint">
    <w:name w:val="table dot point"/>
    <w:basedOn w:val="tabletext"/>
    <w:rsid w:val="00E56A6F"/>
    <w:pPr>
      <w:numPr>
        <w:numId w:val="40"/>
      </w:numPr>
    </w:pPr>
  </w:style>
  <w:style w:type="paragraph" w:customStyle="1" w:styleId="tabledotpoint2">
    <w:name w:val="table dot point 2"/>
    <w:basedOn w:val="tabletext"/>
    <w:rsid w:val="00E56A6F"/>
    <w:pPr>
      <w:numPr>
        <w:ilvl w:val="1"/>
        <w:numId w:val="40"/>
      </w:numPr>
    </w:pPr>
  </w:style>
  <w:style w:type="numbering" w:customStyle="1" w:styleId="TableDotPointList">
    <w:name w:val="Table Dot Point List"/>
    <w:uiPriority w:val="99"/>
    <w:rsid w:val="00E56A6F"/>
    <w:pPr>
      <w:numPr>
        <w:numId w:val="40"/>
      </w:numPr>
    </w:pPr>
  </w:style>
  <w:style w:type="table" w:styleId="TableElegant">
    <w:name w:val="Table Elegant"/>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E56A6F"/>
    <w:pPr>
      <w:spacing w:before="120" w:after="120" w:line="240" w:lineRule="auto"/>
      <w:ind w:left="1134"/>
    </w:pPr>
    <w:rPr>
      <w:rFonts w:ascii="Times New Roman" w:eastAsia="Times New Roman" w:hAnsi="Times New Roman" w:cs="Times New Roman"/>
      <w:b/>
      <w:bCs/>
      <w:sz w:val="20"/>
      <w:szCs w:val="20"/>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tableheaderwithintable">
    <w:name w:val="table header (within table)"/>
    <w:basedOn w:val="Heading4"/>
    <w:rsid w:val="00E56A6F"/>
    <w:pPr>
      <w:spacing w:before="60" w:after="60"/>
      <w:ind w:left="0"/>
      <w:jc w:val="center"/>
    </w:pPr>
    <w:rPr>
      <w:sz w:val="20"/>
    </w:rPr>
  </w:style>
  <w:style w:type="paragraph" w:customStyle="1" w:styleId="TableHeadingoutsidetable">
    <w:name w:val="Table Heading (outside table)"/>
    <w:basedOn w:val="Heading4"/>
    <w:rsid w:val="00E56A6F"/>
    <w:pPr>
      <w:numPr>
        <w:ilvl w:val="4"/>
        <w:numId w:val="41"/>
      </w:numPr>
      <w:tabs>
        <w:tab w:val="num" w:pos="360"/>
      </w:tabs>
    </w:pPr>
    <w:rPr>
      <w:i w:val="0"/>
    </w:rPr>
  </w:style>
  <w:style w:type="table" w:styleId="TableList1">
    <w:name w:val="Table List 1"/>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link w:val="TitleChar"/>
    <w:qFormat/>
    <w:rsid w:val="00E56A6F"/>
    <w:pPr>
      <w:spacing w:before="240" w:after="60"/>
      <w:jc w:val="center"/>
      <w:outlineLvl w:val="0"/>
    </w:pPr>
    <w:rPr>
      <w:rFonts w:ascii="Arial" w:hAnsi="Arial" w:cs="Arial"/>
      <w:b/>
      <w:bCs/>
      <w:kern w:val="28"/>
      <w:sz w:val="32"/>
      <w:szCs w:val="32"/>
    </w:rPr>
  </w:style>
  <w:style w:type="character" w:customStyle="1" w:styleId="TitleChar">
    <w:name w:val="Title Char"/>
    <w:basedOn w:val="DefaultParagraphFont"/>
    <w:link w:val="Title"/>
    <w:rsid w:val="00E56A6F"/>
    <w:rPr>
      <w:rFonts w:ascii="Arial" w:eastAsia="Times New Roman" w:hAnsi="Arial" w:cs="Arial"/>
      <w:b/>
      <w:bCs/>
      <w:kern w:val="28"/>
      <w:sz w:val="32"/>
      <w:szCs w:val="32"/>
      <w:lang w:eastAsia="en-AU"/>
    </w:rPr>
  </w:style>
  <w:style w:type="paragraph" w:styleId="TOC1">
    <w:name w:val="toc 1"/>
    <w:basedOn w:val="Heading2"/>
    <w:next w:val="TOC2"/>
    <w:uiPriority w:val="39"/>
    <w:rsid w:val="00E5385B"/>
    <w:pPr>
      <w:keepNext w:val="0"/>
      <w:tabs>
        <w:tab w:val="right" w:leader="dot" w:pos="7655"/>
      </w:tabs>
      <w:spacing w:before="240"/>
      <w:ind w:left="1758" w:right="851" w:hanging="1758"/>
    </w:pPr>
    <w:rPr>
      <w:b w:val="0"/>
      <w:sz w:val="24"/>
    </w:rPr>
  </w:style>
  <w:style w:type="paragraph" w:styleId="TOC2">
    <w:name w:val="toc 2"/>
    <w:basedOn w:val="TOC1"/>
    <w:next w:val="Normal"/>
    <w:uiPriority w:val="39"/>
    <w:rsid w:val="00E5385B"/>
    <w:pPr>
      <w:ind w:left="0" w:firstLine="0"/>
    </w:pPr>
    <w:rPr>
      <w:noProof/>
    </w:rPr>
  </w:style>
  <w:style w:type="paragraph" w:styleId="TOCHeading">
    <w:name w:val="TOC Heading"/>
    <w:basedOn w:val="Normal"/>
    <w:next w:val="base-text-paragraphnonumbers"/>
    <w:qFormat/>
    <w:rsid w:val="00E56A6F"/>
    <w:pPr>
      <w:pBdr>
        <w:top w:val="single" w:sz="4" w:space="1" w:color="auto"/>
        <w:bottom w:val="single" w:sz="4" w:space="1" w:color="auto"/>
      </w:pBdr>
      <w:spacing w:before="240" w:after="240" w:line="260" w:lineRule="atLeast"/>
    </w:pPr>
    <w:rPr>
      <w:rFonts w:ascii="Helvetica" w:hAnsi="Helvetica"/>
      <w:b/>
      <w:i/>
      <w:kern w:val="28"/>
      <w:sz w:val="38"/>
    </w:rPr>
  </w:style>
  <w:style w:type="character" w:styleId="PlaceholderText">
    <w:name w:val="Placeholder Text"/>
    <w:basedOn w:val="DefaultParagraphFont"/>
    <w:uiPriority w:val="99"/>
    <w:semiHidden/>
    <w:rsid w:val="009D7ECD"/>
    <w:rPr>
      <w:color w:val="808080"/>
    </w:rPr>
  </w:style>
  <w:style w:type="paragraph" w:customStyle="1" w:styleId="ParaCentredNoSpacing">
    <w:name w:val="ParaCentredNoSpacing"/>
    <w:basedOn w:val="Baseparagraphcentred"/>
    <w:qFormat/>
    <w:rsid w:val="00773B68"/>
    <w:pPr>
      <w:spacing w:before="0" w:after="0"/>
    </w:pPr>
  </w:style>
  <w:style w:type="character" w:customStyle="1" w:styleId="ChapterNameOnly">
    <w:name w:val="ChapterNameOnly"/>
    <w:basedOn w:val="DefaultParagraphFont"/>
    <w:uiPriority w:val="1"/>
    <w:qFormat/>
    <w:rsid w:val="000C2A9D"/>
  </w:style>
  <w:style w:type="paragraph" w:styleId="TOC3">
    <w:name w:val="toc 3"/>
    <w:basedOn w:val="Normal"/>
    <w:next w:val="Normal"/>
    <w:autoRedefine/>
    <w:uiPriority w:val="39"/>
    <w:unhideWhenUsed/>
    <w:rsid w:val="00E5385B"/>
    <w:pPr>
      <w:tabs>
        <w:tab w:val="right" w:leader="dot" w:pos="7655"/>
      </w:tabs>
      <w:spacing w:after="100"/>
      <w:ind w:left="442"/>
    </w:pPr>
  </w:style>
  <w:style w:type="table" w:customStyle="1" w:styleId="EMTable">
    <w:name w:val="EMTable"/>
    <w:basedOn w:val="TableNormal"/>
    <w:uiPriority w:val="99"/>
    <w:rsid w:val="00107A5E"/>
    <w:pPr>
      <w:spacing w:after="0" w:line="240" w:lineRule="auto"/>
    </w:pPr>
    <w:rPr>
      <w:rFonts w:ascii="Times New Roman" w:hAnsi="Times New Roman"/>
      <w:sz w:val="20"/>
    </w:rPr>
    <w:tblPr>
      <w:tblStyleRowBandSize w:val="1"/>
      <w:tblInd w:w="1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trPr>
    <w:tcPr>
      <w:vAlign w:val="center"/>
    </w:tcPr>
    <w:tblStylePr w:type="firstRow">
      <w:pPr>
        <w:jc w:val="center"/>
      </w:pPr>
      <w:rPr>
        <w:rFonts w:ascii="Times New Roman" w:hAnsi="Times New Roman"/>
        <w:b/>
        <w:i/>
        <w:sz w:val="20"/>
      </w:rPr>
      <w:tblPr>
        <w:tblCellMar>
          <w:top w:w="57" w:type="dxa"/>
          <w:left w:w="57" w:type="dxa"/>
          <w:bottom w:w="0" w:type="dxa"/>
          <w:right w:w="108" w:type="dxa"/>
        </w:tblCellMar>
      </w:tblPr>
      <w:trPr>
        <w:cantSplit/>
        <w:tblHeader/>
      </w:trPr>
    </w:tblStylePr>
  </w:style>
  <w:style w:type="paragraph" w:styleId="BalloonText">
    <w:name w:val="Balloon Text"/>
    <w:basedOn w:val="Normal"/>
    <w:link w:val="BalloonTextChar"/>
    <w:uiPriority w:val="99"/>
    <w:semiHidden/>
    <w:unhideWhenUsed/>
    <w:rsid w:val="00932A5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932A59"/>
    <w:rPr>
      <w:rFonts w:ascii="Tahoma" w:eastAsia="Times New Roman" w:hAnsi="Tahoma" w:cs="Tahoma"/>
      <w:sz w:val="16"/>
      <w:szCs w:val="16"/>
      <w:lang w:eastAsia="en-AU"/>
    </w:rPr>
  </w:style>
  <w:style w:type="character" w:styleId="CommentReference">
    <w:name w:val="annotation reference"/>
    <w:basedOn w:val="DefaultParagraphFont"/>
    <w:uiPriority w:val="99"/>
    <w:semiHidden/>
    <w:unhideWhenUsed/>
    <w:rsid w:val="008639DB"/>
    <w:rPr>
      <w:sz w:val="16"/>
      <w:szCs w:val="16"/>
    </w:rPr>
  </w:style>
  <w:style w:type="paragraph" w:styleId="CommentText">
    <w:name w:val="annotation text"/>
    <w:basedOn w:val="Normal"/>
    <w:link w:val="CommentTextChar"/>
    <w:uiPriority w:val="99"/>
    <w:semiHidden/>
    <w:unhideWhenUsed/>
    <w:rsid w:val="008639DB"/>
    <w:rPr>
      <w:sz w:val="20"/>
    </w:rPr>
  </w:style>
  <w:style w:type="character" w:customStyle="1" w:styleId="CommentTextChar">
    <w:name w:val="Comment Text Char"/>
    <w:basedOn w:val="DefaultParagraphFont"/>
    <w:link w:val="CommentText"/>
    <w:uiPriority w:val="99"/>
    <w:semiHidden/>
    <w:rsid w:val="008639DB"/>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8639DB"/>
    <w:rPr>
      <w:b/>
      <w:bCs/>
    </w:rPr>
  </w:style>
  <w:style w:type="character" w:customStyle="1" w:styleId="CommentSubjectChar">
    <w:name w:val="Comment Subject Char"/>
    <w:basedOn w:val="CommentTextChar"/>
    <w:link w:val="CommentSubject"/>
    <w:uiPriority w:val="99"/>
    <w:semiHidden/>
    <w:rsid w:val="008639DB"/>
    <w:rPr>
      <w:rFonts w:ascii="Times New Roman" w:eastAsia="Times New Roman" w:hAnsi="Times New Roman" w:cs="Times New Roman"/>
      <w:b/>
      <w:bCs/>
      <w:sz w:val="20"/>
      <w:szCs w:val="20"/>
      <w:lang w:eastAsia="en-AU"/>
    </w:rPr>
  </w:style>
  <w:style w:type="paragraph" w:styleId="Revision">
    <w:name w:val="Revision"/>
    <w:hidden/>
    <w:uiPriority w:val="99"/>
    <w:semiHidden/>
    <w:rsid w:val="00C44A88"/>
    <w:pPr>
      <w:spacing w:after="0" w:line="240" w:lineRule="auto"/>
    </w:pPr>
    <w:rPr>
      <w:rFonts w:ascii="Times New Roman" w:eastAsia="Times New Roman" w:hAnsi="Times New Roman" w:cs="Times New Roman"/>
      <w:szCs w:val="20"/>
      <w:lang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99"/>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index heading" w:uiPriority="99"/>
    <w:lsdException w:name="caption" w:uiPriority="35" w:qFormat="1"/>
    <w:lsdException w:name="table of figures" w:uiPriority="99"/>
    <w:lsdException w:name="footnote reference" w:uiPriority="99"/>
    <w:lsdException w:name="annotation reference" w:uiPriority="99"/>
    <w:lsdException w:name="endnote reference" w:uiPriority="99"/>
    <w:lsdException w:name="endnote text" w:uiPriority="99"/>
    <w:lsdException w:name="table of authorities" w:uiPriority="99"/>
    <w:lsdException w:name="macro" w:uiPriority="99"/>
    <w:lsdException w:name="toa heading" w:uiPriority="99"/>
    <w:lsdException w:name="Title" w:semiHidden="0" w:unhideWhenUsed="0" w:qFormat="1"/>
    <w:lsdException w:name="Default Paragraph Font" w:uiPriority="1"/>
    <w:lsdException w:name="Subtitle" w:semiHidden="0" w:unhideWhenUsed="0" w:qFormat="1"/>
    <w:lsdException w:name="Hyperlink" w:uiPriority="99"/>
    <w:lsdException w:name="Strong" w:semiHidden="0" w:unhideWhenUsed="0" w:qFormat="1"/>
    <w:lsdException w:name="Emphasis" w:semiHidden="0" w:unhideWhenUsed="0" w:qFormat="1"/>
    <w:lsdException w:name="Document Map" w:uiPriority="99"/>
    <w:lsdException w:name="HTML Top of Form" w:uiPriority="99"/>
    <w:lsdException w:name="HTML Bottom of Form" w:uiPriority="99"/>
    <w:lsdException w:name="Normal (Web)" w:uiPriority="99"/>
    <w:lsdException w:name="Normal Table" w:uiPriority="99"/>
    <w:lsdException w:name="annotation subject" w:uiPriority="99"/>
    <w:lsdException w:name="No List" w:uiPriority="99"/>
    <w:lsdException w:name="Balloo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qFormat="1"/>
  </w:latentStyles>
  <w:style w:type="paragraph" w:default="1" w:styleId="Normal">
    <w:name w:val="Normal"/>
    <w:qFormat/>
    <w:rsid w:val="000C2A9D"/>
    <w:pPr>
      <w:spacing w:before="120" w:after="120" w:line="240" w:lineRule="auto"/>
    </w:pPr>
    <w:rPr>
      <w:rFonts w:ascii="Times New Roman" w:eastAsia="Times New Roman" w:hAnsi="Times New Roman" w:cs="Times New Roman"/>
      <w:szCs w:val="20"/>
      <w:lang w:eastAsia="en-AU"/>
    </w:rPr>
  </w:style>
  <w:style w:type="paragraph" w:styleId="Heading1">
    <w:name w:val="heading 1"/>
    <w:basedOn w:val="Normal"/>
    <w:next w:val="base-text-paragraph"/>
    <w:link w:val="Heading1Char"/>
    <w:qFormat/>
    <w:rsid w:val="00E56A6F"/>
    <w:pPr>
      <w:keepNext/>
      <w:spacing w:before="720"/>
      <w:outlineLvl w:val="0"/>
    </w:pPr>
    <w:rPr>
      <w:rFonts w:ascii="Helvetica" w:hAnsi="Helvetica"/>
      <w:b/>
      <w:caps/>
      <w:sz w:val="28"/>
    </w:rPr>
  </w:style>
  <w:style w:type="paragraph" w:styleId="Heading2">
    <w:name w:val="heading 2"/>
    <w:basedOn w:val="Heading1"/>
    <w:next w:val="base-text-paragraph"/>
    <w:link w:val="Heading2Char"/>
    <w:qFormat/>
    <w:rsid w:val="006A05D6"/>
    <w:pPr>
      <w:spacing w:before="480" w:after="200"/>
      <w:outlineLvl w:val="1"/>
    </w:pPr>
    <w:rPr>
      <w:caps w:val="0"/>
      <w:sz w:val="26"/>
    </w:rPr>
  </w:style>
  <w:style w:type="paragraph" w:styleId="Heading3">
    <w:name w:val="heading 3"/>
    <w:basedOn w:val="Heading2"/>
    <w:next w:val="base-text-paragraph"/>
    <w:link w:val="Heading3Char"/>
    <w:qFormat/>
    <w:rsid w:val="00E56A6F"/>
    <w:pPr>
      <w:spacing w:before="240"/>
      <w:outlineLvl w:val="2"/>
    </w:pPr>
    <w:rPr>
      <w:sz w:val="22"/>
    </w:rPr>
  </w:style>
  <w:style w:type="paragraph" w:styleId="Heading4">
    <w:name w:val="heading 4"/>
    <w:basedOn w:val="Heading3"/>
    <w:next w:val="base-text-paragraph"/>
    <w:link w:val="Heading4Char"/>
    <w:qFormat/>
    <w:rsid w:val="00E56A6F"/>
    <w:pPr>
      <w:spacing w:before="120"/>
      <w:ind w:left="1134"/>
      <w:outlineLvl w:val="3"/>
    </w:pPr>
    <w:rPr>
      <w:rFonts w:ascii="Times New Roman" w:hAnsi="Times New Roman"/>
      <w:i/>
    </w:rPr>
  </w:style>
  <w:style w:type="paragraph" w:styleId="Heading5">
    <w:name w:val="heading 5"/>
    <w:basedOn w:val="Heading4"/>
    <w:next w:val="base-text-paragraph"/>
    <w:link w:val="Heading5Char"/>
    <w:qFormat/>
    <w:rsid w:val="00E56A6F"/>
    <w:pPr>
      <w:spacing w:after="60"/>
      <w:outlineLvl w:val="4"/>
    </w:pPr>
    <w:rPr>
      <w:b w:val="0"/>
      <w:bCs/>
      <w:iCs/>
      <w:szCs w:val="26"/>
    </w:rPr>
  </w:style>
  <w:style w:type="paragraph" w:styleId="Heading6">
    <w:name w:val="heading 6"/>
    <w:basedOn w:val="Heading5"/>
    <w:next w:val="base-text-paragraph"/>
    <w:link w:val="Heading6Char"/>
    <w:qFormat/>
    <w:rsid w:val="00E56A6F"/>
    <w:pPr>
      <w:outlineLvl w:val="5"/>
    </w:pPr>
    <w:rPr>
      <w:bCs w:val="0"/>
      <w:i w:val="0"/>
      <w:szCs w:val="22"/>
      <w:u w:val="single"/>
    </w:rPr>
  </w:style>
  <w:style w:type="paragraph" w:styleId="Heading7">
    <w:name w:val="heading 7"/>
    <w:basedOn w:val="Normal"/>
    <w:next w:val="Normal"/>
    <w:link w:val="Heading7Char"/>
    <w:qFormat/>
    <w:rsid w:val="00E56A6F"/>
    <w:pPr>
      <w:spacing w:before="240" w:after="60"/>
      <w:outlineLvl w:val="6"/>
    </w:pPr>
    <w:rPr>
      <w:sz w:val="24"/>
      <w:szCs w:val="24"/>
    </w:rPr>
  </w:style>
  <w:style w:type="paragraph" w:styleId="Heading8">
    <w:name w:val="heading 8"/>
    <w:basedOn w:val="Normal"/>
    <w:next w:val="Normal"/>
    <w:link w:val="Heading8Char"/>
    <w:qFormat/>
    <w:rsid w:val="00E56A6F"/>
    <w:pPr>
      <w:spacing w:before="240" w:after="60"/>
      <w:outlineLvl w:val="7"/>
    </w:pPr>
    <w:rPr>
      <w:i/>
      <w:iCs/>
      <w:sz w:val="24"/>
      <w:szCs w:val="24"/>
    </w:rPr>
  </w:style>
  <w:style w:type="paragraph" w:styleId="Heading9">
    <w:name w:val="heading 9"/>
    <w:basedOn w:val="Normal"/>
    <w:next w:val="Normal"/>
    <w:link w:val="Heading9Char"/>
    <w:qFormat/>
    <w:rsid w:val="00E56A6F"/>
    <w:p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styleId="111111">
    <w:name w:val="Outline List 2"/>
    <w:basedOn w:val="NoList"/>
    <w:semiHidden/>
    <w:rsid w:val="00E56A6F"/>
    <w:pPr>
      <w:numPr>
        <w:numId w:val="1"/>
      </w:numPr>
    </w:pPr>
  </w:style>
  <w:style w:type="numbering" w:styleId="1ai">
    <w:name w:val="Outline List 1"/>
    <w:basedOn w:val="NoList"/>
    <w:semiHidden/>
    <w:rsid w:val="00E56A6F"/>
    <w:pPr>
      <w:numPr>
        <w:numId w:val="4"/>
      </w:numPr>
    </w:pPr>
  </w:style>
  <w:style w:type="character" w:customStyle="1" w:styleId="Heading1Char">
    <w:name w:val="Heading 1 Char"/>
    <w:basedOn w:val="DefaultParagraphFont"/>
    <w:link w:val="Heading1"/>
    <w:rsid w:val="00E56A6F"/>
    <w:rPr>
      <w:rFonts w:ascii="Helvetica" w:eastAsia="Times New Roman" w:hAnsi="Helvetica" w:cs="Times New Roman"/>
      <w:b/>
      <w:caps/>
      <w:sz w:val="28"/>
      <w:szCs w:val="20"/>
      <w:lang w:eastAsia="en-AU"/>
    </w:rPr>
  </w:style>
  <w:style w:type="character" w:customStyle="1" w:styleId="Heading2Char">
    <w:name w:val="Heading 2 Char"/>
    <w:basedOn w:val="DefaultParagraphFont"/>
    <w:link w:val="Heading2"/>
    <w:rsid w:val="006A05D6"/>
    <w:rPr>
      <w:rFonts w:ascii="Helvetica" w:eastAsia="Times New Roman" w:hAnsi="Helvetica" w:cs="Times New Roman"/>
      <w:b/>
      <w:sz w:val="26"/>
      <w:szCs w:val="20"/>
      <w:lang w:eastAsia="en-AU"/>
    </w:rPr>
  </w:style>
  <w:style w:type="character" w:customStyle="1" w:styleId="Heading3Char">
    <w:name w:val="Heading 3 Char"/>
    <w:basedOn w:val="DefaultParagraphFont"/>
    <w:link w:val="Heading3"/>
    <w:rsid w:val="00E56A6F"/>
    <w:rPr>
      <w:rFonts w:ascii="Helvetica" w:eastAsia="Times New Roman" w:hAnsi="Helvetica" w:cs="Times New Roman"/>
      <w:b/>
      <w:szCs w:val="20"/>
      <w:lang w:eastAsia="en-AU"/>
    </w:rPr>
  </w:style>
  <w:style w:type="character" w:customStyle="1" w:styleId="Heading4Char">
    <w:name w:val="Heading 4 Char"/>
    <w:basedOn w:val="DefaultParagraphFont"/>
    <w:link w:val="Heading4"/>
    <w:rsid w:val="00E56A6F"/>
    <w:rPr>
      <w:rFonts w:ascii="Times New Roman" w:eastAsia="Times New Roman" w:hAnsi="Times New Roman" w:cs="Times New Roman"/>
      <w:b/>
      <w:i/>
      <w:szCs w:val="20"/>
      <w:lang w:eastAsia="en-AU"/>
    </w:rPr>
  </w:style>
  <w:style w:type="character" w:customStyle="1" w:styleId="Heading5Char">
    <w:name w:val="Heading 5 Char"/>
    <w:basedOn w:val="DefaultParagraphFont"/>
    <w:link w:val="Heading5"/>
    <w:rsid w:val="00E56A6F"/>
    <w:rPr>
      <w:rFonts w:ascii="Times New Roman" w:eastAsia="Times New Roman" w:hAnsi="Times New Roman" w:cs="Times New Roman"/>
      <w:bCs/>
      <w:i/>
      <w:iCs/>
      <w:szCs w:val="26"/>
      <w:lang w:eastAsia="en-AU"/>
    </w:rPr>
  </w:style>
  <w:style w:type="character" w:customStyle="1" w:styleId="Heading6Char">
    <w:name w:val="Heading 6 Char"/>
    <w:basedOn w:val="DefaultParagraphFont"/>
    <w:link w:val="Heading6"/>
    <w:rsid w:val="00E56A6F"/>
    <w:rPr>
      <w:rFonts w:ascii="Times New Roman" w:eastAsia="Times New Roman" w:hAnsi="Times New Roman" w:cs="Times New Roman"/>
      <w:iCs/>
      <w:u w:val="single"/>
      <w:lang w:eastAsia="en-AU"/>
    </w:rPr>
  </w:style>
  <w:style w:type="character" w:customStyle="1" w:styleId="Heading7Char">
    <w:name w:val="Heading 7 Char"/>
    <w:basedOn w:val="DefaultParagraphFont"/>
    <w:link w:val="Heading7"/>
    <w:rsid w:val="00E56A6F"/>
    <w:rPr>
      <w:rFonts w:ascii="Times New Roman" w:eastAsia="Times New Roman" w:hAnsi="Times New Roman" w:cs="Times New Roman"/>
      <w:sz w:val="24"/>
      <w:szCs w:val="24"/>
      <w:lang w:eastAsia="en-AU"/>
    </w:rPr>
  </w:style>
  <w:style w:type="character" w:customStyle="1" w:styleId="Heading8Char">
    <w:name w:val="Heading 8 Char"/>
    <w:basedOn w:val="DefaultParagraphFont"/>
    <w:link w:val="Heading8"/>
    <w:rsid w:val="00E56A6F"/>
    <w:rPr>
      <w:rFonts w:ascii="Times New Roman" w:eastAsia="Times New Roman" w:hAnsi="Times New Roman" w:cs="Times New Roman"/>
      <w:i/>
      <w:iCs/>
      <w:sz w:val="24"/>
      <w:szCs w:val="24"/>
      <w:lang w:eastAsia="en-AU"/>
    </w:rPr>
  </w:style>
  <w:style w:type="character" w:customStyle="1" w:styleId="Heading9Char">
    <w:name w:val="Heading 9 Char"/>
    <w:basedOn w:val="DefaultParagraphFont"/>
    <w:link w:val="Heading9"/>
    <w:rsid w:val="00E56A6F"/>
    <w:rPr>
      <w:rFonts w:ascii="Arial" w:eastAsia="Times New Roman" w:hAnsi="Arial" w:cs="Arial"/>
      <w:lang w:eastAsia="en-AU"/>
    </w:rPr>
  </w:style>
  <w:style w:type="numbering" w:styleId="ArticleSection">
    <w:name w:val="Outline List 3"/>
    <w:basedOn w:val="NoList"/>
    <w:semiHidden/>
    <w:rsid w:val="00E56A6F"/>
    <w:pPr>
      <w:numPr>
        <w:numId w:val="6"/>
      </w:numPr>
    </w:pPr>
  </w:style>
  <w:style w:type="paragraph" w:customStyle="1" w:styleId="Baseparagraphcentred">
    <w:name w:val="Base paragraph centred"/>
    <w:basedOn w:val="Normal"/>
    <w:rsid w:val="00734F84"/>
    <w:pPr>
      <w:spacing w:before="200" w:after="200"/>
      <w:jc w:val="center"/>
    </w:pPr>
  </w:style>
  <w:style w:type="paragraph" w:customStyle="1" w:styleId="base-text-paragraph">
    <w:name w:val="base-text-paragraph"/>
    <w:basedOn w:val="Normal"/>
    <w:link w:val="base-text-paragraphChar"/>
    <w:qFormat/>
    <w:rsid w:val="00E56A6F"/>
    <w:pPr>
      <w:numPr>
        <w:ilvl w:val="1"/>
        <w:numId w:val="41"/>
      </w:numPr>
    </w:pPr>
  </w:style>
  <w:style w:type="character" w:customStyle="1" w:styleId="base-text-paragraphChar">
    <w:name w:val="base-text-paragraph Char"/>
    <w:basedOn w:val="DefaultParagraphFont"/>
    <w:link w:val="base-text-paragraph"/>
    <w:rsid w:val="00E56A6F"/>
    <w:rPr>
      <w:rFonts w:ascii="Times New Roman" w:eastAsia="Times New Roman" w:hAnsi="Times New Roman" w:cs="Times New Roman"/>
      <w:szCs w:val="20"/>
      <w:lang w:eastAsia="en-AU"/>
    </w:rPr>
  </w:style>
  <w:style w:type="paragraph" w:customStyle="1" w:styleId="base-text-paragraphnonumbers">
    <w:name w:val="base-text-paragraph no numbers"/>
    <w:basedOn w:val="Normal"/>
    <w:qFormat/>
    <w:rsid w:val="00E56A6F"/>
    <w:pPr>
      <w:ind w:left="1134"/>
    </w:pPr>
  </w:style>
  <w:style w:type="paragraph" w:customStyle="1" w:styleId="BillName">
    <w:name w:val="Bill Name"/>
    <w:basedOn w:val="Normal"/>
    <w:next w:val="Baseparagraphcentred"/>
    <w:rsid w:val="00734F84"/>
    <w:pPr>
      <w:pBdr>
        <w:top w:val="single" w:sz="4" w:space="12" w:color="auto"/>
        <w:bottom w:val="single" w:sz="4" w:space="12" w:color="auto"/>
      </w:pBdr>
      <w:spacing w:before="200" w:after="200"/>
      <w:jc w:val="center"/>
    </w:pPr>
    <w:rPr>
      <w:caps/>
    </w:rPr>
  </w:style>
  <w:style w:type="paragraph" w:styleId="BlockText">
    <w:name w:val="Block Text"/>
    <w:basedOn w:val="Normal"/>
    <w:semiHidden/>
    <w:rsid w:val="00E56A6F"/>
    <w:pPr>
      <w:ind w:left="1440" w:right="1440"/>
    </w:pPr>
  </w:style>
  <w:style w:type="paragraph" w:styleId="BodyText">
    <w:name w:val="Body Text"/>
    <w:basedOn w:val="Normal"/>
    <w:link w:val="BodyTextChar"/>
    <w:semiHidden/>
    <w:rsid w:val="00E56A6F"/>
  </w:style>
  <w:style w:type="character" w:customStyle="1" w:styleId="BodyTextChar">
    <w:name w:val="Body Text Char"/>
    <w:basedOn w:val="DefaultParagraphFont"/>
    <w:link w:val="BodyText"/>
    <w:semiHidden/>
    <w:rsid w:val="00E56A6F"/>
    <w:rPr>
      <w:rFonts w:ascii="Times New Roman" w:eastAsia="Times New Roman" w:hAnsi="Times New Roman" w:cs="Times New Roman"/>
      <w:szCs w:val="20"/>
      <w:lang w:eastAsia="en-AU"/>
    </w:rPr>
  </w:style>
  <w:style w:type="paragraph" w:styleId="BodyText2">
    <w:name w:val="Body Text 2"/>
    <w:basedOn w:val="Normal"/>
    <w:link w:val="BodyText2Char"/>
    <w:semiHidden/>
    <w:rsid w:val="00E56A6F"/>
    <w:pPr>
      <w:spacing w:line="480" w:lineRule="auto"/>
    </w:pPr>
  </w:style>
  <w:style w:type="character" w:customStyle="1" w:styleId="BodyText2Char">
    <w:name w:val="Body Text 2 Char"/>
    <w:basedOn w:val="DefaultParagraphFont"/>
    <w:link w:val="BodyText2"/>
    <w:semiHidden/>
    <w:rsid w:val="00E56A6F"/>
    <w:rPr>
      <w:rFonts w:ascii="Times New Roman" w:eastAsia="Times New Roman" w:hAnsi="Times New Roman" w:cs="Times New Roman"/>
      <w:szCs w:val="20"/>
      <w:lang w:eastAsia="en-AU"/>
    </w:rPr>
  </w:style>
  <w:style w:type="paragraph" w:styleId="BodyText3">
    <w:name w:val="Body Text 3"/>
    <w:basedOn w:val="Normal"/>
    <w:link w:val="BodyText3Char"/>
    <w:semiHidden/>
    <w:rsid w:val="00E56A6F"/>
    <w:rPr>
      <w:sz w:val="16"/>
      <w:szCs w:val="16"/>
    </w:rPr>
  </w:style>
  <w:style w:type="character" w:customStyle="1" w:styleId="BodyText3Char">
    <w:name w:val="Body Text 3 Char"/>
    <w:basedOn w:val="DefaultParagraphFont"/>
    <w:link w:val="BodyText3"/>
    <w:semiHidden/>
    <w:rsid w:val="00E56A6F"/>
    <w:rPr>
      <w:rFonts w:ascii="Times New Roman" w:eastAsia="Times New Roman" w:hAnsi="Times New Roman" w:cs="Times New Roman"/>
      <w:sz w:val="16"/>
      <w:szCs w:val="16"/>
      <w:lang w:eastAsia="en-AU"/>
    </w:rPr>
  </w:style>
  <w:style w:type="paragraph" w:styleId="BodyTextFirstIndent">
    <w:name w:val="Body Text First Indent"/>
    <w:basedOn w:val="BodyText"/>
    <w:link w:val="BodyTextFirstIndentChar"/>
    <w:semiHidden/>
    <w:rsid w:val="00E56A6F"/>
    <w:pPr>
      <w:ind w:firstLine="210"/>
    </w:pPr>
  </w:style>
  <w:style w:type="character" w:customStyle="1" w:styleId="BodyTextFirstIndentChar">
    <w:name w:val="Body Text First Indent Char"/>
    <w:basedOn w:val="BodyTextChar"/>
    <w:link w:val="BodyTextFirstIndent"/>
    <w:semiHidden/>
    <w:rsid w:val="00E56A6F"/>
    <w:rPr>
      <w:rFonts w:ascii="Times New Roman" w:eastAsia="Times New Roman" w:hAnsi="Times New Roman" w:cs="Times New Roman"/>
      <w:szCs w:val="20"/>
      <w:lang w:eastAsia="en-AU"/>
    </w:rPr>
  </w:style>
  <w:style w:type="paragraph" w:styleId="BodyTextIndent">
    <w:name w:val="Body Text Indent"/>
    <w:basedOn w:val="Normal"/>
    <w:link w:val="BodyTextIndentChar"/>
    <w:semiHidden/>
    <w:rsid w:val="00E56A6F"/>
    <w:pPr>
      <w:ind w:left="283"/>
    </w:pPr>
  </w:style>
  <w:style w:type="character" w:customStyle="1" w:styleId="BodyTextIndentChar">
    <w:name w:val="Body Text Indent Char"/>
    <w:basedOn w:val="DefaultParagraphFont"/>
    <w:link w:val="BodyTextIndent"/>
    <w:semiHidden/>
    <w:rsid w:val="00E56A6F"/>
    <w:rPr>
      <w:rFonts w:ascii="Times New Roman" w:eastAsia="Times New Roman" w:hAnsi="Times New Roman" w:cs="Times New Roman"/>
      <w:szCs w:val="20"/>
      <w:lang w:eastAsia="en-AU"/>
    </w:rPr>
  </w:style>
  <w:style w:type="paragraph" w:styleId="BodyTextFirstIndent2">
    <w:name w:val="Body Text First Indent 2"/>
    <w:basedOn w:val="BodyTextIndent"/>
    <w:link w:val="BodyTextFirstIndent2Char"/>
    <w:semiHidden/>
    <w:rsid w:val="00E56A6F"/>
    <w:pPr>
      <w:ind w:firstLine="210"/>
    </w:pPr>
  </w:style>
  <w:style w:type="character" w:customStyle="1" w:styleId="BodyTextFirstIndent2Char">
    <w:name w:val="Body Text First Indent 2 Char"/>
    <w:basedOn w:val="BodyTextIndentChar"/>
    <w:link w:val="BodyTextFirstIndent2"/>
    <w:semiHidden/>
    <w:rsid w:val="00E56A6F"/>
    <w:rPr>
      <w:rFonts w:ascii="Times New Roman" w:eastAsia="Times New Roman" w:hAnsi="Times New Roman" w:cs="Times New Roman"/>
      <w:szCs w:val="20"/>
      <w:lang w:eastAsia="en-AU"/>
    </w:rPr>
  </w:style>
  <w:style w:type="paragraph" w:styleId="BodyTextIndent2">
    <w:name w:val="Body Text Indent 2"/>
    <w:basedOn w:val="Normal"/>
    <w:link w:val="BodyTextIndent2Char"/>
    <w:semiHidden/>
    <w:rsid w:val="00E56A6F"/>
    <w:pPr>
      <w:spacing w:line="480" w:lineRule="auto"/>
      <w:ind w:left="283"/>
    </w:pPr>
  </w:style>
  <w:style w:type="character" w:customStyle="1" w:styleId="BodyTextIndent2Char">
    <w:name w:val="Body Text Indent 2 Char"/>
    <w:basedOn w:val="DefaultParagraphFont"/>
    <w:link w:val="BodyTextIndent2"/>
    <w:semiHidden/>
    <w:rsid w:val="00E56A6F"/>
    <w:rPr>
      <w:rFonts w:ascii="Times New Roman" w:eastAsia="Times New Roman" w:hAnsi="Times New Roman" w:cs="Times New Roman"/>
      <w:szCs w:val="20"/>
      <w:lang w:eastAsia="en-AU"/>
    </w:rPr>
  </w:style>
  <w:style w:type="paragraph" w:styleId="BodyTextIndent3">
    <w:name w:val="Body Text Indent 3"/>
    <w:basedOn w:val="Normal"/>
    <w:link w:val="BodyTextIndent3Char"/>
    <w:semiHidden/>
    <w:rsid w:val="00E56A6F"/>
    <w:pPr>
      <w:ind w:left="283"/>
    </w:pPr>
    <w:rPr>
      <w:sz w:val="16"/>
      <w:szCs w:val="16"/>
    </w:rPr>
  </w:style>
  <w:style w:type="character" w:customStyle="1" w:styleId="BodyTextIndent3Char">
    <w:name w:val="Body Text Indent 3 Char"/>
    <w:basedOn w:val="DefaultParagraphFont"/>
    <w:link w:val="BodyTextIndent3"/>
    <w:semiHidden/>
    <w:rsid w:val="00E56A6F"/>
    <w:rPr>
      <w:rFonts w:ascii="Times New Roman" w:eastAsia="Times New Roman" w:hAnsi="Times New Roman" w:cs="Times New Roman"/>
      <w:sz w:val="16"/>
      <w:szCs w:val="16"/>
      <w:lang w:eastAsia="en-AU"/>
    </w:rPr>
  </w:style>
  <w:style w:type="character" w:customStyle="1" w:styleId="Bold">
    <w:name w:val="Bold"/>
    <w:basedOn w:val="DefaultParagraphFont"/>
    <w:rsid w:val="00E56A6F"/>
    <w:rPr>
      <w:b/>
    </w:rPr>
  </w:style>
  <w:style w:type="character" w:customStyle="1" w:styleId="BoldItalic">
    <w:name w:val="BoldItalic"/>
    <w:basedOn w:val="DefaultParagraphFont"/>
    <w:rsid w:val="00E56A6F"/>
    <w:rPr>
      <w:b/>
      <w:i/>
    </w:rPr>
  </w:style>
  <w:style w:type="paragraph" w:customStyle="1" w:styleId="BTPwithextraspacing">
    <w:name w:val="BTP with extra spacing"/>
    <w:basedOn w:val="Normal"/>
    <w:rsid w:val="00E56A6F"/>
    <w:pPr>
      <w:spacing w:before="360" w:after="360"/>
      <w:ind w:left="1134"/>
    </w:pPr>
  </w:style>
  <w:style w:type="paragraph" w:customStyle="1" w:styleId="ChapterHeading">
    <w:name w:val="Chapter Heading"/>
    <w:next w:val="Heading2"/>
    <w:rsid w:val="006A05D6"/>
    <w:pPr>
      <w:numPr>
        <w:numId w:val="41"/>
      </w:numPr>
      <w:pBdr>
        <w:top w:val="single" w:sz="4" w:space="1" w:color="auto"/>
        <w:bottom w:val="single" w:sz="4" w:space="1" w:color="auto"/>
      </w:pBdr>
      <w:spacing w:before="240" w:after="360" w:line="260" w:lineRule="atLeast"/>
    </w:pPr>
    <w:rPr>
      <w:rFonts w:ascii="Helvetica" w:eastAsia="Times New Roman" w:hAnsi="Helvetica" w:cs="Times New Roman"/>
      <w:b/>
      <w:i/>
      <w:sz w:val="38"/>
      <w:szCs w:val="20"/>
      <w:lang w:eastAsia="en-AU"/>
    </w:rPr>
  </w:style>
  <w:style w:type="paragraph" w:customStyle="1" w:styleId="Chapterheadingsubdocument">
    <w:name w:val="Chapter heading subdocument"/>
    <w:basedOn w:val="Normal"/>
    <w:next w:val="base-text-paragraphnonumbers"/>
    <w:rsid w:val="006A05D6"/>
    <w:pPr>
      <w:pBdr>
        <w:top w:val="single" w:sz="4" w:space="1" w:color="auto"/>
        <w:bottom w:val="single" w:sz="4" w:space="1" w:color="auto"/>
      </w:pBdr>
      <w:spacing w:before="240" w:after="360" w:line="260" w:lineRule="atLeast"/>
    </w:pPr>
    <w:rPr>
      <w:rFonts w:ascii="Helvetica" w:hAnsi="Helvetica"/>
      <w:b/>
      <w:i/>
      <w:sz w:val="38"/>
    </w:rPr>
  </w:style>
  <w:style w:type="numbering" w:customStyle="1" w:styleId="ChapterList">
    <w:name w:val="ChapterList"/>
    <w:uiPriority w:val="99"/>
    <w:rsid w:val="00E56A6F"/>
    <w:pPr>
      <w:numPr>
        <w:numId w:val="9"/>
      </w:numPr>
    </w:pPr>
  </w:style>
  <w:style w:type="paragraph" w:styleId="Closing">
    <w:name w:val="Closing"/>
    <w:basedOn w:val="Normal"/>
    <w:link w:val="ClosingChar"/>
    <w:semiHidden/>
    <w:rsid w:val="00E56A6F"/>
    <w:pPr>
      <w:ind w:left="4252"/>
    </w:pPr>
  </w:style>
  <w:style w:type="character" w:customStyle="1" w:styleId="ClosingChar">
    <w:name w:val="Closing Char"/>
    <w:basedOn w:val="DefaultParagraphFont"/>
    <w:link w:val="Closing"/>
    <w:semiHidden/>
    <w:rsid w:val="00E56A6F"/>
    <w:rPr>
      <w:rFonts w:ascii="Times New Roman" w:eastAsia="Times New Roman" w:hAnsi="Times New Roman" w:cs="Times New Roman"/>
      <w:szCs w:val="20"/>
      <w:lang w:eastAsia="en-AU"/>
    </w:rPr>
  </w:style>
  <w:style w:type="paragraph" w:styleId="Date">
    <w:name w:val="Date"/>
    <w:basedOn w:val="Normal"/>
    <w:next w:val="Normal"/>
    <w:link w:val="DateChar"/>
    <w:semiHidden/>
    <w:rsid w:val="00E56A6F"/>
  </w:style>
  <w:style w:type="character" w:customStyle="1" w:styleId="DateChar">
    <w:name w:val="Date Char"/>
    <w:basedOn w:val="DefaultParagraphFont"/>
    <w:link w:val="Date"/>
    <w:semiHidden/>
    <w:rsid w:val="00E56A6F"/>
    <w:rPr>
      <w:rFonts w:ascii="Times New Roman" w:eastAsia="Times New Roman" w:hAnsi="Times New Roman" w:cs="Times New Roman"/>
      <w:szCs w:val="20"/>
      <w:lang w:eastAsia="en-AU"/>
    </w:rPr>
  </w:style>
  <w:style w:type="paragraph" w:customStyle="1" w:styleId="Diagram">
    <w:name w:val="Diagram"/>
    <w:basedOn w:val="Normal"/>
    <w:next w:val="base-text-paragraphnonumbers"/>
    <w:rsid w:val="00E56A6F"/>
    <w:pPr>
      <w:keepNext/>
      <w:numPr>
        <w:ilvl w:val="2"/>
        <w:numId w:val="41"/>
      </w:numPr>
      <w:spacing w:before="0" w:after="0"/>
    </w:pPr>
    <w:rPr>
      <w:b/>
    </w:rPr>
  </w:style>
  <w:style w:type="paragraph" w:customStyle="1" w:styleId="dotpoint">
    <w:name w:val="dot point"/>
    <w:basedOn w:val="Normal"/>
    <w:rsid w:val="00E56A6F"/>
    <w:pPr>
      <w:numPr>
        <w:numId w:val="11"/>
      </w:numPr>
    </w:pPr>
  </w:style>
  <w:style w:type="paragraph" w:customStyle="1" w:styleId="dotpoint2">
    <w:name w:val="dot point 2"/>
    <w:basedOn w:val="Normal"/>
    <w:rsid w:val="00E56A6F"/>
    <w:pPr>
      <w:numPr>
        <w:ilvl w:val="1"/>
        <w:numId w:val="13"/>
      </w:numPr>
    </w:pPr>
  </w:style>
  <w:style w:type="numbering" w:customStyle="1" w:styleId="DotPointList">
    <w:name w:val="Dot Point List"/>
    <w:uiPriority w:val="99"/>
    <w:rsid w:val="00E56A6F"/>
    <w:pPr>
      <w:numPr>
        <w:numId w:val="12"/>
      </w:numPr>
    </w:pPr>
  </w:style>
  <w:style w:type="paragraph" w:styleId="E-mailSignature">
    <w:name w:val="E-mail Signature"/>
    <w:basedOn w:val="Normal"/>
    <w:link w:val="E-mailSignatureChar"/>
    <w:semiHidden/>
    <w:rsid w:val="00E56A6F"/>
  </w:style>
  <w:style w:type="character" w:customStyle="1" w:styleId="E-mailSignatureChar">
    <w:name w:val="E-mail Signature Char"/>
    <w:basedOn w:val="DefaultParagraphFont"/>
    <w:link w:val="E-mailSignature"/>
    <w:semiHidden/>
    <w:rsid w:val="00E56A6F"/>
    <w:rPr>
      <w:rFonts w:ascii="Times New Roman" w:eastAsia="Times New Roman" w:hAnsi="Times New Roman" w:cs="Times New Roman"/>
      <w:szCs w:val="20"/>
      <w:lang w:eastAsia="en-AU"/>
    </w:rPr>
  </w:style>
  <w:style w:type="character" w:styleId="Emphasis">
    <w:name w:val="Emphasis"/>
    <w:basedOn w:val="DefaultParagraphFont"/>
    <w:qFormat/>
    <w:rsid w:val="00E56A6F"/>
    <w:rPr>
      <w:i/>
      <w:iCs/>
    </w:rPr>
  </w:style>
  <w:style w:type="paragraph" w:styleId="EnvelopeAddress">
    <w:name w:val="envelope address"/>
    <w:basedOn w:val="Normal"/>
    <w:semiHidden/>
    <w:rsid w:val="00E56A6F"/>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semiHidden/>
    <w:rsid w:val="00E56A6F"/>
    <w:rPr>
      <w:rFonts w:ascii="Arial" w:hAnsi="Arial" w:cs="Arial"/>
      <w:sz w:val="20"/>
    </w:rPr>
  </w:style>
  <w:style w:type="paragraph" w:customStyle="1" w:styleId="exampletext">
    <w:name w:val="example text"/>
    <w:basedOn w:val="Normal"/>
    <w:rsid w:val="00E56A6F"/>
    <w:pPr>
      <w:ind w:left="1985"/>
    </w:pPr>
    <w:rPr>
      <w:sz w:val="20"/>
    </w:rPr>
  </w:style>
  <w:style w:type="paragraph" w:customStyle="1" w:styleId="exampledotpoint1">
    <w:name w:val="example dot point 1"/>
    <w:basedOn w:val="exampletext"/>
    <w:rsid w:val="006A05D6"/>
    <w:pPr>
      <w:numPr>
        <w:numId w:val="16"/>
      </w:numPr>
      <w:spacing w:before="200" w:after="200"/>
      <w:ind w:left="2269" w:hanging="284"/>
    </w:pPr>
  </w:style>
  <w:style w:type="paragraph" w:customStyle="1" w:styleId="exampledotpoint2">
    <w:name w:val="example dot point 2"/>
    <w:basedOn w:val="exampletext"/>
    <w:rsid w:val="006A05D6"/>
    <w:pPr>
      <w:numPr>
        <w:ilvl w:val="1"/>
        <w:numId w:val="16"/>
      </w:numPr>
      <w:spacing w:before="200" w:after="200"/>
    </w:pPr>
  </w:style>
  <w:style w:type="numbering" w:customStyle="1" w:styleId="ExampleDotPointList">
    <w:name w:val="Example Dot Point List"/>
    <w:uiPriority w:val="99"/>
    <w:rsid w:val="00E56A6F"/>
    <w:pPr>
      <w:numPr>
        <w:numId w:val="14"/>
      </w:numPr>
    </w:pPr>
  </w:style>
  <w:style w:type="paragraph" w:customStyle="1" w:styleId="ExampleHeading">
    <w:name w:val="Example Heading"/>
    <w:basedOn w:val="Normal"/>
    <w:next w:val="exampletext"/>
    <w:rsid w:val="00E56A6F"/>
    <w:pPr>
      <w:keepNext/>
      <w:numPr>
        <w:ilvl w:val="3"/>
        <w:numId w:val="41"/>
      </w:numPr>
    </w:pPr>
    <w:rPr>
      <w:b/>
    </w:rPr>
  </w:style>
  <w:style w:type="paragraph" w:customStyle="1" w:styleId="exampleindent">
    <w:name w:val="example indent"/>
    <w:basedOn w:val="exampletext"/>
    <w:rsid w:val="00E56A6F"/>
    <w:pPr>
      <w:ind w:left="2268"/>
    </w:pPr>
  </w:style>
  <w:style w:type="character" w:styleId="FollowedHyperlink">
    <w:name w:val="FollowedHyperlink"/>
    <w:basedOn w:val="DefaultParagraphFont"/>
    <w:rsid w:val="00E56A6F"/>
    <w:rPr>
      <w:color w:val="954F72" w:themeColor="followedHyperlink"/>
      <w:u w:val="single"/>
    </w:rPr>
  </w:style>
  <w:style w:type="character" w:customStyle="1" w:styleId="Font15point">
    <w:name w:val="Font 15 point"/>
    <w:basedOn w:val="DefaultParagraphFont"/>
    <w:rsid w:val="00E56A6F"/>
    <w:rPr>
      <w:sz w:val="30"/>
    </w:rPr>
  </w:style>
  <w:style w:type="character" w:customStyle="1" w:styleId="Font19point">
    <w:name w:val="Font 19 point"/>
    <w:basedOn w:val="DefaultParagraphFont"/>
    <w:rsid w:val="00E56A6F"/>
    <w:rPr>
      <w:sz w:val="38"/>
    </w:rPr>
  </w:style>
  <w:style w:type="character" w:customStyle="1" w:styleId="Font30point">
    <w:name w:val="Font 30 point"/>
    <w:basedOn w:val="DefaultParagraphFont"/>
    <w:rsid w:val="00E56A6F"/>
    <w:rPr>
      <w:sz w:val="60"/>
    </w:rPr>
  </w:style>
  <w:style w:type="paragraph" w:styleId="Footer">
    <w:name w:val="footer"/>
    <w:basedOn w:val="Normal"/>
    <w:link w:val="FooterChar"/>
    <w:semiHidden/>
    <w:rsid w:val="00E56A6F"/>
    <w:pPr>
      <w:tabs>
        <w:tab w:val="center" w:pos="4153"/>
        <w:tab w:val="right" w:pos="8306"/>
      </w:tabs>
    </w:pPr>
  </w:style>
  <w:style w:type="character" w:customStyle="1" w:styleId="FooterChar">
    <w:name w:val="Footer Char"/>
    <w:basedOn w:val="DefaultParagraphFont"/>
    <w:link w:val="Footer"/>
    <w:semiHidden/>
    <w:rsid w:val="00E56A6F"/>
    <w:rPr>
      <w:rFonts w:ascii="Times New Roman" w:eastAsia="Times New Roman" w:hAnsi="Times New Roman" w:cs="Times New Roman"/>
      <w:szCs w:val="20"/>
      <w:lang w:eastAsia="en-AU"/>
    </w:rPr>
  </w:style>
  <w:style w:type="paragraph" w:styleId="FootnoteText">
    <w:name w:val="footnote text"/>
    <w:basedOn w:val="Normal"/>
    <w:link w:val="FootnoteTextChar"/>
    <w:rsid w:val="00E56A6F"/>
    <w:pPr>
      <w:tabs>
        <w:tab w:val="left" w:pos="284"/>
      </w:tabs>
      <w:spacing w:before="0" w:after="0"/>
      <w:ind w:left="284" w:hanging="284"/>
    </w:pPr>
    <w:rPr>
      <w:sz w:val="20"/>
    </w:rPr>
  </w:style>
  <w:style w:type="character" w:customStyle="1" w:styleId="FootnoteTextChar">
    <w:name w:val="Footnote Text Char"/>
    <w:basedOn w:val="DefaultParagraphFont"/>
    <w:link w:val="FootnoteText"/>
    <w:rsid w:val="00E56A6F"/>
    <w:rPr>
      <w:rFonts w:ascii="Times New Roman" w:eastAsia="Times New Roman" w:hAnsi="Times New Roman" w:cs="Times New Roman"/>
      <w:sz w:val="20"/>
      <w:szCs w:val="20"/>
      <w:lang w:eastAsia="en-AU"/>
    </w:rPr>
  </w:style>
  <w:style w:type="paragraph" w:customStyle="1" w:styleId="Glossarytabletext">
    <w:name w:val="Glossary table text"/>
    <w:basedOn w:val="Normal"/>
    <w:rsid w:val="00E56A6F"/>
    <w:pPr>
      <w:spacing w:before="60" w:after="60"/>
    </w:pPr>
    <w:rPr>
      <w:sz w:val="20"/>
    </w:rPr>
  </w:style>
  <w:style w:type="paragraph" w:styleId="Header">
    <w:name w:val="header"/>
    <w:basedOn w:val="Normal"/>
    <w:link w:val="HeaderChar"/>
    <w:semiHidden/>
    <w:rsid w:val="00E56A6F"/>
    <w:pPr>
      <w:tabs>
        <w:tab w:val="center" w:pos="4153"/>
        <w:tab w:val="right" w:pos="8306"/>
      </w:tabs>
    </w:pPr>
  </w:style>
  <w:style w:type="character" w:customStyle="1" w:styleId="HeaderChar">
    <w:name w:val="Header Char"/>
    <w:basedOn w:val="DefaultParagraphFont"/>
    <w:link w:val="Header"/>
    <w:semiHidden/>
    <w:rsid w:val="00E56A6F"/>
    <w:rPr>
      <w:rFonts w:ascii="Times New Roman" w:eastAsia="Times New Roman" w:hAnsi="Times New Roman" w:cs="Times New Roman"/>
      <w:szCs w:val="20"/>
      <w:lang w:eastAsia="en-AU"/>
    </w:rPr>
  </w:style>
  <w:style w:type="paragraph" w:customStyle="1" w:styleId="Heading2with18pointafter">
    <w:name w:val="Heading 2 with 18 point after"/>
    <w:basedOn w:val="Heading2"/>
    <w:next w:val="Normal"/>
    <w:rsid w:val="00E56A6F"/>
    <w:pPr>
      <w:spacing w:after="360"/>
    </w:pPr>
  </w:style>
  <w:style w:type="paragraph" w:customStyle="1" w:styleId="Hiddentext">
    <w:name w:val="Hiddentext"/>
    <w:basedOn w:val="Normal"/>
    <w:rsid w:val="00E56A6F"/>
    <w:rPr>
      <w:vanish/>
    </w:rPr>
  </w:style>
  <w:style w:type="character" w:styleId="HTMLAcronym">
    <w:name w:val="HTML Acronym"/>
    <w:basedOn w:val="DefaultParagraphFont"/>
    <w:semiHidden/>
    <w:rsid w:val="00E56A6F"/>
  </w:style>
  <w:style w:type="paragraph" w:styleId="HTMLAddress">
    <w:name w:val="HTML Address"/>
    <w:basedOn w:val="Normal"/>
    <w:link w:val="HTMLAddressChar"/>
    <w:semiHidden/>
    <w:rsid w:val="00E56A6F"/>
    <w:rPr>
      <w:i/>
      <w:iCs/>
    </w:rPr>
  </w:style>
  <w:style w:type="character" w:customStyle="1" w:styleId="HTMLAddressChar">
    <w:name w:val="HTML Address Char"/>
    <w:basedOn w:val="DefaultParagraphFont"/>
    <w:link w:val="HTMLAddress"/>
    <w:semiHidden/>
    <w:rsid w:val="00E56A6F"/>
    <w:rPr>
      <w:rFonts w:ascii="Times New Roman" w:eastAsia="Times New Roman" w:hAnsi="Times New Roman" w:cs="Times New Roman"/>
      <w:i/>
      <w:iCs/>
      <w:szCs w:val="20"/>
      <w:lang w:eastAsia="en-AU"/>
    </w:rPr>
  </w:style>
  <w:style w:type="character" w:styleId="HTMLCite">
    <w:name w:val="HTML Cite"/>
    <w:basedOn w:val="DefaultParagraphFont"/>
    <w:semiHidden/>
    <w:rsid w:val="00E56A6F"/>
    <w:rPr>
      <w:i/>
      <w:iCs/>
    </w:rPr>
  </w:style>
  <w:style w:type="character" w:styleId="HTMLCode">
    <w:name w:val="HTML Code"/>
    <w:basedOn w:val="DefaultParagraphFont"/>
    <w:semiHidden/>
    <w:rsid w:val="00E56A6F"/>
    <w:rPr>
      <w:rFonts w:ascii="Courier New" w:hAnsi="Courier New" w:cs="Courier New"/>
      <w:sz w:val="20"/>
      <w:szCs w:val="20"/>
    </w:rPr>
  </w:style>
  <w:style w:type="character" w:styleId="HTMLDefinition">
    <w:name w:val="HTML Definition"/>
    <w:basedOn w:val="DefaultParagraphFont"/>
    <w:semiHidden/>
    <w:rsid w:val="00E56A6F"/>
    <w:rPr>
      <w:i/>
      <w:iCs/>
    </w:rPr>
  </w:style>
  <w:style w:type="character" w:styleId="HTMLKeyboard">
    <w:name w:val="HTML Keyboard"/>
    <w:basedOn w:val="DefaultParagraphFont"/>
    <w:semiHidden/>
    <w:rsid w:val="00E56A6F"/>
    <w:rPr>
      <w:rFonts w:ascii="Courier New" w:hAnsi="Courier New" w:cs="Courier New"/>
      <w:sz w:val="20"/>
      <w:szCs w:val="20"/>
    </w:rPr>
  </w:style>
  <w:style w:type="paragraph" w:styleId="HTMLPreformatted">
    <w:name w:val="HTML Preformatted"/>
    <w:basedOn w:val="Normal"/>
    <w:link w:val="HTMLPreformattedChar"/>
    <w:semiHidden/>
    <w:rsid w:val="00E56A6F"/>
    <w:rPr>
      <w:rFonts w:ascii="Courier New" w:hAnsi="Courier New" w:cs="Courier New"/>
      <w:sz w:val="20"/>
    </w:rPr>
  </w:style>
  <w:style w:type="character" w:customStyle="1" w:styleId="HTMLPreformattedChar">
    <w:name w:val="HTML Preformatted Char"/>
    <w:basedOn w:val="DefaultParagraphFont"/>
    <w:link w:val="HTMLPreformatted"/>
    <w:semiHidden/>
    <w:rsid w:val="00E56A6F"/>
    <w:rPr>
      <w:rFonts w:ascii="Courier New" w:eastAsia="Times New Roman" w:hAnsi="Courier New" w:cs="Courier New"/>
      <w:sz w:val="20"/>
      <w:szCs w:val="20"/>
      <w:lang w:eastAsia="en-AU"/>
    </w:rPr>
  </w:style>
  <w:style w:type="character" w:styleId="HTMLSample">
    <w:name w:val="HTML Sample"/>
    <w:basedOn w:val="DefaultParagraphFont"/>
    <w:semiHidden/>
    <w:rsid w:val="00E56A6F"/>
    <w:rPr>
      <w:rFonts w:ascii="Courier New" w:hAnsi="Courier New" w:cs="Courier New"/>
    </w:rPr>
  </w:style>
  <w:style w:type="character" w:styleId="HTMLTypewriter">
    <w:name w:val="HTML Typewriter"/>
    <w:basedOn w:val="DefaultParagraphFont"/>
    <w:semiHidden/>
    <w:rsid w:val="00E56A6F"/>
    <w:rPr>
      <w:rFonts w:ascii="Courier New" w:hAnsi="Courier New" w:cs="Courier New"/>
      <w:sz w:val="20"/>
      <w:szCs w:val="20"/>
    </w:rPr>
  </w:style>
  <w:style w:type="character" w:styleId="HTMLVariable">
    <w:name w:val="HTML Variable"/>
    <w:basedOn w:val="DefaultParagraphFont"/>
    <w:semiHidden/>
    <w:rsid w:val="00E56A6F"/>
    <w:rPr>
      <w:i/>
      <w:iCs/>
    </w:rPr>
  </w:style>
  <w:style w:type="character" w:styleId="Hyperlink">
    <w:name w:val="Hyperlink"/>
    <w:basedOn w:val="DefaultParagraphFont"/>
    <w:uiPriority w:val="99"/>
    <w:rsid w:val="00E56A6F"/>
    <w:rPr>
      <w:color w:val="0563C1" w:themeColor="hyperlink"/>
      <w:u w:val="single"/>
    </w:rPr>
  </w:style>
  <w:style w:type="character" w:customStyle="1" w:styleId="Italic">
    <w:name w:val="Italic"/>
    <w:basedOn w:val="DefaultParagraphFont"/>
    <w:rsid w:val="00E56A6F"/>
    <w:rPr>
      <w:i/>
    </w:rPr>
  </w:style>
  <w:style w:type="paragraph" w:customStyle="1" w:styleId="leftfooter">
    <w:name w:val="left footer"/>
    <w:basedOn w:val="Normal"/>
    <w:rsid w:val="00E56A6F"/>
    <w:pPr>
      <w:pBdr>
        <w:top w:val="single" w:sz="4" w:space="1" w:color="auto"/>
      </w:pBdr>
      <w:spacing w:before="240" w:after="0"/>
    </w:pPr>
    <w:rPr>
      <w:i/>
      <w:sz w:val="20"/>
    </w:rPr>
  </w:style>
  <w:style w:type="paragraph" w:customStyle="1" w:styleId="leftheader">
    <w:name w:val="left header"/>
    <w:basedOn w:val="Normal"/>
    <w:rsid w:val="00E56A6F"/>
    <w:pPr>
      <w:pBdr>
        <w:bottom w:val="single" w:sz="4" w:space="1" w:color="auto"/>
      </w:pBdr>
    </w:pPr>
    <w:rPr>
      <w:i/>
      <w:sz w:val="20"/>
    </w:rPr>
  </w:style>
  <w:style w:type="character" w:styleId="LineNumber">
    <w:name w:val="line number"/>
    <w:basedOn w:val="DefaultParagraphFont"/>
    <w:semiHidden/>
    <w:rsid w:val="00E56A6F"/>
  </w:style>
  <w:style w:type="paragraph" w:styleId="List">
    <w:name w:val="List"/>
    <w:basedOn w:val="Normal"/>
    <w:semiHidden/>
    <w:rsid w:val="00E56A6F"/>
    <w:pPr>
      <w:ind w:left="283" w:hanging="283"/>
    </w:pPr>
  </w:style>
  <w:style w:type="paragraph" w:styleId="List2">
    <w:name w:val="List 2"/>
    <w:basedOn w:val="Normal"/>
    <w:semiHidden/>
    <w:rsid w:val="00E56A6F"/>
    <w:pPr>
      <w:ind w:left="566" w:hanging="283"/>
    </w:pPr>
  </w:style>
  <w:style w:type="paragraph" w:styleId="List3">
    <w:name w:val="List 3"/>
    <w:basedOn w:val="Normal"/>
    <w:semiHidden/>
    <w:rsid w:val="00E56A6F"/>
    <w:pPr>
      <w:ind w:left="849" w:hanging="283"/>
    </w:pPr>
  </w:style>
  <w:style w:type="paragraph" w:styleId="List4">
    <w:name w:val="List 4"/>
    <w:basedOn w:val="Normal"/>
    <w:semiHidden/>
    <w:rsid w:val="00E56A6F"/>
    <w:pPr>
      <w:ind w:left="1132" w:hanging="283"/>
    </w:pPr>
  </w:style>
  <w:style w:type="paragraph" w:styleId="List5">
    <w:name w:val="List 5"/>
    <w:basedOn w:val="Normal"/>
    <w:semiHidden/>
    <w:rsid w:val="00E56A6F"/>
    <w:pPr>
      <w:ind w:left="1415" w:hanging="283"/>
    </w:pPr>
  </w:style>
  <w:style w:type="paragraph" w:styleId="ListBullet">
    <w:name w:val="List Bullet"/>
    <w:basedOn w:val="Normal"/>
    <w:semiHidden/>
    <w:rsid w:val="00E56A6F"/>
    <w:pPr>
      <w:numPr>
        <w:numId w:val="19"/>
      </w:numPr>
    </w:pPr>
  </w:style>
  <w:style w:type="paragraph" w:styleId="ListBullet2">
    <w:name w:val="List Bullet 2"/>
    <w:basedOn w:val="Normal"/>
    <w:semiHidden/>
    <w:rsid w:val="00E56A6F"/>
    <w:pPr>
      <w:numPr>
        <w:numId w:val="21"/>
      </w:numPr>
    </w:pPr>
  </w:style>
  <w:style w:type="paragraph" w:styleId="ListBullet3">
    <w:name w:val="List Bullet 3"/>
    <w:basedOn w:val="Normal"/>
    <w:semiHidden/>
    <w:rsid w:val="00E56A6F"/>
    <w:pPr>
      <w:numPr>
        <w:numId w:val="23"/>
      </w:numPr>
    </w:pPr>
  </w:style>
  <w:style w:type="paragraph" w:styleId="ListBullet4">
    <w:name w:val="List Bullet 4"/>
    <w:basedOn w:val="Normal"/>
    <w:semiHidden/>
    <w:rsid w:val="00E56A6F"/>
    <w:pPr>
      <w:numPr>
        <w:numId w:val="25"/>
      </w:numPr>
    </w:pPr>
  </w:style>
  <w:style w:type="paragraph" w:styleId="ListBullet5">
    <w:name w:val="List Bullet 5"/>
    <w:basedOn w:val="Normal"/>
    <w:semiHidden/>
    <w:rsid w:val="00E56A6F"/>
    <w:pPr>
      <w:numPr>
        <w:numId w:val="27"/>
      </w:numPr>
    </w:pPr>
  </w:style>
  <w:style w:type="paragraph" w:styleId="ListContinue">
    <w:name w:val="List Continue"/>
    <w:basedOn w:val="Normal"/>
    <w:semiHidden/>
    <w:rsid w:val="00E56A6F"/>
    <w:pPr>
      <w:ind w:left="283"/>
    </w:pPr>
  </w:style>
  <w:style w:type="paragraph" w:styleId="ListContinue2">
    <w:name w:val="List Continue 2"/>
    <w:basedOn w:val="Normal"/>
    <w:semiHidden/>
    <w:rsid w:val="00E56A6F"/>
    <w:pPr>
      <w:ind w:left="566"/>
    </w:pPr>
  </w:style>
  <w:style w:type="paragraph" w:styleId="ListContinue3">
    <w:name w:val="List Continue 3"/>
    <w:basedOn w:val="Normal"/>
    <w:semiHidden/>
    <w:rsid w:val="00E56A6F"/>
    <w:pPr>
      <w:ind w:left="849"/>
    </w:pPr>
  </w:style>
  <w:style w:type="paragraph" w:styleId="ListContinue4">
    <w:name w:val="List Continue 4"/>
    <w:basedOn w:val="Normal"/>
    <w:semiHidden/>
    <w:rsid w:val="00E56A6F"/>
    <w:pPr>
      <w:ind w:left="1132"/>
    </w:pPr>
  </w:style>
  <w:style w:type="paragraph" w:styleId="ListContinue5">
    <w:name w:val="List Continue 5"/>
    <w:basedOn w:val="Normal"/>
    <w:semiHidden/>
    <w:rsid w:val="00E56A6F"/>
    <w:pPr>
      <w:ind w:left="1415"/>
    </w:pPr>
  </w:style>
  <w:style w:type="paragraph" w:styleId="ListNumber">
    <w:name w:val="List Number"/>
    <w:basedOn w:val="Normal"/>
    <w:semiHidden/>
    <w:rsid w:val="00E56A6F"/>
    <w:pPr>
      <w:numPr>
        <w:numId w:val="29"/>
      </w:numPr>
    </w:pPr>
  </w:style>
  <w:style w:type="paragraph" w:styleId="ListNumber2">
    <w:name w:val="List Number 2"/>
    <w:basedOn w:val="Normal"/>
    <w:semiHidden/>
    <w:rsid w:val="00E56A6F"/>
    <w:pPr>
      <w:numPr>
        <w:numId w:val="31"/>
      </w:numPr>
    </w:pPr>
  </w:style>
  <w:style w:type="paragraph" w:styleId="ListNumber3">
    <w:name w:val="List Number 3"/>
    <w:basedOn w:val="Normal"/>
    <w:semiHidden/>
    <w:rsid w:val="00E56A6F"/>
    <w:pPr>
      <w:numPr>
        <w:numId w:val="33"/>
      </w:numPr>
    </w:pPr>
  </w:style>
  <w:style w:type="paragraph" w:styleId="ListNumber4">
    <w:name w:val="List Number 4"/>
    <w:basedOn w:val="Normal"/>
    <w:semiHidden/>
    <w:rsid w:val="00E56A6F"/>
    <w:pPr>
      <w:numPr>
        <w:numId w:val="35"/>
      </w:numPr>
    </w:pPr>
  </w:style>
  <w:style w:type="paragraph" w:styleId="ListNumber5">
    <w:name w:val="List Number 5"/>
    <w:basedOn w:val="Normal"/>
    <w:semiHidden/>
    <w:rsid w:val="00E56A6F"/>
    <w:pPr>
      <w:numPr>
        <w:numId w:val="37"/>
      </w:numPr>
    </w:pPr>
  </w:style>
  <w:style w:type="paragraph" w:styleId="ListParagraph">
    <w:name w:val="List Paragraph"/>
    <w:basedOn w:val="Normal"/>
    <w:uiPriority w:val="34"/>
    <w:qFormat/>
    <w:rsid w:val="00E56A6F"/>
    <w:pPr>
      <w:ind w:left="720"/>
      <w:contextualSpacing/>
    </w:pPr>
  </w:style>
  <w:style w:type="paragraph" w:styleId="MessageHeader">
    <w:name w:val="Message Header"/>
    <w:basedOn w:val="Normal"/>
    <w:link w:val="MessageHeaderChar"/>
    <w:semiHidden/>
    <w:rsid w:val="00E56A6F"/>
    <w:pPr>
      <w:pBdr>
        <w:top w:val="single" w:sz="6" w:space="1" w:color="auto"/>
        <w:left w:val="single" w:sz="6" w:space="1" w:color="auto"/>
        <w:bottom w:val="single" w:sz="6" w:space="1" w:color="auto"/>
        <w:right w:val="single" w:sz="6" w:space="1" w:color="auto"/>
      </w:pBdr>
      <w:shd w:val="pct20" w:color="auto" w:fill="auto"/>
      <w:ind w:hanging="1134"/>
    </w:pPr>
    <w:rPr>
      <w:rFonts w:ascii="Arial" w:hAnsi="Arial" w:cs="Arial"/>
      <w:sz w:val="24"/>
      <w:szCs w:val="24"/>
    </w:rPr>
  </w:style>
  <w:style w:type="character" w:customStyle="1" w:styleId="MessageHeaderChar">
    <w:name w:val="Message Header Char"/>
    <w:basedOn w:val="DefaultParagraphFont"/>
    <w:link w:val="MessageHeader"/>
    <w:semiHidden/>
    <w:rsid w:val="00E56A6F"/>
    <w:rPr>
      <w:rFonts w:ascii="Arial" w:eastAsia="Times New Roman" w:hAnsi="Arial" w:cs="Arial"/>
      <w:sz w:val="24"/>
      <w:szCs w:val="24"/>
      <w:shd w:val="pct20" w:color="auto" w:fill="auto"/>
      <w:lang w:eastAsia="en-AU"/>
    </w:rPr>
  </w:style>
  <w:style w:type="paragraph" w:styleId="NormalWeb">
    <w:name w:val="Normal (Web)"/>
    <w:basedOn w:val="Normal"/>
    <w:uiPriority w:val="99"/>
    <w:semiHidden/>
    <w:rsid w:val="00E56A6F"/>
    <w:rPr>
      <w:sz w:val="24"/>
      <w:szCs w:val="24"/>
    </w:rPr>
  </w:style>
  <w:style w:type="paragraph" w:styleId="NormalIndent">
    <w:name w:val="Normal Indent"/>
    <w:basedOn w:val="Normal"/>
    <w:semiHidden/>
    <w:rsid w:val="00E56A6F"/>
    <w:pPr>
      <w:ind w:left="720"/>
    </w:pPr>
  </w:style>
  <w:style w:type="paragraph" w:styleId="NoteHeading">
    <w:name w:val="Note Heading"/>
    <w:basedOn w:val="Normal"/>
    <w:next w:val="Normal"/>
    <w:link w:val="NoteHeadingChar"/>
    <w:semiHidden/>
    <w:rsid w:val="00E56A6F"/>
  </w:style>
  <w:style w:type="character" w:customStyle="1" w:styleId="NoteHeadingChar">
    <w:name w:val="Note Heading Char"/>
    <w:basedOn w:val="DefaultParagraphFont"/>
    <w:link w:val="NoteHeading"/>
    <w:semiHidden/>
    <w:rsid w:val="00E56A6F"/>
    <w:rPr>
      <w:rFonts w:ascii="Times New Roman" w:eastAsia="Times New Roman" w:hAnsi="Times New Roman" w:cs="Times New Roman"/>
      <w:szCs w:val="20"/>
      <w:lang w:eastAsia="en-AU"/>
    </w:rPr>
  </w:style>
  <w:style w:type="character" w:styleId="PageNumber">
    <w:name w:val="page number"/>
    <w:basedOn w:val="DefaultParagraphFont"/>
    <w:semiHidden/>
    <w:rsid w:val="00E56A6F"/>
  </w:style>
  <w:style w:type="paragraph" w:styleId="PlainText">
    <w:name w:val="Plain Text"/>
    <w:basedOn w:val="Normal"/>
    <w:link w:val="PlainTextChar"/>
    <w:semiHidden/>
    <w:rsid w:val="00E56A6F"/>
    <w:rPr>
      <w:rFonts w:ascii="Courier New" w:hAnsi="Courier New" w:cs="Courier New"/>
      <w:sz w:val="20"/>
    </w:rPr>
  </w:style>
  <w:style w:type="character" w:customStyle="1" w:styleId="PlainTextChar">
    <w:name w:val="Plain Text Char"/>
    <w:basedOn w:val="DefaultParagraphFont"/>
    <w:link w:val="PlainText"/>
    <w:semiHidden/>
    <w:rsid w:val="00E56A6F"/>
    <w:rPr>
      <w:rFonts w:ascii="Courier New" w:eastAsia="Times New Roman" w:hAnsi="Courier New" w:cs="Courier New"/>
      <w:sz w:val="20"/>
      <w:szCs w:val="20"/>
      <w:lang w:eastAsia="en-AU"/>
    </w:rPr>
  </w:style>
  <w:style w:type="character" w:customStyle="1" w:styleId="Referencingstyle">
    <w:name w:val="Referencing style"/>
    <w:basedOn w:val="DefaultParagraphFont"/>
    <w:rsid w:val="00E56A6F"/>
    <w:rPr>
      <w:b/>
      <w:i/>
      <w:sz w:val="18"/>
    </w:rPr>
  </w:style>
  <w:style w:type="paragraph" w:customStyle="1" w:styleId="rightfooter">
    <w:name w:val="right footer"/>
    <w:basedOn w:val="Normal"/>
    <w:rsid w:val="00E56A6F"/>
    <w:pPr>
      <w:pBdr>
        <w:top w:val="single" w:sz="4" w:space="1" w:color="auto"/>
      </w:pBdr>
      <w:spacing w:before="240" w:after="0"/>
      <w:jc w:val="right"/>
    </w:pPr>
    <w:rPr>
      <w:i/>
      <w:sz w:val="20"/>
    </w:rPr>
  </w:style>
  <w:style w:type="paragraph" w:customStyle="1" w:styleId="rightheader">
    <w:name w:val="right header"/>
    <w:basedOn w:val="Normal"/>
    <w:rsid w:val="00E56A6F"/>
    <w:pPr>
      <w:pBdr>
        <w:bottom w:val="single" w:sz="4" w:space="1" w:color="auto"/>
      </w:pBdr>
      <w:jc w:val="right"/>
    </w:pPr>
    <w:rPr>
      <w:i/>
      <w:sz w:val="20"/>
    </w:rPr>
  </w:style>
  <w:style w:type="paragraph" w:styleId="Salutation">
    <w:name w:val="Salutation"/>
    <w:basedOn w:val="Normal"/>
    <w:next w:val="Normal"/>
    <w:link w:val="SalutationChar"/>
    <w:semiHidden/>
    <w:rsid w:val="00E56A6F"/>
  </w:style>
  <w:style w:type="character" w:customStyle="1" w:styleId="SalutationChar">
    <w:name w:val="Salutation Char"/>
    <w:basedOn w:val="DefaultParagraphFont"/>
    <w:link w:val="Salutation"/>
    <w:semiHidden/>
    <w:rsid w:val="00E56A6F"/>
    <w:rPr>
      <w:rFonts w:ascii="Times New Roman" w:eastAsia="Times New Roman" w:hAnsi="Times New Roman" w:cs="Times New Roman"/>
      <w:szCs w:val="20"/>
      <w:lang w:eastAsia="en-AU"/>
    </w:rPr>
  </w:style>
  <w:style w:type="paragraph" w:styleId="Signature">
    <w:name w:val="Signature"/>
    <w:basedOn w:val="Normal"/>
    <w:link w:val="SignatureChar"/>
    <w:semiHidden/>
    <w:rsid w:val="00E56A6F"/>
    <w:pPr>
      <w:ind w:left="4252"/>
    </w:pPr>
  </w:style>
  <w:style w:type="character" w:customStyle="1" w:styleId="SignatureChar">
    <w:name w:val="Signature Char"/>
    <w:basedOn w:val="DefaultParagraphFont"/>
    <w:link w:val="Signature"/>
    <w:semiHidden/>
    <w:rsid w:val="00E56A6F"/>
    <w:rPr>
      <w:rFonts w:ascii="Times New Roman" w:eastAsia="Times New Roman" w:hAnsi="Times New Roman" w:cs="Times New Roman"/>
      <w:szCs w:val="20"/>
      <w:lang w:eastAsia="en-AU"/>
    </w:rPr>
  </w:style>
  <w:style w:type="paragraph" w:customStyle="1" w:styleId="SingleParagraph">
    <w:name w:val="Single Paragraph"/>
    <w:basedOn w:val="Normal"/>
    <w:rsid w:val="00E56A6F"/>
    <w:pPr>
      <w:spacing w:after="0"/>
    </w:pPr>
  </w:style>
  <w:style w:type="character" w:styleId="Strong">
    <w:name w:val="Strong"/>
    <w:basedOn w:val="DefaultParagraphFont"/>
    <w:qFormat/>
    <w:rsid w:val="00E56A6F"/>
    <w:rPr>
      <w:b/>
      <w:bCs/>
    </w:rPr>
  </w:style>
  <w:style w:type="paragraph" w:styleId="Subtitle">
    <w:name w:val="Subtitle"/>
    <w:basedOn w:val="Normal"/>
    <w:link w:val="SubtitleChar"/>
    <w:qFormat/>
    <w:rsid w:val="00E56A6F"/>
    <w:pPr>
      <w:spacing w:after="60"/>
      <w:jc w:val="center"/>
      <w:outlineLvl w:val="1"/>
    </w:pPr>
    <w:rPr>
      <w:rFonts w:ascii="Arial" w:hAnsi="Arial" w:cs="Arial"/>
      <w:sz w:val="24"/>
      <w:szCs w:val="24"/>
    </w:rPr>
  </w:style>
  <w:style w:type="character" w:customStyle="1" w:styleId="SubtitleChar">
    <w:name w:val="Subtitle Char"/>
    <w:basedOn w:val="DefaultParagraphFont"/>
    <w:link w:val="Subtitle"/>
    <w:rsid w:val="00E56A6F"/>
    <w:rPr>
      <w:rFonts w:ascii="Arial" w:eastAsia="Times New Roman" w:hAnsi="Arial" w:cs="Arial"/>
      <w:sz w:val="24"/>
      <w:szCs w:val="24"/>
      <w:lang w:eastAsia="en-AU"/>
    </w:rPr>
  </w:style>
  <w:style w:type="table" w:styleId="Table3Deffects1">
    <w:name w:val="Table 3D effects 1"/>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E56A6F"/>
    <w:pPr>
      <w:spacing w:before="120" w:after="120" w:line="240" w:lineRule="auto"/>
      <w:ind w:left="1134"/>
    </w:pPr>
    <w:rPr>
      <w:rFonts w:ascii="Times New Roman" w:eastAsia="Times New Roman" w:hAnsi="Times New Roman" w:cs="Times New Roman"/>
      <w:color w:val="000080"/>
      <w:sz w:val="20"/>
      <w:szCs w:val="20"/>
      <w:lang w:eastAsia="en-A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E56A6F"/>
    <w:pPr>
      <w:spacing w:before="120" w:after="120" w:line="240" w:lineRule="auto"/>
      <w:ind w:left="1134"/>
    </w:pPr>
    <w:rPr>
      <w:rFonts w:ascii="Times New Roman" w:eastAsia="Times New Roman" w:hAnsi="Times New Roman" w:cs="Times New Roman"/>
      <w:color w:val="FFFFFF"/>
      <w:sz w:val="20"/>
      <w:szCs w:val="20"/>
      <w:lang w:eastAsia="en-A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E56A6F"/>
    <w:pPr>
      <w:spacing w:before="120" w:after="120" w:line="240" w:lineRule="auto"/>
      <w:ind w:left="1134"/>
    </w:pPr>
    <w:rPr>
      <w:rFonts w:ascii="Times New Roman" w:eastAsia="Times New Roman" w:hAnsi="Times New Roman" w:cs="Times New Roman"/>
      <w:b/>
      <w:bCs/>
      <w:sz w:val="20"/>
      <w:szCs w:val="20"/>
      <w:lang w:eastAsia="en-A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E56A6F"/>
    <w:pPr>
      <w:spacing w:before="120" w:after="120" w:line="240" w:lineRule="auto"/>
      <w:ind w:left="1134"/>
    </w:pPr>
    <w:rPr>
      <w:rFonts w:ascii="Times New Roman" w:eastAsia="Times New Roman" w:hAnsi="Times New Roman" w:cs="Times New Roman"/>
      <w:b/>
      <w:bCs/>
      <w:sz w:val="20"/>
      <w:szCs w:val="20"/>
      <w:lang w:eastAsia="en-A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E56A6F"/>
    <w:pPr>
      <w:spacing w:before="120" w:after="120" w:line="240" w:lineRule="auto"/>
      <w:ind w:left="1134"/>
    </w:pPr>
    <w:rPr>
      <w:rFonts w:ascii="Times New Roman" w:eastAsia="Times New Roman" w:hAnsi="Times New Roman" w:cs="Times New Roman"/>
      <w:b/>
      <w:bCs/>
      <w:sz w:val="20"/>
      <w:szCs w:val="20"/>
      <w:lang w:eastAsia="en-A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customStyle="1" w:styleId="tabletext">
    <w:name w:val="table text"/>
    <w:basedOn w:val="Normal"/>
    <w:rsid w:val="00E56A6F"/>
    <w:pPr>
      <w:spacing w:before="40" w:after="40"/>
    </w:pPr>
    <w:rPr>
      <w:sz w:val="20"/>
    </w:rPr>
  </w:style>
  <w:style w:type="paragraph" w:customStyle="1" w:styleId="tabledotpoint">
    <w:name w:val="table dot point"/>
    <w:basedOn w:val="tabletext"/>
    <w:rsid w:val="00E56A6F"/>
    <w:pPr>
      <w:numPr>
        <w:numId w:val="40"/>
      </w:numPr>
    </w:pPr>
  </w:style>
  <w:style w:type="paragraph" w:customStyle="1" w:styleId="tabledotpoint2">
    <w:name w:val="table dot point 2"/>
    <w:basedOn w:val="tabletext"/>
    <w:rsid w:val="00E56A6F"/>
    <w:pPr>
      <w:numPr>
        <w:ilvl w:val="1"/>
        <w:numId w:val="40"/>
      </w:numPr>
    </w:pPr>
  </w:style>
  <w:style w:type="numbering" w:customStyle="1" w:styleId="TableDotPointList">
    <w:name w:val="Table Dot Point List"/>
    <w:uiPriority w:val="99"/>
    <w:rsid w:val="00E56A6F"/>
    <w:pPr>
      <w:numPr>
        <w:numId w:val="40"/>
      </w:numPr>
    </w:pPr>
  </w:style>
  <w:style w:type="table" w:styleId="TableElegant">
    <w:name w:val="Table Elegant"/>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E56A6F"/>
    <w:pPr>
      <w:spacing w:before="120" w:after="120" w:line="240" w:lineRule="auto"/>
      <w:ind w:left="1134"/>
    </w:pPr>
    <w:rPr>
      <w:rFonts w:ascii="Times New Roman" w:eastAsia="Times New Roman" w:hAnsi="Times New Roman" w:cs="Times New Roman"/>
      <w:b/>
      <w:bCs/>
      <w:sz w:val="20"/>
      <w:szCs w:val="20"/>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tableheaderwithintable">
    <w:name w:val="table header (within table)"/>
    <w:basedOn w:val="Heading4"/>
    <w:rsid w:val="00E56A6F"/>
    <w:pPr>
      <w:spacing w:before="60" w:after="60"/>
      <w:ind w:left="0"/>
      <w:jc w:val="center"/>
    </w:pPr>
    <w:rPr>
      <w:sz w:val="20"/>
    </w:rPr>
  </w:style>
  <w:style w:type="paragraph" w:customStyle="1" w:styleId="TableHeadingoutsidetable">
    <w:name w:val="Table Heading (outside table)"/>
    <w:basedOn w:val="Heading4"/>
    <w:rsid w:val="00E56A6F"/>
    <w:pPr>
      <w:numPr>
        <w:ilvl w:val="4"/>
        <w:numId w:val="41"/>
      </w:numPr>
      <w:tabs>
        <w:tab w:val="num" w:pos="360"/>
      </w:tabs>
    </w:pPr>
    <w:rPr>
      <w:i w:val="0"/>
    </w:rPr>
  </w:style>
  <w:style w:type="table" w:styleId="TableList1">
    <w:name w:val="Table List 1"/>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link w:val="TitleChar"/>
    <w:qFormat/>
    <w:rsid w:val="00E56A6F"/>
    <w:pPr>
      <w:spacing w:before="240" w:after="60"/>
      <w:jc w:val="center"/>
      <w:outlineLvl w:val="0"/>
    </w:pPr>
    <w:rPr>
      <w:rFonts w:ascii="Arial" w:hAnsi="Arial" w:cs="Arial"/>
      <w:b/>
      <w:bCs/>
      <w:kern w:val="28"/>
      <w:sz w:val="32"/>
      <w:szCs w:val="32"/>
    </w:rPr>
  </w:style>
  <w:style w:type="character" w:customStyle="1" w:styleId="TitleChar">
    <w:name w:val="Title Char"/>
    <w:basedOn w:val="DefaultParagraphFont"/>
    <w:link w:val="Title"/>
    <w:rsid w:val="00E56A6F"/>
    <w:rPr>
      <w:rFonts w:ascii="Arial" w:eastAsia="Times New Roman" w:hAnsi="Arial" w:cs="Arial"/>
      <w:b/>
      <w:bCs/>
      <w:kern w:val="28"/>
      <w:sz w:val="32"/>
      <w:szCs w:val="32"/>
      <w:lang w:eastAsia="en-AU"/>
    </w:rPr>
  </w:style>
  <w:style w:type="paragraph" w:styleId="TOC1">
    <w:name w:val="toc 1"/>
    <w:basedOn w:val="Heading2"/>
    <w:next w:val="TOC2"/>
    <w:uiPriority w:val="39"/>
    <w:rsid w:val="00E5385B"/>
    <w:pPr>
      <w:keepNext w:val="0"/>
      <w:tabs>
        <w:tab w:val="right" w:leader="dot" w:pos="7655"/>
      </w:tabs>
      <w:spacing w:before="240"/>
      <w:ind w:left="1758" w:right="851" w:hanging="1758"/>
    </w:pPr>
    <w:rPr>
      <w:b w:val="0"/>
      <w:sz w:val="24"/>
    </w:rPr>
  </w:style>
  <w:style w:type="paragraph" w:styleId="TOC2">
    <w:name w:val="toc 2"/>
    <w:basedOn w:val="TOC1"/>
    <w:next w:val="Normal"/>
    <w:uiPriority w:val="39"/>
    <w:rsid w:val="00E5385B"/>
    <w:pPr>
      <w:ind w:left="0" w:firstLine="0"/>
    </w:pPr>
    <w:rPr>
      <w:noProof/>
    </w:rPr>
  </w:style>
  <w:style w:type="paragraph" w:styleId="TOCHeading">
    <w:name w:val="TOC Heading"/>
    <w:basedOn w:val="Normal"/>
    <w:next w:val="base-text-paragraphnonumbers"/>
    <w:qFormat/>
    <w:rsid w:val="00E56A6F"/>
    <w:pPr>
      <w:pBdr>
        <w:top w:val="single" w:sz="4" w:space="1" w:color="auto"/>
        <w:bottom w:val="single" w:sz="4" w:space="1" w:color="auto"/>
      </w:pBdr>
      <w:spacing w:before="240" w:after="240" w:line="260" w:lineRule="atLeast"/>
    </w:pPr>
    <w:rPr>
      <w:rFonts w:ascii="Helvetica" w:hAnsi="Helvetica"/>
      <w:b/>
      <w:i/>
      <w:kern w:val="28"/>
      <w:sz w:val="38"/>
    </w:rPr>
  </w:style>
  <w:style w:type="character" w:styleId="PlaceholderText">
    <w:name w:val="Placeholder Text"/>
    <w:basedOn w:val="DefaultParagraphFont"/>
    <w:uiPriority w:val="99"/>
    <w:semiHidden/>
    <w:rsid w:val="009D7ECD"/>
    <w:rPr>
      <w:color w:val="808080"/>
    </w:rPr>
  </w:style>
  <w:style w:type="paragraph" w:customStyle="1" w:styleId="ParaCentredNoSpacing">
    <w:name w:val="ParaCentredNoSpacing"/>
    <w:basedOn w:val="Baseparagraphcentred"/>
    <w:qFormat/>
    <w:rsid w:val="00773B68"/>
    <w:pPr>
      <w:spacing w:before="0" w:after="0"/>
    </w:pPr>
  </w:style>
  <w:style w:type="character" w:customStyle="1" w:styleId="ChapterNameOnly">
    <w:name w:val="ChapterNameOnly"/>
    <w:basedOn w:val="DefaultParagraphFont"/>
    <w:uiPriority w:val="1"/>
    <w:qFormat/>
    <w:rsid w:val="000C2A9D"/>
  </w:style>
  <w:style w:type="paragraph" w:styleId="TOC3">
    <w:name w:val="toc 3"/>
    <w:basedOn w:val="Normal"/>
    <w:next w:val="Normal"/>
    <w:autoRedefine/>
    <w:uiPriority w:val="39"/>
    <w:unhideWhenUsed/>
    <w:rsid w:val="00E5385B"/>
    <w:pPr>
      <w:tabs>
        <w:tab w:val="right" w:leader="dot" w:pos="7655"/>
      </w:tabs>
      <w:spacing w:after="100"/>
      <w:ind w:left="442"/>
    </w:pPr>
  </w:style>
  <w:style w:type="table" w:customStyle="1" w:styleId="EMTable">
    <w:name w:val="EMTable"/>
    <w:basedOn w:val="TableNormal"/>
    <w:uiPriority w:val="99"/>
    <w:rsid w:val="00107A5E"/>
    <w:pPr>
      <w:spacing w:after="0" w:line="240" w:lineRule="auto"/>
    </w:pPr>
    <w:rPr>
      <w:rFonts w:ascii="Times New Roman" w:hAnsi="Times New Roman"/>
      <w:sz w:val="20"/>
    </w:rPr>
    <w:tblPr>
      <w:tblStyleRowBandSize w:val="1"/>
      <w:tblInd w:w="1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trPr>
    <w:tcPr>
      <w:vAlign w:val="center"/>
    </w:tcPr>
    <w:tblStylePr w:type="firstRow">
      <w:pPr>
        <w:jc w:val="center"/>
      </w:pPr>
      <w:rPr>
        <w:rFonts w:ascii="Times New Roman" w:hAnsi="Times New Roman"/>
        <w:b/>
        <w:i/>
        <w:sz w:val="20"/>
      </w:rPr>
      <w:tblPr>
        <w:tblCellMar>
          <w:top w:w="57" w:type="dxa"/>
          <w:left w:w="57" w:type="dxa"/>
          <w:bottom w:w="0" w:type="dxa"/>
          <w:right w:w="108" w:type="dxa"/>
        </w:tblCellMar>
      </w:tblPr>
      <w:trPr>
        <w:cantSplit/>
        <w:tblHeader/>
      </w:trPr>
    </w:tblStylePr>
  </w:style>
  <w:style w:type="paragraph" w:styleId="BalloonText">
    <w:name w:val="Balloon Text"/>
    <w:basedOn w:val="Normal"/>
    <w:link w:val="BalloonTextChar"/>
    <w:uiPriority w:val="99"/>
    <w:semiHidden/>
    <w:unhideWhenUsed/>
    <w:rsid w:val="00932A5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932A59"/>
    <w:rPr>
      <w:rFonts w:ascii="Tahoma" w:eastAsia="Times New Roman" w:hAnsi="Tahoma" w:cs="Tahoma"/>
      <w:sz w:val="16"/>
      <w:szCs w:val="16"/>
      <w:lang w:eastAsia="en-AU"/>
    </w:rPr>
  </w:style>
  <w:style w:type="character" w:styleId="CommentReference">
    <w:name w:val="annotation reference"/>
    <w:basedOn w:val="DefaultParagraphFont"/>
    <w:uiPriority w:val="99"/>
    <w:semiHidden/>
    <w:unhideWhenUsed/>
    <w:rsid w:val="008639DB"/>
    <w:rPr>
      <w:sz w:val="16"/>
      <w:szCs w:val="16"/>
    </w:rPr>
  </w:style>
  <w:style w:type="paragraph" w:styleId="CommentText">
    <w:name w:val="annotation text"/>
    <w:basedOn w:val="Normal"/>
    <w:link w:val="CommentTextChar"/>
    <w:uiPriority w:val="99"/>
    <w:semiHidden/>
    <w:unhideWhenUsed/>
    <w:rsid w:val="008639DB"/>
    <w:rPr>
      <w:sz w:val="20"/>
    </w:rPr>
  </w:style>
  <w:style w:type="character" w:customStyle="1" w:styleId="CommentTextChar">
    <w:name w:val="Comment Text Char"/>
    <w:basedOn w:val="DefaultParagraphFont"/>
    <w:link w:val="CommentText"/>
    <w:uiPriority w:val="99"/>
    <w:semiHidden/>
    <w:rsid w:val="008639DB"/>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8639DB"/>
    <w:rPr>
      <w:b/>
      <w:bCs/>
    </w:rPr>
  </w:style>
  <w:style w:type="character" w:customStyle="1" w:styleId="CommentSubjectChar">
    <w:name w:val="Comment Subject Char"/>
    <w:basedOn w:val="CommentTextChar"/>
    <w:link w:val="CommentSubject"/>
    <w:uiPriority w:val="99"/>
    <w:semiHidden/>
    <w:rsid w:val="008639DB"/>
    <w:rPr>
      <w:rFonts w:ascii="Times New Roman" w:eastAsia="Times New Roman" w:hAnsi="Times New Roman" w:cs="Times New Roman"/>
      <w:b/>
      <w:bCs/>
      <w:sz w:val="20"/>
      <w:szCs w:val="20"/>
      <w:lang w:eastAsia="en-AU"/>
    </w:rPr>
  </w:style>
  <w:style w:type="paragraph" w:styleId="Revision">
    <w:name w:val="Revision"/>
    <w:hidden/>
    <w:uiPriority w:val="99"/>
    <w:semiHidden/>
    <w:rsid w:val="00C44A88"/>
    <w:pPr>
      <w:spacing w:after="0" w:line="240" w:lineRule="auto"/>
    </w:pPr>
    <w:rPr>
      <w:rFonts w:ascii="Times New Roman" w:eastAsia="Times New Roman" w:hAnsi="Times New Roman" w:cs="Times New Roman"/>
      <w:szCs w:val="20"/>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969616">
      <w:bodyDiv w:val="1"/>
      <w:marLeft w:val="0"/>
      <w:marRight w:val="0"/>
      <w:marTop w:val="0"/>
      <w:marBottom w:val="0"/>
      <w:divBdr>
        <w:top w:val="none" w:sz="0" w:space="0" w:color="auto"/>
        <w:left w:val="none" w:sz="0" w:space="0" w:color="auto"/>
        <w:bottom w:val="none" w:sz="0" w:space="0" w:color="auto"/>
        <w:right w:val="none" w:sz="0" w:space="0" w:color="auto"/>
      </w:divBdr>
    </w:div>
    <w:div w:id="1381056647">
      <w:bodyDiv w:val="1"/>
      <w:marLeft w:val="0"/>
      <w:marRight w:val="0"/>
      <w:marTop w:val="0"/>
      <w:marBottom w:val="0"/>
      <w:divBdr>
        <w:top w:val="none" w:sz="0" w:space="0" w:color="auto"/>
        <w:left w:val="none" w:sz="0" w:space="0" w:color="auto"/>
        <w:bottom w:val="none" w:sz="0" w:space="0" w:color="auto"/>
        <w:right w:val="none" w:sz="0" w:space="0" w:color="auto"/>
      </w:divBdr>
    </w:div>
    <w:div w:id="1813937215">
      <w:bodyDiv w:val="1"/>
      <w:marLeft w:val="0"/>
      <w:marRight w:val="0"/>
      <w:marTop w:val="0"/>
      <w:marBottom w:val="0"/>
      <w:divBdr>
        <w:top w:val="none" w:sz="0" w:space="0" w:color="auto"/>
        <w:left w:val="none" w:sz="0" w:space="0" w:color="auto"/>
        <w:bottom w:val="none" w:sz="0" w:space="0" w:color="auto"/>
        <w:right w:val="none" w:sz="0" w:space="0" w:color="auto"/>
      </w:divBdr>
    </w:div>
    <w:div w:id="2026396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header" Target="header3.xml"/><Relationship Id="rId26" Type="http://schemas.openxmlformats.org/officeDocument/2006/relationships/header" Target="header7.xml"/><Relationship Id="rId39"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5.xml"/><Relationship Id="rId34" Type="http://schemas.openxmlformats.org/officeDocument/2006/relationships/footer" Target="footer12.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footer" Target="footer2.xml"/><Relationship Id="rId25" Type="http://schemas.openxmlformats.org/officeDocument/2006/relationships/footer" Target="footer6.xml"/><Relationship Id="rId33" Type="http://schemas.openxmlformats.org/officeDocument/2006/relationships/footer" Target="footer11.xm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eader" Target="header4.xml"/><Relationship Id="rId29" Type="http://schemas.openxmlformats.org/officeDocument/2006/relationships/footer" Target="footer8.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eader" Target="header6.xml"/><Relationship Id="rId32" Type="http://schemas.openxmlformats.org/officeDocument/2006/relationships/footer" Target="footer10.xml"/><Relationship Id="rId37" Type="http://schemas.openxmlformats.org/officeDocument/2006/relationships/footer" Target="footer15.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footer" Target="footer5.xml"/><Relationship Id="rId28" Type="http://schemas.openxmlformats.org/officeDocument/2006/relationships/footer" Target="footer7.xml"/><Relationship Id="rId36" Type="http://schemas.openxmlformats.org/officeDocument/2006/relationships/footer" Target="footer14.xml"/><Relationship Id="rId10" Type="http://schemas.openxmlformats.org/officeDocument/2006/relationships/settings" Target="settings.xml"/><Relationship Id="rId19" Type="http://schemas.openxmlformats.org/officeDocument/2006/relationships/footer" Target="footer3.xml"/><Relationship Id="rId31" Type="http://schemas.openxmlformats.org/officeDocument/2006/relationships/hyperlink" Target="http://www.treasury.gov.au" TargetMode="Externa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eader" Target="header1.xml"/><Relationship Id="rId22" Type="http://schemas.openxmlformats.org/officeDocument/2006/relationships/footer" Target="footer4.xml"/><Relationship Id="rId27" Type="http://schemas.openxmlformats.org/officeDocument/2006/relationships/header" Target="header8.xml"/><Relationship Id="rId30" Type="http://schemas.openxmlformats.org/officeDocument/2006/relationships/footer" Target="footer9.xml"/><Relationship Id="rId35" Type="http://schemas.openxmlformats.org/officeDocument/2006/relationships/footer" Target="footer13.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Treasury\Workgroup%20Templates\Legislation\Pri-EM.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p:Policy xmlns:p="office.server.policy" id="" local="true">
  <p:Name>Treasury Document</p:Name>
  <p:Description/>
  <p:Statement/>
  <p:PolicyItems>
    <p:PolicyItem featureId="Microsoft.Office.RecordsManagement.PolicyFeatures.PolicyAudit" staticId="0x01010036BB8DE7EC542E42A8B2E98CC20CB697|1757814118" UniqueId="eb9354fb-4177-4e01-8c43-989761893d04">
      <p:Name>Auditing</p:Name>
      <p:Description>Audits user actions on documents and list items to the Audit Log.</p:Description>
      <p:CustomData>
        <Audit>
          <Update/>
          <DeleteRestore/>
        </Audit>
      </p:CustomData>
    </p:PolicyItem>
  </p:PolicyItems>
</p:Policy>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Receiver>
    <Name>Policy Auditing</Name>
    <Synchronization>Synchronous</Synchronization>
    <Type>10001</Type>
    <SequenceNumber>1100</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Version=15.0.0.0, Culture=neutral, PublicKeyToken=71e9bce111e9429c</Assembly>
    <Class>Microsoft.Office.RecordsManagement.Internal.AuditHandler</Class>
    <Data/>
    <Filter/>
  </Receiver>
  <Receiver>
    <Name/>
    <Synchronization>Asynchronous</Synchronization>
    <Type>10003</Type>
    <SequenceNumber>10000</SequenceNumber>
    <Url/>
    <Assembly>RecordPoint.Active.UI, Version=1.0.0.0, Culture=neutral, PublicKeyToken=d49476ae5b650bf3</Assembly>
    <Class>RecordPoint.Active.UI.Events.WorkflowItemEventReceiver</Class>
    <Data/>
    <Filter/>
  </Receiver>
  <Receiver>
    <Name/>
    <Synchronization>Synchronous</Synchronization>
    <Type>3</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10009</Type>
    <SequenceNumber>10000</SequenceNumber>
    <Url/>
    <Assembly>RecordPoint.Active.UI, Version=1.0.0.0, Culture=neutral, PublicKeyToken=d49476ae5b650bf3</Assembly>
    <Class>RecordPoint.Active.UI.Events.WorkflowItemEventReceiver</Class>
    <Data/>
    <Filter/>
  </Receiver>
  <Receiver>
    <Name/>
    <Synchronization>Synchronous</Synchronization>
    <Type>9</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10103</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102</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10105</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105</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10002</Type>
    <SequenceNumber>10000</SequenceNumber>
    <Url/>
    <Assembly>RecordPoint.Active.UI, Version=1.0.0.0, Culture=neutral, PublicKeyToken=d49476ae5b650bf3</Assembly>
    <Class>RecordPoint.Active.UI.Events.WorkflowItemEventReceiver</Class>
    <Data/>
    <Filter/>
  </Receiver>
  <Receiver>
    <Name/>
    <Synchronization>Synchronous</Synchronization>
    <Type>2</Type>
    <SequenceNumber>10000</SequenceNumber>
    <Url/>
    <Assembly>RecordPoint.Active.UI, Version=1.0.0.0, Culture=neutral, PublicKeyToken=d49476ae5b650bf3</Assembly>
    <Class>RecordPoint.Active.UI.Events.WorkflowItemEventReceiver</Class>
    <Data/>
    <Filter/>
  </Receiver>
</spe:Receivers>
</file>

<file path=customXml/item4.xml><?xml version="1.0" encoding="utf-8"?>
<ct:contentTypeSchema xmlns:ct="http://schemas.microsoft.com/office/2006/metadata/contentType" xmlns:ma="http://schemas.microsoft.com/office/2006/metadata/properties/metaAttributes" ct:_="" ma:_="" ma:contentTypeName="Treasury Document" ma:contentTypeID="0x01010036BB8DE7EC542E42A8B2E98CC20CB6970003FAFD07481E774E8350BE125D333F6E" ma:contentTypeVersion="16251" ma:contentTypeDescription="" ma:contentTypeScope="" ma:versionID="70e070cbd2626ca5be2413b333fff0a1">
  <xsd:schema xmlns:xsd="http://www.w3.org/2001/XMLSchema" xmlns:xs="http://www.w3.org/2001/XMLSchema" xmlns:p="http://schemas.microsoft.com/office/2006/metadata/properties" xmlns:ns1="http://schemas.microsoft.com/sharepoint/v3" xmlns:ns2="0f563589-9cf9-4143-b1eb-fb0534803d38" xmlns:ns3="9f7bc583-7cbe-45b9-a2bd-8bbb6543b37e" xmlns:ns5="http://schemas.microsoft.com/sharepoint/v4" targetNamespace="http://schemas.microsoft.com/office/2006/metadata/properties" ma:root="true" ma:fieldsID="6afd969a33da431ddd60e624873705b9" ns1:_="" ns2:_="" ns3:_="" ns5:_="">
    <xsd:import namespace="http://schemas.microsoft.com/sharepoint/v3"/>
    <xsd:import namespace="0f563589-9cf9-4143-b1eb-fb0534803d38"/>
    <xsd:import namespace="9f7bc583-7cbe-45b9-a2bd-8bbb6543b37e"/>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3:lb508a4dc5e84436a0fe496b536466aa" minOccurs="0"/>
                <xsd:element ref="ns2:TaxCatchAll" minOccurs="0"/>
                <xsd:element ref="ns2:TaxCatchAllLabel" minOccurs="0"/>
                <xsd:element ref="ns1:_dlc_Exempt" minOccurs="0"/>
                <xsd:element ref="ns5: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5"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f563589-9cf9-4143-b1eb-fb0534803d3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2" nillable="true" ma:displayName="Taxonomy Catch All Column" ma:hidden="true" ma:list="{a5426e91-c895-42ba-91bf-fe5e23c4f0ec}" ma:internalName="TaxCatchAll" ma:showField="CatchAllData" ma:web="9f7bc583-7cbe-45b9-a2bd-8bbb6543b37e">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a5426e91-c895-42ba-91bf-fe5e23c4f0ec}" ma:internalName="TaxCatchAllLabel" ma:readOnly="true" ma:showField="CatchAllDataLabel" ma:web="9f7bc583-7cbe-45b9-a2bd-8bbb6543b37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f7bc583-7cbe-45b9-a2bd-8bbb6543b37e" elementFormDefault="qualified">
    <xsd:import namespace="http://schemas.microsoft.com/office/2006/documentManagement/types"/>
    <xsd:import namespace="http://schemas.microsoft.com/office/infopath/2007/PartnerControls"/>
    <xsd:element name="lb508a4dc5e84436a0fe496b536466aa" ma:index="11" nillable="true" ma:taxonomy="true" ma:internalName="lb508a4dc5e84436a0fe496b536466aa" ma:taxonomyFieldName="TSYRecordClass" ma:displayName="Record Class" ma:readOnly="false" ma:default="58;#TSY RA-8745 - Retain as national archives|e7c0cb1f-c7bc-47da-a214-9f543417fceb" ma:fieldId="{5b508a4d-c5e8-4436-a0fe-496b536466aa}" ma:sspId="77b7a547-5880-464f-83f8-cefe583c3af4" ma:termSetId="8c8a1de6-dea5-4e66-bd5a-b7b3daae0f3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7"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lb508a4dc5e84436a0fe496b536466aa xmlns="9f7bc583-7cbe-45b9-a2bd-8bbb6543b37e">
      <Terms xmlns="http://schemas.microsoft.com/office/infopath/2007/PartnerControls">
        <TermInfo xmlns="http://schemas.microsoft.com/office/infopath/2007/PartnerControls">
          <TermName xmlns="http://schemas.microsoft.com/office/infopath/2007/PartnerControls">TSY RA-8745 - Retain as national archives</TermName>
          <TermId xmlns="http://schemas.microsoft.com/office/infopath/2007/PartnerControls">e7c0cb1f-c7bc-47da-a214-9f543417fceb</TermId>
        </TermInfo>
      </Terms>
    </lb508a4dc5e84436a0fe496b536466aa>
    <IconOverlay xmlns="http://schemas.microsoft.com/sharepoint/v4" xsi:nil="true"/>
    <_dlc_DocId xmlns="0f563589-9cf9-4143-b1eb-fb0534803d38">2018RG-225-781</_dlc_DocId>
    <TaxCatchAll xmlns="0f563589-9cf9-4143-b1eb-fb0534803d38">
      <Value>58</Value>
    </TaxCatchAll>
    <_dlc_DocIdUrl xmlns="0f563589-9cf9-4143-b1eb-fb0534803d38">
      <Url>http://tweb/sites/rg/ldp/_layouts/15/DocIdRedir.aspx?ID=2018RG-225-781</Url>
      <Description>2018RG-225-781</Description>
    </_dlc_DocIdUrl>
  </documentManagement>
</p:properti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EF8C7A-6F56-4C4D-B51C-8D77D5ADF651}">
  <ds:schemaRefs>
    <ds:schemaRef ds:uri="office.server.policy"/>
  </ds:schemaRefs>
</ds:datastoreItem>
</file>

<file path=customXml/itemProps2.xml><?xml version="1.0" encoding="utf-8"?>
<ds:datastoreItem xmlns:ds="http://schemas.openxmlformats.org/officeDocument/2006/customXml" ds:itemID="{5581620C-90D2-41D3-81BF-E59E92C75C12}">
  <ds:schemaRefs>
    <ds:schemaRef ds:uri="http://schemas.microsoft.com/sharepoint/v3/contenttype/forms"/>
  </ds:schemaRefs>
</ds:datastoreItem>
</file>

<file path=customXml/itemProps3.xml><?xml version="1.0" encoding="utf-8"?>
<ds:datastoreItem xmlns:ds="http://schemas.openxmlformats.org/officeDocument/2006/customXml" ds:itemID="{73B3831A-28AF-4C44-AA6E-D39CAA3C0744}">
  <ds:schemaRefs>
    <ds:schemaRef ds:uri="http://schemas.microsoft.com/sharepoint/events"/>
  </ds:schemaRefs>
</ds:datastoreItem>
</file>

<file path=customXml/itemProps4.xml><?xml version="1.0" encoding="utf-8"?>
<ds:datastoreItem xmlns:ds="http://schemas.openxmlformats.org/officeDocument/2006/customXml" ds:itemID="{F033F1F2-023E-44ED-B3A6-DA540CF7DD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f563589-9cf9-4143-b1eb-fb0534803d38"/>
    <ds:schemaRef ds:uri="9f7bc583-7cbe-45b9-a2bd-8bbb6543b37e"/>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E484BCE1-B00C-45BB-B3CA-CEE712E03F53}">
  <ds:schemaRefs>
    <ds:schemaRef ds:uri="http://purl.org/dc/dcmitype/"/>
    <ds:schemaRef ds:uri="http://schemas.microsoft.com/sharepoint/v3"/>
    <ds:schemaRef ds:uri="http://schemas.microsoft.com/office/infopath/2007/PartnerControls"/>
    <ds:schemaRef ds:uri="http://schemas.openxmlformats.org/package/2006/metadata/core-properties"/>
    <ds:schemaRef ds:uri="9f7bc583-7cbe-45b9-a2bd-8bbb6543b37e"/>
    <ds:schemaRef ds:uri="http://purl.org/dc/terms/"/>
    <ds:schemaRef ds:uri="http://purl.org/dc/elements/1.1/"/>
    <ds:schemaRef ds:uri="http://schemas.microsoft.com/sharepoint/v4"/>
    <ds:schemaRef ds:uri="http://schemas.microsoft.com/office/2006/documentManagement/types"/>
    <ds:schemaRef ds:uri="http://schemas.microsoft.com/office/2006/metadata/properties"/>
    <ds:schemaRef ds:uri="0f563589-9cf9-4143-b1eb-fb0534803d38"/>
    <ds:schemaRef ds:uri="http://www.w3.org/XML/1998/namespace"/>
  </ds:schemaRefs>
</ds:datastoreItem>
</file>

<file path=customXml/itemProps6.xml><?xml version="1.0" encoding="utf-8"?>
<ds:datastoreItem xmlns:ds="http://schemas.openxmlformats.org/officeDocument/2006/customXml" ds:itemID="{427A3C39-C34D-4728-B55A-4EE68AAF1A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Pri-EM.dotx</Template>
  <TotalTime>90</TotalTime>
  <Pages>26</Pages>
  <Words>6060</Words>
  <Characters>34548</Characters>
  <Application>Microsoft Office Word</Application>
  <DocSecurity>0</DocSecurity>
  <Lines>287</Lines>
  <Paragraphs>81</Paragraphs>
  <ScaleCrop>false</ScaleCrop>
  <HeadingPairs>
    <vt:vector size="2" baseType="variant">
      <vt:variant>
        <vt:lpstr>Title</vt:lpstr>
      </vt:variant>
      <vt:variant>
        <vt:i4>1</vt:i4>
      </vt:variant>
    </vt:vector>
  </HeadingPairs>
  <TitlesOfParts>
    <vt:vector size="1" baseType="lpstr">
      <vt:lpstr/>
    </vt:vector>
  </TitlesOfParts>
  <Company>Australian Government - The Treasury</Company>
  <LinksUpToDate>false</LinksUpToDate>
  <CharactersWithSpaces>40527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Murphy, Jesse</dc:creator>
  <cp:lastModifiedBy>Murphy, Jesse</cp:lastModifiedBy>
  <cp:revision>16</cp:revision>
  <cp:lastPrinted>2018-12-14T00:48:00Z</cp:lastPrinted>
  <dcterms:created xsi:type="dcterms:W3CDTF">2018-12-13T23:11:00Z</dcterms:created>
  <dcterms:modified xsi:type="dcterms:W3CDTF">2018-12-14T00:48:00Z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0x01010036BB8DE7EC542E42A8B2E98CC20CB6970003FAFD07481E774E8350BE125D333F6E</vt:lpwstr>
  </property>
  <property fmtid="{D5CDD505-2E9C-101B-9397-08002B2CF9AE}" pid="3" name="_dlc_DocIdItemGuid">
    <vt:lpwstr>3441f4f0-f642-4047-97de-8c23b3120604</vt:lpwstr>
  </property>
  <property fmtid="{D5CDD505-2E9C-101B-9397-08002B2CF9AE}" pid="4" name="TSYRecordClass">
    <vt:lpwstr>58;#TSY RA-8745 - Retain as national archives|e7c0cb1f-c7bc-47da-a214-9f543417fceb</vt:lpwstr>
  </property>
  <property fmtid="{D5CDD505-2E9C-101B-9397-08002B2CF9AE}" pid="5" name="RecordPoint_ActiveItemUniqueId">
    <vt:lpwstr>{c1e87ae3-3edd-453a-93db-050fe369dc47}</vt:lpwstr>
  </property>
  <property fmtid="{D5CDD505-2E9C-101B-9397-08002B2CF9AE}" pid="6" name="RecordPoint_WorkflowType">
    <vt:lpwstr>ActiveSubmitStub</vt:lpwstr>
  </property>
  <property fmtid="{D5CDD505-2E9C-101B-9397-08002B2CF9AE}" pid="7" name="RecordPoint_ActiveItemListId">
    <vt:lpwstr>{30b135ad-fcc1-4fb7-9c42-fc31816c69eb}</vt:lpwstr>
  </property>
  <property fmtid="{D5CDD505-2E9C-101B-9397-08002B2CF9AE}" pid="8" name="RecordPoint_ActiveItemWebId">
    <vt:lpwstr>{09392e0d-4618-463d-b4d2-50a90b9447cf}</vt:lpwstr>
  </property>
  <property fmtid="{D5CDD505-2E9C-101B-9397-08002B2CF9AE}" pid="9" name="RecordPoint_ActiveItemSiteId">
    <vt:lpwstr>{5b52b9a5-e5b2-4521-8814-a1e24ca2869d}</vt:lpwstr>
  </property>
  <property fmtid="{D5CDD505-2E9C-101B-9397-08002B2CF9AE}" pid="10" name="RecordPoint_RecordNumberSubmitted">
    <vt:lpwstr>R0001936725</vt:lpwstr>
  </property>
  <property fmtid="{D5CDD505-2E9C-101B-9397-08002B2CF9AE}" pid="11" name="RecordPoint_SubmissionCompleted">
    <vt:lpwstr>2018-12-08T17:55:44.9794123+11:00</vt:lpwstr>
  </property>
  <property fmtid="{D5CDD505-2E9C-101B-9397-08002B2CF9AE}" pid="12" name="_AdHocReviewCycleID">
    <vt:i4>1645663386</vt:i4>
  </property>
  <property fmtid="{D5CDD505-2E9C-101B-9397-08002B2CF9AE}" pid="13" name="_NewReviewCycle">
    <vt:lpwstr/>
  </property>
  <property fmtid="{D5CDD505-2E9C-101B-9397-08002B2CF9AE}" pid="14" name="_EmailSubject">
    <vt:lpwstr>Update - Consultation &amp; Discussions Papers Request #S83275 [SEC=UNCLASSIFIED]</vt:lpwstr>
  </property>
  <property fmtid="{D5CDD505-2E9C-101B-9397-08002B2CF9AE}" pid="15" name="_AuthorEmail">
    <vt:lpwstr>Savina.Radosavljevic@TREASURY.GOV.AU</vt:lpwstr>
  </property>
  <property fmtid="{D5CDD505-2E9C-101B-9397-08002B2CF9AE}" pid="16" name="_AuthorEmailDisplayName">
    <vt:lpwstr>Radosavljevic, Savina</vt:lpwstr>
  </property>
  <property fmtid="{D5CDD505-2E9C-101B-9397-08002B2CF9AE}" pid="17" name="_PreviousAdHocReviewCycleID">
    <vt:i4>2087334860</vt:i4>
  </property>
</Properties>
</file>