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C0C8D" w14:textId="77777777" w:rsidR="00B17774" w:rsidRDefault="00B17774" w:rsidP="00B17774">
      <w:pPr>
        <w:pStyle w:val="Baseparagraphcentred"/>
      </w:pPr>
    </w:p>
    <w:p w14:paraId="18422F37" w14:textId="1F0FB366" w:rsidR="001B4AEF" w:rsidRDefault="001B4AEF" w:rsidP="00B17774">
      <w:pPr>
        <w:pStyle w:val="Baseparagraphcentred"/>
      </w:pPr>
    </w:p>
    <w:p w14:paraId="210A313D" w14:textId="77777777" w:rsidR="001B4AEF" w:rsidRDefault="001B4AEF" w:rsidP="00B17774">
      <w:pPr>
        <w:pStyle w:val="Baseparagraphcentred"/>
      </w:pPr>
    </w:p>
    <w:p w14:paraId="0EFD0878" w14:textId="77777777" w:rsidR="001B4AEF" w:rsidRDefault="001B4AEF" w:rsidP="00B17774">
      <w:pPr>
        <w:pStyle w:val="Baseparagraphcentred"/>
      </w:pPr>
    </w:p>
    <w:p w14:paraId="12E7D9ED" w14:textId="77777777" w:rsidR="001B4AEF" w:rsidRDefault="001B4AEF" w:rsidP="00B17774">
      <w:pPr>
        <w:pStyle w:val="Baseparagraphcentred"/>
      </w:pPr>
    </w:p>
    <w:p w14:paraId="4F4C7703" w14:textId="70603541" w:rsidR="00B17774" w:rsidRDefault="00B17774" w:rsidP="00B17774">
      <w:pPr>
        <w:pStyle w:val="Baseparagraphcentred"/>
      </w:pPr>
    </w:p>
    <w:p w14:paraId="437E84EF" w14:textId="77777777" w:rsidR="00B17774" w:rsidRDefault="00B17774" w:rsidP="00B17774">
      <w:pPr>
        <w:pStyle w:val="Baseparagraphcentred"/>
      </w:pPr>
    </w:p>
    <w:p w14:paraId="67BE8C4E" w14:textId="77777777" w:rsidR="00B17774" w:rsidRDefault="00B17774" w:rsidP="00B17774">
      <w:pPr>
        <w:pStyle w:val="Baseparagraphcentred"/>
      </w:pPr>
    </w:p>
    <w:p w14:paraId="1419711E" w14:textId="6E7E0730" w:rsidR="00B17774" w:rsidRDefault="00B17774" w:rsidP="00B17774">
      <w:pPr>
        <w:pStyle w:val="Baseparagraphcentred"/>
      </w:pPr>
    </w:p>
    <w:p w14:paraId="1D07A850" w14:textId="19035867" w:rsidR="00B17774" w:rsidRDefault="00132B24" w:rsidP="00B17774">
      <w:pPr>
        <w:pStyle w:val="Baseparagraphcentred"/>
      </w:pPr>
      <w:bookmarkStart w:id="0" w:name="BillName"/>
      <w:bookmarkEnd w:id="0"/>
      <w:r>
        <w:t>NON-ARM’S LENGTH INCOME OF SUPERANNUATION ENTITIES</w:t>
      </w:r>
    </w:p>
    <w:p w14:paraId="49D0C101" w14:textId="77777777" w:rsidR="00B17774" w:rsidRDefault="00B17774" w:rsidP="00B17774">
      <w:pPr>
        <w:pStyle w:val="Baseparagraphcentred"/>
      </w:pPr>
    </w:p>
    <w:p w14:paraId="0042B6FF" w14:textId="27E1F9C0" w:rsidR="00B13A36" w:rsidRDefault="00B13A36" w:rsidP="00B17774">
      <w:pPr>
        <w:pStyle w:val="Baseparagraphcentred"/>
      </w:pPr>
    </w:p>
    <w:p w14:paraId="2BD86686" w14:textId="77777777" w:rsidR="00B13A36" w:rsidRDefault="00B13A36" w:rsidP="00B17774">
      <w:pPr>
        <w:pStyle w:val="Baseparagraphcentred"/>
      </w:pPr>
    </w:p>
    <w:p w14:paraId="68892930" w14:textId="30ABF2D4" w:rsidR="00B17774" w:rsidRDefault="001B4AEF" w:rsidP="00B17774">
      <w:pPr>
        <w:pStyle w:val="Baseparagraphcentred"/>
      </w:pPr>
      <w:r>
        <w:t xml:space="preserve">EXPOSURE DRAFT </w:t>
      </w:r>
      <w:r w:rsidR="00B17774">
        <w:t xml:space="preserve">EXPLANATORY </w:t>
      </w:r>
      <w:r>
        <w:t>MATERIAL</w:t>
      </w:r>
    </w:p>
    <w:p w14:paraId="70FE10DE" w14:textId="77777777" w:rsidR="00B17774" w:rsidRDefault="00B17774" w:rsidP="00B17774">
      <w:pPr>
        <w:pStyle w:val="Baseparagraphcentred"/>
      </w:pPr>
    </w:p>
    <w:p w14:paraId="5DDA0D35" w14:textId="77777777" w:rsidR="00B17774" w:rsidRDefault="00B17774" w:rsidP="00B17774">
      <w:pPr>
        <w:pStyle w:val="Baseparagraphcentred"/>
      </w:pPr>
    </w:p>
    <w:p w14:paraId="11398E23" w14:textId="77777777" w:rsidR="00B17774" w:rsidRDefault="00B17774" w:rsidP="00B17774">
      <w:pPr>
        <w:pStyle w:val="Baseparagraphcentred"/>
      </w:pPr>
    </w:p>
    <w:p w14:paraId="11466912" w14:textId="25E2BAA5" w:rsidR="00773B68" w:rsidRDefault="00773B68" w:rsidP="00773B68">
      <w:pPr>
        <w:pStyle w:val="ParaCentredNoSpacing"/>
      </w:pPr>
    </w:p>
    <w:p w14:paraId="55398B3D" w14:textId="77777777" w:rsidR="00773B68" w:rsidRDefault="00773B68" w:rsidP="00773B68">
      <w:pPr>
        <w:pStyle w:val="ParaCentredNoSpacing"/>
      </w:pPr>
    </w:p>
    <w:p w14:paraId="1B9F89BD" w14:textId="77777777" w:rsidR="00B17774" w:rsidRDefault="00B17774" w:rsidP="00B17774"/>
    <w:p w14:paraId="5273E4B0"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43190349" w14:textId="77777777" w:rsidR="00B17774" w:rsidRPr="003E0794" w:rsidRDefault="00B17774" w:rsidP="00B17774">
      <w:pPr>
        <w:pStyle w:val="TOCHeading"/>
      </w:pPr>
      <w:r w:rsidRPr="003E0794">
        <w:lastRenderedPageBreak/>
        <w:t>Table of contents</w:t>
      </w:r>
    </w:p>
    <w:p w14:paraId="7177EC70" w14:textId="77777777" w:rsidR="00B7462E"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7462E">
        <w:t>Glossary</w:t>
      </w:r>
      <w:r w:rsidR="00B7462E">
        <w:tab/>
      </w:r>
      <w:r w:rsidR="00B7462E">
        <w:fldChar w:fldCharType="begin"/>
      </w:r>
      <w:r w:rsidR="00B7462E">
        <w:instrText xml:space="preserve"> PAGEREF _Toc499649887 \h </w:instrText>
      </w:r>
      <w:r w:rsidR="00B7462E">
        <w:fldChar w:fldCharType="separate"/>
      </w:r>
      <w:r w:rsidR="00B7462E">
        <w:t>1</w:t>
      </w:r>
      <w:r w:rsidR="00B7462E">
        <w:fldChar w:fldCharType="end"/>
      </w:r>
    </w:p>
    <w:p w14:paraId="20B687E4" w14:textId="77777777" w:rsidR="00B7462E" w:rsidRDefault="00B7462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Non-arm’s length income of superannuation entities</w:t>
      </w:r>
      <w:r>
        <w:rPr>
          <w:noProof/>
        </w:rPr>
        <w:tab/>
      </w:r>
      <w:r>
        <w:rPr>
          <w:noProof/>
        </w:rPr>
        <w:fldChar w:fldCharType="begin"/>
      </w:r>
      <w:r>
        <w:rPr>
          <w:noProof/>
        </w:rPr>
        <w:instrText xml:space="preserve"> PAGEREF _Toc499649888 \h </w:instrText>
      </w:r>
      <w:r>
        <w:rPr>
          <w:noProof/>
        </w:rPr>
      </w:r>
      <w:r>
        <w:rPr>
          <w:noProof/>
        </w:rPr>
        <w:fldChar w:fldCharType="separate"/>
      </w:r>
      <w:r>
        <w:rPr>
          <w:noProof/>
        </w:rPr>
        <w:t>3</w:t>
      </w:r>
      <w:r>
        <w:rPr>
          <w:noProof/>
        </w:rPr>
        <w:fldChar w:fldCharType="end"/>
      </w:r>
    </w:p>
    <w:p w14:paraId="20BDD781" w14:textId="77777777" w:rsidR="00E5385B" w:rsidRDefault="00734F84" w:rsidP="00295ABD">
      <w:pPr>
        <w:rPr>
          <w:rFonts w:ascii="Helvetica" w:hAnsi="Helvetica"/>
          <w:noProof/>
          <w:sz w:val="24"/>
        </w:rPr>
      </w:pPr>
      <w:r>
        <w:rPr>
          <w:rFonts w:ascii="Helvetica" w:hAnsi="Helvetica"/>
          <w:noProof/>
          <w:sz w:val="24"/>
        </w:rPr>
        <w:fldChar w:fldCharType="end"/>
      </w:r>
    </w:p>
    <w:p w14:paraId="2E014356" w14:textId="77777777" w:rsidR="00B17774" w:rsidRDefault="00B17774" w:rsidP="00B17774">
      <w:pPr>
        <w:pStyle w:val="Hiddentext"/>
      </w:pPr>
    </w:p>
    <w:p w14:paraId="0180FB0F"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4C2C267F" w14:textId="77777777" w:rsidR="00B17774" w:rsidRPr="00567602" w:rsidRDefault="00B17774" w:rsidP="00567602">
      <w:pPr>
        <w:pStyle w:val="Chapterheadingsubdocument"/>
      </w:pPr>
      <w:bookmarkStart w:id="1" w:name="_Toc499649887"/>
      <w:r w:rsidRPr="00567602">
        <w:rPr>
          <w:rStyle w:val="ChapterNameOnly"/>
        </w:rPr>
        <w:lastRenderedPageBreak/>
        <w:t>Glossary</w:t>
      </w:r>
      <w:bookmarkEnd w:id="1"/>
    </w:p>
    <w:p w14:paraId="54CDAAE1"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A8AF6F7" w14:textId="77777777" w:rsidTr="003D44D9">
        <w:tc>
          <w:tcPr>
            <w:tcW w:w="2721" w:type="dxa"/>
          </w:tcPr>
          <w:p w14:paraId="71216FBF" w14:textId="77777777" w:rsidR="00B17774" w:rsidRPr="00123D96" w:rsidRDefault="00B17774" w:rsidP="003D44D9">
            <w:pPr>
              <w:pStyle w:val="tableheaderwithintable"/>
            </w:pPr>
            <w:r w:rsidRPr="00123D96">
              <w:t>Abbreviation</w:t>
            </w:r>
          </w:p>
        </w:tc>
        <w:tc>
          <w:tcPr>
            <w:tcW w:w="3885" w:type="dxa"/>
          </w:tcPr>
          <w:p w14:paraId="2AC8F5D0" w14:textId="77777777" w:rsidR="00B17774" w:rsidRPr="00123D96" w:rsidRDefault="00B17774" w:rsidP="003D44D9">
            <w:pPr>
              <w:pStyle w:val="tableheaderwithintable"/>
            </w:pPr>
            <w:r w:rsidRPr="00123D96">
              <w:t>Definition</w:t>
            </w:r>
          </w:p>
        </w:tc>
      </w:tr>
      <w:tr w:rsidR="00467784" w:rsidRPr="002C43E8" w14:paraId="7C80FD62" w14:textId="77777777" w:rsidTr="003D44D9">
        <w:tc>
          <w:tcPr>
            <w:tcW w:w="2721" w:type="dxa"/>
          </w:tcPr>
          <w:p w14:paraId="564F4396" w14:textId="51B6D992" w:rsidR="00467784" w:rsidRDefault="00467784" w:rsidP="003D44D9">
            <w:pPr>
              <w:pStyle w:val="Glossarytabletext"/>
              <w:rPr>
                <w:lang w:val="en-US" w:eastAsia="en-US"/>
              </w:rPr>
            </w:pPr>
            <w:r>
              <w:rPr>
                <w:lang w:val="en-US" w:eastAsia="en-US"/>
              </w:rPr>
              <w:t>ITAA 1936</w:t>
            </w:r>
          </w:p>
        </w:tc>
        <w:tc>
          <w:tcPr>
            <w:tcW w:w="3885" w:type="dxa"/>
          </w:tcPr>
          <w:p w14:paraId="39E0B4B3" w14:textId="22CF5DFB" w:rsidR="00467784" w:rsidRDefault="00467784" w:rsidP="003D44D9">
            <w:pPr>
              <w:pStyle w:val="Glossarytabletext"/>
              <w:rPr>
                <w:i/>
                <w:lang w:val="en-US" w:eastAsia="en-US"/>
              </w:rPr>
            </w:pPr>
            <w:r>
              <w:rPr>
                <w:i/>
                <w:lang w:val="en-US" w:eastAsia="en-US"/>
              </w:rPr>
              <w:t>Income Tax Assessment Act 1936</w:t>
            </w:r>
          </w:p>
        </w:tc>
      </w:tr>
      <w:tr w:rsidR="00B17774" w:rsidRPr="002C43E8" w14:paraId="4B6149D7" w14:textId="77777777" w:rsidTr="003D44D9">
        <w:tc>
          <w:tcPr>
            <w:tcW w:w="2721" w:type="dxa"/>
          </w:tcPr>
          <w:p w14:paraId="403149BB" w14:textId="182C0821" w:rsidR="00B17774" w:rsidRPr="002C43E8" w:rsidRDefault="00D863A9" w:rsidP="003D44D9">
            <w:pPr>
              <w:pStyle w:val="Glossarytabletext"/>
              <w:rPr>
                <w:lang w:val="en-US" w:eastAsia="en-US"/>
              </w:rPr>
            </w:pPr>
            <w:bookmarkStart w:id="2" w:name="GlossaryTableStart"/>
            <w:bookmarkEnd w:id="2"/>
            <w:r>
              <w:rPr>
                <w:lang w:val="en-US" w:eastAsia="en-US"/>
              </w:rPr>
              <w:t>ITAA 1997</w:t>
            </w:r>
          </w:p>
        </w:tc>
        <w:tc>
          <w:tcPr>
            <w:tcW w:w="3885" w:type="dxa"/>
          </w:tcPr>
          <w:p w14:paraId="3DE66945" w14:textId="0565001A" w:rsidR="00B17774" w:rsidRPr="00D863A9" w:rsidRDefault="00D863A9" w:rsidP="003D44D9">
            <w:pPr>
              <w:pStyle w:val="Glossarytabletext"/>
              <w:rPr>
                <w:i/>
                <w:lang w:val="en-US" w:eastAsia="en-US"/>
              </w:rPr>
            </w:pPr>
            <w:r>
              <w:rPr>
                <w:i/>
                <w:lang w:val="en-US" w:eastAsia="en-US"/>
              </w:rPr>
              <w:t>Income Tax Assessment Act 1997</w:t>
            </w:r>
          </w:p>
        </w:tc>
      </w:tr>
      <w:tr w:rsidR="00C0484D" w:rsidRPr="002C43E8" w14:paraId="6EA4FC66" w14:textId="77777777" w:rsidTr="003D44D9">
        <w:tc>
          <w:tcPr>
            <w:tcW w:w="2721" w:type="dxa"/>
          </w:tcPr>
          <w:p w14:paraId="4BE0073E" w14:textId="43B7AD9E" w:rsidR="00C0484D" w:rsidRDefault="007A41C8" w:rsidP="003D44D9">
            <w:pPr>
              <w:pStyle w:val="Glossarytabletext"/>
              <w:rPr>
                <w:lang w:val="en-US" w:eastAsia="en-US"/>
              </w:rPr>
            </w:pPr>
            <w:r>
              <w:rPr>
                <w:lang w:val="en-US" w:eastAsia="en-US"/>
              </w:rPr>
              <w:t>SIS Act</w:t>
            </w:r>
          </w:p>
        </w:tc>
        <w:tc>
          <w:tcPr>
            <w:tcW w:w="3885" w:type="dxa"/>
          </w:tcPr>
          <w:p w14:paraId="6C82BD4C" w14:textId="2783BB86" w:rsidR="00C0484D" w:rsidRDefault="00C0484D" w:rsidP="003D44D9">
            <w:pPr>
              <w:pStyle w:val="Glossarytabletext"/>
              <w:rPr>
                <w:lang w:val="en-US" w:eastAsia="en-US"/>
              </w:rPr>
            </w:pPr>
            <w:r>
              <w:rPr>
                <w:i/>
                <w:lang w:val="en-US" w:eastAsia="en-US"/>
              </w:rPr>
              <w:t>Superannuation Industry (Supervision) Act 1993</w:t>
            </w:r>
          </w:p>
        </w:tc>
      </w:tr>
      <w:tr w:rsidR="00B17774" w:rsidRPr="002C43E8" w14:paraId="6F508190" w14:textId="77777777" w:rsidTr="003D44D9">
        <w:tc>
          <w:tcPr>
            <w:tcW w:w="2721" w:type="dxa"/>
          </w:tcPr>
          <w:p w14:paraId="36872A60" w14:textId="22317FC1" w:rsidR="00B17774" w:rsidRPr="002C43E8" w:rsidRDefault="00C0484D" w:rsidP="003D44D9">
            <w:pPr>
              <w:pStyle w:val="Glossarytabletext"/>
              <w:rPr>
                <w:lang w:val="en-US" w:eastAsia="en-US"/>
              </w:rPr>
            </w:pPr>
            <w:r>
              <w:rPr>
                <w:lang w:val="en-US" w:eastAsia="en-US"/>
              </w:rPr>
              <w:t>SMSF</w:t>
            </w:r>
          </w:p>
        </w:tc>
        <w:tc>
          <w:tcPr>
            <w:tcW w:w="3885" w:type="dxa"/>
          </w:tcPr>
          <w:p w14:paraId="7A718036" w14:textId="0D4FA553" w:rsidR="00B17774" w:rsidRPr="002C43E8" w:rsidRDefault="007A41C8" w:rsidP="003D44D9">
            <w:pPr>
              <w:pStyle w:val="Glossarytabletext"/>
              <w:rPr>
                <w:lang w:val="en-US" w:eastAsia="en-US"/>
              </w:rPr>
            </w:pPr>
            <w:r>
              <w:rPr>
                <w:lang w:val="en-US" w:eastAsia="en-US"/>
              </w:rPr>
              <w:t>Self-</w:t>
            </w:r>
            <w:r w:rsidR="00C0484D">
              <w:rPr>
                <w:lang w:val="en-US" w:eastAsia="en-US"/>
              </w:rPr>
              <w:t>Managed Superannuation Fund</w:t>
            </w:r>
          </w:p>
        </w:tc>
      </w:tr>
    </w:tbl>
    <w:p w14:paraId="1E9E9FC2" w14:textId="77777777" w:rsidR="00E5385B" w:rsidRDefault="00E5385B" w:rsidP="00B17774"/>
    <w:p w14:paraId="4663A5F3" w14:textId="77777777" w:rsidR="00B17774" w:rsidRDefault="00B17774" w:rsidP="00B17774"/>
    <w:p w14:paraId="77E23843"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159E5EC6" w14:textId="0E70777F" w:rsidR="00856FED" w:rsidRPr="00856FED" w:rsidRDefault="00840701" w:rsidP="00856FED">
      <w:pPr>
        <w:pStyle w:val="ChapterHeading"/>
      </w:pPr>
      <w:r w:rsidRPr="000C2A9D">
        <w:lastRenderedPageBreak/>
        <w:br/>
      </w:r>
      <w:bookmarkStart w:id="3" w:name="_Toc499649888"/>
      <w:r w:rsidR="00856FED">
        <w:rPr>
          <w:rStyle w:val="ChapterNameOnly"/>
        </w:rPr>
        <w:t>Non-arm’s length income of superannuation entities</w:t>
      </w:r>
      <w:bookmarkEnd w:id="3"/>
    </w:p>
    <w:p w14:paraId="7192657E" w14:textId="77777777" w:rsidR="00B17774" w:rsidRDefault="00B17774" w:rsidP="00B17774">
      <w:pPr>
        <w:pStyle w:val="Heading2"/>
      </w:pPr>
      <w:r>
        <w:t>Outline of chapter</w:t>
      </w:r>
    </w:p>
    <w:p w14:paraId="184C8AE3" w14:textId="4CAD216D" w:rsidR="00B17774" w:rsidRDefault="00C01C30" w:rsidP="00C01C30">
      <w:pPr>
        <w:pStyle w:val="base-text-paragraph"/>
      </w:pPr>
      <w:r>
        <w:t xml:space="preserve">The amendments will </w:t>
      </w:r>
      <w:r w:rsidRPr="00C01C30">
        <w:t xml:space="preserve">ensure that </w:t>
      </w:r>
      <w:r w:rsidR="00D863A9">
        <w:t xml:space="preserve">the </w:t>
      </w:r>
      <w:r w:rsidRPr="00C01C30">
        <w:t xml:space="preserve">non-arm’s length income rules </w:t>
      </w:r>
      <w:r w:rsidR="00D863A9">
        <w:t xml:space="preserve">for superannuation entities apply in situations where </w:t>
      </w:r>
      <w:r w:rsidR="00544C2B">
        <w:t xml:space="preserve">a superannuation entity incurs </w:t>
      </w:r>
      <w:r w:rsidR="00D863A9">
        <w:t>non</w:t>
      </w:r>
      <w:r w:rsidR="00D863A9">
        <w:noBreakHyphen/>
        <w:t xml:space="preserve">arm’s length expenses </w:t>
      </w:r>
      <w:r w:rsidR="00544C2B">
        <w:t xml:space="preserve">in earning or producing </w:t>
      </w:r>
      <w:r w:rsidR="00D863A9">
        <w:t xml:space="preserve">income. </w:t>
      </w:r>
    </w:p>
    <w:p w14:paraId="0E0257A3" w14:textId="629CABA4" w:rsidR="009022CD" w:rsidRDefault="009022CD" w:rsidP="00C01C30">
      <w:pPr>
        <w:pStyle w:val="base-text-paragraph"/>
      </w:pPr>
      <w:r>
        <w:t>All references are to the ITAA 1997 unless stated otherwise.</w:t>
      </w:r>
    </w:p>
    <w:p w14:paraId="4B78E089" w14:textId="77777777" w:rsidR="00B17774" w:rsidRDefault="00B17774" w:rsidP="00B17774">
      <w:pPr>
        <w:pStyle w:val="Heading2"/>
      </w:pPr>
      <w:r>
        <w:t>Context of amendments</w:t>
      </w:r>
    </w:p>
    <w:p w14:paraId="2399A975" w14:textId="46CCC592" w:rsidR="00E2084F" w:rsidRDefault="00E2084F" w:rsidP="00544C2B">
      <w:pPr>
        <w:pStyle w:val="base-text-paragraph"/>
      </w:pPr>
      <w:r w:rsidRPr="00E2084F">
        <w:t>The purpose of the non-arm’s length income (NALI) provisions is to prevent the inflating of superannuation fund earnings through non</w:t>
      </w:r>
      <w:r w:rsidR="00810F4E">
        <w:noBreakHyphen/>
      </w:r>
      <w:r w:rsidRPr="00E2084F">
        <w:t>arm’s length dealings, for example</w:t>
      </w:r>
      <w:r w:rsidR="00B62B1D">
        <w:t>,</w:t>
      </w:r>
      <w:r w:rsidRPr="00E2084F">
        <w:t xml:space="preserve"> non-commercial arrangements that stream income to the superannuation fund. The strategy is used by some individuals to increase superannuation savings </w:t>
      </w:r>
      <w:r w:rsidR="00B62B1D">
        <w:t xml:space="preserve">in a way that is </w:t>
      </w:r>
      <w:r w:rsidRPr="00E2084F">
        <w:t xml:space="preserve">not caught by </w:t>
      </w:r>
      <w:r w:rsidR="00CC2634">
        <w:t xml:space="preserve">the </w:t>
      </w:r>
      <w:r w:rsidR="00544C2B" w:rsidRPr="00544C2B">
        <w:t xml:space="preserve">concessional contributions cap and non-concessional contributions cap </w:t>
      </w:r>
      <w:r w:rsidR="00A9454C">
        <w:t>(</w:t>
      </w:r>
      <w:r w:rsidRPr="00E2084F">
        <w:t>contribution caps</w:t>
      </w:r>
      <w:r w:rsidR="00A9454C">
        <w:t>)</w:t>
      </w:r>
      <w:r w:rsidRPr="00E2084F">
        <w:t xml:space="preserve">. </w:t>
      </w:r>
    </w:p>
    <w:p w14:paraId="388D4341" w14:textId="6B968F37" w:rsidR="00ED1466" w:rsidRDefault="00ED1466" w:rsidP="00ED1466">
      <w:pPr>
        <w:pStyle w:val="base-text-paragraph"/>
      </w:pPr>
      <w:r w:rsidRPr="00ED1466">
        <w:t xml:space="preserve">The NALI provisions contained in </w:t>
      </w:r>
      <w:r w:rsidR="00191F84">
        <w:t>section 295-550</w:t>
      </w:r>
      <w:r w:rsidRPr="00ED1466">
        <w:t xml:space="preserve"> are essentially a re-write of the former provisions in section 273 of the</w:t>
      </w:r>
      <w:r>
        <w:t xml:space="preserve"> ITAA</w:t>
      </w:r>
      <w:r w:rsidR="00810F4E">
        <w:t> </w:t>
      </w:r>
      <w:r>
        <w:t xml:space="preserve">1936, the purpose of which was stated in the </w:t>
      </w:r>
      <w:r w:rsidRPr="00ED1466">
        <w:t xml:space="preserve">Explanatory Memorandum to the Superannuation Legislation Amendment Bill (No. 2) 1999:  </w:t>
      </w:r>
    </w:p>
    <w:p w14:paraId="20352456" w14:textId="084DAF1F" w:rsidR="00ED1466" w:rsidRPr="00E2084F" w:rsidRDefault="00ED1466" w:rsidP="00ED1466">
      <w:pPr>
        <w:pStyle w:val="base-text-paragraphnonumbers"/>
        <w:ind w:left="1440"/>
      </w:pPr>
      <w:r w:rsidRPr="00ED1466">
        <w:t>to prevent income from being unduly diverted into superannuation entities as a means of sheltering that income from the normal rates of tax applying to other entities, particularly the marginal rates applying to individual taxpayers</w:t>
      </w:r>
      <w:r>
        <w:t>.</w:t>
      </w:r>
    </w:p>
    <w:p w14:paraId="6D9C25C5" w14:textId="3C88B0CA" w:rsidR="00235A30" w:rsidRPr="00235A30" w:rsidRDefault="00F0668A" w:rsidP="00A9454C">
      <w:pPr>
        <w:pStyle w:val="base-text-paragraph"/>
      </w:pPr>
      <w:r>
        <w:t xml:space="preserve">The changes </w:t>
      </w:r>
      <w:r w:rsidRPr="00F0668A">
        <w:t xml:space="preserve">introduced by the </w:t>
      </w:r>
      <w:r w:rsidR="00A9454C" w:rsidRPr="000A337D">
        <w:rPr>
          <w:i/>
        </w:rPr>
        <w:t>Treasury Laws Amendment</w:t>
      </w:r>
      <w:r w:rsidR="00A9454C" w:rsidRPr="00A9454C">
        <w:t xml:space="preserve"> </w:t>
      </w:r>
      <w:r w:rsidR="00A9454C">
        <w:rPr>
          <w:i/>
        </w:rPr>
        <w:t>(</w:t>
      </w:r>
      <w:r w:rsidRPr="00A9454C">
        <w:rPr>
          <w:i/>
        </w:rPr>
        <w:t>Fair and Sustainable Superannuation</w:t>
      </w:r>
      <w:r w:rsidR="00A9454C">
        <w:rPr>
          <w:i/>
        </w:rPr>
        <w:t>)</w:t>
      </w:r>
      <w:r w:rsidRPr="00A9454C">
        <w:rPr>
          <w:i/>
        </w:rPr>
        <w:t xml:space="preserve"> Act 2016</w:t>
      </w:r>
      <w:r>
        <w:t xml:space="preserve"> </w:t>
      </w:r>
      <w:r w:rsidRPr="00F0668A">
        <w:t>lowered the annual contributions cap and threshold at which high income earners pay Division 293 tax on their conces</w:t>
      </w:r>
      <w:r>
        <w:t xml:space="preserve">sionally taxed contributions. </w:t>
      </w:r>
      <w:r w:rsidR="00B62B1D">
        <w:t>This increases the incentive to engage in arrangements that have the effect of circumventing these restrictions upon the transfer of wealth into superannuation.</w:t>
      </w:r>
    </w:p>
    <w:p w14:paraId="45CF850E" w14:textId="77777777" w:rsidR="00235A30" w:rsidRPr="00235A30" w:rsidRDefault="00235A30" w:rsidP="00511474">
      <w:pPr>
        <w:pStyle w:val="base-text-paragraph"/>
        <w:numPr>
          <w:ilvl w:val="0"/>
          <w:numId w:val="0"/>
        </w:numPr>
        <w:ind w:left="1134"/>
      </w:pPr>
    </w:p>
    <w:p w14:paraId="5F21B264" w14:textId="279EDB4A" w:rsidR="00235A30" w:rsidRPr="00F0668A" w:rsidRDefault="00235A30" w:rsidP="00235A30">
      <w:pPr>
        <w:pStyle w:val="base-text-paragraph"/>
        <w:numPr>
          <w:ilvl w:val="0"/>
          <w:numId w:val="0"/>
        </w:numPr>
        <w:ind w:left="1134"/>
        <w:rPr>
          <w:highlight w:val="yellow"/>
        </w:rPr>
      </w:pPr>
    </w:p>
    <w:p w14:paraId="774AB8D7" w14:textId="4D470581" w:rsidR="00B17774" w:rsidRDefault="003467C4" w:rsidP="003467C4">
      <w:pPr>
        <w:pStyle w:val="Heading3"/>
      </w:pPr>
      <w:r>
        <w:lastRenderedPageBreak/>
        <w:t>Operation of existing law</w:t>
      </w:r>
    </w:p>
    <w:p w14:paraId="2CDFDC19" w14:textId="21540BB9" w:rsidR="00380363" w:rsidRDefault="00380363" w:rsidP="00380363">
      <w:pPr>
        <w:pStyle w:val="Heading4"/>
      </w:pPr>
      <w:r>
        <w:t>Summary</w:t>
      </w:r>
    </w:p>
    <w:p w14:paraId="1DFF0F13" w14:textId="45C62CF3" w:rsidR="006B492B" w:rsidRDefault="00380363" w:rsidP="00380363">
      <w:pPr>
        <w:pStyle w:val="base-text-paragraph"/>
      </w:pPr>
      <w:r w:rsidRPr="00380363">
        <w:t>The purpose of the NALI provisions is to prevent the inflating of superannu</w:t>
      </w:r>
      <w:r w:rsidR="00191F84">
        <w:t>ation fund earnings through non</w:t>
      </w:r>
      <w:r w:rsidR="00191F84">
        <w:noBreakHyphen/>
      </w:r>
      <w:r w:rsidRPr="00380363">
        <w:t>arm’s length dealings</w:t>
      </w:r>
      <w:r w:rsidR="006B492B">
        <w:t>.</w:t>
      </w:r>
    </w:p>
    <w:p w14:paraId="1FDD082F" w14:textId="5EB740DD" w:rsidR="00BD4AF0" w:rsidRDefault="00BD4AF0" w:rsidP="00BD4AF0">
      <w:pPr>
        <w:pStyle w:val="base-text-paragraph"/>
      </w:pPr>
      <w:r>
        <w:t xml:space="preserve">The concept of ‘non-arm’s length’ takes its ordinary meaning. In broad terms, the concept is interpreted as relating to transactions in which individuals or entities are not dealing with each other on a commercial, unrelated party basis. </w:t>
      </w:r>
      <w:r w:rsidR="00CF3E77">
        <w:t>Parties do not have to be related to deal with each o</w:t>
      </w:r>
      <w:r w:rsidR="00191F84">
        <w:t>ther on non-arm’s length terms</w:t>
      </w:r>
      <w:r w:rsidR="00A9454C">
        <w:t>. B</w:t>
      </w:r>
      <w:r w:rsidR="00191F84">
        <w:t>enefits they or others receive due to the transaction are considered relevant in determi</w:t>
      </w:r>
      <w:r w:rsidR="009A56D4">
        <w:t>ning whether a transaction is on</w:t>
      </w:r>
      <w:r w:rsidR="00191F84">
        <w:t xml:space="preserve"> arm’</w:t>
      </w:r>
      <w:r w:rsidR="009A56D4">
        <w:t xml:space="preserve">s length, unrelated party terms. </w:t>
      </w:r>
    </w:p>
    <w:p w14:paraId="13575531" w14:textId="095ECAD3" w:rsidR="00380363" w:rsidRPr="00380363" w:rsidRDefault="00380363" w:rsidP="00380363">
      <w:pPr>
        <w:pStyle w:val="base-text-paragraph"/>
      </w:pPr>
      <w:r w:rsidRPr="00380363">
        <w:t xml:space="preserve">The taxable income of a superannuation entity is generally taxed at 15 per cent. However, </w:t>
      </w:r>
      <w:r>
        <w:t>the non-arm’s length component (</w:t>
      </w:r>
      <w:r w:rsidRPr="00380363">
        <w:t>NALC</w:t>
      </w:r>
      <w:r>
        <w:t>)</w:t>
      </w:r>
      <w:r w:rsidRPr="00380363">
        <w:t xml:space="preserve"> is taxed at the top marginal rate. This ensures that income derived from a </w:t>
      </w:r>
      <w:r w:rsidR="00191F84">
        <w:t>transaction that is not on unrelated party</w:t>
      </w:r>
      <w:r w:rsidR="009A56D4">
        <w:t>,</w:t>
      </w:r>
      <w:r w:rsidR="00191F84">
        <w:t xml:space="preserve"> </w:t>
      </w:r>
      <w:r w:rsidRPr="00380363">
        <w:t>commercial terms does not receive concessional treatment in superannuation.</w:t>
      </w:r>
    </w:p>
    <w:p w14:paraId="12261DAC" w14:textId="775E7318" w:rsidR="00243ADB" w:rsidRDefault="006B492B" w:rsidP="007E2427">
      <w:pPr>
        <w:pStyle w:val="base-text-paragraph"/>
      </w:pPr>
      <w:r>
        <w:t xml:space="preserve">There may be a </w:t>
      </w:r>
      <w:r w:rsidR="00B62B1D">
        <w:t xml:space="preserve">technical deficiency </w:t>
      </w:r>
      <w:r>
        <w:t xml:space="preserve">in the NALI provisions </w:t>
      </w:r>
      <w:r w:rsidR="00762934">
        <w:t>whereby some non</w:t>
      </w:r>
      <w:r w:rsidR="00762934">
        <w:noBreakHyphen/>
      </w:r>
      <w:r>
        <w:t>arm’s</w:t>
      </w:r>
      <w:r w:rsidR="00762934">
        <w:t xml:space="preserve"> length expenses may not </w:t>
      </w:r>
      <w:r w:rsidR="007E2427" w:rsidRPr="007E2427">
        <w:t>result in income being treated as NALI as intended</w:t>
      </w:r>
      <w:r w:rsidR="009A56D4">
        <w:t>. The amendments</w:t>
      </w:r>
      <w:r w:rsidR="00762934">
        <w:t xml:space="preserve"> </w:t>
      </w:r>
      <w:r w:rsidR="009E4510">
        <w:t>seek to</w:t>
      </w:r>
      <w:r>
        <w:t xml:space="preserve"> remove any </w:t>
      </w:r>
      <w:r w:rsidR="009E4510">
        <w:t xml:space="preserve">such </w:t>
      </w:r>
      <w:r>
        <w:t xml:space="preserve">ambiguity </w:t>
      </w:r>
      <w:r w:rsidR="009E4510">
        <w:t xml:space="preserve">and ensure that superannuation entities cannot circumvent the provisions by </w:t>
      </w:r>
      <w:r w:rsidR="00E16A06">
        <w:t>entering into schemes with non</w:t>
      </w:r>
      <w:r w:rsidR="00E16A06">
        <w:noBreakHyphen/>
      </w:r>
      <w:r w:rsidR="009E4510">
        <w:t xml:space="preserve">arm’s length expenditure. </w:t>
      </w:r>
      <w:r w:rsidR="00243ADB">
        <w:t xml:space="preserve"> </w:t>
      </w:r>
    </w:p>
    <w:p w14:paraId="7FA48DB0" w14:textId="77777777" w:rsidR="00380363" w:rsidRDefault="00380363" w:rsidP="00380363">
      <w:pPr>
        <w:pStyle w:val="Heading4"/>
      </w:pPr>
      <w:r>
        <w:t>Detailed explanation</w:t>
      </w:r>
    </w:p>
    <w:p w14:paraId="66DCA607" w14:textId="7D726144" w:rsidR="00380363" w:rsidRDefault="00380363" w:rsidP="00380363">
      <w:pPr>
        <w:pStyle w:val="base-text-paragraph"/>
      </w:pPr>
      <w:r>
        <w:t xml:space="preserve">The taxable income of a complying superannuation fund, complying approved deposit fund or pooled superannuation trust </w:t>
      </w:r>
      <w:r w:rsidR="009A56D4">
        <w:t>(together, complying superannuation entities as defined in subsection 995</w:t>
      </w:r>
      <w:r w:rsidR="009A56D4">
        <w:noBreakHyphen/>
        <w:t xml:space="preserve">1(1)) </w:t>
      </w:r>
      <w:r>
        <w:t>is made up of two components — a low tax component which is taxed at 15 per cent and a</w:t>
      </w:r>
      <w:r w:rsidR="00A9454C">
        <w:t xml:space="preserve"> NALC</w:t>
      </w:r>
      <w:r>
        <w:t xml:space="preserve"> which is taxed at the top marginal rate.</w:t>
      </w:r>
    </w:p>
    <w:p w14:paraId="39DA3595" w14:textId="75565981" w:rsidR="00380363" w:rsidRDefault="00380363" w:rsidP="00380363">
      <w:pPr>
        <w:pStyle w:val="base-text-paragraph"/>
      </w:pPr>
      <w:r>
        <w:t xml:space="preserve">The </w:t>
      </w:r>
      <w:r w:rsidR="00762934">
        <w:t xml:space="preserve">NALC </w:t>
      </w:r>
      <w:r>
        <w:t xml:space="preserve">for an income year is the amount of the fund’s </w:t>
      </w:r>
      <w:r w:rsidR="00762934">
        <w:t>NALI</w:t>
      </w:r>
      <w:r>
        <w:t xml:space="preserve"> less any deductions to the extent that they are attributable to that income (subsection 295-545(2)).</w:t>
      </w:r>
    </w:p>
    <w:p w14:paraId="03466335" w14:textId="6C97EFF5" w:rsidR="00380363" w:rsidRDefault="00380363" w:rsidP="00380363">
      <w:pPr>
        <w:pStyle w:val="base-text-paragraph"/>
      </w:pPr>
      <w:r>
        <w:t>The low tax component of the fund’s taxable income is the amount of the fund’s taxable income remaining after deductin</w:t>
      </w:r>
      <w:r w:rsidR="009A56D4">
        <w:t>g the NALC</w:t>
      </w:r>
      <w:r>
        <w:t xml:space="preserve"> from its total</w:t>
      </w:r>
      <w:r w:rsidR="009A56D4">
        <w:t xml:space="preserve"> taxable income (subsection 295</w:t>
      </w:r>
      <w:r w:rsidR="009A56D4">
        <w:noBreakHyphen/>
      </w:r>
      <w:r>
        <w:t>545(3)).</w:t>
      </w:r>
    </w:p>
    <w:p w14:paraId="063DF6D5" w14:textId="77777777" w:rsidR="00380363" w:rsidRDefault="00380363" w:rsidP="00380363">
      <w:pPr>
        <w:pStyle w:val="Heading4"/>
      </w:pPr>
      <w:r>
        <w:t>Non-arm’s length income of superannuation entities</w:t>
      </w:r>
    </w:p>
    <w:p w14:paraId="1232FC7C" w14:textId="77777777" w:rsidR="00380363" w:rsidRDefault="00380363" w:rsidP="00380363">
      <w:pPr>
        <w:pStyle w:val="base-text-paragraph"/>
      </w:pPr>
      <w:r>
        <w:t>There are several categories of NALI, including:</w:t>
      </w:r>
    </w:p>
    <w:p w14:paraId="490CCFE0" w14:textId="729B43A9" w:rsidR="00380363" w:rsidRDefault="00380363" w:rsidP="00380363">
      <w:pPr>
        <w:pStyle w:val="dotpoint"/>
      </w:pPr>
      <w:r>
        <w:t xml:space="preserve">ordinary or statutory income derived from a scheme where the parties are not dealing with each other at arm’s length and the amount of the income is greater than what it would have </w:t>
      </w:r>
      <w:r>
        <w:lastRenderedPageBreak/>
        <w:t xml:space="preserve">been had </w:t>
      </w:r>
      <w:r w:rsidR="007E2427">
        <w:t xml:space="preserve">the </w:t>
      </w:r>
      <w:r>
        <w:t>parties been dealing at arm’s length in relation to the scheme (subsection 295-550(1)).</w:t>
      </w:r>
    </w:p>
    <w:p w14:paraId="0B8FB260" w14:textId="77777777" w:rsidR="00380363" w:rsidRDefault="00380363" w:rsidP="000A337D">
      <w:pPr>
        <w:pStyle w:val="base-text-paragraphnonumbers"/>
      </w:pPr>
      <w:r>
        <w:t xml:space="preserve">The other types of NALI are: </w:t>
      </w:r>
    </w:p>
    <w:p w14:paraId="22BAB2DE" w14:textId="041BEC75" w:rsidR="00380363" w:rsidRDefault="00380363" w:rsidP="00380363">
      <w:pPr>
        <w:pStyle w:val="dotpoint"/>
      </w:pPr>
      <w:r>
        <w:t>private company dividends (including income attributable to dividends) unless the amount is consistent with an arm’s length dealing (subsection 295-550(2)</w:t>
      </w:r>
      <w:r w:rsidR="007E2427">
        <w:t>)</w:t>
      </w:r>
      <w:r>
        <w:t>; and</w:t>
      </w:r>
    </w:p>
    <w:p w14:paraId="6F6CA5A5" w14:textId="77777777" w:rsidR="00380363" w:rsidRDefault="00380363" w:rsidP="00380363">
      <w:pPr>
        <w:pStyle w:val="dotpoint"/>
      </w:pPr>
      <w:r>
        <w:t>trust distributions:</w:t>
      </w:r>
    </w:p>
    <w:p w14:paraId="361B9138" w14:textId="219CDF6E" w:rsidR="00380363" w:rsidRDefault="00380363" w:rsidP="00380363">
      <w:pPr>
        <w:pStyle w:val="dotpoint2"/>
      </w:pPr>
      <w:r>
        <w:t>income derived as a beneficiary of a trust, other than because of holding a fixed entitlement (that is, discretionary trust distributions) (subsection 295-550(4)</w:t>
      </w:r>
      <w:r w:rsidR="009E4510">
        <w:t>)</w:t>
      </w:r>
      <w:r>
        <w:t>, and</w:t>
      </w:r>
    </w:p>
    <w:p w14:paraId="5A9EE8EF" w14:textId="77777777" w:rsidR="00380363" w:rsidRDefault="00380363" w:rsidP="00380363">
      <w:pPr>
        <w:pStyle w:val="dotpoint2"/>
      </w:pPr>
      <w:r>
        <w:t>income derived as a beneficiary of a trust through holding a fixed entitlement to the income of the trust where the fund acquired the entitlement under a scheme, or the income was derived under a scheme, the parties to which were not dealing with each other at arm’s length, and the amount of the income is more than what might have been expected to derive if those parties had been dealing with each other at arm’s length (subsection 295-550(5)).</w:t>
      </w:r>
    </w:p>
    <w:p w14:paraId="4394ABB6" w14:textId="1DCE01A3" w:rsidR="00AC2CE0" w:rsidRDefault="00AC2CE0" w:rsidP="00AC2CE0">
      <w:pPr>
        <w:pStyle w:val="Heading4"/>
      </w:pPr>
      <w:r>
        <w:t>Existence of a scheme</w:t>
      </w:r>
      <w:r w:rsidR="00762934">
        <w:t>, parties and dealings</w:t>
      </w:r>
    </w:p>
    <w:p w14:paraId="73A7ED75" w14:textId="406F5D21" w:rsidR="00AC2CE0" w:rsidRDefault="00AC2CE0" w:rsidP="008F6830">
      <w:pPr>
        <w:pStyle w:val="base-text-paragraph"/>
      </w:pPr>
      <w:r>
        <w:t xml:space="preserve">In order for the NALI provisions </w:t>
      </w:r>
      <w:r w:rsidR="008F6830">
        <w:t xml:space="preserve">relating to ordinary and statutory income </w:t>
      </w:r>
      <w:r>
        <w:t>to apply, the NALI must have been derived from a scheme</w:t>
      </w:r>
      <w:r w:rsidR="009E4510">
        <w:t>, in relation to which</w:t>
      </w:r>
      <w:r>
        <w:t xml:space="preserve"> the parties were not dealing with each other at arm’s length</w:t>
      </w:r>
      <w:r w:rsidR="009E4510">
        <w:t>.</w:t>
      </w:r>
    </w:p>
    <w:p w14:paraId="5A2B964B" w14:textId="151AB39E" w:rsidR="009022CD" w:rsidRDefault="009022CD" w:rsidP="009022CD">
      <w:pPr>
        <w:pStyle w:val="base-text-paragraph"/>
      </w:pPr>
      <w:r>
        <w:t>A ‘scheme’</w:t>
      </w:r>
      <w:r w:rsidRPr="009022CD">
        <w:t xml:space="preserve"> </w:t>
      </w:r>
      <w:r w:rsidR="00762934">
        <w:t xml:space="preserve">is </w:t>
      </w:r>
      <w:r w:rsidR="009E4510">
        <w:t xml:space="preserve">broadly </w:t>
      </w:r>
      <w:r w:rsidR="00762934">
        <w:t xml:space="preserve">defined </w:t>
      </w:r>
      <w:r w:rsidR="009E4510">
        <w:t>in</w:t>
      </w:r>
      <w:r w:rsidR="00762934">
        <w:t xml:space="preserve"> subsection 995-1(1) to cover a range of transactions and formal or informal arrangements. There must be one or more parties to a scheme and their dealings need to be examined to determine whether NALI results from a scheme. </w:t>
      </w:r>
    </w:p>
    <w:p w14:paraId="16A54A60" w14:textId="6341BD11" w:rsidR="000A03F3" w:rsidRDefault="000A03F3" w:rsidP="000A03F3">
      <w:pPr>
        <w:pStyle w:val="Heading4"/>
      </w:pPr>
      <w:r>
        <w:t>Amount of income</w:t>
      </w:r>
    </w:p>
    <w:p w14:paraId="1C14C121" w14:textId="5E0EB85A" w:rsidR="000A03F3" w:rsidRDefault="0004027F" w:rsidP="000A03F3">
      <w:pPr>
        <w:pStyle w:val="base-text-paragraph"/>
      </w:pPr>
      <w:r>
        <w:t xml:space="preserve">The legislation requires </w:t>
      </w:r>
      <w:r w:rsidR="009E4510">
        <w:t xml:space="preserve">the identification of </w:t>
      </w:r>
      <w:r>
        <w:t xml:space="preserve">a specific amount of ordinary or statutory income that is NALI. </w:t>
      </w:r>
      <w:r w:rsidR="009E4510">
        <w:t xml:space="preserve">That is, the existence of an amount of NALI does </w:t>
      </w:r>
      <w:r>
        <w:t xml:space="preserve">not </w:t>
      </w:r>
      <w:r w:rsidR="009E4510">
        <w:t>necessarily ‘</w:t>
      </w:r>
      <w:r>
        <w:t>taint</w:t>
      </w:r>
      <w:r w:rsidR="005C4582">
        <w:t xml:space="preserve">’ </w:t>
      </w:r>
      <w:r>
        <w:t xml:space="preserve">all </w:t>
      </w:r>
      <w:r w:rsidR="00B72FAF">
        <w:t xml:space="preserve">of </w:t>
      </w:r>
      <w:r>
        <w:t>a superannuation entity’s income</w:t>
      </w:r>
      <w:r w:rsidR="00B72FAF">
        <w:t xml:space="preserve">; it is necessary to </w:t>
      </w:r>
      <w:r w:rsidR="005C4582">
        <w:t>specify</w:t>
      </w:r>
      <w:r w:rsidR="00B72FAF">
        <w:t xml:space="preserve"> the scheme in relation to which the NALI was derived.</w:t>
      </w:r>
      <w:r>
        <w:t xml:space="preserve"> </w:t>
      </w:r>
    </w:p>
    <w:p w14:paraId="71307F55" w14:textId="0BAE711C" w:rsidR="00A810B1" w:rsidRDefault="005C4582" w:rsidP="002B3990">
      <w:pPr>
        <w:pStyle w:val="base-text-paragraph"/>
      </w:pPr>
      <w:r>
        <w:t xml:space="preserve">As stated above, </w:t>
      </w:r>
      <w:r w:rsidR="00A810B1">
        <w:t xml:space="preserve">NALI can be ordinary or statutory income. </w:t>
      </w:r>
      <w:r w:rsidR="002B3990" w:rsidRPr="002B3990">
        <w:t>Statutory income includes amounts such as net capital gains or amounts obtained as a refund of franking credits by virtue of the application of the tax offset for imputation credits attaching to franked distributions.</w:t>
      </w:r>
      <w:r w:rsidR="002B3990">
        <w:t xml:space="preserve"> </w:t>
      </w:r>
    </w:p>
    <w:p w14:paraId="509DBB22" w14:textId="40285368" w:rsidR="00762934" w:rsidRDefault="00762934" w:rsidP="00EF2E4F">
      <w:pPr>
        <w:pStyle w:val="base-text-paragraph"/>
      </w:pPr>
      <w:r>
        <w:lastRenderedPageBreak/>
        <w:t xml:space="preserve">There may be a </w:t>
      </w:r>
      <w:r w:rsidR="00B72FAF">
        <w:t xml:space="preserve">technical deficiency </w:t>
      </w:r>
      <w:r>
        <w:t xml:space="preserve">in </w:t>
      </w:r>
      <w:r w:rsidR="00B72FAF">
        <w:t xml:space="preserve">Subdivision 295-H, such that its operation in relation to </w:t>
      </w:r>
      <w:r>
        <w:t xml:space="preserve">non-arm’s length expenses </w:t>
      </w:r>
      <w:r w:rsidR="002E15FB">
        <w:t xml:space="preserve">is </w:t>
      </w:r>
      <w:r w:rsidR="00B72FAF">
        <w:t>ambiguous</w:t>
      </w:r>
      <w:r>
        <w:t xml:space="preserve">. The amendments are intended to remove any </w:t>
      </w:r>
      <w:r w:rsidR="00B72FAF">
        <w:t xml:space="preserve">such </w:t>
      </w:r>
      <w:r>
        <w:t>ambiguity</w:t>
      </w:r>
      <w:r w:rsidR="00B72FAF">
        <w:t>.</w:t>
      </w:r>
    </w:p>
    <w:p w14:paraId="02426B15" w14:textId="3E35EE74" w:rsidR="002B3990" w:rsidRDefault="00B72FAF" w:rsidP="002B3990">
      <w:pPr>
        <w:pStyle w:val="base-text-paragraph"/>
      </w:pPr>
      <w:r>
        <w:t xml:space="preserve">For example, in cases where a superannuation </w:t>
      </w:r>
      <w:r w:rsidR="002E15FB">
        <w:t>entity</w:t>
      </w:r>
      <w:r>
        <w:t xml:space="preserve"> </w:t>
      </w:r>
      <w:r w:rsidR="002B3990">
        <w:t>acquire</w:t>
      </w:r>
      <w:r>
        <w:t>s</w:t>
      </w:r>
      <w:r w:rsidR="002B3990">
        <w:t xml:space="preserve"> assets at less than market value</w:t>
      </w:r>
      <w:r>
        <w:t xml:space="preserve"> (</w:t>
      </w:r>
      <w:r w:rsidR="002B3990">
        <w:t>through arrangements entered into on non-arm’s length terms</w:t>
      </w:r>
      <w:r>
        <w:t xml:space="preserve">), it may not have been clear whether the </w:t>
      </w:r>
      <w:r w:rsidR="00A377A5">
        <w:t xml:space="preserve">derived </w:t>
      </w:r>
      <w:r>
        <w:t xml:space="preserve">ordinary and statutory income from these assets </w:t>
      </w:r>
      <w:r w:rsidR="00820980">
        <w:t>falls</w:t>
      </w:r>
      <w:r>
        <w:t xml:space="preserve"> within the scope of the Subdivision. </w:t>
      </w:r>
    </w:p>
    <w:p w14:paraId="6DD4997D" w14:textId="05F0E06B" w:rsidR="002B3990" w:rsidRDefault="00B72FAF" w:rsidP="002B3990">
      <w:pPr>
        <w:pStyle w:val="base-text-paragraph"/>
      </w:pPr>
      <w:r>
        <w:t>Similarly,</w:t>
      </w:r>
      <w:r w:rsidR="00626715">
        <w:t xml:space="preserve"> </w:t>
      </w:r>
      <w:r w:rsidR="00645219">
        <w:t xml:space="preserve">the application of </w:t>
      </w:r>
      <w:r w:rsidR="00626715">
        <w:t>paragraph</w:t>
      </w:r>
      <w:r w:rsidR="00A377A5">
        <w:t>s</w:t>
      </w:r>
      <w:r w:rsidR="00626715">
        <w:t xml:space="preserve"> 295-550(1)(b) </w:t>
      </w:r>
      <w:r w:rsidR="00A377A5">
        <w:t>and 295</w:t>
      </w:r>
      <w:r w:rsidR="00BF6636">
        <w:noBreakHyphen/>
      </w:r>
      <w:r w:rsidR="00A377A5">
        <w:t xml:space="preserve">550(5)(b) </w:t>
      </w:r>
      <w:r w:rsidR="00626715">
        <w:t xml:space="preserve">may be ambiguous </w:t>
      </w:r>
      <w:r w:rsidR="002B3990">
        <w:t xml:space="preserve">where </w:t>
      </w:r>
      <w:r w:rsidR="002E15FB">
        <w:t xml:space="preserve">expenses </w:t>
      </w:r>
      <w:r w:rsidR="002B3990">
        <w:t xml:space="preserve">incurred by </w:t>
      </w:r>
      <w:r w:rsidR="00820980">
        <w:t xml:space="preserve">a superannuation </w:t>
      </w:r>
      <w:r w:rsidR="002E15FB">
        <w:t>entity</w:t>
      </w:r>
      <w:r w:rsidR="002B3990">
        <w:t xml:space="preserve"> in respect of </w:t>
      </w:r>
      <w:r w:rsidR="00820980">
        <w:t xml:space="preserve">an </w:t>
      </w:r>
      <w:r w:rsidR="002B3990">
        <w:t xml:space="preserve">asset </w:t>
      </w:r>
      <w:r w:rsidR="002E15FB">
        <w:t xml:space="preserve">are </w:t>
      </w:r>
      <w:r w:rsidR="002B3990">
        <w:t xml:space="preserve">not on arm’s length terms, but the amount of ordinary income or statutory income from the arrangement is the same as might be expected </w:t>
      </w:r>
      <w:r w:rsidR="00820980">
        <w:t xml:space="preserve">had the dealing been at arm’s length. </w:t>
      </w:r>
      <w:r w:rsidR="00950B88">
        <w:t>This may be the case, for example, where re</w:t>
      </w:r>
      <w:r w:rsidR="00E145A5">
        <w:t>al property is acquired under a limited recourse borrowing arrangement</w:t>
      </w:r>
      <w:r w:rsidR="00950B88">
        <w:t xml:space="preserve"> </w:t>
      </w:r>
      <w:r w:rsidR="00E145A5">
        <w:t>(</w:t>
      </w:r>
      <w:r w:rsidR="00950B88">
        <w:t>LRBA</w:t>
      </w:r>
      <w:r w:rsidR="00E145A5">
        <w:t>)</w:t>
      </w:r>
      <w:r w:rsidR="00950B88">
        <w:t xml:space="preserve"> and where the rent </w:t>
      </w:r>
      <w:r w:rsidR="00820980">
        <w:t>derived</w:t>
      </w:r>
      <w:r w:rsidR="00950B88">
        <w:t xml:space="preserve"> under the scheme is at market rates but the interest </w:t>
      </w:r>
      <w:r w:rsidR="00820980">
        <w:t>paid</w:t>
      </w:r>
      <w:r w:rsidR="00950B88">
        <w:t xml:space="preserve"> </w:t>
      </w:r>
      <w:r w:rsidR="00A377A5">
        <w:t xml:space="preserve">on the loan </w:t>
      </w:r>
      <w:r w:rsidR="00950B88">
        <w:t xml:space="preserve">is not. </w:t>
      </w:r>
    </w:p>
    <w:p w14:paraId="63172A8A" w14:textId="04E10E13" w:rsidR="002B3990" w:rsidRPr="000A03F3" w:rsidRDefault="00950B88" w:rsidP="002B3990">
      <w:pPr>
        <w:pStyle w:val="base-text-paragraph"/>
      </w:pPr>
      <w:r>
        <w:t xml:space="preserve">Finally, the current law may not apply to </w:t>
      </w:r>
      <w:r w:rsidR="00820980">
        <w:t xml:space="preserve">net </w:t>
      </w:r>
      <w:r>
        <w:t>capital ga</w:t>
      </w:r>
      <w:r w:rsidR="00D25851">
        <w:t>ins in line with the policy intent of Subdivision 295-H</w:t>
      </w:r>
      <w:r>
        <w:t xml:space="preserve">. </w:t>
      </w:r>
      <w:r w:rsidR="00D25851">
        <w:t xml:space="preserve">For example, </w:t>
      </w:r>
      <w:r w:rsidR="002B3990">
        <w:t>a fund acquires an asset at less than its market value through non</w:t>
      </w:r>
      <w:r w:rsidR="00D25851">
        <w:noBreakHyphen/>
      </w:r>
      <w:r w:rsidR="002B3990">
        <w:t>arm’s length dealings and then disposes of the asset</w:t>
      </w:r>
      <w:r w:rsidR="00820980">
        <w:t xml:space="preserve"> for market value consideration</w:t>
      </w:r>
      <w:r w:rsidR="002B3990">
        <w:t xml:space="preserve">. The </w:t>
      </w:r>
      <w:r w:rsidR="00820980">
        <w:t xml:space="preserve">resulting </w:t>
      </w:r>
      <w:r w:rsidR="002B3990">
        <w:t xml:space="preserve">net capital gain </w:t>
      </w:r>
      <w:r w:rsidR="00820980">
        <w:t xml:space="preserve">may arguably </w:t>
      </w:r>
      <w:r w:rsidR="002B3990">
        <w:t>be the same as the gain that would have resulted had the parties been dealing with each other at arm’s length</w:t>
      </w:r>
      <w:r w:rsidR="00645219">
        <w:t xml:space="preserve"> when the asset was acquired</w:t>
      </w:r>
      <w:r w:rsidR="00820980">
        <w:t>,</w:t>
      </w:r>
      <w:r w:rsidR="002B3990">
        <w:t xml:space="preserve"> due to the operation of the </w:t>
      </w:r>
      <w:r w:rsidR="00D25851">
        <w:t xml:space="preserve">cost base </w:t>
      </w:r>
      <w:r w:rsidR="002B3990">
        <w:t>market value su</w:t>
      </w:r>
      <w:r w:rsidR="00626715">
        <w:t>bstitution rules in section 112-</w:t>
      </w:r>
      <w:r w:rsidR="00D25851">
        <w:t>20</w:t>
      </w:r>
      <w:r w:rsidR="00645219">
        <w:t xml:space="preserve">. This means that the current NALI rules may have no effect, even though the transaction diverts more wealth into the concessionally taxed superannuation </w:t>
      </w:r>
      <w:r w:rsidR="002E15FB">
        <w:t>entity</w:t>
      </w:r>
      <w:r w:rsidR="00645219">
        <w:t xml:space="preserve"> than would have been possible had the relevant dealings been at arm’s length.</w:t>
      </w:r>
      <w:r w:rsidR="00820980">
        <w:t xml:space="preserve"> </w:t>
      </w:r>
      <w:r w:rsidR="002B3990">
        <w:t xml:space="preserve"> </w:t>
      </w:r>
    </w:p>
    <w:p w14:paraId="08A1FE7B" w14:textId="77777777" w:rsidR="00B17774" w:rsidRDefault="00B17774" w:rsidP="00B17774">
      <w:pPr>
        <w:pStyle w:val="Heading2"/>
      </w:pPr>
      <w:r>
        <w:t>Summary of new law</w:t>
      </w:r>
    </w:p>
    <w:p w14:paraId="49AC573A" w14:textId="6391158E" w:rsidR="00B17774" w:rsidRDefault="00243ADB" w:rsidP="00243ADB">
      <w:pPr>
        <w:pStyle w:val="base-text-paragraph"/>
      </w:pPr>
      <w:r>
        <w:t xml:space="preserve">This Bill </w:t>
      </w:r>
      <w:r w:rsidR="00E16A06">
        <w:t xml:space="preserve">clarifies </w:t>
      </w:r>
      <w:r>
        <w:t>the operat</w:t>
      </w:r>
      <w:r w:rsidR="00D25851">
        <w:t>ion of Subdivision 295-H</w:t>
      </w:r>
      <w:r>
        <w:t xml:space="preserve"> </w:t>
      </w:r>
      <w:r w:rsidR="00626715">
        <w:t xml:space="preserve">to </w:t>
      </w:r>
      <w:r w:rsidR="00E16A06">
        <w:t xml:space="preserve">ensure that </w:t>
      </w:r>
      <w:r w:rsidR="00D25851">
        <w:t xml:space="preserve">complying </w:t>
      </w:r>
      <w:r w:rsidRPr="00243ADB">
        <w:t>superannuation ent</w:t>
      </w:r>
      <w:r w:rsidR="00CF3E77">
        <w:t xml:space="preserve">ities </w:t>
      </w:r>
      <w:r w:rsidR="00E16A06">
        <w:t xml:space="preserve">cannot </w:t>
      </w:r>
      <w:r w:rsidR="00CF3E77">
        <w:t>circumvent the non</w:t>
      </w:r>
      <w:r w:rsidR="00CF3E77">
        <w:noBreakHyphen/>
      </w:r>
      <w:r w:rsidRPr="00243ADB">
        <w:t xml:space="preserve">arm’s length income rules by </w:t>
      </w:r>
      <w:r w:rsidR="00E16A06">
        <w:t>entering into schemes involving</w:t>
      </w:r>
      <w:r w:rsidR="00E16A06" w:rsidRPr="00243ADB">
        <w:t xml:space="preserve"> </w:t>
      </w:r>
      <w:r w:rsidRPr="00243ADB">
        <w:t>non</w:t>
      </w:r>
      <w:r w:rsidR="00E16A06">
        <w:noBreakHyphen/>
      </w:r>
      <w:r w:rsidRPr="00243ADB">
        <w:t xml:space="preserve">arm’s length </w:t>
      </w:r>
      <w:r w:rsidR="00E16A06">
        <w:t>expenditure</w:t>
      </w:r>
      <w:r w:rsidRPr="00243ADB">
        <w:t>.</w:t>
      </w:r>
    </w:p>
    <w:p w14:paraId="0B5C7163" w14:textId="2A130D94" w:rsidR="002608F9" w:rsidRDefault="007A1E07" w:rsidP="002608F9">
      <w:pPr>
        <w:pStyle w:val="base-text-paragraph"/>
      </w:pPr>
      <w:r>
        <w:t xml:space="preserve">The framework for the </w:t>
      </w:r>
      <w:r w:rsidR="00A377A5">
        <w:t xml:space="preserve">ordinary and statutory </w:t>
      </w:r>
      <w:r>
        <w:t>NALI ru</w:t>
      </w:r>
      <w:r w:rsidR="000F531E">
        <w:t>les remains the same</w:t>
      </w:r>
      <w:r w:rsidR="002608F9">
        <w:t>:</w:t>
      </w:r>
    </w:p>
    <w:p w14:paraId="2D5C0523" w14:textId="28A465DE" w:rsidR="002608F9" w:rsidRDefault="002608F9" w:rsidP="000A337D">
      <w:pPr>
        <w:pStyle w:val="dotpoint"/>
      </w:pPr>
      <w:r>
        <w:t>t</w:t>
      </w:r>
      <w:r w:rsidRPr="002608F9">
        <w:t xml:space="preserve">here must be a scheme, </w:t>
      </w:r>
    </w:p>
    <w:p w14:paraId="64A3A762" w14:textId="77777777" w:rsidR="002608F9" w:rsidRDefault="002608F9" w:rsidP="000A337D">
      <w:pPr>
        <w:pStyle w:val="dotpoint"/>
      </w:pPr>
      <w:r w:rsidRPr="002608F9">
        <w:t xml:space="preserve">the party or parties must not be dealing with each other at arm’s length by incurring less (or nil) expenditure than would otherwise be expected if the parties were dealing with each other on an arm’s length basis  in relation to the scheme, and </w:t>
      </w:r>
    </w:p>
    <w:p w14:paraId="17669862" w14:textId="75593A22" w:rsidR="007A1E07" w:rsidRDefault="002608F9" w:rsidP="000A337D">
      <w:pPr>
        <w:pStyle w:val="dotpoint"/>
      </w:pPr>
      <w:r w:rsidRPr="002608F9">
        <w:lastRenderedPageBreak/>
        <w:t>the expense must be identifiable as a specific amount (including a nil amount), as must the income gained or produced.</w:t>
      </w:r>
    </w:p>
    <w:p w14:paraId="07AF4DC7" w14:textId="30F2FBED" w:rsidR="00A810B1" w:rsidRPr="008F726E" w:rsidRDefault="00A810B1" w:rsidP="00243ADB">
      <w:pPr>
        <w:pStyle w:val="base-text-paragraph"/>
      </w:pPr>
      <w:r>
        <w:t xml:space="preserve">Expenses may be of a revenue or capital nature, in the same way that NALI may be statutory or ordinary income. </w:t>
      </w:r>
    </w:p>
    <w:p w14:paraId="739B1BCB"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3BA295A6" w14:textId="77777777" w:rsidTr="003D44D9">
        <w:tc>
          <w:tcPr>
            <w:tcW w:w="3275" w:type="dxa"/>
          </w:tcPr>
          <w:p w14:paraId="20861EC7" w14:textId="77777777" w:rsidR="00B17774" w:rsidRPr="004666B8" w:rsidRDefault="00B17774" w:rsidP="003D44D9">
            <w:pPr>
              <w:pStyle w:val="tableheaderwithintable"/>
              <w:rPr>
                <w:lang w:val="en-US" w:eastAsia="en-US"/>
              </w:rPr>
            </w:pPr>
            <w:r w:rsidRPr="004666B8">
              <w:rPr>
                <w:lang w:val="en-US" w:eastAsia="en-US"/>
              </w:rPr>
              <w:t>New law</w:t>
            </w:r>
          </w:p>
        </w:tc>
        <w:tc>
          <w:tcPr>
            <w:tcW w:w="3276" w:type="dxa"/>
          </w:tcPr>
          <w:p w14:paraId="54577EA6" w14:textId="77777777" w:rsidR="00B17774" w:rsidRPr="004666B8" w:rsidRDefault="00B17774" w:rsidP="003D44D9">
            <w:pPr>
              <w:pStyle w:val="tableheaderwithintable"/>
              <w:rPr>
                <w:lang w:val="en-US" w:eastAsia="en-US"/>
              </w:rPr>
            </w:pPr>
            <w:r w:rsidRPr="004666B8">
              <w:rPr>
                <w:lang w:val="en-US" w:eastAsia="en-US"/>
              </w:rPr>
              <w:t>Current law</w:t>
            </w:r>
          </w:p>
        </w:tc>
      </w:tr>
      <w:tr w:rsidR="00B17774" w:rsidRPr="004666B8" w14:paraId="01838E85" w14:textId="77777777" w:rsidTr="003D44D9">
        <w:tc>
          <w:tcPr>
            <w:tcW w:w="3275" w:type="dxa"/>
          </w:tcPr>
          <w:p w14:paraId="71090D30" w14:textId="659B1E5F" w:rsidR="00B17774" w:rsidRDefault="00243ADB" w:rsidP="00243ADB">
            <w:pPr>
              <w:pStyle w:val="tabletext"/>
              <w:tabs>
                <w:tab w:val="left" w:pos="2290"/>
              </w:tabs>
              <w:rPr>
                <w:lang w:val="en-US" w:eastAsia="en-US"/>
              </w:rPr>
            </w:pPr>
            <w:r>
              <w:rPr>
                <w:lang w:val="en-US" w:eastAsia="en-US"/>
              </w:rPr>
              <w:t xml:space="preserve">Non-arm’s length expenses incurred by </w:t>
            </w:r>
            <w:r w:rsidR="002E15FB">
              <w:rPr>
                <w:lang w:val="en-US" w:eastAsia="en-US"/>
              </w:rPr>
              <w:t xml:space="preserve">a </w:t>
            </w:r>
            <w:r>
              <w:rPr>
                <w:lang w:val="en-US" w:eastAsia="en-US"/>
              </w:rPr>
              <w:t xml:space="preserve">superannuation </w:t>
            </w:r>
            <w:r w:rsidR="002E15FB">
              <w:rPr>
                <w:lang w:val="en-US" w:eastAsia="en-US"/>
              </w:rPr>
              <w:t xml:space="preserve">entity </w:t>
            </w:r>
            <w:r>
              <w:rPr>
                <w:lang w:val="en-US" w:eastAsia="en-US"/>
              </w:rPr>
              <w:t xml:space="preserve">in gaining or producing </w:t>
            </w:r>
            <w:r w:rsidR="002E15FB">
              <w:rPr>
                <w:lang w:val="en-US" w:eastAsia="en-US"/>
              </w:rPr>
              <w:t xml:space="preserve">assessable </w:t>
            </w:r>
            <w:r>
              <w:rPr>
                <w:lang w:val="en-US" w:eastAsia="en-US"/>
              </w:rPr>
              <w:t xml:space="preserve">income will result in such income being </w:t>
            </w:r>
            <w:r w:rsidR="002608F9">
              <w:rPr>
                <w:lang w:val="en-US" w:eastAsia="en-US"/>
              </w:rPr>
              <w:t>includ</w:t>
            </w:r>
            <w:r>
              <w:rPr>
                <w:lang w:val="en-US" w:eastAsia="en-US"/>
              </w:rPr>
              <w:t xml:space="preserve">ed in </w:t>
            </w:r>
            <w:r w:rsidR="002E15FB">
              <w:rPr>
                <w:lang w:val="en-US" w:eastAsia="en-US"/>
              </w:rPr>
              <w:t xml:space="preserve">the entity’s </w:t>
            </w:r>
            <w:r>
              <w:rPr>
                <w:lang w:val="en-US" w:eastAsia="en-US"/>
              </w:rPr>
              <w:t xml:space="preserve">non-arm’s length component </w:t>
            </w:r>
            <w:r w:rsidR="00E2084F">
              <w:rPr>
                <w:lang w:val="en-US" w:eastAsia="en-US"/>
              </w:rPr>
              <w:t>(NALC)</w:t>
            </w:r>
            <w:r>
              <w:rPr>
                <w:lang w:val="en-US" w:eastAsia="en-US"/>
              </w:rPr>
              <w:t>. This mean</w:t>
            </w:r>
            <w:r w:rsidR="002E15FB">
              <w:rPr>
                <w:lang w:val="en-US" w:eastAsia="en-US"/>
              </w:rPr>
              <w:t>s</w:t>
            </w:r>
            <w:r>
              <w:rPr>
                <w:lang w:val="en-US" w:eastAsia="en-US"/>
              </w:rPr>
              <w:t xml:space="preserve"> </w:t>
            </w:r>
            <w:r w:rsidR="002E15FB">
              <w:rPr>
                <w:lang w:val="en-US" w:eastAsia="en-US"/>
              </w:rPr>
              <w:t xml:space="preserve">the income </w:t>
            </w:r>
            <w:r>
              <w:rPr>
                <w:lang w:val="en-US" w:eastAsia="en-US"/>
              </w:rPr>
              <w:t xml:space="preserve">will be taxed at the top marginal rate. </w:t>
            </w:r>
          </w:p>
          <w:p w14:paraId="034BD6B7" w14:textId="77777777" w:rsidR="00A810B1" w:rsidRDefault="00A810B1" w:rsidP="00243ADB">
            <w:pPr>
              <w:pStyle w:val="tabletext"/>
              <w:tabs>
                <w:tab w:val="left" w:pos="2290"/>
              </w:tabs>
              <w:rPr>
                <w:lang w:val="en-US" w:eastAsia="en-US"/>
              </w:rPr>
            </w:pPr>
          </w:p>
          <w:p w14:paraId="6753D7FF" w14:textId="573D153E" w:rsidR="00A810B1" w:rsidRPr="004666B8" w:rsidRDefault="00A810B1" w:rsidP="002E15FB">
            <w:pPr>
              <w:pStyle w:val="tabletext"/>
              <w:tabs>
                <w:tab w:val="left" w:pos="2290"/>
              </w:tabs>
              <w:rPr>
                <w:lang w:val="en-US" w:eastAsia="en-US"/>
              </w:rPr>
            </w:pPr>
            <w:r>
              <w:rPr>
                <w:lang w:val="en-US" w:eastAsia="en-US"/>
              </w:rPr>
              <w:t xml:space="preserve">This will be the case whether the expenses are of a capital or </w:t>
            </w:r>
            <w:r w:rsidR="002E15FB">
              <w:rPr>
                <w:lang w:val="en-US" w:eastAsia="en-US"/>
              </w:rPr>
              <w:t xml:space="preserve">revenue </w:t>
            </w:r>
            <w:r>
              <w:rPr>
                <w:lang w:val="en-US" w:eastAsia="en-US"/>
              </w:rPr>
              <w:t>nature.</w:t>
            </w:r>
          </w:p>
        </w:tc>
        <w:tc>
          <w:tcPr>
            <w:tcW w:w="3276" w:type="dxa"/>
          </w:tcPr>
          <w:p w14:paraId="1692318C" w14:textId="5CEEA576" w:rsidR="00B17774" w:rsidRPr="004666B8" w:rsidRDefault="002E15FB" w:rsidP="002608F9">
            <w:pPr>
              <w:pStyle w:val="tabletext"/>
              <w:rPr>
                <w:lang w:val="en-US" w:eastAsia="en-US"/>
              </w:rPr>
            </w:pPr>
            <w:r>
              <w:rPr>
                <w:lang w:val="en-US" w:eastAsia="en-US"/>
              </w:rPr>
              <w:t>It is not clear whether n</w:t>
            </w:r>
            <w:r w:rsidR="00243ADB">
              <w:rPr>
                <w:lang w:val="en-US" w:eastAsia="en-US"/>
              </w:rPr>
              <w:t>on-arm’s</w:t>
            </w:r>
            <w:r w:rsidR="00B13A36">
              <w:rPr>
                <w:lang w:val="en-US" w:eastAsia="en-US"/>
              </w:rPr>
              <w:t xml:space="preserve"> length expenses </w:t>
            </w:r>
            <w:r w:rsidR="00243ADB">
              <w:rPr>
                <w:lang w:val="en-US" w:eastAsia="en-US"/>
              </w:rPr>
              <w:t xml:space="preserve">of </w:t>
            </w:r>
            <w:r>
              <w:rPr>
                <w:lang w:val="en-US" w:eastAsia="en-US"/>
              </w:rPr>
              <w:t xml:space="preserve">a </w:t>
            </w:r>
            <w:r w:rsidR="00243ADB">
              <w:rPr>
                <w:lang w:val="en-US" w:eastAsia="en-US"/>
              </w:rPr>
              <w:t>superannuation entit</w:t>
            </w:r>
            <w:r>
              <w:rPr>
                <w:lang w:val="en-US" w:eastAsia="en-US"/>
              </w:rPr>
              <w:t>y</w:t>
            </w:r>
            <w:r w:rsidR="00243ADB">
              <w:rPr>
                <w:lang w:val="en-US" w:eastAsia="en-US"/>
              </w:rPr>
              <w:t xml:space="preserve"> </w:t>
            </w:r>
            <w:r w:rsidR="002608F9">
              <w:rPr>
                <w:lang w:val="en-US" w:eastAsia="en-US"/>
              </w:rPr>
              <w:t xml:space="preserve">in some circumstances </w:t>
            </w:r>
            <w:r w:rsidR="00243ADB">
              <w:rPr>
                <w:lang w:val="en-US" w:eastAsia="en-US"/>
              </w:rPr>
              <w:t xml:space="preserve">make that income part of a superannuation entity’s </w:t>
            </w:r>
            <w:r>
              <w:rPr>
                <w:lang w:val="en-US" w:eastAsia="en-US"/>
              </w:rPr>
              <w:t xml:space="preserve">NALC. </w:t>
            </w:r>
            <w:r w:rsidR="00243ADB">
              <w:rPr>
                <w:lang w:val="en-US" w:eastAsia="en-US"/>
              </w:rPr>
              <w:t>Accordingly</w:t>
            </w:r>
            <w:r>
              <w:rPr>
                <w:lang w:val="en-US" w:eastAsia="en-US"/>
              </w:rPr>
              <w:t>,</w:t>
            </w:r>
            <w:r w:rsidR="00243ADB">
              <w:rPr>
                <w:lang w:val="en-US" w:eastAsia="en-US"/>
              </w:rPr>
              <w:t xml:space="preserve"> </w:t>
            </w:r>
            <w:r w:rsidR="00B13A36">
              <w:rPr>
                <w:lang w:val="en-US" w:eastAsia="en-US"/>
              </w:rPr>
              <w:t>such income</w:t>
            </w:r>
            <w:r w:rsidR="00243ADB">
              <w:rPr>
                <w:lang w:val="en-US" w:eastAsia="en-US"/>
              </w:rPr>
              <w:t xml:space="preserve"> </w:t>
            </w:r>
            <w:r>
              <w:rPr>
                <w:lang w:val="en-US" w:eastAsia="en-US"/>
              </w:rPr>
              <w:t xml:space="preserve">may be </w:t>
            </w:r>
            <w:r w:rsidR="00243ADB">
              <w:rPr>
                <w:lang w:val="en-US" w:eastAsia="en-US"/>
              </w:rPr>
              <w:t xml:space="preserve">taxed at the concessional rate for superannuation entities. </w:t>
            </w:r>
          </w:p>
        </w:tc>
      </w:tr>
      <w:tr w:rsidR="00243ADB" w:rsidRPr="004666B8" w14:paraId="590881E2" w14:textId="77777777" w:rsidTr="003D44D9">
        <w:tc>
          <w:tcPr>
            <w:tcW w:w="3275" w:type="dxa"/>
          </w:tcPr>
          <w:p w14:paraId="5E1EF6D1" w14:textId="0BEC48A9" w:rsidR="00243ADB" w:rsidRDefault="002E15FB" w:rsidP="002E15FB">
            <w:pPr>
              <w:pStyle w:val="tabletext"/>
              <w:tabs>
                <w:tab w:val="left" w:pos="2290"/>
              </w:tabs>
              <w:rPr>
                <w:lang w:val="en-US" w:eastAsia="en-US"/>
              </w:rPr>
            </w:pPr>
            <w:r>
              <w:rPr>
                <w:lang w:val="en-US" w:eastAsia="en-US"/>
              </w:rPr>
              <w:t>Where the right to</w:t>
            </w:r>
            <w:r w:rsidDel="002E15FB">
              <w:rPr>
                <w:lang w:val="en-US" w:eastAsia="en-US"/>
              </w:rPr>
              <w:t xml:space="preserve"> </w:t>
            </w:r>
            <w:r>
              <w:rPr>
                <w:lang w:val="en-US" w:eastAsia="en-US"/>
              </w:rPr>
              <w:t>i</w:t>
            </w:r>
            <w:r w:rsidR="00A810B1">
              <w:rPr>
                <w:lang w:val="en-US" w:eastAsia="en-US"/>
              </w:rPr>
              <w:t>ncome from a fixed trust was acquired on a non-arm’s length basis</w:t>
            </w:r>
            <w:r>
              <w:rPr>
                <w:lang w:val="en-US" w:eastAsia="en-US"/>
              </w:rPr>
              <w:t>, that income</w:t>
            </w:r>
            <w:r w:rsidR="00A810B1">
              <w:rPr>
                <w:lang w:val="en-US" w:eastAsia="en-US"/>
              </w:rPr>
              <w:t xml:space="preserve"> will </w:t>
            </w:r>
            <w:r>
              <w:rPr>
                <w:lang w:val="en-US" w:eastAsia="en-US"/>
              </w:rPr>
              <w:t>be</w:t>
            </w:r>
            <w:r w:rsidR="00E2084F">
              <w:rPr>
                <w:lang w:val="en-US" w:eastAsia="en-US"/>
              </w:rPr>
              <w:t xml:space="preserve"> included in a superannuation entity’s NALC</w:t>
            </w:r>
            <w:r>
              <w:rPr>
                <w:lang w:val="en-US" w:eastAsia="en-US"/>
              </w:rPr>
              <w:t xml:space="preserve"> and</w:t>
            </w:r>
            <w:r w:rsidR="00E2084F">
              <w:rPr>
                <w:lang w:val="en-US" w:eastAsia="en-US"/>
              </w:rPr>
              <w:t xml:space="preserve"> taxed at the top marginal rate. </w:t>
            </w:r>
          </w:p>
        </w:tc>
        <w:tc>
          <w:tcPr>
            <w:tcW w:w="3276" w:type="dxa"/>
          </w:tcPr>
          <w:p w14:paraId="64EFA7E2" w14:textId="3AD1BB64" w:rsidR="00243ADB" w:rsidRDefault="002E15FB" w:rsidP="003A5F2B">
            <w:pPr>
              <w:pStyle w:val="tabletext"/>
              <w:rPr>
                <w:lang w:val="en-US" w:eastAsia="en-US"/>
              </w:rPr>
            </w:pPr>
            <w:r>
              <w:rPr>
                <w:lang w:val="en-US" w:eastAsia="en-US"/>
              </w:rPr>
              <w:t>Where the right to</w:t>
            </w:r>
            <w:r w:rsidDel="002E15FB">
              <w:rPr>
                <w:lang w:val="en-US" w:eastAsia="en-US"/>
              </w:rPr>
              <w:t xml:space="preserve"> </w:t>
            </w:r>
            <w:r>
              <w:rPr>
                <w:lang w:val="en-US" w:eastAsia="en-US"/>
              </w:rPr>
              <w:t>income from a fi</w:t>
            </w:r>
            <w:r w:rsidR="00D25851">
              <w:rPr>
                <w:lang w:val="en-US" w:eastAsia="en-US"/>
              </w:rPr>
              <w:t>xed trust was acquired on a non</w:t>
            </w:r>
            <w:r w:rsidR="00D25851">
              <w:rPr>
                <w:lang w:val="en-US" w:eastAsia="en-US"/>
              </w:rPr>
              <w:noBreakHyphen/>
            </w:r>
            <w:r>
              <w:rPr>
                <w:lang w:val="en-US" w:eastAsia="en-US"/>
              </w:rPr>
              <w:t xml:space="preserve">arm’s length basis, </w:t>
            </w:r>
            <w:r w:rsidR="003A5F2B">
              <w:rPr>
                <w:lang w:val="en-US" w:eastAsia="en-US"/>
              </w:rPr>
              <w:t>it is not clear whether that</w:t>
            </w:r>
            <w:r>
              <w:rPr>
                <w:lang w:val="en-US" w:eastAsia="en-US"/>
              </w:rPr>
              <w:t xml:space="preserve"> income will be included in a superannuation entity’s NALC. </w:t>
            </w:r>
            <w:r w:rsidR="00E2084F">
              <w:rPr>
                <w:lang w:val="en-US" w:eastAsia="en-US"/>
              </w:rPr>
              <w:t xml:space="preserve">Accordingly, </w:t>
            </w:r>
            <w:r w:rsidR="003A5F2B">
              <w:rPr>
                <w:lang w:val="en-US" w:eastAsia="en-US"/>
              </w:rPr>
              <w:t xml:space="preserve">such </w:t>
            </w:r>
            <w:r w:rsidR="005E4188">
              <w:rPr>
                <w:lang w:val="en-US" w:eastAsia="en-US"/>
              </w:rPr>
              <w:t xml:space="preserve">income </w:t>
            </w:r>
            <w:r w:rsidR="003A5F2B">
              <w:rPr>
                <w:lang w:val="en-US" w:eastAsia="en-US"/>
              </w:rPr>
              <w:t xml:space="preserve">may be taxed at </w:t>
            </w:r>
            <w:r w:rsidR="005E4188">
              <w:rPr>
                <w:lang w:val="en-US" w:eastAsia="en-US"/>
              </w:rPr>
              <w:t>the concessional rate for superannuation entities.</w:t>
            </w:r>
          </w:p>
        </w:tc>
      </w:tr>
    </w:tbl>
    <w:p w14:paraId="2EFF42CF" w14:textId="77777777" w:rsidR="00B17774" w:rsidRDefault="00B17774" w:rsidP="00B17774">
      <w:pPr>
        <w:pStyle w:val="Heading2"/>
      </w:pPr>
      <w:r>
        <w:t>Detailed explanation of new law</w:t>
      </w:r>
    </w:p>
    <w:p w14:paraId="295BDBE3" w14:textId="1519273A" w:rsidR="00033F02" w:rsidRDefault="00033F02" w:rsidP="00033F02">
      <w:pPr>
        <w:pStyle w:val="Heading3"/>
      </w:pPr>
      <w:r>
        <w:t>Non-arm’s length expenses of superannuation entities</w:t>
      </w:r>
    </w:p>
    <w:p w14:paraId="6FAFAC0C" w14:textId="2D5DAFEF" w:rsidR="005D2851" w:rsidRDefault="005D2851" w:rsidP="002608F9">
      <w:pPr>
        <w:pStyle w:val="base-text-paragraph"/>
      </w:pPr>
      <w:r>
        <w:t xml:space="preserve">The amendments </w:t>
      </w:r>
      <w:r w:rsidR="003A5F2B">
        <w:t xml:space="preserve">remove any ambiguity about how Subdivision 295-H applies to income derived from schemes </w:t>
      </w:r>
      <w:r w:rsidR="002608F9" w:rsidRPr="002608F9">
        <w:t>where the superannuation entity has incurred non-arm’s length expenditure</w:t>
      </w:r>
      <w:r w:rsidR="003A5F2B">
        <w:t>.</w:t>
      </w:r>
    </w:p>
    <w:p w14:paraId="732CB498" w14:textId="0DB2015E" w:rsidR="00033F02" w:rsidRDefault="00AC2CE0" w:rsidP="00033F02">
      <w:pPr>
        <w:pStyle w:val="base-text-paragraph"/>
      </w:pPr>
      <w:r>
        <w:t xml:space="preserve">A new provision is added to </w:t>
      </w:r>
      <w:r w:rsidR="00FA69F5">
        <w:t xml:space="preserve">ensure </w:t>
      </w:r>
      <w:r>
        <w:t xml:space="preserve">that a superannuation entity’s non-arm’s length income includes income where </w:t>
      </w:r>
      <w:r w:rsidR="002608F9">
        <w:t>expenditure</w:t>
      </w:r>
      <w:r>
        <w:t xml:space="preserve"> incurred in gaining or producing it was not </w:t>
      </w:r>
      <w:r w:rsidR="00E2084F">
        <w:t>an</w:t>
      </w:r>
      <w:r>
        <w:t xml:space="preserve"> arm’s length</w:t>
      </w:r>
      <w:r w:rsidR="00E2084F">
        <w:t xml:space="preserve"> expense</w:t>
      </w:r>
      <w:r>
        <w:t>. This includes where no expense was incurred</w:t>
      </w:r>
      <w:r w:rsidR="003A5F2B">
        <w:t xml:space="preserve"> (but might be expected to have been incurred if the </w:t>
      </w:r>
      <w:r>
        <w:t xml:space="preserve">transaction </w:t>
      </w:r>
      <w:r w:rsidR="003A5F2B">
        <w:t xml:space="preserve">were </w:t>
      </w:r>
      <w:r>
        <w:t xml:space="preserve">on </w:t>
      </w:r>
      <w:r w:rsidR="002608F9">
        <w:t xml:space="preserve">arm’s length </w:t>
      </w:r>
      <w:r>
        <w:t>terms</w:t>
      </w:r>
      <w:r w:rsidR="003A5F2B">
        <w:t xml:space="preserve">). </w:t>
      </w:r>
      <w:r>
        <w:rPr>
          <w:rStyle w:val="Referencingstyle"/>
        </w:rPr>
        <w:t>[Schedule xx, item 1, paragraphs 295-55</w:t>
      </w:r>
      <w:r w:rsidR="00E2084F">
        <w:rPr>
          <w:rStyle w:val="Referencingstyle"/>
        </w:rPr>
        <w:t>0(1)(b) and (c)</w:t>
      </w:r>
      <w:r w:rsidRPr="00375F1D">
        <w:rPr>
          <w:rStyle w:val="Referencingstyle"/>
        </w:rPr>
        <w:t>]</w:t>
      </w:r>
    </w:p>
    <w:p w14:paraId="3CC1F02D" w14:textId="7FDFF946" w:rsidR="009137E1" w:rsidRDefault="002608F9" w:rsidP="002608F9">
      <w:pPr>
        <w:pStyle w:val="base-text-paragraph"/>
      </w:pPr>
      <w:r w:rsidRPr="002608F9">
        <w:lastRenderedPageBreak/>
        <w:t>While subsection 295-550(1) has been restructured as part of the amendments, the restructure does not affect the application of the provision to income that would have been captured as NALI prior to the amendments.</w:t>
      </w:r>
      <w:r w:rsidR="00AC2CE0">
        <w:t xml:space="preserve"> </w:t>
      </w:r>
    </w:p>
    <w:p w14:paraId="3DBB3FA7" w14:textId="0F187549" w:rsidR="00AC2CE0" w:rsidRDefault="009137E1" w:rsidP="00033F02">
      <w:pPr>
        <w:pStyle w:val="base-text-paragraph"/>
      </w:pPr>
      <w:r>
        <w:t>Specifically, the scheme requirement formerly located in paragraph 295-550(1)(a) is now included in the chapeau, and the former requirement that an amount is NALI if it is more than the amount the entity might have derived on an arm’s length basis in paragraph 295</w:t>
      </w:r>
      <w:r>
        <w:noBreakHyphen/>
        <w:t>550(1)(b) is now paragraph 295</w:t>
      </w:r>
      <w:r>
        <w:noBreakHyphen/>
        <w:t xml:space="preserve">550(1)(a) of the amending legislation. </w:t>
      </w:r>
      <w:r w:rsidR="00E2084F">
        <w:rPr>
          <w:rStyle w:val="Referencingstyle"/>
        </w:rPr>
        <w:t>[Schedule xx, item 1</w:t>
      </w:r>
      <w:r w:rsidR="00E2084F" w:rsidRPr="00375F1D">
        <w:rPr>
          <w:rStyle w:val="Referencingstyle"/>
        </w:rPr>
        <w:t xml:space="preserve">, </w:t>
      </w:r>
      <w:r w:rsidR="00E2084F">
        <w:rPr>
          <w:rStyle w:val="Referencingstyle"/>
        </w:rPr>
        <w:t>paragraph 295-550(1)(a)</w:t>
      </w:r>
      <w:r w:rsidR="00E2084F" w:rsidRPr="00375F1D">
        <w:rPr>
          <w:rStyle w:val="Referencingstyle"/>
        </w:rPr>
        <w:t>]</w:t>
      </w:r>
    </w:p>
    <w:p w14:paraId="786B0387" w14:textId="29BD41F6" w:rsidR="00105E1E" w:rsidRDefault="00105E1E" w:rsidP="00105E1E">
      <w:pPr>
        <w:pStyle w:val="ExampleHeading"/>
      </w:pPr>
      <w:r>
        <w:t xml:space="preserve"> Non-arm’s length expenses of a superannuation entity</w:t>
      </w:r>
    </w:p>
    <w:p w14:paraId="742C1B46" w14:textId="0D5640E1" w:rsidR="00105E1E" w:rsidRDefault="00105E1E" w:rsidP="00105E1E">
      <w:pPr>
        <w:pStyle w:val="exampletext"/>
      </w:pPr>
      <w:r>
        <w:t xml:space="preserve">An SMSF acquired a commercial property from a third party at </w:t>
      </w:r>
      <w:r w:rsidR="00C0484D">
        <w:t xml:space="preserve">its </w:t>
      </w:r>
      <w:r>
        <w:t>market value of $1,000,000 on 1 July 2015.</w:t>
      </w:r>
    </w:p>
    <w:p w14:paraId="5B1F333B" w14:textId="7F0BD08E" w:rsidR="00105E1E" w:rsidRDefault="00105E1E" w:rsidP="00105E1E">
      <w:pPr>
        <w:pStyle w:val="exampletext"/>
      </w:pPr>
      <w:r>
        <w:t xml:space="preserve">The SMSF </w:t>
      </w:r>
      <w:r w:rsidR="00C0484D">
        <w:t xml:space="preserve">derives </w:t>
      </w:r>
      <w:r>
        <w:t>rental income of $1,500 per week</w:t>
      </w:r>
      <w:r w:rsidR="008145E4">
        <w:t xml:space="preserve"> from the property ($78,000 per annum).</w:t>
      </w:r>
    </w:p>
    <w:p w14:paraId="56FD574B" w14:textId="24905F27" w:rsidR="00105E1E" w:rsidRDefault="00105E1E" w:rsidP="00105E1E">
      <w:pPr>
        <w:pStyle w:val="exampletext"/>
      </w:pPr>
      <w:r>
        <w:t xml:space="preserve">The SMSF financed the purchase </w:t>
      </w:r>
      <w:r w:rsidR="00C0484D">
        <w:t xml:space="preserve">of the property </w:t>
      </w:r>
      <w:r>
        <w:t>under an LRBA from a related part</w:t>
      </w:r>
      <w:r w:rsidR="00C0484D">
        <w:t>y</w:t>
      </w:r>
      <w:r>
        <w:t xml:space="preserve"> on terms consistent with section</w:t>
      </w:r>
      <w:r w:rsidR="009137E1">
        <w:t xml:space="preserve"> 67A of the SIS Act</w:t>
      </w:r>
      <w:r w:rsidR="00C0484D">
        <w:t>.</w:t>
      </w:r>
    </w:p>
    <w:p w14:paraId="500AB18F" w14:textId="519F268C" w:rsidR="00105E1E" w:rsidRDefault="00105E1E" w:rsidP="00105E1E">
      <w:pPr>
        <w:pStyle w:val="exampletext"/>
      </w:pPr>
      <w:r>
        <w:t xml:space="preserve">The LRBA was entered into on terms that include </w:t>
      </w:r>
      <w:r w:rsidR="00C0484D">
        <w:t>no</w:t>
      </w:r>
      <w:r>
        <w:t xml:space="preserve"> interest, no repayments until the end of </w:t>
      </w:r>
      <w:r w:rsidR="00C0484D">
        <w:t xml:space="preserve">the 25 year </w:t>
      </w:r>
      <w:r>
        <w:t>term and borrowing of the full purchase price of the commercial real property</w:t>
      </w:r>
      <w:r w:rsidR="00C0484D">
        <w:t xml:space="preserve"> (i.e. 100 per cent gearing)</w:t>
      </w:r>
      <w:r>
        <w:t>.</w:t>
      </w:r>
    </w:p>
    <w:p w14:paraId="0273A63E" w14:textId="4E6ADC4E" w:rsidR="00105E1E" w:rsidRDefault="00105E1E" w:rsidP="00105E1E">
      <w:pPr>
        <w:pStyle w:val="exampletext"/>
      </w:pPr>
      <w:r>
        <w:t>The SMSF was in a financial position to enter into a</w:t>
      </w:r>
      <w:r w:rsidR="00157EB8">
        <w:t>n</w:t>
      </w:r>
      <w:r>
        <w:t xml:space="preserve"> LRBA on commercial terms with an interest rate of approximately 5.</w:t>
      </w:r>
      <w:r w:rsidR="002608F9">
        <w:t>8</w:t>
      </w:r>
      <w:r w:rsidR="008145E4">
        <w:t xml:space="preserve"> per cent</w:t>
      </w:r>
      <w:r>
        <w:t xml:space="preserve">. </w:t>
      </w:r>
    </w:p>
    <w:p w14:paraId="78CAFC16" w14:textId="1656316F" w:rsidR="00105E1E" w:rsidRPr="00105E1E" w:rsidRDefault="002608F9" w:rsidP="00105E1E">
      <w:pPr>
        <w:pStyle w:val="exampletext"/>
      </w:pPr>
      <w:r w:rsidRPr="002608F9">
        <w:t>The amendments in this Bill make it clear that, as the SMSF has not incurred expenses that it might have been expected to incur in an arm’s length dealing in deriving the rental income, that income will be NALI.  The income (less deductions attributable to the income) will form part of the SMSF’s NALC and will be taxed at the highest marginal rate.</w:t>
      </w:r>
      <w:r w:rsidR="00105E1E">
        <w:t xml:space="preserve"> </w:t>
      </w:r>
    </w:p>
    <w:p w14:paraId="0102A73A" w14:textId="0ECB7B6B" w:rsidR="00033F02" w:rsidRDefault="00033F02" w:rsidP="00033F02">
      <w:pPr>
        <w:pStyle w:val="Heading3"/>
      </w:pPr>
      <w:r>
        <w:t>Expenses relating to a superannuation entity as beneficiary of a trust</w:t>
      </w:r>
    </w:p>
    <w:p w14:paraId="3B8595AA" w14:textId="56C76736" w:rsidR="00033F02" w:rsidRPr="00072721" w:rsidRDefault="00033F02" w:rsidP="00033F02">
      <w:pPr>
        <w:pStyle w:val="base-text-paragraph"/>
        <w:rPr>
          <w:rStyle w:val="Referencingstyle"/>
          <w:b w:val="0"/>
          <w:i w:val="0"/>
          <w:sz w:val="22"/>
        </w:rPr>
      </w:pPr>
      <w:r>
        <w:t xml:space="preserve">When a superannuation entity holds a fixed entitlement to the income of a trust and derives income as a beneficiary of that trust, </w:t>
      </w:r>
      <w:r w:rsidR="009137E1">
        <w:t>non</w:t>
      </w:r>
      <w:r w:rsidR="009137E1">
        <w:noBreakHyphen/>
      </w:r>
      <w:r w:rsidR="00C0484D">
        <w:t xml:space="preserve">arm’s length </w:t>
      </w:r>
      <w:r>
        <w:t>expenses</w:t>
      </w:r>
      <w:r w:rsidR="00C0484D">
        <w:t xml:space="preserve"> incurred</w:t>
      </w:r>
      <w:r>
        <w:t xml:space="preserve"> in acquiring the entitlement or in gaining or producing the income will cause the income to fall within the superannuation entity’s </w:t>
      </w:r>
      <w:r w:rsidR="00C0484D">
        <w:t>NALC</w:t>
      </w:r>
      <w:r>
        <w:t xml:space="preserve">. </w:t>
      </w:r>
      <w:r w:rsidR="00072721">
        <w:rPr>
          <w:rStyle w:val="Referencingstyle"/>
        </w:rPr>
        <w:t>[Schedule xx, item 2</w:t>
      </w:r>
      <w:r w:rsidR="00072721" w:rsidRPr="00375F1D">
        <w:rPr>
          <w:rStyle w:val="Referencingstyle"/>
        </w:rPr>
        <w:t xml:space="preserve">, </w:t>
      </w:r>
      <w:r w:rsidR="00072721">
        <w:rPr>
          <w:rStyle w:val="Referencingstyle"/>
        </w:rPr>
        <w:t>paragraphs 295-550(5)(b) and (c)</w:t>
      </w:r>
      <w:r w:rsidR="00072721" w:rsidRPr="00375F1D">
        <w:rPr>
          <w:rStyle w:val="Referencingstyle"/>
        </w:rPr>
        <w:t>]</w:t>
      </w:r>
      <w:bookmarkStart w:id="4" w:name="_GoBack"/>
      <w:bookmarkEnd w:id="4"/>
    </w:p>
    <w:p w14:paraId="754D57D2" w14:textId="2688574F" w:rsidR="00072721" w:rsidRDefault="006F633F" w:rsidP="006F633F">
      <w:pPr>
        <w:pStyle w:val="ExampleHeading"/>
      </w:pPr>
      <w:r>
        <w:t xml:space="preserve"> Unit trust</w:t>
      </w:r>
    </w:p>
    <w:p w14:paraId="03066254" w14:textId="34F302A9" w:rsidR="00105E1E" w:rsidRDefault="0092305B" w:rsidP="00105E1E">
      <w:pPr>
        <w:pStyle w:val="exampletext"/>
      </w:pPr>
      <w:r>
        <w:t>A</w:t>
      </w:r>
      <w:r w:rsidR="00105E1E">
        <w:t xml:space="preserve"> </w:t>
      </w:r>
      <w:r w:rsidR="00DF553C">
        <w:t>retail superannuation fund</w:t>
      </w:r>
      <w:r w:rsidR="00105E1E">
        <w:t xml:space="preserve"> </w:t>
      </w:r>
      <w:r w:rsidR="009137E1">
        <w:t xml:space="preserve">trustee </w:t>
      </w:r>
      <w:r w:rsidR="00105E1E">
        <w:t xml:space="preserve">acquires units in a unit trust, but pays a lower amount for the units than stated in the promotional material for the unit </w:t>
      </w:r>
      <w:r w:rsidR="00DF553C">
        <w:t xml:space="preserve">trust due to a scheme </w:t>
      </w:r>
      <w:r w:rsidR="00C0484D">
        <w:t xml:space="preserve">the fund </w:t>
      </w:r>
      <w:r w:rsidR="00DF553C">
        <w:t xml:space="preserve">has entered </w:t>
      </w:r>
      <w:r w:rsidR="00C0484D">
        <w:t xml:space="preserve">into </w:t>
      </w:r>
      <w:r w:rsidR="00DF553C">
        <w:t xml:space="preserve">with the </w:t>
      </w:r>
      <w:r>
        <w:t xml:space="preserve">broker. </w:t>
      </w:r>
    </w:p>
    <w:p w14:paraId="7131C2A1" w14:textId="1BD77B3F" w:rsidR="00105E1E" w:rsidRDefault="00EF2E4F" w:rsidP="00105E1E">
      <w:pPr>
        <w:pStyle w:val="exampletext"/>
      </w:pPr>
      <w:r>
        <w:lastRenderedPageBreak/>
        <w:t>I</w:t>
      </w:r>
      <w:r w:rsidR="00105E1E">
        <w:t xml:space="preserve">n acquiring the entitlement to </w:t>
      </w:r>
      <w:r w:rsidR="002107C2">
        <w:t xml:space="preserve">a share of </w:t>
      </w:r>
      <w:r w:rsidR="00105E1E">
        <w:t>the unit trust</w:t>
      </w:r>
      <w:r w:rsidR="002107C2">
        <w:t>’s</w:t>
      </w:r>
      <w:r w:rsidR="00105E1E">
        <w:t xml:space="preserve"> earnings, the </w:t>
      </w:r>
      <w:r w:rsidR="00DF553C">
        <w:t xml:space="preserve">retail superannuation fund </w:t>
      </w:r>
      <w:r w:rsidR="009137E1">
        <w:t xml:space="preserve">trustee </w:t>
      </w:r>
      <w:r w:rsidR="00DF553C">
        <w:t xml:space="preserve">did not incur expenditure it might have been expected to incur if dealing at arm’s length with the </w:t>
      </w:r>
      <w:r w:rsidR="002107C2">
        <w:t xml:space="preserve">broker </w:t>
      </w:r>
      <w:r w:rsidR="00DF553C">
        <w:t xml:space="preserve">in purchasing the units. </w:t>
      </w:r>
    </w:p>
    <w:p w14:paraId="5CA8DA6E" w14:textId="2C70853E" w:rsidR="00157EB8" w:rsidRDefault="00157EB8" w:rsidP="00105E1E">
      <w:pPr>
        <w:pStyle w:val="exampletext"/>
      </w:pPr>
      <w:r>
        <w:t xml:space="preserve">The income derived from the units would have been the same whether or not they were acquired under an arm’s length transaction. </w:t>
      </w:r>
    </w:p>
    <w:p w14:paraId="74373BFF" w14:textId="03B3395B" w:rsidR="00DF553C" w:rsidRDefault="00DF553C" w:rsidP="00105E1E">
      <w:pPr>
        <w:pStyle w:val="exampletext"/>
      </w:pPr>
      <w:r>
        <w:t xml:space="preserve">The amount earned is non-arm’s length income of the retail superannuation fund. </w:t>
      </w:r>
    </w:p>
    <w:p w14:paraId="3E9710BB" w14:textId="06D9629D" w:rsidR="00157EB8" w:rsidRDefault="00157EB8" w:rsidP="00105E1E">
      <w:pPr>
        <w:pStyle w:val="exampletext"/>
      </w:pPr>
      <w:r>
        <w:t xml:space="preserve">Any net capital gain made on disposal of the units may also be NALI due to the amendments to subsection 295-550(1). </w:t>
      </w:r>
    </w:p>
    <w:p w14:paraId="67E6CF10" w14:textId="10C05D3C" w:rsidR="00780712" w:rsidDel="00E5259C" w:rsidRDefault="003A5F2B" w:rsidP="00780712">
      <w:pPr>
        <w:pStyle w:val="Heading3"/>
      </w:pPr>
      <w:r>
        <w:t>Attributing</w:t>
      </w:r>
      <w:r w:rsidR="00780712">
        <w:t xml:space="preserve"> non-arm’s length expenses to particular </w:t>
      </w:r>
      <w:r w:rsidR="002107C2">
        <w:t xml:space="preserve">amounts </w:t>
      </w:r>
      <w:r w:rsidR="00780712">
        <w:t>of income</w:t>
      </w:r>
    </w:p>
    <w:p w14:paraId="2ED95F13" w14:textId="354ABCF6" w:rsidR="006021F2" w:rsidRDefault="00CA3881" w:rsidP="00BF26FC">
      <w:pPr>
        <w:pStyle w:val="base-text-paragraph"/>
      </w:pPr>
      <w:r>
        <w:t xml:space="preserve">Assuming there </w:t>
      </w:r>
      <w:r w:rsidR="002667D2">
        <w:t>is a scheme that produced NALI by applying non</w:t>
      </w:r>
      <w:r w:rsidR="002667D2">
        <w:noBreakHyphen/>
        <w:t xml:space="preserve">arm’s length expenses, </w:t>
      </w:r>
      <w:r>
        <w:t xml:space="preserve">there must also be a sufficient nexus between </w:t>
      </w:r>
      <w:r w:rsidR="00780712">
        <w:t xml:space="preserve">the </w:t>
      </w:r>
      <w:r w:rsidR="002667D2">
        <w:t>expense/s</w:t>
      </w:r>
      <w:r w:rsidR="00780712">
        <w:t xml:space="preserve"> and the income</w:t>
      </w:r>
      <w:r w:rsidR="00A66D6D">
        <w:t>, that is,</w:t>
      </w:r>
      <w:r w:rsidR="00780712">
        <w:t xml:space="preserve"> </w:t>
      </w:r>
      <w:r w:rsidR="00A66D6D">
        <w:t xml:space="preserve">the </w:t>
      </w:r>
      <w:r w:rsidR="002667D2">
        <w:t>expenditure</w:t>
      </w:r>
      <w:r w:rsidR="00A66D6D">
        <w:t xml:space="preserve"> must have been incurred ‘in’ gaining or producing the relevant income. </w:t>
      </w:r>
      <w:r w:rsidR="002107C2">
        <w:t xml:space="preserve">This </w:t>
      </w:r>
      <w:r w:rsidR="00A66D6D">
        <w:t xml:space="preserve">reflects the </w:t>
      </w:r>
      <w:r w:rsidR="00780712">
        <w:t xml:space="preserve">analysis that must be undertaken in determining whether an expense </w:t>
      </w:r>
      <w:r w:rsidR="00A66D6D">
        <w:t>i</w:t>
      </w:r>
      <w:r>
        <w:t xml:space="preserve">s deductible under section 8-1, or can be included in the entity’s cost base for the transaction if the expense is of a capital </w:t>
      </w:r>
      <w:r w:rsidR="002667D2">
        <w:t xml:space="preserve">nature (see further under the next heading, Non-arm’s length capital expenditure that results in NALI). </w:t>
      </w:r>
    </w:p>
    <w:p w14:paraId="43CA30AF" w14:textId="6D0315AF" w:rsidR="006021F2" w:rsidRDefault="006021F2" w:rsidP="00D46C38">
      <w:pPr>
        <w:pStyle w:val="base-text-paragraph"/>
      </w:pPr>
      <w:r>
        <w:t>For example, w</w:t>
      </w:r>
      <w:r w:rsidR="0013593E">
        <w:t>here the non-arm’s length expense is an interest payment, the identification of the relevant amount of income should be straightforward. That is because a</w:t>
      </w:r>
      <w:r w:rsidR="00467784">
        <w:t xml:space="preserve"> </w:t>
      </w:r>
      <w:r w:rsidR="0013593E">
        <w:t>superannuation entity can only borrow</w:t>
      </w:r>
      <w:r w:rsidR="00467784">
        <w:t xml:space="preserve"> under an LRBA</w:t>
      </w:r>
      <w:r w:rsidR="0013593E">
        <w:t xml:space="preserve">, which means that the borrowed funds must be used to acquire </w:t>
      </w:r>
      <w:r w:rsidR="00780712">
        <w:t>a single</w:t>
      </w:r>
      <w:r w:rsidR="0013593E">
        <w:t>, separately</w:t>
      </w:r>
      <w:r w:rsidR="00467784">
        <w:t xml:space="preserve"> </w:t>
      </w:r>
      <w:r w:rsidR="0013593E">
        <w:t>identifiable</w:t>
      </w:r>
      <w:r w:rsidR="00780712">
        <w:t xml:space="preserve"> asset (su</w:t>
      </w:r>
      <w:r w:rsidR="00BF26FC">
        <w:t>bsection 67A(1) of the SIS Act</w:t>
      </w:r>
      <w:r w:rsidR="00780712">
        <w:t xml:space="preserve">). </w:t>
      </w:r>
      <w:r w:rsidR="0013593E">
        <w:t xml:space="preserve">Where such an asset is used in deriving assessable income, </w:t>
      </w:r>
      <w:r w:rsidR="00511474">
        <w:t>the</w:t>
      </w:r>
      <w:r w:rsidR="0013593E">
        <w:t xml:space="preserve"> income </w:t>
      </w:r>
      <w:r w:rsidR="00511474">
        <w:t xml:space="preserve">so derived </w:t>
      </w:r>
      <w:r w:rsidR="00BF26FC">
        <w:t>will be NALI</w:t>
      </w:r>
      <w:r w:rsidR="0013593E">
        <w:t xml:space="preserve"> </w:t>
      </w:r>
      <w:r w:rsidR="002667D2">
        <w:t xml:space="preserve">(see </w:t>
      </w:r>
      <w:r w:rsidR="0013593E">
        <w:t>the rental income in Example</w:t>
      </w:r>
      <w:r w:rsidR="00511474">
        <w:t> </w:t>
      </w:r>
      <w:r w:rsidR="0013593E">
        <w:t>1.1</w:t>
      </w:r>
      <w:r w:rsidR="002667D2">
        <w:t xml:space="preserve"> above</w:t>
      </w:r>
      <w:r w:rsidR="0013593E">
        <w:t>).</w:t>
      </w:r>
      <w:r>
        <w:t xml:space="preserve"> However, income derived from other assets that the superannuation entity holds – such as dividend income from publicly listed shares – would not be NALI merely </w:t>
      </w:r>
      <w:r w:rsidR="00511474">
        <w:t xml:space="preserve">because the superannuation entity incurred a </w:t>
      </w:r>
      <w:r>
        <w:t>non-arm’s length interest expense under the LRBA.</w:t>
      </w:r>
    </w:p>
    <w:p w14:paraId="70ED0528" w14:textId="76A995C3" w:rsidR="00780712" w:rsidRDefault="006021F2" w:rsidP="00D46C38">
      <w:pPr>
        <w:pStyle w:val="base-text-paragraph"/>
      </w:pPr>
      <w:r>
        <w:t xml:space="preserve">In order to calculate a superannuation entity’s NALC (that is, the amount of taxable income that is taxed at the highest marginal rate), it will also be necessary to identify any deductions that are attributable to NALI.  Those deductions may include </w:t>
      </w:r>
      <w:r w:rsidR="000336E8">
        <w:t xml:space="preserve">the </w:t>
      </w:r>
      <w:r>
        <w:t>non-arm’s length expense</w:t>
      </w:r>
      <w:r w:rsidR="000336E8">
        <w:t xml:space="preserve"> that caused an amount of an income to be NALI (in the foregoing example, interest expenses). </w:t>
      </w:r>
    </w:p>
    <w:p w14:paraId="2829477E" w14:textId="3A6053DC" w:rsidR="002B3990" w:rsidRDefault="002B3990" w:rsidP="00D46C38">
      <w:pPr>
        <w:pStyle w:val="Heading3"/>
      </w:pPr>
      <w:r>
        <w:t>Non-arm’s length capital expenditure that results in NALI</w:t>
      </w:r>
    </w:p>
    <w:p w14:paraId="569F7DD2" w14:textId="28E837D4" w:rsidR="002B3990" w:rsidRPr="004D0289" w:rsidRDefault="002B3990" w:rsidP="002B3990">
      <w:pPr>
        <w:pStyle w:val="base-text-paragraph"/>
        <w:rPr>
          <w:rStyle w:val="Referencingstyle"/>
          <w:b w:val="0"/>
          <w:i w:val="0"/>
          <w:sz w:val="22"/>
        </w:rPr>
      </w:pPr>
      <w:r>
        <w:t>Non-arm’s length capital expenditure can result in a superannuation entity earning NALI. W</w:t>
      </w:r>
      <w:r w:rsidRPr="002B3990">
        <w:t>here a fund acquires an asset for less than market value through non</w:t>
      </w:r>
      <w:r w:rsidR="00E16A06">
        <w:t>-</w:t>
      </w:r>
      <w:r w:rsidRPr="002B3990">
        <w:t xml:space="preserve">arm’s length dealings, not only will </w:t>
      </w:r>
      <w:r w:rsidRPr="002B3990">
        <w:lastRenderedPageBreak/>
        <w:t xml:space="preserve">any </w:t>
      </w:r>
      <w:r w:rsidR="00CA4E67">
        <w:t>revenue</w:t>
      </w:r>
      <w:r w:rsidRPr="002B3990">
        <w:t xml:space="preserve"> generated by that asset be NALI, but any statutory income</w:t>
      </w:r>
      <w:r w:rsidR="00414692">
        <w:t xml:space="preserve"> (</w:t>
      </w:r>
      <w:r w:rsidRPr="002B3990">
        <w:t>that is</w:t>
      </w:r>
      <w:r w:rsidR="00414692">
        <w:t>,</w:t>
      </w:r>
      <w:r w:rsidRPr="002B3990">
        <w:t xml:space="preserve"> </w:t>
      </w:r>
      <w:r w:rsidR="00414692">
        <w:t xml:space="preserve">net </w:t>
      </w:r>
      <w:r w:rsidRPr="002B3990">
        <w:t>capital gains</w:t>
      </w:r>
      <w:r w:rsidR="00414692">
        <w:t>)</w:t>
      </w:r>
      <w:r w:rsidRPr="002B3990">
        <w:t xml:space="preserve"> resulting from the disposal of that asset will also be assessed as NALI.</w:t>
      </w:r>
      <w:r w:rsidR="005D2851">
        <w:t xml:space="preserve"> </w:t>
      </w:r>
      <w:r w:rsidR="005D2851">
        <w:rPr>
          <w:rStyle w:val="Referencingstyle"/>
        </w:rPr>
        <w:t>[Schedule xx, item 1</w:t>
      </w:r>
      <w:r w:rsidR="005D2851" w:rsidRPr="00375F1D">
        <w:rPr>
          <w:rStyle w:val="Referencingstyle"/>
        </w:rPr>
        <w:t xml:space="preserve">, </w:t>
      </w:r>
      <w:r w:rsidR="005D2851">
        <w:rPr>
          <w:rStyle w:val="Referencingstyle"/>
        </w:rPr>
        <w:t>paragraph 295-550(1)(b); item 3, subsection 295-550(7)</w:t>
      </w:r>
      <w:r w:rsidR="005D2851" w:rsidRPr="00375F1D">
        <w:rPr>
          <w:rStyle w:val="Referencingstyle"/>
        </w:rPr>
        <w:t>]</w:t>
      </w:r>
    </w:p>
    <w:p w14:paraId="1F8CC4F8" w14:textId="3E419B14" w:rsidR="00C96BAB" w:rsidRDefault="00C96BAB" w:rsidP="00C96BAB">
      <w:pPr>
        <w:pStyle w:val="base-text-paragraph"/>
      </w:pPr>
      <w:r w:rsidRPr="00C96BAB">
        <w:t>This ensures that there is less of an incentive for trustees of funds to acquire assets at less than market value for the purpose of generating potentially significant ongoing amounts of income which would be sheltered from marginal rates of tax. It further ensures that such income cannot escape taxation entirely where the assets are held in the retirement phase (that is, the income would no longer be treated as exempt current pension income).</w:t>
      </w:r>
    </w:p>
    <w:p w14:paraId="70279C08" w14:textId="77777777" w:rsidR="00D6528B" w:rsidRDefault="004D0289" w:rsidP="002B3990">
      <w:pPr>
        <w:pStyle w:val="base-text-paragraph"/>
      </w:pPr>
      <w:r>
        <w:t xml:space="preserve">Section 66 of the SIS Act separately </w:t>
      </w:r>
      <w:r w:rsidR="009661C2">
        <w:t>prohibits</w:t>
      </w:r>
      <w:r>
        <w:t xml:space="preserve"> the acquisition of assets by the trustee of a fund from related parties. </w:t>
      </w:r>
      <w:r w:rsidR="009661C2">
        <w:t xml:space="preserve">While there are exceptions to this rule, the prohibition means that compliant superannuation funds are less likely to have acquired assets from related parties on non-arm’s length terms. </w:t>
      </w:r>
    </w:p>
    <w:p w14:paraId="65F19800" w14:textId="54047F6B" w:rsidR="009661C2" w:rsidRDefault="009661C2" w:rsidP="002B3990">
      <w:pPr>
        <w:pStyle w:val="base-text-paragraph"/>
      </w:pPr>
      <w:r>
        <w:t xml:space="preserve">As such, the consideration about whether an asset has been acquired on non-arm’s length terms </w:t>
      </w:r>
      <w:r w:rsidR="00C96BAB">
        <w:t>should</w:t>
      </w:r>
      <w:r>
        <w:t xml:space="preserve"> largely </w:t>
      </w:r>
      <w:r w:rsidR="00C96BAB">
        <w:t>be</w:t>
      </w:r>
      <w:r>
        <w:t xml:space="preserve"> question </w:t>
      </w:r>
      <w:r w:rsidR="00C96BAB">
        <w:t xml:space="preserve">that is relevant to </w:t>
      </w:r>
      <w:r>
        <w:t>trans</w:t>
      </w:r>
      <w:r w:rsidR="001B1176">
        <w:t>actions with unrelated parties</w:t>
      </w:r>
      <w:r w:rsidR="00483AB7">
        <w:t xml:space="preserve">, </w:t>
      </w:r>
      <w:r w:rsidR="001B1176">
        <w:t xml:space="preserve">which </w:t>
      </w:r>
      <w:r w:rsidR="00834736">
        <w:t>can occur where the parties enter into a</w:t>
      </w:r>
      <w:r w:rsidR="001B1176">
        <w:t xml:space="preserve"> broader non-arm’s length scheme.</w:t>
      </w:r>
      <w:r w:rsidR="00C96BAB">
        <w:t xml:space="preserve"> However, if the trustee of a fund were to acquire an asset from a related party on non</w:t>
      </w:r>
      <w:r w:rsidR="00F57983">
        <w:noBreakHyphen/>
      </w:r>
      <w:r w:rsidR="00C96BAB">
        <w:t>arm’s length terms in contravention of section 66 of the SIS Act, any income that is generated from the asset would also be NALI.</w:t>
      </w:r>
    </w:p>
    <w:p w14:paraId="19319710" w14:textId="0F4E4C2F" w:rsidR="00D46C38" w:rsidRDefault="00D46C38" w:rsidP="00D46C38">
      <w:pPr>
        <w:pStyle w:val="Heading3"/>
      </w:pPr>
      <w:r>
        <w:t>Range of transactions may be on arm’s length terms</w:t>
      </w:r>
    </w:p>
    <w:p w14:paraId="7490FBA7" w14:textId="616F2100" w:rsidR="00D46C38" w:rsidRDefault="00780712" w:rsidP="00D46C38">
      <w:pPr>
        <w:pStyle w:val="base-text-paragraph"/>
      </w:pPr>
      <w:r>
        <w:t xml:space="preserve">It can be difficult to determine an exact price that is ‘non-arm’s length’. An ‘arm’s length’ price may be accepted to fall within a range of commercial prices. For example, loans may be available at different </w:t>
      </w:r>
      <w:r w:rsidR="00460648">
        <w:t xml:space="preserve">interest </w:t>
      </w:r>
      <w:r>
        <w:t>rates based on a ran</w:t>
      </w:r>
      <w:r w:rsidR="002A03BB">
        <w:t xml:space="preserve">ge of factors. Accordingly, </w:t>
      </w:r>
      <w:r>
        <w:t xml:space="preserve">for example, an SMSF </w:t>
      </w:r>
      <w:r w:rsidR="00D46C38">
        <w:t>may be able to apply an acceptable commercial rate of interest to a loan within a band of rates available to it on an arm’</w:t>
      </w:r>
      <w:r w:rsidR="002A03BB">
        <w:t xml:space="preserve">s length basis. </w:t>
      </w:r>
    </w:p>
    <w:p w14:paraId="3B57F647" w14:textId="119B5CF0" w:rsidR="00780712" w:rsidRDefault="00D46C38" w:rsidP="00D46C38">
      <w:pPr>
        <w:pStyle w:val="base-text-paragraph"/>
      </w:pPr>
      <w:r>
        <w:t>T</w:t>
      </w:r>
      <w:r w:rsidR="00780712">
        <w:t xml:space="preserve">ransactions that are on </w:t>
      </w:r>
      <w:r w:rsidR="00FB6B4D">
        <w:t xml:space="preserve">arm’s length </w:t>
      </w:r>
      <w:r w:rsidR="00780712">
        <w:t>terms, for example, borrowing arrangements</w:t>
      </w:r>
      <w:r w:rsidR="00780712" w:rsidRPr="005F1AE9">
        <w:t xml:space="preserve"> financed by </w:t>
      </w:r>
      <w:r w:rsidR="00414692">
        <w:t>Authoris</w:t>
      </w:r>
      <w:r w:rsidR="00B07555">
        <w:t>ed Deposit-taking Institutions</w:t>
      </w:r>
      <w:r w:rsidR="00780712" w:rsidRPr="005F1AE9">
        <w:t xml:space="preserve"> and other commercial lenders</w:t>
      </w:r>
      <w:r w:rsidR="00780712">
        <w:t xml:space="preserve"> or that meet the safe harbour </w:t>
      </w:r>
      <w:r w:rsidR="00FB6B4D">
        <w:t xml:space="preserve">terms </w:t>
      </w:r>
      <w:r w:rsidR="002A03BB">
        <w:t xml:space="preserve">in </w:t>
      </w:r>
      <w:r w:rsidR="00780712">
        <w:t xml:space="preserve">ATO Practical Compliance Guideline </w:t>
      </w:r>
      <w:r w:rsidR="00780712" w:rsidRPr="005F1AE9">
        <w:t>P</w:t>
      </w:r>
      <w:r w:rsidR="00780712">
        <w:t xml:space="preserve">CG </w:t>
      </w:r>
      <w:r w:rsidR="00780712" w:rsidRPr="005F1AE9">
        <w:t>2016/5</w:t>
      </w:r>
      <w:r>
        <w:t xml:space="preserve"> are not impacted by these amendments. </w:t>
      </w:r>
    </w:p>
    <w:p w14:paraId="2CB2413F" w14:textId="47AA46FF" w:rsidR="00EF2E4F" w:rsidRPr="00105E1E" w:rsidRDefault="009119D8" w:rsidP="00D46C38">
      <w:pPr>
        <w:pStyle w:val="base-text-paragraph"/>
      </w:pPr>
      <w:r w:rsidRPr="009119D8">
        <w:t>It is unlikely that the measure would affect in-house provision of, or in-sourci</w:t>
      </w:r>
      <w:r>
        <w:t>ng of, functions by large APRA r</w:t>
      </w:r>
      <w:r w:rsidRPr="009119D8">
        <w:t>egulated funds as those arrangements are expected to be on an arm’s length basis</w:t>
      </w:r>
      <w:r>
        <w:t xml:space="preserve"> </w:t>
      </w:r>
      <w:r w:rsidRPr="009119D8">
        <w:t>because the trustee of an APRA Regulated fund is likely to be independent of members so does not have the incentive to shelter member funds in the superannuation entity to circumvent contributions caps.</w:t>
      </w:r>
    </w:p>
    <w:p w14:paraId="5968DA37" w14:textId="77777777" w:rsidR="006F633F" w:rsidRPr="006F633F" w:rsidRDefault="006F633F" w:rsidP="006F633F">
      <w:pPr>
        <w:pStyle w:val="exampletext"/>
      </w:pPr>
    </w:p>
    <w:p w14:paraId="0297B1E4" w14:textId="77777777" w:rsidR="00B17774" w:rsidRDefault="00B17774" w:rsidP="00B17774">
      <w:pPr>
        <w:pStyle w:val="Heading2"/>
      </w:pPr>
      <w:r>
        <w:lastRenderedPageBreak/>
        <w:t>Application and transitional provisions</w:t>
      </w:r>
    </w:p>
    <w:p w14:paraId="10903250" w14:textId="523A8C5C" w:rsidR="00DF631D" w:rsidRDefault="00D46C38" w:rsidP="00D46C38">
      <w:pPr>
        <w:pStyle w:val="base-text-paragraph"/>
      </w:pPr>
      <w:r>
        <w:t xml:space="preserve">The amendments made by this Schedule apply </w:t>
      </w:r>
      <w:r w:rsidRPr="00D46C38">
        <w:t>in relation to income derived in the 2018-19 income year and later income years</w:t>
      </w:r>
      <w:r w:rsidR="00C555C8">
        <w:t>, regardless of whether the scheme was entered into before 1 July 2018</w:t>
      </w:r>
      <w:r w:rsidRPr="00D46C38">
        <w:t>.</w:t>
      </w:r>
    </w:p>
    <w:p w14:paraId="06E6E4EC" w14:textId="77777777" w:rsidR="00DF631D" w:rsidRDefault="00DF631D">
      <w:pPr>
        <w:spacing w:before="0" w:after="160" w:line="259" w:lineRule="auto"/>
      </w:pP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EB87" w14:textId="77777777" w:rsidR="00FF7782" w:rsidRDefault="00FF7782" w:rsidP="00E679CA">
      <w:pPr>
        <w:spacing w:before="0" w:after="0"/>
      </w:pPr>
      <w:r>
        <w:separator/>
      </w:r>
    </w:p>
  </w:endnote>
  <w:endnote w:type="continuationSeparator" w:id="0">
    <w:p w14:paraId="4ABB23E4" w14:textId="77777777" w:rsidR="00FF7782" w:rsidRDefault="00FF7782" w:rsidP="00E679CA">
      <w:pPr>
        <w:spacing w:before="0" w:after="0"/>
      </w:pPr>
      <w:r>
        <w:continuationSeparator/>
      </w:r>
    </w:p>
  </w:endnote>
  <w:endnote w:type="continuationNotice" w:id="1">
    <w:p w14:paraId="6A58CC9E" w14:textId="77777777" w:rsidR="00FF7782" w:rsidRDefault="00FF77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3D656" w14:textId="77777777" w:rsidR="00FF7782" w:rsidRDefault="00FF7782" w:rsidP="003D44D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2D8BE" w14:textId="77777777" w:rsidR="00FF7782" w:rsidRDefault="00FF7782" w:rsidP="003D44D9">
    <w:pPr>
      <w:pStyle w:val="rightfooter"/>
    </w:pPr>
    <w:r>
      <w:fldChar w:fldCharType="begin"/>
    </w:r>
    <w:r>
      <w:instrText xml:space="preserve"> PAGE   \* MERGEFORMAT </w:instrText>
    </w:r>
    <w:r>
      <w:fldChar w:fldCharType="separate"/>
    </w:r>
    <w:r w:rsidR="00AF4312">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E519" w14:textId="77777777" w:rsidR="00FF7782" w:rsidRDefault="00FF7782" w:rsidP="003D44D9">
    <w:pPr>
      <w:pStyle w:val="rightfooter"/>
    </w:pPr>
    <w:r>
      <w:fldChar w:fldCharType="begin"/>
    </w:r>
    <w:r>
      <w:instrText xml:space="preserve"> PAGE  \* Arabic  \* MERGEFORMAT </w:instrText>
    </w:r>
    <w:r>
      <w:fldChar w:fldCharType="separate"/>
    </w:r>
    <w:r w:rsidR="00AF4312">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75686" w14:textId="77777777" w:rsidR="00FF7782" w:rsidRDefault="00FF7782" w:rsidP="003D44D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57EE" w14:textId="77777777" w:rsidR="00FF7782" w:rsidRDefault="00FF7782" w:rsidP="003D44D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1D18" w14:textId="77777777" w:rsidR="00FF7782" w:rsidRDefault="00FF7782" w:rsidP="003D44D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F9E3E" w14:textId="77777777" w:rsidR="00FF7782" w:rsidRPr="00B2068E" w:rsidRDefault="00FF7782" w:rsidP="003D44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FD071" w14:textId="77777777" w:rsidR="00FF7782" w:rsidRDefault="00FF7782" w:rsidP="003D44D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56F5" w14:textId="77777777" w:rsidR="00FF7782" w:rsidRDefault="00FF7782" w:rsidP="003D44D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F2433" w14:textId="77777777" w:rsidR="00FF7782" w:rsidRDefault="00FF7782" w:rsidP="003D44D9">
    <w:pPr>
      <w:pStyle w:val="rightfooter"/>
    </w:pPr>
    <w:r>
      <w:fldChar w:fldCharType="begin"/>
    </w:r>
    <w:r>
      <w:instrText xml:space="preserve"> PAGE  \* Arabic  \* MERGEFORMAT </w:instrText>
    </w:r>
    <w:r>
      <w:fldChar w:fldCharType="separate"/>
    </w:r>
    <w:r w:rsidR="00AF4312">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3D4B4" w14:textId="77777777" w:rsidR="00FF7782" w:rsidRDefault="00FF7782" w:rsidP="003D44D9">
    <w:pPr>
      <w:pStyle w:val="leftfooter"/>
    </w:pPr>
    <w:r>
      <w:fldChar w:fldCharType="begin"/>
    </w:r>
    <w:r>
      <w:instrText xml:space="preserve"> PAGE   \* MERGEFORMAT </w:instrText>
    </w:r>
    <w:r>
      <w:fldChar w:fldCharType="separate"/>
    </w:r>
    <w:r w:rsidR="00AF4312">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65C48" w14:textId="77777777" w:rsidR="00FF7782" w:rsidRDefault="00FF7782" w:rsidP="00E679CA">
      <w:pPr>
        <w:spacing w:before="0" w:after="0"/>
      </w:pPr>
      <w:r>
        <w:separator/>
      </w:r>
    </w:p>
  </w:footnote>
  <w:footnote w:type="continuationSeparator" w:id="0">
    <w:p w14:paraId="6ACE2552" w14:textId="77777777" w:rsidR="00FF7782" w:rsidRDefault="00FF7782" w:rsidP="00E679CA">
      <w:pPr>
        <w:spacing w:before="0" w:after="0"/>
      </w:pPr>
      <w:r>
        <w:continuationSeparator/>
      </w:r>
    </w:p>
  </w:footnote>
  <w:footnote w:type="continuationNotice" w:id="1">
    <w:p w14:paraId="5AD20620" w14:textId="77777777" w:rsidR="00FF7782" w:rsidRDefault="00FF778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0DEA" w14:textId="77777777" w:rsidR="00FF7782" w:rsidRDefault="00FF7782" w:rsidP="003D44D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691B6" w14:textId="77777777" w:rsidR="00FF7782" w:rsidRDefault="00FF7782" w:rsidP="003D44D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52BF43BF" w14:textId="77777777" w:rsidR="00FF7782" w:rsidRDefault="00AF4312">
        <w:pPr>
          <w:pStyle w:val="Header"/>
        </w:pPr>
        <w:r>
          <w:rPr>
            <w:noProof/>
            <w:lang w:val="en-US" w:eastAsia="en-US"/>
          </w:rPr>
          <w:pict w14:anchorId="5EAD5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D3608" w14:textId="77777777" w:rsidR="00FF7782" w:rsidRDefault="00FF7782" w:rsidP="003D44D9">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829C0" w14:textId="77777777" w:rsidR="00FF7782" w:rsidRDefault="00FF7782" w:rsidP="003D44D9">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C289" w14:textId="77777777" w:rsidR="00FF7782" w:rsidRDefault="00FF77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F06B1" w14:textId="34BCE24D" w:rsidR="00FF7782" w:rsidRPr="002734CF" w:rsidRDefault="00FF7782" w:rsidP="002734C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C259" w14:textId="77777777" w:rsidR="00FF7782" w:rsidRDefault="00AF4312" w:rsidP="003D44D9">
    <w:pPr>
      <w:pStyle w:val="rightheader"/>
    </w:pPr>
    <w:r>
      <w:fldChar w:fldCharType="begin"/>
    </w:r>
    <w:r>
      <w:instrText xml:space="preserve"> STYLEREF  "ChapterNameOnly"  \* MERGEFORMAT </w:instrText>
    </w:r>
    <w:r>
      <w:fldChar w:fldCharType="separate"/>
    </w:r>
    <w:r>
      <w:rPr>
        <w:noProof/>
      </w:rPr>
      <w:t>Non-arm’s length income of superannuation entities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8">
    <w:nsid w:val="65DF6494"/>
    <w:multiLevelType w:val="multilevel"/>
    <w:tmpl w:val="A316FE50"/>
    <w:numStyleLink w:val="ChapterList"/>
  </w:abstractNum>
  <w:abstractNum w:abstractNumId="19">
    <w:nsid w:val="724505FA"/>
    <w:multiLevelType w:val="multilevel"/>
    <w:tmpl w:val="E3745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20"/>
  </w:num>
  <w:num w:numId="3">
    <w:abstractNumId w:val="21"/>
  </w:num>
  <w:num w:numId="4">
    <w:abstractNumId w:val="13"/>
  </w:num>
  <w:num w:numId="5">
    <w:abstractNumId w:val="14"/>
  </w:num>
  <w:num w:numId="6">
    <w:abstractNumId w:val="15"/>
  </w:num>
  <w:num w:numId="7">
    <w:abstractNumId w:val="15"/>
  </w:num>
  <w:num w:numId="8">
    <w:abstractNumId w:val="16"/>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abstractNumId w:val="19"/>
  </w:num>
  <w:num w:numId="24">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F9"/>
    <w:rsid w:val="0002054A"/>
    <w:rsid w:val="000214F7"/>
    <w:rsid w:val="00030A40"/>
    <w:rsid w:val="000336E8"/>
    <w:rsid w:val="00033F02"/>
    <w:rsid w:val="0004027F"/>
    <w:rsid w:val="000504BC"/>
    <w:rsid w:val="00060A97"/>
    <w:rsid w:val="00072721"/>
    <w:rsid w:val="000A03F3"/>
    <w:rsid w:val="000A337D"/>
    <w:rsid w:val="000C2A9D"/>
    <w:rsid w:val="000C44D7"/>
    <w:rsid w:val="000C5F6D"/>
    <w:rsid w:val="000C71F6"/>
    <w:rsid w:val="000D04A2"/>
    <w:rsid w:val="000E4B50"/>
    <w:rsid w:val="000F0BB8"/>
    <w:rsid w:val="000F531E"/>
    <w:rsid w:val="00105E1E"/>
    <w:rsid w:val="00123B9E"/>
    <w:rsid w:val="00127BE8"/>
    <w:rsid w:val="00132B24"/>
    <w:rsid w:val="0013593E"/>
    <w:rsid w:val="00146791"/>
    <w:rsid w:val="00151BA0"/>
    <w:rsid w:val="00157EB8"/>
    <w:rsid w:val="001753F4"/>
    <w:rsid w:val="001827FB"/>
    <w:rsid w:val="00191F84"/>
    <w:rsid w:val="001929F4"/>
    <w:rsid w:val="001A6966"/>
    <w:rsid w:val="001B1176"/>
    <w:rsid w:val="001B4AEF"/>
    <w:rsid w:val="001C1751"/>
    <w:rsid w:val="001E07FC"/>
    <w:rsid w:val="001F267D"/>
    <w:rsid w:val="002107C2"/>
    <w:rsid w:val="00226295"/>
    <w:rsid w:val="00235A30"/>
    <w:rsid w:val="00243ADB"/>
    <w:rsid w:val="002608F9"/>
    <w:rsid w:val="002667D2"/>
    <w:rsid w:val="002734CF"/>
    <w:rsid w:val="0028232D"/>
    <w:rsid w:val="00295ABD"/>
    <w:rsid w:val="002A03BB"/>
    <w:rsid w:val="002A3BA4"/>
    <w:rsid w:val="002B3990"/>
    <w:rsid w:val="002D0B7C"/>
    <w:rsid w:val="002E15FB"/>
    <w:rsid w:val="002F0D2B"/>
    <w:rsid w:val="002F5853"/>
    <w:rsid w:val="00307165"/>
    <w:rsid w:val="003175C6"/>
    <w:rsid w:val="003204DA"/>
    <w:rsid w:val="003214DF"/>
    <w:rsid w:val="0034191F"/>
    <w:rsid w:val="003467C4"/>
    <w:rsid w:val="00375F1D"/>
    <w:rsid w:val="00380363"/>
    <w:rsid w:val="003808E7"/>
    <w:rsid w:val="003A5F2B"/>
    <w:rsid w:val="003A657F"/>
    <w:rsid w:val="003B6B47"/>
    <w:rsid w:val="003B77F0"/>
    <w:rsid w:val="003D44D9"/>
    <w:rsid w:val="003E5AB0"/>
    <w:rsid w:val="003E7AB0"/>
    <w:rsid w:val="004035CB"/>
    <w:rsid w:val="00414692"/>
    <w:rsid w:val="00422FA2"/>
    <w:rsid w:val="00460648"/>
    <w:rsid w:val="00467784"/>
    <w:rsid w:val="00483AB7"/>
    <w:rsid w:val="004D0289"/>
    <w:rsid w:val="004E1169"/>
    <w:rsid w:val="004E3B6C"/>
    <w:rsid w:val="004F3C00"/>
    <w:rsid w:val="00500CBC"/>
    <w:rsid w:val="00511474"/>
    <w:rsid w:val="00535F17"/>
    <w:rsid w:val="00540FA5"/>
    <w:rsid w:val="00544C2B"/>
    <w:rsid w:val="0055086F"/>
    <w:rsid w:val="00551665"/>
    <w:rsid w:val="00567602"/>
    <w:rsid w:val="00573B5E"/>
    <w:rsid w:val="00574CA0"/>
    <w:rsid w:val="005A17DF"/>
    <w:rsid w:val="005A496E"/>
    <w:rsid w:val="005B3748"/>
    <w:rsid w:val="005C4582"/>
    <w:rsid w:val="005D0394"/>
    <w:rsid w:val="005D2851"/>
    <w:rsid w:val="005D77FE"/>
    <w:rsid w:val="005E100E"/>
    <w:rsid w:val="005E3647"/>
    <w:rsid w:val="005E4188"/>
    <w:rsid w:val="005E4F76"/>
    <w:rsid w:val="006021F2"/>
    <w:rsid w:val="00613C93"/>
    <w:rsid w:val="00614920"/>
    <w:rsid w:val="006168B0"/>
    <w:rsid w:val="00623946"/>
    <w:rsid w:val="00626715"/>
    <w:rsid w:val="0063127E"/>
    <w:rsid w:val="00645219"/>
    <w:rsid w:val="006624D4"/>
    <w:rsid w:val="00670A85"/>
    <w:rsid w:val="006A05D6"/>
    <w:rsid w:val="006A72CB"/>
    <w:rsid w:val="006B492B"/>
    <w:rsid w:val="006C2456"/>
    <w:rsid w:val="006D3296"/>
    <w:rsid w:val="006F233D"/>
    <w:rsid w:val="006F5EF4"/>
    <w:rsid w:val="006F633F"/>
    <w:rsid w:val="0070297A"/>
    <w:rsid w:val="00706CE0"/>
    <w:rsid w:val="007070BD"/>
    <w:rsid w:val="00734F84"/>
    <w:rsid w:val="007478FF"/>
    <w:rsid w:val="00747A03"/>
    <w:rsid w:val="00754471"/>
    <w:rsid w:val="00761E97"/>
    <w:rsid w:val="00762934"/>
    <w:rsid w:val="00773B68"/>
    <w:rsid w:val="00780712"/>
    <w:rsid w:val="00795A45"/>
    <w:rsid w:val="007A1E07"/>
    <w:rsid w:val="007A41C8"/>
    <w:rsid w:val="007C2588"/>
    <w:rsid w:val="007C2B20"/>
    <w:rsid w:val="007D4A61"/>
    <w:rsid w:val="007D7AF9"/>
    <w:rsid w:val="007E2427"/>
    <w:rsid w:val="007F603F"/>
    <w:rsid w:val="008017D8"/>
    <w:rsid w:val="00803DE4"/>
    <w:rsid w:val="00806F92"/>
    <w:rsid w:val="00810F4E"/>
    <w:rsid w:val="00813A51"/>
    <w:rsid w:val="008145E4"/>
    <w:rsid w:val="00820980"/>
    <w:rsid w:val="00824231"/>
    <w:rsid w:val="00834736"/>
    <w:rsid w:val="00840701"/>
    <w:rsid w:val="00856FED"/>
    <w:rsid w:val="00863591"/>
    <w:rsid w:val="008769D3"/>
    <w:rsid w:val="00887AC4"/>
    <w:rsid w:val="008A7941"/>
    <w:rsid w:val="008D4F94"/>
    <w:rsid w:val="008D78FA"/>
    <w:rsid w:val="008E6E38"/>
    <w:rsid w:val="008F03F2"/>
    <w:rsid w:val="008F6830"/>
    <w:rsid w:val="009022CD"/>
    <w:rsid w:val="00904D2E"/>
    <w:rsid w:val="009119D8"/>
    <w:rsid w:val="009137E1"/>
    <w:rsid w:val="0092305B"/>
    <w:rsid w:val="00927BC0"/>
    <w:rsid w:val="0093363A"/>
    <w:rsid w:val="00946B26"/>
    <w:rsid w:val="00947649"/>
    <w:rsid w:val="00950B88"/>
    <w:rsid w:val="009661C2"/>
    <w:rsid w:val="009770C9"/>
    <w:rsid w:val="0098134F"/>
    <w:rsid w:val="009A2E80"/>
    <w:rsid w:val="009A56D4"/>
    <w:rsid w:val="009B5E73"/>
    <w:rsid w:val="009C2FC2"/>
    <w:rsid w:val="009D7736"/>
    <w:rsid w:val="009D7ECD"/>
    <w:rsid w:val="009E4510"/>
    <w:rsid w:val="009F3AE1"/>
    <w:rsid w:val="00A0653F"/>
    <w:rsid w:val="00A2308B"/>
    <w:rsid w:val="00A35012"/>
    <w:rsid w:val="00A377A5"/>
    <w:rsid w:val="00A41EDC"/>
    <w:rsid w:val="00A66D6D"/>
    <w:rsid w:val="00A75FAC"/>
    <w:rsid w:val="00A810B1"/>
    <w:rsid w:val="00A9454C"/>
    <w:rsid w:val="00AA6F43"/>
    <w:rsid w:val="00AB2C6B"/>
    <w:rsid w:val="00AB4FD1"/>
    <w:rsid w:val="00AC2CE0"/>
    <w:rsid w:val="00AD5B62"/>
    <w:rsid w:val="00AD5F50"/>
    <w:rsid w:val="00AE3FBC"/>
    <w:rsid w:val="00AF4312"/>
    <w:rsid w:val="00AF6C55"/>
    <w:rsid w:val="00B040B3"/>
    <w:rsid w:val="00B07555"/>
    <w:rsid w:val="00B1286B"/>
    <w:rsid w:val="00B13A36"/>
    <w:rsid w:val="00B17774"/>
    <w:rsid w:val="00B62B1D"/>
    <w:rsid w:val="00B72FAF"/>
    <w:rsid w:val="00B7462E"/>
    <w:rsid w:val="00B85309"/>
    <w:rsid w:val="00B94255"/>
    <w:rsid w:val="00BB72FC"/>
    <w:rsid w:val="00BB7376"/>
    <w:rsid w:val="00BD4AF0"/>
    <w:rsid w:val="00BE27C2"/>
    <w:rsid w:val="00BF26FC"/>
    <w:rsid w:val="00BF6636"/>
    <w:rsid w:val="00C01C30"/>
    <w:rsid w:val="00C0484D"/>
    <w:rsid w:val="00C11B78"/>
    <w:rsid w:val="00C27944"/>
    <w:rsid w:val="00C51F05"/>
    <w:rsid w:val="00C5436A"/>
    <w:rsid w:val="00C555C8"/>
    <w:rsid w:val="00C743D3"/>
    <w:rsid w:val="00C83EC4"/>
    <w:rsid w:val="00C95F3A"/>
    <w:rsid w:val="00C96BAB"/>
    <w:rsid w:val="00CA3881"/>
    <w:rsid w:val="00CA4E67"/>
    <w:rsid w:val="00CB3661"/>
    <w:rsid w:val="00CC2634"/>
    <w:rsid w:val="00CD1112"/>
    <w:rsid w:val="00CE2310"/>
    <w:rsid w:val="00CF3E77"/>
    <w:rsid w:val="00D16CEC"/>
    <w:rsid w:val="00D2046C"/>
    <w:rsid w:val="00D25851"/>
    <w:rsid w:val="00D46961"/>
    <w:rsid w:val="00D46C38"/>
    <w:rsid w:val="00D47949"/>
    <w:rsid w:val="00D50585"/>
    <w:rsid w:val="00D6528B"/>
    <w:rsid w:val="00D863A9"/>
    <w:rsid w:val="00D95BA9"/>
    <w:rsid w:val="00DC3574"/>
    <w:rsid w:val="00DE55C2"/>
    <w:rsid w:val="00DF4FD5"/>
    <w:rsid w:val="00DF553C"/>
    <w:rsid w:val="00DF631D"/>
    <w:rsid w:val="00E07555"/>
    <w:rsid w:val="00E145A5"/>
    <w:rsid w:val="00E16A06"/>
    <w:rsid w:val="00E2084F"/>
    <w:rsid w:val="00E214EA"/>
    <w:rsid w:val="00E44C56"/>
    <w:rsid w:val="00E5385B"/>
    <w:rsid w:val="00E56A6F"/>
    <w:rsid w:val="00E679CA"/>
    <w:rsid w:val="00E74E50"/>
    <w:rsid w:val="00E82E33"/>
    <w:rsid w:val="00E833F2"/>
    <w:rsid w:val="00E874A3"/>
    <w:rsid w:val="00EA5BB7"/>
    <w:rsid w:val="00EC0F5E"/>
    <w:rsid w:val="00EC778E"/>
    <w:rsid w:val="00ED1466"/>
    <w:rsid w:val="00EE3CE4"/>
    <w:rsid w:val="00EF2E4F"/>
    <w:rsid w:val="00F0668A"/>
    <w:rsid w:val="00F46D06"/>
    <w:rsid w:val="00F57983"/>
    <w:rsid w:val="00F60F68"/>
    <w:rsid w:val="00F83B70"/>
    <w:rsid w:val="00F9382B"/>
    <w:rsid w:val="00FA69F5"/>
    <w:rsid w:val="00FB6B4D"/>
    <w:rsid w:val="00FE6108"/>
    <w:rsid w:val="00FF705A"/>
    <w:rsid w:val="00FF7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C5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2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1"/>
      </w:numPr>
      <w:spacing w:before="0" w:after="0"/>
    </w:pPr>
    <w:rPr>
      <w:b/>
    </w:rPr>
  </w:style>
  <w:style w:type="paragraph" w:customStyle="1" w:styleId="dotpoint">
    <w:name w:val="dot point"/>
    <w:basedOn w:val="Normal"/>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2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semiHidden/>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035CB"/>
    <w:rPr>
      <w:sz w:val="16"/>
      <w:szCs w:val="16"/>
    </w:rPr>
  </w:style>
  <w:style w:type="paragraph" w:styleId="CommentText">
    <w:name w:val="annotation text"/>
    <w:basedOn w:val="Normal"/>
    <w:link w:val="CommentTextChar"/>
    <w:uiPriority w:val="99"/>
    <w:semiHidden/>
    <w:unhideWhenUsed/>
    <w:rsid w:val="004035CB"/>
    <w:rPr>
      <w:sz w:val="20"/>
    </w:rPr>
  </w:style>
  <w:style w:type="character" w:customStyle="1" w:styleId="CommentTextChar">
    <w:name w:val="Comment Text Char"/>
    <w:basedOn w:val="DefaultParagraphFont"/>
    <w:link w:val="CommentText"/>
    <w:uiPriority w:val="99"/>
    <w:semiHidden/>
    <w:rsid w:val="004035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035CB"/>
    <w:rPr>
      <w:b/>
      <w:bCs/>
    </w:rPr>
  </w:style>
  <w:style w:type="character" w:customStyle="1" w:styleId="CommentSubjectChar">
    <w:name w:val="Comment Subject Char"/>
    <w:basedOn w:val="CommentTextChar"/>
    <w:link w:val="CommentSubject"/>
    <w:uiPriority w:val="99"/>
    <w:semiHidden/>
    <w:rsid w:val="004035C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035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CB"/>
    <w:rPr>
      <w:rFonts w:ascii="Tahoma" w:eastAsia="Times New Roman" w:hAnsi="Tahoma" w:cs="Tahoma"/>
      <w:sz w:val="16"/>
      <w:szCs w:val="16"/>
      <w:lang w:eastAsia="en-AU"/>
    </w:rPr>
  </w:style>
  <w:style w:type="paragraph" w:styleId="Revision">
    <w:name w:val="Revision"/>
    <w:hidden/>
    <w:uiPriority w:val="99"/>
    <w:semiHidden/>
    <w:rsid w:val="00820980"/>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2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1"/>
      </w:numPr>
      <w:spacing w:before="0" w:after="0"/>
    </w:pPr>
    <w:rPr>
      <w:b/>
    </w:rPr>
  </w:style>
  <w:style w:type="paragraph" w:customStyle="1" w:styleId="dotpoint">
    <w:name w:val="dot point"/>
    <w:basedOn w:val="Normal"/>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2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semiHidden/>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035CB"/>
    <w:rPr>
      <w:sz w:val="16"/>
      <w:szCs w:val="16"/>
    </w:rPr>
  </w:style>
  <w:style w:type="paragraph" w:styleId="CommentText">
    <w:name w:val="annotation text"/>
    <w:basedOn w:val="Normal"/>
    <w:link w:val="CommentTextChar"/>
    <w:uiPriority w:val="99"/>
    <w:semiHidden/>
    <w:unhideWhenUsed/>
    <w:rsid w:val="004035CB"/>
    <w:rPr>
      <w:sz w:val="20"/>
    </w:rPr>
  </w:style>
  <w:style w:type="character" w:customStyle="1" w:styleId="CommentTextChar">
    <w:name w:val="Comment Text Char"/>
    <w:basedOn w:val="DefaultParagraphFont"/>
    <w:link w:val="CommentText"/>
    <w:uiPriority w:val="99"/>
    <w:semiHidden/>
    <w:rsid w:val="004035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035CB"/>
    <w:rPr>
      <w:b/>
      <w:bCs/>
    </w:rPr>
  </w:style>
  <w:style w:type="character" w:customStyle="1" w:styleId="CommentSubjectChar">
    <w:name w:val="Comment Subject Char"/>
    <w:basedOn w:val="CommentTextChar"/>
    <w:link w:val="CommentSubject"/>
    <w:uiPriority w:val="99"/>
    <w:semiHidden/>
    <w:rsid w:val="004035C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035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CB"/>
    <w:rPr>
      <w:rFonts w:ascii="Tahoma" w:eastAsia="Times New Roman" w:hAnsi="Tahoma" w:cs="Tahoma"/>
      <w:sz w:val="16"/>
      <w:szCs w:val="16"/>
      <w:lang w:eastAsia="en-AU"/>
    </w:rPr>
  </w:style>
  <w:style w:type="paragraph" w:styleId="Revision">
    <w:name w:val="Revision"/>
    <w:hidden/>
    <w:uiPriority w:val="99"/>
    <w:semiHidden/>
    <w:rsid w:val="00820980"/>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l\AppData\Roaming\Microsoft\Templates\New%20E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2017RG-136-34260</_dlc_DocId>
    <TaxCatchAll xmlns="9f7bc583-7cbe-45b9-a2bd-8bbb6543b37e">
      <Value>7</Value>
    </TaxCatchAll>
    <_dlc_DocIdUrl xmlns="9f7bc583-7cbe-45b9-a2bd-8bbb6543b37e">
      <Url>http://tweb/sites/rg/ldp/_layouts/15/DocIdRedir.aspx?ID=2017RG-136-34260</Url>
      <Description>2017RG-136-34260</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Final for TB clearance</Number_x0020_version>
    <Status xmlns="687b78b0-2ddd-4441-8a8b-c9638c2a1939">
      <Value>Current</Value>
    </Status>
    <NAture_x0020_of_x0020_documents1 xmlns="687b78b0-2ddd-4441-8a8b-c9638c2a1939">
      <Value>Explanatory memorandum/statement</Value>
    </NAture_x0020_of_x0020_documents1>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7765" ma:contentTypeDescription="" ma:contentTypeScope="" ma:versionID="e0e6ad3234b9b7a3c7240f98040dee48">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2.xml><?xml version="1.0" encoding="utf-8"?>
<ds:datastoreItem xmlns:ds="http://schemas.openxmlformats.org/officeDocument/2006/customXml" ds:itemID="{65CF486C-6A74-45AD-9662-17F65F670973}">
  <ds:schemaRefs>
    <ds:schemaRef ds:uri="office.server.policy"/>
  </ds:schemaRefs>
</ds:datastoreItem>
</file>

<file path=customXml/itemProps3.xml><?xml version="1.0" encoding="utf-8"?>
<ds:datastoreItem xmlns:ds="http://schemas.openxmlformats.org/officeDocument/2006/customXml" ds:itemID="{D62B9904-5C17-4F85-B464-F89A3BFD573B}">
  <ds:schemaRefs>
    <ds:schemaRef ds:uri="http://schemas.microsoft.com/sharepoint/events"/>
  </ds:schemaRefs>
</ds:datastoreItem>
</file>

<file path=customXml/itemProps4.xml><?xml version="1.0" encoding="utf-8"?>
<ds:datastoreItem xmlns:ds="http://schemas.openxmlformats.org/officeDocument/2006/customXml" ds:itemID="{18EC15A8-97A8-43FC-8AA9-8B5655ACD62F}">
  <ds:schemaRef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terms/"/>
    <ds:schemaRef ds:uri="http://purl.org/dc/dcmitype/"/>
    <ds:schemaRef ds:uri="http://schemas.microsoft.com/sharepoint/v4"/>
    <ds:schemaRef ds:uri="http://schemas.microsoft.com/office/2006/documentManagement/types"/>
    <ds:schemaRef ds:uri="687b78b0-2ddd-4441-8a8b-c9638c2a1939"/>
    <ds:schemaRef ds:uri="9f7bc583-7cbe-45b9-a2bd-8bbb6543b37e"/>
    <ds:schemaRef ds:uri="http://schemas.microsoft.com/office/2006/metadata/properties"/>
  </ds:schemaRefs>
</ds:datastoreItem>
</file>

<file path=customXml/itemProps5.xml><?xml version="1.0" encoding="utf-8"?>
<ds:datastoreItem xmlns:ds="http://schemas.openxmlformats.org/officeDocument/2006/customXml" ds:itemID="{A418BAB3-7029-4C30-9871-9538330DE0D6}"/>
</file>

<file path=customXml/itemProps6.xml><?xml version="1.0" encoding="utf-8"?>
<ds:datastoreItem xmlns:ds="http://schemas.openxmlformats.org/officeDocument/2006/customXml" ds:itemID="{6BDE64FC-3C17-468E-810F-9CB9FE20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EM Template.dotx</Template>
  <TotalTime>74</TotalTime>
  <Pages>15</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Land Pejoska</dc:creator>
  <cp:lastModifiedBy>Black, Taylor</cp:lastModifiedBy>
  <cp:revision>37</cp:revision>
  <cp:lastPrinted>2017-11-22T00:37:00Z</cp:lastPrinted>
  <dcterms:created xsi:type="dcterms:W3CDTF">2017-11-27T06:31:00Z</dcterms:created>
  <dcterms:modified xsi:type="dcterms:W3CDTF">2017-11-28T05:53:00Z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RecordPoint_WorkflowType">
    <vt:lpwstr>ActiveSubmitStub</vt:lpwstr>
  </property>
  <property fmtid="{D5CDD505-2E9C-101B-9397-08002B2CF9AE}" pid="4" name="RecordPoint_ActiveItemSiteId">
    <vt:lpwstr>{5b52b9a5-e5b2-4521-8814-a1e24ca2869d}</vt:lpwstr>
  </property>
  <property fmtid="{D5CDD505-2E9C-101B-9397-08002B2CF9AE}" pid="5" name="RecordPoint_ActiveItemListId">
    <vt:lpwstr>{687b78b0-2ddd-4441-8a8b-c9638c2a1939}</vt:lpwstr>
  </property>
  <property fmtid="{D5CDD505-2E9C-101B-9397-08002B2CF9AE}" pid="6" name="RecordPoint_ActiveItemWebId">
    <vt:lpwstr>{09392e0d-4618-463d-b4d2-50a90b9447cf}</vt:lpwstr>
  </property>
  <property fmtid="{D5CDD505-2E9C-101B-9397-08002B2CF9AE}" pid="7" name="TSYRecordClass">
    <vt:lpwstr>7;#TSY RA-9236 - Retain as national archives|c6a225b4-6b93-473e-bcbb-6bc6ab25b623</vt:lpwstr>
  </property>
  <property fmtid="{D5CDD505-2E9C-101B-9397-08002B2CF9AE}" pid="8" name="_dlc_DocIdItemGuid">
    <vt:lpwstr>f21e2df3-ce6a-4d81-9b69-59c7455c02d9</vt:lpwstr>
  </property>
  <property fmtid="{D5CDD505-2E9C-101B-9397-08002B2CF9AE}" pid="9" name="RecordPoint_ActiveItemUniqueId">
    <vt:lpwstr>{f21e2df3-ce6a-4d81-9b69-59c7455c02d9}</vt:lpwstr>
  </property>
  <property fmtid="{D5CDD505-2E9C-101B-9397-08002B2CF9AE}" pid="10" name="RecordPoint_RecordNumberSubmitted">
    <vt:lpwstr>R0001515482</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2017-11-28T17:33:05.5361253+11:00</vt:lpwstr>
  </property>
  <property fmtid="{D5CDD505-2E9C-101B-9397-08002B2CF9AE}" pid="15" name="_AdHocReviewCycleID">
    <vt:i4>183176567</vt:i4>
  </property>
  <property fmtid="{D5CDD505-2E9C-101B-9397-08002B2CF9AE}" pid="16" name="_NewReviewCycle">
    <vt:lpwstr/>
  </property>
  <property fmtid="{D5CDD505-2E9C-101B-9397-08002B2CF9AE}" pid="17" name="_EmailSubject">
    <vt:lpwstr>Word documents for upload to Superannuation Taxation Integrity Measures page</vt:lpwstr>
  </property>
  <property fmtid="{D5CDD505-2E9C-101B-9397-08002B2CF9AE}" pid="18" name="_AuthorEmail">
    <vt:lpwstr>Edward.Moore@treasury.gov.au</vt:lpwstr>
  </property>
  <property fmtid="{D5CDD505-2E9C-101B-9397-08002B2CF9AE}" pid="19" name="_AuthorEmailDisplayName">
    <vt:lpwstr>Moore, Edward</vt:lpwstr>
  </property>
  <property fmtid="{D5CDD505-2E9C-101B-9397-08002B2CF9AE}" pid="20" name="_PreviousAdHocReviewCycleID">
    <vt:i4>530798956</vt:i4>
  </property>
</Properties>
</file>