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D1624C" w14:textId="77777777" w:rsidR="00DB15DB" w:rsidRDefault="00DB15DB" w:rsidP="00B17774">
      <w:pPr>
        <w:pStyle w:val="Baseparagraphcentred"/>
      </w:pPr>
    </w:p>
    <w:p w14:paraId="0CB4E071" w14:textId="77777777" w:rsidR="00DB15DB" w:rsidRDefault="00DB15DB" w:rsidP="00B17774">
      <w:pPr>
        <w:pStyle w:val="Baseparagraphcentred"/>
      </w:pPr>
    </w:p>
    <w:p w14:paraId="121318EF" w14:textId="77777777" w:rsidR="00DB15DB" w:rsidRDefault="00DB15DB" w:rsidP="00B17774">
      <w:pPr>
        <w:pStyle w:val="Baseparagraphcentred"/>
      </w:pPr>
    </w:p>
    <w:p w14:paraId="01B0400D" w14:textId="77777777" w:rsidR="00DB15DB" w:rsidRDefault="00DB15DB" w:rsidP="00B17774">
      <w:pPr>
        <w:pStyle w:val="Baseparagraphcentred"/>
      </w:pPr>
    </w:p>
    <w:p w14:paraId="6195E12D" w14:textId="77777777" w:rsidR="00DB15DB" w:rsidRDefault="00DB15DB" w:rsidP="00B17774">
      <w:pPr>
        <w:pStyle w:val="Baseparagraphcentred"/>
      </w:pPr>
    </w:p>
    <w:p w14:paraId="4DEC6CDE" w14:textId="77777777" w:rsidR="00DB15DB" w:rsidRDefault="00DB15DB" w:rsidP="00B17774">
      <w:pPr>
        <w:pStyle w:val="Baseparagraphcentred"/>
      </w:pPr>
    </w:p>
    <w:p w14:paraId="02195240" w14:textId="77777777" w:rsidR="00DB15DB" w:rsidRDefault="00DB15DB" w:rsidP="00B17774">
      <w:pPr>
        <w:pStyle w:val="Baseparagraphcentred"/>
      </w:pPr>
    </w:p>
    <w:p w14:paraId="20750D4F" w14:textId="77777777" w:rsidR="00DB15DB" w:rsidRDefault="00DB15DB" w:rsidP="00B17774">
      <w:pPr>
        <w:pStyle w:val="Baseparagraphcentred"/>
      </w:pPr>
    </w:p>
    <w:p w14:paraId="458C620C" w14:textId="77777777" w:rsidR="00B17774" w:rsidRPr="00AE0B77" w:rsidRDefault="00B17774" w:rsidP="00B17774">
      <w:pPr>
        <w:pStyle w:val="Baseparagraphcentred"/>
      </w:pPr>
    </w:p>
    <w:p w14:paraId="359A48BE" w14:textId="77777777" w:rsidR="00B17774" w:rsidRPr="00AE0B77" w:rsidRDefault="00B17774" w:rsidP="00B17774">
      <w:pPr>
        <w:pStyle w:val="Baseparagraphcentred"/>
      </w:pPr>
    </w:p>
    <w:p w14:paraId="7AE56774" w14:textId="337B9B5E" w:rsidR="00B17774" w:rsidRPr="00AE0B77" w:rsidRDefault="00343A79" w:rsidP="00B17774">
      <w:pPr>
        <w:pStyle w:val="BillName"/>
      </w:pPr>
      <w:r>
        <w:t>treasury laws amendment (consumer data right) bill 2018</w:t>
      </w:r>
      <w:r w:rsidR="00C805D7">
        <w:t>: Provisions for Further consulation</w:t>
      </w:r>
    </w:p>
    <w:p w14:paraId="4DBEC374" w14:textId="77777777" w:rsidR="00B17774" w:rsidRPr="00AE0B77" w:rsidRDefault="00B17774" w:rsidP="00B17774">
      <w:pPr>
        <w:pStyle w:val="Baseparagraphcentred"/>
      </w:pPr>
    </w:p>
    <w:p w14:paraId="2A5D0BCA" w14:textId="77777777" w:rsidR="00B17774" w:rsidRPr="00AE0B77" w:rsidRDefault="00B17774" w:rsidP="00B17774">
      <w:pPr>
        <w:pStyle w:val="Baseparagraphcentred"/>
      </w:pPr>
    </w:p>
    <w:p w14:paraId="4E9A0545" w14:textId="77777777" w:rsidR="00B17774" w:rsidRPr="00AE0B77" w:rsidRDefault="00B17774" w:rsidP="00B17774">
      <w:pPr>
        <w:pStyle w:val="Baseparagraphcentred"/>
      </w:pPr>
    </w:p>
    <w:p w14:paraId="05C90D73" w14:textId="77777777" w:rsidR="00B17774" w:rsidRPr="00AE0B77" w:rsidRDefault="00B17774" w:rsidP="00B17774">
      <w:pPr>
        <w:pStyle w:val="Baseparagraphcentred"/>
      </w:pPr>
    </w:p>
    <w:p w14:paraId="673780E2" w14:textId="0172559B" w:rsidR="00B17774" w:rsidRPr="00AE0B77" w:rsidRDefault="00B17774" w:rsidP="00B17774">
      <w:pPr>
        <w:pStyle w:val="Baseparagraphcentred"/>
      </w:pPr>
      <w:bookmarkStart w:id="0" w:name="BillName"/>
      <w:bookmarkEnd w:id="0"/>
      <w:r w:rsidRPr="00AE0B77">
        <w:t xml:space="preserve">EXPLANATORY </w:t>
      </w:r>
      <w:r w:rsidR="00DB15DB">
        <w:t>MATERIALS</w:t>
      </w:r>
    </w:p>
    <w:p w14:paraId="57584859" w14:textId="77777777" w:rsidR="00B17774" w:rsidRPr="00AE0B77" w:rsidRDefault="00B17774" w:rsidP="00B17774">
      <w:pPr>
        <w:pStyle w:val="Baseparagraphcentred"/>
      </w:pPr>
    </w:p>
    <w:p w14:paraId="70DC6DE6" w14:textId="77777777" w:rsidR="00B17774" w:rsidRPr="00AE0B77" w:rsidRDefault="00B17774" w:rsidP="00B17774">
      <w:pPr>
        <w:pStyle w:val="Baseparagraphcentred"/>
      </w:pPr>
    </w:p>
    <w:p w14:paraId="5370FC27" w14:textId="77777777" w:rsidR="00B17774" w:rsidRPr="00AE0B77" w:rsidRDefault="00B17774" w:rsidP="00B17774">
      <w:pPr>
        <w:pStyle w:val="Baseparagraphcentred"/>
      </w:pPr>
    </w:p>
    <w:p w14:paraId="2965F7A1" w14:textId="77777777" w:rsidR="00773B68" w:rsidRPr="00AE0B77" w:rsidRDefault="00773B68" w:rsidP="00773B68">
      <w:pPr>
        <w:pStyle w:val="ParaCentredNoSpacing"/>
      </w:pPr>
    </w:p>
    <w:p w14:paraId="47D9B09B" w14:textId="77777777" w:rsidR="00B17774" w:rsidRPr="00AE0B77" w:rsidRDefault="00B17774" w:rsidP="00B17774"/>
    <w:p w14:paraId="05591157" w14:textId="77777777" w:rsidR="00813A51" w:rsidRPr="00AE0B77" w:rsidRDefault="00813A51" w:rsidP="00B17774">
      <w:pPr>
        <w:sectPr w:rsidR="00813A51" w:rsidRPr="00AE0B77" w:rsidSect="004B4C82">
          <w:headerReference w:type="even" r:id="rId14"/>
          <w:headerReference w:type="default" r:id="rId15"/>
          <w:footerReference w:type="even" r:id="rId16"/>
          <w:footerReference w:type="default" r:id="rId17"/>
          <w:headerReference w:type="first" r:id="rId18"/>
          <w:footerReference w:type="first" r:id="rId19"/>
          <w:pgSz w:w="11907" w:h="16839" w:code="9"/>
          <w:pgMar w:top="567" w:right="1134" w:bottom="567" w:left="1134" w:header="709" w:footer="709" w:gutter="0"/>
          <w:cols w:space="708"/>
          <w:titlePg/>
          <w:docGrid w:linePitch="360"/>
        </w:sectPr>
      </w:pPr>
    </w:p>
    <w:p w14:paraId="44FAE0B7" w14:textId="77777777" w:rsidR="00B17774" w:rsidRPr="00AE0B77" w:rsidRDefault="00B17774" w:rsidP="00B17774">
      <w:pPr>
        <w:pStyle w:val="TOCHeading"/>
      </w:pPr>
      <w:r w:rsidRPr="00AE0B77">
        <w:lastRenderedPageBreak/>
        <w:t>Table of contents</w:t>
      </w:r>
    </w:p>
    <w:p w14:paraId="091560A2" w14:textId="77777777" w:rsidR="00C63C66" w:rsidRDefault="00734F84">
      <w:pPr>
        <w:pStyle w:val="TOC2"/>
        <w:rPr>
          <w:rFonts w:asciiTheme="minorHAnsi" w:eastAsiaTheme="minorEastAsia" w:hAnsiTheme="minorHAnsi" w:cstheme="minorBidi"/>
          <w:sz w:val="22"/>
          <w:szCs w:val="22"/>
        </w:rPr>
      </w:pPr>
      <w:r w:rsidRPr="00AE0B77">
        <w:fldChar w:fldCharType="begin"/>
      </w:r>
      <w:r w:rsidRPr="00AE0B77">
        <w:instrText xml:space="preserve"> TOC \t "Chapter Heading,1,Chapter heading subdocument,2" </w:instrText>
      </w:r>
      <w:r w:rsidRPr="00AE0B77">
        <w:fldChar w:fldCharType="separate"/>
      </w:r>
      <w:r w:rsidR="00C63C66">
        <w:t>Glossary</w:t>
      </w:r>
      <w:r w:rsidR="00C63C66">
        <w:tab/>
      </w:r>
      <w:r w:rsidR="00C63C66">
        <w:fldChar w:fldCharType="begin"/>
      </w:r>
      <w:r w:rsidR="00C63C66">
        <w:instrText xml:space="preserve"> PAGEREF _Toc525121379 \h </w:instrText>
      </w:r>
      <w:r w:rsidR="00C63C66">
        <w:fldChar w:fldCharType="separate"/>
      </w:r>
      <w:r w:rsidR="004B4C82">
        <w:t>1</w:t>
      </w:r>
      <w:r w:rsidR="00C63C66">
        <w:fldChar w:fldCharType="end"/>
      </w:r>
    </w:p>
    <w:p w14:paraId="1428EA84" w14:textId="77777777" w:rsidR="00C63C66" w:rsidRDefault="00C63C66">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Consumer Data Right</w:t>
      </w:r>
      <w:r>
        <w:rPr>
          <w:noProof/>
        </w:rPr>
        <w:tab/>
      </w:r>
      <w:r>
        <w:rPr>
          <w:noProof/>
        </w:rPr>
        <w:fldChar w:fldCharType="begin"/>
      </w:r>
      <w:r>
        <w:rPr>
          <w:noProof/>
        </w:rPr>
        <w:instrText xml:space="preserve"> PAGEREF _Toc525121380 \h </w:instrText>
      </w:r>
      <w:r>
        <w:rPr>
          <w:noProof/>
        </w:rPr>
      </w:r>
      <w:r>
        <w:rPr>
          <w:noProof/>
        </w:rPr>
        <w:fldChar w:fldCharType="separate"/>
      </w:r>
      <w:r w:rsidR="004B4C82">
        <w:rPr>
          <w:noProof/>
        </w:rPr>
        <w:t>3</w:t>
      </w:r>
      <w:r>
        <w:rPr>
          <w:noProof/>
        </w:rPr>
        <w:fldChar w:fldCharType="end"/>
      </w:r>
    </w:p>
    <w:p w14:paraId="6DF2B3CA" w14:textId="77777777" w:rsidR="00E5385B" w:rsidRPr="00AE0B77" w:rsidRDefault="00734F84" w:rsidP="00295ABD">
      <w:pPr>
        <w:rPr>
          <w:rFonts w:ascii="Helvetica" w:hAnsi="Helvetica"/>
          <w:noProof/>
          <w:sz w:val="24"/>
        </w:rPr>
      </w:pPr>
      <w:r w:rsidRPr="00AE0B77">
        <w:rPr>
          <w:rFonts w:ascii="Helvetica" w:hAnsi="Helvetica"/>
          <w:noProof/>
          <w:sz w:val="24"/>
        </w:rPr>
        <w:fldChar w:fldCharType="end"/>
      </w:r>
    </w:p>
    <w:p w14:paraId="12E84B04" w14:textId="77777777" w:rsidR="00B17774" w:rsidRPr="00AE0B77" w:rsidRDefault="00B17774" w:rsidP="00B17774">
      <w:pPr>
        <w:pStyle w:val="Hiddentext"/>
      </w:pPr>
    </w:p>
    <w:p w14:paraId="74928AE1" w14:textId="77777777" w:rsidR="00B17774" w:rsidRPr="00AE0B77" w:rsidRDefault="00B17774" w:rsidP="00B17774">
      <w:pPr>
        <w:pStyle w:val="base-text-paragraphnonumbers"/>
        <w:sectPr w:rsidR="00B17774" w:rsidRPr="00AE0B77" w:rsidSect="00E74E50">
          <w:headerReference w:type="even" r:id="rId20"/>
          <w:headerReference w:type="default" r:id="rId21"/>
          <w:footerReference w:type="even" r:id="rId22"/>
          <w:footerReference w:type="default" r:id="rId23"/>
          <w:headerReference w:type="first" r:id="rId24"/>
          <w:footerReference w:type="first" r:id="rId25"/>
          <w:type w:val="oddPage"/>
          <w:pgSz w:w="9979" w:h="14175" w:code="9"/>
          <w:pgMar w:top="567" w:right="1134" w:bottom="567" w:left="1134" w:header="709" w:footer="709" w:gutter="0"/>
          <w:cols w:space="708"/>
          <w:titlePg/>
          <w:docGrid w:linePitch="360"/>
        </w:sectPr>
      </w:pPr>
    </w:p>
    <w:p w14:paraId="34E6BCF2" w14:textId="77777777" w:rsidR="00B17774" w:rsidRPr="00BE6A47" w:rsidRDefault="00B17774" w:rsidP="00567602">
      <w:pPr>
        <w:pStyle w:val="Chapterheadingsubdocument"/>
      </w:pPr>
      <w:bookmarkStart w:id="1" w:name="_Toc524701111"/>
      <w:bookmarkStart w:id="2" w:name="_Toc520459188"/>
      <w:bookmarkStart w:id="3" w:name="_Toc525121379"/>
      <w:r w:rsidRPr="00BE6A47">
        <w:rPr>
          <w:rStyle w:val="ChapterNameOnly"/>
        </w:rPr>
        <w:lastRenderedPageBreak/>
        <w:t>Glossary</w:t>
      </w:r>
      <w:bookmarkEnd w:id="1"/>
      <w:bookmarkEnd w:id="2"/>
      <w:bookmarkEnd w:id="3"/>
    </w:p>
    <w:p w14:paraId="12EB5646" w14:textId="77777777" w:rsidR="00B17774" w:rsidRPr="00B8457E" w:rsidRDefault="00B17774" w:rsidP="00B17774">
      <w:pPr>
        <w:pStyle w:val="BTPwithextraspacing"/>
      </w:pPr>
      <w:r w:rsidRPr="00B8457E">
        <w:t>The following abbreviations and acronyms are used throughout this explanatory memorandum.</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C740FD" w:rsidRPr="00B8457E" w14:paraId="7BF69FA6" w14:textId="77777777" w:rsidTr="008B74E4">
        <w:tc>
          <w:tcPr>
            <w:tcW w:w="2721" w:type="dxa"/>
          </w:tcPr>
          <w:p w14:paraId="69598468" w14:textId="77777777" w:rsidR="00B17774" w:rsidRPr="00B8457E" w:rsidRDefault="00B17774" w:rsidP="008B74E4">
            <w:pPr>
              <w:pStyle w:val="tableheaderwithintable"/>
            </w:pPr>
            <w:r w:rsidRPr="00B8457E">
              <w:t>Abbreviation</w:t>
            </w:r>
          </w:p>
        </w:tc>
        <w:tc>
          <w:tcPr>
            <w:tcW w:w="3885" w:type="dxa"/>
          </w:tcPr>
          <w:p w14:paraId="2A3986D7" w14:textId="77777777" w:rsidR="00B17774" w:rsidRPr="00B8457E" w:rsidRDefault="00B17774" w:rsidP="008B74E4">
            <w:pPr>
              <w:pStyle w:val="tableheaderwithintable"/>
            </w:pPr>
            <w:r w:rsidRPr="00B8457E">
              <w:t>Definition</w:t>
            </w:r>
          </w:p>
        </w:tc>
      </w:tr>
      <w:tr w:rsidR="00C740FD" w:rsidRPr="00B8457E" w14:paraId="06F1E3CF" w14:textId="77777777" w:rsidTr="008B74E4">
        <w:tc>
          <w:tcPr>
            <w:tcW w:w="2721" w:type="dxa"/>
          </w:tcPr>
          <w:p w14:paraId="3F579053" w14:textId="77777777" w:rsidR="00B17774" w:rsidRPr="00B8457E" w:rsidRDefault="00C62074" w:rsidP="008B74E4">
            <w:pPr>
              <w:pStyle w:val="Glossarytabletext"/>
              <w:rPr>
                <w:lang w:val="en-US" w:eastAsia="en-US"/>
              </w:rPr>
            </w:pPr>
            <w:bookmarkStart w:id="4" w:name="GlossaryTableStart"/>
            <w:bookmarkEnd w:id="4"/>
            <w:r w:rsidRPr="00B8457E">
              <w:rPr>
                <w:lang w:val="en-US" w:eastAsia="en-US"/>
              </w:rPr>
              <w:t>ACCC</w:t>
            </w:r>
          </w:p>
        </w:tc>
        <w:tc>
          <w:tcPr>
            <w:tcW w:w="3885" w:type="dxa"/>
          </w:tcPr>
          <w:p w14:paraId="1D48A515" w14:textId="77777777" w:rsidR="00B17774" w:rsidRPr="00B8457E" w:rsidRDefault="00C62074" w:rsidP="008B74E4">
            <w:pPr>
              <w:pStyle w:val="Glossarytabletext"/>
              <w:rPr>
                <w:lang w:val="en-US" w:eastAsia="en-US"/>
              </w:rPr>
            </w:pPr>
            <w:r w:rsidRPr="00B8457E">
              <w:rPr>
                <w:lang w:val="en-US" w:eastAsia="en-US"/>
              </w:rPr>
              <w:t>Australian Competition and Consumer Commission</w:t>
            </w:r>
          </w:p>
        </w:tc>
      </w:tr>
      <w:tr w:rsidR="00C740FD" w:rsidRPr="00B8457E" w14:paraId="4F25D6D7" w14:textId="77777777" w:rsidTr="008B74E4">
        <w:tc>
          <w:tcPr>
            <w:tcW w:w="2721" w:type="dxa"/>
          </w:tcPr>
          <w:p w14:paraId="474D780C" w14:textId="68E5C5B1" w:rsidR="00FA56EB" w:rsidRPr="00B8457E" w:rsidRDefault="00FA56EB" w:rsidP="008B74E4">
            <w:pPr>
              <w:pStyle w:val="Glossarytabletext"/>
              <w:rPr>
                <w:lang w:val="en-US" w:eastAsia="en-US"/>
              </w:rPr>
            </w:pPr>
            <w:r w:rsidRPr="00B8457E">
              <w:rPr>
                <w:lang w:val="en-US" w:eastAsia="en-US"/>
              </w:rPr>
              <w:t>AFCA</w:t>
            </w:r>
          </w:p>
        </w:tc>
        <w:tc>
          <w:tcPr>
            <w:tcW w:w="3885" w:type="dxa"/>
          </w:tcPr>
          <w:p w14:paraId="02032EC4" w14:textId="51DE03CC" w:rsidR="00FA56EB" w:rsidRPr="00B8457E" w:rsidRDefault="00FA56EB" w:rsidP="008B74E4">
            <w:pPr>
              <w:pStyle w:val="Glossarytabletext"/>
              <w:rPr>
                <w:lang w:val="en-US" w:eastAsia="en-US"/>
              </w:rPr>
            </w:pPr>
            <w:r w:rsidRPr="00B8457E">
              <w:rPr>
                <w:lang w:val="en-US" w:eastAsia="en-US"/>
              </w:rPr>
              <w:t>Australian Financial Complaints Authority</w:t>
            </w:r>
          </w:p>
        </w:tc>
      </w:tr>
      <w:tr w:rsidR="00C740FD" w:rsidRPr="00B8457E" w14:paraId="72A22448" w14:textId="77777777" w:rsidTr="008B74E4">
        <w:tc>
          <w:tcPr>
            <w:tcW w:w="2721" w:type="dxa"/>
          </w:tcPr>
          <w:p w14:paraId="116BA110" w14:textId="7E73B7E4" w:rsidR="00866E3F" w:rsidRPr="00B8457E" w:rsidRDefault="00866E3F" w:rsidP="008B74E4">
            <w:pPr>
              <w:pStyle w:val="Glossarytabletext"/>
              <w:rPr>
                <w:lang w:val="en-US" w:eastAsia="en-US"/>
              </w:rPr>
            </w:pPr>
            <w:r w:rsidRPr="00B8457E">
              <w:rPr>
                <w:lang w:val="en-US" w:eastAsia="en-US"/>
              </w:rPr>
              <w:t>AIC Act</w:t>
            </w:r>
          </w:p>
        </w:tc>
        <w:tc>
          <w:tcPr>
            <w:tcW w:w="3885" w:type="dxa"/>
          </w:tcPr>
          <w:p w14:paraId="690EAA24" w14:textId="2B300348" w:rsidR="00866E3F" w:rsidRPr="00B8457E" w:rsidRDefault="00866E3F" w:rsidP="008B74E4">
            <w:pPr>
              <w:pStyle w:val="Glossarytabletext"/>
              <w:rPr>
                <w:lang w:val="en-US" w:eastAsia="en-US"/>
              </w:rPr>
            </w:pPr>
            <w:r w:rsidRPr="00B8457E">
              <w:rPr>
                <w:i/>
                <w:lang w:val="en-US" w:eastAsia="en-US"/>
              </w:rPr>
              <w:t>Australian Information Commissioner Act 2010</w:t>
            </w:r>
          </w:p>
        </w:tc>
      </w:tr>
      <w:tr w:rsidR="00C740FD" w:rsidRPr="00B8457E" w14:paraId="224BBBAE" w14:textId="77777777" w:rsidTr="008B74E4">
        <w:tc>
          <w:tcPr>
            <w:tcW w:w="2721" w:type="dxa"/>
          </w:tcPr>
          <w:p w14:paraId="08BD3320" w14:textId="52CC18D0" w:rsidR="00B17774" w:rsidRPr="00B8457E" w:rsidRDefault="00881D80" w:rsidP="008B74E4">
            <w:pPr>
              <w:pStyle w:val="Glossarytabletext"/>
              <w:rPr>
                <w:lang w:val="en-US" w:eastAsia="en-US"/>
              </w:rPr>
            </w:pPr>
            <w:r w:rsidRPr="00B8457E">
              <w:rPr>
                <w:lang w:val="en-US" w:eastAsia="en-US"/>
              </w:rPr>
              <w:t>APPs</w:t>
            </w:r>
          </w:p>
        </w:tc>
        <w:tc>
          <w:tcPr>
            <w:tcW w:w="3885" w:type="dxa"/>
          </w:tcPr>
          <w:p w14:paraId="5D5F0B92" w14:textId="3E3A2D6F" w:rsidR="00B17774" w:rsidRPr="00B8457E" w:rsidRDefault="00881D80" w:rsidP="008B74E4">
            <w:pPr>
              <w:pStyle w:val="Glossarytabletext"/>
              <w:rPr>
                <w:lang w:val="en-US" w:eastAsia="en-US"/>
              </w:rPr>
            </w:pPr>
            <w:r w:rsidRPr="00B8457E">
              <w:rPr>
                <w:lang w:val="en-US" w:eastAsia="en-US"/>
              </w:rPr>
              <w:t>Australian Privacy Principles</w:t>
            </w:r>
          </w:p>
        </w:tc>
      </w:tr>
      <w:tr w:rsidR="00C740FD" w:rsidRPr="00B8457E" w14:paraId="466B2862" w14:textId="77777777" w:rsidTr="008B74E4">
        <w:tc>
          <w:tcPr>
            <w:tcW w:w="2721" w:type="dxa"/>
          </w:tcPr>
          <w:p w14:paraId="7B40246C" w14:textId="4171C683" w:rsidR="00A96306" w:rsidRPr="00B8457E" w:rsidRDefault="00A96306" w:rsidP="008B74E4">
            <w:pPr>
              <w:pStyle w:val="Glossarytabletext"/>
              <w:rPr>
                <w:lang w:val="en-US" w:eastAsia="en-US"/>
              </w:rPr>
            </w:pPr>
            <w:r w:rsidRPr="00B8457E">
              <w:rPr>
                <w:lang w:val="en-US" w:eastAsia="en-US"/>
              </w:rPr>
              <w:t>the CC Act</w:t>
            </w:r>
          </w:p>
        </w:tc>
        <w:tc>
          <w:tcPr>
            <w:tcW w:w="3885" w:type="dxa"/>
          </w:tcPr>
          <w:p w14:paraId="66C248AE" w14:textId="2756A12B" w:rsidR="00A96306" w:rsidRPr="00B8457E" w:rsidRDefault="00A96306" w:rsidP="008B74E4">
            <w:pPr>
              <w:pStyle w:val="Glossarytabletext"/>
              <w:rPr>
                <w:lang w:val="en-US" w:eastAsia="en-US"/>
              </w:rPr>
            </w:pPr>
            <w:r w:rsidRPr="00B8457E">
              <w:rPr>
                <w:i/>
              </w:rPr>
              <w:t>Competition and Consumer Act 2010</w:t>
            </w:r>
          </w:p>
        </w:tc>
      </w:tr>
      <w:tr w:rsidR="00C740FD" w:rsidRPr="00B8457E" w14:paraId="4A0F755D" w14:textId="77777777" w:rsidTr="008B74E4">
        <w:tc>
          <w:tcPr>
            <w:tcW w:w="2721" w:type="dxa"/>
          </w:tcPr>
          <w:p w14:paraId="30C09804" w14:textId="32DEBC63" w:rsidR="007C3308" w:rsidRPr="00B8457E" w:rsidRDefault="007C3308" w:rsidP="008B74E4">
            <w:pPr>
              <w:pStyle w:val="Glossarytabletext"/>
              <w:rPr>
                <w:lang w:val="en-US" w:eastAsia="en-US"/>
              </w:rPr>
            </w:pPr>
            <w:r w:rsidRPr="00B8457E">
              <w:rPr>
                <w:lang w:val="en-US" w:eastAsia="en-US"/>
              </w:rPr>
              <w:t>Commissioner</w:t>
            </w:r>
          </w:p>
        </w:tc>
        <w:tc>
          <w:tcPr>
            <w:tcW w:w="3885" w:type="dxa"/>
          </w:tcPr>
          <w:p w14:paraId="67949470" w14:textId="5604E34C" w:rsidR="007C3308" w:rsidRPr="00B8457E" w:rsidRDefault="007C3308" w:rsidP="008B74E4">
            <w:pPr>
              <w:pStyle w:val="Glossarytabletext"/>
              <w:rPr>
                <w:lang w:val="en-US" w:eastAsia="en-US"/>
              </w:rPr>
            </w:pPr>
            <w:r w:rsidRPr="00B8457E">
              <w:rPr>
                <w:lang w:val="en-US" w:eastAsia="en-US"/>
              </w:rPr>
              <w:t>Commissioner at the Australian Competition and Consumer Commission</w:t>
            </w:r>
          </w:p>
        </w:tc>
      </w:tr>
      <w:tr w:rsidR="00C740FD" w:rsidRPr="00B8457E" w14:paraId="1A7E8C1A" w14:textId="77777777" w:rsidTr="008B74E4">
        <w:tc>
          <w:tcPr>
            <w:tcW w:w="2721" w:type="dxa"/>
          </w:tcPr>
          <w:p w14:paraId="49249EAE" w14:textId="1795EE9C" w:rsidR="007C3308" w:rsidRPr="00B8457E" w:rsidRDefault="007C3308" w:rsidP="008B74E4">
            <w:pPr>
              <w:pStyle w:val="Glossarytabletext"/>
              <w:rPr>
                <w:lang w:val="en-US" w:eastAsia="en-US"/>
              </w:rPr>
            </w:pPr>
            <w:r w:rsidRPr="00B8457E">
              <w:rPr>
                <w:lang w:val="en-US" w:eastAsia="en-US"/>
              </w:rPr>
              <w:t>Information Commissioner</w:t>
            </w:r>
          </w:p>
        </w:tc>
        <w:tc>
          <w:tcPr>
            <w:tcW w:w="3885" w:type="dxa"/>
          </w:tcPr>
          <w:p w14:paraId="1CE8652F" w14:textId="6DEFA365" w:rsidR="007C3308" w:rsidRPr="00B8457E" w:rsidRDefault="007C3308" w:rsidP="008B74E4">
            <w:pPr>
              <w:pStyle w:val="Glossarytabletext"/>
              <w:rPr>
                <w:lang w:val="en-US" w:eastAsia="en-US"/>
              </w:rPr>
            </w:pPr>
            <w:r w:rsidRPr="00B8457E">
              <w:rPr>
                <w:lang w:val="en-US" w:eastAsia="en-US"/>
              </w:rPr>
              <w:t>Australian Information Commissioner</w:t>
            </w:r>
          </w:p>
        </w:tc>
      </w:tr>
      <w:tr w:rsidR="00B02941" w:rsidRPr="00B8457E" w14:paraId="0AD91B8A" w14:textId="77777777" w:rsidTr="008B74E4">
        <w:tc>
          <w:tcPr>
            <w:tcW w:w="2721" w:type="dxa"/>
          </w:tcPr>
          <w:p w14:paraId="322A2AD8" w14:textId="1045412C" w:rsidR="00B02941" w:rsidRPr="00B8457E" w:rsidRDefault="00B02941" w:rsidP="008B74E4">
            <w:pPr>
              <w:pStyle w:val="Glossarytabletext"/>
              <w:rPr>
                <w:lang w:val="en-US" w:eastAsia="en-US"/>
              </w:rPr>
            </w:pPr>
            <w:r>
              <w:rPr>
                <w:lang w:val="en-US" w:eastAsia="en-US"/>
              </w:rPr>
              <w:t>CDR</w:t>
            </w:r>
          </w:p>
        </w:tc>
        <w:tc>
          <w:tcPr>
            <w:tcW w:w="3885" w:type="dxa"/>
          </w:tcPr>
          <w:p w14:paraId="16BA79A3" w14:textId="4BE1DF8B" w:rsidR="00B02941" w:rsidRPr="00B8457E" w:rsidRDefault="00B02941" w:rsidP="008B74E4">
            <w:pPr>
              <w:pStyle w:val="Glossarytabletext"/>
              <w:rPr>
                <w:lang w:val="en-US" w:eastAsia="en-US"/>
              </w:rPr>
            </w:pPr>
            <w:r>
              <w:rPr>
                <w:lang w:val="en-US" w:eastAsia="en-US"/>
              </w:rPr>
              <w:t xml:space="preserve">Consumer Data Right </w:t>
            </w:r>
          </w:p>
        </w:tc>
      </w:tr>
      <w:tr w:rsidR="00C740FD" w:rsidRPr="00B8457E" w14:paraId="107DD2DD" w14:textId="77777777" w:rsidTr="008B74E4">
        <w:tc>
          <w:tcPr>
            <w:tcW w:w="2721" w:type="dxa"/>
          </w:tcPr>
          <w:p w14:paraId="221E2D5D" w14:textId="08AFDFA6" w:rsidR="00B17774" w:rsidRPr="00B8457E" w:rsidRDefault="00881D80" w:rsidP="008B74E4">
            <w:pPr>
              <w:pStyle w:val="Glossarytabletext"/>
              <w:rPr>
                <w:lang w:val="en-US" w:eastAsia="en-US"/>
              </w:rPr>
            </w:pPr>
            <w:r w:rsidRPr="00B8457E">
              <w:rPr>
                <w:lang w:val="en-US" w:eastAsia="en-US"/>
              </w:rPr>
              <w:t>OAIC</w:t>
            </w:r>
          </w:p>
        </w:tc>
        <w:tc>
          <w:tcPr>
            <w:tcW w:w="3885" w:type="dxa"/>
          </w:tcPr>
          <w:p w14:paraId="7ABF1B0E" w14:textId="5230AFFA" w:rsidR="00B17774" w:rsidRPr="00B8457E" w:rsidRDefault="00881D80" w:rsidP="008B74E4">
            <w:pPr>
              <w:pStyle w:val="Glossarytabletext"/>
              <w:rPr>
                <w:lang w:val="en-US" w:eastAsia="en-US"/>
              </w:rPr>
            </w:pPr>
            <w:r w:rsidRPr="00B8457E">
              <w:rPr>
                <w:lang w:val="en-US" w:eastAsia="en-US"/>
              </w:rPr>
              <w:t>Office of the Australian Information Commissioner</w:t>
            </w:r>
          </w:p>
        </w:tc>
      </w:tr>
      <w:tr w:rsidR="00C740FD" w:rsidRPr="00B11F65" w14:paraId="6B5125DB" w14:textId="77777777" w:rsidTr="001633CD">
        <w:tc>
          <w:tcPr>
            <w:tcW w:w="2721" w:type="dxa"/>
          </w:tcPr>
          <w:p w14:paraId="1C93128C" w14:textId="5CD8D837" w:rsidR="007C3308" w:rsidRPr="00B8457E" w:rsidRDefault="007C3308" w:rsidP="001633CD">
            <w:pPr>
              <w:pStyle w:val="Glossarytabletext"/>
              <w:rPr>
                <w:lang w:val="en-US" w:eastAsia="en-US"/>
              </w:rPr>
            </w:pPr>
            <w:r w:rsidRPr="00B8457E">
              <w:rPr>
                <w:lang w:val="en-US" w:eastAsia="en-US"/>
              </w:rPr>
              <w:t>Privacy Act</w:t>
            </w:r>
          </w:p>
        </w:tc>
        <w:tc>
          <w:tcPr>
            <w:tcW w:w="3885" w:type="dxa"/>
          </w:tcPr>
          <w:p w14:paraId="513B4EF6" w14:textId="05EB9C43" w:rsidR="007C3308" w:rsidRPr="00B8457E" w:rsidRDefault="007C3308" w:rsidP="001633CD">
            <w:pPr>
              <w:pStyle w:val="Glossarytabletext"/>
              <w:rPr>
                <w:i/>
                <w:lang w:val="en-US" w:eastAsia="en-US"/>
              </w:rPr>
            </w:pPr>
            <w:r w:rsidRPr="00B8457E">
              <w:rPr>
                <w:i/>
                <w:lang w:val="en-US" w:eastAsia="en-US"/>
              </w:rPr>
              <w:t>Privacy Act 1988</w:t>
            </w:r>
          </w:p>
        </w:tc>
      </w:tr>
    </w:tbl>
    <w:p w14:paraId="5E588E72" w14:textId="77777777" w:rsidR="00E5385B" w:rsidRPr="00AE0B77" w:rsidRDefault="00E5385B" w:rsidP="00B17774"/>
    <w:p w14:paraId="065DA2A1" w14:textId="77777777" w:rsidR="00B17774" w:rsidRPr="00AE0B77" w:rsidRDefault="00B17774" w:rsidP="00B17774"/>
    <w:p w14:paraId="03A21305" w14:textId="77777777" w:rsidR="00B17774" w:rsidRPr="00AE0B77" w:rsidRDefault="00B17774" w:rsidP="00593A3C">
      <w:pPr>
        <w:pStyle w:val="Hiddentext"/>
      </w:pPr>
    </w:p>
    <w:p w14:paraId="7BC06886" w14:textId="77777777" w:rsidR="00B17774" w:rsidRPr="00AE0B77" w:rsidRDefault="00B17774" w:rsidP="00B17774">
      <w:pPr>
        <w:sectPr w:rsidR="00B17774" w:rsidRPr="00AE0B77" w:rsidSect="00E74E50">
          <w:footerReference w:type="even" r:id="rId26"/>
          <w:footerReference w:type="default" r:id="rId27"/>
          <w:footerReference w:type="first" r:id="rId28"/>
          <w:type w:val="oddPage"/>
          <w:pgSz w:w="9979" w:h="14175" w:code="9"/>
          <w:pgMar w:top="567" w:right="1134" w:bottom="567" w:left="1134" w:header="709" w:footer="709" w:gutter="0"/>
          <w:pgNumType w:start="1"/>
          <w:cols w:space="708"/>
          <w:titlePg/>
          <w:docGrid w:linePitch="360"/>
        </w:sectPr>
      </w:pPr>
    </w:p>
    <w:p w14:paraId="1F76E859" w14:textId="68C99923" w:rsidR="00B17774" w:rsidRPr="00AE0B77" w:rsidRDefault="00352993" w:rsidP="00352993">
      <w:pPr>
        <w:pStyle w:val="Chapterheadingsubdocument"/>
      </w:pPr>
      <w:r>
        <w:lastRenderedPageBreak/>
        <w:t>Chapter 1</w:t>
      </w:r>
      <w:r w:rsidR="00840701" w:rsidRPr="00AE0B77">
        <w:br/>
      </w:r>
      <w:bookmarkStart w:id="5" w:name="_Toc524701113"/>
      <w:bookmarkStart w:id="6" w:name="_Toc525121380"/>
      <w:r w:rsidR="00C62074" w:rsidRPr="00AE0B77">
        <w:rPr>
          <w:rStyle w:val="ChapterNameOnly"/>
        </w:rPr>
        <w:t>Consumer Data Right</w:t>
      </w:r>
      <w:bookmarkEnd w:id="5"/>
      <w:bookmarkEnd w:id="6"/>
    </w:p>
    <w:p w14:paraId="39DF6264" w14:textId="106FAAC3" w:rsidR="00806E1F" w:rsidRDefault="00806E1F" w:rsidP="00B17774">
      <w:pPr>
        <w:pStyle w:val="Heading2"/>
      </w:pPr>
      <w:r>
        <w:t xml:space="preserve">Introduction </w:t>
      </w:r>
    </w:p>
    <w:p w14:paraId="5699DF71" w14:textId="2294EEA4" w:rsidR="00D265DB" w:rsidRDefault="00D265DB" w:rsidP="00806E1F">
      <w:pPr>
        <w:pStyle w:val="base-text-paragraph"/>
        <w:numPr>
          <w:ilvl w:val="1"/>
          <w:numId w:val="33"/>
        </w:numPr>
      </w:pPr>
      <w:r>
        <w:t xml:space="preserve">The primary aim of the CDR </w:t>
      </w:r>
      <w:r w:rsidR="00746BA1">
        <w:t xml:space="preserve">is to give consumers the ability to access and use more information about themselves and, about their use of goods and services, in a manner that allows them to make informed decisions about both themselves and their participation in the market. By doing so, the CDR aims to increase competition in any market, enable consumers to fairly harvest the value of their data and enhance consumer welfare. This should be done in a manner that fairly considers the incentives for all participants. </w:t>
      </w:r>
    </w:p>
    <w:p w14:paraId="7D020C13" w14:textId="6973C65D" w:rsidR="00806E1F" w:rsidRDefault="00362833" w:rsidP="00806E1F">
      <w:pPr>
        <w:pStyle w:val="base-text-paragraph"/>
        <w:numPr>
          <w:ilvl w:val="1"/>
          <w:numId w:val="33"/>
        </w:numPr>
      </w:pPr>
      <w:r>
        <w:t xml:space="preserve">The exposure draft of the </w:t>
      </w:r>
      <w:r w:rsidRPr="00362833">
        <w:rPr>
          <w:i/>
        </w:rPr>
        <w:t>Treasury Laws Amendment (Consumer Dat</w:t>
      </w:r>
      <w:r w:rsidR="000664D4">
        <w:rPr>
          <w:i/>
        </w:rPr>
        <w:t>a</w:t>
      </w:r>
      <w:r w:rsidRPr="00362833">
        <w:rPr>
          <w:i/>
        </w:rPr>
        <w:t xml:space="preserve"> Right) Bill 2018: Provisions for further cons</w:t>
      </w:r>
      <w:r>
        <w:rPr>
          <w:i/>
        </w:rPr>
        <w:t xml:space="preserve">ultation </w:t>
      </w:r>
      <w:r w:rsidR="00806E1F">
        <w:t>build</w:t>
      </w:r>
      <w:r>
        <w:t xml:space="preserve">s </w:t>
      </w:r>
      <w:r w:rsidR="00806E1F">
        <w:t xml:space="preserve">on the </w:t>
      </w:r>
      <w:r>
        <w:t xml:space="preserve">exposure draft of the </w:t>
      </w:r>
      <w:r w:rsidRPr="00362833">
        <w:rPr>
          <w:i/>
        </w:rPr>
        <w:t>Treasury Laws Amendment (Consumer Data Right</w:t>
      </w:r>
      <w:r w:rsidR="002E39D8">
        <w:rPr>
          <w:i/>
        </w:rPr>
        <w:t>)</w:t>
      </w:r>
      <w:r w:rsidRPr="00362833">
        <w:rPr>
          <w:i/>
        </w:rPr>
        <w:t xml:space="preserve"> Bill 2018</w:t>
      </w:r>
      <w:r>
        <w:t xml:space="preserve"> </w:t>
      </w:r>
      <w:r w:rsidR="00806E1F">
        <w:t>that was released for consultation on 15 August 2018.</w:t>
      </w:r>
    </w:p>
    <w:p w14:paraId="4370F519" w14:textId="575EBCF5" w:rsidR="00D76475" w:rsidRDefault="00D76475" w:rsidP="00D76475">
      <w:pPr>
        <w:pStyle w:val="base-text-paragraph"/>
        <w:numPr>
          <w:ilvl w:val="1"/>
          <w:numId w:val="33"/>
        </w:numPr>
      </w:pPr>
      <w:r>
        <w:t xml:space="preserve">The general context for the amendments establishing the regulatory framework for the CDR is outlined in Chapter 1 of the Explanatory Materials for the exposure draft of the </w:t>
      </w:r>
      <w:r w:rsidRPr="00362833">
        <w:rPr>
          <w:i/>
        </w:rPr>
        <w:t>Treasury Laws Amendment (Consumer Data Right</w:t>
      </w:r>
      <w:r>
        <w:rPr>
          <w:i/>
        </w:rPr>
        <w:t>)</w:t>
      </w:r>
      <w:r w:rsidRPr="00362833">
        <w:rPr>
          <w:i/>
        </w:rPr>
        <w:t xml:space="preserve"> Bill 2018</w:t>
      </w:r>
      <w:r>
        <w:t xml:space="preserve"> (that was released </w:t>
      </w:r>
      <w:r w:rsidR="004121E7">
        <w:t>on 15 </w:t>
      </w:r>
      <w:r>
        <w:t xml:space="preserve">August 2018). </w:t>
      </w:r>
    </w:p>
    <w:p w14:paraId="49CE751D" w14:textId="0023D77F" w:rsidR="00806E1F" w:rsidRDefault="00806E1F" w:rsidP="00806E1F">
      <w:pPr>
        <w:numPr>
          <w:ilvl w:val="1"/>
          <w:numId w:val="33"/>
        </w:numPr>
      </w:pPr>
      <w:r>
        <w:t xml:space="preserve">This chapter of the explanatory materials </w:t>
      </w:r>
      <w:r w:rsidR="00352993">
        <w:t xml:space="preserve">explains the </w:t>
      </w:r>
      <w:r w:rsidR="00F03362">
        <w:t xml:space="preserve">revised provisions that are released for consultation. </w:t>
      </w:r>
    </w:p>
    <w:p w14:paraId="42C36925" w14:textId="42E64019" w:rsidR="00F03362" w:rsidRDefault="00F03362" w:rsidP="00F03362">
      <w:pPr>
        <w:pStyle w:val="Heading2"/>
      </w:pPr>
      <w:r>
        <w:t xml:space="preserve">Summary of </w:t>
      </w:r>
      <w:r w:rsidR="00C05570">
        <w:t xml:space="preserve">key </w:t>
      </w:r>
      <w:r w:rsidR="001C3CE1">
        <w:t xml:space="preserve">changes since the </w:t>
      </w:r>
      <w:r w:rsidR="00C05570">
        <w:t>earlier</w:t>
      </w:r>
      <w:r w:rsidR="001C3CE1">
        <w:t xml:space="preserve"> exposure draft</w:t>
      </w:r>
      <w:r w:rsidR="002412C9">
        <w:t xml:space="preserve"> </w:t>
      </w:r>
    </w:p>
    <w:p w14:paraId="092B8D2F" w14:textId="2C9E2E0D" w:rsidR="00352993" w:rsidRDefault="00352993" w:rsidP="00F03362">
      <w:pPr>
        <w:pStyle w:val="Heading3"/>
      </w:pPr>
      <w:r>
        <w:t xml:space="preserve">Designating a sector – </w:t>
      </w:r>
      <w:r w:rsidR="00B02941">
        <w:t>s</w:t>
      </w:r>
      <w:r>
        <w:t>cope of the instrument and the factors the Minister must consider</w:t>
      </w:r>
    </w:p>
    <w:p w14:paraId="47DCF6EC" w14:textId="4B77EDB5" w:rsidR="00352993" w:rsidRDefault="00352993" w:rsidP="00352993">
      <w:pPr>
        <w:pStyle w:val="base-text-paragraph"/>
        <w:numPr>
          <w:ilvl w:val="1"/>
          <w:numId w:val="33"/>
        </w:numPr>
      </w:pPr>
      <w:r>
        <w:t xml:space="preserve">The Minister’s powers to designate a sector of the economy as subject to the CDR have been more clearly set out. </w:t>
      </w:r>
    </w:p>
    <w:p w14:paraId="1ECA219B" w14:textId="207B17FD" w:rsidR="00352993" w:rsidRDefault="00352993" w:rsidP="00352993">
      <w:pPr>
        <w:pStyle w:val="base-text-paragraph"/>
        <w:numPr>
          <w:ilvl w:val="1"/>
          <w:numId w:val="33"/>
        </w:numPr>
      </w:pPr>
      <w:r>
        <w:t xml:space="preserve">The Minister designates a sector by specifying classes of information, and persons who hold such information and the earliest day applicable to the sector for beginning to hold the information. </w:t>
      </w:r>
    </w:p>
    <w:p w14:paraId="76F7EE3A" w14:textId="154BDD3D" w:rsidR="00352993" w:rsidRPr="00352993" w:rsidRDefault="00352993" w:rsidP="00352993">
      <w:pPr>
        <w:pStyle w:val="base-text-paragraph"/>
        <w:numPr>
          <w:ilvl w:val="1"/>
          <w:numId w:val="33"/>
        </w:numPr>
      </w:pPr>
      <w:r>
        <w:t>In addition to the previously set out factors the Minister must consider prior to designating a sector, the Minister must consider</w:t>
      </w:r>
      <w:r w:rsidR="00B02941">
        <w:t xml:space="preserve"> the likely effect on</w:t>
      </w:r>
      <w:r>
        <w:t xml:space="preserve"> any intellectual property in the information to be covered by</w:t>
      </w:r>
      <w:r w:rsidR="00F37616">
        <w:t xml:space="preserve"> the instrument (see s</w:t>
      </w:r>
      <w:r>
        <w:t>ection</w:t>
      </w:r>
      <w:r w:rsidR="00F37616">
        <w:t>s 56AC and 56AD and paragraphs 1.20</w:t>
      </w:r>
      <w:r>
        <w:t xml:space="preserve"> to</w:t>
      </w:r>
      <w:r w:rsidR="00F37616">
        <w:t> 1.33</w:t>
      </w:r>
      <w:r>
        <w:t xml:space="preserve">).  </w:t>
      </w:r>
    </w:p>
    <w:p w14:paraId="14ED5556" w14:textId="77777777" w:rsidR="00F03362" w:rsidRDefault="00F03362" w:rsidP="00F03362">
      <w:pPr>
        <w:pStyle w:val="Heading3"/>
      </w:pPr>
      <w:r>
        <w:t>Derived data - limiting the application of the CDR</w:t>
      </w:r>
    </w:p>
    <w:p w14:paraId="7725B873" w14:textId="6EB6A330" w:rsidR="00F03362" w:rsidRDefault="00F03362" w:rsidP="00F03362">
      <w:pPr>
        <w:numPr>
          <w:ilvl w:val="1"/>
          <w:numId w:val="33"/>
        </w:numPr>
      </w:pPr>
      <w:r>
        <w:t xml:space="preserve">During the first consultation a number of stakeholders were concerned about the scope of the definition of CDR data and the requirement to share derived or value added data. </w:t>
      </w:r>
    </w:p>
    <w:p w14:paraId="77861A94" w14:textId="58665774" w:rsidR="00F03362" w:rsidRDefault="00F03362" w:rsidP="00F03362">
      <w:pPr>
        <w:numPr>
          <w:ilvl w:val="1"/>
          <w:numId w:val="33"/>
        </w:numPr>
      </w:pPr>
      <w:r>
        <w:t>While the definition of CDR data remains unchanged, a limitation on the ACCC’s rules making powers has been included</w:t>
      </w:r>
      <w:r w:rsidR="00EE1C18">
        <w:t xml:space="preserve"> in the Bill</w:t>
      </w:r>
      <w:r>
        <w:t xml:space="preserve">. </w:t>
      </w:r>
    </w:p>
    <w:p w14:paraId="0ACB6F2A" w14:textId="5F0794DC" w:rsidR="00EE1C18" w:rsidRDefault="00EE1C18" w:rsidP="00F03362">
      <w:pPr>
        <w:numPr>
          <w:ilvl w:val="1"/>
          <w:numId w:val="33"/>
        </w:numPr>
      </w:pPr>
      <w:r>
        <w:lastRenderedPageBreak/>
        <w:t>W</w:t>
      </w:r>
      <w:r w:rsidRPr="00EE1C18">
        <w:t xml:space="preserve">here the information relates to a consumer, the </w:t>
      </w:r>
      <w:r>
        <w:t xml:space="preserve">ACCC can only make consumer data rules which require </w:t>
      </w:r>
      <w:r w:rsidRPr="00EE1C18">
        <w:t xml:space="preserve">access and transfer </w:t>
      </w:r>
      <w:r>
        <w:t xml:space="preserve">of </w:t>
      </w:r>
      <w:r w:rsidRPr="00EE1C18">
        <w:t xml:space="preserve">information that is </w:t>
      </w:r>
      <w:r>
        <w:t xml:space="preserve">in the designation instrument (See section </w:t>
      </w:r>
      <w:r w:rsidRPr="00EE1C18">
        <w:t>56BC</w:t>
      </w:r>
      <w:r w:rsidR="00892431">
        <w:t xml:space="preserve"> and paragraph 1.53).</w:t>
      </w:r>
    </w:p>
    <w:p w14:paraId="15836915" w14:textId="67E5A69C" w:rsidR="00EE1C18" w:rsidRDefault="00EE1C18" w:rsidP="00F03362">
      <w:pPr>
        <w:numPr>
          <w:ilvl w:val="1"/>
          <w:numId w:val="33"/>
        </w:numPr>
      </w:pPr>
      <w:r>
        <w:t xml:space="preserve">Similarly, for information </w:t>
      </w:r>
      <w:r w:rsidR="00D265DB">
        <w:t xml:space="preserve">not relating to a consumer </w:t>
      </w:r>
      <w:r>
        <w:t xml:space="preserve">the ACCC rules making powers </w:t>
      </w:r>
      <w:r w:rsidR="00D265DB">
        <w:t>requiring</w:t>
      </w:r>
      <w:r>
        <w:t xml:space="preserve"> access and transfer are limited </w:t>
      </w:r>
      <w:r w:rsidRPr="00EE1C18">
        <w:t>to information about the eligibility criteria, terms and conditions, or price of a product, other kind of good, or a service (</w:t>
      </w:r>
      <w:r>
        <w:t xml:space="preserve">See </w:t>
      </w:r>
      <w:r w:rsidRPr="00EE1C18">
        <w:t>s</w:t>
      </w:r>
      <w:r>
        <w:t xml:space="preserve">ection </w:t>
      </w:r>
      <w:r w:rsidRPr="00EE1C18">
        <w:t>56BD</w:t>
      </w:r>
      <w:r>
        <w:t xml:space="preserve"> </w:t>
      </w:r>
      <w:r w:rsidR="00352993">
        <w:t xml:space="preserve">and </w:t>
      </w:r>
      <w:r w:rsidR="00892431">
        <w:t xml:space="preserve">paragraph 1.53). </w:t>
      </w:r>
    </w:p>
    <w:p w14:paraId="6356AEB3" w14:textId="01F7A42F" w:rsidR="00EE1C18" w:rsidRDefault="00EE1C18" w:rsidP="00EE1C18">
      <w:pPr>
        <w:pStyle w:val="Heading3"/>
      </w:pPr>
      <w:r>
        <w:t>Definition of CDR consumer</w:t>
      </w:r>
    </w:p>
    <w:p w14:paraId="0809FB3A" w14:textId="2C3D8F4C" w:rsidR="00EE1C18" w:rsidRDefault="00EE1C18" w:rsidP="002412C9">
      <w:pPr>
        <w:numPr>
          <w:ilvl w:val="1"/>
          <w:numId w:val="33"/>
        </w:numPr>
      </w:pPr>
      <w:r>
        <w:t xml:space="preserve">During the first consultation a number of stakeholders noted that the definition of ‘CDR consumer’ could apply more broadly than intended. </w:t>
      </w:r>
    </w:p>
    <w:p w14:paraId="6CA25FAE" w14:textId="00AB1491" w:rsidR="00EE1C18" w:rsidRDefault="00EE1C18" w:rsidP="002412C9">
      <w:pPr>
        <w:numPr>
          <w:ilvl w:val="1"/>
          <w:numId w:val="33"/>
        </w:numPr>
      </w:pPr>
      <w:r>
        <w:t xml:space="preserve">The definition has been revised </w:t>
      </w:r>
      <w:r w:rsidR="002412C9">
        <w:t>so that a</w:t>
      </w:r>
      <w:r w:rsidR="002412C9" w:rsidRPr="002412C9">
        <w:t xml:space="preserve"> CDR consumer </w:t>
      </w:r>
      <w:r w:rsidR="002412C9">
        <w:t xml:space="preserve">is </w:t>
      </w:r>
      <w:r w:rsidR="002412C9" w:rsidRPr="00C63C66">
        <w:t xml:space="preserve">an identifiable or reasonably identifiable person, including a small, medium or large business enterprise, to </w:t>
      </w:r>
      <w:r w:rsidR="00AF20EA" w:rsidRPr="00C63C66">
        <w:t>which</w:t>
      </w:r>
      <w:r w:rsidR="002412C9" w:rsidRPr="00C63C66">
        <w:t xml:space="preserve"> the CDR data relates because of the supply of a good or service either to the perso</w:t>
      </w:r>
      <w:r w:rsidR="002412C9">
        <w:t>n or an associate of the person</w:t>
      </w:r>
      <w:r w:rsidR="002412C9" w:rsidRPr="002412C9">
        <w:t xml:space="preserve"> (</w:t>
      </w:r>
      <w:r w:rsidR="002412C9">
        <w:t xml:space="preserve">See </w:t>
      </w:r>
      <w:r w:rsidR="002412C9" w:rsidRPr="002412C9">
        <w:t>s</w:t>
      </w:r>
      <w:r w:rsidR="002412C9">
        <w:t xml:space="preserve">ection </w:t>
      </w:r>
      <w:r w:rsidR="002412C9" w:rsidRPr="002412C9">
        <w:t>56AF</w:t>
      </w:r>
      <w:r w:rsidR="00C735A9">
        <w:t xml:space="preserve"> and paragraphs 1.55 to 1.65</w:t>
      </w:r>
      <w:r w:rsidR="002412C9" w:rsidRPr="002412C9">
        <w:t>)</w:t>
      </w:r>
      <w:r w:rsidR="002412C9">
        <w:t>.</w:t>
      </w:r>
    </w:p>
    <w:p w14:paraId="4CEAA5CD" w14:textId="46B5BCF0" w:rsidR="002412C9" w:rsidRDefault="009C15F7" w:rsidP="009C15F7">
      <w:pPr>
        <w:pStyle w:val="Heading3"/>
      </w:pPr>
      <w:r>
        <w:t>Data reciprocity</w:t>
      </w:r>
    </w:p>
    <w:p w14:paraId="2A03F266" w14:textId="747A6B60" w:rsidR="002E008E" w:rsidRDefault="00AF20EA" w:rsidP="002E008E">
      <w:pPr>
        <w:numPr>
          <w:ilvl w:val="1"/>
          <w:numId w:val="33"/>
        </w:numPr>
      </w:pPr>
      <w:r>
        <w:t xml:space="preserve">During consultation stakeholders requested further information about how reciprocity would </w:t>
      </w:r>
      <w:r w:rsidR="002E008E">
        <w:t>operate with</w:t>
      </w:r>
      <w:r w:rsidR="004A02DE">
        <w:t>in</w:t>
      </w:r>
      <w:r w:rsidR="002E008E">
        <w:t xml:space="preserve"> the CDR regime. </w:t>
      </w:r>
      <w:r w:rsidR="002E008E" w:rsidRPr="00AF20EA">
        <w:t xml:space="preserve">Reciprocity </w:t>
      </w:r>
      <w:r w:rsidR="002E008E">
        <w:t xml:space="preserve">will </w:t>
      </w:r>
      <w:r w:rsidR="002E008E" w:rsidRPr="00AF20EA">
        <w:t>operates to allow the ACCC to write rules requiring data recipients to provide customers access to data, or the ability to request disclosure of data</w:t>
      </w:r>
      <w:r w:rsidR="002E008E">
        <w:t xml:space="preserve"> to accredited parties.</w:t>
      </w:r>
    </w:p>
    <w:p w14:paraId="705251CE" w14:textId="77777777" w:rsidR="002E008E" w:rsidRDefault="002E008E" w:rsidP="002E008E">
      <w:pPr>
        <w:numPr>
          <w:ilvl w:val="1"/>
          <w:numId w:val="33"/>
        </w:numPr>
      </w:pPr>
      <w:r>
        <w:t xml:space="preserve">Reciprocity will apply to: </w:t>
      </w:r>
    </w:p>
    <w:p w14:paraId="5EDDC6A3" w14:textId="28C2AB63" w:rsidR="002E008E" w:rsidRDefault="002E008E" w:rsidP="002E008E">
      <w:pPr>
        <w:pStyle w:val="dotpoint"/>
      </w:pPr>
      <w:r w:rsidRPr="00AF20EA">
        <w:rPr>
          <w:b/>
        </w:rPr>
        <w:t>Equivalent data</w:t>
      </w:r>
      <w:r w:rsidRPr="00AF20EA">
        <w:t xml:space="preserve"> </w:t>
      </w:r>
      <w:r w:rsidR="004A02DE">
        <w:t>which is d</w:t>
      </w:r>
      <w:r w:rsidRPr="00AF20EA">
        <w:t xml:space="preserve">ata </w:t>
      </w:r>
      <w:r w:rsidR="004A02DE">
        <w:t xml:space="preserve">included within </w:t>
      </w:r>
      <w:r w:rsidRPr="00AF20EA">
        <w:t xml:space="preserve">a class </w:t>
      </w:r>
      <w:r w:rsidR="004A02DE">
        <w:t>in the designation instrument which has not been transferred within the CDR system and which is held by an accredited data recipient</w:t>
      </w:r>
      <w:r w:rsidRPr="00AF20EA">
        <w:t>; and/or</w:t>
      </w:r>
    </w:p>
    <w:p w14:paraId="0EB74AF1" w14:textId="7D81754D" w:rsidR="004A02DE" w:rsidRPr="004A02DE" w:rsidRDefault="004A02DE" w:rsidP="002E008E">
      <w:pPr>
        <w:pStyle w:val="dotpoint"/>
      </w:pPr>
      <w:r w:rsidRPr="004A02DE">
        <w:rPr>
          <w:b/>
        </w:rPr>
        <w:t xml:space="preserve">Received data: </w:t>
      </w:r>
      <w:r w:rsidRPr="004A02DE">
        <w:t>Data that recipients have received through the CDR</w:t>
      </w:r>
      <w:r>
        <w:t>.</w:t>
      </w:r>
    </w:p>
    <w:p w14:paraId="216B1493" w14:textId="1FFA7470" w:rsidR="002E008E" w:rsidRDefault="002E008E" w:rsidP="002E008E">
      <w:pPr>
        <w:numPr>
          <w:ilvl w:val="1"/>
          <w:numId w:val="33"/>
        </w:numPr>
      </w:pPr>
      <w:r>
        <w:t>While the concept of reciprocity will b</w:t>
      </w:r>
      <w:bookmarkStart w:id="7" w:name="_GoBack"/>
      <w:bookmarkEnd w:id="7"/>
      <w:r>
        <w:t xml:space="preserve">e given effect through rules made by the ACCC, the definition of data holder has been amended to clarify the treatment of data in the hands of certain </w:t>
      </w:r>
      <w:r w:rsidR="001C3CE1">
        <w:t>accredited entities (See sub</w:t>
      </w:r>
      <w:r w:rsidR="00327FD8">
        <w:t>section 56AG(3) and paragraphs 1.38 to 1.41</w:t>
      </w:r>
      <w:r w:rsidR="001C3CE1">
        <w:t xml:space="preserve"> </w:t>
      </w:r>
      <w:r w:rsidR="00327FD8">
        <w:t>and 1.66 to 1.71</w:t>
      </w:r>
      <w:r w:rsidR="001C3CE1">
        <w:t>).</w:t>
      </w:r>
    </w:p>
    <w:p w14:paraId="73892102" w14:textId="59BD1CCA" w:rsidR="001C3CE1" w:rsidRDefault="001C3CE1" w:rsidP="001C3CE1">
      <w:pPr>
        <w:pStyle w:val="Heading3"/>
      </w:pPr>
      <w:r w:rsidRPr="001C3CE1">
        <w:t>Interaction of Privacy Safeguards with the Privacy Act</w:t>
      </w:r>
    </w:p>
    <w:p w14:paraId="2F7940F1" w14:textId="0B3A61A2" w:rsidR="001C3CE1" w:rsidRDefault="001C3CE1" w:rsidP="001C3CE1">
      <w:pPr>
        <w:numPr>
          <w:ilvl w:val="1"/>
          <w:numId w:val="33"/>
        </w:numPr>
      </w:pPr>
      <w:r>
        <w:t xml:space="preserve">The first consultation identified the need to further clarify the interaction of the Privacy Safeguards implemented under the CDR with the existing privacy protections in the Privacy Act. It was not clear </w:t>
      </w:r>
      <w:r>
        <w:lastRenderedPageBreak/>
        <w:t xml:space="preserve">whether an entity would need to meet obligations under both the Privacy Safeguards and Privacy Act for the same data. </w:t>
      </w:r>
    </w:p>
    <w:p w14:paraId="5557467F" w14:textId="65015218" w:rsidR="001C3CE1" w:rsidRDefault="001C3CE1" w:rsidP="001C3CE1">
      <w:pPr>
        <w:numPr>
          <w:ilvl w:val="1"/>
          <w:numId w:val="33"/>
        </w:numPr>
      </w:pPr>
      <w:r>
        <w:t xml:space="preserve">The Bill has been amended to reduce this complexity and better clarify the obligations which fall on a data holder and accredited data recipient. </w:t>
      </w:r>
    </w:p>
    <w:p w14:paraId="3D96D6C9" w14:textId="5578E20E" w:rsidR="001C3CE1" w:rsidRPr="00961AA1" w:rsidRDefault="001C3CE1" w:rsidP="001C3CE1">
      <w:pPr>
        <w:pStyle w:val="TableHeadingoutsidetable"/>
      </w:pPr>
      <w:r>
        <w:t xml:space="preserve"> </w:t>
      </w:r>
      <w:r w:rsidRPr="00961AA1">
        <w:t>Application of Privacy Safeguards by CDR participant</w:t>
      </w:r>
    </w:p>
    <w:tbl>
      <w:tblPr>
        <w:tblStyle w:val="EMTable"/>
        <w:tblW w:w="6629" w:type="dxa"/>
        <w:tblInd w:w="1083" w:type="dxa"/>
        <w:tblLook w:val="04A0" w:firstRow="1" w:lastRow="0" w:firstColumn="1" w:lastColumn="0" w:noHBand="0" w:noVBand="1"/>
      </w:tblPr>
      <w:tblGrid>
        <w:gridCol w:w="1809"/>
        <w:gridCol w:w="4820"/>
      </w:tblGrid>
      <w:tr w:rsidR="001C3CE1" w:rsidRPr="00961AA1" w14:paraId="656A2792" w14:textId="77777777" w:rsidTr="00C05570">
        <w:trPr>
          <w:cnfStyle w:val="100000000000" w:firstRow="1" w:lastRow="0" w:firstColumn="0" w:lastColumn="0" w:oddVBand="0" w:evenVBand="0" w:oddHBand="0" w:evenHBand="0" w:firstRowFirstColumn="0" w:firstRowLastColumn="0" w:lastRowFirstColumn="0" w:lastRowLastColumn="0"/>
        </w:trPr>
        <w:tc>
          <w:tcPr>
            <w:tcW w:w="1809" w:type="dxa"/>
          </w:tcPr>
          <w:p w14:paraId="5EBAABEB" w14:textId="77777777" w:rsidR="001C3CE1" w:rsidRPr="00961AA1" w:rsidRDefault="001C3CE1" w:rsidP="001C3CE1">
            <w:pPr>
              <w:pStyle w:val="tabletext"/>
            </w:pPr>
            <w:r w:rsidRPr="00961AA1">
              <w:t>CDR Participant</w:t>
            </w:r>
          </w:p>
        </w:tc>
        <w:tc>
          <w:tcPr>
            <w:tcW w:w="4820" w:type="dxa"/>
          </w:tcPr>
          <w:p w14:paraId="3A623A7A" w14:textId="77777777" w:rsidR="001C3CE1" w:rsidRPr="00961AA1" w:rsidRDefault="001C3CE1" w:rsidP="001C3CE1">
            <w:pPr>
              <w:pStyle w:val="tabletext"/>
            </w:pPr>
            <w:r w:rsidRPr="00961AA1">
              <w:t>Privacy Safeguard that applies</w:t>
            </w:r>
          </w:p>
        </w:tc>
      </w:tr>
      <w:tr w:rsidR="001C3CE1" w:rsidRPr="00961AA1" w14:paraId="18BE72AF" w14:textId="77777777" w:rsidTr="00C05570">
        <w:tblPrEx>
          <w:tblCellMar>
            <w:top w:w="0" w:type="dxa"/>
            <w:left w:w="108" w:type="dxa"/>
          </w:tblCellMar>
        </w:tblPrEx>
        <w:tc>
          <w:tcPr>
            <w:tcW w:w="1809" w:type="dxa"/>
          </w:tcPr>
          <w:p w14:paraId="347CF04B" w14:textId="77777777" w:rsidR="001C3CE1" w:rsidRPr="00961AA1" w:rsidRDefault="001C3CE1" w:rsidP="001C3CE1">
            <w:pPr>
              <w:pStyle w:val="tabletext"/>
            </w:pPr>
            <w:r w:rsidRPr="00961AA1">
              <w:t>Data holder</w:t>
            </w:r>
          </w:p>
        </w:tc>
        <w:tc>
          <w:tcPr>
            <w:tcW w:w="4820" w:type="dxa"/>
          </w:tcPr>
          <w:p w14:paraId="381B486F" w14:textId="77777777" w:rsidR="001C3CE1" w:rsidRPr="00961AA1" w:rsidRDefault="001C3CE1" w:rsidP="001C3CE1">
            <w:pPr>
              <w:pStyle w:val="tabletext"/>
            </w:pPr>
            <w:r w:rsidRPr="00961AA1">
              <w:t xml:space="preserve">PS 1 – applies concurrently to APP 1 </w:t>
            </w:r>
          </w:p>
          <w:p w14:paraId="09B6A657" w14:textId="4C7B3032" w:rsidR="001C3CE1" w:rsidRPr="00961AA1" w:rsidRDefault="001C3CE1" w:rsidP="001C3CE1">
            <w:pPr>
              <w:pStyle w:val="tabletext"/>
            </w:pPr>
            <w:r w:rsidRPr="00961AA1">
              <w:t>PS 10 - Applies to the disclosure of CDR data</w:t>
            </w:r>
            <w:r>
              <w:t xml:space="preserve">. The Privacy Act does not apply. </w:t>
            </w:r>
          </w:p>
          <w:p w14:paraId="3F180D2E" w14:textId="7419438B" w:rsidR="001C3CE1" w:rsidRPr="00961AA1" w:rsidRDefault="001C3CE1" w:rsidP="001C3CE1">
            <w:pPr>
              <w:pStyle w:val="tabletext"/>
            </w:pPr>
            <w:r w:rsidRPr="00961AA1">
              <w:t xml:space="preserve">PS 11, PS 13 – Apply to the disclosure of CDR data and substitutes for APPs 11 and 12 </w:t>
            </w:r>
            <w:r>
              <w:t>for</w:t>
            </w:r>
            <w:r w:rsidRPr="00961AA1">
              <w:t xml:space="preserve"> disclosed CDR data  </w:t>
            </w:r>
          </w:p>
        </w:tc>
      </w:tr>
      <w:tr w:rsidR="001C3CE1" w:rsidRPr="00961AA1" w14:paraId="6E225C2C" w14:textId="77777777" w:rsidTr="00C05570">
        <w:tblPrEx>
          <w:tblCellMar>
            <w:top w:w="0" w:type="dxa"/>
            <w:left w:w="108" w:type="dxa"/>
          </w:tblCellMar>
        </w:tblPrEx>
        <w:tc>
          <w:tcPr>
            <w:tcW w:w="1809" w:type="dxa"/>
          </w:tcPr>
          <w:p w14:paraId="5D42564D" w14:textId="77777777" w:rsidR="001C3CE1" w:rsidRPr="00961AA1" w:rsidRDefault="001C3CE1" w:rsidP="001C3CE1">
            <w:pPr>
              <w:pStyle w:val="tabletext"/>
            </w:pPr>
            <w:r w:rsidRPr="00961AA1">
              <w:t>Accredited person</w:t>
            </w:r>
          </w:p>
        </w:tc>
        <w:tc>
          <w:tcPr>
            <w:tcW w:w="4820" w:type="dxa"/>
          </w:tcPr>
          <w:p w14:paraId="54F5A0B0" w14:textId="77777777" w:rsidR="001C3CE1" w:rsidRPr="00961AA1" w:rsidRDefault="001C3CE1" w:rsidP="001C3CE1">
            <w:pPr>
              <w:pStyle w:val="tabletext"/>
            </w:pPr>
            <w:r w:rsidRPr="00961AA1">
              <w:t xml:space="preserve">PS 1, PS 3, PS 4, </w:t>
            </w:r>
            <w:proofErr w:type="gramStart"/>
            <w:r w:rsidRPr="00961AA1">
              <w:t>PS</w:t>
            </w:r>
            <w:proofErr w:type="gramEnd"/>
            <w:r w:rsidRPr="00961AA1">
              <w:t xml:space="preserve"> 5 - the APPs apply concurrently</w:t>
            </w:r>
            <w:r>
              <w:t xml:space="preserve">, but with the Safeguards prevailing. </w:t>
            </w:r>
          </w:p>
        </w:tc>
      </w:tr>
      <w:tr w:rsidR="001C3CE1" w:rsidRPr="00AD619D" w14:paraId="0F8B7AFB" w14:textId="77777777" w:rsidTr="00C05570">
        <w:tblPrEx>
          <w:tblCellMar>
            <w:top w:w="0" w:type="dxa"/>
            <w:left w:w="108" w:type="dxa"/>
          </w:tblCellMar>
        </w:tblPrEx>
        <w:tc>
          <w:tcPr>
            <w:tcW w:w="1809" w:type="dxa"/>
          </w:tcPr>
          <w:p w14:paraId="3736F4D4" w14:textId="77777777" w:rsidR="001C3CE1" w:rsidRPr="00961AA1" w:rsidRDefault="001C3CE1" w:rsidP="001C3CE1">
            <w:pPr>
              <w:pStyle w:val="tabletext"/>
            </w:pPr>
            <w:r w:rsidRPr="00961AA1">
              <w:t>Accredited data recipient</w:t>
            </w:r>
          </w:p>
        </w:tc>
        <w:tc>
          <w:tcPr>
            <w:tcW w:w="4820" w:type="dxa"/>
          </w:tcPr>
          <w:p w14:paraId="525B319F" w14:textId="1F6042B3" w:rsidR="001C3CE1" w:rsidRPr="00961AA1" w:rsidRDefault="001C3CE1" w:rsidP="001C3CE1">
            <w:pPr>
              <w:pStyle w:val="tabletext"/>
            </w:pPr>
            <w:r w:rsidRPr="00961AA1">
              <w:t>PS 2, PS 6, PS 7, PS 8 , PS 9, PS 10, PS 11 - the Privacy Safeguards apply and substitute the APPs</w:t>
            </w:r>
            <w:r>
              <w:t>. The APPs</w:t>
            </w:r>
            <w:r w:rsidRPr="00961AA1">
              <w:t xml:space="preserve"> do not apply to an accredited data recipient of CDR data </w:t>
            </w:r>
            <w:r>
              <w:t>for</w:t>
            </w:r>
            <w:r w:rsidRPr="00961AA1">
              <w:t xml:space="preserve"> CDR data that has been received or data derived from that data</w:t>
            </w:r>
            <w:r>
              <w:t>.</w:t>
            </w:r>
          </w:p>
        </w:tc>
      </w:tr>
    </w:tbl>
    <w:p w14:paraId="786EE35B" w14:textId="1A00F16C" w:rsidR="001C3CE1" w:rsidRDefault="00C05570" w:rsidP="001C3CE1">
      <w:pPr>
        <w:numPr>
          <w:ilvl w:val="1"/>
          <w:numId w:val="33"/>
        </w:numPr>
      </w:pPr>
      <w:r>
        <w:t>For a more detailed explanation</w:t>
      </w:r>
      <w:r w:rsidR="00327FD8">
        <w:t xml:space="preserve"> see sections 56EA to 56EO</w:t>
      </w:r>
      <w:r>
        <w:t xml:space="preserve"> </w:t>
      </w:r>
      <w:r w:rsidR="00327FD8">
        <w:t>and paragraphs 1.72 to 1.134)</w:t>
      </w:r>
      <w:r>
        <w:t xml:space="preserve">. </w:t>
      </w:r>
    </w:p>
    <w:p w14:paraId="32E46689" w14:textId="3D118969" w:rsidR="002457CE" w:rsidRPr="00C63C66" w:rsidRDefault="002457CE" w:rsidP="00CD11F5">
      <w:pPr>
        <w:pStyle w:val="Heading3"/>
      </w:pPr>
      <w:r w:rsidRPr="00C63C66">
        <w:t>Designated Sectors</w:t>
      </w:r>
    </w:p>
    <w:p w14:paraId="6DEBD546" w14:textId="1299C1AB" w:rsidR="00A96306" w:rsidRPr="00C63C66" w:rsidRDefault="00987B06" w:rsidP="00362833">
      <w:pPr>
        <w:pStyle w:val="base-text-paragraph"/>
        <w:numPr>
          <w:ilvl w:val="1"/>
          <w:numId w:val="33"/>
        </w:numPr>
        <w:rPr>
          <w:rStyle w:val="Referencingstyle"/>
          <w:b w:val="0"/>
          <w:i w:val="0"/>
          <w:sz w:val="22"/>
        </w:rPr>
      </w:pPr>
      <w:r w:rsidRPr="00C63C66">
        <w:t xml:space="preserve">The </w:t>
      </w:r>
      <w:r w:rsidR="00A24426" w:rsidRPr="00C63C66">
        <w:t>Minister</w:t>
      </w:r>
      <w:r w:rsidRPr="00C63C66">
        <w:t xml:space="preserve"> is given the power to designate a sector of the Australian economy as a sector to which the CDR applies. </w:t>
      </w:r>
      <w:r w:rsidRPr="00C63C66">
        <w:rPr>
          <w:rStyle w:val="Referencingstyle"/>
        </w:rPr>
        <w:t>[Schedule 1, item 1, section 56AC]</w:t>
      </w:r>
    </w:p>
    <w:p w14:paraId="59A547E6" w14:textId="26E892C7" w:rsidR="00800ADB" w:rsidRDefault="00800ADB" w:rsidP="00362833">
      <w:pPr>
        <w:pStyle w:val="base-text-paragraph"/>
        <w:numPr>
          <w:ilvl w:val="1"/>
          <w:numId w:val="33"/>
        </w:numPr>
      </w:pPr>
      <w:r>
        <w:t xml:space="preserve">The instrument designating the sector is a legislative instrument which is subject to the scrutiny of Parliament and is disallowable. </w:t>
      </w:r>
    </w:p>
    <w:p w14:paraId="75A672DA" w14:textId="34C43A5E" w:rsidR="00FA21B9" w:rsidRPr="00C63C66" w:rsidRDefault="00FA21B9" w:rsidP="00362833">
      <w:pPr>
        <w:pStyle w:val="base-text-paragraph"/>
        <w:numPr>
          <w:ilvl w:val="1"/>
          <w:numId w:val="33"/>
        </w:numPr>
      </w:pPr>
      <w:r w:rsidRPr="00C63C66">
        <w:t>The CDR is intended to even</w:t>
      </w:r>
      <w:r w:rsidR="0004321B" w:rsidRPr="00C63C66">
        <w:t xml:space="preserve">tually apply </w:t>
      </w:r>
      <w:r w:rsidR="008D5972" w:rsidRPr="00C63C66">
        <w:t xml:space="preserve">widely across the </w:t>
      </w:r>
      <w:r w:rsidR="0004321B" w:rsidRPr="00C63C66">
        <w:t>economy. The d</w:t>
      </w:r>
      <w:r w:rsidRPr="00C63C66">
        <w:t>esignation process is therefore a process to aid in the prioritisation of sectors, and to identify data se</w:t>
      </w:r>
      <w:r w:rsidR="00DE5583" w:rsidRPr="00C63C66">
        <w:t xml:space="preserve">ts where the </w:t>
      </w:r>
      <w:r w:rsidR="008D5972" w:rsidRPr="00C63C66">
        <w:t xml:space="preserve">potential benefits </w:t>
      </w:r>
      <w:r w:rsidRPr="00C63C66">
        <w:t xml:space="preserve">for consumers to access and transfer their information </w:t>
      </w:r>
      <w:r w:rsidR="008D5972" w:rsidRPr="00C63C66">
        <w:t>exceed</w:t>
      </w:r>
      <w:r w:rsidRPr="00C63C66">
        <w:t xml:space="preserve"> the </w:t>
      </w:r>
      <w:r w:rsidR="008D5972" w:rsidRPr="00C63C66">
        <w:t>potential costs</w:t>
      </w:r>
      <w:r w:rsidRPr="00C63C66">
        <w:t>.</w:t>
      </w:r>
    </w:p>
    <w:p w14:paraId="3838759F" w14:textId="07728929" w:rsidR="00987B06" w:rsidRPr="00C63C66" w:rsidRDefault="00987B06" w:rsidP="00362833">
      <w:pPr>
        <w:pStyle w:val="base-text-paragraph"/>
        <w:numPr>
          <w:ilvl w:val="1"/>
          <w:numId w:val="33"/>
        </w:numPr>
      </w:pPr>
      <w:r w:rsidRPr="00C63C66">
        <w:t xml:space="preserve">Prior to making a designation, the </w:t>
      </w:r>
      <w:r w:rsidR="00A24426" w:rsidRPr="00C63C66">
        <w:t>Minister</w:t>
      </w:r>
      <w:r w:rsidRPr="00C63C66">
        <w:t xml:space="preserve"> must consider a range of factors in order to inform his or her decision and ensure that the designation of the sector is appropriate</w:t>
      </w:r>
      <w:r w:rsidR="00C0503E" w:rsidRPr="00C63C66">
        <w:t>. The ACCC will be responsible for advising the Minister on these matters.</w:t>
      </w:r>
      <w:r w:rsidR="00044E6F" w:rsidRPr="00C63C66">
        <w:t xml:space="preserve"> </w:t>
      </w:r>
      <w:r w:rsidR="00352993" w:rsidRPr="00352993">
        <w:rPr>
          <w:rStyle w:val="Referencingstyle"/>
        </w:rPr>
        <w:t>[Schedule 1, item 1, section </w:t>
      </w:r>
      <w:r w:rsidR="00044E6F" w:rsidRPr="00352993">
        <w:rPr>
          <w:rStyle w:val="Referencingstyle"/>
        </w:rPr>
        <w:t>56AD]</w:t>
      </w:r>
    </w:p>
    <w:p w14:paraId="53689BBB" w14:textId="7C66ACC1" w:rsidR="00987B06" w:rsidRPr="00362833" w:rsidRDefault="00987B06" w:rsidP="00362833">
      <w:pPr>
        <w:pStyle w:val="base-text-paragraph"/>
        <w:numPr>
          <w:ilvl w:val="1"/>
          <w:numId w:val="33"/>
        </w:numPr>
      </w:pPr>
      <w:r w:rsidRPr="00C63C66">
        <w:t xml:space="preserve">These factors include </w:t>
      </w:r>
      <w:r w:rsidR="00F82936" w:rsidRPr="00C63C66">
        <w:t xml:space="preserve">consideration of the effect of designating a sector on the consumers within that sector. This will ensure that as the </w:t>
      </w:r>
      <w:r w:rsidR="00F82936" w:rsidRPr="00C63C66">
        <w:lastRenderedPageBreak/>
        <w:t xml:space="preserve">CDR is rolled out across the economy, </w:t>
      </w:r>
      <w:r w:rsidR="003B1226" w:rsidRPr="00C63C66">
        <w:t>the beneficia</w:t>
      </w:r>
      <w:r w:rsidR="00C0503E" w:rsidRPr="00C63C66">
        <w:t xml:space="preserve">l impact of designation </w:t>
      </w:r>
      <w:r w:rsidR="003B1226" w:rsidRPr="00C63C66">
        <w:t xml:space="preserve">and impact </w:t>
      </w:r>
      <w:r w:rsidR="00352993">
        <w:t xml:space="preserve">on </w:t>
      </w:r>
      <w:r w:rsidR="003B1226" w:rsidRPr="00C63C66">
        <w:t xml:space="preserve">consumers </w:t>
      </w:r>
      <w:r w:rsidR="00044E6F" w:rsidRPr="00C63C66">
        <w:t>are</w:t>
      </w:r>
      <w:r w:rsidR="003B1226" w:rsidRPr="00C63C66">
        <w:t xml:space="preserve"> considered</w:t>
      </w:r>
      <w:r w:rsidR="00F82936" w:rsidRPr="00C63C66">
        <w:t xml:space="preserve">. </w:t>
      </w:r>
      <w:r w:rsidR="00044E6F" w:rsidRPr="00352993">
        <w:rPr>
          <w:rStyle w:val="Referencingstyle"/>
        </w:rPr>
        <w:t>[Schedule </w:t>
      </w:r>
      <w:r w:rsidR="003B1226" w:rsidRPr="00352993">
        <w:rPr>
          <w:rStyle w:val="Referencingstyle"/>
        </w:rPr>
        <w:t>1, item </w:t>
      </w:r>
      <w:r w:rsidR="00F82936" w:rsidRPr="00352993">
        <w:rPr>
          <w:rStyle w:val="Referencingstyle"/>
        </w:rPr>
        <w:t>1, subparagraph 56AD(1)(a)(</w:t>
      </w:r>
      <w:proofErr w:type="spellStart"/>
      <w:r w:rsidR="00F82936" w:rsidRPr="00352993">
        <w:rPr>
          <w:rStyle w:val="Referencingstyle"/>
        </w:rPr>
        <w:t>i</w:t>
      </w:r>
      <w:proofErr w:type="spellEnd"/>
      <w:r w:rsidR="00F82936" w:rsidRPr="00352993">
        <w:rPr>
          <w:rStyle w:val="Referencingstyle"/>
        </w:rPr>
        <w:t>)]</w:t>
      </w:r>
    </w:p>
    <w:p w14:paraId="44B81767" w14:textId="7F0A5F16" w:rsidR="00F82936" w:rsidRPr="00C63C66" w:rsidRDefault="00F82936" w:rsidP="00362833">
      <w:pPr>
        <w:pStyle w:val="base-text-paragraph"/>
        <w:numPr>
          <w:ilvl w:val="1"/>
          <w:numId w:val="33"/>
        </w:numPr>
      </w:pPr>
      <w:r w:rsidRPr="00C63C66">
        <w:t>Other fact</w:t>
      </w:r>
      <w:r w:rsidR="00C0503E" w:rsidRPr="00C63C66">
        <w:t>or</w:t>
      </w:r>
      <w:r w:rsidRPr="00C63C66">
        <w:t xml:space="preserve">s which must be considered by the </w:t>
      </w:r>
      <w:r w:rsidR="00A24426" w:rsidRPr="00C63C66">
        <w:t>Minister</w:t>
      </w:r>
      <w:r w:rsidRPr="00C63C66">
        <w:t xml:space="preserve"> include the impact designation will have on the privacy of individuals and </w:t>
      </w:r>
      <w:r w:rsidR="00C0503E" w:rsidRPr="00C63C66">
        <w:t xml:space="preserve">confidentiality of </w:t>
      </w:r>
      <w:r w:rsidR="005A77B2" w:rsidRPr="00C63C66">
        <w:t>business</w:t>
      </w:r>
      <w:r w:rsidR="00C0503E" w:rsidRPr="00C63C66">
        <w:t xml:space="preserve"> consumers</w:t>
      </w:r>
      <w:r w:rsidR="00E86E6E" w:rsidRPr="00C63C66">
        <w:t xml:space="preserve">. </w:t>
      </w:r>
      <w:r w:rsidR="001B0901">
        <w:t xml:space="preserve">The Minister must consult the </w:t>
      </w:r>
      <w:r w:rsidRPr="00C63C66">
        <w:t xml:space="preserve">OAIC </w:t>
      </w:r>
      <w:r w:rsidR="001B0901">
        <w:t xml:space="preserve">about the likely effect of making the instrument on the privacy or confidentiality of a consumer’s information. </w:t>
      </w:r>
      <w:r w:rsidR="00C0503E" w:rsidRPr="001B0901">
        <w:rPr>
          <w:rStyle w:val="Referencingstyle"/>
        </w:rPr>
        <w:t>[Schedule 1, item </w:t>
      </w:r>
      <w:r w:rsidR="001B0901">
        <w:rPr>
          <w:rStyle w:val="Referencingstyle"/>
        </w:rPr>
        <w:t>1, subparagraph </w:t>
      </w:r>
      <w:r w:rsidR="00403B36" w:rsidRPr="001B0901">
        <w:rPr>
          <w:rStyle w:val="Referencingstyle"/>
        </w:rPr>
        <w:t>56AD(1)(a)(ii</w:t>
      </w:r>
      <w:r w:rsidR="00C17E25" w:rsidRPr="001B0901">
        <w:rPr>
          <w:rStyle w:val="Referencingstyle"/>
        </w:rPr>
        <w:t>i</w:t>
      </w:r>
      <w:r w:rsidR="00403B36" w:rsidRPr="001B0901">
        <w:rPr>
          <w:rStyle w:val="Referencingstyle"/>
        </w:rPr>
        <w:t>)</w:t>
      </w:r>
      <w:r w:rsidR="00C0503E" w:rsidRPr="001B0901">
        <w:rPr>
          <w:rStyle w:val="Referencingstyle"/>
        </w:rPr>
        <w:t xml:space="preserve"> and subsection</w:t>
      </w:r>
      <w:r w:rsidR="001B0901">
        <w:rPr>
          <w:rStyle w:val="Referencingstyle"/>
        </w:rPr>
        <w:t xml:space="preserve"> 56AD(3)]</w:t>
      </w:r>
    </w:p>
    <w:p w14:paraId="7E917AB6" w14:textId="0C1E8787" w:rsidR="001B0901" w:rsidRDefault="00403B36" w:rsidP="00362833">
      <w:pPr>
        <w:pStyle w:val="base-text-paragraph"/>
        <w:numPr>
          <w:ilvl w:val="1"/>
          <w:numId w:val="33"/>
        </w:numPr>
      </w:pPr>
      <w:r w:rsidRPr="00C63C66">
        <w:t>The ability of the CDR to promote</w:t>
      </w:r>
      <w:r w:rsidR="008A13CA" w:rsidRPr="00C63C66">
        <w:t xml:space="preserve"> market efficiency,</w:t>
      </w:r>
      <w:r w:rsidRPr="00C63C66">
        <w:t xml:space="preserve"> competition and </w:t>
      </w:r>
      <w:r w:rsidR="00525C4D" w:rsidRPr="00C63C66">
        <w:t xml:space="preserve">innovation and </w:t>
      </w:r>
      <w:r w:rsidRPr="00C63C66">
        <w:t xml:space="preserve">the ways designation will enhance </w:t>
      </w:r>
      <w:r w:rsidR="00525C4D" w:rsidRPr="00C63C66">
        <w:t xml:space="preserve">these matters </w:t>
      </w:r>
      <w:r w:rsidRPr="00C63C66">
        <w:t>must be considered prior to the designation of a sector.</w:t>
      </w:r>
      <w:r w:rsidR="00E86E6E" w:rsidRPr="00C63C66">
        <w:t xml:space="preserve"> The Minister must also consider the impact on the intellectual property rights of CDR participants of designating a data set. </w:t>
      </w:r>
      <w:r w:rsidR="001B0901" w:rsidRPr="001B0901">
        <w:rPr>
          <w:rStyle w:val="Referencingstyle"/>
        </w:rPr>
        <w:t>[Schedule 1, item </w:t>
      </w:r>
      <w:r w:rsidR="001B0901">
        <w:rPr>
          <w:rStyle w:val="Referencingstyle"/>
        </w:rPr>
        <w:t>1, subparagraph 56AD(1)(a)(v</w:t>
      </w:r>
      <w:r w:rsidR="001B0901" w:rsidRPr="001B0901">
        <w:rPr>
          <w:rStyle w:val="Referencingstyle"/>
        </w:rPr>
        <w:t>i)</w:t>
      </w:r>
      <w:r w:rsidR="001B0901">
        <w:rPr>
          <w:rStyle w:val="Referencingstyle"/>
        </w:rPr>
        <w:t>]</w:t>
      </w:r>
    </w:p>
    <w:p w14:paraId="7FE560A6" w14:textId="57E1754B" w:rsidR="00041840" w:rsidRPr="00C63C66" w:rsidRDefault="00041840" w:rsidP="00362833">
      <w:pPr>
        <w:pStyle w:val="base-text-paragraph"/>
        <w:numPr>
          <w:ilvl w:val="1"/>
          <w:numId w:val="33"/>
        </w:numPr>
      </w:pPr>
      <w:r w:rsidRPr="00C63C66">
        <w:t xml:space="preserve">The Minister may also consider any other relevant factors. This </w:t>
      </w:r>
      <w:r w:rsidR="001B0901">
        <w:t xml:space="preserve">could include considering a consumer’s </w:t>
      </w:r>
      <w:r w:rsidRPr="00C63C66">
        <w:t>existing access to</w:t>
      </w:r>
      <w:r w:rsidR="001B0901">
        <w:t xml:space="preserve"> a particular data set</w:t>
      </w:r>
      <w:r w:rsidRPr="00C63C66">
        <w:t>.</w:t>
      </w:r>
      <w:r w:rsidR="001B0901">
        <w:t xml:space="preserve"> </w:t>
      </w:r>
      <w:r w:rsidR="001B0901" w:rsidRPr="001B0901">
        <w:rPr>
          <w:rStyle w:val="Referencingstyle"/>
        </w:rPr>
        <w:t>[Schedule 1, item </w:t>
      </w:r>
      <w:r w:rsidR="001B0901">
        <w:rPr>
          <w:rStyle w:val="Referencingstyle"/>
        </w:rPr>
        <w:t>1, paragraph 56AD(1)(c)]</w:t>
      </w:r>
    </w:p>
    <w:p w14:paraId="428D5612" w14:textId="3C968017" w:rsidR="00AE7351" w:rsidRPr="00AE7351" w:rsidRDefault="00A24426" w:rsidP="00362833">
      <w:pPr>
        <w:pStyle w:val="base-text-paragraph"/>
        <w:numPr>
          <w:ilvl w:val="1"/>
          <w:numId w:val="33"/>
        </w:numPr>
        <w:rPr>
          <w:b/>
          <w:i/>
          <w:sz w:val="18"/>
        </w:rPr>
      </w:pPr>
      <w:r w:rsidRPr="00C63C66">
        <w:t>T</w:t>
      </w:r>
      <w:r w:rsidR="007E7E2E" w:rsidRPr="00C63C66">
        <w:t xml:space="preserve">he regulatory impact of designating a </w:t>
      </w:r>
      <w:r w:rsidRPr="00C63C66">
        <w:t>sector must be determined</w:t>
      </w:r>
      <w:r w:rsidR="00EF7F35" w:rsidRPr="00C63C66">
        <w:t>.</w:t>
      </w:r>
      <w:r w:rsidR="006D1883" w:rsidRPr="00C63C66">
        <w:t xml:space="preserve"> </w:t>
      </w:r>
      <w:r w:rsidR="008D5972" w:rsidRPr="00C63C66">
        <w:t>In practice, t</w:t>
      </w:r>
      <w:r w:rsidR="00B215E2" w:rsidRPr="00C63C66">
        <w:t>his means that a Regulatory Impact Statement must be prepared</w:t>
      </w:r>
      <w:r w:rsidR="008B6253" w:rsidRPr="00C63C66">
        <w:t xml:space="preserve"> reflecting the net benefits of designation,</w:t>
      </w:r>
      <w:r w:rsidR="00B215E2" w:rsidRPr="00C63C66">
        <w:t xml:space="preserve"> before a sector is designated. </w:t>
      </w:r>
      <w:r w:rsidR="00AE7351" w:rsidRPr="001B0901">
        <w:rPr>
          <w:rStyle w:val="Referencingstyle"/>
        </w:rPr>
        <w:t>[Schedule 1, item 1, paragraph 56AD(1)(b)]</w:t>
      </w:r>
    </w:p>
    <w:p w14:paraId="3C08692C" w14:textId="29D53854" w:rsidR="00AE7351" w:rsidRPr="00AE7351" w:rsidRDefault="00AE7351" w:rsidP="00362833">
      <w:pPr>
        <w:pStyle w:val="base-text-paragraph"/>
        <w:numPr>
          <w:ilvl w:val="1"/>
          <w:numId w:val="33"/>
        </w:numPr>
        <w:rPr>
          <w:b/>
          <w:i/>
          <w:sz w:val="18"/>
        </w:rPr>
      </w:pPr>
      <w:r>
        <w:t>T</w:t>
      </w:r>
      <w:r w:rsidRPr="00C63C66">
        <w:t>he Government</w:t>
      </w:r>
      <w:r>
        <w:t>’</w:t>
      </w:r>
      <w:r w:rsidRPr="00C63C66">
        <w:t xml:space="preserve">s policy on Regulatory Impact Statements </w:t>
      </w:r>
      <w:r>
        <w:t xml:space="preserve">requires that </w:t>
      </w:r>
      <w:r w:rsidR="00B215E2" w:rsidRPr="00C63C66">
        <w:t xml:space="preserve">both the costs and benefits </w:t>
      </w:r>
      <w:r w:rsidR="00800ADB">
        <w:t>are considered</w:t>
      </w:r>
      <w:r>
        <w:t xml:space="preserve">. </w:t>
      </w:r>
      <w:r w:rsidR="008B6253" w:rsidRPr="00C63C66">
        <w:t xml:space="preserve">This includes consideration of costs to business, including to small business, methods to minimise drivers of costs, concepts of fairness and equality. It also includes consideration of benefits including improved competition, lower prices, availability of better products, improved productivity, the creation of new jobs and reduction in risk or improvement in safety. </w:t>
      </w:r>
    </w:p>
    <w:p w14:paraId="0B3CB1A9" w14:textId="29B795B3" w:rsidR="007E7E2E" w:rsidRPr="001B0901" w:rsidRDefault="007E7E2E" w:rsidP="00362833">
      <w:pPr>
        <w:pStyle w:val="base-text-paragraph"/>
        <w:numPr>
          <w:ilvl w:val="1"/>
          <w:numId w:val="33"/>
        </w:numPr>
        <w:rPr>
          <w:rStyle w:val="Referencingstyle"/>
        </w:rPr>
      </w:pPr>
      <w:r w:rsidRPr="00C63C66">
        <w:t>While the CDR is intended to enhance competition</w:t>
      </w:r>
      <w:r w:rsidR="00C17E25" w:rsidRPr="00C63C66">
        <w:t xml:space="preserve"> this </w:t>
      </w:r>
      <w:r w:rsidRPr="00C63C66">
        <w:t xml:space="preserve">should not occur at the expense of significant regulatory burden or disruption unless the </w:t>
      </w:r>
      <w:r w:rsidR="008A13CA" w:rsidRPr="00C63C66">
        <w:t xml:space="preserve">broadly defined </w:t>
      </w:r>
      <w:r w:rsidRPr="00C63C66">
        <w:t xml:space="preserve">benefits of designation outweigh the regulatory impact. </w:t>
      </w:r>
    </w:p>
    <w:p w14:paraId="44290CD8" w14:textId="1101B711" w:rsidR="007E7E2E" w:rsidRPr="00800ADB" w:rsidRDefault="00AE7351" w:rsidP="00362833">
      <w:pPr>
        <w:pStyle w:val="base-text-paragraph"/>
        <w:numPr>
          <w:ilvl w:val="1"/>
          <w:numId w:val="33"/>
        </w:numPr>
        <w:rPr>
          <w:rStyle w:val="Referencingstyle"/>
          <w:b w:val="0"/>
          <w:i w:val="0"/>
          <w:sz w:val="22"/>
        </w:rPr>
      </w:pPr>
      <w:r>
        <w:t>Before designating a sector, t</w:t>
      </w:r>
      <w:r w:rsidR="007E7E2E" w:rsidRPr="00C63C66">
        <w:t xml:space="preserve">he </w:t>
      </w:r>
      <w:r w:rsidR="00A24426" w:rsidRPr="00C63C66">
        <w:t>Minister</w:t>
      </w:r>
      <w:r w:rsidR="007E7E2E" w:rsidRPr="00C63C66">
        <w:t xml:space="preserve"> is required to consult with the ACCC as well as any other person or body prescribed by regulations. </w:t>
      </w:r>
      <w:r w:rsidR="007E7E2E" w:rsidRPr="00AE7351">
        <w:rPr>
          <w:rStyle w:val="Referencingstyle"/>
        </w:rPr>
        <w:t>[Sch</w:t>
      </w:r>
      <w:r w:rsidR="005A77B2" w:rsidRPr="00AE7351">
        <w:rPr>
          <w:rStyle w:val="Referencingstyle"/>
        </w:rPr>
        <w:t xml:space="preserve">edule 1, item </w:t>
      </w:r>
      <w:r>
        <w:rPr>
          <w:rStyle w:val="Referencingstyle"/>
        </w:rPr>
        <w:t>1, subsection 56AD(2)]</w:t>
      </w:r>
    </w:p>
    <w:p w14:paraId="552FAAF2" w14:textId="01775284" w:rsidR="00800ADB" w:rsidRPr="00800ADB" w:rsidRDefault="00800ADB" w:rsidP="00362833">
      <w:pPr>
        <w:pStyle w:val="base-text-paragraph"/>
        <w:numPr>
          <w:ilvl w:val="1"/>
          <w:numId w:val="33"/>
        </w:numPr>
        <w:rPr>
          <w:b/>
          <w:i/>
          <w:szCs w:val="22"/>
        </w:rPr>
      </w:pPr>
      <w:r w:rsidRPr="00800ADB">
        <w:rPr>
          <w:rStyle w:val="Referencingstyle"/>
          <w:b w:val="0"/>
          <w:i w:val="0"/>
          <w:sz w:val="22"/>
          <w:szCs w:val="22"/>
        </w:rPr>
        <w:t xml:space="preserve">The </w:t>
      </w:r>
      <w:r>
        <w:rPr>
          <w:rStyle w:val="Referencingstyle"/>
          <w:b w:val="0"/>
          <w:i w:val="0"/>
          <w:sz w:val="22"/>
          <w:szCs w:val="22"/>
        </w:rPr>
        <w:t xml:space="preserve">Bill places obligations on the ACCC and OAIC as to the process for consulting and advising the Minister when the Minister seeks advice prior to designating a sector. These provisions are not included in this exposure draft. </w:t>
      </w:r>
    </w:p>
    <w:p w14:paraId="51DF723D" w14:textId="77777777" w:rsidR="00800ADB" w:rsidRPr="004121E7" w:rsidRDefault="000A040C" w:rsidP="00362833">
      <w:pPr>
        <w:pStyle w:val="base-text-paragraph"/>
        <w:numPr>
          <w:ilvl w:val="1"/>
          <w:numId w:val="33"/>
        </w:numPr>
      </w:pPr>
      <w:r w:rsidRPr="00C63C66">
        <w:t xml:space="preserve">The banking sector will be designated as the first sector of the economy to which the CDR applies. Public consultation was undertaken </w:t>
      </w:r>
      <w:r w:rsidRPr="00C63C66">
        <w:lastRenderedPageBreak/>
        <w:t xml:space="preserve">as a part of the process of preparing the </w:t>
      </w:r>
      <w:r w:rsidR="0067488C" w:rsidRPr="00C63C66">
        <w:t>Open Banking Report</w:t>
      </w:r>
      <w:r w:rsidR="007D29AB" w:rsidRPr="00C63C66">
        <w:t xml:space="preserve"> </w:t>
      </w:r>
      <w:r w:rsidRPr="00C63C66">
        <w:t xml:space="preserve">presented to the </w:t>
      </w:r>
      <w:r w:rsidR="00A24426" w:rsidRPr="00C63C66">
        <w:t>Minister</w:t>
      </w:r>
      <w:r w:rsidRPr="00C63C66">
        <w:t xml:space="preserve"> in December 2017. </w:t>
      </w:r>
      <w:r w:rsidR="0067488C" w:rsidRPr="00C63C66">
        <w:t>Six weeks public consultation on that Report was also undertaken by the Minister from 9 February 2018.</w:t>
      </w:r>
    </w:p>
    <w:p w14:paraId="27501AE5" w14:textId="35A145D0" w:rsidR="00CD11F5" w:rsidRPr="00C63C66" w:rsidRDefault="00CD11F5" w:rsidP="00CD11F5">
      <w:pPr>
        <w:pStyle w:val="Heading3"/>
      </w:pPr>
      <w:r w:rsidRPr="00C63C66">
        <w:t xml:space="preserve">Participants in the Consumer Data Right system </w:t>
      </w:r>
    </w:p>
    <w:p w14:paraId="02F9B9B3" w14:textId="205C165B" w:rsidR="004139B4" w:rsidRPr="00C63C66" w:rsidRDefault="004139B4" w:rsidP="004139B4">
      <w:pPr>
        <w:pStyle w:val="Heading4"/>
      </w:pPr>
      <w:r w:rsidRPr="00C63C66">
        <w:t>Data holders</w:t>
      </w:r>
    </w:p>
    <w:p w14:paraId="7AE43898" w14:textId="12593133" w:rsidR="00EF7F35" w:rsidRPr="00C63C66" w:rsidRDefault="00263046" w:rsidP="00362833">
      <w:pPr>
        <w:pStyle w:val="base-text-paragraph"/>
        <w:numPr>
          <w:ilvl w:val="1"/>
          <w:numId w:val="33"/>
        </w:numPr>
      </w:pPr>
      <w:r w:rsidRPr="00C63C66">
        <w:t xml:space="preserve">Data holders are a key player in the CDR regime as the entities that have </w:t>
      </w:r>
      <w:proofErr w:type="gramStart"/>
      <w:r w:rsidRPr="00C63C66">
        <w:t>collected</w:t>
      </w:r>
      <w:r w:rsidR="00706BF0" w:rsidRPr="00C63C66">
        <w:t>,</w:t>
      </w:r>
      <w:proofErr w:type="gramEnd"/>
      <w:r w:rsidRPr="00C63C66">
        <w:t xml:space="preserve"> generated </w:t>
      </w:r>
      <w:r w:rsidR="00706BF0" w:rsidRPr="00C63C66">
        <w:t xml:space="preserve">or hold </w:t>
      </w:r>
      <w:r w:rsidRPr="00C63C66">
        <w:t xml:space="preserve">data </w:t>
      </w:r>
      <w:r w:rsidR="00C740FD" w:rsidRPr="00C63C66">
        <w:t>set out in the designation instrument</w:t>
      </w:r>
      <w:r w:rsidR="002A5F8B" w:rsidRPr="00C63C66">
        <w:t>.</w:t>
      </w:r>
      <w:r w:rsidR="001059CA">
        <w:t xml:space="preserve"> </w:t>
      </w:r>
      <w:r w:rsidR="00EF7F35" w:rsidRPr="00647733">
        <w:rPr>
          <w:rStyle w:val="Referencingstyle"/>
        </w:rPr>
        <w:t xml:space="preserve">[Schedule 1, item 1, </w:t>
      </w:r>
      <w:r w:rsidR="007E687E" w:rsidRPr="00647733">
        <w:rPr>
          <w:rStyle w:val="Referencingstyle"/>
        </w:rPr>
        <w:t>sub</w:t>
      </w:r>
      <w:r w:rsidR="00EF7F35" w:rsidRPr="00647733">
        <w:rPr>
          <w:rStyle w:val="Referencingstyle"/>
        </w:rPr>
        <w:t>section 56A</w:t>
      </w:r>
      <w:r w:rsidR="00FA6839" w:rsidRPr="00647733">
        <w:rPr>
          <w:rStyle w:val="Referencingstyle"/>
        </w:rPr>
        <w:t>G</w:t>
      </w:r>
      <w:r w:rsidR="007E687E" w:rsidRPr="00647733">
        <w:rPr>
          <w:rStyle w:val="Referencingstyle"/>
        </w:rPr>
        <w:t>(1)</w:t>
      </w:r>
      <w:r w:rsidR="00EF7F35" w:rsidRPr="00647733">
        <w:rPr>
          <w:rStyle w:val="Referencingstyle"/>
        </w:rPr>
        <w:t>]</w:t>
      </w:r>
    </w:p>
    <w:p w14:paraId="5C9A85A6" w14:textId="2E189301" w:rsidR="001059CA" w:rsidRDefault="001059CA" w:rsidP="001059CA">
      <w:pPr>
        <w:pStyle w:val="base-text-paragraph"/>
        <w:numPr>
          <w:ilvl w:val="1"/>
          <w:numId w:val="33"/>
        </w:numPr>
      </w:pPr>
      <w:r w:rsidRPr="00C63C66">
        <w:t xml:space="preserve">Data holders are </w:t>
      </w:r>
      <w:r w:rsidRPr="00362833">
        <w:t>potentially</w:t>
      </w:r>
      <w:r w:rsidRPr="00C63C66">
        <w:t xml:space="preserve"> subject to rules mandating data access at the request of a consumer.</w:t>
      </w:r>
      <w:r w:rsidR="00683E00">
        <w:t xml:space="preserve"> </w:t>
      </w:r>
      <w:r w:rsidR="00683E00" w:rsidRPr="00C63C66">
        <w:t>No data holder will be required to disclose information at a consumer’s request in accordance with the CDR unless there is a rule that requires them to do so.</w:t>
      </w:r>
    </w:p>
    <w:p w14:paraId="4353AC8B" w14:textId="2FB51CDA" w:rsidR="00800ADB" w:rsidRPr="00C63C66" w:rsidRDefault="00800ADB" w:rsidP="001059CA">
      <w:pPr>
        <w:pStyle w:val="base-text-paragraph"/>
        <w:numPr>
          <w:ilvl w:val="1"/>
          <w:numId w:val="33"/>
        </w:numPr>
      </w:pPr>
      <w:r>
        <w:t xml:space="preserve">The Bill has been amended to more clearly set out who is a data holder. There are three circumstances. </w:t>
      </w:r>
    </w:p>
    <w:p w14:paraId="522094B6" w14:textId="7BC310DD" w:rsidR="00800ADB" w:rsidRDefault="002A5F8B" w:rsidP="00800ADB">
      <w:pPr>
        <w:pStyle w:val="Heading4"/>
      </w:pPr>
      <w:r w:rsidRPr="009061CC">
        <w:t xml:space="preserve">Case 1: </w:t>
      </w:r>
      <w:r w:rsidR="00F12BAE" w:rsidRPr="009061CC">
        <w:t>Designated</w:t>
      </w:r>
      <w:r w:rsidR="00486249" w:rsidRPr="009061CC">
        <w:t xml:space="preserve"> data holders</w:t>
      </w:r>
      <w:r w:rsidR="00486249" w:rsidRPr="00C63C66">
        <w:t xml:space="preserve"> </w:t>
      </w:r>
    </w:p>
    <w:p w14:paraId="3F5A6C47" w14:textId="775B7810" w:rsidR="005573D0" w:rsidRPr="00C63C66" w:rsidRDefault="00EF7F35" w:rsidP="00362833">
      <w:pPr>
        <w:pStyle w:val="base-text-paragraph"/>
        <w:numPr>
          <w:ilvl w:val="1"/>
          <w:numId w:val="33"/>
        </w:numPr>
      </w:pPr>
      <w:r w:rsidRPr="00C63C66">
        <w:t xml:space="preserve">Generally speaking, a data holder will be the entity </w:t>
      </w:r>
      <w:r w:rsidR="00FA6839" w:rsidRPr="00C63C66">
        <w:t xml:space="preserve">that </w:t>
      </w:r>
      <w:r w:rsidR="006B741B" w:rsidRPr="00C63C66">
        <w:t>is specified in the designation instrument</w:t>
      </w:r>
      <w:r w:rsidR="00647733">
        <w:rPr>
          <w:rStyle w:val="Referencingstyle"/>
        </w:rPr>
        <w:t xml:space="preserve">. </w:t>
      </w:r>
      <w:r w:rsidR="006B741B" w:rsidRPr="00800ADB">
        <w:rPr>
          <w:rStyle w:val="Referencingstyle"/>
        </w:rPr>
        <w:t>[Schedule 1, item 1, subsection 56AG(2)]</w:t>
      </w:r>
      <w:r w:rsidRPr="00C63C66">
        <w:t xml:space="preserve"> </w:t>
      </w:r>
    </w:p>
    <w:p w14:paraId="5705F237" w14:textId="77777777" w:rsidR="005573D0" w:rsidRPr="00C63C66" w:rsidRDefault="005573D0" w:rsidP="005573D0">
      <w:pPr>
        <w:pStyle w:val="ExampleHeading"/>
      </w:pPr>
    </w:p>
    <w:p w14:paraId="6D03919F" w14:textId="1EA32265" w:rsidR="00BE4FF8" w:rsidRPr="00C63C66" w:rsidRDefault="005573D0" w:rsidP="005573D0">
      <w:pPr>
        <w:pStyle w:val="exampletext"/>
      </w:pPr>
      <w:proofErr w:type="spellStart"/>
      <w:r w:rsidRPr="00C63C66">
        <w:t>BankY</w:t>
      </w:r>
      <w:proofErr w:type="spellEnd"/>
      <w:r w:rsidRPr="00C63C66">
        <w:t xml:space="preserve"> is a major Australian bank with many customers</w:t>
      </w:r>
      <w:r w:rsidR="00BE4FF8" w:rsidRPr="00C63C66">
        <w:t xml:space="preserve">. It collects transaction information for each of its customers reflecting the debit and credits on accounts. </w:t>
      </w:r>
    </w:p>
    <w:p w14:paraId="0B2BDBD0" w14:textId="027C5333" w:rsidR="00BE4FF8" w:rsidRPr="00C63C66" w:rsidRDefault="00BE4FF8" w:rsidP="005573D0">
      <w:pPr>
        <w:pStyle w:val="exampletext"/>
      </w:pPr>
      <w:r w:rsidRPr="00C63C66">
        <w:t xml:space="preserve">The designation instrument lists transaction information generated from providing a service or good related to a banking business as a “class of information”. </w:t>
      </w:r>
    </w:p>
    <w:p w14:paraId="6494C477" w14:textId="7E6F5DED" w:rsidR="005573D0" w:rsidRPr="00C63C66" w:rsidRDefault="00BE4FF8" w:rsidP="005573D0">
      <w:pPr>
        <w:pStyle w:val="exampletext"/>
      </w:pPr>
      <w:r w:rsidRPr="00C63C66">
        <w:t xml:space="preserve">The designation instrument also lists authorised deposit-taking institutions as a person holding such information. </w:t>
      </w:r>
    </w:p>
    <w:p w14:paraId="109F0DF3" w14:textId="0704491E" w:rsidR="005573D0" w:rsidRPr="00C63C66" w:rsidRDefault="005573D0" w:rsidP="005573D0">
      <w:pPr>
        <w:pStyle w:val="exampletext"/>
      </w:pPr>
      <w:proofErr w:type="spellStart"/>
      <w:r w:rsidRPr="00C63C66">
        <w:t>BankY</w:t>
      </w:r>
      <w:proofErr w:type="spellEnd"/>
      <w:r w:rsidRPr="00C63C66">
        <w:t xml:space="preserve"> is a data holder</w:t>
      </w:r>
      <w:r w:rsidR="00BE4FF8" w:rsidRPr="00C63C66">
        <w:t xml:space="preserve">. </w:t>
      </w:r>
      <w:r w:rsidRPr="00C63C66">
        <w:t xml:space="preserve">It generates and collects data that is </w:t>
      </w:r>
      <w:r w:rsidR="00C740FD" w:rsidRPr="00C63C66">
        <w:t xml:space="preserve">listed in the designation instrument and </w:t>
      </w:r>
      <w:r w:rsidR="00BE4FF8" w:rsidRPr="00C63C66">
        <w:t>is a specified person</w:t>
      </w:r>
      <w:r w:rsidRPr="00C63C66">
        <w:t xml:space="preserve">. </w:t>
      </w:r>
    </w:p>
    <w:p w14:paraId="0CC295D0" w14:textId="3BB4A0CB" w:rsidR="00800ADB" w:rsidRDefault="00800ADB" w:rsidP="00800ADB">
      <w:pPr>
        <w:pStyle w:val="Heading4"/>
      </w:pPr>
      <w:r w:rsidRPr="00800ADB">
        <w:t>Case 2: Reciprocal data holders</w:t>
      </w:r>
    </w:p>
    <w:p w14:paraId="7E4833D7" w14:textId="6FC83847" w:rsidR="007E7F56" w:rsidRPr="00C63C66" w:rsidRDefault="006B741B" w:rsidP="00362833">
      <w:pPr>
        <w:pStyle w:val="base-text-paragraph"/>
        <w:numPr>
          <w:ilvl w:val="1"/>
          <w:numId w:val="33"/>
        </w:numPr>
      </w:pPr>
      <w:r w:rsidRPr="00C63C66">
        <w:t>In some circumstances an accredited data recipient may also be a data holder.</w:t>
      </w:r>
      <w:r w:rsidR="007E7F56" w:rsidRPr="00C63C66">
        <w:t xml:space="preserve"> </w:t>
      </w:r>
    </w:p>
    <w:p w14:paraId="0A98157B" w14:textId="04528FB4" w:rsidR="007E7F56" w:rsidRPr="00C63C66" w:rsidRDefault="007E7F56" w:rsidP="00362833">
      <w:pPr>
        <w:pStyle w:val="base-text-paragraph"/>
        <w:numPr>
          <w:ilvl w:val="1"/>
          <w:numId w:val="33"/>
        </w:numPr>
      </w:pPr>
      <w:r w:rsidRPr="00C63C66">
        <w:t xml:space="preserve">An accredited data recipient </w:t>
      </w:r>
      <w:r w:rsidR="00800ADB">
        <w:t xml:space="preserve">will </w:t>
      </w:r>
      <w:r w:rsidRPr="00C63C66">
        <w:t>also be a data holder where the entity holds data specified in the designation instrument</w:t>
      </w:r>
      <w:r w:rsidR="00800ADB">
        <w:t xml:space="preserve"> and </w:t>
      </w:r>
      <w:r w:rsidR="001059CA">
        <w:t>this data</w:t>
      </w:r>
      <w:r w:rsidRPr="00C63C66">
        <w:t xml:space="preserve"> was not transferred to it under the consumer data rules</w:t>
      </w:r>
      <w:r w:rsidR="00006AEB">
        <w:t xml:space="preserve"> (or derived from such data)</w:t>
      </w:r>
      <w:r w:rsidRPr="00C63C66">
        <w:t xml:space="preserve">. </w:t>
      </w:r>
      <w:r w:rsidRPr="00800ADB">
        <w:rPr>
          <w:rStyle w:val="Referencingstyle"/>
        </w:rPr>
        <w:t>[Schedule 1, item 1, subsection 56AG(3)]</w:t>
      </w:r>
    </w:p>
    <w:p w14:paraId="15869E13" w14:textId="32D7C198" w:rsidR="006B741B" w:rsidRPr="00C63C66" w:rsidRDefault="007E7F56" w:rsidP="00362833">
      <w:pPr>
        <w:pStyle w:val="base-text-paragraph"/>
        <w:numPr>
          <w:ilvl w:val="1"/>
          <w:numId w:val="33"/>
        </w:numPr>
      </w:pPr>
      <w:r w:rsidRPr="00C63C66">
        <w:t>This could occur where the accredited data recipient provided similar services to an entity listed in the designation. For example, a non</w:t>
      </w:r>
      <w:r w:rsidRPr="00C63C66">
        <w:noBreakHyphen/>
        <w:t xml:space="preserve">ADI lender would also hold transaction information about credit </w:t>
      </w:r>
      <w:r w:rsidRPr="00C63C66">
        <w:lastRenderedPageBreak/>
        <w:t xml:space="preserve">provided to </w:t>
      </w:r>
      <w:r w:rsidR="00197BAC" w:rsidRPr="00C63C66">
        <w:t>its customers</w:t>
      </w:r>
      <w:r w:rsidR="00183D14">
        <w:t xml:space="preserve"> but as it is not an ADI it would not be captured under the scenario described in Case 1. </w:t>
      </w:r>
    </w:p>
    <w:p w14:paraId="423939EC" w14:textId="77777777" w:rsidR="007E7F56" w:rsidRPr="00C63C66" w:rsidRDefault="007E7F56" w:rsidP="007E7F56">
      <w:pPr>
        <w:pStyle w:val="ExampleHeading"/>
      </w:pPr>
    </w:p>
    <w:p w14:paraId="48F0B613" w14:textId="6EAA261E" w:rsidR="007E7F56" w:rsidRPr="00C63C66" w:rsidRDefault="007E7F56" w:rsidP="007E7F56">
      <w:pPr>
        <w:pStyle w:val="exampletext"/>
      </w:pPr>
      <w:proofErr w:type="spellStart"/>
      <w:r w:rsidRPr="00C63C66">
        <w:t>LendMeMoney</w:t>
      </w:r>
      <w:proofErr w:type="spellEnd"/>
      <w:r w:rsidRPr="00C63C66">
        <w:t xml:space="preserve"> is an accredited data recipient. It </w:t>
      </w:r>
      <w:r w:rsidR="00123B15" w:rsidRPr="00C63C66">
        <w:t xml:space="preserve">holds an Australian credit license </w:t>
      </w:r>
      <w:r w:rsidR="004B6143" w:rsidRPr="00C63C66">
        <w:t xml:space="preserve">and provides credit to its customers. As part of this service it generates and holds lists of the transactions for each consumer. </w:t>
      </w:r>
    </w:p>
    <w:p w14:paraId="36BF9454" w14:textId="472ED517" w:rsidR="004B6143" w:rsidRPr="00C63C66" w:rsidRDefault="004B6143" w:rsidP="004B6143">
      <w:pPr>
        <w:pStyle w:val="exampletext"/>
      </w:pPr>
      <w:r w:rsidRPr="00C63C66">
        <w:t xml:space="preserve">As an accredited entity it can also be disclosed this type of information from other data holders. </w:t>
      </w:r>
    </w:p>
    <w:p w14:paraId="5F1C008D" w14:textId="3FE59B2E" w:rsidR="007E7F56" w:rsidRPr="00C63C66" w:rsidRDefault="007E7F56" w:rsidP="007E7F56">
      <w:pPr>
        <w:pStyle w:val="exampletext"/>
      </w:pPr>
      <w:r w:rsidRPr="00C63C66">
        <w:t xml:space="preserve">For the data that it holds about its </w:t>
      </w:r>
      <w:r w:rsidR="004B6143" w:rsidRPr="00C63C66">
        <w:t xml:space="preserve">own </w:t>
      </w:r>
      <w:r w:rsidRPr="00C63C66">
        <w:t>customers</w:t>
      </w:r>
      <w:r w:rsidR="004B6143" w:rsidRPr="00C63C66">
        <w:t xml:space="preserve"> which reflects the credit services it provides its customers </w:t>
      </w:r>
      <w:proofErr w:type="spellStart"/>
      <w:r w:rsidRPr="00C63C66">
        <w:t>LendMeMoney</w:t>
      </w:r>
      <w:proofErr w:type="spellEnd"/>
      <w:r w:rsidRPr="00C63C66">
        <w:t xml:space="preserve"> would be a data holder</w:t>
      </w:r>
      <w:r w:rsidR="009C7115" w:rsidRPr="00C63C66">
        <w:t xml:space="preserve"> and potentially subject to access rights</w:t>
      </w:r>
      <w:r w:rsidRPr="00C63C66">
        <w:t xml:space="preserve">.  </w:t>
      </w:r>
    </w:p>
    <w:p w14:paraId="54C9FB8B" w14:textId="34E5F5E4" w:rsidR="00486249" w:rsidRPr="00C63C66" w:rsidRDefault="00183D14" w:rsidP="00362833">
      <w:pPr>
        <w:pStyle w:val="base-text-paragraph"/>
        <w:numPr>
          <w:ilvl w:val="1"/>
          <w:numId w:val="33"/>
        </w:numPr>
      </w:pPr>
      <w:r>
        <w:t xml:space="preserve">By treating an accredited entity as a data holder </w:t>
      </w:r>
      <w:r w:rsidR="00683E00">
        <w:t xml:space="preserve">the CDR data that the accredited entity collects or generates </w:t>
      </w:r>
      <w:r w:rsidR="00683E00" w:rsidRPr="00C63C66">
        <w:t xml:space="preserve">outside of the CDR </w:t>
      </w:r>
      <w:r w:rsidR="00683E00">
        <w:t xml:space="preserve">will be subject to the smaller subset of </w:t>
      </w:r>
      <w:r w:rsidR="00486249" w:rsidRPr="00C63C66">
        <w:t>Privacy Safeguards</w:t>
      </w:r>
    </w:p>
    <w:p w14:paraId="46427C06" w14:textId="3087C59C" w:rsidR="00683E00" w:rsidRDefault="002A5F8B" w:rsidP="00683E00">
      <w:pPr>
        <w:pStyle w:val="Heading4"/>
      </w:pPr>
      <w:r w:rsidRPr="00683E00">
        <w:t xml:space="preserve">Case 3: </w:t>
      </w:r>
      <w:r w:rsidR="00F12BAE" w:rsidRPr="00683E00">
        <w:t>Receiving</w:t>
      </w:r>
      <w:r w:rsidRPr="00683E00">
        <w:t xml:space="preserve"> data holder</w:t>
      </w:r>
      <w:r w:rsidR="00F12BAE" w:rsidRPr="00683E00">
        <w:t>s</w:t>
      </w:r>
    </w:p>
    <w:p w14:paraId="30458B0F" w14:textId="7F9CD143" w:rsidR="00197BAC" w:rsidRPr="00C63C66" w:rsidRDefault="00DB35C3" w:rsidP="00683E00">
      <w:pPr>
        <w:pStyle w:val="base-text-paragraph"/>
        <w:numPr>
          <w:ilvl w:val="1"/>
          <w:numId w:val="33"/>
        </w:numPr>
      </w:pPr>
      <w:r w:rsidRPr="00C63C66">
        <w:t xml:space="preserve">Finally, </w:t>
      </w:r>
      <w:r w:rsidR="00197BAC" w:rsidRPr="00C63C66">
        <w:t xml:space="preserve">a person will be a data holder where the person holds an accreditation, holds data included in the designation instrument as a result of a transfer under the consumer data rules and meets conditions included in the </w:t>
      </w:r>
      <w:r w:rsidR="0056738F" w:rsidRPr="00C63C66">
        <w:t>consumer data rules</w:t>
      </w:r>
      <w:r w:rsidR="00197BAC" w:rsidRPr="00C63C66">
        <w:t xml:space="preserve">. </w:t>
      </w:r>
      <w:r w:rsidR="00197BAC" w:rsidRPr="00683E00">
        <w:rPr>
          <w:rStyle w:val="Referencingstyle"/>
        </w:rPr>
        <w:t>[Schedule 1, item 1, subsection 56AG(4)]</w:t>
      </w:r>
    </w:p>
    <w:p w14:paraId="6BA14632" w14:textId="60684EA1" w:rsidR="00B44F2E" w:rsidRPr="00C63C66" w:rsidRDefault="00197BAC" w:rsidP="00362833">
      <w:pPr>
        <w:pStyle w:val="base-text-paragraph"/>
        <w:numPr>
          <w:ilvl w:val="1"/>
          <w:numId w:val="33"/>
        </w:numPr>
      </w:pPr>
      <w:r w:rsidRPr="00C63C66">
        <w:t xml:space="preserve">In these circumstances </w:t>
      </w:r>
      <w:r w:rsidR="0056738F" w:rsidRPr="00C63C66">
        <w:t xml:space="preserve">an accredited data recipient </w:t>
      </w:r>
      <w:r w:rsidRPr="00C63C66">
        <w:t xml:space="preserve">would be able to </w:t>
      </w:r>
      <w:r w:rsidR="0056738F" w:rsidRPr="00C63C66">
        <w:t xml:space="preserve">handle CDR data as a data holder. This has the effect of changing the privacy protections applying to the CDR data </w:t>
      </w:r>
      <w:r w:rsidR="000428DD" w:rsidRPr="00C63C66">
        <w:t>so that</w:t>
      </w:r>
      <w:r w:rsidR="0056738F" w:rsidRPr="00C63C66">
        <w:t xml:space="preserve"> the </w:t>
      </w:r>
      <w:r w:rsidR="007D522D" w:rsidRPr="00C63C66">
        <w:t>APPs</w:t>
      </w:r>
      <w:r w:rsidR="00683E00">
        <w:t>, as applicable,</w:t>
      </w:r>
      <w:r w:rsidR="000428DD" w:rsidRPr="00C63C66">
        <w:t xml:space="preserve"> apply</w:t>
      </w:r>
      <w:r w:rsidR="0056738F" w:rsidRPr="00C63C66">
        <w:t xml:space="preserve"> to a data holder’s ongoing use of </w:t>
      </w:r>
      <w:r w:rsidR="00E56D06" w:rsidRPr="00C63C66">
        <w:t xml:space="preserve">that </w:t>
      </w:r>
      <w:r w:rsidR="0056738F" w:rsidRPr="00C63C66">
        <w:t xml:space="preserve">CDR data. </w:t>
      </w:r>
    </w:p>
    <w:p w14:paraId="0A8DAFFD" w14:textId="145CEC13" w:rsidR="00B44F2E" w:rsidRPr="00C63C66" w:rsidRDefault="00B44F2E" w:rsidP="00362833">
      <w:pPr>
        <w:pStyle w:val="base-text-paragraph"/>
        <w:numPr>
          <w:ilvl w:val="1"/>
          <w:numId w:val="33"/>
        </w:numPr>
      </w:pPr>
      <w:r w:rsidRPr="00C63C66">
        <w:t xml:space="preserve">It would be expected that </w:t>
      </w:r>
      <w:r w:rsidR="00647733">
        <w:t xml:space="preserve">the conditions included in the rules </w:t>
      </w:r>
      <w:r w:rsidRPr="00C63C66">
        <w:t xml:space="preserve">would be </w:t>
      </w:r>
      <w:r w:rsidR="00647733">
        <w:t>that</w:t>
      </w:r>
      <w:r w:rsidR="002E39D8">
        <w:t>:</w:t>
      </w:r>
      <w:r w:rsidRPr="00C63C66">
        <w:t xml:space="preserve"> </w:t>
      </w:r>
    </w:p>
    <w:p w14:paraId="50795364" w14:textId="79EB4F60" w:rsidR="00B44F2E" w:rsidRPr="00C63C66" w:rsidRDefault="00B44F2E" w:rsidP="00593A3C">
      <w:pPr>
        <w:pStyle w:val="Bullet"/>
        <w:tabs>
          <w:tab w:val="clear" w:pos="520"/>
          <w:tab w:val="num" w:pos="2410"/>
        </w:tabs>
        <w:ind w:left="1985"/>
      </w:pPr>
      <w:r w:rsidRPr="00C63C66">
        <w:t xml:space="preserve">the data is data of a class that the accredited data recipient would generate or collect in the ordinary course of </w:t>
      </w:r>
      <w:r w:rsidR="00683E00">
        <w:t>its business outside of the CDR;</w:t>
      </w:r>
      <w:r w:rsidRPr="00C63C66">
        <w:t xml:space="preserve"> and </w:t>
      </w:r>
    </w:p>
    <w:p w14:paraId="3D858176" w14:textId="0BAC5015" w:rsidR="0056738F" w:rsidRPr="00C63C66" w:rsidRDefault="00B44F2E" w:rsidP="00593A3C">
      <w:pPr>
        <w:pStyle w:val="Bullet"/>
        <w:tabs>
          <w:tab w:val="clear" w:pos="520"/>
          <w:tab w:val="num" w:pos="2410"/>
        </w:tabs>
        <w:ind w:left="1985"/>
      </w:pPr>
      <w:proofErr w:type="gramStart"/>
      <w:r w:rsidRPr="00C63C66">
        <w:t>the</w:t>
      </w:r>
      <w:proofErr w:type="gramEnd"/>
      <w:r w:rsidRPr="00C63C66">
        <w:t xml:space="preserve"> accredited data recipient </w:t>
      </w:r>
      <w:r w:rsidR="00647733">
        <w:t>would</w:t>
      </w:r>
      <w:r w:rsidRPr="00C63C66">
        <w:t xml:space="preserve"> use the information for the same purpose as their ordinary business.</w:t>
      </w:r>
    </w:p>
    <w:p w14:paraId="3DBB3D2F" w14:textId="77777777" w:rsidR="000428DD" w:rsidRPr="00C63C66" w:rsidRDefault="000428DD" w:rsidP="000428DD">
      <w:pPr>
        <w:pStyle w:val="ExampleHeading"/>
      </w:pPr>
    </w:p>
    <w:p w14:paraId="53271687" w14:textId="77777777" w:rsidR="000428DD" w:rsidRPr="00C63C66" w:rsidRDefault="000428DD" w:rsidP="000428DD">
      <w:pPr>
        <w:pStyle w:val="exampletext"/>
      </w:pPr>
      <w:proofErr w:type="spellStart"/>
      <w:r w:rsidRPr="00C63C66">
        <w:t>BankY</w:t>
      </w:r>
      <w:proofErr w:type="spellEnd"/>
      <w:r w:rsidRPr="00C63C66">
        <w:t xml:space="preserve"> became an accredited data recipient so that it is able to receive CDR data. </w:t>
      </w:r>
    </w:p>
    <w:p w14:paraId="1D982CCF" w14:textId="60CB575F" w:rsidR="000428DD" w:rsidRPr="00C63C66" w:rsidRDefault="00B44F2E" w:rsidP="000428DD">
      <w:pPr>
        <w:pStyle w:val="exampletext"/>
      </w:pPr>
      <w:r w:rsidRPr="00C63C66">
        <w:t>Martin</w:t>
      </w:r>
      <w:r w:rsidR="000428DD" w:rsidRPr="00C63C66">
        <w:t xml:space="preserve"> switches to </w:t>
      </w:r>
      <w:proofErr w:type="spellStart"/>
      <w:r w:rsidR="000428DD" w:rsidRPr="00C63C66">
        <w:t>BankY</w:t>
      </w:r>
      <w:proofErr w:type="spellEnd"/>
      <w:r w:rsidR="000428DD" w:rsidRPr="00C63C66">
        <w:t xml:space="preserve">. He uses the CDR to transfer his historical data from Bank A to </w:t>
      </w:r>
      <w:proofErr w:type="spellStart"/>
      <w:r w:rsidR="000428DD" w:rsidRPr="00C63C66">
        <w:t>BankY</w:t>
      </w:r>
      <w:proofErr w:type="spellEnd"/>
      <w:r w:rsidR="000428DD" w:rsidRPr="00C63C66">
        <w:t xml:space="preserve">. </w:t>
      </w:r>
      <w:proofErr w:type="spellStart"/>
      <w:r w:rsidR="000428DD" w:rsidRPr="00C63C66">
        <w:t>BankY</w:t>
      </w:r>
      <w:proofErr w:type="spellEnd"/>
      <w:r w:rsidR="000428DD" w:rsidRPr="00C63C66">
        <w:t xml:space="preserve"> receives this data comprising banking information of the type </w:t>
      </w:r>
      <w:proofErr w:type="spellStart"/>
      <w:r w:rsidR="000428DD" w:rsidRPr="00C63C66">
        <w:t>BankY</w:t>
      </w:r>
      <w:proofErr w:type="spellEnd"/>
      <w:r w:rsidR="000428DD" w:rsidRPr="00C63C66">
        <w:t xml:space="preserve"> </w:t>
      </w:r>
      <w:r w:rsidRPr="00C63C66">
        <w:t>ordinaril</w:t>
      </w:r>
      <w:r w:rsidR="000428DD" w:rsidRPr="00C63C66">
        <w:t xml:space="preserve">y holds. </w:t>
      </w:r>
      <w:proofErr w:type="spellStart"/>
      <w:r w:rsidR="000428DD" w:rsidRPr="00C63C66">
        <w:t>BankY</w:t>
      </w:r>
      <w:proofErr w:type="spellEnd"/>
      <w:r w:rsidR="000428DD" w:rsidRPr="00C63C66">
        <w:t xml:space="preserve"> collects that data about </w:t>
      </w:r>
      <w:r w:rsidRPr="00C63C66">
        <w:t>Martin</w:t>
      </w:r>
      <w:r w:rsidR="000428DD" w:rsidRPr="00C63C66">
        <w:t xml:space="preserve"> as an accredited data recipient. </w:t>
      </w:r>
    </w:p>
    <w:p w14:paraId="1D4CBD5C" w14:textId="405807FB" w:rsidR="00E56D06" w:rsidRPr="00C63C66" w:rsidRDefault="00E56D06" w:rsidP="000428DD">
      <w:pPr>
        <w:pStyle w:val="exampletext"/>
      </w:pPr>
      <w:r w:rsidRPr="00C63C66">
        <w:t>The consumer data rules provide that if a CDR consumer transfers their banking business</w:t>
      </w:r>
      <w:r w:rsidR="00B44F2E" w:rsidRPr="00C63C66">
        <w:t>,</w:t>
      </w:r>
      <w:r w:rsidRPr="00C63C66">
        <w:t xml:space="preserve"> the recipient bank is able to treat banking </w:t>
      </w:r>
      <w:r w:rsidRPr="00C63C66">
        <w:lastRenderedPageBreak/>
        <w:t xml:space="preserve">information transferred under the consumer data rules as if the recipient bank was the data holder of the information. </w:t>
      </w:r>
    </w:p>
    <w:p w14:paraId="71FBCD06" w14:textId="73E3CB20" w:rsidR="000428DD" w:rsidRPr="00C63C66" w:rsidRDefault="000428DD" w:rsidP="000428DD">
      <w:pPr>
        <w:pStyle w:val="exampletext"/>
      </w:pPr>
      <w:r w:rsidRPr="00C63C66">
        <w:t xml:space="preserve">Because </w:t>
      </w:r>
      <w:r w:rsidR="00B44F2E" w:rsidRPr="00C63C66">
        <w:t>Martin</w:t>
      </w:r>
      <w:r w:rsidRPr="00C63C66">
        <w:t xml:space="preserve"> has transferred his banking business to </w:t>
      </w:r>
      <w:proofErr w:type="spellStart"/>
      <w:r w:rsidRPr="00C63C66">
        <w:t>BankY</w:t>
      </w:r>
      <w:proofErr w:type="spellEnd"/>
      <w:r w:rsidR="00E56D06" w:rsidRPr="00C63C66">
        <w:t>, Bank Y</w:t>
      </w:r>
      <w:r w:rsidRPr="00C63C66">
        <w:t xml:space="preserve"> </w:t>
      </w:r>
      <w:r w:rsidR="00E56D06" w:rsidRPr="00C63C66">
        <w:t xml:space="preserve">will be considered a </w:t>
      </w:r>
      <w:r w:rsidR="00B44F2E" w:rsidRPr="00C63C66">
        <w:t xml:space="preserve">recipient </w:t>
      </w:r>
      <w:r w:rsidR="00E56D06" w:rsidRPr="00C63C66">
        <w:t xml:space="preserve">data holder for this information. </w:t>
      </w:r>
    </w:p>
    <w:p w14:paraId="714E52EB" w14:textId="77777777" w:rsidR="00B44F2E" w:rsidRPr="00C63C66" w:rsidRDefault="00B44F2E" w:rsidP="00B44F2E">
      <w:pPr>
        <w:pStyle w:val="ExampleHeading"/>
      </w:pPr>
    </w:p>
    <w:p w14:paraId="64CFFB5A" w14:textId="77777777" w:rsidR="00B44F2E" w:rsidRPr="00C63C66" w:rsidRDefault="00B44F2E" w:rsidP="00B44F2E">
      <w:pPr>
        <w:pStyle w:val="exampletext"/>
      </w:pPr>
      <w:proofErr w:type="spellStart"/>
      <w:r w:rsidRPr="00C63C66">
        <w:t>BankY</w:t>
      </w:r>
      <w:proofErr w:type="spellEnd"/>
      <w:r w:rsidRPr="00C63C66">
        <w:t xml:space="preserve"> became an accredited data recipient so that it is able to receive CDR data. </w:t>
      </w:r>
    </w:p>
    <w:p w14:paraId="435C0B0F" w14:textId="13B4CA87" w:rsidR="00B44F2E" w:rsidRPr="00C63C66" w:rsidRDefault="00B44F2E" w:rsidP="00B44F2E">
      <w:pPr>
        <w:pStyle w:val="exampletext"/>
      </w:pPr>
      <w:r w:rsidRPr="00C63C66">
        <w:t xml:space="preserve">Martin switches to </w:t>
      </w:r>
      <w:proofErr w:type="spellStart"/>
      <w:r w:rsidRPr="00C63C66">
        <w:t>BankY</w:t>
      </w:r>
      <w:proofErr w:type="spellEnd"/>
      <w:r w:rsidRPr="00C63C66">
        <w:t xml:space="preserve">. </w:t>
      </w:r>
      <w:proofErr w:type="spellStart"/>
      <w:r w:rsidRPr="00C63C66">
        <w:t>BankY</w:t>
      </w:r>
      <w:proofErr w:type="spellEnd"/>
      <w:r w:rsidRPr="00C63C66">
        <w:t xml:space="preserve"> offers an energy consumption monitoring </w:t>
      </w:r>
      <w:r w:rsidR="000A4097" w:rsidRPr="00C63C66">
        <w:t xml:space="preserve">and alert </w:t>
      </w:r>
      <w:r w:rsidRPr="00C63C66">
        <w:t xml:space="preserve">service. Martin uses the CDR to </w:t>
      </w:r>
      <w:r w:rsidR="000A4097" w:rsidRPr="00C63C66">
        <w:t>monitor his</w:t>
      </w:r>
      <w:r w:rsidRPr="00C63C66">
        <w:t xml:space="preserve"> energy </w:t>
      </w:r>
      <w:r w:rsidR="000A4097" w:rsidRPr="00C63C66">
        <w:t xml:space="preserve">usage </w:t>
      </w:r>
      <w:r w:rsidRPr="00C63C66">
        <w:t xml:space="preserve">data from Energy A. </w:t>
      </w:r>
    </w:p>
    <w:p w14:paraId="6DE31AA4" w14:textId="5E7DBCF7" w:rsidR="00B44F2E" w:rsidRPr="00C63C66" w:rsidRDefault="00B44F2E" w:rsidP="008F2FFE">
      <w:pPr>
        <w:pStyle w:val="exampletext"/>
      </w:pPr>
      <w:proofErr w:type="spellStart"/>
      <w:r w:rsidRPr="00C63C66">
        <w:t>BankY</w:t>
      </w:r>
      <w:proofErr w:type="spellEnd"/>
      <w:r w:rsidRPr="00C63C66">
        <w:t xml:space="preserve"> receives this data comprising energy information of the type </w:t>
      </w:r>
      <w:proofErr w:type="spellStart"/>
      <w:r w:rsidRPr="00C63C66">
        <w:t>BankY</w:t>
      </w:r>
      <w:proofErr w:type="spellEnd"/>
      <w:r w:rsidRPr="00C63C66">
        <w:t xml:space="preserve"> does not ordinarily hold. </w:t>
      </w:r>
      <w:proofErr w:type="spellStart"/>
      <w:r w:rsidRPr="00C63C66">
        <w:t>BankY</w:t>
      </w:r>
      <w:proofErr w:type="spellEnd"/>
      <w:r w:rsidRPr="00C63C66">
        <w:t xml:space="preserve"> collects that data about Martin as an accredited data recipient.  </w:t>
      </w:r>
    </w:p>
    <w:p w14:paraId="3EAAB2FC" w14:textId="5F67F647" w:rsidR="00045759" w:rsidRPr="00C63C66" w:rsidRDefault="00045759" w:rsidP="00045759">
      <w:pPr>
        <w:pStyle w:val="Heading4"/>
      </w:pPr>
      <w:r w:rsidRPr="00C63C66">
        <w:t xml:space="preserve">Accredited </w:t>
      </w:r>
      <w:r w:rsidR="000C74F4" w:rsidRPr="00C63C66">
        <w:t>data recipients</w:t>
      </w:r>
    </w:p>
    <w:p w14:paraId="796AA586" w14:textId="72B9829E" w:rsidR="00647733" w:rsidRDefault="00647733" w:rsidP="00362833">
      <w:pPr>
        <w:pStyle w:val="base-text-paragraph"/>
        <w:numPr>
          <w:ilvl w:val="1"/>
          <w:numId w:val="33"/>
        </w:numPr>
      </w:pPr>
      <w:r>
        <w:t xml:space="preserve">For completeness, this exposure draft includes the definition of ‘accredited entity’. This definition is largely unchanged </w:t>
      </w:r>
      <w:r w:rsidR="008472FF">
        <w:t xml:space="preserve">from the earlier exposure draft </w:t>
      </w:r>
      <w:r>
        <w:t xml:space="preserve">except to allow for the changes to the definition of data holder. </w:t>
      </w:r>
    </w:p>
    <w:p w14:paraId="352AACE5" w14:textId="0B5D0A3B" w:rsidR="008126AF" w:rsidRPr="00C63C66" w:rsidRDefault="00176366" w:rsidP="00362833">
      <w:pPr>
        <w:pStyle w:val="base-text-paragraph"/>
        <w:numPr>
          <w:ilvl w:val="1"/>
          <w:numId w:val="33"/>
        </w:numPr>
      </w:pPr>
      <w:r w:rsidRPr="00C63C66">
        <w:t xml:space="preserve">Accredited </w:t>
      </w:r>
      <w:r w:rsidR="000C74F4" w:rsidRPr="00C63C66">
        <w:t>data recipients</w:t>
      </w:r>
      <w:r w:rsidRPr="00C63C66">
        <w:t xml:space="preserve"> are entities holding CDR data as a result of that CDR data being disclosed to them at the direction of a CDR consumer under the consumer data rules.</w:t>
      </w:r>
      <w:r w:rsidR="008126AF" w:rsidRPr="00362833">
        <w:rPr>
          <w:b/>
          <w:i/>
        </w:rPr>
        <w:t xml:space="preserve"> </w:t>
      </w:r>
      <w:r w:rsidR="008126AF" w:rsidRPr="00362833">
        <w:t>The person is not a data holder.</w:t>
      </w:r>
      <w:r w:rsidR="008126AF" w:rsidRPr="00362833">
        <w:rPr>
          <w:b/>
          <w:i/>
        </w:rPr>
        <w:t xml:space="preserve"> </w:t>
      </w:r>
      <w:r w:rsidR="008126AF" w:rsidRPr="00647733">
        <w:rPr>
          <w:rStyle w:val="Referencingstyle"/>
        </w:rPr>
        <w:t>[Schedule 1, item 1, subsection 56AGA]</w:t>
      </w:r>
    </w:p>
    <w:p w14:paraId="6C9D462B" w14:textId="42ABDB92" w:rsidR="000C74F4" w:rsidRPr="00C63C66" w:rsidRDefault="00261746" w:rsidP="00362833">
      <w:pPr>
        <w:pStyle w:val="base-text-paragraph"/>
        <w:numPr>
          <w:ilvl w:val="1"/>
          <w:numId w:val="33"/>
        </w:numPr>
      </w:pPr>
      <w:r w:rsidRPr="00C63C66">
        <w:t>The consumer data rules will provide that a CDR consumer’s right to access their data and direct a data holder to transfer the data to another entity</w:t>
      </w:r>
      <w:r w:rsidR="00647733">
        <w:t xml:space="preserve"> under the CDR</w:t>
      </w:r>
      <w:r w:rsidRPr="00C63C66">
        <w:t xml:space="preserve">, exists where </w:t>
      </w:r>
      <w:r w:rsidR="000C74F4" w:rsidRPr="00C63C66">
        <w:t>the entity hold</w:t>
      </w:r>
      <w:r w:rsidRPr="00C63C66">
        <w:t>s</w:t>
      </w:r>
      <w:r w:rsidR="000C74F4" w:rsidRPr="00C63C66">
        <w:t xml:space="preserve"> an accreditation. </w:t>
      </w:r>
      <w:r w:rsidR="00474E94" w:rsidRPr="00C63C66">
        <w:t xml:space="preserve">There is a limitation on the rule-making power that data holders can only be required to disclose CDR data to accredited persons. </w:t>
      </w:r>
      <w:r w:rsidR="000C74F4" w:rsidRPr="00C63C66">
        <w:t xml:space="preserve">Accreditation will initially be managed by the ACCC who will be the Data Recipient Accreditor. </w:t>
      </w:r>
      <w:r w:rsidR="00647733">
        <w:rPr>
          <w:rStyle w:val="Referencingstyle"/>
        </w:rPr>
        <w:t>[Schedule 1, item 1, subsection 56BC(3)</w:t>
      </w:r>
      <w:r w:rsidR="000C74F4" w:rsidRPr="00647733">
        <w:rPr>
          <w:rStyle w:val="Referencingstyle"/>
        </w:rPr>
        <w:t>]</w:t>
      </w:r>
    </w:p>
    <w:p w14:paraId="1B6369BD" w14:textId="27513CBA" w:rsidR="004D2028" w:rsidRDefault="00726FD2" w:rsidP="00362833">
      <w:pPr>
        <w:pStyle w:val="base-text-paragraph"/>
        <w:numPr>
          <w:ilvl w:val="1"/>
          <w:numId w:val="33"/>
        </w:numPr>
      </w:pPr>
      <w:r w:rsidRPr="00C63C66">
        <w:t>Data</w:t>
      </w:r>
      <w:r w:rsidR="004D2028" w:rsidRPr="00C63C66">
        <w:t xml:space="preserve"> holders within the CDR system will only be treated as accredited data recipients if they seek to participate in CDR as recipients of CDR data.</w:t>
      </w:r>
    </w:p>
    <w:p w14:paraId="0F09FCF4" w14:textId="77777777" w:rsidR="0088222D" w:rsidRPr="00C63C66" w:rsidRDefault="0088222D" w:rsidP="0088222D">
      <w:pPr>
        <w:pStyle w:val="base-text-paragraph"/>
        <w:numPr>
          <w:ilvl w:val="1"/>
          <w:numId w:val="33"/>
        </w:numPr>
      </w:pPr>
      <w:r w:rsidRPr="00C63C66">
        <w:t xml:space="preserve">If a data holder wishes to access CDR data as a recipient, the data holder must be an accredited data recipient and its use, disclosure, collection, storage and deletion of received CDR data will be subject to the Privacy Safeguards and the consumer data rules. </w:t>
      </w:r>
    </w:p>
    <w:p w14:paraId="1E43B369" w14:textId="2BEA86E0" w:rsidR="00CD11F5" w:rsidRPr="00C63C66" w:rsidRDefault="00C55542" w:rsidP="00362833">
      <w:pPr>
        <w:pStyle w:val="base-text-paragraph"/>
        <w:numPr>
          <w:ilvl w:val="1"/>
          <w:numId w:val="33"/>
        </w:numPr>
      </w:pPr>
      <w:r w:rsidRPr="00C63C66">
        <w:t>Other data that could be transferred to a non-accredited entity i</w:t>
      </w:r>
      <w:r w:rsidR="00474E94" w:rsidRPr="00C63C66">
        <w:t>s</w:t>
      </w:r>
      <w:r w:rsidRPr="00C63C66">
        <w:t xml:space="preserve"> CDR data that does not relate to the CDR consumer, such as general product information. </w:t>
      </w:r>
      <w:r w:rsidR="004B4E84" w:rsidRPr="00647733">
        <w:rPr>
          <w:rStyle w:val="Referencingstyle"/>
        </w:rPr>
        <w:t>[Schedule 1, item 1, sections 56</w:t>
      </w:r>
      <w:r w:rsidR="007D522D" w:rsidRPr="00647733">
        <w:rPr>
          <w:rStyle w:val="Referencingstyle"/>
        </w:rPr>
        <w:t>BB and 56BD</w:t>
      </w:r>
      <w:r w:rsidR="004B4E84" w:rsidRPr="00647733">
        <w:rPr>
          <w:rStyle w:val="Referencingstyle"/>
        </w:rPr>
        <w:t>)]</w:t>
      </w:r>
    </w:p>
    <w:p w14:paraId="658AA2C2" w14:textId="5F451910" w:rsidR="001E2537" w:rsidRPr="00C63C66" w:rsidRDefault="001E2537" w:rsidP="00FA6839">
      <w:pPr>
        <w:pStyle w:val="Heading4"/>
      </w:pPr>
      <w:r w:rsidRPr="00C63C66">
        <w:lastRenderedPageBreak/>
        <w:t xml:space="preserve">CDR data </w:t>
      </w:r>
    </w:p>
    <w:p w14:paraId="35AAEC94" w14:textId="78DF64E8" w:rsidR="001E2537" w:rsidRPr="00362833" w:rsidRDefault="001E2537" w:rsidP="00362833">
      <w:pPr>
        <w:pStyle w:val="base-text-paragraph"/>
        <w:numPr>
          <w:ilvl w:val="1"/>
          <w:numId w:val="33"/>
        </w:numPr>
      </w:pPr>
      <w:r w:rsidRPr="00C63C66">
        <w:t xml:space="preserve">The new concepts of CDR data and CDR consumer are created to clarify how the CDR system applies to information and consumers. </w:t>
      </w:r>
      <w:r w:rsidRPr="00DB5BDD">
        <w:rPr>
          <w:rStyle w:val="Referencingstyle"/>
        </w:rPr>
        <w:t>[S</w:t>
      </w:r>
      <w:r w:rsidR="0075165F" w:rsidRPr="00DB5BDD">
        <w:rPr>
          <w:rStyle w:val="Referencingstyle"/>
        </w:rPr>
        <w:t>chedule 1, item 1, section 56AF</w:t>
      </w:r>
      <w:r w:rsidRPr="00DB5BDD">
        <w:rPr>
          <w:rStyle w:val="Referencingstyle"/>
        </w:rPr>
        <w:t>]</w:t>
      </w:r>
    </w:p>
    <w:p w14:paraId="3082C899" w14:textId="18C4FE83" w:rsidR="001E2537" w:rsidRPr="00C63C66" w:rsidRDefault="001E2537" w:rsidP="00362833">
      <w:pPr>
        <w:pStyle w:val="base-text-paragraph"/>
        <w:numPr>
          <w:ilvl w:val="1"/>
          <w:numId w:val="33"/>
        </w:numPr>
      </w:pPr>
      <w:r w:rsidRPr="00C63C66">
        <w:t xml:space="preserve">CDR data will be data that is outlined in the instrument designating a sector and any information that is </w:t>
      </w:r>
      <w:r w:rsidR="0075165F" w:rsidRPr="00C63C66">
        <w:t xml:space="preserve">subsequently </w:t>
      </w:r>
      <w:r w:rsidRPr="00C63C66">
        <w:t>derived from that data.</w:t>
      </w:r>
      <w:r w:rsidR="006566E8" w:rsidRPr="00C63C66">
        <w:t xml:space="preserve"> CDR data can include product information, records</w:t>
      </w:r>
      <w:r w:rsidR="00474E94" w:rsidRPr="00C63C66">
        <w:t xml:space="preserve"> of usage of a good or service,</w:t>
      </w:r>
      <w:r w:rsidR="006566E8" w:rsidRPr="00C63C66">
        <w:t xml:space="preserve"> or any other data </w:t>
      </w:r>
      <w:r w:rsidR="0075165F" w:rsidRPr="00C63C66">
        <w:t>specified in</w:t>
      </w:r>
      <w:r w:rsidR="006566E8" w:rsidRPr="00C63C66">
        <w:t xml:space="preserve"> the designation</w:t>
      </w:r>
      <w:r w:rsidR="00617C67" w:rsidRPr="00C63C66">
        <w:t>; the data can relate to natural and legal persons</w:t>
      </w:r>
      <w:r w:rsidR="006566E8" w:rsidRPr="00C63C66">
        <w:t>.</w:t>
      </w:r>
      <w:r w:rsidR="0005182A" w:rsidRPr="00C63C66">
        <w:t xml:space="preserve"> </w:t>
      </w:r>
    </w:p>
    <w:p w14:paraId="0D5C4225" w14:textId="7F2D6A89" w:rsidR="00DB5BDD" w:rsidRDefault="008F2FFE" w:rsidP="00362833">
      <w:pPr>
        <w:pStyle w:val="base-text-paragraph"/>
        <w:numPr>
          <w:ilvl w:val="1"/>
          <w:numId w:val="33"/>
        </w:numPr>
      </w:pPr>
      <w:r w:rsidRPr="00C63C66">
        <w:t xml:space="preserve">While the definition of CDR data may appear broad, the data </w:t>
      </w:r>
      <w:r w:rsidR="00012897">
        <w:t xml:space="preserve">that data holders may be required to give access to </w:t>
      </w:r>
      <w:proofErr w:type="gramStart"/>
      <w:r w:rsidRPr="00C63C66">
        <w:t>is</w:t>
      </w:r>
      <w:proofErr w:type="gramEnd"/>
      <w:r w:rsidRPr="00C63C66">
        <w:t xml:space="preserve"> limited to </w:t>
      </w:r>
      <w:r w:rsidR="00DB5BDD">
        <w:t>the information</w:t>
      </w:r>
      <w:r w:rsidR="00997B61">
        <w:t xml:space="preserve"> specified</w:t>
      </w:r>
      <w:r w:rsidRPr="00C63C66">
        <w:t xml:space="preserve"> in the designation instrument. </w:t>
      </w:r>
      <w:r w:rsidR="00012897">
        <w:t xml:space="preserve">Mandatory access to data that </w:t>
      </w:r>
      <w:r w:rsidR="00DB5BDD">
        <w:t>does not</w:t>
      </w:r>
      <w:r w:rsidR="00012897">
        <w:t xml:space="preserve"> relate to an identified consumer is further limited to data about products.</w:t>
      </w:r>
      <w:r w:rsidR="00234493">
        <w:t xml:space="preserve"> </w:t>
      </w:r>
      <w:r w:rsidR="00DB5BDD" w:rsidRPr="00DB5BDD">
        <w:rPr>
          <w:rStyle w:val="Referencingstyle"/>
        </w:rPr>
        <w:t>[Schedule 1, item 1, subsection 56BC(4)</w:t>
      </w:r>
      <w:r w:rsidR="00DB5BDD">
        <w:rPr>
          <w:rStyle w:val="Referencingstyle"/>
        </w:rPr>
        <w:t xml:space="preserve"> and 54BD(2)]</w:t>
      </w:r>
    </w:p>
    <w:p w14:paraId="13BCABCD" w14:textId="21615085" w:rsidR="00DB5BDD" w:rsidRPr="00362833" w:rsidRDefault="00DB5BDD" w:rsidP="00DB5BDD">
      <w:pPr>
        <w:pStyle w:val="base-text-paragraph"/>
        <w:numPr>
          <w:ilvl w:val="1"/>
          <w:numId w:val="33"/>
        </w:numPr>
      </w:pPr>
      <w:r w:rsidRPr="00362833">
        <w:t>T</w:t>
      </w:r>
      <w:r>
        <w:t>h</w:t>
      </w:r>
      <w:r w:rsidRPr="00362833">
        <w:t>e second limb of the definition of CDR data, data that is ‘derived’ from data in the designation instru</w:t>
      </w:r>
      <w:r>
        <w:t>ment, only</w:t>
      </w:r>
      <w:r w:rsidRPr="00362833">
        <w:t xml:space="preserve"> has effect for the purpose of the Privacy Safeguards and the scope of the rule-making power outside of disclosures of data. </w:t>
      </w:r>
    </w:p>
    <w:p w14:paraId="7D91C5C3" w14:textId="1919A70D" w:rsidR="00A44686" w:rsidRPr="00C63C66" w:rsidRDefault="00053676" w:rsidP="00053676">
      <w:pPr>
        <w:pStyle w:val="base-text-paragraph"/>
        <w:numPr>
          <w:ilvl w:val="0"/>
          <w:numId w:val="0"/>
        </w:numPr>
        <w:ind w:left="1134"/>
        <w:rPr>
          <w:b/>
          <w:i/>
        </w:rPr>
      </w:pPr>
      <w:r w:rsidRPr="00C63C66">
        <w:rPr>
          <w:b/>
          <w:i/>
        </w:rPr>
        <w:t>CDR consumer</w:t>
      </w:r>
    </w:p>
    <w:p w14:paraId="20307C64" w14:textId="77777777" w:rsidR="00A40492" w:rsidRDefault="00A40492" w:rsidP="00A40492">
      <w:pPr>
        <w:pStyle w:val="base-text-paragraph"/>
        <w:numPr>
          <w:ilvl w:val="1"/>
          <w:numId w:val="32"/>
        </w:numPr>
      </w:pPr>
      <w:r>
        <w:t>The definition of a CDR consumer limits mandatory access requirements to data relating to an identified consumer and the supply of a good or service to them or their associate.</w:t>
      </w:r>
    </w:p>
    <w:p w14:paraId="7F20BD4D" w14:textId="77777777" w:rsidR="00A40492" w:rsidRPr="00C63C66" w:rsidRDefault="00A40492" w:rsidP="00A40492">
      <w:pPr>
        <w:pStyle w:val="base-text-paragraph"/>
        <w:numPr>
          <w:ilvl w:val="1"/>
          <w:numId w:val="4"/>
        </w:numPr>
      </w:pPr>
      <w:r w:rsidRPr="00C63C66">
        <w:t xml:space="preserve">CDR data </w:t>
      </w:r>
      <w:r>
        <w:t xml:space="preserve">is </w:t>
      </w:r>
      <w:r w:rsidRPr="00C63C66">
        <w:t xml:space="preserve">data that ‘relates’ to a CDR consumer. The concept of ‘relates to’ is a broader concept than information ‘about’ an identifiable or reasonably identifiable person under the Privacy Act. The term ‘relates’ has a broader meaning than ‘about’ and is intended to capture, for example meta-data of the type found not to be about an individual in </w:t>
      </w:r>
      <w:r w:rsidRPr="00CC3C53">
        <w:rPr>
          <w:i/>
        </w:rPr>
        <w:t>Privacy Commissioner v Telstra Corporation Limited</w:t>
      </w:r>
      <w:r w:rsidRPr="00C63C66">
        <w:t xml:space="preserve"> [2017] FCAFA 4 (19 January 2017). </w:t>
      </w:r>
    </w:p>
    <w:p w14:paraId="260B1CEC" w14:textId="77777777" w:rsidR="00A40492" w:rsidRDefault="00A40492" w:rsidP="00A40492">
      <w:pPr>
        <w:pStyle w:val="base-text-paragraph"/>
        <w:numPr>
          <w:ilvl w:val="1"/>
          <w:numId w:val="4"/>
        </w:numPr>
      </w:pPr>
      <w:r w:rsidRPr="00C63C66">
        <w:t xml:space="preserve">Relates </w:t>
      </w:r>
      <w:r>
        <w:t xml:space="preserve">can </w:t>
      </w:r>
      <w:r w:rsidRPr="00C63C66">
        <w:t>include reference to an identifier such as a name, an identification number, location data of the person or of products that would reasonably be expected to be co-located with either the person or their address, an online identifier (including cookie identifiers and internet protocol addresses) or to one or more factors specific to the physical, physiological, genetic, mental, behavioural (including predictions of behaviours or preferences), economic, cultural or social identity or  characteristics of that person. Where information is primarily about a good or service, but reveal</w:t>
      </w:r>
      <w:r>
        <w:t>s</w:t>
      </w:r>
      <w:r w:rsidRPr="00C63C66">
        <w:t xml:space="preserve"> information about a consumer’s use of that good or service, it relates to the consumer.</w:t>
      </w:r>
    </w:p>
    <w:p w14:paraId="3D5D74DB" w14:textId="77777777" w:rsidR="009C7322" w:rsidRPr="00C63C66" w:rsidRDefault="001E2537" w:rsidP="00362833">
      <w:pPr>
        <w:pStyle w:val="base-text-paragraph"/>
        <w:numPr>
          <w:ilvl w:val="1"/>
          <w:numId w:val="33"/>
        </w:numPr>
      </w:pPr>
      <w:r w:rsidRPr="00C63C66">
        <w:t>The CDR consumer is broader than the CC Act definition of a consumer. This is because the CDR system will apply to</w:t>
      </w:r>
      <w:r w:rsidR="0075165F" w:rsidRPr="00C63C66">
        <w:t xml:space="preserve"> business consumers</w:t>
      </w:r>
      <w:r w:rsidRPr="00C63C66">
        <w:t xml:space="preserve">. </w:t>
      </w:r>
    </w:p>
    <w:p w14:paraId="2D5AD070" w14:textId="2F6BDB34" w:rsidR="00DB5BDD" w:rsidRDefault="001E2537" w:rsidP="00362833">
      <w:pPr>
        <w:pStyle w:val="base-text-paragraph"/>
        <w:numPr>
          <w:ilvl w:val="1"/>
          <w:numId w:val="33"/>
        </w:numPr>
      </w:pPr>
      <w:r w:rsidRPr="00C63C66">
        <w:lastRenderedPageBreak/>
        <w:t>The CDR consumer is a</w:t>
      </w:r>
      <w:r w:rsidR="00C46C8A" w:rsidRPr="00C63C66">
        <w:t xml:space="preserve">n identifiable or reasonably identifiable </w:t>
      </w:r>
      <w:r w:rsidRPr="00C63C66">
        <w:t xml:space="preserve">person, including a small, medium or large business enterprise, </w:t>
      </w:r>
      <w:r w:rsidR="009C7322" w:rsidRPr="00C63C66">
        <w:t>to</w:t>
      </w:r>
      <w:r w:rsidRPr="00C63C66">
        <w:t xml:space="preserve"> </w:t>
      </w:r>
      <w:proofErr w:type="gramStart"/>
      <w:r w:rsidRPr="00C63C66">
        <w:t>whom</w:t>
      </w:r>
      <w:proofErr w:type="gramEnd"/>
      <w:r w:rsidR="009C7322" w:rsidRPr="00C63C66">
        <w:t xml:space="preserve"> the </w:t>
      </w:r>
      <w:r w:rsidRPr="00C63C66">
        <w:t xml:space="preserve">CDR data </w:t>
      </w:r>
      <w:r w:rsidR="009C7322" w:rsidRPr="00C63C66">
        <w:t>relates because of the supply of a good or service either to the person or an associate of the person.</w:t>
      </w:r>
      <w:r w:rsidR="00E9627A" w:rsidRPr="00C63C66">
        <w:t xml:space="preserve"> </w:t>
      </w:r>
      <w:r w:rsidR="00DB5BDD" w:rsidRPr="00C63C66">
        <w:t xml:space="preserve">The CDR data will be held by or on behalf of a data holder or accredited data recipient entity under the CDR system. </w:t>
      </w:r>
      <w:r w:rsidR="00DB5BDD" w:rsidRPr="00DB5BDD">
        <w:rPr>
          <w:rStyle w:val="Referencingstyle"/>
        </w:rPr>
        <w:t>[Schedule 1, item 1, subsections 56AF</w:t>
      </w:r>
      <w:r w:rsidR="00DB5BDD">
        <w:rPr>
          <w:rStyle w:val="Referencingstyle"/>
        </w:rPr>
        <w:t>(3</w:t>
      </w:r>
      <w:r w:rsidR="00DB5BDD" w:rsidRPr="00DB5BDD">
        <w:rPr>
          <w:rStyle w:val="Referencingstyle"/>
        </w:rPr>
        <w:t>)</w:t>
      </w:r>
      <w:r w:rsidR="00DB5BDD">
        <w:rPr>
          <w:rStyle w:val="Referencingstyle"/>
        </w:rPr>
        <w:t xml:space="preserve"> and 56AF(4</w:t>
      </w:r>
      <w:r w:rsidR="00DB5BDD" w:rsidRPr="00DB5BDD">
        <w:rPr>
          <w:rStyle w:val="Referencingstyle"/>
        </w:rPr>
        <w:t>)]</w:t>
      </w:r>
    </w:p>
    <w:p w14:paraId="288E71FE" w14:textId="20AD4FE6" w:rsidR="001E2537" w:rsidRPr="00C63C66" w:rsidRDefault="00E9627A" w:rsidP="00362833">
      <w:pPr>
        <w:pStyle w:val="base-text-paragraph"/>
        <w:numPr>
          <w:ilvl w:val="1"/>
          <w:numId w:val="33"/>
        </w:numPr>
      </w:pPr>
      <w:r w:rsidRPr="00C63C66">
        <w:t xml:space="preserve">While the government has determined that Open Banking will apply to large customers, </w:t>
      </w:r>
      <w:r w:rsidR="00C35981" w:rsidRPr="00C63C66">
        <w:t xml:space="preserve">the extent of the definition of CDR consumer can be narrowed on a sector by sector basis through the designation process and the rule-making process. For example, in the banking sector, it is proposed that the access and transfer right under the rules will not extend to large customers who have bespoke arrangements. </w:t>
      </w:r>
    </w:p>
    <w:p w14:paraId="79BF3092" w14:textId="77777777" w:rsidR="001E2537" w:rsidRPr="00C63C66" w:rsidRDefault="001E2537" w:rsidP="001E2537">
      <w:pPr>
        <w:pStyle w:val="ExampleHeading"/>
      </w:pPr>
    </w:p>
    <w:p w14:paraId="4E325D37" w14:textId="504F5BE1" w:rsidR="001E2537" w:rsidRPr="00C63C66" w:rsidRDefault="001E2537" w:rsidP="001E2537">
      <w:pPr>
        <w:pStyle w:val="exampletext"/>
      </w:pPr>
      <w:r w:rsidRPr="00C63C66">
        <w:t xml:space="preserve">TBM is a large corporation specialising in manufacturing bicycle parts. It obtains banking services from one of the medium sized banks operating in Australia, Stately Bank. Following the designation of the banking sector as a CDR sector, TBM is keen to send its designated banking data to a </w:t>
      </w:r>
      <w:proofErr w:type="spellStart"/>
      <w:r w:rsidRPr="00C63C66">
        <w:t>fintech</w:t>
      </w:r>
      <w:proofErr w:type="spellEnd"/>
      <w:r w:rsidRPr="00C63C66">
        <w:t xml:space="preserve">, </w:t>
      </w:r>
      <w:proofErr w:type="spellStart"/>
      <w:r w:rsidR="009C7322" w:rsidRPr="00C63C66">
        <w:t>MoneyMoney</w:t>
      </w:r>
      <w:proofErr w:type="spellEnd"/>
      <w:r w:rsidRPr="00C63C66">
        <w:t>, to check whether it is getting the best banking services.</w:t>
      </w:r>
    </w:p>
    <w:p w14:paraId="44179A3D" w14:textId="29588218" w:rsidR="001E2537" w:rsidRPr="00C63C66" w:rsidRDefault="001E2537" w:rsidP="001E2537">
      <w:pPr>
        <w:pStyle w:val="exampletext"/>
      </w:pPr>
      <w:r w:rsidRPr="00C63C66">
        <w:t xml:space="preserve">TBM would not be covered by the definition of ‘consumer’ in section 4 of the CC Act. However, because </w:t>
      </w:r>
      <w:r w:rsidR="0005182A" w:rsidRPr="00C63C66">
        <w:t>Stately Bank</w:t>
      </w:r>
      <w:r w:rsidRPr="00C63C66">
        <w:t xml:space="preserve"> has data </w:t>
      </w:r>
      <w:r w:rsidR="0005182A" w:rsidRPr="00C63C66">
        <w:t xml:space="preserve">about TBM </w:t>
      </w:r>
      <w:r w:rsidRPr="00C63C66">
        <w:t>that is covered by the designated data set applying to the banking sector, TBM is a CDR consumer and is able to participate in the CDR system.</w:t>
      </w:r>
    </w:p>
    <w:p w14:paraId="1BD1A05F" w14:textId="77777777" w:rsidR="00717C88" w:rsidRPr="00C63C66" w:rsidRDefault="009C7322" w:rsidP="00362833">
      <w:pPr>
        <w:pStyle w:val="base-text-paragraph"/>
        <w:numPr>
          <w:ilvl w:val="1"/>
          <w:numId w:val="33"/>
        </w:numPr>
      </w:pPr>
      <w:bookmarkStart w:id="8" w:name="_Ref524701241"/>
      <w:r w:rsidRPr="00C63C66">
        <w:t xml:space="preserve">The term ‘associate’ is defined with reference to the </w:t>
      </w:r>
      <w:r w:rsidR="00717C88" w:rsidRPr="0003346F">
        <w:rPr>
          <w:i/>
        </w:rPr>
        <w:t>Income Tax Assessment Act 1936</w:t>
      </w:r>
      <w:r w:rsidR="00717C88" w:rsidRPr="00C63C66">
        <w:t>. It is a broad definition and includes a person’s relatives such as spouse, children or siblings.</w:t>
      </w:r>
      <w:bookmarkEnd w:id="8"/>
      <w:r w:rsidR="00717C88" w:rsidRPr="00C63C66">
        <w:t xml:space="preserve"> </w:t>
      </w:r>
    </w:p>
    <w:p w14:paraId="3C0C8408" w14:textId="3AFC7783" w:rsidR="009C7322" w:rsidRPr="00C63C66" w:rsidRDefault="00717C88" w:rsidP="00362833">
      <w:pPr>
        <w:pStyle w:val="base-text-paragraph"/>
        <w:numPr>
          <w:ilvl w:val="1"/>
          <w:numId w:val="33"/>
        </w:numPr>
      </w:pPr>
      <w:r w:rsidRPr="00C63C66">
        <w:t xml:space="preserve">It means that where a </w:t>
      </w:r>
      <w:r w:rsidR="000C35AD" w:rsidRPr="00C63C66">
        <w:t xml:space="preserve">person uses a good or service (person 1) </w:t>
      </w:r>
      <w:r w:rsidRPr="00C63C66">
        <w:t>but the contract or similar is in the name of someone else</w:t>
      </w:r>
      <w:r w:rsidR="000C35AD" w:rsidRPr="00C63C66">
        <w:t xml:space="preserve"> (person 2), the ACCC </w:t>
      </w:r>
      <w:r w:rsidR="00DB5BDD">
        <w:t>is able to</w:t>
      </w:r>
      <w:r w:rsidR="000C35AD" w:rsidRPr="00C63C66">
        <w:t xml:space="preserve"> write rules allowing person 1 the right to access or direct the transfer of information </w:t>
      </w:r>
      <w:r w:rsidR="00DB5BDD">
        <w:t>about</w:t>
      </w:r>
      <w:r w:rsidR="000C35AD" w:rsidRPr="00C63C66">
        <w:t xml:space="preserve"> their use of the good or service.</w:t>
      </w:r>
    </w:p>
    <w:p w14:paraId="776EE67C" w14:textId="77777777" w:rsidR="000C35AD" w:rsidRPr="00C63C66" w:rsidRDefault="000C35AD" w:rsidP="00593A3C">
      <w:pPr>
        <w:pStyle w:val="ExampleHeading"/>
        <w:ind w:left="1702"/>
      </w:pPr>
    </w:p>
    <w:p w14:paraId="741BFF9B" w14:textId="4D7C2BC8" w:rsidR="000C35AD" w:rsidRPr="00C63C66" w:rsidRDefault="00316F3B" w:rsidP="00593A3C">
      <w:pPr>
        <w:pStyle w:val="exampletext"/>
      </w:pPr>
      <w:r w:rsidRPr="00C63C66">
        <w:t xml:space="preserve">Mark is an additional card holder of </w:t>
      </w:r>
      <w:r w:rsidR="000C35AD" w:rsidRPr="00C63C66">
        <w:t>Amanda</w:t>
      </w:r>
      <w:r w:rsidRPr="00C63C66">
        <w:t>’s credit card. Mark is the primary user of the credit card. Under the ACCC access and transfer rules, Mark is able to request that the credit card information be transferred to a third party. Due to the notification requirements in Privacy Safeguard 10, Amanda is notified of this disclosure prior to the disclosure, as specified in the Consumer Data Rules.</w:t>
      </w:r>
    </w:p>
    <w:p w14:paraId="694B6626" w14:textId="63428707" w:rsidR="00316F3B" w:rsidRPr="00C63C66" w:rsidRDefault="00316F3B" w:rsidP="00593A3C">
      <w:pPr>
        <w:pStyle w:val="exampletext"/>
      </w:pPr>
      <w:r w:rsidRPr="00C63C66">
        <w:t>If Amanda requests disclosure of this information, the rules can require that Mark be notified.</w:t>
      </w:r>
    </w:p>
    <w:p w14:paraId="60102A82" w14:textId="691D8775" w:rsidR="00C46C8A" w:rsidRPr="00C63C66" w:rsidRDefault="00C46C8A" w:rsidP="00362833">
      <w:pPr>
        <w:pStyle w:val="base-text-paragraph"/>
        <w:numPr>
          <w:ilvl w:val="1"/>
          <w:numId w:val="33"/>
        </w:numPr>
      </w:pPr>
      <w:r w:rsidRPr="00C63C66">
        <w:t xml:space="preserve">Whether information is about a </w:t>
      </w:r>
      <w:r w:rsidRPr="00C63C66">
        <w:rPr>
          <w:rFonts w:hint="eastAsia"/>
        </w:rPr>
        <w:t>‘</w:t>
      </w:r>
      <w:r w:rsidRPr="00C63C66">
        <w:t>reasonably</w:t>
      </w:r>
      <w:r w:rsidRPr="00C63C66">
        <w:rPr>
          <w:rFonts w:hint="eastAsia"/>
        </w:rPr>
        <w:t>’</w:t>
      </w:r>
      <w:r w:rsidRPr="00C63C66">
        <w:t xml:space="preserve"> identifiable person requires a contextual consideration of the particular circumstances of the case, including the nature and amount of information, other information </w:t>
      </w:r>
      <w:r w:rsidRPr="00C63C66">
        <w:lastRenderedPageBreak/>
        <w:t>that may be available to the persons who will have access to the information, and the practicability of using that information to identify a person.</w:t>
      </w:r>
    </w:p>
    <w:p w14:paraId="43AE0708" w14:textId="31B97550" w:rsidR="00C46C8A" w:rsidRPr="00C63C66" w:rsidRDefault="00C46C8A" w:rsidP="00362833">
      <w:pPr>
        <w:pStyle w:val="base-text-paragraph"/>
        <w:numPr>
          <w:ilvl w:val="1"/>
          <w:numId w:val="33"/>
        </w:numPr>
      </w:pPr>
      <w:r w:rsidRPr="00C63C66">
        <w:t>A</w:t>
      </w:r>
      <w:r w:rsidR="005D3D76" w:rsidRPr="00C63C66">
        <w:t xml:space="preserve">n important </w:t>
      </w:r>
      <w:r w:rsidRPr="00C63C66">
        <w:t>consider</w:t>
      </w:r>
      <w:r w:rsidR="005D3D76" w:rsidRPr="00C63C66">
        <w:t>ation</w:t>
      </w:r>
      <w:r w:rsidR="002F18A7" w:rsidRPr="00C63C66">
        <w:t xml:space="preserve"> in whether data can be considered to relate to a ‘reasonably identifiable’ person</w:t>
      </w:r>
      <w:r w:rsidR="005D3D76" w:rsidRPr="00C63C66">
        <w:t xml:space="preserve"> is</w:t>
      </w:r>
      <w:r w:rsidRPr="00C63C66">
        <w:t xml:space="preserve"> what motivations there may be to attempt re-identification. </w:t>
      </w:r>
      <w:r w:rsidR="005D3D76" w:rsidRPr="00C63C66">
        <w:t>A person</w:t>
      </w:r>
      <w:r w:rsidRPr="00C63C66">
        <w:t xml:space="preserve"> will be reasonably identifiable</w:t>
      </w:r>
      <w:r w:rsidR="005D3D76" w:rsidRPr="00C63C66">
        <w:t xml:space="preserve"> </w:t>
      </w:r>
      <w:r w:rsidRPr="00C63C66">
        <w:t>where:</w:t>
      </w:r>
    </w:p>
    <w:p w14:paraId="6E3CF16E" w14:textId="77777777" w:rsidR="005D3D76" w:rsidRPr="00C63C66" w:rsidRDefault="00C46C8A" w:rsidP="00593A3C">
      <w:pPr>
        <w:pStyle w:val="Bullet"/>
        <w:tabs>
          <w:tab w:val="clear" w:pos="520"/>
        </w:tabs>
        <w:ind w:left="2268"/>
      </w:pPr>
      <w:r w:rsidRPr="00C63C66">
        <w:t>it is technically possible for re</w:t>
      </w:r>
      <w:r w:rsidR="005D3D76" w:rsidRPr="00C63C66">
        <w:t>-</w:t>
      </w:r>
      <w:r w:rsidRPr="00C63C66">
        <w:t>identification to occur (whether from the information itself, or in combination with other information that may be available</w:t>
      </w:r>
      <w:r w:rsidR="005D3D76" w:rsidRPr="00C63C66">
        <w:t>), and</w:t>
      </w:r>
    </w:p>
    <w:p w14:paraId="5B7B9BD6" w14:textId="33070498" w:rsidR="00C46C8A" w:rsidRPr="00C63C66" w:rsidRDefault="00C46C8A" w:rsidP="00593A3C">
      <w:pPr>
        <w:pStyle w:val="Bullet"/>
        <w:tabs>
          <w:tab w:val="clear" w:pos="520"/>
        </w:tabs>
        <w:ind w:left="2268"/>
      </w:pPr>
      <w:proofErr w:type="gramStart"/>
      <w:r w:rsidRPr="00C63C66">
        <w:t>there</w:t>
      </w:r>
      <w:proofErr w:type="gramEnd"/>
      <w:r w:rsidRPr="00C63C66">
        <w:t xml:space="preserve"> is a reasonable likelihood of re</w:t>
      </w:r>
      <w:r w:rsidR="005D3D76" w:rsidRPr="00C63C66">
        <w:t>-</w:t>
      </w:r>
      <w:r w:rsidRPr="00C63C66">
        <w:t>identification occurring.</w:t>
      </w:r>
    </w:p>
    <w:p w14:paraId="0892D4F5" w14:textId="05F95B3E" w:rsidR="00C46C8A" w:rsidRDefault="002F18A7" w:rsidP="00362833">
      <w:pPr>
        <w:pStyle w:val="base-text-paragraph"/>
        <w:numPr>
          <w:ilvl w:val="1"/>
          <w:numId w:val="33"/>
        </w:numPr>
      </w:pPr>
      <w:r w:rsidRPr="00C63C66">
        <w:t>T</w:t>
      </w:r>
      <w:r w:rsidR="005D3D76" w:rsidRPr="00C63C66">
        <w:t xml:space="preserve">he ACCC rules </w:t>
      </w:r>
      <w:r w:rsidR="000C35AD" w:rsidRPr="00C63C66">
        <w:t xml:space="preserve">and OAIC guidance </w:t>
      </w:r>
      <w:r w:rsidRPr="00C63C66">
        <w:t xml:space="preserve">may provide further </w:t>
      </w:r>
      <w:r w:rsidR="000C35AD" w:rsidRPr="00C63C66">
        <w:t xml:space="preserve">requirements for when information can be considered to be de-identified. </w:t>
      </w:r>
    </w:p>
    <w:p w14:paraId="17C3DCF0" w14:textId="54B1DF76" w:rsidR="00183D14" w:rsidRDefault="00183D14" w:rsidP="00B17774">
      <w:pPr>
        <w:pStyle w:val="Heading2"/>
      </w:pPr>
      <w:r>
        <w:t>Principle of Reciprocity</w:t>
      </w:r>
    </w:p>
    <w:p w14:paraId="43BFA3F7" w14:textId="74418F0F" w:rsidR="008B3253" w:rsidRPr="00C63C66" w:rsidRDefault="008B3253" w:rsidP="00D76475">
      <w:pPr>
        <w:pStyle w:val="base-text-paragraph"/>
        <w:numPr>
          <w:ilvl w:val="1"/>
          <w:numId w:val="33"/>
        </w:numPr>
      </w:pPr>
      <w:r w:rsidRPr="00C63C66">
        <w:t xml:space="preserve">The consumer data rules may provide that a consumer can direct </w:t>
      </w:r>
      <w:r>
        <w:t xml:space="preserve">that </w:t>
      </w:r>
      <w:r w:rsidRPr="00C63C66">
        <w:t xml:space="preserve">an accredited entity </w:t>
      </w:r>
      <w:r>
        <w:t xml:space="preserve">must provide access </w:t>
      </w:r>
      <w:r w:rsidRPr="00C63C66">
        <w:t xml:space="preserve">to certain CDR data to </w:t>
      </w:r>
      <w:r>
        <w:t xml:space="preserve">the consumer or </w:t>
      </w:r>
      <w:r w:rsidRPr="00C63C66">
        <w:t xml:space="preserve">other </w:t>
      </w:r>
      <w:r>
        <w:t>accredited recipients.</w:t>
      </w:r>
      <w:r w:rsidRPr="00C63C66">
        <w:t xml:space="preserve"> This is known as the principle of reciprocity.</w:t>
      </w:r>
    </w:p>
    <w:p w14:paraId="6A84445B" w14:textId="77777777" w:rsidR="00324E1A" w:rsidRDefault="008B3253" w:rsidP="00D76475">
      <w:pPr>
        <w:pStyle w:val="base-text-paragraph"/>
        <w:numPr>
          <w:ilvl w:val="1"/>
          <w:numId w:val="33"/>
        </w:numPr>
      </w:pPr>
      <w:r w:rsidRPr="00C63C66">
        <w:t xml:space="preserve">The principle of reciprocity imports elements of fairness and allows customers to request access to or to transfer additional data-sets. </w:t>
      </w:r>
    </w:p>
    <w:p w14:paraId="2A020390" w14:textId="6F3F3CF5" w:rsidR="008B3253" w:rsidRPr="00C63C66" w:rsidRDefault="008B3253" w:rsidP="00D76475">
      <w:pPr>
        <w:pStyle w:val="base-text-paragraph"/>
        <w:numPr>
          <w:ilvl w:val="1"/>
          <w:numId w:val="33"/>
        </w:numPr>
      </w:pPr>
      <w:r w:rsidRPr="00C63C66">
        <w:t>A CDR system in which eligible entities participate fully — both as data holders and data recipients — is likely to be more vibrant and dynamic than one in which data recipients are solely receivers of data, and data holders are largely only transmitters of data.</w:t>
      </w:r>
    </w:p>
    <w:p w14:paraId="2A4F7412" w14:textId="18C5A0C6" w:rsidR="008B3253" w:rsidRPr="00C63C66" w:rsidRDefault="008B3253" w:rsidP="00D76475">
      <w:pPr>
        <w:pStyle w:val="base-text-paragraph"/>
        <w:numPr>
          <w:ilvl w:val="1"/>
          <w:numId w:val="33"/>
        </w:numPr>
      </w:pPr>
      <w:r w:rsidRPr="00C63C66">
        <w:t xml:space="preserve">Reciprocity operates to allow the ACCC to write rules requiring </w:t>
      </w:r>
      <w:r>
        <w:t xml:space="preserve">certain </w:t>
      </w:r>
      <w:r w:rsidR="00324E1A">
        <w:t xml:space="preserve">accredited </w:t>
      </w:r>
      <w:r w:rsidRPr="00C63C66">
        <w:t>data recipients to provide customers access to, or the ability to request transfer to accredited parties</w:t>
      </w:r>
      <w:r>
        <w:t xml:space="preserve">. </w:t>
      </w:r>
    </w:p>
    <w:p w14:paraId="5D84BA9F" w14:textId="77777777" w:rsidR="00324E1A" w:rsidRDefault="00683E00" w:rsidP="00D76475">
      <w:pPr>
        <w:pStyle w:val="base-text-paragraph"/>
        <w:numPr>
          <w:ilvl w:val="1"/>
          <w:numId w:val="33"/>
        </w:numPr>
      </w:pPr>
      <w:r w:rsidRPr="00C63C66">
        <w:t xml:space="preserve">The principle of reciprocity will therefore be implemented through the rules. The same factors for considering whether a rule should be made apply to whether reciprocity should apply. </w:t>
      </w:r>
    </w:p>
    <w:p w14:paraId="24AF930E" w14:textId="47F85435" w:rsidR="00683E00" w:rsidRPr="00C63C66" w:rsidRDefault="00683E00" w:rsidP="00D76475">
      <w:pPr>
        <w:pStyle w:val="base-text-paragraph"/>
        <w:numPr>
          <w:ilvl w:val="1"/>
          <w:numId w:val="33"/>
        </w:numPr>
      </w:pPr>
      <w:r w:rsidRPr="00C63C66">
        <w:t xml:space="preserve">As such, if a CDR participant does not hold data that falls within a class designated in a designation instrument, reciprocity cannot apply. Similarly, as reciprocity is a principle that goes towards fairness and the vibrancy of the data economy, it would be expected that rules regarding reciprocity would more often be made about the same or equivalent data, than received data. </w:t>
      </w:r>
    </w:p>
    <w:p w14:paraId="75DE7E02" w14:textId="754BCCCA" w:rsidR="00D3020A" w:rsidRPr="00C63C66" w:rsidRDefault="00D3020A" w:rsidP="00B17774">
      <w:pPr>
        <w:pStyle w:val="Heading2"/>
      </w:pPr>
      <w:r w:rsidRPr="00C63C66">
        <w:lastRenderedPageBreak/>
        <w:t>CDR Privacy Framework</w:t>
      </w:r>
    </w:p>
    <w:p w14:paraId="51D4EEA5" w14:textId="77777777" w:rsidR="008472FF" w:rsidRDefault="00256249" w:rsidP="002E39D8">
      <w:pPr>
        <w:pStyle w:val="base-text-paragraph"/>
        <w:numPr>
          <w:ilvl w:val="1"/>
          <w:numId w:val="33"/>
        </w:numPr>
      </w:pPr>
      <w:r w:rsidRPr="00C63C66">
        <w:t>Division 5</w:t>
      </w:r>
      <w:r w:rsidR="00AB78F8" w:rsidRPr="00C63C66">
        <w:t xml:space="preserve"> </w:t>
      </w:r>
      <w:r w:rsidRPr="00C63C66">
        <w:t>creates</w:t>
      </w:r>
      <w:r w:rsidR="00AB78F8" w:rsidRPr="00C63C66">
        <w:t xml:space="preserve"> the CDR privacy </w:t>
      </w:r>
      <w:r w:rsidRPr="00C63C66">
        <w:t>safeguards</w:t>
      </w:r>
      <w:r w:rsidR="00164A02" w:rsidRPr="00C63C66">
        <w:t xml:space="preserve"> (the Privacy Safeguards)</w:t>
      </w:r>
      <w:r w:rsidR="000F2F44" w:rsidRPr="00C63C66">
        <w:t>.</w:t>
      </w:r>
      <w:r w:rsidR="00AB78F8" w:rsidRPr="00C63C66">
        <w:t xml:space="preserve"> It is useful to understand how the </w:t>
      </w:r>
      <w:r w:rsidR="00C35FAC" w:rsidRPr="00C63C66">
        <w:t>Privacy S</w:t>
      </w:r>
      <w:r w:rsidR="000F2F44" w:rsidRPr="00C63C66">
        <w:t>afeguards</w:t>
      </w:r>
      <w:r w:rsidR="00AB78F8" w:rsidRPr="00C63C66">
        <w:t xml:space="preserve"> work in relation to the Privacy Act and APPs. </w:t>
      </w:r>
    </w:p>
    <w:p w14:paraId="54A5BCE0" w14:textId="068A4591" w:rsidR="00D3020A" w:rsidRPr="00C63C66" w:rsidRDefault="00A14922" w:rsidP="002E39D8">
      <w:pPr>
        <w:pStyle w:val="base-text-paragraph"/>
        <w:numPr>
          <w:ilvl w:val="1"/>
          <w:numId w:val="33"/>
        </w:numPr>
      </w:pPr>
      <w:r w:rsidRPr="00C63C66">
        <w:t>Generally speaking, the Privacy </w:t>
      </w:r>
      <w:r w:rsidR="00AB78F8" w:rsidRPr="00C63C66">
        <w:t xml:space="preserve">Act and the APPs will continue to apply to </w:t>
      </w:r>
      <w:r w:rsidR="00EF0171" w:rsidRPr="00C63C66">
        <w:t>data holders</w:t>
      </w:r>
      <w:r w:rsidR="00B359F1" w:rsidRPr="00C63C66">
        <w:t xml:space="preserve"> </w:t>
      </w:r>
      <w:r w:rsidR="008472FF" w:rsidRPr="00C63C66">
        <w:t xml:space="preserve">(as defined by section 56AG) </w:t>
      </w:r>
      <w:r w:rsidR="00B359F1" w:rsidRPr="00C63C66">
        <w:t xml:space="preserve">under the CDR </w:t>
      </w:r>
      <w:r w:rsidR="00164A02" w:rsidRPr="00C63C66">
        <w:t xml:space="preserve">with the exception of </w:t>
      </w:r>
      <w:r w:rsidR="0089445F">
        <w:t xml:space="preserve">accuracy and </w:t>
      </w:r>
      <w:r w:rsidR="00164A02" w:rsidRPr="00C63C66">
        <w:t>correction rights</w:t>
      </w:r>
      <w:r w:rsidR="00C35FAC" w:rsidRPr="00C63C66">
        <w:t xml:space="preserve"> and notification obligations</w:t>
      </w:r>
      <w:r w:rsidR="00164A02" w:rsidRPr="00C63C66">
        <w:t xml:space="preserve"> </w:t>
      </w:r>
      <w:r w:rsidR="000F2F44" w:rsidRPr="00C63C66">
        <w:t xml:space="preserve">once a </w:t>
      </w:r>
      <w:r w:rsidR="00717C88" w:rsidRPr="00C63C66">
        <w:t xml:space="preserve">valid </w:t>
      </w:r>
      <w:r w:rsidR="000F2F44" w:rsidRPr="00C63C66">
        <w:t>request for CDR data has been received.</w:t>
      </w:r>
      <w:r w:rsidR="00256249" w:rsidRPr="00C63C66">
        <w:t xml:space="preserve"> </w:t>
      </w:r>
      <w:r w:rsidRPr="00C63C66">
        <w:t>In this instance</w:t>
      </w:r>
      <w:r w:rsidR="00C35FAC" w:rsidRPr="00C63C66">
        <w:t xml:space="preserve"> the Privacy Safeguards apply and the APPs do not. </w:t>
      </w:r>
      <w:r w:rsidRPr="002E39D8">
        <w:rPr>
          <w:b/>
          <w:i/>
        </w:rPr>
        <w:t>[</w:t>
      </w:r>
      <w:r w:rsidRPr="008472FF">
        <w:rPr>
          <w:rStyle w:val="Referencingstyle"/>
        </w:rPr>
        <w:t>Schedule 1, item 1, paragraph 56EC(4)(a)]</w:t>
      </w:r>
    </w:p>
    <w:p w14:paraId="0463691B" w14:textId="4161C086" w:rsidR="000F2F44" w:rsidRPr="002E39D8" w:rsidRDefault="000F2F44" w:rsidP="002E39D8">
      <w:pPr>
        <w:pStyle w:val="base-text-paragraph"/>
        <w:numPr>
          <w:ilvl w:val="1"/>
          <w:numId w:val="33"/>
        </w:numPr>
      </w:pPr>
      <w:r w:rsidRPr="00C63C66">
        <w:t>For accredited data recipients</w:t>
      </w:r>
      <w:r w:rsidR="00164A02" w:rsidRPr="00C63C66">
        <w:t xml:space="preserve"> (as defined by section 56AGA</w:t>
      </w:r>
      <w:r w:rsidR="005F1331" w:rsidRPr="00C63C66">
        <w:t>)</w:t>
      </w:r>
      <w:r w:rsidR="00164A02" w:rsidRPr="00C63C66">
        <w:t>, the Privacy S</w:t>
      </w:r>
      <w:r w:rsidRPr="00C63C66">
        <w:t>afeguards will substitute for the APPs</w:t>
      </w:r>
      <w:r w:rsidR="005D6667" w:rsidRPr="00C63C66">
        <w:t xml:space="preserve"> and the APPs will not apply to CDR data that has been received by a</w:t>
      </w:r>
      <w:r w:rsidR="008472FF">
        <w:t>n accredited</w:t>
      </w:r>
      <w:r w:rsidR="005D6667" w:rsidRPr="00C63C66">
        <w:t xml:space="preserve"> data recipient</w:t>
      </w:r>
      <w:r w:rsidR="008472FF">
        <w:t xml:space="preserve"> through the CDR regime</w:t>
      </w:r>
      <w:r w:rsidR="0047702B" w:rsidRPr="00C63C66">
        <w:t xml:space="preserve">. </w:t>
      </w:r>
      <w:r w:rsidR="00A14922" w:rsidRPr="008472FF">
        <w:rPr>
          <w:rStyle w:val="Referencingstyle"/>
        </w:rPr>
        <w:t>[Schedule</w:t>
      </w:r>
      <w:r w:rsidR="008472FF">
        <w:rPr>
          <w:rStyle w:val="Referencingstyle"/>
        </w:rPr>
        <w:t xml:space="preserve"> 1, item 1, subsection 56EC(4)]</w:t>
      </w:r>
    </w:p>
    <w:p w14:paraId="6C950BF7" w14:textId="77777777" w:rsidR="00F42846" w:rsidRPr="00C63C66" w:rsidRDefault="00F42846" w:rsidP="002E39D8">
      <w:pPr>
        <w:pStyle w:val="base-text-paragraph"/>
        <w:numPr>
          <w:ilvl w:val="1"/>
          <w:numId w:val="33"/>
        </w:numPr>
      </w:pPr>
      <w:r w:rsidRPr="00C63C66">
        <w:t>The definitions of CDR Da</w:t>
      </w:r>
      <w:r w:rsidR="008472FF">
        <w:t xml:space="preserve">ta, CDR Consumer, data holder, </w:t>
      </w:r>
      <w:r w:rsidRPr="00C63C66">
        <w:t xml:space="preserve">accredited person and accredited data recipient operate to determine when each of the </w:t>
      </w:r>
      <w:r w:rsidR="008472FF">
        <w:t xml:space="preserve">Privacy Safeguards </w:t>
      </w:r>
      <w:proofErr w:type="gramStart"/>
      <w:r w:rsidR="008472FF">
        <w:t>apply</w:t>
      </w:r>
      <w:proofErr w:type="gramEnd"/>
      <w:r w:rsidR="008472FF">
        <w:t xml:space="preserve"> and the data that the Privacy Safeguard apply to. </w:t>
      </w:r>
    </w:p>
    <w:p w14:paraId="6165218C" w14:textId="4D486EFB" w:rsidR="00EA7E0F" w:rsidRPr="00C63C66" w:rsidRDefault="00EA7E0F" w:rsidP="008472FF">
      <w:pPr>
        <w:pStyle w:val="TableHeadingoutsidetable"/>
      </w:pPr>
      <w:r w:rsidRPr="00C63C66">
        <w:t xml:space="preserve"> Application of Privacy Safeguards by CDR participant</w:t>
      </w:r>
    </w:p>
    <w:tbl>
      <w:tblPr>
        <w:tblStyle w:val="EMTable"/>
        <w:tblW w:w="6629" w:type="dxa"/>
        <w:tblInd w:w="1083" w:type="dxa"/>
        <w:tblLook w:val="04A0" w:firstRow="1" w:lastRow="0" w:firstColumn="1" w:lastColumn="0" w:noHBand="0" w:noVBand="1"/>
      </w:tblPr>
      <w:tblGrid>
        <w:gridCol w:w="1809"/>
        <w:gridCol w:w="4820"/>
      </w:tblGrid>
      <w:tr w:rsidR="00EA7E0F" w:rsidRPr="00C63C66" w14:paraId="2670F211" w14:textId="77777777" w:rsidTr="00593A3C">
        <w:trPr>
          <w:cnfStyle w:val="100000000000" w:firstRow="1" w:lastRow="0" w:firstColumn="0" w:lastColumn="0" w:oddVBand="0" w:evenVBand="0" w:oddHBand="0" w:evenHBand="0" w:firstRowFirstColumn="0" w:firstRowLastColumn="0" w:lastRowFirstColumn="0" w:lastRowLastColumn="0"/>
        </w:trPr>
        <w:tc>
          <w:tcPr>
            <w:tcW w:w="1809" w:type="dxa"/>
          </w:tcPr>
          <w:p w14:paraId="23AF8FDF" w14:textId="1C7FE22A" w:rsidR="00EA7E0F" w:rsidRPr="00C63C66" w:rsidRDefault="00EA7E0F" w:rsidP="008472FF">
            <w:pPr>
              <w:pStyle w:val="tabletext"/>
            </w:pPr>
            <w:r w:rsidRPr="00C63C66">
              <w:t>CDR Participant</w:t>
            </w:r>
          </w:p>
        </w:tc>
        <w:tc>
          <w:tcPr>
            <w:tcW w:w="4820" w:type="dxa"/>
          </w:tcPr>
          <w:p w14:paraId="212F1623" w14:textId="04E696D2" w:rsidR="00EA7E0F" w:rsidRPr="00C63C66" w:rsidRDefault="00EA7E0F" w:rsidP="008472FF">
            <w:pPr>
              <w:pStyle w:val="tabletext"/>
            </w:pPr>
            <w:r w:rsidRPr="00C63C66">
              <w:t>Privacy Safeguard that applies</w:t>
            </w:r>
          </w:p>
        </w:tc>
      </w:tr>
      <w:tr w:rsidR="00EA7E0F" w:rsidRPr="00C63C66" w14:paraId="68DF09A0" w14:textId="77777777" w:rsidTr="00593A3C">
        <w:tblPrEx>
          <w:tblCellMar>
            <w:top w:w="0" w:type="dxa"/>
            <w:left w:w="108" w:type="dxa"/>
          </w:tblCellMar>
        </w:tblPrEx>
        <w:tc>
          <w:tcPr>
            <w:tcW w:w="1809" w:type="dxa"/>
          </w:tcPr>
          <w:p w14:paraId="5603363D" w14:textId="76413445" w:rsidR="00EA7E0F" w:rsidRPr="00C63C66" w:rsidRDefault="00EA7E0F" w:rsidP="008472FF">
            <w:pPr>
              <w:pStyle w:val="tabletext"/>
            </w:pPr>
            <w:r w:rsidRPr="00C63C66">
              <w:t>Data holder</w:t>
            </w:r>
          </w:p>
        </w:tc>
        <w:tc>
          <w:tcPr>
            <w:tcW w:w="4820" w:type="dxa"/>
          </w:tcPr>
          <w:p w14:paraId="1A243B61" w14:textId="466E71FC" w:rsidR="00EA7E0F" w:rsidRPr="00C63C66" w:rsidRDefault="00EA7E0F" w:rsidP="008472FF">
            <w:pPr>
              <w:pStyle w:val="tabletext"/>
            </w:pPr>
            <w:r w:rsidRPr="00C63C66">
              <w:t xml:space="preserve">PS 1 – applies concurrently to </w:t>
            </w:r>
            <w:r w:rsidR="00A961EC" w:rsidRPr="00C63C66">
              <w:t xml:space="preserve">APP 1 </w:t>
            </w:r>
          </w:p>
          <w:p w14:paraId="7E84419A" w14:textId="3450B1FB" w:rsidR="00EA7E0F" w:rsidRPr="00C63C66" w:rsidRDefault="00EA7E0F" w:rsidP="008472FF">
            <w:pPr>
              <w:pStyle w:val="tabletext"/>
            </w:pPr>
            <w:r w:rsidRPr="00C63C66">
              <w:t xml:space="preserve">PS 10 - Applies to the disclosure of CDR data and there is no similar requirement under the Privacy Act </w:t>
            </w:r>
          </w:p>
          <w:p w14:paraId="5444A79D" w14:textId="3CF993E2" w:rsidR="00EA7E0F" w:rsidRPr="00C63C66" w:rsidRDefault="00EA7E0F" w:rsidP="008472FF">
            <w:pPr>
              <w:pStyle w:val="tabletext"/>
            </w:pPr>
            <w:r w:rsidRPr="00C63C66">
              <w:t>PS 11, PS 13 – Apply to the disclosure of CDR data and substitutes for APP</w:t>
            </w:r>
            <w:r w:rsidR="00A961EC" w:rsidRPr="00C63C66">
              <w:t>s 11 and 12 in respect of disclosed CDR data</w:t>
            </w:r>
            <w:r w:rsidRPr="00C63C66">
              <w:t xml:space="preserve">  </w:t>
            </w:r>
          </w:p>
        </w:tc>
      </w:tr>
      <w:tr w:rsidR="00EA7E0F" w:rsidRPr="00C63C66" w14:paraId="0A7E10E5" w14:textId="77777777" w:rsidTr="00593A3C">
        <w:tblPrEx>
          <w:tblCellMar>
            <w:top w:w="0" w:type="dxa"/>
            <w:left w:w="108" w:type="dxa"/>
          </w:tblCellMar>
        </w:tblPrEx>
        <w:tc>
          <w:tcPr>
            <w:tcW w:w="1809" w:type="dxa"/>
          </w:tcPr>
          <w:p w14:paraId="4F8125ED" w14:textId="232853F6" w:rsidR="00EA7E0F" w:rsidRPr="00C63C66" w:rsidRDefault="00A961EC" w:rsidP="008472FF">
            <w:pPr>
              <w:pStyle w:val="tabletext"/>
            </w:pPr>
            <w:r w:rsidRPr="00C63C66">
              <w:t>Accredited person</w:t>
            </w:r>
          </w:p>
        </w:tc>
        <w:tc>
          <w:tcPr>
            <w:tcW w:w="4820" w:type="dxa"/>
          </w:tcPr>
          <w:p w14:paraId="2898D708" w14:textId="1354E478" w:rsidR="00A961EC" w:rsidRPr="00C63C66" w:rsidRDefault="00A961EC" w:rsidP="008472FF">
            <w:pPr>
              <w:pStyle w:val="tabletext"/>
            </w:pPr>
            <w:r w:rsidRPr="00C63C66">
              <w:t>PS 1, PS 3, PS 4, PS 5 -  the APPs apply concurrently</w:t>
            </w:r>
            <w:r w:rsidR="0089445F">
              <w:t xml:space="preserve">, but with the </w:t>
            </w:r>
            <w:r w:rsidR="00083A98">
              <w:t>more specific</w:t>
            </w:r>
            <w:r w:rsidR="0089445F">
              <w:t xml:space="preserve"> </w:t>
            </w:r>
            <w:r w:rsidR="00435723">
              <w:t xml:space="preserve">Privacy </w:t>
            </w:r>
            <w:r w:rsidR="0089445F">
              <w:t>Safeguards prevailing</w:t>
            </w:r>
          </w:p>
        </w:tc>
      </w:tr>
      <w:tr w:rsidR="00EA7E0F" w:rsidRPr="00C63C66" w14:paraId="6232AC7C" w14:textId="77777777" w:rsidTr="00593A3C">
        <w:tblPrEx>
          <w:tblCellMar>
            <w:top w:w="0" w:type="dxa"/>
            <w:left w:w="108" w:type="dxa"/>
          </w:tblCellMar>
        </w:tblPrEx>
        <w:tc>
          <w:tcPr>
            <w:tcW w:w="1809" w:type="dxa"/>
          </w:tcPr>
          <w:p w14:paraId="215AE381" w14:textId="264FD3AD" w:rsidR="00EA7E0F" w:rsidRPr="00C63C66" w:rsidRDefault="00A961EC" w:rsidP="008472FF">
            <w:pPr>
              <w:pStyle w:val="tabletext"/>
            </w:pPr>
            <w:r w:rsidRPr="00C63C66">
              <w:t>Accredited data recipient</w:t>
            </w:r>
          </w:p>
        </w:tc>
        <w:tc>
          <w:tcPr>
            <w:tcW w:w="4820" w:type="dxa"/>
          </w:tcPr>
          <w:p w14:paraId="36D69C30" w14:textId="7B417C00" w:rsidR="00EA7E0F" w:rsidRPr="00C63C66" w:rsidRDefault="00A961EC" w:rsidP="008472FF">
            <w:pPr>
              <w:pStyle w:val="tabletext"/>
            </w:pPr>
            <w:r w:rsidRPr="00C63C66">
              <w:t xml:space="preserve">PS 2, PS 6, PS 7, PS 8 , PS 9, PS 10, PS 11 - the </w:t>
            </w:r>
            <w:r w:rsidR="00BD67A8" w:rsidRPr="00C63C66">
              <w:t xml:space="preserve">Privacy Safeguards apply and substitute the </w:t>
            </w:r>
            <w:r w:rsidRPr="00C63C66">
              <w:t xml:space="preserve">APPs </w:t>
            </w:r>
            <w:r w:rsidR="00BD67A8" w:rsidRPr="00C63C66">
              <w:t xml:space="preserve">which </w:t>
            </w:r>
            <w:r w:rsidRPr="00C63C66">
              <w:t>do not apply to an accredited data recipient of CDR data in relation to the CDR data</w:t>
            </w:r>
            <w:r w:rsidR="00BD67A8" w:rsidRPr="00C63C66">
              <w:t xml:space="preserve"> that has been received or data derived from that data</w:t>
            </w:r>
          </w:p>
        </w:tc>
      </w:tr>
    </w:tbl>
    <w:p w14:paraId="3DD5A8FA" w14:textId="77777777" w:rsidR="00A14922" w:rsidRPr="00C63C66" w:rsidRDefault="00A14922" w:rsidP="00A14922">
      <w:pPr>
        <w:pStyle w:val="ExampleHeading"/>
      </w:pPr>
    </w:p>
    <w:p w14:paraId="4935EC6B" w14:textId="021695D5" w:rsidR="00A14922" w:rsidRPr="00C63C66" w:rsidRDefault="00A14922" w:rsidP="00A14922">
      <w:pPr>
        <w:pStyle w:val="exampletext"/>
      </w:pPr>
      <w:r w:rsidRPr="00C63C66">
        <w:t xml:space="preserve">Max is a consumer with </w:t>
      </w:r>
      <w:proofErr w:type="spellStart"/>
      <w:r w:rsidRPr="00C63C66">
        <w:t>AllenBank</w:t>
      </w:r>
      <w:proofErr w:type="spellEnd"/>
      <w:r w:rsidRPr="00C63C66">
        <w:t xml:space="preserve">. All of his transaction information held by </w:t>
      </w:r>
      <w:proofErr w:type="spellStart"/>
      <w:r w:rsidRPr="00C63C66">
        <w:t>AllenBank</w:t>
      </w:r>
      <w:proofErr w:type="spellEnd"/>
      <w:r w:rsidRPr="00C63C66">
        <w:t xml:space="preserve"> is treated consistently with the Privacy Act and APPs by </w:t>
      </w:r>
      <w:proofErr w:type="spellStart"/>
      <w:r w:rsidRPr="00C63C66">
        <w:t>AllenBank</w:t>
      </w:r>
      <w:proofErr w:type="spellEnd"/>
      <w:r w:rsidRPr="00C63C66">
        <w:t xml:space="preserve">. </w:t>
      </w:r>
    </w:p>
    <w:p w14:paraId="34BB9B6A" w14:textId="377EBF8E" w:rsidR="00A14922" w:rsidRPr="00C63C66" w:rsidRDefault="00A14922" w:rsidP="00A14922">
      <w:pPr>
        <w:pStyle w:val="exampletext"/>
      </w:pPr>
      <w:r w:rsidRPr="00C63C66">
        <w:t xml:space="preserve">Max has a transaction (savings) account with </w:t>
      </w:r>
      <w:proofErr w:type="spellStart"/>
      <w:r w:rsidRPr="00C63C66">
        <w:t>AllenBank</w:t>
      </w:r>
      <w:proofErr w:type="spellEnd"/>
      <w:r w:rsidRPr="00C63C66">
        <w:t xml:space="preserve"> but has been told by friends he can probably get a better interest rate elsewhere. Keen to make the most of the CDR, Max has requested </w:t>
      </w:r>
      <w:proofErr w:type="spellStart"/>
      <w:r w:rsidRPr="00C63C66">
        <w:t>AllenBank</w:t>
      </w:r>
      <w:proofErr w:type="spellEnd"/>
      <w:r w:rsidRPr="00C63C66">
        <w:t xml:space="preserve"> to </w:t>
      </w:r>
      <w:r w:rsidRPr="00C63C66">
        <w:lastRenderedPageBreak/>
        <w:t>transfer h</w:t>
      </w:r>
      <w:r w:rsidR="003804A2" w:rsidRPr="00C63C66">
        <w:t>is</w:t>
      </w:r>
      <w:r w:rsidRPr="00C63C66">
        <w:t xml:space="preserve"> CDR data relating to the transaction account to HIZAI Banking Services. </w:t>
      </w:r>
    </w:p>
    <w:p w14:paraId="1C46037B" w14:textId="148786C1" w:rsidR="00A14922" w:rsidRPr="00C63C66" w:rsidRDefault="00A14922" w:rsidP="00593A3C">
      <w:pPr>
        <w:pStyle w:val="exampletext"/>
      </w:pPr>
      <w:r w:rsidRPr="00C63C66">
        <w:t>At the time of receiving Max’s CDR data, HIZAI Banking Services is required to handle the data in accordance with the CDR Privacy Safeguards because HIZAI Banking Services is an accredited data recipient in respect of Max’s data.</w:t>
      </w:r>
    </w:p>
    <w:p w14:paraId="45005495" w14:textId="77777777" w:rsidR="00A14922" w:rsidRPr="00C63C66" w:rsidRDefault="00A14922" w:rsidP="00A14922">
      <w:pPr>
        <w:pStyle w:val="exampletext"/>
      </w:pPr>
      <w:r w:rsidRPr="00C63C66">
        <w:t xml:space="preserve">Max discovers that HIZAI Banking Services will provide him with a better interest rate on his transaction account. Max closes his transaction account with </w:t>
      </w:r>
      <w:proofErr w:type="spellStart"/>
      <w:r w:rsidRPr="00C63C66">
        <w:t>AllenBank</w:t>
      </w:r>
      <w:proofErr w:type="spellEnd"/>
      <w:r w:rsidRPr="00C63C66">
        <w:t xml:space="preserve"> and opens an account with HIZAI Banking Services.</w:t>
      </w:r>
    </w:p>
    <w:p w14:paraId="38B9BC3C" w14:textId="77777777" w:rsidR="00A14922" w:rsidRPr="00C63C66" w:rsidRDefault="00A14922" w:rsidP="00A14922">
      <w:pPr>
        <w:pStyle w:val="exampletext"/>
      </w:pPr>
      <w:r w:rsidRPr="00C63C66">
        <w:t xml:space="preserve">All new transaction data created by HIZAI Banking Services in relation to Max’s transaction account is subject to the Privacy Act and the APPs. </w:t>
      </w:r>
    </w:p>
    <w:p w14:paraId="4877170C" w14:textId="6A341C4E" w:rsidR="00A14922" w:rsidRPr="00C63C66" w:rsidRDefault="00A14922" w:rsidP="00A14922">
      <w:pPr>
        <w:pStyle w:val="exampletext"/>
      </w:pPr>
      <w:r w:rsidRPr="00C63C66">
        <w:t xml:space="preserve">Consumer data rules may enable HIZAI Banking Services to also treat Max’s historical data as a data holder, and subject </w:t>
      </w:r>
      <w:r w:rsidR="00076230">
        <w:t xml:space="preserve">instead </w:t>
      </w:r>
      <w:r w:rsidRPr="00C63C66">
        <w:t>to the APPs.</w:t>
      </w:r>
    </w:p>
    <w:p w14:paraId="1BBC0B9E" w14:textId="77777777" w:rsidR="00A14922" w:rsidRPr="00C63C66" w:rsidRDefault="00A14922" w:rsidP="00A14922">
      <w:pPr>
        <w:pStyle w:val="ExampleHeading"/>
      </w:pPr>
    </w:p>
    <w:p w14:paraId="1816613A" w14:textId="77777777" w:rsidR="00A14922" w:rsidRPr="00C63C66" w:rsidRDefault="00A14922" w:rsidP="00A14922">
      <w:pPr>
        <w:pStyle w:val="exampletext"/>
      </w:pPr>
      <w:r w:rsidRPr="00C63C66">
        <w:t>Max subsequently hears of a service offered by HIZAI Banking Services. HIZAI Banking Services is an accredited data recipient for the energy sector and it offers to compare customers’ energy bills and advise customers if savings could be made by switching providers.</w:t>
      </w:r>
    </w:p>
    <w:p w14:paraId="2D9CA3B8" w14:textId="77777777" w:rsidR="00A14922" w:rsidRPr="00C63C66" w:rsidRDefault="00A14922" w:rsidP="00A14922">
      <w:pPr>
        <w:pStyle w:val="exampletext"/>
      </w:pPr>
      <w:r w:rsidRPr="00C63C66">
        <w:t xml:space="preserve">Max consents to the transfer of his energy bills from </w:t>
      </w:r>
      <w:proofErr w:type="spellStart"/>
      <w:r w:rsidRPr="00C63C66">
        <w:t>GasCo</w:t>
      </w:r>
      <w:proofErr w:type="spellEnd"/>
      <w:r w:rsidRPr="00C63C66">
        <w:t xml:space="preserve"> and </w:t>
      </w:r>
      <w:proofErr w:type="spellStart"/>
      <w:r w:rsidRPr="00C63C66">
        <w:t>PowerProvider</w:t>
      </w:r>
      <w:proofErr w:type="spellEnd"/>
      <w:r w:rsidRPr="00C63C66">
        <w:t xml:space="preserve"> to HIZAI Banking Services. HIZAI Banking Services must handle Max’s energy sector information in accordance with the Privacy Safeguards, as it is an accredited data recipient of this CDR data.</w:t>
      </w:r>
    </w:p>
    <w:p w14:paraId="5FD31824" w14:textId="275D8960" w:rsidR="0056505C" w:rsidRPr="00C63C66" w:rsidRDefault="0056505C" w:rsidP="002E39D8">
      <w:pPr>
        <w:pStyle w:val="base-text-paragraph"/>
        <w:numPr>
          <w:ilvl w:val="1"/>
          <w:numId w:val="33"/>
        </w:numPr>
      </w:pPr>
      <w:r w:rsidRPr="00C63C66">
        <w:t xml:space="preserve">A more prescriptive approach has been taken to the design of the </w:t>
      </w:r>
      <w:r w:rsidR="0047702B" w:rsidRPr="00C63C66">
        <w:t>Privacy S</w:t>
      </w:r>
      <w:r w:rsidR="000F2F44" w:rsidRPr="00C63C66">
        <w:t>afeguards</w:t>
      </w:r>
      <w:r w:rsidRPr="00C63C66">
        <w:t xml:space="preserve"> to ensure the proper use, access, disclosure or transfer</w:t>
      </w:r>
      <w:r w:rsidR="000F2F44" w:rsidRPr="00C63C66">
        <w:t>,</w:t>
      </w:r>
      <w:r w:rsidRPr="00C63C66">
        <w:t xml:space="preserve"> storage </w:t>
      </w:r>
      <w:r w:rsidR="000F2F44" w:rsidRPr="00C63C66">
        <w:t xml:space="preserve">and deletion </w:t>
      </w:r>
      <w:r w:rsidRPr="00C63C66">
        <w:t xml:space="preserve">of CDR data. The </w:t>
      </w:r>
      <w:r w:rsidR="0047702B" w:rsidRPr="00C63C66">
        <w:t>Privacy S</w:t>
      </w:r>
      <w:r w:rsidR="000F2F44" w:rsidRPr="00C63C66">
        <w:t>afeguards</w:t>
      </w:r>
      <w:r w:rsidR="008D01B4" w:rsidRPr="00C63C66">
        <w:t xml:space="preserve"> </w:t>
      </w:r>
      <w:r w:rsidRPr="00C63C66">
        <w:t>will also apply to CDR</w:t>
      </w:r>
      <w:r w:rsidR="00466C6D" w:rsidRPr="00C63C66">
        <w:t xml:space="preserve"> data where the CDR consumer is a business. </w:t>
      </w:r>
    </w:p>
    <w:p w14:paraId="61D2949F" w14:textId="2B5F5FD7" w:rsidR="003D5D8C" w:rsidRPr="00C63C66" w:rsidRDefault="003D5D8C" w:rsidP="002E39D8">
      <w:pPr>
        <w:pStyle w:val="base-text-paragraph"/>
        <w:numPr>
          <w:ilvl w:val="1"/>
          <w:numId w:val="33"/>
        </w:numPr>
      </w:pPr>
      <w:r w:rsidRPr="00C63C66">
        <w:t xml:space="preserve">The Privacy Act principally applies to ‘personal information’ which is defined at section 6 of that Act to include information or an opinion about an individual from which the individual may be capable of being identified. </w:t>
      </w:r>
    </w:p>
    <w:p w14:paraId="669C727F" w14:textId="21633489" w:rsidR="003D5D8C" w:rsidRPr="00C63C66" w:rsidRDefault="00A14922" w:rsidP="002E39D8">
      <w:pPr>
        <w:pStyle w:val="base-text-paragraph"/>
        <w:numPr>
          <w:ilvl w:val="1"/>
          <w:numId w:val="33"/>
        </w:numPr>
      </w:pPr>
      <w:r w:rsidRPr="00C63C66">
        <w:t xml:space="preserve">Similarly, the </w:t>
      </w:r>
      <w:r w:rsidR="00466C6D" w:rsidRPr="00C63C66">
        <w:t>Privacy S</w:t>
      </w:r>
      <w:r w:rsidR="004A3205" w:rsidRPr="00C63C66">
        <w:t>afeguards only</w:t>
      </w:r>
      <w:r w:rsidR="003D5D8C" w:rsidRPr="00C63C66">
        <w:t xml:space="preserve"> apply to information </w:t>
      </w:r>
      <w:r w:rsidR="004A3205" w:rsidRPr="00C63C66">
        <w:t>that relates to identifiable or reasonably identifiable</w:t>
      </w:r>
      <w:r w:rsidR="003D5D8C" w:rsidRPr="00C63C66">
        <w:t xml:space="preserve"> CDR consumers, </w:t>
      </w:r>
      <w:r w:rsidR="004A3205" w:rsidRPr="00C63C66">
        <w:t>including</w:t>
      </w:r>
      <w:r w:rsidR="003D5D8C" w:rsidRPr="00C63C66">
        <w:t xml:space="preserve"> business consumers who wish to participate in the system. As such, the </w:t>
      </w:r>
      <w:r w:rsidR="00466C6D" w:rsidRPr="00C63C66">
        <w:t>Privacy S</w:t>
      </w:r>
      <w:r w:rsidR="000F2F44" w:rsidRPr="00C63C66">
        <w:t>afeguards</w:t>
      </w:r>
      <w:r w:rsidR="003D5D8C" w:rsidRPr="00C63C66">
        <w:t xml:space="preserve"> have been created to ensure that business information is also protected.</w:t>
      </w:r>
    </w:p>
    <w:p w14:paraId="60F82733" w14:textId="295455F8" w:rsidR="004A3205" w:rsidRPr="00C63C66" w:rsidRDefault="004A3205" w:rsidP="002E39D8">
      <w:pPr>
        <w:pStyle w:val="base-text-paragraph"/>
        <w:numPr>
          <w:ilvl w:val="1"/>
          <w:numId w:val="33"/>
        </w:numPr>
      </w:pPr>
      <w:r w:rsidRPr="00C63C66">
        <w:t>The use of the term ‘relates’ creates a lower threshold for info</w:t>
      </w:r>
      <w:r w:rsidR="00466C6D" w:rsidRPr="00C63C66">
        <w:t>rmation to be protected by the Privacy S</w:t>
      </w:r>
      <w:r w:rsidRPr="00C63C66">
        <w:t>afeguards than applies to information protected by the APPs. The APPs apply to information ‘about’ a person. This means that CDR data held by an accredited data recipient will c</w:t>
      </w:r>
      <w:r w:rsidR="00466C6D" w:rsidRPr="00C63C66">
        <w:t>ontinue to be protected by the Privacy S</w:t>
      </w:r>
      <w:r w:rsidRPr="00C63C66">
        <w:t xml:space="preserve">afeguards until that </w:t>
      </w:r>
      <w:r w:rsidRPr="00C63C66">
        <w:lastRenderedPageBreak/>
        <w:t xml:space="preserve">data ceases to ‘relate’ to an identifiable or reasonably identifiable consumer. In particular, it is intended that the term ‘de-identification’ be interpreted by reference to this threshold. </w:t>
      </w:r>
    </w:p>
    <w:p w14:paraId="1AE17111" w14:textId="4CD09621" w:rsidR="003D5D8C" w:rsidRPr="00C63C66" w:rsidRDefault="00E304F3" w:rsidP="002E39D8">
      <w:pPr>
        <w:pStyle w:val="base-text-paragraph"/>
        <w:numPr>
          <w:ilvl w:val="1"/>
          <w:numId w:val="33"/>
        </w:numPr>
      </w:pPr>
      <w:r w:rsidRPr="00C63C66">
        <w:t xml:space="preserve">The Bill clarifies </w:t>
      </w:r>
      <w:r w:rsidR="003D5D8C" w:rsidRPr="00C63C66">
        <w:t xml:space="preserve">the types of data the </w:t>
      </w:r>
      <w:r w:rsidR="00466C6D" w:rsidRPr="00C63C66">
        <w:t>Privacy S</w:t>
      </w:r>
      <w:r w:rsidR="000F2F44" w:rsidRPr="00C63C66">
        <w:t>afeguards</w:t>
      </w:r>
      <w:r w:rsidR="003D5D8C" w:rsidRPr="00C63C66">
        <w:t xml:space="preserve"> apply to and how the </w:t>
      </w:r>
      <w:r w:rsidR="00466C6D" w:rsidRPr="00C63C66">
        <w:t>Privacy S</w:t>
      </w:r>
      <w:r w:rsidR="000F2F44" w:rsidRPr="00C63C66">
        <w:t>afeguards</w:t>
      </w:r>
      <w:r w:rsidR="003D5D8C" w:rsidRPr="00C63C66">
        <w:t xml:space="preserve"> interact with the consumer data rules. </w:t>
      </w:r>
      <w:r w:rsidR="000F2F44" w:rsidRPr="00C63C66">
        <w:t>The consumer data rules may impose additional privacy protections provide</w:t>
      </w:r>
      <w:r w:rsidR="00466C6D" w:rsidRPr="00C63C66">
        <w:t>d they are consistent with the Privacy S</w:t>
      </w:r>
      <w:r w:rsidR="000F2F44" w:rsidRPr="00C63C66">
        <w:t>afeguards.</w:t>
      </w:r>
      <w:r w:rsidR="008472FF">
        <w:t xml:space="preserve"> </w:t>
      </w:r>
      <w:r w:rsidR="008472FF">
        <w:rPr>
          <w:rStyle w:val="Referencingstyle"/>
        </w:rPr>
        <w:t>[Schedule 1, item 1</w:t>
      </w:r>
      <w:r w:rsidR="008472FF" w:rsidRPr="00375F1D">
        <w:rPr>
          <w:rStyle w:val="Referencingstyle"/>
        </w:rPr>
        <w:t xml:space="preserve">, </w:t>
      </w:r>
      <w:r w:rsidR="008472FF">
        <w:rPr>
          <w:rStyle w:val="Referencingstyle"/>
        </w:rPr>
        <w:t>sub</w:t>
      </w:r>
      <w:r w:rsidR="008472FF" w:rsidRPr="00375F1D">
        <w:rPr>
          <w:rStyle w:val="Referencingstyle"/>
        </w:rPr>
        <w:t>sections</w:t>
      </w:r>
      <w:r w:rsidR="008472FF">
        <w:rPr>
          <w:rStyle w:val="Referencingstyle"/>
        </w:rPr>
        <w:t> 56EC(1) and 56EC(2)</w:t>
      </w:r>
      <w:r w:rsidR="008472FF" w:rsidRPr="00375F1D">
        <w:rPr>
          <w:rStyle w:val="Referencingstyle"/>
        </w:rPr>
        <w:t>]</w:t>
      </w:r>
    </w:p>
    <w:p w14:paraId="4C664AB9" w14:textId="15F37E3E" w:rsidR="003D5D8C" w:rsidRPr="002E39D8" w:rsidRDefault="00E304F3" w:rsidP="002E39D8">
      <w:pPr>
        <w:pStyle w:val="base-text-paragraph"/>
        <w:numPr>
          <w:ilvl w:val="1"/>
          <w:numId w:val="33"/>
        </w:numPr>
      </w:pPr>
      <w:r w:rsidRPr="00C63C66">
        <w:t>The Bill</w:t>
      </w:r>
      <w:r w:rsidR="003D5D8C" w:rsidRPr="00C63C66">
        <w:t xml:space="preserve"> provides coverage for CDR consumers irrespective of whether they are an individual or a</w:t>
      </w:r>
      <w:r w:rsidR="008E615F" w:rsidRPr="00C63C66">
        <w:t xml:space="preserve"> business consumer</w:t>
      </w:r>
      <w:r w:rsidR="00A14922" w:rsidRPr="00C63C66">
        <w:t xml:space="preserve">. </w:t>
      </w:r>
      <w:r w:rsidR="008E615F" w:rsidRPr="008472FF">
        <w:rPr>
          <w:rStyle w:val="Referencingstyle"/>
        </w:rPr>
        <w:t>[Schedule 1, item 1, section 56EB]</w:t>
      </w:r>
    </w:p>
    <w:p w14:paraId="222D2072" w14:textId="3FC4D93E" w:rsidR="004D06B4" w:rsidRPr="002E39D8" w:rsidRDefault="004D06B4" w:rsidP="002E39D8">
      <w:pPr>
        <w:pStyle w:val="base-text-paragraph"/>
        <w:numPr>
          <w:ilvl w:val="1"/>
          <w:numId w:val="33"/>
        </w:numPr>
        <w:rPr>
          <w:b/>
          <w:i/>
        </w:rPr>
      </w:pPr>
      <w:r w:rsidRPr="00C63C66">
        <w:t xml:space="preserve">CDR data must be handled by accredited recipients consistently with the Privacy Safeguards. The collection of CDR data may also be authorised or required under another Australian law. In that case, a person will be authorised to make the collection of the CDR data by that law. </w:t>
      </w:r>
    </w:p>
    <w:p w14:paraId="3AF1305C" w14:textId="719843C9" w:rsidR="000F6FBB" w:rsidRPr="00C63C66" w:rsidRDefault="000F6FBB" w:rsidP="000F6FBB">
      <w:pPr>
        <w:pStyle w:val="Heading3"/>
      </w:pPr>
      <w:r w:rsidRPr="00C63C66">
        <w:t>Consideration of CDR data privacy</w:t>
      </w:r>
    </w:p>
    <w:p w14:paraId="6922D276" w14:textId="170D3E4D" w:rsidR="0056505C" w:rsidRPr="00C63C66" w:rsidRDefault="0056505C" w:rsidP="0056505C">
      <w:pPr>
        <w:pStyle w:val="Heading4"/>
      </w:pPr>
      <w:r w:rsidRPr="00C63C66">
        <w:t xml:space="preserve">CDR </w:t>
      </w:r>
      <w:r w:rsidR="00A43E98" w:rsidRPr="00C63C66">
        <w:t>Privacy Safeguard</w:t>
      </w:r>
      <w:r w:rsidRPr="00C63C66">
        <w:t xml:space="preserve"> 1 - Open and transparent management of CDR data</w:t>
      </w:r>
    </w:p>
    <w:p w14:paraId="58D86C94" w14:textId="5CDCE7D2" w:rsidR="0056505C" w:rsidRPr="00C63C66" w:rsidRDefault="00CE7C95" w:rsidP="002E39D8">
      <w:pPr>
        <w:pStyle w:val="base-text-paragraph"/>
        <w:numPr>
          <w:ilvl w:val="1"/>
          <w:numId w:val="33"/>
        </w:numPr>
      </w:pPr>
      <w:r w:rsidRPr="00C63C66">
        <w:t>It is important that CDR consumers have the ability to inquire or complain about the manner in which their CDR data is being handled by a CDR participant. The CDR system is consumer driven</w:t>
      </w:r>
      <w:r w:rsidR="00A43E98" w:rsidRPr="00C63C66">
        <w:t>. I</w:t>
      </w:r>
      <w:r w:rsidRPr="00C63C66">
        <w:t xml:space="preserve">f a consumer is not satisfied that their data is being treated in compliance with the consumer data rules, the consumer should have a clear avenue to raise this with the data holder or accredited entity </w:t>
      </w:r>
      <w:r w:rsidR="00E304F3" w:rsidRPr="00C63C66">
        <w:t>in</w:t>
      </w:r>
      <w:r w:rsidRPr="00C63C66">
        <w:t xml:space="preserve"> possession of the consumer’s CDR data. </w:t>
      </w:r>
    </w:p>
    <w:p w14:paraId="4AD6F331" w14:textId="086C327C" w:rsidR="009B6561" w:rsidRPr="00C63C66" w:rsidRDefault="00CE7C95" w:rsidP="002E39D8">
      <w:pPr>
        <w:pStyle w:val="base-text-paragraph"/>
        <w:numPr>
          <w:ilvl w:val="1"/>
          <w:numId w:val="33"/>
        </w:numPr>
      </w:pPr>
      <w:r w:rsidRPr="00C63C66">
        <w:t>To assist in this, all CDR participants must have policy</w:t>
      </w:r>
      <w:r w:rsidR="00C35FAC" w:rsidRPr="00C63C66">
        <w:t xml:space="preserve">, procedures and systems in place </w:t>
      </w:r>
      <w:r w:rsidR="00814E32" w:rsidRPr="00C63C66">
        <w:t xml:space="preserve">that ensure compliance with the CDR regime and </w:t>
      </w:r>
      <w:r w:rsidRPr="00C63C66">
        <w:t xml:space="preserve">management of CDR data. </w:t>
      </w:r>
    </w:p>
    <w:p w14:paraId="7F25009D" w14:textId="28B1C406" w:rsidR="00CE7C95" w:rsidRPr="00C63C66" w:rsidRDefault="009B6561" w:rsidP="002E39D8">
      <w:pPr>
        <w:pStyle w:val="base-text-paragraph"/>
        <w:numPr>
          <w:ilvl w:val="1"/>
          <w:numId w:val="33"/>
        </w:numPr>
      </w:pPr>
      <w:r w:rsidRPr="00C63C66">
        <w:t xml:space="preserve">For data holders, </w:t>
      </w:r>
      <w:r w:rsidR="00814E32" w:rsidRPr="00C63C66">
        <w:t>the</w:t>
      </w:r>
      <w:r w:rsidRPr="00C63C66">
        <w:t xml:space="preserve"> </w:t>
      </w:r>
      <w:r w:rsidR="00CE7C95" w:rsidRPr="00C63C66">
        <w:t>policy must contain the following information:</w:t>
      </w:r>
    </w:p>
    <w:p w14:paraId="711D44EC" w14:textId="62F05DB5" w:rsidR="00CE7C95" w:rsidRPr="00C63C66" w:rsidRDefault="009B6561" w:rsidP="000A70CB">
      <w:pPr>
        <w:pStyle w:val="dotpoint"/>
      </w:pPr>
      <w:r w:rsidRPr="00C63C66">
        <w:t>How a CDR consumer may access the CDR data and seek corrections if there are errors; and</w:t>
      </w:r>
    </w:p>
    <w:p w14:paraId="40BB94D2" w14:textId="73311724" w:rsidR="009B6561" w:rsidRPr="00C63C66" w:rsidRDefault="009B6561" w:rsidP="00593A3C">
      <w:pPr>
        <w:pStyle w:val="dotpoint"/>
      </w:pPr>
      <w:r w:rsidRPr="00C63C66">
        <w:t xml:space="preserve">How a CDR consumer may complain about a failure of a data holder or accredited data participant to comply with the CDR regime.  </w:t>
      </w:r>
    </w:p>
    <w:p w14:paraId="1FDE60A4" w14:textId="77777777" w:rsidR="00053B7F" w:rsidRDefault="00053B7F">
      <w:pPr>
        <w:spacing w:before="0" w:after="160" w:line="259" w:lineRule="auto"/>
      </w:pPr>
      <w:r>
        <w:br w:type="page"/>
      </w:r>
    </w:p>
    <w:p w14:paraId="3B82E1A8" w14:textId="01B1DFAB" w:rsidR="009B6561" w:rsidRPr="00C63C66" w:rsidRDefault="009B6561" w:rsidP="002E39D8">
      <w:pPr>
        <w:pStyle w:val="base-text-paragraph"/>
        <w:numPr>
          <w:ilvl w:val="1"/>
          <w:numId w:val="33"/>
        </w:numPr>
      </w:pPr>
      <w:r w:rsidRPr="00C63C66">
        <w:lastRenderedPageBreak/>
        <w:t xml:space="preserve">For accredited data recipients, the policy about the management of CDR data must contain the following information: </w:t>
      </w:r>
    </w:p>
    <w:p w14:paraId="4FA71F6B" w14:textId="3D51A7B4" w:rsidR="00712584" w:rsidRPr="00C63C66" w:rsidRDefault="009A4B74" w:rsidP="00593A3C">
      <w:pPr>
        <w:pStyle w:val="dotpoint"/>
      </w:pPr>
      <w:r w:rsidRPr="00C63C66">
        <w:t xml:space="preserve">The kinds of CDR data held by the </w:t>
      </w:r>
      <w:r w:rsidR="00F33161" w:rsidRPr="00C63C66">
        <w:t>accredited data recipient</w:t>
      </w:r>
      <w:r w:rsidRPr="00C63C66">
        <w:t xml:space="preserve"> and how that data is held;</w:t>
      </w:r>
    </w:p>
    <w:p w14:paraId="462F40FC" w14:textId="4518F119" w:rsidR="009A4B74" w:rsidRPr="00C63C66" w:rsidRDefault="009A4B74" w:rsidP="00593A3C">
      <w:pPr>
        <w:pStyle w:val="dotpoint"/>
      </w:pPr>
      <w:r w:rsidRPr="00C63C66">
        <w:t>The purposes for collecting, holding, using and disclosing the CDR data;</w:t>
      </w:r>
    </w:p>
    <w:p w14:paraId="351A861E" w14:textId="17719C1D" w:rsidR="009A4B74" w:rsidRPr="00C63C66" w:rsidRDefault="009A4B74" w:rsidP="00593A3C">
      <w:pPr>
        <w:pStyle w:val="dotpoint"/>
      </w:pPr>
      <w:r w:rsidRPr="00C63C66">
        <w:t>How a CDR consumer is able to access their CDR information and seek a correction of the CDR data if there are errors;</w:t>
      </w:r>
    </w:p>
    <w:p w14:paraId="45B04C72" w14:textId="697CE123" w:rsidR="009A4B74" w:rsidRPr="00C63C66" w:rsidRDefault="009A4B74" w:rsidP="00593A3C">
      <w:pPr>
        <w:pStyle w:val="dotpoint"/>
      </w:pPr>
      <w:r w:rsidRPr="00C63C66">
        <w:t xml:space="preserve">How a CDR consumer can complain about the failure of a CDR participant to comply with the CDR </w:t>
      </w:r>
      <w:r w:rsidR="009B6561" w:rsidRPr="00C63C66">
        <w:t>regime</w:t>
      </w:r>
      <w:r w:rsidRPr="00C63C66">
        <w:t>;</w:t>
      </w:r>
    </w:p>
    <w:p w14:paraId="0F746F22" w14:textId="06A7AC1E" w:rsidR="009A4B74" w:rsidRPr="00C63C66" w:rsidRDefault="009A4B74" w:rsidP="00593A3C">
      <w:pPr>
        <w:pStyle w:val="dotpoint"/>
      </w:pPr>
      <w:r w:rsidRPr="00C63C66">
        <w:t xml:space="preserve">How </w:t>
      </w:r>
      <w:r w:rsidR="00F33161" w:rsidRPr="00C63C66">
        <w:t>the accredited data recipient</w:t>
      </w:r>
      <w:r w:rsidRPr="00C63C66">
        <w:t xml:space="preserve"> will address such a complaint;</w:t>
      </w:r>
      <w:r w:rsidR="00761513" w:rsidRPr="00C63C66">
        <w:t xml:space="preserve"> </w:t>
      </w:r>
    </w:p>
    <w:p w14:paraId="2350E425" w14:textId="585988AA" w:rsidR="009A4B74" w:rsidRPr="00C63C66" w:rsidRDefault="00F33161" w:rsidP="00593A3C">
      <w:pPr>
        <w:pStyle w:val="dotpoint"/>
      </w:pPr>
      <w:r w:rsidRPr="00C63C66">
        <w:t>If the accredited data recipient is</w:t>
      </w:r>
      <w:r w:rsidR="00761513" w:rsidRPr="00C63C66">
        <w:t xml:space="preserve"> likely to disclose CDR data to an overseas accredited data entity, information about the countr</w:t>
      </w:r>
      <w:r w:rsidR="009B6561" w:rsidRPr="00C63C66">
        <w:t>y in which that entity is based;</w:t>
      </w:r>
    </w:p>
    <w:p w14:paraId="32AD1FBF" w14:textId="4B0A3A4E" w:rsidR="009B6561" w:rsidRPr="00C63C66" w:rsidRDefault="009B6561" w:rsidP="000A70CB">
      <w:pPr>
        <w:pStyle w:val="dotpoint"/>
      </w:pPr>
      <w:r w:rsidRPr="00C63C66">
        <w:t xml:space="preserve">The circumstances when the accredited data recipient will disclose the data to a person that does not hold an accreditation; </w:t>
      </w:r>
    </w:p>
    <w:p w14:paraId="7ACAA433" w14:textId="6D16705C" w:rsidR="009B6561" w:rsidRPr="00C63C66" w:rsidRDefault="00F33161" w:rsidP="000A70CB">
      <w:pPr>
        <w:pStyle w:val="dotpoint"/>
      </w:pPr>
      <w:r w:rsidRPr="00C63C66">
        <w:t>The events that the CDR consumer will be notified about; and</w:t>
      </w:r>
    </w:p>
    <w:p w14:paraId="00E3C7BB" w14:textId="10E17C7A" w:rsidR="00F33161" w:rsidRPr="00C63C66" w:rsidRDefault="00F33161" w:rsidP="000A70CB">
      <w:pPr>
        <w:pStyle w:val="dotpoint"/>
      </w:pPr>
      <w:r w:rsidRPr="00C63C66">
        <w:t xml:space="preserve">The circumstances when the accredited data recipient must delete CDR information. </w:t>
      </w:r>
    </w:p>
    <w:p w14:paraId="11BCA4E7" w14:textId="508C967B" w:rsidR="00761513" w:rsidRPr="00C63C66" w:rsidRDefault="00761513" w:rsidP="00593A3C">
      <w:pPr>
        <w:pStyle w:val="base-text-paragraph"/>
        <w:numPr>
          <w:ilvl w:val="0"/>
          <w:numId w:val="0"/>
        </w:numPr>
        <w:ind w:left="1854"/>
        <w:jc w:val="both"/>
      </w:pPr>
      <w:r w:rsidRPr="00C63C66">
        <w:rPr>
          <w:rStyle w:val="Referencingstyle"/>
        </w:rPr>
        <w:t>[Sch</w:t>
      </w:r>
      <w:r w:rsidR="00E304F3" w:rsidRPr="00C63C66">
        <w:rPr>
          <w:rStyle w:val="Referencingstyle"/>
        </w:rPr>
        <w:t>edule 1, item 1, section</w:t>
      </w:r>
      <w:r w:rsidR="00830F6D" w:rsidRPr="00C63C66">
        <w:rPr>
          <w:rStyle w:val="Referencingstyle"/>
        </w:rPr>
        <w:t xml:space="preserve"> 56ED</w:t>
      </w:r>
      <w:r w:rsidRPr="00C63C66">
        <w:rPr>
          <w:rStyle w:val="Referencingstyle"/>
        </w:rPr>
        <w:t>]</w:t>
      </w:r>
    </w:p>
    <w:p w14:paraId="23DD44E7" w14:textId="7DDCB599" w:rsidR="0056505C" w:rsidRPr="00C63C66" w:rsidRDefault="00761513" w:rsidP="002E39D8">
      <w:pPr>
        <w:pStyle w:val="base-text-paragraph"/>
        <w:numPr>
          <w:ilvl w:val="1"/>
          <w:numId w:val="33"/>
        </w:numPr>
      </w:pPr>
      <w:r w:rsidRPr="00C63C66">
        <w:t>CDR participants</w:t>
      </w:r>
      <w:r w:rsidR="00534C4B" w:rsidRPr="00C63C66">
        <w:t>’</w:t>
      </w:r>
      <w:r w:rsidRPr="00C63C66">
        <w:t xml:space="preserve"> policies must detail each of the above factors in order for the policy to be compliant with </w:t>
      </w:r>
      <w:r w:rsidR="00F33161" w:rsidRPr="00C63C66">
        <w:t>Privacy S</w:t>
      </w:r>
      <w:r w:rsidR="00E3290E" w:rsidRPr="00C63C66">
        <w:t>afeguard 1</w:t>
      </w:r>
      <w:r w:rsidRPr="00C63C66">
        <w:t>. It is essential that CDR consumers clearly understand how to make a complaint about the use, disclosure or storage of their CDR data. Equally, it is important that information be accurate and corrections be made, if required.</w:t>
      </w:r>
    </w:p>
    <w:p w14:paraId="728097E2" w14:textId="108EAF68" w:rsidR="00761513" w:rsidRPr="002E39D8" w:rsidRDefault="00761513" w:rsidP="002E39D8">
      <w:pPr>
        <w:pStyle w:val="base-text-paragraph"/>
        <w:numPr>
          <w:ilvl w:val="1"/>
          <w:numId w:val="33"/>
        </w:numPr>
      </w:pPr>
      <w:r w:rsidRPr="00C63C66">
        <w:t xml:space="preserve">For ease of access, the CDR privacy policy must be made available free of charge and in an appropriate form. An appropriate form </w:t>
      </w:r>
      <w:r w:rsidR="00CF58A6" w:rsidRPr="00C63C66">
        <w:t>might, for example,</w:t>
      </w:r>
      <w:r w:rsidRPr="00C63C66">
        <w:t xml:space="preserve"> include online or in a booklet which is capable of being sent to a CDR consumer or other participant. </w:t>
      </w:r>
      <w:r w:rsidRPr="0088222D">
        <w:rPr>
          <w:rStyle w:val="Referencingstyle"/>
        </w:rPr>
        <w:t>[Sch</w:t>
      </w:r>
      <w:r w:rsidR="00830F6D" w:rsidRPr="0088222D">
        <w:rPr>
          <w:rStyle w:val="Referencingstyle"/>
        </w:rPr>
        <w:t>edule 1, item 1, paragraph 56ED</w:t>
      </w:r>
      <w:r w:rsidRPr="0088222D">
        <w:rPr>
          <w:rStyle w:val="Referencingstyle"/>
        </w:rPr>
        <w:t>(</w:t>
      </w:r>
      <w:r w:rsidR="00830F6D" w:rsidRPr="0088222D">
        <w:rPr>
          <w:rStyle w:val="Referencingstyle"/>
        </w:rPr>
        <w:t>6</w:t>
      </w:r>
      <w:r w:rsidRPr="0088222D">
        <w:rPr>
          <w:rStyle w:val="Referencingstyle"/>
        </w:rPr>
        <w:t>)</w:t>
      </w:r>
      <w:r w:rsidR="00830F6D" w:rsidRPr="0088222D">
        <w:rPr>
          <w:rStyle w:val="Referencingstyle"/>
        </w:rPr>
        <w:t>(a)</w:t>
      </w:r>
      <w:r w:rsidRPr="0088222D">
        <w:rPr>
          <w:rStyle w:val="Referencingstyle"/>
        </w:rPr>
        <w:t>]</w:t>
      </w:r>
    </w:p>
    <w:p w14:paraId="723D4DFD" w14:textId="4D00F302" w:rsidR="00761513" w:rsidRPr="00C63C66" w:rsidRDefault="00534C4B" w:rsidP="002E39D8">
      <w:pPr>
        <w:pStyle w:val="base-text-paragraph"/>
        <w:numPr>
          <w:ilvl w:val="1"/>
          <w:numId w:val="33"/>
        </w:numPr>
      </w:pPr>
      <w:r w:rsidRPr="00C63C66">
        <w:t>The policy must be made available consistent with the consumer data rules. If the consumer data rules specify for the policy to be made available in a certain format, the CDR consumer may require the policy be provided to them in that format</w:t>
      </w:r>
      <w:r w:rsidR="00761513" w:rsidRPr="00C63C66">
        <w:t xml:space="preserve">. </w:t>
      </w:r>
      <w:r w:rsidR="00761513" w:rsidRPr="0088222D">
        <w:rPr>
          <w:rStyle w:val="Referencingstyle"/>
        </w:rPr>
        <w:t>[Schedule 1, item 1, subsection 5</w:t>
      </w:r>
      <w:r w:rsidR="00830F6D" w:rsidRPr="0088222D">
        <w:rPr>
          <w:rStyle w:val="Referencingstyle"/>
        </w:rPr>
        <w:t>ED(7)</w:t>
      </w:r>
      <w:r w:rsidR="00761513" w:rsidRPr="0088222D">
        <w:rPr>
          <w:rStyle w:val="Referencingstyle"/>
        </w:rPr>
        <w:t>]</w:t>
      </w:r>
    </w:p>
    <w:p w14:paraId="533D6FF5" w14:textId="7F6BCEFC" w:rsidR="0056505C" w:rsidRPr="00C63C66" w:rsidRDefault="0056505C" w:rsidP="0056505C">
      <w:pPr>
        <w:pStyle w:val="Heading4"/>
      </w:pPr>
      <w:r w:rsidRPr="00C63C66">
        <w:lastRenderedPageBreak/>
        <w:t xml:space="preserve">CDR </w:t>
      </w:r>
      <w:r w:rsidR="007822CB" w:rsidRPr="00C63C66">
        <w:t>P</w:t>
      </w:r>
      <w:r w:rsidR="00CF58A6" w:rsidRPr="00C63C66">
        <w:t xml:space="preserve">rivacy </w:t>
      </w:r>
      <w:r w:rsidR="007822CB" w:rsidRPr="00C63C66">
        <w:t>S</w:t>
      </w:r>
      <w:r w:rsidR="00CF58A6" w:rsidRPr="00C63C66">
        <w:t>afeguard</w:t>
      </w:r>
      <w:r w:rsidRPr="00C63C66">
        <w:t xml:space="preserve"> 2 – Anonymity and pseudonymity </w:t>
      </w:r>
    </w:p>
    <w:p w14:paraId="3FFBF62E" w14:textId="157D05FA" w:rsidR="00474F29" w:rsidRPr="002E39D8" w:rsidRDefault="00474F29" w:rsidP="002E39D8">
      <w:pPr>
        <w:pStyle w:val="base-text-paragraph"/>
        <w:numPr>
          <w:ilvl w:val="1"/>
          <w:numId w:val="33"/>
        </w:numPr>
      </w:pPr>
      <w:r w:rsidRPr="00C63C66">
        <w:t xml:space="preserve">Generally, </w:t>
      </w:r>
      <w:r w:rsidR="00830F6D" w:rsidRPr="00C63C66">
        <w:t xml:space="preserve">whether </w:t>
      </w:r>
      <w:r w:rsidRPr="00C63C66">
        <w:t>a CDR consumer will be able to utilise a pseudonym in relation to their CDR data</w:t>
      </w:r>
      <w:r w:rsidR="00830F6D" w:rsidRPr="00C63C66">
        <w:t xml:space="preserve"> will be a matter prescribed by the consumer data rules</w:t>
      </w:r>
      <w:r w:rsidRPr="00C63C66">
        <w:t xml:space="preserve">. </w:t>
      </w:r>
      <w:r w:rsidRPr="0088222D">
        <w:rPr>
          <w:rStyle w:val="Referencingstyle"/>
        </w:rPr>
        <w:t>[Sch</w:t>
      </w:r>
      <w:r w:rsidR="00830F6D" w:rsidRPr="0088222D">
        <w:rPr>
          <w:rStyle w:val="Referencingstyle"/>
        </w:rPr>
        <w:t>edule 1, item 1, subsection 56EE</w:t>
      </w:r>
      <w:r w:rsidRPr="0088222D">
        <w:rPr>
          <w:rStyle w:val="Referencingstyle"/>
        </w:rPr>
        <w:t>(</w:t>
      </w:r>
      <w:r w:rsidR="00830F6D" w:rsidRPr="0088222D">
        <w:rPr>
          <w:rStyle w:val="Referencingstyle"/>
        </w:rPr>
        <w:t>2</w:t>
      </w:r>
      <w:r w:rsidRPr="0088222D">
        <w:rPr>
          <w:rStyle w:val="Referencingstyle"/>
        </w:rPr>
        <w:t>)]</w:t>
      </w:r>
    </w:p>
    <w:p w14:paraId="7E2161C1" w14:textId="1DB49216" w:rsidR="00474F29" w:rsidRPr="00C63C66" w:rsidRDefault="00830F6D" w:rsidP="002E39D8">
      <w:pPr>
        <w:pStyle w:val="base-text-paragraph"/>
        <w:numPr>
          <w:ilvl w:val="1"/>
          <w:numId w:val="33"/>
        </w:numPr>
      </w:pPr>
      <w:r w:rsidRPr="00C63C66">
        <w:t>As a general rule, a CDR consumer may be provided with the option of utilising a pseudonym if that is considered appropriate for the sector. However, as the</w:t>
      </w:r>
      <w:r w:rsidR="00474F29" w:rsidRPr="00C63C66">
        <w:t xml:space="preserve"> first sector to be designated as a CDR sector is likely to be the banking sector</w:t>
      </w:r>
      <w:r w:rsidRPr="00C63C66">
        <w:t>, it is expected that the ACCC will make consumer data rules which prohibit the use of a pseudonym for this sector</w:t>
      </w:r>
      <w:r w:rsidR="00474F29" w:rsidRPr="00C63C66">
        <w:t>. Consumers are not able to deal with their bank via a pseudonym and it would not be appropriate to enable them to do so within the CDR system.</w:t>
      </w:r>
    </w:p>
    <w:p w14:paraId="7B352032" w14:textId="1C3F55A6" w:rsidR="00474F29" w:rsidRPr="00C63C66" w:rsidRDefault="00CF58A6" w:rsidP="002E39D8">
      <w:pPr>
        <w:pStyle w:val="base-text-paragraph"/>
        <w:numPr>
          <w:ilvl w:val="1"/>
          <w:numId w:val="33"/>
        </w:numPr>
      </w:pPr>
      <w:r w:rsidRPr="00C63C66">
        <w:t>T</w:t>
      </w:r>
      <w:r w:rsidR="00474F29" w:rsidRPr="00C63C66">
        <w:t>here may be other sectors designated in the future</w:t>
      </w:r>
      <w:r w:rsidRPr="00C63C66">
        <w:t xml:space="preserve"> where it is acceptable for individuals to use a pseudonym, such as social media</w:t>
      </w:r>
      <w:r w:rsidR="00474F29" w:rsidRPr="00C63C66">
        <w:t>. As such, scope is provided for the use of pseudonyms in the future.</w:t>
      </w:r>
    </w:p>
    <w:p w14:paraId="77E70638" w14:textId="172FB89A" w:rsidR="00761513" w:rsidRPr="00C63C66" w:rsidRDefault="00830F6D" w:rsidP="002E39D8">
      <w:pPr>
        <w:pStyle w:val="base-text-paragraph"/>
        <w:numPr>
          <w:ilvl w:val="1"/>
          <w:numId w:val="33"/>
        </w:numPr>
      </w:pPr>
      <w:r w:rsidRPr="00C63C66">
        <w:t>Unless the</w:t>
      </w:r>
      <w:r w:rsidR="00474F29" w:rsidRPr="00C63C66">
        <w:t xml:space="preserve"> consumer data rules specify instances where a</w:t>
      </w:r>
      <w:r w:rsidR="00E714C3" w:rsidRPr="00C63C66">
        <w:t>n accredited data recipient</w:t>
      </w:r>
      <w:r w:rsidR="00474F29" w:rsidRPr="00C63C66">
        <w:t xml:space="preserve"> is </w:t>
      </w:r>
      <w:r w:rsidRPr="00C63C66">
        <w:t>un</w:t>
      </w:r>
      <w:r w:rsidR="00474F29" w:rsidRPr="00C63C66">
        <w:t>able to provide a CDR consumer with the ability to use a pseudonym</w:t>
      </w:r>
      <w:r w:rsidRPr="00C63C66">
        <w:t>, a pseudonym may be permitted</w:t>
      </w:r>
      <w:r w:rsidR="00474F29" w:rsidRPr="00C63C66">
        <w:t xml:space="preserve">. </w:t>
      </w:r>
      <w:r w:rsidR="00474F29" w:rsidRPr="0088222D">
        <w:rPr>
          <w:rStyle w:val="Referencingstyle"/>
        </w:rPr>
        <w:t>[Sche</w:t>
      </w:r>
      <w:r w:rsidRPr="0088222D">
        <w:rPr>
          <w:rStyle w:val="Referencingstyle"/>
        </w:rPr>
        <w:t>dule 1, item 1, subsection 56EE</w:t>
      </w:r>
      <w:r w:rsidR="00474F29" w:rsidRPr="0088222D">
        <w:rPr>
          <w:rStyle w:val="Referencingstyle"/>
        </w:rPr>
        <w:t>(</w:t>
      </w:r>
      <w:r w:rsidRPr="0088222D">
        <w:rPr>
          <w:rStyle w:val="Referencingstyle"/>
        </w:rPr>
        <w:t>1</w:t>
      </w:r>
      <w:r w:rsidR="00474F29" w:rsidRPr="0088222D">
        <w:rPr>
          <w:rStyle w:val="Referencingstyle"/>
        </w:rPr>
        <w:t>)]</w:t>
      </w:r>
      <w:r w:rsidR="00474F29" w:rsidRPr="00C63C66">
        <w:t xml:space="preserve"> </w:t>
      </w:r>
    </w:p>
    <w:p w14:paraId="18AD4780" w14:textId="012A5644" w:rsidR="00E714C3" w:rsidRPr="00C63C66" w:rsidRDefault="00E714C3" w:rsidP="002E39D8">
      <w:pPr>
        <w:pStyle w:val="base-text-paragraph"/>
        <w:numPr>
          <w:ilvl w:val="1"/>
          <w:numId w:val="33"/>
        </w:numPr>
      </w:pPr>
      <w:r w:rsidRPr="00C63C66">
        <w:t xml:space="preserve">Privacy Safeguard 2 does not apply to data holders. As applicable, the Privacy Act and APPs will apply to data holders. </w:t>
      </w:r>
    </w:p>
    <w:p w14:paraId="7AA5F42A" w14:textId="4B94DB27" w:rsidR="0056505C" w:rsidRPr="00C63C66" w:rsidRDefault="0056505C" w:rsidP="0056505C">
      <w:pPr>
        <w:pStyle w:val="Heading3"/>
      </w:pPr>
      <w:r w:rsidRPr="00C63C66">
        <w:t>Collecting CDR data</w:t>
      </w:r>
    </w:p>
    <w:p w14:paraId="0DC0E6A8" w14:textId="6E083BA1" w:rsidR="0056505C" w:rsidRPr="00C63C66" w:rsidRDefault="0056505C" w:rsidP="0056505C">
      <w:pPr>
        <w:pStyle w:val="Heading4"/>
      </w:pPr>
      <w:r w:rsidRPr="00C63C66">
        <w:t xml:space="preserve">CDR </w:t>
      </w:r>
      <w:r w:rsidR="007822CB" w:rsidRPr="00C63C66">
        <w:t>P</w:t>
      </w:r>
      <w:r w:rsidR="00CF58A6" w:rsidRPr="00C63C66">
        <w:t xml:space="preserve">rivacy </w:t>
      </w:r>
      <w:r w:rsidR="007822CB" w:rsidRPr="00C63C66">
        <w:t>S</w:t>
      </w:r>
      <w:r w:rsidR="00CF58A6" w:rsidRPr="00C63C66">
        <w:t>afeguard</w:t>
      </w:r>
      <w:r w:rsidR="007822CB" w:rsidRPr="00C63C66">
        <w:t xml:space="preserve"> </w:t>
      </w:r>
      <w:r w:rsidRPr="00C63C66">
        <w:t>3 – Collecting solicited CDR data</w:t>
      </w:r>
    </w:p>
    <w:p w14:paraId="765F93FC" w14:textId="216CD1F6" w:rsidR="00DA4002" w:rsidRPr="002E39D8" w:rsidRDefault="00501697" w:rsidP="002E39D8">
      <w:pPr>
        <w:pStyle w:val="base-text-paragraph"/>
        <w:numPr>
          <w:ilvl w:val="1"/>
          <w:numId w:val="33"/>
        </w:numPr>
      </w:pPr>
      <w:r w:rsidRPr="00C63C66">
        <w:t>A</w:t>
      </w:r>
      <w:r w:rsidR="00E714C3" w:rsidRPr="00C63C66">
        <w:t xml:space="preserve">n accredited </w:t>
      </w:r>
      <w:r w:rsidR="00EC2EEF" w:rsidRPr="00C63C66">
        <w:t>person</w:t>
      </w:r>
      <w:r w:rsidR="00E714C3" w:rsidRPr="00C63C66">
        <w:t xml:space="preserve"> </w:t>
      </w:r>
      <w:r w:rsidRPr="00C63C66">
        <w:t xml:space="preserve">must </w:t>
      </w:r>
      <w:r w:rsidR="00CA54D9" w:rsidRPr="00C63C66">
        <w:t>only</w:t>
      </w:r>
      <w:r w:rsidRPr="00C63C66">
        <w:t xml:space="preserve"> </w:t>
      </w:r>
      <w:r w:rsidR="00F772B4" w:rsidRPr="00C63C66">
        <w:t xml:space="preserve">seek to </w:t>
      </w:r>
      <w:r w:rsidRPr="00C63C66">
        <w:t xml:space="preserve">collect CDR data </w:t>
      </w:r>
      <w:r w:rsidR="00E714C3" w:rsidRPr="00C63C66">
        <w:t xml:space="preserve">in accordance with the CDR regime </w:t>
      </w:r>
      <w:r w:rsidR="00DA4002" w:rsidRPr="00C63C66">
        <w:t>if</w:t>
      </w:r>
      <w:r w:rsidR="00E714C3" w:rsidRPr="00C63C66">
        <w:t xml:space="preserve"> </w:t>
      </w:r>
      <w:r w:rsidR="002F26BC" w:rsidRPr="00C63C66">
        <w:t>t</w:t>
      </w:r>
      <w:r w:rsidR="00DA4002" w:rsidRPr="00C63C66">
        <w:t xml:space="preserve">he </w:t>
      </w:r>
      <w:r w:rsidR="00E714C3" w:rsidRPr="00C63C66">
        <w:t xml:space="preserve">CDR consumer has given a valid request for the accredited </w:t>
      </w:r>
      <w:r w:rsidR="00EC2EEF" w:rsidRPr="00C63C66">
        <w:t>person</w:t>
      </w:r>
      <w:r w:rsidR="00E714C3" w:rsidRPr="00C63C66">
        <w:t xml:space="preserve"> to </w:t>
      </w:r>
      <w:r w:rsidR="00DA4002" w:rsidRPr="00C63C66">
        <w:t>collect</w:t>
      </w:r>
      <w:r w:rsidR="00E714C3" w:rsidRPr="00C63C66">
        <w:t xml:space="preserve"> the data under the consumer data rules. </w:t>
      </w:r>
      <w:r w:rsidR="00DA4002" w:rsidRPr="00484FBF">
        <w:rPr>
          <w:rStyle w:val="Referencingstyle"/>
        </w:rPr>
        <w:t>[Sch</w:t>
      </w:r>
      <w:r w:rsidR="00830F6D" w:rsidRPr="00484FBF">
        <w:rPr>
          <w:rStyle w:val="Referencingstyle"/>
        </w:rPr>
        <w:t xml:space="preserve">edule 1, item 1, </w:t>
      </w:r>
      <w:r w:rsidR="00EE1233" w:rsidRPr="00484FBF">
        <w:rPr>
          <w:rStyle w:val="Referencingstyle"/>
        </w:rPr>
        <w:t>section 56EF]</w:t>
      </w:r>
    </w:p>
    <w:p w14:paraId="2380D0FF" w14:textId="2F87EA84" w:rsidR="00E714C3" w:rsidRPr="00C63C66" w:rsidRDefault="00F772B4" w:rsidP="002E39D8">
      <w:pPr>
        <w:pStyle w:val="base-text-paragraph"/>
        <w:numPr>
          <w:ilvl w:val="1"/>
          <w:numId w:val="33"/>
        </w:numPr>
      </w:pPr>
      <w:r w:rsidRPr="00C63C66">
        <w:t xml:space="preserve">An accredited </w:t>
      </w:r>
      <w:r w:rsidR="00EC2EEF" w:rsidRPr="00C63C66">
        <w:t>person</w:t>
      </w:r>
      <w:r w:rsidRPr="00C63C66">
        <w:t xml:space="preserve"> may collect data for other purposes if it is allowed by another law but the accredited entity should not purport that the collection is being made under the CDR regime. </w:t>
      </w:r>
    </w:p>
    <w:p w14:paraId="2EC634DF" w14:textId="73E1BDE9" w:rsidR="0056505C" w:rsidRPr="00C63C66" w:rsidRDefault="0056505C" w:rsidP="0056505C">
      <w:pPr>
        <w:pStyle w:val="Heading4"/>
      </w:pPr>
      <w:r w:rsidRPr="00C63C66">
        <w:t xml:space="preserve">CDR </w:t>
      </w:r>
      <w:r w:rsidR="007822CB" w:rsidRPr="00C63C66">
        <w:t>P</w:t>
      </w:r>
      <w:r w:rsidR="00B42193" w:rsidRPr="00C63C66">
        <w:t xml:space="preserve">rivacy </w:t>
      </w:r>
      <w:r w:rsidR="007822CB" w:rsidRPr="00C63C66">
        <w:t>S</w:t>
      </w:r>
      <w:r w:rsidR="00B42193" w:rsidRPr="00C63C66">
        <w:t>afeguard</w:t>
      </w:r>
      <w:r w:rsidRPr="00C63C66">
        <w:t xml:space="preserve"> 4 – Dealing with unsolicited CDR data</w:t>
      </w:r>
    </w:p>
    <w:p w14:paraId="54D0CC4B" w14:textId="265D1AAB" w:rsidR="00AF5C88" w:rsidRPr="00C63C66" w:rsidRDefault="00F772B4" w:rsidP="002E39D8">
      <w:pPr>
        <w:pStyle w:val="base-text-paragraph"/>
        <w:numPr>
          <w:ilvl w:val="1"/>
          <w:numId w:val="33"/>
        </w:numPr>
      </w:pPr>
      <w:r w:rsidRPr="00C63C66">
        <w:t>This P</w:t>
      </w:r>
      <w:r w:rsidR="00AF5C88" w:rsidRPr="00C63C66">
        <w:t xml:space="preserve">rivacy </w:t>
      </w:r>
      <w:r w:rsidRPr="00C63C66">
        <w:t>Safeguard</w:t>
      </w:r>
      <w:r w:rsidR="00AF5C88" w:rsidRPr="00C63C66">
        <w:t xml:space="preserve"> is included to cover scenarios where a</w:t>
      </w:r>
      <w:r w:rsidRPr="00C63C66">
        <w:t xml:space="preserve">n accredited </w:t>
      </w:r>
      <w:r w:rsidR="00EC2EEF" w:rsidRPr="00C63C66">
        <w:t xml:space="preserve">person </w:t>
      </w:r>
      <w:r w:rsidR="00AF5C88" w:rsidRPr="00C63C66">
        <w:t xml:space="preserve">may not have </w:t>
      </w:r>
      <w:r w:rsidR="00EC2EEF" w:rsidRPr="00C63C66">
        <w:t xml:space="preserve">sought </w:t>
      </w:r>
      <w:r w:rsidR="009C3B6F" w:rsidRPr="00C63C66">
        <w:t>particular</w:t>
      </w:r>
      <w:r w:rsidR="00AF5C88" w:rsidRPr="00C63C66">
        <w:t xml:space="preserve"> CDR data</w:t>
      </w:r>
      <w:r w:rsidR="00EC2EEF" w:rsidRPr="00C63C66">
        <w:t xml:space="preserve"> from a data holder</w:t>
      </w:r>
      <w:r w:rsidR="00AF5C88" w:rsidRPr="00C63C66">
        <w:t xml:space="preserve">, but they find themselves in possession of it. </w:t>
      </w:r>
    </w:p>
    <w:p w14:paraId="1AD5F61D" w14:textId="629F79A9" w:rsidR="0056505C" w:rsidRPr="00C63C66" w:rsidRDefault="00AF5C88" w:rsidP="002E39D8">
      <w:pPr>
        <w:pStyle w:val="base-text-paragraph"/>
        <w:numPr>
          <w:ilvl w:val="1"/>
          <w:numId w:val="33"/>
        </w:numPr>
      </w:pPr>
      <w:r w:rsidRPr="00C63C66">
        <w:t xml:space="preserve">In such circumstances, the </w:t>
      </w:r>
      <w:r w:rsidR="00F772B4" w:rsidRPr="00C63C66">
        <w:t xml:space="preserve">accredited </w:t>
      </w:r>
      <w:r w:rsidR="00EC2EEF" w:rsidRPr="00C63C66">
        <w:t>person</w:t>
      </w:r>
      <w:r w:rsidRPr="00C63C66">
        <w:t xml:space="preserve"> is required to </w:t>
      </w:r>
      <w:r w:rsidR="00A24C25" w:rsidRPr="00C63C66">
        <w:t xml:space="preserve">destroy the CDR data unless an Australian law requires the </w:t>
      </w:r>
      <w:r w:rsidR="00EC2EEF" w:rsidRPr="00C63C66">
        <w:t xml:space="preserve">person </w:t>
      </w:r>
      <w:r w:rsidR="00F772B4" w:rsidRPr="00C63C66">
        <w:t xml:space="preserve">to </w:t>
      </w:r>
      <w:r w:rsidR="00A24C25" w:rsidRPr="00C63C66">
        <w:t>retain that data</w:t>
      </w:r>
      <w:r w:rsidRPr="00C63C66">
        <w:t xml:space="preserve">. </w:t>
      </w:r>
      <w:r w:rsidRPr="00484FBF">
        <w:rPr>
          <w:rStyle w:val="Referencingstyle"/>
        </w:rPr>
        <w:t>[Sche</w:t>
      </w:r>
      <w:r w:rsidR="00A24C25" w:rsidRPr="00484FBF">
        <w:rPr>
          <w:rStyle w:val="Referencingstyle"/>
        </w:rPr>
        <w:t>dule 1, item 1, section 56EG</w:t>
      </w:r>
      <w:r w:rsidRPr="00484FBF">
        <w:rPr>
          <w:rStyle w:val="Referencingstyle"/>
        </w:rPr>
        <w:t>]</w:t>
      </w:r>
    </w:p>
    <w:p w14:paraId="0A15ED1A" w14:textId="5CDB6DF8" w:rsidR="0056505C" w:rsidRPr="00C63C66" w:rsidRDefault="00A24C25" w:rsidP="002E39D8">
      <w:pPr>
        <w:pStyle w:val="base-text-paragraph"/>
        <w:numPr>
          <w:ilvl w:val="1"/>
          <w:numId w:val="33"/>
        </w:numPr>
      </w:pPr>
      <w:r w:rsidRPr="00C63C66">
        <w:lastRenderedPageBreak/>
        <w:t>This section makes it clear than a</w:t>
      </w:r>
      <w:r w:rsidR="00F772B4" w:rsidRPr="00C63C66">
        <w:t xml:space="preserve">n accredited </w:t>
      </w:r>
      <w:r w:rsidR="00EC2EEF" w:rsidRPr="00C63C66">
        <w:t>person</w:t>
      </w:r>
      <w:r w:rsidR="00F772B4" w:rsidRPr="00C63C66">
        <w:t xml:space="preserve"> </w:t>
      </w:r>
      <w:r w:rsidRPr="00C63C66">
        <w:t xml:space="preserve">will not be able to retain unsolicited CDR data, except if required to do so under an Australian law or by order of a court or tribunal. </w:t>
      </w:r>
    </w:p>
    <w:p w14:paraId="61AAB36B" w14:textId="54D34EDE" w:rsidR="0056505C" w:rsidRPr="00C63C66" w:rsidRDefault="0056505C" w:rsidP="0056505C">
      <w:pPr>
        <w:pStyle w:val="Heading4"/>
      </w:pPr>
      <w:r w:rsidRPr="00C63C66">
        <w:t xml:space="preserve">CDR </w:t>
      </w:r>
      <w:r w:rsidR="007822CB" w:rsidRPr="00C63C66">
        <w:t>P</w:t>
      </w:r>
      <w:r w:rsidR="00B42193" w:rsidRPr="00C63C66">
        <w:t xml:space="preserve">rivacy </w:t>
      </w:r>
      <w:r w:rsidR="007822CB" w:rsidRPr="00C63C66">
        <w:t>S</w:t>
      </w:r>
      <w:r w:rsidR="00B42193" w:rsidRPr="00C63C66">
        <w:t>afeguard</w:t>
      </w:r>
      <w:r w:rsidR="0063456D" w:rsidRPr="00C63C66">
        <w:t xml:space="preserve"> 5 – N</w:t>
      </w:r>
      <w:r w:rsidRPr="00C63C66">
        <w:t>otifying the collection of CDR data</w:t>
      </w:r>
    </w:p>
    <w:p w14:paraId="095CE361" w14:textId="371462D7" w:rsidR="0056505C" w:rsidRPr="00484FBF" w:rsidRDefault="003E0D10" w:rsidP="002E39D8">
      <w:pPr>
        <w:pStyle w:val="base-text-paragraph"/>
        <w:numPr>
          <w:ilvl w:val="1"/>
          <w:numId w:val="33"/>
        </w:numPr>
        <w:rPr>
          <w:rStyle w:val="Referencingstyle"/>
        </w:rPr>
      </w:pPr>
      <w:r w:rsidRPr="00C63C66">
        <w:t>If a</w:t>
      </w:r>
      <w:r w:rsidR="00F772B4" w:rsidRPr="00C63C66">
        <w:t xml:space="preserve">n accredited </w:t>
      </w:r>
      <w:r w:rsidR="00EC2EEF" w:rsidRPr="00C63C66">
        <w:t>person</w:t>
      </w:r>
      <w:r w:rsidRPr="00C63C66">
        <w:t xml:space="preserve"> collects data in accordance with </w:t>
      </w:r>
      <w:r w:rsidR="00F772B4" w:rsidRPr="00C63C66">
        <w:t>Privacy S</w:t>
      </w:r>
      <w:r w:rsidR="00B42193" w:rsidRPr="00C63C66">
        <w:t>afeguard</w:t>
      </w:r>
      <w:r w:rsidR="001007F8" w:rsidRPr="00C63C66">
        <w:t xml:space="preserve"> </w:t>
      </w:r>
      <w:r w:rsidRPr="00C63C66">
        <w:t xml:space="preserve">3, then </w:t>
      </w:r>
      <w:r w:rsidR="00F772B4" w:rsidRPr="00C63C66">
        <w:t xml:space="preserve">the accredited </w:t>
      </w:r>
      <w:r w:rsidR="00EC2EEF" w:rsidRPr="00C63C66">
        <w:t>person</w:t>
      </w:r>
      <w:r w:rsidRPr="00C63C66">
        <w:t xml:space="preserve"> must comply with the consumer data rules relating to advising the CDR consumer about the collection of their data</w:t>
      </w:r>
      <w:r w:rsidR="001007F8" w:rsidRPr="00C63C66">
        <w:t>.</w:t>
      </w:r>
      <w:r w:rsidR="00B42193" w:rsidRPr="00C63C66">
        <w:t xml:space="preserve"> For example, the consumer data rules may require that each holder of a joint account be notified </w:t>
      </w:r>
      <w:r w:rsidR="00EC2EEF" w:rsidRPr="00C63C66">
        <w:t xml:space="preserve">prior to the data being disclosed </w:t>
      </w:r>
      <w:r w:rsidR="00B42193" w:rsidRPr="00C63C66">
        <w:t>pursuant to an authorisation to transfer data to that account.</w:t>
      </w:r>
      <w:r w:rsidR="001007F8" w:rsidRPr="00C63C66">
        <w:t xml:space="preserve"> The consumer data rules will provide for matters which need to be addressed in such notifications, based upon the relevant sector.</w:t>
      </w:r>
      <w:r w:rsidRPr="00C63C66">
        <w:t xml:space="preserve"> </w:t>
      </w:r>
      <w:r w:rsidRPr="00484FBF">
        <w:rPr>
          <w:rStyle w:val="Referencingstyle"/>
        </w:rPr>
        <w:t>[Sched</w:t>
      </w:r>
      <w:r w:rsidR="001007F8" w:rsidRPr="00484FBF">
        <w:rPr>
          <w:rStyle w:val="Referencingstyle"/>
        </w:rPr>
        <w:t xml:space="preserve">ule 1, item 1, </w:t>
      </w:r>
      <w:r w:rsidR="007822CB" w:rsidRPr="00484FBF">
        <w:rPr>
          <w:rStyle w:val="Referencingstyle"/>
        </w:rPr>
        <w:t>section 56EH</w:t>
      </w:r>
      <w:r w:rsidRPr="00484FBF">
        <w:rPr>
          <w:rStyle w:val="Referencingstyle"/>
        </w:rPr>
        <w:t>]</w:t>
      </w:r>
    </w:p>
    <w:p w14:paraId="47919B23" w14:textId="2420AA99" w:rsidR="0056505C" w:rsidRPr="00C63C66" w:rsidRDefault="003E0D10" w:rsidP="002E39D8">
      <w:pPr>
        <w:pStyle w:val="base-text-paragraph"/>
        <w:numPr>
          <w:ilvl w:val="1"/>
          <w:numId w:val="33"/>
        </w:numPr>
      </w:pPr>
      <w:r w:rsidRPr="00C63C66">
        <w:t xml:space="preserve">This notice must also be given to the CDR consumer </w:t>
      </w:r>
      <w:r w:rsidR="001007F8" w:rsidRPr="00C63C66">
        <w:t xml:space="preserve">in accordance with the requirement, if any, specified in the consumer data rules relating to </w:t>
      </w:r>
      <w:r w:rsidR="00DB52BB" w:rsidRPr="00C63C66">
        <w:t>Privacy S</w:t>
      </w:r>
      <w:r w:rsidR="00B42193" w:rsidRPr="00C63C66">
        <w:t>afeguard</w:t>
      </w:r>
      <w:r w:rsidR="001007F8" w:rsidRPr="00C63C66">
        <w:t xml:space="preserve"> 5 notices</w:t>
      </w:r>
      <w:r w:rsidRPr="00C63C66">
        <w:t xml:space="preserve">. </w:t>
      </w:r>
      <w:r w:rsidRPr="00484FBF">
        <w:rPr>
          <w:rStyle w:val="Referencingstyle"/>
        </w:rPr>
        <w:t xml:space="preserve">[Schedule 1, item 1, </w:t>
      </w:r>
      <w:r w:rsidR="00EE1233" w:rsidRPr="00484FBF">
        <w:rPr>
          <w:rStyle w:val="Referencingstyle"/>
        </w:rPr>
        <w:t>subsection 56EH(b)</w:t>
      </w:r>
      <w:r w:rsidRPr="00484FBF">
        <w:rPr>
          <w:rStyle w:val="Referencingstyle"/>
        </w:rPr>
        <w:t>]</w:t>
      </w:r>
    </w:p>
    <w:p w14:paraId="07229F11" w14:textId="563D0127" w:rsidR="0056505C" w:rsidRPr="00C63C66" w:rsidRDefault="0056505C" w:rsidP="0056505C">
      <w:pPr>
        <w:pStyle w:val="Heading3"/>
      </w:pPr>
      <w:r w:rsidRPr="00C63C66">
        <w:t>Dealing with CDR data</w:t>
      </w:r>
    </w:p>
    <w:p w14:paraId="6938F961" w14:textId="4869F30C" w:rsidR="0056505C" w:rsidRPr="00C63C66" w:rsidRDefault="0056505C" w:rsidP="0056505C">
      <w:pPr>
        <w:pStyle w:val="Heading4"/>
      </w:pPr>
      <w:r w:rsidRPr="00C63C66">
        <w:t xml:space="preserve">CDR </w:t>
      </w:r>
      <w:r w:rsidR="008575A4" w:rsidRPr="00C63C66">
        <w:t>P</w:t>
      </w:r>
      <w:r w:rsidR="00B42193" w:rsidRPr="00C63C66">
        <w:t xml:space="preserve">rivacy </w:t>
      </w:r>
      <w:r w:rsidR="008575A4" w:rsidRPr="00C63C66">
        <w:t>S</w:t>
      </w:r>
      <w:r w:rsidR="00B42193" w:rsidRPr="00C63C66">
        <w:t>afeguard</w:t>
      </w:r>
      <w:r w:rsidRPr="00C63C66">
        <w:t xml:space="preserve"> 6 – Use or disclosure of CDR data</w:t>
      </w:r>
    </w:p>
    <w:p w14:paraId="61F9765D" w14:textId="0EE01160" w:rsidR="001A4755" w:rsidRPr="00C63C66" w:rsidRDefault="00A704F6" w:rsidP="002E39D8">
      <w:pPr>
        <w:pStyle w:val="base-text-paragraph"/>
        <w:numPr>
          <w:ilvl w:val="1"/>
          <w:numId w:val="33"/>
        </w:numPr>
      </w:pPr>
      <w:r w:rsidRPr="00C63C66">
        <w:t xml:space="preserve">An accredited data recipient </w:t>
      </w:r>
      <w:r w:rsidR="001A4755" w:rsidRPr="00C63C66">
        <w:t xml:space="preserve">must not use CDR data unless it is consistent with a consent given by a consumer </w:t>
      </w:r>
      <w:r w:rsidR="00EB5DF1" w:rsidRPr="00C63C66">
        <w:t xml:space="preserve">under the consumer data rules. </w:t>
      </w:r>
      <w:r w:rsidR="001F3831" w:rsidRPr="00484FBF">
        <w:rPr>
          <w:rStyle w:val="Referencingstyle"/>
        </w:rPr>
        <w:t>[Schedule 1, item 1, paragraph 56EI(1)(b)]</w:t>
      </w:r>
    </w:p>
    <w:p w14:paraId="7BD00D8E" w14:textId="311D0F0A" w:rsidR="00363C61" w:rsidRPr="00C63C66" w:rsidRDefault="00EB5DF1" w:rsidP="002E39D8">
      <w:pPr>
        <w:pStyle w:val="base-text-paragraph"/>
        <w:numPr>
          <w:ilvl w:val="1"/>
          <w:numId w:val="33"/>
        </w:numPr>
      </w:pPr>
      <w:r w:rsidRPr="00C63C66">
        <w:t xml:space="preserve">Similarly, an accredited data recipient </w:t>
      </w:r>
      <w:r w:rsidR="001F3831" w:rsidRPr="00C63C66">
        <w:t xml:space="preserve">must not disclose </w:t>
      </w:r>
      <w:r w:rsidR="001A4755" w:rsidRPr="00C63C66">
        <w:t xml:space="preserve">CDR data unless the disclosure is </w:t>
      </w:r>
      <w:r w:rsidR="00940FA9" w:rsidRPr="00C63C66">
        <w:t xml:space="preserve">authorised or </w:t>
      </w:r>
      <w:r w:rsidR="001A4755" w:rsidRPr="00C63C66">
        <w:t xml:space="preserve">required </w:t>
      </w:r>
      <w:r w:rsidR="001F3831" w:rsidRPr="00C63C66">
        <w:t xml:space="preserve">under the consumer data rules in response to a valid consent by the consumer. </w:t>
      </w:r>
      <w:r w:rsidR="00363C61" w:rsidRPr="00484FBF">
        <w:rPr>
          <w:rStyle w:val="Referencingstyle"/>
        </w:rPr>
        <w:t xml:space="preserve">[Schedule 1, item 1, </w:t>
      </w:r>
      <w:r w:rsidR="00EE1233" w:rsidRPr="00484FBF">
        <w:rPr>
          <w:rStyle w:val="Referencingstyle"/>
        </w:rPr>
        <w:t>paragraph</w:t>
      </w:r>
      <w:r w:rsidR="001F3831" w:rsidRPr="00484FBF">
        <w:rPr>
          <w:rStyle w:val="Referencingstyle"/>
        </w:rPr>
        <w:t> 56EI(1</w:t>
      </w:r>
      <w:r w:rsidR="00EE1233" w:rsidRPr="00484FBF">
        <w:rPr>
          <w:rStyle w:val="Referencingstyle"/>
        </w:rPr>
        <w:t>)(a</w:t>
      </w:r>
      <w:r w:rsidR="00363C61" w:rsidRPr="00484FBF">
        <w:rPr>
          <w:rStyle w:val="Referencingstyle"/>
        </w:rPr>
        <w:t>)]</w:t>
      </w:r>
    </w:p>
    <w:p w14:paraId="7628080A" w14:textId="2A2799B5" w:rsidR="00A704F6" w:rsidRPr="002E39D8" w:rsidRDefault="00954BC6" w:rsidP="002E39D8">
      <w:pPr>
        <w:pStyle w:val="base-text-paragraph"/>
        <w:numPr>
          <w:ilvl w:val="1"/>
          <w:numId w:val="33"/>
        </w:numPr>
      </w:pPr>
      <w:r w:rsidRPr="00C63C66">
        <w:t>This is an important acknowledgement of the fact that the CDR system is driven by consumers. Consumer consent for uses of their CDR data</w:t>
      </w:r>
      <w:r w:rsidR="00B42193" w:rsidRPr="00C63C66">
        <w:t>, including subsequent disclosure,</w:t>
      </w:r>
      <w:r w:rsidRPr="00C63C66">
        <w:t xml:space="preserve"> is at the heart of the CDR system. </w:t>
      </w:r>
      <w:r w:rsidR="00363C61" w:rsidRPr="00C63C66">
        <w:t xml:space="preserve"> </w:t>
      </w:r>
    </w:p>
    <w:p w14:paraId="3D54AD91" w14:textId="7BF3007D" w:rsidR="002B10E1" w:rsidRPr="002E39D8" w:rsidRDefault="001D76A2" w:rsidP="002E39D8">
      <w:pPr>
        <w:pStyle w:val="base-text-paragraph"/>
        <w:numPr>
          <w:ilvl w:val="1"/>
          <w:numId w:val="33"/>
        </w:numPr>
      </w:pPr>
      <w:r w:rsidRPr="00C63C66">
        <w:t>A</w:t>
      </w:r>
      <w:r w:rsidR="002B10E1" w:rsidRPr="00C63C66">
        <w:t xml:space="preserve"> use </w:t>
      </w:r>
      <w:r w:rsidR="001F3831" w:rsidRPr="00C63C66">
        <w:t xml:space="preserve">or disclosure </w:t>
      </w:r>
      <w:r w:rsidR="002B10E1" w:rsidRPr="00C63C66">
        <w:t xml:space="preserve">will be </w:t>
      </w:r>
      <w:r w:rsidR="001F3831" w:rsidRPr="00C63C66">
        <w:t>allowed without the consumer’s consent under the consumer data rules</w:t>
      </w:r>
      <w:r w:rsidR="002B10E1" w:rsidRPr="00C63C66">
        <w:t xml:space="preserve"> where it is required or permitted by an Australian law</w:t>
      </w:r>
      <w:r w:rsidR="00940FA9" w:rsidRPr="00C63C66">
        <w:t xml:space="preserve">, </w:t>
      </w:r>
      <w:r w:rsidR="001F3831" w:rsidRPr="00C63C66">
        <w:t xml:space="preserve">(except the APPs), </w:t>
      </w:r>
      <w:r w:rsidR="00940FA9" w:rsidRPr="00C63C66">
        <w:t>is authorised under the consumer dat</w:t>
      </w:r>
      <w:r w:rsidR="001F3831" w:rsidRPr="00C63C66">
        <w:t xml:space="preserve">a </w:t>
      </w:r>
      <w:r w:rsidR="00940FA9" w:rsidRPr="00C63C66">
        <w:t>rules,</w:t>
      </w:r>
      <w:r w:rsidR="002B10E1" w:rsidRPr="00C63C66">
        <w:t xml:space="preserve"> or an order o</w:t>
      </w:r>
      <w:r w:rsidR="009C3B6F" w:rsidRPr="00C63C66">
        <w:t>f</w:t>
      </w:r>
      <w:r w:rsidR="002B10E1" w:rsidRPr="00C63C66">
        <w:t xml:space="preserve"> a court or tribunal</w:t>
      </w:r>
      <w:r w:rsidR="001F3831" w:rsidRPr="00C63C66">
        <w:t>.</w:t>
      </w:r>
      <w:r w:rsidR="002B10E1" w:rsidRPr="00C63C66">
        <w:t xml:space="preserve"> </w:t>
      </w:r>
      <w:r w:rsidR="002B10E1" w:rsidRPr="00484FBF">
        <w:rPr>
          <w:rStyle w:val="Referencingstyle"/>
        </w:rPr>
        <w:t>[Sch</w:t>
      </w:r>
      <w:r w:rsidRPr="00484FBF">
        <w:rPr>
          <w:rStyle w:val="Referencingstyle"/>
        </w:rPr>
        <w:t>edule 1, item 1, paragraph 56EI</w:t>
      </w:r>
      <w:r w:rsidR="001F3831" w:rsidRPr="00484FBF">
        <w:rPr>
          <w:rStyle w:val="Referencingstyle"/>
        </w:rPr>
        <w:t>(1</w:t>
      </w:r>
      <w:r w:rsidR="00EE1233" w:rsidRPr="00484FBF">
        <w:rPr>
          <w:rStyle w:val="Referencingstyle"/>
        </w:rPr>
        <w:t>)</w:t>
      </w:r>
      <w:r w:rsidR="002B10E1" w:rsidRPr="00484FBF">
        <w:rPr>
          <w:rStyle w:val="Referencingstyle"/>
        </w:rPr>
        <w:t>(</w:t>
      </w:r>
      <w:r w:rsidR="001F3831" w:rsidRPr="00484FBF">
        <w:rPr>
          <w:rStyle w:val="Referencingstyle"/>
        </w:rPr>
        <w:t>c</w:t>
      </w:r>
      <w:r w:rsidR="00EE1233" w:rsidRPr="00484FBF">
        <w:rPr>
          <w:rStyle w:val="Referencingstyle"/>
        </w:rPr>
        <w:t>)</w:t>
      </w:r>
      <w:r w:rsidR="002B10E1" w:rsidRPr="00484FBF">
        <w:rPr>
          <w:rStyle w:val="Referencingstyle"/>
        </w:rPr>
        <w:t>]</w:t>
      </w:r>
    </w:p>
    <w:p w14:paraId="1F5A68FE" w14:textId="74F796CB" w:rsidR="0056505C" w:rsidRPr="00C63C66" w:rsidRDefault="0056505C" w:rsidP="0056505C">
      <w:pPr>
        <w:pStyle w:val="Heading4"/>
      </w:pPr>
      <w:r w:rsidRPr="00C63C66">
        <w:t xml:space="preserve">CDR </w:t>
      </w:r>
      <w:r w:rsidR="001D76A2" w:rsidRPr="00C63C66">
        <w:t>P</w:t>
      </w:r>
      <w:r w:rsidR="007178EA" w:rsidRPr="00C63C66">
        <w:t xml:space="preserve">rivacy </w:t>
      </w:r>
      <w:r w:rsidR="001D76A2" w:rsidRPr="00C63C66">
        <w:t>S</w:t>
      </w:r>
      <w:r w:rsidR="007178EA" w:rsidRPr="00C63C66">
        <w:t>afeguard</w:t>
      </w:r>
      <w:r w:rsidRPr="00C63C66">
        <w:t xml:space="preserve"> 7 – Use or disclosure of CDR data for direct marketing by accredited data recipients</w:t>
      </w:r>
    </w:p>
    <w:p w14:paraId="2CF71B54" w14:textId="64F5FF3F" w:rsidR="0056505C" w:rsidRPr="00484FBF" w:rsidRDefault="00044BE1" w:rsidP="002E39D8">
      <w:pPr>
        <w:pStyle w:val="base-text-paragraph"/>
        <w:numPr>
          <w:ilvl w:val="1"/>
          <w:numId w:val="33"/>
        </w:numPr>
        <w:rPr>
          <w:rStyle w:val="Referencingstyle"/>
        </w:rPr>
      </w:pPr>
      <w:r w:rsidRPr="00C63C66">
        <w:t xml:space="preserve">In order to ensure that CDR </w:t>
      </w:r>
      <w:r w:rsidR="001959D6" w:rsidRPr="00C63C66">
        <w:t>consumers</w:t>
      </w:r>
      <w:r w:rsidRPr="00C63C66">
        <w:t xml:space="preserve"> are not subject to unwanted direct marketing </w:t>
      </w:r>
      <w:r w:rsidR="004A7A32" w:rsidRPr="00C63C66">
        <w:t>as a result of their engagement</w:t>
      </w:r>
      <w:r w:rsidR="001F3831" w:rsidRPr="00C63C66">
        <w:t xml:space="preserve"> with the CDR </w:t>
      </w:r>
      <w:r w:rsidRPr="00C63C66">
        <w:t xml:space="preserve">system, the use of CDR data for direct marketing </w:t>
      </w:r>
      <w:r w:rsidR="001959D6" w:rsidRPr="00C63C66">
        <w:t>purposes must be</w:t>
      </w:r>
      <w:r w:rsidR="004A7A32" w:rsidRPr="00C63C66">
        <w:t xml:space="preserve"> required or authorised by the consumer data rules</w:t>
      </w:r>
      <w:r w:rsidR="001F3831" w:rsidRPr="00C63C66">
        <w:t xml:space="preserve"> consistent with the a consumer’s request and consent</w:t>
      </w:r>
      <w:r w:rsidRPr="00484FBF">
        <w:rPr>
          <w:rStyle w:val="Referencingstyle"/>
        </w:rPr>
        <w:t>.</w:t>
      </w:r>
      <w:r w:rsidR="004A7A32" w:rsidRPr="00484FBF">
        <w:rPr>
          <w:rStyle w:val="Referencingstyle"/>
        </w:rPr>
        <w:t xml:space="preserve"> [Schedule 1, item 1, section </w:t>
      </w:r>
      <w:r w:rsidRPr="00484FBF">
        <w:rPr>
          <w:rStyle w:val="Referencingstyle"/>
        </w:rPr>
        <w:t>56</w:t>
      </w:r>
      <w:r w:rsidR="004A7A32" w:rsidRPr="00484FBF">
        <w:rPr>
          <w:rStyle w:val="Referencingstyle"/>
        </w:rPr>
        <w:t>EJ</w:t>
      </w:r>
      <w:r w:rsidRPr="00484FBF">
        <w:rPr>
          <w:rStyle w:val="Referencingstyle"/>
        </w:rPr>
        <w:t>]</w:t>
      </w:r>
    </w:p>
    <w:p w14:paraId="1FBC46FC" w14:textId="651BA4F0" w:rsidR="00044BE1" w:rsidRPr="00C63C66" w:rsidRDefault="00044BE1" w:rsidP="002E39D8">
      <w:pPr>
        <w:pStyle w:val="base-text-paragraph"/>
        <w:numPr>
          <w:ilvl w:val="1"/>
          <w:numId w:val="33"/>
        </w:numPr>
      </w:pPr>
      <w:r w:rsidRPr="00C63C66">
        <w:lastRenderedPageBreak/>
        <w:t xml:space="preserve">It is worth noting that this </w:t>
      </w:r>
      <w:r w:rsidR="001F3831" w:rsidRPr="00C63C66">
        <w:t>Privacy S</w:t>
      </w:r>
      <w:r w:rsidR="001959D6" w:rsidRPr="00C63C66">
        <w:t>afeguard</w:t>
      </w:r>
      <w:r w:rsidRPr="00C63C66">
        <w:t xml:space="preserve"> does not apply to the use of CDR data </w:t>
      </w:r>
      <w:r w:rsidR="001959D6" w:rsidRPr="00C63C66">
        <w:t>in the hands of the original</w:t>
      </w:r>
      <w:r w:rsidRPr="00C63C66">
        <w:t xml:space="preserve"> data</w:t>
      </w:r>
      <w:r w:rsidR="004A7A32" w:rsidRPr="00C63C66">
        <w:t xml:space="preserve"> holder. </w:t>
      </w:r>
      <w:r w:rsidR="001959D6" w:rsidRPr="00C63C66">
        <w:t>These d</w:t>
      </w:r>
      <w:r w:rsidR="004A7A32" w:rsidRPr="00C63C66">
        <w:t>ata holders will be required to comply with APP 7 in relation to direct marketing use of individual</w:t>
      </w:r>
      <w:r w:rsidR="009252CA" w:rsidRPr="00C63C66">
        <w:t xml:space="preserve">. </w:t>
      </w:r>
    </w:p>
    <w:p w14:paraId="4EF2225F" w14:textId="4FBF2D44" w:rsidR="00044BE1" w:rsidRPr="00C63C66" w:rsidRDefault="006F592F" w:rsidP="002E39D8">
      <w:pPr>
        <w:pStyle w:val="base-text-paragraph"/>
        <w:numPr>
          <w:ilvl w:val="1"/>
          <w:numId w:val="33"/>
        </w:numPr>
      </w:pPr>
      <w:r w:rsidRPr="00C63C66">
        <w:t>Unless authorised</w:t>
      </w:r>
      <w:r w:rsidR="009252CA" w:rsidRPr="00C63C66">
        <w:t xml:space="preserve"> or required by the consumer data rules and</w:t>
      </w:r>
      <w:r w:rsidRPr="00C63C66">
        <w:t xml:space="preserve"> specifically consented to b</w:t>
      </w:r>
      <w:r w:rsidR="001959D6" w:rsidRPr="00C63C66">
        <w:t>y</w:t>
      </w:r>
      <w:r w:rsidRPr="00C63C66">
        <w:t xml:space="preserve"> the CDR consumer, direct marketing is not permitted</w:t>
      </w:r>
      <w:r w:rsidR="00044BE1" w:rsidRPr="00C63C66">
        <w:t xml:space="preserve">. </w:t>
      </w:r>
    </w:p>
    <w:p w14:paraId="59BA8752" w14:textId="16FE5CF3" w:rsidR="0056505C" w:rsidRPr="00C63C66" w:rsidRDefault="0056505C" w:rsidP="0056505C">
      <w:pPr>
        <w:pStyle w:val="Heading4"/>
      </w:pPr>
      <w:r w:rsidRPr="00C63C66">
        <w:t xml:space="preserve">CDR </w:t>
      </w:r>
      <w:r w:rsidR="006F592F" w:rsidRPr="00C63C66">
        <w:t>P</w:t>
      </w:r>
      <w:r w:rsidR="008A2E7A" w:rsidRPr="00C63C66">
        <w:t xml:space="preserve">rivacy </w:t>
      </w:r>
      <w:r w:rsidR="006F592F" w:rsidRPr="00C63C66">
        <w:t>S</w:t>
      </w:r>
      <w:r w:rsidR="008A2E7A" w:rsidRPr="00C63C66">
        <w:t>afeguard</w:t>
      </w:r>
      <w:r w:rsidRPr="00C63C66">
        <w:t xml:space="preserve"> 8 – Cross-border disclosure of CDR data</w:t>
      </w:r>
    </w:p>
    <w:p w14:paraId="180A85BF" w14:textId="77777777" w:rsidR="00940FA9" w:rsidRPr="00C63C66" w:rsidRDefault="00940FA9" w:rsidP="002E39D8">
      <w:pPr>
        <w:pStyle w:val="base-text-paragraph"/>
        <w:numPr>
          <w:ilvl w:val="1"/>
          <w:numId w:val="33"/>
        </w:numPr>
      </w:pPr>
      <w:r w:rsidRPr="00C63C66">
        <w:t xml:space="preserve">As overseas entities may be able to be accredited, it is possible that disclosure of CDR data may be provided to accredited data recipients located outside of Australia. </w:t>
      </w:r>
    </w:p>
    <w:p w14:paraId="7B7A3F16" w14:textId="4ED18FA2" w:rsidR="0063456D" w:rsidRPr="002E39D8" w:rsidRDefault="0063456D" w:rsidP="002E39D8">
      <w:pPr>
        <w:pStyle w:val="base-text-paragraph"/>
        <w:numPr>
          <w:ilvl w:val="1"/>
          <w:numId w:val="33"/>
        </w:numPr>
      </w:pPr>
      <w:r w:rsidRPr="00C63C66">
        <w:t xml:space="preserve">The Bill applies to disclosures of CDR data to offshore entities so that disclosure is permitted if the entity is an accredited data recipient. </w:t>
      </w:r>
      <w:r w:rsidRPr="00484FBF">
        <w:rPr>
          <w:rStyle w:val="Referencingstyle"/>
        </w:rPr>
        <w:t>[Schedule 1, item 1, section 56EK</w:t>
      </w:r>
      <w:r w:rsidRPr="002E39D8">
        <w:rPr>
          <w:b/>
          <w:i/>
        </w:rPr>
        <w:t>]</w:t>
      </w:r>
    </w:p>
    <w:p w14:paraId="17715894" w14:textId="44CDDB7B" w:rsidR="006F592F" w:rsidRPr="002E39D8" w:rsidRDefault="006F592F" w:rsidP="002E39D8">
      <w:pPr>
        <w:pStyle w:val="base-text-paragraph"/>
        <w:numPr>
          <w:ilvl w:val="1"/>
          <w:numId w:val="33"/>
        </w:numPr>
      </w:pPr>
      <w:r w:rsidRPr="002E39D8">
        <w:t>Accreditation is considered sufficient protection to ensure that the accredited ent</w:t>
      </w:r>
      <w:r w:rsidR="00940FA9" w:rsidRPr="002E39D8">
        <w:t>ities will not breach the Privacy S</w:t>
      </w:r>
      <w:r w:rsidR="008A2E7A" w:rsidRPr="002E39D8">
        <w:t>afeguards</w:t>
      </w:r>
      <w:r w:rsidRPr="002E39D8">
        <w:t>.</w:t>
      </w:r>
    </w:p>
    <w:p w14:paraId="7D34367D" w14:textId="2AFF557C" w:rsidR="005E3F10" w:rsidRPr="002E39D8" w:rsidRDefault="00714826" w:rsidP="002E39D8">
      <w:pPr>
        <w:pStyle w:val="base-text-paragraph"/>
        <w:numPr>
          <w:ilvl w:val="1"/>
          <w:numId w:val="33"/>
        </w:numPr>
      </w:pPr>
      <w:r w:rsidRPr="002E39D8">
        <w:t>The consumer data rules may also provide that a cross-border disclosure is authorised for CDR data</w:t>
      </w:r>
      <w:r w:rsidR="00E5231B" w:rsidRPr="002E39D8">
        <w:t xml:space="preserve"> where conditions specified in the consumer data rules are met</w:t>
      </w:r>
      <w:r w:rsidRPr="002E39D8">
        <w:t>.</w:t>
      </w:r>
      <w:r w:rsidR="005F28BE" w:rsidRPr="002E39D8">
        <w:t xml:space="preserve"> It is anticipated that these conditions will reflect the conditions in APP8</w:t>
      </w:r>
      <w:r w:rsidRPr="002E39D8">
        <w:t xml:space="preserve"> </w:t>
      </w:r>
      <w:r w:rsidR="005F28BE" w:rsidRPr="002E39D8">
        <w:t>with the additional requirement that consent to such a disclosure would be required</w:t>
      </w:r>
      <w:r w:rsidR="00484FBF">
        <w:t>.</w:t>
      </w:r>
      <w:r w:rsidR="005F28BE" w:rsidRPr="002E39D8">
        <w:t xml:space="preserve"> </w:t>
      </w:r>
      <w:r w:rsidRPr="00484FBF">
        <w:rPr>
          <w:rStyle w:val="Referencingstyle"/>
        </w:rPr>
        <w:t>[Schedule 1, item 1, subsection 56EK(d)]</w:t>
      </w:r>
    </w:p>
    <w:p w14:paraId="57C59FFF" w14:textId="64352EA0" w:rsidR="0056505C" w:rsidRPr="00C63C66" w:rsidRDefault="0056505C" w:rsidP="0056505C">
      <w:pPr>
        <w:pStyle w:val="Heading4"/>
      </w:pPr>
      <w:r w:rsidRPr="00C63C66">
        <w:t xml:space="preserve">CDR </w:t>
      </w:r>
      <w:r w:rsidR="006F592F" w:rsidRPr="00C63C66">
        <w:t>P</w:t>
      </w:r>
      <w:r w:rsidR="008A2E7A" w:rsidRPr="00C63C66">
        <w:t xml:space="preserve">rivacy </w:t>
      </w:r>
      <w:r w:rsidR="006F592F" w:rsidRPr="00C63C66">
        <w:t>S</w:t>
      </w:r>
      <w:r w:rsidR="008A2E7A" w:rsidRPr="00C63C66">
        <w:t>afeguard</w:t>
      </w:r>
      <w:r w:rsidR="006F592F" w:rsidRPr="00C63C66">
        <w:t xml:space="preserve"> </w:t>
      </w:r>
      <w:r w:rsidR="00811BFB" w:rsidRPr="00C63C66">
        <w:t>9</w:t>
      </w:r>
      <w:r w:rsidRPr="00C63C66">
        <w:t xml:space="preserve"> – Adoption or disclosure of government related identifiers</w:t>
      </w:r>
    </w:p>
    <w:p w14:paraId="4918F661" w14:textId="507B3A57" w:rsidR="0056505C" w:rsidRPr="00C63C66" w:rsidRDefault="003D4869" w:rsidP="002E39D8">
      <w:pPr>
        <w:pStyle w:val="base-text-paragraph"/>
        <w:numPr>
          <w:ilvl w:val="1"/>
          <w:numId w:val="33"/>
        </w:numPr>
      </w:pPr>
      <w:r w:rsidRPr="00C63C66">
        <w:t xml:space="preserve">As the CDR system develops, it is possible that CDR consumers </w:t>
      </w:r>
      <w:r w:rsidR="00E5231B" w:rsidRPr="00C63C66">
        <w:t xml:space="preserve">who are individuals </w:t>
      </w:r>
      <w:r w:rsidRPr="00C63C66">
        <w:t xml:space="preserve">may have CDR data sets that contain government </w:t>
      </w:r>
      <w:r w:rsidR="009252CA" w:rsidRPr="00C63C66">
        <w:t xml:space="preserve">related </w:t>
      </w:r>
      <w:r w:rsidRPr="00C63C66">
        <w:t xml:space="preserve">identifiers, as </w:t>
      </w:r>
      <w:r w:rsidR="009252CA" w:rsidRPr="00C63C66">
        <w:t xml:space="preserve">defined in the Privacy Act. This could include a </w:t>
      </w:r>
      <w:r w:rsidRPr="00C63C66">
        <w:t>tax file number</w:t>
      </w:r>
      <w:r w:rsidR="009252CA" w:rsidRPr="00C63C66">
        <w:t xml:space="preserve">. </w:t>
      </w:r>
    </w:p>
    <w:p w14:paraId="5EE68537" w14:textId="0AE2F2DA" w:rsidR="0056505C" w:rsidRPr="002E39D8" w:rsidRDefault="003D4869" w:rsidP="002E39D8">
      <w:pPr>
        <w:pStyle w:val="base-text-paragraph"/>
        <w:numPr>
          <w:ilvl w:val="1"/>
          <w:numId w:val="33"/>
        </w:numPr>
      </w:pPr>
      <w:r w:rsidRPr="00C63C66">
        <w:t xml:space="preserve">In order to protect government </w:t>
      </w:r>
      <w:r w:rsidR="009252CA" w:rsidRPr="00C63C66">
        <w:t xml:space="preserve">related </w:t>
      </w:r>
      <w:r w:rsidRPr="00C63C66">
        <w:t xml:space="preserve">identifiers, they are not permitted to be used by an accredited data recipient as an identifier </w:t>
      </w:r>
      <w:r w:rsidR="00EE1233" w:rsidRPr="00C63C66">
        <w:t xml:space="preserve">of </w:t>
      </w:r>
      <w:r w:rsidRPr="00C63C66">
        <w:t>a CDR consumer</w:t>
      </w:r>
      <w:r w:rsidR="00E5231B" w:rsidRPr="00C63C66">
        <w:t xml:space="preserve"> who is an individual</w:t>
      </w:r>
      <w:r w:rsidRPr="00C63C66">
        <w:t xml:space="preserve">. </w:t>
      </w:r>
      <w:r w:rsidRPr="00484FBF">
        <w:rPr>
          <w:rStyle w:val="Referencingstyle"/>
        </w:rPr>
        <w:t xml:space="preserve">[Schedule 1, item 1, </w:t>
      </w:r>
      <w:r w:rsidR="003400ED" w:rsidRPr="00484FBF">
        <w:rPr>
          <w:rStyle w:val="Referencingstyle"/>
        </w:rPr>
        <w:t>subsection</w:t>
      </w:r>
      <w:r w:rsidR="00CE7175" w:rsidRPr="00484FBF">
        <w:rPr>
          <w:rStyle w:val="Referencingstyle"/>
        </w:rPr>
        <w:t xml:space="preserve"> 56EL</w:t>
      </w:r>
      <w:r w:rsidR="00E5231B" w:rsidRPr="00484FBF">
        <w:rPr>
          <w:rStyle w:val="Referencingstyle"/>
        </w:rPr>
        <w:t>(1</w:t>
      </w:r>
      <w:r w:rsidRPr="00484FBF">
        <w:rPr>
          <w:rStyle w:val="Referencingstyle"/>
        </w:rPr>
        <w:t xml:space="preserve">)] </w:t>
      </w:r>
    </w:p>
    <w:p w14:paraId="757B97EC" w14:textId="3F8B58DB" w:rsidR="00E5231B" w:rsidRPr="00C63C66" w:rsidRDefault="00E5231B" w:rsidP="002E39D8">
      <w:pPr>
        <w:pStyle w:val="base-text-paragraph"/>
        <w:numPr>
          <w:ilvl w:val="1"/>
          <w:numId w:val="33"/>
        </w:numPr>
      </w:pPr>
      <w:r w:rsidRPr="00C63C66">
        <w:t>The exception is where the use is allowed under an Australian law (other than the consumer data rules), or a</w:t>
      </w:r>
      <w:r w:rsidR="00EC2EEF" w:rsidRPr="00C63C66">
        <w:t>n order of a</w:t>
      </w:r>
      <w:r w:rsidRPr="00C63C66">
        <w:t xml:space="preserve"> court</w:t>
      </w:r>
      <w:r w:rsidR="005F28BE" w:rsidRPr="00C63C66">
        <w:t xml:space="preserve"> or</w:t>
      </w:r>
      <w:r w:rsidR="00EC2EEF" w:rsidRPr="00C63C66">
        <w:t xml:space="preserve"> tribunal</w:t>
      </w:r>
      <w:r w:rsidRPr="00C63C66">
        <w:t xml:space="preserve">. </w:t>
      </w:r>
      <w:r w:rsidR="003400ED" w:rsidRPr="00484FBF">
        <w:rPr>
          <w:rStyle w:val="Referencingstyle"/>
        </w:rPr>
        <w:t>[Schedule 1, item 1, paragraph 56EL(1)(c)]</w:t>
      </w:r>
      <w:r w:rsidRPr="00484FBF">
        <w:rPr>
          <w:rStyle w:val="Referencingstyle"/>
        </w:rPr>
        <w:t xml:space="preserve"> </w:t>
      </w:r>
    </w:p>
    <w:p w14:paraId="0E12274C" w14:textId="2C0FF2B0" w:rsidR="003D4869" w:rsidRPr="002E39D8" w:rsidRDefault="003D4869" w:rsidP="002E39D8">
      <w:pPr>
        <w:pStyle w:val="base-text-paragraph"/>
        <w:numPr>
          <w:ilvl w:val="1"/>
          <w:numId w:val="33"/>
        </w:numPr>
      </w:pPr>
      <w:r w:rsidRPr="00C63C66">
        <w:t xml:space="preserve">Similarly, it is not permissible for an accredited data recipient to disclose CDR data </w:t>
      </w:r>
      <w:r w:rsidR="00F91951" w:rsidRPr="00C63C66">
        <w:t xml:space="preserve">about an individual </w:t>
      </w:r>
      <w:r w:rsidRPr="00C63C66">
        <w:t xml:space="preserve">containing a government </w:t>
      </w:r>
      <w:r w:rsidR="009252CA" w:rsidRPr="00C63C66">
        <w:t xml:space="preserve">related </w:t>
      </w:r>
      <w:r w:rsidRPr="00C63C66">
        <w:t xml:space="preserve">identifier. </w:t>
      </w:r>
      <w:r w:rsidR="00CE181D" w:rsidRPr="00C63C66">
        <w:t xml:space="preserve">The only exception to this is if the disclosure </w:t>
      </w:r>
      <w:r w:rsidR="00940FA9" w:rsidRPr="00C63C66">
        <w:t xml:space="preserve">is </w:t>
      </w:r>
      <w:r w:rsidR="00172747" w:rsidRPr="00C63C66">
        <w:t xml:space="preserve">permitted </w:t>
      </w:r>
      <w:r w:rsidR="00940FA9" w:rsidRPr="00C63C66">
        <w:t xml:space="preserve">by </w:t>
      </w:r>
      <w:r w:rsidR="00F91951" w:rsidRPr="00C63C66">
        <w:t xml:space="preserve">an </w:t>
      </w:r>
      <w:r w:rsidR="00CE181D" w:rsidRPr="00C63C66">
        <w:t xml:space="preserve">Australian law </w:t>
      </w:r>
      <w:r w:rsidR="001665F0" w:rsidRPr="00C63C66">
        <w:t xml:space="preserve">(except the </w:t>
      </w:r>
      <w:r w:rsidR="00F91951" w:rsidRPr="00C63C66">
        <w:t>consumer data rules), or by an order of a court or</w:t>
      </w:r>
      <w:r w:rsidR="00CE181D" w:rsidRPr="00C63C66">
        <w:t xml:space="preserve"> tribunal. </w:t>
      </w:r>
      <w:r w:rsidR="00CE181D" w:rsidRPr="00484FBF">
        <w:rPr>
          <w:rStyle w:val="Referencingstyle"/>
        </w:rPr>
        <w:t>[Sche</w:t>
      </w:r>
      <w:r w:rsidR="00CE7175" w:rsidRPr="00484FBF">
        <w:rPr>
          <w:rStyle w:val="Referencingstyle"/>
        </w:rPr>
        <w:t>dule 1, item 1, subsection 56EL</w:t>
      </w:r>
      <w:r w:rsidR="00F91951" w:rsidRPr="00484FBF">
        <w:rPr>
          <w:rStyle w:val="Referencingstyle"/>
        </w:rPr>
        <w:t>(2</w:t>
      </w:r>
      <w:r w:rsidR="00CE181D" w:rsidRPr="00484FBF">
        <w:rPr>
          <w:rStyle w:val="Referencingstyle"/>
        </w:rPr>
        <w:t>)]</w:t>
      </w:r>
    </w:p>
    <w:p w14:paraId="332ED5DF" w14:textId="55616909" w:rsidR="00F91951" w:rsidRPr="00C63C66" w:rsidRDefault="00F91951" w:rsidP="002E39D8">
      <w:pPr>
        <w:pStyle w:val="base-text-paragraph"/>
        <w:numPr>
          <w:ilvl w:val="1"/>
          <w:numId w:val="33"/>
        </w:numPr>
      </w:pPr>
      <w:r w:rsidRPr="00C63C66">
        <w:lastRenderedPageBreak/>
        <w:t>T</w:t>
      </w:r>
      <w:r w:rsidR="004F6D5F" w:rsidRPr="00C63C66">
        <w:t>he limitation</w:t>
      </w:r>
      <w:r w:rsidRPr="00C63C66">
        <w:t xml:space="preserve"> on using or disclo</w:t>
      </w:r>
      <w:r w:rsidR="004F6D5F" w:rsidRPr="00C63C66">
        <w:t>sing government identifiers does</w:t>
      </w:r>
      <w:r w:rsidRPr="00C63C66">
        <w:t xml:space="preserve"> not apply where the CDR consumer is not an individual. For example, the ABN of a business </w:t>
      </w:r>
      <w:r w:rsidR="001728E3" w:rsidRPr="00C63C66">
        <w:t xml:space="preserve">which is not a sole trader would not </w:t>
      </w:r>
      <w:r w:rsidR="00940FA9" w:rsidRPr="00C63C66">
        <w:t xml:space="preserve">be </w:t>
      </w:r>
      <w:r w:rsidR="001728E3" w:rsidRPr="00C63C66">
        <w:t>subject to Privacy Safeguard 9.</w:t>
      </w:r>
      <w:r w:rsidRPr="00C63C66">
        <w:t xml:space="preserve"> </w:t>
      </w:r>
    </w:p>
    <w:p w14:paraId="0F721230" w14:textId="5770FE77" w:rsidR="0056505C" w:rsidRPr="00C63C66" w:rsidRDefault="0056505C" w:rsidP="0056505C">
      <w:pPr>
        <w:pStyle w:val="Heading4"/>
      </w:pPr>
      <w:r w:rsidRPr="00C63C66">
        <w:t xml:space="preserve">CDR </w:t>
      </w:r>
      <w:r w:rsidR="00260E40" w:rsidRPr="00C63C66">
        <w:t>P</w:t>
      </w:r>
      <w:r w:rsidR="003C084F" w:rsidRPr="00C63C66">
        <w:t xml:space="preserve">rivacy </w:t>
      </w:r>
      <w:r w:rsidR="00260E40" w:rsidRPr="00C63C66">
        <w:t>S</w:t>
      </w:r>
      <w:r w:rsidR="003C084F" w:rsidRPr="00C63C66">
        <w:t>afeguard</w:t>
      </w:r>
      <w:r w:rsidRPr="00C63C66">
        <w:t xml:space="preserve"> 10 – </w:t>
      </w:r>
      <w:r w:rsidR="00E443D0" w:rsidRPr="00C63C66">
        <w:t>Notifying of the disclosure of CDR data</w:t>
      </w:r>
    </w:p>
    <w:p w14:paraId="77B9B422" w14:textId="2B87F0C2" w:rsidR="001728E3" w:rsidRPr="00C63C66" w:rsidRDefault="001728E3" w:rsidP="002E39D8">
      <w:pPr>
        <w:pStyle w:val="base-text-paragraph"/>
        <w:numPr>
          <w:ilvl w:val="1"/>
          <w:numId w:val="33"/>
        </w:numPr>
      </w:pPr>
      <w:r w:rsidRPr="00C63C66">
        <w:t xml:space="preserve">Unlike the other Privacy Safeguards discussed to this point, Privacy Safeguard 10 applies to a data holder as well as an accredited data recipient.  </w:t>
      </w:r>
    </w:p>
    <w:p w14:paraId="355C286F" w14:textId="00CFDFF0" w:rsidR="001728E3" w:rsidRPr="00C63C66" w:rsidRDefault="001728E3" w:rsidP="002E39D8">
      <w:pPr>
        <w:pStyle w:val="base-text-paragraph"/>
        <w:numPr>
          <w:ilvl w:val="1"/>
          <w:numId w:val="33"/>
        </w:numPr>
      </w:pPr>
      <w:r w:rsidRPr="00C63C66">
        <w:t xml:space="preserve">Where a data holder has responded to a valid request from a CDR consumer and disclosed CDR data consistent with the </w:t>
      </w:r>
      <w:r w:rsidR="00E443D0" w:rsidRPr="00C63C66">
        <w:t xml:space="preserve">consumer data rules the data holder must notify the consumer as required by the consumer data rules. </w:t>
      </w:r>
      <w:r w:rsidR="00E443D0" w:rsidRPr="00484FBF">
        <w:rPr>
          <w:rStyle w:val="Referencingstyle"/>
        </w:rPr>
        <w:t>[Schedule 1, item 1, subsection 56ELA(1)]</w:t>
      </w:r>
    </w:p>
    <w:p w14:paraId="0323550B" w14:textId="7D629C43" w:rsidR="00E443D0" w:rsidRPr="00C63C66" w:rsidRDefault="00E443D0" w:rsidP="002E39D8">
      <w:pPr>
        <w:pStyle w:val="base-text-paragraph"/>
        <w:numPr>
          <w:ilvl w:val="1"/>
          <w:numId w:val="33"/>
        </w:numPr>
      </w:pPr>
      <w:r w:rsidRPr="00C63C66">
        <w:t xml:space="preserve">The consumer data rules may set out which CDR consumer must receive the notification, where there is more than one consumer, what matters must be included in the notification and the time in which the notification must be given. </w:t>
      </w:r>
      <w:r w:rsidRPr="00484FBF">
        <w:rPr>
          <w:rStyle w:val="Referencingstyle"/>
        </w:rPr>
        <w:t>[Schedule 1, item 1, subsection 56ELA(1)]</w:t>
      </w:r>
    </w:p>
    <w:p w14:paraId="278EB6BF" w14:textId="50947B57" w:rsidR="00E443D0" w:rsidRPr="002E39D8" w:rsidRDefault="00E443D0" w:rsidP="002E39D8">
      <w:pPr>
        <w:pStyle w:val="base-text-paragraph"/>
        <w:numPr>
          <w:ilvl w:val="1"/>
          <w:numId w:val="33"/>
        </w:numPr>
      </w:pPr>
      <w:r w:rsidRPr="00C63C66">
        <w:t xml:space="preserve">Similarly, where an accredited data recipient has disclosed CDR data, the accredited data recipient must notify the consumer as required by the consumer data rules. </w:t>
      </w:r>
      <w:r w:rsidRPr="00484FBF">
        <w:rPr>
          <w:rStyle w:val="Referencingstyle"/>
        </w:rPr>
        <w:t>[Schedule 1, item 1, subsection 56ELA(2)]</w:t>
      </w:r>
    </w:p>
    <w:p w14:paraId="49B11409" w14:textId="583E6F18" w:rsidR="00E443D0" w:rsidRPr="002E39D8" w:rsidRDefault="00E443D0" w:rsidP="002E39D8">
      <w:pPr>
        <w:pStyle w:val="base-text-paragraph"/>
        <w:numPr>
          <w:ilvl w:val="1"/>
          <w:numId w:val="33"/>
        </w:numPr>
      </w:pPr>
      <w:r w:rsidRPr="00C63C66">
        <w:t xml:space="preserve">The consumer data rules may set out which CDR consumer must receive the notification, where there is more than one consumer, what matters must be included in the notification and the time in which the notification must be given. </w:t>
      </w:r>
      <w:r w:rsidRPr="00484FBF">
        <w:rPr>
          <w:rStyle w:val="Referencingstyle"/>
        </w:rPr>
        <w:t>[Schedule 1, item 1, subsection 56ELA(2)]</w:t>
      </w:r>
    </w:p>
    <w:p w14:paraId="15F6B777" w14:textId="77777777" w:rsidR="00E443D0" w:rsidRPr="00C63C66" w:rsidRDefault="00E443D0" w:rsidP="00E443D0">
      <w:pPr>
        <w:pStyle w:val="Heading3"/>
      </w:pPr>
      <w:r w:rsidRPr="00C63C66">
        <w:t>Integrity of CDR data</w:t>
      </w:r>
    </w:p>
    <w:p w14:paraId="3639F970" w14:textId="7ADE1071" w:rsidR="00E443D0" w:rsidRPr="00C63C66" w:rsidRDefault="00E443D0" w:rsidP="00E443D0">
      <w:pPr>
        <w:pStyle w:val="Heading4"/>
      </w:pPr>
      <w:r w:rsidRPr="00C63C66">
        <w:t xml:space="preserve">CDR Privacy Safeguard 11 – </w:t>
      </w:r>
      <w:r w:rsidR="00231680" w:rsidRPr="00C63C66">
        <w:t>Quality</w:t>
      </w:r>
      <w:r w:rsidRPr="00C63C66">
        <w:t xml:space="preserve"> of CDR data</w:t>
      </w:r>
    </w:p>
    <w:p w14:paraId="0B9BAA32" w14:textId="480F8ED4" w:rsidR="00231680" w:rsidRPr="00C63C66" w:rsidRDefault="00231680" w:rsidP="002E39D8">
      <w:pPr>
        <w:pStyle w:val="base-text-paragraph"/>
        <w:numPr>
          <w:ilvl w:val="1"/>
          <w:numId w:val="33"/>
        </w:numPr>
      </w:pPr>
      <w:r w:rsidRPr="00C63C66">
        <w:t xml:space="preserve">Privacy Safeguard 11 also applies to data holders. Where a data holder is required to disclose CDR data in response to a valid request from a CDR consumer, the data holder must ensure that the CDR data is accurate, up to date and complete for the purpose for which it is held. </w:t>
      </w:r>
      <w:r w:rsidRPr="00484FBF">
        <w:rPr>
          <w:rStyle w:val="Referencingstyle"/>
        </w:rPr>
        <w:t>[Schedule 1, item 1, subsection56EM(1)]</w:t>
      </w:r>
    </w:p>
    <w:p w14:paraId="261A8AAE" w14:textId="1C1CE231" w:rsidR="00231680" w:rsidRPr="002E39D8" w:rsidRDefault="00004D48" w:rsidP="002E39D8">
      <w:pPr>
        <w:pStyle w:val="base-text-paragraph"/>
        <w:numPr>
          <w:ilvl w:val="1"/>
          <w:numId w:val="33"/>
        </w:numPr>
      </w:pPr>
      <w:r w:rsidRPr="002E39D8">
        <w:t xml:space="preserve">The CDR data is not </w:t>
      </w:r>
      <w:r w:rsidR="00231680" w:rsidRPr="002E39D8">
        <w:t xml:space="preserve">held for the purpose of </w:t>
      </w:r>
      <w:r w:rsidRPr="002E39D8">
        <w:t xml:space="preserve">being required to be disclosed </w:t>
      </w:r>
      <w:r w:rsidR="00231680" w:rsidRPr="002E39D8">
        <w:t xml:space="preserve">under the CDR rules. For example, a data holder that is an ADI collects transaction data for the purpose of providing a banking service to its customer. It does not hold transaction data for the purpose of </w:t>
      </w:r>
      <w:r w:rsidRPr="002E39D8">
        <w:t xml:space="preserve">being required disclose the data under the </w:t>
      </w:r>
      <w:r w:rsidR="00231680" w:rsidRPr="002E39D8">
        <w:t xml:space="preserve">CDR regime. </w:t>
      </w:r>
      <w:r w:rsidR="00231680" w:rsidRPr="00484FBF">
        <w:rPr>
          <w:rStyle w:val="Referencingstyle"/>
        </w:rPr>
        <w:t>[Schedule 1, item 1, subsection56EM(6)]</w:t>
      </w:r>
    </w:p>
    <w:p w14:paraId="33C178FA" w14:textId="4232175F" w:rsidR="00231680" w:rsidRPr="002E39D8" w:rsidRDefault="00231680" w:rsidP="002E39D8">
      <w:pPr>
        <w:pStyle w:val="base-text-paragraph"/>
        <w:numPr>
          <w:ilvl w:val="1"/>
          <w:numId w:val="33"/>
        </w:numPr>
        <w:rPr>
          <w:b/>
          <w:i/>
        </w:rPr>
      </w:pPr>
      <w:r w:rsidRPr="002E39D8">
        <w:t xml:space="preserve">Similarly, an accredited data recipient must ensure that the data it discloses consistent with the consumer data rules is </w:t>
      </w:r>
      <w:r w:rsidRPr="00C63C66">
        <w:t xml:space="preserve">accurate, up to date and complete for the purpose for which it is held. </w:t>
      </w:r>
      <w:r w:rsidRPr="002E39D8">
        <w:t xml:space="preserve">It is not held for the </w:t>
      </w:r>
      <w:r w:rsidRPr="002E39D8">
        <w:lastRenderedPageBreak/>
        <w:t xml:space="preserve">purpose of disclosing the CDR data under the CDR rules. </w:t>
      </w:r>
      <w:r w:rsidRPr="00484FBF">
        <w:rPr>
          <w:rStyle w:val="Referencingstyle"/>
        </w:rPr>
        <w:t>[Schedule 1, item 1, subsections 56EM(2) and 56EM(6)]</w:t>
      </w:r>
    </w:p>
    <w:p w14:paraId="111FB694" w14:textId="09B55799" w:rsidR="00FA0AF2" w:rsidRPr="00C63C66" w:rsidRDefault="00231680" w:rsidP="002E39D8">
      <w:pPr>
        <w:pStyle w:val="base-text-paragraph"/>
        <w:numPr>
          <w:ilvl w:val="1"/>
          <w:numId w:val="33"/>
        </w:numPr>
      </w:pPr>
      <w:r w:rsidRPr="00C63C66">
        <w:t xml:space="preserve">Where either the data holder or accredited data recipient becomes aware that </w:t>
      </w:r>
      <w:r w:rsidR="00004D48" w:rsidRPr="00C63C66">
        <w:t xml:space="preserve">the </w:t>
      </w:r>
      <w:r w:rsidRPr="00C63C66">
        <w:t xml:space="preserve">CDR data that was disclosed was incorrect, the data holder or accredited data recipient must notify the consumer in writing. </w:t>
      </w:r>
      <w:r w:rsidR="002F159D" w:rsidRPr="00484FBF">
        <w:rPr>
          <w:rStyle w:val="Referencingstyle"/>
        </w:rPr>
        <w:t>[Sched</w:t>
      </w:r>
      <w:r w:rsidRPr="00484FBF">
        <w:rPr>
          <w:rStyle w:val="Referencingstyle"/>
        </w:rPr>
        <w:t>ule 1, item 1, subsection 56EM(3</w:t>
      </w:r>
      <w:r w:rsidR="002F159D" w:rsidRPr="00484FBF">
        <w:rPr>
          <w:rStyle w:val="Referencingstyle"/>
        </w:rPr>
        <w:t>)]</w:t>
      </w:r>
    </w:p>
    <w:p w14:paraId="32C25121" w14:textId="060CD59A" w:rsidR="00385557" w:rsidRPr="00C63C66" w:rsidRDefault="00004D48" w:rsidP="002E39D8">
      <w:pPr>
        <w:pStyle w:val="base-text-paragraph"/>
        <w:numPr>
          <w:ilvl w:val="1"/>
          <w:numId w:val="33"/>
        </w:numPr>
      </w:pPr>
      <w:r w:rsidRPr="00C63C66">
        <w:t xml:space="preserve">If the </w:t>
      </w:r>
      <w:r w:rsidR="00385557" w:rsidRPr="00C63C66">
        <w:t xml:space="preserve">CDR consumer </w:t>
      </w:r>
      <w:r w:rsidRPr="00C63C66">
        <w:t xml:space="preserve">asks the data holder or accredited data recipient to disclose the corrected CDR data to persons to whom it was previously disclosed, the data holder or accredited data recipient must comply. </w:t>
      </w:r>
      <w:r w:rsidR="002F159D" w:rsidRPr="00484FBF">
        <w:rPr>
          <w:rStyle w:val="Referencingstyle"/>
        </w:rPr>
        <w:t>[Sched</w:t>
      </w:r>
      <w:r w:rsidRPr="00484FBF">
        <w:rPr>
          <w:rStyle w:val="Referencingstyle"/>
        </w:rPr>
        <w:t>ule 1, item 1, subsection 56EM(4</w:t>
      </w:r>
      <w:r w:rsidR="002F159D" w:rsidRPr="00484FBF">
        <w:rPr>
          <w:rStyle w:val="Referencingstyle"/>
        </w:rPr>
        <w:t>)]</w:t>
      </w:r>
    </w:p>
    <w:p w14:paraId="23B08905" w14:textId="77777777" w:rsidR="00385557" w:rsidRPr="00C63C66" w:rsidRDefault="00385557" w:rsidP="00385557">
      <w:pPr>
        <w:pStyle w:val="ExampleHeading"/>
      </w:pPr>
    </w:p>
    <w:p w14:paraId="29EC872D" w14:textId="74AA81E2" w:rsidR="00385557" w:rsidRPr="00C63C66" w:rsidRDefault="00385557" w:rsidP="00385557">
      <w:pPr>
        <w:pStyle w:val="exampletext"/>
      </w:pPr>
      <w:r w:rsidRPr="00C63C66">
        <w:t xml:space="preserve">Levi </w:t>
      </w:r>
      <w:r w:rsidR="00004D48" w:rsidRPr="00C63C66">
        <w:t>requested that his</w:t>
      </w:r>
      <w:r w:rsidRPr="00C63C66">
        <w:t xml:space="preserve"> mobile phone information </w:t>
      </w:r>
      <w:r w:rsidR="00004D48" w:rsidRPr="00C63C66">
        <w:t xml:space="preserve">from his current provider be disclosed to </w:t>
      </w:r>
      <w:r w:rsidRPr="00C63C66">
        <w:t xml:space="preserve">a </w:t>
      </w:r>
      <w:proofErr w:type="spellStart"/>
      <w:r w:rsidRPr="00C63C66">
        <w:t>fintech</w:t>
      </w:r>
      <w:proofErr w:type="spellEnd"/>
      <w:r w:rsidRPr="00C63C66">
        <w:t xml:space="preserve">, </w:t>
      </w:r>
      <w:proofErr w:type="spellStart"/>
      <w:r w:rsidRPr="00C63C66">
        <w:t>TeleMarketDeals</w:t>
      </w:r>
      <w:proofErr w:type="spellEnd"/>
      <w:r w:rsidRPr="00C63C66">
        <w:t xml:space="preserve"> for the purpose of comparing whether </w:t>
      </w:r>
      <w:r w:rsidR="00004D48" w:rsidRPr="00C63C66">
        <w:t xml:space="preserve">there is </w:t>
      </w:r>
      <w:r w:rsidRPr="00C63C66">
        <w:t>a better rate for his international calls</w:t>
      </w:r>
      <w:r w:rsidR="00004D48" w:rsidRPr="00C63C66">
        <w:t xml:space="preserve">. </w:t>
      </w:r>
      <w:proofErr w:type="spellStart"/>
      <w:r w:rsidRPr="00C63C66">
        <w:t>TeleMarketDeals</w:t>
      </w:r>
      <w:proofErr w:type="spellEnd"/>
      <w:r w:rsidRPr="00C63C66">
        <w:t xml:space="preserve"> undertakes some analysis of Levi’s calling patterns, in particular his overseas calls, and recommends </w:t>
      </w:r>
      <w:proofErr w:type="spellStart"/>
      <w:r w:rsidRPr="00C63C66">
        <w:t>CheepCalls</w:t>
      </w:r>
      <w:proofErr w:type="spellEnd"/>
      <w:r w:rsidRPr="00C63C66">
        <w:t>.</w:t>
      </w:r>
    </w:p>
    <w:p w14:paraId="117DADB7" w14:textId="3B09AB16" w:rsidR="00385557" w:rsidRPr="00C63C66" w:rsidRDefault="00F847DC" w:rsidP="00385557">
      <w:pPr>
        <w:pStyle w:val="exampletext"/>
      </w:pPr>
      <w:r w:rsidRPr="00C63C66">
        <w:t xml:space="preserve">Levi’s original request allowed </w:t>
      </w:r>
      <w:proofErr w:type="spellStart"/>
      <w:r w:rsidR="00385557" w:rsidRPr="00C63C66">
        <w:t>TeleMarketDeals</w:t>
      </w:r>
      <w:proofErr w:type="spellEnd"/>
      <w:r w:rsidR="00385557" w:rsidRPr="00C63C66">
        <w:t xml:space="preserve"> </w:t>
      </w:r>
      <w:r w:rsidR="001665F0" w:rsidRPr="00C63C66">
        <w:t>to on</w:t>
      </w:r>
      <w:r w:rsidR="001665F0" w:rsidRPr="00C63C66">
        <w:noBreakHyphen/>
      </w:r>
      <w:r w:rsidR="00385557" w:rsidRPr="00C63C66">
        <w:t xml:space="preserve">disclose Levi’s information to </w:t>
      </w:r>
      <w:proofErr w:type="spellStart"/>
      <w:r w:rsidR="00385557" w:rsidRPr="00C63C66">
        <w:t>CheepCalls</w:t>
      </w:r>
      <w:proofErr w:type="spellEnd"/>
      <w:r w:rsidR="00385557" w:rsidRPr="00C63C66">
        <w:t xml:space="preserve"> </w:t>
      </w:r>
      <w:r w:rsidRPr="00C63C66">
        <w:t>which</w:t>
      </w:r>
      <w:r w:rsidR="00385557" w:rsidRPr="00C63C66">
        <w:t xml:space="preserve"> offered the best rates for Levi</w:t>
      </w:r>
      <w:r w:rsidRPr="00C63C66">
        <w:t xml:space="preserve">. </w:t>
      </w:r>
    </w:p>
    <w:p w14:paraId="5844F191" w14:textId="53CEC7D9" w:rsidR="00385557" w:rsidRPr="00C63C66" w:rsidRDefault="00385557" w:rsidP="00385557">
      <w:pPr>
        <w:pStyle w:val="exampletext"/>
      </w:pPr>
      <w:r w:rsidRPr="00C63C66">
        <w:t xml:space="preserve">However, </w:t>
      </w:r>
      <w:proofErr w:type="spellStart"/>
      <w:r w:rsidRPr="00C63C66">
        <w:t>TeleMarketDeals</w:t>
      </w:r>
      <w:proofErr w:type="spellEnd"/>
      <w:r w:rsidRPr="00C63C66">
        <w:t xml:space="preserve"> accidentally discloses </w:t>
      </w:r>
      <w:r w:rsidR="00190203" w:rsidRPr="00C63C66">
        <w:t xml:space="preserve">an erroneous copy of Levi’s information to </w:t>
      </w:r>
      <w:proofErr w:type="spellStart"/>
      <w:r w:rsidR="00190203" w:rsidRPr="00C63C66">
        <w:t>CheepCalls</w:t>
      </w:r>
      <w:proofErr w:type="spellEnd"/>
      <w:r w:rsidR="00190203" w:rsidRPr="00C63C66">
        <w:t xml:space="preserve">. </w:t>
      </w:r>
      <w:proofErr w:type="spellStart"/>
      <w:r w:rsidR="00190203" w:rsidRPr="00C63C66">
        <w:t>TeleMarketDeals</w:t>
      </w:r>
      <w:proofErr w:type="spellEnd"/>
      <w:r w:rsidR="00190203" w:rsidRPr="00C63C66">
        <w:t xml:space="preserve"> contacts Levi and advises hi</w:t>
      </w:r>
      <w:r w:rsidR="002945B9" w:rsidRPr="00C63C66">
        <w:t>m</w:t>
      </w:r>
      <w:r w:rsidR="00190203" w:rsidRPr="00C63C66">
        <w:t xml:space="preserve"> of their error. Levi then requests that </w:t>
      </w:r>
      <w:proofErr w:type="spellStart"/>
      <w:r w:rsidR="00190203" w:rsidRPr="00C63C66">
        <w:t>TeleMarketDeals</w:t>
      </w:r>
      <w:proofErr w:type="spellEnd"/>
      <w:r w:rsidR="00190203" w:rsidRPr="00C63C66">
        <w:t xml:space="preserve"> provide the corrected information to </w:t>
      </w:r>
      <w:proofErr w:type="spellStart"/>
      <w:r w:rsidR="00190203" w:rsidRPr="00C63C66">
        <w:t>CheepCalls</w:t>
      </w:r>
      <w:proofErr w:type="spellEnd"/>
      <w:r w:rsidR="00190203" w:rsidRPr="00C63C66">
        <w:t>.</w:t>
      </w:r>
    </w:p>
    <w:p w14:paraId="154D5108" w14:textId="631B3A30" w:rsidR="0056505C" w:rsidRPr="00C63C66" w:rsidRDefault="0056505C" w:rsidP="0056505C">
      <w:pPr>
        <w:pStyle w:val="Heading4"/>
      </w:pPr>
      <w:r w:rsidRPr="00C63C66">
        <w:t xml:space="preserve">CDR </w:t>
      </w:r>
      <w:r w:rsidR="007D359A" w:rsidRPr="00C63C66">
        <w:t>P</w:t>
      </w:r>
      <w:r w:rsidR="003C084F" w:rsidRPr="00C63C66">
        <w:t xml:space="preserve">rivacy </w:t>
      </w:r>
      <w:r w:rsidR="007D359A" w:rsidRPr="00C63C66">
        <w:t>S</w:t>
      </w:r>
      <w:r w:rsidR="003C084F" w:rsidRPr="00C63C66">
        <w:t>afeguard</w:t>
      </w:r>
      <w:r w:rsidR="00F847DC" w:rsidRPr="00C63C66">
        <w:t xml:space="preserve"> 12 </w:t>
      </w:r>
      <w:r w:rsidRPr="00C63C66">
        <w:t>– Security of CDR data</w:t>
      </w:r>
    </w:p>
    <w:p w14:paraId="1E4DDFB0" w14:textId="4E7ECA8C" w:rsidR="0056505C" w:rsidRPr="002E39D8" w:rsidRDefault="00E35782" w:rsidP="002E39D8">
      <w:pPr>
        <w:pStyle w:val="base-text-paragraph"/>
        <w:numPr>
          <w:ilvl w:val="1"/>
          <w:numId w:val="33"/>
        </w:numPr>
      </w:pPr>
      <w:r w:rsidRPr="00C63C66">
        <w:t xml:space="preserve">An integral element of the CDR system is the protection of consumers’ </w:t>
      </w:r>
      <w:r w:rsidR="003B45ED" w:rsidRPr="00C63C66">
        <w:t xml:space="preserve">CDR </w:t>
      </w:r>
      <w:r w:rsidRPr="00C63C66">
        <w:t xml:space="preserve">data. As such, </w:t>
      </w:r>
      <w:r w:rsidR="00F847DC" w:rsidRPr="00C63C66">
        <w:t>Privacy S</w:t>
      </w:r>
      <w:r w:rsidR="00CE3B49" w:rsidRPr="00C63C66">
        <w:t xml:space="preserve">afeguard </w:t>
      </w:r>
      <w:r w:rsidR="00F847DC" w:rsidRPr="00C63C66">
        <w:t>12</w:t>
      </w:r>
      <w:r w:rsidRPr="00C63C66">
        <w:t xml:space="preserve"> places a requirement </w:t>
      </w:r>
      <w:r w:rsidR="00F847DC" w:rsidRPr="00C63C66">
        <w:t>on accredited data recipients</w:t>
      </w:r>
      <w:r w:rsidRPr="00C63C66">
        <w:t xml:space="preserve">, to ensure that CDR data is protected from misuse, interference and loss as well as from unauthorised access, modification or disclosure. </w:t>
      </w:r>
      <w:r w:rsidRPr="00484FBF">
        <w:rPr>
          <w:rStyle w:val="Referencingstyle"/>
        </w:rPr>
        <w:t>[Sche</w:t>
      </w:r>
      <w:r w:rsidR="003B45ED" w:rsidRPr="00484FBF">
        <w:rPr>
          <w:rStyle w:val="Referencingstyle"/>
        </w:rPr>
        <w:t>dule 1, item 1, subsection </w:t>
      </w:r>
      <w:r w:rsidR="002945B9" w:rsidRPr="00484FBF">
        <w:rPr>
          <w:rStyle w:val="Referencingstyle"/>
        </w:rPr>
        <w:t>56EN</w:t>
      </w:r>
      <w:r w:rsidRPr="00484FBF">
        <w:rPr>
          <w:rStyle w:val="Referencingstyle"/>
        </w:rPr>
        <w:t>(1)]</w:t>
      </w:r>
    </w:p>
    <w:p w14:paraId="7846AE0C" w14:textId="30EB25FE" w:rsidR="003B45ED" w:rsidRPr="002E39D8" w:rsidRDefault="00376A0C" w:rsidP="002E39D8">
      <w:pPr>
        <w:pStyle w:val="base-text-paragraph"/>
        <w:numPr>
          <w:ilvl w:val="1"/>
          <w:numId w:val="33"/>
        </w:numPr>
      </w:pPr>
      <w:r w:rsidRPr="00C63C66">
        <w:t xml:space="preserve">In addition, if </w:t>
      </w:r>
      <w:r w:rsidR="003B45ED" w:rsidRPr="00C63C66">
        <w:t>a</w:t>
      </w:r>
      <w:r w:rsidR="00F847DC" w:rsidRPr="00C63C66">
        <w:t xml:space="preserve">n accredited data recipient no longer needs the CDR data </w:t>
      </w:r>
      <w:r w:rsidR="009A524C" w:rsidRPr="00C63C66">
        <w:t xml:space="preserve">for the purposes </w:t>
      </w:r>
      <w:r w:rsidR="003B45ED" w:rsidRPr="00C63C66">
        <w:t>permitted by the consumer data rules</w:t>
      </w:r>
      <w:r w:rsidR="00F847DC" w:rsidRPr="00C63C66">
        <w:t xml:space="preserve"> or </w:t>
      </w:r>
      <w:r w:rsidR="009A524C" w:rsidRPr="00C63C66">
        <w:t xml:space="preserve">for the purposes </w:t>
      </w:r>
      <w:r w:rsidR="00F847DC" w:rsidRPr="00C63C66">
        <w:t>as allowed under the CDR regime</w:t>
      </w:r>
      <w:r w:rsidRPr="00C63C66">
        <w:t xml:space="preserve">, then the </w:t>
      </w:r>
      <w:r w:rsidR="00C07E62" w:rsidRPr="00C63C66">
        <w:t xml:space="preserve">redundant </w:t>
      </w:r>
      <w:r w:rsidRPr="00C63C66">
        <w:t xml:space="preserve">data </w:t>
      </w:r>
      <w:r w:rsidR="00F246A9" w:rsidRPr="00C63C66">
        <w:t>must be destroyed or</w:t>
      </w:r>
      <w:r w:rsidR="00C07E62" w:rsidRPr="00C63C66">
        <w:t xml:space="preserve"> de-identified</w:t>
      </w:r>
      <w:r w:rsidR="00F246A9" w:rsidRPr="00C63C66">
        <w:t xml:space="preserve"> according to the consumer data rules</w:t>
      </w:r>
      <w:r w:rsidR="009A524C" w:rsidRPr="00C63C66">
        <w:t xml:space="preserve">. </w:t>
      </w:r>
      <w:r w:rsidR="003B45ED" w:rsidRPr="00484FBF">
        <w:rPr>
          <w:rStyle w:val="Referencingstyle"/>
        </w:rPr>
        <w:t>[Sche</w:t>
      </w:r>
      <w:r w:rsidR="00C07E62" w:rsidRPr="00484FBF">
        <w:rPr>
          <w:rStyle w:val="Referencingstyle"/>
        </w:rPr>
        <w:t>dule 1, item 1, subsection </w:t>
      </w:r>
      <w:r w:rsidR="003B45ED" w:rsidRPr="00484FBF">
        <w:rPr>
          <w:rStyle w:val="Referencingstyle"/>
        </w:rPr>
        <w:t>56EN(</w:t>
      </w:r>
      <w:r w:rsidR="00C07E62" w:rsidRPr="00484FBF">
        <w:rPr>
          <w:rStyle w:val="Referencingstyle"/>
        </w:rPr>
        <w:t>2</w:t>
      </w:r>
      <w:r w:rsidR="003B45ED" w:rsidRPr="00484FBF">
        <w:rPr>
          <w:rStyle w:val="Referencingstyle"/>
        </w:rPr>
        <w:t>)]</w:t>
      </w:r>
    </w:p>
    <w:p w14:paraId="42100B93" w14:textId="55744F5B" w:rsidR="003B45ED" w:rsidRPr="00C63C66" w:rsidRDefault="003B45ED" w:rsidP="002E39D8">
      <w:pPr>
        <w:pStyle w:val="base-text-paragraph"/>
        <w:numPr>
          <w:ilvl w:val="1"/>
          <w:numId w:val="33"/>
        </w:numPr>
      </w:pPr>
      <w:r w:rsidRPr="00C63C66">
        <w:t>Exceptions to this apply if</w:t>
      </w:r>
      <w:r w:rsidR="002225FA" w:rsidRPr="00C63C66">
        <w:t xml:space="preserve"> the </w:t>
      </w:r>
      <w:r w:rsidRPr="00C63C66">
        <w:t>person</w:t>
      </w:r>
      <w:r w:rsidR="002225FA" w:rsidRPr="00C63C66">
        <w:t xml:space="preserve"> is</w:t>
      </w:r>
      <w:r w:rsidR="00F847DC" w:rsidRPr="00C63C66">
        <w:t xml:space="preserve"> required under an Australian law (</w:t>
      </w:r>
      <w:r w:rsidR="00C07E62" w:rsidRPr="00C63C66">
        <w:t>aside from the APPs</w:t>
      </w:r>
      <w:r w:rsidR="00F847DC" w:rsidRPr="00C63C66">
        <w:t>)</w:t>
      </w:r>
      <w:r w:rsidR="00C07E62" w:rsidRPr="00C63C66">
        <w:t>,</w:t>
      </w:r>
      <w:r w:rsidR="002225FA" w:rsidRPr="00C63C66">
        <w:t xml:space="preserve"> </w:t>
      </w:r>
      <w:r w:rsidR="00F847DC" w:rsidRPr="00C63C66">
        <w:t xml:space="preserve">a foreign law </w:t>
      </w:r>
      <w:r w:rsidR="002225FA" w:rsidRPr="00C63C66">
        <w:t xml:space="preserve">or </w:t>
      </w:r>
      <w:r w:rsidR="009A524C" w:rsidRPr="00C63C66">
        <w:t xml:space="preserve">as a result of </w:t>
      </w:r>
      <w:r w:rsidR="00F847DC" w:rsidRPr="00C63C66">
        <w:t xml:space="preserve">an order of a court or tribunal to keep the data. </w:t>
      </w:r>
      <w:r w:rsidR="009A524C" w:rsidRPr="00484FBF">
        <w:rPr>
          <w:rStyle w:val="Referencingstyle"/>
        </w:rPr>
        <w:t>[Schedule 1, item 1, subsection </w:t>
      </w:r>
      <w:r w:rsidRPr="00484FBF">
        <w:rPr>
          <w:rStyle w:val="Referencingstyle"/>
        </w:rPr>
        <w:t>56EN(</w:t>
      </w:r>
      <w:r w:rsidR="00C07E62" w:rsidRPr="00484FBF">
        <w:rPr>
          <w:rStyle w:val="Referencingstyle"/>
        </w:rPr>
        <w:t>2</w:t>
      </w:r>
      <w:r w:rsidRPr="00484FBF">
        <w:rPr>
          <w:rStyle w:val="Referencingstyle"/>
        </w:rPr>
        <w:t>)]</w:t>
      </w:r>
      <w:r w:rsidRPr="00C63C66">
        <w:t xml:space="preserve"> </w:t>
      </w:r>
    </w:p>
    <w:p w14:paraId="58DE1A94" w14:textId="023E5B48" w:rsidR="00F7342E" w:rsidRDefault="00F7342E">
      <w:pPr>
        <w:spacing w:before="0" w:after="160" w:line="259" w:lineRule="auto"/>
        <w:rPr>
          <w:b/>
        </w:rPr>
      </w:pPr>
      <w:r>
        <w:br w:type="page"/>
      </w:r>
    </w:p>
    <w:p w14:paraId="2D408E5B" w14:textId="77777777" w:rsidR="004C5934" w:rsidRPr="00C63C66" w:rsidRDefault="004C5934" w:rsidP="004C5934">
      <w:pPr>
        <w:pStyle w:val="ExampleHeading"/>
      </w:pPr>
    </w:p>
    <w:p w14:paraId="46651D82" w14:textId="18193D9F" w:rsidR="004C5934" w:rsidRPr="00C63C66" w:rsidRDefault="00EC1D24" w:rsidP="004C5934">
      <w:pPr>
        <w:pStyle w:val="exampletext"/>
      </w:pPr>
      <w:r w:rsidRPr="00C63C66">
        <w:t>Nick</w:t>
      </w:r>
      <w:r w:rsidR="00F246A9" w:rsidRPr="00C63C66">
        <w:t xml:space="preserve"> currently banks with ZAP</w:t>
      </w:r>
      <w:r w:rsidR="004C5934" w:rsidRPr="00C63C66">
        <w:t xml:space="preserve"> but is interested to see whether he is able to obtain a better deal on his credit cards with other banks and financial institutions. </w:t>
      </w:r>
    </w:p>
    <w:p w14:paraId="4786A8B0" w14:textId="6A152E79" w:rsidR="004C5934" w:rsidRPr="00C63C66" w:rsidRDefault="00EC1D24" w:rsidP="004C5934">
      <w:pPr>
        <w:pStyle w:val="exampletext"/>
      </w:pPr>
      <w:r w:rsidRPr="00C63C66">
        <w:t>Nick</w:t>
      </w:r>
      <w:r w:rsidR="00F246A9" w:rsidRPr="00C63C66">
        <w:t xml:space="preserve"> requests ZAP</w:t>
      </w:r>
      <w:r w:rsidR="004C5934" w:rsidRPr="00C63C66">
        <w:t xml:space="preserve"> to transfer </w:t>
      </w:r>
      <w:r w:rsidR="00392F0D" w:rsidRPr="00C63C66">
        <w:t xml:space="preserve">details of his credit card transactions and product information, </w:t>
      </w:r>
      <w:r w:rsidR="004C5934" w:rsidRPr="00C63C66">
        <w:t>which is part of the designated data set for the banking sector, to four other banks in order to test the offers they may be able to provide him.</w:t>
      </w:r>
    </w:p>
    <w:p w14:paraId="47448E09" w14:textId="4D6E09F7" w:rsidR="004C5934" w:rsidRPr="00C63C66" w:rsidRDefault="004C5934" w:rsidP="004C5934">
      <w:pPr>
        <w:pStyle w:val="exampletext"/>
      </w:pPr>
      <w:r w:rsidRPr="00C63C66">
        <w:t xml:space="preserve">In time, </w:t>
      </w:r>
      <w:r w:rsidR="00EC1D24" w:rsidRPr="00C63C66">
        <w:t>Nick</w:t>
      </w:r>
      <w:r w:rsidRPr="00C63C66">
        <w:t xml:space="preserve"> considers the other offers and declines to transfer his banking business. He remains with </w:t>
      </w:r>
      <w:r w:rsidR="00F246A9" w:rsidRPr="00C63C66">
        <w:t>ZAP</w:t>
      </w:r>
      <w:r w:rsidRPr="00C63C66">
        <w:t>.</w:t>
      </w:r>
    </w:p>
    <w:p w14:paraId="70F9129A" w14:textId="481071A3" w:rsidR="00F246A9" w:rsidRPr="00C63C66" w:rsidRDefault="004C5934" w:rsidP="004C5934">
      <w:pPr>
        <w:pStyle w:val="exampletext"/>
      </w:pPr>
      <w:r w:rsidRPr="00C63C66">
        <w:t xml:space="preserve">The four other banks, who received </w:t>
      </w:r>
      <w:r w:rsidR="00EC1D24" w:rsidRPr="00C63C66">
        <w:t>Nick’s</w:t>
      </w:r>
      <w:r w:rsidRPr="00C63C66">
        <w:t xml:space="preserve"> credit</w:t>
      </w:r>
      <w:r w:rsidR="00392F0D" w:rsidRPr="00C63C66">
        <w:t xml:space="preserve"> card</w:t>
      </w:r>
      <w:r w:rsidRPr="00C63C66">
        <w:t xml:space="preserve"> </w:t>
      </w:r>
      <w:proofErr w:type="gramStart"/>
      <w:r w:rsidRPr="00C63C66">
        <w:t>information</w:t>
      </w:r>
      <w:proofErr w:type="gramEnd"/>
      <w:r w:rsidRPr="00C63C66">
        <w:t xml:space="preserve"> </w:t>
      </w:r>
      <w:r w:rsidR="000E1D3C" w:rsidRPr="00C63C66">
        <w:t xml:space="preserve">are required by the consumer data rules </w:t>
      </w:r>
      <w:r w:rsidRPr="00C63C66">
        <w:t xml:space="preserve">to </w:t>
      </w:r>
      <w:r w:rsidR="00F246A9" w:rsidRPr="00C63C66">
        <w:t>de-identify</w:t>
      </w:r>
      <w:r w:rsidR="003E6191" w:rsidRPr="00C63C66">
        <w:t xml:space="preserve"> or destroy</w:t>
      </w:r>
      <w:r w:rsidRPr="00C63C66">
        <w:t xml:space="preserve"> that information. </w:t>
      </w:r>
    </w:p>
    <w:p w14:paraId="563C60B9" w14:textId="30937D3C" w:rsidR="004C5934" w:rsidRPr="00C63C66" w:rsidRDefault="00F246A9" w:rsidP="004C5934">
      <w:pPr>
        <w:pStyle w:val="exampletext"/>
      </w:pPr>
      <w:r w:rsidRPr="00C63C66">
        <w:t>In this case, t</w:t>
      </w:r>
      <w:r w:rsidR="004C5934" w:rsidRPr="00C63C66">
        <w:t xml:space="preserve">here is no applicable Australian law or court or tribunal order which requires them to retain </w:t>
      </w:r>
      <w:r w:rsidR="00EC1D24" w:rsidRPr="00C63C66">
        <w:t>Nick’s</w:t>
      </w:r>
      <w:r w:rsidR="004C5934" w:rsidRPr="00C63C66">
        <w:t xml:space="preserve"> CDR data.</w:t>
      </w:r>
    </w:p>
    <w:p w14:paraId="2202216B" w14:textId="77777777" w:rsidR="00F246A9" w:rsidRPr="00C63C66" w:rsidRDefault="00F246A9" w:rsidP="00F246A9">
      <w:pPr>
        <w:pStyle w:val="ExampleHeading"/>
      </w:pPr>
    </w:p>
    <w:p w14:paraId="6B5B2EC2" w14:textId="6DAD0750" w:rsidR="004C5934" w:rsidRPr="00C63C66" w:rsidRDefault="00F246A9" w:rsidP="004C5934">
      <w:pPr>
        <w:pStyle w:val="exampletext"/>
      </w:pPr>
      <w:r w:rsidRPr="00C63C66">
        <w:t xml:space="preserve">Following on from example </w:t>
      </w:r>
      <w:r w:rsidR="00D33821">
        <w:t>1.10</w:t>
      </w:r>
      <w:r w:rsidRPr="00C63C66">
        <w:t xml:space="preserve"> above, </w:t>
      </w:r>
      <w:r w:rsidR="004C5934" w:rsidRPr="00C63C66">
        <w:t xml:space="preserve">Bucks Banking retains </w:t>
      </w:r>
      <w:r w:rsidR="00EC1D24" w:rsidRPr="00C63C66">
        <w:t>Nick’s</w:t>
      </w:r>
      <w:r w:rsidR="004C5934" w:rsidRPr="00C63C66">
        <w:t xml:space="preserve"> data as they think he will come back to them and see</w:t>
      </w:r>
      <w:r w:rsidRPr="00C63C66">
        <w:t>k</w:t>
      </w:r>
      <w:r w:rsidR="004C5934" w:rsidRPr="00C63C66">
        <w:t xml:space="preserve"> a credit card from them. </w:t>
      </w:r>
    </w:p>
    <w:p w14:paraId="2152A010" w14:textId="4E970152" w:rsidR="00F246A9" w:rsidRPr="00C63C66" w:rsidRDefault="00F246A9" w:rsidP="004C5934">
      <w:pPr>
        <w:pStyle w:val="exampletext"/>
      </w:pPr>
      <w:r w:rsidRPr="00C63C66">
        <w:t>The consumer data rules require that once banking information is no longer required, it must be destroyed, and not de-identified.</w:t>
      </w:r>
    </w:p>
    <w:p w14:paraId="2D9B3019" w14:textId="43B5F776" w:rsidR="004C5934" w:rsidRPr="00C63C66" w:rsidRDefault="004C5934" w:rsidP="004C5934">
      <w:pPr>
        <w:pStyle w:val="exampletext"/>
      </w:pPr>
      <w:r w:rsidRPr="00C63C66">
        <w:t xml:space="preserve">Bucks </w:t>
      </w:r>
      <w:proofErr w:type="gramStart"/>
      <w:r w:rsidRPr="00C63C66">
        <w:t>Banking</w:t>
      </w:r>
      <w:proofErr w:type="gramEnd"/>
      <w:r w:rsidRPr="00C63C66">
        <w:t xml:space="preserve"> should have destroyed </w:t>
      </w:r>
      <w:r w:rsidR="00EC1D24" w:rsidRPr="00C63C66">
        <w:t>Nick’s</w:t>
      </w:r>
      <w:r w:rsidRPr="00C63C66">
        <w:t xml:space="preserve"> CDR data. The offers Bucks Banking provided to </w:t>
      </w:r>
      <w:r w:rsidR="00EC1D24" w:rsidRPr="00C63C66">
        <w:t>Nick</w:t>
      </w:r>
      <w:r w:rsidRPr="00C63C66">
        <w:t xml:space="preserve"> expired after one month and he has not contacted Bucks Banking</w:t>
      </w:r>
      <w:r w:rsidR="00392F0D" w:rsidRPr="00C63C66">
        <w:t xml:space="preserve">. </w:t>
      </w:r>
    </w:p>
    <w:p w14:paraId="03062951" w14:textId="7E3D3EED" w:rsidR="004C5934" w:rsidRPr="00C63C66" w:rsidRDefault="00F246A9" w:rsidP="004C5934">
      <w:pPr>
        <w:pStyle w:val="exampletext"/>
      </w:pPr>
      <w:r w:rsidRPr="00C63C66">
        <w:t>Bucks</w:t>
      </w:r>
      <w:r w:rsidR="004C5934" w:rsidRPr="00C63C66">
        <w:t xml:space="preserve"> </w:t>
      </w:r>
      <w:proofErr w:type="gramStart"/>
      <w:r w:rsidR="004C5934" w:rsidRPr="00C63C66">
        <w:t>Banking</w:t>
      </w:r>
      <w:proofErr w:type="gramEnd"/>
      <w:r w:rsidR="004C5934" w:rsidRPr="00C63C66">
        <w:t xml:space="preserve"> complies with the ACCC’s direction to destroy all CDR data that it is no longer using.</w:t>
      </w:r>
      <w:r w:rsidRPr="00C63C66">
        <w:t xml:space="preserve"> </w:t>
      </w:r>
    </w:p>
    <w:p w14:paraId="76DC7424" w14:textId="02606E16" w:rsidR="0056505C" w:rsidRPr="00C63C66" w:rsidRDefault="0056505C" w:rsidP="0056505C">
      <w:pPr>
        <w:pStyle w:val="Heading3"/>
      </w:pPr>
      <w:r w:rsidRPr="00C63C66">
        <w:t>Correction of CDR data</w:t>
      </w:r>
    </w:p>
    <w:p w14:paraId="240CAC68" w14:textId="0C01214E" w:rsidR="0056505C" w:rsidRPr="00C63C66" w:rsidRDefault="0056505C" w:rsidP="0056505C">
      <w:pPr>
        <w:pStyle w:val="Heading4"/>
      </w:pPr>
      <w:r w:rsidRPr="00C63C66">
        <w:t xml:space="preserve">CDR </w:t>
      </w:r>
      <w:r w:rsidR="007653A5" w:rsidRPr="00C63C66">
        <w:t>P</w:t>
      </w:r>
      <w:r w:rsidR="000E1D3C" w:rsidRPr="00C63C66">
        <w:t xml:space="preserve">rivacy </w:t>
      </w:r>
      <w:r w:rsidR="007653A5" w:rsidRPr="00C63C66">
        <w:t>S</w:t>
      </w:r>
      <w:r w:rsidR="000E1D3C" w:rsidRPr="00C63C66">
        <w:t>afeguard</w:t>
      </w:r>
      <w:r w:rsidR="007653A5" w:rsidRPr="00C63C66">
        <w:t xml:space="preserve"> </w:t>
      </w:r>
      <w:r w:rsidR="00392F0D" w:rsidRPr="00C63C66">
        <w:t>13</w:t>
      </w:r>
      <w:r w:rsidRPr="00C63C66">
        <w:t xml:space="preserve"> – Correction of CDR data</w:t>
      </w:r>
    </w:p>
    <w:p w14:paraId="2372F893" w14:textId="0126CFF5" w:rsidR="0056505C" w:rsidRPr="002E39D8" w:rsidRDefault="00392F0D" w:rsidP="002E39D8">
      <w:pPr>
        <w:pStyle w:val="base-text-paragraph"/>
        <w:numPr>
          <w:ilvl w:val="1"/>
          <w:numId w:val="33"/>
        </w:numPr>
      </w:pPr>
      <w:r w:rsidRPr="00C63C66">
        <w:t xml:space="preserve">A CDR consumer has correction rights for CDR data that has been disclosed by a data holder in response to a valid request from that consumer. </w:t>
      </w:r>
      <w:r w:rsidR="006E3A54" w:rsidRPr="00484FBF">
        <w:rPr>
          <w:rStyle w:val="Referencingstyle"/>
        </w:rPr>
        <w:t>[Sche</w:t>
      </w:r>
      <w:r w:rsidR="007653A5" w:rsidRPr="00484FBF">
        <w:rPr>
          <w:rStyle w:val="Referencingstyle"/>
        </w:rPr>
        <w:t xml:space="preserve">dule 1, item 1, </w:t>
      </w:r>
      <w:r w:rsidR="0051365C" w:rsidRPr="00484FBF">
        <w:rPr>
          <w:rStyle w:val="Referencingstyle"/>
        </w:rPr>
        <w:t>sub</w:t>
      </w:r>
      <w:r w:rsidR="002F72E4" w:rsidRPr="00484FBF">
        <w:rPr>
          <w:rStyle w:val="Referencingstyle"/>
        </w:rPr>
        <w:t>section</w:t>
      </w:r>
      <w:r w:rsidR="007653A5" w:rsidRPr="00484FBF">
        <w:rPr>
          <w:rStyle w:val="Referencingstyle"/>
        </w:rPr>
        <w:t> 56EO</w:t>
      </w:r>
      <w:r w:rsidR="006E3A54" w:rsidRPr="00484FBF">
        <w:rPr>
          <w:rStyle w:val="Referencingstyle"/>
        </w:rPr>
        <w:t>(1</w:t>
      </w:r>
      <w:r w:rsidR="002F72E4" w:rsidRPr="00484FBF">
        <w:rPr>
          <w:rStyle w:val="Referencingstyle"/>
        </w:rPr>
        <w:t>)</w:t>
      </w:r>
      <w:r w:rsidR="006E3A54" w:rsidRPr="00484FBF">
        <w:rPr>
          <w:rStyle w:val="Referencingstyle"/>
        </w:rPr>
        <w:t>]</w:t>
      </w:r>
    </w:p>
    <w:p w14:paraId="252B3545" w14:textId="13490EDD" w:rsidR="00392F0D" w:rsidRPr="00C63C66" w:rsidRDefault="00392F0D" w:rsidP="002E39D8">
      <w:pPr>
        <w:pStyle w:val="base-text-paragraph"/>
        <w:numPr>
          <w:ilvl w:val="1"/>
          <w:numId w:val="33"/>
        </w:numPr>
      </w:pPr>
      <w:r w:rsidRPr="00C63C66">
        <w:t xml:space="preserve">Where the CDR consumer requests that the data is corrected, the data holder must correct the data, or include a statement with the data to ensure that the purpose for which it is held it is accurate, up to date, complete and not misleading. </w:t>
      </w:r>
      <w:r w:rsidR="0051365C" w:rsidRPr="00484FBF">
        <w:rPr>
          <w:rStyle w:val="Referencingstyle"/>
        </w:rPr>
        <w:t>[Schedule 1, item 1, subsection 56EO(3)]</w:t>
      </w:r>
    </w:p>
    <w:p w14:paraId="116CD8F9" w14:textId="2255F760" w:rsidR="00392F0D" w:rsidRPr="002E39D8" w:rsidRDefault="00392F0D" w:rsidP="002E39D8">
      <w:pPr>
        <w:pStyle w:val="base-text-paragraph"/>
        <w:numPr>
          <w:ilvl w:val="1"/>
          <w:numId w:val="33"/>
        </w:numPr>
      </w:pPr>
      <w:r w:rsidRPr="00C63C66">
        <w:t xml:space="preserve">The data holder must also give a </w:t>
      </w:r>
      <w:r w:rsidR="0051365C" w:rsidRPr="00C63C66">
        <w:t xml:space="preserve">statement about the correction or why a correction was not necessary. The consumer data rules may also specify actions that the data holder must take for in response to the correction request. </w:t>
      </w:r>
      <w:r w:rsidR="0051365C" w:rsidRPr="00484FBF">
        <w:rPr>
          <w:rStyle w:val="Referencingstyle"/>
        </w:rPr>
        <w:t>[Schedule 1, item 1, subsections 56EO(1)</w:t>
      </w:r>
      <w:r w:rsidR="005F0231" w:rsidRPr="00484FBF">
        <w:rPr>
          <w:rStyle w:val="Referencingstyle"/>
        </w:rPr>
        <w:t xml:space="preserve"> and 56EO(3</w:t>
      </w:r>
      <w:r w:rsidR="0051365C" w:rsidRPr="00484FBF">
        <w:rPr>
          <w:rStyle w:val="Referencingstyle"/>
        </w:rPr>
        <w:t>)]</w:t>
      </w:r>
    </w:p>
    <w:p w14:paraId="59AEFAFD" w14:textId="0C266597" w:rsidR="00DF631D" w:rsidRPr="00AE0B77" w:rsidRDefault="005F0231" w:rsidP="002E39D8">
      <w:pPr>
        <w:pStyle w:val="base-text-paragraph"/>
        <w:numPr>
          <w:ilvl w:val="1"/>
          <w:numId w:val="33"/>
        </w:numPr>
      </w:pPr>
      <w:r w:rsidRPr="002E39D8">
        <w:lastRenderedPageBreak/>
        <w:t xml:space="preserve">The same obligations as described above apply to an accredited data recipient when a CDR consumer request that data is corrected. </w:t>
      </w:r>
      <w:r w:rsidRPr="00484FBF">
        <w:rPr>
          <w:rStyle w:val="Referencingstyle"/>
        </w:rPr>
        <w:t>[Schedule 1, item 1, subsections 56EO(2) and 56EO(3)]</w:t>
      </w:r>
    </w:p>
    <w:sectPr w:rsidR="00DF631D" w:rsidRPr="00AE0B77" w:rsidSect="00C743D3">
      <w:footerReference w:type="even" r:id="rId29"/>
      <w:footerReference w:type="default" r:id="rId30"/>
      <w:footerReference w:type="first" r:id="rId31"/>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9F2465" w14:textId="77777777" w:rsidR="00746BA1" w:rsidRDefault="00746BA1" w:rsidP="00E679CA">
      <w:pPr>
        <w:spacing w:before="0" w:after="0"/>
      </w:pPr>
      <w:r>
        <w:separator/>
      </w:r>
    </w:p>
  </w:endnote>
  <w:endnote w:type="continuationSeparator" w:id="0">
    <w:p w14:paraId="5634C0CE" w14:textId="77777777" w:rsidR="00746BA1" w:rsidRDefault="00746BA1" w:rsidP="00E679CA">
      <w:pPr>
        <w:spacing w:before="0" w:after="0"/>
      </w:pPr>
      <w:r>
        <w:continuationSeparator/>
      </w:r>
    </w:p>
  </w:endnote>
  <w:endnote w:type="continuationNotice" w:id="1">
    <w:p w14:paraId="5B82D3FD" w14:textId="77777777" w:rsidR="00746BA1" w:rsidRDefault="00746BA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16BCA2" w14:textId="77777777" w:rsidR="00746BA1" w:rsidRDefault="00746BA1" w:rsidP="008B74E4">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E1416B" w14:textId="77777777" w:rsidR="00746BA1" w:rsidRDefault="00746BA1" w:rsidP="008B74E4">
    <w:pPr>
      <w:pStyle w:val="leftfooter"/>
    </w:pPr>
    <w:r>
      <w:fldChar w:fldCharType="begin"/>
    </w:r>
    <w:r>
      <w:instrText xml:space="preserve"> PAGE   \* MERGEFORMAT </w:instrText>
    </w:r>
    <w:r>
      <w:fldChar w:fldCharType="separate"/>
    </w:r>
    <w:r w:rsidR="00FE3A4B">
      <w:rPr>
        <w:noProof/>
      </w:rPr>
      <w:t>24</w:t>
    </w:r>
    <w:r>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7875E0" w14:textId="77777777" w:rsidR="00746BA1" w:rsidRDefault="00746BA1" w:rsidP="008B74E4">
    <w:pPr>
      <w:pStyle w:val="rightfooter"/>
    </w:pPr>
    <w:r>
      <w:fldChar w:fldCharType="begin"/>
    </w:r>
    <w:r>
      <w:instrText xml:space="preserve"> PAGE   \* MERGEFORMAT </w:instrText>
    </w:r>
    <w:r>
      <w:fldChar w:fldCharType="separate"/>
    </w:r>
    <w:r w:rsidR="00FE3A4B">
      <w:rPr>
        <w:noProof/>
      </w:rPr>
      <w:t>23</w:t>
    </w:r>
    <w:r>
      <w:rPr>
        <w:noProof/>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3ED1DC" w14:textId="77777777" w:rsidR="00746BA1" w:rsidRDefault="00746BA1" w:rsidP="008B74E4">
    <w:pPr>
      <w:pStyle w:val="rightfooter"/>
    </w:pPr>
    <w:r>
      <w:fldChar w:fldCharType="begin"/>
    </w:r>
    <w:r>
      <w:instrText xml:space="preserve"> PAGE  \* Arabic  \* MERGEFORMAT </w:instrText>
    </w:r>
    <w:r>
      <w:fldChar w:fldCharType="separate"/>
    </w:r>
    <w:r w:rsidR="00FE3A4B">
      <w:rPr>
        <w:noProof/>
      </w:rPr>
      <w:t>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EBD047" w14:textId="77777777" w:rsidR="00746BA1" w:rsidRDefault="00746BA1" w:rsidP="008B74E4">
    <w:pPr>
      <w:pStyle w:val="rightfooter"/>
    </w:pP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1505EF" w14:textId="77777777" w:rsidR="00746BA1" w:rsidRDefault="00746BA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DF07E4" w14:textId="77777777" w:rsidR="00746BA1" w:rsidRDefault="00746BA1" w:rsidP="008B74E4">
    <w:pPr>
      <w:pStyle w:val="leftfooter"/>
    </w:pPr>
    <w:r>
      <w:fldChar w:fldCharType="begin"/>
    </w:r>
    <w:r>
      <w:instrText xml:space="preserve"> PAGE   \* MERGEFORMAT </w:instrText>
    </w:r>
    <w:r>
      <w:fldChar w:fldCharType="separate"/>
    </w:r>
    <w:r>
      <w:rPr>
        <w:noProof/>
      </w:rPr>
      <w:t>3</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EF9DC0" w14:textId="77777777" w:rsidR="00746BA1" w:rsidRDefault="00746BA1" w:rsidP="008B74E4">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EA195F" w14:textId="77777777" w:rsidR="00746BA1" w:rsidRPr="00B2068E" w:rsidRDefault="00746BA1" w:rsidP="008B74E4">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CA1FE2" w14:textId="77777777" w:rsidR="00746BA1" w:rsidRDefault="00746BA1" w:rsidP="008B74E4">
    <w:pPr>
      <w:pStyle w:val="leftfooter"/>
    </w:pPr>
    <w:r>
      <w:fldChar w:fldCharType="begin"/>
    </w:r>
    <w:r>
      <w:instrText xml:space="preserve"> PAGE   \* MERGEFORMAT </w:instrText>
    </w:r>
    <w:r>
      <w:fldChar w:fldCharType="separate"/>
    </w:r>
    <w:r>
      <w:rPr>
        <w:noProof/>
      </w:rPr>
      <w:t>3</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DF9F14" w14:textId="77777777" w:rsidR="00746BA1" w:rsidRDefault="00746BA1" w:rsidP="008B74E4">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9D1FD7" w14:textId="77777777" w:rsidR="00746BA1" w:rsidRDefault="00746BA1" w:rsidP="008B74E4">
    <w:pPr>
      <w:pStyle w:val="rightfooter"/>
    </w:pPr>
    <w:r>
      <w:fldChar w:fldCharType="begin"/>
    </w:r>
    <w:r>
      <w:instrText xml:space="preserve"> PAGE  \* Arabic  \* MERGEFORMAT </w:instrText>
    </w:r>
    <w:r>
      <w:fldChar w:fldCharType="separate"/>
    </w:r>
    <w:r w:rsidR="00F37616">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874611" w14:textId="77777777" w:rsidR="00746BA1" w:rsidRDefault="00746BA1" w:rsidP="00E679CA">
      <w:pPr>
        <w:spacing w:before="0" w:after="0"/>
      </w:pPr>
      <w:r>
        <w:separator/>
      </w:r>
    </w:p>
  </w:footnote>
  <w:footnote w:type="continuationSeparator" w:id="0">
    <w:p w14:paraId="11EA236F" w14:textId="77777777" w:rsidR="00746BA1" w:rsidRDefault="00746BA1" w:rsidP="00E679CA">
      <w:pPr>
        <w:spacing w:before="0" w:after="0"/>
      </w:pPr>
      <w:r>
        <w:continuationSeparator/>
      </w:r>
    </w:p>
  </w:footnote>
  <w:footnote w:type="continuationNotice" w:id="1">
    <w:p w14:paraId="58464FD8" w14:textId="77777777" w:rsidR="00746BA1" w:rsidRDefault="00746BA1">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B3C1AE" w14:textId="77777777" w:rsidR="00746BA1" w:rsidRDefault="00746BA1" w:rsidP="008B74E4">
    <w:pPr>
      <w:pStyle w:val="leftheader"/>
    </w:pPr>
    <w:r>
      <w:fldChar w:fldCharType="begin"/>
    </w:r>
    <w:r>
      <w:instrText xml:space="preserve"> macrobutton nomacro [Click here and insert the name of the Bill] </w:instrTex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0F9F4C" w14:textId="77777777" w:rsidR="00746BA1" w:rsidRDefault="00746BA1" w:rsidP="008B74E4">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3914990"/>
      <w:docPartObj>
        <w:docPartGallery w:val="Watermarks"/>
        <w:docPartUnique/>
      </w:docPartObj>
    </w:sdtPr>
    <w:sdtContent>
      <w:p w14:paraId="52051724" w14:textId="77777777" w:rsidR="00746BA1" w:rsidRDefault="00746BA1">
        <w:pPr>
          <w:pStyle w:val="Header"/>
        </w:pPr>
        <w:r>
          <w:rPr>
            <w:noProof/>
            <w:lang w:val="en-US" w:eastAsia="en-US"/>
          </w:rPr>
          <w:pict w14:anchorId="4004E6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8AF52C" w14:textId="77777777" w:rsidR="00746BA1" w:rsidRDefault="00746BA1" w:rsidP="008B74E4">
    <w:pPr>
      <w:pStyle w:val="left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FCD556" w14:textId="77777777" w:rsidR="00746BA1" w:rsidRDefault="00746BA1" w:rsidP="008B74E4">
    <w:pPr>
      <w:pStyle w:val="right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0C2ACE" w14:textId="77777777" w:rsidR="00746BA1" w:rsidRDefault="00746B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0329CA"/>
    <w:multiLevelType w:val="multilevel"/>
    <w:tmpl w:val="BE44C77E"/>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3">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6">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65DF6494"/>
    <w:multiLevelType w:val="multilevel"/>
    <w:tmpl w:val="A316FE50"/>
    <w:numStyleLink w:val="ChapterList"/>
  </w:abstractNum>
  <w:abstractNum w:abstractNumId="19">
    <w:nsid w:val="74B357DC"/>
    <w:multiLevelType w:val="multilevel"/>
    <w:tmpl w:val="8D84A918"/>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3"/>
  </w:num>
  <w:num w:numId="2">
    <w:abstractNumId w:val="20"/>
  </w:num>
  <w:num w:numId="3">
    <w:abstractNumId w:val="21"/>
  </w:num>
  <w:num w:numId="4">
    <w:abstractNumId w:val="18"/>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
    <w:abstractNumId w:val="14"/>
  </w:num>
  <w:num w:numId="6">
    <w:abstractNumId w:val="15"/>
  </w:num>
  <w:num w:numId="7">
    <w:abstractNumId w:val="16"/>
  </w:num>
  <w:num w:numId="8">
    <w:abstractNumId w:val="16"/>
  </w:num>
  <w:num w:numId="9">
    <w:abstractNumId w:val="17"/>
  </w:num>
  <w:num w:numId="10">
    <w:abstractNumId w:val="17"/>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1"/>
  </w:num>
  <w:num w:numId="22">
    <w:abstractNumId w:val="18"/>
    <w:lvlOverride w:ilvl="0">
      <w:lvl w:ilvl="0">
        <w:start w:val="1"/>
        <w:numFmt w:val="decimal"/>
        <w:pStyle w:val="ChapterHeading"/>
        <w:lvlText w:val="Chapter %1"/>
        <w:lvlJc w:val="left"/>
        <w:pPr>
          <w:tabs>
            <w:tab w:val="num" w:pos="1985"/>
          </w:tabs>
          <w:ind w:left="851" w:firstLine="0"/>
        </w:pPr>
        <w:rPr>
          <w:rFonts w:hint="default"/>
        </w:rPr>
      </w:lvl>
    </w:lvlOverride>
    <w:lvlOverride w:ilvl="1">
      <w:lvl w:ilvl="1">
        <w:start w:val="1"/>
        <w:numFmt w:val="decimal"/>
        <w:pStyle w:val="base-text-paragraph"/>
        <w:lvlText w:val="%1.%2"/>
        <w:lvlJc w:val="left"/>
        <w:pPr>
          <w:tabs>
            <w:tab w:val="num" w:pos="2552"/>
          </w:tabs>
          <w:ind w:left="1701" w:firstLine="0"/>
        </w:pPr>
        <w:rPr>
          <w:rFonts w:hint="default"/>
          <w:b w:val="0"/>
          <w:i w:val="0"/>
          <w:sz w:val="22"/>
          <w:szCs w:val="22"/>
        </w:rPr>
      </w:lvl>
    </w:lvlOverride>
    <w:lvlOverride w:ilvl="2">
      <w:lvl w:ilvl="2">
        <w:start w:val="1"/>
        <w:numFmt w:val="decimal"/>
        <w:lvlRestart w:val="1"/>
        <w:pStyle w:val="Diagram"/>
        <w:suff w:val="nothing"/>
        <w:lvlText w:val="Diagram %1.%3"/>
        <w:lvlJc w:val="left"/>
        <w:pPr>
          <w:ind w:left="1985" w:firstLine="0"/>
        </w:pPr>
        <w:rPr>
          <w:rFonts w:hint="default"/>
        </w:rPr>
      </w:lvl>
    </w:lvlOverride>
    <w:lvlOverride w:ilvl="3">
      <w:lvl w:ilvl="3">
        <w:start w:val="1"/>
        <w:numFmt w:val="decimal"/>
        <w:lvlRestart w:val="1"/>
        <w:pStyle w:val="ExampleHeading"/>
        <w:suff w:val="nothing"/>
        <w:lvlText w:val="Example %1.%4"/>
        <w:lvlJc w:val="left"/>
        <w:pPr>
          <w:ind w:left="2553" w:firstLine="0"/>
        </w:pPr>
        <w:rPr>
          <w:rFonts w:hint="default"/>
        </w:rPr>
      </w:lvl>
    </w:lvlOverride>
    <w:lvlOverride w:ilvl="4">
      <w:lvl w:ilvl="4">
        <w:start w:val="1"/>
        <w:numFmt w:val="decimal"/>
        <w:lvlRestart w:val="1"/>
        <w:pStyle w:val="TableHeadingoutsidetable"/>
        <w:suff w:val="nothing"/>
        <w:lvlText w:val="Table %1.%5"/>
        <w:lvlJc w:val="left"/>
        <w:pPr>
          <w:ind w:left="1985" w:firstLine="0"/>
        </w:pPr>
        <w:rPr>
          <w:rFonts w:hint="default"/>
        </w:rPr>
      </w:lvl>
    </w:lvlOverride>
    <w:lvlOverride w:ilvl="5">
      <w:lvl w:ilvl="5">
        <w:start w:val="1"/>
        <w:numFmt w:val="lowerRoman"/>
        <w:lvlText w:val="(%6)"/>
        <w:lvlJc w:val="left"/>
        <w:pPr>
          <w:ind w:left="3011" w:hanging="360"/>
        </w:pPr>
        <w:rPr>
          <w:rFonts w:hint="default"/>
        </w:rPr>
      </w:lvl>
    </w:lvlOverride>
    <w:lvlOverride w:ilvl="6">
      <w:lvl w:ilvl="6">
        <w:start w:val="1"/>
        <w:numFmt w:val="decimal"/>
        <w:lvlText w:val="%7."/>
        <w:lvlJc w:val="left"/>
        <w:pPr>
          <w:ind w:left="3371" w:hanging="360"/>
        </w:pPr>
        <w:rPr>
          <w:rFonts w:hint="default"/>
        </w:rPr>
      </w:lvl>
    </w:lvlOverride>
    <w:lvlOverride w:ilvl="7">
      <w:lvl w:ilvl="7">
        <w:start w:val="1"/>
        <w:numFmt w:val="lowerLetter"/>
        <w:lvlText w:val="%8."/>
        <w:lvlJc w:val="left"/>
        <w:pPr>
          <w:ind w:left="3731" w:hanging="360"/>
        </w:pPr>
        <w:rPr>
          <w:rFonts w:hint="default"/>
        </w:rPr>
      </w:lvl>
    </w:lvlOverride>
    <w:lvlOverride w:ilvl="8">
      <w:lvl w:ilvl="8">
        <w:start w:val="1"/>
        <w:numFmt w:val="lowerRoman"/>
        <w:lvlText w:val="%9."/>
        <w:lvlJc w:val="left"/>
        <w:pPr>
          <w:ind w:left="4091" w:hanging="360"/>
        </w:pPr>
        <w:rPr>
          <w:rFonts w:hint="default"/>
        </w:rPr>
      </w:lvl>
    </w:lvlOverride>
  </w:num>
  <w:num w:numId="23">
    <w:abstractNumId w:val="19"/>
  </w:num>
  <w:num w:numId="24">
    <w:abstractNumId w:val="18"/>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5">
    <w:abstractNumId w:val="10"/>
  </w:num>
  <w:num w:numId="26">
    <w:abstractNumId w:val="18"/>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844"/>
          </w:tabs>
          <w:ind w:left="993" w:firstLine="0"/>
        </w:pPr>
        <w:rPr>
          <w:rFonts w:hint="default"/>
          <w:b w:val="0"/>
          <w:i w:val="0"/>
          <w:sz w:val="22"/>
          <w:szCs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702"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7">
    <w:abstractNumId w:val="18"/>
    <w:lvlOverride w:ilvl="0">
      <w:startOverride w:val="1"/>
      <w:lvl w:ilvl="0">
        <w:start w:val="1"/>
        <w:numFmt w:val="decimal"/>
        <w:pStyle w:val="ChapterHeading"/>
        <w:lvlText w:val="Chapter %1"/>
        <w:lvlJc w:val="left"/>
        <w:pPr>
          <w:tabs>
            <w:tab w:val="num" w:pos="1134"/>
          </w:tabs>
          <w:ind w:left="0" w:firstLine="0"/>
        </w:pPr>
        <w:rPr>
          <w:rFonts w:hint="default"/>
        </w:rPr>
      </w:lvl>
    </w:lvlOverride>
    <w:lvlOverride w:ilvl="1">
      <w:startOverride w:val="1"/>
      <w:lvl w:ilvl="1">
        <w:start w:val="1"/>
        <w:numFmt w:val="decimal"/>
        <w:pStyle w:val="base-text-paragraph"/>
        <w:lvlText w:val="%1.%2"/>
        <w:lvlJc w:val="left"/>
        <w:pPr>
          <w:tabs>
            <w:tab w:val="num" w:pos="1985"/>
          </w:tabs>
          <w:ind w:left="1134" w:firstLine="0"/>
        </w:pPr>
        <w:rPr>
          <w:rFonts w:hint="default"/>
        </w:rPr>
      </w:lvl>
    </w:lvlOverride>
    <w:lvlOverride w:ilvl="2">
      <w:startOverride w:val="1"/>
      <w:lvl w:ilvl="2">
        <w:start w:val="1"/>
        <w:numFmt w:val="decimal"/>
        <w:lvlRestart w:val="1"/>
        <w:pStyle w:val="Diagram"/>
        <w:suff w:val="nothing"/>
        <w:lvlText w:val="Diagram %1.%3"/>
        <w:lvlJc w:val="left"/>
        <w:pPr>
          <w:ind w:left="1134" w:firstLine="0"/>
        </w:pPr>
        <w:rPr>
          <w:rFonts w:hint="default"/>
        </w:rPr>
      </w:lvl>
    </w:lvlOverride>
    <w:lvlOverride w:ilvl="3">
      <w:startOverride w:val="1"/>
      <w:lvl w:ilvl="3">
        <w:start w:val="1"/>
        <w:numFmt w:val="decimal"/>
        <w:lvlRestart w:val="1"/>
        <w:pStyle w:val="ExampleHeading"/>
        <w:suff w:val="nothing"/>
        <w:lvlText w:val="Example %1.%4"/>
        <w:lvlJc w:val="left"/>
        <w:pPr>
          <w:ind w:left="1134" w:firstLine="0"/>
        </w:pPr>
        <w:rPr>
          <w:rFonts w:hint="default"/>
        </w:rPr>
      </w:lvl>
    </w:lvlOverride>
    <w:lvlOverride w:ilvl="4">
      <w:startOverride w:val="1"/>
      <w:lvl w:ilvl="4">
        <w:start w:val="1"/>
        <w:numFmt w:val="decimal"/>
        <w:lvlRestart w:val="1"/>
        <w:pStyle w:val="TableHeadingoutsidetable"/>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8">
    <w:abstractNumId w:val="15"/>
  </w:num>
  <w:num w:numId="29">
    <w:abstractNumId w:val="15"/>
  </w:num>
  <w:num w:numId="30">
    <w:abstractNumId w:val="18"/>
    <w:lvlOverride w:ilvl="0">
      <w:lvl w:ilvl="0">
        <w:start w:val="1"/>
        <w:numFmt w:val="decimal"/>
        <w:pStyle w:val="ChapterHeading"/>
        <w:lvlText w:val="Chapter %1"/>
        <w:lvlJc w:val="left"/>
        <w:pPr>
          <w:tabs>
            <w:tab w:val="num" w:pos="1985"/>
          </w:tabs>
          <w:ind w:left="851" w:firstLine="0"/>
        </w:pPr>
        <w:rPr>
          <w:rFonts w:hint="default"/>
        </w:rPr>
      </w:lvl>
    </w:lvlOverride>
    <w:lvlOverride w:ilvl="1">
      <w:lvl w:ilvl="1">
        <w:start w:val="1"/>
        <w:numFmt w:val="decimal"/>
        <w:pStyle w:val="base-text-paragraph"/>
        <w:lvlText w:val="%1.%2"/>
        <w:lvlJc w:val="left"/>
        <w:pPr>
          <w:tabs>
            <w:tab w:val="num" w:pos="2552"/>
          </w:tabs>
          <w:ind w:left="1701" w:firstLine="0"/>
        </w:pPr>
        <w:rPr>
          <w:rFonts w:hint="default"/>
          <w:b w:val="0"/>
          <w:i w:val="0"/>
          <w:sz w:val="22"/>
          <w:szCs w:val="22"/>
        </w:rPr>
      </w:lvl>
    </w:lvlOverride>
    <w:lvlOverride w:ilvl="2">
      <w:lvl w:ilvl="2">
        <w:start w:val="1"/>
        <w:numFmt w:val="decimal"/>
        <w:lvlRestart w:val="1"/>
        <w:pStyle w:val="Diagram"/>
        <w:suff w:val="nothing"/>
        <w:lvlText w:val="Diagram %1.%3"/>
        <w:lvlJc w:val="left"/>
        <w:pPr>
          <w:ind w:left="1985" w:firstLine="0"/>
        </w:pPr>
        <w:rPr>
          <w:rFonts w:hint="default"/>
        </w:rPr>
      </w:lvl>
    </w:lvlOverride>
    <w:lvlOverride w:ilvl="3">
      <w:lvl w:ilvl="3">
        <w:start w:val="1"/>
        <w:numFmt w:val="decimal"/>
        <w:lvlRestart w:val="1"/>
        <w:pStyle w:val="ExampleHeading"/>
        <w:suff w:val="nothing"/>
        <w:lvlText w:val="Example %1.%4"/>
        <w:lvlJc w:val="left"/>
        <w:pPr>
          <w:ind w:left="2553" w:firstLine="0"/>
        </w:pPr>
        <w:rPr>
          <w:rFonts w:hint="default"/>
        </w:rPr>
      </w:lvl>
    </w:lvlOverride>
    <w:lvlOverride w:ilvl="4">
      <w:lvl w:ilvl="4">
        <w:start w:val="1"/>
        <w:numFmt w:val="decimal"/>
        <w:lvlRestart w:val="1"/>
        <w:pStyle w:val="TableHeadingoutsidetable"/>
        <w:suff w:val="nothing"/>
        <w:lvlText w:val="Table %1.%5"/>
        <w:lvlJc w:val="left"/>
        <w:pPr>
          <w:ind w:left="1985" w:firstLine="0"/>
        </w:pPr>
        <w:rPr>
          <w:rFonts w:hint="default"/>
        </w:rPr>
      </w:lvl>
    </w:lvlOverride>
    <w:lvlOverride w:ilvl="5">
      <w:lvl w:ilvl="5">
        <w:start w:val="1"/>
        <w:numFmt w:val="lowerRoman"/>
        <w:lvlText w:val="(%6)"/>
        <w:lvlJc w:val="left"/>
        <w:pPr>
          <w:ind w:left="3011" w:hanging="360"/>
        </w:pPr>
        <w:rPr>
          <w:rFonts w:hint="default"/>
        </w:rPr>
      </w:lvl>
    </w:lvlOverride>
    <w:lvlOverride w:ilvl="6">
      <w:lvl w:ilvl="6">
        <w:start w:val="1"/>
        <w:numFmt w:val="decimal"/>
        <w:lvlText w:val="%7."/>
        <w:lvlJc w:val="left"/>
        <w:pPr>
          <w:ind w:left="3371" w:hanging="360"/>
        </w:pPr>
        <w:rPr>
          <w:rFonts w:hint="default"/>
        </w:rPr>
      </w:lvl>
    </w:lvlOverride>
    <w:lvlOverride w:ilvl="7">
      <w:lvl w:ilvl="7">
        <w:start w:val="1"/>
        <w:numFmt w:val="lowerLetter"/>
        <w:lvlText w:val="%8."/>
        <w:lvlJc w:val="left"/>
        <w:pPr>
          <w:ind w:left="3731" w:hanging="360"/>
        </w:pPr>
        <w:rPr>
          <w:rFonts w:hint="default"/>
        </w:rPr>
      </w:lvl>
    </w:lvlOverride>
    <w:lvlOverride w:ilvl="8">
      <w:lvl w:ilvl="8">
        <w:start w:val="1"/>
        <w:numFmt w:val="lowerRoman"/>
        <w:lvlText w:val="%9."/>
        <w:lvlJc w:val="left"/>
        <w:pPr>
          <w:ind w:left="4091" w:hanging="360"/>
        </w:pPr>
        <w:rPr>
          <w:rFonts w:hint="default"/>
        </w:rPr>
      </w:lvl>
    </w:lvlOverride>
  </w:num>
  <w:num w:numId="31">
    <w:abstractNumId w:val="18"/>
    <w:lvlOverride w:ilvl="0">
      <w:lvl w:ilvl="0">
        <w:start w:val="1"/>
        <w:numFmt w:val="decimal"/>
        <w:pStyle w:val="ChapterHeading"/>
        <w:lvlText w:val="Chapter %1"/>
        <w:lvlJc w:val="left"/>
        <w:pPr>
          <w:tabs>
            <w:tab w:val="num" w:pos="1985"/>
          </w:tabs>
          <w:ind w:left="851" w:firstLine="0"/>
        </w:pPr>
        <w:rPr>
          <w:rFonts w:hint="default"/>
        </w:rPr>
      </w:lvl>
    </w:lvlOverride>
    <w:lvlOverride w:ilvl="1">
      <w:lvl w:ilvl="1">
        <w:start w:val="1"/>
        <w:numFmt w:val="decimal"/>
        <w:pStyle w:val="base-text-paragraph"/>
        <w:lvlText w:val="%1.%2"/>
        <w:lvlJc w:val="left"/>
        <w:pPr>
          <w:tabs>
            <w:tab w:val="num" w:pos="2552"/>
          </w:tabs>
          <w:ind w:left="1701" w:firstLine="0"/>
        </w:pPr>
        <w:rPr>
          <w:rFonts w:hint="default"/>
          <w:b w:val="0"/>
          <w:i w:val="0"/>
          <w:sz w:val="22"/>
          <w:szCs w:val="22"/>
        </w:rPr>
      </w:lvl>
    </w:lvlOverride>
    <w:lvlOverride w:ilvl="2">
      <w:lvl w:ilvl="2">
        <w:start w:val="1"/>
        <w:numFmt w:val="decimal"/>
        <w:lvlRestart w:val="1"/>
        <w:pStyle w:val="Diagram"/>
        <w:suff w:val="nothing"/>
        <w:lvlText w:val="Diagram %1.%3"/>
        <w:lvlJc w:val="left"/>
        <w:pPr>
          <w:ind w:left="1985" w:firstLine="0"/>
        </w:pPr>
        <w:rPr>
          <w:rFonts w:hint="default"/>
        </w:rPr>
      </w:lvl>
    </w:lvlOverride>
    <w:lvlOverride w:ilvl="3">
      <w:lvl w:ilvl="3">
        <w:start w:val="1"/>
        <w:numFmt w:val="decimal"/>
        <w:lvlRestart w:val="1"/>
        <w:pStyle w:val="ExampleHeading"/>
        <w:suff w:val="nothing"/>
        <w:lvlText w:val="Example %1.%4"/>
        <w:lvlJc w:val="left"/>
        <w:pPr>
          <w:ind w:left="2553" w:firstLine="0"/>
        </w:pPr>
        <w:rPr>
          <w:rFonts w:hint="default"/>
        </w:rPr>
      </w:lvl>
    </w:lvlOverride>
    <w:lvlOverride w:ilvl="4">
      <w:lvl w:ilvl="4">
        <w:start w:val="1"/>
        <w:numFmt w:val="decimal"/>
        <w:lvlRestart w:val="1"/>
        <w:pStyle w:val="TableHeadingoutsidetable"/>
        <w:suff w:val="nothing"/>
        <w:lvlText w:val="Table %1.%5"/>
        <w:lvlJc w:val="left"/>
        <w:pPr>
          <w:ind w:left="1985" w:firstLine="0"/>
        </w:pPr>
        <w:rPr>
          <w:rFonts w:hint="default"/>
        </w:rPr>
      </w:lvl>
    </w:lvlOverride>
    <w:lvlOverride w:ilvl="5">
      <w:lvl w:ilvl="5">
        <w:start w:val="1"/>
        <w:numFmt w:val="lowerRoman"/>
        <w:lvlText w:val="(%6)"/>
        <w:lvlJc w:val="left"/>
        <w:pPr>
          <w:ind w:left="3011" w:hanging="360"/>
        </w:pPr>
        <w:rPr>
          <w:rFonts w:hint="default"/>
        </w:rPr>
      </w:lvl>
    </w:lvlOverride>
    <w:lvlOverride w:ilvl="6">
      <w:lvl w:ilvl="6">
        <w:start w:val="1"/>
        <w:numFmt w:val="decimal"/>
        <w:lvlText w:val="%7."/>
        <w:lvlJc w:val="left"/>
        <w:pPr>
          <w:ind w:left="3371" w:hanging="360"/>
        </w:pPr>
        <w:rPr>
          <w:rFonts w:hint="default"/>
        </w:rPr>
      </w:lvl>
    </w:lvlOverride>
    <w:lvlOverride w:ilvl="7">
      <w:lvl w:ilvl="7">
        <w:start w:val="1"/>
        <w:numFmt w:val="lowerLetter"/>
        <w:lvlText w:val="%8."/>
        <w:lvlJc w:val="left"/>
        <w:pPr>
          <w:ind w:left="3731" w:hanging="360"/>
        </w:pPr>
        <w:rPr>
          <w:rFonts w:hint="default"/>
        </w:rPr>
      </w:lvl>
    </w:lvlOverride>
    <w:lvlOverride w:ilvl="8">
      <w:lvl w:ilvl="8">
        <w:start w:val="1"/>
        <w:numFmt w:val="lowerRoman"/>
        <w:lvlText w:val="%9."/>
        <w:lvlJc w:val="left"/>
        <w:pPr>
          <w:ind w:left="4091" w:hanging="360"/>
        </w:pPr>
        <w:rPr>
          <w:rFonts w:hint="default"/>
        </w:rPr>
      </w:lvl>
    </w:lvlOverride>
  </w:num>
  <w:num w:numId="32">
    <w:abstractNumId w:val="18"/>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3">
    <w:abstractNumId w:val="18"/>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sz w:val="22"/>
          <w:szCs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4">
    <w:abstractNumId w:val="18"/>
    <w:lvlOverride w:ilvl="0">
      <w:lvl w:ilvl="0">
        <w:start w:val="1"/>
        <w:numFmt w:val="decimal"/>
        <w:pStyle w:val="ChapterHeading"/>
        <w:lvlText w:val="Chapter %1"/>
        <w:lvlJc w:val="left"/>
        <w:pPr>
          <w:tabs>
            <w:tab w:val="num" w:pos="1985"/>
          </w:tabs>
          <w:ind w:left="851" w:firstLine="0"/>
        </w:pPr>
        <w:rPr>
          <w:rFonts w:hint="default"/>
        </w:rPr>
      </w:lvl>
    </w:lvlOverride>
    <w:lvlOverride w:ilvl="1">
      <w:lvl w:ilvl="1">
        <w:start w:val="1"/>
        <w:numFmt w:val="decimal"/>
        <w:pStyle w:val="base-text-paragraph"/>
        <w:lvlText w:val="%1.%2"/>
        <w:lvlJc w:val="left"/>
        <w:pPr>
          <w:tabs>
            <w:tab w:val="num" w:pos="2552"/>
          </w:tabs>
          <w:ind w:left="1701" w:firstLine="0"/>
        </w:pPr>
        <w:rPr>
          <w:rFonts w:hint="default"/>
          <w:b w:val="0"/>
          <w:i w:val="0"/>
          <w:sz w:val="22"/>
          <w:szCs w:val="22"/>
        </w:rPr>
      </w:lvl>
    </w:lvlOverride>
    <w:lvlOverride w:ilvl="2">
      <w:lvl w:ilvl="2">
        <w:start w:val="1"/>
        <w:numFmt w:val="decimal"/>
        <w:lvlRestart w:val="1"/>
        <w:pStyle w:val="Diagram"/>
        <w:suff w:val="nothing"/>
        <w:lvlText w:val="Diagram %1.%3"/>
        <w:lvlJc w:val="left"/>
        <w:pPr>
          <w:ind w:left="1985" w:firstLine="0"/>
        </w:pPr>
        <w:rPr>
          <w:rFonts w:hint="default"/>
        </w:rPr>
      </w:lvl>
    </w:lvlOverride>
    <w:lvlOverride w:ilvl="3">
      <w:lvl w:ilvl="3">
        <w:start w:val="1"/>
        <w:numFmt w:val="decimal"/>
        <w:lvlRestart w:val="1"/>
        <w:pStyle w:val="ExampleHeading"/>
        <w:suff w:val="nothing"/>
        <w:lvlText w:val="Example %1.%4"/>
        <w:lvlJc w:val="left"/>
        <w:pPr>
          <w:ind w:left="2553" w:firstLine="0"/>
        </w:pPr>
        <w:rPr>
          <w:rFonts w:hint="default"/>
        </w:rPr>
      </w:lvl>
    </w:lvlOverride>
    <w:lvlOverride w:ilvl="4">
      <w:lvl w:ilvl="4">
        <w:start w:val="1"/>
        <w:numFmt w:val="decimal"/>
        <w:lvlRestart w:val="1"/>
        <w:pStyle w:val="TableHeadingoutsidetable"/>
        <w:suff w:val="nothing"/>
        <w:lvlText w:val="Table %1.%5"/>
        <w:lvlJc w:val="left"/>
        <w:pPr>
          <w:ind w:left="1985" w:firstLine="0"/>
        </w:pPr>
        <w:rPr>
          <w:rFonts w:hint="default"/>
        </w:rPr>
      </w:lvl>
    </w:lvlOverride>
    <w:lvlOverride w:ilvl="5">
      <w:lvl w:ilvl="5">
        <w:start w:val="1"/>
        <w:numFmt w:val="lowerRoman"/>
        <w:lvlText w:val="(%6)"/>
        <w:lvlJc w:val="left"/>
        <w:pPr>
          <w:ind w:left="3011" w:hanging="360"/>
        </w:pPr>
        <w:rPr>
          <w:rFonts w:hint="default"/>
        </w:rPr>
      </w:lvl>
    </w:lvlOverride>
    <w:lvlOverride w:ilvl="6">
      <w:lvl w:ilvl="6">
        <w:start w:val="1"/>
        <w:numFmt w:val="decimal"/>
        <w:lvlText w:val="%7."/>
        <w:lvlJc w:val="left"/>
        <w:pPr>
          <w:ind w:left="3371" w:hanging="360"/>
        </w:pPr>
        <w:rPr>
          <w:rFonts w:hint="default"/>
        </w:rPr>
      </w:lvl>
    </w:lvlOverride>
    <w:lvlOverride w:ilvl="7">
      <w:lvl w:ilvl="7">
        <w:start w:val="1"/>
        <w:numFmt w:val="lowerLetter"/>
        <w:lvlText w:val="%8."/>
        <w:lvlJc w:val="left"/>
        <w:pPr>
          <w:ind w:left="3731" w:hanging="360"/>
        </w:pPr>
        <w:rPr>
          <w:rFonts w:hint="default"/>
        </w:rPr>
      </w:lvl>
    </w:lvlOverride>
    <w:lvlOverride w:ilvl="8">
      <w:lvl w:ilvl="8">
        <w:start w:val="1"/>
        <w:numFmt w:val="lowerRoman"/>
        <w:lvlText w:val="%9."/>
        <w:lvlJc w:val="left"/>
        <w:pPr>
          <w:ind w:left="4091" w:hanging="360"/>
        </w:pPr>
        <w:rPr>
          <w:rFonts w:hint="default"/>
        </w:rPr>
      </w:lvl>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evenAndOddHeaders/>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074"/>
    <w:rsid w:val="000006F1"/>
    <w:rsid w:val="0000443E"/>
    <w:rsid w:val="000048D7"/>
    <w:rsid w:val="00004D48"/>
    <w:rsid w:val="00006512"/>
    <w:rsid w:val="00006AEB"/>
    <w:rsid w:val="00011E9D"/>
    <w:rsid w:val="00012122"/>
    <w:rsid w:val="00012897"/>
    <w:rsid w:val="000144A4"/>
    <w:rsid w:val="00017673"/>
    <w:rsid w:val="0002054A"/>
    <w:rsid w:val="000207D0"/>
    <w:rsid w:val="00030A40"/>
    <w:rsid w:val="00030B62"/>
    <w:rsid w:val="0003346F"/>
    <w:rsid w:val="0004029D"/>
    <w:rsid w:val="00040945"/>
    <w:rsid w:val="00040AB8"/>
    <w:rsid w:val="00041840"/>
    <w:rsid w:val="00041A39"/>
    <w:rsid w:val="000428DD"/>
    <w:rsid w:val="0004321B"/>
    <w:rsid w:val="000433AB"/>
    <w:rsid w:val="000436B0"/>
    <w:rsid w:val="00044BE1"/>
    <w:rsid w:val="00044DA8"/>
    <w:rsid w:val="00044E6F"/>
    <w:rsid w:val="00045759"/>
    <w:rsid w:val="00050988"/>
    <w:rsid w:val="0005182A"/>
    <w:rsid w:val="00053676"/>
    <w:rsid w:val="00053B7F"/>
    <w:rsid w:val="00062A1D"/>
    <w:rsid w:val="00063BFE"/>
    <w:rsid w:val="000664D4"/>
    <w:rsid w:val="00070E97"/>
    <w:rsid w:val="00071368"/>
    <w:rsid w:val="00072499"/>
    <w:rsid w:val="00076230"/>
    <w:rsid w:val="0007709A"/>
    <w:rsid w:val="00083A98"/>
    <w:rsid w:val="00092E9D"/>
    <w:rsid w:val="00092F27"/>
    <w:rsid w:val="00093A6C"/>
    <w:rsid w:val="0009454F"/>
    <w:rsid w:val="00094C54"/>
    <w:rsid w:val="00097000"/>
    <w:rsid w:val="000971EA"/>
    <w:rsid w:val="00097311"/>
    <w:rsid w:val="000A040C"/>
    <w:rsid w:val="000A0F86"/>
    <w:rsid w:val="000A2D5B"/>
    <w:rsid w:val="000A4097"/>
    <w:rsid w:val="000A5E92"/>
    <w:rsid w:val="000A63CD"/>
    <w:rsid w:val="000A70CB"/>
    <w:rsid w:val="000A7E00"/>
    <w:rsid w:val="000B1025"/>
    <w:rsid w:val="000B21E0"/>
    <w:rsid w:val="000B2960"/>
    <w:rsid w:val="000B2AF8"/>
    <w:rsid w:val="000C0D9C"/>
    <w:rsid w:val="000C2737"/>
    <w:rsid w:val="000C2A9D"/>
    <w:rsid w:val="000C35AD"/>
    <w:rsid w:val="000C3A82"/>
    <w:rsid w:val="000C44D7"/>
    <w:rsid w:val="000C4876"/>
    <w:rsid w:val="000C6B27"/>
    <w:rsid w:val="000C71F6"/>
    <w:rsid w:val="000C74F4"/>
    <w:rsid w:val="000D04A2"/>
    <w:rsid w:val="000D3ED6"/>
    <w:rsid w:val="000E1D3C"/>
    <w:rsid w:val="000E4284"/>
    <w:rsid w:val="000E4B50"/>
    <w:rsid w:val="000E5082"/>
    <w:rsid w:val="000F17EC"/>
    <w:rsid w:val="000F2F44"/>
    <w:rsid w:val="000F2FA0"/>
    <w:rsid w:val="000F4234"/>
    <w:rsid w:val="000F647B"/>
    <w:rsid w:val="000F6FBB"/>
    <w:rsid w:val="000F758E"/>
    <w:rsid w:val="001007F8"/>
    <w:rsid w:val="00100D3A"/>
    <w:rsid w:val="001059CA"/>
    <w:rsid w:val="00107A5E"/>
    <w:rsid w:val="00111384"/>
    <w:rsid w:val="00113450"/>
    <w:rsid w:val="00115F60"/>
    <w:rsid w:val="00117774"/>
    <w:rsid w:val="0012000A"/>
    <w:rsid w:val="00121612"/>
    <w:rsid w:val="001226D3"/>
    <w:rsid w:val="00123087"/>
    <w:rsid w:val="00123B15"/>
    <w:rsid w:val="00123B9E"/>
    <w:rsid w:val="0012731B"/>
    <w:rsid w:val="00127549"/>
    <w:rsid w:val="00127BE8"/>
    <w:rsid w:val="00131780"/>
    <w:rsid w:val="00136E7B"/>
    <w:rsid w:val="00142DD3"/>
    <w:rsid w:val="00143D29"/>
    <w:rsid w:val="00145474"/>
    <w:rsid w:val="0015020E"/>
    <w:rsid w:val="00155C79"/>
    <w:rsid w:val="001633CD"/>
    <w:rsid w:val="00164A02"/>
    <w:rsid w:val="00165ACC"/>
    <w:rsid w:val="001665F0"/>
    <w:rsid w:val="00170ABD"/>
    <w:rsid w:val="00171398"/>
    <w:rsid w:val="00171FAC"/>
    <w:rsid w:val="00172747"/>
    <w:rsid w:val="001728E3"/>
    <w:rsid w:val="00173022"/>
    <w:rsid w:val="00173E23"/>
    <w:rsid w:val="001753BE"/>
    <w:rsid w:val="001753F4"/>
    <w:rsid w:val="00175E29"/>
    <w:rsid w:val="00176366"/>
    <w:rsid w:val="00177296"/>
    <w:rsid w:val="001801FA"/>
    <w:rsid w:val="001807B0"/>
    <w:rsid w:val="00180E8D"/>
    <w:rsid w:val="00181CDB"/>
    <w:rsid w:val="00183D14"/>
    <w:rsid w:val="00186A66"/>
    <w:rsid w:val="0018748A"/>
    <w:rsid w:val="00190203"/>
    <w:rsid w:val="0019035B"/>
    <w:rsid w:val="00190D24"/>
    <w:rsid w:val="00191754"/>
    <w:rsid w:val="001929F4"/>
    <w:rsid w:val="00192E02"/>
    <w:rsid w:val="001959D6"/>
    <w:rsid w:val="00197BAC"/>
    <w:rsid w:val="001A4755"/>
    <w:rsid w:val="001A5264"/>
    <w:rsid w:val="001A758F"/>
    <w:rsid w:val="001B0604"/>
    <w:rsid w:val="001B0901"/>
    <w:rsid w:val="001B36EF"/>
    <w:rsid w:val="001B3E91"/>
    <w:rsid w:val="001B529B"/>
    <w:rsid w:val="001B64F3"/>
    <w:rsid w:val="001B6DBC"/>
    <w:rsid w:val="001C16C2"/>
    <w:rsid w:val="001C1751"/>
    <w:rsid w:val="001C2D4C"/>
    <w:rsid w:val="001C3CE1"/>
    <w:rsid w:val="001C51CE"/>
    <w:rsid w:val="001D097A"/>
    <w:rsid w:val="001D0DFD"/>
    <w:rsid w:val="001D2971"/>
    <w:rsid w:val="001D2CDD"/>
    <w:rsid w:val="001D2FEC"/>
    <w:rsid w:val="001D33E5"/>
    <w:rsid w:val="001D4BCC"/>
    <w:rsid w:val="001D76A2"/>
    <w:rsid w:val="001D77E4"/>
    <w:rsid w:val="001E2537"/>
    <w:rsid w:val="001E268A"/>
    <w:rsid w:val="001E6657"/>
    <w:rsid w:val="001F3831"/>
    <w:rsid w:val="001F3DC4"/>
    <w:rsid w:val="001F5124"/>
    <w:rsid w:val="001F6709"/>
    <w:rsid w:val="001F773C"/>
    <w:rsid w:val="002007CD"/>
    <w:rsid w:val="002122A3"/>
    <w:rsid w:val="00216BD5"/>
    <w:rsid w:val="002225FA"/>
    <w:rsid w:val="002230DC"/>
    <w:rsid w:val="002233F0"/>
    <w:rsid w:val="00231680"/>
    <w:rsid w:val="00234493"/>
    <w:rsid w:val="00234FC3"/>
    <w:rsid w:val="0023562C"/>
    <w:rsid w:val="00235821"/>
    <w:rsid w:val="00235E3D"/>
    <w:rsid w:val="00236612"/>
    <w:rsid w:val="00236C1C"/>
    <w:rsid w:val="00237D25"/>
    <w:rsid w:val="00240A7B"/>
    <w:rsid w:val="002412C9"/>
    <w:rsid w:val="002442D9"/>
    <w:rsid w:val="002457CE"/>
    <w:rsid w:val="002502AE"/>
    <w:rsid w:val="0025229B"/>
    <w:rsid w:val="0025340E"/>
    <w:rsid w:val="00254C98"/>
    <w:rsid w:val="00254F88"/>
    <w:rsid w:val="00256249"/>
    <w:rsid w:val="00256A89"/>
    <w:rsid w:val="00260E40"/>
    <w:rsid w:val="002611E9"/>
    <w:rsid w:val="002616ED"/>
    <w:rsid w:val="00261746"/>
    <w:rsid w:val="00263046"/>
    <w:rsid w:val="00280694"/>
    <w:rsid w:val="0028174C"/>
    <w:rsid w:val="0028232D"/>
    <w:rsid w:val="002940FC"/>
    <w:rsid w:val="002945B9"/>
    <w:rsid w:val="00295ABD"/>
    <w:rsid w:val="00296E34"/>
    <w:rsid w:val="002A0C4B"/>
    <w:rsid w:val="002A17D5"/>
    <w:rsid w:val="002A3F4F"/>
    <w:rsid w:val="002A5F8B"/>
    <w:rsid w:val="002A7483"/>
    <w:rsid w:val="002B10E1"/>
    <w:rsid w:val="002B1D9A"/>
    <w:rsid w:val="002B37CD"/>
    <w:rsid w:val="002B4090"/>
    <w:rsid w:val="002B4790"/>
    <w:rsid w:val="002B4B61"/>
    <w:rsid w:val="002B4EE3"/>
    <w:rsid w:val="002C1E34"/>
    <w:rsid w:val="002C34EA"/>
    <w:rsid w:val="002C4069"/>
    <w:rsid w:val="002D0B7C"/>
    <w:rsid w:val="002D43E1"/>
    <w:rsid w:val="002E008E"/>
    <w:rsid w:val="002E39D8"/>
    <w:rsid w:val="002E46CE"/>
    <w:rsid w:val="002E5D6E"/>
    <w:rsid w:val="002F05DE"/>
    <w:rsid w:val="002F0751"/>
    <w:rsid w:val="002F0D2B"/>
    <w:rsid w:val="002F159D"/>
    <w:rsid w:val="002F18A7"/>
    <w:rsid w:val="002F26BC"/>
    <w:rsid w:val="002F36F5"/>
    <w:rsid w:val="002F5853"/>
    <w:rsid w:val="002F72E4"/>
    <w:rsid w:val="0030055E"/>
    <w:rsid w:val="0030066C"/>
    <w:rsid w:val="00307165"/>
    <w:rsid w:val="003078F6"/>
    <w:rsid w:val="00310571"/>
    <w:rsid w:val="003118A0"/>
    <w:rsid w:val="00314104"/>
    <w:rsid w:val="00314751"/>
    <w:rsid w:val="00316F3B"/>
    <w:rsid w:val="003175C6"/>
    <w:rsid w:val="003205DB"/>
    <w:rsid w:val="00324E1A"/>
    <w:rsid w:val="00327FD8"/>
    <w:rsid w:val="003400ED"/>
    <w:rsid w:val="00343A79"/>
    <w:rsid w:val="00352780"/>
    <w:rsid w:val="00352993"/>
    <w:rsid w:val="00357135"/>
    <w:rsid w:val="00362833"/>
    <w:rsid w:val="00363393"/>
    <w:rsid w:val="00363C61"/>
    <w:rsid w:val="00364368"/>
    <w:rsid w:val="00364417"/>
    <w:rsid w:val="003712D5"/>
    <w:rsid w:val="00373D7D"/>
    <w:rsid w:val="00375E07"/>
    <w:rsid w:val="00375F1D"/>
    <w:rsid w:val="00376A0C"/>
    <w:rsid w:val="003804A2"/>
    <w:rsid w:val="00382A11"/>
    <w:rsid w:val="00385557"/>
    <w:rsid w:val="003907AB"/>
    <w:rsid w:val="00391BD1"/>
    <w:rsid w:val="003921CC"/>
    <w:rsid w:val="003926B3"/>
    <w:rsid w:val="00392F0D"/>
    <w:rsid w:val="0039316F"/>
    <w:rsid w:val="003957CE"/>
    <w:rsid w:val="00395D6E"/>
    <w:rsid w:val="00396553"/>
    <w:rsid w:val="00397831"/>
    <w:rsid w:val="003A0A12"/>
    <w:rsid w:val="003A12A4"/>
    <w:rsid w:val="003A3895"/>
    <w:rsid w:val="003A657F"/>
    <w:rsid w:val="003A65AD"/>
    <w:rsid w:val="003B1226"/>
    <w:rsid w:val="003B2303"/>
    <w:rsid w:val="003B45ED"/>
    <w:rsid w:val="003B6B47"/>
    <w:rsid w:val="003B77F0"/>
    <w:rsid w:val="003C084F"/>
    <w:rsid w:val="003C15CA"/>
    <w:rsid w:val="003C2D22"/>
    <w:rsid w:val="003C42CE"/>
    <w:rsid w:val="003C4A53"/>
    <w:rsid w:val="003C59E2"/>
    <w:rsid w:val="003C650B"/>
    <w:rsid w:val="003D4869"/>
    <w:rsid w:val="003D4F69"/>
    <w:rsid w:val="003D5D8C"/>
    <w:rsid w:val="003D7E4C"/>
    <w:rsid w:val="003E0D10"/>
    <w:rsid w:val="003E0FF3"/>
    <w:rsid w:val="003E35CE"/>
    <w:rsid w:val="003E3870"/>
    <w:rsid w:val="003E5AB0"/>
    <w:rsid w:val="003E6191"/>
    <w:rsid w:val="003E69D8"/>
    <w:rsid w:val="003E7AB0"/>
    <w:rsid w:val="003E7CE0"/>
    <w:rsid w:val="003F05B7"/>
    <w:rsid w:val="003F6101"/>
    <w:rsid w:val="00400323"/>
    <w:rsid w:val="00401795"/>
    <w:rsid w:val="0040361D"/>
    <w:rsid w:val="00403B36"/>
    <w:rsid w:val="004050DC"/>
    <w:rsid w:val="00405C1F"/>
    <w:rsid w:val="004119B4"/>
    <w:rsid w:val="004121E7"/>
    <w:rsid w:val="004139B4"/>
    <w:rsid w:val="00413E72"/>
    <w:rsid w:val="00422FA2"/>
    <w:rsid w:val="004248AC"/>
    <w:rsid w:val="00424FBA"/>
    <w:rsid w:val="00426B19"/>
    <w:rsid w:val="00427A9F"/>
    <w:rsid w:val="00427E3B"/>
    <w:rsid w:val="00435723"/>
    <w:rsid w:val="004367E1"/>
    <w:rsid w:val="00437015"/>
    <w:rsid w:val="00450AB3"/>
    <w:rsid w:val="00450AE9"/>
    <w:rsid w:val="00451C95"/>
    <w:rsid w:val="004549E8"/>
    <w:rsid w:val="0045684A"/>
    <w:rsid w:val="00457303"/>
    <w:rsid w:val="00457BC4"/>
    <w:rsid w:val="004632DF"/>
    <w:rsid w:val="00466484"/>
    <w:rsid w:val="004668C1"/>
    <w:rsid w:val="00466C6D"/>
    <w:rsid w:val="00470BFC"/>
    <w:rsid w:val="00471424"/>
    <w:rsid w:val="004727EA"/>
    <w:rsid w:val="00474E94"/>
    <w:rsid w:val="00474F29"/>
    <w:rsid w:val="00475C12"/>
    <w:rsid w:val="0047702B"/>
    <w:rsid w:val="00480A74"/>
    <w:rsid w:val="004819C8"/>
    <w:rsid w:val="00481B60"/>
    <w:rsid w:val="00484FBF"/>
    <w:rsid w:val="00486249"/>
    <w:rsid w:val="00486450"/>
    <w:rsid w:val="0048711E"/>
    <w:rsid w:val="0048767B"/>
    <w:rsid w:val="00487B18"/>
    <w:rsid w:val="00493D3E"/>
    <w:rsid w:val="00494350"/>
    <w:rsid w:val="00494E77"/>
    <w:rsid w:val="00495C6C"/>
    <w:rsid w:val="004964EC"/>
    <w:rsid w:val="004A02DE"/>
    <w:rsid w:val="004A1083"/>
    <w:rsid w:val="004A1CB4"/>
    <w:rsid w:val="004A3205"/>
    <w:rsid w:val="004A6F35"/>
    <w:rsid w:val="004A7A32"/>
    <w:rsid w:val="004B1160"/>
    <w:rsid w:val="004B4C82"/>
    <w:rsid w:val="004B4E84"/>
    <w:rsid w:val="004B6143"/>
    <w:rsid w:val="004C07FE"/>
    <w:rsid w:val="004C42FB"/>
    <w:rsid w:val="004C4866"/>
    <w:rsid w:val="004C4F31"/>
    <w:rsid w:val="004C5934"/>
    <w:rsid w:val="004D06B4"/>
    <w:rsid w:val="004D2028"/>
    <w:rsid w:val="004D33DC"/>
    <w:rsid w:val="004D4FF3"/>
    <w:rsid w:val="004D7BEB"/>
    <w:rsid w:val="004E6026"/>
    <w:rsid w:val="004E645B"/>
    <w:rsid w:val="004E6527"/>
    <w:rsid w:val="004E75E0"/>
    <w:rsid w:val="004F3C00"/>
    <w:rsid w:val="004F3E9A"/>
    <w:rsid w:val="004F4A66"/>
    <w:rsid w:val="004F6B9C"/>
    <w:rsid w:val="004F6D5F"/>
    <w:rsid w:val="004F6D70"/>
    <w:rsid w:val="004F72C7"/>
    <w:rsid w:val="00501697"/>
    <w:rsid w:val="0050400D"/>
    <w:rsid w:val="00504EFF"/>
    <w:rsid w:val="00505213"/>
    <w:rsid w:val="00505231"/>
    <w:rsid w:val="0050529D"/>
    <w:rsid w:val="005107D9"/>
    <w:rsid w:val="005117B0"/>
    <w:rsid w:val="005134ED"/>
    <w:rsid w:val="0051365C"/>
    <w:rsid w:val="00514B33"/>
    <w:rsid w:val="0051754A"/>
    <w:rsid w:val="00524B53"/>
    <w:rsid w:val="00525C4D"/>
    <w:rsid w:val="005276C2"/>
    <w:rsid w:val="005336B3"/>
    <w:rsid w:val="00534C4B"/>
    <w:rsid w:val="00535F17"/>
    <w:rsid w:val="00535F69"/>
    <w:rsid w:val="00541F5F"/>
    <w:rsid w:val="005455DE"/>
    <w:rsid w:val="0055086F"/>
    <w:rsid w:val="005511D9"/>
    <w:rsid w:val="00551665"/>
    <w:rsid w:val="005516B9"/>
    <w:rsid w:val="00553604"/>
    <w:rsid w:val="00554BB5"/>
    <w:rsid w:val="005573D0"/>
    <w:rsid w:val="0056505C"/>
    <w:rsid w:val="0056738F"/>
    <w:rsid w:val="00567602"/>
    <w:rsid w:val="00571658"/>
    <w:rsid w:val="0057304E"/>
    <w:rsid w:val="00574071"/>
    <w:rsid w:val="00574CA0"/>
    <w:rsid w:val="00574F84"/>
    <w:rsid w:val="005757E6"/>
    <w:rsid w:val="00580C2E"/>
    <w:rsid w:val="005824CC"/>
    <w:rsid w:val="00582B67"/>
    <w:rsid w:val="00590521"/>
    <w:rsid w:val="00591FA5"/>
    <w:rsid w:val="00593A3C"/>
    <w:rsid w:val="005A346C"/>
    <w:rsid w:val="005A3C1F"/>
    <w:rsid w:val="005A496E"/>
    <w:rsid w:val="005A5561"/>
    <w:rsid w:val="005A5A9E"/>
    <w:rsid w:val="005A77B2"/>
    <w:rsid w:val="005B3BE3"/>
    <w:rsid w:val="005B6517"/>
    <w:rsid w:val="005B7359"/>
    <w:rsid w:val="005C2C31"/>
    <w:rsid w:val="005C5909"/>
    <w:rsid w:val="005C64D4"/>
    <w:rsid w:val="005D3D76"/>
    <w:rsid w:val="005D3F2E"/>
    <w:rsid w:val="005D514B"/>
    <w:rsid w:val="005D6667"/>
    <w:rsid w:val="005E100E"/>
    <w:rsid w:val="005E1BB9"/>
    <w:rsid w:val="005E25B5"/>
    <w:rsid w:val="005E3647"/>
    <w:rsid w:val="005E3F10"/>
    <w:rsid w:val="005E4AEA"/>
    <w:rsid w:val="005F0231"/>
    <w:rsid w:val="005F1331"/>
    <w:rsid w:val="005F28BE"/>
    <w:rsid w:val="005F66C8"/>
    <w:rsid w:val="00604079"/>
    <w:rsid w:val="006127F5"/>
    <w:rsid w:val="00612944"/>
    <w:rsid w:val="00615CBC"/>
    <w:rsid w:val="006168B0"/>
    <w:rsid w:val="00617408"/>
    <w:rsid w:val="00617C67"/>
    <w:rsid w:val="006225C2"/>
    <w:rsid w:val="006256E9"/>
    <w:rsid w:val="00630949"/>
    <w:rsid w:val="0063127E"/>
    <w:rsid w:val="00631437"/>
    <w:rsid w:val="00632BE2"/>
    <w:rsid w:val="0063456D"/>
    <w:rsid w:val="0063674B"/>
    <w:rsid w:val="00641AB4"/>
    <w:rsid w:val="00647733"/>
    <w:rsid w:val="00654D59"/>
    <w:rsid w:val="006566E8"/>
    <w:rsid w:val="00663153"/>
    <w:rsid w:val="006631BB"/>
    <w:rsid w:val="00665602"/>
    <w:rsid w:val="0066578B"/>
    <w:rsid w:val="006674B3"/>
    <w:rsid w:val="00670A85"/>
    <w:rsid w:val="0067125A"/>
    <w:rsid w:val="006729E6"/>
    <w:rsid w:val="0067488C"/>
    <w:rsid w:val="00677D6A"/>
    <w:rsid w:val="006802AC"/>
    <w:rsid w:val="00681A42"/>
    <w:rsid w:val="00683E00"/>
    <w:rsid w:val="00695E0E"/>
    <w:rsid w:val="006A05D6"/>
    <w:rsid w:val="006A07BE"/>
    <w:rsid w:val="006A6391"/>
    <w:rsid w:val="006A72CB"/>
    <w:rsid w:val="006B2865"/>
    <w:rsid w:val="006B5CF7"/>
    <w:rsid w:val="006B7188"/>
    <w:rsid w:val="006B741B"/>
    <w:rsid w:val="006C2B36"/>
    <w:rsid w:val="006C4944"/>
    <w:rsid w:val="006C63F0"/>
    <w:rsid w:val="006D1883"/>
    <w:rsid w:val="006D52F4"/>
    <w:rsid w:val="006D5E3E"/>
    <w:rsid w:val="006D6168"/>
    <w:rsid w:val="006D7A6C"/>
    <w:rsid w:val="006E3A54"/>
    <w:rsid w:val="006E44DE"/>
    <w:rsid w:val="006E4D99"/>
    <w:rsid w:val="006E7054"/>
    <w:rsid w:val="006F233D"/>
    <w:rsid w:val="006F50E8"/>
    <w:rsid w:val="006F592F"/>
    <w:rsid w:val="006F5EF4"/>
    <w:rsid w:val="006F7230"/>
    <w:rsid w:val="00700491"/>
    <w:rsid w:val="00706BF0"/>
    <w:rsid w:val="00706CE0"/>
    <w:rsid w:val="007070BD"/>
    <w:rsid w:val="00707CCB"/>
    <w:rsid w:val="00710FF6"/>
    <w:rsid w:val="00712584"/>
    <w:rsid w:val="00714826"/>
    <w:rsid w:val="00716318"/>
    <w:rsid w:val="00716A60"/>
    <w:rsid w:val="007178EA"/>
    <w:rsid w:val="00717B24"/>
    <w:rsid w:val="00717B63"/>
    <w:rsid w:val="00717C88"/>
    <w:rsid w:val="00720E66"/>
    <w:rsid w:val="007224EE"/>
    <w:rsid w:val="007228E5"/>
    <w:rsid w:val="00726CBB"/>
    <w:rsid w:val="00726FD2"/>
    <w:rsid w:val="007324B4"/>
    <w:rsid w:val="00733E54"/>
    <w:rsid w:val="00734057"/>
    <w:rsid w:val="00734F84"/>
    <w:rsid w:val="00736EDD"/>
    <w:rsid w:val="00737C99"/>
    <w:rsid w:val="007418D4"/>
    <w:rsid w:val="007422F0"/>
    <w:rsid w:val="007469DE"/>
    <w:rsid w:val="00746BA1"/>
    <w:rsid w:val="00747A03"/>
    <w:rsid w:val="0075165F"/>
    <w:rsid w:val="00751EF6"/>
    <w:rsid w:val="0075420C"/>
    <w:rsid w:val="007546C6"/>
    <w:rsid w:val="0075644E"/>
    <w:rsid w:val="00761513"/>
    <w:rsid w:val="00762AC3"/>
    <w:rsid w:val="007653A5"/>
    <w:rsid w:val="00765E64"/>
    <w:rsid w:val="00771B33"/>
    <w:rsid w:val="00773B68"/>
    <w:rsid w:val="0077584F"/>
    <w:rsid w:val="00777C4B"/>
    <w:rsid w:val="007822CB"/>
    <w:rsid w:val="007908AF"/>
    <w:rsid w:val="007914A9"/>
    <w:rsid w:val="00793180"/>
    <w:rsid w:val="00794681"/>
    <w:rsid w:val="00795A45"/>
    <w:rsid w:val="00795E7E"/>
    <w:rsid w:val="007966F5"/>
    <w:rsid w:val="00797C25"/>
    <w:rsid w:val="007A5977"/>
    <w:rsid w:val="007B342C"/>
    <w:rsid w:val="007B3FCA"/>
    <w:rsid w:val="007C2588"/>
    <w:rsid w:val="007C2B20"/>
    <w:rsid w:val="007C3308"/>
    <w:rsid w:val="007C5084"/>
    <w:rsid w:val="007C7F19"/>
    <w:rsid w:val="007D252F"/>
    <w:rsid w:val="007D29AB"/>
    <w:rsid w:val="007D359A"/>
    <w:rsid w:val="007D43B7"/>
    <w:rsid w:val="007D522D"/>
    <w:rsid w:val="007E0A98"/>
    <w:rsid w:val="007E0E08"/>
    <w:rsid w:val="007E172D"/>
    <w:rsid w:val="007E1B46"/>
    <w:rsid w:val="007E588E"/>
    <w:rsid w:val="007E687E"/>
    <w:rsid w:val="007E7E2E"/>
    <w:rsid w:val="007E7F56"/>
    <w:rsid w:val="007F01A7"/>
    <w:rsid w:val="007F035A"/>
    <w:rsid w:val="007F4129"/>
    <w:rsid w:val="007F5D54"/>
    <w:rsid w:val="007F5D73"/>
    <w:rsid w:val="007F603F"/>
    <w:rsid w:val="007F74EA"/>
    <w:rsid w:val="007F75F1"/>
    <w:rsid w:val="00800ADB"/>
    <w:rsid w:val="00803DE4"/>
    <w:rsid w:val="008044ED"/>
    <w:rsid w:val="00806E1F"/>
    <w:rsid w:val="00811BFB"/>
    <w:rsid w:val="00811E27"/>
    <w:rsid w:val="008126AF"/>
    <w:rsid w:val="00813415"/>
    <w:rsid w:val="00813A51"/>
    <w:rsid w:val="00814717"/>
    <w:rsid w:val="00814E32"/>
    <w:rsid w:val="008224B2"/>
    <w:rsid w:val="00823F26"/>
    <w:rsid w:val="00825933"/>
    <w:rsid w:val="008272B3"/>
    <w:rsid w:val="00827814"/>
    <w:rsid w:val="00830F1D"/>
    <w:rsid w:val="00830F6D"/>
    <w:rsid w:val="00831621"/>
    <w:rsid w:val="00832A50"/>
    <w:rsid w:val="00835D4E"/>
    <w:rsid w:val="00840701"/>
    <w:rsid w:val="008432D2"/>
    <w:rsid w:val="00844047"/>
    <w:rsid w:val="008472FF"/>
    <w:rsid w:val="008568E0"/>
    <w:rsid w:val="008575A4"/>
    <w:rsid w:val="0086214D"/>
    <w:rsid w:val="00863591"/>
    <w:rsid w:val="00865400"/>
    <w:rsid w:val="00866E3F"/>
    <w:rsid w:val="0086791C"/>
    <w:rsid w:val="00867924"/>
    <w:rsid w:val="008731D0"/>
    <w:rsid w:val="008736ED"/>
    <w:rsid w:val="008769D3"/>
    <w:rsid w:val="00881D80"/>
    <w:rsid w:val="0088222D"/>
    <w:rsid w:val="008822BE"/>
    <w:rsid w:val="008855F2"/>
    <w:rsid w:val="00885BA2"/>
    <w:rsid w:val="0089042E"/>
    <w:rsid w:val="00892431"/>
    <w:rsid w:val="0089432A"/>
    <w:rsid w:val="0089445F"/>
    <w:rsid w:val="00896989"/>
    <w:rsid w:val="008A13CA"/>
    <w:rsid w:val="008A2E7A"/>
    <w:rsid w:val="008B00DA"/>
    <w:rsid w:val="008B04D6"/>
    <w:rsid w:val="008B3253"/>
    <w:rsid w:val="008B3279"/>
    <w:rsid w:val="008B35F9"/>
    <w:rsid w:val="008B448D"/>
    <w:rsid w:val="008B57C4"/>
    <w:rsid w:val="008B58E0"/>
    <w:rsid w:val="008B6253"/>
    <w:rsid w:val="008B74E4"/>
    <w:rsid w:val="008C0C6D"/>
    <w:rsid w:val="008C4395"/>
    <w:rsid w:val="008C57C6"/>
    <w:rsid w:val="008D01B4"/>
    <w:rsid w:val="008D0A8B"/>
    <w:rsid w:val="008D2587"/>
    <w:rsid w:val="008D4F94"/>
    <w:rsid w:val="008D5972"/>
    <w:rsid w:val="008D758F"/>
    <w:rsid w:val="008D78FA"/>
    <w:rsid w:val="008E1957"/>
    <w:rsid w:val="008E4158"/>
    <w:rsid w:val="008E615F"/>
    <w:rsid w:val="008E6E38"/>
    <w:rsid w:val="008F2FFE"/>
    <w:rsid w:val="008F7CEC"/>
    <w:rsid w:val="00902B2A"/>
    <w:rsid w:val="009039C9"/>
    <w:rsid w:val="009061CC"/>
    <w:rsid w:val="00907953"/>
    <w:rsid w:val="00907DC5"/>
    <w:rsid w:val="0091054C"/>
    <w:rsid w:val="009110E0"/>
    <w:rsid w:val="009125B9"/>
    <w:rsid w:val="00913A92"/>
    <w:rsid w:val="00915381"/>
    <w:rsid w:val="0091578D"/>
    <w:rsid w:val="009175A5"/>
    <w:rsid w:val="00920322"/>
    <w:rsid w:val="00921D64"/>
    <w:rsid w:val="009252CA"/>
    <w:rsid w:val="009279C4"/>
    <w:rsid w:val="0093363A"/>
    <w:rsid w:val="009352B3"/>
    <w:rsid w:val="00936B5E"/>
    <w:rsid w:val="00940FA9"/>
    <w:rsid w:val="009423AF"/>
    <w:rsid w:val="00944616"/>
    <w:rsid w:val="00946B26"/>
    <w:rsid w:val="00950590"/>
    <w:rsid w:val="00951B6C"/>
    <w:rsid w:val="00954BC6"/>
    <w:rsid w:val="00956FD4"/>
    <w:rsid w:val="009572D1"/>
    <w:rsid w:val="0096155A"/>
    <w:rsid w:val="00961831"/>
    <w:rsid w:val="0096258F"/>
    <w:rsid w:val="0096289C"/>
    <w:rsid w:val="009652C0"/>
    <w:rsid w:val="00966F03"/>
    <w:rsid w:val="009679BA"/>
    <w:rsid w:val="00974B0F"/>
    <w:rsid w:val="00975F24"/>
    <w:rsid w:val="0097603F"/>
    <w:rsid w:val="009770C9"/>
    <w:rsid w:val="0098134F"/>
    <w:rsid w:val="0098177A"/>
    <w:rsid w:val="0098547E"/>
    <w:rsid w:val="00987B06"/>
    <w:rsid w:val="00997B61"/>
    <w:rsid w:val="009A146D"/>
    <w:rsid w:val="009A4740"/>
    <w:rsid w:val="009A4B74"/>
    <w:rsid w:val="009A4D3A"/>
    <w:rsid w:val="009A524C"/>
    <w:rsid w:val="009B1A53"/>
    <w:rsid w:val="009B55FC"/>
    <w:rsid w:val="009B5698"/>
    <w:rsid w:val="009B5A10"/>
    <w:rsid w:val="009B5E73"/>
    <w:rsid w:val="009B6561"/>
    <w:rsid w:val="009C12AF"/>
    <w:rsid w:val="009C15F7"/>
    <w:rsid w:val="009C1B20"/>
    <w:rsid w:val="009C21CB"/>
    <w:rsid w:val="009C2FC2"/>
    <w:rsid w:val="009C3B6F"/>
    <w:rsid w:val="009C59E1"/>
    <w:rsid w:val="009C7115"/>
    <w:rsid w:val="009C7293"/>
    <w:rsid w:val="009C7322"/>
    <w:rsid w:val="009D0BD3"/>
    <w:rsid w:val="009D4E29"/>
    <w:rsid w:val="009D7ECD"/>
    <w:rsid w:val="009E1DDC"/>
    <w:rsid w:val="009E3235"/>
    <w:rsid w:val="009F39AB"/>
    <w:rsid w:val="009F3AE1"/>
    <w:rsid w:val="009F40BE"/>
    <w:rsid w:val="009F4519"/>
    <w:rsid w:val="009F5371"/>
    <w:rsid w:val="009F5386"/>
    <w:rsid w:val="009F7703"/>
    <w:rsid w:val="00A026F8"/>
    <w:rsid w:val="00A033C4"/>
    <w:rsid w:val="00A03F64"/>
    <w:rsid w:val="00A050D8"/>
    <w:rsid w:val="00A0653F"/>
    <w:rsid w:val="00A11786"/>
    <w:rsid w:val="00A1195A"/>
    <w:rsid w:val="00A14922"/>
    <w:rsid w:val="00A160AD"/>
    <w:rsid w:val="00A1678C"/>
    <w:rsid w:val="00A22CA7"/>
    <w:rsid w:val="00A2308B"/>
    <w:rsid w:val="00A24426"/>
    <w:rsid w:val="00A24C25"/>
    <w:rsid w:val="00A24DB1"/>
    <w:rsid w:val="00A251B8"/>
    <w:rsid w:val="00A34CFF"/>
    <w:rsid w:val="00A366CC"/>
    <w:rsid w:val="00A376D6"/>
    <w:rsid w:val="00A40492"/>
    <w:rsid w:val="00A4141C"/>
    <w:rsid w:val="00A41EDC"/>
    <w:rsid w:val="00A43E98"/>
    <w:rsid w:val="00A44686"/>
    <w:rsid w:val="00A45043"/>
    <w:rsid w:val="00A532BF"/>
    <w:rsid w:val="00A54151"/>
    <w:rsid w:val="00A56099"/>
    <w:rsid w:val="00A60931"/>
    <w:rsid w:val="00A61BF0"/>
    <w:rsid w:val="00A64B9F"/>
    <w:rsid w:val="00A66591"/>
    <w:rsid w:val="00A66C5E"/>
    <w:rsid w:val="00A704F6"/>
    <w:rsid w:val="00A7122D"/>
    <w:rsid w:val="00A74471"/>
    <w:rsid w:val="00A75FAC"/>
    <w:rsid w:val="00A774A1"/>
    <w:rsid w:val="00A81088"/>
    <w:rsid w:val="00A82459"/>
    <w:rsid w:val="00A853C2"/>
    <w:rsid w:val="00A86F8E"/>
    <w:rsid w:val="00A87214"/>
    <w:rsid w:val="00A8754A"/>
    <w:rsid w:val="00A90593"/>
    <w:rsid w:val="00A917F3"/>
    <w:rsid w:val="00A93ABB"/>
    <w:rsid w:val="00A961EC"/>
    <w:rsid w:val="00A96306"/>
    <w:rsid w:val="00AA0136"/>
    <w:rsid w:val="00AA2A83"/>
    <w:rsid w:val="00AA6D79"/>
    <w:rsid w:val="00AA6F43"/>
    <w:rsid w:val="00AB02E1"/>
    <w:rsid w:val="00AB0F4D"/>
    <w:rsid w:val="00AB1F6E"/>
    <w:rsid w:val="00AB6125"/>
    <w:rsid w:val="00AB78F8"/>
    <w:rsid w:val="00AC0914"/>
    <w:rsid w:val="00AC60F9"/>
    <w:rsid w:val="00AD0021"/>
    <w:rsid w:val="00AD3129"/>
    <w:rsid w:val="00AD3353"/>
    <w:rsid w:val="00AD5B62"/>
    <w:rsid w:val="00AD5F50"/>
    <w:rsid w:val="00AD619D"/>
    <w:rsid w:val="00AE0B77"/>
    <w:rsid w:val="00AE460A"/>
    <w:rsid w:val="00AE7351"/>
    <w:rsid w:val="00AF0CC7"/>
    <w:rsid w:val="00AF0CEE"/>
    <w:rsid w:val="00AF1AD0"/>
    <w:rsid w:val="00AF20EA"/>
    <w:rsid w:val="00AF22FB"/>
    <w:rsid w:val="00AF4E67"/>
    <w:rsid w:val="00AF5C88"/>
    <w:rsid w:val="00AF6A5E"/>
    <w:rsid w:val="00AF6C55"/>
    <w:rsid w:val="00B02941"/>
    <w:rsid w:val="00B02A21"/>
    <w:rsid w:val="00B040B3"/>
    <w:rsid w:val="00B11F65"/>
    <w:rsid w:val="00B121C5"/>
    <w:rsid w:val="00B17774"/>
    <w:rsid w:val="00B215E2"/>
    <w:rsid w:val="00B24A2C"/>
    <w:rsid w:val="00B254D6"/>
    <w:rsid w:val="00B27CAF"/>
    <w:rsid w:val="00B301A5"/>
    <w:rsid w:val="00B3234B"/>
    <w:rsid w:val="00B34AF8"/>
    <w:rsid w:val="00B359F1"/>
    <w:rsid w:val="00B42193"/>
    <w:rsid w:val="00B44F2E"/>
    <w:rsid w:val="00B45796"/>
    <w:rsid w:val="00B45F14"/>
    <w:rsid w:val="00B46850"/>
    <w:rsid w:val="00B46894"/>
    <w:rsid w:val="00B47343"/>
    <w:rsid w:val="00B52B39"/>
    <w:rsid w:val="00B567E1"/>
    <w:rsid w:val="00B6006C"/>
    <w:rsid w:val="00B6591C"/>
    <w:rsid w:val="00B66C35"/>
    <w:rsid w:val="00B67051"/>
    <w:rsid w:val="00B6768C"/>
    <w:rsid w:val="00B7127D"/>
    <w:rsid w:val="00B7166F"/>
    <w:rsid w:val="00B728EC"/>
    <w:rsid w:val="00B805AC"/>
    <w:rsid w:val="00B82EDC"/>
    <w:rsid w:val="00B8457E"/>
    <w:rsid w:val="00B85309"/>
    <w:rsid w:val="00B868A1"/>
    <w:rsid w:val="00B97E60"/>
    <w:rsid w:val="00BA268E"/>
    <w:rsid w:val="00BA26D9"/>
    <w:rsid w:val="00BA7ED2"/>
    <w:rsid w:val="00BB48B2"/>
    <w:rsid w:val="00BB624F"/>
    <w:rsid w:val="00BB700F"/>
    <w:rsid w:val="00BB72FC"/>
    <w:rsid w:val="00BC3407"/>
    <w:rsid w:val="00BC616E"/>
    <w:rsid w:val="00BD45A1"/>
    <w:rsid w:val="00BD4CE4"/>
    <w:rsid w:val="00BD67A8"/>
    <w:rsid w:val="00BE27C2"/>
    <w:rsid w:val="00BE3888"/>
    <w:rsid w:val="00BE3CE0"/>
    <w:rsid w:val="00BE466D"/>
    <w:rsid w:val="00BE4FF8"/>
    <w:rsid w:val="00BE6297"/>
    <w:rsid w:val="00BE682F"/>
    <w:rsid w:val="00BE6A47"/>
    <w:rsid w:val="00BF0E6A"/>
    <w:rsid w:val="00C00A03"/>
    <w:rsid w:val="00C02A6D"/>
    <w:rsid w:val="00C03550"/>
    <w:rsid w:val="00C0503E"/>
    <w:rsid w:val="00C05570"/>
    <w:rsid w:val="00C0610E"/>
    <w:rsid w:val="00C0730E"/>
    <w:rsid w:val="00C07E62"/>
    <w:rsid w:val="00C1148D"/>
    <w:rsid w:val="00C17E25"/>
    <w:rsid w:val="00C2042D"/>
    <w:rsid w:val="00C210A2"/>
    <w:rsid w:val="00C21625"/>
    <w:rsid w:val="00C21C35"/>
    <w:rsid w:val="00C221F5"/>
    <w:rsid w:val="00C27210"/>
    <w:rsid w:val="00C303F0"/>
    <w:rsid w:val="00C30BC5"/>
    <w:rsid w:val="00C342F9"/>
    <w:rsid w:val="00C34AC2"/>
    <w:rsid w:val="00C358F4"/>
    <w:rsid w:val="00C35981"/>
    <w:rsid w:val="00C35F6A"/>
    <w:rsid w:val="00C35FAC"/>
    <w:rsid w:val="00C366B0"/>
    <w:rsid w:val="00C4094F"/>
    <w:rsid w:val="00C41D23"/>
    <w:rsid w:val="00C46C8A"/>
    <w:rsid w:val="00C473D4"/>
    <w:rsid w:val="00C51872"/>
    <w:rsid w:val="00C5436A"/>
    <w:rsid w:val="00C55542"/>
    <w:rsid w:val="00C55E99"/>
    <w:rsid w:val="00C62074"/>
    <w:rsid w:val="00C62867"/>
    <w:rsid w:val="00C63C66"/>
    <w:rsid w:val="00C67F51"/>
    <w:rsid w:val="00C72B91"/>
    <w:rsid w:val="00C735A9"/>
    <w:rsid w:val="00C740FD"/>
    <w:rsid w:val="00C743D3"/>
    <w:rsid w:val="00C74738"/>
    <w:rsid w:val="00C805D7"/>
    <w:rsid w:val="00C83EC4"/>
    <w:rsid w:val="00C843DA"/>
    <w:rsid w:val="00C86FEA"/>
    <w:rsid w:val="00C877B0"/>
    <w:rsid w:val="00C90BB3"/>
    <w:rsid w:val="00C915DC"/>
    <w:rsid w:val="00C92332"/>
    <w:rsid w:val="00C93049"/>
    <w:rsid w:val="00C96B57"/>
    <w:rsid w:val="00CA1CE9"/>
    <w:rsid w:val="00CA3C40"/>
    <w:rsid w:val="00CA3EB5"/>
    <w:rsid w:val="00CA54D9"/>
    <w:rsid w:val="00CB3B20"/>
    <w:rsid w:val="00CB495E"/>
    <w:rsid w:val="00CB71FC"/>
    <w:rsid w:val="00CC3C53"/>
    <w:rsid w:val="00CD0076"/>
    <w:rsid w:val="00CD1112"/>
    <w:rsid w:val="00CD11F5"/>
    <w:rsid w:val="00CD45D9"/>
    <w:rsid w:val="00CD4910"/>
    <w:rsid w:val="00CD6CE0"/>
    <w:rsid w:val="00CE101F"/>
    <w:rsid w:val="00CE1192"/>
    <w:rsid w:val="00CE150A"/>
    <w:rsid w:val="00CE181D"/>
    <w:rsid w:val="00CE30AE"/>
    <w:rsid w:val="00CE3B49"/>
    <w:rsid w:val="00CE464E"/>
    <w:rsid w:val="00CE7175"/>
    <w:rsid w:val="00CE7B83"/>
    <w:rsid w:val="00CE7C95"/>
    <w:rsid w:val="00CF17CF"/>
    <w:rsid w:val="00CF1D7E"/>
    <w:rsid w:val="00CF58A6"/>
    <w:rsid w:val="00CF6043"/>
    <w:rsid w:val="00D04F1D"/>
    <w:rsid w:val="00D07740"/>
    <w:rsid w:val="00D177ED"/>
    <w:rsid w:val="00D2344C"/>
    <w:rsid w:val="00D244EB"/>
    <w:rsid w:val="00D265DB"/>
    <w:rsid w:val="00D3020A"/>
    <w:rsid w:val="00D33821"/>
    <w:rsid w:val="00D34692"/>
    <w:rsid w:val="00D34E72"/>
    <w:rsid w:val="00D355D3"/>
    <w:rsid w:val="00D3782C"/>
    <w:rsid w:val="00D412D8"/>
    <w:rsid w:val="00D43B55"/>
    <w:rsid w:val="00D44EC4"/>
    <w:rsid w:val="00D4597A"/>
    <w:rsid w:val="00D46961"/>
    <w:rsid w:val="00D5629F"/>
    <w:rsid w:val="00D57BCD"/>
    <w:rsid w:val="00D624E0"/>
    <w:rsid w:val="00D64103"/>
    <w:rsid w:val="00D64A75"/>
    <w:rsid w:val="00D66BFA"/>
    <w:rsid w:val="00D67AB0"/>
    <w:rsid w:val="00D70585"/>
    <w:rsid w:val="00D73AB9"/>
    <w:rsid w:val="00D75EB5"/>
    <w:rsid w:val="00D76475"/>
    <w:rsid w:val="00D80CC0"/>
    <w:rsid w:val="00D80F97"/>
    <w:rsid w:val="00D81362"/>
    <w:rsid w:val="00D83206"/>
    <w:rsid w:val="00D90F8D"/>
    <w:rsid w:val="00D925EC"/>
    <w:rsid w:val="00D957CA"/>
    <w:rsid w:val="00D964EE"/>
    <w:rsid w:val="00D96806"/>
    <w:rsid w:val="00DA4002"/>
    <w:rsid w:val="00DA4FFF"/>
    <w:rsid w:val="00DB15DB"/>
    <w:rsid w:val="00DB1E53"/>
    <w:rsid w:val="00DB1EF4"/>
    <w:rsid w:val="00DB35C3"/>
    <w:rsid w:val="00DB52BB"/>
    <w:rsid w:val="00DB57B2"/>
    <w:rsid w:val="00DB5BDD"/>
    <w:rsid w:val="00DC052E"/>
    <w:rsid w:val="00DC2D02"/>
    <w:rsid w:val="00DC30A5"/>
    <w:rsid w:val="00DC4B7D"/>
    <w:rsid w:val="00DC5856"/>
    <w:rsid w:val="00DC6725"/>
    <w:rsid w:val="00DC7E42"/>
    <w:rsid w:val="00DD1543"/>
    <w:rsid w:val="00DD5A51"/>
    <w:rsid w:val="00DE08CD"/>
    <w:rsid w:val="00DE2F56"/>
    <w:rsid w:val="00DE496D"/>
    <w:rsid w:val="00DE510B"/>
    <w:rsid w:val="00DE5583"/>
    <w:rsid w:val="00DE55C2"/>
    <w:rsid w:val="00DE6B16"/>
    <w:rsid w:val="00DF0CF4"/>
    <w:rsid w:val="00DF631D"/>
    <w:rsid w:val="00E12712"/>
    <w:rsid w:val="00E13FC5"/>
    <w:rsid w:val="00E16533"/>
    <w:rsid w:val="00E16863"/>
    <w:rsid w:val="00E17797"/>
    <w:rsid w:val="00E21E5E"/>
    <w:rsid w:val="00E236F5"/>
    <w:rsid w:val="00E304F3"/>
    <w:rsid w:val="00E31FF7"/>
    <w:rsid w:val="00E32144"/>
    <w:rsid w:val="00E3290E"/>
    <w:rsid w:val="00E32B70"/>
    <w:rsid w:val="00E34CC2"/>
    <w:rsid w:val="00E35782"/>
    <w:rsid w:val="00E40D2E"/>
    <w:rsid w:val="00E41B77"/>
    <w:rsid w:val="00E443D0"/>
    <w:rsid w:val="00E51298"/>
    <w:rsid w:val="00E5231B"/>
    <w:rsid w:val="00E5385B"/>
    <w:rsid w:val="00E5420E"/>
    <w:rsid w:val="00E56A6F"/>
    <w:rsid w:val="00E56D06"/>
    <w:rsid w:val="00E605FD"/>
    <w:rsid w:val="00E65211"/>
    <w:rsid w:val="00E679CA"/>
    <w:rsid w:val="00E67E61"/>
    <w:rsid w:val="00E714C3"/>
    <w:rsid w:val="00E739C0"/>
    <w:rsid w:val="00E74E50"/>
    <w:rsid w:val="00E7552F"/>
    <w:rsid w:val="00E75544"/>
    <w:rsid w:val="00E76076"/>
    <w:rsid w:val="00E76A38"/>
    <w:rsid w:val="00E806A9"/>
    <w:rsid w:val="00E82553"/>
    <w:rsid w:val="00E843A0"/>
    <w:rsid w:val="00E86E6E"/>
    <w:rsid w:val="00E8763D"/>
    <w:rsid w:val="00E94194"/>
    <w:rsid w:val="00E9627A"/>
    <w:rsid w:val="00EA0A61"/>
    <w:rsid w:val="00EA0ACC"/>
    <w:rsid w:val="00EA1BD3"/>
    <w:rsid w:val="00EA2829"/>
    <w:rsid w:val="00EA44D0"/>
    <w:rsid w:val="00EA5BB7"/>
    <w:rsid w:val="00EA7E0F"/>
    <w:rsid w:val="00EB35B7"/>
    <w:rsid w:val="00EB4A90"/>
    <w:rsid w:val="00EB4FBE"/>
    <w:rsid w:val="00EB5DF1"/>
    <w:rsid w:val="00EB7B08"/>
    <w:rsid w:val="00EC0F5E"/>
    <w:rsid w:val="00EC1D24"/>
    <w:rsid w:val="00EC2EEF"/>
    <w:rsid w:val="00EC508B"/>
    <w:rsid w:val="00EC743F"/>
    <w:rsid w:val="00ED3F58"/>
    <w:rsid w:val="00ED646D"/>
    <w:rsid w:val="00ED7AF9"/>
    <w:rsid w:val="00EE1233"/>
    <w:rsid w:val="00EE1C18"/>
    <w:rsid w:val="00EE1F8C"/>
    <w:rsid w:val="00EE2E6D"/>
    <w:rsid w:val="00EE3653"/>
    <w:rsid w:val="00EE3D7A"/>
    <w:rsid w:val="00EF0171"/>
    <w:rsid w:val="00EF63EE"/>
    <w:rsid w:val="00EF7624"/>
    <w:rsid w:val="00EF7F35"/>
    <w:rsid w:val="00F00B7E"/>
    <w:rsid w:val="00F0277B"/>
    <w:rsid w:val="00F03362"/>
    <w:rsid w:val="00F037EE"/>
    <w:rsid w:val="00F03D98"/>
    <w:rsid w:val="00F05146"/>
    <w:rsid w:val="00F11CD0"/>
    <w:rsid w:val="00F12BAE"/>
    <w:rsid w:val="00F16376"/>
    <w:rsid w:val="00F217FA"/>
    <w:rsid w:val="00F23D53"/>
    <w:rsid w:val="00F246A9"/>
    <w:rsid w:val="00F30635"/>
    <w:rsid w:val="00F3313E"/>
    <w:rsid w:val="00F33161"/>
    <w:rsid w:val="00F35A12"/>
    <w:rsid w:val="00F36194"/>
    <w:rsid w:val="00F37616"/>
    <w:rsid w:val="00F37BA9"/>
    <w:rsid w:val="00F42846"/>
    <w:rsid w:val="00F42EB7"/>
    <w:rsid w:val="00F43ADC"/>
    <w:rsid w:val="00F46D06"/>
    <w:rsid w:val="00F51071"/>
    <w:rsid w:val="00F524D2"/>
    <w:rsid w:val="00F524D5"/>
    <w:rsid w:val="00F548A1"/>
    <w:rsid w:val="00F60F68"/>
    <w:rsid w:val="00F6158F"/>
    <w:rsid w:val="00F6160A"/>
    <w:rsid w:val="00F62374"/>
    <w:rsid w:val="00F623A2"/>
    <w:rsid w:val="00F6413D"/>
    <w:rsid w:val="00F64BD0"/>
    <w:rsid w:val="00F66D8E"/>
    <w:rsid w:val="00F70F21"/>
    <w:rsid w:val="00F7342E"/>
    <w:rsid w:val="00F75DD2"/>
    <w:rsid w:val="00F76650"/>
    <w:rsid w:val="00F772B4"/>
    <w:rsid w:val="00F80E8B"/>
    <w:rsid w:val="00F81BA4"/>
    <w:rsid w:val="00F82936"/>
    <w:rsid w:val="00F83B70"/>
    <w:rsid w:val="00F83F0D"/>
    <w:rsid w:val="00F847DC"/>
    <w:rsid w:val="00F859EE"/>
    <w:rsid w:val="00F91951"/>
    <w:rsid w:val="00F9382B"/>
    <w:rsid w:val="00F93C12"/>
    <w:rsid w:val="00F95354"/>
    <w:rsid w:val="00F955BA"/>
    <w:rsid w:val="00F962B9"/>
    <w:rsid w:val="00F96397"/>
    <w:rsid w:val="00F96D8F"/>
    <w:rsid w:val="00FA0AF2"/>
    <w:rsid w:val="00FA1BEA"/>
    <w:rsid w:val="00FA21B9"/>
    <w:rsid w:val="00FA24FB"/>
    <w:rsid w:val="00FA3093"/>
    <w:rsid w:val="00FA56EB"/>
    <w:rsid w:val="00FA5F8E"/>
    <w:rsid w:val="00FA6839"/>
    <w:rsid w:val="00FB3C12"/>
    <w:rsid w:val="00FB7F61"/>
    <w:rsid w:val="00FC06EA"/>
    <w:rsid w:val="00FC0B25"/>
    <w:rsid w:val="00FC2A99"/>
    <w:rsid w:val="00FD0678"/>
    <w:rsid w:val="00FD1750"/>
    <w:rsid w:val="00FD3C5B"/>
    <w:rsid w:val="00FD4227"/>
    <w:rsid w:val="00FD4804"/>
    <w:rsid w:val="00FD528D"/>
    <w:rsid w:val="00FE3A4B"/>
    <w:rsid w:val="00FE5D72"/>
    <w:rsid w:val="00FE6108"/>
    <w:rsid w:val="00FF2349"/>
    <w:rsid w:val="00FF2934"/>
    <w:rsid w:val="00FF4B3A"/>
    <w:rsid w:val="00FF66AA"/>
    <w:rsid w:val="00FF7392"/>
    <w:rsid w:val="00FF74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E23C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index heading" w:uiPriority="99"/>
    <w:lsdException w:name="caption" w:uiPriority="35"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iPriority="20"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2"/>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uiPriority w:val="9"/>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3"/>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qFormat/>
    <w:rsid w:val="007E172D"/>
    <w:pPr>
      <w:numPr>
        <w:ilvl w:val="1"/>
        <w:numId w:val="22"/>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7E172D"/>
    <w:pPr>
      <w:numPr>
        <w:numId w:val="22"/>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5"/>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7E172D"/>
    <w:pPr>
      <w:keepNext/>
      <w:numPr>
        <w:ilvl w:val="2"/>
        <w:numId w:val="22"/>
      </w:numPr>
      <w:spacing w:before="0" w:after="0"/>
    </w:pPr>
    <w:rPr>
      <w:b/>
    </w:rPr>
  </w:style>
  <w:style w:type="paragraph" w:customStyle="1" w:styleId="dotpoint">
    <w:name w:val="dot point"/>
    <w:basedOn w:val="Normal"/>
    <w:rsid w:val="00E56A6F"/>
    <w:pPr>
      <w:numPr>
        <w:numId w:val="6"/>
      </w:numPr>
    </w:pPr>
  </w:style>
  <w:style w:type="paragraph" w:customStyle="1" w:styleId="dotpoint2">
    <w:name w:val="dot point 2"/>
    <w:basedOn w:val="Normal"/>
    <w:rsid w:val="00E56A6F"/>
    <w:pPr>
      <w:numPr>
        <w:ilvl w:val="1"/>
        <w:numId w:val="8"/>
      </w:numPr>
    </w:pPr>
  </w:style>
  <w:style w:type="numbering" w:customStyle="1" w:styleId="DotPointList">
    <w:name w:val="Dot Point List"/>
    <w:uiPriority w:val="99"/>
    <w:rsid w:val="00E56A6F"/>
    <w:pPr>
      <w:numPr>
        <w:numId w:val="7"/>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uiPriority w:val="20"/>
    <w:qForma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rsid w:val="00E56A6F"/>
    <w:pPr>
      <w:ind w:left="1985"/>
    </w:pPr>
    <w:rPr>
      <w:sz w:val="20"/>
    </w:rPr>
  </w:style>
  <w:style w:type="paragraph" w:customStyle="1" w:styleId="exampledotpoint1">
    <w:name w:val="example dot point 1"/>
    <w:basedOn w:val="exampletext"/>
    <w:rsid w:val="006A05D6"/>
    <w:pPr>
      <w:numPr>
        <w:numId w:val="10"/>
      </w:numPr>
      <w:spacing w:before="200" w:after="200"/>
      <w:ind w:left="2269" w:hanging="284"/>
    </w:pPr>
  </w:style>
  <w:style w:type="paragraph" w:customStyle="1" w:styleId="exampledotpoint2">
    <w:name w:val="example dot point 2"/>
    <w:basedOn w:val="exampletext"/>
    <w:rsid w:val="006A05D6"/>
    <w:pPr>
      <w:numPr>
        <w:ilvl w:val="1"/>
        <w:numId w:val="10"/>
      </w:numPr>
      <w:spacing w:before="200" w:after="200"/>
    </w:pPr>
  </w:style>
  <w:style w:type="numbering" w:customStyle="1" w:styleId="ExampleDotPointList">
    <w:name w:val="Example Dot Point List"/>
    <w:uiPriority w:val="99"/>
    <w:rsid w:val="00E56A6F"/>
    <w:pPr>
      <w:numPr>
        <w:numId w:val="9"/>
      </w:numPr>
    </w:pPr>
  </w:style>
  <w:style w:type="paragraph" w:customStyle="1" w:styleId="ExampleHeading">
    <w:name w:val="Example Heading"/>
    <w:basedOn w:val="Normal"/>
    <w:next w:val="exampletext"/>
    <w:rsid w:val="007E172D"/>
    <w:pPr>
      <w:keepNext/>
      <w:numPr>
        <w:ilvl w:val="3"/>
        <w:numId w:val="22"/>
      </w:numPr>
      <w:ind w:left="1134"/>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1"/>
      </w:numPr>
    </w:pPr>
  </w:style>
  <w:style w:type="paragraph" w:styleId="ListBullet2">
    <w:name w:val="List Bullet 2"/>
    <w:basedOn w:val="Normal"/>
    <w:semiHidden/>
    <w:rsid w:val="00E56A6F"/>
    <w:pPr>
      <w:numPr>
        <w:numId w:val="12"/>
      </w:numPr>
    </w:pPr>
  </w:style>
  <w:style w:type="paragraph" w:styleId="ListBullet3">
    <w:name w:val="List Bullet 3"/>
    <w:basedOn w:val="Normal"/>
    <w:semiHidden/>
    <w:rsid w:val="00E56A6F"/>
    <w:pPr>
      <w:numPr>
        <w:numId w:val="13"/>
      </w:numPr>
    </w:pPr>
  </w:style>
  <w:style w:type="paragraph" w:styleId="ListBullet4">
    <w:name w:val="List Bullet 4"/>
    <w:basedOn w:val="Normal"/>
    <w:semiHidden/>
    <w:rsid w:val="00E56A6F"/>
    <w:pPr>
      <w:numPr>
        <w:numId w:val="14"/>
      </w:numPr>
    </w:pPr>
  </w:style>
  <w:style w:type="paragraph" w:styleId="ListBullet5">
    <w:name w:val="List Bullet 5"/>
    <w:basedOn w:val="Normal"/>
    <w:semiHidden/>
    <w:rsid w:val="00E56A6F"/>
    <w:pPr>
      <w:numPr>
        <w:numId w:val="15"/>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16"/>
      </w:numPr>
    </w:pPr>
  </w:style>
  <w:style w:type="paragraph" w:styleId="ListNumber2">
    <w:name w:val="List Number 2"/>
    <w:basedOn w:val="Normal"/>
    <w:semiHidden/>
    <w:rsid w:val="00E56A6F"/>
    <w:pPr>
      <w:numPr>
        <w:numId w:val="17"/>
      </w:numPr>
    </w:pPr>
  </w:style>
  <w:style w:type="paragraph" w:styleId="ListNumber3">
    <w:name w:val="List Number 3"/>
    <w:basedOn w:val="Normal"/>
    <w:semiHidden/>
    <w:rsid w:val="00E56A6F"/>
    <w:pPr>
      <w:numPr>
        <w:numId w:val="18"/>
      </w:numPr>
    </w:pPr>
  </w:style>
  <w:style w:type="paragraph" w:styleId="ListNumber4">
    <w:name w:val="List Number 4"/>
    <w:basedOn w:val="Normal"/>
    <w:semiHidden/>
    <w:rsid w:val="00E56A6F"/>
    <w:pPr>
      <w:numPr>
        <w:numId w:val="19"/>
      </w:numPr>
    </w:pPr>
  </w:style>
  <w:style w:type="paragraph" w:styleId="ListNumber5">
    <w:name w:val="List Number 5"/>
    <w:basedOn w:val="Normal"/>
    <w:semiHidden/>
    <w:rsid w:val="00E56A6F"/>
    <w:pPr>
      <w:numPr>
        <w:numId w:val="20"/>
      </w:numPr>
    </w:pPr>
  </w:style>
  <w:style w:type="paragraph" w:styleId="ListParagraph">
    <w:name w:val="List Paragraph"/>
    <w:basedOn w:val="Normal"/>
    <w:uiPriority w:val="34"/>
    <w:qFormat/>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qFormat/>
    <w:rsid w:val="00E56A6F"/>
    <w:rPr>
      <w:b/>
      <w:bCs/>
    </w:rPr>
  </w:style>
  <w:style w:type="paragraph" w:styleId="Subtitle">
    <w:name w:val="Subtitle"/>
    <w:basedOn w:val="Normal"/>
    <w:link w:val="SubtitleChar"/>
    <w:qFormat/>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E56A6F"/>
    <w:pPr>
      <w:spacing w:before="40" w:after="40"/>
    </w:pPr>
    <w:rPr>
      <w:sz w:val="20"/>
    </w:rPr>
  </w:style>
  <w:style w:type="paragraph" w:customStyle="1" w:styleId="tabledotpoint">
    <w:name w:val="table dot point"/>
    <w:basedOn w:val="tabletext"/>
    <w:rsid w:val="00E56A6F"/>
    <w:pPr>
      <w:numPr>
        <w:numId w:val="21"/>
      </w:numPr>
    </w:pPr>
  </w:style>
  <w:style w:type="paragraph" w:customStyle="1" w:styleId="tabledotpoint2">
    <w:name w:val="table dot point 2"/>
    <w:basedOn w:val="tabletext"/>
    <w:rsid w:val="00E56A6F"/>
    <w:pPr>
      <w:numPr>
        <w:ilvl w:val="1"/>
        <w:numId w:val="21"/>
      </w:numPr>
    </w:pPr>
  </w:style>
  <w:style w:type="numbering" w:customStyle="1" w:styleId="TableDotPointList">
    <w:name w:val="Table Dot Point List"/>
    <w:uiPriority w:val="99"/>
    <w:rsid w:val="00E56A6F"/>
    <w:pPr>
      <w:numPr>
        <w:numId w:val="21"/>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7E172D"/>
    <w:pPr>
      <w:numPr>
        <w:ilvl w:val="4"/>
        <w:numId w:val="22"/>
      </w:numPr>
      <w:tabs>
        <w:tab w:val="num" w:pos="360"/>
      </w:tabs>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qFormat/>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qFormat/>
    <w:rsid w:val="00773B68"/>
    <w:pPr>
      <w:spacing w:before="0" w:after="0"/>
    </w:pPr>
  </w:style>
  <w:style w:type="character" w:customStyle="1" w:styleId="ChapterNameOnly">
    <w:name w:val="ChapterNameOnly"/>
    <w:basedOn w:val="DefaultParagraphFont"/>
    <w:uiPriority w:val="1"/>
    <w:qFormat/>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107A5E"/>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paragraph" w:customStyle="1" w:styleId="Bullet">
    <w:name w:val="Bullet"/>
    <w:aliases w:val="b,b1,b + line,Body,level 1,Bullet + line"/>
    <w:basedOn w:val="Normal"/>
    <w:link w:val="BulletChar"/>
    <w:qFormat/>
    <w:rsid w:val="00A11786"/>
    <w:pPr>
      <w:numPr>
        <w:numId w:val="23"/>
      </w:numPr>
    </w:pPr>
  </w:style>
  <w:style w:type="character" w:customStyle="1" w:styleId="BulletChar">
    <w:name w:val="Bullet Char"/>
    <w:basedOn w:val="base-text-paragraphChar"/>
    <w:link w:val="Bullet"/>
    <w:rsid w:val="00A11786"/>
    <w:rPr>
      <w:rFonts w:ascii="Times New Roman" w:eastAsia="Times New Roman" w:hAnsi="Times New Roman" w:cs="Times New Roman"/>
      <w:szCs w:val="20"/>
      <w:lang w:eastAsia="en-AU"/>
    </w:rPr>
  </w:style>
  <w:style w:type="paragraph" w:customStyle="1" w:styleId="Dash">
    <w:name w:val="Dash"/>
    <w:basedOn w:val="Normal"/>
    <w:link w:val="DashChar"/>
    <w:qFormat/>
    <w:rsid w:val="00A11786"/>
    <w:pPr>
      <w:numPr>
        <w:ilvl w:val="1"/>
        <w:numId w:val="23"/>
      </w:numPr>
    </w:pPr>
  </w:style>
  <w:style w:type="character" w:customStyle="1" w:styleId="DashChar">
    <w:name w:val="Dash Char"/>
    <w:basedOn w:val="base-text-paragraphChar"/>
    <w:link w:val="Dash"/>
    <w:rsid w:val="00A11786"/>
    <w:rPr>
      <w:rFonts w:ascii="Times New Roman" w:eastAsia="Times New Roman" w:hAnsi="Times New Roman" w:cs="Times New Roman"/>
      <w:szCs w:val="20"/>
      <w:lang w:eastAsia="en-AU"/>
    </w:rPr>
  </w:style>
  <w:style w:type="paragraph" w:customStyle="1" w:styleId="DoubleDot">
    <w:name w:val="Double Dot"/>
    <w:basedOn w:val="Normal"/>
    <w:link w:val="DoubleDotChar"/>
    <w:qFormat/>
    <w:rsid w:val="00A11786"/>
    <w:pPr>
      <w:numPr>
        <w:ilvl w:val="2"/>
        <w:numId w:val="23"/>
      </w:numPr>
    </w:pPr>
  </w:style>
  <w:style w:type="character" w:customStyle="1" w:styleId="DoubleDotChar">
    <w:name w:val="Double Dot Char"/>
    <w:basedOn w:val="base-text-paragraphChar"/>
    <w:link w:val="DoubleDot"/>
    <w:rsid w:val="00A11786"/>
    <w:rPr>
      <w:rFonts w:ascii="Times New Roman" w:eastAsia="Times New Roman" w:hAnsi="Times New Roman" w:cs="Times New Roman"/>
      <w:szCs w:val="20"/>
      <w:lang w:eastAsia="en-AU"/>
    </w:rPr>
  </w:style>
  <w:style w:type="paragraph" w:styleId="BalloonText">
    <w:name w:val="Balloon Text"/>
    <w:basedOn w:val="Normal"/>
    <w:link w:val="BalloonTextChar"/>
    <w:uiPriority w:val="99"/>
    <w:semiHidden/>
    <w:unhideWhenUsed/>
    <w:rsid w:val="00C00A03"/>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0A03"/>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56738F"/>
    <w:rPr>
      <w:sz w:val="16"/>
      <w:szCs w:val="16"/>
    </w:rPr>
  </w:style>
  <w:style w:type="paragraph" w:styleId="CommentText">
    <w:name w:val="annotation text"/>
    <w:basedOn w:val="Normal"/>
    <w:link w:val="CommentTextChar"/>
    <w:uiPriority w:val="99"/>
    <w:semiHidden/>
    <w:unhideWhenUsed/>
    <w:rsid w:val="0056738F"/>
    <w:rPr>
      <w:sz w:val="20"/>
    </w:rPr>
  </w:style>
  <w:style w:type="character" w:customStyle="1" w:styleId="CommentTextChar">
    <w:name w:val="Comment Text Char"/>
    <w:basedOn w:val="DefaultParagraphFont"/>
    <w:link w:val="CommentText"/>
    <w:uiPriority w:val="99"/>
    <w:semiHidden/>
    <w:rsid w:val="0056738F"/>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6738F"/>
    <w:rPr>
      <w:b/>
      <w:bCs/>
    </w:rPr>
  </w:style>
  <w:style w:type="character" w:customStyle="1" w:styleId="CommentSubjectChar">
    <w:name w:val="Comment Subject Char"/>
    <w:basedOn w:val="CommentTextChar"/>
    <w:link w:val="CommentSubject"/>
    <w:uiPriority w:val="99"/>
    <w:semiHidden/>
    <w:rsid w:val="0056738F"/>
    <w:rPr>
      <w:rFonts w:ascii="Times New Roman" w:eastAsia="Times New Roman" w:hAnsi="Times New Roman" w:cs="Times New Roman"/>
      <w:b/>
      <w:bCs/>
      <w:sz w:val="20"/>
      <w:szCs w:val="20"/>
      <w:lang w:eastAsia="en-AU"/>
    </w:rPr>
  </w:style>
  <w:style w:type="paragraph" w:styleId="Revision">
    <w:name w:val="Revision"/>
    <w:hidden/>
    <w:uiPriority w:val="99"/>
    <w:semiHidden/>
    <w:rsid w:val="007E172D"/>
    <w:pPr>
      <w:spacing w:after="0" w:line="240" w:lineRule="auto"/>
    </w:pPr>
    <w:rPr>
      <w:rFonts w:ascii="Times New Roman" w:eastAsia="Times New Roman" w:hAnsi="Times New Roman" w:cs="Times New Roman"/>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index heading" w:uiPriority="99"/>
    <w:lsdException w:name="caption" w:uiPriority="35"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iPriority="20"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2"/>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uiPriority w:val="9"/>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3"/>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qFormat/>
    <w:rsid w:val="007E172D"/>
    <w:pPr>
      <w:numPr>
        <w:ilvl w:val="1"/>
        <w:numId w:val="22"/>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7E172D"/>
    <w:pPr>
      <w:numPr>
        <w:numId w:val="22"/>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5"/>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7E172D"/>
    <w:pPr>
      <w:keepNext/>
      <w:numPr>
        <w:ilvl w:val="2"/>
        <w:numId w:val="22"/>
      </w:numPr>
      <w:spacing w:before="0" w:after="0"/>
    </w:pPr>
    <w:rPr>
      <w:b/>
    </w:rPr>
  </w:style>
  <w:style w:type="paragraph" w:customStyle="1" w:styleId="dotpoint">
    <w:name w:val="dot point"/>
    <w:basedOn w:val="Normal"/>
    <w:rsid w:val="00E56A6F"/>
    <w:pPr>
      <w:numPr>
        <w:numId w:val="6"/>
      </w:numPr>
    </w:pPr>
  </w:style>
  <w:style w:type="paragraph" w:customStyle="1" w:styleId="dotpoint2">
    <w:name w:val="dot point 2"/>
    <w:basedOn w:val="Normal"/>
    <w:rsid w:val="00E56A6F"/>
    <w:pPr>
      <w:numPr>
        <w:ilvl w:val="1"/>
        <w:numId w:val="8"/>
      </w:numPr>
    </w:pPr>
  </w:style>
  <w:style w:type="numbering" w:customStyle="1" w:styleId="DotPointList">
    <w:name w:val="Dot Point List"/>
    <w:uiPriority w:val="99"/>
    <w:rsid w:val="00E56A6F"/>
    <w:pPr>
      <w:numPr>
        <w:numId w:val="7"/>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uiPriority w:val="20"/>
    <w:qForma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rsid w:val="00E56A6F"/>
    <w:pPr>
      <w:ind w:left="1985"/>
    </w:pPr>
    <w:rPr>
      <w:sz w:val="20"/>
    </w:rPr>
  </w:style>
  <w:style w:type="paragraph" w:customStyle="1" w:styleId="exampledotpoint1">
    <w:name w:val="example dot point 1"/>
    <w:basedOn w:val="exampletext"/>
    <w:rsid w:val="006A05D6"/>
    <w:pPr>
      <w:numPr>
        <w:numId w:val="10"/>
      </w:numPr>
      <w:spacing w:before="200" w:after="200"/>
      <w:ind w:left="2269" w:hanging="284"/>
    </w:pPr>
  </w:style>
  <w:style w:type="paragraph" w:customStyle="1" w:styleId="exampledotpoint2">
    <w:name w:val="example dot point 2"/>
    <w:basedOn w:val="exampletext"/>
    <w:rsid w:val="006A05D6"/>
    <w:pPr>
      <w:numPr>
        <w:ilvl w:val="1"/>
        <w:numId w:val="10"/>
      </w:numPr>
      <w:spacing w:before="200" w:after="200"/>
    </w:pPr>
  </w:style>
  <w:style w:type="numbering" w:customStyle="1" w:styleId="ExampleDotPointList">
    <w:name w:val="Example Dot Point List"/>
    <w:uiPriority w:val="99"/>
    <w:rsid w:val="00E56A6F"/>
    <w:pPr>
      <w:numPr>
        <w:numId w:val="9"/>
      </w:numPr>
    </w:pPr>
  </w:style>
  <w:style w:type="paragraph" w:customStyle="1" w:styleId="ExampleHeading">
    <w:name w:val="Example Heading"/>
    <w:basedOn w:val="Normal"/>
    <w:next w:val="exampletext"/>
    <w:rsid w:val="007E172D"/>
    <w:pPr>
      <w:keepNext/>
      <w:numPr>
        <w:ilvl w:val="3"/>
        <w:numId w:val="22"/>
      </w:numPr>
      <w:ind w:left="1134"/>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1"/>
      </w:numPr>
    </w:pPr>
  </w:style>
  <w:style w:type="paragraph" w:styleId="ListBullet2">
    <w:name w:val="List Bullet 2"/>
    <w:basedOn w:val="Normal"/>
    <w:semiHidden/>
    <w:rsid w:val="00E56A6F"/>
    <w:pPr>
      <w:numPr>
        <w:numId w:val="12"/>
      </w:numPr>
    </w:pPr>
  </w:style>
  <w:style w:type="paragraph" w:styleId="ListBullet3">
    <w:name w:val="List Bullet 3"/>
    <w:basedOn w:val="Normal"/>
    <w:semiHidden/>
    <w:rsid w:val="00E56A6F"/>
    <w:pPr>
      <w:numPr>
        <w:numId w:val="13"/>
      </w:numPr>
    </w:pPr>
  </w:style>
  <w:style w:type="paragraph" w:styleId="ListBullet4">
    <w:name w:val="List Bullet 4"/>
    <w:basedOn w:val="Normal"/>
    <w:semiHidden/>
    <w:rsid w:val="00E56A6F"/>
    <w:pPr>
      <w:numPr>
        <w:numId w:val="14"/>
      </w:numPr>
    </w:pPr>
  </w:style>
  <w:style w:type="paragraph" w:styleId="ListBullet5">
    <w:name w:val="List Bullet 5"/>
    <w:basedOn w:val="Normal"/>
    <w:semiHidden/>
    <w:rsid w:val="00E56A6F"/>
    <w:pPr>
      <w:numPr>
        <w:numId w:val="15"/>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16"/>
      </w:numPr>
    </w:pPr>
  </w:style>
  <w:style w:type="paragraph" w:styleId="ListNumber2">
    <w:name w:val="List Number 2"/>
    <w:basedOn w:val="Normal"/>
    <w:semiHidden/>
    <w:rsid w:val="00E56A6F"/>
    <w:pPr>
      <w:numPr>
        <w:numId w:val="17"/>
      </w:numPr>
    </w:pPr>
  </w:style>
  <w:style w:type="paragraph" w:styleId="ListNumber3">
    <w:name w:val="List Number 3"/>
    <w:basedOn w:val="Normal"/>
    <w:semiHidden/>
    <w:rsid w:val="00E56A6F"/>
    <w:pPr>
      <w:numPr>
        <w:numId w:val="18"/>
      </w:numPr>
    </w:pPr>
  </w:style>
  <w:style w:type="paragraph" w:styleId="ListNumber4">
    <w:name w:val="List Number 4"/>
    <w:basedOn w:val="Normal"/>
    <w:semiHidden/>
    <w:rsid w:val="00E56A6F"/>
    <w:pPr>
      <w:numPr>
        <w:numId w:val="19"/>
      </w:numPr>
    </w:pPr>
  </w:style>
  <w:style w:type="paragraph" w:styleId="ListNumber5">
    <w:name w:val="List Number 5"/>
    <w:basedOn w:val="Normal"/>
    <w:semiHidden/>
    <w:rsid w:val="00E56A6F"/>
    <w:pPr>
      <w:numPr>
        <w:numId w:val="20"/>
      </w:numPr>
    </w:pPr>
  </w:style>
  <w:style w:type="paragraph" w:styleId="ListParagraph">
    <w:name w:val="List Paragraph"/>
    <w:basedOn w:val="Normal"/>
    <w:uiPriority w:val="34"/>
    <w:qFormat/>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qFormat/>
    <w:rsid w:val="00E56A6F"/>
    <w:rPr>
      <w:b/>
      <w:bCs/>
    </w:rPr>
  </w:style>
  <w:style w:type="paragraph" w:styleId="Subtitle">
    <w:name w:val="Subtitle"/>
    <w:basedOn w:val="Normal"/>
    <w:link w:val="SubtitleChar"/>
    <w:qFormat/>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E56A6F"/>
    <w:pPr>
      <w:spacing w:before="40" w:after="40"/>
    </w:pPr>
    <w:rPr>
      <w:sz w:val="20"/>
    </w:rPr>
  </w:style>
  <w:style w:type="paragraph" w:customStyle="1" w:styleId="tabledotpoint">
    <w:name w:val="table dot point"/>
    <w:basedOn w:val="tabletext"/>
    <w:rsid w:val="00E56A6F"/>
    <w:pPr>
      <w:numPr>
        <w:numId w:val="21"/>
      </w:numPr>
    </w:pPr>
  </w:style>
  <w:style w:type="paragraph" w:customStyle="1" w:styleId="tabledotpoint2">
    <w:name w:val="table dot point 2"/>
    <w:basedOn w:val="tabletext"/>
    <w:rsid w:val="00E56A6F"/>
    <w:pPr>
      <w:numPr>
        <w:ilvl w:val="1"/>
        <w:numId w:val="21"/>
      </w:numPr>
    </w:pPr>
  </w:style>
  <w:style w:type="numbering" w:customStyle="1" w:styleId="TableDotPointList">
    <w:name w:val="Table Dot Point List"/>
    <w:uiPriority w:val="99"/>
    <w:rsid w:val="00E56A6F"/>
    <w:pPr>
      <w:numPr>
        <w:numId w:val="21"/>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7E172D"/>
    <w:pPr>
      <w:numPr>
        <w:ilvl w:val="4"/>
        <w:numId w:val="22"/>
      </w:numPr>
      <w:tabs>
        <w:tab w:val="num" w:pos="360"/>
      </w:tabs>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qFormat/>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qFormat/>
    <w:rsid w:val="00773B68"/>
    <w:pPr>
      <w:spacing w:before="0" w:after="0"/>
    </w:pPr>
  </w:style>
  <w:style w:type="character" w:customStyle="1" w:styleId="ChapterNameOnly">
    <w:name w:val="ChapterNameOnly"/>
    <w:basedOn w:val="DefaultParagraphFont"/>
    <w:uiPriority w:val="1"/>
    <w:qFormat/>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107A5E"/>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paragraph" w:customStyle="1" w:styleId="Bullet">
    <w:name w:val="Bullet"/>
    <w:aliases w:val="b,b1,b + line,Body,level 1,Bullet + line"/>
    <w:basedOn w:val="Normal"/>
    <w:link w:val="BulletChar"/>
    <w:qFormat/>
    <w:rsid w:val="00A11786"/>
    <w:pPr>
      <w:numPr>
        <w:numId w:val="23"/>
      </w:numPr>
    </w:pPr>
  </w:style>
  <w:style w:type="character" w:customStyle="1" w:styleId="BulletChar">
    <w:name w:val="Bullet Char"/>
    <w:basedOn w:val="base-text-paragraphChar"/>
    <w:link w:val="Bullet"/>
    <w:rsid w:val="00A11786"/>
    <w:rPr>
      <w:rFonts w:ascii="Times New Roman" w:eastAsia="Times New Roman" w:hAnsi="Times New Roman" w:cs="Times New Roman"/>
      <w:szCs w:val="20"/>
      <w:lang w:eastAsia="en-AU"/>
    </w:rPr>
  </w:style>
  <w:style w:type="paragraph" w:customStyle="1" w:styleId="Dash">
    <w:name w:val="Dash"/>
    <w:basedOn w:val="Normal"/>
    <w:link w:val="DashChar"/>
    <w:qFormat/>
    <w:rsid w:val="00A11786"/>
    <w:pPr>
      <w:numPr>
        <w:ilvl w:val="1"/>
        <w:numId w:val="23"/>
      </w:numPr>
    </w:pPr>
  </w:style>
  <w:style w:type="character" w:customStyle="1" w:styleId="DashChar">
    <w:name w:val="Dash Char"/>
    <w:basedOn w:val="base-text-paragraphChar"/>
    <w:link w:val="Dash"/>
    <w:rsid w:val="00A11786"/>
    <w:rPr>
      <w:rFonts w:ascii="Times New Roman" w:eastAsia="Times New Roman" w:hAnsi="Times New Roman" w:cs="Times New Roman"/>
      <w:szCs w:val="20"/>
      <w:lang w:eastAsia="en-AU"/>
    </w:rPr>
  </w:style>
  <w:style w:type="paragraph" w:customStyle="1" w:styleId="DoubleDot">
    <w:name w:val="Double Dot"/>
    <w:basedOn w:val="Normal"/>
    <w:link w:val="DoubleDotChar"/>
    <w:qFormat/>
    <w:rsid w:val="00A11786"/>
    <w:pPr>
      <w:numPr>
        <w:ilvl w:val="2"/>
        <w:numId w:val="23"/>
      </w:numPr>
    </w:pPr>
  </w:style>
  <w:style w:type="character" w:customStyle="1" w:styleId="DoubleDotChar">
    <w:name w:val="Double Dot Char"/>
    <w:basedOn w:val="base-text-paragraphChar"/>
    <w:link w:val="DoubleDot"/>
    <w:rsid w:val="00A11786"/>
    <w:rPr>
      <w:rFonts w:ascii="Times New Roman" w:eastAsia="Times New Roman" w:hAnsi="Times New Roman" w:cs="Times New Roman"/>
      <w:szCs w:val="20"/>
      <w:lang w:eastAsia="en-AU"/>
    </w:rPr>
  </w:style>
  <w:style w:type="paragraph" w:styleId="BalloonText">
    <w:name w:val="Balloon Text"/>
    <w:basedOn w:val="Normal"/>
    <w:link w:val="BalloonTextChar"/>
    <w:uiPriority w:val="99"/>
    <w:semiHidden/>
    <w:unhideWhenUsed/>
    <w:rsid w:val="00C00A03"/>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0A03"/>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56738F"/>
    <w:rPr>
      <w:sz w:val="16"/>
      <w:szCs w:val="16"/>
    </w:rPr>
  </w:style>
  <w:style w:type="paragraph" w:styleId="CommentText">
    <w:name w:val="annotation text"/>
    <w:basedOn w:val="Normal"/>
    <w:link w:val="CommentTextChar"/>
    <w:uiPriority w:val="99"/>
    <w:semiHidden/>
    <w:unhideWhenUsed/>
    <w:rsid w:val="0056738F"/>
    <w:rPr>
      <w:sz w:val="20"/>
    </w:rPr>
  </w:style>
  <w:style w:type="character" w:customStyle="1" w:styleId="CommentTextChar">
    <w:name w:val="Comment Text Char"/>
    <w:basedOn w:val="DefaultParagraphFont"/>
    <w:link w:val="CommentText"/>
    <w:uiPriority w:val="99"/>
    <w:semiHidden/>
    <w:rsid w:val="0056738F"/>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6738F"/>
    <w:rPr>
      <w:b/>
      <w:bCs/>
    </w:rPr>
  </w:style>
  <w:style w:type="character" w:customStyle="1" w:styleId="CommentSubjectChar">
    <w:name w:val="Comment Subject Char"/>
    <w:basedOn w:val="CommentTextChar"/>
    <w:link w:val="CommentSubject"/>
    <w:uiPriority w:val="99"/>
    <w:semiHidden/>
    <w:rsid w:val="0056738F"/>
    <w:rPr>
      <w:rFonts w:ascii="Times New Roman" w:eastAsia="Times New Roman" w:hAnsi="Times New Roman" w:cs="Times New Roman"/>
      <w:b/>
      <w:bCs/>
      <w:sz w:val="20"/>
      <w:szCs w:val="20"/>
      <w:lang w:eastAsia="en-AU"/>
    </w:rPr>
  </w:style>
  <w:style w:type="paragraph" w:styleId="Revision">
    <w:name w:val="Revision"/>
    <w:hidden/>
    <w:uiPriority w:val="99"/>
    <w:semiHidden/>
    <w:rsid w:val="007E172D"/>
    <w:pPr>
      <w:spacing w:after="0" w:line="240" w:lineRule="auto"/>
    </w:pPr>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558034">
      <w:bodyDiv w:val="1"/>
      <w:marLeft w:val="0"/>
      <w:marRight w:val="0"/>
      <w:marTop w:val="0"/>
      <w:marBottom w:val="0"/>
      <w:divBdr>
        <w:top w:val="none" w:sz="0" w:space="0" w:color="auto"/>
        <w:left w:val="none" w:sz="0" w:space="0" w:color="auto"/>
        <w:bottom w:val="none" w:sz="0" w:space="0" w:color="auto"/>
        <w:right w:val="none" w:sz="0" w:space="0" w:color="auto"/>
      </w:divBdr>
    </w:div>
    <w:div w:id="617952602">
      <w:bodyDiv w:val="1"/>
      <w:marLeft w:val="0"/>
      <w:marRight w:val="0"/>
      <w:marTop w:val="0"/>
      <w:marBottom w:val="0"/>
      <w:divBdr>
        <w:top w:val="none" w:sz="0" w:space="0" w:color="auto"/>
        <w:left w:val="none" w:sz="0" w:space="0" w:color="auto"/>
        <w:bottom w:val="none" w:sz="0" w:space="0" w:color="auto"/>
        <w:right w:val="none" w:sz="0" w:space="0" w:color="auto"/>
      </w:divBdr>
    </w:div>
    <w:div w:id="1088234432">
      <w:bodyDiv w:val="1"/>
      <w:marLeft w:val="0"/>
      <w:marRight w:val="0"/>
      <w:marTop w:val="0"/>
      <w:marBottom w:val="0"/>
      <w:divBdr>
        <w:top w:val="none" w:sz="0" w:space="0" w:color="auto"/>
        <w:left w:val="none" w:sz="0" w:space="0" w:color="auto"/>
        <w:bottom w:val="none" w:sz="0" w:space="0" w:color="auto"/>
        <w:right w:val="none" w:sz="0" w:space="0" w:color="auto"/>
      </w:divBdr>
    </w:div>
    <w:div w:id="1245798068">
      <w:bodyDiv w:val="1"/>
      <w:marLeft w:val="0"/>
      <w:marRight w:val="0"/>
      <w:marTop w:val="0"/>
      <w:marBottom w:val="0"/>
      <w:divBdr>
        <w:top w:val="none" w:sz="0" w:space="0" w:color="auto"/>
        <w:left w:val="none" w:sz="0" w:space="0" w:color="auto"/>
        <w:bottom w:val="none" w:sz="0" w:space="0" w:color="auto"/>
        <w:right w:val="none" w:sz="0" w:space="0" w:color="auto"/>
      </w:divBdr>
    </w:div>
    <w:div w:id="1529370910">
      <w:bodyDiv w:val="1"/>
      <w:marLeft w:val="0"/>
      <w:marRight w:val="0"/>
      <w:marTop w:val="0"/>
      <w:marBottom w:val="0"/>
      <w:divBdr>
        <w:top w:val="none" w:sz="0" w:space="0" w:color="auto"/>
        <w:left w:val="none" w:sz="0" w:space="0" w:color="auto"/>
        <w:bottom w:val="none" w:sz="0" w:space="0" w:color="auto"/>
        <w:right w:val="none" w:sz="0" w:space="0" w:color="auto"/>
      </w:divBdr>
      <w:divsChild>
        <w:div w:id="832380972">
          <w:marLeft w:val="0"/>
          <w:marRight w:val="0"/>
          <w:marTop w:val="0"/>
          <w:marBottom w:val="0"/>
          <w:divBdr>
            <w:top w:val="none" w:sz="0" w:space="0" w:color="auto"/>
            <w:left w:val="none" w:sz="0" w:space="0" w:color="auto"/>
            <w:bottom w:val="none" w:sz="0" w:space="0" w:color="auto"/>
            <w:right w:val="none" w:sz="0" w:space="0" w:color="auto"/>
          </w:divBdr>
          <w:divsChild>
            <w:div w:id="762260728">
              <w:marLeft w:val="0"/>
              <w:marRight w:val="0"/>
              <w:marTop w:val="0"/>
              <w:marBottom w:val="0"/>
              <w:divBdr>
                <w:top w:val="none" w:sz="0" w:space="0" w:color="auto"/>
                <w:left w:val="none" w:sz="0" w:space="0" w:color="auto"/>
                <w:bottom w:val="none" w:sz="0" w:space="0" w:color="auto"/>
                <w:right w:val="none" w:sz="0" w:space="0" w:color="auto"/>
              </w:divBdr>
              <w:divsChild>
                <w:div w:id="1606812607">
                  <w:marLeft w:val="0"/>
                  <w:marRight w:val="0"/>
                  <w:marTop w:val="0"/>
                  <w:marBottom w:val="0"/>
                  <w:divBdr>
                    <w:top w:val="none" w:sz="0" w:space="0" w:color="auto"/>
                    <w:left w:val="none" w:sz="0" w:space="0" w:color="auto"/>
                    <w:bottom w:val="none" w:sz="0" w:space="0" w:color="auto"/>
                    <w:right w:val="none" w:sz="0" w:space="0" w:color="auto"/>
                  </w:divBdr>
                  <w:divsChild>
                    <w:div w:id="2040280327">
                      <w:marLeft w:val="0"/>
                      <w:marRight w:val="0"/>
                      <w:marTop w:val="0"/>
                      <w:marBottom w:val="0"/>
                      <w:divBdr>
                        <w:top w:val="none" w:sz="0" w:space="0" w:color="auto"/>
                        <w:left w:val="none" w:sz="0" w:space="0" w:color="auto"/>
                        <w:bottom w:val="none" w:sz="0" w:space="0" w:color="auto"/>
                        <w:right w:val="none" w:sz="0" w:space="0" w:color="auto"/>
                      </w:divBdr>
                      <w:divsChild>
                        <w:div w:id="982467442">
                          <w:marLeft w:val="150"/>
                          <w:marRight w:val="150"/>
                          <w:marTop w:val="0"/>
                          <w:marBottom w:val="0"/>
                          <w:divBdr>
                            <w:top w:val="none" w:sz="0" w:space="0" w:color="auto"/>
                            <w:left w:val="none" w:sz="0" w:space="0" w:color="auto"/>
                            <w:bottom w:val="none" w:sz="0" w:space="0" w:color="auto"/>
                            <w:right w:val="none" w:sz="0" w:space="0" w:color="auto"/>
                          </w:divBdr>
                          <w:divsChild>
                            <w:div w:id="1256787653">
                              <w:marLeft w:val="0"/>
                              <w:marRight w:val="0"/>
                              <w:marTop w:val="0"/>
                              <w:marBottom w:val="0"/>
                              <w:divBdr>
                                <w:top w:val="none" w:sz="0" w:space="0" w:color="auto"/>
                                <w:left w:val="none" w:sz="0" w:space="0" w:color="auto"/>
                                <w:bottom w:val="none" w:sz="0" w:space="0" w:color="auto"/>
                                <w:right w:val="none" w:sz="0" w:space="0" w:color="auto"/>
                              </w:divBdr>
                              <w:divsChild>
                                <w:div w:id="1168987160">
                                  <w:marLeft w:val="0"/>
                                  <w:marRight w:val="0"/>
                                  <w:marTop w:val="0"/>
                                  <w:marBottom w:val="0"/>
                                  <w:divBdr>
                                    <w:top w:val="none" w:sz="0" w:space="0" w:color="auto"/>
                                    <w:left w:val="none" w:sz="0" w:space="0" w:color="auto"/>
                                    <w:bottom w:val="none" w:sz="0" w:space="0" w:color="auto"/>
                                    <w:right w:val="none" w:sz="0" w:space="0" w:color="auto"/>
                                  </w:divBdr>
                                  <w:divsChild>
                                    <w:div w:id="51467552">
                                      <w:marLeft w:val="0"/>
                                      <w:marRight w:val="0"/>
                                      <w:marTop w:val="0"/>
                                      <w:marBottom w:val="0"/>
                                      <w:divBdr>
                                        <w:top w:val="none" w:sz="0" w:space="0" w:color="auto"/>
                                        <w:left w:val="none" w:sz="0" w:space="0" w:color="auto"/>
                                        <w:bottom w:val="none" w:sz="0" w:space="0" w:color="auto"/>
                                        <w:right w:val="none" w:sz="0" w:space="0" w:color="auto"/>
                                      </w:divBdr>
                                      <w:divsChild>
                                        <w:div w:id="936132549">
                                          <w:marLeft w:val="0"/>
                                          <w:marRight w:val="0"/>
                                          <w:marTop w:val="0"/>
                                          <w:marBottom w:val="0"/>
                                          <w:divBdr>
                                            <w:top w:val="none" w:sz="0" w:space="0" w:color="auto"/>
                                            <w:left w:val="none" w:sz="0" w:space="0" w:color="auto"/>
                                            <w:bottom w:val="none" w:sz="0" w:space="0" w:color="auto"/>
                                            <w:right w:val="none" w:sz="0" w:space="0" w:color="auto"/>
                                          </w:divBdr>
                                          <w:divsChild>
                                            <w:div w:id="2067752812">
                                              <w:marLeft w:val="0"/>
                                              <w:marRight w:val="0"/>
                                              <w:marTop w:val="0"/>
                                              <w:marBottom w:val="0"/>
                                              <w:divBdr>
                                                <w:top w:val="none" w:sz="0" w:space="0" w:color="auto"/>
                                                <w:left w:val="none" w:sz="0" w:space="0" w:color="auto"/>
                                                <w:bottom w:val="none" w:sz="0" w:space="0" w:color="auto"/>
                                                <w:right w:val="none" w:sz="0" w:space="0" w:color="auto"/>
                                              </w:divBdr>
                                              <w:divsChild>
                                                <w:div w:id="415440384">
                                                  <w:marLeft w:val="0"/>
                                                  <w:marRight w:val="0"/>
                                                  <w:marTop w:val="0"/>
                                                  <w:marBottom w:val="0"/>
                                                  <w:divBdr>
                                                    <w:top w:val="none" w:sz="0" w:space="0" w:color="auto"/>
                                                    <w:left w:val="none" w:sz="0" w:space="0" w:color="auto"/>
                                                    <w:bottom w:val="none" w:sz="0" w:space="0" w:color="auto"/>
                                                    <w:right w:val="none" w:sz="0" w:space="0" w:color="auto"/>
                                                  </w:divBdr>
                                                  <w:divsChild>
                                                    <w:div w:id="1452703343">
                                                      <w:marLeft w:val="0"/>
                                                      <w:marRight w:val="0"/>
                                                      <w:marTop w:val="0"/>
                                                      <w:marBottom w:val="0"/>
                                                      <w:divBdr>
                                                        <w:top w:val="none" w:sz="0" w:space="0" w:color="auto"/>
                                                        <w:left w:val="none" w:sz="0" w:space="0" w:color="auto"/>
                                                        <w:bottom w:val="none" w:sz="0" w:space="0" w:color="auto"/>
                                                        <w:right w:val="none" w:sz="0" w:space="0" w:color="auto"/>
                                                      </w:divBdr>
                                                      <w:divsChild>
                                                        <w:div w:id="572862576">
                                                          <w:marLeft w:val="0"/>
                                                          <w:marRight w:val="0"/>
                                                          <w:marTop w:val="0"/>
                                                          <w:marBottom w:val="0"/>
                                                          <w:divBdr>
                                                            <w:top w:val="none" w:sz="0" w:space="0" w:color="auto"/>
                                                            <w:left w:val="none" w:sz="0" w:space="0" w:color="auto"/>
                                                            <w:bottom w:val="none" w:sz="0" w:space="0" w:color="auto"/>
                                                            <w:right w:val="none" w:sz="0" w:space="0" w:color="auto"/>
                                                          </w:divBdr>
                                                          <w:divsChild>
                                                            <w:div w:id="347026436">
                                                              <w:marLeft w:val="0"/>
                                                              <w:marRight w:val="0"/>
                                                              <w:marTop w:val="0"/>
                                                              <w:marBottom w:val="0"/>
                                                              <w:divBdr>
                                                                <w:top w:val="none" w:sz="0" w:space="0" w:color="auto"/>
                                                                <w:left w:val="none" w:sz="0" w:space="0" w:color="auto"/>
                                                                <w:bottom w:val="none" w:sz="0" w:space="0" w:color="auto"/>
                                                                <w:right w:val="none" w:sz="0" w:space="0" w:color="auto"/>
                                                              </w:divBdr>
                                                              <w:divsChild>
                                                                <w:div w:id="748304875">
                                                                  <w:marLeft w:val="0"/>
                                                                  <w:marRight w:val="0"/>
                                                                  <w:marTop w:val="0"/>
                                                                  <w:marBottom w:val="0"/>
                                                                  <w:divBdr>
                                                                    <w:top w:val="none" w:sz="0" w:space="0" w:color="auto"/>
                                                                    <w:left w:val="none" w:sz="0" w:space="0" w:color="auto"/>
                                                                    <w:bottom w:val="none" w:sz="0" w:space="0" w:color="auto"/>
                                                                    <w:right w:val="none" w:sz="0" w:space="0" w:color="auto"/>
                                                                  </w:divBdr>
                                                                  <w:divsChild>
                                                                    <w:div w:id="2065136837">
                                                                      <w:marLeft w:val="0"/>
                                                                      <w:marRight w:val="0"/>
                                                                      <w:marTop w:val="0"/>
                                                                      <w:marBottom w:val="0"/>
                                                                      <w:divBdr>
                                                                        <w:top w:val="none" w:sz="0" w:space="0" w:color="auto"/>
                                                                        <w:left w:val="none" w:sz="0" w:space="0" w:color="auto"/>
                                                                        <w:bottom w:val="none" w:sz="0" w:space="0" w:color="auto"/>
                                                                        <w:right w:val="none" w:sz="0" w:space="0" w:color="auto"/>
                                                                      </w:divBdr>
                                                                      <w:divsChild>
                                                                        <w:div w:id="1047951175">
                                                                          <w:marLeft w:val="0"/>
                                                                          <w:marRight w:val="0"/>
                                                                          <w:marTop w:val="0"/>
                                                                          <w:marBottom w:val="0"/>
                                                                          <w:divBdr>
                                                                            <w:top w:val="none" w:sz="0" w:space="0" w:color="auto"/>
                                                                            <w:left w:val="none" w:sz="0" w:space="0" w:color="auto"/>
                                                                            <w:bottom w:val="none" w:sz="0" w:space="0" w:color="auto"/>
                                                                            <w:right w:val="none" w:sz="0" w:space="0" w:color="auto"/>
                                                                          </w:divBdr>
                                                                          <w:divsChild>
                                                                            <w:div w:id="108469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2967421">
      <w:bodyDiv w:val="1"/>
      <w:marLeft w:val="0"/>
      <w:marRight w:val="0"/>
      <w:marTop w:val="0"/>
      <w:marBottom w:val="0"/>
      <w:divBdr>
        <w:top w:val="none" w:sz="0" w:space="0" w:color="auto"/>
        <w:left w:val="none" w:sz="0" w:space="0" w:color="auto"/>
        <w:bottom w:val="none" w:sz="0" w:space="0" w:color="auto"/>
        <w:right w:val="none" w:sz="0" w:space="0" w:color="auto"/>
      </w:divBdr>
    </w:div>
    <w:div w:id="1764717013">
      <w:bodyDiv w:val="1"/>
      <w:marLeft w:val="0"/>
      <w:marRight w:val="0"/>
      <w:marTop w:val="0"/>
      <w:marBottom w:val="0"/>
      <w:divBdr>
        <w:top w:val="none" w:sz="0" w:space="0" w:color="auto"/>
        <w:left w:val="none" w:sz="0" w:space="0" w:color="auto"/>
        <w:bottom w:val="none" w:sz="0" w:space="0" w:color="auto"/>
        <w:right w:val="none" w:sz="0" w:space="0" w:color="auto"/>
      </w:divBdr>
      <w:divsChild>
        <w:div w:id="941258239">
          <w:marLeft w:val="0"/>
          <w:marRight w:val="0"/>
          <w:marTop w:val="0"/>
          <w:marBottom w:val="0"/>
          <w:divBdr>
            <w:top w:val="none" w:sz="0" w:space="0" w:color="auto"/>
            <w:left w:val="none" w:sz="0" w:space="0" w:color="auto"/>
            <w:bottom w:val="none" w:sz="0" w:space="0" w:color="auto"/>
            <w:right w:val="none" w:sz="0" w:space="0" w:color="auto"/>
          </w:divBdr>
          <w:divsChild>
            <w:div w:id="2027825707">
              <w:marLeft w:val="0"/>
              <w:marRight w:val="0"/>
              <w:marTop w:val="0"/>
              <w:marBottom w:val="0"/>
              <w:divBdr>
                <w:top w:val="none" w:sz="0" w:space="0" w:color="auto"/>
                <w:left w:val="none" w:sz="0" w:space="0" w:color="auto"/>
                <w:bottom w:val="none" w:sz="0" w:space="0" w:color="auto"/>
                <w:right w:val="none" w:sz="0" w:space="0" w:color="auto"/>
              </w:divBdr>
              <w:divsChild>
                <w:div w:id="169486342">
                  <w:marLeft w:val="0"/>
                  <w:marRight w:val="0"/>
                  <w:marTop w:val="0"/>
                  <w:marBottom w:val="0"/>
                  <w:divBdr>
                    <w:top w:val="none" w:sz="0" w:space="0" w:color="auto"/>
                    <w:left w:val="none" w:sz="0" w:space="0" w:color="auto"/>
                    <w:bottom w:val="none" w:sz="0" w:space="0" w:color="auto"/>
                    <w:right w:val="none" w:sz="0" w:space="0" w:color="auto"/>
                  </w:divBdr>
                  <w:divsChild>
                    <w:div w:id="1858695686">
                      <w:marLeft w:val="0"/>
                      <w:marRight w:val="0"/>
                      <w:marTop w:val="0"/>
                      <w:marBottom w:val="0"/>
                      <w:divBdr>
                        <w:top w:val="none" w:sz="0" w:space="0" w:color="auto"/>
                        <w:left w:val="none" w:sz="0" w:space="0" w:color="auto"/>
                        <w:bottom w:val="none" w:sz="0" w:space="0" w:color="auto"/>
                        <w:right w:val="none" w:sz="0" w:space="0" w:color="auto"/>
                      </w:divBdr>
                      <w:divsChild>
                        <w:div w:id="252393662">
                          <w:marLeft w:val="150"/>
                          <w:marRight w:val="150"/>
                          <w:marTop w:val="0"/>
                          <w:marBottom w:val="0"/>
                          <w:divBdr>
                            <w:top w:val="none" w:sz="0" w:space="0" w:color="auto"/>
                            <w:left w:val="none" w:sz="0" w:space="0" w:color="auto"/>
                            <w:bottom w:val="none" w:sz="0" w:space="0" w:color="auto"/>
                            <w:right w:val="none" w:sz="0" w:space="0" w:color="auto"/>
                          </w:divBdr>
                          <w:divsChild>
                            <w:div w:id="768235853">
                              <w:marLeft w:val="0"/>
                              <w:marRight w:val="0"/>
                              <w:marTop w:val="0"/>
                              <w:marBottom w:val="0"/>
                              <w:divBdr>
                                <w:top w:val="none" w:sz="0" w:space="0" w:color="auto"/>
                                <w:left w:val="none" w:sz="0" w:space="0" w:color="auto"/>
                                <w:bottom w:val="none" w:sz="0" w:space="0" w:color="auto"/>
                                <w:right w:val="none" w:sz="0" w:space="0" w:color="auto"/>
                              </w:divBdr>
                              <w:divsChild>
                                <w:div w:id="734090964">
                                  <w:marLeft w:val="0"/>
                                  <w:marRight w:val="0"/>
                                  <w:marTop w:val="0"/>
                                  <w:marBottom w:val="0"/>
                                  <w:divBdr>
                                    <w:top w:val="none" w:sz="0" w:space="0" w:color="auto"/>
                                    <w:left w:val="none" w:sz="0" w:space="0" w:color="auto"/>
                                    <w:bottom w:val="none" w:sz="0" w:space="0" w:color="auto"/>
                                    <w:right w:val="none" w:sz="0" w:space="0" w:color="auto"/>
                                  </w:divBdr>
                                  <w:divsChild>
                                    <w:div w:id="2058894144">
                                      <w:marLeft w:val="0"/>
                                      <w:marRight w:val="0"/>
                                      <w:marTop w:val="0"/>
                                      <w:marBottom w:val="0"/>
                                      <w:divBdr>
                                        <w:top w:val="none" w:sz="0" w:space="0" w:color="auto"/>
                                        <w:left w:val="none" w:sz="0" w:space="0" w:color="auto"/>
                                        <w:bottom w:val="none" w:sz="0" w:space="0" w:color="auto"/>
                                        <w:right w:val="none" w:sz="0" w:space="0" w:color="auto"/>
                                      </w:divBdr>
                                      <w:divsChild>
                                        <w:div w:id="2060471034">
                                          <w:marLeft w:val="0"/>
                                          <w:marRight w:val="0"/>
                                          <w:marTop w:val="0"/>
                                          <w:marBottom w:val="0"/>
                                          <w:divBdr>
                                            <w:top w:val="none" w:sz="0" w:space="0" w:color="auto"/>
                                            <w:left w:val="none" w:sz="0" w:space="0" w:color="auto"/>
                                            <w:bottom w:val="none" w:sz="0" w:space="0" w:color="auto"/>
                                            <w:right w:val="none" w:sz="0" w:space="0" w:color="auto"/>
                                          </w:divBdr>
                                          <w:divsChild>
                                            <w:div w:id="1126121123">
                                              <w:marLeft w:val="0"/>
                                              <w:marRight w:val="0"/>
                                              <w:marTop w:val="0"/>
                                              <w:marBottom w:val="0"/>
                                              <w:divBdr>
                                                <w:top w:val="none" w:sz="0" w:space="0" w:color="auto"/>
                                                <w:left w:val="none" w:sz="0" w:space="0" w:color="auto"/>
                                                <w:bottom w:val="none" w:sz="0" w:space="0" w:color="auto"/>
                                                <w:right w:val="none" w:sz="0" w:space="0" w:color="auto"/>
                                              </w:divBdr>
                                              <w:divsChild>
                                                <w:div w:id="635109755">
                                                  <w:marLeft w:val="0"/>
                                                  <w:marRight w:val="0"/>
                                                  <w:marTop w:val="0"/>
                                                  <w:marBottom w:val="0"/>
                                                  <w:divBdr>
                                                    <w:top w:val="none" w:sz="0" w:space="0" w:color="auto"/>
                                                    <w:left w:val="none" w:sz="0" w:space="0" w:color="auto"/>
                                                    <w:bottom w:val="none" w:sz="0" w:space="0" w:color="auto"/>
                                                    <w:right w:val="none" w:sz="0" w:space="0" w:color="auto"/>
                                                  </w:divBdr>
                                                  <w:divsChild>
                                                    <w:div w:id="1288046113">
                                                      <w:marLeft w:val="0"/>
                                                      <w:marRight w:val="0"/>
                                                      <w:marTop w:val="0"/>
                                                      <w:marBottom w:val="0"/>
                                                      <w:divBdr>
                                                        <w:top w:val="none" w:sz="0" w:space="0" w:color="auto"/>
                                                        <w:left w:val="none" w:sz="0" w:space="0" w:color="auto"/>
                                                        <w:bottom w:val="none" w:sz="0" w:space="0" w:color="auto"/>
                                                        <w:right w:val="none" w:sz="0" w:space="0" w:color="auto"/>
                                                      </w:divBdr>
                                                      <w:divsChild>
                                                        <w:div w:id="1937714872">
                                                          <w:marLeft w:val="0"/>
                                                          <w:marRight w:val="0"/>
                                                          <w:marTop w:val="0"/>
                                                          <w:marBottom w:val="0"/>
                                                          <w:divBdr>
                                                            <w:top w:val="none" w:sz="0" w:space="0" w:color="auto"/>
                                                            <w:left w:val="none" w:sz="0" w:space="0" w:color="auto"/>
                                                            <w:bottom w:val="none" w:sz="0" w:space="0" w:color="auto"/>
                                                            <w:right w:val="none" w:sz="0" w:space="0" w:color="auto"/>
                                                          </w:divBdr>
                                                          <w:divsChild>
                                                            <w:div w:id="142822535">
                                                              <w:marLeft w:val="0"/>
                                                              <w:marRight w:val="0"/>
                                                              <w:marTop w:val="0"/>
                                                              <w:marBottom w:val="0"/>
                                                              <w:divBdr>
                                                                <w:top w:val="none" w:sz="0" w:space="0" w:color="auto"/>
                                                                <w:left w:val="none" w:sz="0" w:space="0" w:color="auto"/>
                                                                <w:bottom w:val="none" w:sz="0" w:space="0" w:color="auto"/>
                                                                <w:right w:val="none" w:sz="0" w:space="0" w:color="auto"/>
                                                              </w:divBdr>
                                                              <w:divsChild>
                                                                <w:div w:id="274993814">
                                                                  <w:marLeft w:val="0"/>
                                                                  <w:marRight w:val="0"/>
                                                                  <w:marTop w:val="0"/>
                                                                  <w:marBottom w:val="0"/>
                                                                  <w:divBdr>
                                                                    <w:top w:val="none" w:sz="0" w:space="0" w:color="auto"/>
                                                                    <w:left w:val="none" w:sz="0" w:space="0" w:color="auto"/>
                                                                    <w:bottom w:val="none" w:sz="0" w:space="0" w:color="auto"/>
                                                                    <w:right w:val="none" w:sz="0" w:space="0" w:color="auto"/>
                                                                  </w:divBdr>
                                                                  <w:divsChild>
                                                                    <w:div w:id="905333585">
                                                                      <w:marLeft w:val="0"/>
                                                                      <w:marRight w:val="0"/>
                                                                      <w:marTop w:val="0"/>
                                                                      <w:marBottom w:val="0"/>
                                                                      <w:divBdr>
                                                                        <w:top w:val="none" w:sz="0" w:space="0" w:color="auto"/>
                                                                        <w:left w:val="none" w:sz="0" w:space="0" w:color="auto"/>
                                                                        <w:bottom w:val="none" w:sz="0" w:space="0" w:color="auto"/>
                                                                        <w:right w:val="none" w:sz="0" w:space="0" w:color="auto"/>
                                                                      </w:divBdr>
                                                                      <w:divsChild>
                                                                        <w:div w:id="1914972257">
                                                                          <w:marLeft w:val="0"/>
                                                                          <w:marRight w:val="0"/>
                                                                          <w:marTop w:val="0"/>
                                                                          <w:marBottom w:val="0"/>
                                                                          <w:divBdr>
                                                                            <w:top w:val="none" w:sz="0" w:space="0" w:color="auto"/>
                                                                            <w:left w:val="none" w:sz="0" w:space="0" w:color="auto"/>
                                                                            <w:bottom w:val="none" w:sz="0" w:space="0" w:color="auto"/>
                                                                            <w:right w:val="none" w:sz="0" w:space="0" w:color="auto"/>
                                                                          </w:divBdr>
                                                                          <w:divsChild>
                                                                            <w:div w:id="90298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0036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6.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oter" Target="footer9.xml"/><Relationship Id="rId10" Type="http://schemas.openxmlformats.org/officeDocument/2006/relationships/settings" Target="settings.xml"/><Relationship Id="rId19" Type="http://schemas.openxmlformats.org/officeDocument/2006/relationships/footer" Target="footer3.xml"/><Relationship Id="rId31" Type="http://schemas.openxmlformats.org/officeDocument/2006/relationships/footer" Target="footer1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8.xml"/><Relationship Id="rId30" Type="http://schemas.openxmlformats.org/officeDocument/2006/relationships/footer" Target="foot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DDAFF7E1A29DE64F981B4EA50562BA75" ma:contentTypeVersion="14330" ma:contentTypeDescription="" ma:contentTypeScope="" ma:versionID="5727ff5c1afdef695c3fb902741266e5">
  <xsd:schema xmlns:xsd="http://www.w3.org/2001/XMLSchema" xmlns:xs="http://www.w3.org/2001/XMLSchema" xmlns:p="http://schemas.microsoft.com/office/2006/metadata/properties" xmlns:ns1="http://schemas.microsoft.com/sharepoint/v3" xmlns:ns2="0f563589-9cf9-4143-b1eb-fb0534803d38" xmlns:ns3="d4dd4adf-ddb3-46a3-8d7c-fab3fb2a6bc7" xmlns:ns5="http://schemas.microsoft.com/sharepoint/v4" targetNamespace="http://schemas.microsoft.com/office/2006/metadata/properties" ma:root="true" ma:fieldsID="16f59817d12c356334f63fdd4cbf933c" ns1:_="" ns2:_="" ns3:_="" ns5: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1:_dlc_Exempt"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KeywordTaxHTField" ma:index="19" nillable="true" ma:taxonomy="true" ma:internalName="TaxKeywordTaxHTField" ma:taxonomyFieldName="TaxKeyword" ma:displayName="Enterprise Keywords" ma:fieldId="{23f27201-bee3-471e-b2e7-b64fd8b7ca38}" ma:taxonomyMulti="true" ma:sspId="77b7a547-5880-464f-83f8-cefe583c3af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0f563589-9cf9-4143-b1eb-fb0534803d38">2018MG-133-35095</_dlc_DocId>
    <TaxCatchAll xmlns="0f563589-9cf9-4143-b1eb-fb0534803d38">
      <Value>14</Value>
    </TaxCatchAll>
    <_dlc_DocIdUrl xmlns="0f563589-9cf9-4143-b1eb-fb0534803d38">
      <Url>http://tweb/sites/mg/sbccpd/_layouts/15/DocIdRedir.aspx?ID=2018MG-133-35095</Url>
      <Description>2018MG-133-35095</Description>
    </_dlc_DocIdUr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TaxKeywordTaxHTField xmlns="0f563589-9cf9-4143-b1eb-fb0534803d38">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135857-BFB6-4BF3-9152-FCF5F71D2AE0}"/>
</file>

<file path=customXml/itemProps2.xml><?xml version="1.0" encoding="utf-8"?>
<ds:datastoreItem xmlns:ds="http://schemas.openxmlformats.org/officeDocument/2006/customXml" ds:itemID="{E484BCE1-B00C-45BB-B3CA-CEE712E03F53}">
  <ds:schemaRefs>
    <ds:schemaRef ds:uri="http://schemas.microsoft.com/office/infopath/2007/PartnerControls"/>
    <ds:schemaRef ds:uri="687b78b0-2ddd-4441-8a8b-c9638c2a1939"/>
    <ds:schemaRef ds:uri="http://schemas.microsoft.com/sharepoint/v4"/>
    <ds:schemaRef ds:uri="http://www.w3.org/XML/1998/namespace"/>
    <ds:schemaRef ds:uri="0f563589-9cf9-4143-b1eb-fb0534803d38"/>
    <ds:schemaRef ds:uri="http://schemas.microsoft.com/office/2006/documentManagement/types"/>
    <ds:schemaRef ds:uri="http://schemas.openxmlformats.org/package/2006/metadata/core-properties"/>
    <ds:schemaRef ds:uri="9f7bc583-7cbe-45b9-a2bd-8bbb6543b37e"/>
    <ds:schemaRef ds:uri="http://schemas.microsoft.com/sharepoint/v3"/>
    <ds:schemaRef ds:uri="http://purl.org/dc/terms/"/>
    <ds:schemaRef ds:uri="http://schemas.microsoft.com/office/2006/metadata/properties"/>
    <ds:schemaRef ds:uri="http://purl.org/dc/dcmitype/"/>
    <ds:schemaRef ds:uri="http://purl.org/dc/elements/1.1/"/>
  </ds:schemaRefs>
</ds:datastoreItem>
</file>

<file path=customXml/itemProps3.xml><?xml version="1.0" encoding="utf-8"?>
<ds:datastoreItem xmlns:ds="http://schemas.openxmlformats.org/officeDocument/2006/customXml" ds:itemID="{5581620C-90D2-41D3-81BF-E59E92C75C12}">
  <ds:schemaRefs>
    <ds:schemaRef ds:uri="http://schemas.microsoft.com/sharepoint/v3/contenttype/forms"/>
  </ds:schemaRefs>
</ds:datastoreItem>
</file>

<file path=customXml/itemProps4.xml><?xml version="1.0" encoding="utf-8"?>
<ds:datastoreItem xmlns:ds="http://schemas.openxmlformats.org/officeDocument/2006/customXml" ds:itemID="{5DA20A99-2B29-4611-9411-DB1E85E475F5}"/>
</file>

<file path=customXml/itemProps5.xml><?xml version="1.0" encoding="utf-8"?>
<ds:datastoreItem xmlns:ds="http://schemas.openxmlformats.org/officeDocument/2006/customXml" ds:itemID="{C7C0CFDE-1B99-438E-AFEB-989941CB6856}"/>
</file>

<file path=customXml/itemProps6.xml><?xml version="1.0" encoding="utf-8"?>
<ds:datastoreItem xmlns:ds="http://schemas.openxmlformats.org/officeDocument/2006/customXml" ds:itemID="{5E273C04-8AF2-4F95-8E20-FFC5692E1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Pri-EM.dotx</Template>
  <TotalTime>1</TotalTime>
  <Pages>28</Pages>
  <Words>6980</Words>
  <Characters>39786</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46673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Rak, Michelle</dc:creator>
  <cp:lastModifiedBy>Schneider Rumble, Anna</cp:lastModifiedBy>
  <cp:revision>2</cp:revision>
  <cp:lastPrinted>2018-09-24T00:17:00Z</cp:lastPrinted>
  <dcterms:created xsi:type="dcterms:W3CDTF">2018-09-24T02:59:00Z</dcterms:created>
  <dcterms:modified xsi:type="dcterms:W3CDTF">2018-09-24T02:59:00Z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Point_WorkflowType">
    <vt:lpwstr>ActiveSubmitStub</vt:lpwstr>
  </property>
  <property fmtid="{D5CDD505-2E9C-101B-9397-08002B2CF9AE}" pid="3" name="RecordPoint_SubmissionDate">
    <vt:lpwstr/>
  </property>
  <property fmtid="{D5CDD505-2E9C-101B-9397-08002B2CF9AE}" pid="4" name="RecordPoint_ActiveItemMoved">
    <vt:lpwstr/>
  </property>
  <property fmtid="{D5CDD505-2E9C-101B-9397-08002B2CF9AE}" pid="5" name="RecordPoint_RecordFormat">
    <vt:lpwstr/>
  </property>
  <property fmtid="{D5CDD505-2E9C-101B-9397-08002B2CF9AE}" pid="6" name="_AdHocReviewCycleID">
    <vt:i4>2064066495</vt:i4>
  </property>
  <property fmtid="{D5CDD505-2E9C-101B-9397-08002B2CF9AE}" pid="7" name="_NewReviewCycle">
    <vt:lpwstr/>
  </property>
  <property fmtid="{D5CDD505-2E9C-101B-9397-08002B2CF9AE}" pid="8" name="_EmailSubject">
    <vt:lpwstr>Documents to be consulted on for CDR</vt:lpwstr>
  </property>
  <property fmtid="{D5CDD505-2E9C-101B-9397-08002B2CF9AE}" pid="9" name="_AuthorEmail">
    <vt:lpwstr>Kathryn.Wardell@TREASURY.GOV.AU</vt:lpwstr>
  </property>
  <property fmtid="{D5CDD505-2E9C-101B-9397-08002B2CF9AE}" pid="10" name="_AuthorEmailDisplayName">
    <vt:lpwstr>Wardell, Kathryn</vt:lpwstr>
  </property>
  <property fmtid="{D5CDD505-2E9C-101B-9397-08002B2CF9AE}" pid="11" name="_dlc_DocIdItemGuid">
    <vt:lpwstr>5b7986d5-caa9-4cf2-93ee-756ad696379b</vt:lpwstr>
  </property>
  <property fmtid="{D5CDD505-2E9C-101B-9397-08002B2CF9AE}" pid="12" name="ContentTypeId">
    <vt:lpwstr>0x010100E95D40E5DFEA714B90E88DB5CE07A6B500DDAFF7E1A29DE64F981B4EA50562BA75</vt:lpwstr>
  </property>
  <property fmtid="{D5CDD505-2E9C-101B-9397-08002B2CF9AE}" pid="13" name="RecordPoint_ActiveItemUniqueId">
    <vt:lpwstr>{307def03-2c14-47dc-856e-bcecf7870ee9}</vt:lpwstr>
  </property>
  <property fmtid="{D5CDD505-2E9C-101B-9397-08002B2CF9AE}" pid="14" name="RecordPoint_ActiveItemWebId">
    <vt:lpwstr>{09392e0d-4618-463d-b4d2-50a90b9447cf}</vt:lpwstr>
  </property>
  <property fmtid="{D5CDD505-2E9C-101B-9397-08002B2CF9AE}" pid="15" name="RecordPoint_ActiveItemSiteId">
    <vt:lpwstr>{5b52b9a5-e5b2-4521-8814-a1e24ca2869d}</vt:lpwstr>
  </property>
  <property fmtid="{D5CDD505-2E9C-101B-9397-08002B2CF9AE}" pid="16" name="RecordPoint_ActiveItemListId">
    <vt:lpwstr>{687b78b0-2ddd-4441-8a8b-c9638c2a1939}</vt:lpwstr>
  </property>
  <property fmtid="{D5CDD505-2E9C-101B-9397-08002B2CF9AE}" pid="17" name="RecordPoint_RecordNumberSubmitted">
    <vt:lpwstr>R0001885922</vt:lpwstr>
  </property>
  <property fmtid="{D5CDD505-2E9C-101B-9397-08002B2CF9AE}" pid="18" name="TaxKeyword">
    <vt:lpwstr/>
  </property>
  <property fmtid="{D5CDD505-2E9C-101B-9397-08002B2CF9AE}" pid="19" name="TSYRecordClass">
    <vt:lpwstr>14;#TSY RA-9236 - Retain as national archives|c6a225b4-6b93-473e-bcbb-6bc6ab25b623</vt:lpwstr>
  </property>
  <property fmtid="{D5CDD505-2E9C-101B-9397-08002B2CF9AE}" pid="20" name="_PreviousAdHocReviewCycleID">
    <vt:i4>-1727297732</vt:i4>
  </property>
  <property fmtid="{D5CDD505-2E9C-101B-9397-08002B2CF9AE}" pid="22" name="RecordPoint_SubmissionCompleted">
    <vt:lpwstr>2018-09-24T10:21:19.7280597+10:00</vt:lpwstr>
  </property>
</Properties>
</file>