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83245" w14:textId="77777777" w:rsidR="000B2A41" w:rsidRDefault="00EE6817" w:rsidP="00006F7E">
      <w:pPr>
        <w:pStyle w:val="CoverTitleSub"/>
        <w:rPr>
          <w:rFonts w:cs="Calibri"/>
          <w:szCs w:val="36"/>
        </w:rPr>
      </w:pPr>
      <w:r>
        <w:rPr>
          <w:rFonts w:cs="Calibri"/>
          <w:szCs w:val="36"/>
        </w:rPr>
        <w:t xml:space="preserve">  </w:t>
      </w:r>
    </w:p>
    <w:p w14:paraId="0C383246" w14:textId="77777777" w:rsidR="000B2A41" w:rsidRDefault="000B2A41" w:rsidP="00006F7E">
      <w:pPr>
        <w:pStyle w:val="CoverTitleSub"/>
        <w:rPr>
          <w:rFonts w:cs="Calibri"/>
          <w:szCs w:val="36"/>
        </w:rPr>
      </w:pPr>
    </w:p>
    <w:p w14:paraId="0C383247" w14:textId="77777777" w:rsidR="000B2A41" w:rsidRDefault="000B2A41" w:rsidP="00006F7E">
      <w:pPr>
        <w:pStyle w:val="CoverTitleSub"/>
        <w:rPr>
          <w:rFonts w:cs="Calibri"/>
          <w:szCs w:val="36"/>
        </w:rPr>
      </w:pPr>
    </w:p>
    <w:p w14:paraId="0C383248" w14:textId="77777777" w:rsidR="000B2A41" w:rsidRDefault="000B2A41" w:rsidP="00006F7E">
      <w:pPr>
        <w:pStyle w:val="CoverTitleSub"/>
        <w:rPr>
          <w:rFonts w:cs="Calibri"/>
          <w:szCs w:val="36"/>
        </w:rPr>
      </w:pPr>
    </w:p>
    <w:p w14:paraId="0C383249" w14:textId="77777777" w:rsidR="000B2A41" w:rsidRDefault="000B2A41" w:rsidP="00006F7E">
      <w:pPr>
        <w:pStyle w:val="CoverTitleSub"/>
        <w:rPr>
          <w:rFonts w:cs="Calibri"/>
          <w:szCs w:val="36"/>
        </w:rPr>
      </w:pPr>
    </w:p>
    <w:p w14:paraId="0C38324A" w14:textId="77777777" w:rsidR="000B2A41" w:rsidRDefault="00DC1A6D" w:rsidP="00006F7E">
      <w:pPr>
        <w:pStyle w:val="CoverTitleSub"/>
        <w:ind w:left="-1400" w:right="-1418"/>
      </w:pPr>
      <w:r>
        <w:rPr>
          <w:noProof/>
        </w:rPr>
        <mc:AlternateContent>
          <mc:Choice Requires="wps">
            <w:drawing>
              <wp:inline distT="0" distB="0" distL="0" distR="0" wp14:anchorId="0C383311" wp14:editId="0C383312">
                <wp:extent cx="7560310" cy="2286000"/>
                <wp:effectExtent l="0" t="0"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286000"/>
                        </a:xfrm>
                        <a:prstGeom prst="rect">
                          <a:avLst/>
                        </a:prstGeom>
                        <a:gradFill rotWithShape="1">
                          <a:gsLst>
                            <a:gs pos="0">
                              <a:srgbClr val="342E82"/>
                            </a:gs>
                            <a:gs pos="100000">
                              <a:srgbClr val="342E82">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83320" w14:textId="77777777" w:rsidR="00511D2D" w:rsidRDefault="00511D2D" w:rsidP="00006F7E">
                            <w:pPr>
                              <w:jc w:val="right"/>
                              <w:rPr>
                                <w:rFonts w:cs="Calibri"/>
                                <w:sz w:val="48"/>
                                <w:szCs w:val="48"/>
                              </w:rPr>
                            </w:pPr>
                          </w:p>
                          <w:p w14:paraId="0C383321" w14:textId="77777777" w:rsidR="00511D2D" w:rsidRDefault="00511D2D" w:rsidP="00006F7E">
                            <w:pPr>
                              <w:spacing w:before="240" w:line="360" w:lineRule="auto"/>
                              <w:jc w:val="right"/>
                              <w:rPr>
                                <w:color w:val="FFFFFF"/>
                                <w:sz w:val="56"/>
                                <w:szCs w:val="56"/>
                              </w:rPr>
                            </w:pPr>
                            <w:r>
                              <w:rPr>
                                <w:color w:val="FFFFFF"/>
                                <w:sz w:val="56"/>
                                <w:szCs w:val="56"/>
                              </w:rPr>
                              <w:t xml:space="preserve">Improving the tax treatment of bad debts in related party financing </w:t>
                            </w:r>
                          </w:p>
                          <w:p w14:paraId="0C383322" w14:textId="77777777" w:rsidR="00511D2D" w:rsidRDefault="00511D2D" w:rsidP="00006F7E">
                            <w:pPr>
                              <w:jc w:val="right"/>
                              <w:rPr>
                                <w:rFonts w:cs="Calibri"/>
                                <w:b/>
                                <w:sz w:val="48"/>
                                <w:szCs w:val="48"/>
                              </w:rPr>
                            </w:pPr>
                          </w:p>
                        </w:txbxContent>
                      </wps:txbx>
                      <wps:bodyPr rot="0" vert="horz" wrap="square" lIns="91440" tIns="45720" rIns="90000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95.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" fillcolor="#342e82" stroked="f">
                <v:fill color2="#18153c" rotate="t" focus="100%" type="gradient"/>
                <v:textbox inset=",,25mm">
                  <w:txbxContent>
                    <w:p w:rsidR="00511D2D" w:rsidRDefault="00511D2D" w:rsidP="00006F7E">
                      <w:pPr>
                        <w:jc w:val="right"/>
                        <w:rPr>
                          <w:rFonts w:cs="Calibri"/>
                          <w:sz w:val="48"/>
                          <w:szCs w:val="48"/>
                        </w:rPr>
                      </w:pPr>
                    </w:p>
                    <w:p w:rsidR="00511D2D" w:rsidRDefault="00511D2D" w:rsidP="00006F7E">
                      <w:pPr>
                        <w:spacing w:before="240" w:line="360" w:lineRule="auto"/>
                        <w:jc w:val="right"/>
                        <w:rPr>
                          <w:color w:val="FFFFFF"/>
                          <w:sz w:val="56"/>
                          <w:szCs w:val="56"/>
                        </w:rPr>
                      </w:pPr>
                      <w:r>
                        <w:rPr>
                          <w:color w:val="FFFFFF"/>
                          <w:sz w:val="56"/>
                          <w:szCs w:val="56"/>
                        </w:rPr>
                        <w:t xml:space="preserve">Improving the tax treatment of bad debts in related party financing </w:t>
                      </w:r>
                    </w:p>
                    <w:p w:rsidR="00511D2D" w:rsidRDefault="00511D2D" w:rsidP="00006F7E">
                      <w:pPr>
                        <w:jc w:val="right"/>
                        <w:rPr>
                          <w:rFonts w:cs="Calibri"/>
                          <w:b/>
                          <w:sz w:val="48"/>
                          <w:szCs w:val="48"/>
                        </w:rPr>
                      </w:pPr>
                    </w:p>
                  </w:txbxContent>
                </v:textbox>
                <w10:anchorlock/>
              </v:shape>
            </w:pict>
          </mc:Fallback>
        </mc:AlternateContent>
      </w:r>
    </w:p>
    <w:p w14:paraId="0C38324B" w14:textId="77777777" w:rsidR="000B2A41" w:rsidRDefault="000B2A41" w:rsidP="00006F7E">
      <w:pPr>
        <w:pStyle w:val="CoverTitleSub"/>
      </w:pPr>
      <w:r>
        <w:rPr>
          <w:rFonts w:cs="Calibri"/>
        </w:rPr>
        <w:t>Discussion paper</w:t>
      </w:r>
      <w:r>
        <w:rPr>
          <w:rFonts w:cs="Calibri"/>
        </w:rPr>
        <w:br/>
      </w:r>
      <w:r>
        <w:rPr>
          <w:szCs w:val="28"/>
        </w:rPr>
        <w:t>Ju</w:t>
      </w:r>
      <w:r w:rsidR="008A73B0">
        <w:rPr>
          <w:szCs w:val="28"/>
        </w:rPr>
        <w:t>ly</w:t>
      </w:r>
      <w:r>
        <w:rPr>
          <w:szCs w:val="28"/>
        </w:rPr>
        <w:t xml:space="preserve"> 2012</w:t>
      </w:r>
    </w:p>
    <w:p w14:paraId="0C38324C" w14:textId="77777777" w:rsidR="000B2A41" w:rsidRDefault="000B2A41" w:rsidP="00006F7E">
      <w:pPr>
        <w:rPr>
          <w:rFonts w:cs="Calibri"/>
          <w:sz w:val="20"/>
        </w:rPr>
      </w:pPr>
    </w:p>
    <w:p w14:paraId="0C38324D" w14:textId="77777777" w:rsidR="000B2A41" w:rsidRDefault="000B2A41" w:rsidP="00006F7E">
      <w:pPr>
        <w:sectPr w:rsidR="000B2A41">
          <w:footerReference w:type="even" r:id="rId12"/>
          <w:pgSz w:w="11906" w:h="16838"/>
          <w:pgMar w:top="1418" w:right="1418" w:bottom="1418" w:left="1418" w:header="709" w:footer="709" w:gutter="0"/>
          <w:cols w:space="720"/>
        </w:sectPr>
      </w:pPr>
    </w:p>
    <w:p w14:paraId="0C38324E" w14:textId="77777777" w:rsidR="000B2A41" w:rsidRDefault="000B2A41" w:rsidP="00240AAC">
      <w:r w:rsidRPr="00661BF0">
        <w:lastRenderedPageBreak/>
        <w:t xml:space="preserve">© Commonwealth of Australia </w:t>
      </w:r>
      <w:r w:rsidRPr="00FD53D1">
        <w:t>2012</w:t>
      </w:r>
    </w:p>
    <w:p w14:paraId="0C38324F" w14:textId="4A983BCB" w:rsidR="000B2A41" w:rsidRPr="00464A16" w:rsidRDefault="000B2A41" w:rsidP="00240AAC">
      <w:r w:rsidRPr="00464A16">
        <w:t xml:space="preserve">ISBN </w:t>
      </w:r>
      <w:r w:rsidR="00906407">
        <w:t>978 0 642 74837 9</w:t>
      </w:r>
    </w:p>
    <w:p w14:paraId="0C383250" w14:textId="77777777" w:rsidR="000B2A41" w:rsidRPr="00086F82" w:rsidRDefault="000B2A41" w:rsidP="00240AAC">
      <w:pPr>
        <w:tabs>
          <w:tab w:val="left" w:pos="1650"/>
        </w:tabs>
        <w:spacing w:before="100" w:beforeAutospacing="1" w:after="100" w:afterAutospacing="1"/>
        <w:rPr>
          <w:rStyle w:val="A5"/>
          <w:sz w:val="24"/>
          <w:szCs w:val="24"/>
        </w:rPr>
      </w:pPr>
      <w:r w:rsidRPr="002F1BC2">
        <w:t>This publication is available for your use under a</w:t>
      </w:r>
      <w:r w:rsidRPr="00476F09">
        <w:rPr>
          <w:rStyle w:val="A5"/>
          <w:rFonts w:cs="Calibri"/>
          <w:sz w:val="24"/>
          <w:szCs w:val="24"/>
        </w:rPr>
        <w:t xml:space="preserve"> </w:t>
      </w:r>
      <w:hyperlink r:id="rId13" w:history="1">
        <w:r w:rsidRPr="006627B4">
          <w:rPr>
            <w:rStyle w:val="Hyperlink"/>
          </w:rPr>
          <w:t>Creative Commons Attribution 3.0 Australia</w:t>
        </w:r>
      </w:hyperlink>
      <w:r w:rsidRPr="00476F09">
        <w:rPr>
          <w:rStyle w:val="A5"/>
          <w:rFonts w:cs="Calibr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Style w:val="A5"/>
          <w:rFonts w:cs="Calibri"/>
          <w:sz w:val="24"/>
          <w:szCs w:val="24"/>
        </w:rPr>
        <w:t xml:space="preserve"> </w:t>
      </w:r>
      <w:hyperlink r:id="rId14"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C383251" w14:textId="77777777" w:rsidR="000B2A41" w:rsidRDefault="00DC1A6D" w:rsidP="00240AAC">
      <w:pPr>
        <w:tabs>
          <w:tab w:val="left" w:pos="1650"/>
        </w:tabs>
        <w:spacing w:before="100" w:beforeAutospacing="1" w:after="100" w:afterAutospacing="1" w:line="240" w:lineRule="auto"/>
        <w:rPr>
          <w:rFonts w:cs="Calibri"/>
          <w:sz w:val="24"/>
          <w:szCs w:val="24"/>
        </w:rPr>
      </w:pPr>
      <w:r>
        <w:rPr>
          <w:rFonts w:cs="Calibri"/>
          <w:noProof/>
          <w:sz w:val="24"/>
          <w:szCs w:val="24"/>
        </w:rPr>
        <w:drawing>
          <wp:inline distT="0" distB="0" distL="0" distR="0" wp14:anchorId="0C383313" wp14:editId="0C383314">
            <wp:extent cx="804545" cy="270510"/>
            <wp:effectExtent l="0" t="0" r="0" b="0"/>
            <wp:docPr id="2"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4545" cy="270510"/>
                    </a:xfrm>
                    <a:prstGeom prst="rect">
                      <a:avLst/>
                    </a:prstGeom>
                    <a:noFill/>
                    <a:ln>
                      <a:noFill/>
                    </a:ln>
                  </pic:spPr>
                </pic:pic>
              </a:graphicData>
            </a:graphic>
          </wp:inline>
        </w:drawing>
      </w:r>
    </w:p>
    <w:p w14:paraId="0C383252" w14:textId="77777777" w:rsidR="000B2A41" w:rsidRPr="006627B4" w:rsidRDefault="000B2A41" w:rsidP="00240AAC">
      <w:pPr>
        <w:tabs>
          <w:tab w:val="left" w:pos="1650"/>
        </w:tabs>
        <w:spacing w:before="100" w:beforeAutospacing="1" w:after="100" w:afterAutospacing="1"/>
      </w:pPr>
      <w:r w:rsidRPr="006627B4">
        <w:t>Use of Treasury material under a</w:t>
      </w:r>
      <w:r w:rsidRPr="00476F09">
        <w:rPr>
          <w:rFonts w:cs="Calibr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0C383253" w14:textId="77777777" w:rsidR="000B2A41" w:rsidRPr="002F1BC2" w:rsidRDefault="000B2A41" w:rsidP="00240AAC">
      <w:pPr>
        <w:rPr>
          <w:i/>
        </w:rPr>
      </w:pPr>
      <w:r w:rsidRPr="002F1BC2">
        <w:rPr>
          <w:i/>
        </w:rPr>
        <w:t>Treasury material used 'as supplied'</w:t>
      </w:r>
    </w:p>
    <w:p w14:paraId="0C383254" w14:textId="368AB723" w:rsidR="000B2A41" w:rsidRPr="00476F09" w:rsidRDefault="000B2A41" w:rsidP="00240AAC">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906407">
        <w:t xml:space="preserve"> — </w:t>
      </w:r>
      <w:r>
        <w:t>then Treasury prefers t</w:t>
      </w:r>
      <w:r w:rsidRPr="00476F09">
        <w:t xml:space="preserve">he following attribution: </w:t>
      </w:r>
    </w:p>
    <w:p w14:paraId="0C383255" w14:textId="77777777" w:rsidR="000B2A41" w:rsidRPr="00A13A11" w:rsidRDefault="000B2A41" w:rsidP="00240AAC">
      <w:pPr>
        <w:ind w:firstLine="720"/>
      </w:pPr>
      <w:r w:rsidRPr="002F1BC2">
        <w:rPr>
          <w:i/>
        </w:rPr>
        <w:t xml:space="preserve">Source: The </w:t>
      </w:r>
      <w:r w:rsidRPr="002F1BC2">
        <w:rPr>
          <w:i/>
          <w:iCs/>
        </w:rPr>
        <w:t>Aus</w:t>
      </w:r>
      <w:r>
        <w:rPr>
          <w:i/>
          <w:iCs/>
        </w:rPr>
        <w:t>tralian Government the Treasury</w:t>
      </w:r>
    </w:p>
    <w:p w14:paraId="0C383256" w14:textId="77777777" w:rsidR="000B2A41" w:rsidRPr="006627B4" w:rsidRDefault="000B2A41" w:rsidP="00240AAC">
      <w:r w:rsidRPr="006627B4">
        <w:t>Derivative material</w:t>
      </w:r>
    </w:p>
    <w:p w14:paraId="0C383257" w14:textId="77777777" w:rsidR="000B2A41" w:rsidRPr="006627B4" w:rsidRDefault="000B2A41" w:rsidP="00240AAC">
      <w:r w:rsidRPr="006627B4">
        <w:t xml:space="preserve">If you have modified or transformed Treasury material, or derived new material from those of the Treasury in any way, then Treasury prefers the following attribution: </w:t>
      </w:r>
    </w:p>
    <w:p w14:paraId="0C383258" w14:textId="77777777" w:rsidR="000B2A41" w:rsidRPr="006627B4" w:rsidRDefault="000B2A41" w:rsidP="00240AAC">
      <w:pPr>
        <w:ind w:firstLine="720"/>
      </w:pPr>
      <w:r w:rsidRPr="002F1BC2">
        <w:rPr>
          <w:i/>
        </w:rPr>
        <w:t>Based on The Australian Government the Treasury data</w:t>
      </w:r>
    </w:p>
    <w:p w14:paraId="0C383259" w14:textId="77777777" w:rsidR="000B2A41" w:rsidRPr="006627B4" w:rsidRDefault="000B2A41" w:rsidP="00240AAC">
      <w:pPr>
        <w:spacing w:after="40"/>
        <w:rPr>
          <w:b/>
        </w:rPr>
      </w:pPr>
      <w:r w:rsidRPr="006627B4">
        <w:rPr>
          <w:b/>
        </w:rPr>
        <w:t>Use of the Coat of Arms</w:t>
      </w:r>
    </w:p>
    <w:p w14:paraId="0C38325A" w14:textId="77777777" w:rsidR="000B2A41" w:rsidRPr="006627B4" w:rsidRDefault="000B2A41" w:rsidP="00240AAC">
      <w:r w:rsidRPr="006627B4">
        <w:t xml:space="preserve">The terms under which the Coat of Arms can be used are set out on the It’s an Honour website (see </w:t>
      </w:r>
      <w:hyperlink r:id="rId17" w:history="1">
        <w:r w:rsidRPr="006627B4">
          <w:t>www.itsanhonour.gov.au</w:t>
        </w:r>
      </w:hyperlink>
      <w:r w:rsidRPr="006627B4">
        <w:t>)</w:t>
      </w:r>
    </w:p>
    <w:p w14:paraId="0C38325B" w14:textId="77777777" w:rsidR="000B2A41" w:rsidRPr="006627B4" w:rsidRDefault="000B2A41" w:rsidP="00240AAC">
      <w:pPr>
        <w:spacing w:after="40"/>
        <w:rPr>
          <w:b/>
        </w:rPr>
      </w:pPr>
      <w:r w:rsidRPr="006627B4">
        <w:rPr>
          <w:b/>
        </w:rPr>
        <w:t>Other Uses</w:t>
      </w:r>
    </w:p>
    <w:p w14:paraId="0C38325C" w14:textId="77777777" w:rsidR="000B2A41" w:rsidRPr="006627B4" w:rsidRDefault="000B2A41" w:rsidP="00240AAC">
      <w:r w:rsidRPr="006627B4">
        <w:t>Inquiries regarding this licence and any other use of this document are welcome at:</w:t>
      </w:r>
    </w:p>
    <w:p w14:paraId="0C38325D" w14:textId="77777777" w:rsidR="000B2A41" w:rsidRPr="006627B4" w:rsidRDefault="000B2A41" w:rsidP="00240AAC">
      <w:pPr>
        <w:spacing w:after="0"/>
        <w:ind w:left="720"/>
      </w:pPr>
      <w:r w:rsidRPr="006627B4">
        <w:t>Manager</w:t>
      </w:r>
    </w:p>
    <w:p w14:paraId="0C38325E" w14:textId="77777777" w:rsidR="000B2A41" w:rsidRPr="006627B4" w:rsidRDefault="000B2A41" w:rsidP="00240AAC">
      <w:pPr>
        <w:spacing w:after="0"/>
        <w:ind w:left="720"/>
      </w:pPr>
      <w:r w:rsidRPr="006627B4">
        <w:t xml:space="preserve">Communications </w:t>
      </w:r>
    </w:p>
    <w:p w14:paraId="0C38325F" w14:textId="77777777" w:rsidR="000B2A41" w:rsidRPr="006627B4" w:rsidRDefault="000B2A41" w:rsidP="00240AAC">
      <w:pPr>
        <w:spacing w:after="0"/>
        <w:ind w:left="720"/>
      </w:pPr>
      <w:r w:rsidRPr="006627B4">
        <w:t>The Treasury</w:t>
      </w:r>
    </w:p>
    <w:p w14:paraId="0C383260" w14:textId="77777777" w:rsidR="000B2A41" w:rsidRPr="006627B4" w:rsidRDefault="000B2A41" w:rsidP="00240AAC">
      <w:pPr>
        <w:spacing w:after="0"/>
        <w:ind w:left="720"/>
      </w:pPr>
      <w:r w:rsidRPr="006627B4">
        <w:t>Langton Crescent Parkes ACT 2600</w:t>
      </w:r>
    </w:p>
    <w:p w14:paraId="0C383261" w14:textId="77777777" w:rsidR="000B2A41" w:rsidRPr="002F1BC2" w:rsidRDefault="000B2A41" w:rsidP="00240AAC">
      <w:pPr>
        <w:spacing w:after="0"/>
        <w:ind w:left="720"/>
        <w:rPr>
          <w:rStyle w:val="Hyperlink"/>
        </w:rPr>
      </w:pPr>
      <w:r w:rsidRPr="006627B4">
        <w:t xml:space="preserve">Email: </w:t>
      </w:r>
      <w:hyperlink r:id="rId18" w:history="1">
        <w:r w:rsidRPr="00B31CFB">
          <w:rPr>
            <w:rStyle w:val="Hyperlink"/>
          </w:rPr>
          <w:t>medialiaison@treasury.gov.au</w:t>
        </w:r>
      </w:hyperlink>
      <w:r w:rsidRPr="002F1BC2">
        <w:rPr>
          <w:rStyle w:val="Hyperlink"/>
        </w:rPr>
        <w:t xml:space="preserve"> </w:t>
      </w:r>
    </w:p>
    <w:p w14:paraId="0C383262" w14:textId="77777777" w:rsidR="000B2A41" w:rsidRDefault="000B2A41" w:rsidP="007F7C8E">
      <w:pPr>
        <w:rPr>
          <w:rFonts w:cs="Arial"/>
        </w:rPr>
      </w:pPr>
    </w:p>
    <w:p w14:paraId="0C383263" w14:textId="77777777" w:rsidR="000B2A41" w:rsidRDefault="000B2A41" w:rsidP="00006F7E">
      <w:pPr>
        <w:sectPr w:rsidR="000B2A41">
          <w:footerReference w:type="even" r:id="rId19"/>
          <w:pgSz w:w="11906" w:h="16838"/>
          <w:pgMar w:top="1418" w:right="1418" w:bottom="1418" w:left="1418" w:header="709" w:footer="709" w:gutter="0"/>
          <w:cols w:space="720"/>
        </w:sectPr>
      </w:pPr>
    </w:p>
    <w:p w14:paraId="0C383264" w14:textId="77777777" w:rsidR="000B2A41" w:rsidRDefault="000B2A41" w:rsidP="00006F7E">
      <w:pPr>
        <w:pStyle w:val="Heading2NotNumbered"/>
        <w:rPr>
          <w:rFonts w:cs="Calibri"/>
          <w:caps/>
        </w:rPr>
      </w:pPr>
      <w:r>
        <w:rPr>
          <w:rFonts w:cs="Calibri"/>
        </w:rPr>
        <w:lastRenderedPageBreak/>
        <w:t>Consultation Process</w:t>
      </w:r>
    </w:p>
    <w:p w14:paraId="0C383265" w14:textId="77777777" w:rsidR="000B2A41" w:rsidRDefault="000B2A41" w:rsidP="00006F7E">
      <w:pPr>
        <w:pStyle w:val="Heading4"/>
      </w:pPr>
      <w:r>
        <w:rPr>
          <w:rFonts w:cs="Calibri"/>
          <w:bCs w:val="0"/>
        </w:rPr>
        <w:t>Request for feedback and comments</w:t>
      </w:r>
    </w:p>
    <w:p w14:paraId="0C383266" w14:textId="3CF1C631" w:rsidR="000B2A41" w:rsidRPr="00EA2E97" w:rsidRDefault="000B2A41" w:rsidP="00EA2E97">
      <w:pPr>
        <w:rPr>
          <w:rFonts w:cs="Arial"/>
        </w:rPr>
      </w:pPr>
      <w:r w:rsidRPr="00EA2E97">
        <w:rPr>
          <w:rFonts w:cs="Arial"/>
        </w:rPr>
        <w:t>The Government seeks your feedback and comments on the issue outlined in this consultation paper</w:t>
      </w:r>
      <w:r w:rsidR="00906407">
        <w:rPr>
          <w:rFonts w:cs="Arial"/>
        </w:rPr>
        <w:t xml:space="preserve">. </w:t>
      </w:r>
      <w:r w:rsidRPr="00EA2E97">
        <w:rPr>
          <w:rFonts w:cs="Arial"/>
        </w:rPr>
        <w:t>To assist those wishing to make a submission, questions for consultation are located at the end of each section</w:t>
      </w:r>
      <w:r w:rsidR="00906407">
        <w:rPr>
          <w:rFonts w:cs="Arial"/>
        </w:rPr>
        <w:t xml:space="preserve">. </w:t>
      </w:r>
      <w:r w:rsidRPr="00EA2E97">
        <w:rPr>
          <w:rFonts w:cs="Arial"/>
        </w:rPr>
        <w:t>However, you should feel free to address any issue raised in this paper, and should not feel obliged to address every question</w:t>
      </w:r>
      <w:r w:rsidR="00906407">
        <w:rPr>
          <w:rFonts w:cs="Arial"/>
        </w:rPr>
        <w:t xml:space="preserve">. </w:t>
      </w:r>
      <w:r w:rsidRPr="00EA2E97">
        <w:rPr>
          <w:rFonts w:cs="Arial"/>
        </w:rPr>
        <w:t>The information obtained through this process will inform the Government’s approach on the way forward and also assist in meeting the requirements of the Office of Best Practice Regulation.</w:t>
      </w:r>
    </w:p>
    <w:p w14:paraId="0C383267" w14:textId="550606FC" w:rsidR="000B2A41" w:rsidRPr="00EA2E97" w:rsidRDefault="000B2A41" w:rsidP="00EA2E97">
      <w:pPr>
        <w:rPr>
          <w:rFonts w:cs="Arial"/>
        </w:rPr>
      </w:pPr>
      <w:r w:rsidRPr="00EA2E97">
        <w:rPr>
          <w:rFonts w:cs="Arial"/>
        </w:rPr>
        <w:t>All information (including name and address details) contained in submissions will be made available to the public on the Treasury website, unless you indicate that you would like all or part of your submission to remain in confidence</w:t>
      </w:r>
      <w:r w:rsidR="00906407">
        <w:rPr>
          <w:rFonts w:cs="Arial"/>
        </w:rPr>
        <w:t xml:space="preserve">. </w:t>
      </w:r>
      <w:r w:rsidRPr="00EA2E97">
        <w:rPr>
          <w:rFonts w:cs="Arial"/>
        </w:rPr>
        <w:t>Automatically generated confidentiality statements in emails do not suffice for this purpose</w:t>
      </w:r>
      <w:r w:rsidR="00906407">
        <w:rPr>
          <w:rFonts w:cs="Arial"/>
        </w:rPr>
        <w:t xml:space="preserve">. </w:t>
      </w:r>
      <w:r w:rsidRPr="00EA2E97">
        <w:rPr>
          <w:rFonts w:cs="Arial"/>
        </w:rPr>
        <w:t>Respondents who wish that part of their submission to remain in confidence should provide this information marked as such in a separate attachment</w:t>
      </w:r>
      <w:r w:rsidR="00906407">
        <w:rPr>
          <w:rFonts w:cs="Arial"/>
        </w:rPr>
        <w:t xml:space="preserve">. </w:t>
      </w:r>
      <w:r w:rsidRPr="00EA2E97">
        <w:rPr>
          <w:rFonts w:cs="Arial"/>
        </w:rPr>
        <w:t xml:space="preserve">A request made under the </w:t>
      </w:r>
      <w:r w:rsidRPr="0096335A">
        <w:rPr>
          <w:rFonts w:cs="Arial"/>
          <w:i/>
        </w:rPr>
        <w:t>Freedom of Information Act 1982</w:t>
      </w:r>
      <w:r w:rsidRPr="00EA2E97">
        <w:rPr>
          <w:rFonts w:cs="Arial"/>
        </w:rPr>
        <w:t xml:space="preserve"> (Commonwealth) for a submission marked ‘confidential’ to be made available will be determined in accordance with that Act.</w:t>
      </w:r>
    </w:p>
    <w:p w14:paraId="0C383268" w14:textId="37C61A4E" w:rsidR="000B2A41" w:rsidRDefault="000B2A41" w:rsidP="00EA2E97">
      <w:pPr>
        <w:rPr>
          <w:rFonts w:cs="Arial"/>
        </w:rPr>
      </w:pPr>
      <w:r w:rsidRPr="00EA2E97">
        <w:rPr>
          <w:rFonts w:cs="Arial"/>
        </w:rPr>
        <w:t>While submissions may be lodged electronically or by post, electronic lodgement is preferred</w:t>
      </w:r>
      <w:r w:rsidR="00906407">
        <w:rPr>
          <w:rFonts w:cs="Arial"/>
        </w:rPr>
        <w:t xml:space="preserve">. </w:t>
      </w:r>
      <w:r w:rsidRPr="00EA2E97">
        <w:rPr>
          <w:rFonts w:cs="Arial"/>
        </w:rPr>
        <w:t>For accessibility reasons, please email responses in a Word or RTF format</w:t>
      </w:r>
      <w:r w:rsidR="00906407">
        <w:rPr>
          <w:rFonts w:cs="Arial"/>
        </w:rPr>
        <w:t xml:space="preserve">. </w:t>
      </w:r>
      <w:r w:rsidRPr="00EA2E97">
        <w:rPr>
          <w:rFonts w:cs="Arial"/>
        </w:rPr>
        <w:t>An additional PDF version may also be submitted.</w:t>
      </w:r>
    </w:p>
    <w:p w14:paraId="0C383269" w14:textId="77777777" w:rsidR="000B2A41" w:rsidRDefault="000B2A41" w:rsidP="00006F7E">
      <w:pPr>
        <w:pStyle w:val="Heading4"/>
      </w:pPr>
      <w:r>
        <w:rPr>
          <w:rFonts w:cs="Calibri"/>
          <w:bCs w:val="0"/>
        </w:rPr>
        <w:t xml:space="preserve">Closing date for submissions: </w:t>
      </w:r>
      <w:r w:rsidR="000B69A9" w:rsidRPr="000B69A9">
        <w:rPr>
          <w:rFonts w:cs="Calibri"/>
          <w:bCs w:val="0"/>
        </w:rPr>
        <w:t>10 August</w:t>
      </w:r>
      <w:r w:rsidRPr="000B69A9">
        <w:t xml:space="preserve"> 2012</w:t>
      </w:r>
    </w:p>
    <w:tbl>
      <w:tblPr>
        <w:tblW w:w="0" w:type="auto"/>
        <w:tblLook w:val="01E0" w:firstRow="1" w:lastRow="1" w:firstColumn="1" w:lastColumn="1" w:noHBand="0" w:noVBand="0"/>
      </w:tblPr>
      <w:tblGrid>
        <w:gridCol w:w="1668"/>
        <w:gridCol w:w="7618"/>
      </w:tblGrid>
      <w:tr w:rsidR="000B2A41" w:rsidRPr="002C19E8" w14:paraId="0C38326C" w14:textId="77777777" w:rsidTr="00006F7E">
        <w:tc>
          <w:tcPr>
            <w:tcW w:w="1668" w:type="dxa"/>
          </w:tcPr>
          <w:p w14:paraId="0C38326A" w14:textId="77777777" w:rsidR="000B2A41" w:rsidRPr="002C19E8" w:rsidRDefault="000B2A41">
            <w:pPr>
              <w:pStyle w:val="SingleParagraph"/>
              <w:rPr>
                <w:rFonts w:cs="Arial"/>
              </w:rPr>
            </w:pPr>
            <w:bookmarkStart w:id="0" w:name="OLE_LINK5" w:colFirst="0" w:colLast="0"/>
            <w:bookmarkStart w:id="1" w:name="OLE_LINK6" w:colFirst="0" w:colLast="0"/>
            <w:r w:rsidRPr="002C19E8">
              <w:rPr>
                <w:rFonts w:cs="Arial"/>
              </w:rPr>
              <w:t xml:space="preserve">Email: </w:t>
            </w:r>
          </w:p>
        </w:tc>
        <w:tc>
          <w:tcPr>
            <w:tcW w:w="7618" w:type="dxa"/>
          </w:tcPr>
          <w:p w14:paraId="0C38326B" w14:textId="77777777" w:rsidR="000B2A41" w:rsidRDefault="00906407">
            <w:pPr>
              <w:rPr>
                <w:rFonts w:cs="Arial"/>
              </w:rPr>
            </w:pPr>
            <w:hyperlink r:id="rId20" w:history="1">
              <w:r w:rsidR="000B2A41" w:rsidRPr="002C19E8">
                <w:rPr>
                  <w:rStyle w:val="Hyperlink"/>
                  <w:rFonts w:cs="Arial"/>
                </w:rPr>
                <w:t>financetax@treasury.gov.au</w:t>
              </w:r>
            </w:hyperlink>
            <w:r w:rsidR="000B2A41" w:rsidRPr="002C19E8">
              <w:rPr>
                <w:rFonts w:cs="Arial"/>
              </w:rPr>
              <w:t xml:space="preserve"> </w:t>
            </w:r>
          </w:p>
        </w:tc>
      </w:tr>
      <w:bookmarkEnd w:id="0"/>
      <w:bookmarkEnd w:id="1"/>
      <w:tr w:rsidR="000B2A41" w:rsidRPr="002C19E8" w14:paraId="0C383273" w14:textId="77777777" w:rsidTr="00006F7E">
        <w:tc>
          <w:tcPr>
            <w:tcW w:w="1668" w:type="dxa"/>
          </w:tcPr>
          <w:p w14:paraId="0C38326D" w14:textId="77777777" w:rsidR="000B2A41" w:rsidRPr="002C19E8" w:rsidRDefault="000B2A41">
            <w:pPr>
              <w:pStyle w:val="SingleParagraph"/>
              <w:rPr>
                <w:rFonts w:cs="Arial"/>
              </w:rPr>
            </w:pPr>
            <w:r w:rsidRPr="002C19E8">
              <w:rPr>
                <w:rFonts w:cs="Arial"/>
              </w:rPr>
              <w:t>Mail:</w:t>
            </w:r>
          </w:p>
        </w:tc>
        <w:tc>
          <w:tcPr>
            <w:tcW w:w="7618" w:type="dxa"/>
          </w:tcPr>
          <w:p w14:paraId="0C38326E" w14:textId="77777777" w:rsidR="000B2A41" w:rsidRPr="002C19E8" w:rsidRDefault="000B2A41" w:rsidP="008E6336">
            <w:pPr>
              <w:pStyle w:val="SingleParagraph"/>
              <w:rPr>
                <w:rFonts w:cs="Arial"/>
              </w:rPr>
            </w:pPr>
            <w:r w:rsidRPr="002C19E8">
              <w:rPr>
                <w:rFonts w:cs="Arial"/>
              </w:rPr>
              <w:t>The General Manager</w:t>
            </w:r>
          </w:p>
          <w:p w14:paraId="0C38326F" w14:textId="77777777" w:rsidR="000B2A41" w:rsidRPr="002C19E8" w:rsidRDefault="000B2A41" w:rsidP="008E6336">
            <w:pPr>
              <w:pStyle w:val="SingleParagraph"/>
              <w:rPr>
                <w:rFonts w:cs="Arial"/>
              </w:rPr>
            </w:pPr>
            <w:r w:rsidRPr="002C19E8">
              <w:rPr>
                <w:rFonts w:cs="Arial"/>
              </w:rPr>
              <w:t>Business Tax Division</w:t>
            </w:r>
          </w:p>
          <w:p w14:paraId="0C383270" w14:textId="77777777" w:rsidR="000B2A41" w:rsidRPr="002C19E8" w:rsidRDefault="000B2A41" w:rsidP="008E6336">
            <w:pPr>
              <w:pStyle w:val="SingleParagraph"/>
              <w:rPr>
                <w:rFonts w:cs="Arial"/>
              </w:rPr>
            </w:pPr>
            <w:r w:rsidRPr="002C19E8">
              <w:rPr>
                <w:rFonts w:cs="Arial"/>
              </w:rPr>
              <w:t>The Treasury</w:t>
            </w:r>
          </w:p>
          <w:p w14:paraId="0C383271" w14:textId="77777777" w:rsidR="000B2A41" w:rsidRPr="002C19E8" w:rsidRDefault="000B2A41">
            <w:pPr>
              <w:pStyle w:val="SingleParagraph"/>
              <w:rPr>
                <w:rFonts w:cs="Arial"/>
              </w:rPr>
            </w:pPr>
            <w:smartTag w:uri="urn:schemas-microsoft-com:office:smarttags" w:element="address">
              <w:smartTag w:uri="urn:schemas-microsoft-com:office:smarttags" w:element="Street">
                <w:r w:rsidRPr="002C19E8">
                  <w:rPr>
                    <w:rFonts w:cs="Arial"/>
                  </w:rPr>
                  <w:t>Langton Crescent</w:t>
                </w:r>
              </w:smartTag>
            </w:smartTag>
          </w:p>
          <w:p w14:paraId="0C383272" w14:textId="77777777" w:rsidR="000B2A41" w:rsidRDefault="000B2A41">
            <w:pPr>
              <w:rPr>
                <w:rFonts w:cs="Arial"/>
              </w:rPr>
            </w:pPr>
            <w:r w:rsidRPr="002C19E8">
              <w:rPr>
                <w:rFonts w:cs="Arial"/>
              </w:rPr>
              <w:t>PARKES ACT 2600</w:t>
            </w:r>
          </w:p>
        </w:tc>
      </w:tr>
      <w:tr w:rsidR="000B2A41" w:rsidRPr="002C19E8" w14:paraId="0C383276" w14:textId="77777777" w:rsidTr="00006F7E">
        <w:tc>
          <w:tcPr>
            <w:tcW w:w="1668" w:type="dxa"/>
          </w:tcPr>
          <w:p w14:paraId="0C383274" w14:textId="77777777" w:rsidR="000B2A41" w:rsidRPr="002C19E8" w:rsidRDefault="000B2A41">
            <w:pPr>
              <w:pStyle w:val="SingleParagraph"/>
              <w:rPr>
                <w:rFonts w:cs="Arial"/>
              </w:rPr>
            </w:pPr>
            <w:r w:rsidRPr="002C19E8">
              <w:rPr>
                <w:rFonts w:cs="Arial"/>
              </w:rPr>
              <w:t>Enq</w:t>
            </w:r>
            <w:r>
              <w:rPr>
                <w:rStyle w:val="SingleParagraphChar"/>
                <w:rFonts w:cs="Arial"/>
              </w:rPr>
              <w:t>u</w:t>
            </w:r>
            <w:r w:rsidRPr="002C19E8">
              <w:rPr>
                <w:rFonts w:cs="Arial"/>
              </w:rPr>
              <w:t>iries:</w:t>
            </w:r>
          </w:p>
        </w:tc>
        <w:tc>
          <w:tcPr>
            <w:tcW w:w="7618" w:type="dxa"/>
          </w:tcPr>
          <w:p w14:paraId="0C383275" w14:textId="77777777" w:rsidR="000B2A41" w:rsidRDefault="000B2A41" w:rsidP="005341CC">
            <w:pPr>
              <w:rPr>
                <w:rFonts w:cs="Arial"/>
              </w:rPr>
            </w:pPr>
            <w:r w:rsidRPr="002C19E8">
              <w:rPr>
                <w:rFonts w:cs="Arial"/>
              </w:rPr>
              <w:t xml:space="preserve">Enquiries </w:t>
            </w:r>
            <w:r w:rsidR="005341CC">
              <w:rPr>
                <w:rFonts w:cs="Arial"/>
              </w:rPr>
              <w:t>may</w:t>
            </w:r>
            <w:r w:rsidRPr="002C19E8">
              <w:rPr>
                <w:rFonts w:cs="Arial"/>
              </w:rPr>
              <w:t xml:space="preserve"> be initially directed to Teresa Bostle</w:t>
            </w:r>
          </w:p>
        </w:tc>
      </w:tr>
      <w:tr w:rsidR="000B2A41" w:rsidRPr="002C19E8" w14:paraId="0C383279" w14:textId="77777777" w:rsidTr="00006F7E">
        <w:tc>
          <w:tcPr>
            <w:tcW w:w="1668" w:type="dxa"/>
          </w:tcPr>
          <w:p w14:paraId="0C383277" w14:textId="77777777" w:rsidR="000B2A41" w:rsidRDefault="000B2A41">
            <w:pPr>
              <w:rPr>
                <w:rFonts w:cs="Arial"/>
              </w:rPr>
            </w:pPr>
            <w:r w:rsidRPr="002C19E8">
              <w:rPr>
                <w:rFonts w:cs="Arial"/>
              </w:rPr>
              <w:t>Phone:</w:t>
            </w:r>
          </w:p>
        </w:tc>
        <w:tc>
          <w:tcPr>
            <w:tcW w:w="7618" w:type="dxa"/>
          </w:tcPr>
          <w:p w14:paraId="0C383278" w14:textId="77777777" w:rsidR="000B2A41" w:rsidRDefault="000B2A41" w:rsidP="009C3E69">
            <w:pPr>
              <w:rPr>
                <w:rFonts w:cs="Arial"/>
              </w:rPr>
            </w:pPr>
            <w:r w:rsidRPr="002C19E8">
              <w:rPr>
                <w:rFonts w:cs="Arial"/>
              </w:rPr>
              <w:t>02 6263 3005</w:t>
            </w:r>
          </w:p>
        </w:tc>
      </w:tr>
    </w:tbl>
    <w:p w14:paraId="0C38327A" w14:textId="77777777" w:rsidR="000B2A41" w:rsidRDefault="000B2A41" w:rsidP="00006F7E">
      <w:pPr>
        <w:pStyle w:val="SingleParagraph"/>
        <w:rPr>
          <w:rFonts w:cs="Arial"/>
        </w:rPr>
      </w:pPr>
    </w:p>
    <w:p w14:paraId="0C38327B" w14:textId="77777777" w:rsidR="000B2A41" w:rsidRDefault="000B2A41" w:rsidP="00006F7E">
      <w:pPr>
        <w:sectPr w:rsidR="000B2A41">
          <w:footerReference w:type="default" r:id="rId21"/>
          <w:pgSz w:w="11906" w:h="16838"/>
          <w:pgMar w:top="1418" w:right="1418" w:bottom="1418" w:left="1418" w:header="709" w:footer="709" w:gutter="0"/>
          <w:pgNumType w:fmt="lowerRoman"/>
          <w:cols w:space="720"/>
        </w:sectPr>
      </w:pPr>
    </w:p>
    <w:p w14:paraId="0C38327C" w14:textId="77777777" w:rsidR="000B2A41" w:rsidRDefault="000B2A41" w:rsidP="00006F7E">
      <w:pPr>
        <w:pStyle w:val="ContentsHeading"/>
      </w:pPr>
      <w:r>
        <w:rPr>
          <w:rFonts w:cs="Calibri"/>
        </w:rPr>
        <w:lastRenderedPageBreak/>
        <w:t>Contents</w:t>
      </w:r>
    </w:p>
    <w:p w14:paraId="0C38327D" w14:textId="77777777" w:rsidR="000A1136" w:rsidRDefault="000B2A41">
      <w:pPr>
        <w:pStyle w:val="TOC1"/>
        <w:rPr>
          <w:rFonts w:asciiTheme="minorHAnsi" w:eastAsiaTheme="minorEastAsia" w:hAnsiTheme="minorHAnsi" w:cstheme="minorBidi"/>
          <w:b w:val="0"/>
          <w:smallCaps w:val="0"/>
          <w:noProof/>
          <w:color w:val="auto"/>
        </w:rPr>
      </w:pPr>
      <w:r>
        <w:fldChar w:fldCharType="begin"/>
      </w:r>
      <w:r>
        <w:instrText xml:space="preserve"> TOC \o "1-2" \t "Heading 1 Not Numbered,1" </w:instrText>
      </w:r>
      <w:r>
        <w:fldChar w:fldCharType="separate"/>
      </w:r>
      <w:r w:rsidR="000A1136" w:rsidRPr="00F53A74">
        <w:rPr>
          <w:rFonts w:cs="Calibri"/>
          <w:noProof/>
        </w:rPr>
        <w:t>1.</w:t>
      </w:r>
      <w:r w:rsidR="000A1136">
        <w:rPr>
          <w:rFonts w:asciiTheme="minorHAnsi" w:eastAsiaTheme="minorEastAsia" w:hAnsiTheme="minorHAnsi" w:cstheme="minorBidi"/>
          <w:b w:val="0"/>
          <w:smallCaps w:val="0"/>
          <w:noProof/>
          <w:color w:val="auto"/>
        </w:rPr>
        <w:tab/>
      </w:r>
      <w:r w:rsidR="000A1136">
        <w:rPr>
          <w:noProof/>
        </w:rPr>
        <w:t>Background</w:t>
      </w:r>
      <w:r w:rsidR="000A1136">
        <w:rPr>
          <w:noProof/>
        </w:rPr>
        <w:tab/>
      </w:r>
      <w:r w:rsidR="000A1136">
        <w:rPr>
          <w:noProof/>
        </w:rPr>
        <w:fldChar w:fldCharType="begin"/>
      </w:r>
      <w:r w:rsidR="000A1136">
        <w:rPr>
          <w:noProof/>
        </w:rPr>
        <w:instrText xml:space="preserve"> PAGEREF _Toc329350958 \h </w:instrText>
      </w:r>
      <w:r w:rsidR="000A1136">
        <w:rPr>
          <w:noProof/>
        </w:rPr>
      </w:r>
      <w:r w:rsidR="000A1136">
        <w:rPr>
          <w:noProof/>
        </w:rPr>
        <w:fldChar w:fldCharType="separate"/>
      </w:r>
      <w:r w:rsidR="00906407">
        <w:rPr>
          <w:noProof/>
        </w:rPr>
        <w:t>1</w:t>
      </w:r>
      <w:r w:rsidR="000A1136">
        <w:rPr>
          <w:noProof/>
        </w:rPr>
        <w:fldChar w:fldCharType="end"/>
      </w:r>
    </w:p>
    <w:p w14:paraId="0C38327E" w14:textId="77777777" w:rsidR="000A1136" w:rsidRDefault="000A1136">
      <w:pPr>
        <w:pStyle w:val="TOC1"/>
        <w:rPr>
          <w:rFonts w:asciiTheme="minorHAnsi" w:eastAsiaTheme="minorEastAsia" w:hAnsiTheme="minorHAnsi" w:cstheme="minorBidi"/>
          <w:b w:val="0"/>
          <w:smallCaps w:val="0"/>
          <w:noProof/>
          <w:color w:val="auto"/>
        </w:rPr>
      </w:pPr>
      <w:r w:rsidRPr="00F53A74">
        <w:rPr>
          <w:rFonts w:cs="Calibri"/>
          <w:noProof/>
        </w:rPr>
        <w:t>2.</w:t>
      </w:r>
      <w:r>
        <w:rPr>
          <w:rFonts w:asciiTheme="minorHAnsi" w:eastAsiaTheme="minorEastAsia" w:hAnsiTheme="minorHAnsi" w:cstheme="minorBidi"/>
          <w:b w:val="0"/>
          <w:smallCaps w:val="0"/>
          <w:noProof/>
          <w:color w:val="auto"/>
        </w:rPr>
        <w:tab/>
      </w:r>
      <w:r w:rsidRPr="00F53A74">
        <w:rPr>
          <w:rFonts w:cs="Calibri"/>
          <w:noProof/>
        </w:rPr>
        <w:t>Outline of current law</w:t>
      </w:r>
      <w:r>
        <w:rPr>
          <w:noProof/>
        </w:rPr>
        <w:tab/>
      </w:r>
      <w:r>
        <w:rPr>
          <w:noProof/>
        </w:rPr>
        <w:fldChar w:fldCharType="begin"/>
      </w:r>
      <w:r>
        <w:rPr>
          <w:noProof/>
        </w:rPr>
        <w:instrText xml:space="preserve"> PAGEREF _Toc329350959 \h </w:instrText>
      </w:r>
      <w:r>
        <w:rPr>
          <w:noProof/>
        </w:rPr>
      </w:r>
      <w:r>
        <w:rPr>
          <w:noProof/>
        </w:rPr>
        <w:fldChar w:fldCharType="separate"/>
      </w:r>
      <w:r w:rsidR="00906407">
        <w:rPr>
          <w:noProof/>
        </w:rPr>
        <w:t>1</w:t>
      </w:r>
      <w:r>
        <w:rPr>
          <w:noProof/>
        </w:rPr>
        <w:fldChar w:fldCharType="end"/>
      </w:r>
    </w:p>
    <w:p w14:paraId="0C38327F"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2.1</w:t>
      </w:r>
      <w:r>
        <w:rPr>
          <w:rFonts w:asciiTheme="minorHAnsi" w:eastAsiaTheme="minorEastAsia" w:hAnsiTheme="minorHAnsi" w:cstheme="minorBidi"/>
          <w:noProof/>
          <w:color w:val="auto"/>
          <w:sz w:val="22"/>
          <w:szCs w:val="22"/>
        </w:rPr>
        <w:tab/>
      </w:r>
      <w:r>
        <w:rPr>
          <w:noProof/>
        </w:rPr>
        <w:t>Bad debts</w:t>
      </w:r>
      <w:r>
        <w:rPr>
          <w:noProof/>
        </w:rPr>
        <w:tab/>
      </w:r>
      <w:r>
        <w:rPr>
          <w:noProof/>
        </w:rPr>
        <w:fldChar w:fldCharType="begin"/>
      </w:r>
      <w:r>
        <w:rPr>
          <w:noProof/>
        </w:rPr>
        <w:instrText xml:space="preserve"> PAGEREF _Toc329350960 \h </w:instrText>
      </w:r>
      <w:r>
        <w:rPr>
          <w:noProof/>
        </w:rPr>
      </w:r>
      <w:r>
        <w:rPr>
          <w:noProof/>
        </w:rPr>
        <w:fldChar w:fldCharType="separate"/>
      </w:r>
      <w:r w:rsidR="00906407">
        <w:rPr>
          <w:noProof/>
        </w:rPr>
        <w:t>1</w:t>
      </w:r>
      <w:r>
        <w:rPr>
          <w:noProof/>
        </w:rPr>
        <w:fldChar w:fldCharType="end"/>
      </w:r>
    </w:p>
    <w:p w14:paraId="0C383280"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2.2</w:t>
      </w:r>
      <w:r>
        <w:rPr>
          <w:rFonts w:asciiTheme="minorHAnsi" w:eastAsiaTheme="minorEastAsia" w:hAnsiTheme="minorHAnsi" w:cstheme="minorBidi"/>
          <w:noProof/>
          <w:color w:val="auto"/>
          <w:sz w:val="22"/>
          <w:szCs w:val="22"/>
        </w:rPr>
        <w:tab/>
      </w:r>
      <w:r>
        <w:rPr>
          <w:noProof/>
        </w:rPr>
        <w:t>Commercial debt forgiveness</w:t>
      </w:r>
      <w:r>
        <w:rPr>
          <w:noProof/>
        </w:rPr>
        <w:tab/>
      </w:r>
      <w:r>
        <w:rPr>
          <w:noProof/>
        </w:rPr>
        <w:fldChar w:fldCharType="begin"/>
      </w:r>
      <w:r>
        <w:rPr>
          <w:noProof/>
        </w:rPr>
        <w:instrText xml:space="preserve"> PAGEREF _Toc329350961 \h </w:instrText>
      </w:r>
      <w:r>
        <w:rPr>
          <w:noProof/>
        </w:rPr>
      </w:r>
      <w:r>
        <w:rPr>
          <w:noProof/>
        </w:rPr>
        <w:fldChar w:fldCharType="separate"/>
      </w:r>
      <w:r w:rsidR="00906407">
        <w:rPr>
          <w:noProof/>
        </w:rPr>
        <w:t>2</w:t>
      </w:r>
      <w:r>
        <w:rPr>
          <w:noProof/>
        </w:rPr>
        <w:fldChar w:fldCharType="end"/>
      </w:r>
    </w:p>
    <w:p w14:paraId="0C383281" w14:textId="62A31EC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2.3</w:t>
      </w:r>
      <w:r>
        <w:rPr>
          <w:rFonts w:asciiTheme="minorHAnsi" w:eastAsiaTheme="minorEastAsia" w:hAnsiTheme="minorHAnsi" w:cstheme="minorBidi"/>
          <w:noProof/>
          <w:color w:val="auto"/>
          <w:sz w:val="22"/>
          <w:szCs w:val="22"/>
        </w:rPr>
        <w:tab/>
      </w:r>
      <w:r>
        <w:rPr>
          <w:noProof/>
        </w:rPr>
        <w:t>Division 230</w:t>
      </w:r>
      <w:r w:rsidR="00906407">
        <w:rPr>
          <w:noProof/>
        </w:rPr>
        <w:t xml:space="preserve"> — </w:t>
      </w:r>
      <w:r>
        <w:rPr>
          <w:noProof/>
        </w:rPr>
        <w:t>Taxation of financial arrangements</w:t>
      </w:r>
      <w:r>
        <w:rPr>
          <w:noProof/>
        </w:rPr>
        <w:tab/>
      </w:r>
      <w:r>
        <w:rPr>
          <w:noProof/>
        </w:rPr>
        <w:fldChar w:fldCharType="begin"/>
      </w:r>
      <w:r>
        <w:rPr>
          <w:noProof/>
        </w:rPr>
        <w:instrText xml:space="preserve"> PAGEREF _Toc329350962 \h </w:instrText>
      </w:r>
      <w:r>
        <w:rPr>
          <w:noProof/>
        </w:rPr>
      </w:r>
      <w:r>
        <w:rPr>
          <w:noProof/>
        </w:rPr>
        <w:fldChar w:fldCharType="separate"/>
      </w:r>
      <w:r w:rsidR="00906407">
        <w:rPr>
          <w:noProof/>
        </w:rPr>
        <w:t>3</w:t>
      </w:r>
      <w:r>
        <w:rPr>
          <w:noProof/>
        </w:rPr>
        <w:fldChar w:fldCharType="end"/>
      </w:r>
    </w:p>
    <w:p w14:paraId="0C383282" w14:textId="77777777" w:rsidR="000A1136" w:rsidRDefault="000A1136">
      <w:pPr>
        <w:pStyle w:val="TOC1"/>
        <w:rPr>
          <w:rFonts w:asciiTheme="minorHAnsi" w:eastAsiaTheme="minorEastAsia" w:hAnsiTheme="minorHAnsi" w:cstheme="minorBidi"/>
          <w:b w:val="0"/>
          <w:smallCaps w:val="0"/>
          <w:noProof/>
          <w:color w:val="auto"/>
        </w:rPr>
      </w:pPr>
      <w:r w:rsidRPr="00F53A74">
        <w:rPr>
          <w:rFonts w:cs="Calibri"/>
          <w:noProof/>
        </w:rPr>
        <w:t>3.</w:t>
      </w:r>
      <w:r>
        <w:rPr>
          <w:rFonts w:asciiTheme="minorHAnsi" w:eastAsiaTheme="minorEastAsia" w:hAnsiTheme="minorHAnsi" w:cstheme="minorBidi"/>
          <w:b w:val="0"/>
          <w:smallCaps w:val="0"/>
          <w:noProof/>
          <w:color w:val="auto"/>
        </w:rPr>
        <w:tab/>
      </w:r>
      <w:r>
        <w:rPr>
          <w:noProof/>
        </w:rPr>
        <w:t>Improving the tax treatment of bad debts in related party financing</w:t>
      </w:r>
      <w:r>
        <w:rPr>
          <w:noProof/>
        </w:rPr>
        <w:tab/>
      </w:r>
      <w:r>
        <w:rPr>
          <w:noProof/>
        </w:rPr>
        <w:fldChar w:fldCharType="begin"/>
      </w:r>
      <w:r>
        <w:rPr>
          <w:noProof/>
        </w:rPr>
        <w:instrText xml:space="preserve"> PAGEREF _Toc329350963 \h </w:instrText>
      </w:r>
      <w:r>
        <w:rPr>
          <w:noProof/>
        </w:rPr>
      </w:r>
      <w:r>
        <w:rPr>
          <w:noProof/>
        </w:rPr>
        <w:fldChar w:fldCharType="separate"/>
      </w:r>
      <w:r w:rsidR="00906407">
        <w:rPr>
          <w:noProof/>
        </w:rPr>
        <w:t>6</w:t>
      </w:r>
      <w:r>
        <w:rPr>
          <w:noProof/>
        </w:rPr>
        <w:fldChar w:fldCharType="end"/>
      </w:r>
    </w:p>
    <w:p w14:paraId="0C383283"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3.1</w:t>
      </w:r>
      <w:r>
        <w:rPr>
          <w:rFonts w:asciiTheme="minorHAnsi" w:eastAsiaTheme="minorEastAsia" w:hAnsiTheme="minorHAnsi" w:cstheme="minorBidi"/>
          <w:noProof/>
          <w:color w:val="auto"/>
          <w:sz w:val="22"/>
          <w:szCs w:val="22"/>
        </w:rPr>
        <w:tab/>
      </w:r>
      <w:r>
        <w:rPr>
          <w:noProof/>
        </w:rPr>
        <w:t>Related parties</w:t>
      </w:r>
      <w:r>
        <w:rPr>
          <w:noProof/>
        </w:rPr>
        <w:tab/>
      </w:r>
      <w:r>
        <w:rPr>
          <w:noProof/>
        </w:rPr>
        <w:fldChar w:fldCharType="begin"/>
      </w:r>
      <w:r>
        <w:rPr>
          <w:noProof/>
        </w:rPr>
        <w:instrText xml:space="preserve"> PAGEREF _Toc329350964 \h </w:instrText>
      </w:r>
      <w:r>
        <w:rPr>
          <w:noProof/>
        </w:rPr>
      </w:r>
      <w:r>
        <w:rPr>
          <w:noProof/>
        </w:rPr>
        <w:fldChar w:fldCharType="separate"/>
      </w:r>
      <w:r w:rsidR="00906407">
        <w:rPr>
          <w:noProof/>
        </w:rPr>
        <w:t>6</w:t>
      </w:r>
      <w:r>
        <w:rPr>
          <w:noProof/>
        </w:rPr>
        <w:fldChar w:fldCharType="end"/>
      </w:r>
    </w:p>
    <w:p w14:paraId="0C383284"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3.2</w:t>
      </w:r>
      <w:r>
        <w:rPr>
          <w:rFonts w:asciiTheme="minorHAnsi" w:eastAsiaTheme="minorEastAsia" w:hAnsiTheme="minorHAnsi" w:cstheme="minorBidi"/>
          <w:noProof/>
          <w:color w:val="auto"/>
          <w:sz w:val="22"/>
          <w:szCs w:val="22"/>
        </w:rPr>
        <w:tab/>
      </w:r>
      <w:r>
        <w:rPr>
          <w:noProof/>
        </w:rPr>
        <w:t>Aligning characterisation of bad debt</w:t>
      </w:r>
      <w:r>
        <w:rPr>
          <w:noProof/>
        </w:rPr>
        <w:tab/>
      </w:r>
      <w:r>
        <w:rPr>
          <w:noProof/>
        </w:rPr>
        <w:fldChar w:fldCharType="begin"/>
      </w:r>
      <w:r>
        <w:rPr>
          <w:noProof/>
        </w:rPr>
        <w:instrText xml:space="preserve"> PAGEREF _Toc329350965 \h </w:instrText>
      </w:r>
      <w:r>
        <w:rPr>
          <w:noProof/>
        </w:rPr>
      </w:r>
      <w:r>
        <w:rPr>
          <w:noProof/>
        </w:rPr>
        <w:fldChar w:fldCharType="separate"/>
      </w:r>
      <w:r w:rsidR="00906407">
        <w:rPr>
          <w:noProof/>
        </w:rPr>
        <w:t>7</w:t>
      </w:r>
      <w:r>
        <w:rPr>
          <w:noProof/>
        </w:rPr>
        <w:fldChar w:fldCharType="end"/>
      </w:r>
    </w:p>
    <w:p w14:paraId="0C383285"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3.3</w:t>
      </w:r>
      <w:r>
        <w:rPr>
          <w:rFonts w:asciiTheme="minorHAnsi" w:eastAsiaTheme="minorEastAsia" w:hAnsiTheme="minorHAnsi" w:cstheme="minorBidi"/>
          <w:noProof/>
          <w:color w:val="auto"/>
          <w:sz w:val="22"/>
          <w:szCs w:val="22"/>
        </w:rPr>
        <w:tab/>
      </w:r>
      <w:r>
        <w:rPr>
          <w:noProof/>
        </w:rPr>
        <w:t>Bad debts, impairment and forgiveness of commercial gain</w:t>
      </w:r>
      <w:r>
        <w:rPr>
          <w:noProof/>
        </w:rPr>
        <w:tab/>
      </w:r>
      <w:r>
        <w:rPr>
          <w:noProof/>
        </w:rPr>
        <w:fldChar w:fldCharType="begin"/>
      </w:r>
      <w:r>
        <w:rPr>
          <w:noProof/>
        </w:rPr>
        <w:instrText xml:space="preserve"> PAGEREF _Toc329350966 \h </w:instrText>
      </w:r>
      <w:r>
        <w:rPr>
          <w:noProof/>
        </w:rPr>
      </w:r>
      <w:r>
        <w:rPr>
          <w:noProof/>
        </w:rPr>
        <w:fldChar w:fldCharType="separate"/>
      </w:r>
      <w:r w:rsidR="00906407">
        <w:rPr>
          <w:noProof/>
        </w:rPr>
        <w:t>8</w:t>
      </w:r>
      <w:r>
        <w:rPr>
          <w:noProof/>
        </w:rPr>
        <w:fldChar w:fldCharType="end"/>
      </w:r>
    </w:p>
    <w:p w14:paraId="0C383286" w14:textId="77777777" w:rsidR="000A1136" w:rsidRDefault="000A1136">
      <w:pPr>
        <w:pStyle w:val="TOC2"/>
        <w:rPr>
          <w:rFonts w:asciiTheme="minorHAnsi" w:eastAsiaTheme="minorEastAsia" w:hAnsiTheme="minorHAnsi" w:cstheme="minorBidi"/>
          <w:noProof/>
          <w:color w:val="auto"/>
          <w:sz w:val="22"/>
          <w:szCs w:val="22"/>
        </w:rPr>
      </w:pPr>
      <w:r w:rsidRPr="00F53A74">
        <w:rPr>
          <w:rFonts w:cs="Calibri"/>
          <w:noProof/>
        </w:rPr>
        <w:t>3.4</w:t>
      </w:r>
      <w:r>
        <w:rPr>
          <w:rFonts w:asciiTheme="minorHAnsi" w:eastAsiaTheme="minorEastAsia" w:hAnsiTheme="minorHAnsi" w:cstheme="minorBidi"/>
          <w:noProof/>
          <w:color w:val="auto"/>
          <w:sz w:val="22"/>
          <w:szCs w:val="22"/>
        </w:rPr>
        <w:tab/>
      </w:r>
      <w:r>
        <w:rPr>
          <w:noProof/>
        </w:rPr>
        <w:t>Date of effect</w:t>
      </w:r>
      <w:r>
        <w:rPr>
          <w:noProof/>
        </w:rPr>
        <w:tab/>
      </w:r>
      <w:r>
        <w:rPr>
          <w:noProof/>
        </w:rPr>
        <w:fldChar w:fldCharType="begin"/>
      </w:r>
      <w:r>
        <w:rPr>
          <w:noProof/>
        </w:rPr>
        <w:instrText xml:space="preserve"> PAGEREF _Toc329350967 \h </w:instrText>
      </w:r>
      <w:r>
        <w:rPr>
          <w:noProof/>
        </w:rPr>
      </w:r>
      <w:r>
        <w:rPr>
          <w:noProof/>
        </w:rPr>
        <w:fldChar w:fldCharType="separate"/>
      </w:r>
      <w:r w:rsidR="00906407">
        <w:rPr>
          <w:noProof/>
        </w:rPr>
        <w:t>9</w:t>
      </w:r>
      <w:r>
        <w:rPr>
          <w:noProof/>
        </w:rPr>
        <w:fldChar w:fldCharType="end"/>
      </w:r>
    </w:p>
    <w:p w14:paraId="0C383287" w14:textId="77777777" w:rsidR="000B2A41" w:rsidRDefault="000B2A41" w:rsidP="00006F7E">
      <w:r>
        <w:fldChar w:fldCharType="end"/>
      </w:r>
    </w:p>
    <w:p w14:paraId="0C383288" w14:textId="77777777" w:rsidR="000B2A41" w:rsidRDefault="000B2A41" w:rsidP="00006F7E">
      <w:pPr>
        <w:rPr>
          <w:rFonts w:cs="Calibri"/>
          <w:sz w:val="20"/>
        </w:rPr>
      </w:pPr>
    </w:p>
    <w:p w14:paraId="0C383289" w14:textId="77777777" w:rsidR="000B2A41" w:rsidRDefault="000B2A41" w:rsidP="00006F7E">
      <w:pPr>
        <w:sectPr w:rsidR="000B2A41">
          <w:footerReference w:type="even" r:id="rId22"/>
          <w:pgSz w:w="11906" w:h="16838"/>
          <w:pgMar w:top="1418" w:right="1418" w:bottom="1418" w:left="1418" w:header="709" w:footer="709" w:gutter="0"/>
          <w:pgNumType w:fmt="lowerRoman"/>
          <w:cols w:space="720"/>
        </w:sectPr>
      </w:pPr>
    </w:p>
    <w:p w14:paraId="0C38328A" w14:textId="77777777" w:rsidR="000B2A41" w:rsidRPr="000F4B8A" w:rsidRDefault="000B2A41" w:rsidP="00CB421C">
      <w:pPr>
        <w:pStyle w:val="Heading1"/>
      </w:pPr>
      <w:bookmarkStart w:id="2" w:name="_Toc329350958"/>
      <w:r>
        <w:lastRenderedPageBreak/>
        <w:t>Background</w:t>
      </w:r>
      <w:bookmarkEnd w:id="2"/>
    </w:p>
    <w:p w14:paraId="0C38328B" w14:textId="4C8AAE6B" w:rsidR="000B2A41" w:rsidRPr="00B71921" w:rsidRDefault="000B2A41" w:rsidP="00542AD7">
      <w:pPr>
        <w:pStyle w:val="OneLevelNumberedParagraph"/>
      </w:pPr>
      <w:r w:rsidRPr="005E191F">
        <w:t>In the 2012</w:t>
      </w:r>
      <w:r w:rsidR="00906407">
        <w:noBreakHyphen/>
      </w:r>
      <w:r w:rsidRPr="005E191F">
        <w:t xml:space="preserve">13 Budget, the Government </w:t>
      </w:r>
      <w:r w:rsidR="005341CC">
        <w:t>announced</w:t>
      </w:r>
      <w:r>
        <w:t xml:space="preserve"> that it </w:t>
      </w:r>
      <w:r w:rsidRPr="005E191F">
        <w:t xml:space="preserve">will </w:t>
      </w:r>
      <w:r>
        <w:t>amend the income tax laws in relation to bad debts written</w:t>
      </w:r>
      <w:r w:rsidR="00906407">
        <w:noBreakHyphen/>
      </w:r>
      <w:r>
        <w:t xml:space="preserve">off between related parties outside of a </w:t>
      </w:r>
      <w:r w:rsidRPr="00B801D8">
        <w:t>consolidat</w:t>
      </w:r>
      <w:r>
        <w:t xml:space="preserve">ed </w:t>
      </w:r>
      <w:r w:rsidRPr="00B801D8">
        <w:t>group</w:t>
      </w:r>
      <w:r>
        <w:t>.</w:t>
      </w:r>
    </w:p>
    <w:p w14:paraId="0C38328C" w14:textId="0C2328F0" w:rsidR="000B2A41" w:rsidRPr="007224E6" w:rsidRDefault="000B2A41" w:rsidP="00542AD7">
      <w:pPr>
        <w:pStyle w:val="OneLevelNumberedParagraph"/>
      </w:pPr>
      <w:r>
        <w:t>The measure will deny the creditor a tax deduction for a bad debt written</w:t>
      </w:r>
      <w:r w:rsidR="00906407">
        <w:noBreakHyphen/>
      </w:r>
      <w:r>
        <w:t>off, where the debtor is a related party. In addition, the corresponding gain to the debtor will be disregarded.</w:t>
      </w:r>
    </w:p>
    <w:p w14:paraId="0C38328D" w14:textId="072AF390" w:rsidR="000B2A41" w:rsidRDefault="000B2A41" w:rsidP="00542AD7">
      <w:pPr>
        <w:pStyle w:val="OneLevelNumberedParagraph"/>
      </w:pPr>
      <w:r>
        <w:t xml:space="preserve">It is intended that the </w:t>
      </w:r>
      <w:r w:rsidRPr="000458B8">
        <w:t xml:space="preserve">measure will introduce better symmetry between the tax treatments of the creditor and </w:t>
      </w:r>
      <w:r>
        <w:t xml:space="preserve">the </w:t>
      </w:r>
      <w:r w:rsidRPr="000458B8">
        <w:t>borrower</w:t>
      </w:r>
      <w:r>
        <w:t xml:space="preserve"> where they are related parties</w:t>
      </w:r>
      <w:r w:rsidR="00906407">
        <w:t xml:space="preserve">. </w:t>
      </w:r>
    </w:p>
    <w:p w14:paraId="0C38328E" w14:textId="0AE761C7" w:rsidR="000B2A41" w:rsidRPr="009C325D" w:rsidRDefault="000B2A41" w:rsidP="00542AD7">
      <w:pPr>
        <w:pStyle w:val="OneLevelNumberedParagraph"/>
        <w:rPr>
          <w:szCs w:val="22"/>
        </w:rPr>
      </w:pPr>
      <w:r w:rsidRPr="00B801D8">
        <w:t xml:space="preserve">Broadly, a consolidated group comprises </w:t>
      </w:r>
      <w:r>
        <w:t xml:space="preserve">an </w:t>
      </w:r>
      <w:r w:rsidRPr="00B801D8">
        <w:t xml:space="preserve">Australian resident </w:t>
      </w:r>
      <w:r>
        <w:t>head company and its wholly</w:t>
      </w:r>
      <w:r w:rsidR="00906407">
        <w:noBreakHyphen/>
      </w:r>
      <w:r>
        <w:t>owned subsidiaries</w:t>
      </w:r>
      <w:r w:rsidR="00906407">
        <w:t xml:space="preserve">. </w:t>
      </w:r>
      <w:r>
        <w:t xml:space="preserve">A consolidated </w:t>
      </w:r>
      <w:r w:rsidRPr="00B801D8">
        <w:t xml:space="preserve">group </w:t>
      </w:r>
      <w:r>
        <w:t>is treated as a single entity for the purpose of working out the head company’s income tax liability</w:t>
      </w:r>
      <w:r w:rsidR="00906407">
        <w:t xml:space="preserve">. </w:t>
      </w:r>
      <w:r>
        <w:t xml:space="preserve">Consequently, the bad debt and </w:t>
      </w:r>
      <w:r w:rsidRPr="004A3F5C">
        <w:t>commercial debt forgiveness</w:t>
      </w:r>
      <w:r w:rsidRPr="004E653B">
        <w:t xml:space="preserve"> </w:t>
      </w:r>
      <w:r>
        <w:t xml:space="preserve">rules discussed above do not </w:t>
      </w:r>
      <w:r w:rsidR="00C5603F">
        <w:t xml:space="preserve">need </w:t>
      </w:r>
      <w:r>
        <w:t>apply to the members of a consolidated group</w:t>
      </w:r>
      <w:r w:rsidR="00906407">
        <w:t xml:space="preserve">. </w:t>
      </w:r>
    </w:p>
    <w:p w14:paraId="0C38328F" w14:textId="77777777" w:rsidR="000B2A41" w:rsidRDefault="000B2A41" w:rsidP="00CB421C">
      <w:pPr>
        <w:pStyle w:val="Heading1"/>
        <w:rPr>
          <w:rFonts w:cs="Calibri"/>
        </w:rPr>
      </w:pPr>
      <w:bookmarkStart w:id="3" w:name="_Toc329350959"/>
      <w:r w:rsidRPr="004421FE">
        <w:rPr>
          <w:rFonts w:cs="Calibri"/>
        </w:rPr>
        <w:t>Outline of current law</w:t>
      </w:r>
      <w:bookmarkEnd w:id="3"/>
      <w:r w:rsidRPr="004421FE">
        <w:rPr>
          <w:rFonts w:cs="Calibri"/>
        </w:rPr>
        <w:t xml:space="preserve"> </w:t>
      </w:r>
    </w:p>
    <w:p w14:paraId="0C383290" w14:textId="77777777" w:rsidR="000B2A41" w:rsidRDefault="000B2A41" w:rsidP="00542AD7">
      <w:pPr>
        <w:pStyle w:val="OneLevelNumberedParagraph"/>
      </w:pPr>
      <w:r>
        <w:t xml:space="preserve">Legislative references are to the </w:t>
      </w:r>
      <w:r w:rsidRPr="004421FE">
        <w:rPr>
          <w:i/>
        </w:rPr>
        <w:t>Income Tax Assessment Act 1997</w:t>
      </w:r>
      <w:r>
        <w:t xml:space="preserve"> unless otherwise stated.</w:t>
      </w:r>
    </w:p>
    <w:p w14:paraId="0C383291" w14:textId="77777777" w:rsidR="000B2A41" w:rsidRPr="004421FE" w:rsidRDefault="000B2A41" w:rsidP="00CB421C">
      <w:pPr>
        <w:pStyle w:val="Heading2"/>
        <w:rPr>
          <w:rFonts w:ascii="Book Antiqua" w:hAnsi="Book Antiqua" w:cs="Times New Roman"/>
          <w:bCs w:val="0"/>
          <w:iCs w:val="0"/>
          <w:smallCaps w:val="0"/>
          <w:color w:val="000000"/>
          <w:sz w:val="22"/>
          <w:szCs w:val="20"/>
        </w:rPr>
      </w:pPr>
      <w:bookmarkStart w:id="4" w:name="_Toc329350960"/>
      <w:r w:rsidRPr="0005091F">
        <w:t>Bad debts</w:t>
      </w:r>
      <w:bookmarkEnd w:id="4"/>
    </w:p>
    <w:p w14:paraId="0C383292" w14:textId="111025FB" w:rsidR="000B2A41" w:rsidRPr="00F16B57" w:rsidRDefault="000B2A41" w:rsidP="00DA57AA">
      <w:pPr>
        <w:pStyle w:val="Heading3"/>
      </w:pPr>
      <w:r w:rsidRPr="00F16B57">
        <w:t>Section 25</w:t>
      </w:r>
      <w:r w:rsidR="00906407">
        <w:noBreakHyphen/>
      </w:r>
      <w:r w:rsidRPr="00F16B57">
        <w:t>35</w:t>
      </w:r>
      <w:r w:rsidR="00906407">
        <w:t xml:space="preserve"> — </w:t>
      </w:r>
      <w:r w:rsidRPr="00F16B57">
        <w:t>specific deduction for bad debts</w:t>
      </w:r>
    </w:p>
    <w:p w14:paraId="0C383293" w14:textId="77777777" w:rsidR="000B2A41" w:rsidRPr="0084258C" w:rsidRDefault="000B2A41" w:rsidP="00542AD7">
      <w:pPr>
        <w:pStyle w:val="OneLevelNumberedParagraph"/>
      </w:pPr>
      <w:r w:rsidRPr="0084258C">
        <w:t>Under this provision, a taxpayer can deduct a debt (or part of a debt) that they write off as bad in an income year if:</w:t>
      </w:r>
    </w:p>
    <w:p w14:paraId="0C383294" w14:textId="74F16E2A" w:rsidR="000B2A41" w:rsidRPr="0084258C" w:rsidRDefault="000B2A41" w:rsidP="00C25ED0">
      <w:pPr>
        <w:pStyle w:val="Bullet"/>
        <w:tabs>
          <w:tab w:val="clear" w:pos="566"/>
          <w:tab w:val="num" w:pos="1134"/>
        </w:tabs>
        <w:ind w:left="1134"/>
      </w:pPr>
      <w:r w:rsidRPr="0084258C">
        <w:t>it was included in the taxpayer’s assessable income for the income year or an earlier income year (paragraph 23</w:t>
      </w:r>
      <w:r w:rsidR="00906407">
        <w:noBreakHyphen/>
      </w:r>
      <w:r w:rsidRPr="0084258C">
        <w:t xml:space="preserve">35(1)(a)); or </w:t>
      </w:r>
    </w:p>
    <w:p w14:paraId="0C383295" w14:textId="6DC377BC" w:rsidR="000B2A41" w:rsidRDefault="000B2A41" w:rsidP="00C25ED0">
      <w:pPr>
        <w:pStyle w:val="Bullet"/>
        <w:tabs>
          <w:tab w:val="clear" w:pos="566"/>
          <w:tab w:val="num" w:pos="1134"/>
        </w:tabs>
        <w:ind w:left="1134"/>
      </w:pPr>
      <w:r w:rsidRPr="0084258C">
        <w:t>it is in respect of money that the taxpayer lent in the ordinary course of their business of lending money (paragraph 23</w:t>
      </w:r>
      <w:r w:rsidR="00906407">
        <w:noBreakHyphen/>
      </w:r>
      <w:r w:rsidRPr="0084258C">
        <w:t xml:space="preserve">35(1)(b)). </w:t>
      </w:r>
    </w:p>
    <w:p w14:paraId="0C383296" w14:textId="5B32B3C8" w:rsidR="000B2A41" w:rsidRPr="001603C0" w:rsidRDefault="000B2A41" w:rsidP="00542AD7">
      <w:pPr>
        <w:pStyle w:val="OneLevelNumberedParagraph"/>
      </w:pPr>
      <w:r w:rsidRPr="001603C0">
        <w:t>A deduction allowed under this provision can extend to the write</w:t>
      </w:r>
      <w:r w:rsidR="00906407">
        <w:noBreakHyphen/>
      </w:r>
      <w:r w:rsidRPr="001603C0">
        <w:t>off in respect of the principal o</w:t>
      </w:r>
      <w:r>
        <w:t>f</w:t>
      </w:r>
      <w:r w:rsidRPr="001603C0">
        <w:t xml:space="preserve"> a loan.</w:t>
      </w:r>
    </w:p>
    <w:p w14:paraId="0C383297" w14:textId="397EAE54" w:rsidR="000B2A41" w:rsidRPr="00AD3D2E" w:rsidRDefault="000B2A41" w:rsidP="00542AD7">
      <w:pPr>
        <w:pStyle w:val="OneLevelNumberedParagraph"/>
      </w:pPr>
      <w:r>
        <w:t>Section 25</w:t>
      </w:r>
      <w:r w:rsidR="00906407">
        <w:noBreakHyphen/>
      </w:r>
      <w:r>
        <w:t>35 lists special rules that may affect the entitlement to or the amounts of, bad debt deductions or may result in a deduction being reversed (subsection 25</w:t>
      </w:r>
      <w:r w:rsidR="00906407">
        <w:noBreakHyphen/>
      </w:r>
      <w:r>
        <w:t>35(5))</w:t>
      </w:r>
      <w:r w:rsidR="00906407">
        <w:t xml:space="preserve">. </w:t>
      </w:r>
      <w:r>
        <w:t>These provisions are unaffected by the proposed changes.</w:t>
      </w:r>
    </w:p>
    <w:p w14:paraId="0C383298" w14:textId="78FEA03B" w:rsidR="000B2A41" w:rsidRPr="00E13D21" w:rsidRDefault="000B2A41" w:rsidP="00DA57AA">
      <w:pPr>
        <w:pStyle w:val="Heading3"/>
      </w:pPr>
      <w:r w:rsidRPr="00E13D21">
        <w:t>Section 8</w:t>
      </w:r>
      <w:r w:rsidR="00906407">
        <w:noBreakHyphen/>
      </w:r>
      <w:r w:rsidRPr="00E13D21">
        <w:t>1</w:t>
      </w:r>
      <w:r w:rsidR="00906407">
        <w:t xml:space="preserve"> — </w:t>
      </w:r>
      <w:r w:rsidRPr="00E13D21">
        <w:t>general deduction principle</w:t>
      </w:r>
    </w:p>
    <w:p w14:paraId="0C383299" w14:textId="12F4E118" w:rsidR="000B2A41" w:rsidRPr="00AD0DD7" w:rsidRDefault="000B2A41" w:rsidP="00542AD7">
      <w:pPr>
        <w:pStyle w:val="OneLevelNumberedParagraph"/>
      </w:pPr>
      <w:r w:rsidRPr="00AD0DD7">
        <w:t>A deduction for a bad debt</w:t>
      </w:r>
      <w:r>
        <w:t xml:space="preserve"> that is revenue in nature</w:t>
      </w:r>
      <w:r w:rsidRPr="00AD0DD7">
        <w:t xml:space="preserve"> may be available under the general deduction </w:t>
      </w:r>
      <w:r>
        <w:t>provision,</w:t>
      </w:r>
      <w:r w:rsidRPr="00AD0DD7">
        <w:t xml:space="preserve"> even if it is not deductible under </w:t>
      </w:r>
      <w:r>
        <w:t xml:space="preserve">section </w:t>
      </w:r>
      <w:r w:rsidRPr="00AD0DD7">
        <w:t>25</w:t>
      </w:r>
      <w:r w:rsidR="00906407">
        <w:noBreakHyphen/>
      </w:r>
      <w:r w:rsidRPr="00AD0DD7">
        <w:t>35.</w:t>
      </w:r>
    </w:p>
    <w:p w14:paraId="0C38329A" w14:textId="7F7E62F0" w:rsidR="000B2A41" w:rsidRPr="00491375" w:rsidRDefault="000B2A41" w:rsidP="00542AD7">
      <w:pPr>
        <w:pStyle w:val="OneLevelNumberedParagraph"/>
      </w:pPr>
      <w:r w:rsidRPr="00AD0DD7">
        <w:lastRenderedPageBreak/>
        <w:t>Section 8</w:t>
      </w:r>
      <w:r w:rsidR="00906407">
        <w:noBreakHyphen/>
      </w:r>
      <w:r w:rsidRPr="00AD0DD7">
        <w:t>1 allows a deduction from a taxpayer’s assessable income for any loss or outgoing to the extent that it is incurred in gaining or producing the taxpayer’s assessable income, or is necessarily incurred in carrying on a business for the purpose of gaining or producing the taxpayer’s assessable income</w:t>
      </w:r>
      <w:r w:rsidR="00906407">
        <w:t xml:space="preserve">. </w:t>
      </w:r>
      <w:r>
        <w:t>However, deductions are not allowable under section 8</w:t>
      </w:r>
      <w:r w:rsidR="00906407">
        <w:noBreakHyphen/>
      </w:r>
      <w:r>
        <w:t>1 for capital losses or outgoings.</w:t>
      </w:r>
    </w:p>
    <w:p w14:paraId="0C38329B" w14:textId="77777777" w:rsidR="000B2A41" w:rsidRPr="00EC2608" w:rsidRDefault="000B2A41" w:rsidP="004421FE">
      <w:pPr>
        <w:pStyle w:val="Heading2"/>
      </w:pPr>
      <w:bookmarkStart w:id="5" w:name="_Toc329350961"/>
      <w:r w:rsidRPr="00EC2608">
        <w:t>Commercial debt forgiveness</w:t>
      </w:r>
      <w:bookmarkEnd w:id="5"/>
    </w:p>
    <w:p w14:paraId="0C38329C" w14:textId="469A8148" w:rsidR="00BB09DC" w:rsidRDefault="00AB64C9" w:rsidP="0078372D">
      <w:pPr>
        <w:pStyle w:val="OneLevelNumberedParagraph"/>
        <w:tabs>
          <w:tab w:val="clear" w:pos="567"/>
        </w:tabs>
      </w:pPr>
      <w:r>
        <w:t>S</w:t>
      </w:r>
      <w:r w:rsidR="00736541">
        <w:t>ection 245</w:t>
      </w:r>
      <w:r w:rsidR="00906407">
        <w:noBreakHyphen/>
      </w:r>
      <w:r w:rsidR="00736541">
        <w:t>10</w:t>
      </w:r>
      <w:r>
        <w:t xml:space="preserve"> defines</w:t>
      </w:r>
      <w:r w:rsidR="00736541">
        <w:t xml:space="preserve"> a</w:t>
      </w:r>
      <w:r w:rsidR="000F673A">
        <w:t xml:space="preserve"> commercial debt </w:t>
      </w:r>
      <w:r>
        <w:t xml:space="preserve">as being </w:t>
      </w:r>
      <w:r w:rsidR="000F673A">
        <w:t>a debt which</w:t>
      </w:r>
      <w:r w:rsidR="00BB09DC">
        <w:t>:</w:t>
      </w:r>
    </w:p>
    <w:p w14:paraId="0C38329D" w14:textId="77777777" w:rsidR="00BB09DC" w:rsidRDefault="000F673A" w:rsidP="00BB09DC">
      <w:pPr>
        <w:pStyle w:val="Bullet"/>
        <w:tabs>
          <w:tab w:val="clear" w:pos="566"/>
          <w:tab w:val="num" w:pos="1134"/>
        </w:tabs>
        <w:ind w:left="1134"/>
      </w:pPr>
      <w:r>
        <w:t>bears interest and the interest is deductible</w:t>
      </w:r>
      <w:r w:rsidR="00BB09DC">
        <w:t>;</w:t>
      </w:r>
    </w:p>
    <w:p w14:paraId="0C38329E" w14:textId="77777777" w:rsidR="000F673A" w:rsidRDefault="00AB64C9" w:rsidP="00BB09DC">
      <w:pPr>
        <w:pStyle w:val="Bullet"/>
        <w:tabs>
          <w:tab w:val="clear" w:pos="566"/>
          <w:tab w:val="num" w:pos="1134"/>
        </w:tabs>
        <w:ind w:left="1134"/>
      </w:pPr>
      <w:r>
        <w:t>d</w:t>
      </w:r>
      <w:r w:rsidR="00FA3BC6">
        <w:t>oes not bear interest</w:t>
      </w:r>
      <w:r w:rsidR="00BB09DC">
        <w:t>,</w:t>
      </w:r>
      <w:r w:rsidR="000F673A">
        <w:t xml:space="preserve"> but </w:t>
      </w:r>
      <w:r w:rsidR="00BB09DC">
        <w:t>had it been interest bearing, that interest</w:t>
      </w:r>
      <w:r w:rsidR="000F673A">
        <w:t xml:space="preserve"> would have been deductible</w:t>
      </w:r>
      <w:r w:rsidR="00FA3BC6">
        <w:t>; or</w:t>
      </w:r>
    </w:p>
    <w:p w14:paraId="0C38329F" w14:textId="77777777" w:rsidR="00FA3BC6" w:rsidRDefault="00AB64C9" w:rsidP="00FA3BC6">
      <w:pPr>
        <w:pStyle w:val="Bullet"/>
        <w:tabs>
          <w:tab w:val="clear" w:pos="566"/>
          <w:tab w:val="num" w:pos="1134"/>
        </w:tabs>
        <w:ind w:left="1134"/>
      </w:pPr>
      <w:r>
        <w:t>i</w:t>
      </w:r>
      <w:r w:rsidR="00FA3BC6">
        <w:t xml:space="preserve">s </w:t>
      </w:r>
      <w:r w:rsidR="0087589E">
        <w:t xml:space="preserve">interest or </w:t>
      </w:r>
      <w:r w:rsidR="00FA3BC6">
        <w:t xml:space="preserve">an amount mentioned in the first two dot points, that could have been deducted by you but for the operation of a </w:t>
      </w:r>
      <w:r w:rsidR="0087589E">
        <w:t>provision of the Income Tax Act</w:t>
      </w:r>
      <w:r w:rsidR="00FA3BC6">
        <w:t xml:space="preserve">. </w:t>
      </w:r>
    </w:p>
    <w:p w14:paraId="0C3832A0" w14:textId="366792B6" w:rsidR="0087589E" w:rsidRDefault="0087589E" w:rsidP="00E426D4">
      <w:pPr>
        <w:pStyle w:val="OneLevelNumberedParagraph"/>
        <w:tabs>
          <w:tab w:val="clear" w:pos="567"/>
        </w:tabs>
      </w:pPr>
      <w:r>
        <w:t>For the purposes of the commercial debt forgiveness rules, Subdivision 245</w:t>
      </w:r>
      <w:r w:rsidR="00906407">
        <w:noBreakHyphen/>
      </w:r>
      <w:r>
        <w:t>B provides that a</w:t>
      </w:r>
      <w:r w:rsidR="000F673A">
        <w:t xml:space="preserve"> debt is forgiven </w:t>
      </w:r>
      <w:r>
        <w:t xml:space="preserve">if </w:t>
      </w:r>
      <w:r w:rsidRPr="00E426D4">
        <w:t>and</w:t>
      </w:r>
      <w:r>
        <w:t xml:space="preserve"> when</w:t>
      </w:r>
      <w:r w:rsidR="000F673A">
        <w:t>:</w:t>
      </w:r>
    </w:p>
    <w:p w14:paraId="0C3832A1" w14:textId="77777777" w:rsidR="0087589E" w:rsidRDefault="000F673A" w:rsidP="0087589E">
      <w:pPr>
        <w:pStyle w:val="Bullet"/>
        <w:tabs>
          <w:tab w:val="clear" w:pos="566"/>
          <w:tab w:val="num" w:pos="1134"/>
        </w:tabs>
        <w:ind w:left="1134"/>
      </w:pPr>
      <w:r>
        <w:t xml:space="preserve">the </w:t>
      </w:r>
      <w:r w:rsidR="0087589E">
        <w:t>debtor’s obligation to pay the debt is released or waived, or is otherwise extinguished other than by repaying the debt in full;</w:t>
      </w:r>
    </w:p>
    <w:p w14:paraId="0C3832A2" w14:textId="77777777" w:rsidR="0087589E" w:rsidRDefault="0087589E" w:rsidP="0087589E">
      <w:pPr>
        <w:pStyle w:val="Bullet"/>
        <w:tabs>
          <w:tab w:val="clear" w:pos="566"/>
          <w:tab w:val="num" w:pos="1134"/>
        </w:tabs>
        <w:ind w:left="1134"/>
      </w:pPr>
      <w:r>
        <w:t>the period within which the creditor is entitled to sue for the recovery of the debt ends, because of the operation of a statute of limitations, without the debt having been paid</w:t>
      </w:r>
      <w:r w:rsidR="00E426D4">
        <w:t>;</w:t>
      </w:r>
    </w:p>
    <w:p w14:paraId="0C3832A3" w14:textId="77777777" w:rsidR="0087589E" w:rsidRDefault="000F673A" w:rsidP="0087589E">
      <w:pPr>
        <w:pStyle w:val="Bullet"/>
        <w:tabs>
          <w:tab w:val="clear" w:pos="566"/>
          <w:tab w:val="num" w:pos="1134"/>
        </w:tabs>
        <w:ind w:left="1134"/>
      </w:pPr>
      <w:r>
        <w:t xml:space="preserve">the debt is assigned by the creditor to </w:t>
      </w:r>
      <w:r w:rsidR="0087589E">
        <w:t>a new creditor</w:t>
      </w:r>
      <w:r>
        <w:t xml:space="preserve"> under an arrangement</w:t>
      </w:r>
      <w:r w:rsidR="0087589E">
        <w:t xml:space="preserve"> where:</w:t>
      </w:r>
    </w:p>
    <w:p w14:paraId="0C3832A4" w14:textId="77777777" w:rsidR="0087589E" w:rsidRDefault="00E426D4" w:rsidP="00E426D4">
      <w:pPr>
        <w:pStyle w:val="Dash"/>
      </w:pPr>
      <w:r>
        <w:t>e</w:t>
      </w:r>
      <w:r w:rsidR="0087589E">
        <w:t>ither the new creditor is an associate of the debtor or the assignment occurred under an arrangement to which the new creditor and debtor were parties; and</w:t>
      </w:r>
    </w:p>
    <w:p w14:paraId="0C3832A5" w14:textId="77777777" w:rsidR="0087589E" w:rsidRDefault="00E426D4" w:rsidP="00E426D4">
      <w:pPr>
        <w:pStyle w:val="Dash"/>
      </w:pPr>
      <w:r>
        <w:t>t</w:t>
      </w:r>
      <w:r w:rsidR="0087589E">
        <w:t>he right to receive payment of the debt was not acquired by the new creditor in the ordinary course of trading in a place where offers to sell, buy or exchange securities are made</w:t>
      </w:r>
      <w:r w:rsidR="00595AA7">
        <w:t>;</w:t>
      </w:r>
    </w:p>
    <w:p w14:paraId="0C3832A6" w14:textId="77777777" w:rsidR="00595AA7" w:rsidRDefault="000F673A" w:rsidP="0087589E">
      <w:pPr>
        <w:pStyle w:val="Bullet"/>
        <w:tabs>
          <w:tab w:val="clear" w:pos="566"/>
          <w:tab w:val="num" w:pos="1134"/>
        </w:tabs>
        <w:ind w:left="1134"/>
      </w:pPr>
      <w:r>
        <w:t xml:space="preserve">the creditor </w:t>
      </w:r>
      <w:r w:rsidR="00595AA7">
        <w:t>subscribes for shares in the borrower company in order to enable to borrow to make payment towards the discharge of a debt the borrower company owes to the creditor to the extent the borrower applies any of the money subscribed towards the payment of the debt (a debt for equity swap); or</w:t>
      </w:r>
      <w:r>
        <w:t xml:space="preserve"> </w:t>
      </w:r>
    </w:p>
    <w:p w14:paraId="0C3832A7" w14:textId="77777777" w:rsidR="00595AA7" w:rsidRDefault="000F673A" w:rsidP="0087589E">
      <w:pPr>
        <w:pStyle w:val="Bullet"/>
        <w:tabs>
          <w:tab w:val="clear" w:pos="566"/>
          <w:tab w:val="num" w:pos="1134"/>
        </w:tabs>
        <w:ind w:left="1134"/>
      </w:pPr>
      <w:r>
        <w:t xml:space="preserve">the </w:t>
      </w:r>
      <w:r w:rsidR="00595AA7">
        <w:t>debtor and creditor enter into an arrangement where the obligation of the debt ceases at a particular future time, without the debtor incurring any financial or other obligation.</w:t>
      </w:r>
    </w:p>
    <w:p w14:paraId="0C3832A8" w14:textId="287A4790" w:rsidR="000F673A" w:rsidRDefault="000F673A" w:rsidP="000F673A">
      <w:pPr>
        <w:pStyle w:val="OneLevelNumberedParagraph"/>
      </w:pPr>
      <w:r>
        <w:t>Where a commercial debt is forgiven, the borrower obtains an economic gain from not having to repay the loan</w:t>
      </w:r>
      <w:r w:rsidR="00CF0410">
        <w:t xml:space="preserve"> in full</w:t>
      </w:r>
      <w:r w:rsidR="00906407">
        <w:t xml:space="preserve">. </w:t>
      </w:r>
    </w:p>
    <w:p w14:paraId="0C3832A9" w14:textId="1897D2E3" w:rsidR="000F673A" w:rsidRDefault="000F673A" w:rsidP="000F673A">
      <w:pPr>
        <w:pStyle w:val="OneLevelNumberedParagraph"/>
      </w:pPr>
      <w:r>
        <w:t xml:space="preserve">The commercial debt forgiveness rules provide concessional treatment of the </w:t>
      </w:r>
      <w:r w:rsidR="00B1240D">
        <w:t>borrower</w:t>
      </w:r>
      <w:r>
        <w:t>’s gain</w:t>
      </w:r>
      <w:r w:rsidR="00B1240D">
        <w:t>, by allowing them to offset it against current and future expenditure deductions rather than including the gain in the borrower’s assessable income</w:t>
      </w:r>
      <w:r w:rsidR="00906407">
        <w:t xml:space="preserve">. </w:t>
      </w:r>
    </w:p>
    <w:p w14:paraId="0C3832AA" w14:textId="77777777" w:rsidR="000F369F" w:rsidRDefault="00B1240D" w:rsidP="000F673A">
      <w:pPr>
        <w:pStyle w:val="OneLevelNumberedParagraph"/>
      </w:pPr>
      <w:r>
        <w:lastRenderedPageBreak/>
        <w:t>T</w:t>
      </w:r>
      <w:r w:rsidR="000F673A">
        <w:t xml:space="preserve">he gain is used to </w:t>
      </w:r>
      <w:r w:rsidR="000F369F">
        <w:t>reduce</w:t>
      </w:r>
      <w:r w:rsidR="000F673A">
        <w:t xml:space="preserve"> </w:t>
      </w:r>
      <w:r w:rsidR="000F369F">
        <w:t>expenditure</w:t>
      </w:r>
      <w:r w:rsidR="00B32D15">
        <w:t xml:space="preserve"> in respect of an asset that you have disposed of (</w:t>
      </w:r>
      <w:r w:rsidR="000F369F">
        <w:t>that would be deductible in the current or future income years</w:t>
      </w:r>
      <w:r w:rsidR="00B32D15">
        <w:t>)</w:t>
      </w:r>
      <w:r w:rsidR="000F369F">
        <w:t xml:space="preserve">, in </w:t>
      </w:r>
      <w:r w:rsidR="000F673A">
        <w:t>following order:</w:t>
      </w:r>
    </w:p>
    <w:p w14:paraId="0C3832AB" w14:textId="77777777" w:rsidR="000F369F" w:rsidRDefault="000F673A" w:rsidP="000F369F">
      <w:pPr>
        <w:pStyle w:val="Bullet"/>
        <w:tabs>
          <w:tab w:val="clear" w:pos="566"/>
          <w:tab w:val="num" w:pos="1134"/>
        </w:tabs>
        <w:ind w:left="1134"/>
      </w:pPr>
      <w:r>
        <w:t xml:space="preserve">tax losses from previous income years; </w:t>
      </w:r>
    </w:p>
    <w:p w14:paraId="0C3832AC" w14:textId="77777777" w:rsidR="000F369F" w:rsidRDefault="000F673A" w:rsidP="000F369F">
      <w:pPr>
        <w:pStyle w:val="Bullet"/>
        <w:tabs>
          <w:tab w:val="clear" w:pos="566"/>
          <w:tab w:val="num" w:pos="1134"/>
        </w:tabs>
        <w:ind w:left="1134"/>
      </w:pPr>
      <w:r>
        <w:t xml:space="preserve">net capital losses from previous income years; </w:t>
      </w:r>
    </w:p>
    <w:p w14:paraId="0C3832AD" w14:textId="77777777" w:rsidR="000F369F" w:rsidRDefault="000F673A" w:rsidP="000F369F">
      <w:pPr>
        <w:pStyle w:val="Bullet"/>
        <w:tabs>
          <w:tab w:val="clear" w:pos="566"/>
          <w:tab w:val="num" w:pos="1134"/>
        </w:tabs>
        <w:ind w:left="1134"/>
      </w:pPr>
      <w:r>
        <w:t xml:space="preserve">current or future income year deductions from expenditure in a previous year; </w:t>
      </w:r>
    </w:p>
    <w:p w14:paraId="0C3832AE" w14:textId="77777777" w:rsidR="000F369F" w:rsidRDefault="000F673A" w:rsidP="000F369F">
      <w:pPr>
        <w:pStyle w:val="Bullet"/>
        <w:tabs>
          <w:tab w:val="clear" w:pos="566"/>
          <w:tab w:val="num" w:pos="1134"/>
        </w:tabs>
        <w:ind w:left="1134"/>
      </w:pPr>
      <w:r>
        <w:t>cost bases of certain Capital Gains Tax (CGT) assets.</w:t>
      </w:r>
      <w:r w:rsidR="000F369F" w:rsidRPr="000F369F">
        <w:t xml:space="preserve"> </w:t>
      </w:r>
    </w:p>
    <w:p w14:paraId="0C3832AF" w14:textId="77777777" w:rsidR="00B32D15" w:rsidRDefault="00B32D15" w:rsidP="000F673A">
      <w:pPr>
        <w:pStyle w:val="OneLevelNumberedParagraph"/>
      </w:pPr>
      <w:r>
        <w:t xml:space="preserve">The gain cannot be </w:t>
      </w:r>
      <w:r w:rsidR="00A80884">
        <w:t>used</w:t>
      </w:r>
      <w:r>
        <w:t xml:space="preserve"> to reduce expenditure</w:t>
      </w:r>
      <w:r w:rsidR="00B1240D">
        <w:t xml:space="preserve"> in respect of an asset that you have disposed of,</w:t>
      </w:r>
      <w:r>
        <w:t xml:space="preserve"> if a provision of the </w:t>
      </w:r>
      <w:r w:rsidR="00B1240D">
        <w:t>Income Tax Assessment Act</w:t>
      </w:r>
      <w:r>
        <w:t xml:space="preserve"> includes an amount in the taxpayer’s assessable income or allows them a deduction as a result of the disposal.</w:t>
      </w:r>
    </w:p>
    <w:p w14:paraId="0C3832B0" w14:textId="77777777" w:rsidR="000F673A" w:rsidRDefault="000F673A" w:rsidP="000F673A">
      <w:pPr>
        <w:pStyle w:val="OneLevelNumberedParagraph"/>
      </w:pPr>
      <w:r>
        <w:t>If all amounts in these four classes are reduced to zero, any remaining portion of the gain is disregarded.</w:t>
      </w:r>
    </w:p>
    <w:p w14:paraId="0C3832B1" w14:textId="3AB482AF" w:rsidR="000B2A41" w:rsidRPr="00E13D21" w:rsidRDefault="000B2A41" w:rsidP="008755D5">
      <w:pPr>
        <w:pStyle w:val="Heading2"/>
      </w:pPr>
      <w:bookmarkStart w:id="6" w:name="_Toc329350962"/>
      <w:r w:rsidRPr="00E13D21">
        <w:t>Divisi</w:t>
      </w:r>
      <w:r>
        <w:t>on 230</w:t>
      </w:r>
      <w:r w:rsidR="00906407">
        <w:t xml:space="preserve"> — </w:t>
      </w:r>
      <w:r w:rsidRPr="00E13D21">
        <w:t>Taxation of financial arrangements</w:t>
      </w:r>
      <w:bookmarkEnd w:id="6"/>
    </w:p>
    <w:p w14:paraId="0C3832B2" w14:textId="68A54FD0" w:rsidR="000B2A41" w:rsidRPr="000E206E" w:rsidRDefault="000B2A41" w:rsidP="00542AD7">
      <w:pPr>
        <w:pStyle w:val="OneLevelNumberedParagraph"/>
      </w:pPr>
      <w:r w:rsidRPr="0016664A">
        <w:t xml:space="preserve">Division 230 concerns the tax treatment of gains and losses from financial arrangements, where gains are </w:t>
      </w:r>
      <w:r>
        <w:t xml:space="preserve">generally </w:t>
      </w:r>
      <w:r w:rsidRPr="0016664A">
        <w:t xml:space="preserve">assessable and losses are </w:t>
      </w:r>
      <w:r>
        <w:t xml:space="preserve">generally </w:t>
      </w:r>
      <w:r w:rsidRPr="0016664A">
        <w:t>deductible</w:t>
      </w:r>
      <w:r w:rsidR="00906407">
        <w:t xml:space="preserve">. </w:t>
      </w:r>
      <w:r w:rsidRPr="0016664A">
        <w:t xml:space="preserve">The provisions apply </w:t>
      </w:r>
      <w:r>
        <w:t xml:space="preserve">generally </w:t>
      </w:r>
      <w:r w:rsidRPr="0016664A">
        <w:t xml:space="preserve">to </w:t>
      </w:r>
      <w:r>
        <w:t>large</w:t>
      </w:r>
      <w:r w:rsidRPr="0016664A">
        <w:t xml:space="preserve"> business taxpayers, managed funds, and industry and corporate superannuation funds</w:t>
      </w:r>
      <w:r w:rsidR="00906407">
        <w:t xml:space="preserve">. </w:t>
      </w:r>
    </w:p>
    <w:p w14:paraId="0C3832B3" w14:textId="77777777" w:rsidR="000B2A41" w:rsidRDefault="000B2A41" w:rsidP="00057BBC">
      <w:pPr>
        <w:pStyle w:val="Heading3"/>
      </w:pPr>
      <w:r>
        <w:t>Bad Debts</w:t>
      </w:r>
    </w:p>
    <w:p w14:paraId="0C3832B4" w14:textId="77777777" w:rsidR="000B2A41" w:rsidRDefault="000B2A41" w:rsidP="00057BBC">
      <w:pPr>
        <w:pStyle w:val="Heading4"/>
      </w:pPr>
      <w:r>
        <w:t>Default Tax Timing Methods</w:t>
      </w:r>
    </w:p>
    <w:p w14:paraId="0C3832B5" w14:textId="09C24A72" w:rsidR="000B2A41" w:rsidRPr="00906407" w:rsidRDefault="000B2A41" w:rsidP="00542AD7">
      <w:pPr>
        <w:pStyle w:val="OneLevelNumberedParagraph"/>
        <w:rPr>
          <w:color w:val="auto"/>
        </w:rPr>
      </w:pPr>
      <w:r>
        <w:t xml:space="preserve">Where </w:t>
      </w:r>
      <w:r w:rsidR="0077503E">
        <w:t xml:space="preserve">a </w:t>
      </w:r>
      <w:r>
        <w:t xml:space="preserve">loss </w:t>
      </w:r>
      <w:r w:rsidR="0077503E">
        <w:t xml:space="preserve">is </w:t>
      </w:r>
      <w:r>
        <w:t xml:space="preserve">brought to account </w:t>
      </w:r>
      <w:r w:rsidR="0077503E">
        <w:t xml:space="preserve">under </w:t>
      </w:r>
      <w:r>
        <w:t xml:space="preserve">the realisation method </w:t>
      </w:r>
      <w:r w:rsidR="0077503E">
        <w:t xml:space="preserve">upon </w:t>
      </w:r>
      <w:r>
        <w:t xml:space="preserve">a bad debt </w:t>
      </w:r>
      <w:r w:rsidR="0077503E">
        <w:t xml:space="preserve">being </w:t>
      </w:r>
      <w:r>
        <w:t xml:space="preserve">written off, a deduction is allowed but only in situations where the amount was taken into account in determining assessable income or where it arose in the course of a business of </w:t>
      </w:r>
      <w:r w:rsidRPr="00906407">
        <w:rPr>
          <w:color w:val="auto"/>
        </w:rPr>
        <w:t>lending money (</w:t>
      </w:r>
      <w:r w:rsidR="00CF0410" w:rsidRPr="00906407">
        <w:rPr>
          <w:color w:val="auto"/>
        </w:rPr>
        <w:t xml:space="preserve">see </w:t>
      </w:r>
      <w:r w:rsidRPr="00906407">
        <w:rPr>
          <w:color w:val="auto"/>
        </w:rPr>
        <w:t>subsection 230</w:t>
      </w:r>
      <w:r w:rsidR="00906407" w:rsidRPr="00906407">
        <w:rPr>
          <w:color w:val="auto"/>
        </w:rPr>
        <w:noBreakHyphen/>
      </w:r>
      <w:r w:rsidRPr="00906407">
        <w:rPr>
          <w:color w:val="auto"/>
        </w:rPr>
        <w:t>180(3)).</w:t>
      </w:r>
    </w:p>
    <w:p w14:paraId="0C3832B6" w14:textId="1D4AA4A6" w:rsidR="005E1E6F" w:rsidRDefault="00A93B0A" w:rsidP="00542AD7">
      <w:pPr>
        <w:pStyle w:val="OneLevelNumberedParagraph"/>
      </w:pPr>
      <w:r w:rsidRPr="00906407">
        <w:rPr>
          <w:color w:val="auto"/>
        </w:rPr>
        <w:t>A loss realised under such circumstances is treated as a bad debt deduction (subsection</w:t>
      </w:r>
      <w:r w:rsidR="00906407">
        <w:rPr>
          <w:color w:val="auto"/>
        </w:rPr>
        <w:t> </w:t>
      </w:r>
      <w:r w:rsidRPr="00906407">
        <w:rPr>
          <w:color w:val="auto"/>
        </w:rPr>
        <w:t>230</w:t>
      </w:r>
      <w:r w:rsidR="00906407" w:rsidRPr="00906407">
        <w:rPr>
          <w:color w:val="auto"/>
        </w:rPr>
        <w:noBreakHyphen/>
      </w:r>
      <w:r w:rsidRPr="00906407">
        <w:rPr>
          <w:color w:val="auto"/>
        </w:rPr>
        <w:t>180(6)) and as a result the limits in subsection 25</w:t>
      </w:r>
      <w:r w:rsidR="00906407" w:rsidRPr="00906407">
        <w:rPr>
          <w:color w:val="auto"/>
        </w:rPr>
        <w:noBreakHyphen/>
      </w:r>
      <w:r w:rsidRPr="00906407">
        <w:rPr>
          <w:color w:val="auto"/>
        </w:rPr>
        <w:t>35(5) apply</w:t>
      </w:r>
      <w:r>
        <w:t>.</w:t>
      </w:r>
    </w:p>
    <w:p w14:paraId="0C3832B7" w14:textId="61BE6CC8" w:rsidR="00806097" w:rsidRDefault="00A16959" w:rsidP="00542AD7">
      <w:pPr>
        <w:pStyle w:val="OneLevelNumberedParagraph"/>
      </w:pPr>
      <w:r>
        <w:t>Where a loss is brought to account under</w:t>
      </w:r>
      <w:r w:rsidR="00AC0BD6">
        <w:t xml:space="preserve"> the accruals method </w:t>
      </w:r>
      <w:r>
        <w:t xml:space="preserve">upon </w:t>
      </w:r>
      <w:r w:rsidR="00430264">
        <w:t xml:space="preserve">a bad debt </w:t>
      </w:r>
      <w:r>
        <w:t xml:space="preserve">being </w:t>
      </w:r>
      <w:r w:rsidR="00430264">
        <w:t>written off</w:t>
      </w:r>
      <w:r w:rsidR="00AC0BD6">
        <w:t xml:space="preserve">, </w:t>
      </w:r>
      <w:r>
        <w:t>a deduction is also only allowed in situations where the amount was taken into account in determining assessable income, or where it arose in the course of a business of lending money (</w:t>
      </w:r>
      <w:r w:rsidR="00CF0410">
        <w:t xml:space="preserve">see </w:t>
      </w:r>
      <w:r>
        <w:t xml:space="preserve">subsection </w:t>
      </w:r>
      <w:r w:rsidR="00B16F4C">
        <w:t>230</w:t>
      </w:r>
      <w:r w:rsidR="00906407">
        <w:noBreakHyphen/>
      </w:r>
      <w:r w:rsidR="00B16F4C">
        <w:t>195(3)</w:t>
      </w:r>
      <w:r>
        <w:t>)</w:t>
      </w:r>
      <w:r w:rsidR="00B16F4C">
        <w:t>.</w:t>
      </w:r>
    </w:p>
    <w:p w14:paraId="0C3832B8" w14:textId="77777777" w:rsidR="000B2A41" w:rsidRDefault="000B2A41" w:rsidP="00542AD7">
      <w:pPr>
        <w:pStyle w:val="OneLevelNumberedParagraph"/>
      </w:pPr>
      <w:r>
        <w:t>The Government also announced an intention to amend Division 230, such that where gains or losses are brought to account using the running balancing adjustment provisions of the accruals method, deductions under that method are also subject to similar bad debt provisions</w:t>
      </w:r>
      <w:r w:rsidR="00EE6817">
        <w:t xml:space="preserve"> as under the realisation method</w:t>
      </w:r>
      <w:r>
        <w:t xml:space="preserve"> (Item 9 of the Attachment to </w:t>
      </w:r>
      <w:r w:rsidR="00CF0410">
        <w:t xml:space="preserve">the then Assistant Treasurer, </w:t>
      </w:r>
      <w:r>
        <w:t>Senator Sherry’s</w:t>
      </w:r>
      <w:r w:rsidR="00CF0410">
        <w:t xml:space="preserve"> </w:t>
      </w:r>
      <w:r>
        <w:t>Media Release No. 145 of 29 June 2010).</w:t>
      </w:r>
    </w:p>
    <w:p w14:paraId="0C3832B9" w14:textId="77777777" w:rsidR="000B2A41" w:rsidRDefault="000B2A41" w:rsidP="00057BBC">
      <w:pPr>
        <w:pStyle w:val="Heading4"/>
      </w:pPr>
      <w:r>
        <w:lastRenderedPageBreak/>
        <w:t>Fair Value Method</w:t>
      </w:r>
    </w:p>
    <w:p w14:paraId="0C3832BA" w14:textId="77777777" w:rsidR="000B2A41" w:rsidRDefault="000B2A41" w:rsidP="00542AD7">
      <w:pPr>
        <w:pStyle w:val="OneLevelNumberedParagraph"/>
      </w:pPr>
      <w:r>
        <w:t xml:space="preserve">Where gains or losses are brought to account under the fair value method, there are no provisions that explicitly deal with bad debts. </w:t>
      </w:r>
    </w:p>
    <w:p w14:paraId="0C3832BB" w14:textId="77777777" w:rsidR="000B2A41" w:rsidRDefault="000B2A41" w:rsidP="00542AD7">
      <w:pPr>
        <w:pStyle w:val="OneLevelNumberedParagraph"/>
      </w:pPr>
      <w:r>
        <w:t xml:space="preserve">However, for tax purposes, the fair value of a financial arrangement must be determined in accordance with the applicable accounting principles, which may be, for example a standard of the Australian Accounting Standards Board (AASB). </w:t>
      </w:r>
    </w:p>
    <w:p w14:paraId="0C3832BC" w14:textId="77777777" w:rsidR="003018E2" w:rsidRDefault="000B2A41" w:rsidP="00542AD7">
      <w:pPr>
        <w:pStyle w:val="OneLevelNumberedParagraph"/>
      </w:pPr>
      <w:r>
        <w:t>AASB 139 provides that the fair value of a financial arrangement might be the quoted price in an active market (AASB 139 (48A), (AG71)</w:t>
      </w:r>
      <w:r w:rsidR="005341CC">
        <w:t>)</w:t>
      </w:r>
      <w:r>
        <w:t xml:space="preserve">. If there is no active market, one of the factors that may be considered in valuing the financial arrangement is credit risk (AASB 139 (AG79), (AG82)(b)). </w:t>
      </w:r>
    </w:p>
    <w:p w14:paraId="0C3832BD" w14:textId="200E750F" w:rsidR="000B2A41" w:rsidRDefault="000B2A41" w:rsidP="00542AD7">
      <w:pPr>
        <w:pStyle w:val="OneLevelNumberedParagraph"/>
      </w:pPr>
      <w:r>
        <w:t xml:space="preserve">Therefore, in either situation, if it </w:t>
      </w:r>
      <w:r w:rsidR="00F665F1">
        <w:t xml:space="preserve">is considered with sufficient probability </w:t>
      </w:r>
      <w:r>
        <w:t>that an obligation under a financial arrangement would not be satisfied</w:t>
      </w:r>
      <w:r w:rsidR="00906407">
        <w:t xml:space="preserve"> — </w:t>
      </w:r>
      <w:r>
        <w:t>that is, it is a bad debt</w:t>
      </w:r>
      <w:r w:rsidR="00906407">
        <w:t xml:space="preserve"> — </w:t>
      </w:r>
      <w:r>
        <w:t>the fair value of the arrangement should reflect this. This may result in the recognition of a loss.</w:t>
      </w:r>
    </w:p>
    <w:p w14:paraId="0C3832BE" w14:textId="77777777" w:rsidR="000B2A41" w:rsidRDefault="000B2A41" w:rsidP="00542AD7">
      <w:pPr>
        <w:pStyle w:val="OneLevelNumberedParagraph"/>
      </w:pPr>
      <w:r>
        <w:t xml:space="preserve">Therefore, a deduction may effectively be allowed for the loss resulting from a bad debt, if the fair value method applies to the financial arrangement. </w:t>
      </w:r>
    </w:p>
    <w:p w14:paraId="0C3832BF" w14:textId="77777777" w:rsidR="000B2A41" w:rsidRDefault="000B2A41" w:rsidP="00057BBC">
      <w:pPr>
        <w:pStyle w:val="Heading4"/>
      </w:pPr>
      <w:r>
        <w:t>Reliance on Financial Reports Method</w:t>
      </w:r>
    </w:p>
    <w:p w14:paraId="0C3832C0" w14:textId="77777777" w:rsidR="000B2A41" w:rsidRDefault="000B2A41" w:rsidP="00542AD7">
      <w:pPr>
        <w:pStyle w:val="OneLevelNumberedParagraph"/>
      </w:pPr>
      <w:r>
        <w:t xml:space="preserve">Where gains or losses are brought to account under the reliance on financial reports method, there are no provisions that explicitly deal with bad debts. </w:t>
      </w:r>
    </w:p>
    <w:p w14:paraId="0C3832C1" w14:textId="77777777" w:rsidR="000B2A41" w:rsidRDefault="000B2A41" w:rsidP="00542AD7">
      <w:pPr>
        <w:pStyle w:val="OneLevelNumberedParagraph"/>
      </w:pPr>
      <w:r>
        <w:t>However, this method may only be applied to a financial arrangement if, as determined in accordance with the financial reports:</w:t>
      </w:r>
    </w:p>
    <w:p w14:paraId="0C3832C2" w14:textId="77777777" w:rsidR="000B2A41" w:rsidRDefault="000B2A41" w:rsidP="00C25ED0">
      <w:pPr>
        <w:pStyle w:val="Bullet"/>
        <w:tabs>
          <w:tab w:val="clear" w:pos="566"/>
          <w:tab w:val="num" w:pos="1134"/>
        </w:tabs>
        <w:ind w:left="1134"/>
      </w:pPr>
      <w:r>
        <w:t xml:space="preserve">the overall gain or loss would be the same; and </w:t>
      </w:r>
    </w:p>
    <w:p w14:paraId="5F28A1FE" w14:textId="77777777" w:rsidR="00906407" w:rsidRDefault="000B2A41" w:rsidP="00906407">
      <w:pPr>
        <w:pStyle w:val="Bullet"/>
        <w:tabs>
          <w:tab w:val="clear" w:pos="566"/>
          <w:tab w:val="num" w:pos="1134"/>
        </w:tabs>
        <w:ind w:left="1134"/>
      </w:pPr>
      <w:r>
        <w:t xml:space="preserve">the timing would reasonably be expected to be </w:t>
      </w:r>
      <w:r w:rsidR="00B4145B">
        <w:t xml:space="preserve">not </w:t>
      </w:r>
      <w:r>
        <w:t>substantially different to the timing of</w:t>
      </w:r>
      <w:r w:rsidRPr="00057BBC">
        <w:t xml:space="preserve"> </w:t>
      </w:r>
      <w:r>
        <w:t>the gains or losses</w:t>
      </w:r>
      <w:r w:rsidR="00640379">
        <w:t>;</w:t>
      </w:r>
      <w:r>
        <w:t xml:space="preserve"> </w:t>
      </w:r>
    </w:p>
    <w:p w14:paraId="0C3832C4" w14:textId="34DB7606" w:rsidR="000B2A41" w:rsidRDefault="00640379" w:rsidP="00906407">
      <w:pPr>
        <w:pStyle w:val="Dash"/>
      </w:pPr>
      <w:r>
        <w:t xml:space="preserve">as that between the reliance on financial reports method and the result under Division 230 if that method did not </w:t>
      </w:r>
      <w:r w:rsidRPr="000A1136">
        <w:t>apply</w:t>
      </w:r>
      <w:r w:rsidR="00EE6817" w:rsidRPr="000A1136">
        <w:t xml:space="preserve"> </w:t>
      </w:r>
      <w:r w:rsidR="000B2A41" w:rsidRPr="000A1136">
        <w:t>(</w:t>
      </w:r>
      <w:r w:rsidR="007D6D15" w:rsidRPr="000A1136">
        <w:t>paragraph</w:t>
      </w:r>
      <w:r w:rsidR="00DC43E0" w:rsidRPr="000A1136">
        <w:t>s</w:t>
      </w:r>
      <w:r w:rsidR="000B2A41" w:rsidRPr="000A1136">
        <w:t xml:space="preserve"> 230</w:t>
      </w:r>
      <w:r w:rsidR="00906407">
        <w:noBreakHyphen/>
      </w:r>
      <w:r w:rsidR="000B2A41" w:rsidRPr="000A1136">
        <w:t>410(1)</w:t>
      </w:r>
      <w:r w:rsidR="007D6D15" w:rsidRPr="000A1136">
        <w:t>(e)</w:t>
      </w:r>
      <w:r w:rsidR="000B2A41" w:rsidRPr="000A1136">
        <w:t xml:space="preserve"> and (f)).</w:t>
      </w:r>
    </w:p>
    <w:p w14:paraId="0C3832C5" w14:textId="77777777" w:rsidR="000B2A41" w:rsidRPr="006A2E08" w:rsidRDefault="000B2A41" w:rsidP="00542AD7">
      <w:pPr>
        <w:pStyle w:val="OneLevelNumberedParagraph"/>
      </w:pPr>
      <w:r w:rsidRPr="006A2E08">
        <w:t xml:space="preserve">Therefore, this implies that a deduction for a loss </w:t>
      </w:r>
      <w:r w:rsidR="00EE6817" w:rsidRPr="006A2E08">
        <w:t>resulting from a</w:t>
      </w:r>
      <w:r w:rsidRPr="006A2E08">
        <w:t xml:space="preserve"> bad debt is only allowed under the reliance on financial reports method if such a deduction would be allowed under the method the taxpayer would be required to apply, if it did not apply the reliance on financial reports method.</w:t>
      </w:r>
    </w:p>
    <w:p w14:paraId="0C3832C6" w14:textId="77777777" w:rsidR="000B2A41" w:rsidRDefault="000B2A41" w:rsidP="00057BBC">
      <w:pPr>
        <w:pStyle w:val="Heading4"/>
      </w:pPr>
      <w:r>
        <w:t>Balancing Adjustments</w:t>
      </w:r>
    </w:p>
    <w:p w14:paraId="0C3832C7" w14:textId="09CFA09F" w:rsidR="000B2A41" w:rsidRDefault="000B2A41" w:rsidP="00542AD7">
      <w:pPr>
        <w:pStyle w:val="OneLevelNumberedParagraph"/>
      </w:pPr>
      <w:r>
        <w:t>Unless a deduction for a loss resulting from a bad debt was allowable under the method applying to a financial arrangement, a balancing adjustment cannot be made upon the writing  off of a bad debt, to bring such a loss to account for tax purposes (</w:t>
      </w:r>
      <w:r w:rsidR="00EE1C17">
        <w:t>paragraph</w:t>
      </w:r>
      <w:r>
        <w:t xml:space="preserve"> 230</w:t>
      </w:r>
      <w:r w:rsidR="00906407">
        <w:noBreakHyphen/>
      </w:r>
      <w:r>
        <w:t>440(3)(a)).</w:t>
      </w:r>
    </w:p>
    <w:p w14:paraId="0C3832C8" w14:textId="77777777" w:rsidR="000B2A41" w:rsidRDefault="000B2A41" w:rsidP="00057BBC">
      <w:pPr>
        <w:pStyle w:val="Heading4"/>
      </w:pPr>
      <w:r w:rsidRPr="00B32D15">
        <w:lastRenderedPageBreak/>
        <w:t>C</w:t>
      </w:r>
      <w:r w:rsidR="00B32D15" w:rsidRPr="00B32D15">
        <w:t>essation</w:t>
      </w:r>
      <w:r w:rsidRPr="00B32D15">
        <w:t xml:space="preserve"> Losses</w:t>
      </w:r>
    </w:p>
    <w:p w14:paraId="0C3832C9" w14:textId="3E44FAF5" w:rsidR="000B2A41" w:rsidRPr="00743FFA" w:rsidRDefault="000B2A41" w:rsidP="00542AD7">
      <w:pPr>
        <w:pStyle w:val="OneLevelNumberedParagraph"/>
      </w:pPr>
      <w:r>
        <w:t xml:space="preserve">Where a taxpayer makes a loss from ceasing to have a financial arrangement, </w:t>
      </w:r>
      <w:r w:rsidR="00EE1732">
        <w:t>and it can be objectively concluded that the cessation is due to an apprehension or belief that the other party (or parties) to the financial arrangement were, or would be likely to be, unable or unwilling to discharge all their liabilities to pay amounts under the financial arrangement</w:t>
      </w:r>
      <w:r>
        <w:t>, the amount of the loss must be reduced to the extent that the loss is one of capital or capital in nature (</w:t>
      </w:r>
      <w:r w:rsidR="00EE1C17">
        <w:t xml:space="preserve">see </w:t>
      </w:r>
      <w:r>
        <w:t>section 230</w:t>
      </w:r>
      <w:r w:rsidR="00906407">
        <w:noBreakHyphen/>
      </w:r>
      <w:r>
        <w:t>465)</w:t>
      </w:r>
      <w:r w:rsidR="00906407">
        <w:t xml:space="preserve">. </w:t>
      </w:r>
    </w:p>
    <w:p w14:paraId="0C3832CA" w14:textId="77777777" w:rsidR="000B2A41" w:rsidRDefault="000B2A41" w:rsidP="00BE0786">
      <w:pPr>
        <w:pStyle w:val="Heading4"/>
      </w:pPr>
      <w:r>
        <w:t>Forgiveness of commercial debts</w:t>
      </w:r>
    </w:p>
    <w:p w14:paraId="0C3832CB" w14:textId="2C7CDED6" w:rsidR="00DF53A5" w:rsidRDefault="00B546DA" w:rsidP="00542AD7">
      <w:pPr>
        <w:pStyle w:val="OneLevelNumberedParagraph"/>
      </w:pPr>
      <w:r>
        <w:t>W</w:t>
      </w:r>
      <w:r w:rsidRPr="00B546DA">
        <w:t>here a taxpayer makes a gain from a financial arrangement from the forgiveness of a debt in accordance with the commercial debt forgiveness provisions, that gain is decreased by certain amounts</w:t>
      </w:r>
      <w:r w:rsidR="00F220FA">
        <w:t xml:space="preserve"> (see section 230</w:t>
      </w:r>
      <w:r w:rsidR="00906407">
        <w:noBreakHyphen/>
      </w:r>
      <w:r w:rsidR="00F220FA">
        <w:t>470)</w:t>
      </w:r>
      <w:r w:rsidR="00906407">
        <w:t xml:space="preserve">. </w:t>
      </w:r>
    </w:p>
    <w:p w14:paraId="0C3832CC" w14:textId="77777777" w:rsidR="00930D89" w:rsidRPr="009C16B6" w:rsidRDefault="00DF53A5" w:rsidP="00542AD7">
      <w:pPr>
        <w:pStyle w:val="OneLevelNumberedParagraph"/>
      </w:pPr>
      <w:r>
        <w:t xml:space="preserve">If </w:t>
      </w:r>
      <w:r w:rsidR="000B2A41" w:rsidRPr="00F41E04">
        <w:t xml:space="preserve">the creditor and debtor companies are under common ownership, and they agree </w:t>
      </w:r>
      <w:r>
        <w:t>to forgo capital losses or deductions,</w:t>
      </w:r>
      <w:r w:rsidR="00930D89">
        <w:t xml:space="preserve"> the gain is reduced by an amount </w:t>
      </w:r>
      <w:r w:rsidR="000578B4" w:rsidRPr="009C16B6">
        <w:rPr>
          <w:i/>
        </w:rPr>
        <w:t xml:space="preserve">that </w:t>
      </w:r>
      <w:r w:rsidR="00930D89" w:rsidRPr="009C16B6">
        <w:rPr>
          <w:i/>
        </w:rPr>
        <w:t>does not exceed</w:t>
      </w:r>
      <w:r w:rsidR="00930D89">
        <w:t xml:space="preserve"> the amount that </w:t>
      </w:r>
      <w:r w:rsidR="00930D89" w:rsidRPr="001A220A">
        <w:rPr>
          <w:rFonts w:cs="Calibri"/>
          <w:color w:val="auto"/>
          <w:szCs w:val="22"/>
          <w:lang w:eastAsia="en-US"/>
        </w:rPr>
        <w:t>is used to offset prior capital</w:t>
      </w:r>
      <w:r w:rsidR="008539A8">
        <w:rPr>
          <w:rFonts w:cs="Calibri"/>
          <w:color w:val="auto"/>
          <w:szCs w:val="22"/>
          <w:lang w:eastAsia="en-US"/>
        </w:rPr>
        <w:t xml:space="preserve"> losses and other tax attribute</w:t>
      </w:r>
      <w:r w:rsidR="00A16B04">
        <w:rPr>
          <w:rFonts w:cs="Calibri"/>
          <w:color w:val="auto"/>
          <w:szCs w:val="22"/>
          <w:lang w:eastAsia="en-US"/>
        </w:rPr>
        <w:t>s</w:t>
      </w:r>
      <w:r w:rsidR="008539A8">
        <w:rPr>
          <w:rFonts w:cs="Calibri"/>
          <w:color w:val="auto"/>
          <w:szCs w:val="22"/>
          <w:lang w:eastAsia="en-US"/>
        </w:rPr>
        <w:t xml:space="preserve"> under the commercial debt forgiveness rules</w:t>
      </w:r>
      <w:r w:rsidR="00930D89">
        <w:rPr>
          <w:rFonts w:cs="Calibri"/>
          <w:color w:val="auto"/>
          <w:szCs w:val="22"/>
          <w:lang w:eastAsia="en-US"/>
        </w:rPr>
        <w:t>.</w:t>
      </w:r>
    </w:p>
    <w:p w14:paraId="0C3832CD" w14:textId="77777777" w:rsidR="00F220FA" w:rsidRPr="00EB3EBB" w:rsidRDefault="00B20482" w:rsidP="00542AD7">
      <w:pPr>
        <w:pStyle w:val="OneLevelNumberedParagraph"/>
      </w:pPr>
      <w:r>
        <w:t xml:space="preserve">If the </w:t>
      </w:r>
      <w:r w:rsidRPr="00F41E04">
        <w:t xml:space="preserve">creditor and debtor companies are </w:t>
      </w:r>
      <w:r>
        <w:t xml:space="preserve">not </w:t>
      </w:r>
      <w:r w:rsidRPr="00F41E04">
        <w:t>under common ownership</w:t>
      </w:r>
      <w:r w:rsidR="008539A8">
        <w:t>,</w:t>
      </w:r>
      <w:r>
        <w:t xml:space="preserve"> the gain is reduced by the amount that </w:t>
      </w:r>
      <w:r w:rsidRPr="00F220FA">
        <w:rPr>
          <w:rFonts w:cs="Calibri"/>
          <w:color w:val="auto"/>
          <w:szCs w:val="22"/>
          <w:lang w:eastAsia="en-US"/>
        </w:rPr>
        <w:t>is used to offset prior capital losses and other tax attributes</w:t>
      </w:r>
      <w:r w:rsidR="008539A8" w:rsidRPr="00F220FA">
        <w:rPr>
          <w:rFonts w:cs="Calibri"/>
          <w:color w:val="auto"/>
          <w:szCs w:val="22"/>
          <w:lang w:eastAsia="en-US"/>
        </w:rPr>
        <w:t xml:space="preserve"> under the commercial debt forgiveness rules.</w:t>
      </w:r>
    </w:p>
    <w:p w14:paraId="0C3832CE" w14:textId="77777777" w:rsidR="000B2A41" w:rsidRPr="00E1212A" w:rsidRDefault="000B2A41" w:rsidP="00465B05">
      <w:pPr>
        <w:pStyle w:val="Heading3"/>
      </w:pPr>
      <w:r w:rsidRPr="00E1212A">
        <w:t>Impairment losses</w:t>
      </w:r>
    </w:p>
    <w:p w14:paraId="0C3832CF" w14:textId="771AE51B" w:rsidR="009D2DFE" w:rsidRDefault="00296A41" w:rsidP="00542AD7">
      <w:pPr>
        <w:pStyle w:val="OneLevelNumberedParagraph"/>
      </w:pPr>
      <w:r>
        <w:t xml:space="preserve">Impairment is a term that covers </w:t>
      </w:r>
      <w:r w:rsidR="002045CE">
        <w:t xml:space="preserve">bad </w:t>
      </w:r>
      <w:r w:rsidR="00586EB7">
        <w:t xml:space="preserve">debts </w:t>
      </w:r>
      <w:r w:rsidR="002045CE">
        <w:t xml:space="preserve">and </w:t>
      </w:r>
      <w:r>
        <w:t>doubtful debts</w:t>
      </w:r>
      <w:r w:rsidR="00906407">
        <w:t xml:space="preserve">. </w:t>
      </w:r>
    </w:p>
    <w:p w14:paraId="0C3832D0" w14:textId="322FAE19" w:rsidR="00296A41" w:rsidRDefault="00074F91" w:rsidP="00542AD7">
      <w:pPr>
        <w:pStyle w:val="OneLevelNumberedParagraph"/>
      </w:pPr>
      <w:r>
        <w:t xml:space="preserve">Outside Division 230, tax deductions are </w:t>
      </w:r>
      <w:r w:rsidR="003E6887">
        <w:t xml:space="preserve">not </w:t>
      </w:r>
      <w:r>
        <w:t>availa</w:t>
      </w:r>
      <w:r w:rsidR="009D2DFE">
        <w:t xml:space="preserve">ble for </w:t>
      </w:r>
      <w:r w:rsidR="003E6887">
        <w:t>doubtful debts</w:t>
      </w:r>
      <w:r w:rsidR="005341CC">
        <w:t>,</w:t>
      </w:r>
      <w:r w:rsidR="003E6887">
        <w:t xml:space="preserve"> but are available for </w:t>
      </w:r>
      <w:r w:rsidR="009D2DFE">
        <w:t>b</w:t>
      </w:r>
      <w:r w:rsidR="002045CE">
        <w:t>ad</w:t>
      </w:r>
      <w:r w:rsidR="00586EB7">
        <w:t xml:space="preserve"> debts that have been written off</w:t>
      </w:r>
      <w:r w:rsidR="00906407">
        <w:t xml:space="preserve">. </w:t>
      </w:r>
      <w:r w:rsidR="002045CE">
        <w:t>Doubtful debts</w:t>
      </w:r>
      <w:r w:rsidR="00296A41">
        <w:t xml:space="preserve"> fall short of the circumstances that need to be established for a debt to be considered as bad.</w:t>
      </w:r>
    </w:p>
    <w:p w14:paraId="0C3832D1" w14:textId="50238E25" w:rsidR="00F125B6" w:rsidRDefault="000C05EE" w:rsidP="00542AD7">
      <w:pPr>
        <w:pStyle w:val="OneLevelNumberedParagraph"/>
      </w:pPr>
      <w:r>
        <w:t xml:space="preserve">Under the accruals and realisation tax timing methods in </w:t>
      </w:r>
      <w:r w:rsidR="00C718C8">
        <w:t xml:space="preserve">Division 230, </w:t>
      </w:r>
      <w:r>
        <w:t xml:space="preserve">a tax deduction may be claimed </w:t>
      </w:r>
      <w:r w:rsidR="00F125B6">
        <w:t xml:space="preserve">only </w:t>
      </w:r>
      <w:r>
        <w:t>if an impairment loss arises from a bad debt that has been written off (that is, being merely doubtful is not enough)</w:t>
      </w:r>
      <w:r w:rsidR="00906407">
        <w:t xml:space="preserve">. </w:t>
      </w:r>
    </w:p>
    <w:p w14:paraId="0C3832D2" w14:textId="4884F657" w:rsidR="00236F18" w:rsidRDefault="003B4A2B" w:rsidP="00542AD7">
      <w:pPr>
        <w:pStyle w:val="OneLevelNumberedParagraph"/>
      </w:pPr>
      <w:r>
        <w:t xml:space="preserve">Under the fair value tax timing method, </w:t>
      </w:r>
      <w:r w:rsidR="002045CE">
        <w:t>losses</w:t>
      </w:r>
      <w:r>
        <w:t xml:space="preserve"> </w:t>
      </w:r>
      <w:r w:rsidR="002045CE">
        <w:t>from impairments, including doubtful debts, may be deducted</w:t>
      </w:r>
      <w:r w:rsidR="00906407">
        <w:t xml:space="preserve">. </w:t>
      </w:r>
      <w:r w:rsidR="002045CE">
        <w:t xml:space="preserve">This is where </w:t>
      </w:r>
      <w:r w:rsidR="00327246">
        <w:t xml:space="preserve">impairment results in the fair value of a financial arrangement decreasing from one income tax year to the next. </w:t>
      </w:r>
    </w:p>
    <w:p w14:paraId="0C3832D3" w14:textId="77777777" w:rsidR="008721D6" w:rsidRDefault="000B2A41" w:rsidP="00542AD7">
      <w:pPr>
        <w:pStyle w:val="OneLevelNumberedParagraph"/>
        <w:jc w:val="left"/>
      </w:pPr>
      <w:r w:rsidRPr="00E1212A">
        <w:t xml:space="preserve">Therefore, if </w:t>
      </w:r>
      <w:r w:rsidR="00536613">
        <w:t xml:space="preserve">a related party lender </w:t>
      </w:r>
      <w:r w:rsidR="00DF11E0">
        <w:t xml:space="preserve">is </w:t>
      </w:r>
      <w:r w:rsidR="00536613">
        <w:t>within the scope of Division 230</w:t>
      </w:r>
      <w:r w:rsidR="00043804">
        <w:t xml:space="preserve"> </w:t>
      </w:r>
      <w:r w:rsidR="00C15B62">
        <w:t xml:space="preserve">and </w:t>
      </w:r>
      <w:r w:rsidR="00536613">
        <w:t xml:space="preserve">is denied a </w:t>
      </w:r>
      <w:r w:rsidRPr="00E1212A">
        <w:t>bad debt deduction</w:t>
      </w:r>
      <w:r w:rsidR="00536613">
        <w:t xml:space="preserve"> as a result of the proposed amendment, the </w:t>
      </w:r>
      <w:r w:rsidRPr="00E1212A">
        <w:t xml:space="preserve">lender could still obtain a revenue deduction, </w:t>
      </w:r>
      <w:r w:rsidR="00536613">
        <w:t xml:space="preserve">through the recognition of impairment losses </w:t>
      </w:r>
      <w:r w:rsidR="00D16A5C">
        <w:t xml:space="preserve">under </w:t>
      </w:r>
      <w:r w:rsidR="008631FB">
        <w:t>the fair value tax timing method</w:t>
      </w:r>
      <w:r w:rsidR="00D16A5C">
        <w:t>.</w:t>
      </w:r>
    </w:p>
    <w:p w14:paraId="0C3832D4" w14:textId="77777777" w:rsidR="000B2A41" w:rsidRDefault="000B2A41" w:rsidP="008721D6">
      <w:pPr>
        <w:pStyle w:val="Heading1"/>
      </w:pPr>
      <w:bookmarkStart w:id="7" w:name="_Toc329350963"/>
      <w:r>
        <w:lastRenderedPageBreak/>
        <w:t>Improving the tax treatment of bad debts in related party financing</w:t>
      </w:r>
      <w:bookmarkEnd w:id="7"/>
      <w:r>
        <w:t xml:space="preserve"> </w:t>
      </w:r>
    </w:p>
    <w:p w14:paraId="0C3832D5" w14:textId="6CA561D4" w:rsidR="000B2A41" w:rsidRDefault="000B2A41" w:rsidP="00542AD7">
      <w:pPr>
        <w:pStyle w:val="OneLevelNumberedParagraph"/>
      </w:pPr>
      <w:r>
        <w:t xml:space="preserve">Currently, there is an asymmetry between the </w:t>
      </w:r>
      <w:r w:rsidR="009C02EB">
        <w:t>treatment of the creditor and the debtor</w:t>
      </w:r>
      <w:r w:rsidR="00906407">
        <w:t xml:space="preserve">. </w:t>
      </w:r>
      <w:r w:rsidR="009C02EB">
        <w:t xml:space="preserve">The creditor can be entitled to </w:t>
      </w:r>
      <w:r w:rsidR="00D33B51">
        <w:t xml:space="preserve">revenue </w:t>
      </w:r>
      <w:r>
        <w:t xml:space="preserve">deductions for a bad debt </w:t>
      </w:r>
      <w:r w:rsidR="009C02EB">
        <w:t xml:space="preserve">while </w:t>
      </w:r>
      <w:r>
        <w:t xml:space="preserve">the </w:t>
      </w:r>
      <w:r w:rsidR="009C02EB">
        <w:t xml:space="preserve">debtor may not have to include the </w:t>
      </w:r>
      <w:r w:rsidR="00797223">
        <w:t xml:space="preserve">debt </w:t>
      </w:r>
      <w:r w:rsidR="009C02EB">
        <w:t>forgiven</w:t>
      </w:r>
      <w:r w:rsidR="00797223">
        <w:t xml:space="preserve">ess </w:t>
      </w:r>
      <w:r w:rsidR="009C02EB">
        <w:t>gain in their assessable income</w:t>
      </w:r>
      <w:r w:rsidR="00164CFE">
        <w:t xml:space="preserve"> (although they may have </w:t>
      </w:r>
      <w:r w:rsidR="00EE1C17">
        <w:t>reduced expenditure in respect of an asset that they have disposed of, that would be deductible in the current or future income years</w:t>
      </w:r>
      <w:r w:rsidR="00164CFE">
        <w:t>)</w:t>
      </w:r>
      <w:r>
        <w:t>.</w:t>
      </w:r>
    </w:p>
    <w:p w14:paraId="0C3832D6" w14:textId="77777777" w:rsidR="000B2A41" w:rsidRPr="00F8457A" w:rsidRDefault="000B2A41" w:rsidP="00117F55">
      <w:pPr>
        <w:pStyle w:val="OneLevelNumberedParagraph"/>
        <w:numPr>
          <w:ilvl w:val="0"/>
          <w:numId w:val="0"/>
        </w:numPr>
        <w:ind w:left="567"/>
        <w:rPr>
          <w:i/>
          <w:u w:val="single"/>
        </w:rPr>
      </w:pPr>
      <w:r w:rsidRPr="00F8457A">
        <w:rPr>
          <w:i/>
          <w:u w:val="single"/>
        </w:rPr>
        <w:t xml:space="preserve">Taxation of loan interest </w:t>
      </w:r>
    </w:p>
    <w:p w14:paraId="0C3832D7" w14:textId="7D6045F0" w:rsidR="000B2A41" w:rsidRDefault="000B2A41" w:rsidP="00C25ED0">
      <w:pPr>
        <w:pStyle w:val="Bullet"/>
        <w:tabs>
          <w:tab w:val="clear" w:pos="566"/>
          <w:tab w:val="num" w:pos="1134"/>
        </w:tabs>
        <w:ind w:left="1134"/>
      </w:pPr>
      <w:r>
        <w:t>Currently, for lenders, unpaid accrued interest that will not be received may be deductible (see sections 8</w:t>
      </w:r>
      <w:r w:rsidR="00906407">
        <w:noBreakHyphen/>
      </w:r>
      <w:r>
        <w:t>1 and 25</w:t>
      </w:r>
      <w:r w:rsidR="00906407">
        <w:noBreakHyphen/>
      </w:r>
      <w:r>
        <w:t>35, and Division 230) against assessable income</w:t>
      </w:r>
      <w:r w:rsidR="00906407">
        <w:t xml:space="preserve">. </w:t>
      </w:r>
    </w:p>
    <w:p w14:paraId="0C3832D8" w14:textId="77777777" w:rsidR="000B2A41" w:rsidRDefault="000B2A41" w:rsidP="00C25ED0">
      <w:pPr>
        <w:pStyle w:val="Bullet"/>
        <w:tabs>
          <w:tab w:val="clear" w:pos="566"/>
          <w:tab w:val="num" w:pos="1134"/>
        </w:tabs>
        <w:ind w:left="1134"/>
      </w:pPr>
      <w:r>
        <w:t>For debtors, unless a specific provision includes the unpaid accrued interest in their</w:t>
      </w:r>
      <w:r w:rsidR="007A5A03">
        <w:t xml:space="preserve"> </w:t>
      </w:r>
      <w:r>
        <w:t>assessable income, the amount will be treated</w:t>
      </w:r>
      <w:r w:rsidR="00914E54">
        <w:t xml:space="preserve"> under the commercial debt forgiveness rules.</w:t>
      </w:r>
      <w:r>
        <w:t xml:space="preserve"> </w:t>
      </w:r>
    </w:p>
    <w:p w14:paraId="0C3832D9" w14:textId="77777777" w:rsidR="000B2A41" w:rsidRPr="007664E5" w:rsidRDefault="000B2A41" w:rsidP="00117F55">
      <w:pPr>
        <w:pStyle w:val="OneLevelNumberedParagraph"/>
        <w:numPr>
          <w:ilvl w:val="0"/>
          <w:numId w:val="0"/>
        </w:numPr>
        <w:ind w:left="567"/>
        <w:rPr>
          <w:u w:val="single"/>
        </w:rPr>
      </w:pPr>
      <w:r w:rsidRPr="00F8457A">
        <w:rPr>
          <w:i/>
          <w:u w:val="single"/>
        </w:rPr>
        <w:t>Taxation of loan principal</w:t>
      </w:r>
    </w:p>
    <w:p w14:paraId="0C3832DA" w14:textId="4E1990F4" w:rsidR="000B2A41" w:rsidRDefault="000B2A41" w:rsidP="00C25ED0">
      <w:pPr>
        <w:pStyle w:val="Bullet"/>
        <w:tabs>
          <w:tab w:val="clear" w:pos="566"/>
          <w:tab w:val="num" w:pos="1134"/>
        </w:tabs>
        <w:ind w:left="1134"/>
      </w:pPr>
      <w:r>
        <w:t xml:space="preserve">Generally, the lender is not entitled to a tax deduction on a debt that is a principal amount, except where the debt is </w:t>
      </w:r>
      <w:r w:rsidRPr="0084258C">
        <w:t xml:space="preserve">in respect of money that </w:t>
      </w:r>
      <w:r>
        <w:t xml:space="preserve">was </w:t>
      </w:r>
      <w:r w:rsidRPr="0084258C">
        <w:t>lent in the ordinary course of the</w:t>
      </w:r>
      <w:r>
        <w:t xml:space="preserve"> taxpayer’s </w:t>
      </w:r>
      <w:r w:rsidRPr="0084258C">
        <w:t>business of lending money</w:t>
      </w:r>
      <w:r>
        <w:t xml:space="preserve"> (a money lender), and therefore on revenue account</w:t>
      </w:r>
      <w:r w:rsidR="00906407">
        <w:t xml:space="preserve">. </w:t>
      </w:r>
    </w:p>
    <w:p w14:paraId="0C3832DB" w14:textId="72FA34CF" w:rsidR="000B2A41" w:rsidRDefault="000B2A41" w:rsidP="00C25ED0">
      <w:pPr>
        <w:pStyle w:val="Bullet"/>
        <w:tabs>
          <w:tab w:val="clear" w:pos="566"/>
          <w:tab w:val="num" w:pos="1134"/>
        </w:tabs>
        <w:ind w:left="1134"/>
      </w:pPr>
      <w:r>
        <w:t>Similarly, for the debtor,</w:t>
      </w:r>
      <w:r w:rsidRPr="00BD5558">
        <w:t xml:space="preserve"> </w:t>
      </w:r>
      <w:r>
        <w:t>the amount forgiven will generally not be on revenue account (except where the debtor is a money lender)</w:t>
      </w:r>
      <w:r w:rsidR="00906407">
        <w:t xml:space="preserve">. </w:t>
      </w:r>
      <w:r w:rsidR="00614506">
        <w:t>T</w:t>
      </w:r>
      <w:r>
        <w:t xml:space="preserve">he debtor’s gain will be treated </w:t>
      </w:r>
      <w:r w:rsidR="00950D9B">
        <w:t xml:space="preserve">under the commercial debt forgiveness rules </w:t>
      </w:r>
      <w:r>
        <w:t xml:space="preserve">unless a specific provision includes the amount in assessable income. </w:t>
      </w:r>
    </w:p>
    <w:p w14:paraId="0C3832DC" w14:textId="44CFF5A7" w:rsidR="00A53266" w:rsidRDefault="000B2A41" w:rsidP="008631FB">
      <w:pPr>
        <w:pStyle w:val="OneLevelNumberedParagraph"/>
      </w:pPr>
      <w:r>
        <w:t>For parties</w:t>
      </w:r>
      <w:r w:rsidR="008631FB">
        <w:t xml:space="preserve"> that are sufficiently related</w:t>
      </w:r>
      <w:r>
        <w:t xml:space="preserve">, a loss to the lender </w:t>
      </w:r>
      <w:r w:rsidR="008631FB">
        <w:t>can be</w:t>
      </w:r>
      <w:r>
        <w:t xml:space="preserve"> offset by the gain to the borrower</w:t>
      </w:r>
      <w:r w:rsidR="00906407">
        <w:t xml:space="preserve">. </w:t>
      </w:r>
      <w:r w:rsidR="008631FB">
        <w:t>In these situation</w:t>
      </w:r>
      <w:r w:rsidR="00614506">
        <w:t>s</w:t>
      </w:r>
      <w:r w:rsidR="008631FB">
        <w:t>, given that</w:t>
      </w:r>
      <w:r>
        <w:t xml:space="preserve"> the commercial outcome is </w:t>
      </w:r>
      <w:r w:rsidR="008631FB">
        <w:t xml:space="preserve">largely </w:t>
      </w:r>
      <w:r>
        <w:t xml:space="preserve">neutral, </w:t>
      </w:r>
      <w:r w:rsidR="00A53266" w:rsidRPr="00155258">
        <w:t xml:space="preserve">the </w:t>
      </w:r>
      <w:r w:rsidR="00A53266">
        <w:t xml:space="preserve">current </w:t>
      </w:r>
      <w:r w:rsidR="00A53266" w:rsidRPr="00155258">
        <w:t xml:space="preserve">asymmetrical </w:t>
      </w:r>
      <w:r w:rsidR="008631FB">
        <w:t xml:space="preserve">tax </w:t>
      </w:r>
      <w:r w:rsidR="00A53266" w:rsidRPr="00155258">
        <w:t>treatment</w:t>
      </w:r>
      <w:r w:rsidR="00A53266">
        <w:t xml:space="preserve"> </w:t>
      </w:r>
      <w:r w:rsidR="008631FB">
        <w:t>is not appropriate</w:t>
      </w:r>
      <w:r w:rsidR="00906407">
        <w:t xml:space="preserve">. </w:t>
      </w:r>
    </w:p>
    <w:p w14:paraId="0C3832DD" w14:textId="77777777" w:rsidR="000B2A41" w:rsidRDefault="000B2A41" w:rsidP="00743D21">
      <w:pPr>
        <w:pStyle w:val="OneLevelNumberedParagraph"/>
      </w:pPr>
      <w:r>
        <w:t xml:space="preserve">A better symmetry could be achieved by ensuring that </w:t>
      </w:r>
      <w:r w:rsidR="00355FAD">
        <w:t xml:space="preserve">related party creditors and debtors </w:t>
      </w:r>
      <w:r w:rsidR="00822697">
        <w:t xml:space="preserve">treat </w:t>
      </w:r>
      <w:r>
        <w:t xml:space="preserve">the unpaid accrued interest </w:t>
      </w:r>
      <w:r w:rsidR="00822697">
        <w:t xml:space="preserve">and principal amount </w:t>
      </w:r>
      <w:r w:rsidR="00355FAD">
        <w:t>on capital account</w:t>
      </w:r>
      <w:r w:rsidR="0085331A">
        <w:t xml:space="preserve">, </w:t>
      </w:r>
      <w:r w:rsidR="00822697">
        <w:t>irrespective of whether</w:t>
      </w:r>
      <w:r>
        <w:t xml:space="preserve"> the parties are money lenders</w:t>
      </w:r>
      <w:r w:rsidR="00822697">
        <w:t xml:space="preserve"> or not. </w:t>
      </w:r>
      <w:r w:rsidR="00DF37EA">
        <w:t>This would be closer to the symmetrical outcome achieved for related party borrowings and bad debts within a consolidated group.</w:t>
      </w:r>
    </w:p>
    <w:p w14:paraId="0C3832DE" w14:textId="77777777" w:rsidR="000B2A41" w:rsidRPr="004421FE" w:rsidRDefault="000B2A41" w:rsidP="00000799">
      <w:pPr>
        <w:pStyle w:val="Heading2"/>
      </w:pPr>
      <w:bookmarkStart w:id="8" w:name="_Toc327438904"/>
      <w:bookmarkStart w:id="9" w:name="_Toc329350964"/>
      <w:r w:rsidRPr="004421FE">
        <w:t>Related parties</w:t>
      </w:r>
      <w:bookmarkEnd w:id="8"/>
      <w:bookmarkEnd w:id="9"/>
    </w:p>
    <w:p w14:paraId="0C3832DF" w14:textId="77777777" w:rsidR="000B2A41" w:rsidRDefault="000B2A41" w:rsidP="00542AD7">
      <w:pPr>
        <w:pStyle w:val="OneLevelNumberedParagraph"/>
      </w:pPr>
      <w:r>
        <w:t xml:space="preserve">As bad debt deductions are available to all taxpayers, it is not appropriate to restrict the related party rules to corporate tax entities and similar structures. </w:t>
      </w:r>
    </w:p>
    <w:p w14:paraId="0C3832E0" w14:textId="72C398F4" w:rsidR="000B2A41" w:rsidRPr="008B265E" w:rsidRDefault="000B2A41" w:rsidP="00542AD7">
      <w:pPr>
        <w:pStyle w:val="OneLevelNumberedParagraph"/>
      </w:pPr>
      <w:r w:rsidRPr="008B265E">
        <w:t xml:space="preserve">It is intended that the measure will apply to </w:t>
      </w:r>
      <w:r>
        <w:t xml:space="preserve">parties </w:t>
      </w:r>
      <w:r w:rsidRPr="008B265E">
        <w:t>that are outside</w:t>
      </w:r>
      <w:r>
        <w:t xml:space="preserve"> of</w:t>
      </w:r>
      <w:r w:rsidRPr="008B265E">
        <w:t xml:space="preserve"> a consolidated group, where</w:t>
      </w:r>
      <w:r>
        <w:t xml:space="preserve"> asymmetrical treatment is not appropriate</w:t>
      </w:r>
      <w:r w:rsidR="00906407">
        <w:t xml:space="preserve">. </w:t>
      </w:r>
      <w:r>
        <w:t>For example:</w:t>
      </w:r>
    </w:p>
    <w:p w14:paraId="0C3832E1" w14:textId="77777777" w:rsidR="000B2A41" w:rsidRDefault="000B2A41" w:rsidP="00C25ED0">
      <w:pPr>
        <w:pStyle w:val="Bullet"/>
        <w:tabs>
          <w:tab w:val="clear" w:pos="566"/>
          <w:tab w:val="num" w:pos="1134"/>
        </w:tabs>
        <w:ind w:left="1134"/>
      </w:pPr>
      <w:r>
        <w:t xml:space="preserve">the creditor is a partner of the debtor; </w:t>
      </w:r>
    </w:p>
    <w:p w14:paraId="0C3832E2" w14:textId="77777777" w:rsidR="000B2A41" w:rsidRDefault="000B2A41" w:rsidP="00C25ED0">
      <w:pPr>
        <w:pStyle w:val="Bullet"/>
        <w:tabs>
          <w:tab w:val="clear" w:pos="566"/>
          <w:tab w:val="num" w:pos="1134"/>
        </w:tabs>
        <w:ind w:left="1134"/>
      </w:pPr>
      <w:r>
        <w:lastRenderedPageBreak/>
        <w:t>o</w:t>
      </w:r>
      <w:r w:rsidRPr="008B265E">
        <w:t>ne party</w:t>
      </w:r>
      <w:r>
        <w:t xml:space="preserve">, whether </w:t>
      </w:r>
      <w:r w:rsidRPr="008B265E">
        <w:t>the creditor or the borrower</w:t>
      </w:r>
      <w:r>
        <w:t xml:space="preserve"> (and that party’s  affiliates)</w:t>
      </w:r>
      <w:r w:rsidRPr="008B265E">
        <w:t xml:space="preserve">, directly or indirectly, is able to sufficiently influence the affairs of the other party; or </w:t>
      </w:r>
      <w:r>
        <w:t xml:space="preserve">is </w:t>
      </w:r>
      <w:r w:rsidRPr="008B265E">
        <w:t xml:space="preserve">entitled to acquire a majority voting interest in the other </w:t>
      </w:r>
      <w:r>
        <w:t>party; or</w:t>
      </w:r>
    </w:p>
    <w:p w14:paraId="0C3832E3" w14:textId="77777777" w:rsidR="000B2A41" w:rsidRDefault="000B2A41" w:rsidP="00C25ED0">
      <w:pPr>
        <w:pStyle w:val="Bullet"/>
        <w:tabs>
          <w:tab w:val="clear" w:pos="566"/>
          <w:tab w:val="num" w:pos="1134"/>
        </w:tabs>
        <w:ind w:left="1134"/>
      </w:pPr>
      <w:r>
        <w:t xml:space="preserve">an entity (including the entity’s affiliates) is able to </w:t>
      </w:r>
      <w:r w:rsidRPr="008B265E">
        <w:t>sufficient</w:t>
      </w:r>
      <w:r>
        <w:t>ly influence the affairs of the creditor and the borrower</w:t>
      </w:r>
      <w:r w:rsidRPr="008B265E">
        <w:t xml:space="preserve">; or </w:t>
      </w:r>
      <w:r>
        <w:t xml:space="preserve">is </w:t>
      </w:r>
      <w:r w:rsidRPr="008B265E">
        <w:t xml:space="preserve">entitled to acquire a majority voting interest in </w:t>
      </w:r>
      <w:r>
        <w:t>the creditor and the borrower.</w:t>
      </w:r>
    </w:p>
    <w:p w14:paraId="0C3832E4" w14:textId="4138DD81" w:rsidR="000B2A41" w:rsidRPr="008B265E" w:rsidRDefault="000B2A41" w:rsidP="00542AD7">
      <w:pPr>
        <w:pStyle w:val="OneLevelNumberedParagraph"/>
      </w:pPr>
      <w:r w:rsidRPr="005A556C">
        <w:t xml:space="preserve">The principle for this approach is to </w:t>
      </w:r>
      <w:r w:rsidR="00D230E3">
        <w:t xml:space="preserve">exclude </w:t>
      </w:r>
      <w:r>
        <w:t>immaterial relationships</w:t>
      </w:r>
      <w:r w:rsidR="00505BDB">
        <w:t xml:space="preserve"> (for example, </w:t>
      </w:r>
      <w:r w:rsidR="00505BDB" w:rsidRPr="005A556C">
        <w:t xml:space="preserve">where a person </w:t>
      </w:r>
      <w:r w:rsidR="00505BDB">
        <w:t xml:space="preserve">has </w:t>
      </w:r>
      <w:r w:rsidR="00505BDB" w:rsidRPr="005A556C">
        <w:t>a very insignifi</w:t>
      </w:r>
      <w:r w:rsidR="00505BDB">
        <w:t xml:space="preserve">cant shareholding) </w:t>
      </w:r>
      <w:r w:rsidR="00D230E3">
        <w:t xml:space="preserve">from </w:t>
      </w:r>
      <w:r w:rsidR="00505BDB">
        <w:t xml:space="preserve">the scope of the </w:t>
      </w:r>
      <w:r w:rsidR="00BF4825">
        <w:t xml:space="preserve">measure </w:t>
      </w:r>
      <w:r w:rsidR="00074DCD">
        <w:t xml:space="preserve">but </w:t>
      </w:r>
      <w:r w:rsidR="00D230E3">
        <w:t>includ</w:t>
      </w:r>
      <w:r w:rsidR="00074DCD">
        <w:t xml:space="preserve">e </w:t>
      </w:r>
      <w:r w:rsidR="00D230E3">
        <w:t xml:space="preserve">situations </w:t>
      </w:r>
      <w:r w:rsidR="00074DCD">
        <w:t xml:space="preserve">where a party has </w:t>
      </w:r>
      <w:r w:rsidR="00D230E3">
        <w:t>significant ownership and control</w:t>
      </w:r>
      <w:r w:rsidR="00C7616F">
        <w:t>,</w:t>
      </w:r>
      <w:r w:rsidR="00074DCD">
        <w:t xml:space="preserve"> but does not wholly</w:t>
      </w:r>
      <w:r w:rsidR="00906407">
        <w:noBreakHyphen/>
      </w:r>
      <w:r w:rsidR="00074DCD">
        <w:t>own the other party</w:t>
      </w:r>
      <w:r w:rsidR="00906407">
        <w:t xml:space="preserve">. </w:t>
      </w:r>
    </w:p>
    <w:p w14:paraId="0C3832E5" w14:textId="1E9FF961" w:rsidR="000B2A41" w:rsidRDefault="000B2A41" w:rsidP="00542AD7">
      <w:pPr>
        <w:pStyle w:val="OneLevelNumberedParagraph"/>
      </w:pPr>
      <w:r>
        <w:t>The definition of related parties is intended to include non</w:t>
      </w:r>
      <w:r w:rsidR="00906407">
        <w:noBreakHyphen/>
      </w:r>
      <w:r>
        <w:t>resident borrowers and lenders within the related party bad debt rules</w:t>
      </w:r>
      <w:r w:rsidR="00906407">
        <w:t xml:space="preserve">. </w:t>
      </w:r>
      <w:r>
        <w:t xml:space="preserve">The effect of </w:t>
      </w:r>
      <w:r w:rsidR="00A77B74">
        <w:t xml:space="preserve">this would be </w:t>
      </w:r>
      <w:r>
        <w:t>that a domestic creditor lending to a non</w:t>
      </w:r>
      <w:r w:rsidR="00906407">
        <w:noBreakHyphen/>
      </w:r>
      <w:r>
        <w:t xml:space="preserve">resident borrower will not be able to “bring home” foreign losses, for example, bad debts arising as a result of the </w:t>
      </w:r>
      <w:r w:rsidR="00A16B04">
        <w:t>global financial crisis</w:t>
      </w:r>
      <w:r>
        <w:t>.</w:t>
      </w:r>
    </w:p>
    <w:p w14:paraId="0C3832E6" w14:textId="77777777" w:rsidR="000B2A41" w:rsidRDefault="000B2A41" w:rsidP="003861E0">
      <w:pPr>
        <w:pStyle w:val="Heading4"/>
      </w:pPr>
      <w:r>
        <w:t>Proposed changes</w:t>
      </w:r>
    </w:p>
    <w:p w14:paraId="0C3832E7" w14:textId="77777777" w:rsidR="000B2A41" w:rsidRDefault="00BF4825" w:rsidP="00542AD7">
      <w:pPr>
        <w:pStyle w:val="OneLevelNumberedParagraph"/>
      </w:pPr>
      <w:r>
        <w:t>It is proposed to insert a</w:t>
      </w:r>
      <w:r w:rsidR="000B2A41">
        <w:t xml:space="preserve"> definition of </w:t>
      </w:r>
      <w:r>
        <w:t>‘</w:t>
      </w:r>
      <w:r w:rsidR="000B2A41">
        <w:t>related party</w:t>
      </w:r>
      <w:r>
        <w:t>’</w:t>
      </w:r>
      <w:r w:rsidR="000B2A41">
        <w:t xml:space="preserve"> </w:t>
      </w:r>
      <w:r>
        <w:t>which</w:t>
      </w:r>
      <w:r w:rsidR="000B2A41">
        <w:t xml:space="preserve"> includes:</w:t>
      </w:r>
    </w:p>
    <w:p w14:paraId="0C3832E8" w14:textId="77777777" w:rsidR="000B2A41" w:rsidRDefault="00BF4825" w:rsidP="00C25ED0">
      <w:pPr>
        <w:pStyle w:val="Bullet"/>
        <w:tabs>
          <w:tab w:val="clear" w:pos="566"/>
          <w:tab w:val="num" w:pos="1134"/>
        </w:tabs>
        <w:ind w:left="1134"/>
      </w:pPr>
      <w:r>
        <w:t>a</w:t>
      </w:r>
      <w:r w:rsidR="000B2A41">
        <w:t xml:space="preserve">n associate (defined in section 318 of the </w:t>
      </w:r>
      <w:r w:rsidR="000B2A41" w:rsidRPr="00AA4487">
        <w:rPr>
          <w:i/>
        </w:rPr>
        <w:t>Income Tax Assessment Act 1936</w:t>
      </w:r>
      <w:r w:rsidR="000B2A41">
        <w:t>); and</w:t>
      </w:r>
    </w:p>
    <w:p w14:paraId="0C3832E9" w14:textId="712D140F" w:rsidR="000B2A41" w:rsidRDefault="00BF4825" w:rsidP="00C25ED0">
      <w:pPr>
        <w:pStyle w:val="Bullet"/>
        <w:tabs>
          <w:tab w:val="clear" w:pos="566"/>
          <w:tab w:val="num" w:pos="1134"/>
        </w:tabs>
        <w:ind w:left="1134"/>
      </w:pPr>
      <w:r>
        <w:t>a</w:t>
      </w:r>
      <w:r w:rsidR="000B2A41">
        <w:t>n associated entity (defined in section 820</w:t>
      </w:r>
      <w:r w:rsidR="00906407">
        <w:noBreakHyphen/>
      </w:r>
      <w:r w:rsidR="000B2A41">
        <w:t>905).</w:t>
      </w:r>
    </w:p>
    <w:p w14:paraId="0C3832EA" w14:textId="3EC022A1" w:rsidR="000B2A41" w:rsidRDefault="00BF4825" w:rsidP="00542AD7">
      <w:pPr>
        <w:pStyle w:val="OneLevelNumberedParagraph"/>
      </w:pPr>
      <w:r>
        <w:t>The proposed definition of related parties would include non</w:t>
      </w:r>
      <w:r w:rsidR="00906407">
        <w:noBreakHyphen/>
      </w:r>
      <w:r>
        <w:t>residents</w:t>
      </w:r>
      <w:r w:rsidR="000B2A41">
        <w:t>.</w:t>
      </w:r>
    </w:p>
    <w:p w14:paraId="0C3832EB" w14:textId="77777777" w:rsidR="000B2A41" w:rsidRPr="004421FE" w:rsidRDefault="00BF4825" w:rsidP="00C01DAD">
      <w:pPr>
        <w:pStyle w:val="Heading2"/>
      </w:pPr>
      <w:bookmarkStart w:id="10" w:name="_Toc327438905"/>
      <w:bookmarkStart w:id="11" w:name="_Toc329350965"/>
      <w:bookmarkStart w:id="12" w:name="_Toc323731778"/>
      <w:r>
        <w:t>Aligning characterisation of bad debt</w:t>
      </w:r>
      <w:bookmarkEnd w:id="10"/>
      <w:bookmarkEnd w:id="11"/>
    </w:p>
    <w:p w14:paraId="0C3832EC" w14:textId="79E16245" w:rsidR="004B10C9" w:rsidRDefault="000B2A41" w:rsidP="00542AD7">
      <w:pPr>
        <w:pStyle w:val="OneLevelNumberedParagraph"/>
      </w:pPr>
      <w:r>
        <w:t xml:space="preserve">Part of the asymmetry arising </w:t>
      </w:r>
      <w:r w:rsidR="001D6A21">
        <w:t xml:space="preserve">in the treatment of </w:t>
      </w:r>
      <w:r>
        <w:t xml:space="preserve">bad debts occurs because of the policy of treating the deduction to the lender on revenue account </w:t>
      </w:r>
      <w:r w:rsidR="00966C19">
        <w:t>w</w:t>
      </w:r>
      <w:r w:rsidR="00A75E2C">
        <w:t xml:space="preserve">ithout assessing </w:t>
      </w:r>
      <w:r>
        <w:t>the gain to the borrower</w:t>
      </w:r>
      <w:r w:rsidR="00BF4825">
        <w:t xml:space="preserve"> on revenue account</w:t>
      </w:r>
      <w:r w:rsidR="00906407">
        <w:t xml:space="preserve">. </w:t>
      </w:r>
    </w:p>
    <w:p w14:paraId="0C3832ED" w14:textId="6EEC9F74" w:rsidR="000B2A41" w:rsidRDefault="004B10C9" w:rsidP="00542AD7">
      <w:pPr>
        <w:pStyle w:val="OneLevelNumberedParagraph"/>
      </w:pPr>
      <w:r>
        <w:t>For bad debts written</w:t>
      </w:r>
      <w:r w:rsidR="00906407">
        <w:noBreakHyphen/>
      </w:r>
      <w:r>
        <w:t xml:space="preserve">off between related parties outside of a </w:t>
      </w:r>
      <w:r w:rsidRPr="00B801D8">
        <w:t>consolidat</w:t>
      </w:r>
      <w:r>
        <w:t xml:space="preserve">ed </w:t>
      </w:r>
      <w:r w:rsidRPr="00B801D8">
        <w:t>group</w:t>
      </w:r>
      <w:r>
        <w:t>, t</w:t>
      </w:r>
      <w:r w:rsidR="000B2A41">
        <w:t>he measure aims to reduce the asymmetry by characterising both sides of the transaction the same way.</w:t>
      </w:r>
    </w:p>
    <w:p w14:paraId="0C3832EE" w14:textId="77777777" w:rsidR="000B2A41" w:rsidRDefault="000B2A41" w:rsidP="001C3A27">
      <w:pPr>
        <w:pStyle w:val="Heading4"/>
      </w:pPr>
      <w:r>
        <w:t>Proposed changes</w:t>
      </w:r>
    </w:p>
    <w:p w14:paraId="0C3832EF" w14:textId="61D5B2F9" w:rsidR="000B2A41" w:rsidRDefault="000B2A41" w:rsidP="00542AD7">
      <w:pPr>
        <w:pStyle w:val="OneLevelNumberedParagraph"/>
      </w:pPr>
      <w:r>
        <w:t xml:space="preserve">An amendment </w:t>
      </w:r>
      <w:r w:rsidR="00BF4825">
        <w:t>is proposed to</w:t>
      </w:r>
      <w:r w:rsidR="00BF4825" w:rsidRPr="00595C7B">
        <w:t xml:space="preserve"> </w:t>
      </w:r>
      <w:r w:rsidRPr="00595C7B">
        <w:t>deny</w:t>
      </w:r>
      <w:r>
        <w:t xml:space="preserve"> a</w:t>
      </w:r>
      <w:r w:rsidRPr="00595C7B">
        <w:t xml:space="preserve"> </w:t>
      </w:r>
      <w:r>
        <w:t>related party</w:t>
      </w:r>
      <w:r w:rsidRPr="00595C7B">
        <w:t xml:space="preserve"> creditor a tax deduction</w:t>
      </w:r>
      <w:r>
        <w:t xml:space="preserve"> (on revenue account)</w:t>
      </w:r>
      <w:r w:rsidRPr="00595C7B">
        <w:t xml:space="preserve"> for a bad debt written</w:t>
      </w:r>
      <w:r w:rsidR="00906407">
        <w:noBreakHyphen/>
      </w:r>
      <w:r w:rsidRPr="00595C7B">
        <w:t>off</w:t>
      </w:r>
      <w:r>
        <w:t xml:space="preserve"> (</w:t>
      </w:r>
      <w:r w:rsidRPr="00595C7B">
        <w:t>where the debtor is a related party that is not in the same consolidated group</w:t>
      </w:r>
      <w:r>
        <w:t>)</w:t>
      </w:r>
      <w:r w:rsidRPr="00595C7B">
        <w:t>.</w:t>
      </w:r>
    </w:p>
    <w:p w14:paraId="0C3832F0" w14:textId="53F67FCE" w:rsidR="000B2A41" w:rsidRPr="00595C7B" w:rsidRDefault="000B2A41" w:rsidP="00542AD7">
      <w:pPr>
        <w:pStyle w:val="OneLevelNumberedParagraph"/>
      </w:pPr>
      <w:r>
        <w:t>The creditor will however, have a capital loss in respect of the written</w:t>
      </w:r>
      <w:r w:rsidR="00906407">
        <w:noBreakHyphen/>
      </w:r>
      <w:r>
        <w:t>off bad debt.</w:t>
      </w:r>
    </w:p>
    <w:p w14:paraId="0C3832F1" w14:textId="77777777" w:rsidR="000B2A41" w:rsidRDefault="000B2A41" w:rsidP="00542AD7">
      <w:pPr>
        <w:pStyle w:val="OneLevelNumberedParagraph"/>
      </w:pPr>
      <w:r>
        <w:t xml:space="preserve">A further </w:t>
      </w:r>
      <w:r w:rsidR="00BF4825">
        <w:t xml:space="preserve">proposed </w:t>
      </w:r>
      <w:r>
        <w:t xml:space="preserve">amendment </w:t>
      </w:r>
      <w:r w:rsidR="00BF4825">
        <w:t xml:space="preserve">is to </w:t>
      </w:r>
      <w:r>
        <w:t>treat t</w:t>
      </w:r>
      <w:r w:rsidRPr="00595C7B">
        <w:t>he corresponding</w:t>
      </w:r>
      <w:r>
        <w:t xml:space="preserve"> </w:t>
      </w:r>
      <w:r w:rsidRPr="00595C7B">
        <w:t>gain</w:t>
      </w:r>
      <w:r>
        <w:t xml:space="preserve"> </w:t>
      </w:r>
      <w:r w:rsidR="00BF4825">
        <w:t>on capital account</w:t>
      </w:r>
      <w:r>
        <w:t>, so that no amount of the gain is characterised as assessable income, even if the Act would do so otherwise</w:t>
      </w:r>
      <w:r w:rsidRPr="00595C7B">
        <w:t>.</w:t>
      </w:r>
    </w:p>
    <w:p w14:paraId="0C3832F2" w14:textId="77777777" w:rsidR="00C7616F" w:rsidRDefault="00BF4825" w:rsidP="00C7616F">
      <w:pPr>
        <w:pStyle w:val="OneLevelNumberedParagraph"/>
      </w:pPr>
      <w:bookmarkStart w:id="13" w:name="_Toc327438906"/>
      <w:r>
        <w:lastRenderedPageBreak/>
        <w:t>It is also proposed to insert a provision so</w:t>
      </w:r>
      <w:r w:rsidR="00C7616F">
        <w:t xml:space="preserve"> that the borrower’s gains and the creditor’s losses arise at the same time. </w:t>
      </w:r>
    </w:p>
    <w:p w14:paraId="0C3832F3" w14:textId="77777777" w:rsidR="000B2A41" w:rsidRDefault="005341CC" w:rsidP="00945B13">
      <w:pPr>
        <w:pStyle w:val="Heading2"/>
      </w:pPr>
      <w:bookmarkStart w:id="14" w:name="_Toc329350966"/>
      <w:r>
        <w:t>Bad debts, impairment and forgiveness of commercial gain</w:t>
      </w:r>
      <w:bookmarkEnd w:id="13"/>
      <w:bookmarkEnd w:id="14"/>
    </w:p>
    <w:p w14:paraId="0C3832F4" w14:textId="77777777" w:rsidR="005341CC" w:rsidRPr="005341CC" w:rsidRDefault="005341CC" w:rsidP="00573EBA">
      <w:pPr>
        <w:pStyle w:val="Heading3"/>
      </w:pPr>
      <w:r>
        <w:t>Bad Debt Deduction</w:t>
      </w:r>
    </w:p>
    <w:p w14:paraId="0C3832F5" w14:textId="77777777" w:rsidR="00542AD7" w:rsidRDefault="000B2A41" w:rsidP="00542AD7">
      <w:pPr>
        <w:pStyle w:val="OneLevelNumberedParagraph"/>
      </w:pPr>
      <w:r>
        <w:t xml:space="preserve">To achieve symmetry between related parties, a creditor will </w:t>
      </w:r>
      <w:r w:rsidR="007A0A6D">
        <w:t xml:space="preserve">be denied </w:t>
      </w:r>
      <w:r>
        <w:t xml:space="preserve">a deduction on revenue account for writing off a bad debt </w:t>
      </w:r>
      <w:r w:rsidRPr="00F23009">
        <w:t>where</w:t>
      </w:r>
      <w:r>
        <w:t>:</w:t>
      </w:r>
      <w:r w:rsidR="00542AD7" w:rsidRPr="00542AD7">
        <w:t xml:space="preserve"> </w:t>
      </w:r>
    </w:p>
    <w:p w14:paraId="0C3832F6" w14:textId="77777777" w:rsidR="000B2A41" w:rsidRDefault="007A0A6D" w:rsidP="00C25ED0">
      <w:pPr>
        <w:pStyle w:val="Bullet"/>
        <w:tabs>
          <w:tab w:val="clear" w:pos="566"/>
          <w:tab w:val="num" w:pos="1134"/>
        </w:tabs>
        <w:ind w:left="1134"/>
      </w:pPr>
      <w:r>
        <w:t>t</w:t>
      </w:r>
      <w:r w:rsidR="000B2A41">
        <w:t>he borrower is a related party; and</w:t>
      </w:r>
    </w:p>
    <w:p w14:paraId="0C3832F7" w14:textId="1C78B083" w:rsidR="000B2A41" w:rsidRDefault="007A0A6D" w:rsidP="00C25ED0">
      <w:pPr>
        <w:pStyle w:val="Bullet"/>
        <w:tabs>
          <w:tab w:val="clear" w:pos="566"/>
          <w:tab w:val="num" w:pos="1134"/>
        </w:tabs>
        <w:ind w:left="1134"/>
      </w:pPr>
      <w:r>
        <w:t>t</w:t>
      </w:r>
      <w:r w:rsidR="000B2A41" w:rsidRPr="00F23009">
        <w:t>he amount that gives rise to the bad debt has not been included in the creditor’s assessable income</w:t>
      </w:r>
      <w:r w:rsidR="00906407">
        <w:t xml:space="preserve">. </w:t>
      </w:r>
    </w:p>
    <w:p w14:paraId="0C3832F8" w14:textId="0868FFFB" w:rsidR="000B2A41" w:rsidRDefault="000B2A41" w:rsidP="00542AD7">
      <w:pPr>
        <w:pStyle w:val="OneLevelNumberedParagraph"/>
      </w:pPr>
      <w:r w:rsidRPr="00060FE6">
        <w:t>The measure effectively disregards the writing off of the bad debt, for the purposes of denying a deduction to the creditor</w:t>
      </w:r>
      <w:r w:rsidR="00906407">
        <w:t xml:space="preserve">. </w:t>
      </w:r>
    </w:p>
    <w:p w14:paraId="0C3832F9" w14:textId="77777777" w:rsidR="000B2A41" w:rsidRPr="00241119" w:rsidRDefault="000B2A41" w:rsidP="00542AD7">
      <w:pPr>
        <w:pStyle w:val="OneLevelNumberedParagraph"/>
      </w:pPr>
      <w:r w:rsidRPr="00060FE6">
        <w:t xml:space="preserve">It does not affect the creditor’s ability to use a capital loss to reduce future tax attributes where that loss arises from a capital gains tax event that is triggered by the bad debt being </w:t>
      </w:r>
      <w:r w:rsidRPr="00241119">
        <w:t xml:space="preserve">written off. </w:t>
      </w:r>
    </w:p>
    <w:p w14:paraId="0C3832FA" w14:textId="77777777" w:rsidR="00573EBA" w:rsidRDefault="00573EBA" w:rsidP="00573EBA">
      <w:pPr>
        <w:pStyle w:val="Heading4"/>
      </w:pPr>
      <w:r>
        <w:t>Proposed changes</w:t>
      </w:r>
    </w:p>
    <w:p w14:paraId="0C3832FB" w14:textId="4CB4CBEF" w:rsidR="00573EBA" w:rsidRDefault="00573EBA" w:rsidP="00573EBA">
      <w:pPr>
        <w:pStyle w:val="OneLevelNumberedParagraph"/>
      </w:pPr>
      <w:r>
        <w:t>An amendment will be inserted so that deductions under section 8</w:t>
      </w:r>
      <w:r w:rsidR="00906407">
        <w:noBreakHyphen/>
      </w:r>
      <w:r>
        <w:t>1 and section 25</w:t>
      </w:r>
      <w:r w:rsidR="00906407">
        <w:noBreakHyphen/>
      </w:r>
      <w:r>
        <w:t>35 are denied to the creditor where:</w:t>
      </w:r>
    </w:p>
    <w:p w14:paraId="0C3832FC" w14:textId="5CC01D7D" w:rsidR="00573EBA" w:rsidRDefault="00573EBA" w:rsidP="00573EBA">
      <w:pPr>
        <w:pStyle w:val="Bullet"/>
        <w:tabs>
          <w:tab w:val="clear" w:pos="566"/>
          <w:tab w:val="num" w:pos="1134"/>
        </w:tabs>
        <w:ind w:left="1134"/>
      </w:pPr>
      <w:r>
        <w:t>the borrower is a related party (either resident or non</w:t>
      </w:r>
      <w:r w:rsidR="00906407">
        <w:noBreakHyphen/>
      </w:r>
      <w:r>
        <w:t>resident); and</w:t>
      </w:r>
    </w:p>
    <w:p w14:paraId="0C3832FD" w14:textId="77777777" w:rsidR="00573EBA" w:rsidRDefault="00573EBA" w:rsidP="00573EBA">
      <w:pPr>
        <w:pStyle w:val="Bullet"/>
        <w:tabs>
          <w:tab w:val="clear" w:pos="566"/>
          <w:tab w:val="num" w:pos="1134"/>
        </w:tabs>
        <w:ind w:left="1134"/>
      </w:pPr>
      <w:r>
        <w:t>t</w:t>
      </w:r>
      <w:r w:rsidRPr="00F23009">
        <w:t>he amount that gives rise to the bad debt has not been included in the creditor’s assessable income.</w:t>
      </w:r>
    </w:p>
    <w:p w14:paraId="0C3832FE" w14:textId="77777777" w:rsidR="00573EBA" w:rsidRDefault="00573EBA" w:rsidP="00573EBA">
      <w:pPr>
        <w:pStyle w:val="Bullet"/>
      </w:pPr>
      <w:r>
        <w:t>A capital loss will arise in respect of the asset (or financial arrangement in the context of Division 230) instead.</w:t>
      </w:r>
    </w:p>
    <w:p w14:paraId="0C3832FF" w14:textId="77777777" w:rsidR="00557280" w:rsidRPr="004421FE" w:rsidRDefault="00557280" w:rsidP="00573EBA">
      <w:pPr>
        <w:pStyle w:val="Heading3"/>
      </w:pPr>
      <w:r>
        <w:t>Deduction for losses due to impairment</w:t>
      </w:r>
    </w:p>
    <w:p w14:paraId="0C383300" w14:textId="77777777" w:rsidR="00557280" w:rsidRDefault="00557280" w:rsidP="00557280">
      <w:pPr>
        <w:pStyle w:val="OneLevelNumberedParagraph"/>
      </w:pPr>
      <w:r>
        <w:t xml:space="preserve">To achieve symmetry between related parties, a creditor will be denied a deduction on revenue account for losses resulting from impairment, to the extent the loss results from impairment, </w:t>
      </w:r>
      <w:r w:rsidRPr="00F23009">
        <w:t>where</w:t>
      </w:r>
      <w:r>
        <w:t>:</w:t>
      </w:r>
    </w:p>
    <w:p w14:paraId="0C383301" w14:textId="75BE7770" w:rsidR="00557280" w:rsidRDefault="00557280" w:rsidP="00557280">
      <w:pPr>
        <w:pStyle w:val="Bullet"/>
        <w:tabs>
          <w:tab w:val="clear" w:pos="566"/>
          <w:tab w:val="num" w:pos="1134"/>
        </w:tabs>
        <w:ind w:left="1134"/>
      </w:pPr>
      <w:r>
        <w:t>the borrower is a related party (either resident or non</w:t>
      </w:r>
      <w:r w:rsidR="00906407">
        <w:noBreakHyphen/>
      </w:r>
      <w:r>
        <w:t>resident); and</w:t>
      </w:r>
    </w:p>
    <w:p w14:paraId="0C383302" w14:textId="51E6E440" w:rsidR="00557280" w:rsidRDefault="00557280" w:rsidP="00557280">
      <w:pPr>
        <w:pStyle w:val="Bullet"/>
        <w:tabs>
          <w:tab w:val="clear" w:pos="566"/>
          <w:tab w:val="num" w:pos="1134"/>
        </w:tabs>
        <w:ind w:left="1134"/>
      </w:pPr>
      <w:r>
        <w:t>t</w:t>
      </w:r>
      <w:r w:rsidRPr="00F23009">
        <w:t xml:space="preserve">he amount that </w:t>
      </w:r>
      <w:r>
        <w:t xml:space="preserve">is impaired </w:t>
      </w:r>
      <w:r w:rsidRPr="00F23009">
        <w:t>has not been included in the creditor’s assessable income</w:t>
      </w:r>
      <w:r w:rsidR="00906407">
        <w:t xml:space="preserve">. </w:t>
      </w:r>
    </w:p>
    <w:p w14:paraId="0C383303" w14:textId="77777777" w:rsidR="00573EBA" w:rsidRDefault="00573EBA" w:rsidP="00573EBA">
      <w:pPr>
        <w:pStyle w:val="Heading4"/>
      </w:pPr>
      <w:r>
        <w:t>Proposed changes</w:t>
      </w:r>
    </w:p>
    <w:p w14:paraId="0C383304" w14:textId="77777777" w:rsidR="00573EBA" w:rsidRDefault="00573EBA" w:rsidP="00573EBA">
      <w:pPr>
        <w:pStyle w:val="OneLevelNumberedParagraph"/>
      </w:pPr>
      <w:r>
        <w:t>An amendment will be inserted so that deductions under Division 230 are denied to the creditor where:</w:t>
      </w:r>
    </w:p>
    <w:p w14:paraId="0C383305" w14:textId="398A39D6" w:rsidR="00573EBA" w:rsidRDefault="00573EBA" w:rsidP="00573EBA">
      <w:pPr>
        <w:pStyle w:val="Bullet"/>
        <w:tabs>
          <w:tab w:val="clear" w:pos="566"/>
          <w:tab w:val="num" w:pos="1134"/>
        </w:tabs>
        <w:ind w:left="1134"/>
      </w:pPr>
      <w:r>
        <w:t>the borrower is a related party (either resident or non</w:t>
      </w:r>
      <w:r w:rsidR="00906407">
        <w:noBreakHyphen/>
      </w:r>
      <w:r>
        <w:t>resident); and</w:t>
      </w:r>
    </w:p>
    <w:p w14:paraId="0C383306" w14:textId="77777777" w:rsidR="00573EBA" w:rsidRDefault="00573EBA" w:rsidP="00573EBA">
      <w:pPr>
        <w:pStyle w:val="Bullet"/>
        <w:tabs>
          <w:tab w:val="clear" w:pos="566"/>
          <w:tab w:val="num" w:pos="1134"/>
        </w:tabs>
        <w:ind w:left="1134"/>
      </w:pPr>
      <w:r>
        <w:lastRenderedPageBreak/>
        <w:t>t</w:t>
      </w:r>
      <w:r w:rsidRPr="00F23009">
        <w:t>he amount that gives rise to the bad debt has not been included in the creditor’s assessable income.</w:t>
      </w:r>
    </w:p>
    <w:p w14:paraId="0C383307" w14:textId="77777777" w:rsidR="00573EBA" w:rsidRDefault="00573EBA" w:rsidP="00573EBA">
      <w:pPr>
        <w:pStyle w:val="OneLevelNumberedParagraph"/>
      </w:pPr>
      <w:r>
        <w:t>A capital loss will arise in respect of the asset (or financial arrangement in the context of Division 230) instead.</w:t>
      </w:r>
      <w:r w:rsidRPr="00573EBA">
        <w:t xml:space="preserve"> </w:t>
      </w:r>
    </w:p>
    <w:p w14:paraId="0C383308" w14:textId="77777777" w:rsidR="00573EBA" w:rsidRDefault="00573EBA" w:rsidP="00573EBA">
      <w:pPr>
        <w:pStyle w:val="OneLevelNumberedParagraph"/>
      </w:pPr>
      <w:r>
        <w:t>An amendment will also be inserted such that to the extent a deduction is denied for a loss resulting from impairment, a gain resulting from a reversal of the impairment will not be assessable.</w:t>
      </w:r>
      <w:r w:rsidRPr="00573EBA">
        <w:t xml:space="preserve"> </w:t>
      </w:r>
    </w:p>
    <w:p w14:paraId="0C383309" w14:textId="77777777" w:rsidR="00557280" w:rsidRPr="004421FE" w:rsidRDefault="00557280" w:rsidP="00573EBA">
      <w:pPr>
        <w:pStyle w:val="Heading3"/>
      </w:pPr>
      <w:r w:rsidRPr="004421FE">
        <w:t>Treatment of forgiveness gain</w:t>
      </w:r>
    </w:p>
    <w:p w14:paraId="0C38330A" w14:textId="7171017B" w:rsidR="00557280" w:rsidRPr="004421FE" w:rsidRDefault="00557280" w:rsidP="00557280">
      <w:pPr>
        <w:pStyle w:val="OneLevelNumberedParagraph"/>
      </w:pPr>
      <w:r>
        <w:t>As t</w:t>
      </w:r>
      <w:r w:rsidRPr="004421FE">
        <w:t xml:space="preserve">he </w:t>
      </w:r>
      <w:r>
        <w:t xml:space="preserve">proposed amendment will deny </w:t>
      </w:r>
      <w:r w:rsidRPr="004421FE">
        <w:t xml:space="preserve">a </w:t>
      </w:r>
      <w:r w:rsidR="002C7147">
        <w:t xml:space="preserve">revenue </w:t>
      </w:r>
      <w:r w:rsidRPr="004421FE">
        <w:t>deduction to the creditor</w:t>
      </w:r>
      <w:r>
        <w:t>, t</w:t>
      </w:r>
      <w:r w:rsidRPr="004421FE">
        <w:t>he symmetrical position would appear to be one that does not require the debtor to be assessed</w:t>
      </w:r>
      <w:r>
        <w:t xml:space="preserve"> on revenue account</w:t>
      </w:r>
      <w:r w:rsidR="00906407">
        <w:t xml:space="preserve">. </w:t>
      </w:r>
      <w:r>
        <w:t xml:space="preserve">Consequently, </w:t>
      </w:r>
      <w:r w:rsidR="0046294A">
        <w:t xml:space="preserve">it is intended that </w:t>
      </w:r>
      <w:r w:rsidR="0045267A">
        <w:t xml:space="preserve">the commercial debt forgiveness rules in </w:t>
      </w:r>
      <w:r w:rsidRPr="00573EBA">
        <w:t>Division</w:t>
      </w:r>
      <w:r w:rsidR="00906407">
        <w:t> </w:t>
      </w:r>
      <w:bookmarkStart w:id="15" w:name="_GoBack"/>
      <w:bookmarkEnd w:id="15"/>
      <w:r w:rsidRPr="00573EBA">
        <w:t>245</w:t>
      </w:r>
      <w:r>
        <w:t xml:space="preserve"> </w:t>
      </w:r>
      <w:r w:rsidR="0046294A">
        <w:t>w</w:t>
      </w:r>
      <w:r>
        <w:t xml:space="preserve">ould apply </w:t>
      </w:r>
      <w:r w:rsidR="00910FAA">
        <w:t xml:space="preserve">instead </w:t>
      </w:r>
      <w:r>
        <w:t>of provisions that would otherwise make the amount assessable</w:t>
      </w:r>
      <w:r w:rsidRPr="004421FE">
        <w:t>.</w:t>
      </w:r>
    </w:p>
    <w:p w14:paraId="0C38330B" w14:textId="77777777" w:rsidR="000B2A41" w:rsidRDefault="000B2A41" w:rsidP="005341CC">
      <w:pPr>
        <w:pStyle w:val="Heading4"/>
      </w:pPr>
      <w:r>
        <w:t>Proposed changes</w:t>
      </w:r>
    </w:p>
    <w:p w14:paraId="0C38330C" w14:textId="77777777" w:rsidR="000B2A41" w:rsidRPr="0085393A" w:rsidRDefault="000B2A41" w:rsidP="00573EBA">
      <w:pPr>
        <w:pStyle w:val="OneLevelNumberedParagraph"/>
      </w:pPr>
      <w:r>
        <w:t>Division 245 will be amended</w:t>
      </w:r>
      <w:r w:rsidR="00573EBA">
        <w:t xml:space="preserve"> </w:t>
      </w:r>
      <w:r w:rsidRPr="0085393A">
        <w:t xml:space="preserve">to apply to an amount that is a forgiveness gain </w:t>
      </w:r>
      <w:r w:rsidR="00E62545">
        <w:t xml:space="preserve">so that the amount is not </w:t>
      </w:r>
      <w:r w:rsidRPr="0085393A">
        <w:t>assessable</w:t>
      </w:r>
      <w:r w:rsidR="007B618F">
        <w:t xml:space="preserve"> under another provision</w:t>
      </w:r>
      <w:r w:rsidR="0085393A">
        <w:t xml:space="preserve">, </w:t>
      </w:r>
      <w:r w:rsidRPr="0085393A">
        <w:t xml:space="preserve">except where the amount is a limited recourse debt and the debtor’s taxable income has to be </w:t>
      </w:r>
      <w:r w:rsidR="007B618F">
        <w:t xml:space="preserve">firstly, </w:t>
      </w:r>
      <w:r w:rsidRPr="0085393A">
        <w:t>adjusted under Division 243.</w:t>
      </w:r>
      <w:r w:rsidR="00B2583E" w:rsidRPr="00573EBA">
        <w:rPr>
          <w:rFonts w:asciiTheme="minorHAnsi" w:hAnsiTheme="minorHAnsi" w:cstheme="minorHAnsi"/>
        </w:rPr>
        <w:t xml:space="preserve"> </w:t>
      </w:r>
    </w:p>
    <w:p w14:paraId="0C38330D" w14:textId="77777777" w:rsidR="006437F4" w:rsidRPr="004421FE" w:rsidRDefault="006437F4" w:rsidP="006437F4">
      <w:pPr>
        <w:pStyle w:val="Heading2"/>
      </w:pPr>
      <w:bookmarkStart w:id="16" w:name="_Toc327438907"/>
      <w:bookmarkStart w:id="17" w:name="_Toc329350967"/>
      <w:bookmarkEnd w:id="12"/>
      <w:r>
        <w:t>Date of effect</w:t>
      </w:r>
      <w:bookmarkEnd w:id="16"/>
      <w:bookmarkEnd w:id="17"/>
    </w:p>
    <w:p w14:paraId="0C38330E" w14:textId="77777777" w:rsidR="006437F4" w:rsidRPr="004421FE" w:rsidRDefault="0082192B" w:rsidP="00542AD7">
      <w:pPr>
        <w:pStyle w:val="OneLevelNumberedParagraph"/>
      </w:pPr>
      <w:r>
        <w:t>As announced, t</w:t>
      </w:r>
      <w:r w:rsidR="006437F4" w:rsidRPr="006437F4">
        <w:t>h</w:t>
      </w:r>
      <w:r w:rsidR="006437F4">
        <w:t>e proposed amendments</w:t>
      </w:r>
      <w:r w:rsidR="006437F4" w:rsidRPr="006437F4">
        <w:t xml:space="preserve"> will have effect from 7.30pm (AEST) on 8 May 2012</w:t>
      </w:r>
      <w:r w:rsidR="006437F4">
        <w:t>.</w:t>
      </w:r>
    </w:p>
    <w:p w14:paraId="0C38330F" w14:textId="77777777" w:rsidR="000B2A41" w:rsidRDefault="000B2A41" w:rsidP="00632871">
      <w:pPr>
        <w:rPr>
          <w:rFonts w:ascii="Book Antiqua" w:hAnsi="Book Antiqua"/>
        </w:rPr>
      </w:pPr>
    </w:p>
    <w:p w14:paraId="0C383310" w14:textId="77777777" w:rsidR="000B2A41" w:rsidRDefault="000B2A41" w:rsidP="00632871">
      <w:pPr>
        <w:rPr>
          <w:rFonts w:ascii="Book Antiqua" w:hAnsi="Book Antiqua"/>
        </w:rPr>
      </w:pPr>
    </w:p>
    <w:sectPr w:rsidR="000B2A41" w:rsidSect="00046977">
      <w:footerReference w:type="even" r:id="rId23"/>
      <w:headerReference w:type="first" r:id="rId24"/>
      <w:footerReference w:type="first" r:id="rId2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83317" w14:textId="77777777" w:rsidR="00511D2D" w:rsidRDefault="00511D2D">
      <w:r>
        <w:separator/>
      </w:r>
    </w:p>
  </w:endnote>
  <w:endnote w:type="continuationSeparator" w:id="0">
    <w:p w14:paraId="0C383318" w14:textId="77777777" w:rsidR="00511D2D" w:rsidRDefault="0051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3319" w14:textId="77777777" w:rsidR="00511D2D" w:rsidRDefault="00511D2D">
    <w:pPr>
      <w:pStyle w:val="Footer"/>
      <w:jc w:val="center"/>
    </w:pPr>
    <w:r>
      <w:fldChar w:fldCharType="begin"/>
    </w:r>
    <w:r>
      <w:instrText xml:space="preserve"> PAGE   \* MERGEFORMAT </w:instrText>
    </w:r>
    <w:r>
      <w:fldChar w:fldCharType="separate"/>
    </w:r>
    <w:r w:rsidR="00906407">
      <w:rPr>
        <w:noProof/>
      </w:rPr>
      <w:t>2</w:t>
    </w:r>
    <w:r>
      <w:rPr>
        <w:noProof/>
      </w:rPr>
      <w:fldChar w:fldCharType="end"/>
    </w:r>
  </w:p>
  <w:p w14:paraId="0C38331A" w14:textId="77777777" w:rsidR="00511D2D" w:rsidRDefault="00511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A9E9" w14:textId="365B6565" w:rsidR="00906407" w:rsidRPr="00906407" w:rsidRDefault="00906407" w:rsidP="00906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73691" w14:textId="3FEE7A32" w:rsidR="00906407" w:rsidRDefault="00906407" w:rsidP="00906407">
    <w:pPr>
      <w:pStyle w:val="Footer"/>
      <w:jc w:val="right"/>
    </w:pPr>
    <w:r>
      <w:t xml:space="preserve">Page </w:t>
    </w:r>
    <w:r>
      <w:fldChar w:fldCharType="begin"/>
    </w:r>
    <w:r>
      <w:instrText xml:space="preserve"> PAGE   \* MERGEFORMAT </w:instrText>
    </w:r>
    <w:r>
      <w:fldChar w:fldCharType="separate"/>
    </w:r>
    <w:r>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0CC53" w14:textId="77777777" w:rsidR="00906407" w:rsidRDefault="00906407" w:rsidP="00906407">
    <w:pPr>
      <w:pStyle w:val="Footer"/>
      <w:jc w:val="right"/>
    </w:pPr>
    <w:r>
      <w:t xml:space="preserve">Page </w:t>
    </w:r>
    <w:r>
      <w:fldChar w:fldCharType="begin"/>
    </w:r>
    <w:r>
      <w:instrText xml:space="preserve"> PAGE   \* MERGEFORMAT </w:instrText>
    </w:r>
    <w:r>
      <w:fldChar w:fldCharType="separate"/>
    </w:r>
    <w:r>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C5A88" w14:textId="2A39BB13" w:rsidR="00906407" w:rsidRDefault="00906407" w:rsidP="00906407">
    <w:pPr>
      <w:pStyle w:val="Footer"/>
      <w:jc w:val="right"/>
    </w:pPr>
    <w:r>
      <w:t xml:space="preserve">Page </w:t>
    </w:r>
    <w:r>
      <w:fldChar w:fldCharType="begin"/>
    </w:r>
    <w:r>
      <w:instrText xml:space="preserve"> PAGE   \* MERGEFORMAT </w:instrText>
    </w:r>
    <w:r>
      <w:fldChar w:fldCharType="separate"/>
    </w:r>
    <w:r>
      <w:rPr>
        <w:noProof/>
      </w:rPr>
      <w:t>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331E" w14:textId="5384517C" w:rsidR="00511D2D" w:rsidRDefault="00906407" w:rsidP="00906407">
    <w:pPr>
      <w:pStyle w:val="Footer"/>
      <w:jc w:val="right"/>
    </w:pPr>
    <w:r>
      <w:t xml:space="preserve">Page </w:t>
    </w:r>
    <w:r w:rsidR="00511D2D">
      <w:fldChar w:fldCharType="begin"/>
    </w:r>
    <w:r w:rsidR="00511D2D">
      <w:instrText xml:space="preserve"> PAGE   \* MERGEFORMAT </w:instrText>
    </w:r>
    <w:r w:rsidR="00511D2D">
      <w:fldChar w:fldCharType="separate"/>
    </w:r>
    <w:r>
      <w:rPr>
        <w:noProof/>
      </w:rPr>
      <w:t>1</w:t>
    </w:r>
    <w:r w:rsidR="00511D2D">
      <w:rPr>
        <w:noProof/>
      </w:rPr>
      <w:fldChar w:fldCharType="end"/>
    </w:r>
  </w:p>
  <w:p w14:paraId="0C38331F" w14:textId="77777777" w:rsidR="00511D2D" w:rsidRPr="00046977" w:rsidRDefault="00511D2D" w:rsidP="00046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83315" w14:textId="77777777" w:rsidR="00511D2D" w:rsidRDefault="00511D2D">
      <w:r>
        <w:separator/>
      </w:r>
    </w:p>
  </w:footnote>
  <w:footnote w:type="continuationSeparator" w:id="0">
    <w:p w14:paraId="0C383316" w14:textId="77777777" w:rsidR="00511D2D" w:rsidRDefault="0051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331D" w14:textId="77777777" w:rsidR="00511D2D" w:rsidRDefault="00511D2D" w:rsidP="00F23AEE">
    <w:pPr>
      <w:pStyle w:val="Cre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6AF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EA274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F43C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D6C6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6E06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AA54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1C2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16C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B282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B6BB02"/>
    <w:lvl w:ilvl="0">
      <w:start w:val="1"/>
      <w:numFmt w:val="bullet"/>
      <w:lvlText w:val=""/>
      <w:lvlJc w:val="left"/>
      <w:pPr>
        <w:tabs>
          <w:tab w:val="num" w:pos="360"/>
        </w:tabs>
        <w:ind w:left="360" w:hanging="360"/>
      </w:pPr>
      <w:rPr>
        <w:rFonts w:ascii="Symbol" w:hAnsi="Symbol" w:hint="default"/>
      </w:rPr>
    </w:lvl>
  </w:abstractNum>
  <w:abstractNum w:abstractNumId="10">
    <w:nsid w:val="06C743A2"/>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rFonts w:cs="Times New Roman"/>
        <w:b w:val="0"/>
        <w:i w:val="0"/>
      </w:rPr>
    </w:lvl>
    <w:lvl w:ilvl="1">
      <w:start w:val="1"/>
      <w:numFmt w:val="decimal"/>
      <w:lvlText w:val="%1.%2."/>
      <w:lvlJc w:val="left"/>
      <w:pPr>
        <w:tabs>
          <w:tab w:val="num" w:pos="1134"/>
        </w:tabs>
        <w:ind w:left="1134" w:hanging="567"/>
      </w:pPr>
      <w:rPr>
        <w:rFonts w:cs="Times New Roman"/>
        <w:b w:val="0"/>
        <w:i w:val="0"/>
      </w:rPr>
    </w:lvl>
    <w:lvl w:ilvl="2">
      <w:start w:val="1"/>
      <w:numFmt w:val="decimal"/>
      <w:lvlText w:val="%1.%2.%3."/>
      <w:lvlJc w:val="left"/>
      <w:pPr>
        <w:tabs>
          <w:tab w:val="num" w:pos="1701"/>
        </w:tabs>
        <w:ind w:left="1701" w:hanging="567"/>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3">
    <w:nsid w:val="244237C5"/>
    <w:multiLevelType w:val="multilevel"/>
    <w:tmpl w:val="C78E2AC0"/>
    <w:name w:val="StandardNumberedList"/>
    <w:lvl w:ilvl="0">
      <w:start w:val="1"/>
      <w:numFmt w:val="decimal"/>
      <w:pStyle w:val="OutlineNumbered1"/>
      <w:lvlText w:val="%1."/>
      <w:lvlJc w:val="left"/>
      <w:pPr>
        <w:tabs>
          <w:tab w:val="num" w:pos="520"/>
        </w:tabs>
        <w:ind w:left="520" w:hanging="520"/>
      </w:pPr>
      <w:rPr>
        <w:rFonts w:cs="Times New Roman" w:hint="default"/>
        <w:b w:val="0"/>
        <w:i w:val="0"/>
      </w:rPr>
    </w:lvl>
    <w:lvl w:ilvl="1">
      <w:start w:val="1"/>
      <w:numFmt w:val="decimal"/>
      <w:pStyle w:val="OutlineNumbered2"/>
      <w:lvlText w:val="%1.%2."/>
      <w:lvlJc w:val="left"/>
      <w:pPr>
        <w:tabs>
          <w:tab w:val="num" w:pos="1040"/>
        </w:tabs>
        <w:ind w:left="1040" w:hanging="520"/>
      </w:pPr>
      <w:rPr>
        <w:rFonts w:cs="Times New Roman" w:hint="default"/>
        <w:b w:val="0"/>
        <w:i w:val="0"/>
      </w:rPr>
    </w:lvl>
    <w:lvl w:ilvl="2">
      <w:start w:val="1"/>
      <w:numFmt w:val="decimal"/>
      <w:pStyle w:val="OutlineNumbered3"/>
      <w:lvlText w:val="%1.%2.%3."/>
      <w:lvlJc w:val="left"/>
      <w:pPr>
        <w:tabs>
          <w:tab w:val="num" w:pos="1560"/>
        </w:tabs>
        <w:ind w:left="1560" w:hanging="520"/>
      </w:pPr>
      <w:rPr>
        <w:rFonts w:cs="Times New Roman" w:hint="default"/>
        <w:b w:val="0"/>
        <w:i w:val="0"/>
      </w:rPr>
    </w:lvl>
    <w:lvl w:ilvl="3">
      <w:start w:val="1"/>
      <w:numFmt w:val="decimal"/>
      <w:lvlText w:val="%1.%2.%3.%4"/>
      <w:lvlJc w:val="left"/>
      <w:pPr>
        <w:tabs>
          <w:tab w:val="num" w:pos="2551"/>
        </w:tabs>
        <w:ind w:left="2551" w:hanging="850"/>
      </w:pPr>
      <w:rPr>
        <w:rFonts w:cs="Times New Roman" w:hint="default"/>
        <w:b w:val="0"/>
        <w:i w:val="0"/>
      </w:rPr>
    </w:lvl>
    <w:lvl w:ilvl="4">
      <w:start w:val="1"/>
      <w:numFmt w:val="lowerLetter"/>
      <w:lvlText w:val="(%5)"/>
      <w:lvlJc w:val="left"/>
      <w:pPr>
        <w:tabs>
          <w:tab w:val="num" w:pos="2835"/>
        </w:tabs>
        <w:ind w:left="2835" w:hanging="567"/>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4">
    <w:nsid w:val="25C06266"/>
    <w:multiLevelType w:val="multilevel"/>
    <w:tmpl w:val="2F9E1BE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5">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oubleDo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6">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7">
    <w:nsid w:val="2D097FDD"/>
    <w:multiLevelType w:val="multilevel"/>
    <w:tmpl w:val="0592EF8A"/>
    <w:name w:val="HeadingList"/>
    <w:lvl w:ilvl="0">
      <w:start w:val="1"/>
      <w:numFmt w:val="decimal"/>
      <w:lvlRestart w:val="0"/>
      <w:pStyle w:val="Heading1"/>
      <w:lvlText w:val="%1."/>
      <w:lvlJc w:val="left"/>
      <w:pPr>
        <w:tabs>
          <w:tab w:val="num" w:pos="709"/>
        </w:tabs>
        <w:ind w:left="709" w:hanging="567"/>
      </w:pPr>
      <w:rPr>
        <w:rFonts w:ascii="Calibri" w:hAnsi="Calibri" w:cs="Calibri" w:hint="default"/>
        <w:b w:val="0"/>
        <w:i w:val="0"/>
        <w:color w:val="342E82"/>
        <w:sz w:val="36"/>
      </w:rPr>
    </w:lvl>
    <w:lvl w:ilvl="1">
      <w:start w:val="1"/>
      <w:numFmt w:val="decimal"/>
      <w:pStyle w:val="Heading2"/>
      <w:lvlText w:val="%1.%2"/>
      <w:lvlJc w:val="left"/>
      <w:pPr>
        <w:tabs>
          <w:tab w:val="num" w:pos="567"/>
        </w:tabs>
        <w:ind w:left="567" w:hanging="567"/>
      </w:pPr>
      <w:rPr>
        <w:rFonts w:ascii="Calibri" w:hAnsi="Calibri" w:cs="Calibri" w:hint="default"/>
        <w:b w:val="0"/>
        <w:i w:val="0"/>
        <w:color w:val="342E82"/>
        <w:sz w:val="32"/>
      </w:rPr>
    </w:lvl>
    <w:lvl w:ilvl="2">
      <w:start w:val="1"/>
      <w:numFmt w:val="decimal"/>
      <w:pStyle w:val="Heading3"/>
      <w:lvlText w:val="%1.%2.%3"/>
      <w:lvlJc w:val="left"/>
      <w:pPr>
        <w:tabs>
          <w:tab w:val="num" w:pos="709"/>
        </w:tabs>
        <w:ind w:left="709" w:hanging="567"/>
      </w:pPr>
      <w:rPr>
        <w:rFonts w:ascii="Calibri" w:hAnsi="Calibri" w:cs="Calibri" w:hint="default"/>
        <w:b w:val="0"/>
        <w:i w:val="0"/>
        <w:color w:val="342E82"/>
        <w:sz w:val="28"/>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8">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9">
    <w:nsid w:val="2DF54350"/>
    <w:multiLevelType w:val="multilevel"/>
    <w:tmpl w:val="A6800B9E"/>
    <w:styleLink w:val="Outlinenumbering"/>
    <w:lvl w:ilvl="0">
      <w:start w:val="1"/>
      <w:numFmt w:val="decimal"/>
      <w:lvlRestart w:val="0"/>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567"/>
      </w:pPr>
      <w:rPr>
        <w:rFonts w:cs="Times New Roman" w:hint="default"/>
        <w:b w:val="0"/>
        <w:i w:val="0"/>
      </w:rPr>
    </w:lvl>
    <w:lvl w:ilvl="2">
      <w:start w:val="1"/>
      <w:numFmt w:val="decimal"/>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20">
    <w:nsid w:val="3C85793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1">
    <w:nsid w:val="418B22D4"/>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2">
    <w:nsid w:val="42B72EA2"/>
    <w:multiLevelType w:val="multilevel"/>
    <w:tmpl w:val="D474F93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3">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4">
    <w:nsid w:val="517124E0"/>
    <w:multiLevelType w:val="multilevel"/>
    <w:tmpl w:val="FEFA76DE"/>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3583"/>
        </w:tabs>
        <w:ind w:left="3549" w:hanging="453"/>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5">
    <w:nsid w:val="535357C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6">
    <w:nsid w:val="555E4B97"/>
    <w:multiLevelType w:val="multilevel"/>
    <w:tmpl w:val="3BE8A474"/>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2289"/>
        </w:tabs>
        <w:ind w:left="2289" w:hanging="360"/>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7">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8">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9">
    <w:nsid w:val="65FB0D17"/>
    <w:multiLevelType w:val="singleLevel"/>
    <w:tmpl w:val="0C09000F"/>
    <w:lvl w:ilvl="0">
      <w:start w:val="1"/>
      <w:numFmt w:val="decimal"/>
      <w:lvlText w:val="%1."/>
      <w:lvlJc w:val="left"/>
      <w:pPr>
        <w:tabs>
          <w:tab w:val="num" w:pos="720"/>
        </w:tabs>
        <w:ind w:left="720" w:hanging="360"/>
      </w:pPr>
      <w:rPr>
        <w:rFonts w:cs="Times New Roman"/>
      </w:rPr>
    </w:lvl>
  </w:abstractNum>
  <w:abstractNum w:abstractNumId="30">
    <w:nsid w:val="78663746"/>
    <w:multiLevelType w:val="multilevel"/>
    <w:tmpl w:val="2DB61A66"/>
    <w:lvl w:ilvl="0">
      <w:start w:val="1"/>
      <w:numFmt w:val="bullet"/>
      <w:lvlText w:val="•"/>
      <w:lvlJc w:val="left"/>
      <w:pPr>
        <w:tabs>
          <w:tab w:val="num" w:pos="472"/>
        </w:tabs>
        <w:ind w:left="472" w:hanging="472"/>
      </w:pPr>
      <w:rPr>
        <w:rFonts w:ascii="Times New Roman" w:hAnsi="Times New Roman"/>
      </w:rPr>
    </w:lvl>
    <w:lvl w:ilvl="1">
      <w:start w:val="1"/>
      <w:numFmt w:val="bullet"/>
      <w:lvlText w:val="–"/>
      <w:lvlJc w:val="left"/>
      <w:pPr>
        <w:tabs>
          <w:tab w:val="num" w:pos="944"/>
        </w:tabs>
        <w:ind w:left="944" w:hanging="472"/>
      </w:pPr>
      <w:rPr>
        <w:rFonts w:ascii="Times New Roman" w:hAnsi="Times New Roman"/>
      </w:rPr>
    </w:lvl>
    <w:lvl w:ilvl="2">
      <w:start w:val="1"/>
      <w:numFmt w:val="bullet"/>
      <w:lvlText w:val=":"/>
      <w:lvlJc w:val="left"/>
      <w:pPr>
        <w:tabs>
          <w:tab w:val="num" w:pos="1416"/>
        </w:tabs>
        <w:ind w:left="1416" w:hanging="472"/>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EBF275E"/>
    <w:multiLevelType w:val="multilevel"/>
    <w:tmpl w:val="A6800B9E"/>
    <w:lvl w:ilvl="0">
      <w:start w:val="1"/>
      <w:numFmt w:val="decimal"/>
      <w:lvlRestart w:val="0"/>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567"/>
      </w:pPr>
      <w:rPr>
        <w:rFonts w:cs="Times New Roman" w:hint="default"/>
        <w:b w:val="0"/>
        <w:i w:val="0"/>
      </w:rPr>
    </w:lvl>
    <w:lvl w:ilvl="2">
      <w:start w:val="1"/>
      <w:numFmt w:val="decimal"/>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num w:numId="1">
    <w:abstractNumId w:val="15"/>
  </w:num>
  <w:num w:numId="2">
    <w:abstractNumId w:val="13"/>
  </w:num>
  <w:num w:numId="3">
    <w:abstractNumId w:val="18"/>
  </w:num>
  <w:num w:numId="4">
    <w:abstractNumId w:val="23"/>
  </w:num>
  <w:num w:numId="5">
    <w:abstractNumId w:val="12"/>
  </w:num>
  <w:num w:numId="6">
    <w:abstractNumId w:val="12"/>
  </w:num>
  <w:num w:numId="7">
    <w:abstractNumId w:val="12"/>
  </w:num>
  <w:num w:numId="8">
    <w:abstractNumId w:val="30"/>
  </w:num>
  <w:num w:numId="9">
    <w:abstractNumId w:val="27"/>
  </w:num>
  <w:num w:numId="10">
    <w:abstractNumId w:val="11"/>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4"/>
  </w:num>
  <w:num w:numId="24">
    <w:abstractNumId w:val="26"/>
  </w:num>
  <w:num w:numId="25">
    <w:abstractNumId w:val="14"/>
  </w:num>
  <w:num w:numId="26">
    <w:abstractNumId w:val="22"/>
  </w:num>
  <w:num w:numId="27">
    <w:abstractNumId w:val="10"/>
  </w:num>
  <w:num w:numId="28">
    <w:abstractNumId w:val="17"/>
  </w:num>
  <w:num w:numId="29">
    <w:abstractNumId w:val="13"/>
  </w:num>
  <w:num w:numId="30">
    <w:abstractNumId w:val="13"/>
  </w:num>
  <w:num w:numId="31">
    <w:abstractNumId w:val="19"/>
  </w:num>
  <w:num w:numId="32">
    <w:abstractNumId w:val="3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5"/>
  </w:num>
  <w:num w:numId="40">
    <w:abstractNumId w:val="15"/>
  </w:num>
  <w:num w:numId="41">
    <w:abstractNumId w:val="11"/>
  </w:num>
  <w:num w:numId="42">
    <w:abstractNumId w:val="11"/>
  </w:num>
  <w:num w:numId="43">
    <w:abstractNumId w:val="11"/>
  </w:num>
  <w:num w:numId="44">
    <w:abstractNumId w:val="17"/>
  </w:num>
  <w:num w:numId="45">
    <w:abstractNumId w:val="11"/>
  </w:num>
  <w:num w:numId="46">
    <w:abstractNumId w:val="1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97"/>
    <w:rsid w:val="000000BA"/>
    <w:rsid w:val="000003FB"/>
    <w:rsid w:val="00000589"/>
    <w:rsid w:val="00000799"/>
    <w:rsid w:val="00002A1D"/>
    <w:rsid w:val="00002BBF"/>
    <w:rsid w:val="000034E2"/>
    <w:rsid w:val="00004456"/>
    <w:rsid w:val="0000467D"/>
    <w:rsid w:val="000056D3"/>
    <w:rsid w:val="00006C64"/>
    <w:rsid w:val="00006F7E"/>
    <w:rsid w:val="00012C8A"/>
    <w:rsid w:val="00012EEE"/>
    <w:rsid w:val="000143BE"/>
    <w:rsid w:val="00016E42"/>
    <w:rsid w:val="000170E4"/>
    <w:rsid w:val="00017DE2"/>
    <w:rsid w:val="0002017B"/>
    <w:rsid w:val="0002198D"/>
    <w:rsid w:val="00023102"/>
    <w:rsid w:val="00025096"/>
    <w:rsid w:val="000259F2"/>
    <w:rsid w:val="000301D4"/>
    <w:rsid w:val="0003399F"/>
    <w:rsid w:val="00035253"/>
    <w:rsid w:val="000379BD"/>
    <w:rsid w:val="00037F81"/>
    <w:rsid w:val="00041F6A"/>
    <w:rsid w:val="000420AF"/>
    <w:rsid w:val="00043804"/>
    <w:rsid w:val="00043FD5"/>
    <w:rsid w:val="0004433B"/>
    <w:rsid w:val="0004481B"/>
    <w:rsid w:val="0004512D"/>
    <w:rsid w:val="000455F0"/>
    <w:rsid w:val="00045787"/>
    <w:rsid w:val="000458B8"/>
    <w:rsid w:val="00046977"/>
    <w:rsid w:val="00046B6E"/>
    <w:rsid w:val="00046B73"/>
    <w:rsid w:val="00046BF5"/>
    <w:rsid w:val="0004766E"/>
    <w:rsid w:val="0005091F"/>
    <w:rsid w:val="00051BD2"/>
    <w:rsid w:val="00053E92"/>
    <w:rsid w:val="00056BB3"/>
    <w:rsid w:val="000578B4"/>
    <w:rsid w:val="00057936"/>
    <w:rsid w:val="00057BBC"/>
    <w:rsid w:val="000604B6"/>
    <w:rsid w:val="000609B9"/>
    <w:rsid w:val="00060FE6"/>
    <w:rsid w:val="00061493"/>
    <w:rsid w:val="000630A6"/>
    <w:rsid w:val="00063671"/>
    <w:rsid w:val="0006524B"/>
    <w:rsid w:val="00066579"/>
    <w:rsid w:val="000668FD"/>
    <w:rsid w:val="00067A2B"/>
    <w:rsid w:val="000702FA"/>
    <w:rsid w:val="000711D9"/>
    <w:rsid w:val="00071721"/>
    <w:rsid w:val="00074DCD"/>
    <w:rsid w:val="00074F91"/>
    <w:rsid w:val="000761EE"/>
    <w:rsid w:val="00081D69"/>
    <w:rsid w:val="000828C4"/>
    <w:rsid w:val="00082D0A"/>
    <w:rsid w:val="000859E7"/>
    <w:rsid w:val="00086F82"/>
    <w:rsid w:val="00087D02"/>
    <w:rsid w:val="00092269"/>
    <w:rsid w:val="00092792"/>
    <w:rsid w:val="00094077"/>
    <w:rsid w:val="000941CA"/>
    <w:rsid w:val="000A1136"/>
    <w:rsid w:val="000A1BE1"/>
    <w:rsid w:val="000A3FF9"/>
    <w:rsid w:val="000A4321"/>
    <w:rsid w:val="000A555D"/>
    <w:rsid w:val="000A5A70"/>
    <w:rsid w:val="000B1529"/>
    <w:rsid w:val="000B1A6D"/>
    <w:rsid w:val="000B2469"/>
    <w:rsid w:val="000B28D7"/>
    <w:rsid w:val="000B2A41"/>
    <w:rsid w:val="000B49BC"/>
    <w:rsid w:val="000B69A9"/>
    <w:rsid w:val="000C04B6"/>
    <w:rsid w:val="000C05EE"/>
    <w:rsid w:val="000C3A01"/>
    <w:rsid w:val="000C4F5C"/>
    <w:rsid w:val="000C501D"/>
    <w:rsid w:val="000C7752"/>
    <w:rsid w:val="000D0B0F"/>
    <w:rsid w:val="000D0E61"/>
    <w:rsid w:val="000D10C5"/>
    <w:rsid w:val="000D1FBB"/>
    <w:rsid w:val="000E00B8"/>
    <w:rsid w:val="000E0CFA"/>
    <w:rsid w:val="000E206E"/>
    <w:rsid w:val="000E26C9"/>
    <w:rsid w:val="000E31EE"/>
    <w:rsid w:val="000E708E"/>
    <w:rsid w:val="000F0B08"/>
    <w:rsid w:val="000F3229"/>
    <w:rsid w:val="000F369F"/>
    <w:rsid w:val="000F3F47"/>
    <w:rsid w:val="000F4B8A"/>
    <w:rsid w:val="000F57A1"/>
    <w:rsid w:val="000F5966"/>
    <w:rsid w:val="000F6383"/>
    <w:rsid w:val="000F673A"/>
    <w:rsid w:val="0010049D"/>
    <w:rsid w:val="00101246"/>
    <w:rsid w:val="00101F40"/>
    <w:rsid w:val="001029AD"/>
    <w:rsid w:val="001065B3"/>
    <w:rsid w:val="00114DF8"/>
    <w:rsid w:val="00114DFA"/>
    <w:rsid w:val="0011541A"/>
    <w:rsid w:val="00115DF3"/>
    <w:rsid w:val="00115F3E"/>
    <w:rsid w:val="00117F55"/>
    <w:rsid w:val="0012018E"/>
    <w:rsid w:val="00121406"/>
    <w:rsid w:val="00123399"/>
    <w:rsid w:val="001244E3"/>
    <w:rsid w:val="001257ED"/>
    <w:rsid w:val="00125B99"/>
    <w:rsid w:val="00125D99"/>
    <w:rsid w:val="00130B50"/>
    <w:rsid w:val="001320E6"/>
    <w:rsid w:val="00132CAA"/>
    <w:rsid w:val="00134F70"/>
    <w:rsid w:val="00137AA0"/>
    <w:rsid w:val="00137D56"/>
    <w:rsid w:val="00141A3B"/>
    <w:rsid w:val="001421BA"/>
    <w:rsid w:val="00142C3D"/>
    <w:rsid w:val="001456F2"/>
    <w:rsid w:val="00145CEC"/>
    <w:rsid w:val="00146D20"/>
    <w:rsid w:val="0015011E"/>
    <w:rsid w:val="00151B08"/>
    <w:rsid w:val="00151CBE"/>
    <w:rsid w:val="0015292D"/>
    <w:rsid w:val="00155258"/>
    <w:rsid w:val="00155993"/>
    <w:rsid w:val="001603C0"/>
    <w:rsid w:val="001615C6"/>
    <w:rsid w:val="00163785"/>
    <w:rsid w:val="001638F1"/>
    <w:rsid w:val="00163F01"/>
    <w:rsid w:val="00164C97"/>
    <w:rsid w:val="00164CFE"/>
    <w:rsid w:val="00165803"/>
    <w:rsid w:val="0016664A"/>
    <w:rsid w:val="00167B80"/>
    <w:rsid w:val="0017342A"/>
    <w:rsid w:val="00174377"/>
    <w:rsid w:val="00176D3F"/>
    <w:rsid w:val="001809D7"/>
    <w:rsid w:val="00180A99"/>
    <w:rsid w:val="00180FAA"/>
    <w:rsid w:val="00183235"/>
    <w:rsid w:val="001839E0"/>
    <w:rsid w:val="0018482C"/>
    <w:rsid w:val="00187CA9"/>
    <w:rsid w:val="00191EED"/>
    <w:rsid w:val="001944DF"/>
    <w:rsid w:val="00194A4B"/>
    <w:rsid w:val="00195C5D"/>
    <w:rsid w:val="00197457"/>
    <w:rsid w:val="001A220A"/>
    <w:rsid w:val="001A6F15"/>
    <w:rsid w:val="001A73F8"/>
    <w:rsid w:val="001B0FF8"/>
    <w:rsid w:val="001B52F1"/>
    <w:rsid w:val="001B5B92"/>
    <w:rsid w:val="001C18A6"/>
    <w:rsid w:val="001C3A27"/>
    <w:rsid w:val="001C64E5"/>
    <w:rsid w:val="001D0091"/>
    <w:rsid w:val="001D0822"/>
    <w:rsid w:val="001D10A2"/>
    <w:rsid w:val="001D13FB"/>
    <w:rsid w:val="001D2AA4"/>
    <w:rsid w:val="001D5C4F"/>
    <w:rsid w:val="001D6A21"/>
    <w:rsid w:val="001E07C9"/>
    <w:rsid w:val="001E0E12"/>
    <w:rsid w:val="001E1ACD"/>
    <w:rsid w:val="001E1B1E"/>
    <w:rsid w:val="001E20D4"/>
    <w:rsid w:val="001E4FE5"/>
    <w:rsid w:val="001E56C6"/>
    <w:rsid w:val="001E5A9A"/>
    <w:rsid w:val="001E7BA5"/>
    <w:rsid w:val="001F03D1"/>
    <w:rsid w:val="001F0B06"/>
    <w:rsid w:val="001F0B2D"/>
    <w:rsid w:val="001F134C"/>
    <w:rsid w:val="001F1A2D"/>
    <w:rsid w:val="001F1A69"/>
    <w:rsid w:val="001F27BE"/>
    <w:rsid w:val="001F682B"/>
    <w:rsid w:val="001F6A83"/>
    <w:rsid w:val="002028A4"/>
    <w:rsid w:val="002045CE"/>
    <w:rsid w:val="00204604"/>
    <w:rsid w:val="00205C9A"/>
    <w:rsid w:val="002076C0"/>
    <w:rsid w:val="0021089D"/>
    <w:rsid w:val="0021196E"/>
    <w:rsid w:val="00211F2C"/>
    <w:rsid w:val="00213B36"/>
    <w:rsid w:val="00217C55"/>
    <w:rsid w:val="00220241"/>
    <w:rsid w:val="0022107A"/>
    <w:rsid w:val="00222E01"/>
    <w:rsid w:val="00224563"/>
    <w:rsid w:val="0022499F"/>
    <w:rsid w:val="00224A32"/>
    <w:rsid w:val="00232988"/>
    <w:rsid w:val="00232D7B"/>
    <w:rsid w:val="00233328"/>
    <w:rsid w:val="00234178"/>
    <w:rsid w:val="00236D86"/>
    <w:rsid w:val="00236F18"/>
    <w:rsid w:val="002371CE"/>
    <w:rsid w:val="00240AAC"/>
    <w:rsid w:val="00241119"/>
    <w:rsid w:val="00241E1D"/>
    <w:rsid w:val="00243193"/>
    <w:rsid w:val="00243560"/>
    <w:rsid w:val="002438EE"/>
    <w:rsid w:val="00245CA3"/>
    <w:rsid w:val="00246432"/>
    <w:rsid w:val="00246BFC"/>
    <w:rsid w:val="00247E09"/>
    <w:rsid w:val="002524C6"/>
    <w:rsid w:val="00253FBB"/>
    <w:rsid w:val="0025454F"/>
    <w:rsid w:val="00257086"/>
    <w:rsid w:val="00257221"/>
    <w:rsid w:val="002578A0"/>
    <w:rsid w:val="0026055B"/>
    <w:rsid w:val="002618E4"/>
    <w:rsid w:val="00262D46"/>
    <w:rsid w:val="00262DE1"/>
    <w:rsid w:val="0026305B"/>
    <w:rsid w:val="00264B62"/>
    <w:rsid w:val="00267F52"/>
    <w:rsid w:val="00270115"/>
    <w:rsid w:val="0027328E"/>
    <w:rsid w:val="00277D6F"/>
    <w:rsid w:val="00280AC0"/>
    <w:rsid w:val="00281190"/>
    <w:rsid w:val="002815C8"/>
    <w:rsid w:val="00281C05"/>
    <w:rsid w:val="0028210D"/>
    <w:rsid w:val="00282BAC"/>
    <w:rsid w:val="002845BF"/>
    <w:rsid w:val="00284F29"/>
    <w:rsid w:val="0028504E"/>
    <w:rsid w:val="00285298"/>
    <w:rsid w:val="00293320"/>
    <w:rsid w:val="002936B6"/>
    <w:rsid w:val="00295728"/>
    <w:rsid w:val="00296A41"/>
    <w:rsid w:val="002978F7"/>
    <w:rsid w:val="002A2C88"/>
    <w:rsid w:val="002A3152"/>
    <w:rsid w:val="002A3633"/>
    <w:rsid w:val="002A64D9"/>
    <w:rsid w:val="002A734F"/>
    <w:rsid w:val="002A7A10"/>
    <w:rsid w:val="002B26AD"/>
    <w:rsid w:val="002B72C8"/>
    <w:rsid w:val="002C19E8"/>
    <w:rsid w:val="002C1E4E"/>
    <w:rsid w:val="002C2EEA"/>
    <w:rsid w:val="002C40F5"/>
    <w:rsid w:val="002C4FCA"/>
    <w:rsid w:val="002C7147"/>
    <w:rsid w:val="002C7D5F"/>
    <w:rsid w:val="002D26B4"/>
    <w:rsid w:val="002D49E8"/>
    <w:rsid w:val="002D5209"/>
    <w:rsid w:val="002E0D75"/>
    <w:rsid w:val="002E189C"/>
    <w:rsid w:val="002E213D"/>
    <w:rsid w:val="002E2CDE"/>
    <w:rsid w:val="002E39A9"/>
    <w:rsid w:val="002E4555"/>
    <w:rsid w:val="002E7E30"/>
    <w:rsid w:val="002F08CF"/>
    <w:rsid w:val="002F0E41"/>
    <w:rsid w:val="002F1BC2"/>
    <w:rsid w:val="002F2B62"/>
    <w:rsid w:val="002F30BC"/>
    <w:rsid w:val="002F3433"/>
    <w:rsid w:val="002F354C"/>
    <w:rsid w:val="002F3D8E"/>
    <w:rsid w:val="002F3FF2"/>
    <w:rsid w:val="002F4626"/>
    <w:rsid w:val="002F5BF5"/>
    <w:rsid w:val="002F5C94"/>
    <w:rsid w:val="002F6533"/>
    <w:rsid w:val="002F7AF6"/>
    <w:rsid w:val="002F7EEC"/>
    <w:rsid w:val="003006C3"/>
    <w:rsid w:val="00300CAF"/>
    <w:rsid w:val="00301139"/>
    <w:rsid w:val="003017E2"/>
    <w:rsid w:val="003018E2"/>
    <w:rsid w:val="00301E65"/>
    <w:rsid w:val="00304ADC"/>
    <w:rsid w:val="0031028D"/>
    <w:rsid w:val="00310DC2"/>
    <w:rsid w:val="00311CA3"/>
    <w:rsid w:val="00312095"/>
    <w:rsid w:val="00314BA1"/>
    <w:rsid w:val="00315577"/>
    <w:rsid w:val="00316322"/>
    <w:rsid w:val="003223C2"/>
    <w:rsid w:val="00327246"/>
    <w:rsid w:val="00327F69"/>
    <w:rsid w:val="0033013B"/>
    <w:rsid w:val="00330FDA"/>
    <w:rsid w:val="0033172C"/>
    <w:rsid w:val="0033195A"/>
    <w:rsid w:val="003322AF"/>
    <w:rsid w:val="00337BEF"/>
    <w:rsid w:val="00341471"/>
    <w:rsid w:val="00352B83"/>
    <w:rsid w:val="00354399"/>
    <w:rsid w:val="00355813"/>
    <w:rsid w:val="00355FAD"/>
    <w:rsid w:val="00357E2F"/>
    <w:rsid w:val="00360FF1"/>
    <w:rsid w:val="00362738"/>
    <w:rsid w:val="00362C7A"/>
    <w:rsid w:val="0036380B"/>
    <w:rsid w:val="0036560E"/>
    <w:rsid w:val="00365FA0"/>
    <w:rsid w:val="00366B7B"/>
    <w:rsid w:val="00366C42"/>
    <w:rsid w:val="003707CD"/>
    <w:rsid w:val="003763A9"/>
    <w:rsid w:val="00380B37"/>
    <w:rsid w:val="00381228"/>
    <w:rsid w:val="00381F9E"/>
    <w:rsid w:val="003833FD"/>
    <w:rsid w:val="00385913"/>
    <w:rsid w:val="00385BD8"/>
    <w:rsid w:val="003861E0"/>
    <w:rsid w:val="0038775C"/>
    <w:rsid w:val="003902EF"/>
    <w:rsid w:val="00390446"/>
    <w:rsid w:val="00390839"/>
    <w:rsid w:val="00390A15"/>
    <w:rsid w:val="00390A6B"/>
    <w:rsid w:val="00392AF1"/>
    <w:rsid w:val="00392D4D"/>
    <w:rsid w:val="00395854"/>
    <w:rsid w:val="00396BFB"/>
    <w:rsid w:val="003A1D89"/>
    <w:rsid w:val="003A3C45"/>
    <w:rsid w:val="003A4399"/>
    <w:rsid w:val="003A60D1"/>
    <w:rsid w:val="003A6AAA"/>
    <w:rsid w:val="003B1E56"/>
    <w:rsid w:val="003B2310"/>
    <w:rsid w:val="003B260F"/>
    <w:rsid w:val="003B4A2B"/>
    <w:rsid w:val="003B7017"/>
    <w:rsid w:val="003C18B8"/>
    <w:rsid w:val="003C1B0A"/>
    <w:rsid w:val="003C3A36"/>
    <w:rsid w:val="003C48AE"/>
    <w:rsid w:val="003C4C68"/>
    <w:rsid w:val="003C4EC4"/>
    <w:rsid w:val="003C67D7"/>
    <w:rsid w:val="003C6B00"/>
    <w:rsid w:val="003C73D8"/>
    <w:rsid w:val="003D073D"/>
    <w:rsid w:val="003D1FE0"/>
    <w:rsid w:val="003D21C8"/>
    <w:rsid w:val="003D3C12"/>
    <w:rsid w:val="003D5AE3"/>
    <w:rsid w:val="003D6658"/>
    <w:rsid w:val="003D6685"/>
    <w:rsid w:val="003E0975"/>
    <w:rsid w:val="003E1828"/>
    <w:rsid w:val="003E33B2"/>
    <w:rsid w:val="003E4D10"/>
    <w:rsid w:val="003E6887"/>
    <w:rsid w:val="003E73C6"/>
    <w:rsid w:val="003F231F"/>
    <w:rsid w:val="003F24E5"/>
    <w:rsid w:val="003F42AE"/>
    <w:rsid w:val="003F5F2F"/>
    <w:rsid w:val="003F6FB4"/>
    <w:rsid w:val="0040249F"/>
    <w:rsid w:val="004029BB"/>
    <w:rsid w:val="00402AD3"/>
    <w:rsid w:val="004038E9"/>
    <w:rsid w:val="00403996"/>
    <w:rsid w:val="00404280"/>
    <w:rsid w:val="00410660"/>
    <w:rsid w:val="00411437"/>
    <w:rsid w:val="004118EC"/>
    <w:rsid w:val="00413A95"/>
    <w:rsid w:val="004145E7"/>
    <w:rsid w:val="00415AB5"/>
    <w:rsid w:val="0041628B"/>
    <w:rsid w:val="00417482"/>
    <w:rsid w:val="004178C4"/>
    <w:rsid w:val="00417A13"/>
    <w:rsid w:val="00421697"/>
    <w:rsid w:val="00424CDC"/>
    <w:rsid w:val="00425902"/>
    <w:rsid w:val="00425F72"/>
    <w:rsid w:val="00426C37"/>
    <w:rsid w:val="004273C9"/>
    <w:rsid w:val="00430264"/>
    <w:rsid w:val="004309E2"/>
    <w:rsid w:val="00433B20"/>
    <w:rsid w:val="00434EBD"/>
    <w:rsid w:val="00437E9B"/>
    <w:rsid w:val="004416CE"/>
    <w:rsid w:val="004419CB"/>
    <w:rsid w:val="004421FE"/>
    <w:rsid w:val="004426DB"/>
    <w:rsid w:val="004428E4"/>
    <w:rsid w:val="00443876"/>
    <w:rsid w:val="00444576"/>
    <w:rsid w:val="00444D02"/>
    <w:rsid w:val="004465E4"/>
    <w:rsid w:val="00446BBC"/>
    <w:rsid w:val="00450D62"/>
    <w:rsid w:val="004510B8"/>
    <w:rsid w:val="00451B1A"/>
    <w:rsid w:val="0045267A"/>
    <w:rsid w:val="0045339B"/>
    <w:rsid w:val="00453AC5"/>
    <w:rsid w:val="004544CC"/>
    <w:rsid w:val="00455F70"/>
    <w:rsid w:val="00462412"/>
    <w:rsid w:val="0046294A"/>
    <w:rsid w:val="004630E8"/>
    <w:rsid w:val="00464A16"/>
    <w:rsid w:val="00465B05"/>
    <w:rsid w:val="004672FD"/>
    <w:rsid w:val="00467E7F"/>
    <w:rsid w:val="00470EA1"/>
    <w:rsid w:val="0047120F"/>
    <w:rsid w:val="00472E75"/>
    <w:rsid w:val="0047614B"/>
    <w:rsid w:val="00476F09"/>
    <w:rsid w:val="00477C90"/>
    <w:rsid w:val="004802F8"/>
    <w:rsid w:val="00480644"/>
    <w:rsid w:val="00480821"/>
    <w:rsid w:val="004852B4"/>
    <w:rsid w:val="004863ED"/>
    <w:rsid w:val="0048777E"/>
    <w:rsid w:val="00487DE4"/>
    <w:rsid w:val="00491375"/>
    <w:rsid w:val="00491910"/>
    <w:rsid w:val="00492D44"/>
    <w:rsid w:val="00493891"/>
    <w:rsid w:val="00493A82"/>
    <w:rsid w:val="00497DF8"/>
    <w:rsid w:val="004A1773"/>
    <w:rsid w:val="004A2D3E"/>
    <w:rsid w:val="004A3263"/>
    <w:rsid w:val="004A3D76"/>
    <w:rsid w:val="004A3F5C"/>
    <w:rsid w:val="004B10C9"/>
    <w:rsid w:val="004B15F4"/>
    <w:rsid w:val="004B315A"/>
    <w:rsid w:val="004B52E5"/>
    <w:rsid w:val="004B7751"/>
    <w:rsid w:val="004C2609"/>
    <w:rsid w:val="004C42CD"/>
    <w:rsid w:val="004C4A00"/>
    <w:rsid w:val="004C7D9B"/>
    <w:rsid w:val="004D1E44"/>
    <w:rsid w:val="004D1FCD"/>
    <w:rsid w:val="004D2645"/>
    <w:rsid w:val="004D35A1"/>
    <w:rsid w:val="004D4273"/>
    <w:rsid w:val="004D46D1"/>
    <w:rsid w:val="004D5E46"/>
    <w:rsid w:val="004D621E"/>
    <w:rsid w:val="004D7A4B"/>
    <w:rsid w:val="004E1349"/>
    <w:rsid w:val="004E205E"/>
    <w:rsid w:val="004E4935"/>
    <w:rsid w:val="004E5F9A"/>
    <w:rsid w:val="004E653B"/>
    <w:rsid w:val="004E7E9F"/>
    <w:rsid w:val="004F068A"/>
    <w:rsid w:val="004F4E6E"/>
    <w:rsid w:val="004F67F0"/>
    <w:rsid w:val="0050060C"/>
    <w:rsid w:val="0050060F"/>
    <w:rsid w:val="00502B27"/>
    <w:rsid w:val="00505946"/>
    <w:rsid w:val="00505BDB"/>
    <w:rsid w:val="00505F35"/>
    <w:rsid w:val="005106C3"/>
    <w:rsid w:val="0051184F"/>
    <w:rsid w:val="005118CA"/>
    <w:rsid w:val="00511D2D"/>
    <w:rsid w:val="0051321D"/>
    <w:rsid w:val="0051454A"/>
    <w:rsid w:val="00517675"/>
    <w:rsid w:val="00521228"/>
    <w:rsid w:val="0052154F"/>
    <w:rsid w:val="0052347B"/>
    <w:rsid w:val="0052485E"/>
    <w:rsid w:val="0052642C"/>
    <w:rsid w:val="00527F85"/>
    <w:rsid w:val="005317EF"/>
    <w:rsid w:val="00532E77"/>
    <w:rsid w:val="00533302"/>
    <w:rsid w:val="005341CC"/>
    <w:rsid w:val="00534E01"/>
    <w:rsid w:val="00534E0D"/>
    <w:rsid w:val="005359A4"/>
    <w:rsid w:val="00536584"/>
    <w:rsid w:val="00536613"/>
    <w:rsid w:val="005374E0"/>
    <w:rsid w:val="00537D97"/>
    <w:rsid w:val="00542AD7"/>
    <w:rsid w:val="00545847"/>
    <w:rsid w:val="005463D0"/>
    <w:rsid w:val="00547EA1"/>
    <w:rsid w:val="00550CA5"/>
    <w:rsid w:val="005531A6"/>
    <w:rsid w:val="00553674"/>
    <w:rsid w:val="00553866"/>
    <w:rsid w:val="0055658E"/>
    <w:rsid w:val="00557280"/>
    <w:rsid w:val="00557C8D"/>
    <w:rsid w:val="00560940"/>
    <w:rsid w:val="00561548"/>
    <w:rsid w:val="00562337"/>
    <w:rsid w:val="0056692D"/>
    <w:rsid w:val="00567990"/>
    <w:rsid w:val="00567FBD"/>
    <w:rsid w:val="005701E4"/>
    <w:rsid w:val="00573EBA"/>
    <w:rsid w:val="005774C0"/>
    <w:rsid w:val="0058036D"/>
    <w:rsid w:val="005803B1"/>
    <w:rsid w:val="005807D2"/>
    <w:rsid w:val="00582D3C"/>
    <w:rsid w:val="005838EF"/>
    <w:rsid w:val="00583B44"/>
    <w:rsid w:val="00584204"/>
    <w:rsid w:val="00584720"/>
    <w:rsid w:val="00584E2A"/>
    <w:rsid w:val="00586EB7"/>
    <w:rsid w:val="00592097"/>
    <w:rsid w:val="005920DA"/>
    <w:rsid w:val="00593E94"/>
    <w:rsid w:val="005948CD"/>
    <w:rsid w:val="00594BAD"/>
    <w:rsid w:val="00595AA7"/>
    <w:rsid w:val="00595C7B"/>
    <w:rsid w:val="00597160"/>
    <w:rsid w:val="00597A59"/>
    <w:rsid w:val="00597E8E"/>
    <w:rsid w:val="005A089C"/>
    <w:rsid w:val="005A2A85"/>
    <w:rsid w:val="005A30C4"/>
    <w:rsid w:val="005A3670"/>
    <w:rsid w:val="005A3D75"/>
    <w:rsid w:val="005A4112"/>
    <w:rsid w:val="005A556C"/>
    <w:rsid w:val="005A6C17"/>
    <w:rsid w:val="005B00BF"/>
    <w:rsid w:val="005B0326"/>
    <w:rsid w:val="005B057E"/>
    <w:rsid w:val="005B0938"/>
    <w:rsid w:val="005B1DED"/>
    <w:rsid w:val="005B2234"/>
    <w:rsid w:val="005B2689"/>
    <w:rsid w:val="005B299B"/>
    <w:rsid w:val="005B3BAB"/>
    <w:rsid w:val="005B3D35"/>
    <w:rsid w:val="005B7746"/>
    <w:rsid w:val="005B79BC"/>
    <w:rsid w:val="005C0E18"/>
    <w:rsid w:val="005C0E9E"/>
    <w:rsid w:val="005C21B5"/>
    <w:rsid w:val="005C6172"/>
    <w:rsid w:val="005C6E27"/>
    <w:rsid w:val="005C7E55"/>
    <w:rsid w:val="005D0FA5"/>
    <w:rsid w:val="005D1A69"/>
    <w:rsid w:val="005D3B6A"/>
    <w:rsid w:val="005D3CF7"/>
    <w:rsid w:val="005D48AD"/>
    <w:rsid w:val="005D5280"/>
    <w:rsid w:val="005D64B0"/>
    <w:rsid w:val="005D7DF5"/>
    <w:rsid w:val="005E191F"/>
    <w:rsid w:val="005E1E6F"/>
    <w:rsid w:val="005E2D9C"/>
    <w:rsid w:val="005E3279"/>
    <w:rsid w:val="005E3A59"/>
    <w:rsid w:val="005E3B9A"/>
    <w:rsid w:val="005E4B73"/>
    <w:rsid w:val="005E76C1"/>
    <w:rsid w:val="005E796B"/>
    <w:rsid w:val="005E7C62"/>
    <w:rsid w:val="005F07EB"/>
    <w:rsid w:val="005F0E34"/>
    <w:rsid w:val="005F2295"/>
    <w:rsid w:val="005F59CA"/>
    <w:rsid w:val="005F63CD"/>
    <w:rsid w:val="005F78AF"/>
    <w:rsid w:val="006038E7"/>
    <w:rsid w:val="006046BE"/>
    <w:rsid w:val="006050B9"/>
    <w:rsid w:val="0060525A"/>
    <w:rsid w:val="00606006"/>
    <w:rsid w:val="00607F8C"/>
    <w:rsid w:val="006111EC"/>
    <w:rsid w:val="0061141F"/>
    <w:rsid w:val="0061327E"/>
    <w:rsid w:val="00613ECD"/>
    <w:rsid w:val="0061406C"/>
    <w:rsid w:val="00614506"/>
    <w:rsid w:val="0062118E"/>
    <w:rsid w:val="00621714"/>
    <w:rsid w:val="006220EC"/>
    <w:rsid w:val="00622ECA"/>
    <w:rsid w:val="00623B4C"/>
    <w:rsid w:val="006256B5"/>
    <w:rsid w:val="00625719"/>
    <w:rsid w:val="0062668A"/>
    <w:rsid w:val="00630C4C"/>
    <w:rsid w:val="00631843"/>
    <w:rsid w:val="00631B5F"/>
    <w:rsid w:val="00632871"/>
    <w:rsid w:val="0063427E"/>
    <w:rsid w:val="00634909"/>
    <w:rsid w:val="00635B1E"/>
    <w:rsid w:val="006376F3"/>
    <w:rsid w:val="00640379"/>
    <w:rsid w:val="00642D1C"/>
    <w:rsid w:val="006437F4"/>
    <w:rsid w:val="006442B9"/>
    <w:rsid w:val="006447A8"/>
    <w:rsid w:val="00647AD6"/>
    <w:rsid w:val="0065064B"/>
    <w:rsid w:val="00651687"/>
    <w:rsid w:val="00656D86"/>
    <w:rsid w:val="00657AD5"/>
    <w:rsid w:val="00657FA1"/>
    <w:rsid w:val="00660400"/>
    <w:rsid w:val="00660C80"/>
    <w:rsid w:val="00661BF0"/>
    <w:rsid w:val="006627B4"/>
    <w:rsid w:val="00663E8F"/>
    <w:rsid w:val="0066448F"/>
    <w:rsid w:val="00666373"/>
    <w:rsid w:val="006666D2"/>
    <w:rsid w:val="00667F8D"/>
    <w:rsid w:val="006701B3"/>
    <w:rsid w:val="00670317"/>
    <w:rsid w:val="00671152"/>
    <w:rsid w:val="006719A5"/>
    <w:rsid w:val="006728EC"/>
    <w:rsid w:val="006807F1"/>
    <w:rsid w:val="00682A25"/>
    <w:rsid w:val="00683B10"/>
    <w:rsid w:val="00684417"/>
    <w:rsid w:val="00685895"/>
    <w:rsid w:val="006900AD"/>
    <w:rsid w:val="006900C3"/>
    <w:rsid w:val="006926CF"/>
    <w:rsid w:val="0069450C"/>
    <w:rsid w:val="0069658D"/>
    <w:rsid w:val="006A046C"/>
    <w:rsid w:val="006A131E"/>
    <w:rsid w:val="006A23F6"/>
    <w:rsid w:val="006A2E08"/>
    <w:rsid w:val="006A35DC"/>
    <w:rsid w:val="006A5944"/>
    <w:rsid w:val="006A64AD"/>
    <w:rsid w:val="006A658D"/>
    <w:rsid w:val="006A66A3"/>
    <w:rsid w:val="006A787E"/>
    <w:rsid w:val="006B0A31"/>
    <w:rsid w:val="006B22C0"/>
    <w:rsid w:val="006B329B"/>
    <w:rsid w:val="006B38DD"/>
    <w:rsid w:val="006B4CAE"/>
    <w:rsid w:val="006C0520"/>
    <w:rsid w:val="006C247E"/>
    <w:rsid w:val="006C25B1"/>
    <w:rsid w:val="006C2611"/>
    <w:rsid w:val="006C2C9A"/>
    <w:rsid w:val="006C4FCE"/>
    <w:rsid w:val="006C62BF"/>
    <w:rsid w:val="006D4E76"/>
    <w:rsid w:val="006D5101"/>
    <w:rsid w:val="006D6E47"/>
    <w:rsid w:val="006E560F"/>
    <w:rsid w:val="006E641E"/>
    <w:rsid w:val="006E680A"/>
    <w:rsid w:val="006E7F0C"/>
    <w:rsid w:val="006F1C16"/>
    <w:rsid w:val="006F3720"/>
    <w:rsid w:val="006F38CE"/>
    <w:rsid w:val="006F45FF"/>
    <w:rsid w:val="006F564B"/>
    <w:rsid w:val="007029BC"/>
    <w:rsid w:val="00703660"/>
    <w:rsid w:val="00703ECD"/>
    <w:rsid w:val="0070414F"/>
    <w:rsid w:val="007042F7"/>
    <w:rsid w:val="00704777"/>
    <w:rsid w:val="00706C20"/>
    <w:rsid w:val="007075FE"/>
    <w:rsid w:val="00707DBA"/>
    <w:rsid w:val="00707F80"/>
    <w:rsid w:val="00710E89"/>
    <w:rsid w:val="00713C52"/>
    <w:rsid w:val="00715413"/>
    <w:rsid w:val="00715779"/>
    <w:rsid w:val="00720C04"/>
    <w:rsid w:val="007224E6"/>
    <w:rsid w:val="00724615"/>
    <w:rsid w:val="007250E7"/>
    <w:rsid w:val="00730894"/>
    <w:rsid w:val="007311AB"/>
    <w:rsid w:val="007339A3"/>
    <w:rsid w:val="0073485F"/>
    <w:rsid w:val="00735D95"/>
    <w:rsid w:val="00736258"/>
    <w:rsid w:val="007364C8"/>
    <w:rsid w:val="00736541"/>
    <w:rsid w:val="00737153"/>
    <w:rsid w:val="007379BD"/>
    <w:rsid w:val="00740807"/>
    <w:rsid w:val="007416E1"/>
    <w:rsid w:val="007423B5"/>
    <w:rsid w:val="007435B7"/>
    <w:rsid w:val="00743D21"/>
    <w:rsid w:val="00743FFA"/>
    <w:rsid w:val="00744EA3"/>
    <w:rsid w:val="007458D0"/>
    <w:rsid w:val="00747797"/>
    <w:rsid w:val="00750399"/>
    <w:rsid w:val="00750FD6"/>
    <w:rsid w:val="007524BA"/>
    <w:rsid w:val="00754A3D"/>
    <w:rsid w:val="00755ACD"/>
    <w:rsid w:val="00756399"/>
    <w:rsid w:val="00760C9B"/>
    <w:rsid w:val="00761068"/>
    <w:rsid w:val="0076245F"/>
    <w:rsid w:val="0076258F"/>
    <w:rsid w:val="0076340D"/>
    <w:rsid w:val="00763C6B"/>
    <w:rsid w:val="007664E5"/>
    <w:rsid w:val="00767243"/>
    <w:rsid w:val="00767D72"/>
    <w:rsid w:val="007722C2"/>
    <w:rsid w:val="007737F7"/>
    <w:rsid w:val="00773DFA"/>
    <w:rsid w:val="00773F28"/>
    <w:rsid w:val="007742A2"/>
    <w:rsid w:val="0077503E"/>
    <w:rsid w:val="0077523B"/>
    <w:rsid w:val="007759C5"/>
    <w:rsid w:val="0077751B"/>
    <w:rsid w:val="0078063C"/>
    <w:rsid w:val="0078372D"/>
    <w:rsid w:val="00784A94"/>
    <w:rsid w:val="00790DD6"/>
    <w:rsid w:val="00791ABF"/>
    <w:rsid w:val="00791CB9"/>
    <w:rsid w:val="0079242B"/>
    <w:rsid w:val="00793534"/>
    <w:rsid w:val="00793966"/>
    <w:rsid w:val="0079459F"/>
    <w:rsid w:val="0079464D"/>
    <w:rsid w:val="007954FE"/>
    <w:rsid w:val="00797223"/>
    <w:rsid w:val="007A0A6D"/>
    <w:rsid w:val="007A0AAB"/>
    <w:rsid w:val="007A1049"/>
    <w:rsid w:val="007A1E07"/>
    <w:rsid w:val="007A3729"/>
    <w:rsid w:val="007A4F9A"/>
    <w:rsid w:val="007A5A03"/>
    <w:rsid w:val="007B0718"/>
    <w:rsid w:val="007B0971"/>
    <w:rsid w:val="007B1DB8"/>
    <w:rsid w:val="007B461F"/>
    <w:rsid w:val="007B618F"/>
    <w:rsid w:val="007B7B04"/>
    <w:rsid w:val="007C0FB6"/>
    <w:rsid w:val="007C1F2C"/>
    <w:rsid w:val="007C1FA1"/>
    <w:rsid w:val="007C2061"/>
    <w:rsid w:val="007C22C7"/>
    <w:rsid w:val="007C360C"/>
    <w:rsid w:val="007C362A"/>
    <w:rsid w:val="007C3BFD"/>
    <w:rsid w:val="007C757F"/>
    <w:rsid w:val="007C7642"/>
    <w:rsid w:val="007D042B"/>
    <w:rsid w:val="007D1E80"/>
    <w:rsid w:val="007D2A9B"/>
    <w:rsid w:val="007D4052"/>
    <w:rsid w:val="007D4F88"/>
    <w:rsid w:val="007D5FC1"/>
    <w:rsid w:val="007D65A1"/>
    <w:rsid w:val="007D6D15"/>
    <w:rsid w:val="007D7FBB"/>
    <w:rsid w:val="007E661D"/>
    <w:rsid w:val="007E6F7A"/>
    <w:rsid w:val="007F171A"/>
    <w:rsid w:val="007F2DA5"/>
    <w:rsid w:val="007F7C8E"/>
    <w:rsid w:val="00800E88"/>
    <w:rsid w:val="00803C7E"/>
    <w:rsid w:val="0080477D"/>
    <w:rsid w:val="008054E5"/>
    <w:rsid w:val="00805E5B"/>
    <w:rsid w:val="00806097"/>
    <w:rsid w:val="008067B9"/>
    <w:rsid w:val="008079CA"/>
    <w:rsid w:val="00807EA9"/>
    <w:rsid w:val="00815210"/>
    <w:rsid w:val="00816E76"/>
    <w:rsid w:val="0082192B"/>
    <w:rsid w:val="00822697"/>
    <w:rsid w:val="008231A4"/>
    <w:rsid w:val="0082368B"/>
    <w:rsid w:val="00824932"/>
    <w:rsid w:val="008252FA"/>
    <w:rsid w:val="00826DB3"/>
    <w:rsid w:val="00826E10"/>
    <w:rsid w:val="008317F6"/>
    <w:rsid w:val="00834F40"/>
    <w:rsid w:val="008374D2"/>
    <w:rsid w:val="00837737"/>
    <w:rsid w:val="008418CA"/>
    <w:rsid w:val="00841CAD"/>
    <w:rsid w:val="0084258C"/>
    <w:rsid w:val="0084368F"/>
    <w:rsid w:val="00844F81"/>
    <w:rsid w:val="008459F1"/>
    <w:rsid w:val="00851EFD"/>
    <w:rsid w:val="00853275"/>
    <w:rsid w:val="0085331A"/>
    <w:rsid w:val="0085393A"/>
    <w:rsid w:val="008539A8"/>
    <w:rsid w:val="00855651"/>
    <w:rsid w:val="00861116"/>
    <w:rsid w:val="00862F1D"/>
    <w:rsid w:val="008631FB"/>
    <w:rsid w:val="0086370C"/>
    <w:rsid w:val="00864CBE"/>
    <w:rsid w:val="00866029"/>
    <w:rsid w:val="008674DF"/>
    <w:rsid w:val="00867814"/>
    <w:rsid w:val="008721D6"/>
    <w:rsid w:val="008724E6"/>
    <w:rsid w:val="0087540E"/>
    <w:rsid w:val="008755D5"/>
    <w:rsid w:val="0087589E"/>
    <w:rsid w:val="008762E3"/>
    <w:rsid w:val="0087642E"/>
    <w:rsid w:val="0087649D"/>
    <w:rsid w:val="008773F1"/>
    <w:rsid w:val="008802ED"/>
    <w:rsid w:val="00882640"/>
    <w:rsid w:val="00883AA1"/>
    <w:rsid w:val="008857DC"/>
    <w:rsid w:val="00885C10"/>
    <w:rsid w:val="00886DCC"/>
    <w:rsid w:val="00891D74"/>
    <w:rsid w:val="00896595"/>
    <w:rsid w:val="008A3F5A"/>
    <w:rsid w:val="008A60E1"/>
    <w:rsid w:val="008A73B0"/>
    <w:rsid w:val="008B265E"/>
    <w:rsid w:val="008B39A1"/>
    <w:rsid w:val="008B3C99"/>
    <w:rsid w:val="008B4088"/>
    <w:rsid w:val="008B4EE2"/>
    <w:rsid w:val="008B7510"/>
    <w:rsid w:val="008B753A"/>
    <w:rsid w:val="008B76A5"/>
    <w:rsid w:val="008C436D"/>
    <w:rsid w:val="008C4FF3"/>
    <w:rsid w:val="008D0CE0"/>
    <w:rsid w:val="008D2E8B"/>
    <w:rsid w:val="008D3FED"/>
    <w:rsid w:val="008D67F8"/>
    <w:rsid w:val="008D6825"/>
    <w:rsid w:val="008D683A"/>
    <w:rsid w:val="008D69F9"/>
    <w:rsid w:val="008E0722"/>
    <w:rsid w:val="008E11A2"/>
    <w:rsid w:val="008E1E27"/>
    <w:rsid w:val="008E3B84"/>
    <w:rsid w:val="008E6336"/>
    <w:rsid w:val="008E7C39"/>
    <w:rsid w:val="008F0371"/>
    <w:rsid w:val="008F068A"/>
    <w:rsid w:val="008F2733"/>
    <w:rsid w:val="008F3DE0"/>
    <w:rsid w:val="008F57C1"/>
    <w:rsid w:val="008F7BC7"/>
    <w:rsid w:val="00900595"/>
    <w:rsid w:val="00900E74"/>
    <w:rsid w:val="00901B69"/>
    <w:rsid w:val="009040F1"/>
    <w:rsid w:val="00904C7B"/>
    <w:rsid w:val="00906407"/>
    <w:rsid w:val="00907A18"/>
    <w:rsid w:val="00910FAA"/>
    <w:rsid w:val="00912294"/>
    <w:rsid w:val="00914E54"/>
    <w:rsid w:val="009161FC"/>
    <w:rsid w:val="009203C8"/>
    <w:rsid w:val="00920E88"/>
    <w:rsid w:val="00921C70"/>
    <w:rsid w:val="009224CC"/>
    <w:rsid w:val="0092377F"/>
    <w:rsid w:val="00923EEB"/>
    <w:rsid w:val="00924639"/>
    <w:rsid w:val="0092728D"/>
    <w:rsid w:val="009304B5"/>
    <w:rsid w:val="00930D89"/>
    <w:rsid w:val="009325E0"/>
    <w:rsid w:val="00936927"/>
    <w:rsid w:val="00940ABE"/>
    <w:rsid w:val="00942526"/>
    <w:rsid w:val="00945B13"/>
    <w:rsid w:val="00945D3E"/>
    <w:rsid w:val="009461CE"/>
    <w:rsid w:val="00950D9B"/>
    <w:rsid w:val="0095123A"/>
    <w:rsid w:val="00951902"/>
    <w:rsid w:val="009531B5"/>
    <w:rsid w:val="0095370E"/>
    <w:rsid w:val="00953C2D"/>
    <w:rsid w:val="0095606D"/>
    <w:rsid w:val="00956A69"/>
    <w:rsid w:val="00956C50"/>
    <w:rsid w:val="00956C8F"/>
    <w:rsid w:val="0096174F"/>
    <w:rsid w:val="0096335A"/>
    <w:rsid w:val="0096692D"/>
    <w:rsid w:val="00966C19"/>
    <w:rsid w:val="00970D2C"/>
    <w:rsid w:val="009729FE"/>
    <w:rsid w:val="0097381A"/>
    <w:rsid w:val="00973FEF"/>
    <w:rsid w:val="009757E9"/>
    <w:rsid w:val="0097671F"/>
    <w:rsid w:val="0097699D"/>
    <w:rsid w:val="00981231"/>
    <w:rsid w:val="00981F56"/>
    <w:rsid w:val="0098238F"/>
    <w:rsid w:val="00982736"/>
    <w:rsid w:val="00986151"/>
    <w:rsid w:val="00990628"/>
    <w:rsid w:val="009906F9"/>
    <w:rsid w:val="00990728"/>
    <w:rsid w:val="00991557"/>
    <w:rsid w:val="00993074"/>
    <w:rsid w:val="009935BD"/>
    <w:rsid w:val="00993958"/>
    <w:rsid w:val="00994090"/>
    <w:rsid w:val="0099583A"/>
    <w:rsid w:val="0099661F"/>
    <w:rsid w:val="00996853"/>
    <w:rsid w:val="00996E40"/>
    <w:rsid w:val="009972C1"/>
    <w:rsid w:val="009A0CE9"/>
    <w:rsid w:val="009A1AEB"/>
    <w:rsid w:val="009A326E"/>
    <w:rsid w:val="009A358B"/>
    <w:rsid w:val="009A48C8"/>
    <w:rsid w:val="009A5441"/>
    <w:rsid w:val="009A6795"/>
    <w:rsid w:val="009A79DA"/>
    <w:rsid w:val="009B1284"/>
    <w:rsid w:val="009B346B"/>
    <w:rsid w:val="009B34CD"/>
    <w:rsid w:val="009B4C20"/>
    <w:rsid w:val="009B6263"/>
    <w:rsid w:val="009B6AF4"/>
    <w:rsid w:val="009C02EB"/>
    <w:rsid w:val="009C16B6"/>
    <w:rsid w:val="009C325D"/>
    <w:rsid w:val="009C3E69"/>
    <w:rsid w:val="009C3F56"/>
    <w:rsid w:val="009C5D8C"/>
    <w:rsid w:val="009D0407"/>
    <w:rsid w:val="009D04AB"/>
    <w:rsid w:val="009D05A9"/>
    <w:rsid w:val="009D2DFE"/>
    <w:rsid w:val="009D4B55"/>
    <w:rsid w:val="009D5200"/>
    <w:rsid w:val="009D59DD"/>
    <w:rsid w:val="009E01B2"/>
    <w:rsid w:val="009E1289"/>
    <w:rsid w:val="009E1E55"/>
    <w:rsid w:val="009E2CAE"/>
    <w:rsid w:val="009E4920"/>
    <w:rsid w:val="009E572D"/>
    <w:rsid w:val="009E5823"/>
    <w:rsid w:val="009E6424"/>
    <w:rsid w:val="009F150D"/>
    <w:rsid w:val="009F26D3"/>
    <w:rsid w:val="009F2A8B"/>
    <w:rsid w:val="009F41CF"/>
    <w:rsid w:val="009F513D"/>
    <w:rsid w:val="009F61B5"/>
    <w:rsid w:val="009F68E7"/>
    <w:rsid w:val="009F6A2A"/>
    <w:rsid w:val="009F6D9E"/>
    <w:rsid w:val="009F76D6"/>
    <w:rsid w:val="009F7D3E"/>
    <w:rsid w:val="00A01DF3"/>
    <w:rsid w:val="00A06A2E"/>
    <w:rsid w:val="00A07598"/>
    <w:rsid w:val="00A078B0"/>
    <w:rsid w:val="00A1130F"/>
    <w:rsid w:val="00A11C73"/>
    <w:rsid w:val="00A12F4E"/>
    <w:rsid w:val="00A13503"/>
    <w:rsid w:val="00A13A11"/>
    <w:rsid w:val="00A15276"/>
    <w:rsid w:val="00A15A86"/>
    <w:rsid w:val="00A15F8B"/>
    <w:rsid w:val="00A16959"/>
    <w:rsid w:val="00A16B04"/>
    <w:rsid w:val="00A16C23"/>
    <w:rsid w:val="00A175BF"/>
    <w:rsid w:val="00A176E4"/>
    <w:rsid w:val="00A203AA"/>
    <w:rsid w:val="00A2057C"/>
    <w:rsid w:val="00A205F5"/>
    <w:rsid w:val="00A2134D"/>
    <w:rsid w:val="00A22CCA"/>
    <w:rsid w:val="00A23070"/>
    <w:rsid w:val="00A23233"/>
    <w:rsid w:val="00A27040"/>
    <w:rsid w:val="00A27348"/>
    <w:rsid w:val="00A27700"/>
    <w:rsid w:val="00A3193B"/>
    <w:rsid w:val="00A31C88"/>
    <w:rsid w:val="00A3305A"/>
    <w:rsid w:val="00A332B4"/>
    <w:rsid w:val="00A34E18"/>
    <w:rsid w:val="00A35499"/>
    <w:rsid w:val="00A356C8"/>
    <w:rsid w:val="00A363AA"/>
    <w:rsid w:val="00A37923"/>
    <w:rsid w:val="00A4143E"/>
    <w:rsid w:val="00A4504D"/>
    <w:rsid w:val="00A457BB"/>
    <w:rsid w:val="00A465D6"/>
    <w:rsid w:val="00A50408"/>
    <w:rsid w:val="00A517DB"/>
    <w:rsid w:val="00A5287F"/>
    <w:rsid w:val="00A53266"/>
    <w:rsid w:val="00A54652"/>
    <w:rsid w:val="00A55A61"/>
    <w:rsid w:val="00A562C9"/>
    <w:rsid w:val="00A563E3"/>
    <w:rsid w:val="00A5645A"/>
    <w:rsid w:val="00A56799"/>
    <w:rsid w:val="00A56844"/>
    <w:rsid w:val="00A56FF5"/>
    <w:rsid w:val="00A6099F"/>
    <w:rsid w:val="00A66C7A"/>
    <w:rsid w:val="00A70D38"/>
    <w:rsid w:val="00A75E2C"/>
    <w:rsid w:val="00A75FCA"/>
    <w:rsid w:val="00A770D0"/>
    <w:rsid w:val="00A77B74"/>
    <w:rsid w:val="00A80884"/>
    <w:rsid w:val="00A84AEF"/>
    <w:rsid w:val="00A84C9A"/>
    <w:rsid w:val="00A875C2"/>
    <w:rsid w:val="00A92E4A"/>
    <w:rsid w:val="00A92F6E"/>
    <w:rsid w:val="00A93B0A"/>
    <w:rsid w:val="00A94D0E"/>
    <w:rsid w:val="00A96D87"/>
    <w:rsid w:val="00AA0AB6"/>
    <w:rsid w:val="00AA19CB"/>
    <w:rsid w:val="00AA2F5C"/>
    <w:rsid w:val="00AA3CF9"/>
    <w:rsid w:val="00AA4274"/>
    <w:rsid w:val="00AA4487"/>
    <w:rsid w:val="00AA50BF"/>
    <w:rsid w:val="00AA75D0"/>
    <w:rsid w:val="00AA79E4"/>
    <w:rsid w:val="00AA7C6A"/>
    <w:rsid w:val="00AA7F85"/>
    <w:rsid w:val="00AB05C8"/>
    <w:rsid w:val="00AB2F6E"/>
    <w:rsid w:val="00AB3937"/>
    <w:rsid w:val="00AB4A22"/>
    <w:rsid w:val="00AB5277"/>
    <w:rsid w:val="00AB64C9"/>
    <w:rsid w:val="00AC0BD6"/>
    <w:rsid w:val="00AC2B97"/>
    <w:rsid w:val="00AC3650"/>
    <w:rsid w:val="00AC7128"/>
    <w:rsid w:val="00AD02DB"/>
    <w:rsid w:val="00AD0DD7"/>
    <w:rsid w:val="00AD1267"/>
    <w:rsid w:val="00AD1B20"/>
    <w:rsid w:val="00AD3D2E"/>
    <w:rsid w:val="00AD4CCE"/>
    <w:rsid w:val="00AD7321"/>
    <w:rsid w:val="00AD73EE"/>
    <w:rsid w:val="00AD7419"/>
    <w:rsid w:val="00AE0800"/>
    <w:rsid w:val="00AE698F"/>
    <w:rsid w:val="00AF0506"/>
    <w:rsid w:val="00AF38A8"/>
    <w:rsid w:val="00AF3D5E"/>
    <w:rsid w:val="00AF4220"/>
    <w:rsid w:val="00AF4D0A"/>
    <w:rsid w:val="00AF5743"/>
    <w:rsid w:val="00AF6BA3"/>
    <w:rsid w:val="00B0064F"/>
    <w:rsid w:val="00B00EA7"/>
    <w:rsid w:val="00B02619"/>
    <w:rsid w:val="00B0354C"/>
    <w:rsid w:val="00B10451"/>
    <w:rsid w:val="00B106DF"/>
    <w:rsid w:val="00B11393"/>
    <w:rsid w:val="00B118F8"/>
    <w:rsid w:val="00B1240D"/>
    <w:rsid w:val="00B15778"/>
    <w:rsid w:val="00B15B16"/>
    <w:rsid w:val="00B16704"/>
    <w:rsid w:val="00B16F4C"/>
    <w:rsid w:val="00B170DC"/>
    <w:rsid w:val="00B174B9"/>
    <w:rsid w:val="00B17CB1"/>
    <w:rsid w:val="00B20482"/>
    <w:rsid w:val="00B20B49"/>
    <w:rsid w:val="00B2242E"/>
    <w:rsid w:val="00B22430"/>
    <w:rsid w:val="00B2280C"/>
    <w:rsid w:val="00B240F6"/>
    <w:rsid w:val="00B2418A"/>
    <w:rsid w:val="00B2583E"/>
    <w:rsid w:val="00B27A9C"/>
    <w:rsid w:val="00B31CFB"/>
    <w:rsid w:val="00B32D15"/>
    <w:rsid w:val="00B3425C"/>
    <w:rsid w:val="00B343DC"/>
    <w:rsid w:val="00B347D9"/>
    <w:rsid w:val="00B34886"/>
    <w:rsid w:val="00B36006"/>
    <w:rsid w:val="00B37BF6"/>
    <w:rsid w:val="00B40EB5"/>
    <w:rsid w:val="00B4145B"/>
    <w:rsid w:val="00B46594"/>
    <w:rsid w:val="00B46AC2"/>
    <w:rsid w:val="00B5127F"/>
    <w:rsid w:val="00B52D2A"/>
    <w:rsid w:val="00B546DA"/>
    <w:rsid w:val="00B56E3E"/>
    <w:rsid w:val="00B57C3D"/>
    <w:rsid w:val="00B603CB"/>
    <w:rsid w:val="00B620E5"/>
    <w:rsid w:val="00B6236A"/>
    <w:rsid w:val="00B62FD8"/>
    <w:rsid w:val="00B675F9"/>
    <w:rsid w:val="00B71921"/>
    <w:rsid w:val="00B729AE"/>
    <w:rsid w:val="00B7631C"/>
    <w:rsid w:val="00B76F28"/>
    <w:rsid w:val="00B77B3A"/>
    <w:rsid w:val="00B801D8"/>
    <w:rsid w:val="00B8281B"/>
    <w:rsid w:val="00B84419"/>
    <w:rsid w:val="00B84714"/>
    <w:rsid w:val="00B85656"/>
    <w:rsid w:val="00B863B7"/>
    <w:rsid w:val="00B9523C"/>
    <w:rsid w:val="00BA11D1"/>
    <w:rsid w:val="00BA2720"/>
    <w:rsid w:val="00BA2C42"/>
    <w:rsid w:val="00BA761D"/>
    <w:rsid w:val="00BA762C"/>
    <w:rsid w:val="00BB0671"/>
    <w:rsid w:val="00BB09DC"/>
    <w:rsid w:val="00BB1DBB"/>
    <w:rsid w:val="00BB40C2"/>
    <w:rsid w:val="00BB4760"/>
    <w:rsid w:val="00BC05CB"/>
    <w:rsid w:val="00BC273D"/>
    <w:rsid w:val="00BC3C8B"/>
    <w:rsid w:val="00BC6655"/>
    <w:rsid w:val="00BC6C3F"/>
    <w:rsid w:val="00BC71EC"/>
    <w:rsid w:val="00BC7ED8"/>
    <w:rsid w:val="00BD3AD8"/>
    <w:rsid w:val="00BD426D"/>
    <w:rsid w:val="00BD474D"/>
    <w:rsid w:val="00BD534B"/>
    <w:rsid w:val="00BD5433"/>
    <w:rsid w:val="00BD5558"/>
    <w:rsid w:val="00BD6372"/>
    <w:rsid w:val="00BD7922"/>
    <w:rsid w:val="00BE0786"/>
    <w:rsid w:val="00BE0B6D"/>
    <w:rsid w:val="00BE11DD"/>
    <w:rsid w:val="00BE476F"/>
    <w:rsid w:val="00BE6083"/>
    <w:rsid w:val="00BF1D3B"/>
    <w:rsid w:val="00BF239E"/>
    <w:rsid w:val="00BF2F15"/>
    <w:rsid w:val="00BF2F8E"/>
    <w:rsid w:val="00BF4825"/>
    <w:rsid w:val="00BF48C2"/>
    <w:rsid w:val="00BF6266"/>
    <w:rsid w:val="00C01DAD"/>
    <w:rsid w:val="00C0447F"/>
    <w:rsid w:val="00C060AD"/>
    <w:rsid w:val="00C0697F"/>
    <w:rsid w:val="00C1167A"/>
    <w:rsid w:val="00C14071"/>
    <w:rsid w:val="00C14F08"/>
    <w:rsid w:val="00C15B62"/>
    <w:rsid w:val="00C16B62"/>
    <w:rsid w:val="00C17913"/>
    <w:rsid w:val="00C20E4D"/>
    <w:rsid w:val="00C21666"/>
    <w:rsid w:val="00C223D6"/>
    <w:rsid w:val="00C22AC4"/>
    <w:rsid w:val="00C22BE7"/>
    <w:rsid w:val="00C247F4"/>
    <w:rsid w:val="00C25ED0"/>
    <w:rsid w:val="00C2673A"/>
    <w:rsid w:val="00C3060E"/>
    <w:rsid w:val="00C32FA5"/>
    <w:rsid w:val="00C3337A"/>
    <w:rsid w:val="00C353E6"/>
    <w:rsid w:val="00C359D1"/>
    <w:rsid w:val="00C35CD6"/>
    <w:rsid w:val="00C37418"/>
    <w:rsid w:val="00C378E0"/>
    <w:rsid w:val="00C41D61"/>
    <w:rsid w:val="00C42A57"/>
    <w:rsid w:val="00C42BCA"/>
    <w:rsid w:val="00C43B54"/>
    <w:rsid w:val="00C44BB4"/>
    <w:rsid w:val="00C466C6"/>
    <w:rsid w:val="00C47B91"/>
    <w:rsid w:val="00C51581"/>
    <w:rsid w:val="00C525A6"/>
    <w:rsid w:val="00C5436E"/>
    <w:rsid w:val="00C54934"/>
    <w:rsid w:val="00C5603F"/>
    <w:rsid w:val="00C60A5C"/>
    <w:rsid w:val="00C617BB"/>
    <w:rsid w:val="00C6209A"/>
    <w:rsid w:val="00C625F7"/>
    <w:rsid w:val="00C642B4"/>
    <w:rsid w:val="00C65B95"/>
    <w:rsid w:val="00C668C5"/>
    <w:rsid w:val="00C70042"/>
    <w:rsid w:val="00C70C99"/>
    <w:rsid w:val="00C718C8"/>
    <w:rsid w:val="00C71E72"/>
    <w:rsid w:val="00C72339"/>
    <w:rsid w:val="00C72F1F"/>
    <w:rsid w:val="00C7361D"/>
    <w:rsid w:val="00C74996"/>
    <w:rsid w:val="00C7616F"/>
    <w:rsid w:val="00C77C40"/>
    <w:rsid w:val="00C77DA8"/>
    <w:rsid w:val="00C810A2"/>
    <w:rsid w:val="00C8171E"/>
    <w:rsid w:val="00C83FA7"/>
    <w:rsid w:val="00C84279"/>
    <w:rsid w:val="00C859BD"/>
    <w:rsid w:val="00C8631B"/>
    <w:rsid w:val="00C869C5"/>
    <w:rsid w:val="00C926C7"/>
    <w:rsid w:val="00C926C9"/>
    <w:rsid w:val="00C927EF"/>
    <w:rsid w:val="00C96BD3"/>
    <w:rsid w:val="00CA216C"/>
    <w:rsid w:val="00CA2588"/>
    <w:rsid w:val="00CA43BE"/>
    <w:rsid w:val="00CA447F"/>
    <w:rsid w:val="00CA5972"/>
    <w:rsid w:val="00CA7D10"/>
    <w:rsid w:val="00CB06AF"/>
    <w:rsid w:val="00CB0E62"/>
    <w:rsid w:val="00CB421C"/>
    <w:rsid w:val="00CB42C2"/>
    <w:rsid w:val="00CB4820"/>
    <w:rsid w:val="00CB5297"/>
    <w:rsid w:val="00CB5FC3"/>
    <w:rsid w:val="00CB6B33"/>
    <w:rsid w:val="00CB6E1C"/>
    <w:rsid w:val="00CB7004"/>
    <w:rsid w:val="00CC15AD"/>
    <w:rsid w:val="00CC198A"/>
    <w:rsid w:val="00CC28EE"/>
    <w:rsid w:val="00CC40CD"/>
    <w:rsid w:val="00CC5588"/>
    <w:rsid w:val="00CC698B"/>
    <w:rsid w:val="00CC6FBD"/>
    <w:rsid w:val="00CD030E"/>
    <w:rsid w:val="00CD042F"/>
    <w:rsid w:val="00CD0ACE"/>
    <w:rsid w:val="00CD3335"/>
    <w:rsid w:val="00CD3FEA"/>
    <w:rsid w:val="00CD4852"/>
    <w:rsid w:val="00CE0D2E"/>
    <w:rsid w:val="00CE12C2"/>
    <w:rsid w:val="00CE3A8B"/>
    <w:rsid w:val="00CE41FA"/>
    <w:rsid w:val="00CE4525"/>
    <w:rsid w:val="00CE4607"/>
    <w:rsid w:val="00CE4F93"/>
    <w:rsid w:val="00CE5B8C"/>
    <w:rsid w:val="00CE6809"/>
    <w:rsid w:val="00CE71FD"/>
    <w:rsid w:val="00CF0410"/>
    <w:rsid w:val="00CF0A25"/>
    <w:rsid w:val="00CF2175"/>
    <w:rsid w:val="00CF2215"/>
    <w:rsid w:val="00CF3AD0"/>
    <w:rsid w:val="00CF3D52"/>
    <w:rsid w:val="00CF3E9F"/>
    <w:rsid w:val="00CF5994"/>
    <w:rsid w:val="00CF6C50"/>
    <w:rsid w:val="00CF6FFA"/>
    <w:rsid w:val="00D00D3F"/>
    <w:rsid w:val="00D0234C"/>
    <w:rsid w:val="00D026C0"/>
    <w:rsid w:val="00D03180"/>
    <w:rsid w:val="00D0492C"/>
    <w:rsid w:val="00D04CDD"/>
    <w:rsid w:val="00D06A21"/>
    <w:rsid w:val="00D14E66"/>
    <w:rsid w:val="00D16A5C"/>
    <w:rsid w:val="00D16C5A"/>
    <w:rsid w:val="00D17E2A"/>
    <w:rsid w:val="00D201DF"/>
    <w:rsid w:val="00D203AC"/>
    <w:rsid w:val="00D21047"/>
    <w:rsid w:val="00D22A55"/>
    <w:rsid w:val="00D230E3"/>
    <w:rsid w:val="00D24BE6"/>
    <w:rsid w:val="00D262E9"/>
    <w:rsid w:val="00D2649C"/>
    <w:rsid w:val="00D26EA8"/>
    <w:rsid w:val="00D271E4"/>
    <w:rsid w:val="00D30DED"/>
    <w:rsid w:val="00D3285E"/>
    <w:rsid w:val="00D33B51"/>
    <w:rsid w:val="00D362DA"/>
    <w:rsid w:val="00D3750D"/>
    <w:rsid w:val="00D44E83"/>
    <w:rsid w:val="00D44FC5"/>
    <w:rsid w:val="00D45BEB"/>
    <w:rsid w:val="00D46C2C"/>
    <w:rsid w:val="00D47924"/>
    <w:rsid w:val="00D47C77"/>
    <w:rsid w:val="00D53888"/>
    <w:rsid w:val="00D5482A"/>
    <w:rsid w:val="00D55572"/>
    <w:rsid w:val="00D57A66"/>
    <w:rsid w:val="00D6027B"/>
    <w:rsid w:val="00D609EA"/>
    <w:rsid w:val="00D61893"/>
    <w:rsid w:val="00D62530"/>
    <w:rsid w:val="00D6300A"/>
    <w:rsid w:val="00D67900"/>
    <w:rsid w:val="00D707C8"/>
    <w:rsid w:val="00D70D89"/>
    <w:rsid w:val="00D712A3"/>
    <w:rsid w:val="00D722F3"/>
    <w:rsid w:val="00D72470"/>
    <w:rsid w:val="00D80A02"/>
    <w:rsid w:val="00D84250"/>
    <w:rsid w:val="00D84DAC"/>
    <w:rsid w:val="00D858F5"/>
    <w:rsid w:val="00D9106E"/>
    <w:rsid w:val="00D9430F"/>
    <w:rsid w:val="00D94A6F"/>
    <w:rsid w:val="00D94C88"/>
    <w:rsid w:val="00D964E6"/>
    <w:rsid w:val="00D969F4"/>
    <w:rsid w:val="00D9718C"/>
    <w:rsid w:val="00D9730D"/>
    <w:rsid w:val="00DA133E"/>
    <w:rsid w:val="00DA1687"/>
    <w:rsid w:val="00DA28D7"/>
    <w:rsid w:val="00DA3E64"/>
    <w:rsid w:val="00DA57AA"/>
    <w:rsid w:val="00DB1598"/>
    <w:rsid w:val="00DB51A3"/>
    <w:rsid w:val="00DB5A04"/>
    <w:rsid w:val="00DB5EA2"/>
    <w:rsid w:val="00DB5F3F"/>
    <w:rsid w:val="00DB6120"/>
    <w:rsid w:val="00DB65B1"/>
    <w:rsid w:val="00DC1A6D"/>
    <w:rsid w:val="00DC200E"/>
    <w:rsid w:val="00DC34CA"/>
    <w:rsid w:val="00DC421A"/>
    <w:rsid w:val="00DC43E0"/>
    <w:rsid w:val="00DC510B"/>
    <w:rsid w:val="00DC558E"/>
    <w:rsid w:val="00DC5983"/>
    <w:rsid w:val="00DC5D17"/>
    <w:rsid w:val="00DC5EA8"/>
    <w:rsid w:val="00DC603F"/>
    <w:rsid w:val="00DC639F"/>
    <w:rsid w:val="00DC66F2"/>
    <w:rsid w:val="00DD0AFA"/>
    <w:rsid w:val="00DD406D"/>
    <w:rsid w:val="00DD4D7C"/>
    <w:rsid w:val="00DD5BE1"/>
    <w:rsid w:val="00DD7FE6"/>
    <w:rsid w:val="00DE11EF"/>
    <w:rsid w:val="00DE193F"/>
    <w:rsid w:val="00DE3C65"/>
    <w:rsid w:val="00DE4150"/>
    <w:rsid w:val="00DE434B"/>
    <w:rsid w:val="00DE561A"/>
    <w:rsid w:val="00DE5971"/>
    <w:rsid w:val="00DE7A79"/>
    <w:rsid w:val="00DF0D7D"/>
    <w:rsid w:val="00DF11E0"/>
    <w:rsid w:val="00DF1A6A"/>
    <w:rsid w:val="00DF1E09"/>
    <w:rsid w:val="00DF2C03"/>
    <w:rsid w:val="00DF37EA"/>
    <w:rsid w:val="00DF4DA2"/>
    <w:rsid w:val="00DF502A"/>
    <w:rsid w:val="00DF53A5"/>
    <w:rsid w:val="00DF5B2B"/>
    <w:rsid w:val="00DF71FC"/>
    <w:rsid w:val="00E02CF9"/>
    <w:rsid w:val="00E03530"/>
    <w:rsid w:val="00E03B11"/>
    <w:rsid w:val="00E07284"/>
    <w:rsid w:val="00E07913"/>
    <w:rsid w:val="00E07CFC"/>
    <w:rsid w:val="00E11305"/>
    <w:rsid w:val="00E1212A"/>
    <w:rsid w:val="00E12388"/>
    <w:rsid w:val="00E13D21"/>
    <w:rsid w:val="00E1668C"/>
    <w:rsid w:val="00E1709E"/>
    <w:rsid w:val="00E1751F"/>
    <w:rsid w:val="00E217FA"/>
    <w:rsid w:val="00E2313C"/>
    <w:rsid w:val="00E23558"/>
    <w:rsid w:val="00E26AAE"/>
    <w:rsid w:val="00E300B7"/>
    <w:rsid w:val="00E31698"/>
    <w:rsid w:val="00E31F76"/>
    <w:rsid w:val="00E32DBD"/>
    <w:rsid w:val="00E334A8"/>
    <w:rsid w:val="00E3352F"/>
    <w:rsid w:val="00E3482A"/>
    <w:rsid w:val="00E3485F"/>
    <w:rsid w:val="00E36EFB"/>
    <w:rsid w:val="00E37556"/>
    <w:rsid w:val="00E40054"/>
    <w:rsid w:val="00E40332"/>
    <w:rsid w:val="00E42617"/>
    <w:rsid w:val="00E426D4"/>
    <w:rsid w:val="00E45110"/>
    <w:rsid w:val="00E46011"/>
    <w:rsid w:val="00E47293"/>
    <w:rsid w:val="00E5031A"/>
    <w:rsid w:val="00E50D33"/>
    <w:rsid w:val="00E52161"/>
    <w:rsid w:val="00E53CBA"/>
    <w:rsid w:val="00E54792"/>
    <w:rsid w:val="00E611C6"/>
    <w:rsid w:val="00E62545"/>
    <w:rsid w:val="00E63746"/>
    <w:rsid w:val="00E663C2"/>
    <w:rsid w:val="00E669B6"/>
    <w:rsid w:val="00E71124"/>
    <w:rsid w:val="00E712FC"/>
    <w:rsid w:val="00E71862"/>
    <w:rsid w:val="00E7207B"/>
    <w:rsid w:val="00E732EA"/>
    <w:rsid w:val="00E75D2D"/>
    <w:rsid w:val="00E76755"/>
    <w:rsid w:val="00E778F2"/>
    <w:rsid w:val="00E80A14"/>
    <w:rsid w:val="00E81213"/>
    <w:rsid w:val="00E8389D"/>
    <w:rsid w:val="00E852B3"/>
    <w:rsid w:val="00E87DC9"/>
    <w:rsid w:val="00E95276"/>
    <w:rsid w:val="00E96927"/>
    <w:rsid w:val="00EA1E7C"/>
    <w:rsid w:val="00EA2E97"/>
    <w:rsid w:val="00EA349C"/>
    <w:rsid w:val="00EA39CD"/>
    <w:rsid w:val="00EA3B33"/>
    <w:rsid w:val="00EA4AB5"/>
    <w:rsid w:val="00EA63F0"/>
    <w:rsid w:val="00EA7E76"/>
    <w:rsid w:val="00EB2A00"/>
    <w:rsid w:val="00EB31C5"/>
    <w:rsid w:val="00EB3EBB"/>
    <w:rsid w:val="00EB48F3"/>
    <w:rsid w:val="00EB4A94"/>
    <w:rsid w:val="00EB4E81"/>
    <w:rsid w:val="00EB5B53"/>
    <w:rsid w:val="00EB5BF7"/>
    <w:rsid w:val="00EC2608"/>
    <w:rsid w:val="00EC56B8"/>
    <w:rsid w:val="00EC71FA"/>
    <w:rsid w:val="00EC7217"/>
    <w:rsid w:val="00ED5B8D"/>
    <w:rsid w:val="00ED6094"/>
    <w:rsid w:val="00ED638F"/>
    <w:rsid w:val="00ED7DE4"/>
    <w:rsid w:val="00ED7F72"/>
    <w:rsid w:val="00EE1732"/>
    <w:rsid w:val="00EE1C17"/>
    <w:rsid w:val="00EE1ED6"/>
    <w:rsid w:val="00EE2090"/>
    <w:rsid w:val="00EE2E87"/>
    <w:rsid w:val="00EE2ECB"/>
    <w:rsid w:val="00EE4FED"/>
    <w:rsid w:val="00EE57E1"/>
    <w:rsid w:val="00EE6817"/>
    <w:rsid w:val="00EE776C"/>
    <w:rsid w:val="00EF08DE"/>
    <w:rsid w:val="00EF08EB"/>
    <w:rsid w:val="00EF25F3"/>
    <w:rsid w:val="00EF265C"/>
    <w:rsid w:val="00EF535B"/>
    <w:rsid w:val="00EF5506"/>
    <w:rsid w:val="00EF7897"/>
    <w:rsid w:val="00F009CE"/>
    <w:rsid w:val="00F05358"/>
    <w:rsid w:val="00F106F5"/>
    <w:rsid w:val="00F110C6"/>
    <w:rsid w:val="00F125B6"/>
    <w:rsid w:val="00F12DFD"/>
    <w:rsid w:val="00F15878"/>
    <w:rsid w:val="00F16B57"/>
    <w:rsid w:val="00F17C15"/>
    <w:rsid w:val="00F21010"/>
    <w:rsid w:val="00F220FA"/>
    <w:rsid w:val="00F22295"/>
    <w:rsid w:val="00F23009"/>
    <w:rsid w:val="00F23AEE"/>
    <w:rsid w:val="00F24025"/>
    <w:rsid w:val="00F2478D"/>
    <w:rsid w:val="00F253EB"/>
    <w:rsid w:val="00F25E51"/>
    <w:rsid w:val="00F26546"/>
    <w:rsid w:val="00F30611"/>
    <w:rsid w:val="00F30B01"/>
    <w:rsid w:val="00F3209D"/>
    <w:rsid w:val="00F3254D"/>
    <w:rsid w:val="00F34EF5"/>
    <w:rsid w:val="00F35A63"/>
    <w:rsid w:val="00F37EBD"/>
    <w:rsid w:val="00F407D7"/>
    <w:rsid w:val="00F40ADE"/>
    <w:rsid w:val="00F413A4"/>
    <w:rsid w:val="00F41E04"/>
    <w:rsid w:val="00F42896"/>
    <w:rsid w:val="00F431DB"/>
    <w:rsid w:val="00F4404C"/>
    <w:rsid w:val="00F521CB"/>
    <w:rsid w:val="00F5464A"/>
    <w:rsid w:val="00F6135D"/>
    <w:rsid w:val="00F62C33"/>
    <w:rsid w:val="00F62D63"/>
    <w:rsid w:val="00F636B7"/>
    <w:rsid w:val="00F665F1"/>
    <w:rsid w:val="00F7412E"/>
    <w:rsid w:val="00F75198"/>
    <w:rsid w:val="00F75CF4"/>
    <w:rsid w:val="00F81126"/>
    <w:rsid w:val="00F8457A"/>
    <w:rsid w:val="00F85274"/>
    <w:rsid w:val="00F8661A"/>
    <w:rsid w:val="00F931AD"/>
    <w:rsid w:val="00F97C63"/>
    <w:rsid w:val="00FA0FFD"/>
    <w:rsid w:val="00FA15FE"/>
    <w:rsid w:val="00FA2659"/>
    <w:rsid w:val="00FA3BC6"/>
    <w:rsid w:val="00FA460C"/>
    <w:rsid w:val="00FA4D16"/>
    <w:rsid w:val="00FA5211"/>
    <w:rsid w:val="00FA65D5"/>
    <w:rsid w:val="00FA78FA"/>
    <w:rsid w:val="00FB0D07"/>
    <w:rsid w:val="00FB3B88"/>
    <w:rsid w:val="00FB4228"/>
    <w:rsid w:val="00FB646F"/>
    <w:rsid w:val="00FC0DE4"/>
    <w:rsid w:val="00FC1383"/>
    <w:rsid w:val="00FC21C3"/>
    <w:rsid w:val="00FC27F5"/>
    <w:rsid w:val="00FC2CDE"/>
    <w:rsid w:val="00FC3B5D"/>
    <w:rsid w:val="00FD31CE"/>
    <w:rsid w:val="00FD53D1"/>
    <w:rsid w:val="00FD6D75"/>
    <w:rsid w:val="00FE1B09"/>
    <w:rsid w:val="00FE26FD"/>
    <w:rsid w:val="00FE58B6"/>
    <w:rsid w:val="00FE671A"/>
    <w:rsid w:val="00FF0070"/>
    <w:rsid w:val="00FF2B03"/>
    <w:rsid w:val="00FF6254"/>
    <w:rsid w:val="00FF6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C38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50D"/>
    <w:pPr>
      <w:spacing w:after="240" w:line="280" w:lineRule="exact"/>
      <w:jc w:val="both"/>
    </w:pPr>
    <w:rPr>
      <w:rFonts w:ascii="Calibri" w:hAnsi="Calibri"/>
      <w:color w:val="000000"/>
      <w:sz w:val="22"/>
    </w:rPr>
  </w:style>
  <w:style w:type="paragraph" w:styleId="Heading1">
    <w:name w:val="heading 1"/>
    <w:basedOn w:val="HeadingBase"/>
    <w:next w:val="Normal"/>
    <w:link w:val="Heading1Char"/>
    <w:uiPriority w:val="99"/>
    <w:qFormat/>
    <w:rsid w:val="00D3750D"/>
    <w:pPr>
      <w:numPr>
        <w:numId w:val="28"/>
      </w:numPr>
      <w:tabs>
        <w:tab w:val="clear" w:pos="709"/>
        <w:tab w:val="num" w:pos="567"/>
      </w:tabs>
      <w:spacing w:before="720" w:after="360"/>
      <w:ind w:left="567"/>
      <w:outlineLvl w:val="0"/>
    </w:pPr>
    <w:rPr>
      <w:rFonts w:cs="Arial"/>
      <w:bCs/>
      <w:smallCaps/>
      <w:kern w:val="32"/>
      <w:sz w:val="36"/>
      <w:szCs w:val="36"/>
    </w:rPr>
  </w:style>
  <w:style w:type="paragraph" w:styleId="Heading2">
    <w:name w:val="heading 2"/>
    <w:basedOn w:val="HeadingBase"/>
    <w:next w:val="Normal"/>
    <w:link w:val="Heading2Char"/>
    <w:uiPriority w:val="99"/>
    <w:qFormat/>
    <w:rsid w:val="00D3750D"/>
    <w:pPr>
      <w:numPr>
        <w:ilvl w:val="1"/>
        <w:numId w:val="28"/>
      </w:numPr>
      <w:spacing w:before="360" w:after="180"/>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tabs>
        <w:tab w:val="clear" w:pos="709"/>
        <w:tab w:val="num" w:pos="567"/>
      </w:tabs>
      <w:spacing w:before="240" w:after="120"/>
      <w:ind w:left="567"/>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rPr>
  </w:style>
  <w:style w:type="character" w:customStyle="1" w:styleId="Heading2Char">
    <w:name w:val="Heading 2 Char"/>
    <w:link w:val="Heading2"/>
    <w:uiPriority w:val="99"/>
    <w:locked/>
    <w:rPr>
      <w:rFonts w:ascii="Calibri" w:hAnsi="Calibri" w:cs="Arial"/>
      <w:bCs/>
      <w:iCs/>
      <w:smallCaps/>
      <w:color w:val="342E82"/>
      <w:sz w:val="28"/>
      <w:szCs w:val="28"/>
    </w:rPr>
  </w:style>
  <w:style w:type="character" w:customStyle="1" w:styleId="Heading3Char">
    <w:name w:val="Heading 3 Char"/>
    <w:link w:val="Heading3"/>
    <w:uiPriority w:val="99"/>
    <w:semiHidden/>
    <w:locked/>
    <w:rPr>
      <w:rFonts w:ascii="Cambria" w:hAnsi="Cambria" w:cs="Times New Roman"/>
      <w:b/>
      <w:bCs/>
      <w:color w:val="000000"/>
      <w:sz w:val="26"/>
      <w:szCs w:val="26"/>
    </w:rPr>
  </w:style>
  <w:style w:type="character" w:customStyle="1" w:styleId="Heading4Char">
    <w:name w:val="Heading 4 Char"/>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link w:val="Heading6"/>
    <w:uiPriority w:val="99"/>
    <w:semiHidden/>
    <w:locked/>
    <w:rPr>
      <w:rFonts w:ascii="Calibri" w:hAnsi="Calibri" w:cs="Times New Roman"/>
      <w:b/>
      <w:bCs/>
      <w:color w:val="000000"/>
    </w:rPr>
  </w:style>
  <w:style w:type="character" w:customStyle="1" w:styleId="Heading7Char">
    <w:name w:val="Heading 7 Char"/>
    <w:link w:val="Heading7"/>
    <w:uiPriority w:val="99"/>
    <w:semiHidden/>
    <w:locked/>
    <w:rPr>
      <w:rFonts w:ascii="Calibri" w:hAnsi="Calibri" w:cs="Times New Roman"/>
      <w:color w:val="000000"/>
      <w:sz w:val="24"/>
      <w:szCs w:val="24"/>
    </w:rPr>
  </w:style>
  <w:style w:type="character" w:customStyle="1" w:styleId="Heading8Char">
    <w:name w:val="Heading 8 Char"/>
    <w:link w:val="Heading8"/>
    <w:uiPriority w:val="99"/>
    <w:semiHidden/>
    <w:locked/>
    <w:rPr>
      <w:rFonts w:ascii="Calibri" w:hAnsi="Calibri" w:cs="Times New Roman"/>
      <w:i/>
      <w:iCs/>
      <w:color w:val="000000"/>
      <w:sz w:val="24"/>
      <w:szCs w:val="24"/>
    </w:rPr>
  </w:style>
  <w:style w:type="character" w:customStyle="1" w:styleId="Heading9Char">
    <w:name w:val="Heading 9 Char"/>
    <w:link w:val="Heading9"/>
    <w:uiPriority w:val="99"/>
    <w:semiHidden/>
    <w:locked/>
    <w:rPr>
      <w:rFonts w:ascii="Cambria" w:hAnsi="Cambria" w:cs="Times New Roman"/>
      <w:color w:val="000000"/>
    </w:rPr>
  </w:style>
  <w:style w:type="paragraph" w:customStyle="1" w:styleId="SingleParagraph">
    <w:name w:val="Single Paragraph"/>
    <w:basedOn w:val="Normal"/>
    <w:link w:val="SingleParagraphChar"/>
    <w:uiPriority w:val="99"/>
    <w:rsid w:val="00A16C23"/>
    <w:pPr>
      <w:spacing w:after="0"/>
    </w:pPr>
  </w:style>
  <w:style w:type="character" w:styleId="Hyperlink">
    <w:name w:val="Hyperlink"/>
    <w:uiPriority w:val="99"/>
    <w:rsid w:val="00A16C23"/>
    <w:rPr>
      <w:rFonts w:cs="Times New Roman"/>
      <w:color w:val="auto"/>
      <w:u w:val="none"/>
    </w:rPr>
  </w:style>
  <w:style w:type="character" w:customStyle="1" w:styleId="BoldandItalic">
    <w:name w:val="Bold and Italic"/>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link w:val="FootnoteText"/>
    <w:uiPriority w:val="99"/>
    <w:semiHidden/>
    <w:locked/>
    <w:rPr>
      <w:rFonts w:ascii="Calibri" w:hAnsi="Calibri" w:cs="Times New Roman"/>
      <w:color w:val="000000"/>
      <w:sz w:val="20"/>
      <w:szCs w:val="20"/>
    </w:rPr>
  </w:style>
  <w:style w:type="paragraph" w:customStyle="1" w:styleId="Bullet">
    <w:name w:val="Bullet"/>
    <w:basedOn w:val="Normal"/>
    <w:uiPriority w:val="99"/>
    <w:rsid w:val="00CC40CD"/>
    <w:pPr>
      <w:numPr>
        <w:numId w:val="1"/>
      </w:numPr>
    </w:pPr>
  </w:style>
  <w:style w:type="paragraph" w:customStyle="1" w:styleId="Dash">
    <w:name w:val="Dash"/>
    <w:basedOn w:val="Normal"/>
    <w:uiPriority w:val="99"/>
    <w:rsid w:val="00CC40CD"/>
    <w:pPr>
      <w:numPr>
        <w:ilvl w:val="1"/>
        <w:numId w:val="1"/>
      </w:numPr>
      <w:tabs>
        <w:tab w:val="clear" w:pos="1134"/>
        <w:tab w:val="num" w:pos="360"/>
      </w:tabs>
      <w:ind w:left="1361" w:hanging="397"/>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uiPriority w:val="99"/>
    <w:rsid w:val="00E07913"/>
    <w:pPr>
      <w:numPr>
        <w:numId w:val="2"/>
      </w:numPr>
    </w:pPr>
  </w:style>
  <w:style w:type="paragraph" w:customStyle="1" w:styleId="OutlineNumbered2">
    <w:name w:val="Outline Numbered 2"/>
    <w:basedOn w:val="Normal"/>
    <w:uiPriority w:val="99"/>
    <w:rsid w:val="00E07913"/>
    <w:pPr>
      <w:numPr>
        <w:ilvl w:val="1"/>
        <w:numId w:val="2"/>
      </w:numPr>
    </w:pPr>
  </w:style>
  <w:style w:type="paragraph" w:customStyle="1" w:styleId="OutlineNumbered3">
    <w:name w:val="Outline Numbered 3"/>
    <w:basedOn w:val="Normal"/>
    <w:uiPriority w:val="99"/>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uiPriority w:val="99"/>
    <w:rsid w:val="00A16C23"/>
    <w:rPr>
      <w:rFonts w:cs="Times New Roman"/>
      <w:b/>
    </w:rPr>
  </w:style>
  <w:style w:type="paragraph" w:customStyle="1" w:styleId="BoxHeading">
    <w:name w:val="Box Heading"/>
    <w:basedOn w:val="HeadingBase"/>
    <w:next w:val="BoxText"/>
    <w:uiPriority w:val="99"/>
    <w:rsid w:val="00A16C23"/>
    <w:pPr>
      <w:spacing w:before="240" w:after="120"/>
    </w:pPr>
    <w:rPr>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link w:val="Footer"/>
    <w:uiPriority w:val="99"/>
    <w:locked/>
    <w:rsid w:val="00CE0D2E"/>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link w:val="Header"/>
    <w:uiPriority w:val="99"/>
    <w:semiHidden/>
    <w:locked/>
    <w:rPr>
      <w:rFonts w:ascii="Calibri" w:hAnsi="Calibri"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uiPriority w:val="99"/>
    <w:rsid w:val="00A16C23"/>
    <w:rPr>
      <w:rFonts w:cs="Times New Roman"/>
      <w:i/>
    </w:rPr>
  </w:style>
  <w:style w:type="paragraph" w:customStyle="1" w:styleId="OneLevelNumberedParagraph">
    <w:name w:val="One Level Numbered Paragraph"/>
    <w:basedOn w:val="Normal"/>
    <w:uiPriority w:val="99"/>
    <w:rsid w:val="00A16C23"/>
    <w:pPr>
      <w:numPr>
        <w:numId w:val="10"/>
      </w:numPr>
    </w:pPr>
  </w:style>
  <w:style w:type="paragraph" w:customStyle="1" w:styleId="BoxText">
    <w:name w:val="Box Text"/>
    <w:basedOn w:val="BoxTextBase"/>
    <w:uiPriority w:val="99"/>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link w:val="BalloonText"/>
    <w:uiPriority w:val="99"/>
    <w:semiHidden/>
    <w:locked/>
    <w:rPr>
      <w:rFonts w:cs="Times New Roman"/>
      <w:color w:val="000000"/>
      <w:sz w:val="2"/>
    </w:rPr>
  </w:style>
  <w:style w:type="paragraph" w:styleId="Caption">
    <w:name w:val="caption"/>
    <w:basedOn w:val="Normal"/>
    <w:next w:val="Normal"/>
    <w:uiPriority w:val="99"/>
    <w:qFormat/>
    <w:rsid w:val="005E76C1"/>
    <w:rPr>
      <w:b/>
      <w:bCs/>
    </w:rPr>
  </w:style>
  <w:style w:type="character" w:styleId="CommentReference">
    <w:name w:val="annotation reference"/>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link w:val="CommentText"/>
    <w:uiPriority w:val="99"/>
    <w:semiHidden/>
    <w:locked/>
    <w:rPr>
      <w:rFonts w:ascii="Calibri" w:hAnsi="Calibri" w:cs="Times New Roman"/>
      <w:color w:val="000000"/>
      <w:sz w:val="20"/>
      <w:szCs w:val="20"/>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link w:val="CommentSubject"/>
    <w:uiPriority w:val="99"/>
    <w:semiHidden/>
    <w:locked/>
    <w:rPr>
      <w:rFonts w:ascii="Calibri" w:hAnsi="Calibri"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color w:val="000000"/>
      <w:sz w:val="2"/>
    </w:rPr>
  </w:style>
  <w:style w:type="character" w:styleId="EndnoteReference">
    <w:name w:val="endnote reference"/>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link w:val="EndnoteText"/>
    <w:uiPriority w:val="99"/>
    <w:semiHidden/>
    <w:locked/>
    <w:rPr>
      <w:rFonts w:ascii="Calibri" w:hAnsi="Calibri" w:cs="Times New Roman"/>
      <w:color w:val="000000"/>
      <w:sz w:val="20"/>
      <w:szCs w:val="20"/>
    </w:rPr>
  </w:style>
  <w:style w:type="character" w:styleId="FootnoteReference">
    <w:name w:val="footnote reference"/>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style>
  <w:style w:type="paragraph" w:customStyle="1" w:styleId="Crest">
    <w:name w:val="Crest"/>
    <w:basedOn w:val="Header"/>
    <w:uiPriority w:val="99"/>
    <w:rsid w:val="00F23AEE"/>
    <w:pPr>
      <w:spacing w:after="480"/>
      <w:jc w:val="right"/>
    </w:pPr>
  </w:style>
  <w:style w:type="character" w:customStyle="1" w:styleId="SingleParagraphChar">
    <w:name w:val="Single Paragraph Char"/>
    <w:link w:val="SingleParagraph"/>
    <w:uiPriority w:val="99"/>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link w:val="OutlineNumbered1"/>
    <w:uiPriority w:val="99"/>
    <w:locked/>
    <w:rsid w:val="00C41D61"/>
    <w:rPr>
      <w:rFonts w:ascii="Calibri" w:hAnsi="Calibri"/>
      <w:color w:val="000000"/>
      <w:sz w:val="22"/>
    </w:rPr>
  </w:style>
  <w:style w:type="table" w:customStyle="1" w:styleId="TableGrid1">
    <w:name w:val="Table Grid1"/>
    <w:uiPriority w:val="99"/>
    <w:rsid w:val="00C96B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BB4"/>
    <w:rPr>
      <w:rFonts w:ascii="Calibri" w:hAnsi="Calibri"/>
      <w:color w:val="000000"/>
      <w:sz w:val="22"/>
    </w:rPr>
  </w:style>
  <w:style w:type="numbering" w:customStyle="1" w:styleId="Outlinenumbering">
    <w:name w:val="Outline numbering"/>
    <w:rsid w:val="0040614F"/>
    <w:pPr>
      <w:numPr>
        <w:numId w:val="31"/>
      </w:numPr>
    </w:pPr>
  </w:style>
  <w:style w:type="paragraph" w:styleId="ListParagraph">
    <w:name w:val="List Paragraph"/>
    <w:basedOn w:val="Normal"/>
    <w:uiPriority w:val="34"/>
    <w:qFormat/>
    <w:rsid w:val="00E426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50D"/>
    <w:pPr>
      <w:spacing w:after="240" w:line="280" w:lineRule="exact"/>
      <w:jc w:val="both"/>
    </w:pPr>
    <w:rPr>
      <w:rFonts w:ascii="Calibri" w:hAnsi="Calibri"/>
      <w:color w:val="000000"/>
      <w:sz w:val="22"/>
    </w:rPr>
  </w:style>
  <w:style w:type="paragraph" w:styleId="Heading1">
    <w:name w:val="heading 1"/>
    <w:basedOn w:val="HeadingBase"/>
    <w:next w:val="Normal"/>
    <w:link w:val="Heading1Char"/>
    <w:uiPriority w:val="99"/>
    <w:qFormat/>
    <w:rsid w:val="00D3750D"/>
    <w:pPr>
      <w:numPr>
        <w:numId w:val="28"/>
      </w:numPr>
      <w:tabs>
        <w:tab w:val="clear" w:pos="709"/>
        <w:tab w:val="num" w:pos="567"/>
      </w:tabs>
      <w:spacing w:before="720" w:after="360"/>
      <w:ind w:left="567"/>
      <w:outlineLvl w:val="0"/>
    </w:pPr>
    <w:rPr>
      <w:rFonts w:cs="Arial"/>
      <w:bCs/>
      <w:smallCaps/>
      <w:kern w:val="32"/>
      <w:sz w:val="36"/>
      <w:szCs w:val="36"/>
    </w:rPr>
  </w:style>
  <w:style w:type="paragraph" w:styleId="Heading2">
    <w:name w:val="heading 2"/>
    <w:basedOn w:val="HeadingBase"/>
    <w:next w:val="Normal"/>
    <w:link w:val="Heading2Char"/>
    <w:uiPriority w:val="99"/>
    <w:qFormat/>
    <w:rsid w:val="00D3750D"/>
    <w:pPr>
      <w:numPr>
        <w:ilvl w:val="1"/>
        <w:numId w:val="28"/>
      </w:numPr>
      <w:spacing w:before="360" w:after="180"/>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tabs>
        <w:tab w:val="clear" w:pos="709"/>
        <w:tab w:val="num" w:pos="567"/>
      </w:tabs>
      <w:spacing w:before="240" w:after="120"/>
      <w:ind w:left="567"/>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rPr>
  </w:style>
  <w:style w:type="character" w:customStyle="1" w:styleId="Heading2Char">
    <w:name w:val="Heading 2 Char"/>
    <w:link w:val="Heading2"/>
    <w:uiPriority w:val="99"/>
    <w:locked/>
    <w:rPr>
      <w:rFonts w:ascii="Calibri" w:hAnsi="Calibri" w:cs="Arial"/>
      <w:bCs/>
      <w:iCs/>
      <w:smallCaps/>
      <w:color w:val="342E82"/>
      <w:sz w:val="28"/>
      <w:szCs w:val="28"/>
    </w:rPr>
  </w:style>
  <w:style w:type="character" w:customStyle="1" w:styleId="Heading3Char">
    <w:name w:val="Heading 3 Char"/>
    <w:link w:val="Heading3"/>
    <w:uiPriority w:val="99"/>
    <w:semiHidden/>
    <w:locked/>
    <w:rPr>
      <w:rFonts w:ascii="Cambria" w:hAnsi="Cambria" w:cs="Times New Roman"/>
      <w:b/>
      <w:bCs/>
      <w:color w:val="000000"/>
      <w:sz w:val="26"/>
      <w:szCs w:val="26"/>
    </w:rPr>
  </w:style>
  <w:style w:type="character" w:customStyle="1" w:styleId="Heading4Char">
    <w:name w:val="Heading 4 Char"/>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link w:val="Heading6"/>
    <w:uiPriority w:val="99"/>
    <w:semiHidden/>
    <w:locked/>
    <w:rPr>
      <w:rFonts w:ascii="Calibri" w:hAnsi="Calibri" w:cs="Times New Roman"/>
      <w:b/>
      <w:bCs/>
      <w:color w:val="000000"/>
    </w:rPr>
  </w:style>
  <w:style w:type="character" w:customStyle="1" w:styleId="Heading7Char">
    <w:name w:val="Heading 7 Char"/>
    <w:link w:val="Heading7"/>
    <w:uiPriority w:val="99"/>
    <w:semiHidden/>
    <w:locked/>
    <w:rPr>
      <w:rFonts w:ascii="Calibri" w:hAnsi="Calibri" w:cs="Times New Roman"/>
      <w:color w:val="000000"/>
      <w:sz w:val="24"/>
      <w:szCs w:val="24"/>
    </w:rPr>
  </w:style>
  <w:style w:type="character" w:customStyle="1" w:styleId="Heading8Char">
    <w:name w:val="Heading 8 Char"/>
    <w:link w:val="Heading8"/>
    <w:uiPriority w:val="99"/>
    <w:semiHidden/>
    <w:locked/>
    <w:rPr>
      <w:rFonts w:ascii="Calibri" w:hAnsi="Calibri" w:cs="Times New Roman"/>
      <w:i/>
      <w:iCs/>
      <w:color w:val="000000"/>
      <w:sz w:val="24"/>
      <w:szCs w:val="24"/>
    </w:rPr>
  </w:style>
  <w:style w:type="character" w:customStyle="1" w:styleId="Heading9Char">
    <w:name w:val="Heading 9 Char"/>
    <w:link w:val="Heading9"/>
    <w:uiPriority w:val="99"/>
    <w:semiHidden/>
    <w:locked/>
    <w:rPr>
      <w:rFonts w:ascii="Cambria" w:hAnsi="Cambria" w:cs="Times New Roman"/>
      <w:color w:val="000000"/>
    </w:rPr>
  </w:style>
  <w:style w:type="paragraph" w:customStyle="1" w:styleId="SingleParagraph">
    <w:name w:val="Single Paragraph"/>
    <w:basedOn w:val="Normal"/>
    <w:link w:val="SingleParagraphChar"/>
    <w:uiPriority w:val="99"/>
    <w:rsid w:val="00A16C23"/>
    <w:pPr>
      <w:spacing w:after="0"/>
    </w:pPr>
  </w:style>
  <w:style w:type="character" w:styleId="Hyperlink">
    <w:name w:val="Hyperlink"/>
    <w:uiPriority w:val="99"/>
    <w:rsid w:val="00A16C23"/>
    <w:rPr>
      <w:rFonts w:cs="Times New Roman"/>
      <w:color w:val="auto"/>
      <w:u w:val="none"/>
    </w:rPr>
  </w:style>
  <w:style w:type="character" w:customStyle="1" w:styleId="BoldandItalic">
    <w:name w:val="Bold and Italic"/>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link w:val="FootnoteText"/>
    <w:uiPriority w:val="99"/>
    <w:semiHidden/>
    <w:locked/>
    <w:rPr>
      <w:rFonts w:ascii="Calibri" w:hAnsi="Calibri" w:cs="Times New Roman"/>
      <w:color w:val="000000"/>
      <w:sz w:val="20"/>
      <w:szCs w:val="20"/>
    </w:rPr>
  </w:style>
  <w:style w:type="paragraph" w:customStyle="1" w:styleId="Bullet">
    <w:name w:val="Bullet"/>
    <w:basedOn w:val="Normal"/>
    <w:uiPriority w:val="99"/>
    <w:rsid w:val="00CC40CD"/>
    <w:pPr>
      <w:numPr>
        <w:numId w:val="1"/>
      </w:numPr>
    </w:pPr>
  </w:style>
  <w:style w:type="paragraph" w:customStyle="1" w:styleId="Dash">
    <w:name w:val="Dash"/>
    <w:basedOn w:val="Normal"/>
    <w:uiPriority w:val="99"/>
    <w:rsid w:val="00CC40CD"/>
    <w:pPr>
      <w:numPr>
        <w:ilvl w:val="1"/>
        <w:numId w:val="1"/>
      </w:numPr>
      <w:tabs>
        <w:tab w:val="clear" w:pos="1134"/>
        <w:tab w:val="num" w:pos="360"/>
      </w:tabs>
      <w:ind w:left="1361" w:hanging="397"/>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uiPriority w:val="99"/>
    <w:rsid w:val="00E07913"/>
    <w:pPr>
      <w:numPr>
        <w:numId w:val="2"/>
      </w:numPr>
    </w:pPr>
  </w:style>
  <w:style w:type="paragraph" w:customStyle="1" w:styleId="OutlineNumbered2">
    <w:name w:val="Outline Numbered 2"/>
    <w:basedOn w:val="Normal"/>
    <w:uiPriority w:val="99"/>
    <w:rsid w:val="00E07913"/>
    <w:pPr>
      <w:numPr>
        <w:ilvl w:val="1"/>
        <w:numId w:val="2"/>
      </w:numPr>
    </w:pPr>
  </w:style>
  <w:style w:type="paragraph" w:customStyle="1" w:styleId="OutlineNumbered3">
    <w:name w:val="Outline Numbered 3"/>
    <w:basedOn w:val="Normal"/>
    <w:uiPriority w:val="99"/>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uiPriority w:val="99"/>
    <w:rsid w:val="00A16C23"/>
    <w:rPr>
      <w:rFonts w:cs="Times New Roman"/>
      <w:b/>
    </w:rPr>
  </w:style>
  <w:style w:type="paragraph" w:customStyle="1" w:styleId="BoxHeading">
    <w:name w:val="Box Heading"/>
    <w:basedOn w:val="HeadingBase"/>
    <w:next w:val="BoxText"/>
    <w:uiPriority w:val="99"/>
    <w:rsid w:val="00A16C23"/>
    <w:pPr>
      <w:spacing w:before="240" w:after="120"/>
    </w:pPr>
    <w:rPr>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link w:val="Footer"/>
    <w:uiPriority w:val="99"/>
    <w:locked/>
    <w:rsid w:val="00CE0D2E"/>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link w:val="Header"/>
    <w:uiPriority w:val="99"/>
    <w:semiHidden/>
    <w:locked/>
    <w:rPr>
      <w:rFonts w:ascii="Calibri" w:hAnsi="Calibri"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uiPriority w:val="99"/>
    <w:rsid w:val="00A16C23"/>
    <w:rPr>
      <w:rFonts w:cs="Times New Roman"/>
      <w:i/>
    </w:rPr>
  </w:style>
  <w:style w:type="paragraph" w:customStyle="1" w:styleId="OneLevelNumberedParagraph">
    <w:name w:val="One Level Numbered Paragraph"/>
    <w:basedOn w:val="Normal"/>
    <w:uiPriority w:val="99"/>
    <w:rsid w:val="00A16C23"/>
    <w:pPr>
      <w:numPr>
        <w:numId w:val="10"/>
      </w:numPr>
    </w:pPr>
  </w:style>
  <w:style w:type="paragraph" w:customStyle="1" w:styleId="BoxText">
    <w:name w:val="Box Text"/>
    <w:basedOn w:val="BoxTextBase"/>
    <w:uiPriority w:val="99"/>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link w:val="BalloonText"/>
    <w:uiPriority w:val="99"/>
    <w:semiHidden/>
    <w:locked/>
    <w:rPr>
      <w:rFonts w:cs="Times New Roman"/>
      <w:color w:val="000000"/>
      <w:sz w:val="2"/>
    </w:rPr>
  </w:style>
  <w:style w:type="paragraph" w:styleId="Caption">
    <w:name w:val="caption"/>
    <w:basedOn w:val="Normal"/>
    <w:next w:val="Normal"/>
    <w:uiPriority w:val="99"/>
    <w:qFormat/>
    <w:rsid w:val="005E76C1"/>
    <w:rPr>
      <w:b/>
      <w:bCs/>
    </w:rPr>
  </w:style>
  <w:style w:type="character" w:styleId="CommentReference">
    <w:name w:val="annotation reference"/>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link w:val="CommentText"/>
    <w:uiPriority w:val="99"/>
    <w:semiHidden/>
    <w:locked/>
    <w:rPr>
      <w:rFonts w:ascii="Calibri" w:hAnsi="Calibri" w:cs="Times New Roman"/>
      <w:color w:val="000000"/>
      <w:sz w:val="20"/>
      <w:szCs w:val="20"/>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link w:val="CommentSubject"/>
    <w:uiPriority w:val="99"/>
    <w:semiHidden/>
    <w:locked/>
    <w:rPr>
      <w:rFonts w:ascii="Calibri" w:hAnsi="Calibri"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color w:val="000000"/>
      <w:sz w:val="2"/>
    </w:rPr>
  </w:style>
  <w:style w:type="character" w:styleId="EndnoteReference">
    <w:name w:val="endnote reference"/>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link w:val="EndnoteText"/>
    <w:uiPriority w:val="99"/>
    <w:semiHidden/>
    <w:locked/>
    <w:rPr>
      <w:rFonts w:ascii="Calibri" w:hAnsi="Calibri" w:cs="Times New Roman"/>
      <w:color w:val="000000"/>
      <w:sz w:val="20"/>
      <w:szCs w:val="20"/>
    </w:rPr>
  </w:style>
  <w:style w:type="character" w:styleId="FootnoteReference">
    <w:name w:val="footnote reference"/>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style>
  <w:style w:type="paragraph" w:customStyle="1" w:styleId="Crest">
    <w:name w:val="Crest"/>
    <w:basedOn w:val="Header"/>
    <w:uiPriority w:val="99"/>
    <w:rsid w:val="00F23AEE"/>
    <w:pPr>
      <w:spacing w:after="480"/>
      <w:jc w:val="right"/>
    </w:pPr>
  </w:style>
  <w:style w:type="character" w:customStyle="1" w:styleId="SingleParagraphChar">
    <w:name w:val="Single Paragraph Char"/>
    <w:link w:val="SingleParagraph"/>
    <w:uiPriority w:val="99"/>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link w:val="OutlineNumbered1"/>
    <w:uiPriority w:val="99"/>
    <w:locked/>
    <w:rsid w:val="00C41D61"/>
    <w:rPr>
      <w:rFonts w:ascii="Calibri" w:hAnsi="Calibri"/>
      <w:color w:val="000000"/>
      <w:sz w:val="22"/>
    </w:rPr>
  </w:style>
  <w:style w:type="table" w:customStyle="1" w:styleId="TableGrid1">
    <w:name w:val="Table Grid1"/>
    <w:uiPriority w:val="99"/>
    <w:rsid w:val="00C96B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BB4"/>
    <w:rPr>
      <w:rFonts w:ascii="Calibri" w:hAnsi="Calibri"/>
      <w:color w:val="000000"/>
      <w:sz w:val="22"/>
    </w:rPr>
  </w:style>
  <w:style w:type="numbering" w:customStyle="1" w:styleId="Outlinenumbering">
    <w:name w:val="Outline numbering"/>
    <w:rsid w:val="0040614F"/>
    <w:pPr>
      <w:numPr>
        <w:numId w:val="31"/>
      </w:numPr>
    </w:pPr>
  </w:style>
  <w:style w:type="paragraph" w:styleId="ListParagraph">
    <w:name w:val="List Paragraph"/>
    <w:basedOn w:val="Normal"/>
    <w:uiPriority w:val="34"/>
    <w:qFormat/>
    <w:rsid w:val="00E426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19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deed.en" TargetMode="External"/><Relationship Id="rId18" Type="http://schemas.openxmlformats.org/officeDocument/2006/relationships/hyperlink" Target="mailto:medialiaison@treasury.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itsanhonour.gov.a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mailto:financetax@treasur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FB88-0FAB-4BC8-A833-534BB31B4B9F}">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FCE49CC-5309-47A4-8889-53BC22CC1D06}">
  <ds:schemaRefs>
    <ds:schemaRef ds:uri="http://schemas.microsoft.com/sharepoint/v3/contenttype/forms"/>
  </ds:schemaRefs>
</ds:datastoreItem>
</file>

<file path=customXml/itemProps3.xml><?xml version="1.0" encoding="utf-8"?>
<ds:datastoreItem xmlns:ds="http://schemas.openxmlformats.org/officeDocument/2006/customXml" ds:itemID="{03BA2E8D-850D-481E-997C-A0C1D2D3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107CAD-1AC0-44D9-85D9-C8E52663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Report.dotm</Template>
  <TotalTime>8</TotalTime>
  <Pages>13</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23680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Laurence</dc:creator>
  <cp:lastModifiedBy>Catanzariti, Lorraine</cp:lastModifiedBy>
  <cp:revision>6</cp:revision>
  <cp:lastPrinted>2012-07-13T04:05:00Z</cp:lastPrinted>
  <dcterms:created xsi:type="dcterms:W3CDTF">2012-07-12T06:28:00Z</dcterms:created>
  <dcterms:modified xsi:type="dcterms:W3CDTF">2012-07-13T04:14:00Z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1115725237</vt:i4>
  </property>
  <property fmtid="{D5CDD505-2E9C-101B-9397-08002B2CF9AE}" pid="3" name="_NewReviewCycle">
    <vt:lpwstr/>
  </property>
  <property fmtid="{D5CDD505-2E9C-101B-9397-08002B2CF9AE}" pid="4" name="_EmailSubject">
    <vt:lpwstr>Discussion Papers to be prepared for release on Treasury's website [SEC=IN-CONFIDENCE]</vt:lpwstr>
  </property>
  <property fmtid="{D5CDD505-2E9C-101B-9397-08002B2CF9AE}" pid="5" name="_AuthorEmail">
    <vt:lpwstr>Lorraine.Catanzariti@TREASURY.GOV.AU</vt:lpwstr>
  </property>
  <property fmtid="{D5CDD505-2E9C-101B-9397-08002B2CF9AE}" pid="6" name="_AuthorEmailDisplayName">
    <vt:lpwstr>Catanzariti, Lorraine</vt:lpwstr>
  </property>
  <property fmtid="{D5CDD505-2E9C-101B-9397-08002B2CF9AE}" pid="7" name="ContentTypeId">
    <vt:lpwstr>0x010100D5EBCAED125CEB43B39DAD94BDEC00A1</vt:lpwstr>
  </property>
  <property fmtid="{D5CDD505-2E9C-101B-9397-08002B2CF9AE}" pid="9" name="_PreviousAdHocReviewCycleID">
    <vt:i4>643064589</vt:i4>
  </property>
</Properties>
</file>