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47B3D" w14:textId="77777777" w:rsidR="009268F0" w:rsidRPr="00F73908" w:rsidRDefault="00B51592" w:rsidP="00F73908">
      <w:pPr>
        <w:pStyle w:val="Heading2"/>
        <w:rPr>
          <w:i/>
        </w:rPr>
      </w:pPr>
      <w:r>
        <w:br/>
      </w:r>
      <w:r w:rsidR="009A49D4" w:rsidRPr="009A49D4">
        <w:t>Modernising the taxation of trust income</w:t>
      </w:r>
      <w:r w:rsidR="009A49D4" w:rsidRPr="009A49D4">
        <w:noBreakHyphen/>
        <w:t>options for reform</w:t>
      </w:r>
    </w:p>
    <w:p w14:paraId="51788F2D" w14:textId="77777777" w:rsidR="00C72DCC" w:rsidRPr="002F4AEF" w:rsidRDefault="002F4AEF" w:rsidP="00F73908">
      <w:pPr>
        <w:pStyle w:val="Heading2"/>
      </w:pPr>
      <w:r w:rsidRPr="002F4AEF">
        <w:t>SUMMARY OF CONSULTATION PROCESS</w:t>
      </w:r>
      <w:r w:rsidR="00B51592">
        <w:br/>
      </w:r>
    </w:p>
    <w:p w14:paraId="19199E25" w14:textId="77777777" w:rsidR="009A49D4" w:rsidRDefault="00294D00" w:rsidP="009A49D4">
      <w:pPr>
        <w:rPr>
          <w:lang w:val="en"/>
        </w:rPr>
      </w:pPr>
      <w:r>
        <w:t xml:space="preserve">The Government announced on </w:t>
      </w:r>
      <w:r w:rsidR="009A49D4">
        <w:t xml:space="preserve">16 December 2010 that it </w:t>
      </w:r>
      <w:r w:rsidR="007E5765">
        <w:rPr>
          <w:lang w:val="en"/>
        </w:rPr>
        <w:t xml:space="preserve">would </w:t>
      </w:r>
      <w:r w:rsidR="007E5765" w:rsidRPr="007E5765">
        <w:rPr>
          <w:lang w:val="en"/>
        </w:rPr>
        <w:t xml:space="preserve">conduct a public consultation process as the first step towards updating the trust income tax provisions in Division 6 of Part III of the </w:t>
      </w:r>
      <w:r w:rsidR="007E5765" w:rsidRPr="007E5765">
        <w:rPr>
          <w:i/>
          <w:iCs/>
          <w:lang w:val="en"/>
        </w:rPr>
        <w:t>Income Tax Assessment Act 1936</w:t>
      </w:r>
      <w:r w:rsidR="007E5765" w:rsidRPr="007E5765">
        <w:rPr>
          <w:lang w:val="en"/>
        </w:rPr>
        <w:t xml:space="preserve"> and rewriting them into the </w:t>
      </w:r>
      <w:r w:rsidR="007E5765" w:rsidRPr="007E5765">
        <w:rPr>
          <w:i/>
          <w:iCs/>
          <w:lang w:val="en"/>
        </w:rPr>
        <w:t>Income Tax Assessment Act 1997</w:t>
      </w:r>
      <w:r w:rsidR="007E5765" w:rsidRPr="007E5765">
        <w:rPr>
          <w:lang w:val="en"/>
        </w:rPr>
        <w:t>.</w:t>
      </w:r>
    </w:p>
    <w:p w14:paraId="2B0BEBE7" w14:textId="77777777" w:rsidR="001C5D63" w:rsidRPr="001C5D63" w:rsidRDefault="004144BC" w:rsidP="00F73908">
      <w:pPr>
        <w:pStyle w:val="Heading3"/>
      </w:pPr>
      <w:r>
        <w:t>Consultation p</w:t>
      </w:r>
      <w:r w:rsidR="001C5D63" w:rsidRPr="001C5D63">
        <w:t>rocess</w:t>
      </w:r>
    </w:p>
    <w:p w14:paraId="0365B6D7" w14:textId="1697DE84" w:rsidR="00D36D6E" w:rsidRPr="007E5765" w:rsidRDefault="00A31ADE" w:rsidP="00D36D6E">
      <w:r>
        <w:t xml:space="preserve">Consultation on </w:t>
      </w:r>
      <w:r w:rsidR="009A49D4">
        <w:t>the discussion paper ‘</w:t>
      </w:r>
      <w:r w:rsidR="009A49D4" w:rsidRPr="00835C00">
        <w:rPr>
          <w:i/>
        </w:rPr>
        <w:t>Modernising the taxation of trust income-options for reform’</w:t>
      </w:r>
      <w:r w:rsidR="009A49D4">
        <w:t xml:space="preserve"> </w:t>
      </w:r>
      <w:r w:rsidR="000F2C97">
        <w:t xml:space="preserve">was conducted between </w:t>
      </w:r>
      <w:r w:rsidR="000F2C97" w:rsidRPr="000F2C97">
        <w:rPr>
          <w:lang w:val="en"/>
        </w:rPr>
        <w:t>21 November 2011</w:t>
      </w:r>
      <w:r w:rsidR="00BF1976">
        <w:t xml:space="preserve"> </w:t>
      </w:r>
      <w:r w:rsidR="000F2C97">
        <w:t xml:space="preserve">and </w:t>
      </w:r>
      <w:r w:rsidR="000F2C97">
        <w:rPr>
          <w:lang w:val="en"/>
        </w:rPr>
        <w:t>10 February 2012</w:t>
      </w:r>
      <w:r>
        <w:t>.</w:t>
      </w:r>
      <w:r w:rsidR="00835974">
        <w:t xml:space="preserve">  </w:t>
      </w:r>
      <w:r w:rsidR="00A9352A">
        <w:t>Thirty-six</w:t>
      </w:r>
      <w:r w:rsidR="00D36D6E">
        <w:t xml:space="preserve"> public</w:t>
      </w:r>
      <w:r w:rsidR="00D36D6E" w:rsidRPr="00A9352A">
        <w:t xml:space="preserve"> </w:t>
      </w:r>
      <w:r w:rsidR="00D36D6E" w:rsidRPr="00F55565">
        <w:t>submis</w:t>
      </w:r>
      <w:r w:rsidR="00A9352A">
        <w:t xml:space="preserve">sions were received including two </w:t>
      </w:r>
      <w:r w:rsidR="00D36D6E" w:rsidRPr="00F55565">
        <w:t>confidential submission</w:t>
      </w:r>
      <w:r w:rsidR="00A9352A">
        <w:t>s</w:t>
      </w:r>
      <w:r w:rsidR="00D36D6E" w:rsidRPr="00A62AAC">
        <w:t>.</w:t>
      </w:r>
      <w:r w:rsidR="00D36D6E">
        <w:t xml:space="preserve"> </w:t>
      </w:r>
    </w:p>
    <w:p w14:paraId="1CD12F99" w14:textId="4C46701C" w:rsidR="007E5765" w:rsidRPr="007E5765" w:rsidRDefault="007E5765" w:rsidP="007E5765">
      <w:pPr>
        <w:rPr>
          <w:b/>
        </w:rPr>
      </w:pPr>
      <w:r w:rsidRPr="007E5765">
        <w:t xml:space="preserve">Treasury held consultation meetings with a number of industry stakeholders including the Law Council, </w:t>
      </w:r>
      <w:r w:rsidR="00553607">
        <w:t>the Institute of Chartered Accountants in Australia (</w:t>
      </w:r>
      <w:r w:rsidRPr="007E5765">
        <w:t>ICAA</w:t>
      </w:r>
      <w:r w:rsidR="00553607">
        <w:t>)</w:t>
      </w:r>
      <w:r w:rsidRPr="007E5765">
        <w:t xml:space="preserve">, </w:t>
      </w:r>
      <w:r w:rsidR="00553607" w:rsidRPr="00553607">
        <w:t xml:space="preserve">Certified Practicing Accountants </w:t>
      </w:r>
      <w:r w:rsidR="00553607">
        <w:t>(</w:t>
      </w:r>
      <w:r w:rsidRPr="007E5765">
        <w:t>CPA</w:t>
      </w:r>
      <w:r w:rsidR="00553607">
        <w:t>)</w:t>
      </w:r>
      <w:r w:rsidRPr="007E5765">
        <w:t xml:space="preserve">, </w:t>
      </w:r>
      <w:r w:rsidR="00553607">
        <w:t>Institute of Public Accountants (</w:t>
      </w:r>
      <w:r w:rsidRPr="007E5765">
        <w:t>IPA</w:t>
      </w:r>
      <w:r w:rsidR="00553607">
        <w:t>)</w:t>
      </w:r>
      <w:r w:rsidRPr="007E5765">
        <w:t xml:space="preserve">, </w:t>
      </w:r>
      <w:proofErr w:type="gramStart"/>
      <w:r w:rsidRPr="007E5765">
        <w:t>Pitcher</w:t>
      </w:r>
      <w:proofErr w:type="gramEnd"/>
      <w:r w:rsidRPr="007E5765">
        <w:t xml:space="preserve"> Partners, Tax Institute of Australia, Australian Custodial Services Association, Trustee Corporation of Australia</w:t>
      </w:r>
      <w:r w:rsidR="00095E82">
        <w:t xml:space="preserve"> in late January 2012</w:t>
      </w:r>
      <w:r w:rsidRPr="007E5765">
        <w:t>.</w:t>
      </w:r>
    </w:p>
    <w:p w14:paraId="6C692C3C" w14:textId="2C104B08" w:rsidR="00095E82" w:rsidRDefault="007E5765" w:rsidP="007001D0">
      <w:r w:rsidRPr="007E5765">
        <w:t>Treasury</w:t>
      </w:r>
      <w:r w:rsidR="002004EB">
        <w:t xml:space="preserve"> also</w:t>
      </w:r>
      <w:r w:rsidRPr="007E5765">
        <w:t xml:space="preserve"> conducted post-consultation forums </w:t>
      </w:r>
      <w:r w:rsidR="00D2568F">
        <w:t>with the public</w:t>
      </w:r>
      <w:r w:rsidRPr="007E5765">
        <w:t xml:space="preserve"> in Brisbane, Sydney</w:t>
      </w:r>
      <w:r w:rsidR="00095E82">
        <w:t xml:space="preserve"> </w:t>
      </w:r>
      <w:r w:rsidRPr="007E5765">
        <w:t>and Melbourne</w:t>
      </w:r>
      <w:r w:rsidR="004935EB">
        <w:t xml:space="preserve">, with around </w:t>
      </w:r>
      <w:r w:rsidR="007B3890">
        <w:t>25 t</w:t>
      </w:r>
      <w:r w:rsidR="00800B99">
        <w:t>o</w:t>
      </w:r>
      <w:r w:rsidR="007B3890">
        <w:t xml:space="preserve"> 30 attendees</w:t>
      </w:r>
      <w:r w:rsidR="004935EB">
        <w:t xml:space="preserve"> at each</w:t>
      </w:r>
      <w:r w:rsidRPr="007E5765">
        <w:t xml:space="preserve">.  </w:t>
      </w:r>
    </w:p>
    <w:p w14:paraId="638C6176" w14:textId="46605805" w:rsidR="001C5D63" w:rsidRPr="007E5765" w:rsidRDefault="007E5765" w:rsidP="007001D0">
      <w:pPr>
        <w:rPr>
          <w:b/>
        </w:rPr>
      </w:pPr>
      <w:r w:rsidRPr="007E5765">
        <w:t>Phone conferences were offered in place of the planned forums in Adelaide and Perth</w:t>
      </w:r>
      <w:r w:rsidR="00095E82">
        <w:t xml:space="preserve"> due to insufficient interest.  There were four participants in the Adelaide phone conference</w:t>
      </w:r>
      <w:r w:rsidR="00E965FD">
        <w:t xml:space="preserve"> </w:t>
      </w:r>
      <w:r w:rsidR="00095E82">
        <w:t xml:space="preserve">and no participants in the Perth phone conference. </w:t>
      </w:r>
    </w:p>
    <w:p w14:paraId="2D1016B7" w14:textId="0102B4E0" w:rsidR="004814D8" w:rsidRDefault="00A774D9" w:rsidP="00F55565">
      <w:r>
        <w:t xml:space="preserve">Submissions </w:t>
      </w:r>
      <w:r w:rsidR="00D36D6E">
        <w:t xml:space="preserve">on the consultation paper </w:t>
      </w:r>
      <w:r>
        <w:t>c</w:t>
      </w:r>
      <w:r w:rsidR="00390485">
        <w:t xml:space="preserve">an be viewed by clicking on the </w:t>
      </w:r>
      <w:hyperlink r:id="rId12" w:history="1">
        <w:r w:rsidR="00390485" w:rsidRPr="00390485">
          <w:rPr>
            <w:rStyle w:val="Hyperlink"/>
          </w:rPr>
          <w:t>Treasury Website</w:t>
        </w:r>
      </w:hyperlink>
      <w:bookmarkStart w:id="0" w:name="_GoBack"/>
      <w:bookmarkEnd w:id="0"/>
      <w:r w:rsidR="00390485">
        <w:t>.</w:t>
      </w:r>
    </w:p>
    <w:p w14:paraId="728C826A" w14:textId="77777777" w:rsidR="00390485" w:rsidRDefault="00390485" w:rsidP="00F55565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F6CD7" w14:paraId="3C4F3AEC" w14:textId="77777777" w:rsidTr="00E342F6">
        <w:tc>
          <w:tcPr>
            <w:tcW w:w="9854" w:type="dxa"/>
          </w:tcPr>
          <w:p w14:paraId="5D443808" w14:textId="77777777" w:rsidR="00BF6CD7" w:rsidRDefault="00BF6CD7" w:rsidP="00BF6CD7">
            <w:pPr>
              <w:pStyle w:val="Heading3"/>
            </w:pPr>
            <w:r>
              <w:lastRenderedPageBreak/>
              <w:t xml:space="preserve">Summary of key issues </w:t>
            </w:r>
          </w:p>
          <w:p w14:paraId="1D2664AC" w14:textId="77777777" w:rsidR="00BF6CD7" w:rsidRDefault="00BF6CD7" w:rsidP="00BF6CD7">
            <w:r>
              <w:t>In general, s</w:t>
            </w:r>
            <w:r w:rsidRPr="004814D8">
              <w:t xml:space="preserve">ubmissions </w:t>
            </w:r>
            <w:r>
              <w:t xml:space="preserve">raised a number of concerns regarding the policy design of the framework for taxation of trust.  </w:t>
            </w:r>
          </w:p>
          <w:p w14:paraId="64F0E530" w14:textId="77777777" w:rsidR="00BF6CD7" w:rsidRPr="00F55565" w:rsidRDefault="00BF6CD7" w:rsidP="00BF6CD7">
            <w:pPr>
              <w:rPr>
                <w:b/>
                <w:i/>
              </w:rPr>
            </w:pPr>
            <w:r w:rsidRPr="00F55565">
              <w:rPr>
                <w:b/>
                <w:i/>
              </w:rPr>
              <w:t xml:space="preserve">The key issues </w:t>
            </w:r>
          </w:p>
          <w:p w14:paraId="08953FF4" w14:textId="77777777" w:rsidR="00BF6CD7" w:rsidRDefault="00BF6CD7" w:rsidP="00BF6CD7">
            <w:r>
              <w:t>The key issues raised in the submissions were that:</w:t>
            </w:r>
          </w:p>
          <w:p w14:paraId="60C31B20" w14:textId="77777777" w:rsidR="00BF6CD7" w:rsidRPr="00787999" w:rsidRDefault="00BF6CD7" w:rsidP="00BF6CD7">
            <w:pPr>
              <w:pStyle w:val="Bullet"/>
            </w:pPr>
            <w:r>
              <w:t>T</w:t>
            </w:r>
            <w:r w:rsidRPr="00787999">
              <w:t>here is strong support for robust reform of the trust provisions</w:t>
            </w:r>
            <w:r>
              <w:t>.</w:t>
            </w:r>
          </w:p>
          <w:p w14:paraId="37F49043" w14:textId="58962383" w:rsidR="00BF6CD7" w:rsidRDefault="00554993" w:rsidP="00554993">
            <w:pPr>
              <w:pStyle w:val="Bullet"/>
            </w:pPr>
            <w:r>
              <w:t>T</w:t>
            </w:r>
            <w:r w:rsidR="00BF6CD7" w:rsidRPr="00787999">
              <w:t>he plan to commence changes on 1 July 2013 would not provide adequate time to develop the rules dealing with the taxation of trust income and to implement systems changes</w:t>
            </w:r>
            <w:r w:rsidR="00BF6CD7">
              <w:t>.</w:t>
            </w:r>
          </w:p>
        </w:tc>
      </w:tr>
      <w:tr w:rsidR="00BF6CD7" w14:paraId="06982B22" w14:textId="77777777" w:rsidTr="00E342F6">
        <w:tc>
          <w:tcPr>
            <w:tcW w:w="9854" w:type="dxa"/>
          </w:tcPr>
          <w:p w14:paraId="73260EA3" w14:textId="77777777" w:rsidR="00BF6CD7" w:rsidRPr="00787999" w:rsidRDefault="00BF6CD7" w:rsidP="00F55565">
            <w:pPr>
              <w:pStyle w:val="Bullet"/>
            </w:pPr>
            <w:r>
              <w:t>T</w:t>
            </w:r>
            <w:r w:rsidRPr="00787999">
              <w:t>here is concern that the current requirement to determine entitlements by the end of the income year is administratively impractical</w:t>
            </w:r>
            <w:r>
              <w:t>.</w:t>
            </w:r>
          </w:p>
          <w:p w14:paraId="160C7256" w14:textId="77777777" w:rsidR="00BF6CD7" w:rsidRPr="00787999" w:rsidRDefault="00BF6CD7" w:rsidP="00BF6CD7">
            <w:pPr>
              <w:pStyle w:val="Bullet"/>
            </w:pPr>
            <w:r>
              <w:t>T</w:t>
            </w:r>
            <w:r w:rsidRPr="00787999">
              <w:t xml:space="preserve">here </w:t>
            </w:r>
            <w:r>
              <w:t>i</w:t>
            </w:r>
            <w:r w:rsidRPr="00787999">
              <w:t>s a need for more detailed information about how the models discussed in the paper would operate</w:t>
            </w:r>
            <w:r>
              <w:t xml:space="preserve"> in relation to allocating taxable income among beneficiaries</w:t>
            </w:r>
            <w:r w:rsidRPr="00787999">
              <w:t>.</w:t>
            </w:r>
          </w:p>
          <w:p w14:paraId="768B0F1A" w14:textId="77777777" w:rsidR="00BF6CD7" w:rsidRPr="00787999" w:rsidRDefault="00BF6CD7" w:rsidP="00BF6CD7">
            <w:pPr>
              <w:pStyle w:val="Bullet"/>
            </w:pPr>
            <w:r>
              <w:t>T</w:t>
            </w:r>
            <w:r w:rsidRPr="00787999">
              <w:t xml:space="preserve">here </w:t>
            </w:r>
            <w:r>
              <w:t>is</w:t>
            </w:r>
            <w:r w:rsidRPr="00787999">
              <w:t xml:space="preserve"> strong support for ensuring that trust distributions retain their character and can be streamed.</w:t>
            </w:r>
          </w:p>
          <w:p w14:paraId="55CF5554" w14:textId="1930CB45" w:rsidR="008D398D" w:rsidRPr="00787999" w:rsidRDefault="00BF6CD7" w:rsidP="00BF6CD7">
            <w:pPr>
              <w:pStyle w:val="Bullet"/>
            </w:pPr>
            <w:r w:rsidRPr="00787999">
              <w:t xml:space="preserve">There </w:t>
            </w:r>
            <w:r>
              <w:t>is</w:t>
            </w:r>
            <w:r w:rsidRPr="00787999">
              <w:t xml:space="preserve"> strong support for retaining the existing rules in relation to expense allocation.  That is, allocating expenses on a fair and reasonable basis.</w:t>
            </w:r>
          </w:p>
          <w:p w14:paraId="5E976059" w14:textId="39A0CC03" w:rsidR="00BF6CD7" w:rsidRDefault="00BF6CD7" w:rsidP="00F55565">
            <w:pPr>
              <w:pStyle w:val="Bullet"/>
            </w:pPr>
            <w:r w:rsidRPr="00787999">
              <w:t xml:space="preserve">There </w:t>
            </w:r>
            <w:r>
              <w:t>is</w:t>
            </w:r>
            <w:r w:rsidRPr="00787999">
              <w:t xml:space="preserve"> support for carving bare trust and bare trust like arrangements out of Division 6.  However, there </w:t>
            </w:r>
            <w:r>
              <w:t>is</w:t>
            </w:r>
            <w:r w:rsidRPr="00787999">
              <w:t xml:space="preserve"> some d</w:t>
            </w:r>
            <w:r w:rsidR="00E342F6">
              <w:t>isagreement on how such a carve</w:t>
            </w:r>
            <w:r w:rsidR="00E342F6">
              <w:noBreakHyphen/>
            </w:r>
            <w:r w:rsidRPr="00787999">
              <w:t>out would be designed.</w:t>
            </w:r>
          </w:p>
          <w:p w14:paraId="7058261F" w14:textId="77777777" w:rsidR="00BF6CD7" w:rsidRPr="00AD5662" w:rsidRDefault="00BF6CD7" w:rsidP="00BF6CD7">
            <w:pPr>
              <w:rPr>
                <w:b/>
                <w:i/>
              </w:rPr>
            </w:pPr>
            <w:r w:rsidRPr="00AD5662">
              <w:rPr>
                <w:b/>
                <w:i/>
              </w:rPr>
              <w:t xml:space="preserve">Responses </w:t>
            </w:r>
          </w:p>
          <w:p w14:paraId="00BB73C5" w14:textId="1060A642" w:rsidR="00BF6CD7" w:rsidRDefault="00BF6CD7" w:rsidP="00BF6CD7">
            <w:r>
              <w:t xml:space="preserve">On 30 July 2012, the Government announced that it </w:t>
            </w:r>
            <w:r w:rsidR="004935EB">
              <w:t xml:space="preserve">has responded to the issue raised in many submissions requesting more time to develop and consult on the changes. The Government will consult on options to modernise </w:t>
            </w:r>
            <w:r>
              <w:t xml:space="preserve">the taxation of trust income </w:t>
            </w:r>
            <w:r w:rsidR="004935EB">
              <w:t>with a proposed start date of</w:t>
            </w:r>
            <w:r w:rsidR="00F179EF">
              <w:t> </w:t>
            </w:r>
            <w:r>
              <w:t>1</w:t>
            </w:r>
            <w:r w:rsidR="000D24DA">
              <w:t> July </w:t>
            </w:r>
            <w:r>
              <w:t xml:space="preserve">2014.  </w:t>
            </w:r>
          </w:p>
          <w:p w14:paraId="7F2697BD" w14:textId="2D3A2B4A" w:rsidR="00BF6CD7" w:rsidRDefault="00BF6CD7">
            <w:r>
              <w:t>The Government also announced that it will release a second discussion paper to provide greater detail</w:t>
            </w:r>
            <w:r w:rsidR="003E30F9">
              <w:t>s</w:t>
            </w:r>
            <w:r>
              <w:t xml:space="preserve"> about how the provisions dealing with the taxation of trust income would be amended under each of the proposed models.</w:t>
            </w:r>
          </w:p>
        </w:tc>
      </w:tr>
    </w:tbl>
    <w:p w14:paraId="16A9FF69" w14:textId="64F0E195" w:rsidR="00C72DCC" w:rsidRPr="008D398D" w:rsidRDefault="008D398D" w:rsidP="00D142FD">
      <w:pPr>
        <w:spacing w:before="240"/>
      </w:pPr>
      <w:r w:rsidRPr="008D398D">
        <w:rPr>
          <w:b/>
        </w:rPr>
        <w:t>F</w:t>
      </w:r>
      <w:r w:rsidR="00C72DCC" w:rsidRPr="008D398D">
        <w:rPr>
          <w:b/>
        </w:rPr>
        <w:t>eedback</w:t>
      </w:r>
    </w:p>
    <w:p w14:paraId="12B828CD" w14:textId="2E2393E4" w:rsidR="00F7731A" w:rsidRDefault="005A4B80" w:rsidP="000F58F3">
      <w:r>
        <w:t>F</w:t>
      </w:r>
      <w:r w:rsidR="00EC063B">
        <w:t xml:space="preserve">eedback </w:t>
      </w:r>
      <w:r>
        <w:t xml:space="preserve">on </w:t>
      </w:r>
      <w:r w:rsidR="00EC063B">
        <w:t>the consultation process</w:t>
      </w:r>
      <w:r>
        <w:t xml:space="preserve"> for this measure</w:t>
      </w:r>
      <w:r w:rsidR="0065681B">
        <w:t xml:space="preserve"> can be forwarded to </w:t>
      </w:r>
      <w:hyperlink r:id="rId13" w:history="1">
        <w:r w:rsidR="006B1B2F" w:rsidRPr="005523B7">
          <w:rPr>
            <w:rStyle w:val="Hyperlink"/>
          </w:rPr>
          <w:t>consultation@treasury.gov.au</w:t>
        </w:r>
      </w:hyperlink>
      <w:r w:rsidR="0044334B">
        <w:t xml:space="preserve">.  </w:t>
      </w:r>
      <w:r w:rsidR="0065681B">
        <w:t xml:space="preserve">Alternatively, </w:t>
      </w:r>
      <w:r w:rsidR="0065681B" w:rsidRPr="00F55565">
        <w:t xml:space="preserve">you can contact </w:t>
      </w:r>
      <w:r w:rsidR="00A5045F" w:rsidRPr="00F55565">
        <w:t>Kate Preston</w:t>
      </w:r>
      <w:r w:rsidR="008A561B" w:rsidRPr="00F55565">
        <w:t xml:space="preserve"> </w:t>
      </w:r>
      <w:r w:rsidR="0065681B" w:rsidRPr="00F55565">
        <w:t>on</w:t>
      </w:r>
      <w:r w:rsidR="00A5045F" w:rsidRPr="00F55565">
        <w:t xml:space="preserve"> 02 6263 3116</w:t>
      </w:r>
      <w:r w:rsidR="0065681B" w:rsidRPr="00A62AAC">
        <w:t>.</w:t>
      </w:r>
    </w:p>
    <w:p w14:paraId="3E020927" w14:textId="77777777" w:rsidR="00F7731A" w:rsidRDefault="0044334B" w:rsidP="000F58F3">
      <w:r>
        <w:t>Thank you to all participant</w:t>
      </w:r>
      <w:r w:rsidR="00696159">
        <w:t xml:space="preserve">s in the consultation process. </w:t>
      </w:r>
    </w:p>
    <w:sectPr w:rsidR="00F7731A" w:rsidSect="00E54185">
      <w:headerReference w:type="even" r:id="rId14"/>
      <w:head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496FA" w14:textId="77777777" w:rsidR="00821598" w:rsidRDefault="00821598">
      <w:r>
        <w:separator/>
      </w:r>
    </w:p>
  </w:endnote>
  <w:endnote w:type="continuationSeparator" w:id="0">
    <w:p w14:paraId="0DC4236B" w14:textId="77777777" w:rsidR="00821598" w:rsidRDefault="0082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D6C7E" w14:textId="77777777" w:rsidR="00821598" w:rsidRDefault="00821598">
      <w:r>
        <w:separator/>
      </w:r>
    </w:p>
  </w:footnote>
  <w:footnote w:type="continuationSeparator" w:id="0">
    <w:p w14:paraId="4C3AFCC7" w14:textId="77777777" w:rsidR="00821598" w:rsidRDefault="00821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0440F" w14:textId="77777777" w:rsidR="00095E82" w:rsidRDefault="00390485">
    <w:pPr>
      <w:pStyle w:val="Header"/>
    </w:pPr>
    <w:r>
      <w:rPr>
        <w:noProof/>
      </w:rPr>
      <w:pict w14:anchorId="2C4B3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6392" w14:textId="77777777" w:rsidR="00095E82" w:rsidRDefault="00095E82" w:rsidP="006C3478">
    <w:pPr>
      <w:pStyle w:val="FooterAddress"/>
    </w:pPr>
  </w:p>
  <w:p w14:paraId="1EBB94BC" w14:textId="77777777" w:rsidR="00095E82" w:rsidRDefault="00095E82" w:rsidP="006C3478">
    <w:pPr>
      <w:jc w:val="center"/>
    </w:pPr>
    <w:r>
      <w:rPr>
        <w:noProof/>
      </w:rPr>
      <w:drawing>
        <wp:inline distT="0" distB="0" distL="0" distR="0" wp14:anchorId="5C0B3B35" wp14:editId="35EB50A6">
          <wp:extent cx="1924050" cy="1193800"/>
          <wp:effectExtent l="19050" t="0" r="0" b="0"/>
          <wp:docPr id="1" name="Picture 1" descr="crest_treasury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_treasury_stack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6C12" w14:textId="77777777" w:rsidR="00095E82" w:rsidRDefault="00390485">
    <w:pPr>
      <w:pStyle w:val="Header"/>
    </w:pPr>
    <w:r>
      <w:rPr>
        <w:noProof/>
      </w:rPr>
      <w:pict w14:anchorId="1F81B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234"/>
    <w:multiLevelType w:val="multilevel"/>
    <w:tmpl w:val="02A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F1D87"/>
    <w:multiLevelType w:val="multilevel"/>
    <w:tmpl w:val="31864F7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E7"/>
    <w:rsid w:val="0000717F"/>
    <w:rsid w:val="00013BA1"/>
    <w:rsid w:val="00014300"/>
    <w:rsid w:val="000150A1"/>
    <w:rsid w:val="00035168"/>
    <w:rsid w:val="000359E6"/>
    <w:rsid w:val="00041FE1"/>
    <w:rsid w:val="000551F5"/>
    <w:rsid w:val="0005600E"/>
    <w:rsid w:val="000609D8"/>
    <w:rsid w:val="00065F85"/>
    <w:rsid w:val="00067E1D"/>
    <w:rsid w:val="0007086E"/>
    <w:rsid w:val="0007133B"/>
    <w:rsid w:val="000725C0"/>
    <w:rsid w:val="0007370B"/>
    <w:rsid w:val="00073CF1"/>
    <w:rsid w:val="00077478"/>
    <w:rsid w:val="00081148"/>
    <w:rsid w:val="00081E45"/>
    <w:rsid w:val="00090587"/>
    <w:rsid w:val="00094E5A"/>
    <w:rsid w:val="00095E82"/>
    <w:rsid w:val="000A59B5"/>
    <w:rsid w:val="000A6DBE"/>
    <w:rsid w:val="000B20B0"/>
    <w:rsid w:val="000B66EF"/>
    <w:rsid w:val="000C4082"/>
    <w:rsid w:val="000C784D"/>
    <w:rsid w:val="000D24DA"/>
    <w:rsid w:val="000D2BCE"/>
    <w:rsid w:val="000D71B6"/>
    <w:rsid w:val="000E752F"/>
    <w:rsid w:val="000F2C97"/>
    <w:rsid w:val="000F3AC3"/>
    <w:rsid w:val="000F58F3"/>
    <w:rsid w:val="000F7250"/>
    <w:rsid w:val="0010374A"/>
    <w:rsid w:val="0011262E"/>
    <w:rsid w:val="00121EB0"/>
    <w:rsid w:val="00125111"/>
    <w:rsid w:val="001261D4"/>
    <w:rsid w:val="00127624"/>
    <w:rsid w:val="001307F9"/>
    <w:rsid w:val="00142EB8"/>
    <w:rsid w:val="0014413A"/>
    <w:rsid w:val="001444E7"/>
    <w:rsid w:val="00144EF0"/>
    <w:rsid w:val="00146907"/>
    <w:rsid w:val="00147496"/>
    <w:rsid w:val="0015170E"/>
    <w:rsid w:val="001521F8"/>
    <w:rsid w:val="00152F1C"/>
    <w:rsid w:val="00153B7D"/>
    <w:rsid w:val="0016017F"/>
    <w:rsid w:val="00163A48"/>
    <w:rsid w:val="00166896"/>
    <w:rsid w:val="001674B6"/>
    <w:rsid w:val="00184D83"/>
    <w:rsid w:val="001860D7"/>
    <w:rsid w:val="001928ED"/>
    <w:rsid w:val="001939D9"/>
    <w:rsid w:val="001953C8"/>
    <w:rsid w:val="0019587A"/>
    <w:rsid w:val="001A0832"/>
    <w:rsid w:val="001A7CD5"/>
    <w:rsid w:val="001C07BC"/>
    <w:rsid w:val="001C0DF8"/>
    <w:rsid w:val="001C270C"/>
    <w:rsid w:val="001C5415"/>
    <w:rsid w:val="001C5D63"/>
    <w:rsid w:val="001D13C5"/>
    <w:rsid w:val="001D54F7"/>
    <w:rsid w:val="001E465C"/>
    <w:rsid w:val="001E4AC8"/>
    <w:rsid w:val="001E53E9"/>
    <w:rsid w:val="001E55D6"/>
    <w:rsid w:val="001E612B"/>
    <w:rsid w:val="001F15C6"/>
    <w:rsid w:val="001F50ED"/>
    <w:rsid w:val="001F5126"/>
    <w:rsid w:val="001F514F"/>
    <w:rsid w:val="00200339"/>
    <w:rsid w:val="002004EB"/>
    <w:rsid w:val="0020159D"/>
    <w:rsid w:val="00202554"/>
    <w:rsid w:val="002117D8"/>
    <w:rsid w:val="00212C62"/>
    <w:rsid w:val="002216C2"/>
    <w:rsid w:val="00221EEA"/>
    <w:rsid w:val="002230F5"/>
    <w:rsid w:val="00226AB9"/>
    <w:rsid w:val="002331B0"/>
    <w:rsid w:val="002403BE"/>
    <w:rsid w:val="00241915"/>
    <w:rsid w:val="0024777D"/>
    <w:rsid w:val="0025317A"/>
    <w:rsid w:val="00256DDF"/>
    <w:rsid w:val="00264766"/>
    <w:rsid w:val="002657FD"/>
    <w:rsid w:val="00271205"/>
    <w:rsid w:val="002723D3"/>
    <w:rsid w:val="00273048"/>
    <w:rsid w:val="00280815"/>
    <w:rsid w:val="00282CB1"/>
    <w:rsid w:val="00283D6D"/>
    <w:rsid w:val="00284332"/>
    <w:rsid w:val="00284A47"/>
    <w:rsid w:val="00286CA8"/>
    <w:rsid w:val="00290D00"/>
    <w:rsid w:val="00294D00"/>
    <w:rsid w:val="00295C77"/>
    <w:rsid w:val="002A2015"/>
    <w:rsid w:val="002B10C8"/>
    <w:rsid w:val="002B3E42"/>
    <w:rsid w:val="002B778B"/>
    <w:rsid w:val="002B7CA2"/>
    <w:rsid w:val="002C2EF9"/>
    <w:rsid w:val="002C3264"/>
    <w:rsid w:val="002C357B"/>
    <w:rsid w:val="002C672A"/>
    <w:rsid w:val="002C6DB3"/>
    <w:rsid w:val="002D0048"/>
    <w:rsid w:val="002D23A1"/>
    <w:rsid w:val="002D3EBC"/>
    <w:rsid w:val="002D7A27"/>
    <w:rsid w:val="002E1F3D"/>
    <w:rsid w:val="002F3DBF"/>
    <w:rsid w:val="002F4AEF"/>
    <w:rsid w:val="0030221A"/>
    <w:rsid w:val="0030513B"/>
    <w:rsid w:val="00314EBF"/>
    <w:rsid w:val="00317178"/>
    <w:rsid w:val="00320C27"/>
    <w:rsid w:val="00332453"/>
    <w:rsid w:val="0033455E"/>
    <w:rsid w:val="003353D0"/>
    <w:rsid w:val="003409F8"/>
    <w:rsid w:val="003459E9"/>
    <w:rsid w:val="0034774F"/>
    <w:rsid w:val="00355A78"/>
    <w:rsid w:val="0035634F"/>
    <w:rsid w:val="003605ED"/>
    <w:rsid w:val="00360797"/>
    <w:rsid w:val="003609E3"/>
    <w:rsid w:val="00364612"/>
    <w:rsid w:val="00364A88"/>
    <w:rsid w:val="00364D2B"/>
    <w:rsid w:val="003756E3"/>
    <w:rsid w:val="003758D2"/>
    <w:rsid w:val="00377484"/>
    <w:rsid w:val="00381663"/>
    <w:rsid w:val="003823E0"/>
    <w:rsid w:val="00390485"/>
    <w:rsid w:val="00396032"/>
    <w:rsid w:val="003A626C"/>
    <w:rsid w:val="003A6278"/>
    <w:rsid w:val="003B1498"/>
    <w:rsid w:val="003B210E"/>
    <w:rsid w:val="003B3DEF"/>
    <w:rsid w:val="003C182F"/>
    <w:rsid w:val="003C44DD"/>
    <w:rsid w:val="003C720F"/>
    <w:rsid w:val="003D3F89"/>
    <w:rsid w:val="003E30F9"/>
    <w:rsid w:val="003F30DB"/>
    <w:rsid w:val="00400004"/>
    <w:rsid w:val="004000BB"/>
    <w:rsid w:val="00400CAF"/>
    <w:rsid w:val="00401466"/>
    <w:rsid w:val="00404E6C"/>
    <w:rsid w:val="00410649"/>
    <w:rsid w:val="00410A4F"/>
    <w:rsid w:val="004144BC"/>
    <w:rsid w:val="00416663"/>
    <w:rsid w:val="00416B24"/>
    <w:rsid w:val="004217AA"/>
    <w:rsid w:val="00422EC6"/>
    <w:rsid w:val="004273E1"/>
    <w:rsid w:val="00431B52"/>
    <w:rsid w:val="00435AEF"/>
    <w:rsid w:val="00440101"/>
    <w:rsid w:val="0044334B"/>
    <w:rsid w:val="004469DE"/>
    <w:rsid w:val="004470AD"/>
    <w:rsid w:val="004478FE"/>
    <w:rsid w:val="00451760"/>
    <w:rsid w:val="00451FC3"/>
    <w:rsid w:val="00457BC3"/>
    <w:rsid w:val="00462452"/>
    <w:rsid w:val="004663BE"/>
    <w:rsid w:val="004801C6"/>
    <w:rsid w:val="004814D8"/>
    <w:rsid w:val="004820B4"/>
    <w:rsid w:val="00492E2C"/>
    <w:rsid w:val="004934A1"/>
    <w:rsid w:val="004935EB"/>
    <w:rsid w:val="004A52DC"/>
    <w:rsid w:val="004A5992"/>
    <w:rsid w:val="004B37D4"/>
    <w:rsid w:val="004B5725"/>
    <w:rsid w:val="004B5D2A"/>
    <w:rsid w:val="004C10BF"/>
    <w:rsid w:val="004C3007"/>
    <w:rsid w:val="004C4392"/>
    <w:rsid w:val="004C477C"/>
    <w:rsid w:val="004D05B3"/>
    <w:rsid w:val="004D0E48"/>
    <w:rsid w:val="004D3105"/>
    <w:rsid w:val="004D31E8"/>
    <w:rsid w:val="004D3B64"/>
    <w:rsid w:val="004E4E48"/>
    <w:rsid w:val="004E50CC"/>
    <w:rsid w:val="004E534A"/>
    <w:rsid w:val="004F55C0"/>
    <w:rsid w:val="004F713D"/>
    <w:rsid w:val="00513BA4"/>
    <w:rsid w:val="00520D98"/>
    <w:rsid w:val="00521949"/>
    <w:rsid w:val="00522AC9"/>
    <w:rsid w:val="00525FD5"/>
    <w:rsid w:val="005317C6"/>
    <w:rsid w:val="00541324"/>
    <w:rsid w:val="005430E6"/>
    <w:rsid w:val="00545891"/>
    <w:rsid w:val="005502B4"/>
    <w:rsid w:val="005509F2"/>
    <w:rsid w:val="0055111B"/>
    <w:rsid w:val="00551C6B"/>
    <w:rsid w:val="00552685"/>
    <w:rsid w:val="00553607"/>
    <w:rsid w:val="00554993"/>
    <w:rsid w:val="00560E1B"/>
    <w:rsid w:val="005809D1"/>
    <w:rsid w:val="00584A28"/>
    <w:rsid w:val="00590F6B"/>
    <w:rsid w:val="005938F3"/>
    <w:rsid w:val="005957C6"/>
    <w:rsid w:val="00595FA5"/>
    <w:rsid w:val="005973F7"/>
    <w:rsid w:val="005A21BA"/>
    <w:rsid w:val="005A4B80"/>
    <w:rsid w:val="005A7641"/>
    <w:rsid w:val="005B441A"/>
    <w:rsid w:val="005C0475"/>
    <w:rsid w:val="005C0E91"/>
    <w:rsid w:val="005C21AE"/>
    <w:rsid w:val="005C3556"/>
    <w:rsid w:val="005C5CC1"/>
    <w:rsid w:val="005D243B"/>
    <w:rsid w:val="005D4B6D"/>
    <w:rsid w:val="005D6D69"/>
    <w:rsid w:val="005E05A7"/>
    <w:rsid w:val="005E2ADD"/>
    <w:rsid w:val="005E3584"/>
    <w:rsid w:val="005E3FA8"/>
    <w:rsid w:val="005E612B"/>
    <w:rsid w:val="005E66D5"/>
    <w:rsid w:val="005F1B84"/>
    <w:rsid w:val="005F5915"/>
    <w:rsid w:val="006032DA"/>
    <w:rsid w:val="0060364F"/>
    <w:rsid w:val="00606AB6"/>
    <w:rsid w:val="00615E31"/>
    <w:rsid w:val="00617843"/>
    <w:rsid w:val="006221AC"/>
    <w:rsid w:val="006242B4"/>
    <w:rsid w:val="00627642"/>
    <w:rsid w:val="0063458C"/>
    <w:rsid w:val="00634DC4"/>
    <w:rsid w:val="00644A8E"/>
    <w:rsid w:val="00647874"/>
    <w:rsid w:val="006555F3"/>
    <w:rsid w:val="0065681B"/>
    <w:rsid w:val="0067088A"/>
    <w:rsid w:val="00671047"/>
    <w:rsid w:val="006741E0"/>
    <w:rsid w:val="00675E33"/>
    <w:rsid w:val="00676591"/>
    <w:rsid w:val="00677645"/>
    <w:rsid w:val="00680731"/>
    <w:rsid w:val="00684954"/>
    <w:rsid w:val="00685354"/>
    <w:rsid w:val="0069589E"/>
    <w:rsid w:val="00696159"/>
    <w:rsid w:val="006A0A12"/>
    <w:rsid w:val="006B1697"/>
    <w:rsid w:val="006B1B2F"/>
    <w:rsid w:val="006B2091"/>
    <w:rsid w:val="006B29EB"/>
    <w:rsid w:val="006B309E"/>
    <w:rsid w:val="006B5E38"/>
    <w:rsid w:val="006C10D3"/>
    <w:rsid w:val="006C2C41"/>
    <w:rsid w:val="006C3478"/>
    <w:rsid w:val="006E039F"/>
    <w:rsid w:val="006E03CB"/>
    <w:rsid w:val="006E266F"/>
    <w:rsid w:val="006E3228"/>
    <w:rsid w:val="006F016E"/>
    <w:rsid w:val="006F03B0"/>
    <w:rsid w:val="006F17AD"/>
    <w:rsid w:val="006F3EAC"/>
    <w:rsid w:val="007001D0"/>
    <w:rsid w:val="007033C9"/>
    <w:rsid w:val="007114AF"/>
    <w:rsid w:val="00720D1E"/>
    <w:rsid w:val="007212F4"/>
    <w:rsid w:val="00727A40"/>
    <w:rsid w:val="007405F4"/>
    <w:rsid w:val="007408F0"/>
    <w:rsid w:val="00742785"/>
    <w:rsid w:val="00753B6F"/>
    <w:rsid w:val="007569CB"/>
    <w:rsid w:val="007576D9"/>
    <w:rsid w:val="0076650A"/>
    <w:rsid w:val="00766D6F"/>
    <w:rsid w:val="007673A9"/>
    <w:rsid w:val="007763AC"/>
    <w:rsid w:val="0077689E"/>
    <w:rsid w:val="00782AF4"/>
    <w:rsid w:val="00787999"/>
    <w:rsid w:val="007929B6"/>
    <w:rsid w:val="00797703"/>
    <w:rsid w:val="007A059C"/>
    <w:rsid w:val="007A377E"/>
    <w:rsid w:val="007A59C1"/>
    <w:rsid w:val="007B3890"/>
    <w:rsid w:val="007B41BB"/>
    <w:rsid w:val="007B5214"/>
    <w:rsid w:val="007B5613"/>
    <w:rsid w:val="007D0936"/>
    <w:rsid w:val="007E3D27"/>
    <w:rsid w:val="007E5765"/>
    <w:rsid w:val="007E59C2"/>
    <w:rsid w:val="007E699E"/>
    <w:rsid w:val="007F2ACC"/>
    <w:rsid w:val="007F2BA7"/>
    <w:rsid w:val="007F656B"/>
    <w:rsid w:val="007F6580"/>
    <w:rsid w:val="007F7CAB"/>
    <w:rsid w:val="0080001B"/>
    <w:rsid w:val="00800B99"/>
    <w:rsid w:val="00803FA2"/>
    <w:rsid w:val="00806E40"/>
    <w:rsid w:val="00810A80"/>
    <w:rsid w:val="00812DE7"/>
    <w:rsid w:val="00821598"/>
    <w:rsid w:val="008265E2"/>
    <w:rsid w:val="00826C72"/>
    <w:rsid w:val="00826FA7"/>
    <w:rsid w:val="008272DC"/>
    <w:rsid w:val="00834D5B"/>
    <w:rsid w:val="0083557F"/>
    <w:rsid w:val="00835974"/>
    <w:rsid w:val="00835C00"/>
    <w:rsid w:val="008366A4"/>
    <w:rsid w:val="00840870"/>
    <w:rsid w:val="00842A6B"/>
    <w:rsid w:val="00842F82"/>
    <w:rsid w:val="00843EEB"/>
    <w:rsid w:val="00844B85"/>
    <w:rsid w:val="00846CC4"/>
    <w:rsid w:val="008636CE"/>
    <w:rsid w:val="00871006"/>
    <w:rsid w:val="0088712E"/>
    <w:rsid w:val="00891A52"/>
    <w:rsid w:val="00891C95"/>
    <w:rsid w:val="00894703"/>
    <w:rsid w:val="00896E9A"/>
    <w:rsid w:val="008A350E"/>
    <w:rsid w:val="008A38AC"/>
    <w:rsid w:val="008A561B"/>
    <w:rsid w:val="008B1501"/>
    <w:rsid w:val="008C0912"/>
    <w:rsid w:val="008C0A3C"/>
    <w:rsid w:val="008C3C84"/>
    <w:rsid w:val="008D0AE4"/>
    <w:rsid w:val="008D0F62"/>
    <w:rsid w:val="008D23A2"/>
    <w:rsid w:val="008D398D"/>
    <w:rsid w:val="008D4A22"/>
    <w:rsid w:val="008D67DA"/>
    <w:rsid w:val="008E280A"/>
    <w:rsid w:val="008E388C"/>
    <w:rsid w:val="008E4FE1"/>
    <w:rsid w:val="008E576A"/>
    <w:rsid w:val="008E71D3"/>
    <w:rsid w:val="008E7475"/>
    <w:rsid w:val="008F0543"/>
    <w:rsid w:val="008F35A0"/>
    <w:rsid w:val="008F6D50"/>
    <w:rsid w:val="008F7332"/>
    <w:rsid w:val="00901679"/>
    <w:rsid w:val="00902FCE"/>
    <w:rsid w:val="00903A03"/>
    <w:rsid w:val="00905FC5"/>
    <w:rsid w:val="009073C3"/>
    <w:rsid w:val="00910077"/>
    <w:rsid w:val="0091264E"/>
    <w:rsid w:val="00914B0E"/>
    <w:rsid w:val="00915838"/>
    <w:rsid w:val="00924006"/>
    <w:rsid w:val="009268F0"/>
    <w:rsid w:val="00926F41"/>
    <w:rsid w:val="0093101F"/>
    <w:rsid w:val="00942343"/>
    <w:rsid w:val="00944066"/>
    <w:rsid w:val="00950BFC"/>
    <w:rsid w:val="009522AE"/>
    <w:rsid w:val="009562D2"/>
    <w:rsid w:val="0096362F"/>
    <w:rsid w:val="00965AC7"/>
    <w:rsid w:val="00974400"/>
    <w:rsid w:val="00976987"/>
    <w:rsid w:val="009814A8"/>
    <w:rsid w:val="00983E3D"/>
    <w:rsid w:val="00986825"/>
    <w:rsid w:val="009944C2"/>
    <w:rsid w:val="009961C7"/>
    <w:rsid w:val="00997BDF"/>
    <w:rsid w:val="009A0978"/>
    <w:rsid w:val="009A2431"/>
    <w:rsid w:val="009A2D62"/>
    <w:rsid w:val="009A3E25"/>
    <w:rsid w:val="009A49D4"/>
    <w:rsid w:val="009B0B79"/>
    <w:rsid w:val="009B52A9"/>
    <w:rsid w:val="009C3B82"/>
    <w:rsid w:val="009D31A4"/>
    <w:rsid w:val="009D3737"/>
    <w:rsid w:val="009D488C"/>
    <w:rsid w:val="009E1966"/>
    <w:rsid w:val="009E2398"/>
    <w:rsid w:val="009E4B71"/>
    <w:rsid w:val="009F00BA"/>
    <w:rsid w:val="009F0D50"/>
    <w:rsid w:val="009F20D8"/>
    <w:rsid w:val="009F6DF6"/>
    <w:rsid w:val="00A01A0F"/>
    <w:rsid w:val="00A01DB0"/>
    <w:rsid w:val="00A02FA1"/>
    <w:rsid w:val="00A03B11"/>
    <w:rsid w:val="00A043CF"/>
    <w:rsid w:val="00A0595C"/>
    <w:rsid w:val="00A10A75"/>
    <w:rsid w:val="00A1695E"/>
    <w:rsid w:val="00A20700"/>
    <w:rsid w:val="00A21D6F"/>
    <w:rsid w:val="00A26141"/>
    <w:rsid w:val="00A2747C"/>
    <w:rsid w:val="00A275C9"/>
    <w:rsid w:val="00A31ADE"/>
    <w:rsid w:val="00A321BA"/>
    <w:rsid w:val="00A3393B"/>
    <w:rsid w:val="00A353A3"/>
    <w:rsid w:val="00A42560"/>
    <w:rsid w:val="00A4412B"/>
    <w:rsid w:val="00A44925"/>
    <w:rsid w:val="00A45D9B"/>
    <w:rsid w:val="00A5045F"/>
    <w:rsid w:val="00A54858"/>
    <w:rsid w:val="00A62AAC"/>
    <w:rsid w:val="00A62B14"/>
    <w:rsid w:val="00A62F90"/>
    <w:rsid w:val="00A63033"/>
    <w:rsid w:val="00A656C3"/>
    <w:rsid w:val="00A6667F"/>
    <w:rsid w:val="00A707A2"/>
    <w:rsid w:val="00A7316B"/>
    <w:rsid w:val="00A742E7"/>
    <w:rsid w:val="00A774D9"/>
    <w:rsid w:val="00A77A9A"/>
    <w:rsid w:val="00A77FC9"/>
    <w:rsid w:val="00A8469A"/>
    <w:rsid w:val="00A84780"/>
    <w:rsid w:val="00A84D30"/>
    <w:rsid w:val="00A860B8"/>
    <w:rsid w:val="00A86E68"/>
    <w:rsid w:val="00A86EE2"/>
    <w:rsid w:val="00A870B0"/>
    <w:rsid w:val="00A90669"/>
    <w:rsid w:val="00A934D8"/>
    <w:rsid w:val="00A9352A"/>
    <w:rsid w:val="00A94508"/>
    <w:rsid w:val="00A94B40"/>
    <w:rsid w:val="00AA6DE7"/>
    <w:rsid w:val="00AA719A"/>
    <w:rsid w:val="00AB65FE"/>
    <w:rsid w:val="00AC4037"/>
    <w:rsid w:val="00AD5662"/>
    <w:rsid w:val="00AD5CC7"/>
    <w:rsid w:val="00AD6DE2"/>
    <w:rsid w:val="00AE1341"/>
    <w:rsid w:val="00AE4A54"/>
    <w:rsid w:val="00AF0EB2"/>
    <w:rsid w:val="00AF1412"/>
    <w:rsid w:val="00AF6E91"/>
    <w:rsid w:val="00B02EEC"/>
    <w:rsid w:val="00B116E7"/>
    <w:rsid w:val="00B11BB0"/>
    <w:rsid w:val="00B1515B"/>
    <w:rsid w:val="00B261E5"/>
    <w:rsid w:val="00B26AEF"/>
    <w:rsid w:val="00B424DD"/>
    <w:rsid w:val="00B44EB2"/>
    <w:rsid w:val="00B47997"/>
    <w:rsid w:val="00B51592"/>
    <w:rsid w:val="00B56304"/>
    <w:rsid w:val="00B57D38"/>
    <w:rsid w:val="00B61A32"/>
    <w:rsid w:val="00B62D90"/>
    <w:rsid w:val="00B6613F"/>
    <w:rsid w:val="00B67B8A"/>
    <w:rsid w:val="00B71E56"/>
    <w:rsid w:val="00B7388C"/>
    <w:rsid w:val="00B81855"/>
    <w:rsid w:val="00B83BA7"/>
    <w:rsid w:val="00B84BB3"/>
    <w:rsid w:val="00B84E3F"/>
    <w:rsid w:val="00B85320"/>
    <w:rsid w:val="00B90456"/>
    <w:rsid w:val="00B92516"/>
    <w:rsid w:val="00B9260E"/>
    <w:rsid w:val="00B92D9C"/>
    <w:rsid w:val="00B942A7"/>
    <w:rsid w:val="00B94FB4"/>
    <w:rsid w:val="00BA0AEE"/>
    <w:rsid w:val="00BA5932"/>
    <w:rsid w:val="00BA7EA2"/>
    <w:rsid w:val="00BB48B7"/>
    <w:rsid w:val="00BB4F56"/>
    <w:rsid w:val="00BB5BBA"/>
    <w:rsid w:val="00BE0B2D"/>
    <w:rsid w:val="00BE0B82"/>
    <w:rsid w:val="00BE1B0A"/>
    <w:rsid w:val="00BF1976"/>
    <w:rsid w:val="00BF2E83"/>
    <w:rsid w:val="00BF37C3"/>
    <w:rsid w:val="00BF6CD7"/>
    <w:rsid w:val="00C1452C"/>
    <w:rsid w:val="00C17DD8"/>
    <w:rsid w:val="00C241DA"/>
    <w:rsid w:val="00C26A08"/>
    <w:rsid w:val="00C325F2"/>
    <w:rsid w:val="00C32BC7"/>
    <w:rsid w:val="00C335BB"/>
    <w:rsid w:val="00C344A5"/>
    <w:rsid w:val="00C418B7"/>
    <w:rsid w:val="00C451EF"/>
    <w:rsid w:val="00C50461"/>
    <w:rsid w:val="00C524F9"/>
    <w:rsid w:val="00C531C3"/>
    <w:rsid w:val="00C55C9B"/>
    <w:rsid w:val="00C5636D"/>
    <w:rsid w:val="00C57D07"/>
    <w:rsid w:val="00C61063"/>
    <w:rsid w:val="00C6717E"/>
    <w:rsid w:val="00C72DCC"/>
    <w:rsid w:val="00C84208"/>
    <w:rsid w:val="00C87A4F"/>
    <w:rsid w:val="00C92B3C"/>
    <w:rsid w:val="00C9627F"/>
    <w:rsid w:val="00C972DD"/>
    <w:rsid w:val="00C97D59"/>
    <w:rsid w:val="00CA0432"/>
    <w:rsid w:val="00CA5796"/>
    <w:rsid w:val="00CB2E16"/>
    <w:rsid w:val="00CB4ABC"/>
    <w:rsid w:val="00CC0C55"/>
    <w:rsid w:val="00CC1509"/>
    <w:rsid w:val="00CC2466"/>
    <w:rsid w:val="00CC4A3B"/>
    <w:rsid w:val="00CC5628"/>
    <w:rsid w:val="00CD522D"/>
    <w:rsid w:val="00CE216D"/>
    <w:rsid w:val="00CE703F"/>
    <w:rsid w:val="00D01580"/>
    <w:rsid w:val="00D03FD5"/>
    <w:rsid w:val="00D05730"/>
    <w:rsid w:val="00D06D38"/>
    <w:rsid w:val="00D071F5"/>
    <w:rsid w:val="00D1185F"/>
    <w:rsid w:val="00D12184"/>
    <w:rsid w:val="00D1247D"/>
    <w:rsid w:val="00D1394E"/>
    <w:rsid w:val="00D142FD"/>
    <w:rsid w:val="00D218A5"/>
    <w:rsid w:val="00D22699"/>
    <w:rsid w:val="00D2568F"/>
    <w:rsid w:val="00D31D59"/>
    <w:rsid w:val="00D365E4"/>
    <w:rsid w:val="00D36AE7"/>
    <w:rsid w:val="00D36D2F"/>
    <w:rsid w:val="00D36D6E"/>
    <w:rsid w:val="00D3725B"/>
    <w:rsid w:val="00D457AE"/>
    <w:rsid w:val="00D55EDF"/>
    <w:rsid w:val="00D56C01"/>
    <w:rsid w:val="00D56E6D"/>
    <w:rsid w:val="00D573F8"/>
    <w:rsid w:val="00D624EF"/>
    <w:rsid w:val="00D65FE6"/>
    <w:rsid w:val="00D7007A"/>
    <w:rsid w:val="00D71D07"/>
    <w:rsid w:val="00D72BEE"/>
    <w:rsid w:val="00D773BD"/>
    <w:rsid w:val="00D90251"/>
    <w:rsid w:val="00D91473"/>
    <w:rsid w:val="00D955B6"/>
    <w:rsid w:val="00DA5198"/>
    <w:rsid w:val="00DA6169"/>
    <w:rsid w:val="00DB4CAC"/>
    <w:rsid w:val="00DB72E0"/>
    <w:rsid w:val="00DC5205"/>
    <w:rsid w:val="00DC7EFF"/>
    <w:rsid w:val="00DD3D5C"/>
    <w:rsid w:val="00DD4FB3"/>
    <w:rsid w:val="00DD4FBF"/>
    <w:rsid w:val="00DD5234"/>
    <w:rsid w:val="00DE7271"/>
    <w:rsid w:val="00DF07AE"/>
    <w:rsid w:val="00E001A1"/>
    <w:rsid w:val="00E03308"/>
    <w:rsid w:val="00E069B5"/>
    <w:rsid w:val="00E1629B"/>
    <w:rsid w:val="00E17967"/>
    <w:rsid w:val="00E25FE5"/>
    <w:rsid w:val="00E2655F"/>
    <w:rsid w:val="00E26A3A"/>
    <w:rsid w:val="00E31D30"/>
    <w:rsid w:val="00E32548"/>
    <w:rsid w:val="00E342F6"/>
    <w:rsid w:val="00E35646"/>
    <w:rsid w:val="00E36500"/>
    <w:rsid w:val="00E40505"/>
    <w:rsid w:val="00E44444"/>
    <w:rsid w:val="00E44867"/>
    <w:rsid w:val="00E45F70"/>
    <w:rsid w:val="00E509EB"/>
    <w:rsid w:val="00E54164"/>
    <w:rsid w:val="00E54185"/>
    <w:rsid w:val="00E57D67"/>
    <w:rsid w:val="00E64171"/>
    <w:rsid w:val="00E64B82"/>
    <w:rsid w:val="00E6642C"/>
    <w:rsid w:val="00E66E09"/>
    <w:rsid w:val="00E71228"/>
    <w:rsid w:val="00E71941"/>
    <w:rsid w:val="00E7338E"/>
    <w:rsid w:val="00E73A7C"/>
    <w:rsid w:val="00E835DE"/>
    <w:rsid w:val="00E844D3"/>
    <w:rsid w:val="00E91176"/>
    <w:rsid w:val="00E925AB"/>
    <w:rsid w:val="00E9280C"/>
    <w:rsid w:val="00E92951"/>
    <w:rsid w:val="00E930E5"/>
    <w:rsid w:val="00E965FD"/>
    <w:rsid w:val="00E9703E"/>
    <w:rsid w:val="00EA047F"/>
    <w:rsid w:val="00EA5C28"/>
    <w:rsid w:val="00EB0B10"/>
    <w:rsid w:val="00EB5B73"/>
    <w:rsid w:val="00EC01AE"/>
    <w:rsid w:val="00EC063B"/>
    <w:rsid w:val="00EC5D7B"/>
    <w:rsid w:val="00EC65B7"/>
    <w:rsid w:val="00ED1CA2"/>
    <w:rsid w:val="00ED43FA"/>
    <w:rsid w:val="00ED5FEF"/>
    <w:rsid w:val="00ED65FB"/>
    <w:rsid w:val="00EE000E"/>
    <w:rsid w:val="00EE282C"/>
    <w:rsid w:val="00EE63E2"/>
    <w:rsid w:val="00EF338D"/>
    <w:rsid w:val="00F02250"/>
    <w:rsid w:val="00F055EF"/>
    <w:rsid w:val="00F0721C"/>
    <w:rsid w:val="00F16AE4"/>
    <w:rsid w:val="00F179EF"/>
    <w:rsid w:val="00F22D98"/>
    <w:rsid w:val="00F272B0"/>
    <w:rsid w:val="00F34D1F"/>
    <w:rsid w:val="00F41E2F"/>
    <w:rsid w:val="00F43AE4"/>
    <w:rsid w:val="00F4432C"/>
    <w:rsid w:val="00F44D70"/>
    <w:rsid w:val="00F50791"/>
    <w:rsid w:val="00F523E7"/>
    <w:rsid w:val="00F5387B"/>
    <w:rsid w:val="00F548B8"/>
    <w:rsid w:val="00F55565"/>
    <w:rsid w:val="00F62CA3"/>
    <w:rsid w:val="00F66D10"/>
    <w:rsid w:val="00F66FF3"/>
    <w:rsid w:val="00F67933"/>
    <w:rsid w:val="00F707D8"/>
    <w:rsid w:val="00F71DEA"/>
    <w:rsid w:val="00F73908"/>
    <w:rsid w:val="00F75C8A"/>
    <w:rsid w:val="00F76181"/>
    <w:rsid w:val="00F7731A"/>
    <w:rsid w:val="00F81BED"/>
    <w:rsid w:val="00F824F8"/>
    <w:rsid w:val="00F85056"/>
    <w:rsid w:val="00F92343"/>
    <w:rsid w:val="00F94655"/>
    <w:rsid w:val="00F94B5F"/>
    <w:rsid w:val="00F96209"/>
    <w:rsid w:val="00FA38AB"/>
    <w:rsid w:val="00FA5809"/>
    <w:rsid w:val="00FA62B2"/>
    <w:rsid w:val="00FA6C0D"/>
    <w:rsid w:val="00FA7724"/>
    <w:rsid w:val="00FB04A7"/>
    <w:rsid w:val="00FB1EB3"/>
    <w:rsid w:val="00FD06CB"/>
    <w:rsid w:val="00FD13B7"/>
    <w:rsid w:val="00FD2956"/>
    <w:rsid w:val="00FD3F59"/>
    <w:rsid w:val="00FD787B"/>
    <w:rsid w:val="00FE223B"/>
    <w:rsid w:val="00FE2CBD"/>
    <w:rsid w:val="00FE7B90"/>
    <w:rsid w:val="00FF2661"/>
    <w:rsid w:val="00FF2747"/>
    <w:rsid w:val="00FF2E0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BAA6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B4F56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9961C7"/>
    <w:rPr>
      <w:i/>
      <w:iCs/>
    </w:rPr>
  </w:style>
  <w:style w:type="paragraph" w:styleId="ListParagraph">
    <w:name w:val="List Paragraph"/>
    <w:basedOn w:val="Normal"/>
    <w:uiPriority w:val="34"/>
    <w:qFormat/>
    <w:rsid w:val="00A86E68"/>
    <w:pPr>
      <w:ind w:left="720"/>
      <w:contextualSpacing/>
    </w:pPr>
  </w:style>
  <w:style w:type="character" w:styleId="CommentReference">
    <w:name w:val="annotation reference"/>
    <w:basedOn w:val="DefaultParagraphFont"/>
    <w:rsid w:val="008D0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0F62"/>
  </w:style>
  <w:style w:type="paragraph" w:styleId="CommentSubject">
    <w:name w:val="annotation subject"/>
    <w:basedOn w:val="CommentText"/>
    <w:next w:val="CommentText"/>
    <w:link w:val="CommentSubjectChar"/>
    <w:rsid w:val="008D0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F62"/>
    <w:rPr>
      <w:b/>
      <w:bCs/>
    </w:rPr>
  </w:style>
  <w:style w:type="table" w:styleId="TableGrid">
    <w:name w:val="Table Grid"/>
    <w:basedOn w:val="TableNormal"/>
    <w:rsid w:val="00BF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B4F56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9961C7"/>
    <w:rPr>
      <w:i/>
      <w:iCs/>
    </w:rPr>
  </w:style>
  <w:style w:type="paragraph" w:styleId="ListParagraph">
    <w:name w:val="List Paragraph"/>
    <w:basedOn w:val="Normal"/>
    <w:uiPriority w:val="34"/>
    <w:qFormat/>
    <w:rsid w:val="00A86E68"/>
    <w:pPr>
      <w:ind w:left="720"/>
      <w:contextualSpacing/>
    </w:pPr>
  </w:style>
  <w:style w:type="character" w:styleId="CommentReference">
    <w:name w:val="annotation reference"/>
    <w:basedOn w:val="DefaultParagraphFont"/>
    <w:rsid w:val="008D0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0F62"/>
  </w:style>
  <w:style w:type="paragraph" w:styleId="CommentSubject">
    <w:name w:val="annotation subject"/>
    <w:basedOn w:val="CommentText"/>
    <w:next w:val="CommentText"/>
    <w:link w:val="CommentSubjectChar"/>
    <w:rsid w:val="008D0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F62"/>
    <w:rPr>
      <w:b/>
      <w:bCs/>
    </w:rPr>
  </w:style>
  <w:style w:type="table" w:styleId="TableGrid">
    <w:name w:val="Table Grid"/>
    <w:basedOn w:val="TableNormal"/>
    <w:rsid w:val="00BF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814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8" w:color="FFFFFF"/>
                            <w:right w:val="single" w:sz="6" w:space="8" w:color="FFFFFF"/>
                          </w:divBdr>
                          <w:divsChild>
                            <w:div w:id="5358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978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8" w:color="FFFFFF"/>
                            <w:right w:val="single" w:sz="6" w:space="8" w:color="FFFFFF"/>
                          </w:divBdr>
                          <w:divsChild>
                            <w:div w:id="5682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sultation@treasury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treasury.gov.au/ConsultationsandReviews/Submissions/2011/modernising-trust-income-ta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arliamentary\Consultation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BCAED125CEB43B39DAD94BDEC00A1" ma:contentTypeVersion="1" ma:contentTypeDescription="Create a new document." ma:contentTypeScope="" ma:versionID="a68b2f8c34644249b9bbcff9507eca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A659-B3C8-4FD7-BCB0-CF6C0DF7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2B2B8-309A-4548-8229-4EBD9E11F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D66-EF87-4A9E-8648-BE5C6974260C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984CC-CC30-4F16-A785-D37EB9D1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Consultation summary.dotx</Template>
  <TotalTime>0</TotalTime>
  <Pages>2</Pages>
  <Words>525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TDRP consultation summary template:</vt:lpstr>
    </vt:vector>
  </TitlesOfParts>
  <Company>The Treasury</Company>
  <LinksUpToDate>false</LinksUpToDate>
  <CharactersWithSpaces>3597</CharactersWithSpaces>
  <SharedDoc>false</SharedDoc>
  <HLinks>
    <vt:vector size="6" baseType="variant">
      <vt:variant>
        <vt:i4>5898275</vt:i4>
      </vt:variant>
      <vt:variant>
        <vt:i4>36</vt:i4>
      </vt:variant>
      <vt:variant>
        <vt:i4>0</vt:i4>
      </vt:variant>
      <vt:variant>
        <vt:i4>5</vt:i4>
      </vt:variant>
      <vt:variant>
        <vt:lpwstr>mailto:consultation@treasury.gov.au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TDRP consultation summary template:</dc:title>
  <dc:creator>Mai, Yuanyuan</dc:creator>
  <cp:lastModifiedBy>Hawkins, Nigel</cp:lastModifiedBy>
  <cp:revision>2</cp:revision>
  <cp:lastPrinted>2009-01-07T00:49:00Z</cp:lastPrinted>
  <dcterms:created xsi:type="dcterms:W3CDTF">2012-07-31T05:02:00Z</dcterms:created>
  <dcterms:modified xsi:type="dcterms:W3CDTF">2012-07-31T05:02:00Z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1719581053</vt:i4>
  </property>
  <property fmtid="{D5CDD505-2E9C-101B-9397-08002B2CF9AE}" pid="4" name="_EmailSubject">
    <vt:lpwstr>Treasury Consultation - modernising trust income tax - Submissions - Email 5 - Nigel [SEC=UNOFFICIAL]</vt:lpwstr>
  </property>
  <property fmtid="{D5CDD505-2E9C-101B-9397-08002B2CF9AE}" pid="5" name="_AuthorEmail">
    <vt:lpwstr>YuanyuanAlice.Mai@TREASURY.GOV.AU</vt:lpwstr>
  </property>
  <property fmtid="{D5CDD505-2E9C-101B-9397-08002B2CF9AE}" pid="6" name="_AuthorEmailDisplayName">
    <vt:lpwstr>Mai, Yuanyuan</vt:lpwstr>
  </property>
  <property fmtid="{D5CDD505-2E9C-101B-9397-08002B2CF9AE}" pid="7" name="_PreviousAdHocReviewCycleID">
    <vt:i4>1770461327</vt:i4>
  </property>
  <property fmtid="{D5CDD505-2E9C-101B-9397-08002B2CF9AE}" pid="8" name="ContentTypeId">
    <vt:lpwstr>0x010100D5EBCAED125CEB43B39DAD94BDEC00A1</vt:lpwstr>
  </property>
  <property fmtid="{D5CDD505-2E9C-101B-9397-08002B2CF9AE}" pid="9" name="_ReviewingToolsShownOnce">
    <vt:lpwstr/>
  </property>
</Properties>
</file>