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E8" w:rsidRPr="007D1ED4" w:rsidRDefault="002B74E8" w:rsidP="002F6357">
      <w:pPr>
        <w:jc w:val="center"/>
        <w:rPr>
          <w:rFonts w:asciiTheme="majorHAnsi" w:hAnsiTheme="majorHAnsi" w:cstheme="minorHAnsi"/>
          <w:b/>
          <w:i w:val="0"/>
          <w:color w:val="000000"/>
          <w:sz w:val="28"/>
        </w:rPr>
      </w:pPr>
    </w:p>
    <w:p w:rsidR="002B74E8" w:rsidRDefault="002B74E8" w:rsidP="002F6357">
      <w:pPr>
        <w:jc w:val="center"/>
        <w:rPr>
          <w:rFonts w:asciiTheme="majorHAnsi" w:hAnsiTheme="majorHAnsi" w:cstheme="minorHAnsi"/>
          <w:b/>
          <w:color w:val="000000"/>
          <w:sz w:val="28"/>
        </w:rPr>
      </w:pPr>
    </w:p>
    <w:p w:rsidR="002B74E8" w:rsidRDefault="002B74E8" w:rsidP="002F6357">
      <w:pPr>
        <w:jc w:val="center"/>
        <w:rPr>
          <w:rFonts w:asciiTheme="majorHAnsi" w:hAnsiTheme="majorHAnsi" w:cstheme="minorHAnsi"/>
          <w:b/>
          <w:color w:val="000000"/>
          <w:sz w:val="28"/>
        </w:rPr>
      </w:pPr>
    </w:p>
    <w:p w:rsidR="002F6357" w:rsidRPr="002C2F90" w:rsidRDefault="002F6357" w:rsidP="002F6357">
      <w:pPr>
        <w:jc w:val="center"/>
        <w:rPr>
          <w:rFonts w:asciiTheme="majorHAnsi" w:hAnsiTheme="majorHAnsi" w:cstheme="minorHAnsi"/>
          <w:b/>
          <w:color w:val="000000"/>
          <w:sz w:val="28"/>
        </w:rPr>
      </w:pPr>
    </w:p>
    <w:p w:rsidR="002F6357" w:rsidRDefault="002F6357" w:rsidP="002F6357">
      <w:pPr>
        <w:jc w:val="center"/>
        <w:rPr>
          <w:rFonts w:asciiTheme="majorHAnsi" w:hAnsiTheme="majorHAnsi"/>
          <w:b/>
          <w:sz w:val="28"/>
        </w:rPr>
      </w:pPr>
      <w:r w:rsidRPr="002C2F90">
        <w:rPr>
          <w:rFonts w:asciiTheme="minorHAnsi" w:hAnsiTheme="minorHAnsi" w:cstheme="minorHAnsi"/>
          <w:noProof/>
          <w:sz w:val="22"/>
          <w:szCs w:val="22"/>
          <w:lang w:eastAsia="en-AU"/>
        </w:rPr>
        <w:drawing>
          <wp:inline distT="0" distB="0" distL="0" distR="0" wp14:anchorId="54ABD0F7" wp14:editId="5E7C79A2">
            <wp:extent cx="3653469" cy="16840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A_LOGO_Medium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0818" cy="1687407"/>
                    </a:xfrm>
                    <a:prstGeom prst="rect">
                      <a:avLst/>
                    </a:prstGeom>
                  </pic:spPr>
                </pic:pic>
              </a:graphicData>
            </a:graphic>
          </wp:inline>
        </w:drawing>
      </w:r>
    </w:p>
    <w:p w:rsidR="002F6357" w:rsidRDefault="002F6357" w:rsidP="002F6357">
      <w:pPr>
        <w:jc w:val="center"/>
        <w:rPr>
          <w:rFonts w:asciiTheme="majorHAnsi" w:hAnsiTheme="majorHAnsi"/>
          <w:b/>
          <w:sz w:val="28"/>
        </w:rPr>
      </w:pPr>
    </w:p>
    <w:p w:rsidR="002F6357" w:rsidRDefault="002F6357" w:rsidP="002F6357">
      <w:pPr>
        <w:jc w:val="center"/>
        <w:rPr>
          <w:rFonts w:asciiTheme="majorHAnsi" w:hAnsiTheme="majorHAnsi"/>
          <w:b/>
          <w:sz w:val="28"/>
        </w:rPr>
      </w:pPr>
    </w:p>
    <w:p w:rsidR="002F6357" w:rsidRDefault="002F6357" w:rsidP="002F6357">
      <w:pPr>
        <w:jc w:val="center"/>
        <w:rPr>
          <w:rFonts w:asciiTheme="majorHAnsi" w:hAnsiTheme="majorHAnsi"/>
          <w:b/>
          <w:sz w:val="28"/>
        </w:rPr>
      </w:pPr>
    </w:p>
    <w:p w:rsidR="002F6357" w:rsidRDefault="002F6357" w:rsidP="002F6357">
      <w:pPr>
        <w:jc w:val="center"/>
        <w:rPr>
          <w:rFonts w:asciiTheme="majorHAnsi" w:hAnsiTheme="majorHAnsi"/>
          <w:b/>
          <w:sz w:val="28"/>
        </w:rPr>
      </w:pPr>
    </w:p>
    <w:p w:rsidR="002F6357" w:rsidRPr="002C2F90" w:rsidRDefault="002F6357" w:rsidP="002F6357">
      <w:pPr>
        <w:jc w:val="center"/>
        <w:rPr>
          <w:rFonts w:asciiTheme="majorHAnsi" w:hAnsiTheme="majorHAnsi"/>
          <w:b/>
          <w:sz w:val="28"/>
        </w:rPr>
      </w:pPr>
    </w:p>
    <w:p w:rsidR="002F6357" w:rsidRPr="002C2F90" w:rsidRDefault="002F6357" w:rsidP="002F6357">
      <w:pPr>
        <w:jc w:val="center"/>
        <w:rPr>
          <w:rFonts w:asciiTheme="majorHAnsi" w:hAnsiTheme="majorHAnsi"/>
          <w:b/>
          <w:sz w:val="28"/>
        </w:rPr>
      </w:pPr>
    </w:p>
    <w:p w:rsidR="002F6357" w:rsidRPr="00632673" w:rsidRDefault="002F6357" w:rsidP="002F6357">
      <w:pPr>
        <w:jc w:val="center"/>
        <w:rPr>
          <w:rFonts w:asciiTheme="majorHAnsi" w:hAnsiTheme="majorHAnsi"/>
          <w:b/>
          <w:i w:val="0"/>
          <w:sz w:val="36"/>
          <w:szCs w:val="36"/>
        </w:rPr>
      </w:pPr>
      <w:r w:rsidRPr="00632673">
        <w:rPr>
          <w:rFonts w:asciiTheme="majorHAnsi" w:hAnsiTheme="majorHAnsi"/>
          <w:b/>
          <w:i w:val="0"/>
          <w:sz w:val="36"/>
          <w:szCs w:val="36"/>
        </w:rPr>
        <w:t xml:space="preserve">Submission to </w:t>
      </w:r>
      <w:proofErr w:type="gramStart"/>
      <w:r w:rsidRPr="00632673">
        <w:rPr>
          <w:rFonts w:asciiTheme="majorHAnsi" w:hAnsiTheme="majorHAnsi"/>
          <w:b/>
          <w:i w:val="0"/>
          <w:sz w:val="36"/>
          <w:szCs w:val="36"/>
        </w:rPr>
        <w:t>The</w:t>
      </w:r>
      <w:proofErr w:type="gramEnd"/>
      <w:r w:rsidRPr="00632673">
        <w:rPr>
          <w:rFonts w:asciiTheme="majorHAnsi" w:hAnsiTheme="majorHAnsi"/>
          <w:b/>
          <w:i w:val="0"/>
          <w:sz w:val="36"/>
          <w:szCs w:val="36"/>
        </w:rPr>
        <w:t xml:space="preserve"> Treasury </w:t>
      </w:r>
    </w:p>
    <w:p w:rsidR="002F6357" w:rsidRPr="002C2F90" w:rsidRDefault="002F6357" w:rsidP="002F6357">
      <w:pPr>
        <w:jc w:val="center"/>
        <w:rPr>
          <w:rFonts w:asciiTheme="majorHAnsi" w:hAnsiTheme="majorHAnsi"/>
          <w:b/>
          <w:sz w:val="36"/>
          <w:szCs w:val="36"/>
        </w:rPr>
      </w:pPr>
    </w:p>
    <w:p w:rsidR="002F6357" w:rsidRPr="002C2F90" w:rsidRDefault="002F6357" w:rsidP="002F6357">
      <w:pPr>
        <w:jc w:val="center"/>
        <w:rPr>
          <w:rFonts w:asciiTheme="majorHAnsi" w:hAnsiTheme="majorHAnsi"/>
          <w:b/>
          <w:sz w:val="36"/>
          <w:szCs w:val="36"/>
        </w:rPr>
      </w:pPr>
    </w:p>
    <w:p w:rsidR="002F6357" w:rsidRDefault="002F6357" w:rsidP="002F6357">
      <w:pPr>
        <w:jc w:val="center"/>
        <w:rPr>
          <w:rFonts w:asciiTheme="majorHAnsi" w:hAnsiTheme="majorHAnsi"/>
          <w:b/>
          <w:sz w:val="36"/>
          <w:szCs w:val="36"/>
        </w:rPr>
      </w:pPr>
    </w:p>
    <w:p w:rsidR="002F6357" w:rsidRDefault="002F6357" w:rsidP="002F6357">
      <w:pPr>
        <w:jc w:val="center"/>
        <w:rPr>
          <w:rFonts w:asciiTheme="majorHAnsi" w:hAnsiTheme="majorHAnsi"/>
          <w:b/>
          <w:sz w:val="36"/>
          <w:szCs w:val="36"/>
        </w:rPr>
      </w:pPr>
    </w:p>
    <w:p w:rsidR="002F6357" w:rsidRPr="002C2F90" w:rsidRDefault="002F6357" w:rsidP="002F6357">
      <w:pPr>
        <w:jc w:val="center"/>
        <w:rPr>
          <w:rFonts w:asciiTheme="majorHAnsi" w:hAnsiTheme="majorHAnsi"/>
          <w:b/>
          <w:sz w:val="36"/>
          <w:szCs w:val="36"/>
        </w:rPr>
      </w:pPr>
    </w:p>
    <w:p w:rsidR="002F6357" w:rsidRPr="00533B68" w:rsidRDefault="002F6357" w:rsidP="002F6357">
      <w:pPr>
        <w:jc w:val="center"/>
        <w:rPr>
          <w:rFonts w:asciiTheme="majorHAnsi" w:hAnsiTheme="majorHAnsi"/>
          <w:b/>
          <w:sz w:val="32"/>
          <w:szCs w:val="32"/>
        </w:rPr>
      </w:pPr>
    </w:p>
    <w:p w:rsidR="002F6357" w:rsidRPr="00533B68" w:rsidRDefault="002F6357" w:rsidP="002F6357">
      <w:pPr>
        <w:jc w:val="center"/>
        <w:rPr>
          <w:rFonts w:asciiTheme="majorHAnsi" w:hAnsiTheme="majorHAnsi"/>
          <w:b/>
          <w:sz w:val="32"/>
          <w:szCs w:val="32"/>
        </w:rPr>
      </w:pPr>
      <w:r w:rsidRPr="00533B68">
        <w:rPr>
          <w:rFonts w:asciiTheme="majorHAnsi" w:hAnsiTheme="majorHAnsi"/>
          <w:b/>
          <w:sz w:val="32"/>
          <w:szCs w:val="32"/>
        </w:rPr>
        <w:t>Restating the ‘in Australia’ special conditions for tax concession entities</w:t>
      </w:r>
      <w:r w:rsidR="00333204">
        <w:rPr>
          <w:rFonts w:asciiTheme="majorHAnsi" w:hAnsiTheme="majorHAnsi"/>
          <w:b/>
          <w:sz w:val="32"/>
          <w:szCs w:val="32"/>
        </w:rPr>
        <w:t xml:space="preserve"> – revised exposure draft</w:t>
      </w:r>
    </w:p>
    <w:p w:rsidR="002F6357" w:rsidRPr="00533B68" w:rsidRDefault="002F6357" w:rsidP="002F6357">
      <w:pPr>
        <w:jc w:val="center"/>
        <w:rPr>
          <w:rFonts w:asciiTheme="majorHAnsi" w:hAnsiTheme="majorHAnsi"/>
          <w:b/>
          <w:sz w:val="32"/>
          <w:szCs w:val="32"/>
        </w:rPr>
      </w:pPr>
    </w:p>
    <w:p w:rsidR="002F6357" w:rsidRPr="002C2F90" w:rsidRDefault="002F6357" w:rsidP="002F6357">
      <w:pPr>
        <w:jc w:val="center"/>
        <w:rPr>
          <w:rFonts w:asciiTheme="majorHAnsi" w:hAnsiTheme="majorHAnsi"/>
          <w:b/>
          <w:sz w:val="28"/>
        </w:rPr>
      </w:pPr>
    </w:p>
    <w:p w:rsidR="002F6357" w:rsidRPr="002C2F90" w:rsidRDefault="002F6357" w:rsidP="002F6357">
      <w:pPr>
        <w:jc w:val="center"/>
        <w:rPr>
          <w:rFonts w:asciiTheme="majorHAnsi" w:hAnsiTheme="majorHAnsi"/>
          <w:b/>
          <w:sz w:val="28"/>
        </w:rPr>
      </w:pPr>
    </w:p>
    <w:p w:rsidR="002F6357" w:rsidRPr="002C2F90" w:rsidRDefault="002F6357" w:rsidP="002F6357">
      <w:pPr>
        <w:jc w:val="center"/>
        <w:rPr>
          <w:rFonts w:asciiTheme="majorHAnsi" w:hAnsiTheme="majorHAnsi"/>
          <w:b/>
          <w:sz w:val="28"/>
        </w:rPr>
      </w:pPr>
    </w:p>
    <w:p w:rsidR="002F6357" w:rsidRPr="002C2F90" w:rsidRDefault="002F6357" w:rsidP="002F6357">
      <w:pPr>
        <w:jc w:val="center"/>
        <w:rPr>
          <w:rFonts w:asciiTheme="majorHAnsi" w:hAnsiTheme="majorHAnsi"/>
          <w:b/>
          <w:sz w:val="28"/>
        </w:rPr>
      </w:pPr>
    </w:p>
    <w:p w:rsidR="002F6357" w:rsidRPr="002C2F90" w:rsidRDefault="002F6357" w:rsidP="002F6357">
      <w:pPr>
        <w:jc w:val="center"/>
        <w:rPr>
          <w:rFonts w:asciiTheme="majorHAnsi" w:hAnsiTheme="majorHAnsi"/>
          <w:b/>
          <w:sz w:val="28"/>
        </w:rPr>
      </w:pPr>
    </w:p>
    <w:p w:rsidR="002F6357" w:rsidRPr="00533B68" w:rsidRDefault="00333204" w:rsidP="002F6357">
      <w:pPr>
        <w:jc w:val="center"/>
        <w:rPr>
          <w:rFonts w:asciiTheme="majorHAnsi" w:hAnsiTheme="majorHAnsi"/>
          <w:b/>
          <w:i w:val="0"/>
          <w:sz w:val="28"/>
        </w:rPr>
      </w:pPr>
      <w:r>
        <w:rPr>
          <w:rFonts w:asciiTheme="majorHAnsi" w:hAnsiTheme="majorHAnsi"/>
          <w:b/>
          <w:i w:val="0"/>
          <w:sz w:val="28"/>
        </w:rPr>
        <w:t>May 2012</w:t>
      </w:r>
    </w:p>
    <w:p w:rsidR="002F6357" w:rsidRPr="00533B68" w:rsidRDefault="002F6357" w:rsidP="002F6357">
      <w:pPr>
        <w:jc w:val="center"/>
        <w:rPr>
          <w:rFonts w:asciiTheme="majorHAnsi" w:hAnsiTheme="majorHAnsi"/>
          <w:b/>
          <w:i w:val="0"/>
          <w:sz w:val="28"/>
        </w:rPr>
      </w:pPr>
    </w:p>
    <w:p w:rsidR="002F6357" w:rsidRDefault="002F6357" w:rsidP="002F6357">
      <w:pPr>
        <w:rPr>
          <w:rFonts w:asciiTheme="majorHAnsi" w:hAnsiTheme="majorHAnsi"/>
          <w:b/>
          <w:i w:val="0"/>
          <w:sz w:val="28"/>
        </w:rPr>
      </w:pPr>
    </w:p>
    <w:p w:rsidR="002F6357" w:rsidRDefault="002F6357" w:rsidP="002F6357">
      <w:pPr>
        <w:rPr>
          <w:rFonts w:asciiTheme="majorHAnsi" w:hAnsiTheme="majorHAnsi"/>
          <w:b/>
          <w:i w:val="0"/>
          <w:sz w:val="28"/>
        </w:rPr>
      </w:pPr>
    </w:p>
    <w:p w:rsidR="002F6357" w:rsidRDefault="002F6357" w:rsidP="002F6357">
      <w:pPr>
        <w:rPr>
          <w:rFonts w:asciiTheme="majorHAnsi" w:hAnsiTheme="majorHAnsi"/>
          <w:b/>
          <w:i w:val="0"/>
          <w:sz w:val="28"/>
        </w:rPr>
      </w:pPr>
    </w:p>
    <w:p w:rsidR="002F6357" w:rsidRDefault="002F6357" w:rsidP="002F6357">
      <w:pPr>
        <w:rPr>
          <w:rFonts w:asciiTheme="majorHAnsi" w:hAnsiTheme="majorHAnsi"/>
          <w:b/>
          <w:i w:val="0"/>
          <w:sz w:val="28"/>
        </w:rPr>
      </w:pPr>
    </w:p>
    <w:p w:rsidR="002F6357" w:rsidRDefault="002F6357" w:rsidP="002F6357">
      <w:pPr>
        <w:rPr>
          <w:rFonts w:asciiTheme="majorHAnsi" w:hAnsiTheme="majorHAnsi"/>
          <w:b/>
          <w:i w:val="0"/>
          <w:sz w:val="28"/>
        </w:rPr>
      </w:pPr>
    </w:p>
    <w:p w:rsidR="00791BC7" w:rsidRDefault="00791BC7">
      <w:pPr>
        <w:spacing w:after="200" w:line="276" w:lineRule="auto"/>
        <w:rPr>
          <w:rFonts w:asciiTheme="majorHAnsi" w:hAnsiTheme="majorHAnsi"/>
          <w:b/>
          <w:i w:val="0"/>
          <w:sz w:val="28"/>
        </w:rPr>
      </w:pPr>
      <w:r>
        <w:rPr>
          <w:rFonts w:asciiTheme="majorHAnsi" w:hAnsiTheme="majorHAnsi"/>
          <w:b/>
          <w:i w:val="0"/>
          <w:sz w:val="28"/>
        </w:rPr>
        <w:br w:type="page"/>
      </w:r>
    </w:p>
    <w:p w:rsidR="00791BC7" w:rsidRDefault="00791BC7">
      <w:pPr>
        <w:spacing w:after="200" w:line="276" w:lineRule="auto"/>
        <w:rPr>
          <w:rFonts w:asciiTheme="majorHAnsi" w:hAnsiTheme="majorHAnsi"/>
          <w:b/>
          <w:i w:val="0"/>
          <w:sz w:val="28"/>
        </w:rPr>
        <w:sectPr w:rsidR="00791BC7" w:rsidSect="00207345">
          <w:headerReference w:type="default" r:id="rId9"/>
          <w:footerReference w:type="default" r:id="rId10"/>
          <w:pgSz w:w="11906" w:h="16838"/>
          <w:pgMar w:top="1134" w:right="1134" w:bottom="1134" w:left="1134" w:header="709" w:footer="709" w:gutter="0"/>
          <w:cols w:space="708"/>
          <w:titlePg/>
          <w:docGrid w:linePitch="360"/>
        </w:sectPr>
      </w:pPr>
    </w:p>
    <w:p w:rsidR="00333204" w:rsidRDefault="00333204" w:rsidP="00B170FB">
      <w:pPr>
        <w:rPr>
          <w:rFonts w:asciiTheme="majorHAnsi" w:hAnsiTheme="majorHAnsi"/>
          <w:b/>
          <w:i w:val="0"/>
          <w:sz w:val="28"/>
        </w:rPr>
      </w:pPr>
    </w:p>
    <w:p w:rsidR="00FB6C89" w:rsidRDefault="00FB6C89" w:rsidP="00B170FB">
      <w:pPr>
        <w:rPr>
          <w:rFonts w:asciiTheme="majorHAnsi" w:hAnsiTheme="majorHAnsi"/>
          <w:b/>
          <w:i w:val="0"/>
          <w:sz w:val="28"/>
        </w:rPr>
      </w:pPr>
      <w:bookmarkStart w:id="0" w:name="_GoBack"/>
      <w:bookmarkEnd w:id="0"/>
    </w:p>
    <w:p w:rsidR="00B170FB" w:rsidRDefault="002F6357" w:rsidP="00FB6C89">
      <w:pPr>
        <w:spacing w:after="240"/>
        <w:rPr>
          <w:rFonts w:asciiTheme="minorHAnsi" w:hAnsiTheme="minorHAnsi" w:cstheme="minorHAnsi"/>
          <w:i w:val="0"/>
          <w:sz w:val="22"/>
          <w:szCs w:val="22"/>
        </w:rPr>
      </w:pPr>
      <w:r w:rsidRPr="00533B68">
        <w:rPr>
          <w:rFonts w:asciiTheme="majorHAnsi" w:hAnsiTheme="majorHAnsi"/>
          <w:b/>
          <w:i w:val="0"/>
          <w:sz w:val="28"/>
        </w:rPr>
        <w:t>Introduction</w:t>
      </w:r>
    </w:p>
    <w:p w:rsidR="002F6357" w:rsidRPr="00533B68" w:rsidRDefault="002F6357" w:rsidP="00B170FB">
      <w:pPr>
        <w:spacing w:before="120" w:after="180"/>
        <w:rPr>
          <w:rFonts w:asciiTheme="minorHAnsi" w:hAnsiTheme="minorHAnsi" w:cstheme="minorHAnsi"/>
          <w:i w:val="0"/>
          <w:sz w:val="22"/>
          <w:szCs w:val="22"/>
        </w:rPr>
      </w:pPr>
      <w:r w:rsidRPr="00533B68">
        <w:rPr>
          <w:rFonts w:asciiTheme="minorHAnsi" w:hAnsiTheme="minorHAnsi" w:cstheme="minorHAnsi"/>
          <w:i w:val="0"/>
          <w:sz w:val="22"/>
          <w:szCs w:val="22"/>
        </w:rPr>
        <w:t xml:space="preserve">This </w:t>
      </w:r>
      <w:r w:rsidR="00333204">
        <w:rPr>
          <w:rFonts w:asciiTheme="minorHAnsi" w:hAnsiTheme="minorHAnsi" w:cstheme="minorHAnsi"/>
          <w:i w:val="0"/>
          <w:sz w:val="22"/>
          <w:szCs w:val="22"/>
        </w:rPr>
        <w:t xml:space="preserve">very brief submission should be read in conjunction with the previous CCA submission in August this year </w:t>
      </w:r>
      <w:r w:rsidRPr="00533B68">
        <w:rPr>
          <w:rFonts w:asciiTheme="minorHAnsi" w:hAnsiTheme="minorHAnsi" w:cstheme="minorHAnsi"/>
          <w:i w:val="0"/>
          <w:sz w:val="22"/>
          <w:szCs w:val="22"/>
        </w:rPr>
        <w:t xml:space="preserve">in response to the release by Treasury of </w:t>
      </w:r>
      <w:r>
        <w:rPr>
          <w:rFonts w:asciiTheme="minorHAnsi" w:hAnsiTheme="minorHAnsi" w:cstheme="minorHAnsi"/>
          <w:i w:val="0"/>
          <w:sz w:val="22"/>
          <w:szCs w:val="22"/>
        </w:rPr>
        <w:t>draft legislation</w:t>
      </w:r>
      <w:r w:rsidRPr="00533B68">
        <w:rPr>
          <w:rFonts w:asciiTheme="minorHAnsi" w:hAnsiTheme="minorHAnsi" w:cstheme="minorHAnsi"/>
          <w:i w:val="0"/>
          <w:sz w:val="22"/>
          <w:szCs w:val="22"/>
        </w:rPr>
        <w:t xml:space="preserve"> that will restate the 'in Australia' special conditions for tax concession entities.</w:t>
      </w:r>
    </w:p>
    <w:p w:rsidR="002F6357" w:rsidRPr="00533B68" w:rsidRDefault="002F6357" w:rsidP="00B170FB">
      <w:pPr>
        <w:spacing w:before="120" w:after="180"/>
        <w:rPr>
          <w:rFonts w:asciiTheme="minorHAnsi" w:hAnsiTheme="minorHAnsi" w:cstheme="minorHAnsi"/>
          <w:i w:val="0"/>
          <w:sz w:val="22"/>
          <w:szCs w:val="22"/>
        </w:rPr>
      </w:pPr>
      <w:r w:rsidRPr="00533B68">
        <w:rPr>
          <w:rFonts w:asciiTheme="minorHAnsi" w:hAnsiTheme="minorHAnsi" w:cstheme="minorHAnsi"/>
          <w:i w:val="0"/>
          <w:sz w:val="22"/>
          <w:szCs w:val="22"/>
        </w:rPr>
        <w:t>This submission has been prepared with the members of the Community Council for</w:t>
      </w:r>
      <w:r w:rsidR="00256A8B">
        <w:rPr>
          <w:rFonts w:asciiTheme="minorHAnsi" w:hAnsiTheme="minorHAnsi" w:cstheme="minorHAnsi"/>
          <w:i w:val="0"/>
          <w:sz w:val="22"/>
          <w:szCs w:val="22"/>
        </w:rPr>
        <w:t xml:space="preserve"> Australia </w:t>
      </w:r>
      <w:r w:rsidRPr="00533B68">
        <w:rPr>
          <w:rFonts w:asciiTheme="minorHAnsi" w:hAnsiTheme="minorHAnsi" w:cstheme="minorHAnsi"/>
          <w:i w:val="0"/>
          <w:sz w:val="22"/>
          <w:szCs w:val="22"/>
        </w:rPr>
        <w:t xml:space="preserve">as well as other key organisations in the not-for-profit sector, academics, lawyers, government officials, and key policy advisors. </w:t>
      </w:r>
    </w:p>
    <w:p w:rsidR="002F6357" w:rsidRPr="00533B68" w:rsidRDefault="002F6357" w:rsidP="00333204">
      <w:pPr>
        <w:spacing w:before="120" w:after="180"/>
        <w:rPr>
          <w:rFonts w:cstheme="minorHAnsi"/>
          <w:i w:val="0"/>
        </w:rPr>
      </w:pPr>
      <w:r w:rsidRPr="00533B68">
        <w:rPr>
          <w:rFonts w:asciiTheme="minorHAnsi" w:hAnsiTheme="minorHAnsi" w:cstheme="minorHAnsi"/>
          <w:i w:val="0"/>
          <w:sz w:val="22"/>
          <w:szCs w:val="22"/>
        </w:rPr>
        <w:t xml:space="preserve">It is important to note that this submission does not over-ride the policy positions outlined in the individual submissions from CCA members.  </w:t>
      </w:r>
    </w:p>
    <w:p w:rsidR="00FB6C89" w:rsidRDefault="002F6357" w:rsidP="00207345">
      <w:pPr>
        <w:spacing w:before="240"/>
        <w:rPr>
          <w:rFonts w:asciiTheme="minorHAnsi" w:hAnsiTheme="minorHAnsi" w:cstheme="minorHAnsi"/>
          <w:i w:val="0"/>
          <w:sz w:val="22"/>
          <w:szCs w:val="22"/>
        </w:rPr>
      </w:pPr>
      <w:r w:rsidRPr="00533B68">
        <w:rPr>
          <w:rFonts w:asciiTheme="minorHAnsi" w:hAnsiTheme="minorHAnsi" w:cstheme="minorHAnsi"/>
          <w:i w:val="0"/>
          <w:sz w:val="22"/>
          <w:szCs w:val="22"/>
        </w:rPr>
        <w:t xml:space="preserve">The CCA welcomes this opportunity to comment on the </w:t>
      </w:r>
      <w:r w:rsidR="00333204">
        <w:rPr>
          <w:rFonts w:asciiTheme="minorHAnsi" w:hAnsiTheme="minorHAnsi" w:cstheme="minorHAnsi"/>
          <w:i w:val="0"/>
          <w:sz w:val="22"/>
          <w:szCs w:val="22"/>
        </w:rPr>
        <w:t xml:space="preserve">second </w:t>
      </w:r>
      <w:r w:rsidRPr="00533B68">
        <w:rPr>
          <w:rFonts w:asciiTheme="minorHAnsi" w:hAnsiTheme="minorHAnsi" w:cstheme="minorHAnsi"/>
          <w:i w:val="0"/>
          <w:sz w:val="22"/>
          <w:szCs w:val="22"/>
        </w:rPr>
        <w:t>exposure draft and commends the Treasury for engaging in this consultation process</w:t>
      </w:r>
      <w:r w:rsidR="00333204">
        <w:rPr>
          <w:rFonts w:asciiTheme="minorHAnsi" w:hAnsiTheme="minorHAnsi" w:cstheme="minorHAnsi"/>
          <w:i w:val="0"/>
          <w:sz w:val="22"/>
          <w:szCs w:val="22"/>
        </w:rPr>
        <w:t>, especially the manner in which almost all the previous concerns have been addressed in the revised exposure draft</w:t>
      </w:r>
      <w:r w:rsidRPr="00533B68">
        <w:rPr>
          <w:rFonts w:asciiTheme="minorHAnsi" w:hAnsiTheme="minorHAnsi" w:cstheme="minorHAnsi"/>
          <w:i w:val="0"/>
          <w:sz w:val="22"/>
          <w:szCs w:val="22"/>
        </w:rPr>
        <w:t xml:space="preserve">.  CCA would be more than willing to engage in further discussion about any of the issues raised in this submission. </w:t>
      </w:r>
      <w:r w:rsidRPr="00533B68">
        <w:rPr>
          <w:rFonts w:asciiTheme="minorHAnsi" w:hAnsiTheme="minorHAnsi" w:cstheme="minorHAnsi"/>
          <w:i w:val="0"/>
          <w:sz w:val="22"/>
          <w:szCs w:val="22"/>
        </w:rPr>
        <w:br/>
      </w:r>
    </w:p>
    <w:p w:rsidR="00791BC7" w:rsidRDefault="002F6357" w:rsidP="00207345">
      <w:pPr>
        <w:spacing w:before="240"/>
        <w:rPr>
          <w:rFonts w:asciiTheme="majorHAnsi" w:hAnsiTheme="majorHAnsi"/>
          <w:b/>
          <w:i w:val="0"/>
          <w:sz w:val="28"/>
        </w:rPr>
      </w:pPr>
      <w:r w:rsidRPr="00533B68">
        <w:rPr>
          <w:rFonts w:asciiTheme="minorHAnsi" w:hAnsiTheme="minorHAnsi" w:cstheme="minorHAnsi"/>
          <w:i w:val="0"/>
          <w:sz w:val="22"/>
          <w:szCs w:val="22"/>
        </w:rPr>
        <w:br/>
      </w:r>
    </w:p>
    <w:p w:rsidR="002F6357" w:rsidRPr="00FB6C89" w:rsidRDefault="002F6357" w:rsidP="00FB6C89">
      <w:pPr>
        <w:spacing w:after="240"/>
        <w:rPr>
          <w:rFonts w:asciiTheme="majorHAnsi" w:hAnsiTheme="majorHAnsi"/>
          <w:b/>
          <w:i w:val="0"/>
          <w:sz w:val="28"/>
        </w:rPr>
      </w:pPr>
      <w:r w:rsidRPr="00533B68">
        <w:rPr>
          <w:rFonts w:asciiTheme="majorHAnsi" w:hAnsiTheme="majorHAnsi"/>
          <w:b/>
          <w:i w:val="0"/>
          <w:sz w:val="28"/>
        </w:rPr>
        <w:t>The Community Council for Australia</w:t>
      </w:r>
    </w:p>
    <w:p w:rsidR="002F6357" w:rsidRPr="00533B68" w:rsidRDefault="002F6357" w:rsidP="00B170FB">
      <w:pPr>
        <w:spacing w:before="120" w:after="180"/>
        <w:rPr>
          <w:rFonts w:asciiTheme="minorHAnsi" w:hAnsiTheme="minorHAnsi" w:cstheme="minorHAnsi"/>
          <w:i w:val="0"/>
          <w:sz w:val="22"/>
          <w:szCs w:val="22"/>
        </w:rPr>
      </w:pPr>
      <w:r w:rsidRPr="00533B68">
        <w:rPr>
          <w:rFonts w:asciiTheme="minorHAnsi" w:hAnsiTheme="minorHAnsi" w:cstheme="minorHAnsi"/>
          <w:i w:val="0"/>
          <w:sz w:val="22"/>
          <w:szCs w:val="22"/>
        </w:rPr>
        <w:t>The Community Council for Australia is an independent, non-political member-based organisation dedicated to building flourishing communities primarily by enhancing the extraordinary work and effort undertaken within the not-for profit sector in Australia.  CCA seeks to change the way governments, communities and the not-for-profit sector relate to one another.  This includes establishing a regulatory environment that works for community organisations and not against them.</w:t>
      </w:r>
    </w:p>
    <w:p w:rsidR="002F6357" w:rsidRPr="00533B68" w:rsidRDefault="002F6357" w:rsidP="00B170FB">
      <w:pPr>
        <w:spacing w:before="120" w:after="180"/>
        <w:rPr>
          <w:rFonts w:asciiTheme="minorHAnsi" w:hAnsiTheme="minorHAnsi" w:cstheme="minorHAnsi"/>
          <w:i w:val="0"/>
          <w:sz w:val="22"/>
          <w:szCs w:val="22"/>
        </w:rPr>
      </w:pPr>
      <w:r w:rsidRPr="00533B68">
        <w:rPr>
          <w:rFonts w:asciiTheme="minorHAnsi" w:hAnsiTheme="minorHAnsi" w:cstheme="minorHAnsi"/>
          <w:i w:val="0"/>
          <w:sz w:val="22"/>
          <w:szCs w:val="22"/>
        </w:rPr>
        <w:t>The mission of CCA is to lead by being an effective voice on common and shared issues affecting the contribution, performance and viability of not-for-profit organisations in Australia through:</w:t>
      </w:r>
    </w:p>
    <w:p w:rsidR="002F6357" w:rsidRPr="00B170FB" w:rsidRDefault="002F6357" w:rsidP="002A2B60">
      <w:pPr>
        <w:pStyle w:val="ListParagraph"/>
        <w:numPr>
          <w:ilvl w:val="0"/>
          <w:numId w:val="12"/>
        </w:numPr>
        <w:spacing w:before="120" w:after="0"/>
        <w:ind w:left="714" w:hanging="357"/>
        <w:contextualSpacing w:val="0"/>
        <w:rPr>
          <w:rFonts w:cstheme="minorHAnsi"/>
          <w:i w:val="0"/>
        </w:rPr>
      </w:pPr>
      <w:r w:rsidRPr="00B170FB">
        <w:rPr>
          <w:rFonts w:cstheme="minorHAnsi"/>
          <w:i w:val="0"/>
        </w:rPr>
        <w:t>providing thought and action leadership</w:t>
      </w:r>
    </w:p>
    <w:p w:rsidR="002F6357" w:rsidRPr="00B170FB" w:rsidRDefault="002F6357" w:rsidP="002A2B60">
      <w:pPr>
        <w:pStyle w:val="ListParagraph"/>
        <w:numPr>
          <w:ilvl w:val="0"/>
          <w:numId w:val="12"/>
        </w:numPr>
        <w:spacing w:before="120" w:after="0"/>
        <w:ind w:left="714" w:hanging="357"/>
        <w:contextualSpacing w:val="0"/>
        <w:rPr>
          <w:rFonts w:cstheme="minorHAnsi"/>
          <w:i w:val="0"/>
        </w:rPr>
      </w:pPr>
      <w:r w:rsidRPr="00B170FB">
        <w:rPr>
          <w:rFonts w:cstheme="minorHAnsi"/>
          <w:i w:val="0"/>
        </w:rPr>
        <w:t>influencing and shaping sector policy agendas</w:t>
      </w:r>
    </w:p>
    <w:p w:rsidR="002F6357" w:rsidRPr="00B170FB" w:rsidRDefault="002F6357" w:rsidP="002A2B60">
      <w:pPr>
        <w:pStyle w:val="ListParagraph"/>
        <w:numPr>
          <w:ilvl w:val="0"/>
          <w:numId w:val="12"/>
        </w:numPr>
        <w:spacing w:before="120" w:after="0"/>
        <w:ind w:left="714" w:hanging="357"/>
        <w:contextualSpacing w:val="0"/>
        <w:rPr>
          <w:rFonts w:cstheme="minorHAnsi"/>
          <w:i w:val="0"/>
        </w:rPr>
      </w:pPr>
      <w:r w:rsidRPr="00B170FB">
        <w:rPr>
          <w:rFonts w:cstheme="minorHAnsi"/>
          <w:i w:val="0"/>
        </w:rPr>
        <w:t>informing, educating, and assisting organisations in the sector to deal with change and build sustainable futures</w:t>
      </w:r>
    </w:p>
    <w:p w:rsidR="002F6357" w:rsidRPr="00B170FB" w:rsidRDefault="002F6357" w:rsidP="002A2B60">
      <w:pPr>
        <w:pStyle w:val="ListParagraph"/>
        <w:numPr>
          <w:ilvl w:val="0"/>
          <w:numId w:val="12"/>
        </w:numPr>
        <w:spacing w:before="120" w:after="0"/>
        <w:ind w:left="714" w:hanging="357"/>
        <w:contextualSpacing w:val="0"/>
        <w:rPr>
          <w:rFonts w:cstheme="minorHAnsi"/>
          <w:i w:val="0"/>
        </w:rPr>
      </w:pPr>
      <w:proofErr w:type="gramStart"/>
      <w:r w:rsidRPr="00B170FB">
        <w:rPr>
          <w:rFonts w:cstheme="minorHAnsi"/>
          <w:i w:val="0"/>
        </w:rPr>
        <w:t>working</w:t>
      </w:r>
      <w:proofErr w:type="gramEnd"/>
      <w:r w:rsidRPr="00B170FB">
        <w:rPr>
          <w:rFonts w:cstheme="minorHAnsi"/>
          <w:i w:val="0"/>
        </w:rPr>
        <w:t xml:space="preserve"> in partnership with the government, the business sector, and the broader Australian community.</w:t>
      </w:r>
    </w:p>
    <w:p w:rsidR="00FB6C89" w:rsidRDefault="002F6357" w:rsidP="00FB6C89">
      <w:pPr>
        <w:spacing w:after="240"/>
        <w:rPr>
          <w:rFonts w:asciiTheme="majorHAnsi" w:hAnsiTheme="majorHAnsi" w:cstheme="minorHAnsi"/>
          <w:b/>
          <w:i w:val="0"/>
          <w:color w:val="000000"/>
        </w:rPr>
      </w:pPr>
      <w:r w:rsidRPr="00533B68">
        <w:rPr>
          <w:rFonts w:asciiTheme="majorHAnsi" w:hAnsiTheme="majorHAnsi" w:cstheme="minorHAnsi"/>
          <w:b/>
          <w:i w:val="0"/>
          <w:color w:val="000000"/>
        </w:rPr>
        <w:br w:type="page"/>
      </w:r>
    </w:p>
    <w:p w:rsidR="00FB6C89" w:rsidRDefault="00FB6C89" w:rsidP="00FB6C89">
      <w:pPr>
        <w:spacing w:after="240"/>
        <w:rPr>
          <w:rFonts w:asciiTheme="majorHAnsi" w:hAnsiTheme="majorHAnsi" w:cstheme="minorHAnsi"/>
          <w:b/>
          <w:i w:val="0"/>
          <w:color w:val="000000"/>
        </w:rPr>
      </w:pPr>
    </w:p>
    <w:p w:rsidR="002F6357" w:rsidRDefault="00953C5D" w:rsidP="00FB6C89">
      <w:pPr>
        <w:spacing w:after="240"/>
        <w:rPr>
          <w:rFonts w:asciiTheme="majorHAnsi" w:hAnsiTheme="majorHAnsi" w:cstheme="minorHAnsi"/>
          <w:b/>
          <w:i w:val="0"/>
          <w:color w:val="000000"/>
          <w:sz w:val="28"/>
        </w:rPr>
      </w:pPr>
      <w:r w:rsidRPr="00FB6C89">
        <w:rPr>
          <w:rFonts w:asciiTheme="majorHAnsi" w:hAnsiTheme="majorHAnsi"/>
          <w:b/>
          <w:i w:val="0"/>
          <w:sz w:val="28"/>
        </w:rPr>
        <w:t>Executive s</w:t>
      </w:r>
      <w:r w:rsidR="002F6357" w:rsidRPr="00FB6C89">
        <w:rPr>
          <w:rFonts w:asciiTheme="majorHAnsi" w:hAnsiTheme="majorHAnsi"/>
          <w:b/>
          <w:i w:val="0"/>
          <w:sz w:val="28"/>
        </w:rPr>
        <w:t>ummary</w:t>
      </w:r>
      <w:r w:rsidR="002F6357" w:rsidRPr="00533B68">
        <w:rPr>
          <w:rFonts w:asciiTheme="majorHAnsi" w:hAnsiTheme="majorHAnsi" w:cstheme="minorHAnsi"/>
          <w:b/>
          <w:i w:val="0"/>
          <w:color w:val="000000"/>
          <w:sz w:val="28"/>
        </w:rPr>
        <w:t xml:space="preserve"> </w:t>
      </w:r>
    </w:p>
    <w:p w:rsidR="002F6357" w:rsidRPr="00533B68" w:rsidRDefault="002F6357" w:rsidP="00B170FB">
      <w:pPr>
        <w:spacing w:before="120" w:after="180"/>
        <w:rPr>
          <w:rFonts w:asciiTheme="minorHAnsi" w:hAnsiTheme="minorHAnsi" w:cstheme="minorHAnsi"/>
          <w:i w:val="0"/>
        </w:rPr>
      </w:pPr>
      <w:r w:rsidRPr="00533B68">
        <w:rPr>
          <w:rFonts w:asciiTheme="minorHAnsi" w:hAnsiTheme="minorHAnsi" w:cstheme="minorHAnsi"/>
          <w:i w:val="0"/>
          <w:sz w:val="22"/>
          <w:szCs w:val="22"/>
        </w:rPr>
        <w:t xml:space="preserve">CCA supports the apparent policy intent of the </w:t>
      </w:r>
      <w:r>
        <w:rPr>
          <w:rFonts w:asciiTheme="minorHAnsi" w:hAnsiTheme="minorHAnsi" w:cstheme="minorHAnsi"/>
          <w:i w:val="0"/>
          <w:sz w:val="22"/>
          <w:szCs w:val="22"/>
        </w:rPr>
        <w:t>draft legislation</w:t>
      </w:r>
      <w:r w:rsidRPr="00533B68">
        <w:rPr>
          <w:rFonts w:asciiTheme="minorHAnsi" w:hAnsiTheme="minorHAnsi" w:cstheme="minorHAnsi"/>
          <w:i w:val="0"/>
          <w:sz w:val="22"/>
          <w:szCs w:val="22"/>
        </w:rPr>
        <w:t xml:space="preserve"> that is to ensure income tax exempt entities generally must be operated principally in Australia and for the broad benefit of the Australian community. </w:t>
      </w:r>
      <w:r w:rsidR="007D1ED4">
        <w:rPr>
          <w:rFonts w:asciiTheme="minorHAnsi" w:hAnsiTheme="minorHAnsi" w:cstheme="minorHAnsi"/>
          <w:i w:val="0"/>
          <w:sz w:val="22"/>
          <w:szCs w:val="22"/>
        </w:rPr>
        <w:t xml:space="preserve"> </w:t>
      </w:r>
      <w:r w:rsidRPr="00533B68">
        <w:rPr>
          <w:rFonts w:asciiTheme="minorHAnsi" w:hAnsiTheme="minorHAnsi" w:cstheme="minorHAnsi"/>
          <w:i w:val="0"/>
          <w:sz w:val="22"/>
          <w:szCs w:val="22"/>
        </w:rPr>
        <w:t xml:space="preserve">Likewise, deductible gift recipients (DGRs) generally must be operated solely in Australia and for the broad benefit of the Australian community. </w:t>
      </w:r>
    </w:p>
    <w:p w:rsidR="00867B55" w:rsidRDefault="002F6357" w:rsidP="00B170FB">
      <w:pPr>
        <w:spacing w:before="120" w:after="180"/>
        <w:rPr>
          <w:rFonts w:asciiTheme="minorHAnsi" w:hAnsiTheme="minorHAnsi" w:cstheme="minorHAnsi"/>
          <w:i w:val="0"/>
          <w:sz w:val="22"/>
          <w:szCs w:val="22"/>
        </w:rPr>
      </w:pPr>
      <w:r w:rsidRPr="00533B68">
        <w:rPr>
          <w:rFonts w:asciiTheme="minorHAnsi" w:hAnsiTheme="minorHAnsi" w:cstheme="minorHAnsi"/>
          <w:i w:val="0"/>
          <w:color w:val="000000"/>
          <w:sz w:val="22"/>
          <w:szCs w:val="22"/>
        </w:rPr>
        <w:t xml:space="preserve">CCA believe it is appropriate to ensure that taxation concessions to charitable and not-for-profit organisations are </w:t>
      </w:r>
      <w:r w:rsidRPr="005007EB">
        <w:rPr>
          <w:rFonts w:asciiTheme="minorHAnsi" w:hAnsiTheme="minorHAnsi" w:cstheme="minorHAnsi"/>
          <w:i w:val="0"/>
          <w:color w:val="000000"/>
          <w:sz w:val="22"/>
          <w:szCs w:val="22"/>
        </w:rPr>
        <w:t xml:space="preserve">properly targeted and </w:t>
      </w:r>
      <w:r w:rsidRPr="005007EB">
        <w:rPr>
          <w:rFonts w:asciiTheme="minorHAnsi" w:hAnsiTheme="minorHAnsi" w:cstheme="minorHAnsi"/>
          <w:i w:val="0"/>
          <w:sz w:val="22"/>
          <w:szCs w:val="22"/>
        </w:rPr>
        <w:t>that funds remitted overseas (whether through the established overseas aid and development framework, or in any other way) are not used for improper purposes.</w:t>
      </w:r>
    </w:p>
    <w:p w:rsidR="002F6357" w:rsidRPr="00533B68" w:rsidRDefault="00867B55"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It is also important to acknowledge and continue to support those charities that operate in the international development area</w:t>
      </w:r>
      <w:r w:rsidR="0015454C">
        <w:rPr>
          <w:rFonts w:asciiTheme="minorHAnsi" w:hAnsiTheme="minorHAnsi" w:cstheme="minorHAnsi"/>
          <w:i w:val="0"/>
          <w:sz w:val="22"/>
          <w:szCs w:val="22"/>
        </w:rPr>
        <w:t xml:space="preserve">.  This means continuing to support the </w:t>
      </w:r>
      <w:r w:rsidR="0015454C" w:rsidRPr="0015454C">
        <w:rPr>
          <w:rFonts w:asciiTheme="minorHAnsi" w:hAnsiTheme="minorHAnsi" w:cstheme="minorHAnsi"/>
          <w:i w:val="0"/>
          <w:sz w:val="22"/>
          <w:szCs w:val="22"/>
        </w:rPr>
        <w:t>well-established framework of regulation that applies to overseas aid and development organisations</w:t>
      </w:r>
      <w:r w:rsidR="0015454C">
        <w:rPr>
          <w:rFonts w:asciiTheme="minorHAnsi" w:hAnsiTheme="minorHAnsi" w:cstheme="minorHAnsi"/>
          <w:i w:val="0"/>
          <w:sz w:val="22"/>
          <w:szCs w:val="22"/>
        </w:rPr>
        <w:t>,</w:t>
      </w:r>
      <w:r w:rsidR="0015454C" w:rsidRPr="0015454C">
        <w:rPr>
          <w:rFonts w:asciiTheme="minorHAnsi" w:hAnsiTheme="minorHAnsi" w:cstheme="minorHAnsi"/>
          <w:i w:val="0"/>
          <w:sz w:val="22"/>
          <w:szCs w:val="22"/>
        </w:rPr>
        <w:t xml:space="preserve"> and </w:t>
      </w:r>
      <w:r>
        <w:rPr>
          <w:rFonts w:asciiTheme="minorHAnsi" w:hAnsiTheme="minorHAnsi" w:cstheme="minorHAnsi"/>
          <w:i w:val="0"/>
          <w:sz w:val="22"/>
          <w:szCs w:val="22"/>
        </w:rPr>
        <w:t>maintain</w:t>
      </w:r>
      <w:r w:rsidR="0015454C">
        <w:rPr>
          <w:rFonts w:asciiTheme="minorHAnsi" w:hAnsiTheme="minorHAnsi" w:cstheme="minorHAnsi"/>
          <w:i w:val="0"/>
          <w:sz w:val="22"/>
          <w:szCs w:val="22"/>
        </w:rPr>
        <w:t>ing</w:t>
      </w:r>
      <w:r>
        <w:rPr>
          <w:rFonts w:asciiTheme="minorHAnsi" w:hAnsiTheme="minorHAnsi" w:cstheme="minorHAnsi"/>
          <w:i w:val="0"/>
          <w:sz w:val="22"/>
          <w:szCs w:val="22"/>
        </w:rPr>
        <w:t xml:space="preserve"> the option of providing charitable status to those intern</w:t>
      </w:r>
      <w:r w:rsidR="0015454C">
        <w:rPr>
          <w:rFonts w:asciiTheme="minorHAnsi" w:hAnsiTheme="minorHAnsi" w:cstheme="minorHAnsi"/>
          <w:i w:val="0"/>
          <w:sz w:val="22"/>
          <w:szCs w:val="22"/>
        </w:rPr>
        <w:t>ational development agencies that</w:t>
      </w:r>
      <w:r>
        <w:rPr>
          <w:rFonts w:asciiTheme="minorHAnsi" w:hAnsiTheme="minorHAnsi" w:cstheme="minorHAnsi"/>
          <w:i w:val="0"/>
          <w:sz w:val="22"/>
          <w:szCs w:val="22"/>
        </w:rPr>
        <w:t xml:space="preserve"> satisfy the current requirements to achieve Direct Gift Recipient status for their international aid work.</w:t>
      </w:r>
      <w:r w:rsidR="002F6357" w:rsidRPr="00533B68">
        <w:rPr>
          <w:rFonts w:asciiTheme="minorHAnsi" w:hAnsiTheme="minorHAnsi" w:cstheme="minorHAnsi"/>
          <w:i w:val="0"/>
          <w:sz w:val="22"/>
          <w:szCs w:val="22"/>
        </w:rPr>
        <w:t xml:space="preserve"> </w:t>
      </w:r>
      <w:r>
        <w:rPr>
          <w:rFonts w:asciiTheme="minorHAnsi" w:hAnsiTheme="minorHAnsi" w:cstheme="minorHAnsi"/>
          <w:i w:val="0"/>
          <w:sz w:val="22"/>
          <w:szCs w:val="22"/>
        </w:rPr>
        <w:t xml:space="preserve">  </w:t>
      </w:r>
    </w:p>
    <w:p w:rsidR="00867B55" w:rsidRDefault="007D1ED4"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 xml:space="preserve">CCA is </w:t>
      </w:r>
      <w:r w:rsidR="00333204">
        <w:rPr>
          <w:rFonts w:asciiTheme="minorHAnsi" w:hAnsiTheme="minorHAnsi" w:cstheme="minorHAnsi"/>
          <w:i w:val="0"/>
          <w:sz w:val="22"/>
          <w:szCs w:val="22"/>
        </w:rPr>
        <w:t xml:space="preserve">pleased that the revised </w:t>
      </w:r>
      <w:r w:rsidR="00867B55">
        <w:rPr>
          <w:rFonts w:asciiTheme="minorHAnsi" w:hAnsiTheme="minorHAnsi" w:cstheme="minorHAnsi"/>
          <w:i w:val="0"/>
          <w:sz w:val="22"/>
          <w:szCs w:val="22"/>
        </w:rPr>
        <w:t>exposure draft addresses most of</w:t>
      </w:r>
      <w:r w:rsidR="00333204">
        <w:rPr>
          <w:rFonts w:asciiTheme="minorHAnsi" w:hAnsiTheme="minorHAnsi" w:cstheme="minorHAnsi"/>
          <w:i w:val="0"/>
          <w:sz w:val="22"/>
          <w:szCs w:val="22"/>
        </w:rPr>
        <w:t xml:space="preserve"> the concerns raised in our previous submission.  </w:t>
      </w:r>
    </w:p>
    <w:p w:rsidR="00867B55" w:rsidRDefault="00867B55"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 xml:space="preserve">CCA </w:t>
      </w:r>
      <w:r w:rsidR="0058549D">
        <w:rPr>
          <w:rFonts w:asciiTheme="minorHAnsi" w:hAnsiTheme="minorHAnsi" w:cstheme="minorHAnsi"/>
          <w:i w:val="0"/>
          <w:sz w:val="22"/>
          <w:szCs w:val="22"/>
        </w:rPr>
        <w:t xml:space="preserve">believe there is clearly </w:t>
      </w:r>
      <w:r>
        <w:rPr>
          <w:rFonts w:asciiTheme="minorHAnsi" w:hAnsiTheme="minorHAnsi" w:cstheme="minorHAnsi"/>
          <w:i w:val="0"/>
          <w:sz w:val="22"/>
          <w:szCs w:val="22"/>
        </w:rPr>
        <w:t>still some concern in the sector about the</w:t>
      </w:r>
      <w:r w:rsidR="002F6357">
        <w:rPr>
          <w:rFonts w:asciiTheme="minorHAnsi" w:hAnsiTheme="minorHAnsi" w:cstheme="minorHAnsi"/>
          <w:i w:val="0"/>
          <w:sz w:val="22"/>
          <w:szCs w:val="22"/>
        </w:rPr>
        <w:t xml:space="preserve"> way in which the </w:t>
      </w:r>
      <w:r>
        <w:rPr>
          <w:rFonts w:asciiTheme="minorHAnsi" w:hAnsiTheme="minorHAnsi" w:cstheme="minorHAnsi"/>
          <w:i w:val="0"/>
          <w:sz w:val="22"/>
          <w:szCs w:val="22"/>
        </w:rPr>
        <w:t>legislation will be enacted and enforced</w:t>
      </w:r>
      <w:r w:rsidR="0077185E">
        <w:rPr>
          <w:rFonts w:asciiTheme="minorHAnsi" w:hAnsiTheme="minorHAnsi" w:cstheme="minorHAnsi"/>
          <w:i w:val="0"/>
          <w:sz w:val="22"/>
          <w:szCs w:val="22"/>
        </w:rPr>
        <w:t>.  CCA would be very disappointed if the</w:t>
      </w:r>
      <w:r>
        <w:rPr>
          <w:rFonts w:asciiTheme="minorHAnsi" w:hAnsiTheme="minorHAnsi" w:cstheme="minorHAnsi"/>
          <w:i w:val="0"/>
          <w:sz w:val="22"/>
          <w:szCs w:val="22"/>
        </w:rPr>
        <w:t xml:space="preserve"> passing of this legislation led to a significant number of charities having to either significantly alter their international activities or to withdraw from their involvement in overseas charitable work.</w:t>
      </w:r>
    </w:p>
    <w:p w:rsidR="00867B55" w:rsidRDefault="00867B55" w:rsidP="00B170FB">
      <w:pPr>
        <w:spacing w:before="120" w:after="180"/>
        <w:rPr>
          <w:rFonts w:asciiTheme="minorHAnsi" w:hAnsiTheme="minorHAnsi" w:cstheme="minorHAnsi"/>
          <w:i w:val="0"/>
          <w:sz w:val="22"/>
          <w:szCs w:val="22"/>
        </w:rPr>
      </w:pPr>
    </w:p>
    <w:p w:rsidR="00867B55" w:rsidRPr="00FB6C89" w:rsidRDefault="0015454C" w:rsidP="00FB6C89">
      <w:pPr>
        <w:spacing w:after="240"/>
        <w:rPr>
          <w:rFonts w:asciiTheme="majorHAnsi" w:hAnsiTheme="majorHAnsi"/>
          <w:b/>
          <w:i w:val="0"/>
          <w:sz w:val="28"/>
        </w:rPr>
      </w:pPr>
      <w:r w:rsidRPr="00FB6C89">
        <w:rPr>
          <w:rFonts w:asciiTheme="majorHAnsi" w:hAnsiTheme="majorHAnsi"/>
          <w:b/>
          <w:i w:val="0"/>
          <w:sz w:val="28"/>
        </w:rPr>
        <w:t>Support for the revisions</w:t>
      </w:r>
    </w:p>
    <w:p w:rsidR="0015454C" w:rsidRDefault="0015454C"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CCA supports the key changes to the exposure draft</w:t>
      </w:r>
      <w:r w:rsidR="002C772C">
        <w:rPr>
          <w:rFonts w:asciiTheme="minorHAnsi" w:hAnsiTheme="minorHAnsi" w:cstheme="minorHAnsi"/>
          <w:i w:val="0"/>
          <w:sz w:val="22"/>
          <w:szCs w:val="22"/>
        </w:rPr>
        <w:t>.  In particular, CCA is pleased to see that:</w:t>
      </w:r>
    </w:p>
    <w:p w:rsidR="0015454C" w:rsidRPr="00FB6C89" w:rsidRDefault="0015454C" w:rsidP="00FB6C89">
      <w:pPr>
        <w:pStyle w:val="ListParagraph"/>
        <w:numPr>
          <w:ilvl w:val="0"/>
          <w:numId w:val="25"/>
        </w:numPr>
        <w:spacing w:before="120" w:after="180"/>
        <w:ind w:left="714" w:hanging="357"/>
        <w:contextualSpacing w:val="0"/>
        <w:rPr>
          <w:rFonts w:cstheme="minorHAnsi"/>
          <w:i w:val="0"/>
        </w:rPr>
      </w:pPr>
      <w:r w:rsidRPr="00FB6C89">
        <w:rPr>
          <w:rFonts w:cstheme="minorHAnsi"/>
          <w:i w:val="0"/>
        </w:rPr>
        <w:t>Australian charitable organisations may now provide funds to an overseas entity that is not entitled to be income tax exempt provided the purpose to which the funds are being applied is consistent with the charitable purpose of the Australian organisation providing the funds</w:t>
      </w:r>
    </w:p>
    <w:p w:rsidR="0015454C" w:rsidRPr="00FB6C89" w:rsidRDefault="002C772C" w:rsidP="00FB6C89">
      <w:pPr>
        <w:pStyle w:val="ListParagraph"/>
        <w:numPr>
          <w:ilvl w:val="0"/>
          <w:numId w:val="25"/>
        </w:numPr>
        <w:spacing w:before="120" w:after="180"/>
        <w:ind w:left="714" w:hanging="357"/>
        <w:contextualSpacing w:val="0"/>
        <w:rPr>
          <w:rFonts w:cstheme="minorHAnsi"/>
          <w:i w:val="0"/>
        </w:rPr>
      </w:pPr>
      <w:r w:rsidRPr="00FB6C89">
        <w:rPr>
          <w:rFonts w:cstheme="minorHAnsi"/>
          <w:i w:val="0"/>
        </w:rPr>
        <w:t>Charitable organisations will not lose their charitable status for minor breaches of their governance rules</w:t>
      </w:r>
    </w:p>
    <w:p w:rsidR="002C772C" w:rsidRPr="00FB6C89" w:rsidRDefault="002C772C" w:rsidP="00FB6C89">
      <w:pPr>
        <w:pStyle w:val="ListParagraph"/>
        <w:numPr>
          <w:ilvl w:val="0"/>
          <w:numId w:val="25"/>
        </w:numPr>
        <w:spacing w:before="120" w:after="180"/>
        <w:ind w:left="714" w:hanging="357"/>
        <w:contextualSpacing w:val="0"/>
        <w:rPr>
          <w:rFonts w:cstheme="minorHAnsi"/>
          <w:i w:val="0"/>
        </w:rPr>
      </w:pPr>
      <w:r w:rsidRPr="00FB6C89">
        <w:rPr>
          <w:rFonts w:cstheme="minorHAnsi"/>
          <w:i w:val="0"/>
        </w:rPr>
        <w:t>The rewritten definition of not-for-profit organisations is more lenient in allowing transfers of funds and property between not-for-profit organisations with similar purposes</w:t>
      </w:r>
    </w:p>
    <w:p w:rsidR="002C772C" w:rsidRPr="00FB6C89" w:rsidRDefault="002C772C" w:rsidP="00FB6C89">
      <w:pPr>
        <w:pStyle w:val="ListParagraph"/>
        <w:numPr>
          <w:ilvl w:val="0"/>
          <w:numId w:val="25"/>
        </w:numPr>
        <w:spacing w:before="120" w:after="180"/>
        <w:ind w:left="714" w:hanging="357"/>
        <w:contextualSpacing w:val="0"/>
        <w:rPr>
          <w:rFonts w:cstheme="minorHAnsi"/>
          <w:i w:val="0"/>
        </w:rPr>
      </w:pPr>
      <w:r w:rsidRPr="00FB6C89">
        <w:rPr>
          <w:rFonts w:cstheme="minorHAnsi"/>
          <w:i w:val="0"/>
        </w:rPr>
        <w:t>Existing entitlements of organisations that are currently prescribed in regulation will be grandfathered</w:t>
      </w:r>
    </w:p>
    <w:p w:rsidR="002C772C" w:rsidRPr="00FB6C89" w:rsidRDefault="00E26E50" w:rsidP="00FB6C89">
      <w:pPr>
        <w:pStyle w:val="ListParagraph"/>
        <w:numPr>
          <w:ilvl w:val="0"/>
          <w:numId w:val="25"/>
        </w:numPr>
        <w:spacing w:before="120" w:after="180"/>
        <w:ind w:left="714" w:hanging="357"/>
        <w:contextualSpacing w:val="0"/>
        <w:rPr>
          <w:rFonts w:cstheme="minorHAnsi"/>
          <w:i w:val="0"/>
        </w:rPr>
      </w:pPr>
      <w:r w:rsidRPr="00FB6C89">
        <w:rPr>
          <w:rFonts w:cstheme="minorHAnsi"/>
          <w:i w:val="0"/>
        </w:rPr>
        <w:t>When fulfilling the requirements of a government contract</w:t>
      </w:r>
      <w:r w:rsidR="00591411">
        <w:rPr>
          <w:rFonts w:cstheme="minorHAnsi"/>
          <w:i w:val="0"/>
        </w:rPr>
        <w:t>s and grants</w:t>
      </w:r>
      <w:r w:rsidRPr="00FB6C89">
        <w:rPr>
          <w:rFonts w:cstheme="minorHAnsi"/>
          <w:i w:val="0"/>
        </w:rPr>
        <w:t xml:space="preserve"> to provide services overseas, a more lenient approach will be taken</w:t>
      </w:r>
    </w:p>
    <w:p w:rsidR="0015454C" w:rsidRPr="00FB6C89" w:rsidRDefault="00953C5D" w:rsidP="00FB6C89">
      <w:pPr>
        <w:pStyle w:val="ListParagraph"/>
        <w:numPr>
          <w:ilvl w:val="0"/>
          <w:numId w:val="25"/>
        </w:numPr>
        <w:spacing w:before="120" w:after="180"/>
        <w:ind w:left="714" w:hanging="357"/>
        <w:contextualSpacing w:val="0"/>
        <w:rPr>
          <w:rFonts w:cstheme="minorHAnsi"/>
          <w:i w:val="0"/>
        </w:rPr>
      </w:pPr>
      <w:r w:rsidRPr="00FB6C89">
        <w:rPr>
          <w:rFonts w:cstheme="minorHAnsi"/>
          <w:i w:val="0"/>
        </w:rPr>
        <w:t>Public hospitals, public schools and some environmental groups will not be subject to the full ‘in Australia’ provisions</w:t>
      </w:r>
    </w:p>
    <w:p w:rsidR="0077185E" w:rsidRPr="00FB6C89" w:rsidRDefault="0077185E" w:rsidP="00FB6C89">
      <w:pPr>
        <w:pStyle w:val="ListParagraph"/>
        <w:numPr>
          <w:ilvl w:val="0"/>
          <w:numId w:val="25"/>
        </w:numPr>
        <w:spacing w:before="120" w:after="180"/>
        <w:ind w:left="714" w:hanging="357"/>
        <w:contextualSpacing w:val="0"/>
        <w:rPr>
          <w:rFonts w:cstheme="minorHAnsi"/>
          <w:i w:val="0"/>
        </w:rPr>
      </w:pPr>
      <w:r w:rsidRPr="00FB6C89">
        <w:rPr>
          <w:rFonts w:cstheme="minorHAnsi"/>
          <w:i w:val="0"/>
        </w:rPr>
        <w:t>The emphasis in the revised legislation is on</w:t>
      </w:r>
      <w:r w:rsidR="00591411">
        <w:rPr>
          <w:rFonts w:cstheme="minorHAnsi"/>
          <w:i w:val="0"/>
        </w:rPr>
        <w:t xml:space="preserve"> the</w:t>
      </w:r>
      <w:r w:rsidRPr="00FB6C89">
        <w:rPr>
          <w:rFonts w:cstheme="minorHAnsi"/>
          <w:i w:val="0"/>
        </w:rPr>
        <w:t xml:space="preserve"> level of activity </w:t>
      </w:r>
      <w:r w:rsidR="00591411">
        <w:rPr>
          <w:rFonts w:cstheme="minorHAnsi"/>
          <w:i w:val="0"/>
        </w:rPr>
        <w:t xml:space="preserve">undertaken </w:t>
      </w:r>
      <w:r w:rsidRPr="00FB6C89">
        <w:rPr>
          <w:rFonts w:cstheme="minorHAnsi"/>
          <w:i w:val="0"/>
        </w:rPr>
        <w:t xml:space="preserve">rather than applying a simple 50 / 50 </w:t>
      </w:r>
      <w:r w:rsidR="00591411">
        <w:rPr>
          <w:rFonts w:cstheme="minorHAnsi"/>
          <w:i w:val="0"/>
        </w:rPr>
        <w:t xml:space="preserve">expenditure </w:t>
      </w:r>
      <w:r w:rsidRPr="00FB6C89">
        <w:rPr>
          <w:rFonts w:cstheme="minorHAnsi"/>
          <w:i w:val="0"/>
        </w:rPr>
        <w:t>formula</w:t>
      </w:r>
      <w:r w:rsidR="0061661F">
        <w:rPr>
          <w:rFonts w:cstheme="minorHAnsi"/>
          <w:i w:val="0"/>
        </w:rPr>
        <w:t>.</w:t>
      </w:r>
    </w:p>
    <w:p w:rsidR="00953C5D" w:rsidRPr="00FB6C89" w:rsidRDefault="00953C5D" w:rsidP="00FB6C89">
      <w:pPr>
        <w:pStyle w:val="ListParagraph"/>
        <w:numPr>
          <w:ilvl w:val="0"/>
          <w:numId w:val="25"/>
        </w:numPr>
        <w:spacing w:before="120"/>
        <w:ind w:left="714" w:hanging="357"/>
        <w:contextualSpacing w:val="0"/>
        <w:rPr>
          <w:rFonts w:cstheme="minorHAnsi"/>
          <w:i w:val="0"/>
        </w:rPr>
      </w:pPr>
      <w:r w:rsidRPr="00FB6C89">
        <w:rPr>
          <w:rFonts w:cstheme="minorHAnsi"/>
          <w:i w:val="0"/>
        </w:rPr>
        <w:br w:type="page"/>
      </w:r>
    </w:p>
    <w:p w:rsidR="0015454C" w:rsidRDefault="0015454C" w:rsidP="00B170FB">
      <w:pPr>
        <w:spacing w:before="120" w:after="180"/>
        <w:rPr>
          <w:rFonts w:asciiTheme="minorHAnsi" w:hAnsiTheme="minorHAnsi" w:cstheme="minorHAnsi"/>
          <w:i w:val="0"/>
          <w:sz w:val="22"/>
          <w:szCs w:val="22"/>
        </w:rPr>
      </w:pPr>
    </w:p>
    <w:p w:rsidR="00953C5D" w:rsidRPr="00591411" w:rsidRDefault="00953C5D" w:rsidP="00B170FB">
      <w:pPr>
        <w:spacing w:before="120" w:after="180"/>
        <w:rPr>
          <w:rFonts w:asciiTheme="majorHAnsi" w:hAnsiTheme="majorHAnsi" w:cstheme="minorHAnsi"/>
          <w:b/>
          <w:i w:val="0"/>
          <w:color w:val="000000"/>
          <w:sz w:val="28"/>
        </w:rPr>
      </w:pPr>
      <w:r w:rsidRPr="00591411">
        <w:rPr>
          <w:rFonts w:asciiTheme="majorHAnsi" w:hAnsiTheme="majorHAnsi" w:cstheme="minorHAnsi"/>
          <w:b/>
          <w:i w:val="0"/>
          <w:color w:val="000000"/>
          <w:sz w:val="28"/>
        </w:rPr>
        <w:t>Ongoing concerns</w:t>
      </w:r>
    </w:p>
    <w:p w:rsidR="00953C5D" w:rsidRDefault="00953C5D"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CCA members still have some concerns about the way in which the legislation might be applied.</w:t>
      </w:r>
    </w:p>
    <w:p w:rsidR="00953C5D" w:rsidRDefault="00953C5D"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 xml:space="preserve">Most CCA member organisations involved in international aid and </w:t>
      </w:r>
      <w:r w:rsidR="0077185E">
        <w:rPr>
          <w:rFonts w:asciiTheme="minorHAnsi" w:hAnsiTheme="minorHAnsi" w:cstheme="minorHAnsi"/>
          <w:i w:val="0"/>
          <w:sz w:val="22"/>
          <w:szCs w:val="22"/>
        </w:rPr>
        <w:t>development</w:t>
      </w:r>
      <w:r>
        <w:rPr>
          <w:rFonts w:asciiTheme="minorHAnsi" w:hAnsiTheme="minorHAnsi" w:cstheme="minorHAnsi"/>
          <w:i w:val="0"/>
          <w:sz w:val="22"/>
          <w:szCs w:val="22"/>
        </w:rPr>
        <w:t xml:space="preserve"> have DGR status for this work and operate with the we</w:t>
      </w:r>
      <w:r w:rsidR="0077185E">
        <w:rPr>
          <w:rFonts w:asciiTheme="minorHAnsi" w:hAnsiTheme="minorHAnsi" w:cstheme="minorHAnsi"/>
          <w:i w:val="0"/>
          <w:sz w:val="22"/>
          <w:szCs w:val="22"/>
        </w:rPr>
        <w:t>ll-</w:t>
      </w:r>
      <w:r>
        <w:rPr>
          <w:rFonts w:asciiTheme="minorHAnsi" w:hAnsiTheme="minorHAnsi" w:cstheme="minorHAnsi"/>
          <w:i w:val="0"/>
          <w:sz w:val="22"/>
          <w:szCs w:val="22"/>
        </w:rPr>
        <w:t xml:space="preserve">established regulatory </w:t>
      </w:r>
      <w:r w:rsidR="0077185E">
        <w:rPr>
          <w:rFonts w:asciiTheme="minorHAnsi" w:hAnsiTheme="minorHAnsi" w:cstheme="minorHAnsi"/>
          <w:i w:val="0"/>
          <w:sz w:val="22"/>
          <w:szCs w:val="22"/>
        </w:rPr>
        <w:t>framework</w:t>
      </w:r>
      <w:r>
        <w:rPr>
          <w:rFonts w:asciiTheme="minorHAnsi" w:hAnsiTheme="minorHAnsi" w:cstheme="minorHAnsi"/>
          <w:i w:val="0"/>
          <w:sz w:val="22"/>
          <w:szCs w:val="22"/>
        </w:rPr>
        <w:t xml:space="preserve"> around international aid and development.</w:t>
      </w:r>
    </w:p>
    <w:p w:rsidR="00953C5D" w:rsidRDefault="00953C5D"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 xml:space="preserve">There are, however, a number of medium to larger not-for-profit member organisations that have some form of interaction with international groups and communities, much of which is supplementary to the core </w:t>
      </w:r>
      <w:r w:rsidR="0077185E">
        <w:rPr>
          <w:rFonts w:asciiTheme="minorHAnsi" w:hAnsiTheme="minorHAnsi" w:cstheme="minorHAnsi"/>
          <w:i w:val="0"/>
          <w:sz w:val="22"/>
          <w:szCs w:val="22"/>
        </w:rPr>
        <w:t xml:space="preserve">activities and </w:t>
      </w:r>
      <w:r>
        <w:rPr>
          <w:rFonts w:asciiTheme="minorHAnsi" w:hAnsiTheme="minorHAnsi" w:cstheme="minorHAnsi"/>
          <w:i w:val="0"/>
          <w:sz w:val="22"/>
          <w:szCs w:val="22"/>
        </w:rPr>
        <w:t>purpose of the organisation.</w:t>
      </w:r>
    </w:p>
    <w:p w:rsidR="00953C5D" w:rsidRDefault="00953C5D"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 xml:space="preserve">CCA understands that provided the work remains supplementary and </w:t>
      </w:r>
      <w:r w:rsidR="0077185E">
        <w:rPr>
          <w:rFonts w:asciiTheme="minorHAnsi" w:hAnsiTheme="minorHAnsi" w:cstheme="minorHAnsi"/>
          <w:i w:val="0"/>
          <w:sz w:val="22"/>
          <w:szCs w:val="22"/>
        </w:rPr>
        <w:t xml:space="preserve">consistent with the primary purpose of the organisation the ‘in Australia’ provision will not apply.  Clearly where </w:t>
      </w:r>
      <w:r>
        <w:rPr>
          <w:rFonts w:asciiTheme="minorHAnsi" w:hAnsiTheme="minorHAnsi" w:cstheme="minorHAnsi"/>
          <w:i w:val="0"/>
          <w:sz w:val="22"/>
          <w:szCs w:val="22"/>
        </w:rPr>
        <w:t xml:space="preserve">the primary </w:t>
      </w:r>
      <w:proofErr w:type="gramStart"/>
      <w:r>
        <w:rPr>
          <w:rFonts w:asciiTheme="minorHAnsi" w:hAnsiTheme="minorHAnsi" w:cstheme="minorHAnsi"/>
          <w:i w:val="0"/>
          <w:sz w:val="22"/>
          <w:szCs w:val="22"/>
        </w:rPr>
        <w:t>work</w:t>
      </w:r>
      <w:proofErr w:type="gramEnd"/>
      <w:r>
        <w:rPr>
          <w:rFonts w:asciiTheme="minorHAnsi" w:hAnsiTheme="minorHAnsi" w:cstheme="minorHAnsi"/>
          <w:i w:val="0"/>
          <w:sz w:val="22"/>
          <w:szCs w:val="22"/>
        </w:rPr>
        <w:t xml:space="preserve"> of the organisations is ‘in Australia’ these organisations can continue to be actively involved in international aid and development activities.</w:t>
      </w:r>
    </w:p>
    <w:p w:rsidR="00953C5D" w:rsidRDefault="00953C5D"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CCA believes su</w:t>
      </w:r>
      <w:r w:rsidR="0058549D">
        <w:rPr>
          <w:rFonts w:asciiTheme="minorHAnsi" w:hAnsiTheme="minorHAnsi" w:cstheme="minorHAnsi"/>
          <w:i w:val="0"/>
          <w:sz w:val="22"/>
          <w:szCs w:val="22"/>
        </w:rPr>
        <w:t>ch work is invaluable</w:t>
      </w:r>
      <w:r>
        <w:rPr>
          <w:rFonts w:asciiTheme="minorHAnsi" w:hAnsiTheme="minorHAnsi" w:cstheme="minorHAnsi"/>
          <w:i w:val="0"/>
          <w:sz w:val="22"/>
          <w:szCs w:val="22"/>
        </w:rPr>
        <w:t xml:space="preserve"> to both the organisations and to those receiving the benefit of their international activities.   Any threat to this work would be detrimental and counter to the best interests of Australia and the international beneficiaries.  The ‘in Australia’ provisions should not be seen by any organisation as a barrier to this form of supplementary work. </w:t>
      </w:r>
    </w:p>
    <w:p w:rsidR="0077185E" w:rsidRDefault="0077185E" w:rsidP="00B170FB">
      <w:pPr>
        <w:spacing w:before="120" w:after="180"/>
        <w:rPr>
          <w:rFonts w:asciiTheme="minorHAnsi" w:hAnsiTheme="minorHAnsi" w:cstheme="minorHAnsi"/>
          <w:i w:val="0"/>
          <w:sz w:val="22"/>
          <w:szCs w:val="22"/>
        </w:rPr>
      </w:pPr>
    </w:p>
    <w:p w:rsidR="0077185E" w:rsidRPr="0077185E" w:rsidRDefault="0077185E" w:rsidP="00B170FB">
      <w:pPr>
        <w:spacing w:before="120" w:after="180"/>
        <w:rPr>
          <w:rFonts w:asciiTheme="majorHAnsi" w:hAnsiTheme="majorHAnsi" w:cstheme="minorHAnsi"/>
          <w:b/>
          <w:i w:val="0"/>
          <w:color w:val="000000"/>
          <w:sz w:val="28"/>
        </w:rPr>
      </w:pPr>
      <w:r w:rsidRPr="0077185E">
        <w:rPr>
          <w:rFonts w:asciiTheme="majorHAnsi" w:hAnsiTheme="majorHAnsi" w:cstheme="minorHAnsi"/>
          <w:b/>
          <w:i w:val="0"/>
          <w:color w:val="000000"/>
          <w:sz w:val="28"/>
        </w:rPr>
        <w:t>Recommendations</w:t>
      </w:r>
    </w:p>
    <w:p w:rsidR="0077185E" w:rsidRDefault="0077185E" w:rsidP="00B170FB">
      <w:pPr>
        <w:spacing w:before="120" w:after="180"/>
        <w:rPr>
          <w:rFonts w:asciiTheme="minorHAnsi" w:hAnsiTheme="minorHAnsi" w:cstheme="minorHAnsi"/>
          <w:i w:val="0"/>
          <w:sz w:val="22"/>
          <w:szCs w:val="22"/>
        </w:rPr>
      </w:pPr>
      <w:r>
        <w:rPr>
          <w:rFonts w:asciiTheme="minorHAnsi" w:hAnsiTheme="minorHAnsi" w:cstheme="minorHAnsi"/>
          <w:i w:val="0"/>
          <w:sz w:val="22"/>
          <w:szCs w:val="22"/>
        </w:rPr>
        <w:t xml:space="preserve">CCA would </w:t>
      </w:r>
      <w:r w:rsidR="00953C5D">
        <w:rPr>
          <w:rFonts w:asciiTheme="minorHAnsi" w:hAnsiTheme="minorHAnsi" w:cstheme="minorHAnsi"/>
          <w:i w:val="0"/>
          <w:sz w:val="22"/>
          <w:szCs w:val="22"/>
        </w:rPr>
        <w:t xml:space="preserve">like to see </w:t>
      </w:r>
      <w:r>
        <w:rPr>
          <w:rFonts w:asciiTheme="minorHAnsi" w:hAnsiTheme="minorHAnsi" w:cstheme="minorHAnsi"/>
          <w:i w:val="0"/>
          <w:sz w:val="22"/>
          <w:szCs w:val="22"/>
        </w:rPr>
        <w:t>two additional activities factored into the enactment of the restated ‘in Australia’ legislation:</w:t>
      </w:r>
    </w:p>
    <w:p w:rsidR="0077185E" w:rsidRPr="0077185E" w:rsidRDefault="0077185E" w:rsidP="0077185E">
      <w:pPr>
        <w:pStyle w:val="ListParagraph"/>
        <w:numPr>
          <w:ilvl w:val="0"/>
          <w:numId w:val="24"/>
        </w:numPr>
        <w:spacing w:before="120" w:after="180"/>
        <w:rPr>
          <w:rFonts w:cstheme="minorHAnsi"/>
          <w:i w:val="0"/>
        </w:rPr>
      </w:pPr>
      <w:r w:rsidRPr="0077185E">
        <w:rPr>
          <w:rFonts w:cstheme="minorHAnsi"/>
          <w:i w:val="0"/>
        </w:rPr>
        <w:t xml:space="preserve">The government should provide a clear and definitive public statement that </w:t>
      </w:r>
      <w:r w:rsidR="0058549D">
        <w:rPr>
          <w:rFonts w:cstheme="minorHAnsi"/>
          <w:i w:val="0"/>
        </w:rPr>
        <w:t xml:space="preserve">it </w:t>
      </w:r>
      <w:r w:rsidRPr="0077185E">
        <w:rPr>
          <w:rFonts w:cstheme="minorHAnsi"/>
          <w:i w:val="0"/>
        </w:rPr>
        <w:t>support</w:t>
      </w:r>
      <w:r w:rsidR="0058549D">
        <w:rPr>
          <w:rFonts w:cstheme="minorHAnsi"/>
          <w:i w:val="0"/>
        </w:rPr>
        <w:t>s</w:t>
      </w:r>
      <w:r w:rsidRPr="0077185E">
        <w:rPr>
          <w:rFonts w:cstheme="minorHAnsi"/>
          <w:i w:val="0"/>
        </w:rPr>
        <w:t xml:space="preserve"> the supplementary international activities of Australian charities and not-for-profit organisations</w:t>
      </w:r>
      <w:r>
        <w:rPr>
          <w:rFonts w:cstheme="minorHAnsi"/>
          <w:i w:val="0"/>
        </w:rPr>
        <w:br/>
      </w:r>
    </w:p>
    <w:p w:rsidR="0077185E" w:rsidRPr="0077185E" w:rsidRDefault="0077185E" w:rsidP="0077185E">
      <w:pPr>
        <w:pStyle w:val="ListParagraph"/>
        <w:numPr>
          <w:ilvl w:val="0"/>
          <w:numId w:val="24"/>
        </w:numPr>
        <w:spacing w:before="120" w:after="180"/>
        <w:rPr>
          <w:rFonts w:cstheme="minorHAnsi"/>
          <w:i w:val="0"/>
        </w:rPr>
      </w:pPr>
      <w:r w:rsidRPr="0077185E">
        <w:rPr>
          <w:rFonts w:cstheme="minorHAnsi"/>
          <w:i w:val="0"/>
        </w:rPr>
        <w:t xml:space="preserve">The government should commit to a two year review of the ‘in Australia’ provisions to ensure there are no unintended consequences.  </w:t>
      </w:r>
    </w:p>
    <w:p w:rsidR="00591411" w:rsidRDefault="00591411">
      <w:pPr>
        <w:spacing w:after="200" w:line="276" w:lineRule="auto"/>
        <w:rPr>
          <w:rFonts w:asciiTheme="majorHAnsi" w:hAnsiTheme="majorHAnsi" w:cstheme="minorHAnsi"/>
          <w:b/>
          <w:i w:val="0"/>
          <w:color w:val="000000"/>
          <w:sz w:val="28"/>
        </w:rPr>
      </w:pPr>
    </w:p>
    <w:p w:rsidR="002F6357" w:rsidRPr="00E61A20" w:rsidRDefault="00F4112D" w:rsidP="00B170FB">
      <w:pPr>
        <w:spacing w:before="120" w:after="180"/>
        <w:jc w:val="both"/>
        <w:rPr>
          <w:rFonts w:asciiTheme="majorHAnsi" w:hAnsiTheme="majorHAnsi" w:cstheme="minorHAnsi"/>
          <w:b/>
          <w:i w:val="0"/>
          <w:color w:val="000000"/>
          <w:sz w:val="28"/>
        </w:rPr>
      </w:pPr>
      <w:r>
        <w:rPr>
          <w:rFonts w:asciiTheme="majorHAnsi" w:hAnsiTheme="majorHAnsi" w:cstheme="minorHAnsi"/>
          <w:b/>
          <w:i w:val="0"/>
          <w:color w:val="000000"/>
          <w:sz w:val="28"/>
        </w:rPr>
        <w:br/>
      </w:r>
      <w:r w:rsidR="002F6357" w:rsidRPr="00E61A20">
        <w:rPr>
          <w:rFonts w:asciiTheme="majorHAnsi" w:hAnsiTheme="majorHAnsi" w:cstheme="minorHAnsi"/>
          <w:b/>
          <w:i w:val="0"/>
          <w:color w:val="000000"/>
          <w:sz w:val="28"/>
        </w:rPr>
        <w:t>Conclusion</w:t>
      </w:r>
    </w:p>
    <w:p w:rsidR="002F6357" w:rsidRDefault="002F6357" w:rsidP="00B170FB">
      <w:pPr>
        <w:spacing w:before="120" w:after="180"/>
        <w:rPr>
          <w:rFonts w:asciiTheme="minorHAnsi" w:hAnsiTheme="minorHAnsi" w:cstheme="minorHAnsi"/>
          <w:i w:val="0"/>
          <w:color w:val="000000"/>
          <w:sz w:val="22"/>
          <w:szCs w:val="22"/>
        </w:rPr>
      </w:pPr>
      <w:r>
        <w:rPr>
          <w:rFonts w:asciiTheme="minorHAnsi" w:hAnsiTheme="minorHAnsi" w:cstheme="minorHAnsi"/>
          <w:i w:val="0"/>
          <w:color w:val="000000"/>
          <w:sz w:val="22"/>
          <w:szCs w:val="22"/>
        </w:rPr>
        <w:t xml:space="preserve">CCA supports the policy goal of ensuring the proper targeting of tax concessions for the broad benefit of Australian community. </w:t>
      </w:r>
    </w:p>
    <w:p w:rsidR="00616247" w:rsidRDefault="00256A8B" w:rsidP="00B170FB">
      <w:pPr>
        <w:spacing w:before="120" w:after="180"/>
        <w:rPr>
          <w:rFonts w:asciiTheme="minorHAnsi" w:hAnsiTheme="minorHAnsi" w:cstheme="minorHAnsi"/>
          <w:i w:val="0"/>
          <w:color w:val="000000"/>
          <w:sz w:val="22"/>
          <w:szCs w:val="22"/>
        </w:rPr>
      </w:pPr>
      <w:r>
        <w:rPr>
          <w:rFonts w:asciiTheme="minorHAnsi" w:hAnsiTheme="minorHAnsi" w:cstheme="minorHAnsi"/>
          <w:i w:val="0"/>
          <w:color w:val="000000"/>
          <w:sz w:val="22"/>
          <w:szCs w:val="22"/>
        </w:rPr>
        <w:t>CCA was initially</w:t>
      </w:r>
      <w:r w:rsidR="002F6357">
        <w:rPr>
          <w:rFonts w:asciiTheme="minorHAnsi" w:hAnsiTheme="minorHAnsi" w:cstheme="minorHAnsi"/>
          <w:i w:val="0"/>
          <w:color w:val="000000"/>
          <w:sz w:val="22"/>
          <w:szCs w:val="22"/>
        </w:rPr>
        <w:t xml:space="preserve"> concerned that the consequences </w:t>
      </w:r>
      <w:r>
        <w:rPr>
          <w:rFonts w:asciiTheme="minorHAnsi" w:hAnsiTheme="minorHAnsi" w:cstheme="minorHAnsi"/>
          <w:i w:val="0"/>
          <w:color w:val="000000"/>
          <w:sz w:val="22"/>
          <w:szCs w:val="22"/>
        </w:rPr>
        <w:t>of the proposed legislation would have</w:t>
      </w:r>
      <w:r w:rsidR="002F6357">
        <w:rPr>
          <w:rFonts w:asciiTheme="minorHAnsi" w:hAnsiTheme="minorHAnsi" w:cstheme="minorHAnsi"/>
          <w:i w:val="0"/>
          <w:color w:val="000000"/>
          <w:sz w:val="22"/>
          <w:szCs w:val="22"/>
        </w:rPr>
        <w:t xml:space="preserve"> place</w:t>
      </w:r>
      <w:r>
        <w:rPr>
          <w:rFonts w:asciiTheme="minorHAnsi" w:hAnsiTheme="minorHAnsi" w:cstheme="minorHAnsi"/>
          <w:i w:val="0"/>
          <w:color w:val="000000"/>
          <w:sz w:val="22"/>
          <w:szCs w:val="22"/>
        </w:rPr>
        <w:t>d</w:t>
      </w:r>
      <w:r w:rsidR="002F6357">
        <w:rPr>
          <w:rFonts w:asciiTheme="minorHAnsi" w:hAnsiTheme="minorHAnsi" w:cstheme="minorHAnsi"/>
          <w:i w:val="0"/>
          <w:color w:val="000000"/>
          <w:sz w:val="22"/>
          <w:szCs w:val="22"/>
        </w:rPr>
        <w:t xml:space="preserve"> significantly more restrictions</w:t>
      </w:r>
      <w:r w:rsidR="00320B74">
        <w:rPr>
          <w:rFonts w:asciiTheme="minorHAnsi" w:hAnsiTheme="minorHAnsi" w:cstheme="minorHAnsi"/>
          <w:i w:val="0"/>
          <w:color w:val="000000"/>
          <w:sz w:val="22"/>
          <w:szCs w:val="22"/>
        </w:rPr>
        <w:t xml:space="preserve"> </w:t>
      </w:r>
      <w:r w:rsidR="00207345">
        <w:rPr>
          <w:rFonts w:asciiTheme="minorHAnsi" w:hAnsiTheme="minorHAnsi" w:cstheme="minorHAnsi"/>
          <w:i w:val="0"/>
          <w:color w:val="000000"/>
          <w:sz w:val="22"/>
          <w:szCs w:val="22"/>
        </w:rPr>
        <w:t>on not-for-profit organisations doing invaluable work</w:t>
      </w:r>
      <w:r>
        <w:rPr>
          <w:rFonts w:asciiTheme="minorHAnsi" w:hAnsiTheme="minorHAnsi" w:cstheme="minorHAnsi"/>
          <w:i w:val="0"/>
          <w:color w:val="000000"/>
          <w:sz w:val="22"/>
          <w:szCs w:val="22"/>
        </w:rPr>
        <w:t>.  The proposed changes also had the potential to</w:t>
      </w:r>
      <w:r w:rsidR="00207345">
        <w:rPr>
          <w:rFonts w:asciiTheme="minorHAnsi" w:hAnsiTheme="minorHAnsi" w:cstheme="minorHAnsi"/>
          <w:i w:val="0"/>
          <w:color w:val="000000"/>
          <w:sz w:val="22"/>
          <w:szCs w:val="22"/>
        </w:rPr>
        <w:t xml:space="preserve"> </w:t>
      </w:r>
      <w:r w:rsidR="00320B74">
        <w:rPr>
          <w:rFonts w:asciiTheme="minorHAnsi" w:hAnsiTheme="minorHAnsi" w:cstheme="minorHAnsi"/>
          <w:i w:val="0"/>
          <w:color w:val="000000"/>
          <w:sz w:val="22"/>
          <w:szCs w:val="22"/>
        </w:rPr>
        <w:t xml:space="preserve">call into question </w:t>
      </w:r>
      <w:r w:rsidR="002F6357">
        <w:rPr>
          <w:rFonts w:asciiTheme="minorHAnsi" w:hAnsiTheme="minorHAnsi" w:cstheme="minorHAnsi"/>
          <w:i w:val="0"/>
          <w:color w:val="000000"/>
          <w:sz w:val="22"/>
          <w:szCs w:val="22"/>
        </w:rPr>
        <w:t>the activities of</w:t>
      </w:r>
      <w:r w:rsidR="00320B74">
        <w:rPr>
          <w:rFonts w:asciiTheme="minorHAnsi" w:hAnsiTheme="minorHAnsi" w:cstheme="minorHAnsi"/>
          <w:i w:val="0"/>
          <w:color w:val="000000"/>
          <w:sz w:val="22"/>
          <w:szCs w:val="22"/>
        </w:rPr>
        <w:t xml:space="preserve"> all</w:t>
      </w:r>
      <w:r w:rsidR="002F6357">
        <w:rPr>
          <w:rFonts w:asciiTheme="minorHAnsi" w:hAnsiTheme="minorHAnsi" w:cstheme="minorHAnsi"/>
          <w:i w:val="0"/>
          <w:color w:val="000000"/>
          <w:sz w:val="22"/>
          <w:szCs w:val="22"/>
        </w:rPr>
        <w:t xml:space="preserve"> not-for-profit organisa</w:t>
      </w:r>
      <w:r w:rsidR="00320B74">
        <w:rPr>
          <w:rFonts w:asciiTheme="minorHAnsi" w:hAnsiTheme="minorHAnsi" w:cstheme="minorHAnsi"/>
          <w:i w:val="0"/>
          <w:color w:val="000000"/>
          <w:sz w:val="22"/>
          <w:szCs w:val="22"/>
        </w:rPr>
        <w:t xml:space="preserve">tions, going beyond </w:t>
      </w:r>
      <w:r w:rsidR="002B74E8">
        <w:rPr>
          <w:rFonts w:asciiTheme="minorHAnsi" w:hAnsiTheme="minorHAnsi" w:cstheme="minorHAnsi"/>
          <w:i w:val="0"/>
          <w:color w:val="000000"/>
          <w:sz w:val="22"/>
          <w:szCs w:val="22"/>
        </w:rPr>
        <w:t>the overseas aid sector</w:t>
      </w:r>
      <w:r w:rsidR="00616247">
        <w:rPr>
          <w:rFonts w:asciiTheme="minorHAnsi" w:hAnsiTheme="minorHAnsi" w:cstheme="minorHAnsi"/>
          <w:i w:val="0"/>
          <w:color w:val="000000"/>
          <w:sz w:val="22"/>
          <w:szCs w:val="22"/>
        </w:rPr>
        <w:t>.</w:t>
      </w:r>
    </w:p>
    <w:p w:rsidR="00256A8B" w:rsidRDefault="00256A8B" w:rsidP="00B170FB">
      <w:pPr>
        <w:spacing w:before="120" w:after="180"/>
        <w:rPr>
          <w:rFonts w:asciiTheme="minorHAnsi" w:hAnsiTheme="minorHAnsi" w:cstheme="minorHAnsi"/>
          <w:i w:val="0"/>
          <w:color w:val="000000"/>
          <w:sz w:val="22"/>
          <w:szCs w:val="22"/>
        </w:rPr>
      </w:pPr>
      <w:r>
        <w:rPr>
          <w:rFonts w:asciiTheme="minorHAnsi" w:hAnsiTheme="minorHAnsi" w:cstheme="minorHAnsi"/>
          <w:i w:val="0"/>
          <w:color w:val="000000"/>
          <w:sz w:val="22"/>
          <w:szCs w:val="22"/>
        </w:rPr>
        <w:t>Most of CCA’s concerns appear to have been addressed in the revised draft.  This is a pleasing recognition that the Treasury have listened and acted on the issues raised by the not-for-profit sector.</w:t>
      </w:r>
    </w:p>
    <w:p w:rsidR="00256A8B" w:rsidRDefault="00256A8B" w:rsidP="00B170FB">
      <w:pPr>
        <w:spacing w:before="120" w:after="180"/>
        <w:rPr>
          <w:rFonts w:asciiTheme="minorHAnsi" w:hAnsiTheme="minorHAnsi" w:cstheme="minorHAnsi"/>
          <w:i w:val="0"/>
          <w:color w:val="000000"/>
          <w:sz w:val="22"/>
          <w:szCs w:val="22"/>
        </w:rPr>
      </w:pPr>
      <w:r>
        <w:rPr>
          <w:rFonts w:asciiTheme="minorHAnsi" w:hAnsiTheme="minorHAnsi" w:cstheme="minorHAnsi"/>
          <w:i w:val="0"/>
          <w:color w:val="000000"/>
          <w:sz w:val="22"/>
          <w:szCs w:val="22"/>
        </w:rPr>
        <w:t xml:space="preserve">The sector is still concerned about the way the new legislation </w:t>
      </w:r>
      <w:r w:rsidR="0058549D">
        <w:rPr>
          <w:rFonts w:asciiTheme="minorHAnsi" w:hAnsiTheme="minorHAnsi" w:cstheme="minorHAnsi"/>
          <w:i w:val="0"/>
          <w:color w:val="000000"/>
          <w:sz w:val="22"/>
          <w:szCs w:val="22"/>
        </w:rPr>
        <w:t>will be enacted.</w:t>
      </w:r>
    </w:p>
    <w:p w:rsidR="002F6357" w:rsidRPr="002B74E8" w:rsidRDefault="002F6357" w:rsidP="00B170FB">
      <w:pPr>
        <w:spacing w:before="120" w:after="180"/>
        <w:rPr>
          <w:rFonts w:asciiTheme="minorHAnsi" w:hAnsiTheme="minorHAnsi" w:cstheme="minorHAnsi"/>
          <w:i w:val="0"/>
          <w:color w:val="000000"/>
          <w:sz w:val="22"/>
          <w:szCs w:val="22"/>
        </w:rPr>
      </w:pPr>
      <w:r w:rsidRPr="002B74E8">
        <w:rPr>
          <w:rFonts w:asciiTheme="minorHAnsi" w:hAnsiTheme="minorHAnsi" w:cstheme="minorHAnsi"/>
          <w:i w:val="0"/>
          <w:color w:val="000000"/>
          <w:sz w:val="22"/>
          <w:szCs w:val="22"/>
        </w:rPr>
        <w:t>CCA welcomes any</w:t>
      </w:r>
      <w:r w:rsidR="00616247">
        <w:rPr>
          <w:rFonts w:asciiTheme="minorHAnsi" w:hAnsiTheme="minorHAnsi" w:cstheme="minorHAnsi"/>
          <w:i w:val="0"/>
          <w:color w:val="000000"/>
          <w:sz w:val="22"/>
          <w:szCs w:val="22"/>
        </w:rPr>
        <w:t xml:space="preserve"> opportunity </w:t>
      </w:r>
      <w:r w:rsidR="00207345">
        <w:rPr>
          <w:rFonts w:asciiTheme="minorHAnsi" w:hAnsiTheme="minorHAnsi" w:cstheme="minorHAnsi"/>
          <w:i w:val="0"/>
          <w:color w:val="000000"/>
          <w:sz w:val="22"/>
          <w:szCs w:val="22"/>
        </w:rPr>
        <w:t xml:space="preserve">to be involved </w:t>
      </w:r>
      <w:r w:rsidR="002B74E8">
        <w:rPr>
          <w:rFonts w:asciiTheme="minorHAnsi" w:hAnsiTheme="minorHAnsi" w:cstheme="minorHAnsi"/>
          <w:i w:val="0"/>
          <w:color w:val="000000"/>
          <w:sz w:val="22"/>
          <w:szCs w:val="22"/>
        </w:rPr>
        <w:t xml:space="preserve">in </w:t>
      </w:r>
      <w:r w:rsidR="00207345">
        <w:rPr>
          <w:rFonts w:asciiTheme="minorHAnsi" w:hAnsiTheme="minorHAnsi" w:cstheme="minorHAnsi"/>
          <w:i w:val="0"/>
          <w:color w:val="000000"/>
          <w:sz w:val="22"/>
          <w:szCs w:val="22"/>
        </w:rPr>
        <w:t>future</w:t>
      </w:r>
      <w:r w:rsidR="002B74E8">
        <w:rPr>
          <w:rFonts w:asciiTheme="minorHAnsi" w:hAnsiTheme="minorHAnsi" w:cstheme="minorHAnsi"/>
          <w:i w:val="0"/>
          <w:color w:val="000000"/>
          <w:sz w:val="22"/>
          <w:szCs w:val="22"/>
        </w:rPr>
        <w:t xml:space="preserve"> consultation</w:t>
      </w:r>
      <w:r w:rsidR="00207345">
        <w:rPr>
          <w:rFonts w:asciiTheme="minorHAnsi" w:hAnsiTheme="minorHAnsi" w:cstheme="minorHAnsi"/>
          <w:i w:val="0"/>
          <w:color w:val="000000"/>
          <w:sz w:val="22"/>
          <w:szCs w:val="22"/>
        </w:rPr>
        <w:t>s or any other discussion</w:t>
      </w:r>
      <w:r w:rsidR="002B74E8">
        <w:rPr>
          <w:rFonts w:asciiTheme="minorHAnsi" w:hAnsiTheme="minorHAnsi" w:cstheme="minorHAnsi"/>
          <w:i w:val="0"/>
          <w:color w:val="000000"/>
          <w:sz w:val="22"/>
          <w:szCs w:val="22"/>
        </w:rPr>
        <w:t xml:space="preserve"> process. </w:t>
      </w:r>
    </w:p>
    <w:sectPr w:rsidR="002F6357" w:rsidRPr="002B74E8" w:rsidSect="00E53FDB">
      <w:headerReference w:type="default" r:id="rId11"/>
      <w:headerReference w:type="first" r:id="rId12"/>
      <w:footerReference w:type="first" r:id="rId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D4" w:rsidRDefault="00D963D4" w:rsidP="00F345B9">
      <w:r>
        <w:separator/>
      </w:r>
    </w:p>
  </w:endnote>
  <w:endnote w:type="continuationSeparator" w:id="0">
    <w:p w:rsidR="00D963D4" w:rsidRDefault="00D963D4" w:rsidP="00F3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517861"/>
      <w:docPartObj>
        <w:docPartGallery w:val="Page Numbers (Bottom of Page)"/>
        <w:docPartUnique/>
      </w:docPartObj>
    </w:sdtPr>
    <w:sdtEndPr>
      <w:rPr>
        <w:noProof/>
        <w:color w:val="002060"/>
      </w:rPr>
    </w:sdtEndPr>
    <w:sdtContent>
      <w:p w:rsidR="00207345" w:rsidRPr="00791BC7" w:rsidRDefault="00207345" w:rsidP="00207345">
        <w:pPr>
          <w:pStyle w:val="Footer"/>
          <w:jc w:val="right"/>
          <w:rPr>
            <w:color w:val="002060"/>
          </w:rPr>
        </w:pPr>
        <w:r w:rsidRPr="00791BC7">
          <w:rPr>
            <w:color w:val="002060"/>
          </w:rPr>
          <w:t xml:space="preserve">Page </w:t>
        </w:r>
        <w:r w:rsidRPr="00791BC7">
          <w:rPr>
            <w:color w:val="002060"/>
          </w:rPr>
          <w:fldChar w:fldCharType="begin"/>
        </w:r>
        <w:r w:rsidRPr="00791BC7">
          <w:rPr>
            <w:color w:val="002060"/>
          </w:rPr>
          <w:instrText xml:space="preserve"> PAGE   \* MERGEFORMAT </w:instrText>
        </w:r>
        <w:r w:rsidRPr="00791BC7">
          <w:rPr>
            <w:color w:val="002060"/>
          </w:rPr>
          <w:fldChar w:fldCharType="separate"/>
        </w:r>
        <w:r w:rsidR="0070444C">
          <w:rPr>
            <w:noProof/>
            <w:color w:val="002060"/>
          </w:rPr>
          <w:t>2</w:t>
        </w:r>
        <w:r w:rsidRPr="00791BC7">
          <w:rPr>
            <w:noProof/>
            <w:color w:val="002060"/>
          </w:rPr>
          <w:fldChar w:fldCharType="end"/>
        </w:r>
      </w:p>
    </w:sdtContent>
  </w:sdt>
  <w:p w:rsidR="00207345" w:rsidRDefault="00207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12D" w:rsidRPr="00F4112D" w:rsidRDefault="00F4112D" w:rsidP="00F4112D">
    <w:pPr>
      <w:pStyle w:val="Footer"/>
      <w:jc w:val="right"/>
      <w:rPr>
        <w:color w:val="002060"/>
      </w:rPr>
    </w:pPr>
    <w:r w:rsidRPr="00F4112D">
      <w:rPr>
        <w:color w:val="002060"/>
      </w:rPr>
      <w:t xml:space="preserve">Page </w:t>
    </w:r>
    <w:sdt>
      <w:sdtPr>
        <w:rPr>
          <w:color w:val="002060"/>
        </w:rPr>
        <w:id w:val="-1072194142"/>
        <w:docPartObj>
          <w:docPartGallery w:val="Page Numbers (Bottom of Page)"/>
          <w:docPartUnique/>
        </w:docPartObj>
      </w:sdtPr>
      <w:sdtEndPr>
        <w:rPr>
          <w:noProof/>
        </w:rPr>
      </w:sdtEndPr>
      <w:sdtContent>
        <w:r w:rsidRPr="00F4112D">
          <w:rPr>
            <w:color w:val="002060"/>
          </w:rPr>
          <w:fldChar w:fldCharType="begin"/>
        </w:r>
        <w:r w:rsidRPr="00F4112D">
          <w:rPr>
            <w:color w:val="002060"/>
          </w:rPr>
          <w:instrText xml:space="preserve"> PAGE   \* MERGEFORMAT </w:instrText>
        </w:r>
        <w:r w:rsidRPr="00F4112D">
          <w:rPr>
            <w:color w:val="002060"/>
          </w:rPr>
          <w:fldChar w:fldCharType="separate"/>
        </w:r>
        <w:r w:rsidR="0070444C">
          <w:rPr>
            <w:noProof/>
            <w:color w:val="002060"/>
          </w:rPr>
          <w:t>1</w:t>
        </w:r>
        <w:r w:rsidRPr="00F4112D">
          <w:rPr>
            <w:noProof/>
            <w:color w:val="002060"/>
          </w:rPr>
          <w:fldChar w:fldCharType="end"/>
        </w:r>
      </w:sdtContent>
    </w:sdt>
  </w:p>
  <w:p w:rsidR="00207345" w:rsidRPr="00207345" w:rsidRDefault="0020734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D4" w:rsidRDefault="00D963D4" w:rsidP="00F345B9">
      <w:r>
        <w:separator/>
      </w:r>
    </w:p>
  </w:footnote>
  <w:footnote w:type="continuationSeparator" w:id="0">
    <w:p w:rsidR="00D963D4" w:rsidRDefault="00D963D4" w:rsidP="00F34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345" w:rsidRPr="00791BC7" w:rsidRDefault="00207345" w:rsidP="00207345">
    <w:pPr>
      <w:pStyle w:val="Header"/>
      <w:jc w:val="right"/>
      <w:rPr>
        <w:color w:val="002060"/>
        <w:szCs w:val="20"/>
        <w:lang w:val="en-US"/>
      </w:rPr>
    </w:pPr>
    <w:r w:rsidRPr="00791BC7">
      <w:rPr>
        <w:color w:val="002060"/>
        <w:szCs w:val="20"/>
        <w:lang w:val="en-US"/>
      </w:rPr>
      <w:t>Community Council for Australia: ‘In Australia’ Tax Concessions Submission</w:t>
    </w:r>
    <w:r>
      <w:rPr>
        <w:color w:val="002060"/>
        <w:szCs w:val="20"/>
        <w:lang w:val="en-US"/>
      </w:rPr>
      <w:t>,</w:t>
    </w:r>
    <w:r w:rsidRPr="00791BC7">
      <w:rPr>
        <w:color w:val="002060"/>
        <w:szCs w:val="20"/>
        <w:lang w:val="en-US"/>
      </w:rPr>
      <w:t xml:space="preserve"> August 2011  </w:t>
    </w:r>
  </w:p>
  <w:p w:rsidR="00207345" w:rsidRDefault="00207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44C" w:rsidRPr="00791BC7" w:rsidRDefault="0070444C" w:rsidP="0070444C">
    <w:pPr>
      <w:pStyle w:val="Header"/>
      <w:jc w:val="right"/>
      <w:rPr>
        <w:color w:val="002060"/>
        <w:szCs w:val="20"/>
        <w:lang w:val="en-US"/>
      </w:rPr>
    </w:pPr>
    <w:r w:rsidRPr="00791BC7">
      <w:rPr>
        <w:color w:val="002060"/>
        <w:szCs w:val="20"/>
        <w:lang w:val="en-US"/>
      </w:rPr>
      <w:t>Community Council for Australia:</w:t>
    </w:r>
    <w:r>
      <w:rPr>
        <w:color w:val="002060"/>
        <w:szCs w:val="20"/>
        <w:lang w:val="en-US"/>
      </w:rPr>
      <w:t xml:space="preserve"> Revised ‘i</w:t>
    </w:r>
    <w:r w:rsidRPr="00791BC7">
      <w:rPr>
        <w:color w:val="002060"/>
        <w:szCs w:val="20"/>
        <w:lang w:val="en-US"/>
      </w:rPr>
      <w:t>n Australia’ Tax Concessions Submission</w:t>
    </w:r>
    <w:r>
      <w:rPr>
        <w:color w:val="002060"/>
        <w:szCs w:val="20"/>
        <w:lang w:val="en-US"/>
      </w:rPr>
      <w:t>,</w:t>
    </w:r>
    <w:r w:rsidRPr="00791BC7">
      <w:rPr>
        <w:color w:val="002060"/>
        <w:szCs w:val="20"/>
        <w:lang w:val="en-US"/>
      </w:rPr>
      <w:t xml:space="preserve"> </w:t>
    </w:r>
    <w:r>
      <w:rPr>
        <w:color w:val="002060"/>
        <w:szCs w:val="20"/>
        <w:lang w:val="en-US"/>
      </w:rPr>
      <w:t>May, 2012</w:t>
    </w:r>
    <w:r w:rsidRPr="00791BC7">
      <w:rPr>
        <w:color w:val="002060"/>
        <w:szCs w:val="20"/>
        <w:lang w:val="en-US"/>
      </w:rPr>
      <w:t xml:space="preserve">  </w:t>
    </w:r>
  </w:p>
  <w:p w:rsidR="00207345" w:rsidRDefault="002073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345" w:rsidRPr="00791BC7" w:rsidRDefault="00207345" w:rsidP="00207345">
    <w:pPr>
      <w:pStyle w:val="Header"/>
      <w:jc w:val="right"/>
      <w:rPr>
        <w:color w:val="002060"/>
        <w:szCs w:val="20"/>
        <w:lang w:val="en-US"/>
      </w:rPr>
    </w:pPr>
    <w:r w:rsidRPr="00791BC7">
      <w:rPr>
        <w:color w:val="002060"/>
        <w:szCs w:val="20"/>
        <w:lang w:val="en-US"/>
      </w:rPr>
      <w:t>Community Council for Australia:</w:t>
    </w:r>
    <w:r w:rsidR="00591411">
      <w:rPr>
        <w:color w:val="002060"/>
        <w:szCs w:val="20"/>
        <w:lang w:val="en-US"/>
      </w:rPr>
      <w:t xml:space="preserve"> Revised ‘i</w:t>
    </w:r>
    <w:r w:rsidRPr="00791BC7">
      <w:rPr>
        <w:color w:val="002060"/>
        <w:szCs w:val="20"/>
        <w:lang w:val="en-US"/>
      </w:rPr>
      <w:t>n Australia’ Tax Concessions Submission</w:t>
    </w:r>
    <w:r>
      <w:rPr>
        <w:color w:val="002060"/>
        <w:szCs w:val="20"/>
        <w:lang w:val="en-US"/>
      </w:rPr>
      <w:t>,</w:t>
    </w:r>
    <w:r w:rsidRPr="00791BC7">
      <w:rPr>
        <w:color w:val="002060"/>
        <w:szCs w:val="20"/>
        <w:lang w:val="en-US"/>
      </w:rPr>
      <w:t xml:space="preserve"> </w:t>
    </w:r>
    <w:r w:rsidR="00591411">
      <w:rPr>
        <w:color w:val="002060"/>
        <w:szCs w:val="20"/>
        <w:lang w:val="en-US"/>
      </w:rPr>
      <w:t>May, 2012</w:t>
    </w:r>
    <w:r w:rsidRPr="00791BC7">
      <w:rPr>
        <w:color w:val="002060"/>
        <w:szCs w:val="20"/>
        <w:lang w:val="en-US"/>
      </w:rPr>
      <w:t xml:space="preserve">  </w:t>
    </w:r>
  </w:p>
  <w:p w:rsidR="00207345" w:rsidRDefault="002073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397"/>
    <w:multiLevelType w:val="hybridMultilevel"/>
    <w:tmpl w:val="93DE2D14"/>
    <w:lvl w:ilvl="0" w:tplc="FD1E0B3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6C9593D"/>
    <w:multiLevelType w:val="hybridMultilevel"/>
    <w:tmpl w:val="A7D07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C7473E"/>
    <w:multiLevelType w:val="hybridMultilevel"/>
    <w:tmpl w:val="CCAEA8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A707BDA"/>
    <w:multiLevelType w:val="multilevel"/>
    <w:tmpl w:val="7EA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457B0"/>
    <w:multiLevelType w:val="hybridMultilevel"/>
    <w:tmpl w:val="9DF68D9C"/>
    <w:lvl w:ilvl="0" w:tplc="FD1E0B3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C97D4D"/>
    <w:multiLevelType w:val="hybridMultilevel"/>
    <w:tmpl w:val="8940BDB0"/>
    <w:lvl w:ilvl="0" w:tplc="FD1E0B3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8250CA"/>
    <w:multiLevelType w:val="hybridMultilevel"/>
    <w:tmpl w:val="493A90EE"/>
    <w:lvl w:ilvl="0" w:tplc="48009704">
      <w:start w:val="8"/>
      <w:numFmt w:val="lowerLetter"/>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28253B76"/>
    <w:multiLevelType w:val="hybridMultilevel"/>
    <w:tmpl w:val="B6CE8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E25756"/>
    <w:multiLevelType w:val="multilevel"/>
    <w:tmpl w:val="6BEA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D66EEB"/>
    <w:multiLevelType w:val="hybridMultilevel"/>
    <w:tmpl w:val="1368DAA2"/>
    <w:lvl w:ilvl="0" w:tplc="FD1E0B3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114147C"/>
    <w:multiLevelType w:val="hybridMultilevel"/>
    <w:tmpl w:val="DFF08204"/>
    <w:lvl w:ilvl="0" w:tplc="62FCB744">
      <w:start w:val="1"/>
      <w:numFmt w:val="decimal"/>
      <w:lvlText w:val="%1."/>
      <w:lvlJc w:val="left"/>
      <w:pPr>
        <w:tabs>
          <w:tab w:val="num" w:pos="644"/>
        </w:tabs>
        <w:ind w:left="644" w:hanging="360"/>
      </w:pPr>
      <w:rPr>
        <w:color w:val="auto"/>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nsid w:val="32325A73"/>
    <w:multiLevelType w:val="hybridMultilevel"/>
    <w:tmpl w:val="92C0481A"/>
    <w:lvl w:ilvl="0" w:tplc="FD1E0B36">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C2812C7"/>
    <w:multiLevelType w:val="multilevel"/>
    <w:tmpl w:val="6BEA7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99707A"/>
    <w:multiLevelType w:val="hybridMultilevel"/>
    <w:tmpl w:val="C3901DE4"/>
    <w:lvl w:ilvl="0" w:tplc="EC8E90C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4AF31C86"/>
    <w:multiLevelType w:val="hybridMultilevel"/>
    <w:tmpl w:val="EC5C3D72"/>
    <w:lvl w:ilvl="0" w:tplc="FD1E0B3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D9E7EA5"/>
    <w:multiLevelType w:val="hybridMultilevel"/>
    <w:tmpl w:val="74988F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E7A597E"/>
    <w:multiLevelType w:val="hybridMultilevel"/>
    <w:tmpl w:val="F3D48BAC"/>
    <w:lvl w:ilvl="0" w:tplc="638EC3A8">
      <w:start w:val="1"/>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35F2BD6"/>
    <w:multiLevelType w:val="hybridMultilevel"/>
    <w:tmpl w:val="FB6E6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92361E"/>
    <w:multiLevelType w:val="hybridMultilevel"/>
    <w:tmpl w:val="DA883CA0"/>
    <w:lvl w:ilvl="0" w:tplc="FD1E0B36">
      <w:start w:val="1"/>
      <w:numFmt w:val="decimal"/>
      <w:lvlText w:val="%1."/>
      <w:lvlJc w:val="left"/>
      <w:pPr>
        <w:ind w:left="774" w:hanging="360"/>
      </w:pPr>
      <w:rPr>
        <w:rFonts w:hint="default"/>
        <w:b w:val="0"/>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19">
    <w:nsid w:val="5D3806B2"/>
    <w:multiLevelType w:val="hybridMultilevel"/>
    <w:tmpl w:val="DC58A950"/>
    <w:lvl w:ilvl="0" w:tplc="FD1E0B36">
      <w:start w:val="1"/>
      <w:numFmt w:val="decimal"/>
      <w:lvlText w:val="%1."/>
      <w:lvlJc w:val="left"/>
      <w:pPr>
        <w:ind w:left="360" w:hanging="360"/>
      </w:pPr>
      <w:rPr>
        <w:rFonts w:hint="default"/>
        <w:b w:val="0"/>
      </w:rPr>
    </w:lvl>
    <w:lvl w:ilvl="1" w:tplc="73A85C4C">
      <w:start w:val="6"/>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2E41EA1"/>
    <w:multiLevelType w:val="hybridMultilevel"/>
    <w:tmpl w:val="1DCA1374"/>
    <w:lvl w:ilvl="0" w:tplc="FD1E0B3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0872D42"/>
    <w:multiLevelType w:val="hybridMultilevel"/>
    <w:tmpl w:val="05D4EE2E"/>
    <w:lvl w:ilvl="0" w:tplc="EC8E90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A9615C6"/>
    <w:multiLevelType w:val="hybridMultilevel"/>
    <w:tmpl w:val="EDA0D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5709C2"/>
    <w:multiLevelType w:val="hybridMultilevel"/>
    <w:tmpl w:val="7B12BD44"/>
    <w:lvl w:ilvl="0" w:tplc="FD1E0B36">
      <w:start w:val="6"/>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7"/>
  </w:num>
  <w:num w:numId="3">
    <w:abstractNumId w:val="2"/>
  </w:num>
  <w:num w:numId="4">
    <w:abstractNumId w:val="1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6"/>
  </w:num>
  <w:num w:numId="9">
    <w:abstractNumId w:val="20"/>
  </w:num>
  <w:num w:numId="1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2"/>
  </w:num>
  <w:num w:numId="13">
    <w:abstractNumId w:val="14"/>
  </w:num>
  <w:num w:numId="14">
    <w:abstractNumId w:val="19"/>
  </w:num>
  <w:num w:numId="15">
    <w:abstractNumId w:val="0"/>
  </w:num>
  <w:num w:numId="16">
    <w:abstractNumId w:val="11"/>
  </w:num>
  <w:num w:numId="17">
    <w:abstractNumId w:val="4"/>
  </w:num>
  <w:num w:numId="18">
    <w:abstractNumId w:val="9"/>
  </w:num>
  <w:num w:numId="19">
    <w:abstractNumId w:val="5"/>
  </w:num>
  <w:num w:numId="20">
    <w:abstractNumId w:val="10"/>
  </w:num>
  <w:num w:numId="21">
    <w:abstractNumId w:val="18"/>
  </w:num>
  <w:num w:numId="22">
    <w:abstractNumId w:val="23"/>
  </w:num>
  <w:num w:numId="23">
    <w:abstractNumId w:val="12"/>
  </w:num>
  <w:num w:numId="24">
    <w:abstractNumId w:val="1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57"/>
    <w:rsid w:val="0014340A"/>
    <w:rsid w:val="0015454C"/>
    <w:rsid w:val="001E30B4"/>
    <w:rsid w:val="00207345"/>
    <w:rsid w:val="0025321D"/>
    <w:rsid w:val="00256A8B"/>
    <w:rsid w:val="002A2B60"/>
    <w:rsid w:val="002B74E8"/>
    <w:rsid w:val="002C772C"/>
    <w:rsid w:val="002F6357"/>
    <w:rsid w:val="003010ED"/>
    <w:rsid w:val="00320B74"/>
    <w:rsid w:val="00333204"/>
    <w:rsid w:val="00440371"/>
    <w:rsid w:val="0058549D"/>
    <w:rsid w:val="005913A0"/>
    <w:rsid w:val="00591411"/>
    <w:rsid w:val="00597586"/>
    <w:rsid w:val="005B2A6A"/>
    <w:rsid w:val="00616247"/>
    <w:rsid w:val="0061661F"/>
    <w:rsid w:val="00646257"/>
    <w:rsid w:val="0070444C"/>
    <w:rsid w:val="00735658"/>
    <w:rsid w:val="0077185E"/>
    <w:rsid w:val="00791BC7"/>
    <w:rsid w:val="007C4F39"/>
    <w:rsid w:val="007D1ED4"/>
    <w:rsid w:val="007F4A12"/>
    <w:rsid w:val="00867B55"/>
    <w:rsid w:val="0088545F"/>
    <w:rsid w:val="008F00BD"/>
    <w:rsid w:val="00953C5D"/>
    <w:rsid w:val="00A23A5D"/>
    <w:rsid w:val="00AF3B62"/>
    <w:rsid w:val="00B170FB"/>
    <w:rsid w:val="00D963D4"/>
    <w:rsid w:val="00E26E50"/>
    <w:rsid w:val="00E53FDB"/>
    <w:rsid w:val="00F345B9"/>
    <w:rsid w:val="00F4112D"/>
    <w:rsid w:val="00FB6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57"/>
    <w:pPr>
      <w:spacing w:after="0" w:line="240" w:lineRule="auto"/>
    </w:pPr>
    <w:rPr>
      <w:rFonts w:ascii="Times New Roman" w:hAnsi="Times New Roman" w:cs="Times New Roman"/>
      <w:i/>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357"/>
    <w:pPr>
      <w:spacing w:before="100" w:beforeAutospacing="1" w:after="100" w:afterAutospacing="1"/>
    </w:pPr>
    <w:rPr>
      <w:rFonts w:ascii="Verdana" w:hAnsi="Verdana"/>
    </w:rPr>
  </w:style>
  <w:style w:type="paragraph" w:styleId="ListParagraph">
    <w:name w:val="List Paragraph"/>
    <w:basedOn w:val="Normal"/>
    <w:uiPriority w:val="34"/>
    <w:qFormat/>
    <w:rsid w:val="002F6357"/>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F6357"/>
    <w:rPr>
      <w:rFonts w:ascii="Tahoma" w:hAnsi="Tahoma" w:cs="Tahoma"/>
      <w:sz w:val="16"/>
      <w:szCs w:val="16"/>
    </w:rPr>
  </w:style>
  <w:style w:type="character" w:customStyle="1" w:styleId="BalloonTextChar">
    <w:name w:val="Balloon Text Char"/>
    <w:basedOn w:val="DefaultParagraphFont"/>
    <w:link w:val="BalloonText"/>
    <w:uiPriority w:val="99"/>
    <w:semiHidden/>
    <w:rsid w:val="002F6357"/>
    <w:rPr>
      <w:rFonts w:ascii="Tahoma" w:hAnsi="Tahoma" w:cs="Tahoma"/>
      <w:i/>
      <w:sz w:val="16"/>
      <w:szCs w:val="16"/>
    </w:rPr>
  </w:style>
  <w:style w:type="character" w:customStyle="1" w:styleId="base-text-paragraphChar">
    <w:name w:val="base-text-paragraph Char"/>
    <w:basedOn w:val="DefaultParagraphFont"/>
    <w:link w:val="base-text-paragraph"/>
    <w:locked/>
    <w:rsid w:val="00AF3B62"/>
  </w:style>
  <w:style w:type="paragraph" w:customStyle="1" w:styleId="base-text-paragraph">
    <w:name w:val="base-text-paragraph"/>
    <w:basedOn w:val="Normal"/>
    <w:link w:val="base-text-paragraphChar"/>
    <w:rsid w:val="00AF3B62"/>
    <w:pPr>
      <w:tabs>
        <w:tab w:val="num" w:pos="360"/>
        <w:tab w:val="num" w:pos="1984"/>
      </w:tabs>
      <w:spacing w:before="120" w:after="120"/>
      <w:ind w:left="1134"/>
    </w:pPr>
    <w:rPr>
      <w:rFonts w:asciiTheme="minorHAnsi" w:hAnsiTheme="minorHAnsi" w:cstheme="minorBidi"/>
      <w:i w:val="0"/>
      <w:sz w:val="22"/>
      <w:szCs w:val="22"/>
    </w:rPr>
  </w:style>
  <w:style w:type="paragraph" w:styleId="Header">
    <w:name w:val="header"/>
    <w:basedOn w:val="Normal"/>
    <w:link w:val="HeaderChar"/>
    <w:uiPriority w:val="99"/>
    <w:unhideWhenUsed/>
    <w:rsid w:val="00F345B9"/>
    <w:pPr>
      <w:tabs>
        <w:tab w:val="center" w:pos="4513"/>
        <w:tab w:val="right" w:pos="9026"/>
      </w:tabs>
    </w:pPr>
  </w:style>
  <w:style w:type="character" w:customStyle="1" w:styleId="HeaderChar">
    <w:name w:val="Header Char"/>
    <w:basedOn w:val="DefaultParagraphFont"/>
    <w:link w:val="Header"/>
    <w:uiPriority w:val="99"/>
    <w:rsid w:val="00F345B9"/>
    <w:rPr>
      <w:rFonts w:ascii="Times New Roman" w:hAnsi="Times New Roman" w:cs="Times New Roman"/>
      <w:i/>
      <w:sz w:val="20"/>
      <w:szCs w:val="28"/>
    </w:rPr>
  </w:style>
  <w:style w:type="paragraph" w:styleId="Footer">
    <w:name w:val="footer"/>
    <w:basedOn w:val="Normal"/>
    <w:link w:val="FooterChar"/>
    <w:uiPriority w:val="99"/>
    <w:unhideWhenUsed/>
    <w:rsid w:val="00F345B9"/>
    <w:pPr>
      <w:tabs>
        <w:tab w:val="center" w:pos="4513"/>
        <w:tab w:val="right" w:pos="9026"/>
      </w:tabs>
    </w:pPr>
  </w:style>
  <w:style w:type="character" w:customStyle="1" w:styleId="FooterChar">
    <w:name w:val="Footer Char"/>
    <w:basedOn w:val="DefaultParagraphFont"/>
    <w:link w:val="Footer"/>
    <w:uiPriority w:val="99"/>
    <w:rsid w:val="00F345B9"/>
    <w:rPr>
      <w:rFonts w:ascii="Times New Roman" w:hAnsi="Times New Roman" w:cs="Times New Roman"/>
      <w:i/>
      <w:sz w:val="20"/>
      <w:szCs w:val="28"/>
    </w:rPr>
  </w:style>
  <w:style w:type="character" w:styleId="Hyperlink">
    <w:name w:val="Hyperlink"/>
    <w:basedOn w:val="DefaultParagraphFont"/>
    <w:uiPriority w:val="99"/>
    <w:unhideWhenUsed/>
    <w:rsid w:val="005975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357"/>
    <w:pPr>
      <w:spacing w:after="0" w:line="240" w:lineRule="auto"/>
    </w:pPr>
    <w:rPr>
      <w:rFonts w:ascii="Times New Roman" w:hAnsi="Times New Roman" w:cs="Times New Roman"/>
      <w:i/>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357"/>
    <w:pPr>
      <w:spacing w:before="100" w:beforeAutospacing="1" w:after="100" w:afterAutospacing="1"/>
    </w:pPr>
    <w:rPr>
      <w:rFonts w:ascii="Verdana" w:hAnsi="Verdana"/>
    </w:rPr>
  </w:style>
  <w:style w:type="paragraph" w:styleId="ListParagraph">
    <w:name w:val="List Paragraph"/>
    <w:basedOn w:val="Normal"/>
    <w:uiPriority w:val="34"/>
    <w:qFormat/>
    <w:rsid w:val="002F6357"/>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F6357"/>
    <w:rPr>
      <w:rFonts w:ascii="Tahoma" w:hAnsi="Tahoma" w:cs="Tahoma"/>
      <w:sz w:val="16"/>
      <w:szCs w:val="16"/>
    </w:rPr>
  </w:style>
  <w:style w:type="character" w:customStyle="1" w:styleId="BalloonTextChar">
    <w:name w:val="Balloon Text Char"/>
    <w:basedOn w:val="DefaultParagraphFont"/>
    <w:link w:val="BalloonText"/>
    <w:uiPriority w:val="99"/>
    <w:semiHidden/>
    <w:rsid w:val="002F6357"/>
    <w:rPr>
      <w:rFonts w:ascii="Tahoma" w:hAnsi="Tahoma" w:cs="Tahoma"/>
      <w:i/>
      <w:sz w:val="16"/>
      <w:szCs w:val="16"/>
    </w:rPr>
  </w:style>
  <w:style w:type="character" w:customStyle="1" w:styleId="base-text-paragraphChar">
    <w:name w:val="base-text-paragraph Char"/>
    <w:basedOn w:val="DefaultParagraphFont"/>
    <w:link w:val="base-text-paragraph"/>
    <w:locked/>
    <w:rsid w:val="00AF3B62"/>
  </w:style>
  <w:style w:type="paragraph" w:customStyle="1" w:styleId="base-text-paragraph">
    <w:name w:val="base-text-paragraph"/>
    <w:basedOn w:val="Normal"/>
    <w:link w:val="base-text-paragraphChar"/>
    <w:rsid w:val="00AF3B62"/>
    <w:pPr>
      <w:tabs>
        <w:tab w:val="num" w:pos="360"/>
        <w:tab w:val="num" w:pos="1984"/>
      </w:tabs>
      <w:spacing w:before="120" w:after="120"/>
      <w:ind w:left="1134"/>
    </w:pPr>
    <w:rPr>
      <w:rFonts w:asciiTheme="minorHAnsi" w:hAnsiTheme="minorHAnsi" w:cstheme="minorBidi"/>
      <w:i w:val="0"/>
      <w:sz w:val="22"/>
      <w:szCs w:val="22"/>
    </w:rPr>
  </w:style>
  <w:style w:type="paragraph" w:styleId="Header">
    <w:name w:val="header"/>
    <w:basedOn w:val="Normal"/>
    <w:link w:val="HeaderChar"/>
    <w:uiPriority w:val="99"/>
    <w:unhideWhenUsed/>
    <w:rsid w:val="00F345B9"/>
    <w:pPr>
      <w:tabs>
        <w:tab w:val="center" w:pos="4513"/>
        <w:tab w:val="right" w:pos="9026"/>
      </w:tabs>
    </w:pPr>
  </w:style>
  <w:style w:type="character" w:customStyle="1" w:styleId="HeaderChar">
    <w:name w:val="Header Char"/>
    <w:basedOn w:val="DefaultParagraphFont"/>
    <w:link w:val="Header"/>
    <w:uiPriority w:val="99"/>
    <w:rsid w:val="00F345B9"/>
    <w:rPr>
      <w:rFonts w:ascii="Times New Roman" w:hAnsi="Times New Roman" w:cs="Times New Roman"/>
      <w:i/>
      <w:sz w:val="20"/>
      <w:szCs w:val="28"/>
    </w:rPr>
  </w:style>
  <w:style w:type="paragraph" w:styleId="Footer">
    <w:name w:val="footer"/>
    <w:basedOn w:val="Normal"/>
    <w:link w:val="FooterChar"/>
    <w:uiPriority w:val="99"/>
    <w:unhideWhenUsed/>
    <w:rsid w:val="00F345B9"/>
    <w:pPr>
      <w:tabs>
        <w:tab w:val="center" w:pos="4513"/>
        <w:tab w:val="right" w:pos="9026"/>
      </w:tabs>
    </w:pPr>
  </w:style>
  <w:style w:type="character" w:customStyle="1" w:styleId="FooterChar">
    <w:name w:val="Footer Char"/>
    <w:basedOn w:val="DefaultParagraphFont"/>
    <w:link w:val="Footer"/>
    <w:uiPriority w:val="99"/>
    <w:rsid w:val="00F345B9"/>
    <w:rPr>
      <w:rFonts w:ascii="Times New Roman" w:hAnsi="Times New Roman" w:cs="Times New Roman"/>
      <w:i/>
      <w:sz w:val="20"/>
      <w:szCs w:val="28"/>
    </w:rPr>
  </w:style>
  <w:style w:type="character" w:styleId="Hyperlink">
    <w:name w:val="Hyperlink"/>
    <w:basedOn w:val="DefaultParagraphFont"/>
    <w:uiPriority w:val="99"/>
    <w:unhideWhenUsed/>
    <w:rsid w:val="00597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Hire Intelligence</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davidc</cp:lastModifiedBy>
  <cp:revision>6</cp:revision>
  <cp:lastPrinted>2011-08-11T02:09:00Z</cp:lastPrinted>
  <dcterms:created xsi:type="dcterms:W3CDTF">2012-05-09T09:11:00Z</dcterms:created>
  <dcterms:modified xsi:type="dcterms:W3CDTF">2012-05-11T05:21:00Z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177135771</vt:i4>
  </property>
  <property fmtid="{D5CDD505-2E9C-101B-9397-08002B2CF9AE}" pid="3" name="_NewReviewCycle">
    <vt:lpwstr/>
  </property>
  <property fmtid="{D5CDD505-2E9C-101B-9397-08002B2CF9AE}" pid="4" name="_EmailSubject">
    <vt:lpwstr> 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ies>
</file>