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896405423"/>
        <w:docPartObj>
          <w:docPartGallery w:val="Cover Pages"/>
          <w:docPartUnique/>
        </w:docPartObj>
      </w:sdtPr>
      <w:sdtEndPr>
        <w:rPr>
          <w:rFonts w:cstheme="minorHAnsi"/>
          <w:sz w:val="24"/>
          <w:szCs w:val="24"/>
        </w:rPr>
      </w:sdtEndPr>
      <w:sdtContent>
        <w:p w14:paraId="15EC7BF4" w14:textId="111A4722" w:rsidR="0088129B" w:rsidRDefault="0088129B"/>
        <w:tbl>
          <w:tblPr>
            <w:tblpPr w:leftFromText="187" w:rightFromText="187" w:vertAnchor="page" w:horzAnchor="margin" w:tblpXSpec="center" w:tblpY="2143"/>
            <w:tblW w:w="4000" w:type="pct"/>
            <w:tblBorders>
              <w:left w:val="single" w:sz="18" w:space="0" w:color="4472C4" w:themeColor="accent1"/>
            </w:tblBorders>
            <w:tblLook w:val="04A0" w:firstRow="1" w:lastRow="0" w:firstColumn="1" w:lastColumn="0" w:noHBand="0" w:noVBand="1"/>
          </w:tblPr>
          <w:tblGrid>
            <w:gridCol w:w="8075"/>
          </w:tblGrid>
          <w:tr w:rsidR="00241342" w14:paraId="43DC057F" w14:textId="77777777" w:rsidTr="00241342">
            <w:tc>
              <w:tcPr>
                <w:tcW w:w="8075" w:type="dxa"/>
                <w:tcMar>
                  <w:top w:w="216" w:type="dxa"/>
                  <w:left w:w="115" w:type="dxa"/>
                  <w:bottom w:w="216" w:type="dxa"/>
                  <w:right w:w="115" w:type="dxa"/>
                </w:tcMar>
              </w:tcPr>
              <w:p w14:paraId="60C6C0B7" w14:textId="6E29B622" w:rsidR="00241342" w:rsidRDefault="00241342" w:rsidP="00241342">
                <w:pPr>
                  <w:pStyle w:val="NoSpacing"/>
                  <w:rPr>
                    <w:rFonts w:asciiTheme="majorHAnsi" w:eastAsiaTheme="majorEastAsia" w:hAnsiTheme="majorHAnsi" w:cstheme="majorBidi"/>
                  </w:rPr>
                </w:pPr>
                <w:r>
                  <w:rPr>
                    <w:rFonts w:asciiTheme="majorHAnsi" w:eastAsiaTheme="majorEastAsia" w:hAnsiTheme="majorHAnsi" w:cstheme="majorBidi"/>
                  </w:rPr>
                  <w:t>Submission on behalf of the Community Housing Industry</w:t>
                </w:r>
              </w:p>
            </w:tc>
          </w:tr>
          <w:tr w:rsidR="00241342" w:rsidRPr="00241342" w14:paraId="22678076" w14:textId="77777777" w:rsidTr="00241342">
            <w:tc>
              <w:tcPr>
                <w:tcW w:w="8075" w:type="dxa"/>
              </w:tcPr>
              <w:p w14:paraId="6ACBAAE2" w14:textId="339918CF" w:rsidR="00241342" w:rsidRPr="00241342" w:rsidRDefault="00241342" w:rsidP="00241342">
                <w:pPr>
                  <w:pStyle w:val="NoSpacing"/>
                  <w:rPr>
                    <w:rFonts w:asciiTheme="majorHAnsi" w:eastAsiaTheme="majorEastAsia" w:hAnsiTheme="majorHAnsi" w:cstheme="majorBidi"/>
                    <w:color w:val="4472C4" w:themeColor="accent1"/>
                    <w:sz w:val="48"/>
                    <w:szCs w:val="48"/>
                  </w:rPr>
                </w:pPr>
                <w:r w:rsidRPr="00241342">
                  <w:rPr>
                    <w:rFonts w:asciiTheme="majorHAnsi" w:eastAsiaTheme="majorEastAsia" w:hAnsiTheme="majorHAnsi" w:cstheme="majorBidi"/>
                    <w:color w:val="4472C4" w:themeColor="accent1"/>
                    <w:sz w:val="48"/>
                    <w:szCs w:val="48"/>
                  </w:rPr>
                  <w:t>Inquiry into the National Housing Finance Intermediary Corporation</w:t>
                </w:r>
              </w:p>
            </w:tc>
          </w:tr>
          <w:tr w:rsidR="00241342" w14:paraId="67D73495" w14:textId="77777777" w:rsidTr="00241342">
            <w:tc>
              <w:tcPr>
                <w:tcW w:w="8075" w:type="dxa"/>
                <w:tcMar>
                  <w:top w:w="216" w:type="dxa"/>
                  <w:left w:w="115" w:type="dxa"/>
                  <w:bottom w:w="216" w:type="dxa"/>
                  <w:right w:w="115" w:type="dxa"/>
                </w:tcMar>
              </w:tcPr>
              <w:p w14:paraId="77B7F8F8" w14:textId="08E51F74" w:rsidR="00241342" w:rsidRDefault="00241342" w:rsidP="00241342">
                <w:pPr>
                  <w:pStyle w:val="NoSpacing"/>
                  <w:rPr>
                    <w:rFonts w:asciiTheme="majorHAnsi" w:eastAsiaTheme="majorEastAsia" w:hAnsiTheme="majorHAnsi" w:cstheme="majorBidi"/>
                  </w:rPr>
                </w:pPr>
                <w:r>
                  <w:rPr>
                    <w:rFonts w:asciiTheme="majorHAnsi" w:eastAsiaTheme="majorEastAsia" w:hAnsiTheme="majorHAnsi" w:cstheme="majorBidi"/>
                  </w:rPr>
                  <w:t>March 2018</w:t>
                </w:r>
              </w:p>
            </w:tc>
          </w:tr>
        </w:tbl>
        <w:p w14:paraId="0585217D" w14:textId="77777777" w:rsidR="0088129B" w:rsidRDefault="0088129B"/>
        <w:tbl>
          <w:tblPr>
            <w:tblpPr w:leftFromText="187" w:rightFromText="187" w:vertAnchor="page" w:horzAnchor="margin" w:tblpXSpec="center" w:tblpY="13949"/>
            <w:tblW w:w="4000" w:type="pct"/>
            <w:tblLayout w:type="fixed"/>
            <w:tblLook w:val="04A0" w:firstRow="1" w:lastRow="0" w:firstColumn="1" w:lastColumn="0" w:noHBand="0" w:noVBand="1"/>
          </w:tblPr>
          <w:tblGrid>
            <w:gridCol w:w="8075"/>
          </w:tblGrid>
          <w:tr w:rsidR="00241342" w:rsidRPr="00241342" w14:paraId="563750D3" w14:textId="77777777" w:rsidTr="005A7EDC">
            <w:tc>
              <w:tcPr>
                <w:tcW w:w="8075" w:type="dxa"/>
                <w:tcMar>
                  <w:top w:w="216" w:type="dxa"/>
                  <w:left w:w="115" w:type="dxa"/>
                  <w:bottom w:w="216" w:type="dxa"/>
                  <w:right w:w="115" w:type="dxa"/>
                </w:tcMar>
              </w:tcPr>
              <w:p w14:paraId="169E6938" w14:textId="77777777" w:rsidR="005A7EDC" w:rsidRPr="00241342" w:rsidRDefault="005A7EDC" w:rsidP="005A7EDC">
                <w:pPr>
                  <w:pStyle w:val="NoSpacing"/>
                  <w:rPr>
                    <w:color w:val="FF0000"/>
                  </w:rPr>
                </w:pPr>
              </w:p>
            </w:tc>
          </w:tr>
        </w:tbl>
        <w:tbl>
          <w:tblPr>
            <w:tblStyle w:val="TableGrid"/>
            <w:tblpPr w:leftFromText="180" w:rightFromText="180" w:vertAnchor="page" w:horzAnchor="margin" w:tblpXSpec="center" w:tblpY="9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2610"/>
            <w:gridCol w:w="2610"/>
          </w:tblGrid>
          <w:tr w:rsidR="00241342" w:rsidRPr="00241342" w14:paraId="0B184E91" w14:textId="77777777" w:rsidTr="00D647D9">
            <w:trPr>
              <w:trHeight w:val="1692"/>
            </w:trPr>
            <w:tc>
              <w:tcPr>
                <w:tcW w:w="2610" w:type="dxa"/>
              </w:tcPr>
              <w:p w14:paraId="72E612E6" w14:textId="77777777" w:rsidR="00241342" w:rsidRDefault="00241342" w:rsidP="00D647D9">
                <w:pPr>
                  <w:pStyle w:val="NoSpacing"/>
                  <w:rPr>
                    <w:color w:val="FF0000"/>
                  </w:rPr>
                </w:pPr>
                <w:r w:rsidRPr="00241342">
                  <w:rPr>
                    <w:noProof/>
                    <w:color w:val="FF0000"/>
                    <w:lang w:val="en-AU" w:eastAsia="en-AU"/>
                  </w:rPr>
                  <w:drawing>
                    <wp:inline distT="0" distB="0" distL="0" distR="0" wp14:anchorId="3E8ABD42" wp14:editId="6B8B69BC">
                      <wp:extent cx="1520190" cy="131635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0190" cy="1316355"/>
                              </a:xfrm>
                              <a:prstGeom prst="rect">
                                <a:avLst/>
                              </a:prstGeom>
                            </pic:spPr>
                          </pic:pic>
                        </a:graphicData>
                      </a:graphic>
                    </wp:inline>
                  </w:drawing>
                </w:r>
                <w:r w:rsidRPr="00241342">
                  <w:rPr>
                    <w:noProof/>
                    <w:color w:val="FF0000"/>
                    <w:lang w:val="en-AU" w:eastAsia="en-AU"/>
                  </w:rPr>
                  <w:drawing>
                    <wp:inline distT="0" distB="0" distL="0" distR="0" wp14:anchorId="5E644C8D" wp14:editId="48D9B5C8">
                      <wp:extent cx="1267012" cy="1267012"/>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A Vic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8916" cy="1268916"/>
                              </a:xfrm>
                              <a:prstGeom prst="rect">
                                <a:avLst/>
                              </a:prstGeom>
                            </pic:spPr>
                          </pic:pic>
                        </a:graphicData>
                      </a:graphic>
                    </wp:inline>
                  </w:drawing>
                </w:r>
              </w:p>
              <w:p w14:paraId="7F6FF11F" w14:textId="77777777" w:rsidR="00241342" w:rsidRDefault="00241342" w:rsidP="00D647D9">
                <w:pPr>
                  <w:pStyle w:val="NoSpacing"/>
                  <w:rPr>
                    <w:color w:val="FF0000"/>
                  </w:rPr>
                </w:pPr>
              </w:p>
              <w:p w14:paraId="04821DF0" w14:textId="77777777" w:rsidR="00241342" w:rsidRDefault="00241342" w:rsidP="00D647D9">
                <w:pPr>
                  <w:pStyle w:val="NoSpacing"/>
                  <w:rPr>
                    <w:color w:val="FF0000"/>
                  </w:rPr>
                </w:pPr>
              </w:p>
              <w:p w14:paraId="0EC3346A" w14:textId="77777777" w:rsidR="00241342" w:rsidRDefault="00241342" w:rsidP="00D647D9">
                <w:pPr>
                  <w:pStyle w:val="NoSpacing"/>
                  <w:rPr>
                    <w:color w:val="FF0000"/>
                  </w:rPr>
                </w:pPr>
              </w:p>
              <w:p w14:paraId="71BE9122" w14:textId="77777777" w:rsidR="00241342" w:rsidRPr="00241342" w:rsidRDefault="00241342" w:rsidP="00D647D9">
                <w:pPr>
                  <w:pStyle w:val="NoSpacing"/>
                  <w:rPr>
                    <w:color w:val="FF0000"/>
                  </w:rPr>
                </w:pPr>
              </w:p>
            </w:tc>
            <w:tc>
              <w:tcPr>
                <w:tcW w:w="2610" w:type="dxa"/>
              </w:tcPr>
              <w:p w14:paraId="36D2C242" w14:textId="77777777" w:rsidR="00241342" w:rsidRPr="00241342" w:rsidRDefault="00241342" w:rsidP="00D647D9">
                <w:pPr>
                  <w:pStyle w:val="NoSpacing"/>
                  <w:rPr>
                    <w:noProof/>
                    <w:color w:val="FF0000"/>
                    <w:lang w:val="en-AU" w:eastAsia="en-AU"/>
                  </w:rPr>
                </w:pPr>
              </w:p>
              <w:p w14:paraId="4E733006" w14:textId="77777777" w:rsidR="00241342" w:rsidRPr="00241342" w:rsidRDefault="00241342" w:rsidP="00D647D9">
                <w:pPr>
                  <w:pStyle w:val="NoSpacing"/>
                  <w:rPr>
                    <w:noProof/>
                    <w:color w:val="FF0000"/>
                    <w:lang w:val="en-AU" w:eastAsia="en-AU"/>
                  </w:rPr>
                </w:pPr>
                <w:r w:rsidRPr="00241342">
                  <w:rPr>
                    <w:noProof/>
                    <w:color w:val="FF0000"/>
                    <w:lang w:val="en-AU" w:eastAsia="en-AU"/>
                  </w:rPr>
                  <w:drawing>
                    <wp:inline distT="0" distB="0" distL="0" distR="0" wp14:anchorId="631F9D75" wp14:editId="4EE88F9C">
                      <wp:extent cx="1514286" cy="6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 Tas logo.png"/>
                              <pic:cNvPicPr/>
                            </pic:nvPicPr>
                            <pic:blipFill>
                              <a:blip r:embed="rId14">
                                <a:extLst>
                                  <a:ext uri="{28A0092B-C50C-407E-A947-70E740481C1C}">
                                    <a14:useLocalDpi xmlns:a14="http://schemas.microsoft.com/office/drawing/2010/main" val="0"/>
                                  </a:ext>
                                </a:extLst>
                              </a:blip>
                              <a:stretch>
                                <a:fillRect/>
                              </a:stretch>
                            </pic:blipFill>
                            <pic:spPr>
                              <a:xfrm>
                                <a:off x="0" y="0"/>
                                <a:ext cx="1514286" cy="600000"/>
                              </a:xfrm>
                              <a:prstGeom prst="rect">
                                <a:avLst/>
                              </a:prstGeom>
                            </pic:spPr>
                          </pic:pic>
                        </a:graphicData>
                      </a:graphic>
                    </wp:inline>
                  </w:drawing>
                </w:r>
              </w:p>
              <w:p w14:paraId="34062C0C" w14:textId="77777777" w:rsidR="00241342" w:rsidRPr="00241342" w:rsidRDefault="00241342" w:rsidP="00D647D9">
                <w:pPr>
                  <w:pStyle w:val="NoSpacing"/>
                  <w:rPr>
                    <w:noProof/>
                    <w:color w:val="FF0000"/>
                    <w:lang w:val="en-AU" w:eastAsia="en-AU"/>
                  </w:rPr>
                </w:pPr>
              </w:p>
              <w:p w14:paraId="6BD4A857" w14:textId="77777777" w:rsidR="00241342" w:rsidRPr="00241342" w:rsidRDefault="00241342" w:rsidP="00D647D9">
                <w:pPr>
                  <w:pStyle w:val="NoSpacing"/>
                  <w:rPr>
                    <w:color w:val="FF0000"/>
                  </w:rPr>
                </w:pPr>
                <w:r w:rsidRPr="00241342">
                  <w:rPr>
                    <w:noProof/>
                    <w:color w:val="FF0000"/>
                    <w:lang w:val="en-AU" w:eastAsia="en-AU"/>
                  </w:rPr>
                  <w:drawing>
                    <wp:inline distT="0" distB="0" distL="0" distR="0" wp14:anchorId="4ADA220C" wp14:editId="2D59000D">
                      <wp:extent cx="1141506" cy="120826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helter_colourlogo_portrai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135" cy="1209984"/>
                              </a:xfrm>
                              <a:prstGeom prst="rect">
                                <a:avLst/>
                              </a:prstGeom>
                            </pic:spPr>
                          </pic:pic>
                        </a:graphicData>
                      </a:graphic>
                    </wp:inline>
                  </w:drawing>
                </w:r>
                <w:r w:rsidRPr="00241342">
                  <w:rPr>
                    <w:noProof/>
                    <w:color w:val="FF0000"/>
                    <w:lang w:val="en-AU" w:eastAsia="en-AU"/>
                  </w:rPr>
                  <w:drawing>
                    <wp:inline distT="0" distB="0" distL="0" distR="0" wp14:anchorId="4A63B675" wp14:editId="6E5B8822">
                      <wp:extent cx="1520190" cy="836295"/>
                      <wp:effectExtent l="0" t="0" r="381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SA_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0190" cy="836295"/>
                              </a:xfrm>
                              <a:prstGeom prst="rect">
                                <a:avLst/>
                              </a:prstGeom>
                            </pic:spPr>
                          </pic:pic>
                        </a:graphicData>
                      </a:graphic>
                    </wp:inline>
                  </w:drawing>
                </w:r>
              </w:p>
            </w:tc>
            <w:tc>
              <w:tcPr>
                <w:tcW w:w="2610" w:type="dxa"/>
              </w:tcPr>
              <w:p w14:paraId="584B0598" w14:textId="77777777" w:rsidR="00241342" w:rsidRPr="00241342" w:rsidRDefault="00241342" w:rsidP="00D647D9">
                <w:pPr>
                  <w:pStyle w:val="NoSpacing"/>
                  <w:rPr>
                    <w:noProof/>
                    <w:color w:val="FF0000"/>
                    <w:lang w:val="en-AU" w:eastAsia="en-AU"/>
                  </w:rPr>
                </w:pPr>
              </w:p>
              <w:p w14:paraId="512278F3" w14:textId="77777777" w:rsidR="00241342" w:rsidRPr="00241342" w:rsidRDefault="00241342" w:rsidP="00D647D9">
                <w:pPr>
                  <w:pStyle w:val="NoSpacing"/>
                  <w:rPr>
                    <w:noProof/>
                    <w:color w:val="FF0000"/>
                    <w:lang w:val="en-AU" w:eastAsia="en-AU"/>
                  </w:rPr>
                </w:pPr>
                <w:r w:rsidRPr="00241342">
                  <w:rPr>
                    <w:noProof/>
                    <w:color w:val="FF0000"/>
                    <w:lang w:val="en-AU" w:eastAsia="en-AU"/>
                  </w:rPr>
                  <w:drawing>
                    <wp:inline distT="0" distB="0" distL="0" distR="0" wp14:anchorId="48827431" wp14:editId="4FB04E99">
                      <wp:extent cx="2669621" cy="5259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Ps for Ql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917" cy="527170"/>
                              </a:xfrm>
                              <a:prstGeom prst="rect">
                                <a:avLst/>
                              </a:prstGeom>
                            </pic:spPr>
                          </pic:pic>
                        </a:graphicData>
                      </a:graphic>
                    </wp:inline>
                  </w:drawing>
                </w:r>
              </w:p>
              <w:p w14:paraId="3286EF39" w14:textId="77777777" w:rsidR="00241342" w:rsidRPr="00241342" w:rsidRDefault="00241342" w:rsidP="00D647D9">
                <w:pPr>
                  <w:pStyle w:val="NoSpacing"/>
                  <w:rPr>
                    <w:noProof/>
                    <w:color w:val="FF0000"/>
                    <w:lang w:val="en-AU" w:eastAsia="en-AU"/>
                  </w:rPr>
                </w:pPr>
              </w:p>
              <w:p w14:paraId="7D943B97" w14:textId="77777777" w:rsidR="00241342" w:rsidRPr="00241342" w:rsidRDefault="00241342" w:rsidP="00D647D9">
                <w:pPr>
                  <w:pStyle w:val="NoSpacing"/>
                  <w:rPr>
                    <w:noProof/>
                    <w:color w:val="FF0000"/>
                    <w:lang w:val="en-AU" w:eastAsia="en-AU"/>
                  </w:rPr>
                </w:pPr>
                <w:r w:rsidRPr="00241342">
                  <w:rPr>
                    <w:noProof/>
                    <w:color w:val="FF0000"/>
                    <w:lang w:val="en-AU" w:eastAsia="en-AU"/>
                  </w:rPr>
                  <w:drawing>
                    <wp:inline distT="0" distB="0" distL="0" distR="0" wp14:anchorId="39C41268" wp14:editId="45D0D22D">
                      <wp:extent cx="1601695" cy="352588"/>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HP-Logo_Small.jpg"/>
                              <pic:cNvPicPr/>
                            </pic:nvPicPr>
                            <pic:blipFill>
                              <a:blip r:embed="rId18">
                                <a:extLst>
                                  <a:ext uri="{28A0092B-C50C-407E-A947-70E740481C1C}">
                                    <a14:useLocalDpi xmlns:a14="http://schemas.microsoft.com/office/drawing/2010/main" val="0"/>
                                  </a:ext>
                                </a:extLst>
                              </a:blip>
                              <a:stretch>
                                <a:fillRect/>
                              </a:stretch>
                            </pic:blipFill>
                            <pic:spPr>
                              <a:xfrm>
                                <a:off x="0" y="0"/>
                                <a:ext cx="1617044" cy="355967"/>
                              </a:xfrm>
                              <a:prstGeom prst="rect">
                                <a:avLst/>
                              </a:prstGeom>
                            </pic:spPr>
                          </pic:pic>
                        </a:graphicData>
                      </a:graphic>
                    </wp:inline>
                  </w:drawing>
                </w:r>
              </w:p>
              <w:p w14:paraId="3ABF008C" w14:textId="77777777" w:rsidR="00241342" w:rsidRPr="00241342" w:rsidRDefault="00241342" w:rsidP="00D647D9">
                <w:pPr>
                  <w:pStyle w:val="NoSpacing"/>
                  <w:rPr>
                    <w:noProof/>
                    <w:color w:val="FF0000"/>
                    <w:lang w:val="en-AU" w:eastAsia="en-AU"/>
                  </w:rPr>
                </w:pPr>
              </w:p>
              <w:p w14:paraId="4C84DBE4" w14:textId="77777777" w:rsidR="00241342" w:rsidRPr="00241342" w:rsidRDefault="00241342" w:rsidP="00D647D9">
                <w:pPr>
                  <w:pStyle w:val="NoSpacing"/>
                  <w:rPr>
                    <w:noProof/>
                    <w:color w:val="FF0000"/>
                    <w:lang w:val="en-AU" w:eastAsia="en-AU"/>
                  </w:rPr>
                </w:pPr>
              </w:p>
              <w:p w14:paraId="1FF49C49" w14:textId="77777777" w:rsidR="00241342" w:rsidRPr="00241342" w:rsidRDefault="00241342" w:rsidP="00D647D9">
                <w:pPr>
                  <w:pStyle w:val="NoSpacing"/>
                  <w:rPr>
                    <w:noProof/>
                    <w:color w:val="FF0000"/>
                    <w:lang w:val="en-AU" w:eastAsia="en-AU"/>
                  </w:rPr>
                </w:pPr>
              </w:p>
              <w:p w14:paraId="061C69ED" w14:textId="77777777" w:rsidR="00241342" w:rsidRPr="00241342" w:rsidRDefault="00241342" w:rsidP="00D647D9">
                <w:pPr>
                  <w:pStyle w:val="NoSpacing"/>
                  <w:rPr>
                    <w:color w:val="FF0000"/>
                  </w:rPr>
                </w:pPr>
                <w:r w:rsidRPr="00241342">
                  <w:rPr>
                    <w:noProof/>
                    <w:color w:val="FF0000"/>
                    <w:lang w:val="en-AU" w:eastAsia="en-AU"/>
                  </w:rPr>
                  <w:drawing>
                    <wp:inline distT="0" distB="0" distL="0" distR="0" wp14:anchorId="37AD94BE" wp14:editId="193020E8">
                      <wp:extent cx="986854" cy="907296"/>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FHA logo.png"/>
                              <pic:cNvPicPr/>
                            </pic:nvPicPr>
                            <pic:blipFill>
                              <a:blip r:embed="rId19">
                                <a:extLst>
                                  <a:ext uri="{28A0092B-C50C-407E-A947-70E740481C1C}">
                                    <a14:useLocalDpi xmlns:a14="http://schemas.microsoft.com/office/drawing/2010/main" val="0"/>
                                  </a:ext>
                                </a:extLst>
                              </a:blip>
                              <a:stretch>
                                <a:fillRect/>
                              </a:stretch>
                            </pic:blipFill>
                            <pic:spPr>
                              <a:xfrm>
                                <a:off x="0" y="0"/>
                                <a:ext cx="987184" cy="907600"/>
                              </a:xfrm>
                              <a:prstGeom prst="rect">
                                <a:avLst/>
                              </a:prstGeom>
                            </pic:spPr>
                          </pic:pic>
                        </a:graphicData>
                      </a:graphic>
                    </wp:inline>
                  </w:drawing>
                </w:r>
              </w:p>
            </w:tc>
          </w:tr>
        </w:tbl>
        <w:p w14:paraId="0D85CCA2" w14:textId="77777777" w:rsidR="00241342" w:rsidRDefault="005A7EDC">
          <w:pPr>
            <w:rPr>
              <w:rFonts w:cstheme="minorHAnsi"/>
              <w:color w:val="FF0000"/>
              <w:sz w:val="24"/>
              <w:szCs w:val="24"/>
            </w:rPr>
          </w:pPr>
          <w:r w:rsidRPr="00241342">
            <w:rPr>
              <w:rFonts w:cstheme="minorHAnsi"/>
              <w:color w:val="FF0000"/>
              <w:sz w:val="24"/>
              <w:szCs w:val="24"/>
            </w:rPr>
            <w:t xml:space="preserve"> </w:t>
          </w:r>
        </w:p>
        <w:p w14:paraId="0D3C527A" w14:textId="77777777" w:rsidR="00241342" w:rsidRDefault="00241342">
          <w:pPr>
            <w:rPr>
              <w:rFonts w:cstheme="minorHAnsi"/>
              <w:color w:val="FF0000"/>
              <w:sz w:val="24"/>
              <w:szCs w:val="24"/>
            </w:rPr>
          </w:pPr>
        </w:p>
        <w:p w14:paraId="5E34CD36" w14:textId="77777777" w:rsidR="00241342" w:rsidRDefault="00241342">
          <w:pPr>
            <w:rPr>
              <w:rFonts w:cstheme="minorHAnsi"/>
              <w:color w:val="FF0000"/>
              <w:sz w:val="24"/>
              <w:szCs w:val="24"/>
            </w:rPr>
          </w:pPr>
        </w:p>
        <w:p w14:paraId="2AB187FB" w14:textId="77777777" w:rsidR="00241342" w:rsidRDefault="00241342">
          <w:pPr>
            <w:rPr>
              <w:rFonts w:cstheme="minorHAnsi"/>
              <w:color w:val="FF0000"/>
              <w:sz w:val="24"/>
              <w:szCs w:val="24"/>
            </w:rPr>
          </w:pPr>
        </w:p>
        <w:p w14:paraId="77BA6938" w14:textId="77777777" w:rsidR="00241342" w:rsidRDefault="00241342">
          <w:pPr>
            <w:rPr>
              <w:rFonts w:cstheme="minorHAnsi"/>
              <w:color w:val="FF0000"/>
              <w:sz w:val="24"/>
              <w:szCs w:val="24"/>
            </w:rPr>
          </w:pPr>
        </w:p>
        <w:p w14:paraId="45637CA9" w14:textId="77777777" w:rsidR="00241342" w:rsidRDefault="00241342">
          <w:pPr>
            <w:rPr>
              <w:rFonts w:cstheme="minorHAnsi"/>
              <w:color w:val="FF0000"/>
              <w:sz w:val="24"/>
              <w:szCs w:val="24"/>
            </w:rPr>
          </w:pPr>
        </w:p>
        <w:p w14:paraId="14B227DA" w14:textId="77777777" w:rsidR="00241342" w:rsidRDefault="00241342">
          <w:pPr>
            <w:rPr>
              <w:rFonts w:cstheme="minorHAnsi"/>
              <w:color w:val="FF0000"/>
              <w:sz w:val="24"/>
              <w:szCs w:val="24"/>
            </w:rPr>
          </w:pPr>
        </w:p>
        <w:p w14:paraId="11AFA27A" w14:textId="77777777" w:rsidR="00241342" w:rsidRDefault="00241342">
          <w:pPr>
            <w:rPr>
              <w:rFonts w:cstheme="minorHAnsi"/>
              <w:color w:val="FF0000"/>
              <w:sz w:val="24"/>
              <w:szCs w:val="24"/>
            </w:rPr>
          </w:pPr>
        </w:p>
        <w:p w14:paraId="2E4A170F" w14:textId="77777777" w:rsidR="00241342" w:rsidRPr="00D647D9" w:rsidRDefault="00241342" w:rsidP="00D647D9">
          <w:pPr>
            <w:ind w:left="142" w:firstLine="720"/>
            <w:rPr>
              <w:rFonts w:cstheme="minorHAnsi"/>
              <w:sz w:val="24"/>
              <w:szCs w:val="24"/>
            </w:rPr>
          </w:pPr>
          <w:r w:rsidRPr="00D647D9">
            <w:rPr>
              <w:rFonts w:cstheme="minorHAnsi"/>
              <w:sz w:val="24"/>
              <w:szCs w:val="24"/>
            </w:rPr>
            <w:t>Contact:</w:t>
          </w:r>
        </w:p>
        <w:p w14:paraId="6E7E5F54" w14:textId="61237B8C" w:rsidR="00241342" w:rsidRPr="00D647D9" w:rsidRDefault="00241342" w:rsidP="00FC2E61">
          <w:pPr>
            <w:spacing w:after="0"/>
            <w:ind w:left="142" w:firstLine="720"/>
            <w:rPr>
              <w:rFonts w:cstheme="minorHAnsi"/>
              <w:sz w:val="24"/>
              <w:szCs w:val="24"/>
            </w:rPr>
          </w:pPr>
          <w:r w:rsidRPr="00D647D9">
            <w:rPr>
              <w:rFonts w:cstheme="minorHAnsi"/>
              <w:sz w:val="24"/>
              <w:szCs w:val="24"/>
            </w:rPr>
            <w:t>Ms Peta Winzar</w:t>
          </w:r>
        </w:p>
        <w:p w14:paraId="29478E0A" w14:textId="3EB83054" w:rsidR="00241342" w:rsidRPr="00D647D9" w:rsidRDefault="00241342" w:rsidP="00FC2E61">
          <w:pPr>
            <w:spacing w:after="0"/>
            <w:ind w:left="142" w:firstLine="720"/>
            <w:rPr>
              <w:rFonts w:cstheme="minorHAnsi"/>
              <w:sz w:val="24"/>
              <w:szCs w:val="24"/>
            </w:rPr>
          </w:pPr>
          <w:r w:rsidRPr="00D647D9">
            <w:rPr>
              <w:rFonts w:cstheme="minorHAnsi"/>
              <w:sz w:val="24"/>
              <w:szCs w:val="24"/>
            </w:rPr>
            <w:t>Executive Director</w:t>
          </w:r>
        </w:p>
        <w:p w14:paraId="3920E9DA" w14:textId="4447F1C2" w:rsidR="00241342" w:rsidRPr="00D647D9" w:rsidRDefault="00241342" w:rsidP="00FC2E61">
          <w:pPr>
            <w:spacing w:after="0"/>
            <w:ind w:left="142" w:firstLine="720"/>
            <w:rPr>
              <w:rFonts w:cstheme="minorHAnsi"/>
              <w:sz w:val="24"/>
              <w:szCs w:val="24"/>
            </w:rPr>
          </w:pPr>
          <w:r w:rsidRPr="00D647D9">
            <w:rPr>
              <w:rFonts w:cstheme="minorHAnsi"/>
              <w:sz w:val="24"/>
              <w:szCs w:val="24"/>
            </w:rPr>
            <w:t>Community Housing Industry Association</w:t>
          </w:r>
        </w:p>
        <w:p w14:paraId="3B22E214" w14:textId="2CE8B039" w:rsidR="00241342" w:rsidRPr="00D647D9" w:rsidRDefault="00BF34EE" w:rsidP="00FC2E61">
          <w:pPr>
            <w:spacing w:after="0"/>
            <w:ind w:left="142" w:firstLine="720"/>
            <w:rPr>
              <w:rFonts w:cstheme="minorHAnsi"/>
              <w:sz w:val="24"/>
              <w:szCs w:val="24"/>
            </w:rPr>
          </w:pPr>
          <w:hyperlink r:id="rId20" w:history="1">
            <w:r w:rsidR="00241342" w:rsidRPr="00D647D9">
              <w:rPr>
                <w:rStyle w:val="Hyperlink"/>
                <w:rFonts w:cstheme="minorHAnsi"/>
                <w:color w:val="auto"/>
                <w:sz w:val="24"/>
                <w:szCs w:val="24"/>
              </w:rPr>
              <w:t>Peta.winzar@communityhousing.com.au</w:t>
            </w:r>
          </w:hyperlink>
        </w:p>
        <w:p w14:paraId="53728019" w14:textId="4700A4F4" w:rsidR="00241342" w:rsidRDefault="00241342" w:rsidP="00277A0D">
          <w:pPr>
            <w:spacing w:after="0"/>
            <w:rPr>
              <w:rFonts w:cstheme="minorHAnsi"/>
              <w:sz w:val="24"/>
              <w:szCs w:val="24"/>
            </w:rPr>
          </w:pPr>
        </w:p>
        <w:p w14:paraId="560966B6" w14:textId="77777777" w:rsidR="00D647D9" w:rsidRDefault="00D647D9" w:rsidP="00241342">
          <w:pPr>
            <w:ind w:firstLine="720"/>
            <w:rPr>
              <w:rFonts w:cstheme="minorHAnsi"/>
              <w:sz w:val="24"/>
              <w:szCs w:val="24"/>
            </w:rPr>
          </w:pPr>
        </w:p>
        <w:p w14:paraId="41B64110" w14:textId="77777777" w:rsidR="00D647D9" w:rsidRDefault="00D647D9" w:rsidP="00241342">
          <w:pPr>
            <w:ind w:firstLine="720"/>
            <w:rPr>
              <w:rFonts w:cstheme="minorHAnsi"/>
              <w:sz w:val="24"/>
              <w:szCs w:val="24"/>
            </w:rPr>
          </w:pPr>
        </w:p>
        <w:p w14:paraId="07EAE0B4" w14:textId="77777777" w:rsidR="00D647D9" w:rsidRDefault="00D647D9" w:rsidP="00241342">
          <w:pPr>
            <w:ind w:firstLine="720"/>
            <w:rPr>
              <w:rFonts w:cstheme="minorHAnsi"/>
              <w:sz w:val="24"/>
              <w:szCs w:val="24"/>
            </w:rPr>
          </w:pPr>
        </w:p>
        <w:p w14:paraId="58BAFD5B" w14:textId="77777777" w:rsidR="00D647D9" w:rsidRDefault="00D647D9" w:rsidP="00241342">
          <w:pPr>
            <w:ind w:firstLine="720"/>
            <w:rPr>
              <w:rFonts w:cstheme="minorHAnsi"/>
              <w:sz w:val="24"/>
              <w:szCs w:val="24"/>
            </w:rPr>
          </w:pPr>
        </w:p>
        <w:p w14:paraId="18966D18" w14:textId="77777777" w:rsidR="00D647D9" w:rsidRDefault="00D647D9" w:rsidP="00241342">
          <w:pPr>
            <w:ind w:firstLine="720"/>
            <w:rPr>
              <w:rFonts w:cstheme="minorHAnsi"/>
              <w:sz w:val="24"/>
              <w:szCs w:val="24"/>
            </w:rPr>
          </w:pPr>
        </w:p>
        <w:p w14:paraId="5C2A6559" w14:textId="77777777" w:rsidR="00D647D9" w:rsidRDefault="00D647D9" w:rsidP="00241342">
          <w:pPr>
            <w:ind w:firstLine="720"/>
            <w:rPr>
              <w:rFonts w:cstheme="minorHAnsi"/>
              <w:sz w:val="24"/>
              <w:szCs w:val="24"/>
            </w:rPr>
          </w:pPr>
        </w:p>
        <w:p w14:paraId="617EDD33" w14:textId="77777777" w:rsidR="00D647D9" w:rsidRDefault="00D647D9" w:rsidP="00241342">
          <w:pPr>
            <w:ind w:firstLine="720"/>
            <w:rPr>
              <w:rFonts w:cstheme="minorHAnsi"/>
              <w:sz w:val="24"/>
              <w:szCs w:val="24"/>
            </w:rPr>
          </w:pPr>
        </w:p>
        <w:p w14:paraId="5AF8CD82" w14:textId="77777777" w:rsidR="00D647D9" w:rsidRDefault="00D647D9" w:rsidP="00241342">
          <w:pPr>
            <w:ind w:firstLine="720"/>
            <w:rPr>
              <w:rFonts w:cstheme="minorHAnsi"/>
              <w:sz w:val="24"/>
              <w:szCs w:val="24"/>
            </w:rPr>
          </w:pPr>
        </w:p>
        <w:p w14:paraId="15F0E838" w14:textId="77777777" w:rsidR="00D647D9" w:rsidRPr="00D647D9" w:rsidRDefault="00D647D9" w:rsidP="00241342">
          <w:pPr>
            <w:ind w:firstLine="720"/>
            <w:rPr>
              <w:rFonts w:cstheme="minorHAnsi"/>
              <w:sz w:val="24"/>
              <w:szCs w:val="24"/>
            </w:rPr>
          </w:pPr>
        </w:p>
        <w:p w14:paraId="59191635" w14:textId="011C1B25" w:rsidR="0088129B" w:rsidRDefault="0088129B" w:rsidP="00241342">
          <w:pPr>
            <w:ind w:firstLine="720"/>
            <w:rPr>
              <w:rFonts w:cstheme="minorHAnsi"/>
              <w:sz w:val="24"/>
              <w:szCs w:val="24"/>
            </w:rPr>
          </w:pPr>
          <w:r w:rsidRPr="00241342">
            <w:rPr>
              <w:rFonts w:cstheme="minorHAnsi"/>
              <w:color w:val="FF0000"/>
              <w:sz w:val="24"/>
              <w:szCs w:val="24"/>
            </w:rPr>
            <w:br w:type="page"/>
          </w:r>
        </w:p>
      </w:sdtContent>
    </w:sdt>
    <w:p w14:paraId="307A8560" w14:textId="77777777" w:rsidR="00357900" w:rsidRDefault="00357900">
      <w:pPr>
        <w:rPr>
          <w:rFonts w:cstheme="minorHAnsi"/>
          <w:sz w:val="24"/>
          <w:szCs w:val="24"/>
        </w:rPr>
      </w:pPr>
    </w:p>
    <w:tbl>
      <w:tblPr>
        <w:tblStyle w:val="TableGrid"/>
        <w:tblW w:w="9634" w:type="dxa"/>
        <w:tblLook w:val="04A0" w:firstRow="1" w:lastRow="0" w:firstColumn="1" w:lastColumn="0" w:noHBand="0" w:noVBand="1"/>
      </w:tblPr>
      <w:tblGrid>
        <w:gridCol w:w="3681"/>
        <w:gridCol w:w="5953"/>
      </w:tblGrid>
      <w:tr w:rsidR="00357900" w:rsidRPr="00357900" w14:paraId="58F4929B" w14:textId="77777777" w:rsidTr="008C782F">
        <w:tc>
          <w:tcPr>
            <w:tcW w:w="3681" w:type="dxa"/>
          </w:tcPr>
          <w:p w14:paraId="3275C92B" w14:textId="77777777" w:rsidR="00357900" w:rsidRPr="00357900" w:rsidRDefault="00357900" w:rsidP="00724FC6">
            <w:pPr>
              <w:spacing w:after="120"/>
              <w:contextualSpacing/>
              <w:rPr>
                <w:rFonts w:cstheme="minorHAnsi"/>
                <w:b/>
                <w:sz w:val="24"/>
                <w:szCs w:val="24"/>
              </w:rPr>
            </w:pPr>
            <w:r w:rsidRPr="00357900">
              <w:rPr>
                <w:rFonts w:cstheme="minorHAnsi"/>
                <w:b/>
                <w:sz w:val="24"/>
                <w:szCs w:val="24"/>
              </w:rPr>
              <w:t>Clause</w:t>
            </w:r>
          </w:p>
        </w:tc>
        <w:tc>
          <w:tcPr>
            <w:tcW w:w="5953" w:type="dxa"/>
          </w:tcPr>
          <w:p w14:paraId="6BB34F42" w14:textId="77777777" w:rsidR="00357900" w:rsidRPr="00357900" w:rsidRDefault="00357900" w:rsidP="00724FC6">
            <w:pPr>
              <w:spacing w:after="120"/>
              <w:contextualSpacing/>
              <w:rPr>
                <w:rFonts w:cstheme="minorHAnsi"/>
                <w:b/>
                <w:sz w:val="24"/>
                <w:szCs w:val="24"/>
              </w:rPr>
            </w:pPr>
            <w:r w:rsidRPr="00357900">
              <w:rPr>
                <w:rFonts w:cstheme="minorHAnsi"/>
                <w:b/>
                <w:sz w:val="24"/>
                <w:szCs w:val="24"/>
              </w:rPr>
              <w:t>Comment</w:t>
            </w:r>
          </w:p>
        </w:tc>
      </w:tr>
      <w:tr w:rsidR="00357900" w14:paraId="67DC8C26" w14:textId="77777777" w:rsidTr="008C782F">
        <w:tc>
          <w:tcPr>
            <w:tcW w:w="3681" w:type="dxa"/>
          </w:tcPr>
          <w:p w14:paraId="39A9396C" w14:textId="77777777" w:rsidR="00357900" w:rsidRDefault="00FD37D6" w:rsidP="00724FC6">
            <w:pPr>
              <w:spacing w:after="120"/>
              <w:contextualSpacing/>
              <w:rPr>
                <w:rFonts w:cstheme="minorHAnsi"/>
                <w:sz w:val="24"/>
                <w:szCs w:val="24"/>
              </w:rPr>
            </w:pPr>
            <w:r>
              <w:rPr>
                <w:rFonts w:cstheme="minorHAnsi"/>
                <w:sz w:val="24"/>
                <w:szCs w:val="24"/>
              </w:rPr>
              <w:t xml:space="preserve">Clause </w:t>
            </w:r>
            <w:r w:rsidR="00357900">
              <w:rPr>
                <w:rFonts w:cstheme="minorHAnsi"/>
                <w:sz w:val="24"/>
                <w:szCs w:val="24"/>
              </w:rPr>
              <w:t>2. Commencement</w:t>
            </w:r>
          </w:p>
        </w:tc>
        <w:tc>
          <w:tcPr>
            <w:tcW w:w="5953" w:type="dxa"/>
          </w:tcPr>
          <w:p w14:paraId="2C0CBA67" w14:textId="77777777" w:rsidR="00357900" w:rsidRDefault="00357900" w:rsidP="00724FC6">
            <w:pPr>
              <w:spacing w:after="120"/>
              <w:contextualSpacing/>
              <w:rPr>
                <w:rFonts w:cstheme="minorHAnsi"/>
                <w:sz w:val="24"/>
                <w:szCs w:val="24"/>
              </w:rPr>
            </w:pPr>
            <w:r>
              <w:rPr>
                <w:rFonts w:cstheme="minorHAnsi"/>
                <w:sz w:val="24"/>
                <w:szCs w:val="24"/>
              </w:rPr>
              <w:t>We understood the mandate was to be tabled in Parliament (although not as a disallowable instrument)</w:t>
            </w:r>
            <w:r w:rsidR="00CA6CC8">
              <w:rPr>
                <w:rFonts w:cstheme="minorHAnsi"/>
                <w:sz w:val="24"/>
                <w:szCs w:val="24"/>
              </w:rPr>
              <w:t xml:space="preserve">; please satisfy </w:t>
            </w:r>
            <w:r>
              <w:rPr>
                <w:rFonts w:cstheme="minorHAnsi"/>
                <w:sz w:val="24"/>
                <w:szCs w:val="24"/>
              </w:rPr>
              <w:t>our curiosity about the reference in the draft IM to registration of the IM</w:t>
            </w:r>
            <w:r w:rsidR="00CA79ED">
              <w:rPr>
                <w:rFonts w:cstheme="minorHAnsi"/>
                <w:sz w:val="24"/>
                <w:szCs w:val="24"/>
              </w:rPr>
              <w:t>, rather than tabling</w:t>
            </w:r>
            <w:r>
              <w:rPr>
                <w:rFonts w:cstheme="minorHAnsi"/>
                <w:sz w:val="24"/>
                <w:szCs w:val="24"/>
              </w:rPr>
              <w:t xml:space="preserve">.  </w:t>
            </w:r>
          </w:p>
          <w:p w14:paraId="7F57D6E8" w14:textId="77777777" w:rsidR="005E0FE8" w:rsidRDefault="005E0FE8" w:rsidP="00724FC6">
            <w:pPr>
              <w:spacing w:after="120"/>
              <w:contextualSpacing/>
              <w:rPr>
                <w:rFonts w:cstheme="minorHAnsi"/>
                <w:sz w:val="24"/>
                <w:szCs w:val="24"/>
              </w:rPr>
            </w:pPr>
          </w:p>
        </w:tc>
      </w:tr>
      <w:tr w:rsidR="00357900" w14:paraId="1A415A48" w14:textId="77777777" w:rsidTr="008C782F">
        <w:tc>
          <w:tcPr>
            <w:tcW w:w="3681" w:type="dxa"/>
          </w:tcPr>
          <w:p w14:paraId="12F9700A" w14:textId="77777777" w:rsidR="00357900" w:rsidRDefault="00FD37D6" w:rsidP="00724FC6">
            <w:pPr>
              <w:spacing w:after="120"/>
              <w:contextualSpacing/>
              <w:rPr>
                <w:rFonts w:cstheme="minorHAnsi"/>
                <w:sz w:val="24"/>
                <w:szCs w:val="24"/>
              </w:rPr>
            </w:pPr>
            <w:r>
              <w:rPr>
                <w:rFonts w:cstheme="minorHAnsi"/>
                <w:sz w:val="24"/>
                <w:szCs w:val="24"/>
              </w:rPr>
              <w:t>Clause 4. Definitions</w:t>
            </w:r>
          </w:p>
        </w:tc>
        <w:tc>
          <w:tcPr>
            <w:tcW w:w="5953" w:type="dxa"/>
          </w:tcPr>
          <w:p w14:paraId="064BE822" w14:textId="77777777" w:rsidR="00313844" w:rsidRDefault="00313844" w:rsidP="00724FC6">
            <w:pPr>
              <w:spacing w:after="120"/>
              <w:contextualSpacing/>
              <w:rPr>
                <w:rFonts w:cstheme="minorHAnsi"/>
                <w:color w:val="231F20"/>
                <w:sz w:val="24"/>
                <w:szCs w:val="24"/>
                <w:shd w:val="clear" w:color="auto" w:fill="FFFFFF"/>
              </w:rPr>
            </w:pPr>
            <w:r>
              <w:rPr>
                <w:sz w:val="24"/>
                <w:szCs w:val="24"/>
              </w:rPr>
              <w:t>The description of ‘</w:t>
            </w:r>
            <w:r w:rsidRPr="00313844">
              <w:rPr>
                <w:sz w:val="24"/>
                <w:szCs w:val="24"/>
              </w:rPr>
              <w:t xml:space="preserve">Registered community housing providers </w:t>
            </w:r>
            <w:r>
              <w:rPr>
                <w:sz w:val="24"/>
                <w:szCs w:val="24"/>
              </w:rPr>
              <w:t xml:space="preserve">in the Explanatory </w:t>
            </w:r>
            <w:r w:rsidR="00EC1F9C">
              <w:rPr>
                <w:sz w:val="24"/>
                <w:szCs w:val="24"/>
              </w:rPr>
              <w:t>M</w:t>
            </w:r>
            <w:r>
              <w:rPr>
                <w:sz w:val="24"/>
                <w:szCs w:val="24"/>
              </w:rPr>
              <w:t>emorandum is too narrow, vis, ‘…</w:t>
            </w:r>
            <w:r w:rsidRPr="00313844">
              <w:rPr>
                <w:sz w:val="24"/>
                <w:szCs w:val="24"/>
              </w:rPr>
              <w:t>are registered with State and Territory governments to provide accommodation services for social housing and manage public housing on behalf of those governments. Providers also own their own stock of housing, which they offer to tenants with modest incomes at below-market rents.</w:t>
            </w:r>
            <w:r>
              <w:rPr>
                <w:sz w:val="24"/>
                <w:szCs w:val="24"/>
              </w:rPr>
              <w:t>’</w:t>
            </w:r>
          </w:p>
          <w:p w14:paraId="2915122E" w14:textId="77777777" w:rsidR="00313844" w:rsidRPr="00313844" w:rsidRDefault="00313844" w:rsidP="00724FC6">
            <w:pPr>
              <w:spacing w:after="120"/>
              <w:contextualSpacing/>
              <w:rPr>
                <w:rFonts w:cstheme="minorHAnsi"/>
                <w:color w:val="231F20"/>
                <w:sz w:val="24"/>
                <w:szCs w:val="24"/>
                <w:shd w:val="clear" w:color="auto" w:fill="FFFFFF"/>
              </w:rPr>
            </w:pPr>
          </w:p>
          <w:p w14:paraId="28674089" w14:textId="1064D78B" w:rsidR="008E69F5" w:rsidRPr="00EC1F9C" w:rsidRDefault="00B87A7C" w:rsidP="00724FC6">
            <w:pPr>
              <w:spacing w:after="120"/>
              <w:contextualSpacing/>
              <w:rPr>
                <w:rFonts w:cstheme="minorHAnsi"/>
                <w:sz w:val="24"/>
                <w:szCs w:val="24"/>
              </w:rPr>
            </w:pPr>
            <w:r>
              <w:rPr>
                <w:rFonts w:cstheme="minorHAnsi"/>
                <w:color w:val="231F20"/>
                <w:sz w:val="24"/>
                <w:szCs w:val="24"/>
                <w:shd w:val="clear" w:color="auto" w:fill="FFFFFF"/>
              </w:rPr>
              <w:t>We suggest adjusting t</w:t>
            </w:r>
            <w:r w:rsidR="00313844">
              <w:rPr>
                <w:rFonts w:cstheme="minorHAnsi"/>
                <w:color w:val="231F20"/>
                <w:sz w:val="24"/>
                <w:szCs w:val="24"/>
                <w:shd w:val="clear" w:color="auto" w:fill="FFFFFF"/>
              </w:rPr>
              <w:t xml:space="preserve">he description in the </w:t>
            </w:r>
            <w:r w:rsidR="008C653F">
              <w:rPr>
                <w:rFonts w:cstheme="minorHAnsi"/>
                <w:color w:val="231F20"/>
                <w:sz w:val="24"/>
                <w:szCs w:val="24"/>
                <w:shd w:val="clear" w:color="auto" w:fill="FFFFFF"/>
              </w:rPr>
              <w:t>E</w:t>
            </w:r>
            <w:r w:rsidR="00313844">
              <w:rPr>
                <w:rFonts w:cstheme="minorHAnsi"/>
                <w:color w:val="231F20"/>
                <w:sz w:val="24"/>
                <w:szCs w:val="24"/>
                <w:shd w:val="clear" w:color="auto" w:fill="FFFFFF"/>
              </w:rPr>
              <w:t xml:space="preserve">xplanatory Memorandum to reflect that </w:t>
            </w:r>
            <w:r>
              <w:rPr>
                <w:rFonts w:cstheme="minorHAnsi"/>
                <w:color w:val="231F20"/>
                <w:sz w:val="24"/>
                <w:szCs w:val="24"/>
                <w:shd w:val="clear" w:color="auto" w:fill="FFFFFF"/>
              </w:rPr>
              <w:t xml:space="preserve">used </w:t>
            </w:r>
            <w:r w:rsidR="00313844">
              <w:rPr>
                <w:rFonts w:cstheme="minorHAnsi"/>
                <w:color w:val="231F20"/>
                <w:sz w:val="24"/>
                <w:szCs w:val="24"/>
                <w:shd w:val="clear" w:color="auto" w:fill="FFFFFF"/>
              </w:rPr>
              <w:t>on the website of the</w:t>
            </w:r>
            <w:r w:rsidR="008E69F5" w:rsidRPr="008E69F5">
              <w:rPr>
                <w:rFonts w:cstheme="minorHAnsi"/>
                <w:color w:val="231F20"/>
                <w:sz w:val="24"/>
                <w:szCs w:val="24"/>
                <w:shd w:val="clear" w:color="auto" w:fill="FFFFFF"/>
              </w:rPr>
              <w:t xml:space="preserve"> N</w:t>
            </w:r>
            <w:r w:rsidR="008E69F5">
              <w:rPr>
                <w:rFonts w:cstheme="minorHAnsi"/>
                <w:color w:val="231F20"/>
                <w:sz w:val="24"/>
                <w:szCs w:val="24"/>
                <w:shd w:val="clear" w:color="auto" w:fill="FFFFFF"/>
              </w:rPr>
              <w:t xml:space="preserve">ational </w:t>
            </w:r>
            <w:r w:rsidR="008E69F5" w:rsidRPr="008E69F5">
              <w:rPr>
                <w:rFonts w:cstheme="minorHAnsi"/>
                <w:color w:val="231F20"/>
                <w:sz w:val="24"/>
                <w:szCs w:val="24"/>
                <w:shd w:val="clear" w:color="auto" w:fill="FFFFFF"/>
              </w:rPr>
              <w:t>R</w:t>
            </w:r>
            <w:r w:rsidR="008E69F5">
              <w:rPr>
                <w:rFonts w:cstheme="minorHAnsi"/>
                <w:color w:val="231F20"/>
                <w:sz w:val="24"/>
                <w:szCs w:val="24"/>
                <w:shd w:val="clear" w:color="auto" w:fill="FFFFFF"/>
              </w:rPr>
              <w:t xml:space="preserve">egulatory </w:t>
            </w:r>
            <w:r w:rsidR="008E69F5" w:rsidRPr="008E69F5">
              <w:rPr>
                <w:rFonts w:cstheme="minorHAnsi"/>
                <w:color w:val="231F20"/>
                <w:sz w:val="24"/>
                <w:szCs w:val="24"/>
                <w:shd w:val="clear" w:color="auto" w:fill="FFFFFF"/>
              </w:rPr>
              <w:t>S</w:t>
            </w:r>
            <w:r w:rsidR="008E69F5">
              <w:rPr>
                <w:rFonts w:cstheme="minorHAnsi"/>
                <w:color w:val="231F20"/>
                <w:sz w:val="24"/>
                <w:szCs w:val="24"/>
                <w:shd w:val="clear" w:color="auto" w:fill="FFFFFF"/>
              </w:rPr>
              <w:t xml:space="preserve">cheme for </w:t>
            </w:r>
            <w:r w:rsidR="008E69F5" w:rsidRPr="008E69F5">
              <w:rPr>
                <w:rFonts w:cstheme="minorHAnsi"/>
                <w:color w:val="231F20"/>
                <w:sz w:val="24"/>
                <w:szCs w:val="24"/>
                <w:shd w:val="clear" w:color="auto" w:fill="FFFFFF"/>
              </w:rPr>
              <w:t>C</w:t>
            </w:r>
            <w:r w:rsidR="008E69F5">
              <w:rPr>
                <w:rFonts w:cstheme="minorHAnsi"/>
                <w:color w:val="231F20"/>
                <w:sz w:val="24"/>
                <w:szCs w:val="24"/>
                <w:shd w:val="clear" w:color="auto" w:fill="FFFFFF"/>
              </w:rPr>
              <w:t xml:space="preserve">ommunity </w:t>
            </w:r>
            <w:r w:rsidR="008E69F5" w:rsidRPr="008E69F5">
              <w:rPr>
                <w:rFonts w:cstheme="minorHAnsi"/>
                <w:color w:val="231F20"/>
                <w:sz w:val="24"/>
                <w:szCs w:val="24"/>
                <w:shd w:val="clear" w:color="auto" w:fill="FFFFFF"/>
              </w:rPr>
              <w:t>H</w:t>
            </w:r>
            <w:r w:rsidR="008E69F5">
              <w:rPr>
                <w:rFonts w:cstheme="minorHAnsi"/>
                <w:color w:val="231F20"/>
                <w:sz w:val="24"/>
                <w:szCs w:val="24"/>
                <w:shd w:val="clear" w:color="auto" w:fill="FFFFFF"/>
              </w:rPr>
              <w:t>ousing</w:t>
            </w:r>
            <w:r w:rsidR="00313844">
              <w:rPr>
                <w:rFonts w:cstheme="minorHAnsi"/>
                <w:color w:val="231F20"/>
                <w:sz w:val="24"/>
                <w:szCs w:val="24"/>
                <w:shd w:val="clear" w:color="auto" w:fill="FFFFFF"/>
              </w:rPr>
              <w:t xml:space="preserve"> – that is, that </w:t>
            </w:r>
            <w:r w:rsidR="00F55381">
              <w:rPr>
                <w:rFonts w:cstheme="minorHAnsi"/>
                <w:color w:val="231F20"/>
                <w:sz w:val="24"/>
                <w:szCs w:val="24"/>
                <w:shd w:val="clear" w:color="auto" w:fill="FFFFFF"/>
              </w:rPr>
              <w:t xml:space="preserve">registered </w:t>
            </w:r>
            <w:r w:rsidR="008E69F5" w:rsidRPr="008E69F5">
              <w:rPr>
                <w:rFonts w:cstheme="minorHAnsi"/>
                <w:color w:val="231F20"/>
                <w:sz w:val="24"/>
                <w:szCs w:val="24"/>
                <w:shd w:val="clear" w:color="auto" w:fill="FFFFFF"/>
              </w:rPr>
              <w:t>providers of community housing</w:t>
            </w:r>
            <w:r w:rsidR="00313844">
              <w:rPr>
                <w:rFonts w:cstheme="minorHAnsi"/>
                <w:color w:val="231F20"/>
                <w:sz w:val="24"/>
                <w:szCs w:val="24"/>
                <w:shd w:val="clear" w:color="auto" w:fill="FFFFFF"/>
              </w:rPr>
              <w:t xml:space="preserve"> </w:t>
            </w:r>
            <w:r w:rsidR="00F55381">
              <w:rPr>
                <w:rFonts w:cstheme="minorHAnsi"/>
                <w:color w:val="231F20"/>
                <w:sz w:val="24"/>
                <w:szCs w:val="24"/>
                <w:shd w:val="clear" w:color="auto" w:fill="FFFFFF"/>
              </w:rPr>
              <w:t>‘</w:t>
            </w:r>
            <w:r w:rsidR="00313844">
              <w:rPr>
                <w:rFonts w:cstheme="minorHAnsi"/>
                <w:color w:val="231F20"/>
                <w:sz w:val="24"/>
                <w:szCs w:val="24"/>
                <w:shd w:val="clear" w:color="auto" w:fill="FFFFFF"/>
              </w:rPr>
              <w:t xml:space="preserve">. . . </w:t>
            </w:r>
            <w:r w:rsidR="008E69F5" w:rsidRPr="008E69F5">
              <w:rPr>
                <w:rFonts w:cstheme="minorHAnsi"/>
                <w:color w:val="231F20"/>
                <w:sz w:val="24"/>
                <w:szCs w:val="24"/>
                <w:shd w:val="clear" w:color="auto" w:fill="FFFFFF"/>
              </w:rPr>
              <w:t xml:space="preserve"> includes social </w:t>
            </w:r>
            <w:r w:rsidR="008E69F5" w:rsidRPr="00B87A7C">
              <w:rPr>
                <w:rFonts w:cstheme="minorHAnsi"/>
                <w:color w:val="231F20"/>
                <w:sz w:val="24"/>
                <w:szCs w:val="24"/>
                <w:shd w:val="clear" w:color="auto" w:fill="FFFFFF"/>
              </w:rPr>
              <w:t xml:space="preserve">and </w:t>
            </w:r>
            <w:r w:rsidR="008E69F5" w:rsidRPr="008E69F5">
              <w:rPr>
                <w:rFonts w:cstheme="minorHAnsi"/>
                <w:color w:val="231F20"/>
                <w:sz w:val="24"/>
                <w:szCs w:val="24"/>
                <w:shd w:val="clear" w:color="auto" w:fill="FFFFFF"/>
              </w:rPr>
              <w:t xml:space="preserve">affordable housing, indigenous community housing providers (ICHOs) and other specialist housing </w:t>
            </w:r>
            <w:r w:rsidR="008E69F5" w:rsidRPr="00EC1F9C">
              <w:rPr>
                <w:rFonts w:cstheme="minorHAnsi"/>
                <w:color w:val="231F20"/>
                <w:sz w:val="24"/>
                <w:szCs w:val="24"/>
                <w:shd w:val="clear" w:color="auto" w:fill="FFFFFF"/>
              </w:rPr>
              <w:t>providers</w:t>
            </w:r>
            <w:r w:rsidR="00F55381" w:rsidRPr="00EC1F9C">
              <w:rPr>
                <w:rFonts w:cstheme="minorHAnsi"/>
                <w:color w:val="231F20"/>
                <w:sz w:val="24"/>
                <w:szCs w:val="24"/>
                <w:shd w:val="clear" w:color="auto" w:fill="FFFFFF"/>
              </w:rPr>
              <w:t>’</w:t>
            </w:r>
            <w:r w:rsidR="008E69F5" w:rsidRPr="00EC1F9C">
              <w:rPr>
                <w:rFonts w:cstheme="minorHAnsi"/>
                <w:color w:val="231F20"/>
                <w:sz w:val="24"/>
                <w:szCs w:val="24"/>
                <w:shd w:val="clear" w:color="auto" w:fill="FFFFFF"/>
              </w:rPr>
              <w:t>.</w:t>
            </w:r>
            <w:r w:rsidR="00EC1F9C" w:rsidRPr="00EC1F9C">
              <w:rPr>
                <w:rFonts w:cstheme="minorHAnsi"/>
                <w:color w:val="231F20"/>
                <w:sz w:val="24"/>
                <w:szCs w:val="24"/>
                <w:shd w:val="clear" w:color="auto" w:fill="FFFFFF"/>
              </w:rPr>
              <w:t xml:space="preserve"> The key issue is that they are registered</w:t>
            </w:r>
            <w:r w:rsidR="00404EAD">
              <w:rPr>
                <w:rFonts w:cstheme="minorHAnsi"/>
                <w:color w:val="231F20"/>
                <w:sz w:val="24"/>
                <w:szCs w:val="24"/>
                <w:shd w:val="clear" w:color="auto" w:fill="FFFFFF"/>
              </w:rPr>
              <w:t>.</w:t>
            </w:r>
          </w:p>
          <w:p w14:paraId="1C2388BC" w14:textId="77777777" w:rsidR="005E0FE8" w:rsidRDefault="005E0FE8" w:rsidP="00724FC6">
            <w:pPr>
              <w:spacing w:after="120"/>
              <w:contextualSpacing/>
              <w:rPr>
                <w:rFonts w:cstheme="minorHAnsi"/>
                <w:sz w:val="24"/>
                <w:szCs w:val="24"/>
              </w:rPr>
            </w:pPr>
          </w:p>
        </w:tc>
      </w:tr>
      <w:tr w:rsidR="00357900" w14:paraId="24705D91" w14:textId="77777777" w:rsidTr="008C782F">
        <w:tc>
          <w:tcPr>
            <w:tcW w:w="3681" w:type="dxa"/>
          </w:tcPr>
          <w:p w14:paraId="583148A8" w14:textId="77777777" w:rsidR="00357900" w:rsidRDefault="00FD37D6" w:rsidP="00724FC6">
            <w:pPr>
              <w:spacing w:after="120"/>
              <w:contextualSpacing/>
              <w:rPr>
                <w:rFonts w:cstheme="minorHAnsi"/>
                <w:sz w:val="24"/>
                <w:szCs w:val="24"/>
              </w:rPr>
            </w:pPr>
            <w:r>
              <w:rPr>
                <w:rFonts w:cstheme="minorHAnsi"/>
                <w:sz w:val="24"/>
                <w:szCs w:val="24"/>
              </w:rPr>
              <w:t xml:space="preserve">Clause 10. Commercial </w:t>
            </w:r>
            <w:r w:rsidR="00CA6CC8">
              <w:rPr>
                <w:rFonts w:cstheme="minorHAnsi"/>
                <w:sz w:val="24"/>
                <w:szCs w:val="24"/>
              </w:rPr>
              <w:t>approach</w:t>
            </w:r>
          </w:p>
        </w:tc>
        <w:tc>
          <w:tcPr>
            <w:tcW w:w="5953" w:type="dxa"/>
          </w:tcPr>
          <w:p w14:paraId="75BD4053" w14:textId="77777777" w:rsidR="00357900" w:rsidRPr="00CA6CC8" w:rsidRDefault="00FD37D6" w:rsidP="00724FC6">
            <w:pPr>
              <w:spacing w:after="120"/>
              <w:contextualSpacing/>
              <w:rPr>
                <w:rFonts w:cstheme="minorHAnsi"/>
                <w:sz w:val="24"/>
                <w:szCs w:val="24"/>
              </w:rPr>
            </w:pPr>
            <w:r w:rsidRPr="00CA6CC8">
              <w:rPr>
                <w:rFonts w:cstheme="minorHAnsi"/>
                <w:sz w:val="24"/>
                <w:szCs w:val="24"/>
              </w:rPr>
              <w:t xml:space="preserve">While we understand the general intent of this clause, </w:t>
            </w:r>
            <w:r w:rsidR="00CA6CC8">
              <w:rPr>
                <w:rFonts w:cstheme="minorHAnsi"/>
                <w:sz w:val="24"/>
                <w:szCs w:val="24"/>
              </w:rPr>
              <w:t xml:space="preserve">much of the reason for introducing the AHBA is </w:t>
            </w:r>
            <w:r w:rsidR="00E3771B">
              <w:rPr>
                <w:rFonts w:cstheme="minorHAnsi"/>
                <w:sz w:val="24"/>
                <w:szCs w:val="24"/>
              </w:rPr>
              <w:t xml:space="preserve">precisely </w:t>
            </w:r>
            <w:r w:rsidR="00CA6CC8">
              <w:rPr>
                <w:rFonts w:cstheme="minorHAnsi"/>
                <w:sz w:val="24"/>
                <w:szCs w:val="24"/>
              </w:rPr>
              <w:t xml:space="preserve">because the community housing projects which will be funded are </w:t>
            </w:r>
            <w:r w:rsidR="00CA6CC8" w:rsidRPr="00B30096">
              <w:rPr>
                <w:rFonts w:cstheme="minorHAnsi"/>
                <w:i/>
                <w:sz w:val="24"/>
                <w:szCs w:val="24"/>
              </w:rPr>
              <w:t>not</w:t>
            </w:r>
            <w:r w:rsidR="00CA6CC8">
              <w:rPr>
                <w:rFonts w:cstheme="minorHAnsi"/>
                <w:sz w:val="24"/>
                <w:szCs w:val="24"/>
              </w:rPr>
              <w:t xml:space="preserve"> commercial. B</w:t>
            </w:r>
            <w:r w:rsidR="00E3771B">
              <w:rPr>
                <w:rFonts w:cstheme="minorHAnsi"/>
                <w:sz w:val="24"/>
                <w:szCs w:val="24"/>
              </w:rPr>
              <w:t>y definition, b</w:t>
            </w:r>
            <w:r w:rsidR="00CA6CC8">
              <w:rPr>
                <w:rFonts w:cstheme="minorHAnsi"/>
                <w:sz w:val="24"/>
                <w:szCs w:val="24"/>
              </w:rPr>
              <w:t xml:space="preserve">uild to rent </w:t>
            </w:r>
            <w:r w:rsidR="00B30096">
              <w:rPr>
                <w:rFonts w:cstheme="minorHAnsi"/>
                <w:sz w:val="24"/>
                <w:szCs w:val="24"/>
              </w:rPr>
              <w:t xml:space="preserve">product for </w:t>
            </w:r>
            <w:r w:rsidR="00CA6CC8">
              <w:rPr>
                <w:rFonts w:cstheme="minorHAnsi"/>
                <w:sz w:val="24"/>
                <w:szCs w:val="24"/>
              </w:rPr>
              <w:t>lower income tenants</w:t>
            </w:r>
            <w:r w:rsidR="00E3771B">
              <w:rPr>
                <w:rFonts w:cstheme="minorHAnsi"/>
                <w:sz w:val="24"/>
                <w:szCs w:val="24"/>
              </w:rPr>
              <w:t xml:space="preserve"> </w:t>
            </w:r>
            <w:r w:rsidR="00CA6CC8">
              <w:rPr>
                <w:rFonts w:cstheme="minorHAnsi"/>
                <w:sz w:val="24"/>
                <w:szCs w:val="24"/>
              </w:rPr>
              <w:t xml:space="preserve">will have much </w:t>
            </w:r>
            <w:r w:rsidR="00B30096">
              <w:rPr>
                <w:rFonts w:cstheme="minorHAnsi"/>
                <w:sz w:val="24"/>
                <w:szCs w:val="24"/>
              </w:rPr>
              <w:t>tighter</w:t>
            </w:r>
            <w:r w:rsidR="00CA6CC8">
              <w:rPr>
                <w:rFonts w:cstheme="minorHAnsi"/>
                <w:sz w:val="24"/>
                <w:szCs w:val="24"/>
              </w:rPr>
              <w:t xml:space="preserve"> margins than </w:t>
            </w:r>
            <w:r w:rsidR="00E3771B">
              <w:rPr>
                <w:rFonts w:cstheme="minorHAnsi"/>
                <w:sz w:val="24"/>
                <w:szCs w:val="24"/>
              </w:rPr>
              <w:t>‘</w:t>
            </w:r>
            <w:r w:rsidR="00CA6CC8">
              <w:rPr>
                <w:rFonts w:cstheme="minorHAnsi"/>
                <w:sz w:val="24"/>
                <w:szCs w:val="24"/>
              </w:rPr>
              <w:t>market build to rent</w:t>
            </w:r>
            <w:r w:rsidR="00E3771B">
              <w:rPr>
                <w:rFonts w:cstheme="minorHAnsi"/>
                <w:sz w:val="24"/>
                <w:szCs w:val="24"/>
              </w:rPr>
              <w:t>’</w:t>
            </w:r>
            <w:r w:rsidR="00CA6CC8">
              <w:rPr>
                <w:rFonts w:cstheme="minorHAnsi"/>
                <w:sz w:val="24"/>
                <w:szCs w:val="24"/>
              </w:rPr>
              <w:t xml:space="preserve"> product</w:t>
            </w:r>
            <w:r w:rsidR="00E3771B">
              <w:rPr>
                <w:rFonts w:cstheme="minorHAnsi"/>
                <w:sz w:val="24"/>
                <w:szCs w:val="24"/>
              </w:rPr>
              <w:t xml:space="preserve">s. </w:t>
            </w:r>
            <w:r w:rsidR="00B30096">
              <w:rPr>
                <w:rFonts w:cstheme="minorHAnsi"/>
                <w:sz w:val="24"/>
                <w:szCs w:val="24"/>
              </w:rPr>
              <w:t xml:space="preserve">Projects which would fail a </w:t>
            </w:r>
            <w:r w:rsidR="00B87A7C">
              <w:rPr>
                <w:rFonts w:cstheme="minorHAnsi"/>
                <w:sz w:val="24"/>
                <w:szCs w:val="24"/>
              </w:rPr>
              <w:t xml:space="preserve">standard </w:t>
            </w:r>
            <w:r w:rsidR="00B30096">
              <w:rPr>
                <w:rFonts w:cstheme="minorHAnsi"/>
                <w:sz w:val="24"/>
                <w:szCs w:val="24"/>
              </w:rPr>
              <w:t xml:space="preserve">commerciality test may nonetheless be sound investments for a community housing organisation </w:t>
            </w:r>
            <w:r w:rsidR="001E4768">
              <w:rPr>
                <w:rFonts w:cstheme="minorHAnsi"/>
                <w:sz w:val="24"/>
                <w:szCs w:val="24"/>
              </w:rPr>
              <w:t xml:space="preserve">which is not seeking </w:t>
            </w:r>
            <w:r w:rsidR="00BA36BD">
              <w:rPr>
                <w:rFonts w:cstheme="minorHAnsi"/>
                <w:sz w:val="24"/>
                <w:szCs w:val="24"/>
              </w:rPr>
              <w:t xml:space="preserve">to make </w:t>
            </w:r>
            <w:r w:rsidR="001E4768">
              <w:rPr>
                <w:rFonts w:cstheme="minorHAnsi"/>
                <w:sz w:val="24"/>
                <w:szCs w:val="24"/>
              </w:rPr>
              <w:t>a profit</w:t>
            </w:r>
            <w:r w:rsidR="00BA36BD">
              <w:rPr>
                <w:rFonts w:cstheme="minorHAnsi"/>
                <w:sz w:val="24"/>
                <w:szCs w:val="24"/>
              </w:rPr>
              <w:t>,</w:t>
            </w:r>
            <w:r w:rsidR="001E4768">
              <w:rPr>
                <w:rFonts w:cstheme="minorHAnsi"/>
                <w:sz w:val="24"/>
                <w:szCs w:val="24"/>
              </w:rPr>
              <w:t xml:space="preserve"> or which </w:t>
            </w:r>
            <w:r w:rsidR="00BA36BD">
              <w:rPr>
                <w:rFonts w:cstheme="minorHAnsi"/>
                <w:sz w:val="24"/>
                <w:szCs w:val="24"/>
              </w:rPr>
              <w:t xml:space="preserve">is less vulnerable to the cycle of the housing market because it </w:t>
            </w:r>
            <w:r w:rsidR="00A729D2">
              <w:rPr>
                <w:rFonts w:cstheme="minorHAnsi"/>
                <w:sz w:val="24"/>
                <w:szCs w:val="24"/>
              </w:rPr>
              <w:t>measure</w:t>
            </w:r>
            <w:r w:rsidR="00BA36BD">
              <w:rPr>
                <w:rFonts w:cstheme="minorHAnsi"/>
                <w:sz w:val="24"/>
                <w:szCs w:val="24"/>
              </w:rPr>
              <w:t>s</w:t>
            </w:r>
            <w:r w:rsidR="00A729D2">
              <w:rPr>
                <w:rFonts w:cstheme="minorHAnsi"/>
                <w:sz w:val="24"/>
                <w:szCs w:val="24"/>
              </w:rPr>
              <w:t xml:space="preserve"> its return over several decades rather than over </w:t>
            </w:r>
            <w:r w:rsidR="00BA36BD">
              <w:rPr>
                <w:rFonts w:cstheme="minorHAnsi"/>
                <w:sz w:val="24"/>
                <w:szCs w:val="24"/>
              </w:rPr>
              <w:t>the short term</w:t>
            </w:r>
            <w:r w:rsidR="00A729D2">
              <w:rPr>
                <w:rFonts w:cstheme="minorHAnsi"/>
                <w:sz w:val="24"/>
                <w:szCs w:val="24"/>
              </w:rPr>
              <w:t>.</w:t>
            </w:r>
            <w:r w:rsidR="00B30096">
              <w:rPr>
                <w:rFonts w:cstheme="minorHAnsi"/>
                <w:sz w:val="24"/>
                <w:szCs w:val="24"/>
              </w:rPr>
              <w:t xml:space="preserve"> </w:t>
            </w:r>
          </w:p>
          <w:p w14:paraId="7859B48C" w14:textId="77777777" w:rsidR="005E0FE8" w:rsidRPr="00CA6CC8" w:rsidRDefault="005E0FE8" w:rsidP="00724FC6">
            <w:pPr>
              <w:spacing w:after="120"/>
              <w:contextualSpacing/>
              <w:rPr>
                <w:rFonts w:cstheme="minorHAnsi"/>
                <w:sz w:val="24"/>
                <w:szCs w:val="24"/>
              </w:rPr>
            </w:pPr>
          </w:p>
        </w:tc>
      </w:tr>
      <w:tr w:rsidR="00357900" w14:paraId="77903057" w14:textId="77777777" w:rsidTr="008C782F">
        <w:tc>
          <w:tcPr>
            <w:tcW w:w="3681" w:type="dxa"/>
          </w:tcPr>
          <w:p w14:paraId="05C23D26" w14:textId="77777777" w:rsidR="00357900" w:rsidRDefault="00FC33F8" w:rsidP="00724FC6">
            <w:pPr>
              <w:spacing w:after="120"/>
              <w:contextualSpacing/>
              <w:rPr>
                <w:rFonts w:cstheme="minorHAnsi"/>
                <w:sz w:val="24"/>
                <w:szCs w:val="24"/>
              </w:rPr>
            </w:pPr>
            <w:r>
              <w:rPr>
                <w:rFonts w:cstheme="minorHAnsi"/>
                <w:sz w:val="24"/>
                <w:szCs w:val="24"/>
              </w:rPr>
              <w:t>Clause 11.</w:t>
            </w:r>
            <w:r w:rsidR="003017C2">
              <w:rPr>
                <w:rFonts w:cstheme="minorHAnsi"/>
                <w:sz w:val="24"/>
                <w:szCs w:val="24"/>
              </w:rPr>
              <w:t xml:space="preserve"> </w:t>
            </w:r>
            <w:r>
              <w:rPr>
                <w:rFonts w:cstheme="minorHAnsi"/>
                <w:sz w:val="24"/>
                <w:szCs w:val="24"/>
              </w:rPr>
              <w:t>AHBA initial reserve</w:t>
            </w:r>
          </w:p>
        </w:tc>
        <w:tc>
          <w:tcPr>
            <w:tcW w:w="5953" w:type="dxa"/>
          </w:tcPr>
          <w:p w14:paraId="07B09A7F" w14:textId="77777777" w:rsidR="005E0FE8" w:rsidRDefault="00FC33F8" w:rsidP="00724FC6">
            <w:pPr>
              <w:spacing w:after="120"/>
              <w:contextualSpacing/>
              <w:rPr>
                <w:rFonts w:cstheme="minorHAnsi"/>
                <w:sz w:val="24"/>
                <w:szCs w:val="24"/>
              </w:rPr>
            </w:pPr>
            <w:r>
              <w:rPr>
                <w:rFonts w:cstheme="minorHAnsi"/>
                <w:sz w:val="24"/>
                <w:szCs w:val="24"/>
              </w:rPr>
              <w:t>The capacity to allocate up to $150 million to provide a warehousing facility is welcomed.  We understand the government’s desire to have these funds returned to government, as soon as practicable, however we question whether the target date of 2023 is achievable</w:t>
            </w:r>
            <w:r w:rsidR="003017C2">
              <w:rPr>
                <w:rFonts w:cstheme="minorHAnsi"/>
                <w:sz w:val="24"/>
                <w:szCs w:val="24"/>
              </w:rPr>
              <w:t xml:space="preserve">. </w:t>
            </w:r>
          </w:p>
          <w:p w14:paraId="1D23BCC0" w14:textId="77777777" w:rsidR="005E0FE8" w:rsidRDefault="005E0FE8" w:rsidP="00724FC6">
            <w:pPr>
              <w:spacing w:after="120"/>
              <w:contextualSpacing/>
              <w:rPr>
                <w:rFonts w:cstheme="minorHAnsi"/>
                <w:sz w:val="24"/>
                <w:szCs w:val="24"/>
              </w:rPr>
            </w:pPr>
          </w:p>
          <w:p w14:paraId="7F0CD794" w14:textId="77777777" w:rsidR="008C782F" w:rsidRDefault="003017C2" w:rsidP="00724FC6">
            <w:pPr>
              <w:spacing w:after="120"/>
              <w:contextualSpacing/>
              <w:rPr>
                <w:rFonts w:cstheme="minorHAnsi"/>
                <w:sz w:val="24"/>
                <w:szCs w:val="24"/>
              </w:rPr>
            </w:pPr>
            <w:r>
              <w:rPr>
                <w:rFonts w:cstheme="minorHAnsi"/>
                <w:sz w:val="24"/>
                <w:szCs w:val="24"/>
              </w:rPr>
              <w:t>If</w:t>
            </w:r>
            <w:r w:rsidR="00FC33F8">
              <w:rPr>
                <w:rFonts w:cstheme="minorHAnsi"/>
                <w:sz w:val="24"/>
                <w:szCs w:val="24"/>
              </w:rPr>
              <w:t xml:space="preserve"> the </w:t>
            </w:r>
            <w:r w:rsidR="00A206DC">
              <w:rPr>
                <w:rFonts w:cstheme="minorHAnsi"/>
                <w:sz w:val="24"/>
                <w:szCs w:val="24"/>
              </w:rPr>
              <w:t>AH</w:t>
            </w:r>
            <w:r w:rsidR="00FC33F8">
              <w:rPr>
                <w:rFonts w:cstheme="minorHAnsi"/>
                <w:sz w:val="24"/>
                <w:szCs w:val="24"/>
              </w:rPr>
              <w:t>BA need</w:t>
            </w:r>
            <w:r>
              <w:rPr>
                <w:rFonts w:cstheme="minorHAnsi"/>
                <w:sz w:val="24"/>
                <w:szCs w:val="24"/>
              </w:rPr>
              <w:t>s</w:t>
            </w:r>
            <w:r w:rsidR="00FC33F8">
              <w:rPr>
                <w:rFonts w:cstheme="minorHAnsi"/>
                <w:sz w:val="24"/>
                <w:szCs w:val="24"/>
              </w:rPr>
              <w:t xml:space="preserve"> to accumulate a buffer </w:t>
            </w:r>
            <w:r>
              <w:rPr>
                <w:rFonts w:cstheme="minorHAnsi"/>
                <w:sz w:val="24"/>
                <w:szCs w:val="24"/>
              </w:rPr>
              <w:t xml:space="preserve">of the same scale </w:t>
            </w:r>
            <w:r w:rsidR="00FC33F8">
              <w:rPr>
                <w:rFonts w:cstheme="minorHAnsi"/>
                <w:sz w:val="24"/>
                <w:szCs w:val="24"/>
              </w:rPr>
              <w:t>before 2023</w:t>
            </w:r>
            <w:r>
              <w:rPr>
                <w:rFonts w:cstheme="minorHAnsi"/>
                <w:sz w:val="24"/>
                <w:szCs w:val="24"/>
              </w:rPr>
              <w:t xml:space="preserve"> for its ongoing warehousing operations, </w:t>
            </w:r>
            <w:r>
              <w:rPr>
                <w:rFonts w:cstheme="minorHAnsi"/>
                <w:sz w:val="24"/>
                <w:szCs w:val="24"/>
              </w:rPr>
              <w:lastRenderedPageBreak/>
              <w:t>then it will</w:t>
            </w:r>
            <w:r w:rsidR="00FC33F8">
              <w:rPr>
                <w:rFonts w:cstheme="minorHAnsi"/>
                <w:sz w:val="24"/>
                <w:szCs w:val="24"/>
              </w:rPr>
              <w:t xml:space="preserve"> presumably </w:t>
            </w:r>
            <w:r>
              <w:rPr>
                <w:rFonts w:cstheme="minorHAnsi"/>
                <w:sz w:val="24"/>
                <w:szCs w:val="24"/>
              </w:rPr>
              <w:t xml:space="preserve">do this though </w:t>
            </w:r>
            <w:r w:rsidR="00FC33F8">
              <w:rPr>
                <w:rFonts w:cstheme="minorHAnsi"/>
                <w:sz w:val="24"/>
                <w:szCs w:val="24"/>
              </w:rPr>
              <w:t xml:space="preserve">a </w:t>
            </w:r>
            <w:r>
              <w:rPr>
                <w:rFonts w:cstheme="minorHAnsi"/>
                <w:sz w:val="24"/>
                <w:szCs w:val="24"/>
              </w:rPr>
              <w:t>surcharge on</w:t>
            </w:r>
            <w:r w:rsidR="00FC33F8">
              <w:rPr>
                <w:rFonts w:cstheme="minorHAnsi"/>
                <w:sz w:val="24"/>
                <w:szCs w:val="24"/>
              </w:rPr>
              <w:t xml:space="preserve"> borrowers</w:t>
            </w:r>
            <w:r w:rsidR="008C782F">
              <w:rPr>
                <w:rFonts w:cstheme="minorHAnsi"/>
                <w:sz w:val="24"/>
                <w:szCs w:val="24"/>
              </w:rPr>
              <w:t xml:space="preserve"> and </w:t>
            </w:r>
            <w:r w:rsidR="0066236C">
              <w:rPr>
                <w:rFonts w:cstheme="minorHAnsi"/>
                <w:sz w:val="24"/>
                <w:szCs w:val="24"/>
              </w:rPr>
              <w:t>via the</w:t>
            </w:r>
            <w:r w:rsidR="008C782F">
              <w:rPr>
                <w:rFonts w:cstheme="minorHAnsi"/>
                <w:sz w:val="24"/>
                <w:szCs w:val="24"/>
              </w:rPr>
              <w:t xml:space="preserve"> return on investing all or part of this initial reserve over the next five years</w:t>
            </w:r>
            <w:r>
              <w:rPr>
                <w:rFonts w:cstheme="minorHAnsi"/>
                <w:sz w:val="24"/>
                <w:szCs w:val="24"/>
              </w:rPr>
              <w:t xml:space="preserve">. If CHOs borrow $500m through the </w:t>
            </w:r>
            <w:r w:rsidR="00A206DC">
              <w:rPr>
                <w:rFonts w:cstheme="minorHAnsi"/>
                <w:sz w:val="24"/>
                <w:szCs w:val="24"/>
              </w:rPr>
              <w:t>AH</w:t>
            </w:r>
            <w:r>
              <w:rPr>
                <w:rFonts w:cstheme="minorHAnsi"/>
                <w:sz w:val="24"/>
                <w:szCs w:val="24"/>
              </w:rPr>
              <w:t xml:space="preserve">BA over each of the next five years, a 6% surcharge </w:t>
            </w:r>
            <w:r w:rsidR="00B87A7C">
              <w:rPr>
                <w:rFonts w:cstheme="minorHAnsi"/>
                <w:sz w:val="24"/>
                <w:szCs w:val="24"/>
              </w:rPr>
              <w:t xml:space="preserve">on all borrowing </w:t>
            </w:r>
            <w:r>
              <w:rPr>
                <w:rFonts w:cstheme="minorHAnsi"/>
                <w:sz w:val="24"/>
                <w:szCs w:val="24"/>
              </w:rPr>
              <w:t>would be needed at accumulate $150m by the end of year 5. This would effectively preclude borrowing</w:t>
            </w:r>
            <w:r w:rsidR="00FC33F8">
              <w:rPr>
                <w:rFonts w:cstheme="minorHAnsi"/>
                <w:sz w:val="24"/>
                <w:szCs w:val="24"/>
              </w:rPr>
              <w:t xml:space="preserve"> through the </w:t>
            </w:r>
            <w:r w:rsidR="00A206DC">
              <w:rPr>
                <w:rFonts w:cstheme="minorHAnsi"/>
                <w:sz w:val="24"/>
                <w:szCs w:val="24"/>
              </w:rPr>
              <w:t>AH</w:t>
            </w:r>
            <w:r w:rsidR="00FC33F8">
              <w:rPr>
                <w:rFonts w:cstheme="minorHAnsi"/>
                <w:sz w:val="24"/>
                <w:szCs w:val="24"/>
              </w:rPr>
              <w:t>BA</w:t>
            </w:r>
            <w:r>
              <w:rPr>
                <w:rFonts w:cstheme="minorHAnsi"/>
                <w:sz w:val="24"/>
                <w:szCs w:val="24"/>
              </w:rPr>
              <w:t>.</w:t>
            </w:r>
            <w:r w:rsidR="00FC33F8">
              <w:rPr>
                <w:rFonts w:cstheme="minorHAnsi"/>
                <w:sz w:val="24"/>
                <w:szCs w:val="24"/>
              </w:rPr>
              <w:t xml:space="preserve">  </w:t>
            </w:r>
            <w:r w:rsidR="008C782F">
              <w:rPr>
                <w:rFonts w:cstheme="minorHAnsi"/>
                <w:sz w:val="24"/>
                <w:szCs w:val="24"/>
              </w:rPr>
              <w:t xml:space="preserve">Even if the returns from investing </w:t>
            </w:r>
            <w:r w:rsidR="00376A4C">
              <w:rPr>
                <w:rFonts w:cstheme="minorHAnsi"/>
                <w:sz w:val="24"/>
                <w:szCs w:val="24"/>
              </w:rPr>
              <w:t xml:space="preserve">the funds for various periods were to </w:t>
            </w:r>
            <w:r w:rsidR="008C782F">
              <w:rPr>
                <w:rFonts w:cstheme="minorHAnsi"/>
                <w:sz w:val="24"/>
                <w:szCs w:val="24"/>
              </w:rPr>
              <w:t>reduce th</w:t>
            </w:r>
            <w:r w:rsidR="00376A4C">
              <w:rPr>
                <w:rFonts w:cstheme="minorHAnsi"/>
                <w:sz w:val="24"/>
                <w:szCs w:val="24"/>
              </w:rPr>
              <w:t>e</w:t>
            </w:r>
            <w:r w:rsidR="008C782F">
              <w:rPr>
                <w:rFonts w:cstheme="minorHAnsi"/>
                <w:sz w:val="24"/>
                <w:szCs w:val="24"/>
              </w:rPr>
              <w:t xml:space="preserve"> </w:t>
            </w:r>
            <w:r w:rsidR="00376A4C">
              <w:rPr>
                <w:rFonts w:cstheme="minorHAnsi"/>
                <w:sz w:val="24"/>
                <w:szCs w:val="24"/>
              </w:rPr>
              <w:t>surcharge</w:t>
            </w:r>
            <w:r w:rsidR="008C782F">
              <w:rPr>
                <w:rFonts w:cstheme="minorHAnsi"/>
                <w:sz w:val="24"/>
                <w:szCs w:val="24"/>
              </w:rPr>
              <w:t xml:space="preserve"> to 2%</w:t>
            </w:r>
            <w:r w:rsidR="00376A4C">
              <w:rPr>
                <w:rFonts w:cstheme="minorHAnsi"/>
                <w:sz w:val="24"/>
                <w:szCs w:val="24"/>
              </w:rPr>
              <w:t xml:space="preserve"> (plus the Commonwealth’s cost of borrowing)</w:t>
            </w:r>
            <w:r w:rsidR="008C782F">
              <w:rPr>
                <w:rFonts w:cstheme="minorHAnsi"/>
                <w:sz w:val="24"/>
                <w:szCs w:val="24"/>
              </w:rPr>
              <w:t xml:space="preserve">, using the </w:t>
            </w:r>
            <w:r w:rsidR="00A206DC">
              <w:rPr>
                <w:rFonts w:cstheme="minorHAnsi"/>
                <w:sz w:val="24"/>
                <w:szCs w:val="24"/>
              </w:rPr>
              <w:t>AH</w:t>
            </w:r>
            <w:r w:rsidR="008C782F">
              <w:rPr>
                <w:rFonts w:cstheme="minorHAnsi"/>
                <w:sz w:val="24"/>
                <w:szCs w:val="24"/>
              </w:rPr>
              <w:t xml:space="preserve">BA would </w:t>
            </w:r>
            <w:r w:rsidR="00A206DC">
              <w:rPr>
                <w:rFonts w:cstheme="minorHAnsi"/>
                <w:sz w:val="24"/>
                <w:szCs w:val="24"/>
              </w:rPr>
              <w:t>be unlikely to</w:t>
            </w:r>
            <w:r w:rsidR="008C782F">
              <w:rPr>
                <w:rFonts w:cstheme="minorHAnsi"/>
                <w:sz w:val="24"/>
                <w:szCs w:val="24"/>
              </w:rPr>
              <w:t xml:space="preserve"> stack up</w:t>
            </w:r>
            <w:r w:rsidR="0066236C">
              <w:rPr>
                <w:rFonts w:cstheme="minorHAnsi"/>
                <w:sz w:val="24"/>
                <w:szCs w:val="24"/>
              </w:rPr>
              <w:t>.</w:t>
            </w:r>
          </w:p>
          <w:p w14:paraId="2AB7540F" w14:textId="77777777" w:rsidR="005E0FE8" w:rsidRDefault="005E0FE8" w:rsidP="00724FC6">
            <w:pPr>
              <w:spacing w:after="120"/>
              <w:contextualSpacing/>
              <w:rPr>
                <w:rFonts w:cstheme="minorHAnsi"/>
                <w:sz w:val="24"/>
                <w:szCs w:val="24"/>
              </w:rPr>
            </w:pPr>
          </w:p>
          <w:p w14:paraId="562090B3" w14:textId="77777777" w:rsidR="00357900" w:rsidRDefault="003017C2" w:rsidP="00724FC6">
            <w:pPr>
              <w:spacing w:after="120"/>
              <w:contextualSpacing/>
              <w:rPr>
                <w:rFonts w:cstheme="minorHAnsi"/>
                <w:sz w:val="24"/>
                <w:szCs w:val="24"/>
              </w:rPr>
            </w:pPr>
            <w:r>
              <w:rPr>
                <w:rFonts w:cstheme="minorHAnsi"/>
                <w:sz w:val="24"/>
                <w:szCs w:val="24"/>
              </w:rPr>
              <w:t xml:space="preserve">We would welcome the opportunity </w:t>
            </w:r>
            <w:r w:rsidR="00FC33F8">
              <w:rPr>
                <w:rFonts w:cstheme="minorHAnsi"/>
                <w:sz w:val="24"/>
                <w:szCs w:val="24"/>
              </w:rPr>
              <w:t xml:space="preserve">to discuss the </w:t>
            </w:r>
            <w:r>
              <w:rPr>
                <w:rFonts w:cstheme="minorHAnsi"/>
                <w:sz w:val="24"/>
                <w:szCs w:val="24"/>
              </w:rPr>
              <w:t xml:space="preserve">proposed borrowing cost structure </w:t>
            </w:r>
            <w:r w:rsidR="00376A4C">
              <w:rPr>
                <w:rFonts w:cstheme="minorHAnsi"/>
                <w:sz w:val="24"/>
                <w:szCs w:val="24"/>
              </w:rPr>
              <w:t>with you, together with</w:t>
            </w:r>
            <w:r w:rsidR="008C782F">
              <w:rPr>
                <w:rFonts w:cstheme="minorHAnsi"/>
                <w:sz w:val="24"/>
                <w:szCs w:val="24"/>
              </w:rPr>
              <w:t xml:space="preserve"> any modelling which has been undertaken of how the warehousing facility </w:t>
            </w:r>
            <w:r w:rsidR="00B87A7C">
              <w:rPr>
                <w:rFonts w:cstheme="minorHAnsi"/>
                <w:sz w:val="24"/>
                <w:szCs w:val="24"/>
              </w:rPr>
              <w:t>could</w:t>
            </w:r>
            <w:r w:rsidR="00A206DC">
              <w:rPr>
                <w:rFonts w:cstheme="minorHAnsi"/>
                <w:sz w:val="24"/>
                <w:szCs w:val="24"/>
              </w:rPr>
              <w:t xml:space="preserve"> be repaid to government</w:t>
            </w:r>
            <w:r w:rsidR="008C782F">
              <w:rPr>
                <w:rFonts w:cstheme="minorHAnsi"/>
                <w:sz w:val="24"/>
                <w:szCs w:val="24"/>
              </w:rPr>
              <w:t xml:space="preserve">. </w:t>
            </w:r>
          </w:p>
          <w:p w14:paraId="3A5C0748" w14:textId="77777777" w:rsidR="005E0FE8" w:rsidRDefault="005E0FE8" w:rsidP="00724FC6">
            <w:pPr>
              <w:spacing w:after="120"/>
              <w:contextualSpacing/>
              <w:rPr>
                <w:rFonts w:cstheme="minorHAnsi"/>
                <w:sz w:val="24"/>
                <w:szCs w:val="24"/>
              </w:rPr>
            </w:pPr>
          </w:p>
        </w:tc>
      </w:tr>
      <w:tr w:rsidR="00357900" w14:paraId="369A0C2C" w14:textId="77777777" w:rsidTr="008C782F">
        <w:tc>
          <w:tcPr>
            <w:tcW w:w="3681" w:type="dxa"/>
          </w:tcPr>
          <w:p w14:paraId="719B7BFA" w14:textId="77777777" w:rsidR="00357900" w:rsidRDefault="00FC33F8" w:rsidP="00724FC6">
            <w:pPr>
              <w:spacing w:after="120"/>
              <w:contextualSpacing/>
              <w:rPr>
                <w:rFonts w:cstheme="minorHAnsi"/>
                <w:sz w:val="24"/>
                <w:szCs w:val="24"/>
              </w:rPr>
            </w:pPr>
            <w:r>
              <w:rPr>
                <w:rFonts w:cstheme="minorHAnsi"/>
                <w:sz w:val="24"/>
                <w:szCs w:val="24"/>
              </w:rPr>
              <w:lastRenderedPageBreak/>
              <w:t>Clause 15. Limits on grants and capacity building contracts</w:t>
            </w:r>
          </w:p>
        </w:tc>
        <w:tc>
          <w:tcPr>
            <w:tcW w:w="5953" w:type="dxa"/>
          </w:tcPr>
          <w:p w14:paraId="74F0281E" w14:textId="77777777" w:rsidR="005E0FE8" w:rsidRDefault="00451905" w:rsidP="00724FC6">
            <w:pPr>
              <w:spacing w:after="120"/>
              <w:contextualSpacing/>
              <w:rPr>
                <w:rFonts w:cstheme="minorHAnsi"/>
                <w:sz w:val="24"/>
                <w:szCs w:val="24"/>
              </w:rPr>
            </w:pPr>
            <w:r>
              <w:rPr>
                <w:rFonts w:cstheme="minorHAnsi"/>
                <w:sz w:val="24"/>
                <w:szCs w:val="24"/>
              </w:rPr>
              <w:t>We believe that t</w:t>
            </w:r>
            <w:r w:rsidR="00CB6848">
              <w:rPr>
                <w:rFonts w:cstheme="minorHAnsi"/>
                <w:sz w:val="24"/>
                <w:szCs w:val="24"/>
              </w:rPr>
              <w:t xml:space="preserve">he </w:t>
            </w:r>
            <w:r w:rsidR="00C56BF9">
              <w:rPr>
                <w:rFonts w:cstheme="minorHAnsi"/>
                <w:sz w:val="24"/>
                <w:szCs w:val="24"/>
              </w:rPr>
              <w:t xml:space="preserve">proposed </w:t>
            </w:r>
            <w:r w:rsidR="00CB6848">
              <w:rPr>
                <w:rFonts w:cstheme="minorHAnsi"/>
                <w:sz w:val="24"/>
                <w:szCs w:val="24"/>
              </w:rPr>
              <w:t>$1.5m</w:t>
            </w:r>
            <w:r w:rsidR="00C56BF9">
              <w:rPr>
                <w:rFonts w:cstheme="minorHAnsi"/>
                <w:sz w:val="24"/>
                <w:szCs w:val="24"/>
              </w:rPr>
              <w:t xml:space="preserve"> limit</w:t>
            </w:r>
            <w:r w:rsidR="00CB6848">
              <w:rPr>
                <w:rFonts w:cstheme="minorHAnsi"/>
                <w:sz w:val="24"/>
                <w:szCs w:val="24"/>
              </w:rPr>
              <w:t xml:space="preserve"> on the capacity building contracts</w:t>
            </w:r>
            <w:r w:rsidR="003C3A81">
              <w:rPr>
                <w:rFonts w:cstheme="minorHAnsi"/>
                <w:sz w:val="24"/>
                <w:szCs w:val="24"/>
              </w:rPr>
              <w:t xml:space="preserve"> </w:t>
            </w:r>
            <w:r>
              <w:rPr>
                <w:rFonts w:cstheme="minorHAnsi"/>
                <w:sz w:val="24"/>
                <w:szCs w:val="24"/>
              </w:rPr>
              <w:t>will</w:t>
            </w:r>
            <w:r w:rsidR="003C3A81">
              <w:rPr>
                <w:rFonts w:cstheme="minorHAnsi"/>
                <w:sz w:val="24"/>
                <w:szCs w:val="24"/>
              </w:rPr>
              <w:t xml:space="preserve"> prove insufficient to</w:t>
            </w:r>
            <w:r w:rsidR="006F7DD3">
              <w:rPr>
                <w:rFonts w:cstheme="minorHAnsi"/>
                <w:sz w:val="24"/>
                <w:szCs w:val="24"/>
              </w:rPr>
              <w:t xml:space="preserve"> meet its objective</w:t>
            </w:r>
            <w:r>
              <w:rPr>
                <w:rFonts w:cstheme="minorHAnsi"/>
                <w:sz w:val="24"/>
                <w:szCs w:val="24"/>
              </w:rPr>
              <w:t xml:space="preserve">. We appreciate that capacity building was not initially a core component of the NHFIC and welcome its later inclusion. We also understand that these funds are drawn from the allocation </w:t>
            </w:r>
            <w:r w:rsidR="006F7DD3">
              <w:rPr>
                <w:rFonts w:cstheme="minorHAnsi"/>
                <w:sz w:val="24"/>
                <w:szCs w:val="24"/>
              </w:rPr>
              <w:t xml:space="preserve">first </w:t>
            </w:r>
            <w:r>
              <w:rPr>
                <w:rFonts w:cstheme="minorHAnsi"/>
                <w:sz w:val="24"/>
                <w:szCs w:val="24"/>
              </w:rPr>
              <w:t xml:space="preserve">set aside for infrastructure grants. </w:t>
            </w:r>
            <w:r w:rsidR="003B0455">
              <w:rPr>
                <w:rFonts w:cstheme="minorHAnsi"/>
                <w:sz w:val="24"/>
                <w:szCs w:val="24"/>
              </w:rPr>
              <w:t>However,</w:t>
            </w:r>
            <w:r>
              <w:rPr>
                <w:rFonts w:cstheme="minorHAnsi"/>
                <w:sz w:val="24"/>
                <w:szCs w:val="24"/>
              </w:rPr>
              <w:t xml:space="preserve"> the amount proposed is quite small in comparison to the </w:t>
            </w:r>
            <w:r w:rsidR="003B0455">
              <w:rPr>
                <w:rFonts w:cstheme="minorHAnsi"/>
                <w:sz w:val="24"/>
                <w:szCs w:val="24"/>
              </w:rPr>
              <w:t xml:space="preserve">broader </w:t>
            </w:r>
            <w:r>
              <w:rPr>
                <w:rFonts w:cstheme="minorHAnsi"/>
                <w:sz w:val="24"/>
                <w:szCs w:val="24"/>
              </w:rPr>
              <w:t>aim of generating CHO borrowing of more than $1 billion over the next five years.</w:t>
            </w:r>
          </w:p>
          <w:p w14:paraId="3C40024E" w14:textId="77777777" w:rsidR="005E0FE8" w:rsidRDefault="005E0FE8" w:rsidP="00724FC6">
            <w:pPr>
              <w:spacing w:after="120"/>
              <w:contextualSpacing/>
              <w:rPr>
                <w:rFonts w:cstheme="minorHAnsi"/>
                <w:sz w:val="24"/>
                <w:szCs w:val="24"/>
              </w:rPr>
            </w:pPr>
          </w:p>
          <w:p w14:paraId="7EA54A77" w14:textId="77777777" w:rsidR="00357900" w:rsidRDefault="00451905" w:rsidP="00724FC6">
            <w:pPr>
              <w:spacing w:after="120"/>
              <w:contextualSpacing/>
              <w:rPr>
                <w:rFonts w:cstheme="minorHAnsi"/>
                <w:sz w:val="24"/>
                <w:szCs w:val="24"/>
              </w:rPr>
            </w:pPr>
            <w:r>
              <w:rPr>
                <w:rFonts w:cstheme="minorHAnsi"/>
                <w:sz w:val="24"/>
                <w:szCs w:val="24"/>
              </w:rPr>
              <w:t xml:space="preserve">We </w:t>
            </w:r>
            <w:r w:rsidR="003B0455">
              <w:rPr>
                <w:rFonts w:cstheme="minorHAnsi"/>
                <w:sz w:val="24"/>
                <w:szCs w:val="24"/>
              </w:rPr>
              <w:t xml:space="preserve">would welcome the opportunity to work with </w:t>
            </w:r>
            <w:r w:rsidR="00533E95">
              <w:rPr>
                <w:rFonts w:cstheme="minorHAnsi"/>
                <w:sz w:val="24"/>
                <w:szCs w:val="24"/>
              </w:rPr>
              <w:t>T</w:t>
            </w:r>
            <w:r w:rsidR="003B0455">
              <w:rPr>
                <w:rFonts w:cstheme="minorHAnsi"/>
                <w:sz w:val="24"/>
                <w:szCs w:val="24"/>
              </w:rPr>
              <w:t xml:space="preserve">reasury to confirm the likely demand for services and develop some guidelines for allocating this pool of funding. We </w:t>
            </w:r>
            <w:r>
              <w:rPr>
                <w:rFonts w:cstheme="minorHAnsi"/>
                <w:sz w:val="24"/>
                <w:szCs w:val="24"/>
              </w:rPr>
              <w:t xml:space="preserve">suggest this </w:t>
            </w:r>
            <w:r w:rsidR="003B0455">
              <w:rPr>
                <w:rFonts w:cstheme="minorHAnsi"/>
                <w:sz w:val="24"/>
                <w:szCs w:val="24"/>
              </w:rPr>
              <w:t xml:space="preserve">component of the NHFIC’s activity </w:t>
            </w:r>
            <w:r>
              <w:rPr>
                <w:rFonts w:cstheme="minorHAnsi"/>
                <w:sz w:val="24"/>
                <w:szCs w:val="24"/>
              </w:rPr>
              <w:t xml:space="preserve">be monitored closely </w:t>
            </w:r>
            <w:r w:rsidR="00533E95">
              <w:rPr>
                <w:rFonts w:cstheme="minorHAnsi"/>
                <w:sz w:val="24"/>
                <w:szCs w:val="24"/>
              </w:rPr>
              <w:t xml:space="preserve">over the first few years of operation </w:t>
            </w:r>
            <w:r>
              <w:rPr>
                <w:rFonts w:cstheme="minorHAnsi"/>
                <w:sz w:val="24"/>
                <w:szCs w:val="24"/>
              </w:rPr>
              <w:t>to assess both take up and the effectiveness of advice provided.</w:t>
            </w:r>
          </w:p>
          <w:p w14:paraId="2626B928" w14:textId="77777777" w:rsidR="005E0FE8" w:rsidRDefault="005E0FE8" w:rsidP="00724FC6">
            <w:pPr>
              <w:spacing w:after="120"/>
              <w:contextualSpacing/>
              <w:rPr>
                <w:rFonts w:cstheme="minorHAnsi"/>
                <w:sz w:val="24"/>
                <w:szCs w:val="24"/>
              </w:rPr>
            </w:pPr>
          </w:p>
        </w:tc>
      </w:tr>
      <w:tr w:rsidR="00357900" w14:paraId="08CCFC5B" w14:textId="77777777" w:rsidTr="008C782F">
        <w:tc>
          <w:tcPr>
            <w:tcW w:w="3681" w:type="dxa"/>
          </w:tcPr>
          <w:p w14:paraId="4ED1C941" w14:textId="77777777" w:rsidR="00357900" w:rsidRDefault="00775C21" w:rsidP="00724FC6">
            <w:pPr>
              <w:spacing w:after="120"/>
              <w:contextualSpacing/>
              <w:rPr>
                <w:rFonts w:cstheme="minorHAnsi"/>
                <w:sz w:val="24"/>
                <w:szCs w:val="24"/>
              </w:rPr>
            </w:pPr>
            <w:r>
              <w:rPr>
                <w:rFonts w:cstheme="minorHAnsi"/>
                <w:sz w:val="24"/>
                <w:szCs w:val="24"/>
              </w:rPr>
              <w:t>Clause 16 (2)</w:t>
            </w:r>
            <w:r w:rsidR="002A0B2A">
              <w:rPr>
                <w:rFonts w:cstheme="minorHAnsi"/>
                <w:sz w:val="24"/>
                <w:szCs w:val="24"/>
              </w:rPr>
              <w:t>.</w:t>
            </w:r>
            <w:r>
              <w:rPr>
                <w:rFonts w:cstheme="minorHAnsi"/>
                <w:sz w:val="24"/>
                <w:szCs w:val="24"/>
              </w:rPr>
              <w:t xml:space="preserve"> Eligibility for loans</w:t>
            </w:r>
          </w:p>
        </w:tc>
        <w:tc>
          <w:tcPr>
            <w:tcW w:w="5953" w:type="dxa"/>
          </w:tcPr>
          <w:p w14:paraId="61229136" w14:textId="77777777" w:rsidR="00357900" w:rsidRDefault="00775C21" w:rsidP="00724FC6">
            <w:pPr>
              <w:spacing w:after="120"/>
              <w:contextualSpacing/>
              <w:rPr>
                <w:rFonts w:cstheme="minorHAnsi"/>
                <w:sz w:val="24"/>
                <w:szCs w:val="24"/>
              </w:rPr>
            </w:pPr>
            <w:r>
              <w:rPr>
                <w:rFonts w:cstheme="minorHAnsi"/>
                <w:sz w:val="24"/>
                <w:szCs w:val="24"/>
              </w:rPr>
              <w:t xml:space="preserve">We would welcome the opportunity to review the </w:t>
            </w:r>
            <w:r w:rsidR="00B87A7C">
              <w:rPr>
                <w:rFonts w:cstheme="minorHAnsi"/>
                <w:sz w:val="24"/>
                <w:szCs w:val="24"/>
              </w:rPr>
              <w:t xml:space="preserve">proposed </w:t>
            </w:r>
            <w:r>
              <w:rPr>
                <w:rFonts w:cstheme="minorHAnsi"/>
                <w:sz w:val="24"/>
                <w:szCs w:val="24"/>
              </w:rPr>
              <w:t>eligibility criteria which must be satisfied by registered community housing providers, or classes of providers, under sub-clause 16(2).</w:t>
            </w:r>
          </w:p>
          <w:p w14:paraId="0629B337" w14:textId="77777777" w:rsidR="00775C21" w:rsidRDefault="00775C21" w:rsidP="00724FC6">
            <w:pPr>
              <w:spacing w:after="120"/>
              <w:contextualSpacing/>
              <w:rPr>
                <w:rFonts w:cstheme="minorHAnsi"/>
                <w:sz w:val="24"/>
                <w:szCs w:val="24"/>
              </w:rPr>
            </w:pPr>
          </w:p>
        </w:tc>
      </w:tr>
      <w:tr w:rsidR="00357900" w14:paraId="616DF867" w14:textId="77777777" w:rsidTr="008C782F">
        <w:tc>
          <w:tcPr>
            <w:tcW w:w="3681" w:type="dxa"/>
          </w:tcPr>
          <w:p w14:paraId="3AF9EB74" w14:textId="77777777" w:rsidR="00357900" w:rsidRDefault="00775C21" w:rsidP="00724FC6">
            <w:pPr>
              <w:spacing w:after="120"/>
              <w:contextualSpacing/>
              <w:rPr>
                <w:rFonts w:cstheme="minorHAnsi"/>
                <w:sz w:val="24"/>
                <w:szCs w:val="24"/>
              </w:rPr>
            </w:pPr>
            <w:r>
              <w:rPr>
                <w:rFonts w:cstheme="minorHAnsi"/>
                <w:sz w:val="24"/>
                <w:szCs w:val="24"/>
              </w:rPr>
              <w:t>Clause 17</w:t>
            </w:r>
            <w:r w:rsidR="002A0B2A">
              <w:rPr>
                <w:rFonts w:cstheme="minorHAnsi"/>
                <w:sz w:val="24"/>
                <w:szCs w:val="24"/>
              </w:rPr>
              <w:t>.</w:t>
            </w:r>
            <w:r>
              <w:rPr>
                <w:rFonts w:cstheme="minorHAnsi"/>
                <w:sz w:val="24"/>
                <w:szCs w:val="24"/>
              </w:rPr>
              <w:t xml:space="preserve"> Financing mechanism</w:t>
            </w:r>
          </w:p>
        </w:tc>
        <w:tc>
          <w:tcPr>
            <w:tcW w:w="5953" w:type="dxa"/>
          </w:tcPr>
          <w:p w14:paraId="20CA840E" w14:textId="77777777" w:rsidR="00357900" w:rsidRDefault="00775C21" w:rsidP="00724FC6">
            <w:pPr>
              <w:spacing w:after="120"/>
              <w:contextualSpacing/>
              <w:rPr>
                <w:rFonts w:cstheme="minorHAnsi"/>
                <w:sz w:val="24"/>
                <w:szCs w:val="24"/>
              </w:rPr>
            </w:pPr>
            <w:r>
              <w:rPr>
                <w:rFonts w:cstheme="minorHAnsi"/>
                <w:sz w:val="24"/>
                <w:szCs w:val="24"/>
              </w:rPr>
              <w:t xml:space="preserve">The requirement that </w:t>
            </w:r>
            <w:r w:rsidR="00CA6CC8">
              <w:rPr>
                <w:rFonts w:cstheme="minorHAnsi"/>
                <w:sz w:val="24"/>
                <w:szCs w:val="24"/>
              </w:rPr>
              <w:t>security for any loan be ‘</w:t>
            </w:r>
            <w:r w:rsidR="00CA6CC8" w:rsidRPr="00B87A7C">
              <w:rPr>
                <w:rFonts w:cstheme="minorHAnsi"/>
                <w:i/>
                <w:sz w:val="24"/>
                <w:szCs w:val="24"/>
              </w:rPr>
              <w:t>at least</w:t>
            </w:r>
            <w:r w:rsidR="00CA6CC8">
              <w:rPr>
                <w:rFonts w:cstheme="minorHAnsi"/>
                <w:sz w:val="24"/>
                <w:szCs w:val="24"/>
              </w:rPr>
              <w:t xml:space="preserve"> commensurate with existing security arrangements with Commercial Financiers’ is problematic in two respects. First, it is unclear why the AHBA would seek to impose security requirement which are </w:t>
            </w:r>
            <w:r w:rsidR="00CA6CC8" w:rsidRPr="00CA6CC8">
              <w:rPr>
                <w:rFonts w:cstheme="minorHAnsi"/>
                <w:i/>
                <w:sz w:val="24"/>
                <w:szCs w:val="24"/>
              </w:rPr>
              <w:t>more</w:t>
            </w:r>
            <w:r w:rsidR="00CA6CC8">
              <w:rPr>
                <w:rFonts w:cstheme="minorHAnsi"/>
                <w:sz w:val="24"/>
                <w:szCs w:val="24"/>
              </w:rPr>
              <w:t xml:space="preserve"> rigorous than those required by Commercial Financiers.  </w:t>
            </w:r>
            <w:r w:rsidR="004776DF">
              <w:rPr>
                <w:rFonts w:cstheme="minorHAnsi"/>
                <w:sz w:val="24"/>
                <w:szCs w:val="24"/>
              </w:rPr>
              <w:t>Second, it is unclear what exactly is meant by this clause</w:t>
            </w:r>
            <w:r w:rsidR="00B87A7C">
              <w:rPr>
                <w:rFonts w:cstheme="minorHAnsi"/>
                <w:sz w:val="24"/>
                <w:szCs w:val="24"/>
              </w:rPr>
              <w:t>.  We</w:t>
            </w:r>
            <w:r w:rsidR="004776DF">
              <w:rPr>
                <w:rFonts w:cstheme="minorHAnsi"/>
                <w:sz w:val="24"/>
                <w:szCs w:val="24"/>
              </w:rPr>
              <w:t xml:space="preserve"> suggest </w:t>
            </w:r>
            <w:r w:rsidR="00B87A7C">
              <w:rPr>
                <w:rFonts w:cstheme="minorHAnsi"/>
                <w:sz w:val="24"/>
                <w:szCs w:val="24"/>
              </w:rPr>
              <w:t xml:space="preserve">that </w:t>
            </w:r>
            <w:r w:rsidR="00B87A7C">
              <w:rPr>
                <w:rFonts w:cstheme="minorHAnsi"/>
                <w:sz w:val="24"/>
                <w:szCs w:val="24"/>
              </w:rPr>
              <w:lastRenderedPageBreak/>
              <w:t xml:space="preserve">either </w:t>
            </w:r>
            <w:r w:rsidR="004776DF">
              <w:rPr>
                <w:rFonts w:cstheme="minorHAnsi"/>
                <w:sz w:val="24"/>
                <w:szCs w:val="24"/>
              </w:rPr>
              <w:t>the IM be expanded to provide further guidance on the type of security which will be sought</w:t>
            </w:r>
            <w:r w:rsidR="00B87A7C">
              <w:rPr>
                <w:rFonts w:cstheme="minorHAnsi"/>
                <w:sz w:val="24"/>
                <w:szCs w:val="24"/>
              </w:rPr>
              <w:t>, or more detailed policy guidance on this aspect be prepared over the next few months</w:t>
            </w:r>
            <w:r w:rsidR="004776DF">
              <w:rPr>
                <w:rFonts w:cstheme="minorHAnsi"/>
                <w:sz w:val="24"/>
                <w:szCs w:val="24"/>
              </w:rPr>
              <w:t>.</w:t>
            </w:r>
          </w:p>
          <w:p w14:paraId="1438C86F" w14:textId="77777777" w:rsidR="00CA6CC8" w:rsidRDefault="00CA6CC8" w:rsidP="00724FC6">
            <w:pPr>
              <w:spacing w:after="120"/>
              <w:contextualSpacing/>
              <w:rPr>
                <w:rFonts w:cstheme="minorHAnsi"/>
                <w:sz w:val="24"/>
                <w:szCs w:val="24"/>
              </w:rPr>
            </w:pPr>
          </w:p>
        </w:tc>
      </w:tr>
      <w:tr w:rsidR="004776DF" w14:paraId="3780B8E8" w14:textId="77777777" w:rsidTr="008C782F">
        <w:tc>
          <w:tcPr>
            <w:tcW w:w="3681" w:type="dxa"/>
          </w:tcPr>
          <w:p w14:paraId="52DF7C75" w14:textId="77777777" w:rsidR="004776DF" w:rsidRDefault="004776DF" w:rsidP="00724FC6">
            <w:pPr>
              <w:spacing w:after="120"/>
              <w:contextualSpacing/>
              <w:rPr>
                <w:rFonts w:cstheme="minorHAnsi"/>
                <w:sz w:val="24"/>
                <w:szCs w:val="24"/>
              </w:rPr>
            </w:pPr>
            <w:r>
              <w:rPr>
                <w:rFonts w:cstheme="minorHAnsi"/>
                <w:sz w:val="24"/>
                <w:szCs w:val="24"/>
              </w:rPr>
              <w:lastRenderedPageBreak/>
              <w:t>Clause 19. Matters to be considered</w:t>
            </w:r>
          </w:p>
        </w:tc>
        <w:tc>
          <w:tcPr>
            <w:tcW w:w="5953" w:type="dxa"/>
          </w:tcPr>
          <w:p w14:paraId="62B663B4" w14:textId="77777777" w:rsidR="001C6AB6" w:rsidRDefault="004776DF" w:rsidP="00724FC6">
            <w:pPr>
              <w:spacing w:after="120"/>
              <w:contextualSpacing/>
              <w:rPr>
                <w:rFonts w:cstheme="minorHAnsi"/>
                <w:sz w:val="24"/>
                <w:szCs w:val="24"/>
              </w:rPr>
            </w:pPr>
            <w:r>
              <w:rPr>
                <w:rFonts w:cstheme="minorHAnsi"/>
                <w:sz w:val="24"/>
                <w:szCs w:val="24"/>
              </w:rPr>
              <w:t xml:space="preserve">We would welcome further </w:t>
            </w:r>
            <w:r w:rsidR="001C6AB6">
              <w:rPr>
                <w:rFonts w:cstheme="minorHAnsi"/>
                <w:sz w:val="24"/>
                <w:szCs w:val="24"/>
              </w:rPr>
              <w:t>policy detail</w:t>
            </w:r>
            <w:r>
              <w:rPr>
                <w:rFonts w:cstheme="minorHAnsi"/>
                <w:sz w:val="24"/>
                <w:szCs w:val="24"/>
              </w:rPr>
              <w:t xml:space="preserve"> on the matters canvassed in this clause, for example, on how credit-worthiness of applicants will be assessed, what boundaries may be set in relation to the purpose of the loan, and how the factors </w:t>
            </w:r>
            <w:r w:rsidR="001C6AB6">
              <w:rPr>
                <w:rFonts w:cstheme="minorHAnsi"/>
                <w:sz w:val="24"/>
                <w:szCs w:val="24"/>
              </w:rPr>
              <w:t xml:space="preserve">listed </w:t>
            </w:r>
            <w:r>
              <w:rPr>
                <w:rFonts w:cstheme="minorHAnsi"/>
                <w:sz w:val="24"/>
                <w:szCs w:val="24"/>
              </w:rPr>
              <w:t xml:space="preserve">in clause 19 will be weighted in </w:t>
            </w:r>
            <w:r w:rsidR="001C6AB6">
              <w:rPr>
                <w:rFonts w:cstheme="minorHAnsi"/>
                <w:sz w:val="24"/>
                <w:szCs w:val="24"/>
              </w:rPr>
              <w:t>considering</w:t>
            </w:r>
            <w:r>
              <w:rPr>
                <w:rFonts w:cstheme="minorHAnsi"/>
                <w:sz w:val="24"/>
                <w:szCs w:val="24"/>
              </w:rPr>
              <w:t xml:space="preserve"> applications for borrowing.  </w:t>
            </w:r>
          </w:p>
          <w:p w14:paraId="0A1BCA02" w14:textId="77777777" w:rsidR="001C6AB6" w:rsidRDefault="001C6AB6" w:rsidP="00724FC6">
            <w:pPr>
              <w:spacing w:after="120"/>
              <w:contextualSpacing/>
              <w:rPr>
                <w:rFonts w:cstheme="minorHAnsi"/>
                <w:sz w:val="24"/>
                <w:szCs w:val="24"/>
              </w:rPr>
            </w:pPr>
          </w:p>
          <w:p w14:paraId="67216B7E" w14:textId="77777777" w:rsidR="004776DF" w:rsidRDefault="004776DF" w:rsidP="00724FC6">
            <w:pPr>
              <w:spacing w:after="120"/>
              <w:contextualSpacing/>
              <w:rPr>
                <w:rFonts w:cstheme="minorHAnsi"/>
                <w:sz w:val="24"/>
                <w:szCs w:val="24"/>
              </w:rPr>
            </w:pPr>
            <w:r>
              <w:rPr>
                <w:rFonts w:cstheme="minorHAnsi"/>
                <w:sz w:val="24"/>
                <w:szCs w:val="24"/>
              </w:rPr>
              <w:t xml:space="preserve">In relation to sub-clause 19(c), the other relevant factor is the </w:t>
            </w:r>
            <w:r w:rsidRPr="001C6AB6">
              <w:rPr>
                <w:rFonts w:cstheme="minorHAnsi"/>
                <w:i/>
                <w:sz w:val="24"/>
                <w:szCs w:val="24"/>
              </w:rPr>
              <w:t>terms</w:t>
            </w:r>
            <w:r>
              <w:rPr>
                <w:rFonts w:cstheme="minorHAnsi"/>
                <w:sz w:val="24"/>
                <w:szCs w:val="24"/>
              </w:rPr>
              <w:t xml:space="preserve"> on which private finance is available.</w:t>
            </w:r>
          </w:p>
          <w:p w14:paraId="0825A688" w14:textId="77777777" w:rsidR="004776DF" w:rsidRDefault="004776DF" w:rsidP="00724FC6">
            <w:pPr>
              <w:spacing w:after="120"/>
              <w:contextualSpacing/>
              <w:rPr>
                <w:rFonts w:cstheme="minorHAnsi"/>
                <w:sz w:val="24"/>
                <w:szCs w:val="24"/>
              </w:rPr>
            </w:pPr>
          </w:p>
          <w:p w14:paraId="27725625" w14:textId="77777777" w:rsidR="004776DF" w:rsidRDefault="004776DF" w:rsidP="00724FC6">
            <w:pPr>
              <w:spacing w:after="120"/>
              <w:contextualSpacing/>
              <w:rPr>
                <w:rFonts w:cstheme="minorHAnsi"/>
                <w:sz w:val="24"/>
                <w:szCs w:val="24"/>
              </w:rPr>
            </w:pPr>
            <w:r>
              <w:rPr>
                <w:rFonts w:cstheme="minorHAnsi"/>
                <w:sz w:val="24"/>
                <w:szCs w:val="24"/>
              </w:rPr>
              <w:t xml:space="preserve">In relation to sub-clause 19 (g), we agree that </w:t>
            </w:r>
            <w:r w:rsidR="001C6AB6">
              <w:rPr>
                <w:rFonts w:cstheme="minorHAnsi"/>
                <w:sz w:val="24"/>
                <w:szCs w:val="24"/>
              </w:rPr>
              <w:t xml:space="preserve">it is important to know how the AHBA-sourced finance will complement, leverage or support other government initiatives, however we would be concerned if this sub-clause were used to preclude financing </w:t>
            </w:r>
            <w:r w:rsidR="00B87A7C">
              <w:rPr>
                <w:rFonts w:cstheme="minorHAnsi"/>
                <w:sz w:val="24"/>
                <w:szCs w:val="24"/>
              </w:rPr>
              <w:t xml:space="preserve">of a </w:t>
            </w:r>
            <w:r w:rsidR="001C6AB6">
              <w:rPr>
                <w:rFonts w:cstheme="minorHAnsi"/>
                <w:sz w:val="24"/>
                <w:szCs w:val="24"/>
              </w:rPr>
              <w:t>stand-alone project which do</w:t>
            </w:r>
            <w:r w:rsidR="00B87A7C">
              <w:rPr>
                <w:rFonts w:cstheme="minorHAnsi"/>
                <w:sz w:val="24"/>
                <w:szCs w:val="24"/>
              </w:rPr>
              <w:t>es</w:t>
            </w:r>
            <w:r w:rsidR="001C6AB6">
              <w:rPr>
                <w:rFonts w:cstheme="minorHAnsi"/>
                <w:sz w:val="24"/>
                <w:szCs w:val="24"/>
              </w:rPr>
              <w:t xml:space="preserve"> not also involve other government contribution or activity.</w:t>
            </w:r>
          </w:p>
          <w:p w14:paraId="685F9FC2" w14:textId="77777777" w:rsidR="001C6AB6" w:rsidRDefault="001C6AB6" w:rsidP="00724FC6">
            <w:pPr>
              <w:spacing w:after="120"/>
              <w:contextualSpacing/>
              <w:rPr>
                <w:rFonts w:cstheme="minorHAnsi"/>
                <w:sz w:val="24"/>
                <w:szCs w:val="24"/>
              </w:rPr>
            </w:pPr>
          </w:p>
        </w:tc>
      </w:tr>
      <w:tr w:rsidR="004776DF" w14:paraId="31F8B60F" w14:textId="77777777" w:rsidTr="008C782F">
        <w:tc>
          <w:tcPr>
            <w:tcW w:w="3681" w:type="dxa"/>
          </w:tcPr>
          <w:p w14:paraId="6042778B" w14:textId="77777777" w:rsidR="004776DF" w:rsidRDefault="00AA0755" w:rsidP="00724FC6">
            <w:pPr>
              <w:spacing w:after="120"/>
              <w:contextualSpacing/>
              <w:rPr>
                <w:rFonts w:cstheme="minorHAnsi"/>
                <w:sz w:val="24"/>
                <w:szCs w:val="24"/>
              </w:rPr>
            </w:pPr>
            <w:r>
              <w:rPr>
                <w:rFonts w:cstheme="minorHAnsi"/>
                <w:sz w:val="24"/>
                <w:szCs w:val="24"/>
              </w:rPr>
              <w:t>Clause 21</w:t>
            </w:r>
            <w:r w:rsidR="002A0B2A">
              <w:rPr>
                <w:rFonts w:cstheme="minorHAnsi"/>
                <w:sz w:val="24"/>
                <w:szCs w:val="24"/>
              </w:rPr>
              <w:t>.</w:t>
            </w:r>
            <w:r>
              <w:rPr>
                <w:rFonts w:cstheme="minorHAnsi"/>
                <w:sz w:val="24"/>
                <w:szCs w:val="24"/>
              </w:rPr>
              <w:t xml:space="preserve"> Risk level</w:t>
            </w:r>
          </w:p>
        </w:tc>
        <w:tc>
          <w:tcPr>
            <w:tcW w:w="5953" w:type="dxa"/>
          </w:tcPr>
          <w:p w14:paraId="70F0F279" w14:textId="1C4EF366" w:rsidR="004776DF" w:rsidRDefault="00AA0755" w:rsidP="00724FC6">
            <w:pPr>
              <w:spacing w:after="120"/>
              <w:contextualSpacing/>
              <w:rPr>
                <w:rFonts w:cstheme="minorHAnsi"/>
                <w:sz w:val="24"/>
                <w:szCs w:val="24"/>
              </w:rPr>
            </w:pPr>
            <w:r>
              <w:rPr>
                <w:rFonts w:cstheme="minorHAnsi"/>
                <w:sz w:val="24"/>
                <w:szCs w:val="24"/>
              </w:rPr>
              <w:t>We would welcome the opportunity to be involved in developing the investment risk evalu</w:t>
            </w:r>
            <w:r w:rsidR="00B87A7C">
              <w:rPr>
                <w:rFonts w:cstheme="minorHAnsi"/>
                <w:sz w:val="24"/>
                <w:szCs w:val="24"/>
              </w:rPr>
              <w:t>ation process (sub-clause 21(b)</w:t>
            </w:r>
            <w:r>
              <w:rPr>
                <w:rFonts w:cstheme="minorHAnsi"/>
                <w:sz w:val="24"/>
                <w:szCs w:val="24"/>
              </w:rPr>
              <w:t>)</w:t>
            </w:r>
            <w:r w:rsidR="00B87A7C">
              <w:rPr>
                <w:rFonts w:cstheme="minorHAnsi"/>
                <w:sz w:val="24"/>
                <w:szCs w:val="24"/>
              </w:rPr>
              <w:t>. We suggest that it would be useful to document the</w:t>
            </w:r>
            <w:r w:rsidR="007866B0">
              <w:rPr>
                <w:rFonts w:cstheme="minorHAnsi"/>
                <w:sz w:val="24"/>
                <w:szCs w:val="24"/>
              </w:rPr>
              <w:t xml:space="preserve"> sector-wide history</w:t>
            </w:r>
            <w:r w:rsidR="00B87A7C">
              <w:rPr>
                <w:rFonts w:cstheme="minorHAnsi"/>
                <w:sz w:val="24"/>
                <w:szCs w:val="24"/>
              </w:rPr>
              <w:t xml:space="preserve"> of defaults/absence of defaults over the past decade to assist in calculating a realistic risk profile of the sector</w:t>
            </w:r>
            <w:r w:rsidR="007866B0">
              <w:rPr>
                <w:rFonts w:cstheme="minorHAnsi"/>
                <w:sz w:val="24"/>
                <w:szCs w:val="24"/>
              </w:rPr>
              <w:t>.</w:t>
            </w:r>
            <w:r w:rsidR="00007073">
              <w:rPr>
                <w:rFonts w:cstheme="minorHAnsi"/>
                <w:sz w:val="24"/>
                <w:szCs w:val="24"/>
              </w:rPr>
              <w:t xml:space="preserve"> </w:t>
            </w:r>
            <w:r w:rsidR="000C4E4A">
              <w:rPr>
                <w:rFonts w:cstheme="minorHAnsi"/>
                <w:sz w:val="24"/>
                <w:szCs w:val="24"/>
              </w:rPr>
              <w:t xml:space="preserve">Specifically, this may help develop an appropriate risk evaluation process for the community housing operators’ build-to-hold product, which will be quite different from </w:t>
            </w:r>
            <w:r w:rsidR="00902AA5">
              <w:rPr>
                <w:rFonts w:cstheme="minorHAnsi"/>
                <w:sz w:val="24"/>
                <w:szCs w:val="24"/>
              </w:rPr>
              <w:t>a</w:t>
            </w:r>
            <w:r w:rsidR="000C4E4A">
              <w:rPr>
                <w:rFonts w:cstheme="minorHAnsi"/>
                <w:sz w:val="24"/>
                <w:szCs w:val="24"/>
              </w:rPr>
              <w:t xml:space="preserve"> build-to-sell product</w:t>
            </w:r>
            <w:r w:rsidR="00902AA5">
              <w:rPr>
                <w:rFonts w:cstheme="minorHAnsi"/>
                <w:sz w:val="24"/>
                <w:szCs w:val="24"/>
              </w:rPr>
              <w:t xml:space="preserve"> with its well-documented construction risk</w:t>
            </w:r>
            <w:r w:rsidR="000C4E4A">
              <w:rPr>
                <w:rFonts w:cstheme="minorHAnsi"/>
                <w:sz w:val="24"/>
                <w:szCs w:val="24"/>
              </w:rPr>
              <w:t>.</w:t>
            </w:r>
            <w:r w:rsidR="00D23925">
              <w:rPr>
                <w:rFonts w:cstheme="minorHAnsi"/>
                <w:sz w:val="24"/>
                <w:szCs w:val="24"/>
              </w:rPr>
              <w:t xml:space="preserve"> (T</w:t>
            </w:r>
            <w:r w:rsidR="00404EAD">
              <w:rPr>
                <w:rFonts w:cstheme="minorHAnsi"/>
                <w:sz w:val="24"/>
                <w:szCs w:val="24"/>
              </w:rPr>
              <w:t xml:space="preserve">he absence of good data to evaluate risk of buy-to-hold product is not just a community housing issue but has also been raised by developers looking to raise funds to build to rent in Australia) </w:t>
            </w:r>
          </w:p>
          <w:p w14:paraId="66930A22" w14:textId="77777777" w:rsidR="007866B0" w:rsidRDefault="007866B0" w:rsidP="00724FC6">
            <w:pPr>
              <w:spacing w:after="120"/>
              <w:contextualSpacing/>
              <w:rPr>
                <w:rFonts w:cstheme="minorHAnsi"/>
                <w:sz w:val="24"/>
                <w:szCs w:val="24"/>
              </w:rPr>
            </w:pPr>
          </w:p>
        </w:tc>
      </w:tr>
      <w:tr w:rsidR="004776DF" w14:paraId="5A81447D" w14:textId="77777777" w:rsidTr="008C782F">
        <w:tc>
          <w:tcPr>
            <w:tcW w:w="3681" w:type="dxa"/>
          </w:tcPr>
          <w:p w14:paraId="2D6D3305" w14:textId="77777777" w:rsidR="004776DF" w:rsidRDefault="007866B0" w:rsidP="00724FC6">
            <w:pPr>
              <w:spacing w:after="120"/>
              <w:contextualSpacing/>
              <w:rPr>
                <w:rFonts w:cstheme="minorHAnsi"/>
                <w:sz w:val="24"/>
                <w:szCs w:val="24"/>
              </w:rPr>
            </w:pPr>
            <w:r>
              <w:rPr>
                <w:rFonts w:cstheme="minorHAnsi"/>
                <w:sz w:val="24"/>
                <w:szCs w:val="24"/>
              </w:rPr>
              <w:t>Clause 26</w:t>
            </w:r>
            <w:r w:rsidR="00D81733">
              <w:rPr>
                <w:rFonts w:cstheme="minorHAnsi"/>
                <w:sz w:val="24"/>
                <w:szCs w:val="24"/>
              </w:rPr>
              <w:t>. Concessions</w:t>
            </w:r>
          </w:p>
        </w:tc>
        <w:tc>
          <w:tcPr>
            <w:tcW w:w="5953" w:type="dxa"/>
          </w:tcPr>
          <w:p w14:paraId="514B0AED" w14:textId="7B256AC7" w:rsidR="004776DF" w:rsidRDefault="007866B0" w:rsidP="00724FC6">
            <w:pPr>
              <w:spacing w:after="120"/>
              <w:contextualSpacing/>
              <w:rPr>
                <w:rFonts w:cstheme="minorHAnsi"/>
                <w:sz w:val="24"/>
                <w:szCs w:val="24"/>
              </w:rPr>
            </w:pPr>
            <w:r>
              <w:rPr>
                <w:rFonts w:cstheme="minorHAnsi"/>
                <w:sz w:val="24"/>
                <w:szCs w:val="24"/>
              </w:rPr>
              <w:t>Sub-clause (3)</w:t>
            </w:r>
            <w:r w:rsidR="00007073">
              <w:rPr>
                <w:rFonts w:cstheme="minorHAnsi"/>
                <w:sz w:val="24"/>
                <w:szCs w:val="24"/>
              </w:rPr>
              <w:t>,</w:t>
            </w:r>
            <w:r>
              <w:rPr>
                <w:rFonts w:cstheme="minorHAnsi"/>
                <w:sz w:val="24"/>
                <w:szCs w:val="24"/>
              </w:rPr>
              <w:t xml:space="preserve"> which proposes contract terms to ensure that the NHIF doesn’t extend greater concessions than </w:t>
            </w:r>
            <w:r w:rsidR="00007073">
              <w:rPr>
                <w:rFonts w:cstheme="minorHAnsi"/>
                <w:sz w:val="24"/>
                <w:szCs w:val="24"/>
              </w:rPr>
              <w:t xml:space="preserve">necessary, does not appear to add anything to </w:t>
            </w:r>
            <w:r>
              <w:rPr>
                <w:rFonts w:cstheme="minorHAnsi"/>
                <w:sz w:val="24"/>
                <w:szCs w:val="24"/>
              </w:rPr>
              <w:t>sub-clause (2) which limits the concessions</w:t>
            </w:r>
            <w:r w:rsidR="00D23925">
              <w:rPr>
                <w:rFonts w:cstheme="minorHAnsi"/>
                <w:sz w:val="24"/>
                <w:szCs w:val="24"/>
              </w:rPr>
              <w:t xml:space="preserve"> ‘to the minimum required. . . </w:t>
            </w:r>
            <w:r>
              <w:rPr>
                <w:rFonts w:cstheme="minorHAnsi"/>
                <w:sz w:val="24"/>
                <w:szCs w:val="24"/>
              </w:rPr>
              <w:t>.</w:t>
            </w:r>
            <w:r w:rsidR="00D23925">
              <w:rPr>
                <w:rFonts w:cstheme="minorHAnsi"/>
                <w:sz w:val="24"/>
                <w:szCs w:val="24"/>
              </w:rPr>
              <w:t>’</w:t>
            </w:r>
          </w:p>
          <w:p w14:paraId="46EF0435" w14:textId="77777777" w:rsidR="007866B0" w:rsidRDefault="007866B0" w:rsidP="00724FC6">
            <w:pPr>
              <w:spacing w:after="120"/>
              <w:contextualSpacing/>
              <w:rPr>
                <w:rFonts w:cstheme="minorHAnsi"/>
                <w:sz w:val="24"/>
                <w:szCs w:val="24"/>
              </w:rPr>
            </w:pPr>
          </w:p>
        </w:tc>
      </w:tr>
      <w:tr w:rsidR="004776DF" w14:paraId="10780BDD" w14:textId="77777777" w:rsidTr="008C782F">
        <w:tc>
          <w:tcPr>
            <w:tcW w:w="3681" w:type="dxa"/>
          </w:tcPr>
          <w:p w14:paraId="2C2D4415" w14:textId="77777777" w:rsidR="004776DF" w:rsidRDefault="007866B0" w:rsidP="00724FC6">
            <w:pPr>
              <w:spacing w:after="120"/>
              <w:contextualSpacing/>
              <w:rPr>
                <w:rFonts w:cstheme="minorHAnsi"/>
                <w:sz w:val="24"/>
                <w:szCs w:val="24"/>
              </w:rPr>
            </w:pPr>
            <w:r>
              <w:rPr>
                <w:rFonts w:cstheme="minorHAnsi"/>
                <w:sz w:val="24"/>
                <w:szCs w:val="24"/>
              </w:rPr>
              <w:t>Clause 32</w:t>
            </w:r>
            <w:r w:rsidR="00D81733">
              <w:rPr>
                <w:rFonts w:cstheme="minorHAnsi"/>
                <w:sz w:val="24"/>
                <w:szCs w:val="24"/>
              </w:rPr>
              <w:t>.</w:t>
            </w:r>
            <w:r>
              <w:rPr>
                <w:rFonts w:cstheme="minorHAnsi"/>
                <w:sz w:val="24"/>
                <w:szCs w:val="24"/>
              </w:rPr>
              <w:t xml:space="preserve"> Transparency </w:t>
            </w:r>
          </w:p>
        </w:tc>
        <w:tc>
          <w:tcPr>
            <w:tcW w:w="5953" w:type="dxa"/>
          </w:tcPr>
          <w:p w14:paraId="5F9996D8" w14:textId="77777777" w:rsidR="004776DF" w:rsidRDefault="007866B0" w:rsidP="00724FC6">
            <w:pPr>
              <w:spacing w:after="120"/>
              <w:contextualSpacing/>
              <w:rPr>
                <w:rFonts w:cstheme="minorHAnsi"/>
                <w:sz w:val="24"/>
                <w:szCs w:val="24"/>
              </w:rPr>
            </w:pPr>
            <w:r>
              <w:rPr>
                <w:rFonts w:cstheme="minorHAnsi"/>
                <w:sz w:val="24"/>
                <w:szCs w:val="24"/>
              </w:rPr>
              <w:t>This clause should also set out the NHFIC’s reporting requirements in relation to the AHBA, including the total amount of borrowing sought, the borrowers</w:t>
            </w:r>
            <w:r w:rsidR="00D81733">
              <w:rPr>
                <w:rFonts w:cstheme="minorHAnsi"/>
                <w:sz w:val="24"/>
                <w:szCs w:val="24"/>
              </w:rPr>
              <w:t>, terms,</w:t>
            </w:r>
            <w:r>
              <w:rPr>
                <w:rFonts w:cstheme="minorHAnsi"/>
                <w:sz w:val="24"/>
                <w:szCs w:val="24"/>
              </w:rPr>
              <w:t xml:space="preserve"> and amounts involved.  In relation to reporting on the NHIF, we suggest that both successful and unsuccessful bids be reported on, in the interests of transparency.</w:t>
            </w:r>
          </w:p>
          <w:p w14:paraId="223CC5AC" w14:textId="77777777" w:rsidR="007866B0" w:rsidRDefault="007866B0" w:rsidP="00724FC6">
            <w:pPr>
              <w:spacing w:after="120"/>
              <w:contextualSpacing/>
              <w:rPr>
                <w:rFonts w:cstheme="minorHAnsi"/>
                <w:sz w:val="24"/>
                <w:szCs w:val="24"/>
              </w:rPr>
            </w:pPr>
          </w:p>
        </w:tc>
      </w:tr>
      <w:tr w:rsidR="004776DF" w14:paraId="180853F7" w14:textId="77777777" w:rsidTr="008C782F">
        <w:tc>
          <w:tcPr>
            <w:tcW w:w="3681" w:type="dxa"/>
          </w:tcPr>
          <w:p w14:paraId="686BCF7C" w14:textId="77777777" w:rsidR="004776DF" w:rsidRDefault="00D81733" w:rsidP="00724FC6">
            <w:pPr>
              <w:spacing w:after="120"/>
              <w:contextualSpacing/>
              <w:rPr>
                <w:rFonts w:cstheme="minorHAnsi"/>
                <w:sz w:val="24"/>
                <w:szCs w:val="24"/>
              </w:rPr>
            </w:pPr>
            <w:r>
              <w:rPr>
                <w:rFonts w:cstheme="minorHAnsi"/>
                <w:sz w:val="24"/>
                <w:szCs w:val="24"/>
              </w:rPr>
              <w:t>Clause 34. Guaranteed liabilities</w:t>
            </w:r>
          </w:p>
        </w:tc>
        <w:tc>
          <w:tcPr>
            <w:tcW w:w="5953" w:type="dxa"/>
          </w:tcPr>
          <w:p w14:paraId="0B03BCB7" w14:textId="77777777" w:rsidR="004776DF" w:rsidRDefault="008E69F5" w:rsidP="00724FC6">
            <w:pPr>
              <w:spacing w:after="120"/>
              <w:contextualSpacing/>
              <w:rPr>
                <w:rFonts w:cstheme="minorHAnsi"/>
                <w:sz w:val="24"/>
                <w:szCs w:val="24"/>
              </w:rPr>
            </w:pPr>
            <w:r>
              <w:rPr>
                <w:rFonts w:cstheme="minorHAnsi"/>
                <w:sz w:val="24"/>
                <w:szCs w:val="24"/>
              </w:rPr>
              <w:t xml:space="preserve">We suggest lifting the guarantee cap to $3 billion as a way of signalling to the investor market the Government’s strong commitment to both the NHIF and the AHBA borrowings. </w:t>
            </w:r>
          </w:p>
          <w:p w14:paraId="296B64D7" w14:textId="77777777" w:rsidR="008E69F5" w:rsidRDefault="008E69F5" w:rsidP="00724FC6">
            <w:pPr>
              <w:spacing w:after="120"/>
              <w:contextualSpacing/>
              <w:rPr>
                <w:rFonts w:cstheme="minorHAnsi"/>
                <w:sz w:val="24"/>
                <w:szCs w:val="24"/>
              </w:rPr>
            </w:pPr>
          </w:p>
        </w:tc>
      </w:tr>
    </w:tbl>
    <w:p w14:paraId="1289E5A1" w14:textId="77777777" w:rsidR="00357900" w:rsidRPr="00724FC6" w:rsidRDefault="00357900" w:rsidP="00724FC6">
      <w:pPr>
        <w:spacing w:after="120"/>
        <w:contextualSpacing/>
        <w:rPr>
          <w:rFonts w:cstheme="minorHAnsi"/>
          <w:sz w:val="24"/>
          <w:szCs w:val="24"/>
        </w:rPr>
      </w:pPr>
    </w:p>
    <w:sectPr w:rsidR="00357900" w:rsidRPr="00724FC6" w:rsidSect="0088129B">
      <w:pgSz w:w="11906" w:h="16838"/>
      <w:pgMar w:top="1440" w:right="1021" w:bottom="1440" w:left="102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41983" w14:textId="77777777" w:rsidR="001C0C1B" w:rsidRDefault="001C0C1B" w:rsidP="00FC2E61">
      <w:pPr>
        <w:spacing w:after="0" w:line="240" w:lineRule="auto"/>
      </w:pPr>
      <w:r>
        <w:separator/>
      </w:r>
    </w:p>
  </w:endnote>
  <w:endnote w:type="continuationSeparator" w:id="0">
    <w:p w14:paraId="26DED9C1" w14:textId="77777777" w:rsidR="001C0C1B" w:rsidRDefault="001C0C1B" w:rsidP="00FC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76B7C" w14:textId="77777777" w:rsidR="001C0C1B" w:rsidRDefault="001C0C1B" w:rsidP="00FC2E61">
      <w:pPr>
        <w:spacing w:after="0" w:line="240" w:lineRule="auto"/>
      </w:pPr>
      <w:r>
        <w:separator/>
      </w:r>
    </w:p>
  </w:footnote>
  <w:footnote w:type="continuationSeparator" w:id="0">
    <w:p w14:paraId="524EF77C" w14:textId="77777777" w:rsidR="001C0C1B" w:rsidRDefault="001C0C1B" w:rsidP="00FC2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C6"/>
    <w:rsid w:val="00007073"/>
    <w:rsid w:val="000C4E4A"/>
    <w:rsid w:val="000F0AF3"/>
    <w:rsid w:val="000F2EEB"/>
    <w:rsid w:val="0019180F"/>
    <w:rsid w:val="001C0C1B"/>
    <w:rsid w:val="001C6AB6"/>
    <w:rsid w:val="001E4768"/>
    <w:rsid w:val="00241342"/>
    <w:rsid w:val="00277A0D"/>
    <w:rsid w:val="002A0887"/>
    <w:rsid w:val="002A0B2A"/>
    <w:rsid w:val="003017C2"/>
    <w:rsid w:val="00313844"/>
    <w:rsid w:val="00357900"/>
    <w:rsid w:val="00376A4C"/>
    <w:rsid w:val="003B0455"/>
    <w:rsid w:val="003C3A81"/>
    <w:rsid w:val="00404EAD"/>
    <w:rsid w:val="00451905"/>
    <w:rsid w:val="00452F56"/>
    <w:rsid w:val="0046370B"/>
    <w:rsid w:val="004776DF"/>
    <w:rsid w:val="004966BD"/>
    <w:rsid w:val="00533E95"/>
    <w:rsid w:val="005A7EDC"/>
    <w:rsid w:val="005E0FE8"/>
    <w:rsid w:val="0066236C"/>
    <w:rsid w:val="006F7DD3"/>
    <w:rsid w:val="00724FC6"/>
    <w:rsid w:val="00766981"/>
    <w:rsid w:val="00775C21"/>
    <w:rsid w:val="007866B0"/>
    <w:rsid w:val="007C466D"/>
    <w:rsid w:val="00870779"/>
    <w:rsid w:val="0088129B"/>
    <w:rsid w:val="008C653F"/>
    <w:rsid w:val="008C782F"/>
    <w:rsid w:val="008E69F5"/>
    <w:rsid w:val="00902AA5"/>
    <w:rsid w:val="009E7B7B"/>
    <w:rsid w:val="00A206DC"/>
    <w:rsid w:val="00A729D2"/>
    <w:rsid w:val="00AA0755"/>
    <w:rsid w:val="00B30096"/>
    <w:rsid w:val="00B87A7C"/>
    <w:rsid w:val="00B950D8"/>
    <w:rsid w:val="00BA36BD"/>
    <w:rsid w:val="00BE38BF"/>
    <w:rsid w:val="00BF34EE"/>
    <w:rsid w:val="00C56BF9"/>
    <w:rsid w:val="00CA6CC8"/>
    <w:rsid w:val="00CA79ED"/>
    <w:rsid w:val="00CB6848"/>
    <w:rsid w:val="00D23925"/>
    <w:rsid w:val="00D647D9"/>
    <w:rsid w:val="00D81733"/>
    <w:rsid w:val="00E3771B"/>
    <w:rsid w:val="00EB648A"/>
    <w:rsid w:val="00EC1F9C"/>
    <w:rsid w:val="00F55381"/>
    <w:rsid w:val="00FC2E61"/>
    <w:rsid w:val="00FC33F8"/>
    <w:rsid w:val="00FD3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812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129B"/>
    <w:rPr>
      <w:rFonts w:eastAsiaTheme="minorEastAsia"/>
      <w:lang w:val="en-US" w:eastAsia="ja-JP"/>
    </w:rPr>
  </w:style>
  <w:style w:type="paragraph" w:styleId="BalloonText">
    <w:name w:val="Balloon Text"/>
    <w:basedOn w:val="Normal"/>
    <w:link w:val="BalloonTextChar"/>
    <w:uiPriority w:val="99"/>
    <w:semiHidden/>
    <w:unhideWhenUsed/>
    <w:rsid w:val="0088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29B"/>
    <w:rPr>
      <w:rFonts w:ascii="Tahoma" w:hAnsi="Tahoma" w:cs="Tahoma"/>
      <w:sz w:val="16"/>
      <w:szCs w:val="16"/>
    </w:rPr>
  </w:style>
  <w:style w:type="character" w:styleId="Hyperlink">
    <w:name w:val="Hyperlink"/>
    <w:basedOn w:val="DefaultParagraphFont"/>
    <w:uiPriority w:val="99"/>
    <w:unhideWhenUsed/>
    <w:rsid w:val="00241342"/>
    <w:rPr>
      <w:color w:val="0563C1" w:themeColor="hyperlink"/>
      <w:u w:val="single"/>
    </w:rPr>
  </w:style>
  <w:style w:type="paragraph" w:styleId="Header">
    <w:name w:val="header"/>
    <w:basedOn w:val="Normal"/>
    <w:link w:val="HeaderChar"/>
    <w:uiPriority w:val="99"/>
    <w:unhideWhenUsed/>
    <w:rsid w:val="00FC2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61"/>
  </w:style>
  <w:style w:type="paragraph" w:styleId="Footer">
    <w:name w:val="footer"/>
    <w:basedOn w:val="Normal"/>
    <w:link w:val="FooterChar"/>
    <w:uiPriority w:val="99"/>
    <w:unhideWhenUsed/>
    <w:rsid w:val="00FC2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812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129B"/>
    <w:rPr>
      <w:rFonts w:eastAsiaTheme="minorEastAsia"/>
      <w:lang w:val="en-US" w:eastAsia="ja-JP"/>
    </w:rPr>
  </w:style>
  <w:style w:type="paragraph" w:styleId="BalloonText">
    <w:name w:val="Balloon Text"/>
    <w:basedOn w:val="Normal"/>
    <w:link w:val="BalloonTextChar"/>
    <w:uiPriority w:val="99"/>
    <w:semiHidden/>
    <w:unhideWhenUsed/>
    <w:rsid w:val="0088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29B"/>
    <w:rPr>
      <w:rFonts w:ascii="Tahoma" w:hAnsi="Tahoma" w:cs="Tahoma"/>
      <w:sz w:val="16"/>
      <w:szCs w:val="16"/>
    </w:rPr>
  </w:style>
  <w:style w:type="character" w:styleId="Hyperlink">
    <w:name w:val="Hyperlink"/>
    <w:basedOn w:val="DefaultParagraphFont"/>
    <w:uiPriority w:val="99"/>
    <w:unhideWhenUsed/>
    <w:rsid w:val="00241342"/>
    <w:rPr>
      <w:color w:val="0563C1" w:themeColor="hyperlink"/>
      <w:u w:val="single"/>
    </w:rPr>
  </w:style>
  <w:style w:type="paragraph" w:styleId="Header">
    <w:name w:val="header"/>
    <w:basedOn w:val="Normal"/>
    <w:link w:val="HeaderChar"/>
    <w:uiPriority w:val="99"/>
    <w:unhideWhenUsed/>
    <w:rsid w:val="00FC2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61"/>
  </w:style>
  <w:style w:type="paragraph" w:styleId="Footer">
    <w:name w:val="footer"/>
    <w:basedOn w:val="Normal"/>
    <w:link w:val="FooterChar"/>
    <w:uiPriority w:val="99"/>
    <w:unhideWhenUsed/>
    <w:rsid w:val="00FC2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Peta.winzar@communityhousing.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2A"/>
    <w:rsid w:val="00074A2A"/>
    <w:rsid w:val="00303F6C"/>
    <w:rsid w:val="00531D70"/>
    <w:rsid w:val="00D32F44"/>
    <w:rsid w:val="00F71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B4D3DDB68147A0B1652FFE352B6109">
    <w:name w:val="4FB4D3DDB68147A0B1652FFE352B6109"/>
    <w:rsid w:val="00074A2A"/>
  </w:style>
  <w:style w:type="paragraph" w:customStyle="1" w:styleId="D5C19C71A3A34142B4469AE4582CC3C1">
    <w:name w:val="D5C19C71A3A34142B4469AE4582CC3C1"/>
    <w:rsid w:val="00074A2A"/>
  </w:style>
  <w:style w:type="paragraph" w:customStyle="1" w:styleId="60752B4A2C664FF5AE9E31F129A6B3CF">
    <w:name w:val="60752B4A2C664FF5AE9E31F129A6B3CF"/>
    <w:rsid w:val="00074A2A"/>
  </w:style>
  <w:style w:type="paragraph" w:customStyle="1" w:styleId="EF07848FC6654BD3A6B573D8A2B7E2C1">
    <w:name w:val="EF07848FC6654BD3A6B573D8A2B7E2C1"/>
    <w:rsid w:val="00074A2A"/>
  </w:style>
  <w:style w:type="paragraph" w:customStyle="1" w:styleId="1FEBABA8516C4671B7375CBABCDFA610">
    <w:name w:val="1FEBABA8516C4671B7375CBABCDFA610"/>
    <w:rsid w:val="00074A2A"/>
  </w:style>
  <w:style w:type="paragraph" w:customStyle="1" w:styleId="CE45F8E76CC7477BBDDB48BF744A41DD">
    <w:name w:val="CE45F8E76CC7477BBDDB48BF744A41DD"/>
    <w:rsid w:val="00074A2A"/>
  </w:style>
  <w:style w:type="paragraph" w:customStyle="1" w:styleId="ED961E7018204F9191A869906452B386">
    <w:name w:val="ED961E7018204F9191A869906452B386"/>
    <w:rsid w:val="00074A2A"/>
  </w:style>
  <w:style w:type="paragraph" w:customStyle="1" w:styleId="C0CD28AFBA72454BAD355DCD39A0D766">
    <w:name w:val="C0CD28AFBA72454BAD355DCD39A0D766"/>
    <w:rsid w:val="00074A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B4D3DDB68147A0B1652FFE352B6109">
    <w:name w:val="4FB4D3DDB68147A0B1652FFE352B6109"/>
    <w:rsid w:val="00074A2A"/>
  </w:style>
  <w:style w:type="paragraph" w:customStyle="1" w:styleId="D5C19C71A3A34142B4469AE4582CC3C1">
    <w:name w:val="D5C19C71A3A34142B4469AE4582CC3C1"/>
    <w:rsid w:val="00074A2A"/>
  </w:style>
  <w:style w:type="paragraph" w:customStyle="1" w:styleId="60752B4A2C664FF5AE9E31F129A6B3CF">
    <w:name w:val="60752B4A2C664FF5AE9E31F129A6B3CF"/>
    <w:rsid w:val="00074A2A"/>
  </w:style>
  <w:style w:type="paragraph" w:customStyle="1" w:styleId="EF07848FC6654BD3A6B573D8A2B7E2C1">
    <w:name w:val="EF07848FC6654BD3A6B573D8A2B7E2C1"/>
    <w:rsid w:val="00074A2A"/>
  </w:style>
  <w:style w:type="paragraph" w:customStyle="1" w:styleId="1FEBABA8516C4671B7375CBABCDFA610">
    <w:name w:val="1FEBABA8516C4671B7375CBABCDFA610"/>
    <w:rsid w:val="00074A2A"/>
  </w:style>
  <w:style w:type="paragraph" w:customStyle="1" w:styleId="CE45F8E76CC7477BBDDB48BF744A41DD">
    <w:name w:val="CE45F8E76CC7477BBDDB48BF744A41DD"/>
    <w:rsid w:val="00074A2A"/>
  </w:style>
  <w:style w:type="paragraph" w:customStyle="1" w:styleId="ED961E7018204F9191A869906452B386">
    <w:name w:val="ED961E7018204F9191A869906452B386"/>
    <w:rsid w:val="00074A2A"/>
  </w:style>
  <w:style w:type="paragraph" w:customStyle="1" w:styleId="C0CD28AFBA72454BAD355DCD39A0D766">
    <w:name w:val="C0CD28AFBA72454BAD355DCD39A0D766"/>
    <w:rsid w:val="00074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10429" ma:contentTypeDescription=" " ma:contentTypeScope="" ma:versionID="1e560f79fb33ae8681b32a2c490bbb5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2018FG-73-10097</_dlc_DocId>
    <_dlc_DocIdUrl xmlns="e544e5cc-ab70-42e1-849e-1a0f8bb1f4ef">
      <Url>http://tweb/sites/fg/spd/_layouts/15/DocIdRedir.aspx?ID=2018FG-73-10097</Url>
      <Description>2018FG-73-10097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327E4-D3CD-4474-AACD-7DF760052CC2}">
  <ds:schemaRefs>
    <ds:schemaRef ds:uri="office.server.policy"/>
  </ds:schemaRefs>
</ds:datastoreItem>
</file>

<file path=customXml/itemProps2.xml><?xml version="1.0" encoding="utf-8"?>
<ds:datastoreItem xmlns:ds="http://schemas.openxmlformats.org/officeDocument/2006/customXml" ds:itemID="{6E04B4C1-6311-4020-906A-23ACB88D9A92}">
  <ds:schemaRefs>
    <ds:schemaRef ds:uri="http://schemas.microsoft.com/sharepoint/events"/>
  </ds:schemaRefs>
</ds:datastoreItem>
</file>

<file path=customXml/itemProps3.xml><?xml version="1.0" encoding="utf-8"?>
<ds:datastoreItem xmlns:ds="http://schemas.openxmlformats.org/officeDocument/2006/customXml" ds:itemID="{A83E0CF0-B130-4D4C-880E-584A012AC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2E5D9-983F-4ACF-92F1-ED173FFB030F}">
  <ds:schemaRef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schemas.microsoft.com/sharepoint/v4"/>
    <ds:schemaRef ds:uri="http://purl.org/dc/elements/1.1/"/>
    <ds:schemaRef ds:uri="e544e5cc-ab70-42e1-849e-1a0f8bb1f4ef"/>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A95C286B-6CAF-446B-8157-46DC8B5E5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6150</Characters>
  <Application>Microsoft Office Word</Application>
  <DocSecurity>0</DocSecurity>
  <Lines>214</Lines>
  <Paragraphs>40</Paragraphs>
  <ScaleCrop>false</ScaleCrop>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Housing Industry - National Housing Finance and Investment Corporation – draft Investment Mandate</dc:title>
  <dc:subject/>
  <dc:creator/>
  <cp:lastModifiedBy/>
  <cp:revision>1</cp:revision>
  <dcterms:created xsi:type="dcterms:W3CDTF">2018-04-12T02:28:00Z</dcterms:created>
  <dcterms:modified xsi:type="dcterms:W3CDTF">2018-04-12T02:28:00Z</dcterms:modified>
  <dc:language>English</dc:language>
</cp:coreProperties>
</file>