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EE324D" w14:textId="77777777" w:rsidR="000E0B74" w:rsidRPr="006D0240" w:rsidRDefault="006A2811" w:rsidP="008E6292">
      <w:bookmarkStart w:id="0" w:name="_GoBack"/>
      <w:bookmarkEnd w:id="0"/>
      <w:r>
        <w:tab/>
      </w:r>
    </w:p>
    <w:p w14:paraId="430CA3D7" w14:textId="77777777" w:rsidR="000E0B74" w:rsidRPr="006D0240" w:rsidRDefault="000E0B74" w:rsidP="00794499">
      <w:pPr>
        <w:pStyle w:val="Crest"/>
        <w:spacing w:after="3000"/>
        <w:jc w:val="right"/>
      </w:pPr>
    </w:p>
    <w:p w14:paraId="56F65049" w14:textId="77777777" w:rsidR="000E0B74" w:rsidRPr="00A524B9" w:rsidRDefault="001D5592" w:rsidP="000E0B74">
      <w:pPr>
        <w:pStyle w:val="Title"/>
      </w:pPr>
      <w:r>
        <w:t>Introducing an E</w:t>
      </w:r>
      <w:r w:rsidR="00B26908">
        <w:t>conomy</w:t>
      </w:r>
      <w:r w:rsidR="00FE3D2F">
        <w:noBreakHyphen/>
      </w:r>
      <w:r>
        <w:t>W</w:t>
      </w:r>
      <w:r w:rsidR="00B26908">
        <w:t xml:space="preserve">ide </w:t>
      </w:r>
      <w:r w:rsidR="000E1B0D">
        <w:t>Cash Payment Limit</w:t>
      </w:r>
    </w:p>
    <w:p w14:paraId="4272F0EA" w14:textId="77777777" w:rsidR="000E0B74" w:rsidRPr="00D45AF8" w:rsidRDefault="00B26908" w:rsidP="00D45AF8">
      <w:pPr>
        <w:pStyle w:val="Subtitle"/>
      </w:pPr>
      <w:r>
        <w:t>Government response to the Black Economy</w:t>
      </w:r>
      <w:r w:rsidR="00B25D9A">
        <w:t xml:space="preserve"> Taskforce Final Report</w:t>
      </w:r>
    </w:p>
    <w:p w14:paraId="4E91062B" w14:textId="5AB0E0EA" w:rsidR="00056880" w:rsidRDefault="00007A5D" w:rsidP="000E0B74">
      <w:pPr>
        <w:pStyle w:val="ReportDate"/>
        <w:ind w:right="0"/>
        <w:rPr>
          <w:rFonts w:ascii="Rockwell" w:hAnsi="Rockwell"/>
          <w:sz w:val="24"/>
        </w:rPr>
      </w:pPr>
      <w:r>
        <w:rPr>
          <w:rStyle w:val="ReportDateChar"/>
        </w:rPr>
        <w:t>23</w:t>
      </w:r>
      <w:r w:rsidR="00952C08">
        <w:rPr>
          <w:rStyle w:val="ReportDateChar"/>
        </w:rPr>
        <w:t xml:space="preserve"> May 2018</w:t>
      </w:r>
    </w:p>
    <w:p w14:paraId="2CA66C33" w14:textId="77777777" w:rsidR="002F617F" w:rsidRPr="005D561D" w:rsidRDefault="002F617F" w:rsidP="00A16E03">
      <w:pPr>
        <w:pStyle w:val="Divider"/>
        <w:spacing w:after="3000"/>
      </w:pPr>
    </w:p>
    <w:p w14:paraId="0791AC6F" w14:textId="77777777" w:rsidR="002F617F" w:rsidRDefault="002F617F"/>
    <w:p w14:paraId="6A2FACAD" w14:textId="77777777" w:rsidR="000E0B74" w:rsidRDefault="000E0B74" w:rsidP="000E0B74">
      <w:pPr>
        <w:rPr>
          <w:rFonts w:cs="Calibri"/>
          <w:sz w:val="20"/>
        </w:rPr>
      </w:pPr>
    </w:p>
    <w:p w14:paraId="42005352" w14:textId="77777777" w:rsidR="000E0B74" w:rsidRDefault="000E0B74" w:rsidP="000E0B74">
      <w:pPr>
        <w:sectPr w:rsidR="000E0B74" w:rsidSect="00E1136B">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1418" w:left="1418" w:header="709" w:footer="709" w:gutter="0"/>
          <w:pgNumType w:fmt="lowerRoman" w:start="1"/>
          <w:cols w:space="720"/>
        </w:sectPr>
      </w:pPr>
    </w:p>
    <w:p w14:paraId="21894EE7" w14:textId="77777777" w:rsidR="00952C08" w:rsidRPr="00952C08" w:rsidRDefault="00952C08" w:rsidP="00952C08">
      <w:pPr>
        <w:spacing w:before="240"/>
      </w:pPr>
      <w:r w:rsidRPr="00952C08">
        <w:lastRenderedPageBreak/>
        <w:t xml:space="preserve">© Commonwealth of Australia </w:t>
      </w:r>
      <w:r w:rsidRPr="003758E8">
        <w:t>201</w:t>
      </w:r>
      <w:r w:rsidR="003758E8" w:rsidRPr="003758E8">
        <w:t>8</w:t>
      </w:r>
    </w:p>
    <w:p w14:paraId="2BA4ACCA" w14:textId="77777777" w:rsidR="00952C08" w:rsidRPr="00952C08" w:rsidRDefault="00952C08" w:rsidP="00952C08">
      <w:pPr>
        <w:spacing w:before="240"/>
      </w:pPr>
      <w:r w:rsidRPr="00952C08">
        <w:t xml:space="preserve">This publication is available for your use under a </w:t>
      </w:r>
      <w:hyperlink r:id="rId20" w:history="1">
        <w:r w:rsidRPr="00952C08">
          <w:rPr>
            <w:rStyle w:val="Hyperlink"/>
          </w:rPr>
          <w:t>Creative Commons Attribution 3.0 Australia</w:t>
        </w:r>
      </w:hyperlink>
      <w:r w:rsidRPr="00952C08">
        <w:t xml:space="preserve"> licence, with the exception of the Commonwealth Coat of Arms, the Treasury logo, photographs, images, signatures and where otherwise stated. The full licence terms are available from </w:t>
      </w:r>
      <w:hyperlink r:id="rId21" w:history="1">
        <w:r w:rsidRPr="00952C08">
          <w:rPr>
            <w:rStyle w:val="Hyperlink"/>
          </w:rPr>
          <w:t>http://creativecommons.org/licenses/by/3.0/au/legalcode</w:t>
        </w:r>
      </w:hyperlink>
      <w:r w:rsidRPr="00952C08">
        <w:t xml:space="preserve">. </w:t>
      </w:r>
    </w:p>
    <w:p w14:paraId="6785960D" w14:textId="77777777" w:rsidR="00952C08" w:rsidRPr="00952C08" w:rsidRDefault="00952C08" w:rsidP="00952C08">
      <w:pPr>
        <w:spacing w:before="240"/>
      </w:pPr>
      <w:r w:rsidRPr="00952C08">
        <w:rPr>
          <w:noProof/>
        </w:rPr>
        <w:drawing>
          <wp:inline distT="0" distB="0" distL="0" distR="0" wp14:anchorId="1ED3FC65" wp14:editId="458680E3">
            <wp:extent cx="809625" cy="285750"/>
            <wp:effectExtent l="0" t="0" r="9525" b="0"/>
            <wp:docPr id="1"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0ADA544E" w14:textId="77777777" w:rsidR="00952C08" w:rsidRPr="00952C08" w:rsidRDefault="00952C08" w:rsidP="00952C08">
      <w:pPr>
        <w:spacing w:before="240"/>
      </w:pPr>
      <w:r w:rsidRPr="00952C08">
        <w:t xml:space="preserve">Use of Treasury material under a </w:t>
      </w:r>
      <w:hyperlink r:id="rId23" w:history="1">
        <w:r w:rsidRPr="00952C08">
          <w:rPr>
            <w:rStyle w:val="Hyperlink"/>
          </w:rPr>
          <w:t>Creative Commons Attribution 3.0 Australia</w:t>
        </w:r>
      </w:hyperlink>
      <w:r w:rsidRPr="00952C08">
        <w:t xml:space="preserve"> licence requires you to attribute the work (but not in any way that suggests that the Treasury endorses you or your use of the work).</w:t>
      </w:r>
    </w:p>
    <w:p w14:paraId="74E0F72B" w14:textId="77777777" w:rsidR="00952C08" w:rsidRPr="00952C08" w:rsidRDefault="00952C08" w:rsidP="00952C08">
      <w:pPr>
        <w:spacing w:before="240"/>
        <w:rPr>
          <w:i/>
        </w:rPr>
      </w:pPr>
      <w:proofErr w:type="gramStart"/>
      <w:r w:rsidRPr="00952C08">
        <w:rPr>
          <w:i/>
        </w:rPr>
        <w:t>Treasury material used ‘as supplied’.</w:t>
      </w:r>
      <w:proofErr w:type="gramEnd"/>
    </w:p>
    <w:p w14:paraId="75772DB8" w14:textId="77777777" w:rsidR="00952C08" w:rsidRPr="00952C08" w:rsidRDefault="00952C08" w:rsidP="00952C08">
      <w:pPr>
        <w:spacing w:before="240"/>
      </w:pPr>
      <w:r w:rsidRPr="00952C08">
        <w:t xml:space="preserve">Provided you have not modified or transformed Treasury material in any way including, for example, by changing the Treasury text; calculating percentage changes; graphing or charting data; or deriving new statistics from published Treasury statistics — then Treasury prefers the following attribution: </w:t>
      </w:r>
    </w:p>
    <w:p w14:paraId="7821EAD8" w14:textId="77777777" w:rsidR="00952C08" w:rsidRPr="00952C08" w:rsidRDefault="00952C08" w:rsidP="00952C08">
      <w:pPr>
        <w:spacing w:before="240"/>
      </w:pPr>
      <w:r w:rsidRPr="00952C08">
        <w:rPr>
          <w:i/>
        </w:rPr>
        <w:t xml:space="preserve">Source: The </w:t>
      </w:r>
      <w:r w:rsidRPr="00952C08">
        <w:rPr>
          <w:i/>
          <w:iCs/>
        </w:rPr>
        <w:t>Australian Government the Treasury</w:t>
      </w:r>
      <w:r w:rsidRPr="00952C08">
        <w:t>.</w:t>
      </w:r>
    </w:p>
    <w:p w14:paraId="483B5C2D" w14:textId="77777777" w:rsidR="00952C08" w:rsidRPr="00952C08" w:rsidRDefault="00952C08" w:rsidP="00952C08">
      <w:pPr>
        <w:spacing w:before="240"/>
      </w:pPr>
      <w:r w:rsidRPr="00952C08">
        <w:rPr>
          <w:b/>
        </w:rPr>
        <w:t>Derivative</w:t>
      </w:r>
      <w:r w:rsidRPr="00952C08">
        <w:t xml:space="preserve"> </w:t>
      </w:r>
      <w:r w:rsidRPr="00952C08">
        <w:rPr>
          <w:b/>
        </w:rPr>
        <w:t>material</w:t>
      </w:r>
    </w:p>
    <w:p w14:paraId="284BFFFE" w14:textId="77777777" w:rsidR="00952C08" w:rsidRPr="00952C08" w:rsidRDefault="00952C08" w:rsidP="00952C08">
      <w:pPr>
        <w:spacing w:before="240"/>
      </w:pPr>
      <w:r w:rsidRPr="00952C08">
        <w:t xml:space="preserve">If you have modified or transformed Treasury material, or derived new material from those of the Treasury in any way, then Treasury prefers the following attribution: </w:t>
      </w:r>
    </w:p>
    <w:p w14:paraId="06A87E5B" w14:textId="77777777" w:rsidR="00952C08" w:rsidRPr="00952C08" w:rsidRDefault="00952C08" w:rsidP="00952C08">
      <w:pPr>
        <w:spacing w:before="240"/>
      </w:pPr>
      <w:proofErr w:type="gramStart"/>
      <w:r w:rsidRPr="00952C08">
        <w:rPr>
          <w:i/>
        </w:rPr>
        <w:t>Based on The Australian Government the Treasury data</w:t>
      </w:r>
      <w:r w:rsidRPr="00952C08">
        <w:t>.</w:t>
      </w:r>
      <w:proofErr w:type="gramEnd"/>
    </w:p>
    <w:p w14:paraId="09041CB0" w14:textId="77777777" w:rsidR="00952C08" w:rsidRPr="00952C08" w:rsidRDefault="00952C08" w:rsidP="00952C08">
      <w:pPr>
        <w:spacing w:before="240"/>
        <w:rPr>
          <w:b/>
        </w:rPr>
      </w:pPr>
      <w:r w:rsidRPr="00952C08">
        <w:rPr>
          <w:b/>
        </w:rPr>
        <w:t>Use of the Coat of Arms</w:t>
      </w:r>
    </w:p>
    <w:p w14:paraId="7DCD452E" w14:textId="77777777" w:rsidR="00952C08" w:rsidRPr="00952C08" w:rsidRDefault="00952C08" w:rsidP="00952C08">
      <w:pPr>
        <w:spacing w:before="240"/>
      </w:pPr>
      <w:r w:rsidRPr="00952C08">
        <w:t xml:space="preserve">The terms under which the Coat of Arms can be used are set out on the It’s an Honour website (see </w:t>
      </w:r>
      <w:hyperlink r:id="rId24" w:history="1">
        <w:r w:rsidRPr="00952C08">
          <w:rPr>
            <w:rStyle w:val="Hyperlink"/>
          </w:rPr>
          <w:t>www.itsanhonour.gov.au</w:t>
        </w:r>
      </w:hyperlink>
      <w:r w:rsidRPr="00952C08">
        <w:t>).</w:t>
      </w:r>
    </w:p>
    <w:p w14:paraId="46E3ED39" w14:textId="77777777" w:rsidR="00952C08" w:rsidRPr="00952C08" w:rsidRDefault="00952C08" w:rsidP="00952C08">
      <w:pPr>
        <w:spacing w:before="240"/>
        <w:rPr>
          <w:b/>
        </w:rPr>
      </w:pPr>
      <w:r w:rsidRPr="00952C08">
        <w:rPr>
          <w:b/>
        </w:rPr>
        <w:t>Other uses</w:t>
      </w:r>
    </w:p>
    <w:p w14:paraId="311072C2" w14:textId="77777777" w:rsidR="00952C08" w:rsidRPr="00952C08" w:rsidRDefault="00952C08" w:rsidP="00952C08">
      <w:pPr>
        <w:spacing w:before="240"/>
      </w:pPr>
      <w:r w:rsidRPr="00952C08">
        <w:t>Enquiries regarding this licence and any other use of this document are welcome at:</w:t>
      </w:r>
    </w:p>
    <w:p w14:paraId="5F0F4827" w14:textId="77777777" w:rsidR="00952C08" w:rsidRPr="00952C08" w:rsidRDefault="00952C08" w:rsidP="00952C08">
      <w:pPr>
        <w:spacing w:before="240"/>
      </w:pPr>
      <w:r w:rsidRPr="00952C08">
        <w:t>Manager</w:t>
      </w:r>
      <w:r w:rsidRPr="00952C08">
        <w:br/>
        <w:t>Media and Speeches Unit</w:t>
      </w:r>
      <w:r w:rsidRPr="00952C08">
        <w:br/>
        <w:t>The Treasury</w:t>
      </w:r>
      <w:r w:rsidRPr="00952C08">
        <w:br/>
        <w:t xml:space="preserve">Langton Crescent </w:t>
      </w:r>
      <w:r w:rsidRPr="00952C08">
        <w:br/>
      </w:r>
      <w:proofErr w:type="gramStart"/>
      <w:r w:rsidRPr="00952C08">
        <w:t>Parkes  ACT</w:t>
      </w:r>
      <w:proofErr w:type="gramEnd"/>
      <w:r w:rsidRPr="00952C08">
        <w:t xml:space="preserve">  2600</w:t>
      </w:r>
      <w:r w:rsidRPr="00952C08">
        <w:br/>
        <w:t xml:space="preserve">Email: </w:t>
      </w:r>
      <w:hyperlink r:id="rId25" w:history="1">
        <w:r w:rsidRPr="00952C08">
          <w:rPr>
            <w:rStyle w:val="Hyperlink"/>
          </w:rPr>
          <w:t>medialiaison@treasury.gov.au</w:t>
        </w:r>
      </w:hyperlink>
    </w:p>
    <w:p w14:paraId="684FEB8A" w14:textId="77777777" w:rsidR="00952C08" w:rsidRPr="002F1BC2" w:rsidRDefault="00952C08" w:rsidP="00057FB1">
      <w:pPr>
        <w:pStyle w:val="Heading1"/>
        <w:rPr>
          <w:rStyle w:val="Hyperlink"/>
        </w:rPr>
      </w:pPr>
      <w:r>
        <w:br w:type="page"/>
      </w:r>
      <w:r w:rsidRPr="002F1BC2">
        <w:rPr>
          <w:rStyle w:val="Hyperlink"/>
        </w:rPr>
        <w:lastRenderedPageBreak/>
        <w:t xml:space="preserve"> </w:t>
      </w:r>
      <w:bookmarkStart w:id="1" w:name="_Toc514056239"/>
      <w:r w:rsidR="00057FB1">
        <w:rPr>
          <w:rStyle w:val="Hyperlink"/>
        </w:rPr>
        <w:t>Contents</w:t>
      </w:r>
      <w:bookmarkEnd w:id="1"/>
    </w:p>
    <w:sdt>
      <w:sdtPr>
        <w:rPr>
          <w:rFonts w:ascii="Calibri" w:eastAsia="Times New Roman" w:hAnsi="Calibri" w:cs="Times New Roman"/>
          <w:b w:val="0"/>
          <w:bCs w:val="0"/>
          <w:color w:val="auto"/>
          <w:sz w:val="22"/>
          <w:szCs w:val="20"/>
          <w:lang w:val="en-AU" w:eastAsia="en-AU"/>
        </w:rPr>
        <w:id w:val="708077002"/>
        <w:docPartObj>
          <w:docPartGallery w:val="Table of Contents"/>
          <w:docPartUnique/>
        </w:docPartObj>
      </w:sdtPr>
      <w:sdtEndPr>
        <w:rPr>
          <w:noProof/>
        </w:rPr>
      </w:sdtEndPr>
      <w:sdtContent>
        <w:p w14:paraId="5D0BF222" w14:textId="77777777" w:rsidR="0001635C" w:rsidRDefault="0001635C">
          <w:pPr>
            <w:pStyle w:val="TOCHeading"/>
          </w:pPr>
          <w:r>
            <w:t>Contents</w:t>
          </w:r>
        </w:p>
        <w:p w14:paraId="2E54FCDC" w14:textId="77777777" w:rsidR="00D75AC8" w:rsidRDefault="0001635C">
          <w:pPr>
            <w:pStyle w:val="TOC1"/>
            <w:rPr>
              <w:rFonts w:asciiTheme="minorHAnsi" w:eastAsiaTheme="minorEastAsia" w:hAnsiTheme="minorHAnsi" w:cstheme="minorBidi"/>
              <w:b w:val="0"/>
              <w:color w:val="auto"/>
            </w:rPr>
          </w:pPr>
          <w:r>
            <w:fldChar w:fldCharType="begin"/>
          </w:r>
          <w:r>
            <w:instrText xml:space="preserve"> TOC \o "1-3" \h \z \u </w:instrText>
          </w:r>
          <w:r>
            <w:fldChar w:fldCharType="separate"/>
          </w:r>
          <w:hyperlink w:anchor="_Toc514056239" w:history="1">
            <w:r w:rsidR="00D75AC8" w:rsidRPr="005464C4">
              <w:rPr>
                <w:rStyle w:val="Hyperlink"/>
              </w:rPr>
              <w:t>Contents</w:t>
            </w:r>
            <w:r w:rsidR="00D75AC8">
              <w:rPr>
                <w:webHidden/>
              </w:rPr>
              <w:tab/>
            </w:r>
            <w:r w:rsidR="00D75AC8">
              <w:rPr>
                <w:webHidden/>
              </w:rPr>
              <w:fldChar w:fldCharType="begin"/>
            </w:r>
            <w:r w:rsidR="00D75AC8">
              <w:rPr>
                <w:webHidden/>
              </w:rPr>
              <w:instrText xml:space="preserve"> PAGEREF _Toc514056239 \h </w:instrText>
            </w:r>
            <w:r w:rsidR="00D75AC8">
              <w:rPr>
                <w:webHidden/>
              </w:rPr>
            </w:r>
            <w:r w:rsidR="00D75AC8">
              <w:rPr>
                <w:webHidden/>
              </w:rPr>
              <w:fldChar w:fldCharType="separate"/>
            </w:r>
            <w:r w:rsidR="00172663">
              <w:rPr>
                <w:webHidden/>
              </w:rPr>
              <w:t>2</w:t>
            </w:r>
            <w:r w:rsidR="00D75AC8">
              <w:rPr>
                <w:webHidden/>
              </w:rPr>
              <w:fldChar w:fldCharType="end"/>
            </w:r>
          </w:hyperlink>
        </w:p>
        <w:p w14:paraId="0D755D17" w14:textId="77777777" w:rsidR="00D75AC8" w:rsidRDefault="00172663">
          <w:pPr>
            <w:pStyle w:val="TOC1"/>
            <w:rPr>
              <w:rFonts w:asciiTheme="minorHAnsi" w:eastAsiaTheme="minorEastAsia" w:hAnsiTheme="minorHAnsi" w:cstheme="minorBidi"/>
              <w:b w:val="0"/>
              <w:color w:val="auto"/>
            </w:rPr>
          </w:pPr>
          <w:hyperlink w:anchor="_Toc514056240" w:history="1">
            <w:r w:rsidR="00D75AC8" w:rsidRPr="005464C4">
              <w:rPr>
                <w:rStyle w:val="Hyperlink"/>
                <w:rFonts w:cs="Arial"/>
                <w:kern w:val="32"/>
              </w:rPr>
              <w:t>Consultation Process</w:t>
            </w:r>
            <w:r w:rsidR="00D75AC8">
              <w:rPr>
                <w:webHidden/>
              </w:rPr>
              <w:tab/>
            </w:r>
            <w:r w:rsidR="00D75AC8">
              <w:rPr>
                <w:webHidden/>
              </w:rPr>
              <w:fldChar w:fldCharType="begin"/>
            </w:r>
            <w:r w:rsidR="00D75AC8">
              <w:rPr>
                <w:webHidden/>
              </w:rPr>
              <w:instrText xml:space="preserve"> PAGEREF _Toc514056240 \h </w:instrText>
            </w:r>
            <w:r w:rsidR="00D75AC8">
              <w:rPr>
                <w:webHidden/>
              </w:rPr>
            </w:r>
            <w:r w:rsidR="00D75AC8">
              <w:rPr>
                <w:webHidden/>
              </w:rPr>
              <w:fldChar w:fldCharType="separate"/>
            </w:r>
            <w:r>
              <w:rPr>
                <w:webHidden/>
              </w:rPr>
              <w:t>3</w:t>
            </w:r>
            <w:r w:rsidR="00D75AC8">
              <w:rPr>
                <w:webHidden/>
              </w:rPr>
              <w:fldChar w:fldCharType="end"/>
            </w:r>
          </w:hyperlink>
        </w:p>
        <w:p w14:paraId="6A80F4AC" w14:textId="77777777" w:rsidR="00D75AC8" w:rsidRDefault="00172663">
          <w:pPr>
            <w:pStyle w:val="TOC2"/>
            <w:rPr>
              <w:rFonts w:asciiTheme="minorHAnsi" w:eastAsiaTheme="minorEastAsia" w:hAnsiTheme="minorHAnsi" w:cstheme="minorBidi"/>
              <w:color w:val="auto"/>
              <w:szCs w:val="22"/>
            </w:rPr>
          </w:pPr>
          <w:hyperlink w:anchor="_Toc514056241" w:history="1">
            <w:r w:rsidR="00D75AC8" w:rsidRPr="005464C4">
              <w:rPr>
                <w:rStyle w:val="Hyperlink"/>
                <w:rFonts w:cs="Arial"/>
                <w:iCs/>
                <w:kern w:val="32"/>
              </w:rPr>
              <w:t>Request for feedback and comments</w:t>
            </w:r>
            <w:r w:rsidR="00D75AC8">
              <w:rPr>
                <w:webHidden/>
              </w:rPr>
              <w:tab/>
            </w:r>
            <w:r w:rsidR="00D75AC8">
              <w:rPr>
                <w:webHidden/>
              </w:rPr>
              <w:fldChar w:fldCharType="begin"/>
            </w:r>
            <w:r w:rsidR="00D75AC8">
              <w:rPr>
                <w:webHidden/>
              </w:rPr>
              <w:instrText xml:space="preserve"> PAGEREF _Toc514056241 \h </w:instrText>
            </w:r>
            <w:r w:rsidR="00D75AC8">
              <w:rPr>
                <w:webHidden/>
              </w:rPr>
            </w:r>
            <w:r w:rsidR="00D75AC8">
              <w:rPr>
                <w:webHidden/>
              </w:rPr>
              <w:fldChar w:fldCharType="separate"/>
            </w:r>
            <w:r>
              <w:rPr>
                <w:webHidden/>
              </w:rPr>
              <w:t>3</w:t>
            </w:r>
            <w:r w:rsidR="00D75AC8">
              <w:rPr>
                <w:webHidden/>
              </w:rPr>
              <w:fldChar w:fldCharType="end"/>
            </w:r>
          </w:hyperlink>
        </w:p>
        <w:p w14:paraId="703768F6" w14:textId="77777777" w:rsidR="00D75AC8" w:rsidRDefault="00172663">
          <w:pPr>
            <w:pStyle w:val="TOC3"/>
            <w:rPr>
              <w:rFonts w:asciiTheme="minorHAnsi" w:eastAsiaTheme="minorEastAsia" w:hAnsiTheme="minorHAnsi" w:cstheme="minorBidi"/>
              <w:color w:val="auto"/>
              <w:szCs w:val="22"/>
            </w:rPr>
          </w:pPr>
          <w:hyperlink w:anchor="_Toc514056242" w:history="1">
            <w:r w:rsidR="00D75AC8" w:rsidRPr="005464C4">
              <w:rPr>
                <w:rStyle w:val="Hyperlink"/>
                <w:kern w:val="32"/>
              </w:rPr>
              <w:t>Closing date for submissions: 24 June 2018</w:t>
            </w:r>
            <w:r w:rsidR="00D75AC8">
              <w:rPr>
                <w:webHidden/>
              </w:rPr>
              <w:tab/>
            </w:r>
            <w:r w:rsidR="00D75AC8">
              <w:rPr>
                <w:webHidden/>
              </w:rPr>
              <w:fldChar w:fldCharType="begin"/>
            </w:r>
            <w:r w:rsidR="00D75AC8">
              <w:rPr>
                <w:webHidden/>
              </w:rPr>
              <w:instrText xml:space="preserve"> PAGEREF _Toc514056242 \h </w:instrText>
            </w:r>
            <w:r w:rsidR="00D75AC8">
              <w:rPr>
                <w:webHidden/>
              </w:rPr>
            </w:r>
            <w:r w:rsidR="00D75AC8">
              <w:rPr>
                <w:webHidden/>
              </w:rPr>
              <w:fldChar w:fldCharType="separate"/>
            </w:r>
            <w:r>
              <w:rPr>
                <w:webHidden/>
              </w:rPr>
              <w:t>3</w:t>
            </w:r>
            <w:r w:rsidR="00D75AC8">
              <w:rPr>
                <w:webHidden/>
              </w:rPr>
              <w:fldChar w:fldCharType="end"/>
            </w:r>
          </w:hyperlink>
        </w:p>
        <w:p w14:paraId="18C29696" w14:textId="77777777" w:rsidR="00D75AC8" w:rsidRDefault="00172663">
          <w:pPr>
            <w:pStyle w:val="TOC1"/>
            <w:rPr>
              <w:rFonts w:asciiTheme="minorHAnsi" w:eastAsiaTheme="minorEastAsia" w:hAnsiTheme="minorHAnsi" w:cstheme="minorBidi"/>
              <w:b w:val="0"/>
              <w:color w:val="auto"/>
            </w:rPr>
          </w:pPr>
          <w:hyperlink w:anchor="_Toc514056243" w:history="1">
            <w:r w:rsidR="00D75AC8" w:rsidRPr="005464C4">
              <w:rPr>
                <w:rStyle w:val="Hyperlink"/>
              </w:rPr>
              <w:t>Introduction of an Economy-Wide Cash Payment Limit</w:t>
            </w:r>
            <w:r w:rsidR="00D75AC8">
              <w:rPr>
                <w:webHidden/>
              </w:rPr>
              <w:tab/>
            </w:r>
            <w:r w:rsidR="00D75AC8">
              <w:rPr>
                <w:webHidden/>
              </w:rPr>
              <w:fldChar w:fldCharType="begin"/>
            </w:r>
            <w:r w:rsidR="00D75AC8">
              <w:rPr>
                <w:webHidden/>
              </w:rPr>
              <w:instrText xml:space="preserve"> PAGEREF _Toc514056243 \h </w:instrText>
            </w:r>
            <w:r w:rsidR="00D75AC8">
              <w:rPr>
                <w:webHidden/>
              </w:rPr>
            </w:r>
            <w:r w:rsidR="00D75AC8">
              <w:rPr>
                <w:webHidden/>
              </w:rPr>
              <w:fldChar w:fldCharType="separate"/>
            </w:r>
            <w:r>
              <w:rPr>
                <w:webHidden/>
              </w:rPr>
              <w:t>4</w:t>
            </w:r>
            <w:r w:rsidR="00D75AC8">
              <w:rPr>
                <w:webHidden/>
              </w:rPr>
              <w:fldChar w:fldCharType="end"/>
            </w:r>
          </w:hyperlink>
        </w:p>
        <w:p w14:paraId="7C17BDA6" w14:textId="77777777" w:rsidR="00D75AC8" w:rsidRDefault="00172663">
          <w:pPr>
            <w:pStyle w:val="TOC2"/>
            <w:rPr>
              <w:rFonts w:asciiTheme="minorHAnsi" w:eastAsiaTheme="minorEastAsia" w:hAnsiTheme="minorHAnsi" w:cstheme="minorBidi"/>
              <w:color w:val="auto"/>
              <w:szCs w:val="22"/>
            </w:rPr>
          </w:pPr>
          <w:hyperlink w:anchor="_Toc514056244" w:history="1">
            <w:r w:rsidR="00D75AC8" w:rsidRPr="005464C4">
              <w:rPr>
                <w:rStyle w:val="Hyperlink"/>
              </w:rPr>
              <w:t>Introduction</w:t>
            </w:r>
            <w:r w:rsidR="00D75AC8">
              <w:rPr>
                <w:webHidden/>
              </w:rPr>
              <w:tab/>
            </w:r>
            <w:r w:rsidR="00D75AC8">
              <w:rPr>
                <w:webHidden/>
              </w:rPr>
              <w:fldChar w:fldCharType="begin"/>
            </w:r>
            <w:r w:rsidR="00D75AC8">
              <w:rPr>
                <w:webHidden/>
              </w:rPr>
              <w:instrText xml:space="preserve"> PAGEREF _Toc514056244 \h </w:instrText>
            </w:r>
            <w:r w:rsidR="00D75AC8">
              <w:rPr>
                <w:webHidden/>
              </w:rPr>
            </w:r>
            <w:r w:rsidR="00D75AC8">
              <w:rPr>
                <w:webHidden/>
              </w:rPr>
              <w:fldChar w:fldCharType="separate"/>
            </w:r>
            <w:r>
              <w:rPr>
                <w:webHidden/>
              </w:rPr>
              <w:t>4</w:t>
            </w:r>
            <w:r w:rsidR="00D75AC8">
              <w:rPr>
                <w:webHidden/>
              </w:rPr>
              <w:fldChar w:fldCharType="end"/>
            </w:r>
          </w:hyperlink>
        </w:p>
        <w:p w14:paraId="35D37C3F" w14:textId="77777777" w:rsidR="00D75AC8" w:rsidRDefault="00172663">
          <w:pPr>
            <w:pStyle w:val="TOC2"/>
            <w:rPr>
              <w:rFonts w:asciiTheme="minorHAnsi" w:eastAsiaTheme="minorEastAsia" w:hAnsiTheme="minorHAnsi" w:cstheme="minorBidi"/>
              <w:color w:val="auto"/>
              <w:szCs w:val="22"/>
            </w:rPr>
          </w:pPr>
          <w:hyperlink w:anchor="_Toc514056245" w:history="1">
            <w:r w:rsidR="00D75AC8" w:rsidRPr="005464C4">
              <w:rPr>
                <w:rStyle w:val="Hyperlink"/>
              </w:rPr>
              <w:t>Background</w:t>
            </w:r>
            <w:r w:rsidR="00D75AC8">
              <w:rPr>
                <w:webHidden/>
              </w:rPr>
              <w:tab/>
            </w:r>
            <w:r w:rsidR="00D75AC8">
              <w:rPr>
                <w:webHidden/>
              </w:rPr>
              <w:fldChar w:fldCharType="begin"/>
            </w:r>
            <w:r w:rsidR="00D75AC8">
              <w:rPr>
                <w:webHidden/>
              </w:rPr>
              <w:instrText xml:space="preserve"> PAGEREF _Toc514056245 \h </w:instrText>
            </w:r>
            <w:r w:rsidR="00D75AC8">
              <w:rPr>
                <w:webHidden/>
              </w:rPr>
            </w:r>
            <w:r w:rsidR="00D75AC8">
              <w:rPr>
                <w:webHidden/>
              </w:rPr>
              <w:fldChar w:fldCharType="separate"/>
            </w:r>
            <w:r>
              <w:rPr>
                <w:webHidden/>
              </w:rPr>
              <w:t>4</w:t>
            </w:r>
            <w:r w:rsidR="00D75AC8">
              <w:rPr>
                <w:webHidden/>
              </w:rPr>
              <w:fldChar w:fldCharType="end"/>
            </w:r>
          </w:hyperlink>
        </w:p>
        <w:p w14:paraId="0D5248CB" w14:textId="77777777" w:rsidR="00D75AC8" w:rsidRDefault="00172663">
          <w:pPr>
            <w:pStyle w:val="TOC2"/>
            <w:rPr>
              <w:rFonts w:asciiTheme="minorHAnsi" w:eastAsiaTheme="minorEastAsia" w:hAnsiTheme="minorHAnsi" w:cstheme="minorBidi"/>
              <w:color w:val="auto"/>
              <w:szCs w:val="22"/>
            </w:rPr>
          </w:pPr>
          <w:hyperlink w:anchor="_Toc514056246" w:history="1">
            <w:r w:rsidR="00D75AC8" w:rsidRPr="005464C4">
              <w:rPr>
                <w:rStyle w:val="Hyperlink"/>
              </w:rPr>
              <w:t>Current cash transaction regulations</w:t>
            </w:r>
            <w:r w:rsidR="00D75AC8">
              <w:rPr>
                <w:webHidden/>
              </w:rPr>
              <w:tab/>
            </w:r>
            <w:r w:rsidR="00D75AC8">
              <w:rPr>
                <w:webHidden/>
              </w:rPr>
              <w:fldChar w:fldCharType="begin"/>
            </w:r>
            <w:r w:rsidR="00D75AC8">
              <w:rPr>
                <w:webHidden/>
              </w:rPr>
              <w:instrText xml:space="preserve"> PAGEREF _Toc514056246 \h </w:instrText>
            </w:r>
            <w:r w:rsidR="00D75AC8">
              <w:rPr>
                <w:webHidden/>
              </w:rPr>
            </w:r>
            <w:r w:rsidR="00D75AC8">
              <w:rPr>
                <w:webHidden/>
              </w:rPr>
              <w:fldChar w:fldCharType="separate"/>
            </w:r>
            <w:r>
              <w:rPr>
                <w:webHidden/>
              </w:rPr>
              <w:t>4</w:t>
            </w:r>
            <w:r w:rsidR="00D75AC8">
              <w:rPr>
                <w:webHidden/>
              </w:rPr>
              <w:fldChar w:fldCharType="end"/>
            </w:r>
          </w:hyperlink>
        </w:p>
        <w:p w14:paraId="28BF474C" w14:textId="77777777" w:rsidR="00D75AC8" w:rsidRDefault="00172663">
          <w:pPr>
            <w:pStyle w:val="TOC2"/>
            <w:rPr>
              <w:rFonts w:asciiTheme="minorHAnsi" w:eastAsiaTheme="minorEastAsia" w:hAnsiTheme="minorHAnsi" w:cstheme="minorBidi"/>
              <w:color w:val="auto"/>
              <w:szCs w:val="22"/>
            </w:rPr>
          </w:pPr>
          <w:hyperlink w:anchor="_Toc514056247" w:history="1">
            <w:r w:rsidR="00D75AC8" w:rsidRPr="005464C4">
              <w:rPr>
                <w:rStyle w:val="Hyperlink"/>
              </w:rPr>
              <w:t>Imposing an Australian cash payment limit</w:t>
            </w:r>
            <w:r w:rsidR="00D75AC8">
              <w:rPr>
                <w:webHidden/>
              </w:rPr>
              <w:tab/>
            </w:r>
            <w:r w:rsidR="00D75AC8">
              <w:rPr>
                <w:webHidden/>
              </w:rPr>
              <w:fldChar w:fldCharType="begin"/>
            </w:r>
            <w:r w:rsidR="00D75AC8">
              <w:rPr>
                <w:webHidden/>
              </w:rPr>
              <w:instrText xml:space="preserve"> PAGEREF _Toc514056247 \h </w:instrText>
            </w:r>
            <w:r w:rsidR="00D75AC8">
              <w:rPr>
                <w:webHidden/>
              </w:rPr>
            </w:r>
            <w:r w:rsidR="00D75AC8">
              <w:rPr>
                <w:webHidden/>
              </w:rPr>
              <w:fldChar w:fldCharType="separate"/>
            </w:r>
            <w:r>
              <w:rPr>
                <w:webHidden/>
              </w:rPr>
              <w:t>5</w:t>
            </w:r>
            <w:r w:rsidR="00D75AC8">
              <w:rPr>
                <w:webHidden/>
              </w:rPr>
              <w:fldChar w:fldCharType="end"/>
            </w:r>
          </w:hyperlink>
        </w:p>
        <w:p w14:paraId="4D1F0740" w14:textId="77777777" w:rsidR="00D75AC8" w:rsidRDefault="00172663">
          <w:pPr>
            <w:pStyle w:val="TOC2"/>
            <w:rPr>
              <w:rFonts w:asciiTheme="minorHAnsi" w:eastAsiaTheme="minorEastAsia" w:hAnsiTheme="minorHAnsi" w:cstheme="minorBidi"/>
              <w:color w:val="auto"/>
              <w:szCs w:val="22"/>
            </w:rPr>
          </w:pPr>
          <w:hyperlink w:anchor="_Toc514056248" w:history="1">
            <w:r w:rsidR="00D75AC8" w:rsidRPr="005464C4">
              <w:rPr>
                <w:rStyle w:val="Hyperlink"/>
              </w:rPr>
              <w:t>Attachment A - International examples of payment limits</w:t>
            </w:r>
            <w:r w:rsidR="00D75AC8">
              <w:rPr>
                <w:webHidden/>
              </w:rPr>
              <w:tab/>
            </w:r>
            <w:r w:rsidR="00D75AC8">
              <w:rPr>
                <w:webHidden/>
              </w:rPr>
              <w:fldChar w:fldCharType="begin"/>
            </w:r>
            <w:r w:rsidR="00D75AC8">
              <w:rPr>
                <w:webHidden/>
              </w:rPr>
              <w:instrText xml:space="preserve"> PAGEREF _Toc514056248 \h </w:instrText>
            </w:r>
            <w:r w:rsidR="00D75AC8">
              <w:rPr>
                <w:webHidden/>
              </w:rPr>
            </w:r>
            <w:r w:rsidR="00D75AC8">
              <w:rPr>
                <w:webHidden/>
              </w:rPr>
              <w:fldChar w:fldCharType="separate"/>
            </w:r>
            <w:r>
              <w:rPr>
                <w:webHidden/>
              </w:rPr>
              <w:t>10</w:t>
            </w:r>
            <w:r w:rsidR="00D75AC8">
              <w:rPr>
                <w:webHidden/>
              </w:rPr>
              <w:fldChar w:fldCharType="end"/>
            </w:r>
          </w:hyperlink>
        </w:p>
        <w:p w14:paraId="3A65F785" w14:textId="77777777" w:rsidR="0001635C" w:rsidRDefault="0001635C">
          <w:r>
            <w:rPr>
              <w:b/>
              <w:bCs/>
              <w:noProof/>
            </w:rPr>
            <w:fldChar w:fldCharType="end"/>
          </w:r>
        </w:p>
      </w:sdtContent>
    </w:sdt>
    <w:p w14:paraId="74D577EA" w14:textId="77777777" w:rsidR="00952C08" w:rsidRDefault="00952C08">
      <w:pPr>
        <w:spacing w:before="0" w:after="160" w:line="259" w:lineRule="auto"/>
        <w:rPr>
          <w:rFonts w:cs="Arial"/>
          <w:color w:val="004A7F"/>
          <w:kern w:val="32"/>
          <w:sz w:val="48"/>
          <w:szCs w:val="36"/>
        </w:rPr>
      </w:pPr>
      <w:r>
        <w:rPr>
          <w:rFonts w:cs="Arial"/>
          <w:color w:val="004A7F"/>
          <w:kern w:val="32"/>
          <w:sz w:val="48"/>
          <w:szCs w:val="36"/>
        </w:rPr>
        <w:br w:type="page"/>
      </w:r>
    </w:p>
    <w:p w14:paraId="3C663A9A" w14:textId="77777777" w:rsidR="00952C08" w:rsidRPr="00952C08" w:rsidRDefault="00952C08" w:rsidP="00952C08">
      <w:pPr>
        <w:keepNext/>
        <w:spacing w:before="480"/>
        <w:outlineLvl w:val="0"/>
        <w:rPr>
          <w:rFonts w:cs="Arial"/>
          <w:color w:val="004A7F"/>
          <w:kern w:val="32"/>
          <w:sz w:val="48"/>
          <w:szCs w:val="36"/>
        </w:rPr>
      </w:pPr>
      <w:bookmarkStart w:id="2" w:name="_Toc512523965"/>
      <w:bookmarkStart w:id="3" w:name="_Toc514056240"/>
      <w:bookmarkStart w:id="4" w:name="_Toc432067103"/>
      <w:r w:rsidRPr="00952C08">
        <w:rPr>
          <w:rFonts w:cs="Arial"/>
          <w:color w:val="004A7F"/>
          <w:kern w:val="32"/>
          <w:sz w:val="48"/>
          <w:szCs w:val="36"/>
        </w:rPr>
        <w:lastRenderedPageBreak/>
        <w:t>Consultation Process</w:t>
      </w:r>
      <w:bookmarkEnd w:id="2"/>
      <w:bookmarkEnd w:id="3"/>
    </w:p>
    <w:p w14:paraId="38E303AE" w14:textId="77777777" w:rsidR="00952C08" w:rsidRPr="00952C08" w:rsidRDefault="00952C08" w:rsidP="00952C08">
      <w:pPr>
        <w:keepNext/>
        <w:spacing w:before="360"/>
        <w:outlineLvl w:val="1"/>
        <w:rPr>
          <w:rFonts w:cs="Arial"/>
          <w:iCs/>
          <w:color w:val="004A7F"/>
          <w:kern w:val="32"/>
          <w:sz w:val="36"/>
          <w:szCs w:val="28"/>
        </w:rPr>
      </w:pPr>
      <w:bookmarkStart w:id="5" w:name="_Toc512523966"/>
      <w:bookmarkStart w:id="6" w:name="_Toc514056241"/>
      <w:r w:rsidRPr="00952C08">
        <w:rPr>
          <w:rFonts w:cs="Arial"/>
          <w:iCs/>
          <w:color w:val="004A7F"/>
          <w:kern w:val="32"/>
          <w:sz w:val="36"/>
          <w:szCs w:val="28"/>
        </w:rPr>
        <w:t>Request for feedback and comments</w:t>
      </w:r>
      <w:bookmarkEnd w:id="5"/>
      <w:bookmarkEnd w:id="6"/>
    </w:p>
    <w:p w14:paraId="78110CF7" w14:textId="5919EF6C" w:rsidR="00952C08" w:rsidRDefault="000015E8" w:rsidP="00952C08">
      <w:pPr>
        <w:rPr>
          <w:szCs w:val="22"/>
        </w:rPr>
      </w:pPr>
      <w:r>
        <w:rPr>
          <w:szCs w:val="22"/>
        </w:rPr>
        <w:t>All information (including name and address details) contained in formal submissions will be made available to the public on the Australian Treasury website, unless it is indicated that you would like all or part of your submission to remain confidential. Automatically generated confidentiality statements in emails do not suffice for this purpose. Respondents who would like part of their submission to remain confidential should provide this information marked in a separate document.</w:t>
      </w:r>
    </w:p>
    <w:p w14:paraId="1C112735" w14:textId="778FA737" w:rsidR="000015E8" w:rsidRDefault="000015E8" w:rsidP="00952C08">
      <w:pPr>
        <w:rPr>
          <w:szCs w:val="22"/>
        </w:rPr>
      </w:pPr>
      <w:r>
        <w:rPr>
          <w:szCs w:val="22"/>
        </w:rPr>
        <w:t xml:space="preserve">A request made under the </w:t>
      </w:r>
      <w:r>
        <w:rPr>
          <w:i/>
          <w:iCs/>
          <w:szCs w:val="22"/>
        </w:rPr>
        <w:t xml:space="preserve">Freedom of Information Act 1982 </w:t>
      </w:r>
      <w:r>
        <w:rPr>
          <w:szCs w:val="22"/>
        </w:rPr>
        <w:t>for a submission marked ‘confidential’ to be made available will be determined in accordance with that Act.</w:t>
      </w:r>
    </w:p>
    <w:p w14:paraId="412B4901" w14:textId="77777777" w:rsidR="00952C08" w:rsidRPr="000015E8" w:rsidRDefault="00952C08" w:rsidP="00952C08">
      <w:pPr>
        <w:keepNext/>
        <w:spacing w:before="240"/>
        <w:outlineLvl w:val="2"/>
        <w:rPr>
          <w:rFonts w:cs="Calibri"/>
          <w:b/>
          <w:color w:val="7F7F7F"/>
          <w:kern w:val="32"/>
          <w:sz w:val="28"/>
          <w:szCs w:val="26"/>
        </w:rPr>
      </w:pPr>
      <w:bookmarkStart w:id="7" w:name="_Toc514056242"/>
      <w:r w:rsidRPr="000015E8">
        <w:rPr>
          <w:rFonts w:cs="Calibri"/>
          <w:b/>
          <w:color w:val="7F7F7F"/>
          <w:kern w:val="32"/>
          <w:sz w:val="28"/>
          <w:szCs w:val="26"/>
        </w:rPr>
        <w:t xml:space="preserve">Closing date for submissions: </w:t>
      </w:r>
      <w:sdt>
        <w:sdtPr>
          <w:rPr>
            <w:rFonts w:cs="Calibri"/>
            <w:b/>
            <w:color w:val="7F7F7F"/>
            <w:kern w:val="32"/>
            <w:sz w:val="28"/>
            <w:szCs w:val="26"/>
          </w:rPr>
          <w:id w:val="1454836312"/>
          <w:date w:fullDate="2018-06-24T00:00:00Z">
            <w:dateFormat w:val="dd MMMM yyyy"/>
            <w:lid w:val="en-AU"/>
            <w:storeMappedDataAs w:val="dateTime"/>
            <w:calendar w:val="gregorian"/>
          </w:date>
        </w:sdtPr>
        <w:sdtEndPr/>
        <w:sdtContent>
          <w:r w:rsidR="00D75AC8" w:rsidRPr="000015E8">
            <w:rPr>
              <w:rFonts w:cs="Calibri"/>
              <w:b/>
              <w:color w:val="7F7F7F"/>
              <w:kern w:val="32"/>
              <w:sz w:val="28"/>
              <w:szCs w:val="26"/>
            </w:rPr>
            <w:t>24 June 2018</w:t>
          </w:r>
        </w:sdtContent>
      </w:sdt>
      <w:bookmarkEnd w:id="7"/>
    </w:p>
    <w:tbl>
      <w:tblPr>
        <w:tblStyle w:val="TableGrid"/>
        <w:tblW w:w="0" w:type="auto"/>
        <w:tblLook w:val="04A0" w:firstRow="1" w:lastRow="0" w:firstColumn="1" w:lastColumn="0" w:noHBand="0" w:noVBand="1"/>
      </w:tblPr>
      <w:tblGrid>
        <w:gridCol w:w="1526"/>
        <w:gridCol w:w="7654"/>
      </w:tblGrid>
      <w:tr w:rsidR="00952C08" w:rsidRPr="00952C08" w14:paraId="42045F1D" w14:textId="77777777" w:rsidTr="00FE3D2F">
        <w:tc>
          <w:tcPr>
            <w:tcW w:w="1526" w:type="dxa"/>
            <w:shd w:val="clear" w:color="auto" w:fill="auto"/>
          </w:tcPr>
          <w:p w14:paraId="349C8D25" w14:textId="77777777" w:rsidR="00952C08" w:rsidRPr="00952C08" w:rsidRDefault="00952C08" w:rsidP="00952C08">
            <w:pPr>
              <w:jc w:val="left"/>
              <w:rPr>
                <w:sz w:val="22"/>
                <w:szCs w:val="22"/>
              </w:rPr>
            </w:pPr>
            <w:r w:rsidRPr="00952C08">
              <w:rPr>
                <w:sz w:val="22"/>
                <w:szCs w:val="22"/>
              </w:rPr>
              <w:t>Email</w:t>
            </w:r>
          </w:p>
        </w:tc>
        <w:tc>
          <w:tcPr>
            <w:tcW w:w="7654" w:type="dxa"/>
            <w:shd w:val="clear" w:color="auto" w:fill="auto"/>
          </w:tcPr>
          <w:p w14:paraId="74DF9FDA" w14:textId="77777777" w:rsidR="00952C08" w:rsidRPr="003758E8" w:rsidRDefault="00172663" w:rsidP="00952C08">
            <w:pPr>
              <w:jc w:val="left"/>
              <w:rPr>
                <w:sz w:val="22"/>
                <w:szCs w:val="22"/>
                <w:u w:val="single"/>
              </w:rPr>
            </w:pPr>
            <w:hyperlink r:id="rId26" w:history="1">
              <w:r w:rsidR="003758E8" w:rsidRPr="003758E8">
                <w:rPr>
                  <w:rStyle w:val="Hyperlink"/>
                  <w:rFonts w:cs="Arial"/>
                  <w:szCs w:val="22"/>
                  <w:u w:val="single"/>
                </w:rPr>
                <w:t>blackeconomy@treasury.gov.au</w:t>
              </w:r>
            </w:hyperlink>
            <w:r w:rsidR="003758E8" w:rsidRPr="003758E8">
              <w:rPr>
                <w:rFonts w:cs="Arial"/>
                <w:szCs w:val="22"/>
                <w:u w:val="single"/>
              </w:rPr>
              <w:t xml:space="preserve"> </w:t>
            </w:r>
          </w:p>
        </w:tc>
      </w:tr>
      <w:tr w:rsidR="00952C08" w:rsidRPr="00952C08" w14:paraId="5319B3A5" w14:textId="77777777" w:rsidTr="00FE3D2F">
        <w:tc>
          <w:tcPr>
            <w:tcW w:w="1526" w:type="dxa"/>
            <w:shd w:val="clear" w:color="auto" w:fill="auto"/>
          </w:tcPr>
          <w:p w14:paraId="3CC1AB2F" w14:textId="77777777" w:rsidR="00952C08" w:rsidRPr="00952C08" w:rsidRDefault="00952C08" w:rsidP="00952C08">
            <w:pPr>
              <w:jc w:val="left"/>
              <w:rPr>
                <w:sz w:val="22"/>
                <w:szCs w:val="22"/>
              </w:rPr>
            </w:pPr>
            <w:r w:rsidRPr="00952C08">
              <w:rPr>
                <w:sz w:val="22"/>
                <w:szCs w:val="22"/>
              </w:rPr>
              <w:t>Mail</w:t>
            </w:r>
          </w:p>
          <w:p w14:paraId="6CD10722" w14:textId="77777777" w:rsidR="00952C08" w:rsidRPr="00952C08" w:rsidRDefault="00952C08" w:rsidP="00952C08">
            <w:pPr>
              <w:jc w:val="left"/>
              <w:rPr>
                <w:sz w:val="22"/>
                <w:szCs w:val="22"/>
              </w:rPr>
            </w:pPr>
          </w:p>
          <w:p w14:paraId="2A0B941F" w14:textId="77777777" w:rsidR="00952C08" w:rsidRPr="00952C08" w:rsidRDefault="00952C08" w:rsidP="00952C08">
            <w:pPr>
              <w:jc w:val="left"/>
              <w:rPr>
                <w:sz w:val="22"/>
                <w:szCs w:val="22"/>
              </w:rPr>
            </w:pPr>
          </w:p>
        </w:tc>
        <w:tc>
          <w:tcPr>
            <w:tcW w:w="7654" w:type="dxa"/>
            <w:shd w:val="clear" w:color="auto" w:fill="auto"/>
          </w:tcPr>
          <w:p w14:paraId="193E2AFA" w14:textId="77777777" w:rsidR="00952C08" w:rsidRPr="00952C08" w:rsidRDefault="003758E8" w:rsidP="00952C08">
            <w:pPr>
              <w:spacing w:before="0" w:after="0"/>
              <w:jc w:val="left"/>
              <w:rPr>
                <w:rFonts w:cs="Arial"/>
                <w:sz w:val="22"/>
                <w:szCs w:val="22"/>
              </w:rPr>
            </w:pPr>
            <w:r>
              <w:rPr>
                <w:rFonts w:cs="Arial"/>
                <w:sz w:val="22"/>
                <w:szCs w:val="22"/>
              </w:rPr>
              <w:t>Black Economy Division</w:t>
            </w:r>
          </w:p>
          <w:p w14:paraId="010377C4" w14:textId="77777777" w:rsidR="00952C08" w:rsidRPr="00952C08" w:rsidRDefault="00952C08" w:rsidP="00952C08">
            <w:pPr>
              <w:spacing w:before="0" w:after="0"/>
              <w:jc w:val="left"/>
              <w:rPr>
                <w:rFonts w:cs="Arial"/>
                <w:sz w:val="22"/>
                <w:szCs w:val="22"/>
              </w:rPr>
            </w:pPr>
            <w:r w:rsidRPr="00952C08">
              <w:rPr>
                <w:rFonts w:cs="Arial"/>
                <w:sz w:val="22"/>
                <w:szCs w:val="22"/>
              </w:rPr>
              <w:t>The Treasury</w:t>
            </w:r>
          </w:p>
          <w:p w14:paraId="7D163D7E" w14:textId="77777777" w:rsidR="00952C08" w:rsidRPr="00952C08" w:rsidRDefault="00952C08" w:rsidP="00952C08">
            <w:pPr>
              <w:spacing w:before="0" w:after="0"/>
              <w:jc w:val="left"/>
              <w:rPr>
                <w:rFonts w:cs="Arial"/>
                <w:sz w:val="22"/>
                <w:szCs w:val="22"/>
              </w:rPr>
            </w:pPr>
            <w:r w:rsidRPr="00952C08">
              <w:rPr>
                <w:rFonts w:cs="Arial"/>
                <w:sz w:val="22"/>
                <w:szCs w:val="22"/>
              </w:rPr>
              <w:t>Langton Crescent</w:t>
            </w:r>
          </w:p>
          <w:p w14:paraId="5941F9D1" w14:textId="77777777" w:rsidR="00952C08" w:rsidRPr="00952C08" w:rsidRDefault="00952C08" w:rsidP="00952C08">
            <w:pPr>
              <w:spacing w:before="0" w:after="0"/>
              <w:jc w:val="left"/>
              <w:rPr>
                <w:sz w:val="22"/>
                <w:szCs w:val="22"/>
              </w:rPr>
            </w:pPr>
            <w:r w:rsidRPr="00952C08">
              <w:rPr>
                <w:sz w:val="22"/>
                <w:szCs w:val="22"/>
              </w:rPr>
              <w:t>PARKES ACT 2600</w:t>
            </w:r>
          </w:p>
        </w:tc>
      </w:tr>
      <w:tr w:rsidR="00952C08" w:rsidRPr="00952C08" w14:paraId="6BF17286" w14:textId="77777777" w:rsidTr="00FE3D2F">
        <w:tc>
          <w:tcPr>
            <w:tcW w:w="1526" w:type="dxa"/>
            <w:shd w:val="clear" w:color="auto" w:fill="auto"/>
          </w:tcPr>
          <w:p w14:paraId="1C0DB04A" w14:textId="77777777" w:rsidR="00952C08" w:rsidRPr="00952C08" w:rsidRDefault="00952C08" w:rsidP="00952C08">
            <w:pPr>
              <w:jc w:val="left"/>
              <w:rPr>
                <w:sz w:val="22"/>
                <w:szCs w:val="22"/>
              </w:rPr>
            </w:pPr>
            <w:r w:rsidRPr="00952C08">
              <w:rPr>
                <w:sz w:val="22"/>
                <w:szCs w:val="22"/>
              </w:rPr>
              <w:t>Enquiries</w:t>
            </w:r>
          </w:p>
        </w:tc>
        <w:tc>
          <w:tcPr>
            <w:tcW w:w="7654" w:type="dxa"/>
            <w:shd w:val="clear" w:color="auto" w:fill="auto"/>
          </w:tcPr>
          <w:p w14:paraId="5430B736" w14:textId="46402B09" w:rsidR="00952C08" w:rsidRPr="00952C08" w:rsidRDefault="00952C08" w:rsidP="000015E8">
            <w:pPr>
              <w:jc w:val="left"/>
              <w:rPr>
                <w:sz w:val="22"/>
                <w:szCs w:val="22"/>
              </w:rPr>
            </w:pPr>
            <w:r w:rsidRPr="00952C08">
              <w:rPr>
                <w:rFonts w:cs="Arial"/>
                <w:sz w:val="22"/>
                <w:szCs w:val="22"/>
              </w:rPr>
              <w:t xml:space="preserve">Enquiries can be initially directed to </w:t>
            </w:r>
            <w:r w:rsidR="000015E8">
              <w:rPr>
                <w:rFonts w:cs="Arial"/>
                <w:szCs w:val="22"/>
              </w:rPr>
              <w:t>Nathan Henderson or Kathleen O’Kane</w:t>
            </w:r>
          </w:p>
        </w:tc>
      </w:tr>
      <w:tr w:rsidR="00952C08" w:rsidRPr="00952C08" w14:paraId="7A37022D" w14:textId="77777777" w:rsidTr="00FE3D2F">
        <w:tc>
          <w:tcPr>
            <w:tcW w:w="1526" w:type="dxa"/>
            <w:shd w:val="clear" w:color="auto" w:fill="auto"/>
          </w:tcPr>
          <w:p w14:paraId="28C36BB4" w14:textId="77777777" w:rsidR="00952C08" w:rsidRPr="00952C08" w:rsidRDefault="00952C08" w:rsidP="00952C08">
            <w:pPr>
              <w:jc w:val="left"/>
              <w:rPr>
                <w:sz w:val="22"/>
                <w:szCs w:val="22"/>
              </w:rPr>
            </w:pPr>
            <w:r w:rsidRPr="00952C08">
              <w:rPr>
                <w:sz w:val="22"/>
                <w:szCs w:val="22"/>
              </w:rPr>
              <w:t>Phone</w:t>
            </w:r>
          </w:p>
        </w:tc>
        <w:tc>
          <w:tcPr>
            <w:tcW w:w="7654" w:type="dxa"/>
            <w:shd w:val="clear" w:color="auto" w:fill="auto"/>
          </w:tcPr>
          <w:p w14:paraId="6C0796F4" w14:textId="067EB69A" w:rsidR="00952C08" w:rsidRPr="00952C08" w:rsidRDefault="00952C08" w:rsidP="000015E8">
            <w:pPr>
              <w:jc w:val="left"/>
              <w:rPr>
                <w:sz w:val="22"/>
                <w:szCs w:val="22"/>
              </w:rPr>
            </w:pPr>
            <w:r w:rsidRPr="00952C08">
              <w:rPr>
                <w:rFonts w:cs="Arial"/>
                <w:sz w:val="22"/>
                <w:szCs w:val="22"/>
              </w:rPr>
              <w:t xml:space="preserve">02 6263 </w:t>
            </w:r>
            <w:r w:rsidR="000015E8">
              <w:rPr>
                <w:rFonts w:cs="Arial"/>
                <w:szCs w:val="22"/>
              </w:rPr>
              <w:t>4140 or 02 6263 3979</w:t>
            </w:r>
          </w:p>
        </w:tc>
      </w:tr>
      <w:bookmarkEnd w:id="4"/>
    </w:tbl>
    <w:p w14:paraId="2B5B7C00" w14:textId="77777777" w:rsidR="00952C08" w:rsidRPr="00952C08" w:rsidRDefault="00952C08" w:rsidP="00952C08"/>
    <w:p w14:paraId="6FB0C505" w14:textId="77777777" w:rsidR="00952C08" w:rsidRDefault="00952C08">
      <w:pPr>
        <w:spacing w:before="0" w:after="160" w:line="259" w:lineRule="auto"/>
        <w:rPr>
          <w:rFonts w:cs="Arial"/>
          <w:color w:val="004A7F"/>
          <w:kern w:val="32"/>
          <w:sz w:val="48"/>
          <w:szCs w:val="36"/>
        </w:rPr>
      </w:pPr>
    </w:p>
    <w:p w14:paraId="6B83336B" w14:textId="77777777" w:rsidR="00952C08" w:rsidRDefault="00952C08">
      <w:pPr>
        <w:spacing w:before="0" w:after="160" w:line="259" w:lineRule="auto"/>
        <w:rPr>
          <w:rFonts w:cs="Arial"/>
          <w:color w:val="004A7F"/>
          <w:kern w:val="32"/>
          <w:sz w:val="48"/>
          <w:szCs w:val="36"/>
        </w:rPr>
      </w:pPr>
      <w:r>
        <w:br w:type="page"/>
      </w:r>
    </w:p>
    <w:p w14:paraId="23589193" w14:textId="77777777" w:rsidR="000E0B74" w:rsidRDefault="00345984" w:rsidP="000E0B74">
      <w:pPr>
        <w:pStyle w:val="Heading1"/>
      </w:pPr>
      <w:bookmarkStart w:id="8" w:name="_Toc514056243"/>
      <w:r>
        <w:lastRenderedPageBreak/>
        <w:t>I</w:t>
      </w:r>
      <w:r w:rsidR="00C7421B">
        <w:t>ntroduction of an Economy-Wide Cash Payment Limit</w:t>
      </w:r>
      <w:bookmarkEnd w:id="8"/>
    </w:p>
    <w:p w14:paraId="17D57811" w14:textId="77777777" w:rsidR="000E0B74" w:rsidRDefault="000E0B74" w:rsidP="000E0B74">
      <w:pPr>
        <w:pStyle w:val="Heading2"/>
      </w:pPr>
      <w:bookmarkStart w:id="9" w:name="_Toc306887371"/>
      <w:bookmarkStart w:id="10" w:name="_Toc432064635"/>
      <w:bookmarkStart w:id="11" w:name="_Toc476214105"/>
      <w:bookmarkStart w:id="12" w:name="_Toc514056244"/>
      <w:r>
        <w:t>Introduction</w:t>
      </w:r>
      <w:bookmarkEnd w:id="9"/>
      <w:bookmarkEnd w:id="10"/>
      <w:bookmarkEnd w:id="11"/>
      <w:bookmarkEnd w:id="12"/>
    </w:p>
    <w:p w14:paraId="736BD879" w14:textId="77777777" w:rsidR="000E0B74" w:rsidRDefault="00C7421B" w:rsidP="00BC5BA8">
      <w:pPr>
        <w:pStyle w:val="Bullet"/>
        <w:numPr>
          <w:ilvl w:val="0"/>
          <w:numId w:val="0"/>
        </w:numPr>
      </w:pPr>
      <w:r>
        <w:t xml:space="preserve">The </w:t>
      </w:r>
      <w:r w:rsidR="00BB3385">
        <w:t xml:space="preserve">Government </w:t>
      </w:r>
      <w:r w:rsidR="005963C7">
        <w:t xml:space="preserve">has </w:t>
      </w:r>
      <w:r w:rsidR="00BC5BA8">
        <w:t>announced the introduction of an economy-wide</w:t>
      </w:r>
      <w:r w:rsidR="00E972B6">
        <w:t xml:space="preserve"> </w:t>
      </w:r>
      <w:r w:rsidR="00BC5BA8">
        <w:t>cash payment limit</w:t>
      </w:r>
      <w:r w:rsidR="002546EF">
        <w:t xml:space="preserve"> of $10,000</w:t>
      </w:r>
      <w:r w:rsidR="003405D1">
        <w:t xml:space="preserve"> </w:t>
      </w:r>
      <w:r w:rsidR="00BC5BA8">
        <w:t>as part of the 2018-19 Budget</w:t>
      </w:r>
      <w:r w:rsidR="006A48A1">
        <w:t>, applicable to</w:t>
      </w:r>
      <w:r w:rsidR="00BC5BA8">
        <w:t xml:space="preserve"> payments made to businesses for goods and services</w:t>
      </w:r>
      <w:r w:rsidR="000B05AB">
        <w:t xml:space="preserve"> from 1 July 2019</w:t>
      </w:r>
      <w:r>
        <w:t>.</w:t>
      </w:r>
      <w:r w:rsidR="00BC5BA8">
        <w:t xml:space="preserve"> Transactions in excess of th</w:t>
      </w:r>
      <w:r w:rsidR="000B05AB">
        <w:t>is</w:t>
      </w:r>
      <w:r w:rsidR="00BC5BA8">
        <w:t xml:space="preserve"> amount would need to be made </w:t>
      </w:r>
      <w:r w:rsidR="008B29D9">
        <w:t>using</w:t>
      </w:r>
      <w:r w:rsidR="00BC5BA8">
        <w:t xml:space="preserve"> the </w:t>
      </w:r>
      <w:r w:rsidR="00BD6849">
        <w:t xml:space="preserve">electronic payment </w:t>
      </w:r>
      <w:r w:rsidR="00BC5BA8">
        <w:t>system</w:t>
      </w:r>
      <w:r w:rsidR="003405D1">
        <w:t xml:space="preserve"> or by cheque</w:t>
      </w:r>
      <w:r w:rsidR="00BC5BA8">
        <w:t xml:space="preserve">. </w:t>
      </w:r>
    </w:p>
    <w:p w14:paraId="0B5C91EC" w14:textId="77777777" w:rsidR="008B29D9" w:rsidRDefault="008B29D9" w:rsidP="00BC5BA8">
      <w:pPr>
        <w:pStyle w:val="Bullet"/>
        <w:numPr>
          <w:ilvl w:val="0"/>
          <w:numId w:val="0"/>
        </w:numPr>
      </w:pPr>
      <w:r>
        <w:t xml:space="preserve">The Government is seeking to strike the right balance between cracking </w:t>
      </w:r>
      <w:r w:rsidR="00BB3385">
        <w:t xml:space="preserve">down </w:t>
      </w:r>
      <w:r>
        <w:t xml:space="preserve">on black economy participants </w:t>
      </w:r>
      <w:r w:rsidR="00BB3385">
        <w:t>using</w:t>
      </w:r>
      <w:r>
        <w:t xml:space="preserve"> large cash transactions to avoid their tax obligations, and ensuring that businesses doing the right thing are not unduly burdened by increased red tape. </w:t>
      </w:r>
    </w:p>
    <w:p w14:paraId="7956B6DD" w14:textId="77777777" w:rsidR="008B29D9" w:rsidRDefault="008B29D9" w:rsidP="008B29D9">
      <w:pPr>
        <w:pStyle w:val="Bullet"/>
        <w:numPr>
          <w:ilvl w:val="0"/>
          <w:numId w:val="0"/>
        </w:numPr>
      </w:pPr>
      <w:r>
        <w:t>Th</w:t>
      </w:r>
      <w:r w:rsidR="00BB3385">
        <w:t>e</w:t>
      </w:r>
      <w:r>
        <w:t xml:space="preserve"> consultation paper is also seeking the views of stakeholders </w:t>
      </w:r>
      <w:r w:rsidR="00BB3385">
        <w:t xml:space="preserve">to </w:t>
      </w:r>
      <w:r>
        <w:t>identify further issues and solutions for the implementation of this measure</w:t>
      </w:r>
      <w:r w:rsidR="00BB3385">
        <w:t xml:space="preserve">. This </w:t>
      </w:r>
      <w:r>
        <w:t>includ</w:t>
      </w:r>
      <w:r w:rsidR="00BB3385">
        <w:t xml:space="preserve">es what </w:t>
      </w:r>
      <w:r w:rsidR="00C7157A">
        <w:t>exemptions</w:t>
      </w:r>
      <w:r w:rsidR="00BB3385">
        <w:t>, if any, should apply</w:t>
      </w:r>
      <w:r>
        <w:t xml:space="preserve">, what enforcement and reporting obligations should exist and </w:t>
      </w:r>
      <w:r w:rsidR="00C7157A">
        <w:t>what integrity</w:t>
      </w:r>
      <w:r>
        <w:t xml:space="preserve"> measures are required. </w:t>
      </w:r>
    </w:p>
    <w:p w14:paraId="0EB23BF7" w14:textId="77777777" w:rsidR="008B29D9" w:rsidRDefault="008B29D9" w:rsidP="008B29D9">
      <w:pPr>
        <w:pStyle w:val="Heading2"/>
      </w:pPr>
      <w:bookmarkStart w:id="13" w:name="_Toc514056245"/>
      <w:r>
        <w:t>Background</w:t>
      </w:r>
      <w:bookmarkEnd w:id="13"/>
    </w:p>
    <w:p w14:paraId="66B339FC" w14:textId="77777777" w:rsidR="009E0097" w:rsidRDefault="00C7421B" w:rsidP="00BC5BA8">
      <w:pPr>
        <w:pStyle w:val="Bullet"/>
        <w:numPr>
          <w:ilvl w:val="0"/>
          <w:numId w:val="0"/>
        </w:numPr>
      </w:pPr>
      <w:r>
        <w:t xml:space="preserve">This </w:t>
      </w:r>
      <w:r w:rsidR="008B29D9">
        <w:t xml:space="preserve">measure </w:t>
      </w:r>
      <w:r>
        <w:t xml:space="preserve">follows the findings of the </w:t>
      </w:r>
      <w:r w:rsidRPr="00D72CA8">
        <w:rPr>
          <w:i/>
        </w:rPr>
        <w:t>B</w:t>
      </w:r>
      <w:r w:rsidR="00BC5BA8" w:rsidRPr="00D72CA8">
        <w:rPr>
          <w:i/>
        </w:rPr>
        <w:t xml:space="preserve">lack </w:t>
      </w:r>
      <w:r w:rsidRPr="00D72CA8">
        <w:rPr>
          <w:i/>
        </w:rPr>
        <w:t>E</w:t>
      </w:r>
      <w:r w:rsidR="00BC5BA8" w:rsidRPr="00D72CA8">
        <w:rPr>
          <w:i/>
        </w:rPr>
        <w:t xml:space="preserve">conomy </w:t>
      </w:r>
      <w:r w:rsidRPr="00D72CA8">
        <w:rPr>
          <w:i/>
        </w:rPr>
        <w:t>T</w:t>
      </w:r>
      <w:r w:rsidR="00BC5BA8" w:rsidRPr="00D72CA8">
        <w:rPr>
          <w:i/>
        </w:rPr>
        <w:t xml:space="preserve">askforce </w:t>
      </w:r>
      <w:r w:rsidRPr="00D72CA8">
        <w:rPr>
          <w:i/>
        </w:rPr>
        <w:t>F</w:t>
      </w:r>
      <w:r w:rsidR="00BC5BA8" w:rsidRPr="00D72CA8">
        <w:rPr>
          <w:i/>
        </w:rPr>
        <w:t xml:space="preserve">inal </w:t>
      </w:r>
      <w:r w:rsidR="008B29D9" w:rsidRPr="00D72CA8">
        <w:rPr>
          <w:i/>
        </w:rPr>
        <w:t>Report</w:t>
      </w:r>
      <w:r w:rsidR="008B29D9">
        <w:t xml:space="preserve"> that</w:t>
      </w:r>
      <w:r>
        <w:t xml:space="preserve"> si</w:t>
      </w:r>
      <w:r w:rsidR="00432866">
        <w:t>gnificant risks</w:t>
      </w:r>
      <w:r w:rsidR="00E972B6">
        <w:t xml:space="preserve"> </w:t>
      </w:r>
      <w:r w:rsidR="001A629F">
        <w:t xml:space="preserve">to legitimate commercial behaviour can result from </w:t>
      </w:r>
      <w:r w:rsidR="00432866">
        <w:t>large</w:t>
      </w:r>
      <w:r w:rsidR="00E972B6">
        <w:t>,</w:t>
      </w:r>
      <w:r w:rsidR="00432866">
        <w:t xml:space="preserve"> undocumented cash payments being made for cars, </w:t>
      </w:r>
      <w:r w:rsidR="007653A0">
        <w:t>yachts</w:t>
      </w:r>
      <w:r w:rsidR="00E972B6">
        <w:t xml:space="preserve"> and other luxury goods</w:t>
      </w:r>
      <w:r w:rsidR="00432866">
        <w:t>, agricultural crops</w:t>
      </w:r>
      <w:r w:rsidR="00364F6D">
        <w:t xml:space="preserve">, </w:t>
      </w:r>
      <w:r w:rsidR="001A629F">
        <w:t xml:space="preserve">houses, </w:t>
      </w:r>
      <w:r w:rsidR="00364F6D">
        <w:t>building</w:t>
      </w:r>
      <w:r w:rsidR="00E972B6">
        <w:t xml:space="preserve"> renovations and</w:t>
      </w:r>
      <w:r w:rsidR="00364F6D">
        <w:t xml:space="preserve"> </w:t>
      </w:r>
      <w:r w:rsidR="00432866">
        <w:t>commodities.</w:t>
      </w:r>
    </w:p>
    <w:p w14:paraId="04C46ECA" w14:textId="77777777" w:rsidR="00C270DA" w:rsidRDefault="00C270DA" w:rsidP="00BC5BA8">
      <w:pPr>
        <w:pStyle w:val="Bullet"/>
        <w:numPr>
          <w:ilvl w:val="0"/>
          <w:numId w:val="0"/>
        </w:numPr>
      </w:pPr>
      <w:r>
        <w:t>The Report recommends (</w:t>
      </w:r>
      <w:r w:rsidR="008B29D9" w:rsidRPr="00C7157A">
        <w:rPr>
          <w:i/>
        </w:rPr>
        <w:t>R</w:t>
      </w:r>
      <w:r w:rsidRPr="00D72CA8">
        <w:rPr>
          <w:i/>
        </w:rPr>
        <w:t>ecommendation 3.1</w:t>
      </w:r>
      <w:r>
        <w:t xml:space="preserve">) the introduction of a cash payment limit </w:t>
      </w:r>
      <w:r w:rsidR="00E729CD">
        <w:t>t</w:t>
      </w:r>
      <w:r>
        <w:t xml:space="preserve">hat removes the ability of any individual or business to make a single transaction in cash in excess of $10,000. The limit </w:t>
      </w:r>
      <w:r w:rsidR="00BB3385">
        <w:t xml:space="preserve">would </w:t>
      </w:r>
      <w:r>
        <w:t xml:space="preserve">apply to all payments made to businesses for goods and services. Transactions in excess of this amount would need to be made through the </w:t>
      </w:r>
      <w:r w:rsidR="00BD6849">
        <w:t>electronic payment</w:t>
      </w:r>
      <w:r>
        <w:t xml:space="preserve"> system</w:t>
      </w:r>
      <w:r w:rsidR="00547E08">
        <w:t xml:space="preserve"> or by cheque</w:t>
      </w:r>
      <w:r>
        <w:t xml:space="preserve">. </w:t>
      </w:r>
    </w:p>
    <w:p w14:paraId="7EDAE09E" w14:textId="77777777" w:rsidR="00432866" w:rsidRDefault="00577587" w:rsidP="00BC5BA8">
      <w:pPr>
        <w:pStyle w:val="Bullet"/>
        <w:numPr>
          <w:ilvl w:val="0"/>
          <w:numId w:val="0"/>
        </w:numPr>
      </w:pPr>
      <w:r>
        <w:t xml:space="preserve">The </w:t>
      </w:r>
      <w:r w:rsidR="00C270DA">
        <w:t>Government</w:t>
      </w:r>
      <w:r>
        <w:t xml:space="preserve"> recognise</w:t>
      </w:r>
      <w:r w:rsidR="00C270DA">
        <w:t>s</w:t>
      </w:r>
      <w:r>
        <w:t xml:space="preserve"> that c</w:t>
      </w:r>
      <w:r w:rsidR="009E0097">
        <w:t xml:space="preserve">ash </w:t>
      </w:r>
      <w:r w:rsidR="00E972B6">
        <w:t>remains</w:t>
      </w:r>
      <w:r w:rsidR="009E0097">
        <w:t xml:space="preserve"> </w:t>
      </w:r>
      <w:r>
        <w:t xml:space="preserve">an important part of the economy </w:t>
      </w:r>
      <w:r w:rsidR="009E0097">
        <w:t>and a legitimate means of payment</w:t>
      </w:r>
      <w:r w:rsidR="00704B47">
        <w:t xml:space="preserve"> </w:t>
      </w:r>
      <w:r w:rsidR="009E0097">
        <w:t xml:space="preserve">for </w:t>
      </w:r>
      <w:r>
        <w:t xml:space="preserve">consumers and </w:t>
      </w:r>
      <w:r w:rsidR="009E0097">
        <w:t xml:space="preserve">businesses. </w:t>
      </w:r>
      <w:r w:rsidR="00E972B6">
        <w:t xml:space="preserve">The </w:t>
      </w:r>
      <w:r w:rsidR="009E0097">
        <w:t xml:space="preserve">measure </w:t>
      </w:r>
      <w:r w:rsidR="00BD6849">
        <w:t>targets high</w:t>
      </w:r>
      <w:r w:rsidR="00364F6D">
        <w:t xml:space="preserve"> </w:t>
      </w:r>
      <w:r w:rsidR="009E0097">
        <w:t>value cash payments</w:t>
      </w:r>
      <w:r w:rsidR="00A00CD8">
        <w:t>. Transactions may be arranged for payment in this manner so as to</w:t>
      </w:r>
      <w:r w:rsidR="009E0097">
        <w:t xml:space="preserve"> </w:t>
      </w:r>
      <w:r w:rsidR="004C0B91">
        <w:t>avoid obligations under</w:t>
      </w:r>
      <w:r w:rsidR="009E0097">
        <w:t xml:space="preserve"> the </w:t>
      </w:r>
      <w:r>
        <w:t xml:space="preserve">tax and </w:t>
      </w:r>
      <w:r w:rsidR="009E0097">
        <w:t>reg</w:t>
      </w:r>
      <w:r>
        <w:t>ulatory</w:t>
      </w:r>
      <w:r w:rsidR="009E0097">
        <w:t xml:space="preserve"> system</w:t>
      </w:r>
      <w:r w:rsidR="001160F3">
        <w:t>s</w:t>
      </w:r>
      <w:r w:rsidR="00C270DA">
        <w:t xml:space="preserve"> </w:t>
      </w:r>
      <w:r w:rsidR="00A00CD8">
        <w:t xml:space="preserve">or </w:t>
      </w:r>
      <w:r w:rsidR="008B29D9">
        <w:t xml:space="preserve">for </w:t>
      </w:r>
      <w:r w:rsidR="00C270DA">
        <w:t>launder</w:t>
      </w:r>
      <w:r w:rsidR="008B29D9">
        <w:t>ing the</w:t>
      </w:r>
      <w:r w:rsidR="00C270DA">
        <w:t xml:space="preserve"> proceeds of crime</w:t>
      </w:r>
      <w:r>
        <w:t>.</w:t>
      </w:r>
      <w:r w:rsidR="00432866">
        <w:t xml:space="preserve"> </w:t>
      </w:r>
      <w:r w:rsidR="007617D3">
        <w:t xml:space="preserve">Businesses that insist on cash payment may be doing so to avoid their </w:t>
      </w:r>
      <w:r w:rsidR="00E729CD">
        <w:t xml:space="preserve">tax and other </w:t>
      </w:r>
      <w:r w:rsidR="00BD6849">
        <w:t>obligations</w:t>
      </w:r>
      <w:r w:rsidR="007617D3">
        <w:t xml:space="preserve">, and may therefore receive </w:t>
      </w:r>
      <w:r w:rsidR="00E729CD">
        <w:t xml:space="preserve">an unfair competitive advantage </w:t>
      </w:r>
      <w:r w:rsidR="007617D3">
        <w:t>compared with firms</w:t>
      </w:r>
      <w:r w:rsidR="00E729CD">
        <w:t xml:space="preserve"> that </w:t>
      </w:r>
      <w:r w:rsidR="007617D3">
        <w:t xml:space="preserve">meet </w:t>
      </w:r>
      <w:r w:rsidR="00E729CD">
        <w:t>their obligations.</w:t>
      </w:r>
    </w:p>
    <w:p w14:paraId="2DE8182B" w14:textId="77777777" w:rsidR="000E0B74" w:rsidRDefault="00C7421B" w:rsidP="000E0B74">
      <w:pPr>
        <w:pStyle w:val="Heading2"/>
      </w:pPr>
      <w:bookmarkStart w:id="14" w:name="_Toc514056246"/>
      <w:r>
        <w:t>Current cash transaction regulations</w:t>
      </w:r>
      <w:bookmarkEnd w:id="14"/>
    </w:p>
    <w:p w14:paraId="3BF3EC62" w14:textId="77777777" w:rsidR="000E0B74" w:rsidRDefault="000B0DB5" w:rsidP="000B0DB5">
      <w:pPr>
        <w:pStyle w:val="Bullet"/>
        <w:numPr>
          <w:ilvl w:val="0"/>
          <w:numId w:val="0"/>
        </w:numPr>
      </w:pPr>
      <w:r>
        <w:t>Australia does not have a</w:t>
      </w:r>
      <w:r w:rsidR="008B29D9">
        <w:t xml:space="preserve"> </w:t>
      </w:r>
      <w:r w:rsidR="005F74AA">
        <w:t>cash payment limit</w:t>
      </w:r>
      <w:r w:rsidR="001160F3">
        <w:t xml:space="preserve">, though entities have </w:t>
      </w:r>
      <w:r w:rsidR="00262388">
        <w:t>discretion</w:t>
      </w:r>
      <w:r w:rsidR="001160F3">
        <w:t xml:space="preserve"> to refuse to accept cash payments made using coins in excess of</w:t>
      </w:r>
      <w:r w:rsidR="008B29D9">
        <w:t xml:space="preserve"> a</w:t>
      </w:r>
      <w:r w:rsidR="001160F3">
        <w:t xml:space="preserve"> certain amount</w:t>
      </w:r>
      <w:r w:rsidR="00E972B6">
        <w:t>.</w:t>
      </w:r>
      <w:r>
        <w:t xml:space="preserve"> </w:t>
      </w:r>
      <w:r w:rsidR="00A3500D">
        <w:t xml:space="preserve">However, law enforcement, intelligence and national security agencies do have visibility of some large cash transactions. Businesses </w:t>
      </w:r>
      <w:r w:rsidR="001160F3">
        <w:t xml:space="preserve">that provide designated services (broadly, financial services, services relating to bullion or gambling services) are </w:t>
      </w:r>
      <w:r w:rsidR="00A3500D">
        <w:t xml:space="preserve">regulated under the </w:t>
      </w:r>
      <w:hyperlink r:id="rId27" w:history="1">
        <w:r w:rsidR="00A3500D" w:rsidRPr="00DD128E">
          <w:rPr>
            <w:rStyle w:val="Hyperlink"/>
            <w:i/>
          </w:rPr>
          <w:t>Anti-Money Laundering and Counter-Terrorism Financing Act 2006</w:t>
        </w:r>
      </w:hyperlink>
      <w:r w:rsidR="001160F3">
        <w:rPr>
          <w:rStyle w:val="Hyperlink"/>
        </w:rPr>
        <w:t xml:space="preserve">. </w:t>
      </w:r>
      <w:r w:rsidR="001160F3" w:rsidRPr="0006506B">
        <w:rPr>
          <w:rStyle w:val="Hyperlink"/>
          <w:color w:val="auto"/>
        </w:rPr>
        <w:t>These entities</w:t>
      </w:r>
      <w:r w:rsidR="00A3500D" w:rsidRPr="0006506B">
        <w:t xml:space="preserve"> are </w:t>
      </w:r>
      <w:r w:rsidR="00A3500D">
        <w:t xml:space="preserve">required to submit </w:t>
      </w:r>
      <w:r>
        <w:t>Threshold Transaction Reports</w:t>
      </w:r>
      <w:r w:rsidR="00A3500D">
        <w:t xml:space="preserve"> (TTRs)</w:t>
      </w:r>
      <w:r>
        <w:t xml:space="preserve"> to the Australian </w:t>
      </w:r>
      <w:r w:rsidR="001B2A95">
        <w:t>Transaction Reports and Analysis Centre</w:t>
      </w:r>
      <w:r>
        <w:t xml:space="preserve"> (AUSTRAC) within ten business days where a </w:t>
      </w:r>
      <w:r w:rsidR="008B29D9">
        <w:t xml:space="preserve">transaction is undertaken </w:t>
      </w:r>
      <w:r>
        <w:t xml:space="preserve">of AUD </w:t>
      </w:r>
      <w:r w:rsidR="00B15495">
        <w:t>$</w:t>
      </w:r>
      <w:r>
        <w:t xml:space="preserve">10,000 or more (or foreign currency equivalent) </w:t>
      </w:r>
      <w:r w:rsidR="008B29D9">
        <w:t>in cash</w:t>
      </w:r>
      <w:r>
        <w:t xml:space="preserve">. </w:t>
      </w:r>
      <w:r w:rsidR="00A3500D">
        <w:t xml:space="preserve">These TTRs </w:t>
      </w:r>
      <w:r w:rsidR="008B29D9">
        <w:t>provide</w:t>
      </w:r>
      <w:r w:rsidR="00A3500D">
        <w:t xml:space="preserve"> valuable financial intelligence about the movements of large amounts of cash.</w:t>
      </w:r>
    </w:p>
    <w:p w14:paraId="17C03F60" w14:textId="77777777" w:rsidR="000B0DB5" w:rsidRDefault="001B2A95" w:rsidP="000B0DB5">
      <w:pPr>
        <w:pStyle w:val="Bullet"/>
        <w:numPr>
          <w:ilvl w:val="0"/>
          <w:numId w:val="0"/>
        </w:numPr>
      </w:pPr>
      <w:r>
        <w:lastRenderedPageBreak/>
        <w:t>The entity making the report to AUSTRAC must include details of the transaction and the individuals involved</w:t>
      </w:r>
      <w:r w:rsidR="007617D3">
        <w:t xml:space="preserve">, as required </w:t>
      </w:r>
      <w:proofErr w:type="gramStart"/>
      <w:r w:rsidR="007617D3">
        <w:t xml:space="preserve">by </w:t>
      </w:r>
      <w:r>
        <w:t xml:space="preserve"> </w:t>
      </w:r>
      <w:r w:rsidR="00A3500D">
        <w:t>Chapter</w:t>
      </w:r>
      <w:proofErr w:type="gramEnd"/>
      <w:r w:rsidR="00A3500D">
        <w:t xml:space="preserve"> 19 of </w:t>
      </w:r>
      <w:r>
        <w:t xml:space="preserve">Australia’s </w:t>
      </w:r>
      <w:hyperlink r:id="rId28" w:history="1">
        <w:r w:rsidR="00A3500D" w:rsidRPr="00DD128E">
          <w:rPr>
            <w:rStyle w:val="Hyperlink"/>
          </w:rPr>
          <w:t>Anti-Money Laundering and Counter-Terrorism Financing (AML/CTF) Rules</w:t>
        </w:r>
      </w:hyperlink>
      <w:r>
        <w:t xml:space="preserve">. </w:t>
      </w:r>
    </w:p>
    <w:p w14:paraId="454BFC33" w14:textId="77777777" w:rsidR="001B2A95" w:rsidRDefault="001B2A95" w:rsidP="000B0DB5">
      <w:pPr>
        <w:pStyle w:val="Bullet"/>
        <w:numPr>
          <w:ilvl w:val="0"/>
          <w:numId w:val="0"/>
        </w:numPr>
      </w:pPr>
      <w:r>
        <w:t>A penalty regime applies for failures to report to AUSTRAC</w:t>
      </w:r>
      <w:r w:rsidR="008B29D9">
        <w:rPr>
          <w:rStyle w:val="FootnoteReference"/>
        </w:rPr>
        <w:footnoteReference w:id="2"/>
      </w:r>
      <w:r>
        <w:t xml:space="preserve">. </w:t>
      </w:r>
    </w:p>
    <w:p w14:paraId="0F16FE75" w14:textId="77777777" w:rsidR="00C7421B" w:rsidRDefault="00C7421B" w:rsidP="00C7421B">
      <w:pPr>
        <w:pStyle w:val="Heading2"/>
      </w:pPr>
      <w:bookmarkStart w:id="15" w:name="_Toc514056247"/>
      <w:r>
        <w:t>Imposing an Australian cash payment limit</w:t>
      </w:r>
      <w:bookmarkEnd w:id="15"/>
    </w:p>
    <w:tbl>
      <w:tblPr>
        <w:tblW w:w="0" w:type="auto"/>
        <w:tblBorders>
          <w:top w:val="single" w:sz="4" w:space="0" w:color="004A7F"/>
          <w:left w:val="single" w:sz="4" w:space="0" w:color="004A7F"/>
          <w:bottom w:val="single" w:sz="4" w:space="0" w:color="004A7F"/>
          <w:right w:val="single" w:sz="4" w:space="0" w:color="004A7F"/>
        </w:tblBorders>
        <w:shd w:val="clear" w:color="auto" w:fill="DEEAF6" w:themeFill="accent1" w:themeFillTint="33"/>
        <w:tblLook w:val="04A0" w:firstRow="1" w:lastRow="0" w:firstColumn="1" w:lastColumn="0" w:noHBand="0" w:noVBand="1"/>
      </w:tblPr>
      <w:tblGrid>
        <w:gridCol w:w="9286"/>
      </w:tblGrid>
      <w:tr w:rsidR="00CB2135" w14:paraId="684142E4" w14:textId="77777777" w:rsidTr="00FE3D2F">
        <w:tc>
          <w:tcPr>
            <w:tcW w:w="9286" w:type="dxa"/>
            <w:shd w:val="clear" w:color="auto" w:fill="DEEAF6" w:themeFill="accent1" w:themeFillTint="33"/>
          </w:tcPr>
          <w:p w14:paraId="002C7E63" w14:textId="77777777" w:rsidR="00CB2135" w:rsidRDefault="00CB2135" w:rsidP="00CB2135">
            <w:pPr>
              <w:pStyle w:val="BoxHeading"/>
            </w:pPr>
            <w:r w:rsidRPr="00DD2302">
              <w:t>Key</w:t>
            </w:r>
            <w:r>
              <w:t xml:space="preserve"> Facts about Cash Use</w:t>
            </w:r>
          </w:p>
          <w:p w14:paraId="45F95210" w14:textId="77777777" w:rsidR="00DD2302" w:rsidRDefault="00CB2135" w:rsidP="00CB2135">
            <w:pPr>
              <w:pStyle w:val="Bullet"/>
              <w:numPr>
                <w:ilvl w:val="0"/>
                <w:numId w:val="0"/>
              </w:numPr>
              <w:rPr>
                <w:rFonts w:asciiTheme="minorHAnsi" w:eastAsiaTheme="minorHAnsi" w:hAnsiTheme="minorHAnsi" w:cs="MyriadPro-Light"/>
                <w:szCs w:val="19"/>
                <w:lang w:eastAsia="en-US"/>
              </w:rPr>
            </w:pPr>
            <w:r w:rsidRPr="00CB2135">
              <w:rPr>
                <w:rFonts w:asciiTheme="minorHAnsi" w:eastAsiaTheme="minorHAnsi" w:hAnsiTheme="minorHAnsi" w:cs="MyriadPro-Light"/>
                <w:szCs w:val="19"/>
                <w:lang w:eastAsia="en-US"/>
              </w:rPr>
              <w:t>In November 2016, the Reserve Bank of Australia undertook its fourth triennial survey of consumer payments</w:t>
            </w:r>
            <w:r w:rsidR="00DD2302">
              <w:rPr>
                <w:rFonts w:asciiTheme="minorHAnsi" w:eastAsiaTheme="minorHAnsi" w:hAnsiTheme="minorHAnsi" w:cs="MyriadPro-Light"/>
                <w:szCs w:val="19"/>
                <w:lang w:eastAsia="en-US"/>
              </w:rPr>
              <w:t xml:space="preserve">. </w:t>
            </w:r>
          </w:p>
          <w:p w14:paraId="08CE0F34" w14:textId="77777777" w:rsidR="00CB2135" w:rsidRPr="00CB2135" w:rsidRDefault="00DD2302" w:rsidP="00CB2135">
            <w:pPr>
              <w:pStyle w:val="Bullet"/>
              <w:numPr>
                <w:ilvl w:val="0"/>
                <w:numId w:val="0"/>
              </w:numPr>
              <w:rPr>
                <w:rFonts w:asciiTheme="minorHAnsi" w:hAnsiTheme="minorHAnsi"/>
                <w:sz w:val="28"/>
              </w:rPr>
            </w:pPr>
            <w:r>
              <w:rPr>
                <w:rFonts w:asciiTheme="minorHAnsi" w:eastAsiaTheme="minorHAnsi" w:hAnsiTheme="minorHAnsi" w:cs="MyriadPro-Light"/>
                <w:szCs w:val="19"/>
                <w:lang w:eastAsia="en-US"/>
              </w:rPr>
              <w:t>Results showed a trend decline in the share of consumer payments made in cash</w:t>
            </w:r>
            <w:r w:rsidR="00CB2135" w:rsidRPr="00CB2135">
              <w:rPr>
                <w:rFonts w:asciiTheme="minorHAnsi" w:eastAsiaTheme="minorHAnsi" w:hAnsiTheme="minorHAnsi" w:cs="MyriadPro-Light"/>
                <w:szCs w:val="19"/>
                <w:lang w:eastAsia="en-US"/>
              </w:rPr>
              <w:t>:</w:t>
            </w:r>
          </w:p>
          <w:p w14:paraId="6429E227" w14:textId="77777777" w:rsidR="00CB2135" w:rsidRDefault="00DD2302" w:rsidP="00DD2302">
            <w:pPr>
              <w:pStyle w:val="Bullet"/>
            </w:pPr>
            <w:r>
              <w:t>Survey participants made 37 per cent of their payments in cash, compared with 47 per cent in 2013 and 69 per cent in 2007.</w:t>
            </w:r>
          </w:p>
          <w:p w14:paraId="35D5EF13" w14:textId="3840B42E" w:rsidR="00DD2302" w:rsidRDefault="00DD2302" w:rsidP="00DD2302">
            <w:pPr>
              <w:pStyle w:val="Bullet"/>
            </w:pPr>
            <w:r>
              <w:t>Cash was still frequently used for smaller transactions and was the most common payment method for transactions of $10 or less (accounting for over 60</w:t>
            </w:r>
            <w:r w:rsidR="00704B47">
              <w:t xml:space="preserve"> </w:t>
            </w:r>
            <w:r>
              <w:softHyphen/>
              <w:t xml:space="preserve">per cent of these payments). The median size of a cash payment was $12. When measured by the value of payments (rather than the number), the share of cash transactions was steady, at around 18 </w:t>
            </w:r>
            <w:r>
              <w:softHyphen/>
              <w:t>per cent, reflecting a small number of large cash payments.</w:t>
            </w:r>
          </w:p>
          <w:p w14:paraId="6B417DDF" w14:textId="77777777" w:rsidR="00DD2302" w:rsidRDefault="00DD2302" w:rsidP="00DD2302">
            <w:pPr>
              <w:pStyle w:val="Bullet"/>
            </w:pPr>
            <w:r>
              <w:t>Although electronic payment methods have become more popular, some members of the community make a substantial share of their payments in cash, including older Australians and lower-income households. While these demographic groups have not, on average, adopted electronic payments as quickly as the general population, they are nonetheless using cash for a smaller share of transactions than in the past. Older Australians, for example, are using electronic payment methods more frequently, as indicated by the ongoing decline in the share of payments made in cash by people aged 65 and over – from 78</w:t>
            </w:r>
            <w:r>
              <w:softHyphen/>
              <w:t xml:space="preserve"> per cent in the 2007 survey to 51</w:t>
            </w:r>
            <w:r>
              <w:softHyphen/>
              <w:t xml:space="preserve"> per cent in 2016. </w:t>
            </w:r>
          </w:p>
          <w:p w14:paraId="4A86C946" w14:textId="77777777" w:rsidR="00DD2302" w:rsidRDefault="00DD2302" w:rsidP="00DD2302">
            <w:pPr>
              <w:pStyle w:val="Bullet"/>
            </w:pPr>
            <w:r>
              <w:t>In 2016, around 70 per cent of survey participants reported holding some cash outside of their wallet, compared with about 75 per cent in 2013. While the majority of participants held $100 or less, around 3 per cent reported that they held over $1 000. The most common reason for holding cash elsewhere was for emergency transaction needs. A smaller but still significant share of respondents (26 per cent) cited issues relating to the accessibility of cash – ATM fees and access, and withdrawal time – as their most important reasons for holding cash outside their wallet.</w:t>
            </w:r>
          </w:p>
          <w:p w14:paraId="2FE4669C" w14:textId="77777777" w:rsidR="00DD2302" w:rsidRDefault="000842A4" w:rsidP="000842A4">
            <w:pPr>
              <w:pStyle w:val="Bullet"/>
              <w:numPr>
                <w:ilvl w:val="0"/>
                <w:numId w:val="0"/>
              </w:numPr>
            </w:pPr>
            <w:r w:rsidRPr="000842A4">
              <w:rPr>
                <w:sz w:val="20"/>
              </w:rPr>
              <w:t xml:space="preserve">Source: Doyle M-A, Fisher C, Tellez E, Yadav A “How Australians Pay: New Survey Evidence” Reserve Bank of Australia Bulletin – March Quarter 2017. </w:t>
            </w:r>
          </w:p>
        </w:tc>
      </w:tr>
    </w:tbl>
    <w:p w14:paraId="2AB004F6" w14:textId="77777777" w:rsidR="00CB2135" w:rsidRDefault="00CB2135" w:rsidP="00774AF0">
      <w:pPr>
        <w:pStyle w:val="Dash"/>
        <w:numPr>
          <w:ilvl w:val="0"/>
          <w:numId w:val="0"/>
        </w:numPr>
        <w:rPr>
          <w:rFonts w:eastAsia="Arial"/>
        </w:rPr>
      </w:pPr>
    </w:p>
    <w:p w14:paraId="3DBB2CEE" w14:textId="77777777" w:rsidR="00031EB8" w:rsidRDefault="00E11A5C" w:rsidP="00774AF0">
      <w:pPr>
        <w:pStyle w:val="Dash"/>
        <w:numPr>
          <w:ilvl w:val="0"/>
          <w:numId w:val="0"/>
        </w:numPr>
        <w:rPr>
          <w:rFonts w:eastAsia="Arial"/>
        </w:rPr>
      </w:pPr>
      <w:r>
        <w:rPr>
          <w:rFonts w:eastAsia="Arial"/>
        </w:rPr>
        <w:t xml:space="preserve">Cash </w:t>
      </w:r>
      <w:r w:rsidR="00774AF0" w:rsidRPr="00A338BF">
        <w:rPr>
          <w:rFonts w:eastAsia="Arial"/>
        </w:rPr>
        <w:t xml:space="preserve">payments make it easier for </w:t>
      </w:r>
      <w:r w:rsidR="00487B7F">
        <w:rPr>
          <w:rFonts w:eastAsia="Arial"/>
        </w:rPr>
        <w:t>entities</w:t>
      </w:r>
      <w:r w:rsidR="00487B7F" w:rsidRPr="00A338BF">
        <w:rPr>
          <w:rFonts w:eastAsia="Arial"/>
        </w:rPr>
        <w:t xml:space="preserve"> </w:t>
      </w:r>
      <w:r w:rsidR="00774AF0" w:rsidRPr="00A338BF">
        <w:rPr>
          <w:rFonts w:eastAsia="Arial"/>
        </w:rPr>
        <w:t xml:space="preserve">to under-report </w:t>
      </w:r>
      <w:r>
        <w:rPr>
          <w:rFonts w:eastAsia="Arial"/>
        </w:rPr>
        <w:t xml:space="preserve">their income and GST </w:t>
      </w:r>
      <w:r w:rsidR="00C65187">
        <w:rPr>
          <w:rFonts w:eastAsia="Arial"/>
        </w:rPr>
        <w:t>turnover</w:t>
      </w:r>
      <w:r w:rsidR="00774AF0" w:rsidRPr="00A338BF">
        <w:rPr>
          <w:rFonts w:eastAsia="Arial"/>
        </w:rPr>
        <w:t xml:space="preserve">, and </w:t>
      </w:r>
      <w:r w:rsidR="007617D3">
        <w:rPr>
          <w:rFonts w:eastAsia="Arial"/>
        </w:rPr>
        <w:t xml:space="preserve">may enable these entities </w:t>
      </w:r>
      <w:r w:rsidR="00774AF0" w:rsidRPr="00A338BF">
        <w:rPr>
          <w:rFonts w:eastAsia="Arial"/>
        </w:rPr>
        <w:t>to offer consumers discounts</w:t>
      </w:r>
      <w:r w:rsidR="005963C7">
        <w:rPr>
          <w:rFonts w:eastAsia="Arial"/>
        </w:rPr>
        <w:t xml:space="preserve"> in exchange for cash</w:t>
      </w:r>
      <w:r>
        <w:rPr>
          <w:rFonts w:eastAsia="Arial"/>
        </w:rPr>
        <w:t xml:space="preserve">. </w:t>
      </w:r>
      <w:r w:rsidR="00783F52">
        <w:rPr>
          <w:rFonts w:eastAsia="Arial"/>
        </w:rPr>
        <w:t xml:space="preserve">This behaviour </w:t>
      </w:r>
      <w:r w:rsidR="007617D3">
        <w:rPr>
          <w:rFonts w:eastAsia="Arial"/>
        </w:rPr>
        <w:t xml:space="preserve">affects </w:t>
      </w:r>
      <w:r w:rsidR="00783F52">
        <w:rPr>
          <w:rFonts w:eastAsia="Arial"/>
        </w:rPr>
        <w:t>all Australians</w:t>
      </w:r>
      <w:r w:rsidR="007617D3">
        <w:rPr>
          <w:rFonts w:eastAsia="Arial"/>
        </w:rPr>
        <w:t>.</w:t>
      </w:r>
      <w:r w:rsidR="00783F52">
        <w:rPr>
          <w:rFonts w:eastAsia="Arial"/>
        </w:rPr>
        <w:t xml:space="preserve"> </w:t>
      </w:r>
      <w:r w:rsidR="007617D3">
        <w:rPr>
          <w:rFonts w:eastAsia="Arial"/>
        </w:rPr>
        <w:t>Lower</w:t>
      </w:r>
      <w:r w:rsidR="00783F52">
        <w:rPr>
          <w:rFonts w:eastAsia="Arial"/>
        </w:rPr>
        <w:t xml:space="preserve"> tax collections </w:t>
      </w:r>
      <w:r w:rsidR="007617D3">
        <w:rPr>
          <w:rFonts w:eastAsia="Arial"/>
        </w:rPr>
        <w:t xml:space="preserve">reduce </w:t>
      </w:r>
      <w:proofErr w:type="gramStart"/>
      <w:r w:rsidR="007617D3">
        <w:rPr>
          <w:rFonts w:eastAsia="Arial"/>
        </w:rPr>
        <w:t xml:space="preserve">the </w:t>
      </w:r>
      <w:r w:rsidR="00783F52">
        <w:rPr>
          <w:rFonts w:eastAsia="Arial"/>
        </w:rPr>
        <w:t xml:space="preserve"> </w:t>
      </w:r>
      <w:proofErr w:type="spellStart"/>
      <w:r w:rsidR="00783F52">
        <w:rPr>
          <w:rFonts w:eastAsia="Arial"/>
        </w:rPr>
        <w:t>the</w:t>
      </w:r>
      <w:proofErr w:type="spellEnd"/>
      <w:proofErr w:type="gramEnd"/>
      <w:r w:rsidR="00783F52">
        <w:rPr>
          <w:rFonts w:eastAsia="Arial"/>
        </w:rPr>
        <w:t xml:space="preserve"> level of services that </w:t>
      </w:r>
      <w:r w:rsidR="00D86683">
        <w:rPr>
          <w:rFonts w:eastAsia="Arial"/>
        </w:rPr>
        <w:t>governments</w:t>
      </w:r>
      <w:r w:rsidR="00783F52">
        <w:rPr>
          <w:rFonts w:eastAsia="Arial"/>
        </w:rPr>
        <w:t xml:space="preserve"> can provide. </w:t>
      </w:r>
    </w:p>
    <w:p w14:paraId="50B77EF3" w14:textId="2B15D4E5" w:rsidR="002D44D4" w:rsidRDefault="002D44D4" w:rsidP="002D44D4">
      <w:pPr>
        <w:pStyle w:val="Dash"/>
        <w:numPr>
          <w:ilvl w:val="0"/>
          <w:numId w:val="0"/>
        </w:numPr>
        <w:rPr>
          <w:rFonts w:eastAsia="Arial"/>
        </w:rPr>
      </w:pPr>
      <w:r>
        <w:rPr>
          <w:rFonts w:eastAsia="Arial"/>
        </w:rPr>
        <w:lastRenderedPageBreak/>
        <w:t>A number of countries already have implemented a cash payment limits to combat the black economy, terrorism financing and as austerity measures following the Global Financial Crisis. France ha</w:t>
      </w:r>
      <w:r w:rsidR="00815372">
        <w:rPr>
          <w:rFonts w:eastAsia="Arial"/>
        </w:rPr>
        <w:t>s</w:t>
      </w:r>
      <w:r>
        <w:rPr>
          <w:rFonts w:eastAsia="Arial"/>
        </w:rPr>
        <w:t xml:space="preserve"> a limit of EUR 1,000 (AUD 1,600)</w:t>
      </w:r>
      <w:proofErr w:type="gramStart"/>
      <w:r w:rsidR="00815372">
        <w:rPr>
          <w:rFonts w:eastAsia="Arial"/>
        </w:rPr>
        <w:t>,</w:t>
      </w:r>
      <w:proofErr w:type="gramEnd"/>
      <w:r w:rsidR="00815372">
        <w:rPr>
          <w:rFonts w:eastAsia="Arial"/>
        </w:rPr>
        <w:t xml:space="preserve"> Spain has a limit of EUR 2,500 (AUD 4000)</w:t>
      </w:r>
      <w:r>
        <w:rPr>
          <w:rFonts w:eastAsia="Arial"/>
        </w:rPr>
        <w:t xml:space="preserve"> and Italy EUR 3,000 (AUD 4,800). More information can be found at Attachment A. </w:t>
      </w:r>
    </w:p>
    <w:p w14:paraId="2A8E1DF9" w14:textId="77777777" w:rsidR="00E25FCA" w:rsidRPr="00774AF0" w:rsidRDefault="00774AF0" w:rsidP="0006378E">
      <w:pPr>
        <w:pStyle w:val="Heading5"/>
      </w:pPr>
      <w:r w:rsidRPr="00774AF0">
        <w:t>Changing</w:t>
      </w:r>
      <w:r w:rsidR="00E25FCA" w:rsidRPr="00774AF0">
        <w:t xml:space="preserve"> social norms which legitimatise participation in the black economy</w:t>
      </w:r>
    </w:p>
    <w:p w14:paraId="2920B04D" w14:textId="77777777" w:rsidR="00774AF0" w:rsidRPr="00A338BF" w:rsidRDefault="00783F52" w:rsidP="00774AF0">
      <w:pPr>
        <w:pStyle w:val="Bullet"/>
        <w:numPr>
          <w:ilvl w:val="0"/>
          <w:numId w:val="0"/>
        </w:numPr>
        <w:rPr>
          <w:rFonts w:eastAsia="Arial"/>
        </w:rPr>
      </w:pPr>
      <w:r>
        <w:rPr>
          <w:rFonts w:eastAsia="Arial"/>
        </w:rPr>
        <w:t>A</w:t>
      </w:r>
      <w:r w:rsidR="00774AF0" w:rsidRPr="00A338BF">
        <w:rPr>
          <w:rFonts w:eastAsia="Arial"/>
        </w:rPr>
        <w:t xml:space="preserve"> cash payment limit w</w:t>
      </w:r>
      <w:r w:rsidR="00DB7BE4">
        <w:rPr>
          <w:rFonts w:eastAsia="Arial"/>
        </w:rPr>
        <w:t>ill</w:t>
      </w:r>
      <w:r w:rsidR="00774AF0" w:rsidRPr="00A338BF">
        <w:rPr>
          <w:rFonts w:eastAsia="Arial"/>
        </w:rPr>
        <w:t xml:space="preserve"> help change social norms </w:t>
      </w:r>
      <w:r>
        <w:rPr>
          <w:rFonts w:eastAsia="Arial"/>
        </w:rPr>
        <w:t xml:space="preserve">on </w:t>
      </w:r>
      <w:r w:rsidR="00577587">
        <w:rPr>
          <w:rFonts w:eastAsia="Arial"/>
        </w:rPr>
        <w:t xml:space="preserve">participation </w:t>
      </w:r>
      <w:r w:rsidR="00577587" w:rsidRPr="00A338BF">
        <w:rPr>
          <w:rFonts w:eastAsia="Arial"/>
        </w:rPr>
        <w:t>in</w:t>
      </w:r>
      <w:r w:rsidR="00DB7BE4">
        <w:rPr>
          <w:rFonts w:eastAsia="Arial"/>
        </w:rPr>
        <w:t xml:space="preserve"> the black economy. It</w:t>
      </w:r>
      <w:r w:rsidR="00774AF0" w:rsidRPr="00A338BF">
        <w:rPr>
          <w:rFonts w:eastAsia="Arial"/>
        </w:rPr>
        <w:t xml:space="preserve"> send</w:t>
      </w:r>
      <w:r w:rsidR="00DB7BE4">
        <w:rPr>
          <w:rFonts w:eastAsia="Arial"/>
        </w:rPr>
        <w:t>s</w:t>
      </w:r>
      <w:r w:rsidR="00774AF0" w:rsidRPr="00A338BF">
        <w:rPr>
          <w:rFonts w:eastAsia="Arial"/>
        </w:rPr>
        <w:t xml:space="preserve"> a strong signal to the community that it is not acceptable to avoid tax and other obligations by using cash. </w:t>
      </w:r>
    </w:p>
    <w:p w14:paraId="66184174" w14:textId="77777777" w:rsidR="00774AF0" w:rsidRDefault="00774AF0" w:rsidP="00774AF0">
      <w:pPr>
        <w:pStyle w:val="Bullet"/>
        <w:numPr>
          <w:ilvl w:val="0"/>
          <w:numId w:val="0"/>
        </w:numPr>
        <w:rPr>
          <w:rFonts w:eastAsia="Arial"/>
        </w:rPr>
      </w:pPr>
      <w:r w:rsidRPr="00A338BF">
        <w:rPr>
          <w:rFonts w:eastAsia="Arial"/>
        </w:rPr>
        <w:t>A cash payment limit w</w:t>
      </w:r>
      <w:r w:rsidR="00DB7BE4">
        <w:rPr>
          <w:rFonts w:eastAsia="Arial"/>
        </w:rPr>
        <w:t>ill</w:t>
      </w:r>
      <w:r w:rsidRPr="00A338BF">
        <w:rPr>
          <w:rFonts w:eastAsia="Arial"/>
        </w:rPr>
        <w:t xml:space="preserve"> also support </w:t>
      </w:r>
      <w:r w:rsidR="00836281">
        <w:rPr>
          <w:rFonts w:eastAsia="Arial"/>
        </w:rPr>
        <w:t>businesses</w:t>
      </w:r>
      <w:r w:rsidR="00836281" w:rsidRPr="00A338BF">
        <w:rPr>
          <w:rFonts w:eastAsia="Arial"/>
        </w:rPr>
        <w:t xml:space="preserve"> </w:t>
      </w:r>
      <w:r w:rsidRPr="00A338BF">
        <w:rPr>
          <w:rFonts w:eastAsia="Arial"/>
        </w:rPr>
        <w:t>to decline high</w:t>
      </w:r>
      <w:r w:rsidRPr="00A338BF">
        <w:rPr>
          <w:rFonts w:eastAsia="Arial"/>
        </w:rPr>
        <w:noBreakHyphen/>
        <w:t>v</w:t>
      </w:r>
      <w:r>
        <w:rPr>
          <w:rFonts w:eastAsia="Arial"/>
        </w:rPr>
        <w:t>alue</w:t>
      </w:r>
      <w:r w:rsidRPr="00A338BF">
        <w:rPr>
          <w:rFonts w:eastAsia="Arial"/>
        </w:rPr>
        <w:t xml:space="preserve"> cash payments</w:t>
      </w:r>
      <w:r w:rsidR="000B05AB">
        <w:rPr>
          <w:rFonts w:eastAsia="Arial"/>
        </w:rPr>
        <w:t xml:space="preserve"> of $10,000 or </w:t>
      </w:r>
      <w:r w:rsidR="003405D1">
        <w:rPr>
          <w:rFonts w:eastAsia="Arial"/>
        </w:rPr>
        <w:t>more</w:t>
      </w:r>
      <w:r w:rsidRPr="00A338BF">
        <w:rPr>
          <w:rFonts w:eastAsia="Arial"/>
        </w:rPr>
        <w:t xml:space="preserve">. Currently, honest </w:t>
      </w:r>
      <w:r w:rsidR="00487B7F">
        <w:rPr>
          <w:rFonts w:eastAsia="Arial"/>
        </w:rPr>
        <w:t xml:space="preserve">entities </w:t>
      </w:r>
      <w:r w:rsidRPr="00A338BF">
        <w:rPr>
          <w:rFonts w:eastAsia="Arial"/>
        </w:rPr>
        <w:t xml:space="preserve">may find it difficult to decline large cash payments even where they suspect such payments are being made </w:t>
      </w:r>
      <w:r w:rsidR="0051403F">
        <w:rPr>
          <w:rFonts w:eastAsia="Arial"/>
        </w:rPr>
        <w:t xml:space="preserve">for the purposes </w:t>
      </w:r>
      <w:r w:rsidRPr="00A338BF">
        <w:rPr>
          <w:rFonts w:eastAsia="Arial"/>
        </w:rPr>
        <w:t>of money laundering. This</w:t>
      </w:r>
      <w:r w:rsidR="0051403F">
        <w:rPr>
          <w:rFonts w:eastAsia="Arial"/>
        </w:rPr>
        <w:t xml:space="preserve"> scenario</w:t>
      </w:r>
      <w:r w:rsidRPr="00A338BF">
        <w:rPr>
          <w:rFonts w:eastAsia="Arial"/>
        </w:rPr>
        <w:t xml:space="preserve"> emerged as a concern for some traders in high</w:t>
      </w:r>
      <w:r w:rsidRPr="00A338BF">
        <w:rPr>
          <w:rFonts w:eastAsia="Arial"/>
        </w:rPr>
        <w:noBreakHyphen/>
        <w:t xml:space="preserve">value goods in the Black Economy Taskforce’s consultations. </w:t>
      </w:r>
    </w:p>
    <w:p w14:paraId="4B93E3EB" w14:textId="77777777" w:rsidR="00F44F92" w:rsidRPr="00A338BF" w:rsidRDefault="001A629F" w:rsidP="00774AF0">
      <w:pPr>
        <w:pStyle w:val="Bullet"/>
        <w:numPr>
          <w:ilvl w:val="0"/>
          <w:numId w:val="0"/>
        </w:numPr>
        <w:rPr>
          <w:rFonts w:eastAsia="Arial"/>
        </w:rPr>
      </w:pPr>
      <w:r>
        <w:rPr>
          <w:rFonts w:eastAsia="Arial"/>
        </w:rPr>
        <w:t>Introducing a cap on cash transactions</w:t>
      </w:r>
      <w:r w:rsidR="00F44F92">
        <w:rPr>
          <w:rFonts w:eastAsia="Arial"/>
        </w:rPr>
        <w:t xml:space="preserve"> will support businesses in requesting that large payments be made through the banking system. It will also serve as a disincentive to consumers’ willingness to offer cash payment </w:t>
      </w:r>
      <w:r w:rsidR="0051403F">
        <w:rPr>
          <w:rFonts w:eastAsia="Arial"/>
        </w:rPr>
        <w:t xml:space="preserve">in exchange </w:t>
      </w:r>
      <w:r w:rsidR="00F44F92">
        <w:rPr>
          <w:rFonts w:eastAsia="Arial"/>
        </w:rPr>
        <w:t xml:space="preserve">for a discount. </w:t>
      </w:r>
    </w:p>
    <w:p w14:paraId="039B93FA" w14:textId="77777777" w:rsidR="006B2FA8" w:rsidRPr="00DB0FE6" w:rsidRDefault="006B2FA8" w:rsidP="0006378E">
      <w:pPr>
        <w:pStyle w:val="Heading5"/>
      </w:pPr>
      <w:r>
        <w:t xml:space="preserve">What </w:t>
      </w:r>
      <w:r w:rsidR="002D44D4">
        <w:t>is the</w:t>
      </w:r>
      <w:r>
        <w:t xml:space="preserve"> cash payment limit?</w:t>
      </w:r>
    </w:p>
    <w:p w14:paraId="02889CFD" w14:textId="77777777" w:rsidR="006B2FA8" w:rsidRDefault="006B2FA8" w:rsidP="006B2FA8">
      <w:pPr>
        <w:pStyle w:val="Dash"/>
        <w:numPr>
          <w:ilvl w:val="0"/>
          <w:numId w:val="0"/>
        </w:numPr>
      </w:pPr>
      <w:r>
        <w:t xml:space="preserve">While cash is and will remain a legitimate means of transacting within the economy, a key finding from the Black Economy Taskforce is that its use becomes questionable when it is used for large value transactions. </w:t>
      </w:r>
    </w:p>
    <w:p w14:paraId="4DFB4E1B" w14:textId="77777777" w:rsidR="006B2FA8" w:rsidRDefault="006B2FA8" w:rsidP="006B2FA8">
      <w:pPr>
        <w:pStyle w:val="Dash"/>
        <w:numPr>
          <w:ilvl w:val="0"/>
          <w:numId w:val="0"/>
        </w:numPr>
      </w:pPr>
      <w:r>
        <w:t xml:space="preserve">The cash limit </w:t>
      </w:r>
      <w:r w:rsidR="002F6874">
        <w:t xml:space="preserve">is </w:t>
      </w:r>
      <w:r>
        <w:t xml:space="preserve">therefore set at an amount that does not impinge on the legitimate transactions of businesses but </w:t>
      </w:r>
      <w:r w:rsidR="002F6874">
        <w:t xml:space="preserve">will </w:t>
      </w:r>
      <w:r>
        <w:t xml:space="preserve">still lead to a reduction in black economy behaviour. It </w:t>
      </w:r>
      <w:r w:rsidR="002F6874">
        <w:t>allows</w:t>
      </w:r>
      <w:r>
        <w:t xml:space="preserve"> businesses and individuals to </w:t>
      </w:r>
      <w:r w:rsidR="001A629F">
        <w:t>continue their use of</w:t>
      </w:r>
      <w:r>
        <w:t xml:space="preserve"> cash for most transactions. </w:t>
      </w:r>
    </w:p>
    <w:p w14:paraId="3CF0447E" w14:textId="77777777" w:rsidR="006B2FA8" w:rsidRPr="002D44D4" w:rsidRDefault="002D44D4">
      <w:pPr>
        <w:pStyle w:val="Dash"/>
        <w:numPr>
          <w:ilvl w:val="0"/>
          <w:numId w:val="0"/>
        </w:numPr>
        <w:rPr>
          <w:rFonts w:eastAsia="Arial"/>
        </w:rPr>
      </w:pPr>
      <w:r>
        <w:rPr>
          <w:rFonts w:eastAsia="Arial"/>
        </w:rPr>
        <w:t>The cash limit</w:t>
      </w:r>
      <w:r w:rsidRPr="004C5387">
        <w:rPr>
          <w:rFonts w:eastAsia="Arial"/>
        </w:rPr>
        <w:t xml:space="preserve"> </w:t>
      </w:r>
      <w:r w:rsidR="006B2FA8" w:rsidRPr="002D44D4">
        <w:rPr>
          <w:rFonts w:eastAsia="Arial"/>
        </w:rPr>
        <w:t xml:space="preserve">is </w:t>
      </w:r>
      <w:r>
        <w:rPr>
          <w:rFonts w:eastAsia="Arial"/>
        </w:rPr>
        <w:t xml:space="preserve">also </w:t>
      </w:r>
      <w:r w:rsidR="006B2FA8" w:rsidRPr="002D44D4">
        <w:rPr>
          <w:rFonts w:eastAsia="Arial"/>
        </w:rPr>
        <w:t xml:space="preserve">the same as the reporting threshold for the Anti-Money Laundering /Counter Terrorism Financing </w:t>
      </w:r>
      <w:r w:rsidR="002A7257" w:rsidRPr="002D44D4">
        <w:rPr>
          <w:rFonts w:eastAsia="Arial"/>
        </w:rPr>
        <w:t xml:space="preserve">(AML/CTF) </w:t>
      </w:r>
      <w:r w:rsidR="006B2FA8" w:rsidRPr="002D44D4">
        <w:rPr>
          <w:rFonts w:eastAsia="Arial"/>
        </w:rPr>
        <w:t xml:space="preserve">framework which </w:t>
      </w:r>
      <w:proofErr w:type="gramStart"/>
      <w:r w:rsidR="006B2FA8" w:rsidRPr="002D44D4">
        <w:rPr>
          <w:rFonts w:eastAsia="Arial"/>
        </w:rPr>
        <w:t>ensure</w:t>
      </w:r>
      <w:r w:rsidR="002F6874" w:rsidRPr="004C5387">
        <w:rPr>
          <w:rFonts w:eastAsia="Arial"/>
        </w:rPr>
        <w:t>s</w:t>
      </w:r>
      <w:proofErr w:type="gramEnd"/>
      <w:r w:rsidR="006B2FA8" w:rsidRPr="002D44D4">
        <w:rPr>
          <w:rFonts w:eastAsia="Arial"/>
        </w:rPr>
        <w:t xml:space="preserve"> interoperability of the two systems.  </w:t>
      </w:r>
    </w:p>
    <w:p w14:paraId="688068B8" w14:textId="77777777" w:rsidR="006B2FA8" w:rsidRDefault="006B2FA8" w:rsidP="006B2FA8">
      <w:pPr>
        <w:pStyle w:val="Dash"/>
        <w:numPr>
          <w:ilvl w:val="0"/>
          <w:numId w:val="0"/>
        </w:numPr>
        <w:rPr>
          <w:rFonts w:eastAsia="Arial"/>
        </w:rPr>
      </w:pPr>
      <w:r>
        <w:rPr>
          <w:rFonts w:eastAsia="Arial"/>
        </w:rPr>
        <w:t xml:space="preserve">The cash payment limit would apply to the </w:t>
      </w:r>
      <w:r w:rsidR="001A629F">
        <w:rPr>
          <w:rFonts w:eastAsia="Arial"/>
        </w:rPr>
        <w:t xml:space="preserve">price </w:t>
      </w:r>
      <w:r>
        <w:rPr>
          <w:rFonts w:eastAsia="Arial"/>
        </w:rPr>
        <w:t xml:space="preserve">of the goods or services being purchased. This means that </w:t>
      </w:r>
      <w:r w:rsidR="001A629F">
        <w:rPr>
          <w:rFonts w:eastAsia="Arial"/>
        </w:rPr>
        <w:t xml:space="preserve">where </w:t>
      </w:r>
      <w:r>
        <w:rPr>
          <w:rFonts w:eastAsia="Arial"/>
        </w:rPr>
        <w:t xml:space="preserve">a good is </w:t>
      </w:r>
      <w:r w:rsidR="001A629F">
        <w:rPr>
          <w:rFonts w:eastAsia="Arial"/>
        </w:rPr>
        <w:t xml:space="preserve">priced </w:t>
      </w:r>
      <w:r>
        <w:rPr>
          <w:rFonts w:eastAsia="Arial"/>
        </w:rPr>
        <w:t>above the cash limit</w:t>
      </w:r>
      <w:r w:rsidR="001A629F">
        <w:rPr>
          <w:rFonts w:eastAsia="Arial"/>
        </w:rPr>
        <w:t>,</w:t>
      </w:r>
      <w:r>
        <w:rPr>
          <w:rFonts w:eastAsia="Arial"/>
        </w:rPr>
        <w:t xml:space="preserve"> it </w:t>
      </w:r>
      <w:r w:rsidR="001A629F">
        <w:rPr>
          <w:rFonts w:eastAsia="Arial"/>
        </w:rPr>
        <w:t xml:space="preserve">must </w:t>
      </w:r>
      <w:r>
        <w:rPr>
          <w:rFonts w:eastAsia="Arial"/>
        </w:rPr>
        <w:t>be paid for electronically</w:t>
      </w:r>
      <w:r w:rsidR="00547E08">
        <w:rPr>
          <w:rFonts w:eastAsia="Arial"/>
        </w:rPr>
        <w:t xml:space="preserve"> or by cheque</w:t>
      </w:r>
      <w:r>
        <w:rPr>
          <w:rFonts w:eastAsia="Arial"/>
        </w:rPr>
        <w:t xml:space="preserve">. It will not be possible to split </w:t>
      </w:r>
      <w:r w:rsidR="001A629F">
        <w:rPr>
          <w:rFonts w:eastAsia="Arial"/>
        </w:rPr>
        <w:t>the price</w:t>
      </w:r>
      <w:r>
        <w:rPr>
          <w:rFonts w:eastAsia="Arial"/>
        </w:rPr>
        <w:t xml:space="preserve"> into small cash amounts below the </w:t>
      </w:r>
      <w:r w:rsidR="001A629F">
        <w:rPr>
          <w:rFonts w:eastAsia="Arial"/>
        </w:rPr>
        <w:t xml:space="preserve">cash payment </w:t>
      </w:r>
      <w:r>
        <w:rPr>
          <w:rFonts w:eastAsia="Arial"/>
        </w:rPr>
        <w:t>limit.</w:t>
      </w:r>
    </w:p>
    <w:p w14:paraId="213E379B" w14:textId="77777777" w:rsidR="006B2FA8" w:rsidRDefault="006B2FA8" w:rsidP="006B2FA8">
      <w:pPr>
        <w:pStyle w:val="Dash"/>
        <w:numPr>
          <w:ilvl w:val="0"/>
          <w:numId w:val="0"/>
        </w:numPr>
        <w:rPr>
          <w:rFonts w:eastAsia="Arial"/>
        </w:rPr>
      </w:pPr>
      <w:r>
        <w:rPr>
          <w:rFonts w:eastAsia="Arial"/>
        </w:rPr>
        <w:t xml:space="preserve">It is intended that this measure </w:t>
      </w:r>
      <w:r w:rsidR="001A629F">
        <w:rPr>
          <w:rFonts w:eastAsia="Arial"/>
        </w:rPr>
        <w:t xml:space="preserve">will </w:t>
      </w:r>
      <w:r>
        <w:rPr>
          <w:rFonts w:eastAsia="Arial"/>
        </w:rPr>
        <w:t xml:space="preserve">apply to transactions that take </w:t>
      </w:r>
      <w:r w:rsidR="001A629F">
        <w:rPr>
          <w:rFonts w:eastAsia="Arial"/>
        </w:rPr>
        <w:t xml:space="preserve">place </w:t>
      </w:r>
      <w:r w:rsidR="002F6874">
        <w:rPr>
          <w:rFonts w:eastAsia="Arial"/>
        </w:rPr>
        <w:t>from 1 July 2019</w:t>
      </w:r>
      <w:r>
        <w:rPr>
          <w:rFonts w:eastAsia="Arial"/>
        </w:rPr>
        <w:t xml:space="preserve">. </w:t>
      </w:r>
    </w:p>
    <w:tbl>
      <w:tblPr>
        <w:tblW w:w="0" w:type="auto"/>
        <w:tblBorders>
          <w:top w:val="single" w:sz="4" w:space="0" w:color="004A7F"/>
          <w:left w:val="single" w:sz="4" w:space="0" w:color="004A7F"/>
          <w:bottom w:val="single" w:sz="4" w:space="0" w:color="004A7F"/>
          <w:right w:val="single" w:sz="4" w:space="0" w:color="004A7F"/>
        </w:tblBorders>
        <w:shd w:val="clear" w:color="auto" w:fill="DEEAF6" w:themeFill="accent1" w:themeFillTint="33"/>
        <w:tblLook w:val="04A0" w:firstRow="1" w:lastRow="0" w:firstColumn="1" w:lastColumn="0" w:noHBand="0" w:noVBand="1"/>
      </w:tblPr>
      <w:tblGrid>
        <w:gridCol w:w="9286"/>
      </w:tblGrid>
      <w:tr w:rsidR="006B2FA8" w14:paraId="233089F6" w14:textId="77777777" w:rsidTr="00DB61F6">
        <w:tc>
          <w:tcPr>
            <w:tcW w:w="9286" w:type="dxa"/>
            <w:shd w:val="clear" w:color="auto" w:fill="DEEAF6" w:themeFill="accent1" w:themeFillTint="33"/>
          </w:tcPr>
          <w:p w14:paraId="6AE80A33" w14:textId="77777777" w:rsidR="006B2FA8" w:rsidRDefault="006B2FA8" w:rsidP="00DB61F6">
            <w:pPr>
              <w:pStyle w:val="BoxHeading"/>
            </w:pPr>
            <w:r>
              <w:t>Questions</w:t>
            </w:r>
          </w:p>
          <w:p w14:paraId="62DC3F03" w14:textId="77777777" w:rsidR="006B2FA8" w:rsidRDefault="006B2FA8" w:rsidP="00DB61F6">
            <w:pPr>
              <w:pStyle w:val="BoxNumbering"/>
            </w:pPr>
            <w:r>
              <w:t xml:space="preserve">Should the limit apply to the </w:t>
            </w:r>
            <w:r w:rsidR="001A629F">
              <w:t xml:space="preserve">price </w:t>
            </w:r>
            <w:r>
              <w:t>of the payment for the goods or services?</w:t>
            </w:r>
          </w:p>
          <w:p w14:paraId="366A32ED" w14:textId="0528F06E" w:rsidR="006B2FA8" w:rsidRDefault="006B2FA8" w:rsidP="00704B47">
            <w:pPr>
              <w:pStyle w:val="BoxNumbering"/>
            </w:pPr>
            <w:r>
              <w:t>What are the barriers to implementing a cash payment limit</w:t>
            </w:r>
            <w:r w:rsidR="00704B47">
              <w:t xml:space="preserve"> on 1 July 2019</w:t>
            </w:r>
          </w:p>
        </w:tc>
      </w:tr>
    </w:tbl>
    <w:p w14:paraId="1829705F" w14:textId="77777777" w:rsidR="006B2FA8" w:rsidRDefault="006B2FA8" w:rsidP="006B2FA8">
      <w:pPr>
        <w:pStyle w:val="Bullet"/>
        <w:numPr>
          <w:ilvl w:val="0"/>
          <w:numId w:val="0"/>
        </w:numPr>
      </w:pPr>
    </w:p>
    <w:p w14:paraId="08C8A35D" w14:textId="77777777" w:rsidR="00FD2D27" w:rsidRPr="00774AF0" w:rsidRDefault="00774AF0" w:rsidP="0006378E">
      <w:pPr>
        <w:pStyle w:val="Heading5"/>
      </w:pPr>
      <w:r w:rsidRPr="00774AF0">
        <w:t>W</w:t>
      </w:r>
      <w:r w:rsidR="00A71033" w:rsidRPr="00774AF0">
        <w:t xml:space="preserve">ho will be </w:t>
      </w:r>
      <w:r w:rsidR="00B0766F">
        <w:t>affected</w:t>
      </w:r>
      <w:r w:rsidR="00B0766F" w:rsidRPr="00774AF0">
        <w:t xml:space="preserve"> </w:t>
      </w:r>
      <w:r w:rsidR="00A71033" w:rsidRPr="00774AF0">
        <w:t>by this measure</w:t>
      </w:r>
      <w:r>
        <w:t>?</w:t>
      </w:r>
      <w:r w:rsidR="00E25FCA" w:rsidRPr="00774AF0">
        <w:t xml:space="preserve"> </w:t>
      </w:r>
    </w:p>
    <w:p w14:paraId="142FD8C4" w14:textId="77777777" w:rsidR="00114DE6" w:rsidRDefault="00FD2D27" w:rsidP="00114DE6">
      <w:pPr>
        <w:pStyle w:val="Bullet"/>
        <w:numPr>
          <w:ilvl w:val="0"/>
          <w:numId w:val="0"/>
        </w:numPr>
        <w:rPr>
          <w:rFonts w:eastAsiaTheme="minorHAnsi"/>
          <w:lang w:eastAsia="en-US"/>
        </w:rPr>
      </w:pPr>
      <w:r>
        <w:rPr>
          <w:rFonts w:eastAsiaTheme="minorHAnsi"/>
          <w:lang w:eastAsia="en-US"/>
        </w:rPr>
        <w:t xml:space="preserve">The cash transaction limit </w:t>
      </w:r>
      <w:r w:rsidR="00FB00BB">
        <w:rPr>
          <w:rFonts w:eastAsiaTheme="minorHAnsi"/>
          <w:lang w:eastAsia="en-US"/>
        </w:rPr>
        <w:t xml:space="preserve">will be </w:t>
      </w:r>
      <w:r w:rsidR="00114DE6">
        <w:rPr>
          <w:rFonts w:eastAsiaTheme="minorHAnsi"/>
          <w:lang w:eastAsia="en-US"/>
        </w:rPr>
        <w:t>imposed for payments for goods and services to all entities hold</w:t>
      </w:r>
      <w:r w:rsidR="00780443">
        <w:rPr>
          <w:rFonts w:eastAsiaTheme="minorHAnsi"/>
          <w:lang w:eastAsia="en-US"/>
        </w:rPr>
        <w:t>ing</w:t>
      </w:r>
      <w:r w:rsidR="00114DE6">
        <w:rPr>
          <w:rFonts w:eastAsiaTheme="minorHAnsi"/>
          <w:lang w:eastAsia="en-US"/>
        </w:rPr>
        <w:t xml:space="preserve"> an Australian Business Number</w:t>
      </w:r>
      <w:r w:rsidR="005963C7">
        <w:rPr>
          <w:rFonts w:eastAsiaTheme="minorHAnsi"/>
          <w:lang w:eastAsia="en-US"/>
        </w:rPr>
        <w:t xml:space="preserve"> (ABN)</w:t>
      </w:r>
      <w:r w:rsidR="00114DE6">
        <w:rPr>
          <w:rFonts w:eastAsiaTheme="minorHAnsi"/>
          <w:lang w:eastAsia="en-US"/>
        </w:rPr>
        <w:t xml:space="preserve">. This will help provide clarity to </w:t>
      </w:r>
      <w:r w:rsidR="00C7157A">
        <w:rPr>
          <w:rFonts w:eastAsiaTheme="minorHAnsi"/>
          <w:lang w:eastAsia="en-US"/>
        </w:rPr>
        <w:t>the consumer</w:t>
      </w:r>
      <w:r w:rsidR="00114DE6">
        <w:rPr>
          <w:rFonts w:eastAsiaTheme="minorHAnsi"/>
          <w:lang w:eastAsia="en-US"/>
        </w:rPr>
        <w:t xml:space="preserve"> </w:t>
      </w:r>
      <w:r w:rsidR="00C7157A">
        <w:rPr>
          <w:rFonts w:eastAsiaTheme="minorHAnsi"/>
          <w:lang w:eastAsia="en-US"/>
        </w:rPr>
        <w:t>that the</w:t>
      </w:r>
      <w:r w:rsidR="00114DE6">
        <w:rPr>
          <w:rFonts w:eastAsiaTheme="minorHAnsi"/>
          <w:lang w:eastAsia="en-US"/>
        </w:rPr>
        <w:t xml:space="preserve"> other party to </w:t>
      </w:r>
      <w:r w:rsidR="00836281">
        <w:rPr>
          <w:rFonts w:eastAsiaTheme="minorHAnsi"/>
          <w:lang w:eastAsia="en-US"/>
        </w:rPr>
        <w:t>the</w:t>
      </w:r>
      <w:r w:rsidR="00114DE6">
        <w:rPr>
          <w:rFonts w:eastAsiaTheme="minorHAnsi"/>
          <w:lang w:eastAsia="en-US"/>
        </w:rPr>
        <w:t xml:space="preserve"> transaction is carrying on a business. </w:t>
      </w:r>
    </w:p>
    <w:p w14:paraId="0A9B909A" w14:textId="77777777" w:rsidR="00264DA4" w:rsidRDefault="00264DA4" w:rsidP="00264DA4">
      <w:pPr>
        <w:pStyle w:val="Bullet"/>
        <w:numPr>
          <w:ilvl w:val="0"/>
          <w:numId w:val="0"/>
        </w:numPr>
        <w:rPr>
          <w:rFonts w:eastAsiaTheme="minorHAnsi"/>
          <w:lang w:eastAsia="en-US"/>
        </w:rPr>
      </w:pPr>
      <w:r>
        <w:rPr>
          <w:rFonts w:eastAsiaTheme="minorHAnsi"/>
          <w:lang w:eastAsia="en-US"/>
        </w:rPr>
        <w:t xml:space="preserve">It is not intended that the measure applies to consumer-to- non-businesses transactions, such as those in second-hand markets like Gumtree, where the selling party </w:t>
      </w:r>
      <w:r w:rsidR="00780443">
        <w:rPr>
          <w:rFonts w:eastAsiaTheme="minorHAnsi"/>
          <w:lang w:eastAsia="en-US"/>
        </w:rPr>
        <w:t>does</w:t>
      </w:r>
      <w:r>
        <w:rPr>
          <w:rFonts w:eastAsiaTheme="minorHAnsi"/>
          <w:lang w:eastAsia="en-US"/>
        </w:rPr>
        <w:t xml:space="preserve"> not </w:t>
      </w:r>
      <w:r w:rsidR="00780443">
        <w:rPr>
          <w:rFonts w:eastAsiaTheme="minorHAnsi"/>
          <w:lang w:eastAsia="en-US"/>
        </w:rPr>
        <w:t>have</w:t>
      </w:r>
      <w:r w:rsidR="00114DE6">
        <w:rPr>
          <w:rFonts w:eastAsiaTheme="minorHAnsi"/>
          <w:lang w:eastAsia="en-US"/>
        </w:rPr>
        <w:t xml:space="preserve"> an ABN</w:t>
      </w:r>
      <w:r w:rsidR="000120A7">
        <w:rPr>
          <w:rFonts w:eastAsiaTheme="minorHAnsi"/>
          <w:lang w:eastAsia="en-US"/>
        </w:rPr>
        <w:t>.</w:t>
      </w:r>
      <w:r>
        <w:rPr>
          <w:rFonts w:eastAsiaTheme="minorHAnsi"/>
          <w:lang w:eastAsia="en-US"/>
        </w:rPr>
        <w:t xml:space="preserve"> </w:t>
      </w:r>
    </w:p>
    <w:p w14:paraId="0D071CAB" w14:textId="77777777" w:rsidR="002E4258" w:rsidRDefault="002E4258" w:rsidP="002E4258">
      <w:pPr>
        <w:pStyle w:val="Bullet"/>
        <w:numPr>
          <w:ilvl w:val="0"/>
          <w:numId w:val="0"/>
        </w:numPr>
        <w:rPr>
          <w:rFonts w:eastAsiaTheme="minorHAnsi"/>
          <w:lang w:eastAsia="en-US"/>
        </w:rPr>
      </w:pPr>
      <w:r>
        <w:rPr>
          <w:rFonts w:eastAsiaTheme="minorHAnsi"/>
          <w:lang w:eastAsia="en-US"/>
        </w:rPr>
        <w:lastRenderedPageBreak/>
        <w:t>The measure will not apply to financial institutions</w:t>
      </w:r>
      <w:r w:rsidR="000E07FD">
        <w:rPr>
          <w:rFonts w:eastAsiaTheme="minorHAnsi"/>
          <w:lang w:eastAsia="en-US"/>
        </w:rPr>
        <w:t>.</w:t>
      </w:r>
      <w:r>
        <w:rPr>
          <w:rFonts w:eastAsiaTheme="minorHAnsi"/>
          <w:lang w:eastAsia="en-US"/>
        </w:rPr>
        <w:t xml:space="preserve"> </w:t>
      </w:r>
      <w:r w:rsidR="000E07FD">
        <w:rPr>
          <w:rFonts w:eastAsiaTheme="minorHAnsi"/>
          <w:lang w:eastAsia="en-US"/>
        </w:rPr>
        <w:t>There will be no impediment on the</w:t>
      </w:r>
      <w:r w:rsidR="004266A8">
        <w:rPr>
          <w:rFonts w:eastAsiaTheme="minorHAnsi"/>
          <w:lang w:eastAsia="en-US"/>
        </w:rPr>
        <w:t xml:space="preserve"> </w:t>
      </w:r>
      <w:r>
        <w:rPr>
          <w:rFonts w:eastAsiaTheme="minorHAnsi"/>
          <w:lang w:eastAsia="en-US"/>
        </w:rPr>
        <w:t xml:space="preserve">ability of </w:t>
      </w:r>
      <w:r w:rsidR="000E07FD">
        <w:rPr>
          <w:rFonts w:eastAsiaTheme="minorHAnsi"/>
          <w:lang w:eastAsia="en-US"/>
        </w:rPr>
        <w:t>individuals, businesses or other entities</w:t>
      </w:r>
      <w:r>
        <w:rPr>
          <w:rFonts w:eastAsiaTheme="minorHAnsi"/>
          <w:lang w:eastAsia="en-US"/>
        </w:rPr>
        <w:t xml:space="preserve"> to deposit large </w:t>
      </w:r>
      <w:r w:rsidR="00E571FE">
        <w:rPr>
          <w:rFonts w:eastAsiaTheme="minorHAnsi"/>
          <w:lang w:eastAsia="en-US"/>
        </w:rPr>
        <w:t xml:space="preserve">amounts of cash </w:t>
      </w:r>
      <w:r>
        <w:rPr>
          <w:rFonts w:eastAsiaTheme="minorHAnsi"/>
          <w:lang w:eastAsia="en-US"/>
        </w:rPr>
        <w:t>with their bank</w:t>
      </w:r>
      <w:r w:rsidR="002A7257">
        <w:rPr>
          <w:rFonts w:eastAsiaTheme="minorHAnsi"/>
          <w:lang w:eastAsia="en-US"/>
        </w:rPr>
        <w:t xml:space="preserve"> or </w:t>
      </w:r>
      <w:r w:rsidR="00E571FE">
        <w:rPr>
          <w:rFonts w:eastAsiaTheme="minorHAnsi"/>
          <w:lang w:eastAsia="en-US"/>
        </w:rPr>
        <w:t xml:space="preserve">to deposit cash in paying </w:t>
      </w:r>
      <w:r w:rsidR="002A7257">
        <w:rPr>
          <w:rFonts w:eastAsiaTheme="minorHAnsi"/>
          <w:lang w:eastAsia="en-US"/>
        </w:rPr>
        <w:t>off loans with a financial institutio</w:t>
      </w:r>
      <w:r w:rsidR="004266A8">
        <w:rPr>
          <w:rFonts w:eastAsiaTheme="minorHAnsi"/>
          <w:lang w:eastAsia="en-US"/>
        </w:rPr>
        <w:t>n</w:t>
      </w:r>
      <w:r w:rsidR="00B72B54">
        <w:rPr>
          <w:rStyle w:val="FootnoteReference"/>
          <w:rFonts w:eastAsiaTheme="minorHAnsi"/>
          <w:lang w:eastAsia="en-US"/>
        </w:rPr>
        <w:footnoteReference w:id="3"/>
      </w:r>
      <w:r>
        <w:rPr>
          <w:rFonts w:eastAsiaTheme="minorHAnsi"/>
          <w:lang w:eastAsia="en-US"/>
        </w:rPr>
        <w:t xml:space="preserve">. For example, a business would not be prevented from depositing </w:t>
      </w:r>
      <w:r w:rsidR="00E571FE">
        <w:rPr>
          <w:rFonts w:eastAsiaTheme="minorHAnsi"/>
          <w:lang w:eastAsia="en-US"/>
        </w:rPr>
        <w:t xml:space="preserve">cash </w:t>
      </w:r>
      <w:r>
        <w:rPr>
          <w:rFonts w:eastAsiaTheme="minorHAnsi"/>
          <w:lang w:eastAsia="en-US"/>
        </w:rPr>
        <w:t>takings in excess of</w:t>
      </w:r>
      <w:r w:rsidR="00E571FE">
        <w:rPr>
          <w:rFonts w:eastAsiaTheme="minorHAnsi"/>
          <w:lang w:eastAsia="en-US"/>
        </w:rPr>
        <w:t xml:space="preserve"> $10,000 </w:t>
      </w:r>
      <w:r>
        <w:rPr>
          <w:rFonts w:eastAsiaTheme="minorHAnsi"/>
          <w:lang w:eastAsia="en-US"/>
        </w:rPr>
        <w:t xml:space="preserve">into their financial institution. In such cases, deposits do not represent a payment to the financial institution for providing a service. </w:t>
      </w:r>
      <w:r w:rsidR="00E571FE">
        <w:rPr>
          <w:rFonts w:eastAsiaTheme="minorHAnsi"/>
          <w:lang w:eastAsia="en-US"/>
        </w:rPr>
        <w:t xml:space="preserve">Such payments of $10,000 or more, </w:t>
      </w:r>
      <w:r>
        <w:rPr>
          <w:rFonts w:eastAsiaTheme="minorHAnsi"/>
          <w:lang w:eastAsia="en-US"/>
        </w:rPr>
        <w:t>however</w:t>
      </w:r>
      <w:r w:rsidR="00E571FE">
        <w:rPr>
          <w:rFonts w:eastAsiaTheme="minorHAnsi"/>
          <w:lang w:eastAsia="en-US"/>
        </w:rPr>
        <w:t>,</w:t>
      </w:r>
      <w:r>
        <w:rPr>
          <w:rFonts w:eastAsiaTheme="minorHAnsi"/>
          <w:lang w:eastAsia="en-US"/>
        </w:rPr>
        <w:t xml:space="preserve"> would still be subject to the AML/CTF reporting requirements.</w:t>
      </w:r>
    </w:p>
    <w:p w14:paraId="64E392DA" w14:textId="77777777" w:rsidR="002D0E9F" w:rsidRDefault="002D0E9F" w:rsidP="002E4258">
      <w:pPr>
        <w:pStyle w:val="Bullet"/>
        <w:numPr>
          <w:ilvl w:val="0"/>
          <w:numId w:val="0"/>
        </w:numPr>
        <w:rPr>
          <w:rFonts w:eastAsiaTheme="minorHAnsi"/>
          <w:lang w:eastAsia="en-US"/>
        </w:rPr>
      </w:pPr>
      <w:r>
        <w:rPr>
          <w:rFonts w:eastAsiaTheme="minorHAnsi"/>
          <w:lang w:eastAsia="en-US"/>
        </w:rPr>
        <w:t xml:space="preserve">We are seeking information on any particular </w:t>
      </w:r>
      <w:r w:rsidR="00E571FE">
        <w:rPr>
          <w:rFonts w:eastAsiaTheme="minorHAnsi"/>
          <w:lang w:eastAsia="en-US"/>
        </w:rPr>
        <w:t>industry</w:t>
      </w:r>
      <w:r w:rsidR="004266A8">
        <w:rPr>
          <w:rFonts w:eastAsiaTheme="minorHAnsi"/>
          <w:lang w:eastAsia="en-US"/>
        </w:rPr>
        <w:t xml:space="preserve"> </w:t>
      </w:r>
      <w:r>
        <w:rPr>
          <w:rFonts w:eastAsiaTheme="minorHAnsi"/>
          <w:lang w:eastAsia="en-US"/>
        </w:rPr>
        <w:t xml:space="preserve">or </w:t>
      </w:r>
      <w:r w:rsidR="00E571FE">
        <w:rPr>
          <w:rFonts w:eastAsiaTheme="minorHAnsi"/>
          <w:lang w:eastAsia="en-US"/>
        </w:rPr>
        <w:t xml:space="preserve">type of </w:t>
      </w:r>
      <w:r>
        <w:rPr>
          <w:rFonts w:eastAsiaTheme="minorHAnsi"/>
          <w:lang w:eastAsia="en-US"/>
        </w:rPr>
        <w:t xml:space="preserve">transaction </w:t>
      </w:r>
      <w:r w:rsidR="00E571FE">
        <w:rPr>
          <w:rFonts w:eastAsiaTheme="minorHAnsi"/>
          <w:lang w:eastAsia="en-US"/>
        </w:rPr>
        <w:t xml:space="preserve">that is frequently conducted using large amounts of cash </w:t>
      </w:r>
      <w:r w:rsidR="005963C7">
        <w:rPr>
          <w:rFonts w:eastAsiaTheme="minorHAnsi"/>
          <w:lang w:eastAsia="en-US"/>
        </w:rPr>
        <w:t xml:space="preserve">and </w:t>
      </w:r>
      <w:r w:rsidR="00E571FE">
        <w:rPr>
          <w:rFonts w:eastAsiaTheme="minorHAnsi"/>
          <w:lang w:eastAsia="en-US"/>
        </w:rPr>
        <w:t xml:space="preserve">that </w:t>
      </w:r>
      <w:r w:rsidR="005963C7">
        <w:rPr>
          <w:rFonts w:eastAsiaTheme="minorHAnsi"/>
          <w:lang w:eastAsia="en-US"/>
        </w:rPr>
        <w:t>are</w:t>
      </w:r>
      <w:r>
        <w:rPr>
          <w:rFonts w:eastAsiaTheme="minorHAnsi"/>
          <w:lang w:eastAsia="en-US"/>
        </w:rPr>
        <w:t xml:space="preserve"> unable to be made through the </w:t>
      </w:r>
      <w:r w:rsidR="00BD6849">
        <w:rPr>
          <w:rFonts w:eastAsiaTheme="minorHAnsi"/>
          <w:lang w:eastAsia="en-US"/>
        </w:rPr>
        <w:t>electronic payment</w:t>
      </w:r>
      <w:r>
        <w:rPr>
          <w:rFonts w:eastAsiaTheme="minorHAnsi"/>
          <w:lang w:eastAsia="en-US"/>
        </w:rPr>
        <w:t xml:space="preserve"> system. </w:t>
      </w:r>
    </w:p>
    <w:p w14:paraId="0985A105" w14:textId="77777777" w:rsidR="00DC76A2" w:rsidRDefault="00B93F74" w:rsidP="002E4258">
      <w:pPr>
        <w:pStyle w:val="Bullet"/>
        <w:numPr>
          <w:ilvl w:val="0"/>
          <w:numId w:val="0"/>
        </w:numPr>
        <w:rPr>
          <w:rFonts w:eastAsiaTheme="minorHAnsi"/>
          <w:lang w:eastAsia="en-US"/>
        </w:rPr>
      </w:pPr>
      <w:r w:rsidRPr="00DC76A2">
        <w:rPr>
          <w:rFonts w:eastAsiaTheme="minorHAnsi"/>
          <w:lang w:eastAsia="en-US"/>
        </w:rPr>
        <w:t>Businesses</w:t>
      </w:r>
      <w:r w:rsidR="00262388" w:rsidRPr="00DC76A2">
        <w:rPr>
          <w:rFonts w:eastAsiaTheme="minorHAnsi"/>
          <w:lang w:eastAsia="en-US"/>
        </w:rPr>
        <w:t xml:space="preserve"> incur a range of expenses </w:t>
      </w:r>
      <w:r w:rsidRPr="00DC76A2">
        <w:rPr>
          <w:rFonts w:eastAsiaTheme="minorHAnsi"/>
          <w:lang w:eastAsia="en-US"/>
        </w:rPr>
        <w:t>in dealing with and holding cash including</w:t>
      </w:r>
      <w:r w:rsidR="00262388" w:rsidRPr="00DC76A2">
        <w:rPr>
          <w:rFonts w:eastAsiaTheme="minorHAnsi"/>
          <w:lang w:eastAsia="en-US"/>
        </w:rPr>
        <w:t xml:space="preserve"> transportation, storage and fraud controls (including for staff). The Black Economy Taskforce Final Report uses the example of a café going cashless to avoid the estimated $270 per week additional cost of transaction in cash. </w:t>
      </w:r>
    </w:p>
    <w:p w14:paraId="667EFEE7" w14:textId="2E446F11" w:rsidR="00B93F74" w:rsidRDefault="00262388" w:rsidP="002E4258">
      <w:pPr>
        <w:pStyle w:val="Bullet"/>
        <w:numPr>
          <w:ilvl w:val="0"/>
          <w:numId w:val="0"/>
        </w:numPr>
        <w:rPr>
          <w:rFonts w:eastAsiaTheme="minorHAnsi"/>
          <w:lang w:eastAsia="en-US"/>
        </w:rPr>
      </w:pPr>
      <w:r w:rsidRPr="00DC76A2">
        <w:rPr>
          <w:rFonts w:eastAsiaTheme="minorHAnsi"/>
          <w:lang w:eastAsia="en-US"/>
        </w:rPr>
        <w:t xml:space="preserve">However, the </w:t>
      </w:r>
      <w:r w:rsidR="00E571FE">
        <w:rPr>
          <w:rFonts w:eastAsiaTheme="minorHAnsi"/>
          <w:lang w:eastAsia="en-US"/>
        </w:rPr>
        <w:t xml:space="preserve">Final Report </w:t>
      </w:r>
      <w:r w:rsidRPr="00DC76A2">
        <w:rPr>
          <w:rFonts w:eastAsiaTheme="minorHAnsi"/>
          <w:lang w:eastAsia="en-US"/>
        </w:rPr>
        <w:t>a</w:t>
      </w:r>
      <w:r w:rsidR="00DC76A2" w:rsidRPr="00DC76A2">
        <w:rPr>
          <w:rFonts w:eastAsiaTheme="minorHAnsi"/>
          <w:lang w:eastAsia="en-US"/>
        </w:rPr>
        <w:t>l</w:t>
      </w:r>
      <w:r w:rsidRPr="00DC76A2">
        <w:rPr>
          <w:rFonts w:eastAsiaTheme="minorHAnsi"/>
          <w:lang w:eastAsia="en-US"/>
        </w:rPr>
        <w:t xml:space="preserve">so notes </w:t>
      </w:r>
      <w:r w:rsidR="00DC76A2" w:rsidRPr="00DC76A2">
        <w:rPr>
          <w:rFonts w:eastAsiaTheme="minorHAnsi"/>
          <w:lang w:eastAsia="en-US"/>
        </w:rPr>
        <w:t xml:space="preserve">there </w:t>
      </w:r>
      <w:proofErr w:type="gramStart"/>
      <w:r w:rsidR="00DC76A2" w:rsidRPr="00DC76A2">
        <w:rPr>
          <w:rFonts w:eastAsiaTheme="minorHAnsi"/>
          <w:lang w:eastAsia="en-US"/>
        </w:rPr>
        <w:t>are</w:t>
      </w:r>
      <w:proofErr w:type="gramEnd"/>
      <w:r w:rsidR="00DC76A2" w:rsidRPr="00DC76A2">
        <w:rPr>
          <w:rFonts w:eastAsiaTheme="minorHAnsi"/>
          <w:lang w:eastAsia="en-US"/>
        </w:rPr>
        <w:t xml:space="preserve"> transaction costs associated with using </w:t>
      </w:r>
      <w:r w:rsidR="00B93F74" w:rsidRPr="00DC76A2">
        <w:rPr>
          <w:rFonts w:eastAsiaTheme="minorHAnsi"/>
          <w:lang w:eastAsia="en-US"/>
        </w:rPr>
        <w:t>electronic payment</w:t>
      </w:r>
      <w:r w:rsidR="00601144">
        <w:rPr>
          <w:rFonts w:eastAsiaTheme="minorHAnsi"/>
          <w:lang w:eastAsia="en-US"/>
        </w:rPr>
        <w:t xml:space="preserve"> </w:t>
      </w:r>
      <w:r w:rsidR="00B93F74" w:rsidRPr="00DC76A2">
        <w:rPr>
          <w:rFonts w:eastAsiaTheme="minorHAnsi"/>
          <w:lang w:eastAsia="en-US"/>
        </w:rPr>
        <w:t>systems.</w:t>
      </w:r>
      <w:r w:rsidR="00B93F74">
        <w:rPr>
          <w:rFonts w:eastAsiaTheme="minorHAnsi"/>
          <w:lang w:eastAsia="en-US"/>
        </w:rPr>
        <w:t xml:space="preserve"> </w:t>
      </w:r>
    </w:p>
    <w:tbl>
      <w:tblPr>
        <w:tblW w:w="0" w:type="auto"/>
        <w:tblBorders>
          <w:top w:val="single" w:sz="4" w:space="0" w:color="004A7F"/>
          <w:left w:val="single" w:sz="4" w:space="0" w:color="004A7F"/>
          <w:bottom w:val="single" w:sz="4" w:space="0" w:color="004A7F"/>
          <w:right w:val="single" w:sz="4" w:space="0" w:color="004A7F"/>
        </w:tblBorders>
        <w:shd w:val="clear" w:color="auto" w:fill="DEEAF6" w:themeFill="accent1" w:themeFillTint="33"/>
        <w:tblLook w:val="04A0" w:firstRow="1" w:lastRow="0" w:firstColumn="1" w:lastColumn="0" w:noHBand="0" w:noVBand="1"/>
      </w:tblPr>
      <w:tblGrid>
        <w:gridCol w:w="9286"/>
      </w:tblGrid>
      <w:tr w:rsidR="00B93F74" w14:paraId="2C75362C" w14:textId="77777777" w:rsidTr="00DB61F6">
        <w:tc>
          <w:tcPr>
            <w:tcW w:w="9286" w:type="dxa"/>
            <w:shd w:val="clear" w:color="auto" w:fill="DEEAF6" w:themeFill="accent1" w:themeFillTint="33"/>
          </w:tcPr>
          <w:p w14:paraId="3105C5B3" w14:textId="77777777" w:rsidR="00B93F74" w:rsidRDefault="00B93F74" w:rsidP="00DB61F6">
            <w:pPr>
              <w:pStyle w:val="BoxHeading"/>
            </w:pPr>
            <w:r>
              <w:t>Questions</w:t>
            </w:r>
          </w:p>
          <w:p w14:paraId="457E3F71" w14:textId="77777777" w:rsidR="00B93F74" w:rsidRDefault="00B93F74" w:rsidP="00B93F74">
            <w:pPr>
              <w:pStyle w:val="BoxNumbering"/>
            </w:pPr>
            <w:r>
              <w:rPr>
                <w:rFonts w:eastAsiaTheme="minorHAnsi"/>
                <w:lang w:eastAsia="en-US"/>
              </w:rPr>
              <w:t>Are there any particular industries or transaction</w:t>
            </w:r>
            <w:r w:rsidR="00A05859">
              <w:rPr>
                <w:rFonts w:eastAsiaTheme="minorHAnsi"/>
                <w:lang w:eastAsia="en-US"/>
              </w:rPr>
              <w:t xml:space="preserve"> </w:t>
            </w:r>
            <w:r>
              <w:rPr>
                <w:rFonts w:eastAsiaTheme="minorHAnsi"/>
                <w:lang w:eastAsia="en-US"/>
              </w:rPr>
              <w:t xml:space="preserve">types </w:t>
            </w:r>
            <w:r w:rsidR="00E571FE">
              <w:rPr>
                <w:rFonts w:eastAsiaTheme="minorHAnsi"/>
                <w:lang w:eastAsia="en-US"/>
              </w:rPr>
              <w:t xml:space="preserve">that </w:t>
            </w:r>
            <w:r w:rsidR="006B2FA8">
              <w:rPr>
                <w:rFonts w:eastAsiaTheme="minorHAnsi"/>
                <w:lang w:eastAsia="en-US"/>
              </w:rPr>
              <w:t xml:space="preserve">legitimately </w:t>
            </w:r>
            <w:r w:rsidR="005963C7">
              <w:rPr>
                <w:rFonts w:eastAsiaTheme="minorHAnsi"/>
                <w:lang w:eastAsia="en-US"/>
              </w:rPr>
              <w:t>operate in large cash transactions and are</w:t>
            </w:r>
            <w:r>
              <w:rPr>
                <w:rFonts w:eastAsiaTheme="minorHAnsi"/>
                <w:lang w:eastAsia="en-US"/>
              </w:rPr>
              <w:t xml:space="preserve"> unable to be made through the electronic payment system?</w:t>
            </w:r>
          </w:p>
          <w:p w14:paraId="17549C9B" w14:textId="77777777" w:rsidR="002A7257" w:rsidRDefault="002A7257" w:rsidP="002A7257">
            <w:pPr>
              <w:pStyle w:val="BoxNumbering"/>
            </w:pPr>
            <w:r>
              <w:t xml:space="preserve">Are there specific types of business to business transactions that the </w:t>
            </w:r>
            <w:r w:rsidR="00E571FE">
              <w:t xml:space="preserve">$10,000 cash </w:t>
            </w:r>
            <w:r>
              <w:t>limit shouldn’t apply to?</w:t>
            </w:r>
          </w:p>
          <w:p w14:paraId="2408B5E2" w14:textId="77777777" w:rsidR="00B93F74" w:rsidRDefault="00B93F74" w:rsidP="00B93F74">
            <w:pPr>
              <w:pStyle w:val="BoxNumbering"/>
            </w:pPr>
            <w:r>
              <w:t xml:space="preserve">Do </w:t>
            </w:r>
            <w:r w:rsidR="00E571FE">
              <w:t xml:space="preserve">affected </w:t>
            </w:r>
            <w:r>
              <w:t>entities anticipate any increases in transaction costs (both cash and electronic banking) resulting from the cash limit?</w:t>
            </w:r>
          </w:p>
          <w:p w14:paraId="7D367531" w14:textId="0E9C5806" w:rsidR="00980A19" w:rsidRDefault="00980A19" w:rsidP="00980A19">
            <w:pPr>
              <w:pStyle w:val="BoxNumbering"/>
            </w:pPr>
            <w:r>
              <w:t>Is the holding of an ABN an appropriate test for determining which entities are subject to the cash limit?</w:t>
            </w:r>
          </w:p>
          <w:p w14:paraId="2D3ACDB1" w14:textId="77777777" w:rsidR="00244C04" w:rsidRDefault="00244C04" w:rsidP="00980A19">
            <w:pPr>
              <w:pStyle w:val="BoxNumbering"/>
            </w:pPr>
            <w:r>
              <w:t>Are there types of ABN holders that the limit should not apply to and why?</w:t>
            </w:r>
          </w:p>
          <w:p w14:paraId="43F1C090" w14:textId="77777777" w:rsidR="006337E1" w:rsidRDefault="00E571FE" w:rsidP="00E571FE">
            <w:pPr>
              <w:pStyle w:val="BoxNumbering"/>
            </w:pPr>
            <w:r>
              <w:t xml:space="preserve">Are there reasons why </w:t>
            </w:r>
            <w:r w:rsidR="006337E1">
              <w:t xml:space="preserve">consumer to consumer transactions </w:t>
            </w:r>
            <w:r w:rsidR="004F2704">
              <w:t xml:space="preserve">should </w:t>
            </w:r>
            <w:r w:rsidR="006337E1">
              <w:t xml:space="preserve">be excluded from the </w:t>
            </w:r>
            <w:r>
              <w:t xml:space="preserve">$10,000 cash payment cap? </w:t>
            </w:r>
          </w:p>
        </w:tc>
      </w:tr>
    </w:tbl>
    <w:p w14:paraId="27ABF201" w14:textId="77777777" w:rsidR="00B93F74" w:rsidRDefault="00B93F74" w:rsidP="002E4258">
      <w:pPr>
        <w:pStyle w:val="Bullet"/>
        <w:numPr>
          <w:ilvl w:val="0"/>
          <w:numId w:val="0"/>
        </w:numPr>
        <w:rPr>
          <w:rFonts w:eastAsiaTheme="minorHAnsi"/>
          <w:lang w:eastAsia="en-US"/>
        </w:rPr>
      </w:pPr>
    </w:p>
    <w:p w14:paraId="0A6FD6CD" w14:textId="77777777" w:rsidR="00DF75F5" w:rsidRPr="00E345C4" w:rsidRDefault="00DF75F5" w:rsidP="0006378E">
      <w:pPr>
        <w:pStyle w:val="Heading5"/>
      </w:pPr>
      <w:r>
        <w:t>How will this be a</w:t>
      </w:r>
      <w:r w:rsidRPr="00E345C4">
        <w:t>dminis</w:t>
      </w:r>
      <w:r>
        <w:t>tered?</w:t>
      </w:r>
      <w:r w:rsidR="00191886">
        <w:t xml:space="preserve"> </w:t>
      </w:r>
    </w:p>
    <w:p w14:paraId="7F90200E" w14:textId="36F21752" w:rsidR="00DF75F5" w:rsidRDefault="00DF75F5" w:rsidP="00DF75F5">
      <w:pPr>
        <w:pStyle w:val="Bullet"/>
        <w:numPr>
          <w:ilvl w:val="0"/>
          <w:numId w:val="0"/>
        </w:numPr>
        <w:rPr>
          <w:rFonts w:eastAsia="Arial"/>
        </w:rPr>
      </w:pPr>
      <w:r w:rsidRPr="00A338BF">
        <w:rPr>
          <w:rFonts w:eastAsia="Arial"/>
        </w:rPr>
        <w:t xml:space="preserve">The </w:t>
      </w:r>
      <w:r>
        <w:rPr>
          <w:rFonts w:eastAsia="Arial"/>
        </w:rPr>
        <w:t>cash payment</w:t>
      </w:r>
      <w:r w:rsidR="00601144">
        <w:rPr>
          <w:rFonts w:eastAsia="Arial"/>
        </w:rPr>
        <w:t xml:space="preserve"> </w:t>
      </w:r>
      <w:r>
        <w:rPr>
          <w:rFonts w:eastAsia="Arial"/>
        </w:rPr>
        <w:t>limit</w:t>
      </w:r>
      <w:r w:rsidRPr="00A338BF">
        <w:rPr>
          <w:rFonts w:eastAsia="Arial"/>
        </w:rPr>
        <w:t xml:space="preserve"> </w:t>
      </w:r>
      <w:r w:rsidR="000B05AB">
        <w:rPr>
          <w:rFonts w:eastAsia="Arial"/>
        </w:rPr>
        <w:t>will</w:t>
      </w:r>
      <w:r w:rsidRPr="00A338BF">
        <w:rPr>
          <w:rFonts w:eastAsia="Arial"/>
        </w:rPr>
        <w:t xml:space="preserve"> support the Government’s efforts in AML/CTF by hardening the environment and reducing the potential for serious and organised crime groups to use cash to avoid detection.</w:t>
      </w:r>
      <w:r w:rsidR="000B7569">
        <w:rPr>
          <w:rFonts w:eastAsia="Arial"/>
        </w:rPr>
        <w:t xml:space="preserve"> </w:t>
      </w:r>
      <w:r w:rsidR="00C95E4B">
        <w:rPr>
          <w:rFonts w:eastAsia="Arial"/>
        </w:rPr>
        <w:t>C</w:t>
      </w:r>
      <w:r>
        <w:rPr>
          <w:rFonts w:eastAsia="Arial"/>
        </w:rPr>
        <w:t xml:space="preserve">urrent AML/CTF reporting obligations </w:t>
      </w:r>
      <w:r w:rsidR="00C95E4B">
        <w:rPr>
          <w:rFonts w:eastAsia="Arial"/>
        </w:rPr>
        <w:t xml:space="preserve">will be leveraged to assist the administration and enforcement of the cash limit, in particular the combination of threshold transaction reporting and reporting suspicious matters. </w:t>
      </w:r>
      <w:r w:rsidR="001E1933">
        <w:rPr>
          <w:rFonts w:eastAsia="Arial"/>
        </w:rPr>
        <w:t xml:space="preserve">   </w:t>
      </w:r>
      <w:r>
        <w:rPr>
          <w:rFonts w:eastAsia="Arial"/>
        </w:rPr>
        <w:t xml:space="preserve"> </w:t>
      </w:r>
    </w:p>
    <w:p w14:paraId="572AB205" w14:textId="77777777" w:rsidR="009F4D4D" w:rsidRDefault="00191886" w:rsidP="00DF75F5">
      <w:pPr>
        <w:pStyle w:val="Bullet"/>
        <w:numPr>
          <w:ilvl w:val="0"/>
          <w:numId w:val="0"/>
        </w:numPr>
        <w:rPr>
          <w:rFonts w:eastAsia="Arial"/>
        </w:rPr>
      </w:pPr>
      <w:r>
        <w:rPr>
          <w:rFonts w:eastAsia="Arial"/>
        </w:rPr>
        <w:t>We are seeking views on whether further reporting may be necessary beyond that which applies under the AML/CTF regime.</w:t>
      </w:r>
      <w:r w:rsidR="001210E7">
        <w:rPr>
          <w:rFonts w:eastAsia="Arial"/>
        </w:rPr>
        <w:t xml:space="preserve"> For example</w:t>
      </w:r>
      <w:r w:rsidR="00704B47">
        <w:rPr>
          <w:rFonts w:eastAsia="Arial"/>
        </w:rPr>
        <w:t>,</w:t>
      </w:r>
      <w:r w:rsidR="001210E7">
        <w:rPr>
          <w:rFonts w:eastAsia="Arial"/>
        </w:rPr>
        <w:t xml:space="preserve"> should businesses have a positive obligation to report </w:t>
      </w:r>
      <w:r w:rsidR="00BD1D60">
        <w:rPr>
          <w:rFonts w:eastAsia="Arial"/>
        </w:rPr>
        <w:t xml:space="preserve">cash </w:t>
      </w:r>
      <w:r w:rsidR="001210E7">
        <w:rPr>
          <w:rFonts w:eastAsia="Arial"/>
        </w:rPr>
        <w:t xml:space="preserve">transactions </w:t>
      </w:r>
      <w:r w:rsidR="000B05AB">
        <w:rPr>
          <w:rFonts w:eastAsia="Arial"/>
        </w:rPr>
        <w:t xml:space="preserve">of $10,000 and </w:t>
      </w:r>
      <w:r w:rsidR="001210E7">
        <w:rPr>
          <w:rFonts w:eastAsia="Arial"/>
        </w:rPr>
        <w:t xml:space="preserve">above or where a consumer has offered to make a payment in excess of the </w:t>
      </w:r>
      <w:proofErr w:type="gramStart"/>
      <w:r w:rsidR="001210E7">
        <w:rPr>
          <w:rFonts w:eastAsia="Arial"/>
        </w:rPr>
        <w:t>limit.</w:t>
      </w:r>
      <w:proofErr w:type="gramEnd"/>
    </w:p>
    <w:p w14:paraId="1BFC4A1A" w14:textId="77777777" w:rsidR="00DF75F5" w:rsidRDefault="007231CC" w:rsidP="00DF75F5">
      <w:pPr>
        <w:pStyle w:val="Bullet"/>
        <w:numPr>
          <w:ilvl w:val="0"/>
          <w:numId w:val="0"/>
        </w:numPr>
        <w:rPr>
          <w:rFonts w:eastAsia="Arial"/>
        </w:rPr>
      </w:pPr>
      <w:r>
        <w:rPr>
          <w:rFonts w:eastAsia="Arial"/>
        </w:rPr>
        <w:lastRenderedPageBreak/>
        <w:t>As a source of further information, t</w:t>
      </w:r>
      <w:r w:rsidR="00DF75F5">
        <w:rPr>
          <w:rFonts w:eastAsia="Arial"/>
        </w:rPr>
        <w:t xml:space="preserve">he </w:t>
      </w:r>
      <w:r w:rsidR="00C9047F">
        <w:rPr>
          <w:rFonts w:eastAsia="Arial"/>
        </w:rPr>
        <w:t>B</w:t>
      </w:r>
      <w:r w:rsidR="00DF75F5">
        <w:rPr>
          <w:rFonts w:eastAsia="Arial"/>
        </w:rPr>
        <w:t xml:space="preserve">lack </w:t>
      </w:r>
      <w:r w:rsidR="00C9047F">
        <w:rPr>
          <w:rFonts w:eastAsia="Arial"/>
        </w:rPr>
        <w:t>E</w:t>
      </w:r>
      <w:r w:rsidR="00DF75F5">
        <w:rPr>
          <w:rFonts w:eastAsia="Arial"/>
        </w:rPr>
        <w:t xml:space="preserve">conomy </w:t>
      </w:r>
      <w:r w:rsidR="00C9047F">
        <w:rPr>
          <w:rFonts w:eastAsia="Arial"/>
        </w:rPr>
        <w:t>H</w:t>
      </w:r>
      <w:r w:rsidR="00DF75F5">
        <w:rPr>
          <w:rFonts w:eastAsia="Arial"/>
        </w:rPr>
        <w:t xml:space="preserve">otline, </w:t>
      </w:r>
      <w:r>
        <w:rPr>
          <w:rFonts w:eastAsia="Arial"/>
        </w:rPr>
        <w:t xml:space="preserve">which was </w:t>
      </w:r>
      <w:r w:rsidR="00DF75F5">
        <w:rPr>
          <w:rFonts w:eastAsia="Arial"/>
        </w:rPr>
        <w:t>announced as part of the 2018-19 Budget</w:t>
      </w:r>
      <w:r w:rsidR="001C2BBC">
        <w:rPr>
          <w:rFonts w:eastAsia="Arial"/>
        </w:rPr>
        <w:t>,</w:t>
      </w:r>
      <w:r w:rsidR="00DF75F5">
        <w:rPr>
          <w:rFonts w:eastAsia="Arial"/>
        </w:rPr>
        <w:t xml:space="preserve"> will facilitate community referrals on suspicious behaviour. </w:t>
      </w:r>
    </w:p>
    <w:p w14:paraId="38B38A95" w14:textId="77777777" w:rsidR="00DF75F5" w:rsidRDefault="004F2704" w:rsidP="00DF75F5">
      <w:pPr>
        <w:pStyle w:val="Bullet"/>
        <w:numPr>
          <w:ilvl w:val="0"/>
          <w:numId w:val="0"/>
        </w:numPr>
        <w:rPr>
          <w:rFonts w:eastAsia="Arial"/>
        </w:rPr>
      </w:pPr>
      <w:r>
        <w:rPr>
          <w:rFonts w:eastAsia="Arial"/>
        </w:rPr>
        <w:t>P</w:t>
      </w:r>
      <w:r w:rsidR="009F4D4D">
        <w:rPr>
          <w:rFonts w:eastAsia="Arial"/>
        </w:rPr>
        <w:t xml:space="preserve">enalties will apply to </w:t>
      </w:r>
      <w:r w:rsidR="00980A19">
        <w:rPr>
          <w:rFonts w:eastAsia="Arial"/>
        </w:rPr>
        <w:t xml:space="preserve">both </w:t>
      </w:r>
      <w:r w:rsidR="00C95E4B">
        <w:rPr>
          <w:rFonts w:eastAsia="Arial"/>
        </w:rPr>
        <w:t>parties</w:t>
      </w:r>
      <w:r w:rsidR="00980A19">
        <w:rPr>
          <w:rFonts w:eastAsia="Arial"/>
        </w:rPr>
        <w:t xml:space="preserve"> to the transaction - </w:t>
      </w:r>
      <w:r w:rsidR="00C95E4B">
        <w:rPr>
          <w:rFonts w:eastAsia="Arial"/>
        </w:rPr>
        <w:t>the payer and receiving business</w:t>
      </w:r>
      <w:r w:rsidR="00980A19">
        <w:rPr>
          <w:rFonts w:eastAsia="Arial"/>
        </w:rPr>
        <w:t xml:space="preserve">. This will ensure that both businesses requesting cash payments and consumers pressuring businesses to take cash in exchange for a discount are captured. </w:t>
      </w:r>
    </w:p>
    <w:p w14:paraId="5AD84660" w14:textId="77777777" w:rsidR="009F4D4D" w:rsidRDefault="009F4D4D" w:rsidP="00DF75F5">
      <w:pPr>
        <w:pStyle w:val="Bullet"/>
        <w:numPr>
          <w:ilvl w:val="0"/>
          <w:numId w:val="0"/>
        </w:numPr>
        <w:rPr>
          <w:rFonts w:eastAsia="Arial"/>
        </w:rPr>
      </w:pPr>
    </w:p>
    <w:tbl>
      <w:tblPr>
        <w:tblW w:w="0" w:type="auto"/>
        <w:tblBorders>
          <w:top w:val="single" w:sz="4" w:space="0" w:color="004A7F"/>
          <w:left w:val="single" w:sz="4" w:space="0" w:color="004A7F"/>
          <w:bottom w:val="single" w:sz="4" w:space="0" w:color="004A7F"/>
          <w:right w:val="single" w:sz="4" w:space="0" w:color="004A7F"/>
        </w:tblBorders>
        <w:shd w:val="clear" w:color="auto" w:fill="DEEAF6" w:themeFill="accent1" w:themeFillTint="33"/>
        <w:tblLook w:val="04A0" w:firstRow="1" w:lastRow="0" w:firstColumn="1" w:lastColumn="0" w:noHBand="0" w:noVBand="1"/>
      </w:tblPr>
      <w:tblGrid>
        <w:gridCol w:w="9286"/>
      </w:tblGrid>
      <w:tr w:rsidR="00B35E7F" w14:paraId="3DAEB0F0" w14:textId="77777777" w:rsidTr="00DB61F6">
        <w:tc>
          <w:tcPr>
            <w:tcW w:w="9286" w:type="dxa"/>
            <w:shd w:val="clear" w:color="auto" w:fill="DEEAF6" w:themeFill="accent1" w:themeFillTint="33"/>
          </w:tcPr>
          <w:p w14:paraId="3610BF52" w14:textId="77777777" w:rsidR="00B35E7F" w:rsidRDefault="00B35E7F" w:rsidP="00DB61F6">
            <w:pPr>
              <w:pStyle w:val="BoxHeading"/>
            </w:pPr>
            <w:r>
              <w:t>Questions</w:t>
            </w:r>
          </w:p>
          <w:p w14:paraId="3B887C97" w14:textId="77777777" w:rsidR="001210E7" w:rsidRDefault="006337E1" w:rsidP="00030453">
            <w:pPr>
              <w:pStyle w:val="BoxNumbering"/>
            </w:pPr>
            <w:r>
              <w:t xml:space="preserve">Should </w:t>
            </w:r>
            <w:r w:rsidR="00B40FAB">
              <w:t xml:space="preserve">there be any additional reporting </w:t>
            </w:r>
            <w:proofErr w:type="spellStart"/>
            <w:r w:rsidR="00B40FAB">
              <w:t>requirments</w:t>
            </w:r>
            <w:proofErr w:type="spellEnd"/>
            <w:r w:rsidR="00B40FAB">
              <w:t xml:space="preserve"> for </w:t>
            </w:r>
            <w:r>
              <w:t xml:space="preserve">businesses </w:t>
            </w:r>
            <w:r w:rsidR="00B40FAB">
              <w:t xml:space="preserve">to </w:t>
            </w:r>
            <w:r>
              <w:t xml:space="preserve">report transactions above </w:t>
            </w:r>
            <w:r w:rsidR="00B40FAB">
              <w:t xml:space="preserve">or close to </w:t>
            </w:r>
            <w:r>
              <w:t xml:space="preserve">the cash payment limit? </w:t>
            </w:r>
          </w:p>
          <w:p w14:paraId="7E20717C" w14:textId="77777777" w:rsidR="00B35E7F" w:rsidRDefault="00030453" w:rsidP="004F2704">
            <w:pPr>
              <w:pStyle w:val="BoxNumbering"/>
            </w:pPr>
            <w:r>
              <w:t xml:space="preserve">Is it appropriate for both parties to </w:t>
            </w:r>
            <w:r w:rsidR="004F2704">
              <w:t xml:space="preserve">a </w:t>
            </w:r>
            <w:r>
              <w:t xml:space="preserve">transaction </w:t>
            </w:r>
            <w:r w:rsidR="004F2704">
              <w:t xml:space="preserve">exceeding the cash payment limit </w:t>
            </w:r>
            <w:proofErr w:type="gramStart"/>
            <w:r w:rsidR="001210E7">
              <w:t>be</w:t>
            </w:r>
            <w:proofErr w:type="gramEnd"/>
            <w:r w:rsidR="001210E7">
              <w:t xml:space="preserve"> liable for a penalty</w:t>
            </w:r>
            <w:r w:rsidR="00B35E7F">
              <w:t>?</w:t>
            </w:r>
          </w:p>
        </w:tc>
      </w:tr>
    </w:tbl>
    <w:p w14:paraId="71C6A9A5" w14:textId="77777777" w:rsidR="00A60E1B" w:rsidRDefault="00A60E1B" w:rsidP="00E345C4">
      <w:pPr>
        <w:pStyle w:val="Bullet"/>
        <w:numPr>
          <w:ilvl w:val="0"/>
          <w:numId w:val="0"/>
        </w:numPr>
      </w:pPr>
    </w:p>
    <w:p w14:paraId="6D672390" w14:textId="77777777" w:rsidR="00A71033" w:rsidRPr="00E345C4" w:rsidRDefault="00DF2B22" w:rsidP="0006378E">
      <w:pPr>
        <w:pStyle w:val="Heading5"/>
      </w:pPr>
      <w:r>
        <w:t xml:space="preserve">Do </w:t>
      </w:r>
      <w:r w:rsidR="00A223A9" w:rsidRPr="00E345C4">
        <w:t xml:space="preserve">we </w:t>
      </w:r>
      <w:r>
        <w:t xml:space="preserve">need </w:t>
      </w:r>
      <w:r w:rsidR="00A223A9" w:rsidRPr="00E345C4">
        <w:t>further</w:t>
      </w:r>
      <w:r w:rsidR="00A71033" w:rsidRPr="00E345C4">
        <w:t xml:space="preserve"> integrity measures</w:t>
      </w:r>
      <w:r w:rsidR="00E345C4" w:rsidRPr="00E345C4">
        <w:t>?</w:t>
      </w:r>
    </w:p>
    <w:p w14:paraId="28CC387C" w14:textId="1EE98A2A" w:rsidR="00DF2B22" w:rsidRDefault="009A6BC4" w:rsidP="00E345C4">
      <w:pPr>
        <w:pStyle w:val="Dash"/>
        <w:numPr>
          <w:ilvl w:val="0"/>
          <w:numId w:val="0"/>
        </w:numPr>
      </w:pPr>
      <w:r>
        <w:t>M</w:t>
      </w:r>
      <w:r w:rsidR="00DF2B22">
        <w:t>any European countries</w:t>
      </w:r>
      <w:r w:rsidR="00B80668">
        <w:t xml:space="preserve"> that</w:t>
      </w:r>
      <w:r w:rsidR="00DF2B22">
        <w:t xml:space="preserve"> have introduced cash payments limit have</w:t>
      </w:r>
      <w:r w:rsidR="001C2BBC">
        <w:t xml:space="preserve"> also</w:t>
      </w:r>
      <w:r w:rsidR="00DF2B22">
        <w:t xml:space="preserve"> introduced </w:t>
      </w:r>
      <w:r w:rsidR="001C2BBC">
        <w:t xml:space="preserve">complementary </w:t>
      </w:r>
      <w:r w:rsidR="00DF2B22">
        <w:t xml:space="preserve">integrity measures to </w:t>
      </w:r>
      <w:r w:rsidR="00D818E5">
        <w:t>facilitate</w:t>
      </w:r>
      <w:r w:rsidR="00DF2B22">
        <w:t xml:space="preserve"> compliance by all industries</w:t>
      </w:r>
      <w:r>
        <w:t xml:space="preserve"> (see </w:t>
      </w:r>
      <w:r w:rsidR="00704B47">
        <w:t>A</w:t>
      </w:r>
      <w:r>
        <w:t>ttachment A).</w:t>
      </w:r>
      <w:r w:rsidR="00DF2B22">
        <w:t xml:space="preserve"> </w:t>
      </w:r>
    </w:p>
    <w:p w14:paraId="3D9FB98D" w14:textId="77777777" w:rsidR="00E345C4" w:rsidRDefault="00E345C4" w:rsidP="00E345C4">
      <w:pPr>
        <w:pStyle w:val="Dash"/>
        <w:numPr>
          <w:ilvl w:val="0"/>
          <w:numId w:val="0"/>
        </w:numPr>
      </w:pPr>
      <w:r>
        <w:t xml:space="preserve">In </w:t>
      </w:r>
      <w:r w:rsidR="00DF2B22">
        <w:t xml:space="preserve">Australia, </w:t>
      </w:r>
      <w:r w:rsidR="00577587">
        <w:t>there</w:t>
      </w:r>
      <w:r w:rsidR="00DF2B22">
        <w:t xml:space="preserve"> </w:t>
      </w:r>
      <w:r>
        <w:t xml:space="preserve">will still be </w:t>
      </w:r>
      <w:r w:rsidR="00577587">
        <w:t xml:space="preserve">the </w:t>
      </w:r>
      <w:r>
        <w:t>require</w:t>
      </w:r>
      <w:r w:rsidR="00577587">
        <w:t>ment for</w:t>
      </w:r>
      <w:r>
        <w:t xml:space="preserve"> compl</w:t>
      </w:r>
      <w:r w:rsidR="00577587">
        <w:t>iance</w:t>
      </w:r>
      <w:r>
        <w:t xml:space="preserve"> with the current AML/CTF reporting requirements</w:t>
      </w:r>
      <w:r w:rsidR="00DF2B22">
        <w:t xml:space="preserve"> in addition to the new cash payments limit</w:t>
      </w:r>
      <w:r>
        <w:t xml:space="preserve">. </w:t>
      </w:r>
      <w:r w:rsidR="00821911">
        <w:t xml:space="preserve">However consideration needs to be given to whether similar integrity measures are required and what risks they address. </w:t>
      </w:r>
    </w:p>
    <w:p w14:paraId="339E1B28" w14:textId="77777777" w:rsidR="00DF75F5" w:rsidRDefault="00DF75F5" w:rsidP="00E345C4">
      <w:pPr>
        <w:pStyle w:val="Dash"/>
        <w:numPr>
          <w:ilvl w:val="0"/>
          <w:numId w:val="0"/>
        </w:numPr>
      </w:pPr>
      <w:r>
        <w:t xml:space="preserve">Furthermore, consideration should be given to integrity measures aimed at restricting the ability to structure payments to get around the </w:t>
      </w:r>
      <w:r w:rsidR="00E66E35">
        <w:t>payment</w:t>
      </w:r>
      <w:r>
        <w:t xml:space="preserve"> limit</w:t>
      </w:r>
      <w:r w:rsidR="00E7312B">
        <w:t xml:space="preserve">. </w:t>
      </w:r>
      <w:r w:rsidR="00B80668">
        <w:t xml:space="preserve"> </w:t>
      </w:r>
    </w:p>
    <w:p w14:paraId="5384AB91" w14:textId="77777777" w:rsidR="005963C7" w:rsidRDefault="005963C7" w:rsidP="00E345C4">
      <w:pPr>
        <w:pStyle w:val="Dash"/>
        <w:numPr>
          <w:ilvl w:val="0"/>
          <w:numId w:val="0"/>
        </w:numPr>
      </w:pPr>
      <w:r>
        <w:t>Specific examples for consideration include:</w:t>
      </w:r>
    </w:p>
    <w:p w14:paraId="23B6B1F2" w14:textId="006638A4" w:rsidR="005963C7" w:rsidRDefault="005963C7" w:rsidP="005963C7">
      <w:pPr>
        <w:pStyle w:val="Bullet"/>
      </w:pPr>
      <w:r>
        <w:t>Long term payment plans where the total purchase price is above the cash payment limit</w:t>
      </w:r>
      <w:r w:rsidR="00683394">
        <w:t>.</w:t>
      </w:r>
    </w:p>
    <w:p w14:paraId="32D54358" w14:textId="77777777" w:rsidR="005963C7" w:rsidRDefault="005963C7" w:rsidP="005963C7">
      <w:pPr>
        <w:pStyle w:val="Bullet"/>
      </w:pPr>
      <w:r>
        <w:t>Digital currencies.</w:t>
      </w:r>
    </w:p>
    <w:p w14:paraId="3A8543D0" w14:textId="77777777" w:rsidR="00B40FAB" w:rsidRDefault="00B40FAB" w:rsidP="005963C7">
      <w:pPr>
        <w:pStyle w:val="Bullet"/>
      </w:pPr>
      <w:r>
        <w:t>Traveller’s cheques</w:t>
      </w:r>
      <w:r w:rsidR="00683394">
        <w:t>.</w:t>
      </w:r>
    </w:p>
    <w:p w14:paraId="258748EC" w14:textId="77777777" w:rsidR="00D428F9" w:rsidRDefault="00DF75F5" w:rsidP="00E345C4">
      <w:pPr>
        <w:pStyle w:val="Dash"/>
        <w:numPr>
          <w:ilvl w:val="0"/>
          <w:numId w:val="0"/>
        </w:numPr>
      </w:pPr>
      <w:r>
        <w:t>I</w:t>
      </w:r>
      <w:r w:rsidR="00DF2B22">
        <w:t>ntegrity measures should, if implemented, not increase the regulatory burden on businesses but rather target known black economy behaviour which may see an increase</w:t>
      </w:r>
      <w:r w:rsidR="00E7312B">
        <w:t>,</w:t>
      </w:r>
      <w:r w:rsidR="00DF2B22">
        <w:t xml:space="preserve"> as </w:t>
      </w:r>
      <w:r w:rsidR="00E7312B">
        <w:t xml:space="preserve">dishonest </w:t>
      </w:r>
      <w:r w:rsidR="00DF2B22">
        <w:t>operators seek to get around the cash payment limit.</w:t>
      </w:r>
    </w:p>
    <w:p w14:paraId="52054EB7" w14:textId="77777777" w:rsidR="001A3C1B" w:rsidRDefault="001A3C1B" w:rsidP="00E345C4">
      <w:pPr>
        <w:pStyle w:val="Dash"/>
        <w:numPr>
          <w:ilvl w:val="0"/>
          <w:numId w:val="0"/>
        </w:numPr>
      </w:pPr>
    </w:p>
    <w:tbl>
      <w:tblPr>
        <w:tblW w:w="0" w:type="auto"/>
        <w:tblBorders>
          <w:top w:val="single" w:sz="4" w:space="0" w:color="004A7F"/>
          <w:left w:val="single" w:sz="4" w:space="0" w:color="004A7F"/>
          <w:bottom w:val="single" w:sz="4" w:space="0" w:color="004A7F"/>
          <w:right w:val="single" w:sz="4" w:space="0" w:color="004A7F"/>
        </w:tblBorders>
        <w:shd w:val="clear" w:color="auto" w:fill="DEEAF6" w:themeFill="accent1" w:themeFillTint="33"/>
        <w:tblLook w:val="04A0" w:firstRow="1" w:lastRow="0" w:firstColumn="1" w:lastColumn="0" w:noHBand="0" w:noVBand="1"/>
      </w:tblPr>
      <w:tblGrid>
        <w:gridCol w:w="9286"/>
      </w:tblGrid>
      <w:tr w:rsidR="00694612" w14:paraId="65917604" w14:textId="77777777" w:rsidTr="00137872">
        <w:tc>
          <w:tcPr>
            <w:tcW w:w="9286" w:type="dxa"/>
            <w:shd w:val="clear" w:color="auto" w:fill="DEEAF6" w:themeFill="accent1" w:themeFillTint="33"/>
          </w:tcPr>
          <w:p w14:paraId="30A9992C" w14:textId="77777777" w:rsidR="00694612" w:rsidRDefault="00694612" w:rsidP="00137872">
            <w:pPr>
              <w:pStyle w:val="BoxHeading"/>
            </w:pPr>
            <w:r>
              <w:t>Questions</w:t>
            </w:r>
          </w:p>
          <w:p w14:paraId="75660CE4" w14:textId="77777777" w:rsidR="002A7257" w:rsidRDefault="002A7257" w:rsidP="00137872">
            <w:pPr>
              <w:pStyle w:val="BoxNumbering"/>
            </w:pPr>
            <w:r>
              <w:t>What integrity measures are needed to support the cash payment limit?</w:t>
            </w:r>
          </w:p>
          <w:p w14:paraId="670973D9" w14:textId="77777777" w:rsidR="005449BA" w:rsidRDefault="005449BA" w:rsidP="00137872">
            <w:pPr>
              <w:pStyle w:val="BoxNumbering"/>
            </w:pPr>
            <w:r>
              <w:t xml:space="preserve">What restrictions should be put in place to ensure cash transactions cannot be structured to take place over a period of time in amounts below the </w:t>
            </w:r>
            <w:r w:rsidR="00E66E35">
              <w:t>payment limit</w:t>
            </w:r>
            <w:r>
              <w:t xml:space="preserve"> as a way of subverting the</w:t>
            </w:r>
            <w:r w:rsidR="00E7312B">
              <w:t xml:space="preserve"> policy</w:t>
            </w:r>
            <w:r>
              <w:t>?</w:t>
            </w:r>
          </w:p>
          <w:p w14:paraId="70AE30C2" w14:textId="77777777" w:rsidR="00DF2B22" w:rsidRDefault="005449BA" w:rsidP="00A05859">
            <w:pPr>
              <w:pStyle w:val="BoxNumbering"/>
            </w:pPr>
            <w:r>
              <w:t>Are there integrity measures</w:t>
            </w:r>
            <w:r w:rsidR="00E7312B">
              <w:t xml:space="preserve"> that support a cash payment limit, including those in use </w:t>
            </w:r>
            <w:proofErr w:type="gramStart"/>
            <w:r w:rsidR="00E7312B">
              <w:t>overseas, that</w:t>
            </w:r>
            <w:proofErr w:type="gramEnd"/>
            <w:r>
              <w:t xml:space="preserve"> </w:t>
            </w:r>
            <w:r w:rsidR="00E7312B">
              <w:t xml:space="preserve">warrant consideration in Australia? </w:t>
            </w:r>
          </w:p>
        </w:tc>
      </w:tr>
    </w:tbl>
    <w:p w14:paraId="186954BE" w14:textId="77777777" w:rsidR="00694612" w:rsidRPr="004D18CC" w:rsidRDefault="00694612" w:rsidP="00694612"/>
    <w:p w14:paraId="1BE4B5F9" w14:textId="77777777" w:rsidR="00DB1C64" w:rsidRDefault="00DB1C64">
      <w:pPr>
        <w:spacing w:before="0" w:after="160" w:line="259" w:lineRule="auto"/>
        <w:rPr>
          <w:rFonts w:cs="Arial"/>
          <w:b/>
          <w:iCs/>
          <w:color w:val="004A7F"/>
          <w:kern w:val="32"/>
          <w:szCs w:val="36"/>
        </w:rPr>
      </w:pPr>
      <w:r>
        <w:br w:type="page"/>
      </w:r>
    </w:p>
    <w:p w14:paraId="3025C6BB" w14:textId="77777777" w:rsidR="00DF6338" w:rsidRDefault="001E1933" w:rsidP="0006378E">
      <w:pPr>
        <w:pStyle w:val="Heading5"/>
      </w:pPr>
      <w:r>
        <w:lastRenderedPageBreak/>
        <w:t>Is there a need for specific</w:t>
      </w:r>
      <w:r w:rsidR="00A71033" w:rsidRPr="00E345C4">
        <w:t xml:space="preserve"> exempt</w:t>
      </w:r>
      <w:r>
        <w:t>ions</w:t>
      </w:r>
      <w:r w:rsidR="00E345C4" w:rsidRPr="00E345C4">
        <w:t>?</w:t>
      </w:r>
    </w:p>
    <w:p w14:paraId="3445D365" w14:textId="77777777" w:rsidR="002F51FF" w:rsidRDefault="002F51FF" w:rsidP="00DF6338">
      <w:pPr>
        <w:pStyle w:val="Bullet"/>
        <w:numPr>
          <w:ilvl w:val="0"/>
          <w:numId w:val="0"/>
        </w:numPr>
      </w:pPr>
      <w:r>
        <w:t xml:space="preserve">Whilst it is anticipated that the majority of transactions made by consumers will be compliant under the new rules, there may be some groups that require an exemption to the cash payment limit. </w:t>
      </w:r>
    </w:p>
    <w:p w14:paraId="75CB8CE6" w14:textId="77777777" w:rsidR="00DF2B22" w:rsidRDefault="00374851" w:rsidP="00DF6338">
      <w:pPr>
        <w:pStyle w:val="Bullet"/>
        <w:numPr>
          <w:ilvl w:val="0"/>
          <w:numId w:val="0"/>
        </w:numPr>
      </w:pPr>
      <w:r>
        <w:t>A</w:t>
      </w:r>
      <w:r w:rsidR="00A223A9">
        <w:t xml:space="preserve">pproximately 98 per cent of Australians have a bank account </w:t>
      </w:r>
      <w:r w:rsidR="00521514">
        <w:t>however</w:t>
      </w:r>
      <w:r w:rsidR="003F16B7">
        <w:t>,</w:t>
      </w:r>
      <w:r w:rsidR="00521514">
        <w:t xml:space="preserve"> this does not automatically equate to 98 per cent of Australians having regular </w:t>
      </w:r>
      <w:r w:rsidR="00A223A9">
        <w:t>access to banking facilities.</w:t>
      </w:r>
      <w:r w:rsidR="00521514">
        <w:t xml:space="preserve"> </w:t>
      </w:r>
    </w:p>
    <w:p w14:paraId="1CE95123" w14:textId="77777777" w:rsidR="00DE7180" w:rsidRDefault="00DF2B22" w:rsidP="00DF6338">
      <w:pPr>
        <w:pStyle w:val="Bullet"/>
        <w:numPr>
          <w:ilvl w:val="0"/>
          <w:numId w:val="0"/>
        </w:numPr>
      </w:pPr>
      <w:r>
        <w:t>As a result of this measure, p</w:t>
      </w:r>
      <w:r w:rsidR="00521514">
        <w:t>otential groups</w:t>
      </w:r>
      <w:r>
        <w:t>, including</w:t>
      </w:r>
      <w:r w:rsidR="00521514">
        <w:t xml:space="preserve"> those living in remote areas</w:t>
      </w:r>
      <w:r w:rsidR="00713E36">
        <w:t xml:space="preserve"> or charities</w:t>
      </w:r>
      <w:r>
        <w:t xml:space="preserve">, may be negatively impacted </w:t>
      </w:r>
      <w:r w:rsidR="009743A3">
        <w:t>as</w:t>
      </w:r>
      <w:r>
        <w:t xml:space="preserve"> they </w:t>
      </w:r>
      <w:r w:rsidR="001E1933">
        <w:t xml:space="preserve">may need to </w:t>
      </w:r>
      <w:r>
        <w:t>rely on the ability to make</w:t>
      </w:r>
      <w:r w:rsidR="00DE7180">
        <w:t xml:space="preserve"> or receive</w:t>
      </w:r>
      <w:r>
        <w:t xml:space="preserve"> large cash payments</w:t>
      </w:r>
      <w:r w:rsidR="00521514">
        <w:t xml:space="preserve">. </w:t>
      </w:r>
    </w:p>
    <w:p w14:paraId="3DDA6FAD" w14:textId="77777777" w:rsidR="00521514" w:rsidRDefault="00521514" w:rsidP="00521514">
      <w:pPr>
        <w:pStyle w:val="Bullet"/>
        <w:numPr>
          <w:ilvl w:val="0"/>
          <w:numId w:val="0"/>
        </w:numPr>
      </w:pPr>
      <w:r>
        <w:t>Further, the Black Economy Taskforce Final Report and work undertaken by the Reserve Bank of Australia highlighted that</w:t>
      </w:r>
      <w:r w:rsidR="009743A3">
        <w:t xml:space="preserve"> some groups, including</w:t>
      </w:r>
      <w:r>
        <w:t xml:space="preserve"> </w:t>
      </w:r>
      <w:r w:rsidR="00986A41">
        <w:t>senior</w:t>
      </w:r>
      <w:r>
        <w:t xml:space="preserve"> Australians</w:t>
      </w:r>
      <w:r w:rsidR="009743A3">
        <w:t>,</w:t>
      </w:r>
      <w:r>
        <w:t xml:space="preserve"> have a higher reliance on cash as opposed to electronic banking facilities. </w:t>
      </w:r>
    </w:p>
    <w:p w14:paraId="7FFB1004" w14:textId="77777777" w:rsidR="009A6BC4" w:rsidRDefault="00BF40F8" w:rsidP="009A6BC4">
      <w:pPr>
        <w:pStyle w:val="Bullet"/>
        <w:numPr>
          <w:ilvl w:val="0"/>
          <w:numId w:val="0"/>
        </w:numPr>
      </w:pPr>
      <w:r>
        <w:t>Many foreign jurisdictions either have an exemption or apply a higher cash payment limit to foreign tourists to reflect the fact that whilst they are able to legitimately have large sums of physical currency, they may not be able to make transactions through electronic payments systems.</w:t>
      </w:r>
      <w:r w:rsidR="009A6BC4">
        <w:t xml:space="preserve"> For example, in France the cash payment limit for residents is EUR 1,000 but non-residents have a higher limit of EUR 15,000. </w:t>
      </w:r>
    </w:p>
    <w:p w14:paraId="5DA2774A" w14:textId="77777777" w:rsidR="00BF40F8" w:rsidRDefault="009A6BC4" w:rsidP="00521514">
      <w:pPr>
        <w:pStyle w:val="Bullet"/>
        <w:numPr>
          <w:ilvl w:val="0"/>
          <w:numId w:val="0"/>
        </w:numPr>
      </w:pPr>
      <w:r>
        <w:t xml:space="preserve">This lack of access could be a matter of convenience, their home bank not having international access or home country domestic laws placing restrictions on transfer of currency. </w:t>
      </w:r>
    </w:p>
    <w:p w14:paraId="3CC74C3E" w14:textId="77777777" w:rsidR="004C3C53" w:rsidRDefault="003F16B7" w:rsidP="00521514">
      <w:pPr>
        <w:pStyle w:val="Bullet"/>
        <w:numPr>
          <w:ilvl w:val="0"/>
          <w:numId w:val="0"/>
        </w:numPr>
      </w:pPr>
      <w:r>
        <w:t>There is currently no limit imposed on the amount of cash that a person entering or leaving Australia at the border is able to carry. H</w:t>
      </w:r>
      <w:r w:rsidR="00D0474D">
        <w:t>owever</w:t>
      </w:r>
      <w:r>
        <w:t>,</w:t>
      </w:r>
      <w:r w:rsidR="00D0474D">
        <w:t xml:space="preserve"> amounts in excess of $10,000</w:t>
      </w:r>
      <w:r>
        <w:t xml:space="preserve"> in physical cash</w:t>
      </w:r>
      <w:r w:rsidR="00D0474D">
        <w:t xml:space="preserve"> must be declared to AUSTRAC</w:t>
      </w:r>
      <w:r>
        <w:t xml:space="preserve"> on entering and exiting Australia</w:t>
      </w:r>
      <w:r w:rsidR="00D0474D">
        <w:t xml:space="preserve">. </w:t>
      </w:r>
      <w:r w:rsidR="004C3C53">
        <w:t xml:space="preserve">This includes mailing or shipping currency of </w:t>
      </w:r>
      <w:r w:rsidR="00FB00BB">
        <w:t>$1</w:t>
      </w:r>
      <w:r w:rsidR="004C3C53">
        <w:t xml:space="preserve">0,000 or more (or foreign currency equivalent) into or out of Australia. Reports must be submitted before the physical currency is sent or carried out of Australia, or carried into Australia. </w:t>
      </w:r>
    </w:p>
    <w:p w14:paraId="44C4B1C0" w14:textId="77777777" w:rsidR="00286C47" w:rsidRDefault="009A6BC4" w:rsidP="00521514">
      <w:pPr>
        <w:pStyle w:val="Bullet"/>
        <w:numPr>
          <w:ilvl w:val="0"/>
          <w:numId w:val="0"/>
        </w:numPr>
      </w:pPr>
      <w:r>
        <w:t xml:space="preserve">Stakeholder </w:t>
      </w:r>
      <w:r w:rsidR="00286C47">
        <w:t>views are</w:t>
      </w:r>
      <w:r>
        <w:t xml:space="preserve"> sought on what the expected impacts would be if tourists are included in the ca</w:t>
      </w:r>
      <w:r w:rsidR="00286C47">
        <w:t>sh payment</w:t>
      </w:r>
      <w:r w:rsidR="00A05859">
        <w:t xml:space="preserve"> </w:t>
      </w:r>
      <w:r w:rsidR="00286C47">
        <w:t xml:space="preserve">limit and </w:t>
      </w:r>
      <w:r w:rsidR="00E7312B">
        <w:t xml:space="preserve">whether there are </w:t>
      </w:r>
      <w:r w:rsidR="00286C47">
        <w:t xml:space="preserve">specific impediments to tourists making large cash payments in excess of the limit through the electronic banking system. </w:t>
      </w:r>
    </w:p>
    <w:p w14:paraId="48E3FAAD" w14:textId="77777777" w:rsidR="009A6BC4" w:rsidRDefault="009A6BC4" w:rsidP="00521514">
      <w:pPr>
        <w:pStyle w:val="Bullet"/>
        <w:numPr>
          <w:ilvl w:val="0"/>
          <w:numId w:val="0"/>
        </w:numPr>
      </w:pPr>
      <w:r>
        <w:t>If</w:t>
      </w:r>
      <w:r w:rsidR="00C560A1">
        <w:t>,</w:t>
      </w:r>
      <w:r>
        <w:t xml:space="preserve"> as in other countries</w:t>
      </w:r>
      <w:r w:rsidR="00C560A1">
        <w:t>,</w:t>
      </w:r>
      <w:r>
        <w:t xml:space="preserve"> a higher limit is given for </w:t>
      </w:r>
      <w:r w:rsidR="00C560A1">
        <w:t>tourists</w:t>
      </w:r>
      <w:r>
        <w:t xml:space="preserve">, what practical implementation issues </w:t>
      </w:r>
      <w:r w:rsidR="002A7257">
        <w:t xml:space="preserve">would there be for businesses to </w:t>
      </w:r>
      <w:r>
        <w:t>determin</w:t>
      </w:r>
      <w:r w:rsidR="002A7257">
        <w:t>e</w:t>
      </w:r>
      <w:r>
        <w:t xml:space="preserve"> which customers are eligible to access the higher limit. </w:t>
      </w:r>
    </w:p>
    <w:tbl>
      <w:tblPr>
        <w:tblW w:w="0" w:type="auto"/>
        <w:tblBorders>
          <w:top w:val="single" w:sz="4" w:space="0" w:color="004A7F"/>
          <w:left w:val="single" w:sz="4" w:space="0" w:color="004A7F"/>
          <w:bottom w:val="single" w:sz="4" w:space="0" w:color="004A7F"/>
          <w:right w:val="single" w:sz="4" w:space="0" w:color="004A7F"/>
        </w:tblBorders>
        <w:shd w:val="clear" w:color="auto" w:fill="DEEAF6" w:themeFill="accent1" w:themeFillTint="33"/>
        <w:tblLook w:val="04A0" w:firstRow="1" w:lastRow="0" w:firstColumn="1" w:lastColumn="0" w:noHBand="0" w:noVBand="1"/>
      </w:tblPr>
      <w:tblGrid>
        <w:gridCol w:w="9286"/>
      </w:tblGrid>
      <w:tr w:rsidR="00694612" w14:paraId="791E6D19" w14:textId="77777777" w:rsidTr="00137872">
        <w:tc>
          <w:tcPr>
            <w:tcW w:w="9286" w:type="dxa"/>
            <w:shd w:val="clear" w:color="auto" w:fill="DEEAF6" w:themeFill="accent1" w:themeFillTint="33"/>
          </w:tcPr>
          <w:p w14:paraId="6D149636" w14:textId="77777777" w:rsidR="00694612" w:rsidRDefault="00694612" w:rsidP="00137872">
            <w:pPr>
              <w:pStyle w:val="BoxHeading"/>
            </w:pPr>
            <w:r>
              <w:t>Questions</w:t>
            </w:r>
          </w:p>
          <w:p w14:paraId="49D38DE0" w14:textId="77777777" w:rsidR="00694612" w:rsidRDefault="00E345C4" w:rsidP="00137872">
            <w:pPr>
              <w:pStyle w:val="BoxNumbering"/>
            </w:pPr>
            <w:r>
              <w:t>Are there any speci</w:t>
            </w:r>
            <w:r w:rsidR="00521514">
              <w:t>fic groups that should be exempt</w:t>
            </w:r>
            <w:r w:rsidR="002A7257">
              <w:t xml:space="preserve"> and why</w:t>
            </w:r>
            <w:r w:rsidR="00521514">
              <w:t>?</w:t>
            </w:r>
          </w:p>
          <w:p w14:paraId="53F6B8BE" w14:textId="77777777" w:rsidR="00DF2B22" w:rsidRDefault="00C560A1" w:rsidP="00137872">
            <w:pPr>
              <w:pStyle w:val="BoxNumbering"/>
            </w:pPr>
            <w:r>
              <w:t xml:space="preserve"> Are </w:t>
            </w:r>
            <w:proofErr w:type="gramStart"/>
            <w:r>
              <w:t xml:space="preserve">there </w:t>
            </w:r>
            <w:r w:rsidR="00DF2B22">
              <w:t xml:space="preserve"> examples</w:t>
            </w:r>
            <w:proofErr w:type="gramEnd"/>
            <w:r w:rsidR="00DF2B22">
              <w:t xml:space="preserve"> of current </w:t>
            </w:r>
            <w:r w:rsidR="006601A3">
              <w:t xml:space="preserve">large </w:t>
            </w:r>
            <w:r w:rsidR="00DF2B22">
              <w:t>cash payments made by people living in remote areas</w:t>
            </w:r>
            <w:r w:rsidR="00A05859">
              <w:t xml:space="preserve"> </w:t>
            </w:r>
            <w:r w:rsidR="00DB61F6">
              <w:t xml:space="preserve">or </w:t>
            </w:r>
            <w:r>
              <w:t xml:space="preserve">by </w:t>
            </w:r>
            <w:r w:rsidR="00DB61F6">
              <w:t xml:space="preserve">senior Australians </w:t>
            </w:r>
            <w:r>
              <w:t xml:space="preserve">that </w:t>
            </w:r>
            <w:r w:rsidR="00DF2B22">
              <w:t>cannot easily be made through electronic payment systems?</w:t>
            </w:r>
          </w:p>
          <w:p w14:paraId="3B1A4038" w14:textId="08CABE58" w:rsidR="00694612" w:rsidRDefault="002F51FF" w:rsidP="00C560A1">
            <w:pPr>
              <w:pStyle w:val="BoxNumbering"/>
            </w:pPr>
            <w:r>
              <w:t>Is there a need for different rules for foreign tourists</w:t>
            </w:r>
            <w:r w:rsidR="00DB61F6">
              <w:t xml:space="preserve">? </w:t>
            </w:r>
            <w:r w:rsidR="00683394">
              <w:t>Would the administrative burden on business in administering a higher cash limit specifically for tourists, justify retaining the $10,000 cash limit for all, including tourists?</w:t>
            </w:r>
          </w:p>
        </w:tc>
      </w:tr>
    </w:tbl>
    <w:p w14:paraId="1F4C403C" w14:textId="77777777" w:rsidR="00694612" w:rsidRDefault="00694612" w:rsidP="00694612">
      <w:pPr>
        <w:pStyle w:val="DoubleDot"/>
        <w:numPr>
          <w:ilvl w:val="0"/>
          <w:numId w:val="0"/>
        </w:numPr>
      </w:pPr>
    </w:p>
    <w:p w14:paraId="4B4903B4" w14:textId="77777777" w:rsidR="00FF75FA" w:rsidRDefault="00FF75FA" w:rsidP="00E345C4">
      <w:pPr>
        <w:pStyle w:val="Bullet"/>
        <w:numPr>
          <w:ilvl w:val="0"/>
          <w:numId w:val="0"/>
        </w:numPr>
        <w:rPr>
          <w:rFonts w:eastAsia="Arial"/>
        </w:rPr>
      </w:pPr>
      <w:r>
        <w:rPr>
          <w:rFonts w:eastAsia="Arial"/>
        </w:rPr>
        <w:t xml:space="preserve"> </w:t>
      </w:r>
    </w:p>
    <w:p w14:paraId="4B1FFC49" w14:textId="77777777" w:rsidR="00694612" w:rsidRPr="004D18CC" w:rsidRDefault="00694612" w:rsidP="00694612"/>
    <w:p w14:paraId="251E6BF1" w14:textId="77777777" w:rsidR="00B35E7F" w:rsidRDefault="00EB796C" w:rsidP="00B35E7F">
      <w:pPr>
        <w:pStyle w:val="Heading2"/>
        <w:pageBreakBefore/>
      </w:pPr>
      <w:bookmarkStart w:id="16" w:name="_Toc514056248"/>
      <w:r>
        <w:lastRenderedPageBreak/>
        <w:t xml:space="preserve">Attachment A - </w:t>
      </w:r>
      <w:r w:rsidR="00B35E7F">
        <w:t>International examples of payment limits</w:t>
      </w:r>
      <w:bookmarkEnd w:id="16"/>
    </w:p>
    <w:p w14:paraId="1B1FB3DA" w14:textId="5A2892CE" w:rsidR="00B35E7F" w:rsidRDefault="00B35E7F" w:rsidP="00B35E7F">
      <w:pPr>
        <w:pStyle w:val="Bullet"/>
        <w:numPr>
          <w:ilvl w:val="0"/>
          <w:numId w:val="0"/>
        </w:numPr>
      </w:pPr>
      <w:r>
        <w:t xml:space="preserve">A number of European countries have implemented a cash </w:t>
      </w:r>
      <w:r w:rsidR="00683394">
        <w:t>payment limit</w:t>
      </w:r>
      <w:r>
        <w:t xml:space="preserve"> </w:t>
      </w:r>
      <w:r w:rsidR="00683394">
        <w:t xml:space="preserve">in recent years. </w:t>
      </w:r>
    </w:p>
    <w:p w14:paraId="2A43679F" w14:textId="77777777" w:rsidR="009A6BC4" w:rsidRDefault="009A6BC4" w:rsidP="009A6BC4">
      <w:pPr>
        <w:pStyle w:val="Bullet"/>
        <w:numPr>
          <w:ilvl w:val="0"/>
          <w:numId w:val="0"/>
        </w:numPr>
      </w:pPr>
      <w:r>
        <w:t>The UK has recently released a consultation paper calling for evidence concerning large cash transactions, why they are used and what can be done to crack down on the minority who use cash to evade tax and launder money</w:t>
      </w:r>
      <w:r>
        <w:rPr>
          <w:rStyle w:val="FootnoteReference"/>
        </w:rPr>
        <w:footnoteReference w:id="4"/>
      </w:r>
      <w:r>
        <w:t xml:space="preserve">. </w:t>
      </w:r>
    </w:p>
    <w:p w14:paraId="76EB05CA" w14:textId="6194E225" w:rsidR="00A44511" w:rsidRDefault="00A44511" w:rsidP="009A6BC4">
      <w:pPr>
        <w:pStyle w:val="Bullet"/>
        <w:numPr>
          <w:ilvl w:val="0"/>
          <w:numId w:val="0"/>
        </w:numPr>
      </w:pPr>
      <w:r>
        <w:t xml:space="preserve">Israel has also recently </w:t>
      </w:r>
      <w:r w:rsidR="00952C08">
        <w:t xml:space="preserve">passed legislation to </w:t>
      </w:r>
      <w:r>
        <w:t xml:space="preserve">introduce a cash limit to target economic crime and money laundering. </w:t>
      </w:r>
    </w:p>
    <w:tbl>
      <w:tblPr>
        <w:tblStyle w:val="LightShading-Accent1"/>
        <w:tblW w:w="0" w:type="auto"/>
        <w:tblLook w:val="04A0" w:firstRow="1" w:lastRow="0" w:firstColumn="1" w:lastColumn="0" w:noHBand="0" w:noVBand="1"/>
      </w:tblPr>
      <w:tblGrid>
        <w:gridCol w:w="4643"/>
        <w:gridCol w:w="4643"/>
      </w:tblGrid>
      <w:tr w:rsidR="00B35E7F" w14:paraId="0370BD4F" w14:textId="77777777" w:rsidTr="00DB61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gridSpan w:val="2"/>
          </w:tcPr>
          <w:p w14:paraId="314A1E14" w14:textId="77777777" w:rsidR="00B35E7F" w:rsidRPr="007E1621" w:rsidRDefault="00B35E7F" w:rsidP="00DB61F6">
            <w:pPr>
              <w:pStyle w:val="Bullet"/>
              <w:numPr>
                <w:ilvl w:val="0"/>
                <w:numId w:val="0"/>
              </w:numPr>
              <w:jc w:val="center"/>
              <w:rPr>
                <w:color w:val="auto"/>
              </w:rPr>
            </w:pPr>
            <w:r w:rsidRPr="007E1621">
              <w:rPr>
                <w:color w:val="auto"/>
              </w:rPr>
              <w:t>France</w:t>
            </w:r>
          </w:p>
        </w:tc>
      </w:tr>
      <w:tr w:rsidR="00B35E7F" w14:paraId="3A18E3CB" w14:textId="77777777" w:rsidTr="00DB61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3" w:type="dxa"/>
          </w:tcPr>
          <w:p w14:paraId="171B4396" w14:textId="77777777" w:rsidR="00B35E7F" w:rsidRPr="00364F6D" w:rsidRDefault="00B35E7F" w:rsidP="00DB61F6">
            <w:pPr>
              <w:spacing w:after="0"/>
              <w:rPr>
                <w:color w:val="auto"/>
              </w:rPr>
            </w:pPr>
            <w:r w:rsidRPr="00364F6D">
              <w:rPr>
                <w:color w:val="auto"/>
              </w:rPr>
              <w:t>Cash Limit Rules</w:t>
            </w:r>
          </w:p>
          <w:p w14:paraId="0BFC9AB3" w14:textId="77777777" w:rsidR="00B35E7F" w:rsidRPr="007E1621" w:rsidRDefault="00B35E7F" w:rsidP="00DB61F6">
            <w:pPr>
              <w:spacing w:after="0"/>
              <w:rPr>
                <w:b w:val="0"/>
                <w:color w:val="auto"/>
              </w:rPr>
            </w:pPr>
            <w:r w:rsidRPr="007E1621">
              <w:rPr>
                <w:b w:val="0"/>
                <w:color w:val="auto"/>
              </w:rPr>
              <w:t>Residents are not allowed to make cash payments for goods of over EUR 1,000</w:t>
            </w:r>
            <w:r w:rsidR="00406F66">
              <w:rPr>
                <w:b w:val="0"/>
                <w:color w:val="auto"/>
              </w:rPr>
              <w:t xml:space="preserve"> (approx. AUD 1,600)</w:t>
            </w:r>
            <w:r w:rsidRPr="007E1621">
              <w:rPr>
                <w:b w:val="0"/>
                <w:color w:val="auto"/>
              </w:rPr>
              <w:t>. Cash payments for certain services cannot exceed EUR</w:t>
            </w:r>
            <w:r>
              <w:rPr>
                <w:b w:val="0"/>
                <w:color w:val="auto"/>
              </w:rPr>
              <w:t xml:space="preserve"> </w:t>
            </w:r>
            <w:r w:rsidRPr="007E1621">
              <w:rPr>
                <w:b w:val="0"/>
                <w:color w:val="auto"/>
              </w:rPr>
              <w:t xml:space="preserve">450. </w:t>
            </w:r>
          </w:p>
          <w:p w14:paraId="74C78A42" w14:textId="77777777" w:rsidR="00B35E7F" w:rsidRPr="007E1621" w:rsidRDefault="00B35E7F" w:rsidP="00DB61F6">
            <w:pPr>
              <w:spacing w:after="0"/>
              <w:rPr>
                <w:b w:val="0"/>
                <w:color w:val="auto"/>
              </w:rPr>
            </w:pPr>
            <w:r w:rsidRPr="007E1621">
              <w:rPr>
                <w:b w:val="0"/>
                <w:color w:val="auto"/>
              </w:rPr>
              <w:t xml:space="preserve">Exceptions </w:t>
            </w:r>
            <w:r>
              <w:rPr>
                <w:b w:val="0"/>
                <w:color w:val="auto"/>
              </w:rPr>
              <w:t>exist</w:t>
            </w:r>
            <w:r w:rsidRPr="007E1621">
              <w:rPr>
                <w:color w:val="auto"/>
              </w:rPr>
              <w:t xml:space="preserve"> </w:t>
            </w:r>
            <w:r w:rsidRPr="007E1621">
              <w:rPr>
                <w:b w:val="0"/>
                <w:color w:val="auto"/>
              </w:rPr>
              <w:t>for non-residents to make payments up to EUR 15,000</w:t>
            </w:r>
            <w:r w:rsidR="00406F66">
              <w:rPr>
                <w:b w:val="0"/>
                <w:color w:val="auto"/>
              </w:rPr>
              <w:t xml:space="preserve"> (approx. AUD 24,000)</w:t>
            </w:r>
            <w:r w:rsidRPr="007E1621">
              <w:rPr>
                <w:b w:val="0"/>
                <w:color w:val="auto"/>
              </w:rPr>
              <w:t xml:space="preserve">; for salaries </w:t>
            </w:r>
            <w:r>
              <w:rPr>
                <w:b w:val="0"/>
                <w:color w:val="auto"/>
              </w:rPr>
              <w:t xml:space="preserve">paid in cash </w:t>
            </w:r>
            <w:r w:rsidRPr="007E1621">
              <w:rPr>
                <w:b w:val="0"/>
                <w:color w:val="auto"/>
              </w:rPr>
              <w:t xml:space="preserve">up to EUR 1,500 </w:t>
            </w:r>
            <w:r w:rsidR="00406F66">
              <w:rPr>
                <w:b w:val="0"/>
                <w:color w:val="auto"/>
              </w:rPr>
              <w:t xml:space="preserve">(approx. 2,400) </w:t>
            </w:r>
            <w:r w:rsidRPr="007E1621">
              <w:rPr>
                <w:b w:val="0"/>
                <w:color w:val="auto"/>
              </w:rPr>
              <w:t xml:space="preserve">and for people who do not have any other means of payment. </w:t>
            </w:r>
          </w:p>
          <w:p w14:paraId="260FFFE3" w14:textId="77777777" w:rsidR="00B35E7F" w:rsidRPr="007E1621" w:rsidRDefault="00B35E7F" w:rsidP="00DB61F6">
            <w:pPr>
              <w:spacing w:after="0"/>
              <w:rPr>
                <w:color w:val="auto"/>
              </w:rPr>
            </w:pPr>
            <w:r w:rsidRPr="007E1621">
              <w:rPr>
                <w:b w:val="0"/>
                <w:color w:val="auto"/>
              </w:rPr>
              <w:t>For amounts below EUR 1,000, French laws require that merchants accept cash with no surcharge.</w:t>
            </w:r>
            <w:r w:rsidRPr="007E1621">
              <w:rPr>
                <w:color w:val="auto"/>
              </w:rPr>
              <w:t xml:space="preserve"> </w:t>
            </w:r>
          </w:p>
        </w:tc>
        <w:tc>
          <w:tcPr>
            <w:tcW w:w="4643" w:type="dxa"/>
          </w:tcPr>
          <w:p w14:paraId="4ED86F52" w14:textId="77777777" w:rsidR="00B35E7F" w:rsidRPr="006F4E6C" w:rsidRDefault="00B35E7F" w:rsidP="00DB61F6">
            <w:pPr>
              <w:cnfStyle w:val="000000100000" w:firstRow="0" w:lastRow="0" w:firstColumn="0" w:lastColumn="0" w:oddVBand="0" w:evenVBand="0" w:oddHBand="1" w:evenHBand="0" w:firstRowFirstColumn="0" w:firstRowLastColumn="0" w:lastRowFirstColumn="0" w:lastRowLastColumn="0"/>
              <w:rPr>
                <w:b/>
                <w:color w:val="auto"/>
              </w:rPr>
            </w:pPr>
            <w:r w:rsidRPr="006F4E6C">
              <w:rPr>
                <w:b/>
                <w:color w:val="auto"/>
              </w:rPr>
              <w:t>Integrity Measures</w:t>
            </w:r>
          </w:p>
          <w:p w14:paraId="60337E0B" w14:textId="77777777" w:rsidR="00B35E7F" w:rsidRPr="007E1621" w:rsidRDefault="00B35E7F" w:rsidP="00DB61F6">
            <w:pPr>
              <w:pStyle w:val="Bullet"/>
              <w:numPr>
                <w:ilvl w:val="0"/>
                <w:numId w:val="0"/>
              </w:numPr>
              <w:spacing w:after="0"/>
              <w:cnfStyle w:val="000000100000" w:firstRow="0" w:lastRow="0" w:firstColumn="0" w:lastColumn="0" w:oddVBand="0" w:evenVBand="0" w:oddHBand="1" w:evenHBand="0" w:firstRowFirstColumn="0" w:firstRowLastColumn="0" w:lastRowFirstColumn="0" w:lastRowLastColumn="0"/>
              <w:rPr>
                <w:color w:val="auto"/>
              </w:rPr>
            </w:pPr>
            <w:r w:rsidRPr="003923C7">
              <w:rPr>
                <w:color w:val="auto"/>
              </w:rPr>
              <w:t>Any cash deposit</w:t>
            </w:r>
            <w:r w:rsidR="00406F66">
              <w:rPr>
                <w:color w:val="auto"/>
              </w:rPr>
              <w:t>s</w:t>
            </w:r>
            <w:r w:rsidRPr="003923C7">
              <w:rPr>
                <w:color w:val="auto"/>
              </w:rPr>
              <w:t xml:space="preserve"> or withdrawal</w:t>
            </w:r>
            <w:r w:rsidR="00406F66">
              <w:rPr>
                <w:color w:val="auto"/>
              </w:rPr>
              <w:t>s</w:t>
            </w:r>
            <w:r w:rsidRPr="003923C7">
              <w:rPr>
                <w:color w:val="auto"/>
              </w:rPr>
              <w:t xml:space="preserve"> of more than</w:t>
            </w:r>
            <w:r w:rsidRPr="007E1621">
              <w:rPr>
                <w:color w:val="auto"/>
              </w:rPr>
              <w:t xml:space="preserve"> EUR 10,000 </w:t>
            </w:r>
            <w:r w:rsidR="00406F66">
              <w:rPr>
                <w:color w:val="auto"/>
              </w:rPr>
              <w:t xml:space="preserve">(approx. AUD 16,000) </w:t>
            </w:r>
            <w:r w:rsidRPr="007E1621">
              <w:rPr>
                <w:color w:val="auto"/>
              </w:rPr>
              <w:t xml:space="preserve">euros over a single month will be automatically </w:t>
            </w:r>
            <w:r>
              <w:rPr>
                <w:color w:val="auto"/>
              </w:rPr>
              <w:t>reported</w:t>
            </w:r>
            <w:r w:rsidRPr="007E1621">
              <w:rPr>
                <w:color w:val="auto"/>
              </w:rPr>
              <w:t xml:space="preserve"> to the </w:t>
            </w:r>
            <w:proofErr w:type="spellStart"/>
            <w:r w:rsidRPr="007E1621">
              <w:rPr>
                <w:color w:val="auto"/>
              </w:rPr>
              <w:t>Tracfin</w:t>
            </w:r>
            <w:proofErr w:type="spellEnd"/>
            <w:r w:rsidRPr="007E1621">
              <w:rPr>
                <w:color w:val="auto"/>
              </w:rPr>
              <w:t xml:space="preserve"> </w:t>
            </w:r>
            <w:r>
              <w:rPr>
                <w:color w:val="auto"/>
              </w:rPr>
              <w:t>A</w:t>
            </w:r>
            <w:r w:rsidRPr="007E1621">
              <w:rPr>
                <w:color w:val="auto"/>
              </w:rPr>
              <w:t>nti-</w:t>
            </w:r>
            <w:r>
              <w:rPr>
                <w:color w:val="auto"/>
              </w:rPr>
              <w:t>F</w:t>
            </w:r>
            <w:r w:rsidRPr="007E1621">
              <w:rPr>
                <w:color w:val="auto"/>
              </w:rPr>
              <w:t xml:space="preserve">raud and </w:t>
            </w:r>
            <w:r>
              <w:rPr>
                <w:color w:val="auto"/>
              </w:rPr>
              <w:t>M</w:t>
            </w:r>
            <w:r w:rsidRPr="007E1621">
              <w:rPr>
                <w:color w:val="auto"/>
              </w:rPr>
              <w:t xml:space="preserve">oney </w:t>
            </w:r>
            <w:r>
              <w:rPr>
                <w:color w:val="auto"/>
              </w:rPr>
              <w:t>L</w:t>
            </w:r>
            <w:r w:rsidRPr="007E1621">
              <w:rPr>
                <w:color w:val="auto"/>
              </w:rPr>
              <w:t xml:space="preserve">aundering </w:t>
            </w:r>
            <w:r>
              <w:rPr>
                <w:color w:val="auto"/>
              </w:rPr>
              <w:t>A</w:t>
            </w:r>
            <w:r w:rsidRPr="007E1621">
              <w:rPr>
                <w:color w:val="auto"/>
              </w:rPr>
              <w:t>gency by</w:t>
            </w:r>
            <w:r>
              <w:rPr>
                <w:color w:val="auto"/>
              </w:rPr>
              <w:t xml:space="preserve"> the relevant</w:t>
            </w:r>
            <w:r w:rsidRPr="007E1621">
              <w:rPr>
                <w:color w:val="auto"/>
              </w:rPr>
              <w:t xml:space="preserve"> bank.</w:t>
            </w:r>
            <w:r>
              <w:rPr>
                <w:color w:val="auto"/>
              </w:rPr>
              <w:t xml:space="preserve"> Further, </w:t>
            </w:r>
            <w:r w:rsidRPr="007E1621">
              <w:rPr>
                <w:color w:val="auto"/>
              </w:rPr>
              <w:t xml:space="preserve">authorities </w:t>
            </w:r>
            <w:r>
              <w:rPr>
                <w:color w:val="auto"/>
              </w:rPr>
              <w:t xml:space="preserve">also </w:t>
            </w:r>
            <w:r w:rsidRPr="007E1621">
              <w:rPr>
                <w:color w:val="auto"/>
              </w:rPr>
              <w:t>have to be notified over transfers of more than EUR 10,000.</w:t>
            </w:r>
          </w:p>
          <w:p w14:paraId="3277635C" w14:textId="77777777" w:rsidR="00B35E7F" w:rsidRPr="007E1621" w:rsidRDefault="00B35E7F" w:rsidP="00DB61F6">
            <w:pPr>
              <w:pStyle w:val="Bullet"/>
              <w:numPr>
                <w:ilvl w:val="0"/>
                <w:numId w:val="0"/>
              </w:numPr>
              <w:spacing w:after="0"/>
              <w:cnfStyle w:val="000000100000" w:firstRow="0" w:lastRow="0" w:firstColumn="0" w:lastColumn="0" w:oddVBand="0" w:evenVBand="0" w:oddHBand="1" w:evenHBand="0" w:firstRowFirstColumn="0" w:firstRowLastColumn="0" w:lastRowFirstColumn="0" w:lastRowLastColumn="0"/>
              <w:rPr>
                <w:color w:val="auto"/>
              </w:rPr>
            </w:pPr>
          </w:p>
          <w:p w14:paraId="292B8176" w14:textId="77777777" w:rsidR="00B35E7F" w:rsidRPr="007E1621" w:rsidRDefault="00B35E7F" w:rsidP="00DB61F6">
            <w:pPr>
              <w:pStyle w:val="Bullet"/>
              <w:numPr>
                <w:ilvl w:val="0"/>
                <w:numId w:val="0"/>
              </w:numPr>
              <w:spacing w:after="0"/>
              <w:cnfStyle w:val="000000100000" w:firstRow="0" w:lastRow="0" w:firstColumn="0" w:lastColumn="0" w:oddVBand="0" w:evenVBand="0" w:oddHBand="1" w:evenHBand="0" w:firstRowFirstColumn="0" w:firstRowLastColumn="0" w:lastRowFirstColumn="0" w:lastRowLastColumn="0"/>
              <w:rPr>
                <w:color w:val="auto"/>
              </w:rPr>
            </w:pPr>
            <w:r w:rsidRPr="007E1621">
              <w:rPr>
                <w:color w:val="auto"/>
              </w:rPr>
              <w:t>Changing more than EUR 1,000 in cash into another currency requires identification.</w:t>
            </w:r>
          </w:p>
          <w:p w14:paraId="051258D3" w14:textId="77777777" w:rsidR="00B35E7F" w:rsidRPr="007E1621" w:rsidRDefault="00B35E7F" w:rsidP="00DB61F6">
            <w:pPr>
              <w:pStyle w:val="Bullet"/>
              <w:numPr>
                <w:ilvl w:val="0"/>
                <w:numId w:val="0"/>
              </w:numPr>
              <w:spacing w:after="0"/>
              <w:cnfStyle w:val="000000100000" w:firstRow="0" w:lastRow="0" w:firstColumn="0" w:lastColumn="0" w:oddVBand="0" w:evenVBand="0" w:oddHBand="1" w:evenHBand="0" w:firstRowFirstColumn="0" w:firstRowLastColumn="0" w:lastRowFirstColumn="0" w:lastRowLastColumn="0"/>
              <w:rPr>
                <w:color w:val="auto"/>
              </w:rPr>
            </w:pPr>
          </w:p>
          <w:p w14:paraId="2BE638AC" w14:textId="77777777" w:rsidR="00B35E7F" w:rsidRPr="007E1621" w:rsidRDefault="00B35E7F" w:rsidP="00DB61F6">
            <w:pPr>
              <w:pStyle w:val="Bullet"/>
              <w:numPr>
                <w:ilvl w:val="0"/>
                <w:numId w:val="0"/>
              </w:numPr>
              <w:spacing w:after="0"/>
              <w:cnfStyle w:val="000000100000" w:firstRow="0" w:lastRow="0" w:firstColumn="0" w:lastColumn="0" w:oddVBand="0" w:evenVBand="0" w:oddHBand="1" w:evenHBand="0" w:firstRowFirstColumn="0" w:firstRowLastColumn="0" w:lastRowFirstColumn="0" w:lastRowLastColumn="0"/>
              <w:rPr>
                <w:color w:val="auto"/>
              </w:rPr>
            </w:pPr>
          </w:p>
        </w:tc>
      </w:tr>
      <w:tr w:rsidR="00B35E7F" w14:paraId="40547700" w14:textId="77777777" w:rsidTr="00DB61F6">
        <w:tc>
          <w:tcPr>
            <w:cnfStyle w:val="001000000000" w:firstRow="0" w:lastRow="0" w:firstColumn="1" w:lastColumn="0" w:oddVBand="0" w:evenVBand="0" w:oddHBand="0" w:evenHBand="0" w:firstRowFirstColumn="0" w:firstRowLastColumn="0" w:lastRowFirstColumn="0" w:lastRowLastColumn="0"/>
            <w:tcW w:w="9286" w:type="dxa"/>
            <w:gridSpan w:val="2"/>
          </w:tcPr>
          <w:p w14:paraId="67E7BD42" w14:textId="77777777" w:rsidR="00B35E7F" w:rsidRPr="007E1621" w:rsidRDefault="00B35E7F" w:rsidP="00DB61F6">
            <w:pPr>
              <w:pStyle w:val="Bullet"/>
              <w:numPr>
                <w:ilvl w:val="0"/>
                <w:numId w:val="0"/>
              </w:numPr>
              <w:jc w:val="center"/>
              <w:rPr>
                <w:color w:val="auto"/>
              </w:rPr>
            </w:pPr>
            <w:r w:rsidRPr="007E1621">
              <w:rPr>
                <w:color w:val="auto"/>
              </w:rPr>
              <w:t>Spain</w:t>
            </w:r>
          </w:p>
        </w:tc>
      </w:tr>
      <w:tr w:rsidR="00B35E7F" w14:paraId="35ED8A11" w14:textId="77777777" w:rsidTr="00DB61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3" w:type="dxa"/>
          </w:tcPr>
          <w:p w14:paraId="036615AB" w14:textId="77777777" w:rsidR="00B35E7F" w:rsidRPr="003923C7" w:rsidRDefault="00B35E7F" w:rsidP="00DB61F6">
            <w:pPr>
              <w:rPr>
                <w:color w:val="auto"/>
              </w:rPr>
            </w:pPr>
            <w:r w:rsidRPr="003923C7">
              <w:rPr>
                <w:color w:val="auto"/>
              </w:rPr>
              <w:t>Cash Limit Rules</w:t>
            </w:r>
          </w:p>
          <w:p w14:paraId="7E59EC5A" w14:textId="7F95286F" w:rsidR="00B35E7F" w:rsidRPr="007E1621" w:rsidRDefault="00B35E7F" w:rsidP="00DB61F6">
            <w:pPr>
              <w:rPr>
                <w:b w:val="0"/>
                <w:color w:val="auto"/>
              </w:rPr>
            </w:pPr>
            <w:r w:rsidRPr="007E1621">
              <w:rPr>
                <w:b w:val="0"/>
                <w:color w:val="auto"/>
              </w:rPr>
              <w:t xml:space="preserve">Cash payments are restricted to a maximum of EUR </w:t>
            </w:r>
            <w:r w:rsidR="00815372">
              <w:rPr>
                <w:b w:val="0"/>
                <w:color w:val="auto"/>
              </w:rPr>
              <w:t>2,500 (approx. AUD 4,000)</w:t>
            </w:r>
            <w:r w:rsidRPr="007E1621">
              <w:rPr>
                <w:b w:val="0"/>
                <w:color w:val="auto"/>
              </w:rPr>
              <w:t xml:space="preserve"> where one of the parties of the transaction is a business or a sole trader.</w:t>
            </w:r>
          </w:p>
          <w:p w14:paraId="5ACD317A" w14:textId="77777777" w:rsidR="00B35E7F" w:rsidRPr="007E1621" w:rsidRDefault="00B35E7F" w:rsidP="00DB61F6">
            <w:pPr>
              <w:rPr>
                <w:b w:val="0"/>
                <w:color w:val="auto"/>
              </w:rPr>
            </w:pPr>
            <w:r w:rsidRPr="007E1621">
              <w:rPr>
                <w:b w:val="0"/>
                <w:color w:val="auto"/>
              </w:rPr>
              <w:t>It does not apply to payments between individuals and allows foreign tourists to make payments of up to EUR 15,000</w:t>
            </w:r>
            <w:r>
              <w:rPr>
                <w:b w:val="0"/>
                <w:color w:val="auto"/>
              </w:rPr>
              <w:t xml:space="preserve"> in physical cash</w:t>
            </w:r>
            <w:r w:rsidRPr="007E1621">
              <w:rPr>
                <w:b w:val="0"/>
                <w:color w:val="auto"/>
              </w:rPr>
              <w:t>.</w:t>
            </w:r>
          </w:p>
        </w:tc>
        <w:tc>
          <w:tcPr>
            <w:tcW w:w="4643" w:type="dxa"/>
          </w:tcPr>
          <w:p w14:paraId="0CF00E09" w14:textId="77777777" w:rsidR="00B35E7F" w:rsidRPr="003923C7" w:rsidRDefault="00B35E7F" w:rsidP="00DB61F6">
            <w:pPr>
              <w:cnfStyle w:val="000000100000" w:firstRow="0" w:lastRow="0" w:firstColumn="0" w:lastColumn="0" w:oddVBand="0" w:evenVBand="0" w:oddHBand="1" w:evenHBand="0" w:firstRowFirstColumn="0" w:firstRowLastColumn="0" w:lastRowFirstColumn="0" w:lastRowLastColumn="0"/>
              <w:rPr>
                <w:b/>
                <w:color w:val="auto"/>
              </w:rPr>
            </w:pPr>
            <w:r w:rsidRPr="003923C7">
              <w:rPr>
                <w:b/>
                <w:color w:val="auto"/>
              </w:rPr>
              <w:t>Integrity Measures</w:t>
            </w:r>
          </w:p>
          <w:p w14:paraId="70571448" w14:textId="77777777" w:rsidR="00B35E7F" w:rsidRPr="007E1621" w:rsidRDefault="00B35E7F" w:rsidP="00DB61F6">
            <w:pPr>
              <w:pStyle w:val="Bullet"/>
              <w:numPr>
                <w:ilvl w:val="0"/>
                <w:numId w:val="0"/>
              </w:numPr>
              <w:spacing w:after="0"/>
              <w:cnfStyle w:val="000000100000" w:firstRow="0" w:lastRow="0" w:firstColumn="0" w:lastColumn="0" w:oddVBand="0" w:evenVBand="0" w:oddHBand="1" w:evenHBand="0" w:firstRowFirstColumn="0" w:firstRowLastColumn="0" w:lastRowFirstColumn="0" w:lastRowLastColumn="0"/>
              <w:rPr>
                <w:color w:val="auto"/>
              </w:rPr>
            </w:pPr>
            <w:r w:rsidRPr="007E1621">
              <w:rPr>
                <w:color w:val="auto"/>
              </w:rPr>
              <w:t xml:space="preserve">A fine of 25 per cent of the transaction value will apply on non-compliance which </w:t>
            </w:r>
            <w:r>
              <w:rPr>
                <w:color w:val="auto"/>
              </w:rPr>
              <w:t>can</w:t>
            </w:r>
            <w:r w:rsidRPr="007E1621">
              <w:rPr>
                <w:color w:val="auto"/>
              </w:rPr>
              <w:t xml:space="preserve"> be imposed on both parties</w:t>
            </w:r>
            <w:r>
              <w:rPr>
                <w:color w:val="auto"/>
              </w:rPr>
              <w:t xml:space="preserve"> to the transaction</w:t>
            </w:r>
            <w:r w:rsidRPr="007E1621">
              <w:rPr>
                <w:color w:val="auto"/>
              </w:rPr>
              <w:t>.</w:t>
            </w:r>
          </w:p>
          <w:p w14:paraId="57B20404" w14:textId="77777777" w:rsidR="00B35E7F" w:rsidRPr="007E1621" w:rsidRDefault="00B35E7F" w:rsidP="00DB61F6">
            <w:pPr>
              <w:pStyle w:val="Bullet"/>
              <w:numPr>
                <w:ilvl w:val="0"/>
                <w:numId w:val="0"/>
              </w:numPr>
              <w:spacing w:after="0"/>
              <w:cnfStyle w:val="000000100000" w:firstRow="0" w:lastRow="0" w:firstColumn="0" w:lastColumn="0" w:oddVBand="0" w:evenVBand="0" w:oddHBand="1" w:evenHBand="0" w:firstRowFirstColumn="0" w:firstRowLastColumn="0" w:lastRowFirstColumn="0" w:lastRowLastColumn="0"/>
              <w:rPr>
                <w:color w:val="auto"/>
              </w:rPr>
            </w:pPr>
          </w:p>
          <w:p w14:paraId="63510304" w14:textId="77777777" w:rsidR="00B35E7F" w:rsidRPr="007E1621" w:rsidRDefault="00B35E7F" w:rsidP="00DB61F6">
            <w:pPr>
              <w:pStyle w:val="Bullet"/>
              <w:numPr>
                <w:ilvl w:val="0"/>
                <w:numId w:val="0"/>
              </w:numPr>
              <w:spacing w:after="0"/>
              <w:cnfStyle w:val="000000100000" w:firstRow="0" w:lastRow="0" w:firstColumn="0" w:lastColumn="0" w:oddVBand="0" w:evenVBand="0" w:oddHBand="1" w:evenHBand="0" w:firstRowFirstColumn="0" w:firstRowLastColumn="0" w:lastRowFirstColumn="0" w:lastRowLastColumn="0"/>
              <w:rPr>
                <w:color w:val="auto"/>
              </w:rPr>
            </w:pPr>
            <w:r>
              <w:rPr>
                <w:color w:val="auto"/>
              </w:rPr>
              <w:t>If the price of the good or</w:t>
            </w:r>
            <w:r w:rsidRPr="007E1621">
              <w:rPr>
                <w:color w:val="auto"/>
              </w:rPr>
              <w:t xml:space="preserve"> service is above the limit, no part of the payment can be in cash.</w:t>
            </w:r>
          </w:p>
        </w:tc>
      </w:tr>
      <w:tr w:rsidR="00B35E7F" w14:paraId="66914316" w14:textId="77777777" w:rsidTr="00DB61F6">
        <w:tc>
          <w:tcPr>
            <w:cnfStyle w:val="001000000000" w:firstRow="0" w:lastRow="0" w:firstColumn="1" w:lastColumn="0" w:oddVBand="0" w:evenVBand="0" w:oddHBand="0" w:evenHBand="0" w:firstRowFirstColumn="0" w:firstRowLastColumn="0" w:lastRowFirstColumn="0" w:lastRowLastColumn="0"/>
            <w:tcW w:w="9286" w:type="dxa"/>
            <w:gridSpan w:val="2"/>
          </w:tcPr>
          <w:p w14:paraId="74D6914E" w14:textId="77777777" w:rsidR="00B35E7F" w:rsidRPr="007E1621" w:rsidRDefault="00B35E7F" w:rsidP="00DB61F6">
            <w:pPr>
              <w:pStyle w:val="Bullet"/>
              <w:numPr>
                <w:ilvl w:val="0"/>
                <w:numId w:val="0"/>
              </w:numPr>
              <w:jc w:val="center"/>
              <w:rPr>
                <w:color w:val="auto"/>
              </w:rPr>
            </w:pPr>
            <w:r w:rsidRPr="007E1621">
              <w:rPr>
                <w:color w:val="auto"/>
              </w:rPr>
              <w:t>Italy</w:t>
            </w:r>
          </w:p>
        </w:tc>
      </w:tr>
      <w:tr w:rsidR="00B35E7F" w14:paraId="7F04954C" w14:textId="77777777" w:rsidTr="00DB61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3" w:type="dxa"/>
          </w:tcPr>
          <w:p w14:paraId="6DC79674" w14:textId="77777777" w:rsidR="00B35E7F" w:rsidRPr="003923C7" w:rsidRDefault="00B35E7F" w:rsidP="00DB61F6">
            <w:pPr>
              <w:rPr>
                <w:color w:val="auto"/>
              </w:rPr>
            </w:pPr>
            <w:r w:rsidRPr="003923C7">
              <w:rPr>
                <w:color w:val="auto"/>
              </w:rPr>
              <w:t>Cash Limit Rules</w:t>
            </w:r>
          </w:p>
          <w:p w14:paraId="1CE3DCD3" w14:textId="77777777" w:rsidR="00B35E7F" w:rsidRDefault="00B35E7F" w:rsidP="00DB61F6">
            <w:pPr>
              <w:spacing w:after="0"/>
              <w:rPr>
                <w:b w:val="0"/>
                <w:color w:val="auto"/>
              </w:rPr>
            </w:pPr>
            <w:r>
              <w:rPr>
                <w:b w:val="0"/>
                <w:color w:val="auto"/>
              </w:rPr>
              <w:t>Cash payments are restricted to a maximum of E</w:t>
            </w:r>
            <w:r w:rsidRPr="007E1621">
              <w:rPr>
                <w:b w:val="0"/>
                <w:color w:val="auto"/>
              </w:rPr>
              <w:t xml:space="preserve">UR 3,000 </w:t>
            </w:r>
            <w:r>
              <w:rPr>
                <w:b w:val="0"/>
                <w:color w:val="auto"/>
              </w:rPr>
              <w:t>(</w:t>
            </w:r>
            <w:r w:rsidR="00406F66">
              <w:rPr>
                <w:b w:val="0"/>
                <w:color w:val="auto"/>
              </w:rPr>
              <w:t>approx. AUD 4,800</w:t>
            </w:r>
            <w:r>
              <w:rPr>
                <w:b w:val="0"/>
                <w:color w:val="auto"/>
              </w:rPr>
              <w:t>)</w:t>
            </w:r>
            <w:r w:rsidRPr="007E1621">
              <w:rPr>
                <w:b w:val="0"/>
                <w:color w:val="auto"/>
              </w:rPr>
              <w:t xml:space="preserve">. </w:t>
            </w:r>
          </w:p>
          <w:p w14:paraId="6C9B47B7" w14:textId="77777777" w:rsidR="00B35E7F" w:rsidRDefault="00B35E7F" w:rsidP="00DB61F6">
            <w:pPr>
              <w:pStyle w:val="Bullet"/>
              <w:numPr>
                <w:ilvl w:val="0"/>
                <w:numId w:val="0"/>
              </w:numPr>
              <w:spacing w:after="0"/>
              <w:rPr>
                <w:b w:val="0"/>
                <w:color w:val="auto"/>
              </w:rPr>
            </w:pPr>
          </w:p>
          <w:p w14:paraId="1C1B391C" w14:textId="77777777" w:rsidR="00B35E7F" w:rsidRPr="006F4E6C" w:rsidRDefault="00B35E7F" w:rsidP="00DB61F6">
            <w:pPr>
              <w:pStyle w:val="Bullet"/>
              <w:numPr>
                <w:ilvl w:val="0"/>
                <w:numId w:val="0"/>
              </w:numPr>
              <w:spacing w:after="0"/>
              <w:rPr>
                <w:b w:val="0"/>
                <w:color w:val="auto"/>
              </w:rPr>
            </w:pPr>
            <w:r w:rsidRPr="006F4E6C">
              <w:rPr>
                <w:b w:val="0"/>
                <w:color w:val="auto"/>
              </w:rPr>
              <w:t>Payments above EUR 3,000 amount must be made using traceable instruments, such as bank transfers and non-transferable cheques</w:t>
            </w:r>
          </w:p>
          <w:p w14:paraId="5B6AA3CA" w14:textId="77777777" w:rsidR="00B35E7F" w:rsidRPr="007E1621" w:rsidRDefault="00B35E7F" w:rsidP="00DB61F6">
            <w:pPr>
              <w:spacing w:after="0"/>
              <w:rPr>
                <w:b w:val="0"/>
                <w:color w:val="auto"/>
              </w:rPr>
            </w:pPr>
          </w:p>
          <w:p w14:paraId="251A5433" w14:textId="77777777" w:rsidR="00B35E7F" w:rsidRPr="007E1621" w:rsidRDefault="00B35E7F" w:rsidP="00DB61F6">
            <w:pPr>
              <w:spacing w:after="0"/>
              <w:rPr>
                <w:b w:val="0"/>
                <w:color w:val="auto"/>
              </w:rPr>
            </w:pPr>
          </w:p>
        </w:tc>
        <w:tc>
          <w:tcPr>
            <w:tcW w:w="4643" w:type="dxa"/>
          </w:tcPr>
          <w:p w14:paraId="7E1CFDDE" w14:textId="77777777" w:rsidR="00B35E7F" w:rsidRPr="003923C7" w:rsidRDefault="00B35E7F" w:rsidP="00DB61F6">
            <w:pPr>
              <w:cnfStyle w:val="000000100000" w:firstRow="0" w:lastRow="0" w:firstColumn="0" w:lastColumn="0" w:oddVBand="0" w:evenVBand="0" w:oddHBand="1" w:evenHBand="0" w:firstRowFirstColumn="0" w:firstRowLastColumn="0" w:lastRowFirstColumn="0" w:lastRowLastColumn="0"/>
              <w:rPr>
                <w:b/>
                <w:color w:val="auto"/>
              </w:rPr>
            </w:pPr>
            <w:r w:rsidRPr="003923C7">
              <w:rPr>
                <w:b/>
                <w:color w:val="auto"/>
              </w:rPr>
              <w:lastRenderedPageBreak/>
              <w:t>Integrity Measures</w:t>
            </w:r>
          </w:p>
          <w:p w14:paraId="39442995" w14:textId="77777777" w:rsidR="00B35E7F" w:rsidRPr="007E1621" w:rsidRDefault="00B35E7F" w:rsidP="00DB61F6">
            <w:pPr>
              <w:pStyle w:val="Bullet"/>
              <w:numPr>
                <w:ilvl w:val="0"/>
                <w:numId w:val="0"/>
              </w:numPr>
              <w:spacing w:after="0"/>
              <w:cnfStyle w:val="000000100000" w:firstRow="0" w:lastRow="0" w:firstColumn="0" w:lastColumn="0" w:oddVBand="0" w:evenVBand="0" w:oddHBand="1" w:evenHBand="0" w:firstRowFirstColumn="0" w:firstRowLastColumn="0" w:lastRowFirstColumn="0" w:lastRowLastColumn="0"/>
              <w:rPr>
                <w:color w:val="auto"/>
              </w:rPr>
            </w:pPr>
            <w:r w:rsidRPr="007E1621">
              <w:rPr>
                <w:color w:val="auto"/>
              </w:rPr>
              <w:t>Banks are required to report any transaction over EUR 1,000</w:t>
            </w:r>
            <w:r>
              <w:rPr>
                <w:color w:val="auto"/>
              </w:rPr>
              <w:t xml:space="preserve"> to financial regulators</w:t>
            </w:r>
            <w:r w:rsidRPr="007E1621">
              <w:rPr>
                <w:color w:val="auto"/>
              </w:rPr>
              <w:t xml:space="preserve">. </w:t>
            </w:r>
            <w:r>
              <w:rPr>
                <w:color w:val="auto"/>
              </w:rPr>
              <w:t>Fines apply for breaches to the cash payment limit.</w:t>
            </w:r>
          </w:p>
          <w:p w14:paraId="06FBFD3E" w14:textId="77777777" w:rsidR="00B35E7F" w:rsidRPr="007E1621" w:rsidRDefault="00B35E7F" w:rsidP="00DB61F6">
            <w:pPr>
              <w:pStyle w:val="Bullet"/>
              <w:numPr>
                <w:ilvl w:val="0"/>
                <w:numId w:val="0"/>
              </w:numPr>
              <w:spacing w:after="0"/>
              <w:cnfStyle w:val="000000100000" w:firstRow="0" w:lastRow="0" w:firstColumn="0" w:lastColumn="0" w:oddVBand="0" w:evenVBand="0" w:oddHBand="1" w:evenHBand="0" w:firstRowFirstColumn="0" w:firstRowLastColumn="0" w:lastRowFirstColumn="0" w:lastRowLastColumn="0"/>
              <w:rPr>
                <w:color w:val="auto"/>
              </w:rPr>
            </w:pPr>
          </w:p>
          <w:p w14:paraId="0C2EEB46" w14:textId="77777777" w:rsidR="00B35E7F" w:rsidRPr="007E1621" w:rsidRDefault="00B35E7F" w:rsidP="00DB61F6">
            <w:pPr>
              <w:pStyle w:val="Bullet"/>
              <w:numPr>
                <w:ilvl w:val="0"/>
                <w:numId w:val="0"/>
              </w:numPr>
              <w:spacing w:after="0"/>
              <w:cnfStyle w:val="000000100000" w:firstRow="0" w:lastRow="0" w:firstColumn="0" w:lastColumn="0" w:oddVBand="0" w:evenVBand="0" w:oddHBand="1" w:evenHBand="0" w:firstRowFirstColumn="0" w:firstRowLastColumn="0" w:lastRowFirstColumn="0" w:lastRowLastColumn="0"/>
              <w:rPr>
                <w:color w:val="auto"/>
              </w:rPr>
            </w:pPr>
            <w:r>
              <w:rPr>
                <w:color w:val="auto"/>
              </w:rPr>
              <w:t>L</w:t>
            </w:r>
            <w:r w:rsidRPr="007E1621">
              <w:rPr>
                <w:color w:val="auto"/>
              </w:rPr>
              <w:t xml:space="preserve">ower limits </w:t>
            </w:r>
            <w:r>
              <w:rPr>
                <w:color w:val="auto"/>
              </w:rPr>
              <w:t xml:space="preserve">are applied in </w:t>
            </w:r>
            <w:r w:rsidRPr="007E1621">
              <w:rPr>
                <w:color w:val="auto"/>
              </w:rPr>
              <w:t xml:space="preserve">the use of prepaid cards if they are not registered in any name (EUR 2,500) and transferable cheques or money </w:t>
            </w:r>
            <w:r w:rsidRPr="007E1621">
              <w:rPr>
                <w:color w:val="auto"/>
              </w:rPr>
              <w:lastRenderedPageBreak/>
              <w:t>orders (EUR 1,000).</w:t>
            </w:r>
          </w:p>
        </w:tc>
      </w:tr>
      <w:tr w:rsidR="00A44511" w14:paraId="588D9A28" w14:textId="77777777" w:rsidTr="00DB61F6">
        <w:tc>
          <w:tcPr>
            <w:cnfStyle w:val="001000000000" w:firstRow="0" w:lastRow="0" w:firstColumn="1" w:lastColumn="0" w:oddVBand="0" w:evenVBand="0" w:oddHBand="0" w:evenHBand="0" w:firstRowFirstColumn="0" w:firstRowLastColumn="0" w:lastRowFirstColumn="0" w:lastRowLastColumn="0"/>
            <w:tcW w:w="9286" w:type="dxa"/>
            <w:gridSpan w:val="2"/>
          </w:tcPr>
          <w:p w14:paraId="6DE07FA4" w14:textId="77777777" w:rsidR="00A44511" w:rsidRPr="00A44511" w:rsidRDefault="00A44511" w:rsidP="00A44511">
            <w:pPr>
              <w:pStyle w:val="Bullet"/>
              <w:numPr>
                <w:ilvl w:val="0"/>
                <w:numId w:val="0"/>
              </w:numPr>
              <w:jc w:val="center"/>
              <w:rPr>
                <w:color w:val="auto"/>
              </w:rPr>
            </w:pPr>
            <w:r w:rsidRPr="00A44511">
              <w:rPr>
                <w:color w:val="auto"/>
              </w:rPr>
              <w:lastRenderedPageBreak/>
              <w:t>Israel</w:t>
            </w:r>
          </w:p>
        </w:tc>
      </w:tr>
      <w:tr w:rsidR="00A44511" w14:paraId="3EA89B57" w14:textId="77777777" w:rsidTr="00DB61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3" w:type="dxa"/>
          </w:tcPr>
          <w:p w14:paraId="4B5FD9CE" w14:textId="77777777" w:rsidR="004D50D7" w:rsidRPr="004D50D7" w:rsidRDefault="004D50D7" w:rsidP="00DB61F6">
            <w:pPr>
              <w:rPr>
                <w:color w:val="auto"/>
              </w:rPr>
            </w:pPr>
            <w:r w:rsidRPr="004D50D7">
              <w:rPr>
                <w:color w:val="auto"/>
              </w:rPr>
              <w:t>Cash Limit Rules</w:t>
            </w:r>
          </w:p>
          <w:p w14:paraId="3733958B" w14:textId="77777777" w:rsidR="004D50D7" w:rsidRDefault="004D50D7" w:rsidP="00DB61F6">
            <w:pPr>
              <w:rPr>
                <w:b w:val="0"/>
                <w:color w:val="auto"/>
              </w:rPr>
            </w:pPr>
            <w:r>
              <w:rPr>
                <w:b w:val="0"/>
                <w:color w:val="auto"/>
              </w:rPr>
              <w:t>Cash payments to businesses are restricted to 11,000 shekels (approx.</w:t>
            </w:r>
            <w:r w:rsidR="00716245">
              <w:rPr>
                <w:b w:val="0"/>
                <w:color w:val="auto"/>
              </w:rPr>
              <w:t xml:space="preserve"> AUD 4,000</w:t>
            </w:r>
            <w:r>
              <w:rPr>
                <w:b w:val="0"/>
                <w:color w:val="auto"/>
              </w:rPr>
              <w:t xml:space="preserve">). </w:t>
            </w:r>
          </w:p>
          <w:p w14:paraId="50FCC9F1" w14:textId="77777777" w:rsidR="004D50D7" w:rsidRDefault="004D50D7" w:rsidP="00DB61F6">
            <w:pPr>
              <w:rPr>
                <w:b w:val="0"/>
                <w:color w:val="auto"/>
              </w:rPr>
            </w:pPr>
            <w:r>
              <w:rPr>
                <w:b w:val="0"/>
                <w:color w:val="auto"/>
              </w:rPr>
              <w:t xml:space="preserve">Cash transactions between individuals are limited to 50,000 shekels (approx. AUD </w:t>
            </w:r>
            <w:r w:rsidR="00716245">
              <w:rPr>
                <w:b w:val="0"/>
                <w:color w:val="auto"/>
              </w:rPr>
              <w:t>18,500</w:t>
            </w:r>
            <w:r>
              <w:rPr>
                <w:b w:val="0"/>
                <w:color w:val="auto"/>
              </w:rPr>
              <w:t>).</w:t>
            </w:r>
          </w:p>
          <w:p w14:paraId="0CDBF13B" w14:textId="77777777" w:rsidR="00A44511" w:rsidRPr="003923C7" w:rsidRDefault="004D50D7" w:rsidP="00DB61F6">
            <w:r>
              <w:rPr>
                <w:b w:val="0"/>
                <w:color w:val="auto"/>
              </w:rPr>
              <w:t xml:space="preserve">The Israeli Finance Minister has noted that these limits may be reduced to 6,000 and 15,000 shekels respectively in 2020. </w:t>
            </w:r>
          </w:p>
        </w:tc>
        <w:tc>
          <w:tcPr>
            <w:tcW w:w="4643" w:type="dxa"/>
          </w:tcPr>
          <w:p w14:paraId="6CC20D44" w14:textId="77777777" w:rsidR="004D50D7" w:rsidRPr="004D50D7" w:rsidRDefault="004D50D7" w:rsidP="00DB61F6">
            <w:pPr>
              <w:cnfStyle w:val="000000100000" w:firstRow="0" w:lastRow="0" w:firstColumn="0" w:lastColumn="0" w:oddVBand="0" w:evenVBand="0" w:oddHBand="1" w:evenHBand="0" w:firstRowFirstColumn="0" w:firstRowLastColumn="0" w:lastRowFirstColumn="0" w:lastRowLastColumn="0"/>
              <w:rPr>
                <w:b/>
                <w:color w:val="auto"/>
              </w:rPr>
            </w:pPr>
            <w:r w:rsidRPr="004D50D7">
              <w:rPr>
                <w:b/>
                <w:color w:val="auto"/>
              </w:rPr>
              <w:t>Integrity Measures</w:t>
            </w:r>
          </w:p>
          <w:p w14:paraId="6B83E9AE" w14:textId="77777777" w:rsidR="00A44511" w:rsidRPr="004D50D7" w:rsidRDefault="004D50D7" w:rsidP="00B80668">
            <w:pPr>
              <w:cnfStyle w:val="000000100000" w:firstRow="0" w:lastRow="0" w:firstColumn="0" w:lastColumn="0" w:oddVBand="0" w:evenVBand="0" w:oddHBand="1" w:evenHBand="0" w:firstRowFirstColumn="0" w:firstRowLastColumn="0" w:lastRowFirstColumn="0" w:lastRowLastColumn="0"/>
            </w:pPr>
            <w:r>
              <w:rPr>
                <w:color w:val="auto"/>
              </w:rPr>
              <w:t xml:space="preserve">Payments with </w:t>
            </w:r>
            <w:r w:rsidR="00B80668">
              <w:rPr>
                <w:color w:val="auto"/>
              </w:rPr>
              <w:t xml:space="preserve">bank </w:t>
            </w:r>
            <w:r w:rsidRPr="004D50D7">
              <w:rPr>
                <w:color w:val="auto"/>
              </w:rPr>
              <w:t>che</w:t>
            </w:r>
            <w:r w:rsidR="00B80668">
              <w:rPr>
                <w:color w:val="auto"/>
              </w:rPr>
              <w:t>que</w:t>
            </w:r>
            <w:r w:rsidRPr="004D50D7">
              <w:rPr>
                <w:color w:val="auto"/>
              </w:rPr>
              <w:t>s will be limited to 10,000 shekels. Tourists will be limited to paying no more than 55,000 shekels</w:t>
            </w:r>
            <w:r>
              <w:rPr>
                <w:color w:val="auto"/>
              </w:rPr>
              <w:t xml:space="preserve"> (approx. AUD </w:t>
            </w:r>
            <w:r w:rsidR="00716245">
              <w:rPr>
                <w:color w:val="auto"/>
              </w:rPr>
              <w:t>20,400</w:t>
            </w:r>
            <w:r>
              <w:rPr>
                <w:color w:val="auto"/>
              </w:rPr>
              <w:t>)</w:t>
            </w:r>
            <w:r w:rsidRPr="004D50D7">
              <w:rPr>
                <w:color w:val="auto"/>
              </w:rPr>
              <w:t xml:space="preserve"> to buy services or assets, although they can do so up to five times</w:t>
            </w:r>
            <w:r>
              <w:rPr>
                <w:color w:val="auto"/>
              </w:rPr>
              <w:t>.</w:t>
            </w:r>
          </w:p>
        </w:tc>
      </w:tr>
    </w:tbl>
    <w:p w14:paraId="655C3E6E" w14:textId="77777777" w:rsidR="00C7421B" w:rsidRDefault="00C7421B" w:rsidP="009A6BC4">
      <w:pPr>
        <w:pStyle w:val="Bullet"/>
        <w:numPr>
          <w:ilvl w:val="0"/>
          <w:numId w:val="0"/>
        </w:numPr>
      </w:pPr>
    </w:p>
    <w:sectPr w:rsidR="00C7421B" w:rsidSect="00E1136B">
      <w:headerReference w:type="even" r:id="rId29"/>
      <w:headerReference w:type="default" r:id="rId30"/>
      <w:footerReference w:type="even" r:id="rId31"/>
      <w:footerReference w:type="default" r:id="rId32"/>
      <w:headerReference w:type="first" r:id="rId33"/>
      <w:footerReference w:type="first" r:id="rId34"/>
      <w:pgSz w:w="11906" w:h="16838" w:code="9"/>
      <w:pgMar w:top="1418" w:right="1418" w:bottom="1418" w:left="1418" w:header="709" w:footer="709"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1FE6ABF" w15:done="0"/>
  <w15:commentEx w15:paraId="63431CE9" w15:done="0"/>
  <w15:commentEx w15:paraId="77BC6373" w15:done="0"/>
  <w15:commentEx w15:paraId="4DF812F1" w15:done="0"/>
  <w15:commentEx w15:paraId="5C87C7C9" w15:done="0"/>
  <w15:commentEx w15:paraId="2400DD34" w15:done="0"/>
  <w15:commentEx w15:paraId="5141EEA4" w15:done="0"/>
  <w15:commentEx w15:paraId="67C47E55" w15:done="0"/>
  <w15:commentEx w15:paraId="0E937D24" w15:done="0"/>
  <w15:commentEx w15:paraId="1262E4B2" w15:done="0"/>
  <w15:commentEx w15:paraId="653DADC3" w15:done="0"/>
  <w15:commentEx w15:paraId="7E76FA1C" w15:done="0"/>
  <w15:commentEx w15:paraId="3C85C6A8" w15:done="0"/>
  <w15:commentEx w15:paraId="33522659" w15:done="0"/>
  <w15:commentEx w15:paraId="7667C4B0" w15:done="0"/>
  <w15:commentEx w15:paraId="3BEC16B5" w15:done="0"/>
  <w15:commentEx w15:paraId="7EA278F0" w15:done="0"/>
  <w15:commentEx w15:paraId="14F0D52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DC7269" w14:textId="77777777" w:rsidR="00A83BCC" w:rsidRDefault="00A83BCC">
      <w:pPr>
        <w:spacing w:before="0" w:after="0"/>
      </w:pPr>
      <w:r>
        <w:separator/>
      </w:r>
    </w:p>
  </w:endnote>
  <w:endnote w:type="continuationSeparator" w:id="0">
    <w:p w14:paraId="479662E0" w14:textId="77777777" w:rsidR="00A83BCC" w:rsidRDefault="00A83BCC">
      <w:pPr>
        <w:spacing w:before="0" w:after="0"/>
      </w:pPr>
      <w:r>
        <w:continuationSeparator/>
      </w:r>
    </w:p>
  </w:endnote>
  <w:endnote w:type="continuationNotice" w:id="1">
    <w:p w14:paraId="388E7D29" w14:textId="77777777" w:rsidR="00A83BCC" w:rsidRDefault="00A83BC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yriadPro-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613BF" w14:textId="77777777" w:rsidR="00FE3D2F" w:rsidRDefault="00FE3D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0C65E" w14:textId="77777777" w:rsidR="00FE3D2F" w:rsidRPr="00E1136B" w:rsidRDefault="00FE3D2F" w:rsidP="00E1136B">
    <w:pPr>
      <w:pStyle w:val="Footer"/>
    </w:pPr>
    <w:r>
      <w:rPr>
        <w:noProof/>
      </w:rPr>
      <w:drawing>
        <wp:anchor distT="0" distB="0" distL="114300" distR="114300" simplePos="0" relativeHeight="251658241" behindDoc="1" locked="0" layoutInCell="1" allowOverlap="1" wp14:anchorId="76B6E357" wp14:editId="613C8680">
          <wp:simplePos x="0" y="0"/>
          <wp:positionH relativeFrom="page">
            <wp:align>center</wp:align>
          </wp:positionH>
          <wp:positionV relativeFrom="page">
            <wp:posOffset>4860925</wp:posOffset>
          </wp:positionV>
          <wp:extent cx="7199640" cy="5675760"/>
          <wp:effectExtent l="0" t="0" r="127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567576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sidR="00172663">
      <w:rPr>
        <w:noProof/>
      </w:rPr>
      <w:t>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DF97D" w14:textId="77777777" w:rsidR="00FE3D2F" w:rsidRDefault="00FE3D2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FE773" w14:textId="77777777" w:rsidR="00FE3D2F" w:rsidRPr="00E77C89" w:rsidRDefault="00FE3D2F" w:rsidP="0017089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D04A6" w14:textId="77777777" w:rsidR="00FE3D2F" w:rsidRPr="00E1136B" w:rsidRDefault="00FE3D2F" w:rsidP="00E1136B">
    <w:pPr>
      <w:pStyle w:val="Footer"/>
    </w:pPr>
    <w:r>
      <w:fldChar w:fldCharType="begin"/>
    </w:r>
    <w:r>
      <w:instrText xml:space="preserve"> PAGE   \* MERGEFORMAT </w:instrText>
    </w:r>
    <w:r>
      <w:fldChar w:fldCharType="separate"/>
    </w:r>
    <w:r w:rsidR="00172663">
      <w:rPr>
        <w:noProof/>
      </w:rPr>
      <w:t>1</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EF39E" w14:textId="77777777" w:rsidR="00FE3D2F" w:rsidRDefault="00FE3D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0B6845" w14:textId="77777777" w:rsidR="00A83BCC" w:rsidRDefault="00A83BCC">
      <w:pPr>
        <w:spacing w:before="0" w:after="0"/>
      </w:pPr>
      <w:r>
        <w:separator/>
      </w:r>
    </w:p>
  </w:footnote>
  <w:footnote w:type="continuationSeparator" w:id="0">
    <w:p w14:paraId="64283193" w14:textId="77777777" w:rsidR="00A83BCC" w:rsidRDefault="00A83BCC">
      <w:pPr>
        <w:spacing w:before="0" w:after="0"/>
      </w:pPr>
      <w:r>
        <w:continuationSeparator/>
      </w:r>
    </w:p>
  </w:footnote>
  <w:footnote w:type="continuationNotice" w:id="1">
    <w:p w14:paraId="02DD9275" w14:textId="77777777" w:rsidR="00A83BCC" w:rsidRDefault="00A83BCC">
      <w:pPr>
        <w:spacing w:before="0" w:after="0"/>
      </w:pPr>
    </w:p>
  </w:footnote>
  <w:footnote w:id="2">
    <w:p w14:paraId="6A00CD1D" w14:textId="77777777" w:rsidR="00FE3D2F" w:rsidRDefault="00FE3D2F">
      <w:pPr>
        <w:pStyle w:val="FootnoteText"/>
      </w:pPr>
      <w:r>
        <w:rPr>
          <w:rStyle w:val="FootnoteReference"/>
        </w:rPr>
        <w:footnoteRef/>
      </w:r>
      <w:r>
        <w:t xml:space="preserve"> Subsection 43(4) of the </w:t>
      </w:r>
      <w:r>
        <w:rPr>
          <w:i/>
        </w:rPr>
        <w:t>Anti-Money Laundering and Counter-Terrorism Financing Act 2006</w:t>
      </w:r>
      <w:r>
        <w:t xml:space="preserve"> provides that subsection 43(2) is a civil penalty provision. Subsection 43(2) is the requirement where the TTR must be submitted to AUSTRAC within 10 days. Under section 175, which deals with Civil Penalty Orders in the Federal Court, the maximum penalty for a civil penalty contravention is up to a maximum of $21 million for a body corporate (s175(4)) or for an individual $4.2million (s175(5)).</w:t>
      </w:r>
    </w:p>
  </w:footnote>
  <w:footnote w:id="3">
    <w:p w14:paraId="3BC9D1F6" w14:textId="77777777" w:rsidR="00FE3D2F" w:rsidRDefault="00FE3D2F">
      <w:pPr>
        <w:pStyle w:val="FootnoteText"/>
      </w:pPr>
      <w:r>
        <w:rPr>
          <w:rStyle w:val="FootnoteReference"/>
        </w:rPr>
        <w:footnoteRef/>
      </w:r>
      <w:r>
        <w:t xml:space="preserve"> Reporting entities, including financial institutions that are regulated by AUSTRAC will continue to have the obligation to report TTRs. </w:t>
      </w:r>
    </w:p>
  </w:footnote>
  <w:footnote w:id="4">
    <w:p w14:paraId="4888B0F2" w14:textId="77777777" w:rsidR="00FE3D2F" w:rsidRDefault="00FE3D2F" w:rsidP="009A6BC4">
      <w:pPr>
        <w:pStyle w:val="FootnoteText"/>
      </w:pPr>
      <w:r>
        <w:rPr>
          <w:rStyle w:val="FootnoteReference"/>
        </w:rPr>
        <w:footnoteRef/>
      </w:r>
      <w:r>
        <w:t xml:space="preserve"> HM Treasury “Cash and digital payments in the new economy: call for evidence” March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0A306" w14:textId="77777777" w:rsidR="00FE3D2F" w:rsidRDefault="00FE3D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88B9A" w14:textId="77777777" w:rsidR="00FE3D2F" w:rsidRDefault="00FE3D2F">
    <w:pPr>
      <w:pStyle w:val="Header"/>
    </w:pPr>
    <w:r>
      <w:rPr>
        <w:noProof/>
      </w:rPr>
      <w:drawing>
        <wp:anchor distT="0" distB="0" distL="114300" distR="114300" simplePos="0" relativeHeight="251658240" behindDoc="1" locked="0" layoutInCell="1" allowOverlap="1" wp14:anchorId="2C5296F3" wp14:editId="7775A138">
          <wp:simplePos x="0" y="0"/>
          <wp:positionH relativeFrom="page">
            <wp:align>center</wp:align>
          </wp:positionH>
          <wp:positionV relativeFrom="page">
            <wp:posOffset>180340</wp:posOffset>
          </wp:positionV>
          <wp:extent cx="7199640" cy="1079640"/>
          <wp:effectExtent l="0" t="0" r="127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107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5C33C" w14:textId="77777777" w:rsidR="00FE3D2F" w:rsidRDefault="00FE3D2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A3345" w14:textId="77777777" w:rsidR="00FE3D2F" w:rsidRPr="001F3912" w:rsidRDefault="00FE3D2F" w:rsidP="0017089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AAF96" w14:textId="77777777" w:rsidR="00FE3D2F" w:rsidRPr="001F3912" w:rsidRDefault="00007A5D" w:rsidP="001606CF">
    <w:pPr>
      <w:pStyle w:val="Header"/>
    </w:pPr>
    <w:fldSimple w:instr=" STYLEREF  Title  \* MERGEFORMAT ">
      <w:r w:rsidR="00172663">
        <w:rPr>
          <w:noProof/>
        </w:rPr>
        <w:t>Introducing an Economy-Wide Cash Payment Limit</w:t>
      </w:r>
    </w:fldSimple>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D2199" w14:textId="77777777" w:rsidR="00FE3D2F" w:rsidRDefault="00FE3D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DB17A5A"/>
    <w:multiLevelType w:val="multilevel"/>
    <w:tmpl w:val="7BB2EA3A"/>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6CC4E5D"/>
    <w:multiLevelType w:val="multilevel"/>
    <w:tmpl w:val="D10E9CF6"/>
    <w:numStyleLink w:val="OneLevelList"/>
  </w:abstractNum>
  <w:abstractNum w:abstractNumId="5">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7826BF0"/>
    <w:multiLevelType w:val="multilevel"/>
    <w:tmpl w:val="2A44CE48"/>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92D4BD3"/>
    <w:multiLevelType w:val="hybridMultilevel"/>
    <w:tmpl w:val="6A965A2C"/>
    <w:lvl w:ilvl="0" w:tplc="BE288374">
      <w:start w:val="1"/>
      <w:numFmt w:val="bullet"/>
      <w:lvlText w:val="•"/>
      <w:lvlJc w:val="left"/>
      <w:pPr>
        <w:tabs>
          <w:tab w:val="num" w:pos="720"/>
        </w:tabs>
        <w:ind w:left="720" w:hanging="360"/>
      </w:pPr>
      <w:rPr>
        <w:rFonts w:ascii="Arial" w:hAnsi="Arial" w:hint="default"/>
      </w:rPr>
    </w:lvl>
    <w:lvl w:ilvl="1" w:tplc="6452109C" w:tentative="1">
      <w:start w:val="1"/>
      <w:numFmt w:val="bullet"/>
      <w:lvlText w:val="•"/>
      <w:lvlJc w:val="left"/>
      <w:pPr>
        <w:tabs>
          <w:tab w:val="num" w:pos="1440"/>
        </w:tabs>
        <w:ind w:left="1440" w:hanging="360"/>
      </w:pPr>
      <w:rPr>
        <w:rFonts w:ascii="Arial" w:hAnsi="Arial" w:hint="default"/>
      </w:rPr>
    </w:lvl>
    <w:lvl w:ilvl="2" w:tplc="80744FD2" w:tentative="1">
      <w:start w:val="1"/>
      <w:numFmt w:val="bullet"/>
      <w:lvlText w:val="•"/>
      <w:lvlJc w:val="left"/>
      <w:pPr>
        <w:tabs>
          <w:tab w:val="num" w:pos="2160"/>
        </w:tabs>
        <w:ind w:left="2160" w:hanging="360"/>
      </w:pPr>
      <w:rPr>
        <w:rFonts w:ascii="Arial" w:hAnsi="Arial" w:hint="default"/>
      </w:rPr>
    </w:lvl>
    <w:lvl w:ilvl="3" w:tplc="C280573E" w:tentative="1">
      <w:start w:val="1"/>
      <w:numFmt w:val="bullet"/>
      <w:lvlText w:val="•"/>
      <w:lvlJc w:val="left"/>
      <w:pPr>
        <w:tabs>
          <w:tab w:val="num" w:pos="2880"/>
        </w:tabs>
        <w:ind w:left="2880" w:hanging="360"/>
      </w:pPr>
      <w:rPr>
        <w:rFonts w:ascii="Arial" w:hAnsi="Arial" w:hint="default"/>
      </w:rPr>
    </w:lvl>
    <w:lvl w:ilvl="4" w:tplc="573E6E40" w:tentative="1">
      <w:start w:val="1"/>
      <w:numFmt w:val="bullet"/>
      <w:lvlText w:val="•"/>
      <w:lvlJc w:val="left"/>
      <w:pPr>
        <w:tabs>
          <w:tab w:val="num" w:pos="3600"/>
        </w:tabs>
        <w:ind w:left="3600" w:hanging="360"/>
      </w:pPr>
      <w:rPr>
        <w:rFonts w:ascii="Arial" w:hAnsi="Arial" w:hint="default"/>
      </w:rPr>
    </w:lvl>
    <w:lvl w:ilvl="5" w:tplc="E4A2A64E" w:tentative="1">
      <w:start w:val="1"/>
      <w:numFmt w:val="bullet"/>
      <w:lvlText w:val="•"/>
      <w:lvlJc w:val="left"/>
      <w:pPr>
        <w:tabs>
          <w:tab w:val="num" w:pos="4320"/>
        </w:tabs>
        <w:ind w:left="4320" w:hanging="360"/>
      </w:pPr>
      <w:rPr>
        <w:rFonts w:ascii="Arial" w:hAnsi="Arial" w:hint="default"/>
      </w:rPr>
    </w:lvl>
    <w:lvl w:ilvl="6" w:tplc="A3E2835A" w:tentative="1">
      <w:start w:val="1"/>
      <w:numFmt w:val="bullet"/>
      <w:lvlText w:val="•"/>
      <w:lvlJc w:val="left"/>
      <w:pPr>
        <w:tabs>
          <w:tab w:val="num" w:pos="5040"/>
        </w:tabs>
        <w:ind w:left="5040" w:hanging="360"/>
      </w:pPr>
      <w:rPr>
        <w:rFonts w:ascii="Arial" w:hAnsi="Arial" w:hint="default"/>
      </w:rPr>
    </w:lvl>
    <w:lvl w:ilvl="7" w:tplc="ABB85F5C" w:tentative="1">
      <w:start w:val="1"/>
      <w:numFmt w:val="bullet"/>
      <w:lvlText w:val="•"/>
      <w:lvlJc w:val="left"/>
      <w:pPr>
        <w:tabs>
          <w:tab w:val="num" w:pos="5760"/>
        </w:tabs>
        <w:ind w:left="5760" w:hanging="360"/>
      </w:pPr>
      <w:rPr>
        <w:rFonts w:ascii="Arial" w:hAnsi="Arial" w:hint="default"/>
      </w:rPr>
    </w:lvl>
    <w:lvl w:ilvl="8" w:tplc="E6584C98" w:tentative="1">
      <w:start w:val="1"/>
      <w:numFmt w:val="bullet"/>
      <w:lvlText w:val="•"/>
      <w:lvlJc w:val="left"/>
      <w:pPr>
        <w:tabs>
          <w:tab w:val="num" w:pos="6480"/>
        </w:tabs>
        <w:ind w:left="6480" w:hanging="360"/>
      </w:pPr>
      <w:rPr>
        <w:rFonts w:ascii="Arial" w:hAnsi="Arial" w:hint="default"/>
      </w:rPr>
    </w:lvl>
  </w:abstractNum>
  <w:abstractNum w:abstractNumId="8">
    <w:nsid w:val="2E4D06E8"/>
    <w:multiLevelType w:val="hybridMultilevel"/>
    <w:tmpl w:val="47B2CB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0">
    <w:nsid w:val="3238442C"/>
    <w:multiLevelType w:val="multilevel"/>
    <w:tmpl w:val="FEB87FB6"/>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6005A68"/>
    <w:multiLevelType w:val="hybridMultilevel"/>
    <w:tmpl w:val="B66CC72C"/>
    <w:lvl w:ilvl="0" w:tplc="54D6F80E">
      <w:start w:val="1"/>
      <w:numFmt w:val="decimal"/>
      <w:pStyle w:val="BoxNumbering"/>
      <w:lvlText w:val="%1."/>
      <w:lvlJc w:val="left"/>
      <w:pPr>
        <w:ind w:left="720" w:hanging="360"/>
      </w:pPr>
      <w:rPr>
        <w:rFonts w:ascii="Calibri" w:hAnsi="Calibri" w:hint="default"/>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94435DD"/>
    <w:multiLevelType w:val="hybridMultilevel"/>
    <w:tmpl w:val="60541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10D2021"/>
    <w:multiLevelType w:val="multilevel"/>
    <w:tmpl w:val="72F8140E"/>
    <w:numStyleLink w:val="OutlineList"/>
  </w:abstractNum>
  <w:abstractNum w:abstractNumId="15">
    <w:nsid w:val="72BC6D1C"/>
    <w:multiLevelType w:val="hybridMultilevel"/>
    <w:tmpl w:val="3760F0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abstractNumId w:val="9"/>
  </w:num>
  <w:num w:numId="2">
    <w:abstractNumId w:val="0"/>
  </w:num>
  <w:num w:numId="3">
    <w:abstractNumId w:val="11"/>
  </w:num>
  <w:num w:numId="4">
    <w:abstractNumId w:val="3"/>
  </w:num>
  <w:num w:numId="5">
    <w:abstractNumId w:val="4"/>
  </w:num>
  <w:num w:numId="6">
    <w:abstractNumId w:val="14"/>
  </w:num>
  <w:num w:numId="7">
    <w:abstractNumId w:val="10"/>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5"/>
  </w:num>
  <w:num w:numId="9">
    <w:abstractNumId w:val="1"/>
  </w:num>
  <w:num w:numId="10">
    <w:abstractNumId w:val="6"/>
  </w:num>
  <w:num w:numId="11">
    <w:abstractNumId w:val="16"/>
  </w:num>
  <w:num w:numId="12">
    <w:abstractNumId w:val="14"/>
  </w:num>
  <w:num w:numId="13">
    <w:abstractNumId w:val="6"/>
  </w:num>
  <w:num w:numId="14">
    <w:abstractNumId w:val="10"/>
  </w:num>
  <w:num w:numId="15">
    <w:abstractNumId w:val="7"/>
  </w:num>
  <w:num w:numId="16">
    <w:abstractNumId w:val="8"/>
  </w:num>
  <w:num w:numId="17">
    <w:abstractNumId w:val="9"/>
  </w:num>
  <w:num w:numId="18">
    <w:abstractNumId w:val="2"/>
  </w:num>
  <w:num w:numId="19">
    <w:abstractNumId w:val="15"/>
  </w:num>
  <w:num w:numId="20">
    <w:abstractNumId w:val="12"/>
  </w:num>
  <w:num w:numId="21">
    <w:abstractNumId w:val="9"/>
  </w:num>
  <w:num w:numId="22">
    <w:abstractNumId w:val="13"/>
  </w:num>
  <w:num w:numId="2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annah THOMAS">
    <w15:presenceInfo w15:providerId="AD" w15:userId="S-1-5-21-823819621-2289327709-1525221890-245271"/>
  </w15:person>
  <w15:person w15:author="Fiona MARSH">
    <w15:presenceInfo w15:providerId="AD" w15:userId="S-1-5-21-823819621-2289327709-1525221890-827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attachedTemplate r:id="rId1"/>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21B"/>
    <w:rsid w:val="000015E8"/>
    <w:rsid w:val="00007A5D"/>
    <w:rsid w:val="00011725"/>
    <w:rsid w:val="000120A7"/>
    <w:rsid w:val="00012C62"/>
    <w:rsid w:val="0001635C"/>
    <w:rsid w:val="0002544D"/>
    <w:rsid w:val="00027FCF"/>
    <w:rsid w:val="00030453"/>
    <w:rsid w:val="00031EB8"/>
    <w:rsid w:val="00041A8B"/>
    <w:rsid w:val="0004274D"/>
    <w:rsid w:val="00044C0A"/>
    <w:rsid w:val="00045DCA"/>
    <w:rsid w:val="000479E1"/>
    <w:rsid w:val="00056880"/>
    <w:rsid w:val="00056DED"/>
    <w:rsid w:val="00057FB1"/>
    <w:rsid w:val="0006378E"/>
    <w:rsid w:val="00063940"/>
    <w:rsid w:val="0006506B"/>
    <w:rsid w:val="000675D1"/>
    <w:rsid w:val="0007102C"/>
    <w:rsid w:val="00073521"/>
    <w:rsid w:val="000775DE"/>
    <w:rsid w:val="0008425A"/>
    <w:rsid w:val="000842A4"/>
    <w:rsid w:val="000858F2"/>
    <w:rsid w:val="00087FAF"/>
    <w:rsid w:val="000B05AB"/>
    <w:rsid w:val="000B0DB5"/>
    <w:rsid w:val="000B112D"/>
    <w:rsid w:val="000B7569"/>
    <w:rsid w:val="000C5F40"/>
    <w:rsid w:val="000D7215"/>
    <w:rsid w:val="000E07FD"/>
    <w:rsid w:val="000E0B74"/>
    <w:rsid w:val="000E1B0D"/>
    <w:rsid w:val="000F0BF8"/>
    <w:rsid w:val="000F0C1B"/>
    <w:rsid w:val="000F7517"/>
    <w:rsid w:val="001118AB"/>
    <w:rsid w:val="001130B1"/>
    <w:rsid w:val="00114DE6"/>
    <w:rsid w:val="001160F3"/>
    <w:rsid w:val="001210E7"/>
    <w:rsid w:val="00136BF2"/>
    <w:rsid w:val="00137872"/>
    <w:rsid w:val="0014091C"/>
    <w:rsid w:val="00153DE4"/>
    <w:rsid w:val="00154723"/>
    <w:rsid w:val="001606CF"/>
    <w:rsid w:val="0016128D"/>
    <w:rsid w:val="00166E0E"/>
    <w:rsid w:val="0017089D"/>
    <w:rsid w:val="00172663"/>
    <w:rsid w:val="001742DE"/>
    <w:rsid w:val="00184F41"/>
    <w:rsid w:val="0019101A"/>
    <w:rsid w:val="00191886"/>
    <w:rsid w:val="001A3C1B"/>
    <w:rsid w:val="001A4433"/>
    <w:rsid w:val="001A629F"/>
    <w:rsid w:val="001B1DED"/>
    <w:rsid w:val="001B2A95"/>
    <w:rsid w:val="001C292C"/>
    <w:rsid w:val="001C2BBC"/>
    <w:rsid w:val="001C358D"/>
    <w:rsid w:val="001C5D41"/>
    <w:rsid w:val="001D5592"/>
    <w:rsid w:val="001E1933"/>
    <w:rsid w:val="001E1A8E"/>
    <w:rsid w:val="0020776C"/>
    <w:rsid w:val="00216CB5"/>
    <w:rsid w:val="0022190E"/>
    <w:rsid w:val="00231049"/>
    <w:rsid w:val="002314D2"/>
    <w:rsid w:val="002372A6"/>
    <w:rsid w:val="00244C04"/>
    <w:rsid w:val="00246064"/>
    <w:rsid w:val="002546EF"/>
    <w:rsid w:val="00257AEE"/>
    <w:rsid w:val="00262388"/>
    <w:rsid w:val="00263B6C"/>
    <w:rsid w:val="00264DA4"/>
    <w:rsid w:val="0027590B"/>
    <w:rsid w:val="00283455"/>
    <w:rsid w:val="00285969"/>
    <w:rsid w:val="00286C47"/>
    <w:rsid w:val="00292255"/>
    <w:rsid w:val="002940EC"/>
    <w:rsid w:val="002A13C6"/>
    <w:rsid w:val="002A4232"/>
    <w:rsid w:val="002A7257"/>
    <w:rsid w:val="002B3829"/>
    <w:rsid w:val="002B5C39"/>
    <w:rsid w:val="002C6552"/>
    <w:rsid w:val="002C6894"/>
    <w:rsid w:val="002D0E9F"/>
    <w:rsid w:val="002D44D4"/>
    <w:rsid w:val="002D488F"/>
    <w:rsid w:val="002E4258"/>
    <w:rsid w:val="002F51FF"/>
    <w:rsid w:val="002F617F"/>
    <w:rsid w:val="002F6874"/>
    <w:rsid w:val="00300ACD"/>
    <w:rsid w:val="00302506"/>
    <w:rsid w:val="003122F4"/>
    <w:rsid w:val="00320AAF"/>
    <w:rsid w:val="0032169F"/>
    <w:rsid w:val="003268D5"/>
    <w:rsid w:val="003276B0"/>
    <w:rsid w:val="00335854"/>
    <w:rsid w:val="003405D1"/>
    <w:rsid w:val="00344779"/>
    <w:rsid w:val="00345984"/>
    <w:rsid w:val="00354D27"/>
    <w:rsid w:val="00364F6D"/>
    <w:rsid w:val="00374851"/>
    <w:rsid w:val="003758E8"/>
    <w:rsid w:val="003839F0"/>
    <w:rsid w:val="0038406A"/>
    <w:rsid w:val="003858A6"/>
    <w:rsid w:val="00390975"/>
    <w:rsid w:val="003923C7"/>
    <w:rsid w:val="00392DCC"/>
    <w:rsid w:val="003954A8"/>
    <w:rsid w:val="003A02C9"/>
    <w:rsid w:val="003B232C"/>
    <w:rsid w:val="003B58AB"/>
    <w:rsid w:val="003B6B4E"/>
    <w:rsid w:val="003B7B58"/>
    <w:rsid w:val="003D6E4A"/>
    <w:rsid w:val="003E4D87"/>
    <w:rsid w:val="003F0157"/>
    <w:rsid w:val="003F16B7"/>
    <w:rsid w:val="003F71F2"/>
    <w:rsid w:val="00404C2F"/>
    <w:rsid w:val="00406F66"/>
    <w:rsid w:val="00407DD3"/>
    <w:rsid w:val="00413560"/>
    <w:rsid w:val="00414CC8"/>
    <w:rsid w:val="00415FA0"/>
    <w:rsid w:val="00416762"/>
    <w:rsid w:val="00420AED"/>
    <w:rsid w:val="00425D95"/>
    <w:rsid w:val="004266A8"/>
    <w:rsid w:val="00426E6F"/>
    <w:rsid w:val="00432866"/>
    <w:rsid w:val="0043291E"/>
    <w:rsid w:val="00440CBC"/>
    <w:rsid w:val="00445265"/>
    <w:rsid w:val="004470EF"/>
    <w:rsid w:val="004476DD"/>
    <w:rsid w:val="004559CE"/>
    <w:rsid w:val="00455B43"/>
    <w:rsid w:val="004623BA"/>
    <w:rsid w:val="00473EF4"/>
    <w:rsid w:val="00475B7B"/>
    <w:rsid w:val="00475F4D"/>
    <w:rsid w:val="00482AD1"/>
    <w:rsid w:val="00483049"/>
    <w:rsid w:val="00487B7F"/>
    <w:rsid w:val="00492FCB"/>
    <w:rsid w:val="004938D1"/>
    <w:rsid w:val="004951A8"/>
    <w:rsid w:val="004A3A2B"/>
    <w:rsid w:val="004B6860"/>
    <w:rsid w:val="004C0B91"/>
    <w:rsid w:val="004C3C53"/>
    <w:rsid w:val="004C5387"/>
    <w:rsid w:val="004C6F8D"/>
    <w:rsid w:val="004D2735"/>
    <w:rsid w:val="004D409C"/>
    <w:rsid w:val="004D50D7"/>
    <w:rsid w:val="004D7EDB"/>
    <w:rsid w:val="004E1B21"/>
    <w:rsid w:val="004E4D4B"/>
    <w:rsid w:val="004F1164"/>
    <w:rsid w:val="004F2704"/>
    <w:rsid w:val="004F3DAB"/>
    <w:rsid w:val="00513793"/>
    <w:rsid w:val="0051403F"/>
    <w:rsid w:val="00516785"/>
    <w:rsid w:val="00521514"/>
    <w:rsid w:val="0052419D"/>
    <w:rsid w:val="005301F8"/>
    <w:rsid w:val="005312FC"/>
    <w:rsid w:val="0053603D"/>
    <w:rsid w:val="005449BA"/>
    <w:rsid w:val="00547E08"/>
    <w:rsid w:val="00563CD1"/>
    <w:rsid w:val="0056630B"/>
    <w:rsid w:val="00567FF2"/>
    <w:rsid w:val="00577587"/>
    <w:rsid w:val="005868DE"/>
    <w:rsid w:val="005963C7"/>
    <w:rsid w:val="005D0930"/>
    <w:rsid w:val="005E0247"/>
    <w:rsid w:val="005E2C94"/>
    <w:rsid w:val="005F74AA"/>
    <w:rsid w:val="00601144"/>
    <w:rsid w:val="0060420B"/>
    <w:rsid w:val="0060595B"/>
    <w:rsid w:val="00605AFD"/>
    <w:rsid w:val="00607C7C"/>
    <w:rsid w:val="006123D4"/>
    <w:rsid w:val="00622939"/>
    <w:rsid w:val="006337E1"/>
    <w:rsid w:val="006363D8"/>
    <w:rsid w:val="00637C14"/>
    <w:rsid w:val="006445D0"/>
    <w:rsid w:val="00652E28"/>
    <w:rsid w:val="00656356"/>
    <w:rsid w:val="00657CD9"/>
    <w:rsid w:val="006601A3"/>
    <w:rsid w:val="006755BF"/>
    <w:rsid w:val="00683394"/>
    <w:rsid w:val="00686165"/>
    <w:rsid w:val="00691CB5"/>
    <w:rsid w:val="00694612"/>
    <w:rsid w:val="006A1699"/>
    <w:rsid w:val="006A2811"/>
    <w:rsid w:val="006A48A1"/>
    <w:rsid w:val="006A6EE1"/>
    <w:rsid w:val="006B0BA5"/>
    <w:rsid w:val="006B2FA8"/>
    <w:rsid w:val="006B512A"/>
    <w:rsid w:val="006B5E7C"/>
    <w:rsid w:val="006C645D"/>
    <w:rsid w:val="006D42C7"/>
    <w:rsid w:val="006D71CA"/>
    <w:rsid w:val="006E3CC3"/>
    <w:rsid w:val="006F4E6C"/>
    <w:rsid w:val="006F656C"/>
    <w:rsid w:val="007046F7"/>
    <w:rsid w:val="00704B47"/>
    <w:rsid w:val="00707014"/>
    <w:rsid w:val="00710A10"/>
    <w:rsid w:val="007136C6"/>
    <w:rsid w:val="00713E36"/>
    <w:rsid w:val="00716245"/>
    <w:rsid w:val="007231CC"/>
    <w:rsid w:val="00737320"/>
    <w:rsid w:val="00737A2F"/>
    <w:rsid w:val="00745A87"/>
    <w:rsid w:val="00760AD9"/>
    <w:rsid w:val="007617D3"/>
    <w:rsid w:val="007653A0"/>
    <w:rsid w:val="00771CF4"/>
    <w:rsid w:val="00774AF0"/>
    <w:rsid w:val="00775E34"/>
    <w:rsid w:val="00780443"/>
    <w:rsid w:val="00783F52"/>
    <w:rsid w:val="0078509F"/>
    <w:rsid w:val="00794499"/>
    <w:rsid w:val="007A4545"/>
    <w:rsid w:val="007D5AA6"/>
    <w:rsid w:val="007E1621"/>
    <w:rsid w:val="007E1FAF"/>
    <w:rsid w:val="007E2AB9"/>
    <w:rsid w:val="007E6456"/>
    <w:rsid w:val="007F6D26"/>
    <w:rsid w:val="008147A6"/>
    <w:rsid w:val="00815372"/>
    <w:rsid w:val="00821911"/>
    <w:rsid w:val="00834243"/>
    <w:rsid w:val="00836281"/>
    <w:rsid w:val="008470D2"/>
    <w:rsid w:val="00855618"/>
    <w:rsid w:val="00857969"/>
    <w:rsid w:val="008938C3"/>
    <w:rsid w:val="0089536B"/>
    <w:rsid w:val="008A013C"/>
    <w:rsid w:val="008A1187"/>
    <w:rsid w:val="008A188D"/>
    <w:rsid w:val="008B1499"/>
    <w:rsid w:val="008B29D9"/>
    <w:rsid w:val="008B2B81"/>
    <w:rsid w:val="008D339F"/>
    <w:rsid w:val="008D7F38"/>
    <w:rsid w:val="008E6292"/>
    <w:rsid w:val="008F5F84"/>
    <w:rsid w:val="009038FE"/>
    <w:rsid w:val="00914FAA"/>
    <w:rsid w:val="00923B3E"/>
    <w:rsid w:val="00925AA5"/>
    <w:rsid w:val="0094019D"/>
    <w:rsid w:val="00942C11"/>
    <w:rsid w:val="00952C08"/>
    <w:rsid w:val="009732EC"/>
    <w:rsid w:val="009743A3"/>
    <w:rsid w:val="009761D7"/>
    <w:rsid w:val="00980A19"/>
    <w:rsid w:val="009821CE"/>
    <w:rsid w:val="009852CF"/>
    <w:rsid w:val="00986A41"/>
    <w:rsid w:val="009A658F"/>
    <w:rsid w:val="009A668A"/>
    <w:rsid w:val="009A6BC4"/>
    <w:rsid w:val="009B50C9"/>
    <w:rsid w:val="009B6D76"/>
    <w:rsid w:val="009D345F"/>
    <w:rsid w:val="009E0097"/>
    <w:rsid w:val="009F4D4D"/>
    <w:rsid w:val="00A00CD8"/>
    <w:rsid w:val="00A05859"/>
    <w:rsid w:val="00A06494"/>
    <w:rsid w:val="00A16E03"/>
    <w:rsid w:val="00A223A9"/>
    <w:rsid w:val="00A22AB9"/>
    <w:rsid w:val="00A2347D"/>
    <w:rsid w:val="00A260CD"/>
    <w:rsid w:val="00A3500D"/>
    <w:rsid w:val="00A3749B"/>
    <w:rsid w:val="00A44511"/>
    <w:rsid w:val="00A46233"/>
    <w:rsid w:val="00A55076"/>
    <w:rsid w:val="00A60E1B"/>
    <w:rsid w:val="00A62E42"/>
    <w:rsid w:val="00A64A71"/>
    <w:rsid w:val="00A71033"/>
    <w:rsid w:val="00A80402"/>
    <w:rsid w:val="00A83BCC"/>
    <w:rsid w:val="00A92800"/>
    <w:rsid w:val="00A94F44"/>
    <w:rsid w:val="00AB3275"/>
    <w:rsid w:val="00AE2F90"/>
    <w:rsid w:val="00AE3FAF"/>
    <w:rsid w:val="00B0766F"/>
    <w:rsid w:val="00B15495"/>
    <w:rsid w:val="00B15E69"/>
    <w:rsid w:val="00B23983"/>
    <w:rsid w:val="00B24346"/>
    <w:rsid w:val="00B25D9A"/>
    <w:rsid w:val="00B26908"/>
    <w:rsid w:val="00B3149D"/>
    <w:rsid w:val="00B35E7F"/>
    <w:rsid w:val="00B40FAB"/>
    <w:rsid w:val="00B43363"/>
    <w:rsid w:val="00B43D63"/>
    <w:rsid w:val="00B677C1"/>
    <w:rsid w:val="00B72B54"/>
    <w:rsid w:val="00B72CE4"/>
    <w:rsid w:val="00B770FF"/>
    <w:rsid w:val="00B80668"/>
    <w:rsid w:val="00B80C46"/>
    <w:rsid w:val="00B82EF9"/>
    <w:rsid w:val="00B83C16"/>
    <w:rsid w:val="00B85F47"/>
    <w:rsid w:val="00B87927"/>
    <w:rsid w:val="00B90294"/>
    <w:rsid w:val="00B92619"/>
    <w:rsid w:val="00B93F74"/>
    <w:rsid w:val="00BB3385"/>
    <w:rsid w:val="00BC5BA8"/>
    <w:rsid w:val="00BD1D60"/>
    <w:rsid w:val="00BD5650"/>
    <w:rsid w:val="00BD6849"/>
    <w:rsid w:val="00BF40F8"/>
    <w:rsid w:val="00C00780"/>
    <w:rsid w:val="00C23109"/>
    <w:rsid w:val="00C270DA"/>
    <w:rsid w:val="00C30297"/>
    <w:rsid w:val="00C36B17"/>
    <w:rsid w:val="00C44CFC"/>
    <w:rsid w:val="00C54E4E"/>
    <w:rsid w:val="00C560A1"/>
    <w:rsid w:val="00C57F32"/>
    <w:rsid w:val="00C65187"/>
    <w:rsid w:val="00C663AB"/>
    <w:rsid w:val="00C66486"/>
    <w:rsid w:val="00C7157A"/>
    <w:rsid w:val="00C7421B"/>
    <w:rsid w:val="00C7488C"/>
    <w:rsid w:val="00C77056"/>
    <w:rsid w:val="00C80009"/>
    <w:rsid w:val="00C8249B"/>
    <w:rsid w:val="00C85314"/>
    <w:rsid w:val="00C9047F"/>
    <w:rsid w:val="00C93718"/>
    <w:rsid w:val="00C95E4B"/>
    <w:rsid w:val="00CA39CB"/>
    <w:rsid w:val="00CA46D6"/>
    <w:rsid w:val="00CA4BC0"/>
    <w:rsid w:val="00CA57D4"/>
    <w:rsid w:val="00CB2135"/>
    <w:rsid w:val="00CB30D3"/>
    <w:rsid w:val="00CC559D"/>
    <w:rsid w:val="00CC65DA"/>
    <w:rsid w:val="00CD2822"/>
    <w:rsid w:val="00CD654B"/>
    <w:rsid w:val="00CD6BD4"/>
    <w:rsid w:val="00CE223E"/>
    <w:rsid w:val="00CE26B3"/>
    <w:rsid w:val="00CE5B51"/>
    <w:rsid w:val="00D0474D"/>
    <w:rsid w:val="00D1366B"/>
    <w:rsid w:val="00D145F5"/>
    <w:rsid w:val="00D355F0"/>
    <w:rsid w:val="00D428F9"/>
    <w:rsid w:val="00D449DF"/>
    <w:rsid w:val="00D44CC5"/>
    <w:rsid w:val="00D45AF8"/>
    <w:rsid w:val="00D51C05"/>
    <w:rsid w:val="00D61C28"/>
    <w:rsid w:val="00D72CA8"/>
    <w:rsid w:val="00D75AC8"/>
    <w:rsid w:val="00D818E5"/>
    <w:rsid w:val="00D83BD9"/>
    <w:rsid w:val="00D86683"/>
    <w:rsid w:val="00D93207"/>
    <w:rsid w:val="00D95FB9"/>
    <w:rsid w:val="00DA686B"/>
    <w:rsid w:val="00DB0FE6"/>
    <w:rsid w:val="00DB1C64"/>
    <w:rsid w:val="00DB61F6"/>
    <w:rsid w:val="00DB7BE4"/>
    <w:rsid w:val="00DB7F09"/>
    <w:rsid w:val="00DC00E8"/>
    <w:rsid w:val="00DC44E9"/>
    <w:rsid w:val="00DC76A2"/>
    <w:rsid w:val="00DD2302"/>
    <w:rsid w:val="00DD41FD"/>
    <w:rsid w:val="00DE7180"/>
    <w:rsid w:val="00DF2B22"/>
    <w:rsid w:val="00DF6338"/>
    <w:rsid w:val="00DF75F5"/>
    <w:rsid w:val="00E05DA7"/>
    <w:rsid w:val="00E10D39"/>
    <w:rsid w:val="00E1136B"/>
    <w:rsid w:val="00E11A5C"/>
    <w:rsid w:val="00E14F83"/>
    <w:rsid w:val="00E15906"/>
    <w:rsid w:val="00E2296E"/>
    <w:rsid w:val="00E22D51"/>
    <w:rsid w:val="00E25FCA"/>
    <w:rsid w:val="00E345C4"/>
    <w:rsid w:val="00E35FA1"/>
    <w:rsid w:val="00E50E7C"/>
    <w:rsid w:val="00E51545"/>
    <w:rsid w:val="00E55326"/>
    <w:rsid w:val="00E571FE"/>
    <w:rsid w:val="00E656A1"/>
    <w:rsid w:val="00E66E35"/>
    <w:rsid w:val="00E711D7"/>
    <w:rsid w:val="00E725F6"/>
    <w:rsid w:val="00E729CD"/>
    <w:rsid w:val="00E7312B"/>
    <w:rsid w:val="00E850F7"/>
    <w:rsid w:val="00E85FE3"/>
    <w:rsid w:val="00E86182"/>
    <w:rsid w:val="00E902B0"/>
    <w:rsid w:val="00E902E8"/>
    <w:rsid w:val="00E91613"/>
    <w:rsid w:val="00E972B6"/>
    <w:rsid w:val="00EA04DF"/>
    <w:rsid w:val="00EA2D37"/>
    <w:rsid w:val="00EA62F1"/>
    <w:rsid w:val="00EB030F"/>
    <w:rsid w:val="00EB796C"/>
    <w:rsid w:val="00EC4E8A"/>
    <w:rsid w:val="00EC6B16"/>
    <w:rsid w:val="00ED3892"/>
    <w:rsid w:val="00EE5456"/>
    <w:rsid w:val="00EE6158"/>
    <w:rsid w:val="00EE677F"/>
    <w:rsid w:val="00EF1BEB"/>
    <w:rsid w:val="00EF225C"/>
    <w:rsid w:val="00EF3022"/>
    <w:rsid w:val="00EF3A19"/>
    <w:rsid w:val="00F0082D"/>
    <w:rsid w:val="00F07C90"/>
    <w:rsid w:val="00F20469"/>
    <w:rsid w:val="00F30DD4"/>
    <w:rsid w:val="00F3355F"/>
    <w:rsid w:val="00F440CD"/>
    <w:rsid w:val="00F44F92"/>
    <w:rsid w:val="00F52EE2"/>
    <w:rsid w:val="00F66B9F"/>
    <w:rsid w:val="00F71A0E"/>
    <w:rsid w:val="00F74847"/>
    <w:rsid w:val="00F91C1D"/>
    <w:rsid w:val="00F92279"/>
    <w:rsid w:val="00FA0F76"/>
    <w:rsid w:val="00FA5152"/>
    <w:rsid w:val="00FB00BB"/>
    <w:rsid w:val="00FB14C6"/>
    <w:rsid w:val="00FB64AA"/>
    <w:rsid w:val="00FC0353"/>
    <w:rsid w:val="00FC1BAE"/>
    <w:rsid w:val="00FC401E"/>
    <w:rsid w:val="00FC6ADA"/>
    <w:rsid w:val="00FD2D27"/>
    <w:rsid w:val="00FE3D2F"/>
    <w:rsid w:val="00FF75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57E1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C1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1136B"/>
    <w:pPr>
      <w:spacing w:before="480"/>
      <w:outlineLvl w:val="0"/>
    </w:pPr>
    <w:rPr>
      <w:bCs w:val="0"/>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36B"/>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3"/>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basedOn w:val="Normal"/>
    <w:link w:val="BulletChar"/>
    <w:rsid w:val="000E0B74"/>
    <w:pPr>
      <w:numPr>
        <w:numId w:val="1"/>
      </w:numPr>
      <w:spacing w:before="0"/>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rsid w:val="000E0B74"/>
    <w:pPr>
      <w:numPr>
        <w:ilvl w:val="1"/>
        <w:numId w:val="1"/>
      </w:numPr>
      <w:spacing w:before="0"/>
      <w:ind w:left="568"/>
    </w:pPr>
  </w:style>
  <w:style w:type="paragraph" w:customStyle="1" w:styleId="DoubleDot">
    <w:name w:val="Double Dot"/>
    <w:basedOn w:val="Normal"/>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E35FA1"/>
    <w:pPr>
      <w:numPr>
        <w:numId w:val="13"/>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uiPriority w:val="59"/>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4"/>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60595B"/>
    <w:pPr>
      <w:spacing w:before="0" w:after="0"/>
    </w:pPr>
    <w:rPr>
      <w:sz w:val="20"/>
    </w:rPr>
  </w:style>
  <w:style w:type="character" w:customStyle="1" w:styleId="FootnoteTextChar">
    <w:name w:val="Footnote Text Char"/>
    <w:basedOn w:val="DefaultParagraphFont"/>
    <w:link w:val="FootnoteText"/>
    <w:uiPriority w:val="99"/>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paragraph" w:styleId="ListParagraph">
    <w:name w:val="List Paragraph"/>
    <w:basedOn w:val="Normal"/>
    <w:uiPriority w:val="34"/>
    <w:qFormat/>
    <w:rsid w:val="00E850F7"/>
    <w:pPr>
      <w:spacing w:before="0" w:after="200" w:line="276" w:lineRule="auto"/>
      <w:ind w:left="720"/>
      <w:contextualSpacing/>
    </w:pPr>
    <w:rPr>
      <w:rFonts w:asciiTheme="minorHAnsi" w:eastAsiaTheme="minorHAnsi" w:hAnsiTheme="minorHAnsi" w:cstheme="minorBidi"/>
      <w:szCs w:val="22"/>
      <w:lang w:eastAsia="en-US"/>
    </w:rPr>
  </w:style>
  <w:style w:type="table" w:styleId="LightShading">
    <w:name w:val="Light Shading"/>
    <w:basedOn w:val="TableNormal"/>
    <w:uiPriority w:val="60"/>
    <w:rsid w:val="00E850F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E850F7"/>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BulletChar">
    <w:name w:val="Bullet Char"/>
    <w:basedOn w:val="DefaultParagraphFont"/>
    <w:link w:val="Bullet"/>
    <w:rsid w:val="00E850F7"/>
    <w:rPr>
      <w:rFonts w:ascii="Calibri" w:eastAsia="Times New Roman" w:hAnsi="Calibri" w:cs="Times New Roman"/>
      <w:szCs w:val="20"/>
      <w:lang w:eastAsia="en-AU"/>
    </w:rPr>
  </w:style>
  <w:style w:type="character" w:styleId="CommentReference">
    <w:name w:val="annotation reference"/>
    <w:basedOn w:val="DefaultParagraphFont"/>
    <w:uiPriority w:val="99"/>
    <w:semiHidden/>
    <w:unhideWhenUsed/>
    <w:rsid w:val="000B0DB5"/>
    <w:rPr>
      <w:sz w:val="16"/>
      <w:szCs w:val="16"/>
    </w:rPr>
  </w:style>
  <w:style w:type="paragraph" w:styleId="CommentText">
    <w:name w:val="annotation text"/>
    <w:basedOn w:val="Normal"/>
    <w:link w:val="CommentTextChar"/>
    <w:uiPriority w:val="99"/>
    <w:semiHidden/>
    <w:unhideWhenUsed/>
    <w:rsid w:val="000B0DB5"/>
    <w:rPr>
      <w:sz w:val="20"/>
    </w:rPr>
  </w:style>
  <w:style w:type="character" w:customStyle="1" w:styleId="CommentTextChar">
    <w:name w:val="Comment Text Char"/>
    <w:basedOn w:val="DefaultParagraphFont"/>
    <w:link w:val="CommentText"/>
    <w:uiPriority w:val="99"/>
    <w:semiHidden/>
    <w:rsid w:val="000B0DB5"/>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B0DB5"/>
    <w:rPr>
      <w:b/>
      <w:bCs/>
    </w:rPr>
  </w:style>
  <w:style w:type="character" w:customStyle="1" w:styleId="CommentSubjectChar">
    <w:name w:val="Comment Subject Char"/>
    <w:basedOn w:val="CommentTextChar"/>
    <w:link w:val="CommentSubject"/>
    <w:uiPriority w:val="99"/>
    <w:semiHidden/>
    <w:rsid w:val="000B0DB5"/>
    <w:rPr>
      <w:rFonts w:ascii="Calibri" w:eastAsia="Times New Roman" w:hAnsi="Calibri" w:cs="Times New Roman"/>
      <w:b/>
      <w:bCs/>
      <w:sz w:val="20"/>
      <w:szCs w:val="20"/>
      <w:lang w:eastAsia="en-AU"/>
    </w:rPr>
  </w:style>
  <w:style w:type="paragraph" w:customStyle="1" w:styleId="BoxNumbering">
    <w:name w:val="Box Numbering"/>
    <w:basedOn w:val="BoxText"/>
    <w:rsid w:val="00694612"/>
    <w:pPr>
      <w:numPr>
        <w:numId w:val="20"/>
      </w:numPr>
      <w:tabs>
        <w:tab w:val="left" w:pos="425"/>
      </w:tabs>
      <w:spacing w:line="280" w:lineRule="exact"/>
      <w:ind w:left="425" w:right="57" w:hanging="425"/>
      <w:jc w:val="both"/>
    </w:pPr>
  </w:style>
  <w:style w:type="paragraph" w:styleId="Revision">
    <w:name w:val="Revision"/>
    <w:hidden/>
    <w:uiPriority w:val="99"/>
    <w:semiHidden/>
    <w:rsid w:val="00B15E69"/>
    <w:pPr>
      <w:spacing w:after="0" w:line="240" w:lineRule="auto"/>
    </w:pPr>
    <w:rPr>
      <w:rFonts w:ascii="Calibri" w:eastAsia="Times New Roman" w:hAnsi="Calibri" w:cs="Times New Roman"/>
      <w:szCs w:val="20"/>
      <w:lang w:eastAsia="en-AU"/>
    </w:rPr>
  </w:style>
  <w:style w:type="paragraph" w:styleId="TOCHeading">
    <w:name w:val="TOC Heading"/>
    <w:basedOn w:val="Heading1"/>
    <w:next w:val="Normal"/>
    <w:uiPriority w:val="39"/>
    <w:semiHidden/>
    <w:unhideWhenUsed/>
    <w:qFormat/>
    <w:rsid w:val="0001635C"/>
    <w:pPr>
      <w:keepLines/>
      <w:spacing w:after="0" w:line="276" w:lineRule="auto"/>
      <w:outlineLvl w:val="9"/>
    </w:pPr>
    <w:rPr>
      <w:rFonts w:asciiTheme="majorHAnsi" w:eastAsiaTheme="majorEastAsia" w:hAnsiTheme="majorHAnsi" w:cstheme="majorBidi"/>
      <w:b/>
      <w:bCs/>
      <w:color w:val="2E74B5" w:themeColor="accent1" w:themeShade="BF"/>
      <w:kern w:val="0"/>
      <w:sz w:val="28"/>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C1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1136B"/>
    <w:pPr>
      <w:spacing w:before="480"/>
      <w:outlineLvl w:val="0"/>
    </w:pPr>
    <w:rPr>
      <w:bCs w:val="0"/>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36B"/>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3"/>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basedOn w:val="Normal"/>
    <w:link w:val="BulletChar"/>
    <w:rsid w:val="000E0B74"/>
    <w:pPr>
      <w:numPr>
        <w:numId w:val="1"/>
      </w:numPr>
      <w:spacing w:before="0"/>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rsid w:val="000E0B74"/>
    <w:pPr>
      <w:numPr>
        <w:ilvl w:val="1"/>
        <w:numId w:val="1"/>
      </w:numPr>
      <w:spacing w:before="0"/>
      <w:ind w:left="568"/>
    </w:pPr>
  </w:style>
  <w:style w:type="paragraph" w:customStyle="1" w:styleId="DoubleDot">
    <w:name w:val="Double Dot"/>
    <w:basedOn w:val="Normal"/>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E35FA1"/>
    <w:pPr>
      <w:numPr>
        <w:numId w:val="13"/>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uiPriority w:val="59"/>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4"/>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60595B"/>
    <w:pPr>
      <w:spacing w:before="0" w:after="0"/>
    </w:pPr>
    <w:rPr>
      <w:sz w:val="20"/>
    </w:rPr>
  </w:style>
  <w:style w:type="character" w:customStyle="1" w:styleId="FootnoteTextChar">
    <w:name w:val="Footnote Text Char"/>
    <w:basedOn w:val="DefaultParagraphFont"/>
    <w:link w:val="FootnoteText"/>
    <w:uiPriority w:val="99"/>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paragraph" w:styleId="ListParagraph">
    <w:name w:val="List Paragraph"/>
    <w:basedOn w:val="Normal"/>
    <w:uiPriority w:val="34"/>
    <w:qFormat/>
    <w:rsid w:val="00E850F7"/>
    <w:pPr>
      <w:spacing w:before="0" w:after="200" w:line="276" w:lineRule="auto"/>
      <w:ind w:left="720"/>
      <w:contextualSpacing/>
    </w:pPr>
    <w:rPr>
      <w:rFonts w:asciiTheme="minorHAnsi" w:eastAsiaTheme="minorHAnsi" w:hAnsiTheme="minorHAnsi" w:cstheme="minorBidi"/>
      <w:szCs w:val="22"/>
      <w:lang w:eastAsia="en-US"/>
    </w:rPr>
  </w:style>
  <w:style w:type="table" w:styleId="LightShading">
    <w:name w:val="Light Shading"/>
    <w:basedOn w:val="TableNormal"/>
    <w:uiPriority w:val="60"/>
    <w:rsid w:val="00E850F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E850F7"/>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BulletChar">
    <w:name w:val="Bullet Char"/>
    <w:basedOn w:val="DefaultParagraphFont"/>
    <w:link w:val="Bullet"/>
    <w:rsid w:val="00E850F7"/>
    <w:rPr>
      <w:rFonts w:ascii="Calibri" w:eastAsia="Times New Roman" w:hAnsi="Calibri" w:cs="Times New Roman"/>
      <w:szCs w:val="20"/>
      <w:lang w:eastAsia="en-AU"/>
    </w:rPr>
  </w:style>
  <w:style w:type="character" w:styleId="CommentReference">
    <w:name w:val="annotation reference"/>
    <w:basedOn w:val="DefaultParagraphFont"/>
    <w:uiPriority w:val="99"/>
    <w:semiHidden/>
    <w:unhideWhenUsed/>
    <w:rsid w:val="000B0DB5"/>
    <w:rPr>
      <w:sz w:val="16"/>
      <w:szCs w:val="16"/>
    </w:rPr>
  </w:style>
  <w:style w:type="paragraph" w:styleId="CommentText">
    <w:name w:val="annotation text"/>
    <w:basedOn w:val="Normal"/>
    <w:link w:val="CommentTextChar"/>
    <w:uiPriority w:val="99"/>
    <w:semiHidden/>
    <w:unhideWhenUsed/>
    <w:rsid w:val="000B0DB5"/>
    <w:rPr>
      <w:sz w:val="20"/>
    </w:rPr>
  </w:style>
  <w:style w:type="character" w:customStyle="1" w:styleId="CommentTextChar">
    <w:name w:val="Comment Text Char"/>
    <w:basedOn w:val="DefaultParagraphFont"/>
    <w:link w:val="CommentText"/>
    <w:uiPriority w:val="99"/>
    <w:semiHidden/>
    <w:rsid w:val="000B0DB5"/>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B0DB5"/>
    <w:rPr>
      <w:b/>
      <w:bCs/>
    </w:rPr>
  </w:style>
  <w:style w:type="character" w:customStyle="1" w:styleId="CommentSubjectChar">
    <w:name w:val="Comment Subject Char"/>
    <w:basedOn w:val="CommentTextChar"/>
    <w:link w:val="CommentSubject"/>
    <w:uiPriority w:val="99"/>
    <w:semiHidden/>
    <w:rsid w:val="000B0DB5"/>
    <w:rPr>
      <w:rFonts w:ascii="Calibri" w:eastAsia="Times New Roman" w:hAnsi="Calibri" w:cs="Times New Roman"/>
      <w:b/>
      <w:bCs/>
      <w:sz w:val="20"/>
      <w:szCs w:val="20"/>
      <w:lang w:eastAsia="en-AU"/>
    </w:rPr>
  </w:style>
  <w:style w:type="paragraph" w:customStyle="1" w:styleId="BoxNumbering">
    <w:name w:val="Box Numbering"/>
    <w:basedOn w:val="BoxText"/>
    <w:rsid w:val="00694612"/>
    <w:pPr>
      <w:numPr>
        <w:numId w:val="20"/>
      </w:numPr>
      <w:tabs>
        <w:tab w:val="left" w:pos="425"/>
      </w:tabs>
      <w:spacing w:line="280" w:lineRule="exact"/>
      <w:ind w:left="425" w:right="57" w:hanging="425"/>
      <w:jc w:val="both"/>
    </w:pPr>
  </w:style>
  <w:style w:type="paragraph" w:styleId="Revision">
    <w:name w:val="Revision"/>
    <w:hidden/>
    <w:uiPriority w:val="99"/>
    <w:semiHidden/>
    <w:rsid w:val="00B15E69"/>
    <w:pPr>
      <w:spacing w:after="0" w:line="240" w:lineRule="auto"/>
    </w:pPr>
    <w:rPr>
      <w:rFonts w:ascii="Calibri" w:eastAsia="Times New Roman" w:hAnsi="Calibri" w:cs="Times New Roman"/>
      <w:szCs w:val="20"/>
      <w:lang w:eastAsia="en-AU"/>
    </w:rPr>
  </w:style>
  <w:style w:type="paragraph" w:styleId="TOCHeading">
    <w:name w:val="TOC Heading"/>
    <w:basedOn w:val="Heading1"/>
    <w:next w:val="Normal"/>
    <w:uiPriority w:val="39"/>
    <w:semiHidden/>
    <w:unhideWhenUsed/>
    <w:qFormat/>
    <w:rsid w:val="0001635C"/>
    <w:pPr>
      <w:keepLines/>
      <w:spacing w:after="0" w:line="276" w:lineRule="auto"/>
      <w:outlineLvl w:val="9"/>
    </w:pPr>
    <w:rPr>
      <w:rFonts w:asciiTheme="majorHAnsi" w:eastAsiaTheme="majorEastAsia" w:hAnsiTheme="majorHAnsi" w:cstheme="majorBidi"/>
      <w:b/>
      <w:bCs/>
      <w:color w:val="2E74B5" w:themeColor="accent1" w:themeShade="BF"/>
      <w:kern w:val="0"/>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611522">
      <w:bodyDiv w:val="1"/>
      <w:marLeft w:val="0"/>
      <w:marRight w:val="0"/>
      <w:marTop w:val="0"/>
      <w:marBottom w:val="0"/>
      <w:divBdr>
        <w:top w:val="none" w:sz="0" w:space="0" w:color="auto"/>
        <w:left w:val="none" w:sz="0" w:space="0" w:color="auto"/>
        <w:bottom w:val="none" w:sz="0" w:space="0" w:color="auto"/>
        <w:right w:val="none" w:sz="0" w:space="0" w:color="auto"/>
      </w:divBdr>
      <w:divsChild>
        <w:div w:id="1746150447">
          <w:marLeft w:val="1080"/>
          <w:marRight w:val="0"/>
          <w:marTop w:val="0"/>
          <w:marBottom w:val="37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yperlink" Target="mailto:blackeconomy@treasury.gov.au" TargetMode="External"/><Relationship Id="rId3" Type="http://schemas.openxmlformats.org/officeDocument/2006/relationships/customXml" Target="../customXml/item3.xml"/><Relationship Id="rId21" Type="http://schemas.openxmlformats.org/officeDocument/2006/relationships/hyperlink" Target="http://creativecommons.org/licenses/by/3.0/au/legalcode" TargetMode="External"/><Relationship Id="rId34"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mailto:medialiaison@treasury.gov.au" TargetMode="External"/><Relationship Id="rId33" Type="http://schemas.openxmlformats.org/officeDocument/2006/relationships/header" Target="header6.xml"/><Relationship Id="rId38"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creativecommons.org/licenses/by/3.0/au/deed.en"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itsanhonour.gov.au" TargetMode="External"/><Relationship Id="rId32" Type="http://schemas.openxmlformats.org/officeDocument/2006/relationships/footer" Target="footer5.xm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creativecommons.org/licenses/by/3.0/au/deed.en" TargetMode="External"/><Relationship Id="rId28" Type="http://schemas.openxmlformats.org/officeDocument/2006/relationships/hyperlink" Target="https://www.legislation.gov.au/Details/F2018C00101" TargetMode="Externa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footer" Target="foot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image" Target="media/image3.wmf"/><Relationship Id="rId27" Type="http://schemas.openxmlformats.org/officeDocument/2006/relationships/hyperlink" Target="https://www.legislation.gov.au/Details/C2018C00101" TargetMode="External"/><Relationship Id="rId30" Type="http://schemas.openxmlformats.org/officeDocument/2006/relationships/header" Target="header5.xm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Consultation%20Discussion%20Pap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RA-9206 - Destroy 10 years after action completed</TermName>
          <TermId xmlns="http://schemas.microsoft.com/office/infopath/2007/PartnerControls">00c3f558-2b96-436f-97e2-418f0fc24a03</TermId>
        </TermInfo>
      </Terms>
    </lb508a4dc5e84436a0fe496b536466aa>
    <IconOverlay xmlns="http://schemas.microsoft.com/sharepoint/v4" xsi:nil="true"/>
    <TaxCatchAll xmlns="9f7bc583-7cbe-45b9-a2bd-8bbb6543b37e">
      <Value>19</Value>
    </TaxCatchAll>
    <_dlc_DocId xmlns="9f7bc583-7cbe-45b9-a2bd-8bbb6543b37e">2018RG-383-7745</_dlc_DocId>
    <_dlc_DocIdUrl xmlns="9f7bc583-7cbe-45b9-a2bd-8bbb6543b37e">
      <Url>http://tweb/sites/rg/TFD/_layouts/15/DocIdRedir.aspx?ID=2018RG-383-7745</Url>
      <Description>2018RG-383-7745</Description>
    </_dlc_DocIdUrl>
    <Workstream xmlns="3005dc1a-503b-43bd-9c11-c541b77a5529" xsi:nil="true"/>
    <Status xmlns="3005dc1a-503b-43bd-9c11-c541b77a5529">Completed</Status>
  </documentManagement>
</p:propertie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3A7607C90ED3EC4E8B0089630B9D1985" ma:contentTypeVersion="11412" ma:contentTypeDescription="" ma:contentTypeScope="" ma:versionID="ba4f45165f7bc8d3d970d25da5fcff31">
  <xsd:schema xmlns:xsd="http://www.w3.org/2001/XMLSchema" xmlns:xs="http://www.w3.org/2001/XMLSchema" xmlns:p="http://schemas.microsoft.com/office/2006/metadata/properties" xmlns:ns1="http://schemas.microsoft.com/sharepoint/v3" xmlns:ns2="9f7bc583-7cbe-45b9-a2bd-8bbb6543b37e" xmlns:ns3="3005dc1a-503b-43bd-9c11-c541b77a5529" xmlns:ns4="http://schemas.microsoft.com/sharepoint/v4" targetNamespace="http://schemas.microsoft.com/office/2006/metadata/properties" ma:root="true" ma:fieldsID="8c8e2e769521f0da6f77216f2f5e062f" ns1:_="" ns2:_="" ns3:_="" ns4:_="">
    <xsd:import namespace="http://schemas.microsoft.com/sharepoint/v3"/>
    <xsd:import namespace="9f7bc583-7cbe-45b9-a2bd-8bbb6543b37e"/>
    <xsd:import namespace="3005dc1a-503b-43bd-9c11-c541b77a552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element ref="ns3:Workstream"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19;#TSY RA-9206 - Destroy 10 years after action completed|00c3f558-2b96-436f-97e2-418f0fc24a0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05dc1a-503b-43bd-9c11-c541b77a5529" elementFormDefault="qualified">
    <xsd:import namespace="http://schemas.microsoft.com/office/2006/documentManagement/types"/>
    <xsd:import namespace="http://schemas.microsoft.com/office/infopath/2007/PartnerControls"/>
    <xsd:element name="Workstream" ma:index="18" nillable="true" ma:displayName="Workstream" ma:format="Dropdown" ma:internalName="Workstream">
      <xsd:simpleType>
        <xsd:restriction base="dms:Choice">
          <xsd:enumeration value="Incentives &amp; Deterrents"/>
          <xsd:enumeration value="Hardwiring"/>
          <xsd:enumeration value="Social Norms and Behavioural Economics"/>
          <xsd:enumeration value="Sharing Economy"/>
        </xsd:restriction>
      </xsd:simpleType>
    </xsd:element>
    <xsd:element name="Status" ma:index="19" nillable="true" ma:displayName="Status" ma:default="Completed" ma:format="Dropdown" ma:internalName="Status">
      <xsd:simpleType>
        <xsd:restriction base="dms:Choice">
          <xsd:enumeration value="Completed"/>
          <xsd:enumeration value="In Progress"/>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043F5-6B17-4C0A-A7A1-36FF187739DC}">
  <ds:schemaRefs>
    <ds:schemaRef ds:uri="http://schemas.microsoft.com/sharepoint/events"/>
  </ds:schemaRefs>
</ds:datastoreItem>
</file>

<file path=customXml/itemProps2.xml><?xml version="1.0" encoding="utf-8"?>
<ds:datastoreItem xmlns:ds="http://schemas.openxmlformats.org/officeDocument/2006/customXml" ds:itemID="{5A350CEF-CA89-4E80-AB33-EC892BFA07EB}">
  <ds:schemaRefs>
    <ds:schemaRef ds:uri="office.server.policy"/>
  </ds:schemaRefs>
</ds:datastoreItem>
</file>

<file path=customXml/itemProps3.xml><?xml version="1.0" encoding="utf-8"?>
<ds:datastoreItem xmlns:ds="http://schemas.openxmlformats.org/officeDocument/2006/customXml" ds:itemID="{62C237A2-01C8-4EE9-861B-0E995BB040B9}">
  <ds:schemaRefs>
    <ds:schemaRef ds:uri="http://schemas.microsoft.com/sharepoint/v3/contenttype/forms"/>
  </ds:schemaRefs>
</ds:datastoreItem>
</file>

<file path=customXml/itemProps4.xml><?xml version="1.0" encoding="utf-8"?>
<ds:datastoreItem xmlns:ds="http://schemas.openxmlformats.org/officeDocument/2006/customXml" ds:itemID="{867FF613-8BDE-4328-BA19-CF7F5C18B57E}">
  <ds:schemaRefs>
    <ds:schemaRef ds:uri="http://purl.org/dc/terms/"/>
    <ds:schemaRef ds:uri="http://schemas.microsoft.com/office/2006/documentManagement/types"/>
    <ds:schemaRef ds:uri="http://www.w3.org/XML/1998/namespace"/>
    <ds:schemaRef ds:uri="http://purl.org/dc/dcmitype/"/>
    <ds:schemaRef ds:uri="3005dc1a-503b-43bd-9c11-c541b77a5529"/>
    <ds:schemaRef ds:uri="http://schemas.microsoft.com/sharepoint/v3"/>
    <ds:schemaRef ds:uri="http://schemas.microsoft.com/office/infopath/2007/PartnerControls"/>
    <ds:schemaRef ds:uri="http://schemas.openxmlformats.org/package/2006/metadata/core-properties"/>
    <ds:schemaRef ds:uri="http://purl.org/dc/elements/1.1/"/>
    <ds:schemaRef ds:uri="http://schemas.microsoft.com/sharepoint/v4"/>
    <ds:schemaRef ds:uri="9f7bc583-7cbe-45b9-a2bd-8bbb6543b37e"/>
    <ds:schemaRef ds:uri="http://schemas.microsoft.com/office/2006/metadata/properties"/>
  </ds:schemaRefs>
</ds:datastoreItem>
</file>

<file path=customXml/itemProps5.xml><?xml version="1.0" encoding="utf-8"?>
<ds:datastoreItem xmlns:ds="http://schemas.openxmlformats.org/officeDocument/2006/customXml" ds:itemID="{AD4B5D5B-7D2A-4E55-BF55-7177A5FCD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3005dc1a-503b-43bd-9c11-c541b77a552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77238B9-1A81-4DBF-84CA-0B0393F63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Discussion Paper.dotm</Template>
  <TotalTime>18</TotalTime>
  <Pages>12</Pages>
  <Words>3566</Words>
  <Characters>20328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23847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Henderson, Nathan</dc:creator>
  <cp:lastModifiedBy>Henderson, Nathan</cp:lastModifiedBy>
  <cp:revision>14</cp:revision>
  <cp:lastPrinted>2018-05-22T02:37:00Z</cp:lastPrinted>
  <dcterms:created xsi:type="dcterms:W3CDTF">2018-05-14T03:34:00Z</dcterms:created>
  <dcterms:modified xsi:type="dcterms:W3CDTF">2018-05-22T02:38:00Z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0x01010036BB8DE7EC542E42A8B2E98CC20CB697003A7607C90ED3EC4E8B0089630B9D1985</vt:lpwstr>
  </property>
  <property fmtid="{D5CDD505-2E9C-101B-9397-08002B2CF9AE}" pid="3" name="RecordPoint_ActiveItemUniqueId">
    <vt:lpwstr>{93f012e0-ea15-40d5-a5e1-c4fd2b1c5981}</vt:lpwstr>
  </property>
  <property fmtid="{D5CDD505-2E9C-101B-9397-08002B2CF9AE}" pid="4" name="TSYRecordClass">
    <vt:lpwstr>19;#TSY RA-9206 - Destroy 10 years after action completed|00c3f558-2b96-436f-97e2-418f0fc24a03</vt:lpwstr>
  </property>
  <property fmtid="{D5CDD505-2E9C-101B-9397-08002B2CF9AE}" pid="5" name="RecordPoint_WorkflowType">
    <vt:lpwstr>ActiveSubmitStub</vt:lpwstr>
  </property>
  <property fmtid="{D5CDD505-2E9C-101B-9397-08002B2CF9AE}" pid="6" name="_dlc_DocIdItemGuid">
    <vt:lpwstr>93f012e0-ea15-40d5-a5e1-c4fd2b1c5981</vt:lpwstr>
  </property>
  <property fmtid="{D5CDD505-2E9C-101B-9397-08002B2CF9AE}" pid="7" name="RecordPoint_ActiveItemSiteId">
    <vt:lpwstr>{5b52b9a5-e5b2-4521-8814-a1e24ca2869d}</vt:lpwstr>
  </property>
  <property fmtid="{D5CDD505-2E9C-101B-9397-08002B2CF9AE}" pid="8" name="RecordPoint_ActiveItemListId">
    <vt:lpwstr>{3005dc1a-503b-43bd-9c11-c541b77a5529}</vt:lpwstr>
  </property>
  <property fmtid="{D5CDD505-2E9C-101B-9397-08002B2CF9AE}" pid="9" name="RecordPoint_ActiveItemWebId">
    <vt:lpwstr>{6d53a4ac-5f8b-47f1-9dc4-2ff41f67d727}</vt:lpwstr>
  </property>
  <property fmtid="{D5CDD505-2E9C-101B-9397-08002B2CF9AE}" pid="10" name="RecordPoint_SubmissionCompleted">
    <vt:lpwstr>2018-05-22T12:17:02.2098634+10:00</vt:lpwstr>
  </property>
  <property fmtid="{D5CDD505-2E9C-101B-9397-08002B2CF9AE}" pid="11" name="RecordPoint_RecordNumberSubmitted">
    <vt:lpwstr>R0001685650</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RecordFormat">
    <vt:lpwstr/>
  </property>
  <property fmtid="{D5CDD505-2E9C-101B-9397-08002B2CF9AE}" pid="15" name="_AdHocReviewCycleID">
    <vt:i4>1051655107</vt:i4>
  </property>
  <property fmtid="{D5CDD505-2E9C-101B-9397-08002B2CF9AE}" pid="16" name="_NewReviewCycle">
    <vt:lpwstr/>
  </property>
  <property fmtid="{D5CDD505-2E9C-101B-9397-08002B2CF9AE}" pid="17" name="_EmailSubject">
    <vt:lpwstr>Black Economy webpage update [DLM=For-Official-Use-Only]</vt:lpwstr>
  </property>
  <property fmtid="{D5CDD505-2E9C-101B-9397-08002B2CF9AE}" pid="18" name="_AuthorEmail">
    <vt:lpwstr>Nathan.Henderson@TREASURY.GOV.AU</vt:lpwstr>
  </property>
  <property fmtid="{D5CDD505-2E9C-101B-9397-08002B2CF9AE}" pid="19" name="_AuthorEmailDisplayName">
    <vt:lpwstr>Henderson, Nathan</vt:lpwstr>
  </property>
  <property fmtid="{D5CDD505-2E9C-101B-9397-08002B2CF9AE}" pid="20" name="_PreviousAdHocReviewCycleID">
    <vt:i4>-964435708</vt:i4>
  </property>
</Properties>
</file>