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97B59" w:rsidRDefault="00097B59" w:rsidP="001074F5">
      <w:pPr>
        <w:tabs>
          <w:tab w:val="left" w:pos="6804"/>
          <w:tab w:val="left" w:pos="7598"/>
        </w:tabs>
        <w:jc w:val="right"/>
        <w:rPr>
          <w:rFonts w:ascii="Arial" w:hAnsi="Arial" w:cs="Arial"/>
          <w:noProof/>
          <w:sz w:val="22"/>
          <w:szCs w:val="22"/>
        </w:rPr>
      </w:pPr>
      <w:r>
        <w:rPr>
          <w:rFonts w:ascii="Arial" w:hAnsi="Arial" w:cs="Arial"/>
          <w:noProof/>
          <w:sz w:val="22"/>
          <w:szCs w:val="22"/>
        </w:rPr>
        <mc:AlternateContent>
          <mc:Choice Requires="wps">
            <w:drawing>
              <wp:anchor distT="0" distB="0" distL="114300" distR="114300" simplePos="0" relativeHeight="251660288" behindDoc="0" locked="1" layoutInCell="1" allowOverlap="1">
                <wp:simplePos x="0" y="0"/>
                <wp:positionH relativeFrom="page">
                  <wp:posOffset>4978400</wp:posOffset>
                </wp:positionH>
                <wp:positionV relativeFrom="page">
                  <wp:posOffset>1028700</wp:posOffset>
                </wp:positionV>
                <wp:extent cx="1941830" cy="853440"/>
                <wp:effectExtent l="0" t="0" r="1270" b="38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1830" cy="853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7B59" w:rsidRPr="00260E72" w:rsidRDefault="00097B59" w:rsidP="00097B59">
                            <w:pPr>
                              <w:tabs>
                                <w:tab w:val="left" w:pos="794"/>
                              </w:tabs>
                              <w:spacing w:line="200" w:lineRule="exact"/>
                              <w:rPr>
                                <w:rFonts w:ascii="Arial" w:hAnsi="Arial" w:cs="Arial"/>
                                <w:sz w:val="14"/>
                                <w:szCs w:val="14"/>
                              </w:rPr>
                            </w:pPr>
                            <w:r>
                              <w:rPr>
                                <w:rFonts w:ascii="Arial" w:hAnsi="Arial" w:cs="Arial"/>
                                <w:sz w:val="14"/>
                                <w:szCs w:val="14"/>
                              </w:rPr>
                              <w:t xml:space="preserve">Justice and International </w:t>
                            </w:r>
                            <w:smartTag w:uri="urn:schemas-microsoft-com:office:smarttags" w:element="place">
                              <w:r>
                                <w:rPr>
                                  <w:rFonts w:ascii="Arial" w:hAnsi="Arial" w:cs="Arial"/>
                                  <w:sz w:val="14"/>
                                  <w:szCs w:val="14"/>
                                </w:rPr>
                                <w:t>Mission</w:t>
                              </w:r>
                            </w:smartTag>
                            <w:r>
                              <w:rPr>
                                <w:rFonts w:ascii="Arial" w:hAnsi="Arial" w:cs="Arial"/>
                                <w:sz w:val="14"/>
                                <w:szCs w:val="14"/>
                              </w:rPr>
                              <w:t xml:space="preserve"> Unit</w:t>
                            </w:r>
                          </w:p>
                          <w:p w:rsidR="00097B59" w:rsidRPr="00260E72" w:rsidRDefault="00097B59" w:rsidP="00097B59">
                            <w:pPr>
                              <w:tabs>
                                <w:tab w:val="left" w:pos="794"/>
                              </w:tabs>
                              <w:spacing w:line="200" w:lineRule="exact"/>
                              <w:rPr>
                                <w:rFonts w:ascii="Arial" w:hAnsi="Arial" w:cs="Arial"/>
                                <w:sz w:val="14"/>
                                <w:szCs w:val="14"/>
                              </w:rPr>
                            </w:pPr>
                            <w:r w:rsidRPr="00260E72">
                              <w:rPr>
                                <w:rFonts w:ascii="Arial" w:hAnsi="Arial" w:cs="Arial"/>
                                <w:sz w:val="14"/>
                                <w:szCs w:val="14"/>
                              </w:rPr>
                              <w:t xml:space="preserve">130 Little </w:t>
                            </w:r>
                            <w:smartTag w:uri="urn:schemas-microsoft-com:office:smarttags" w:element="Street">
                              <w:smartTag w:uri="urn:schemas-microsoft-com:office:smarttags" w:element="address">
                                <w:r w:rsidRPr="00260E72">
                                  <w:rPr>
                                    <w:rFonts w:ascii="Arial" w:hAnsi="Arial" w:cs="Arial"/>
                                    <w:sz w:val="14"/>
                                    <w:szCs w:val="14"/>
                                  </w:rPr>
                                  <w:t>Collins Street</w:t>
                                </w:r>
                              </w:smartTag>
                            </w:smartTag>
                          </w:p>
                          <w:p w:rsidR="00097B59" w:rsidRPr="00260E72" w:rsidRDefault="00097B59" w:rsidP="00097B59">
                            <w:pPr>
                              <w:tabs>
                                <w:tab w:val="left" w:pos="794"/>
                              </w:tabs>
                              <w:spacing w:line="200" w:lineRule="exact"/>
                              <w:rPr>
                                <w:rFonts w:ascii="Arial" w:hAnsi="Arial" w:cs="Arial"/>
                                <w:sz w:val="14"/>
                                <w:szCs w:val="14"/>
                              </w:rPr>
                            </w:pPr>
                            <w:smartTag w:uri="urn:schemas-microsoft-com:office:smarttags" w:element="place">
                              <w:smartTag w:uri="urn:schemas-microsoft-com:office:smarttags" w:element="City">
                                <w:r w:rsidRPr="00260E72">
                                  <w:rPr>
                                    <w:rFonts w:ascii="Arial" w:hAnsi="Arial" w:cs="Arial"/>
                                    <w:sz w:val="14"/>
                                    <w:szCs w:val="14"/>
                                  </w:rPr>
                                  <w:t>Melbourne</w:t>
                                </w:r>
                              </w:smartTag>
                              <w:r w:rsidRPr="00260E72">
                                <w:rPr>
                                  <w:rFonts w:ascii="Arial" w:hAnsi="Arial" w:cs="Arial"/>
                                  <w:sz w:val="14"/>
                                  <w:szCs w:val="14"/>
                                </w:rPr>
                                <w:t xml:space="preserve"> </w:t>
                              </w:r>
                              <w:smartTag w:uri="urn:schemas-microsoft-com:office:smarttags" w:element="State">
                                <w:r w:rsidRPr="00260E72">
                                  <w:rPr>
                                    <w:rFonts w:ascii="Arial" w:hAnsi="Arial" w:cs="Arial"/>
                                    <w:sz w:val="14"/>
                                    <w:szCs w:val="14"/>
                                  </w:rPr>
                                  <w:t>Victoria</w:t>
                                </w:r>
                              </w:smartTag>
                            </w:smartTag>
                            <w:r w:rsidRPr="00260E72">
                              <w:rPr>
                                <w:rFonts w:ascii="Arial" w:hAnsi="Arial" w:cs="Arial"/>
                                <w:sz w:val="14"/>
                                <w:szCs w:val="14"/>
                              </w:rPr>
                              <w:t xml:space="preserve"> 3000</w:t>
                            </w:r>
                          </w:p>
                          <w:p w:rsidR="00097B59" w:rsidRPr="00260E72" w:rsidRDefault="00097B59" w:rsidP="00097B59">
                            <w:pPr>
                              <w:tabs>
                                <w:tab w:val="left" w:pos="794"/>
                              </w:tabs>
                              <w:spacing w:line="200" w:lineRule="exact"/>
                              <w:rPr>
                                <w:rFonts w:ascii="Arial" w:hAnsi="Arial" w:cs="Arial"/>
                                <w:sz w:val="14"/>
                                <w:szCs w:val="14"/>
                              </w:rPr>
                            </w:pPr>
                            <w:r>
                              <w:rPr>
                                <w:rFonts w:ascii="Arial" w:hAnsi="Arial" w:cs="Arial"/>
                                <w:sz w:val="14"/>
                                <w:szCs w:val="14"/>
                              </w:rPr>
                              <w:t>Telephone:</w:t>
                            </w:r>
                            <w:r>
                              <w:rPr>
                                <w:rFonts w:ascii="Arial" w:hAnsi="Arial" w:cs="Arial"/>
                                <w:sz w:val="14"/>
                                <w:szCs w:val="14"/>
                              </w:rPr>
                              <w:tab/>
                              <w:t>(03) 9251 5271</w:t>
                            </w:r>
                          </w:p>
                          <w:p w:rsidR="00097B59" w:rsidRDefault="00097B59" w:rsidP="00097B59">
                            <w:pPr>
                              <w:tabs>
                                <w:tab w:val="left" w:pos="794"/>
                              </w:tabs>
                              <w:spacing w:line="200" w:lineRule="exact"/>
                              <w:rPr>
                                <w:rFonts w:ascii="Arial" w:hAnsi="Arial" w:cs="Arial"/>
                                <w:sz w:val="14"/>
                                <w:szCs w:val="14"/>
                              </w:rPr>
                            </w:pPr>
                            <w:r>
                              <w:rPr>
                                <w:rFonts w:ascii="Arial" w:hAnsi="Arial" w:cs="Arial"/>
                                <w:sz w:val="14"/>
                                <w:szCs w:val="14"/>
                              </w:rPr>
                              <w:t>Facsimile:</w:t>
                            </w:r>
                            <w:r>
                              <w:rPr>
                                <w:rFonts w:ascii="Arial" w:hAnsi="Arial" w:cs="Arial"/>
                                <w:sz w:val="14"/>
                                <w:szCs w:val="14"/>
                              </w:rPr>
                              <w:tab/>
                              <w:t>(03) 9251 5241</w:t>
                            </w:r>
                          </w:p>
                          <w:p w:rsidR="00097B59" w:rsidRPr="00260E72" w:rsidRDefault="00097B59" w:rsidP="00097B59">
                            <w:pPr>
                              <w:tabs>
                                <w:tab w:val="left" w:pos="794"/>
                              </w:tabs>
                              <w:spacing w:line="200" w:lineRule="exact"/>
                              <w:rPr>
                                <w:rFonts w:ascii="Arial" w:hAnsi="Arial" w:cs="Arial"/>
                                <w:sz w:val="14"/>
                                <w:szCs w:val="14"/>
                              </w:rPr>
                            </w:pPr>
                            <w:r>
                              <w:rPr>
                                <w:rFonts w:ascii="Arial" w:hAnsi="Arial" w:cs="Arial"/>
                                <w:sz w:val="14"/>
                                <w:szCs w:val="14"/>
                              </w:rPr>
                              <w:t>jim@victas.uca.org.au</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92pt;margin-top:81pt;width:152.9pt;height:67.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" stroked="f">
                <v:textbox style="mso-fit-shape-to-text:t">
                  <w:txbxContent>
                    <w:p w:rsidR="00097B59" w:rsidRPr="00260E72" w:rsidRDefault="00097B59" w:rsidP="00097B59">
                      <w:pPr>
                        <w:tabs>
                          <w:tab w:val="left" w:pos="794"/>
                        </w:tabs>
                        <w:spacing w:line="200" w:lineRule="exact"/>
                        <w:rPr>
                          <w:rFonts w:ascii="Arial" w:hAnsi="Arial" w:cs="Arial"/>
                          <w:sz w:val="14"/>
                          <w:szCs w:val="14"/>
                        </w:rPr>
                      </w:pPr>
                      <w:r>
                        <w:rPr>
                          <w:rFonts w:ascii="Arial" w:hAnsi="Arial" w:cs="Arial"/>
                          <w:sz w:val="14"/>
                          <w:szCs w:val="14"/>
                        </w:rPr>
                        <w:t xml:space="preserve">Justice and International </w:t>
                      </w:r>
                      <w:smartTag w:uri="urn:schemas-microsoft-com:office:smarttags" w:element="place">
                        <w:r>
                          <w:rPr>
                            <w:rFonts w:ascii="Arial" w:hAnsi="Arial" w:cs="Arial"/>
                            <w:sz w:val="14"/>
                            <w:szCs w:val="14"/>
                          </w:rPr>
                          <w:t>Mission</w:t>
                        </w:r>
                      </w:smartTag>
                      <w:r>
                        <w:rPr>
                          <w:rFonts w:ascii="Arial" w:hAnsi="Arial" w:cs="Arial"/>
                          <w:sz w:val="14"/>
                          <w:szCs w:val="14"/>
                        </w:rPr>
                        <w:t xml:space="preserve"> Unit</w:t>
                      </w:r>
                    </w:p>
                    <w:p w:rsidR="00097B59" w:rsidRPr="00260E72" w:rsidRDefault="00097B59" w:rsidP="00097B59">
                      <w:pPr>
                        <w:tabs>
                          <w:tab w:val="left" w:pos="794"/>
                        </w:tabs>
                        <w:spacing w:line="200" w:lineRule="exact"/>
                        <w:rPr>
                          <w:rFonts w:ascii="Arial" w:hAnsi="Arial" w:cs="Arial"/>
                          <w:sz w:val="14"/>
                          <w:szCs w:val="14"/>
                        </w:rPr>
                      </w:pPr>
                      <w:r w:rsidRPr="00260E72">
                        <w:rPr>
                          <w:rFonts w:ascii="Arial" w:hAnsi="Arial" w:cs="Arial"/>
                          <w:sz w:val="14"/>
                          <w:szCs w:val="14"/>
                        </w:rPr>
                        <w:t xml:space="preserve">130 Little </w:t>
                      </w:r>
                      <w:smartTag w:uri="urn:schemas-microsoft-com:office:smarttags" w:element="Street">
                        <w:smartTag w:uri="urn:schemas-microsoft-com:office:smarttags" w:element="address">
                          <w:r w:rsidRPr="00260E72">
                            <w:rPr>
                              <w:rFonts w:ascii="Arial" w:hAnsi="Arial" w:cs="Arial"/>
                              <w:sz w:val="14"/>
                              <w:szCs w:val="14"/>
                            </w:rPr>
                            <w:t>Collins Street</w:t>
                          </w:r>
                        </w:smartTag>
                      </w:smartTag>
                    </w:p>
                    <w:p w:rsidR="00097B59" w:rsidRPr="00260E72" w:rsidRDefault="00097B59" w:rsidP="00097B59">
                      <w:pPr>
                        <w:tabs>
                          <w:tab w:val="left" w:pos="794"/>
                        </w:tabs>
                        <w:spacing w:line="200" w:lineRule="exact"/>
                        <w:rPr>
                          <w:rFonts w:ascii="Arial" w:hAnsi="Arial" w:cs="Arial"/>
                          <w:sz w:val="14"/>
                          <w:szCs w:val="14"/>
                        </w:rPr>
                      </w:pPr>
                      <w:smartTag w:uri="urn:schemas-microsoft-com:office:smarttags" w:element="place">
                        <w:smartTag w:uri="urn:schemas-microsoft-com:office:smarttags" w:element="City">
                          <w:r w:rsidRPr="00260E72">
                            <w:rPr>
                              <w:rFonts w:ascii="Arial" w:hAnsi="Arial" w:cs="Arial"/>
                              <w:sz w:val="14"/>
                              <w:szCs w:val="14"/>
                            </w:rPr>
                            <w:t>Melbourne</w:t>
                          </w:r>
                        </w:smartTag>
                        <w:r w:rsidRPr="00260E72">
                          <w:rPr>
                            <w:rFonts w:ascii="Arial" w:hAnsi="Arial" w:cs="Arial"/>
                            <w:sz w:val="14"/>
                            <w:szCs w:val="14"/>
                          </w:rPr>
                          <w:t xml:space="preserve"> </w:t>
                        </w:r>
                        <w:smartTag w:uri="urn:schemas-microsoft-com:office:smarttags" w:element="State">
                          <w:r w:rsidRPr="00260E72">
                            <w:rPr>
                              <w:rFonts w:ascii="Arial" w:hAnsi="Arial" w:cs="Arial"/>
                              <w:sz w:val="14"/>
                              <w:szCs w:val="14"/>
                            </w:rPr>
                            <w:t>Victoria</w:t>
                          </w:r>
                        </w:smartTag>
                      </w:smartTag>
                      <w:r w:rsidRPr="00260E72">
                        <w:rPr>
                          <w:rFonts w:ascii="Arial" w:hAnsi="Arial" w:cs="Arial"/>
                          <w:sz w:val="14"/>
                          <w:szCs w:val="14"/>
                        </w:rPr>
                        <w:t xml:space="preserve"> 3000</w:t>
                      </w:r>
                    </w:p>
                    <w:p w:rsidR="00097B59" w:rsidRPr="00260E72" w:rsidRDefault="00097B59" w:rsidP="00097B59">
                      <w:pPr>
                        <w:tabs>
                          <w:tab w:val="left" w:pos="794"/>
                        </w:tabs>
                        <w:spacing w:line="200" w:lineRule="exact"/>
                        <w:rPr>
                          <w:rFonts w:ascii="Arial" w:hAnsi="Arial" w:cs="Arial"/>
                          <w:sz w:val="14"/>
                          <w:szCs w:val="14"/>
                        </w:rPr>
                      </w:pPr>
                      <w:r>
                        <w:rPr>
                          <w:rFonts w:ascii="Arial" w:hAnsi="Arial" w:cs="Arial"/>
                          <w:sz w:val="14"/>
                          <w:szCs w:val="14"/>
                        </w:rPr>
                        <w:t>Telephone:</w:t>
                      </w:r>
                      <w:r>
                        <w:rPr>
                          <w:rFonts w:ascii="Arial" w:hAnsi="Arial" w:cs="Arial"/>
                          <w:sz w:val="14"/>
                          <w:szCs w:val="14"/>
                        </w:rPr>
                        <w:tab/>
                        <w:t>(03) 9251 5271</w:t>
                      </w:r>
                    </w:p>
                    <w:p w:rsidR="00097B59" w:rsidRDefault="00097B59" w:rsidP="00097B59">
                      <w:pPr>
                        <w:tabs>
                          <w:tab w:val="left" w:pos="794"/>
                        </w:tabs>
                        <w:spacing w:line="200" w:lineRule="exact"/>
                        <w:rPr>
                          <w:rFonts w:ascii="Arial" w:hAnsi="Arial" w:cs="Arial"/>
                          <w:sz w:val="14"/>
                          <w:szCs w:val="14"/>
                        </w:rPr>
                      </w:pPr>
                      <w:r>
                        <w:rPr>
                          <w:rFonts w:ascii="Arial" w:hAnsi="Arial" w:cs="Arial"/>
                          <w:sz w:val="14"/>
                          <w:szCs w:val="14"/>
                        </w:rPr>
                        <w:t>Facsimile:</w:t>
                      </w:r>
                      <w:r>
                        <w:rPr>
                          <w:rFonts w:ascii="Arial" w:hAnsi="Arial" w:cs="Arial"/>
                          <w:sz w:val="14"/>
                          <w:szCs w:val="14"/>
                        </w:rPr>
                        <w:tab/>
                        <w:t>(03) 9251 5241</w:t>
                      </w:r>
                    </w:p>
                    <w:p w:rsidR="00097B59" w:rsidRPr="00260E72" w:rsidRDefault="00097B59" w:rsidP="00097B59">
                      <w:pPr>
                        <w:tabs>
                          <w:tab w:val="left" w:pos="794"/>
                        </w:tabs>
                        <w:spacing w:line="200" w:lineRule="exact"/>
                        <w:rPr>
                          <w:rFonts w:ascii="Arial" w:hAnsi="Arial" w:cs="Arial"/>
                          <w:sz w:val="14"/>
                          <w:szCs w:val="14"/>
                        </w:rPr>
                      </w:pPr>
                      <w:r>
                        <w:rPr>
                          <w:rFonts w:ascii="Arial" w:hAnsi="Arial" w:cs="Arial"/>
                          <w:sz w:val="14"/>
                          <w:szCs w:val="14"/>
                        </w:rPr>
                        <w:t>jim@victas.uca.org.au</w:t>
                      </w:r>
                    </w:p>
                  </w:txbxContent>
                </v:textbox>
                <w10:wrap type="square" anchorx="page" anchory="page"/>
                <w10:anchorlock/>
              </v:shape>
            </w:pict>
          </mc:Fallback>
        </mc:AlternateContent>
      </w:r>
      <w:r>
        <w:rPr>
          <w:rFonts w:ascii="Arial" w:hAnsi="Arial" w:cs="Arial"/>
          <w:noProof/>
          <w:sz w:val="22"/>
          <w:szCs w:val="22"/>
        </w:rPr>
        <w:drawing>
          <wp:anchor distT="0" distB="0" distL="114300" distR="114300" simplePos="0" relativeHeight="251662336" behindDoc="0" locked="1" layoutInCell="1" allowOverlap="1">
            <wp:simplePos x="0" y="0"/>
            <wp:positionH relativeFrom="page">
              <wp:posOffset>4234180</wp:posOffset>
            </wp:positionH>
            <wp:positionV relativeFrom="page">
              <wp:posOffset>343535</wp:posOffset>
            </wp:positionV>
            <wp:extent cx="2682240" cy="693420"/>
            <wp:effectExtent l="0" t="0" r="3810" b="0"/>
            <wp:wrapSquare wrapText="bothSides"/>
            <wp:docPr id="3" name="Picture 3" descr="UCA009_1CCMYK-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CA009_1CCMYK-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2240" cy="6934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59264" behindDoc="0" locked="1" layoutInCell="1" allowOverlap="1">
                <wp:simplePos x="0" y="0"/>
                <wp:positionH relativeFrom="page">
                  <wp:posOffset>360045</wp:posOffset>
                </wp:positionH>
                <wp:positionV relativeFrom="page">
                  <wp:posOffset>0</wp:posOffset>
                </wp:positionV>
                <wp:extent cx="6840220" cy="1929130"/>
                <wp:effectExtent l="0" t="0" r="635" b="4445"/>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1929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8.35pt;margin-top:0;width:538.6pt;height:15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" filled="f" stroked="f">
                <w10:wrap type="square" anchorx="page" anchory="page"/>
                <w10:anchorlock/>
              </v:rect>
            </w:pict>
          </mc:Fallback>
        </mc:AlternateContent>
      </w:r>
      <w:r w:rsidR="00AC7CB1">
        <w:rPr>
          <w:rFonts w:ascii="Arial" w:hAnsi="Arial" w:cs="Arial"/>
          <w:noProof/>
          <w:sz w:val="22"/>
          <w:szCs w:val="22"/>
        </w:rPr>
        <w:t>28 July</w:t>
      </w:r>
      <w:r w:rsidR="00752163">
        <w:rPr>
          <w:rFonts w:ascii="Arial" w:hAnsi="Arial" w:cs="Arial"/>
          <w:noProof/>
          <w:sz w:val="22"/>
          <w:szCs w:val="22"/>
        </w:rPr>
        <w:t xml:space="preserve"> 2017</w:t>
      </w:r>
    </w:p>
    <w:p w:rsidR="00A87F79" w:rsidRDefault="00AC7CB1" w:rsidP="00A87F79">
      <w:pPr>
        <w:rPr>
          <w:rFonts w:ascii="Arial" w:hAnsi="Arial" w:cs="Arial"/>
          <w:noProof/>
          <w:sz w:val="22"/>
          <w:szCs w:val="22"/>
        </w:rPr>
      </w:pPr>
      <w:r>
        <w:rPr>
          <w:rFonts w:ascii="Arial" w:hAnsi="Arial" w:cs="Arial"/>
          <w:noProof/>
          <w:sz w:val="22"/>
          <w:szCs w:val="22"/>
        </w:rPr>
        <w:t xml:space="preserve">Manager </w:t>
      </w:r>
    </w:p>
    <w:p w:rsidR="00AC7CB1" w:rsidRDefault="00AC7CB1" w:rsidP="00A87F79">
      <w:pPr>
        <w:rPr>
          <w:rFonts w:ascii="Arial" w:hAnsi="Arial" w:cs="Arial"/>
          <w:noProof/>
          <w:sz w:val="22"/>
          <w:szCs w:val="22"/>
        </w:rPr>
      </w:pPr>
      <w:r>
        <w:rPr>
          <w:rFonts w:ascii="Arial" w:hAnsi="Arial" w:cs="Arial"/>
          <w:noProof/>
          <w:sz w:val="22"/>
          <w:szCs w:val="22"/>
        </w:rPr>
        <w:t>Large Corporates Unit</w:t>
      </w:r>
    </w:p>
    <w:p w:rsidR="00AC7CB1" w:rsidRDefault="00AC7CB1" w:rsidP="00A87F79">
      <w:pPr>
        <w:rPr>
          <w:rFonts w:ascii="Arial" w:hAnsi="Arial" w:cs="Arial"/>
          <w:noProof/>
          <w:sz w:val="22"/>
          <w:szCs w:val="22"/>
        </w:rPr>
      </w:pPr>
      <w:r>
        <w:rPr>
          <w:rFonts w:ascii="Arial" w:hAnsi="Arial" w:cs="Arial"/>
          <w:noProof/>
          <w:sz w:val="22"/>
          <w:szCs w:val="22"/>
        </w:rPr>
        <w:t>Corporate and Internation Tax Division</w:t>
      </w:r>
    </w:p>
    <w:p w:rsidR="00AC7CB1" w:rsidRDefault="00AC7CB1" w:rsidP="00A87F79">
      <w:pPr>
        <w:rPr>
          <w:rFonts w:ascii="Arial" w:hAnsi="Arial" w:cs="Arial"/>
          <w:noProof/>
          <w:sz w:val="22"/>
          <w:szCs w:val="22"/>
        </w:rPr>
      </w:pPr>
      <w:r>
        <w:rPr>
          <w:rFonts w:ascii="Arial" w:hAnsi="Arial" w:cs="Arial"/>
          <w:noProof/>
          <w:sz w:val="22"/>
          <w:szCs w:val="22"/>
        </w:rPr>
        <w:t>The Treasury</w:t>
      </w:r>
    </w:p>
    <w:p w:rsidR="00AC7CB1" w:rsidRPr="00A87F79" w:rsidRDefault="00AC7CB1" w:rsidP="00A87F79">
      <w:pPr>
        <w:rPr>
          <w:rFonts w:ascii="Arial" w:hAnsi="Arial" w:cs="Arial"/>
          <w:noProof/>
          <w:sz w:val="22"/>
          <w:szCs w:val="22"/>
        </w:rPr>
      </w:pPr>
      <w:r>
        <w:rPr>
          <w:rFonts w:ascii="Arial" w:hAnsi="Arial" w:cs="Arial"/>
          <w:noProof/>
          <w:sz w:val="22"/>
          <w:szCs w:val="22"/>
        </w:rPr>
        <w:t>Langton Crescent</w:t>
      </w:r>
    </w:p>
    <w:p w:rsidR="00A87F79" w:rsidRPr="00A87F79" w:rsidRDefault="00AC7CB1" w:rsidP="00A87F79">
      <w:pPr>
        <w:rPr>
          <w:rFonts w:ascii="Arial" w:hAnsi="Arial" w:cs="Arial"/>
          <w:noProof/>
          <w:sz w:val="22"/>
          <w:szCs w:val="22"/>
        </w:rPr>
      </w:pPr>
      <w:r>
        <w:rPr>
          <w:rFonts w:ascii="Arial" w:hAnsi="Arial" w:cs="Arial"/>
          <w:noProof/>
          <w:sz w:val="22"/>
          <w:szCs w:val="22"/>
        </w:rPr>
        <w:t>Parkes</w:t>
      </w:r>
      <w:r w:rsidR="00A87F79" w:rsidRPr="00A87F79">
        <w:rPr>
          <w:rFonts w:ascii="Arial" w:hAnsi="Arial" w:cs="Arial"/>
          <w:noProof/>
          <w:sz w:val="22"/>
          <w:szCs w:val="22"/>
        </w:rPr>
        <w:t xml:space="preserve"> ACT 2600 </w:t>
      </w:r>
    </w:p>
    <w:p w:rsidR="00416604" w:rsidRDefault="00AC7CB1" w:rsidP="00A87F79">
      <w:pPr>
        <w:rPr>
          <w:rFonts w:ascii="Arial" w:hAnsi="Arial" w:cs="Arial"/>
          <w:noProof/>
          <w:sz w:val="22"/>
          <w:szCs w:val="22"/>
        </w:rPr>
      </w:pPr>
      <w:r>
        <w:rPr>
          <w:rFonts w:ascii="Arial" w:hAnsi="Arial" w:cs="Arial"/>
          <w:noProof/>
          <w:sz w:val="22"/>
          <w:szCs w:val="22"/>
        </w:rPr>
        <w:t>prrt@treasury</w:t>
      </w:r>
      <w:r w:rsidR="00A87F79" w:rsidRPr="00A87F79">
        <w:rPr>
          <w:rFonts w:ascii="Arial" w:hAnsi="Arial" w:cs="Arial"/>
          <w:noProof/>
          <w:sz w:val="22"/>
          <w:szCs w:val="22"/>
        </w:rPr>
        <w:t>.gov.au</w:t>
      </w:r>
    </w:p>
    <w:p w:rsidR="00A87F79" w:rsidRPr="001074F5" w:rsidRDefault="00A87F79" w:rsidP="00097B59">
      <w:pPr>
        <w:rPr>
          <w:rFonts w:ascii="Arial" w:hAnsi="Arial" w:cs="Arial"/>
          <w:sz w:val="22"/>
          <w:szCs w:val="22"/>
        </w:rPr>
      </w:pPr>
    </w:p>
    <w:p w:rsidR="001074F5" w:rsidRPr="00AC7CB1" w:rsidRDefault="001074F5" w:rsidP="00267BF8">
      <w:pPr>
        <w:tabs>
          <w:tab w:val="left" w:pos="6804"/>
          <w:tab w:val="left" w:pos="7598"/>
        </w:tabs>
        <w:ind w:right="-312"/>
        <w:jc w:val="center"/>
        <w:rPr>
          <w:rFonts w:ascii="Arial" w:hAnsi="Arial" w:cs="Arial"/>
          <w:b/>
          <w:i/>
          <w:sz w:val="28"/>
          <w:szCs w:val="28"/>
        </w:rPr>
      </w:pPr>
      <w:r>
        <w:rPr>
          <w:rFonts w:ascii="Arial" w:hAnsi="Arial" w:cs="Arial"/>
          <w:b/>
          <w:sz w:val="28"/>
          <w:szCs w:val="28"/>
        </w:rPr>
        <w:t xml:space="preserve">Submission of the </w:t>
      </w:r>
      <w:r w:rsidR="00267BF8">
        <w:rPr>
          <w:rFonts w:ascii="Arial" w:hAnsi="Arial" w:cs="Arial"/>
          <w:b/>
          <w:sz w:val="28"/>
          <w:szCs w:val="28"/>
        </w:rPr>
        <w:t xml:space="preserve">Justice and International Mission Unit, </w:t>
      </w:r>
      <w:r>
        <w:rPr>
          <w:rFonts w:ascii="Arial" w:hAnsi="Arial" w:cs="Arial"/>
          <w:b/>
          <w:sz w:val="28"/>
          <w:szCs w:val="28"/>
        </w:rPr>
        <w:t>Synod of Victoria and Tasmania,</w:t>
      </w:r>
      <w:r w:rsidR="00752163">
        <w:rPr>
          <w:rFonts w:ascii="Arial" w:hAnsi="Arial" w:cs="Arial"/>
          <w:b/>
          <w:sz w:val="28"/>
          <w:szCs w:val="28"/>
        </w:rPr>
        <w:t xml:space="preserve"> Uniting Church in Australia</w:t>
      </w:r>
      <w:r w:rsidR="00A87F79">
        <w:rPr>
          <w:rFonts w:ascii="Arial" w:hAnsi="Arial" w:cs="Arial"/>
          <w:b/>
          <w:sz w:val="28"/>
          <w:szCs w:val="28"/>
        </w:rPr>
        <w:t xml:space="preserve"> to </w:t>
      </w:r>
      <w:r w:rsidR="00AC7CB1">
        <w:rPr>
          <w:rFonts w:ascii="Arial" w:hAnsi="Arial" w:cs="Arial"/>
          <w:b/>
          <w:sz w:val="28"/>
          <w:szCs w:val="28"/>
        </w:rPr>
        <w:t xml:space="preserve">the </w:t>
      </w:r>
      <w:r w:rsidR="00AC7CB1">
        <w:rPr>
          <w:rFonts w:ascii="Arial" w:hAnsi="Arial" w:cs="Arial"/>
          <w:b/>
          <w:i/>
          <w:sz w:val="28"/>
          <w:szCs w:val="28"/>
        </w:rPr>
        <w:t>Options to address the design issues identified in the Petroleum Resource Rent Tax Review Consultation Paper</w:t>
      </w:r>
    </w:p>
    <w:p w:rsidR="008C17C1" w:rsidRPr="008C17C1" w:rsidRDefault="00AC7CB1" w:rsidP="00267BF8">
      <w:pPr>
        <w:tabs>
          <w:tab w:val="left" w:pos="6804"/>
          <w:tab w:val="left" w:pos="7598"/>
        </w:tabs>
        <w:ind w:right="-312"/>
        <w:jc w:val="center"/>
        <w:rPr>
          <w:rFonts w:ascii="Arial" w:hAnsi="Arial" w:cs="Arial"/>
          <w:b/>
          <w:sz w:val="28"/>
          <w:szCs w:val="28"/>
        </w:rPr>
      </w:pPr>
      <w:r>
        <w:rPr>
          <w:rFonts w:ascii="Arial" w:hAnsi="Arial" w:cs="Arial"/>
          <w:b/>
          <w:sz w:val="28"/>
          <w:szCs w:val="28"/>
        </w:rPr>
        <w:t>28 July</w:t>
      </w:r>
      <w:r w:rsidR="008C17C1">
        <w:rPr>
          <w:rFonts w:ascii="Arial" w:hAnsi="Arial" w:cs="Arial"/>
          <w:b/>
          <w:sz w:val="28"/>
          <w:szCs w:val="28"/>
        </w:rPr>
        <w:t xml:space="preserve"> 2017</w:t>
      </w:r>
    </w:p>
    <w:p w:rsidR="001074F5" w:rsidRPr="001074F5" w:rsidRDefault="001074F5" w:rsidP="001074F5">
      <w:pPr>
        <w:tabs>
          <w:tab w:val="left" w:pos="6804"/>
          <w:tab w:val="left" w:pos="7598"/>
        </w:tabs>
        <w:ind w:right="-312"/>
        <w:jc w:val="center"/>
        <w:rPr>
          <w:rFonts w:ascii="Arial" w:hAnsi="Arial" w:cs="Arial"/>
          <w:b/>
          <w:sz w:val="28"/>
          <w:szCs w:val="28"/>
        </w:rPr>
      </w:pPr>
    </w:p>
    <w:p w:rsidR="002A4405" w:rsidRDefault="000938FD" w:rsidP="002A4405">
      <w:pPr>
        <w:tabs>
          <w:tab w:val="left" w:pos="6804"/>
          <w:tab w:val="left" w:pos="7598"/>
        </w:tabs>
        <w:ind w:right="-312"/>
        <w:jc w:val="both"/>
        <w:rPr>
          <w:rFonts w:ascii="Arial" w:hAnsi="Arial" w:cs="Arial"/>
          <w:sz w:val="22"/>
          <w:szCs w:val="22"/>
        </w:rPr>
      </w:pPr>
      <w:r w:rsidRPr="001074F5">
        <w:rPr>
          <w:rFonts w:ascii="Arial" w:hAnsi="Arial" w:cs="Arial"/>
          <w:sz w:val="22"/>
          <w:szCs w:val="22"/>
        </w:rPr>
        <w:t xml:space="preserve">The </w:t>
      </w:r>
      <w:r w:rsidR="00267BF8">
        <w:rPr>
          <w:rFonts w:ascii="Arial" w:hAnsi="Arial" w:cs="Arial"/>
          <w:sz w:val="22"/>
          <w:szCs w:val="22"/>
        </w:rPr>
        <w:t xml:space="preserve">Justice and International Mission Unit, </w:t>
      </w:r>
      <w:r w:rsidRPr="001074F5">
        <w:rPr>
          <w:rFonts w:ascii="Arial" w:hAnsi="Arial" w:cs="Arial"/>
          <w:sz w:val="22"/>
          <w:szCs w:val="22"/>
        </w:rPr>
        <w:t>Synod of Victoria and Tasmania, Uniting Church in Australia, welcomes</w:t>
      </w:r>
      <w:r>
        <w:rPr>
          <w:rFonts w:ascii="Arial" w:hAnsi="Arial" w:cs="Arial"/>
          <w:sz w:val="22"/>
          <w:szCs w:val="22"/>
        </w:rPr>
        <w:t xml:space="preserve"> </w:t>
      </w:r>
      <w:r w:rsidRPr="000938FD">
        <w:rPr>
          <w:rFonts w:ascii="Arial" w:hAnsi="Arial" w:cs="Arial"/>
          <w:sz w:val="22"/>
          <w:szCs w:val="22"/>
        </w:rPr>
        <w:t>the opportu</w:t>
      </w:r>
      <w:r w:rsidR="00267BF8">
        <w:rPr>
          <w:rFonts w:ascii="Arial" w:hAnsi="Arial" w:cs="Arial"/>
          <w:sz w:val="22"/>
          <w:szCs w:val="22"/>
        </w:rPr>
        <w:t xml:space="preserve">nity to </w:t>
      </w:r>
      <w:r w:rsidR="00752163">
        <w:rPr>
          <w:rFonts w:ascii="Arial" w:hAnsi="Arial" w:cs="Arial"/>
          <w:sz w:val="22"/>
          <w:szCs w:val="22"/>
        </w:rPr>
        <w:t xml:space="preserve">provide a submission </w:t>
      </w:r>
      <w:r w:rsidR="002A4405">
        <w:rPr>
          <w:rFonts w:ascii="Arial" w:hAnsi="Arial" w:cs="Arial"/>
          <w:sz w:val="22"/>
          <w:szCs w:val="22"/>
        </w:rPr>
        <w:t xml:space="preserve">to the </w:t>
      </w:r>
      <w:r w:rsidR="002A4405">
        <w:rPr>
          <w:rFonts w:ascii="Arial" w:hAnsi="Arial" w:cs="Arial"/>
          <w:i/>
          <w:sz w:val="22"/>
          <w:szCs w:val="22"/>
        </w:rPr>
        <w:t>Options to address the design issues identified in the Petroleum Resource Rent Tax Review Consultation Paper.</w:t>
      </w:r>
      <w:r w:rsidR="002A4405">
        <w:rPr>
          <w:rFonts w:ascii="Arial" w:hAnsi="Arial" w:cs="Arial"/>
          <w:sz w:val="22"/>
          <w:szCs w:val="22"/>
        </w:rPr>
        <w:t xml:space="preserve"> We endorse the submission of the Tax Justice Network Australia, of which we are a member.</w:t>
      </w:r>
    </w:p>
    <w:p w:rsidR="002A4405" w:rsidRDefault="002A4405" w:rsidP="00EF2217">
      <w:pPr>
        <w:tabs>
          <w:tab w:val="left" w:pos="6804"/>
          <w:tab w:val="left" w:pos="7598"/>
        </w:tabs>
        <w:ind w:right="-312"/>
        <w:jc w:val="both"/>
        <w:rPr>
          <w:rFonts w:ascii="Arial" w:hAnsi="Arial" w:cs="Arial"/>
          <w:sz w:val="22"/>
          <w:szCs w:val="22"/>
        </w:rPr>
      </w:pPr>
    </w:p>
    <w:p w:rsidR="002A4405" w:rsidRDefault="002A4405" w:rsidP="00EF2217">
      <w:pPr>
        <w:tabs>
          <w:tab w:val="left" w:pos="6804"/>
          <w:tab w:val="left" w:pos="7598"/>
        </w:tabs>
        <w:ind w:right="-312"/>
        <w:jc w:val="both"/>
        <w:rPr>
          <w:rFonts w:ascii="Arial" w:hAnsi="Arial" w:cs="Arial"/>
          <w:sz w:val="22"/>
          <w:szCs w:val="22"/>
        </w:rPr>
      </w:pPr>
      <w:r>
        <w:rPr>
          <w:rFonts w:ascii="Arial" w:hAnsi="Arial" w:cs="Arial"/>
          <w:sz w:val="22"/>
          <w:szCs w:val="22"/>
        </w:rPr>
        <w:t>The Unit continues to be perplexed why the Review decided that on-going tax concessions are necessary for the multinational gas corporations operating in Commonwealth waters through the design of the PRRT. Appendix F of the review noted that of the global natural gas market:</w:t>
      </w:r>
      <w:r>
        <w:rPr>
          <w:rStyle w:val="FootnoteReference"/>
          <w:rFonts w:ascii="Arial" w:hAnsi="Arial" w:cs="Arial"/>
          <w:sz w:val="22"/>
          <w:szCs w:val="22"/>
        </w:rPr>
        <w:footnoteReference w:id="1"/>
      </w:r>
      <w:r>
        <w:rPr>
          <w:rFonts w:ascii="Arial" w:hAnsi="Arial" w:cs="Arial"/>
          <w:sz w:val="22"/>
          <w:szCs w:val="22"/>
        </w:rPr>
        <w:t xml:space="preserve"> </w:t>
      </w:r>
    </w:p>
    <w:p w:rsidR="00AC7CB1" w:rsidRDefault="002A4405" w:rsidP="002A4405">
      <w:pPr>
        <w:tabs>
          <w:tab w:val="left" w:pos="6804"/>
          <w:tab w:val="left" w:pos="7598"/>
        </w:tabs>
        <w:ind w:left="720" w:right="-312"/>
        <w:jc w:val="both"/>
        <w:rPr>
          <w:rFonts w:ascii="Arial" w:hAnsi="Arial" w:cs="Arial"/>
          <w:i/>
          <w:sz w:val="22"/>
          <w:szCs w:val="22"/>
        </w:rPr>
      </w:pPr>
      <w:r w:rsidRPr="002A4405">
        <w:rPr>
          <w:rFonts w:ascii="Arial" w:hAnsi="Arial" w:cs="Arial"/>
          <w:i/>
          <w:sz w:val="22"/>
          <w:szCs w:val="22"/>
        </w:rPr>
        <w:t>However, strong growth in capacity will more than offset the projected demand growth over the next few years. Global liquefaction capacity of forecast to increase on average by 7 per cent a year until 2021 as new projects come online, mostly from Australia and the United States (see Figure F.1). Australia’s new LNG projects will add around 25 per cent to global liquefaction capacity.</w:t>
      </w:r>
    </w:p>
    <w:p w:rsidR="002A4405" w:rsidRDefault="002A4405" w:rsidP="002A4405">
      <w:pPr>
        <w:tabs>
          <w:tab w:val="left" w:pos="6804"/>
          <w:tab w:val="left" w:pos="7598"/>
        </w:tabs>
        <w:ind w:left="720" w:right="-312"/>
        <w:jc w:val="both"/>
        <w:rPr>
          <w:rFonts w:ascii="Arial" w:hAnsi="Arial" w:cs="Arial"/>
          <w:i/>
          <w:sz w:val="22"/>
          <w:szCs w:val="22"/>
        </w:rPr>
      </w:pPr>
    </w:p>
    <w:p w:rsidR="002A4405" w:rsidRDefault="002A4405" w:rsidP="002A4405">
      <w:pPr>
        <w:tabs>
          <w:tab w:val="left" w:pos="6804"/>
          <w:tab w:val="left" w:pos="7598"/>
        </w:tabs>
        <w:ind w:left="720" w:right="-312"/>
        <w:jc w:val="both"/>
        <w:rPr>
          <w:rFonts w:ascii="Arial" w:hAnsi="Arial" w:cs="Arial"/>
          <w:i/>
          <w:sz w:val="22"/>
          <w:szCs w:val="22"/>
        </w:rPr>
      </w:pPr>
      <w:r>
        <w:rPr>
          <w:rFonts w:ascii="Arial" w:hAnsi="Arial" w:cs="Arial"/>
          <w:i/>
          <w:sz w:val="22"/>
          <w:szCs w:val="22"/>
        </w:rPr>
        <w:t>Figure F.2 shows that despite the rapid increase in LNG demand to 2020, an even faster expansion of LNG capacity over the same period will add to excess supply in the market causing downward pressure on spot prices.</w:t>
      </w:r>
    </w:p>
    <w:p w:rsidR="002A4405" w:rsidRDefault="002A4405" w:rsidP="002A4405">
      <w:pPr>
        <w:tabs>
          <w:tab w:val="left" w:pos="6804"/>
          <w:tab w:val="left" w:pos="7598"/>
        </w:tabs>
        <w:ind w:left="720" w:right="-312"/>
        <w:jc w:val="both"/>
        <w:rPr>
          <w:rFonts w:ascii="Arial" w:hAnsi="Arial" w:cs="Arial"/>
          <w:i/>
          <w:sz w:val="22"/>
          <w:szCs w:val="22"/>
        </w:rPr>
      </w:pPr>
    </w:p>
    <w:p w:rsidR="002A4405" w:rsidRDefault="002A4405" w:rsidP="002A4405">
      <w:pPr>
        <w:tabs>
          <w:tab w:val="left" w:pos="6804"/>
          <w:tab w:val="left" w:pos="7598"/>
        </w:tabs>
        <w:ind w:left="720" w:right="-312"/>
        <w:jc w:val="both"/>
        <w:rPr>
          <w:rFonts w:ascii="Arial" w:hAnsi="Arial" w:cs="Arial"/>
          <w:i/>
          <w:sz w:val="22"/>
          <w:szCs w:val="22"/>
        </w:rPr>
      </w:pPr>
      <w:r>
        <w:rPr>
          <w:rFonts w:ascii="Arial" w:hAnsi="Arial" w:cs="Arial"/>
          <w:i/>
          <w:sz w:val="22"/>
          <w:szCs w:val="22"/>
        </w:rPr>
        <w:t>There is no certainty on when this excess capacity may be absorbed beyond 2020. The countries with the greatest potential for long term LNG demand growth can also access pipeline supplies and/or increased domestic production.</w:t>
      </w:r>
    </w:p>
    <w:p w:rsidR="002A4405" w:rsidRDefault="002A4405" w:rsidP="002A4405">
      <w:pPr>
        <w:tabs>
          <w:tab w:val="left" w:pos="6804"/>
          <w:tab w:val="left" w:pos="7598"/>
        </w:tabs>
        <w:ind w:right="-312"/>
        <w:jc w:val="both"/>
        <w:rPr>
          <w:rFonts w:ascii="Arial" w:hAnsi="Arial" w:cs="Arial"/>
          <w:i/>
          <w:sz w:val="22"/>
          <w:szCs w:val="22"/>
        </w:rPr>
      </w:pPr>
    </w:p>
    <w:p w:rsidR="002A4405" w:rsidRPr="002A4405" w:rsidRDefault="002A4405" w:rsidP="002A4405">
      <w:pPr>
        <w:tabs>
          <w:tab w:val="left" w:pos="6804"/>
          <w:tab w:val="left" w:pos="7598"/>
        </w:tabs>
        <w:ind w:right="-312"/>
        <w:jc w:val="both"/>
        <w:rPr>
          <w:rFonts w:ascii="Arial" w:hAnsi="Arial" w:cs="Arial"/>
          <w:sz w:val="22"/>
          <w:szCs w:val="22"/>
        </w:rPr>
      </w:pPr>
      <w:r>
        <w:rPr>
          <w:rFonts w:ascii="Arial" w:hAnsi="Arial" w:cs="Arial"/>
          <w:sz w:val="22"/>
          <w:szCs w:val="22"/>
        </w:rPr>
        <w:t>Despite this analysis of a medium term glut in gas supply driving prices down, the Review determined that it is necessary to give away the natural gas in Commonwealth waters for a much lower return to the community than a flat royalty would collect in order to stimulate the development of even more production, which will no doubt further help to suppress gas prices and further reduce revenue returns to the Australian Government and Australian people.</w:t>
      </w:r>
    </w:p>
    <w:p w:rsidR="00AC7CB1" w:rsidRDefault="00AC7CB1" w:rsidP="00EF2217">
      <w:pPr>
        <w:tabs>
          <w:tab w:val="left" w:pos="6804"/>
          <w:tab w:val="left" w:pos="7598"/>
        </w:tabs>
        <w:ind w:right="-312"/>
        <w:jc w:val="both"/>
        <w:rPr>
          <w:rFonts w:ascii="Arial" w:hAnsi="Arial" w:cs="Arial"/>
          <w:sz w:val="22"/>
          <w:szCs w:val="22"/>
        </w:rPr>
      </w:pPr>
    </w:p>
    <w:p w:rsidR="0019573A" w:rsidRDefault="0019573A" w:rsidP="00EF2217">
      <w:pPr>
        <w:tabs>
          <w:tab w:val="left" w:pos="6804"/>
          <w:tab w:val="left" w:pos="7598"/>
        </w:tabs>
        <w:ind w:right="-312"/>
        <w:jc w:val="both"/>
        <w:rPr>
          <w:rFonts w:ascii="Arial" w:hAnsi="Arial" w:cs="Arial"/>
          <w:sz w:val="22"/>
          <w:szCs w:val="22"/>
        </w:rPr>
      </w:pPr>
    </w:p>
    <w:p w:rsidR="00A87F79" w:rsidRDefault="00A87F79" w:rsidP="00EF2217">
      <w:pPr>
        <w:tabs>
          <w:tab w:val="left" w:pos="6804"/>
          <w:tab w:val="left" w:pos="7598"/>
        </w:tabs>
        <w:ind w:right="-312"/>
        <w:jc w:val="both"/>
        <w:rPr>
          <w:rFonts w:ascii="Arial" w:hAnsi="Arial" w:cs="Arial"/>
          <w:sz w:val="22"/>
          <w:szCs w:val="22"/>
        </w:rPr>
      </w:pPr>
    </w:p>
    <w:p w:rsidR="00BD74FF" w:rsidRDefault="00BD74FF" w:rsidP="00BD74FF">
      <w:pPr>
        <w:tabs>
          <w:tab w:val="left" w:pos="6804"/>
          <w:tab w:val="left" w:pos="7598"/>
        </w:tabs>
        <w:ind w:right="-312"/>
        <w:jc w:val="both"/>
        <w:rPr>
          <w:rFonts w:ascii="Arial" w:hAnsi="Arial" w:cs="Arial"/>
          <w:sz w:val="22"/>
          <w:szCs w:val="22"/>
        </w:rPr>
      </w:pPr>
      <w:r>
        <w:rPr>
          <w:rFonts w:ascii="Arial" w:hAnsi="Arial" w:cs="Arial"/>
          <w:sz w:val="22"/>
          <w:szCs w:val="22"/>
        </w:rPr>
        <w:lastRenderedPageBreak/>
        <w:t>The Internati</w:t>
      </w:r>
      <w:r w:rsidR="002A4405">
        <w:rPr>
          <w:rFonts w:ascii="Arial" w:hAnsi="Arial" w:cs="Arial"/>
          <w:sz w:val="22"/>
          <w:szCs w:val="22"/>
        </w:rPr>
        <w:t xml:space="preserve">onal Energy Agency (IEA) </w:t>
      </w:r>
      <w:r>
        <w:rPr>
          <w:rFonts w:ascii="Arial" w:hAnsi="Arial" w:cs="Arial"/>
          <w:sz w:val="22"/>
          <w:szCs w:val="22"/>
        </w:rPr>
        <w:t>assessment of global energy needs and consumption, released in November 2016, predicts as their main scenario</w:t>
      </w:r>
      <w:r w:rsidRPr="00BD74FF">
        <w:rPr>
          <w:rFonts w:ascii="Arial" w:hAnsi="Arial" w:cs="Arial"/>
          <w:sz w:val="22"/>
          <w:szCs w:val="22"/>
        </w:rPr>
        <w:t xml:space="preserve"> a 30% rise in global energy demand to 2040</w:t>
      </w:r>
      <w:r>
        <w:rPr>
          <w:rFonts w:ascii="Arial" w:hAnsi="Arial" w:cs="Arial"/>
          <w:sz w:val="22"/>
          <w:szCs w:val="22"/>
        </w:rPr>
        <w:t>.</w:t>
      </w:r>
      <w:r w:rsidRPr="00BD74FF">
        <w:rPr>
          <w:rFonts w:ascii="Arial" w:hAnsi="Arial" w:cs="Arial"/>
          <w:sz w:val="22"/>
          <w:szCs w:val="22"/>
        </w:rPr>
        <w:t xml:space="preserve"> </w:t>
      </w:r>
      <w:r>
        <w:rPr>
          <w:rFonts w:ascii="Arial" w:hAnsi="Arial" w:cs="Arial"/>
          <w:sz w:val="22"/>
          <w:szCs w:val="22"/>
        </w:rPr>
        <w:t xml:space="preserve">Natural gas fares best </w:t>
      </w:r>
      <w:r w:rsidRPr="00BD74FF">
        <w:rPr>
          <w:rFonts w:ascii="Arial" w:hAnsi="Arial" w:cs="Arial"/>
          <w:sz w:val="22"/>
          <w:szCs w:val="22"/>
        </w:rPr>
        <w:t>among the fossil fuels, with consumption rising by 50%.</w:t>
      </w:r>
      <w:r>
        <w:rPr>
          <w:rStyle w:val="FootnoteReference"/>
          <w:rFonts w:ascii="Arial" w:hAnsi="Arial" w:cs="Arial"/>
          <w:sz w:val="22"/>
          <w:szCs w:val="22"/>
        </w:rPr>
        <w:footnoteReference w:id="2"/>
      </w:r>
      <w:r>
        <w:rPr>
          <w:rFonts w:ascii="Arial" w:hAnsi="Arial" w:cs="Arial"/>
          <w:sz w:val="22"/>
          <w:szCs w:val="22"/>
        </w:rPr>
        <w:t xml:space="preserve"> The IEA state in relation to the future of oil and gas demand “</w:t>
      </w:r>
      <w:r w:rsidRPr="00BD74FF">
        <w:rPr>
          <w:rFonts w:ascii="Arial" w:hAnsi="Arial" w:cs="Arial"/>
          <w:sz w:val="22"/>
          <w:szCs w:val="22"/>
        </w:rPr>
        <w:t>For the moment, the collective signal sent by government</w:t>
      </w:r>
      <w:r>
        <w:rPr>
          <w:rFonts w:ascii="Arial" w:hAnsi="Arial" w:cs="Arial"/>
          <w:sz w:val="22"/>
          <w:szCs w:val="22"/>
        </w:rPr>
        <w:t xml:space="preserve">s in their climate pledges (and </w:t>
      </w:r>
      <w:r w:rsidRPr="00BD74FF">
        <w:rPr>
          <w:rFonts w:ascii="Arial" w:hAnsi="Arial" w:cs="Arial"/>
          <w:sz w:val="22"/>
          <w:szCs w:val="22"/>
        </w:rPr>
        <w:t>therefore reflected in our main scenario) is that fossil f</w:t>
      </w:r>
      <w:r>
        <w:rPr>
          <w:rFonts w:ascii="Arial" w:hAnsi="Arial" w:cs="Arial"/>
          <w:sz w:val="22"/>
          <w:szCs w:val="22"/>
        </w:rPr>
        <w:t xml:space="preserve">uels, in particular natural gas </w:t>
      </w:r>
      <w:r w:rsidRPr="00BD74FF">
        <w:rPr>
          <w:rFonts w:ascii="Arial" w:hAnsi="Arial" w:cs="Arial"/>
          <w:sz w:val="22"/>
          <w:szCs w:val="22"/>
        </w:rPr>
        <w:t>and oil, will continue to be a bedrock of the global en</w:t>
      </w:r>
      <w:r>
        <w:rPr>
          <w:rFonts w:ascii="Arial" w:hAnsi="Arial" w:cs="Arial"/>
          <w:sz w:val="22"/>
          <w:szCs w:val="22"/>
        </w:rPr>
        <w:t>ergy system for many decades to come….”</w:t>
      </w:r>
      <w:r>
        <w:rPr>
          <w:rStyle w:val="FootnoteReference"/>
          <w:rFonts w:ascii="Arial" w:hAnsi="Arial" w:cs="Arial"/>
          <w:sz w:val="22"/>
          <w:szCs w:val="22"/>
        </w:rPr>
        <w:footnoteReference w:id="3"/>
      </w:r>
    </w:p>
    <w:p w:rsidR="00BD74FF" w:rsidRDefault="00BD74FF" w:rsidP="00BD74FF">
      <w:pPr>
        <w:tabs>
          <w:tab w:val="left" w:pos="6804"/>
          <w:tab w:val="left" w:pos="7598"/>
        </w:tabs>
        <w:ind w:right="-312"/>
        <w:jc w:val="both"/>
        <w:rPr>
          <w:rFonts w:ascii="Arial" w:hAnsi="Arial" w:cs="Arial"/>
          <w:sz w:val="22"/>
          <w:szCs w:val="22"/>
        </w:rPr>
      </w:pPr>
    </w:p>
    <w:p w:rsidR="00BD74FF" w:rsidRDefault="00BD74FF" w:rsidP="00BD74FF">
      <w:pPr>
        <w:tabs>
          <w:tab w:val="left" w:pos="6804"/>
          <w:tab w:val="left" w:pos="7598"/>
        </w:tabs>
        <w:ind w:right="-312"/>
        <w:jc w:val="both"/>
        <w:rPr>
          <w:rFonts w:ascii="Arial" w:hAnsi="Arial" w:cs="Arial"/>
          <w:sz w:val="22"/>
          <w:szCs w:val="22"/>
        </w:rPr>
      </w:pPr>
      <w:r>
        <w:rPr>
          <w:rFonts w:ascii="Arial" w:hAnsi="Arial" w:cs="Arial"/>
          <w:sz w:val="22"/>
          <w:szCs w:val="22"/>
        </w:rPr>
        <w:t>The IEA predicts a</w:t>
      </w:r>
      <w:r w:rsidRPr="00BD74FF">
        <w:rPr>
          <w:rFonts w:ascii="Arial" w:hAnsi="Arial" w:cs="Arial"/>
          <w:sz w:val="22"/>
          <w:szCs w:val="22"/>
        </w:rPr>
        <w:t xml:space="preserve"> 1.5% annual rate of growth in natural gas demand to </w:t>
      </w:r>
      <w:r>
        <w:rPr>
          <w:rFonts w:ascii="Arial" w:hAnsi="Arial" w:cs="Arial"/>
          <w:sz w:val="22"/>
          <w:szCs w:val="22"/>
        </w:rPr>
        <w:t>2040</w:t>
      </w:r>
      <w:r w:rsidRPr="00BD74FF">
        <w:rPr>
          <w:rFonts w:ascii="Arial" w:hAnsi="Arial" w:cs="Arial"/>
          <w:sz w:val="22"/>
          <w:szCs w:val="22"/>
        </w:rPr>
        <w:t>, but</w:t>
      </w:r>
      <w:r>
        <w:rPr>
          <w:rFonts w:ascii="Arial" w:hAnsi="Arial" w:cs="Arial"/>
          <w:sz w:val="22"/>
          <w:szCs w:val="22"/>
        </w:rPr>
        <w:t xml:space="preserve"> notes</w:t>
      </w:r>
      <w:r w:rsidRPr="00BD74FF">
        <w:rPr>
          <w:rFonts w:ascii="Arial" w:hAnsi="Arial" w:cs="Arial"/>
          <w:sz w:val="22"/>
          <w:szCs w:val="22"/>
        </w:rPr>
        <w:t xml:space="preserve"> markets, business models and pricing arrangements are all in flux. Gas consumption increases almost everywhere, with the main exception of Japan where it falls back as nuclear power is reintroduced. China (where consumption grows by more than 400 billion cubic metres) and the Middle East are the largest sources of growth. </w:t>
      </w:r>
      <w:r>
        <w:rPr>
          <w:rFonts w:ascii="Arial" w:hAnsi="Arial" w:cs="Arial"/>
          <w:sz w:val="22"/>
          <w:szCs w:val="22"/>
        </w:rPr>
        <w:t>However, the IEA questions</w:t>
      </w:r>
      <w:r w:rsidRPr="00BD74FF">
        <w:rPr>
          <w:rFonts w:ascii="Arial" w:hAnsi="Arial" w:cs="Arial"/>
          <w:sz w:val="22"/>
          <w:szCs w:val="22"/>
        </w:rPr>
        <w:t xml:space="preserve"> how quickly a market currently awash with gas can rebalance, especially with another 130 bcm of liquefaction capacity under construction, primarily in the United States and Australia.</w:t>
      </w:r>
      <w:r>
        <w:rPr>
          <w:rStyle w:val="FootnoteReference"/>
          <w:rFonts w:ascii="Arial" w:hAnsi="Arial" w:cs="Arial"/>
          <w:sz w:val="22"/>
          <w:szCs w:val="22"/>
        </w:rPr>
        <w:footnoteReference w:id="4"/>
      </w:r>
      <w:r w:rsidRPr="00BD74FF">
        <w:rPr>
          <w:rFonts w:ascii="Arial" w:hAnsi="Arial" w:cs="Arial"/>
          <w:sz w:val="22"/>
          <w:szCs w:val="22"/>
        </w:rPr>
        <w:t xml:space="preserve"> </w:t>
      </w:r>
      <w:r>
        <w:rPr>
          <w:rFonts w:ascii="Arial" w:hAnsi="Arial" w:cs="Arial"/>
          <w:sz w:val="22"/>
          <w:szCs w:val="22"/>
        </w:rPr>
        <w:t>This calls into question the design of the PRRT, which aims to stimulate exploitation of Australia’s natural gas resources as soon as possible, rather than at the time that would be most optimal for the greatest return to the Australian public.</w:t>
      </w:r>
    </w:p>
    <w:p w:rsidR="00BD74FF" w:rsidRDefault="00BD74FF" w:rsidP="00BD74FF">
      <w:pPr>
        <w:tabs>
          <w:tab w:val="left" w:pos="6804"/>
          <w:tab w:val="left" w:pos="7598"/>
        </w:tabs>
        <w:ind w:right="-312"/>
        <w:jc w:val="both"/>
        <w:rPr>
          <w:rFonts w:ascii="Arial" w:hAnsi="Arial" w:cs="Arial"/>
          <w:sz w:val="22"/>
          <w:szCs w:val="22"/>
        </w:rPr>
      </w:pPr>
    </w:p>
    <w:p w:rsidR="00BD74FF" w:rsidRDefault="00BD74FF" w:rsidP="00BD74FF">
      <w:pPr>
        <w:tabs>
          <w:tab w:val="left" w:pos="6804"/>
          <w:tab w:val="left" w:pos="7598"/>
        </w:tabs>
        <w:ind w:right="-312"/>
        <w:jc w:val="both"/>
        <w:rPr>
          <w:rFonts w:ascii="Arial" w:hAnsi="Arial" w:cs="Arial"/>
          <w:sz w:val="22"/>
          <w:szCs w:val="22"/>
        </w:rPr>
      </w:pPr>
      <w:r>
        <w:rPr>
          <w:rFonts w:ascii="Arial" w:hAnsi="Arial" w:cs="Arial"/>
          <w:sz w:val="22"/>
          <w:szCs w:val="22"/>
        </w:rPr>
        <w:t>The IEA</w:t>
      </w:r>
      <w:r w:rsidRPr="00BD74FF">
        <w:rPr>
          <w:rFonts w:ascii="Arial" w:hAnsi="Arial" w:cs="Arial"/>
          <w:sz w:val="22"/>
          <w:szCs w:val="22"/>
        </w:rPr>
        <w:t xml:space="preserve"> assumes a marked change from the previous system of strong, fixed-term relationships between suppliers and a defined group of customers, in favour of more competitive and flexible arrangements, including greater reliance on prices set by gas-to</w:t>
      </w:r>
      <w:r>
        <w:rPr>
          <w:rFonts w:ascii="Arial" w:hAnsi="Arial" w:cs="Arial"/>
          <w:sz w:val="22"/>
          <w:szCs w:val="22"/>
        </w:rPr>
        <w:t>-</w:t>
      </w:r>
      <w:r w:rsidRPr="00BD74FF">
        <w:rPr>
          <w:rFonts w:ascii="Arial" w:hAnsi="Arial" w:cs="Arial"/>
          <w:sz w:val="22"/>
          <w:szCs w:val="22"/>
        </w:rPr>
        <w:t xml:space="preserve">gas competition. This shift is catalysed by the increasing availability of footloose US LNG cargoes and the arrival in the 2020s of other new exporters, notably in East Africa, as well as the diversity brought to global supply by the continued, if uneven, spread of the unconventional gas revolution. Floating storage and regasification units help to unlock new and smaller markets for LNG, whose overall share in long-distance gas trade grows from 42% in 2014 to 53% in 2040. But uncertainty over the direction of this commercial transition could delay decisions on new upstream and transportation projects, posing the risk of a hard landing for markets once the current oversupply is absorbed. </w:t>
      </w:r>
      <w:r>
        <w:rPr>
          <w:rFonts w:ascii="Arial" w:hAnsi="Arial" w:cs="Arial"/>
          <w:sz w:val="22"/>
          <w:szCs w:val="22"/>
        </w:rPr>
        <w:t>The IEA believes that e</w:t>
      </w:r>
      <w:r w:rsidRPr="00BD74FF">
        <w:rPr>
          <w:rFonts w:ascii="Arial" w:hAnsi="Arial" w:cs="Arial"/>
          <w:sz w:val="22"/>
          <w:szCs w:val="22"/>
        </w:rPr>
        <w:t>xport-oriented producers have to work hard to control costs in the face of strong competition from other fuels, especially in the power sector. In the mid-2020s, in gas-importing countries in Asia, new gas plants would be a cheaper option than new coal plants for baseload generation only if coal prices were $150/tonne (double the anticipated 2025 price). The space for gas</w:t>
      </w:r>
      <w:r>
        <w:rPr>
          <w:rFonts w:ascii="Arial" w:hAnsi="Arial" w:cs="Arial"/>
          <w:sz w:val="22"/>
          <w:szCs w:val="22"/>
        </w:rPr>
        <w:t>-</w:t>
      </w:r>
      <w:r w:rsidRPr="00BD74FF">
        <w:rPr>
          <w:rFonts w:ascii="Arial" w:hAnsi="Arial" w:cs="Arial"/>
          <w:sz w:val="22"/>
          <w:szCs w:val="22"/>
        </w:rPr>
        <w:t>fired generation is also squeezed by the rising deployment and falling costs of renewables.</w:t>
      </w:r>
      <w:r>
        <w:rPr>
          <w:rStyle w:val="FootnoteReference"/>
          <w:rFonts w:ascii="Arial" w:hAnsi="Arial" w:cs="Arial"/>
          <w:sz w:val="22"/>
          <w:szCs w:val="22"/>
        </w:rPr>
        <w:footnoteReference w:id="5"/>
      </w:r>
    </w:p>
    <w:p w:rsidR="00BD74FF" w:rsidRDefault="00BD74FF" w:rsidP="00EF2217">
      <w:pPr>
        <w:tabs>
          <w:tab w:val="left" w:pos="6804"/>
          <w:tab w:val="left" w:pos="7598"/>
        </w:tabs>
        <w:ind w:right="-312"/>
        <w:jc w:val="both"/>
        <w:rPr>
          <w:rFonts w:ascii="Arial" w:hAnsi="Arial" w:cs="Arial"/>
          <w:sz w:val="22"/>
          <w:szCs w:val="22"/>
        </w:rPr>
      </w:pPr>
    </w:p>
    <w:p w:rsidR="00BD74FF" w:rsidRDefault="002A4405" w:rsidP="002A4405">
      <w:pPr>
        <w:pStyle w:val="ListParagraph"/>
        <w:numPr>
          <w:ilvl w:val="0"/>
          <w:numId w:val="21"/>
        </w:numPr>
        <w:tabs>
          <w:tab w:val="left" w:pos="6804"/>
          <w:tab w:val="left" w:pos="7598"/>
        </w:tabs>
        <w:ind w:right="-312"/>
        <w:jc w:val="both"/>
        <w:rPr>
          <w:rFonts w:ascii="Arial" w:hAnsi="Arial" w:cs="Arial"/>
          <w:b/>
          <w:sz w:val="22"/>
          <w:szCs w:val="22"/>
        </w:rPr>
      </w:pPr>
      <w:r>
        <w:rPr>
          <w:rFonts w:ascii="Arial" w:hAnsi="Arial" w:cs="Arial"/>
          <w:b/>
          <w:sz w:val="22"/>
          <w:szCs w:val="22"/>
        </w:rPr>
        <w:t>Of the options outlined above, which option, or combination is preferred? What are the advantages and disadvantages of each option? Which options could be considered in combination?</w:t>
      </w:r>
    </w:p>
    <w:p w:rsidR="002A4405" w:rsidRDefault="002A4405" w:rsidP="002A4405">
      <w:pPr>
        <w:tabs>
          <w:tab w:val="left" w:pos="6804"/>
          <w:tab w:val="left" w:pos="7598"/>
        </w:tabs>
        <w:ind w:right="-312"/>
        <w:jc w:val="both"/>
        <w:rPr>
          <w:rFonts w:ascii="Arial" w:hAnsi="Arial" w:cs="Arial"/>
          <w:sz w:val="22"/>
          <w:szCs w:val="22"/>
        </w:rPr>
      </w:pPr>
      <w:r>
        <w:rPr>
          <w:rFonts w:ascii="Arial" w:hAnsi="Arial" w:cs="Arial"/>
          <w:sz w:val="22"/>
          <w:szCs w:val="22"/>
        </w:rPr>
        <w:t>As noted above, the Unit does not believe that the Commonwealth Government needs to be stimulating investment in new gas fields at this time, so the Unit prefers Option 1 of the options being offered so that the uplift on exploration expenditure is the LTBR plus 5 percentage points. The next best option is Option 3 for the reasons given in the consultation paper.</w:t>
      </w:r>
    </w:p>
    <w:p w:rsidR="002A4405" w:rsidRDefault="002A4405" w:rsidP="002A4405">
      <w:pPr>
        <w:tabs>
          <w:tab w:val="left" w:pos="6804"/>
          <w:tab w:val="left" w:pos="7598"/>
        </w:tabs>
        <w:ind w:right="-312"/>
        <w:jc w:val="both"/>
        <w:rPr>
          <w:rFonts w:ascii="Arial" w:hAnsi="Arial" w:cs="Arial"/>
          <w:sz w:val="22"/>
          <w:szCs w:val="22"/>
        </w:rPr>
      </w:pPr>
    </w:p>
    <w:p w:rsidR="002A4405" w:rsidRDefault="002A4405" w:rsidP="00B230FD">
      <w:pPr>
        <w:pStyle w:val="ListParagraph"/>
        <w:numPr>
          <w:ilvl w:val="0"/>
          <w:numId w:val="21"/>
        </w:numPr>
        <w:tabs>
          <w:tab w:val="left" w:pos="6804"/>
          <w:tab w:val="left" w:pos="7598"/>
        </w:tabs>
        <w:ind w:right="-312"/>
        <w:jc w:val="both"/>
        <w:rPr>
          <w:rFonts w:ascii="Arial" w:hAnsi="Arial" w:cs="Arial"/>
          <w:b/>
          <w:sz w:val="22"/>
          <w:szCs w:val="22"/>
        </w:rPr>
      </w:pPr>
      <w:r>
        <w:rPr>
          <w:rFonts w:ascii="Arial" w:hAnsi="Arial" w:cs="Arial"/>
          <w:b/>
          <w:sz w:val="22"/>
          <w:szCs w:val="22"/>
        </w:rPr>
        <w:t>Given the transferability provision have been inserted in the system, should exploration expenditure continue to attract a higher uplift rate (or larger investment allowance) relative to general expenditure?</w:t>
      </w:r>
    </w:p>
    <w:p w:rsidR="002A4405" w:rsidRDefault="002A4405" w:rsidP="002A4405">
      <w:pPr>
        <w:tabs>
          <w:tab w:val="left" w:pos="6804"/>
          <w:tab w:val="left" w:pos="7598"/>
        </w:tabs>
        <w:ind w:right="-312"/>
        <w:jc w:val="both"/>
        <w:rPr>
          <w:rFonts w:ascii="Arial" w:hAnsi="Arial" w:cs="Arial"/>
          <w:sz w:val="22"/>
          <w:szCs w:val="22"/>
        </w:rPr>
      </w:pPr>
      <w:r>
        <w:rPr>
          <w:rFonts w:ascii="Arial" w:hAnsi="Arial" w:cs="Arial"/>
          <w:sz w:val="22"/>
          <w:szCs w:val="22"/>
        </w:rPr>
        <w:t>As there is currently no need to see new gas fields developed given the market over-system in the medium term, exploration expenditure should not attract a higher uplift rate. Stimulus for exploration could be reviewed when the current global</w:t>
      </w:r>
      <w:r w:rsidR="00B230FD">
        <w:rPr>
          <w:rFonts w:ascii="Arial" w:hAnsi="Arial" w:cs="Arial"/>
          <w:sz w:val="22"/>
          <w:szCs w:val="22"/>
        </w:rPr>
        <w:t xml:space="preserve"> market oversupply</w:t>
      </w:r>
      <w:r>
        <w:rPr>
          <w:rFonts w:ascii="Arial" w:hAnsi="Arial" w:cs="Arial"/>
          <w:sz w:val="22"/>
          <w:szCs w:val="22"/>
        </w:rPr>
        <w:t xml:space="preserve"> ends and should companies not be </w:t>
      </w:r>
      <w:r>
        <w:rPr>
          <w:rFonts w:ascii="Arial" w:hAnsi="Arial" w:cs="Arial"/>
          <w:sz w:val="22"/>
          <w:szCs w:val="22"/>
        </w:rPr>
        <w:lastRenderedPageBreak/>
        <w:t xml:space="preserve">sufficiently engaging in exploration activities without such a reward at the cost of government’s </w:t>
      </w:r>
      <w:r w:rsidR="00B230FD">
        <w:rPr>
          <w:rFonts w:ascii="Arial" w:hAnsi="Arial" w:cs="Arial"/>
          <w:sz w:val="22"/>
          <w:szCs w:val="22"/>
        </w:rPr>
        <w:t xml:space="preserve">ansd community’s </w:t>
      </w:r>
      <w:r>
        <w:rPr>
          <w:rFonts w:ascii="Arial" w:hAnsi="Arial" w:cs="Arial"/>
          <w:sz w:val="22"/>
          <w:szCs w:val="22"/>
        </w:rPr>
        <w:t>share.</w:t>
      </w:r>
    </w:p>
    <w:p w:rsidR="002A4405" w:rsidRDefault="002A4405" w:rsidP="002A4405">
      <w:pPr>
        <w:tabs>
          <w:tab w:val="left" w:pos="6804"/>
          <w:tab w:val="left" w:pos="7598"/>
        </w:tabs>
        <w:ind w:right="-312"/>
        <w:jc w:val="both"/>
        <w:rPr>
          <w:rFonts w:ascii="Arial" w:hAnsi="Arial" w:cs="Arial"/>
          <w:sz w:val="22"/>
          <w:szCs w:val="22"/>
        </w:rPr>
      </w:pPr>
    </w:p>
    <w:p w:rsidR="002A4405" w:rsidRDefault="002A4405" w:rsidP="002A4405">
      <w:pPr>
        <w:pStyle w:val="ListParagraph"/>
        <w:numPr>
          <w:ilvl w:val="0"/>
          <w:numId w:val="22"/>
        </w:numPr>
        <w:tabs>
          <w:tab w:val="left" w:pos="6804"/>
          <w:tab w:val="left" w:pos="7598"/>
        </w:tabs>
        <w:ind w:right="-312"/>
        <w:jc w:val="both"/>
        <w:rPr>
          <w:rFonts w:ascii="Arial" w:hAnsi="Arial" w:cs="Arial"/>
          <w:b/>
          <w:sz w:val="22"/>
          <w:szCs w:val="22"/>
        </w:rPr>
      </w:pPr>
      <w:r w:rsidRPr="002A4405">
        <w:rPr>
          <w:rFonts w:ascii="Arial" w:hAnsi="Arial" w:cs="Arial"/>
          <w:b/>
          <w:sz w:val="22"/>
          <w:szCs w:val="22"/>
        </w:rPr>
        <w:t>If the uplift rates are lowered, w</w:t>
      </w:r>
      <w:r>
        <w:rPr>
          <w:rFonts w:ascii="Arial" w:hAnsi="Arial" w:cs="Arial"/>
          <w:b/>
          <w:sz w:val="22"/>
          <w:szCs w:val="22"/>
        </w:rPr>
        <w:t>hat would be the appropriate rates</w:t>
      </w:r>
      <w:r w:rsidRPr="002A4405">
        <w:rPr>
          <w:rFonts w:ascii="Arial" w:hAnsi="Arial" w:cs="Arial"/>
          <w:b/>
          <w:sz w:val="22"/>
          <w:szCs w:val="22"/>
        </w:rPr>
        <w:t xml:space="preserve"> </w:t>
      </w:r>
      <w:r>
        <w:rPr>
          <w:rFonts w:ascii="Arial" w:hAnsi="Arial" w:cs="Arial"/>
          <w:b/>
          <w:sz w:val="22"/>
          <w:szCs w:val="22"/>
        </w:rPr>
        <w:t>for exploration, and general expenditure?</w:t>
      </w:r>
    </w:p>
    <w:p w:rsidR="002A4405" w:rsidRDefault="002A4405" w:rsidP="002A4405">
      <w:pPr>
        <w:tabs>
          <w:tab w:val="left" w:pos="6804"/>
          <w:tab w:val="left" w:pos="7598"/>
        </w:tabs>
        <w:ind w:right="-312"/>
        <w:jc w:val="both"/>
        <w:rPr>
          <w:rFonts w:ascii="Arial" w:hAnsi="Arial" w:cs="Arial"/>
          <w:sz w:val="22"/>
          <w:szCs w:val="22"/>
        </w:rPr>
      </w:pPr>
      <w:r>
        <w:rPr>
          <w:rFonts w:ascii="Arial" w:hAnsi="Arial" w:cs="Arial"/>
          <w:sz w:val="22"/>
          <w:szCs w:val="22"/>
        </w:rPr>
        <w:t>The Unit’s preference is that the uplift rates would be reduced to LTBR for all expenditure.</w:t>
      </w:r>
    </w:p>
    <w:p w:rsidR="002A4405" w:rsidRDefault="002A4405" w:rsidP="002A4405">
      <w:pPr>
        <w:tabs>
          <w:tab w:val="left" w:pos="6804"/>
          <w:tab w:val="left" w:pos="7598"/>
        </w:tabs>
        <w:ind w:right="-312"/>
        <w:jc w:val="both"/>
        <w:rPr>
          <w:rFonts w:ascii="Arial" w:hAnsi="Arial" w:cs="Arial"/>
          <w:sz w:val="22"/>
          <w:szCs w:val="22"/>
        </w:rPr>
      </w:pPr>
    </w:p>
    <w:p w:rsidR="002A4405" w:rsidRDefault="002A4405" w:rsidP="002A4405">
      <w:pPr>
        <w:tabs>
          <w:tab w:val="left" w:pos="6804"/>
          <w:tab w:val="left" w:pos="7598"/>
        </w:tabs>
        <w:ind w:right="-312"/>
        <w:jc w:val="both"/>
        <w:rPr>
          <w:rFonts w:ascii="Arial" w:hAnsi="Arial" w:cs="Arial"/>
          <w:b/>
          <w:sz w:val="22"/>
          <w:szCs w:val="22"/>
        </w:rPr>
      </w:pPr>
      <w:r>
        <w:rPr>
          <w:rFonts w:ascii="Arial" w:hAnsi="Arial" w:cs="Arial"/>
          <w:b/>
          <w:sz w:val="22"/>
          <w:szCs w:val="22"/>
        </w:rPr>
        <w:t>8. What is the appropriate uplift rate for resource tax expenditure?</w:t>
      </w:r>
    </w:p>
    <w:p w:rsidR="002A4405" w:rsidRDefault="002A4405" w:rsidP="002A4405">
      <w:pPr>
        <w:tabs>
          <w:tab w:val="left" w:pos="6804"/>
          <w:tab w:val="left" w:pos="7598"/>
        </w:tabs>
        <w:ind w:right="-312"/>
        <w:jc w:val="both"/>
        <w:rPr>
          <w:rFonts w:ascii="Arial" w:hAnsi="Arial" w:cs="Arial"/>
          <w:sz w:val="22"/>
          <w:szCs w:val="22"/>
        </w:rPr>
      </w:pPr>
      <w:r>
        <w:rPr>
          <w:rFonts w:ascii="Arial" w:hAnsi="Arial" w:cs="Arial"/>
          <w:sz w:val="22"/>
          <w:szCs w:val="22"/>
        </w:rPr>
        <w:t>The uplift factor for resource tax expenditure should be the LTBR, for the reasons noted in the consultation paper.</w:t>
      </w:r>
    </w:p>
    <w:p w:rsidR="002A4405" w:rsidRDefault="002A4405" w:rsidP="002A4405">
      <w:pPr>
        <w:tabs>
          <w:tab w:val="left" w:pos="6804"/>
          <w:tab w:val="left" w:pos="7598"/>
        </w:tabs>
        <w:ind w:right="-312"/>
        <w:jc w:val="both"/>
        <w:rPr>
          <w:rFonts w:ascii="Arial" w:hAnsi="Arial" w:cs="Arial"/>
          <w:sz w:val="22"/>
          <w:szCs w:val="22"/>
        </w:rPr>
      </w:pPr>
    </w:p>
    <w:p w:rsidR="002A4405" w:rsidRDefault="002A4405" w:rsidP="002A4405">
      <w:pPr>
        <w:tabs>
          <w:tab w:val="left" w:pos="6804"/>
          <w:tab w:val="left" w:pos="7598"/>
        </w:tabs>
        <w:ind w:right="-312"/>
        <w:jc w:val="both"/>
        <w:rPr>
          <w:rFonts w:ascii="Arial" w:hAnsi="Arial" w:cs="Arial"/>
          <w:b/>
          <w:sz w:val="22"/>
          <w:szCs w:val="22"/>
        </w:rPr>
      </w:pPr>
      <w:r>
        <w:rPr>
          <w:rFonts w:ascii="Arial" w:hAnsi="Arial" w:cs="Arial"/>
          <w:b/>
          <w:sz w:val="22"/>
          <w:szCs w:val="22"/>
        </w:rPr>
        <w:t>9. Is the proposed dual principle appropriate?</w:t>
      </w:r>
    </w:p>
    <w:p w:rsidR="002A4405" w:rsidRDefault="002A4405" w:rsidP="002A4405">
      <w:pPr>
        <w:tabs>
          <w:tab w:val="left" w:pos="6804"/>
          <w:tab w:val="left" w:pos="7598"/>
        </w:tabs>
        <w:ind w:right="-312"/>
        <w:jc w:val="both"/>
        <w:rPr>
          <w:rFonts w:ascii="Arial" w:hAnsi="Arial" w:cs="Arial"/>
          <w:b/>
          <w:sz w:val="22"/>
          <w:szCs w:val="22"/>
        </w:rPr>
      </w:pPr>
      <w:r>
        <w:rPr>
          <w:rFonts w:ascii="Arial" w:hAnsi="Arial" w:cs="Arial"/>
          <w:sz w:val="22"/>
          <w:szCs w:val="22"/>
        </w:rPr>
        <w:t>The Unit’s preferred option within the parameters set by the consultation paper is that all deductions attract the same uplift rate of LTBR. That would eliminate the problem of the order of deductions. If different uplift rates are maintained, then the proposed dual principle will help curb gaming the system by the multinational gas corporations.</w:t>
      </w:r>
      <w:r>
        <w:rPr>
          <w:rFonts w:ascii="Arial" w:hAnsi="Arial" w:cs="Arial"/>
          <w:b/>
          <w:sz w:val="22"/>
          <w:szCs w:val="22"/>
        </w:rPr>
        <w:t xml:space="preserve"> </w:t>
      </w:r>
      <w:r w:rsidRPr="002A4405">
        <w:rPr>
          <w:rFonts w:ascii="Arial" w:hAnsi="Arial" w:cs="Arial"/>
          <w:b/>
          <w:sz w:val="22"/>
          <w:szCs w:val="22"/>
        </w:rPr>
        <w:t xml:space="preserve"> </w:t>
      </w:r>
    </w:p>
    <w:p w:rsidR="00B230FD" w:rsidRDefault="00B230FD" w:rsidP="002A4405">
      <w:pPr>
        <w:tabs>
          <w:tab w:val="left" w:pos="6804"/>
          <w:tab w:val="left" w:pos="7598"/>
        </w:tabs>
        <w:ind w:right="-312"/>
        <w:jc w:val="both"/>
        <w:rPr>
          <w:rFonts w:ascii="Arial" w:hAnsi="Arial" w:cs="Arial"/>
          <w:b/>
          <w:sz w:val="22"/>
          <w:szCs w:val="22"/>
        </w:rPr>
      </w:pPr>
    </w:p>
    <w:p w:rsidR="00B230FD" w:rsidRDefault="00B230FD" w:rsidP="002A4405">
      <w:pPr>
        <w:tabs>
          <w:tab w:val="left" w:pos="6804"/>
          <w:tab w:val="left" w:pos="7598"/>
        </w:tabs>
        <w:ind w:right="-312"/>
        <w:jc w:val="both"/>
        <w:rPr>
          <w:rFonts w:ascii="Arial" w:hAnsi="Arial" w:cs="Arial"/>
          <w:b/>
          <w:sz w:val="22"/>
          <w:szCs w:val="22"/>
        </w:rPr>
      </w:pPr>
      <w:r>
        <w:rPr>
          <w:rFonts w:ascii="Arial" w:hAnsi="Arial" w:cs="Arial"/>
          <w:b/>
          <w:sz w:val="22"/>
          <w:szCs w:val="22"/>
        </w:rPr>
        <w:t>13. Treasury is interested in views on these options – the positives and negatives – and the reasons why one approach may be favoured above others. Are there other approaches that could be considered?</w:t>
      </w:r>
    </w:p>
    <w:p w:rsidR="00B230FD" w:rsidRDefault="00B230FD" w:rsidP="002A4405">
      <w:pPr>
        <w:tabs>
          <w:tab w:val="left" w:pos="6804"/>
          <w:tab w:val="left" w:pos="7598"/>
        </w:tabs>
        <w:ind w:right="-312"/>
        <w:jc w:val="both"/>
        <w:rPr>
          <w:rFonts w:ascii="Arial" w:hAnsi="Arial" w:cs="Arial"/>
          <w:sz w:val="22"/>
          <w:szCs w:val="22"/>
        </w:rPr>
      </w:pPr>
      <w:r>
        <w:rPr>
          <w:rFonts w:ascii="Arial" w:hAnsi="Arial" w:cs="Arial"/>
          <w:sz w:val="22"/>
          <w:szCs w:val="22"/>
        </w:rPr>
        <w:t>The Unit is concerned that the principle Treasury seems to be most worried about is that gas corporations are rewarded for all exploration expenditure through tax offsets. The Unit’s concern is that it makes the community share the risk with the corporations no matter how badly they manage their exploration activities. Many other businesses take risks and if they fail and make no profit, then they have to carry their loss as there is no profit to claim deduction against. It is unclear why it is so important that gas corporations be able to get tax deductions for all exploration activities, no matter how poorly conceived or carried out.</w:t>
      </w:r>
    </w:p>
    <w:p w:rsidR="00B230FD" w:rsidRDefault="00B230FD" w:rsidP="002A4405">
      <w:pPr>
        <w:tabs>
          <w:tab w:val="left" w:pos="6804"/>
          <w:tab w:val="left" w:pos="7598"/>
        </w:tabs>
        <w:ind w:right="-312"/>
        <w:jc w:val="both"/>
        <w:rPr>
          <w:rFonts w:ascii="Arial" w:hAnsi="Arial" w:cs="Arial"/>
          <w:sz w:val="22"/>
          <w:szCs w:val="22"/>
        </w:rPr>
      </w:pPr>
    </w:p>
    <w:p w:rsidR="00B230FD" w:rsidRPr="00B230FD" w:rsidRDefault="00B230FD" w:rsidP="002A4405">
      <w:pPr>
        <w:tabs>
          <w:tab w:val="left" w:pos="6804"/>
          <w:tab w:val="left" w:pos="7598"/>
        </w:tabs>
        <w:ind w:right="-312"/>
        <w:jc w:val="both"/>
        <w:rPr>
          <w:rFonts w:ascii="Arial" w:hAnsi="Arial" w:cs="Arial"/>
          <w:sz w:val="22"/>
          <w:szCs w:val="22"/>
        </w:rPr>
      </w:pPr>
      <w:r>
        <w:rPr>
          <w:rFonts w:ascii="Arial" w:hAnsi="Arial" w:cs="Arial"/>
          <w:sz w:val="22"/>
          <w:szCs w:val="22"/>
        </w:rPr>
        <w:t xml:space="preserve">Within the parameters of the consultation paper, the Unit prefers all deductions to attract an uplift rate of the LTBR and therefore prefers Option 1 of the single uplift rate applying to expenditure that is transferred. </w:t>
      </w:r>
    </w:p>
    <w:p w:rsidR="00BD74FF" w:rsidRDefault="00BD74FF" w:rsidP="00BD74FF">
      <w:pPr>
        <w:tabs>
          <w:tab w:val="left" w:pos="6804"/>
          <w:tab w:val="left" w:pos="7598"/>
        </w:tabs>
        <w:ind w:right="-312"/>
        <w:jc w:val="both"/>
        <w:rPr>
          <w:rFonts w:ascii="Arial" w:hAnsi="Arial" w:cs="Arial"/>
          <w:sz w:val="22"/>
          <w:szCs w:val="22"/>
        </w:rPr>
      </w:pPr>
    </w:p>
    <w:p w:rsidR="002036C3" w:rsidRDefault="002036C3" w:rsidP="009D644B">
      <w:pPr>
        <w:tabs>
          <w:tab w:val="left" w:pos="6804"/>
          <w:tab w:val="left" w:pos="7598"/>
        </w:tabs>
        <w:ind w:right="-312"/>
        <w:jc w:val="both"/>
        <w:rPr>
          <w:rFonts w:ascii="Arial" w:hAnsi="Arial" w:cs="Arial"/>
          <w:sz w:val="22"/>
          <w:szCs w:val="22"/>
        </w:rPr>
      </w:pPr>
    </w:p>
    <w:p w:rsidR="00B230FD" w:rsidRDefault="00B230FD" w:rsidP="009D644B">
      <w:pPr>
        <w:tabs>
          <w:tab w:val="left" w:pos="6804"/>
          <w:tab w:val="left" w:pos="7598"/>
        </w:tabs>
        <w:ind w:right="-312"/>
        <w:jc w:val="both"/>
        <w:rPr>
          <w:rFonts w:ascii="Arial" w:hAnsi="Arial" w:cs="Arial"/>
          <w:sz w:val="22"/>
          <w:szCs w:val="22"/>
        </w:rPr>
      </w:pPr>
    </w:p>
    <w:p w:rsidR="000938FD" w:rsidRPr="0036597B" w:rsidRDefault="000938FD" w:rsidP="000938FD">
      <w:pPr>
        <w:rPr>
          <w:rFonts w:ascii="Arial" w:hAnsi="Arial" w:cs="Arial"/>
          <w:sz w:val="22"/>
          <w:szCs w:val="22"/>
        </w:rPr>
      </w:pPr>
      <w:r>
        <w:rPr>
          <w:rFonts w:ascii="Arial" w:hAnsi="Arial" w:cs="Arial"/>
          <w:sz w:val="22"/>
          <w:szCs w:val="22"/>
        </w:rPr>
        <w:t xml:space="preserve">Dr </w:t>
      </w:r>
      <w:r w:rsidRPr="0036597B">
        <w:rPr>
          <w:rFonts w:ascii="Arial" w:hAnsi="Arial" w:cs="Arial"/>
          <w:sz w:val="22"/>
          <w:szCs w:val="22"/>
        </w:rPr>
        <w:t>Mark Zirnsak</w:t>
      </w:r>
    </w:p>
    <w:p w:rsidR="000938FD" w:rsidRPr="0036597B" w:rsidRDefault="000938FD" w:rsidP="000938FD">
      <w:pPr>
        <w:rPr>
          <w:rFonts w:ascii="Arial" w:hAnsi="Arial" w:cs="Arial"/>
          <w:sz w:val="22"/>
          <w:szCs w:val="22"/>
        </w:rPr>
      </w:pPr>
      <w:r w:rsidRPr="0036597B">
        <w:rPr>
          <w:rFonts w:ascii="Arial" w:hAnsi="Arial" w:cs="Arial"/>
          <w:sz w:val="22"/>
          <w:szCs w:val="22"/>
        </w:rPr>
        <w:t xml:space="preserve">Director </w:t>
      </w:r>
    </w:p>
    <w:p w:rsidR="000938FD" w:rsidRDefault="000938FD" w:rsidP="000938FD">
      <w:pPr>
        <w:rPr>
          <w:rFonts w:ascii="Arial" w:hAnsi="Arial" w:cs="Arial"/>
          <w:sz w:val="22"/>
          <w:szCs w:val="22"/>
        </w:rPr>
      </w:pPr>
      <w:r w:rsidRPr="0036597B">
        <w:rPr>
          <w:rFonts w:ascii="Arial" w:hAnsi="Arial" w:cs="Arial"/>
          <w:sz w:val="22"/>
          <w:szCs w:val="22"/>
        </w:rPr>
        <w:t xml:space="preserve">Justice and International </w:t>
      </w:r>
      <w:smartTag w:uri="urn:schemas-microsoft-com:office:smarttags" w:element="place">
        <w:r w:rsidRPr="0036597B">
          <w:rPr>
            <w:rFonts w:ascii="Arial" w:hAnsi="Arial" w:cs="Arial"/>
            <w:sz w:val="22"/>
            <w:szCs w:val="22"/>
          </w:rPr>
          <w:t>Mission</w:t>
        </w:r>
      </w:smartTag>
      <w:r w:rsidRPr="0036597B">
        <w:rPr>
          <w:rFonts w:ascii="Arial" w:hAnsi="Arial" w:cs="Arial"/>
          <w:sz w:val="22"/>
          <w:szCs w:val="22"/>
        </w:rPr>
        <w:t xml:space="preserve"> Unit</w:t>
      </w:r>
    </w:p>
    <w:p w:rsidR="000938FD" w:rsidRDefault="000938FD" w:rsidP="000938FD">
      <w:pPr>
        <w:rPr>
          <w:rFonts w:ascii="Arial" w:hAnsi="Arial" w:cs="Arial"/>
          <w:sz w:val="22"/>
          <w:szCs w:val="22"/>
        </w:rPr>
      </w:pPr>
      <w:r>
        <w:rPr>
          <w:rFonts w:ascii="Arial" w:hAnsi="Arial" w:cs="Arial"/>
          <w:sz w:val="22"/>
          <w:szCs w:val="22"/>
        </w:rPr>
        <w:t>Synod of Victoria and Tasmania</w:t>
      </w:r>
    </w:p>
    <w:p w:rsidR="000938FD" w:rsidRDefault="000938FD" w:rsidP="000938FD">
      <w:pPr>
        <w:rPr>
          <w:rFonts w:ascii="Arial" w:hAnsi="Arial" w:cs="Arial"/>
          <w:sz w:val="22"/>
          <w:szCs w:val="22"/>
        </w:rPr>
      </w:pPr>
      <w:r>
        <w:rPr>
          <w:rFonts w:ascii="Arial" w:hAnsi="Arial" w:cs="Arial"/>
          <w:sz w:val="22"/>
          <w:szCs w:val="22"/>
        </w:rPr>
        <w:t>Uniting Church in Australia</w:t>
      </w:r>
    </w:p>
    <w:p w:rsidR="004A2ED4" w:rsidRDefault="000938FD" w:rsidP="008E3892">
      <w:pPr>
        <w:rPr>
          <w:rFonts w:ascii="Arial" w:hAnsi="Arial" w:cs="Arial"/>
          <w:sz w:val="22"/>
          <w:szCs w:val="22"/>
        </w:rPr>
      </w:pPr>
      <w:r>
        <w:rPr>
          <w:rFonts w:ascii="Arial" w:hAnsi="Arial" w:cs="Arial"/>
          <w:sz w:val="22"/>
          <w:szCs w:val="22"/>
        </w:rPr>
        <w:t>Phone: (03) 9251 5265</w:t>
      </w:r>
    </w:p>
    <w:p w:rsidR="00506379" w:rsidRDefault="00506379" w:rsidP="00097B59">
      <w:pPr>
        <w:jc w:val="both"/>
        <w:rPr>
          <w:rFonts w:ascii="Arial" w:hAnsi="Arial" w:cs="Arial"/>
          <w:sz w:val="22"/>
          <w:szCs w:val="22"/>
        </w:rPr>
      </w:pPr>
    </w:p>
    <w:p w:rsidR="00506379" w:rsidRDefault="00506379" w:rsidP="00097B59">
      <w:pPr>
        <w:jc w:val="both"/>
        <w:rPr>
          <w:rFonts w:ascii="Arial" w:hAnsi="Arial" w:cs="Arial"/>
          <w:sz w:val="22"/>
          <w:szCs w:val="22"/>
        </w:rPr>
      </w:pPr>
    </w:p>
    <w:p w:rsidR="004A2ED4" w:rsidRDefault="004A2ED4" w:rsidP="00921C8B">
      <w:pPr>
        <w:jc w:val="both"/>
        <w:rPr>
          <w:rFonts w:ascii="Arial" w:hAnsi="Arial" w:cs="Arial"/>
          <w:sz w:val="22"/>
          <w:szCs w:val="22"/>
        </w:rPr>
      </w:pPr>
    </w:p>
    <w:sectPr w:rsidR="004A2ED4" w:rsidSect="002036C3">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66CD" w:rsidRDefault="006666CD" w:rsidP="00097B59">
      <w:r>
        <w:separator/>
      </w:r>
    </w:p>
  </w:endnote>
  <w:endnote w:type="continuationSeparator" w:id="0">
    <w:p w:rsidR="006666CD" w:rsidRDefault="006666CD" w:rsidP="0009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A4" w:rsidRDefault="00D77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065632"/>
      <w:docPartObj>
        <w:docPartGallery w:val="Page Numbers (Bottom of Page)"/>
        <w:docPartUnique/>
      </w:docPartObj>
    </w:sdtPr>
    <w:sdtEndPr>
      <w:rPr>
        <w:noProof/>
      </w:rPr>
    </w:sdtEndPr>
    <w:sdtContent>
      <w:p w:rsidR="00024013" w:rsidRDefault="00024013">
        <w:pPr>
          <w:pStyle w:val="Footer"/>
          <w:jc w:val="center"/>
        </w:pPr>
        <w:r>
          <w:fldChar w:fldCharType="begin"/>
        </w:r>
        <w:r>
          <w:instrText xml:space="preserve"> PAGE   \* MERGEFORMAT </w:instrText>
        </w:r>
        <w:r>
          <w:fldChar w:fldCharType="separate"/>
        </w:r>
        <w:r w:rsidR="00D776A4">
          <w:rPr>
            <w:noProof/>
          </w:rPr>
          <w:t>2</w:t>
        </w:r>
        <w:r>
          <w:rPr>
            <w:noProof/>
          </w:rPr>
          <w:fldChar w:fldCharType="end"/>
        </w:r>
      </w:p>
    </w:sdtContent>
  </w:sdt>
  <w:p w:rsidR="00024013" w:rsidRDefault="000240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A4" w:rsidRDefault="00D77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66CD" w:rsidRDefault="006666CD" w:rsidP="00097B59">
      <w:r>
        <w:separator/>
      </w:r>
    </w:p>
  </w:footnote>
  <w:footnote w:type="continuationSeparator" w:id="0">
    <w:p w:rsidR="006666CD" w:rsidRDefault="006666CD" w:rsidP="00097B59">
      <w:r>
        <w:continuationSeparator/>
      </w:r>
    </w:p>
  </w:footnote>
  <w:footnote w:id="1">
    <w:p w:rsidR="002A4405" w:rsidRDefault="002A4405">
      <w:pPr>
        <w:pStyle w:val="FootnoteText"/>
      </w:pPr>
      <w:r>
        <w:rPr>
          <w:rStyle w:val="FootnoteReference"/>
        </w:rPr>
        <w:footnoteRef/>
      </w:r>
      <w:r>
        <w:t xml:space="preserve"> ‘Petroleum Resource Rent Tax Review’, Australian Government, 13 April 2017, 175-176.</w:t>
      </w:r>
    </w:p>
  </w:footnote>
  <w:footnote w:id="2">
    <w:p w:rsidR="00BD74FF" w:rsidRPr="00CE1E7F" w:rsidRDefault="00BD74FF">
      <w:pPr>
        <w:pStyle w:val="FootnoteText"/>
        <w:rPr>
          <w:rFonts w:ascii="Arial" w:hAnsi="Arial" w:cs="Arial"/>
        </w:rPr>
      </w:pPr>
      <w:r w:rsidRPr="00CE1E7F">
        <w:rPr>
          <w:rStyle w:val="FootnoteReference"/>
          <w:rFonts w:ascii="Arial" w:hAnsi="Arial" w:cs="Arial"/>
        </w:rPr>
        <w:footnoteRef/>
      </w:r>
      <w:r w:rsidRPr="00CE1E7F">
        <w:rPr>
          <w:rFonts w:ascii="Arial" w:hAnsi="Arial" w:cs="Arial"/>
        </w:rPr>
        <w:t xml:space="preserve"> International Energy Agency, ‘World Energy Outlook 2016. Executive Summary’, Paris, France, November 2016, p. 1.</w:t>
      </w:r>
    </w:p>
  </w:footnote>
  <w:footnote w:id="3">
    <w:p w:rsidR="00BD74FF" w:rsidRPr="00CE1E7F" w:rsidRDefault="00BD74FF">
      <w:pPr>
        <w:pStyle w:val="FootnoteText"/>
        <w:rPr>
          <w:rFonts w:ascii="Arial" w:hAnsi="Arial" w:cs="Arial"/>
        </w:rPr>
      </w:pPr>
      <w:r w:rsidRPr="00CE1E7F">
        <w:rPr>
          <w:rStyle w:val="FootnoteReference"/>
          <w:rFonts w:ascii="Arial" w:hAnsi="Arial" w:cs="Arial"/>
        </w:rPr>
        <w:footnoteRef/>
      </w:r>
      <w:r w:rsidRPr="00CE1E7F">
        <w:rPr>
          <w:rFonts w:ascii="Arial" w:hAnsi="Arial" w:cs="Arial"/>
        </w:rPr>
        <w:t xml:space="preserve"> International Energy Agency, ‘World Energy Outlook 2016. Executive Summary’, Paris, France, November 2016, p. 5.</w:t>
      </w:r>
    </w:p>
  </w:footnote>
  <w:footnote w:id="4">
    <w:p w:rsidR="00BD74FF" w:rsidRPr="00CE1E7F" w:rsidRDefault="00BD74FF">
      <w:pPr>
        <w:pStyle w:val="FootnoteText"/>
        <w:rPr>
          <w:rFonts w:ascii="Arial" w:hAnsi="Arial" w:cs="Arial"/>
        </w:rPr>
      </w:pPr>
      <w:r w:rsidRPr="00CE1E7F">
        <w:rPr>
          <w:rStyle w:val="FootnoteReference"/>
          <w:rFonts w:ascii="Arial" w:hAnsi="Arial" w:cs="Arial"/>
        </w:rPr>
        <w:footnoteRef/>
      </w:r>
      <w:r w:rsidRPr="00CE1E7F">
        <w:rPr>
          <w:rFonts w:ascii="Arial" w:hAnsi="Arial" w:cs="Arial"/>
        </w:rPr>
        <w:t xml:space="preserve"> International Energy Agency, ‘World Energy Outlook 2016. Executive Summary’, Paris, France, November 2016, p. 7.</w:t>
      </w:r>
    </w:p>
  </w:footnote>
  <w:footnote w:id="5">
    <w:p w:rsidR="00BD74FF" w:rsidRPr="00CE1E7F" w:rsidRDefault="00BD74FF">
      <w:pPr>
        <w:pStyle w:val="FootnoteText"/>
        <w:rPr>
          <w:rFonts w:ascii="Arial" w:hAnsi="Arial" w:cs="Arial"/>
        </w:rPr>
      </w:pPr>
      <w:r w:rsidRPr="00CE1E7F">
        <w:rPr>
          <w:rStyle w:val="FootnoteReference"/>
          <w:rFonts w:ascii="Arial" w:hAnsi="Arial" w:cs="Arial"/>
        </w:rPr>
        <w:footnoteRef/>
      </w:r>
      <w:r w:rsidRPr="00CE1E7F">
        <w:rPr>
          <w:rFonts w:ascii="Arial" w:hAnsi="Arial" w:cs="Arial"/>
        </w:rPr>
        <w:t xml:space="preserve"> International Energy Agency, ‘World Energy Outlook 2016. Executive Summary’, Paris, France, November 2016, p. 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A4" w:rsidRDefault="00D776A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A4" w:rsidRDefault="00D776A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76A4" w:rsidRDefault="00D776A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D6A"/>
    <w:multiLevelType w:val="hybridMultilevel"/>
    <w:tmpl w:val="1F24EFD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
    <w:nsid w:val="14262251"/>
    <w:multiLevelType w:val="hybridMultilevel"/>
    <w:tmpl w:val="5F0E0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4A956EC"/>
    <w:multiLevelType w:val="hybridMultilevel"/>
    <w:tmpl w:val="DCBCC72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nsid w:val="2B1E51F8"/>
    <w:multiLevelType w:val="hybridMultilevel"/>
    <w:tmpl w:val="9E0CD6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375047FF"/>
    <w:multiLevelType w:val="hybridMultilevel"/>
    <w:tmpl w:val="6F78DA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3B237691"/>
    <w:multiLevelType w:val="hybridMultilevel"/>
    <w:tmpl w:val="C3985A2E"/>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6">
    <w:nsid w:val="3DE25503"/>
    <w:multiLevelType w:val="hybridMultilevel"/>
    <w:tmpl w:val="28E89D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438D41D8"/>
    <w:multiLevelType w:val="hybridMultilevel"/>
    <w:tmpl w:val="9EDA896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nsid w:val="4B5241D8"/>
    <w:multiLevelType w:val="hybridMultilevel"/>
    <w:tmpl w:val="1382BA64"/>
    <w:lvl w:ilvl="0" w:tplc="0409000F">
      <w:start w:val="1"/>
      <w:numFmt w:val="decimal"/>
      <w:lvlText w:val="%1."/>
      <w:lvlJc w:val="left"/>
      <w:pPr>
        <w:tabs>
          <w:tab w:val="num" w:pos="720"/>
        </w:tabs>
        <w:ind w:left="720" w:hanging="360"/>
      </w:pPr>
      <w:rPr>
        <w:rFonts w:hint="default"/>
      </w:rPr>
    </w:lvl>
    <w:lvl w:ilvl="1" w:tplc="36105426">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B606DB7"/>
    <w:multiLevelType w:val="hybridMultilevel"/>
    <w:tmpl w:val="1D4C71C6"/>
    <w:lvl w:ilvl="0" w:tplc="0C09000F">
      <w:start w:val="4"/>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4E3B74BB"/>
    <w:multiLevelType w:val="hybridMultilevel"/>
    <w:tmpl w:val="08CA9FC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nsid w:val="4E943F88"/>
    <w:multiLevelType w:val="hybridMultilevel"/>
    <w:tmpl w:val="D3BEAE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nsid w:val="508B1909"/>
    <w:multiLevelType w:val="hybridMultilevel"/>
    <w:tmpl w:val="221E408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nsid w:val="60F9088F"/>
    <w:multiLevelType w:val="hybridMultilevel"/>
    <w:tmpl w:val="F2A08F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nsid w:val="63E62BFE"/>
    <w:multiLevelType w:val="hybridMultilevel"/>
    <w:tmpl w:val="C7A2186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5">
    <w:nsid w:val="68AC638B"/>
    <w:multiLevelType w:val="hybridMultilevel"/>
    <w:tmpl w:val="465EF23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6">
    <w:nsid w:val="70B8170A"/>
    <w:multiLevelType w:val="hybridMultilevel"/>
    <w:tmpl w:val="201E8BE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7">
    <w:nsid w:val="710811FA"/>
    <w:multiLevelType w:val="hybridMultilevel"/>
    <w:tmpl w:val="D01AF79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nsid w:val="73C34799"/>
    <w:multiLevelType w:val="multilevel"/>
    <w:tmpl w:val="35601CD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440"/>
        </w:tabs>
        <w:ind w:left="1440" w:hanging="108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nsid w:val="7C517F41"/>
    <w:multiLevelType w:val="hybridMultilevel"/>
    <w:tmpl w:val="F486398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9"/>
  </w:num>
  <w:num w:numId="2">
    <w:abstractNumId w:val="17"/>
  </w:num>
  <w:num w:numId="3">
    <w:abstractNumId w:val="0"/>
  </w:num>
  <w:num w:numId="4">
    <w:abstractNumId w:val="2"/>
  </w:num>
  <w:num w:numId="5">
    <w:abstractNumId w:val="5"/>
  </w:num>
  <w:num w:numId="6">
    <w:abstractNumId w:val="7"/>
  </w:num>
  <w:num w:numId="7">
    <w:abstractNumId w:val="16"/>
  </w:num>
  <w:num w:numId="8">
    <w:abstractNumId w:val="10"/>
  </w:num>
  <w:num w:numId="9">
    <w:abstractNumId w:val="1"/>
  </w:num>
  <w:num w:numId="10">
    <w:abstractNumId w:val="12"/>
  </w:num>
  <w:num w:numId="11">
    <w:abstractNumId w:val="15"/>
  </w:num>
  <w:num w:numId="12">
    <w:abstractNumId w:val="13"/>
  </w:num>
  <w:num w:numId="13">
    <w:abstractNumId w:val="13"/>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8"/>
  </w:num>
  <w:num w:numId="17">
    <w:abstractNumId w:val="14"/>
  </w:num>
  <w:num w:numId="18">
    <w:abstractNumId w:val="4"/>
  </w:num>
  <w:num w:numId="19">
    <w:abstractNumId w:val="6"/>
  </w:num>
  <w:num w:numId="20">
    <w:abstractNumId w:val="3"/>
  </w:num>
  <w:num w:numId="21">
    <w:abstractNumId w:val="1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7B59"/>
    <w:rsid w:val="000113E2"/>
    <w:rsid w:val="00024013"/>
    <w:rsid w:val="00063A16"/>
    <w:rsid w:val="000938FD"/>
    <w:rsid w:val="00097B59"/>
    <w:rsid w:val="000C0C00"/>
    <w:rsid w:val="000C7209"/>
    <w:rsid w:val="000D08F1"/>
    <w:rsid w:val="000E5883"/>
    <w:rsid w:val="00101384"/>
    <w:rsid w:val="001074F5"/>
    <w:rsid w:val="001430D8"/>
    <w:rsid w:val="00177F88"/>
    <w:rsid w:val="0019573A"/>
    <w:rsid w:val="001B0ECE"/>
    <w:rsid w:val="001C4D77"/>
    <w:rsid w:val="001C5936"/>
    <w:rsid w:val="001F4025"/>
    <w:rsid w:val="002036C3"/>
    <w:rsid w:val="0021092E"/>
    <w:rsid w:val="002437C9"/>
    <w:rsid w:val="00267BF8"/>
    <w:rsid w:val="002809DE"/>
    <w:rsid w:val="00285F84"/>
    <w:rsid w:val="002A4405"/>
    <w:rsid w:val="002C7EBE"/>
    <w:rsid w:val="00325BBE"/>
    <w:rsid w:val="00345744"/>
    <w:rsid w:val="0036373E"/>
    <w:rsid w:val="0037667E"/>
    <w:rsid w:val="00387A19"/>
    <w:rsid w:val="00393B11"/>
    <w:rsid w:val="003A2630"/>
    <w:rsid w:val="003C48A9"/>
    <w:rsid w:val="003E0521"/>
    <w:rsid w:val="003E5014"/>
    <w:rsid w:val="00416604"/>
    <w:rsid w:val="004A2ED4"/>
    <w:rsid w:val="004C2256"/>
    <w:rsid w:val="004D40A6"/>
    <w:rsid w:val="004E3F14"/>
    <w:rsid w:val="00506379"/>
    <w:rsid w:val="005579A8"/>
    <w:rsid w:val="00583FCC"/>
    <w:rsid w:val="005B28A2"/>
    <w:rsid w:val="005D24E0"/>
    <w:rsid w:val="005D31C3"/>
    <w:rsid w:val="005E4A3B"/>
    <w:rsid w:val="0062472B"/>
    <w:rsid w:val="006268EC"/>
    <w:rsid w:val="00634AD7"/>
    <w:rsid w:val="0065357E"/>
    <w:rsid w:val="00662F6B"/>
    <w:rsid w:val="006666CD"/>
    <w:rsid w:val="00685F3A"/>
    <w:rsid w:val="0069138E"/>
    <w:rsid w:val="006A2ED1"/>
    <w:rsid w:val="006A6F6B"/>
    <w:rsid w:val="006E233C"/>
    <w:rsid w:val="006E304B"/>
    <w:rsid w:val="006F62C5"/>
    <w:rsid w:val="00703C77"/>
    <w:rsid w:val="00752163"/>
    <w:rsid w:val="0076649C"/>
    <w:rsid w:val="007A1B25"/>
    <w:rsid w:val="007F4F63"/>
    <w:rsid w:val="0083615F"/>
    <w:rsid w:val="00847BBF"/>
    <w:rsid w:val="00861DEF"/>
    <w:rsid w:val="008817DB"/>
    <w:rsid w:val="00884939"/>
    <w:rsid w:val="008A6F2C"/>
    <w:rsid w:val="008B0DD9"/>
    <w:rsid w:val="008C17C1"/>
    <w:rsid w:val="008D0E3E"/>
    <w:rsid w:val="008D746F"/>
    <w:rsid w:val="008E3892"/>
    <w:rsid w:val="00901D34"/>
    <w:rsid w:val="009103A3"/>
    <w:rsid w:val="00914874"/>
    <w:rsid w:val="00921C8B"/>
    <w:rsid w:val="00923D06"/>
    <w:rsid w:val="009349C2"/>
    <w:rsid w:val="00960938"/>
    <w:rsid w:val="0096621D"/>
    <w:rsid w:val="009751D8"/>
    <w:rsid w:val="00995D13"/>
    <w:rsid w:val="009B0B13"/>
    <w:rsid w:val="009C0964"/>
    <w:rsid w:val="009D644B"/>
    <w:rsid w:val="009E53CC"/>
    <w:rsid w:val="009F07E5"/>
    <w:rsid w:val="009F33B3"/>
    <w:rsid w:val="00A06ECE"/>
    <w:rsid w:val="00A107C8"/>
    <w:rsid w:val="00A15CD3"/>
    <w:rsid w:val="00A30C0D"/>
    <w:rsid w:val="00A816C7"/>
    <w:rsid w:val="00A87F79"/>
    <w:rsid w:val="00A97AC8"/>
    <w:rsid w:val="00AA3BEA"/>
    <w:rsid w:val="00AB7463"/>
    <w:rsid w:val="00AC50EA"/>
    <w:rsid w:val="00AC6103"/>
    <w:rsid w:val="00AC7CB1"/>
    <w:rsid w:val="00AD5AD6"/>
    <w:rsid w:val="00AE201A"/>
    <w:rsid w:val="00B00E58"/>
    <w:rsid w:val="00B0502E"/>
    <w:rsid w:val="00B230FD"/>
    <w:rsid w:val="00B310AB"/>
    <w:rsid w:val="00BC008D"/>
    <w:rsid w:val="00BD74FF"/>
    <w:rsid w:val="00BF4A2E"/>
    <w:rsid w:val="00C0184D"/>
    <w:rsid w:val="00C01A16"/>
    <w:rsid w:val="00C04FD2"/>
    <w:rsid w:val="00C34D72"/>
    <w:rsid w:val="00C55ACD"/>
    <w:rsid w:val="00C67D9E"/>
    <w:rsid w:val="00C92684"/>
    <w:rsid w:val="00C9341C"/>
    <w:rsid w:val="00CB2AE4"/>
    <w:rsid w:val="00CC7DEF"/>
    <w:rsid w:val="00CD6640"/>
    <w:rsid w:val="00CE1E7F"/>
    <w:rsid w:val="00CE2417"/>
    <w:rsid w:val="00D01B70"/>
    <w:rsid w:val="00D54512"/>
    <w:rsid w:val="00D73DED"/>
    <w:rsid w:val="00D74099"/>
    <w:rsid w:val="00D776A4"/>
    <w:rsid w:val="00D92AFA"/>
    <w:rsid w:val="00D938C4"/>
    <w:rsid w:val="00DD01BD"/>
    <w:rsid w:val="00DE051A"/>
    <w:rsid w:val="00DE4329"/>
    <w:rsid w:val="00DF1C69"/>
    <w:rsid w:val="00E025AE"/>
    <w:rsid w:val="00E115BF"/>
    <w:rsid w:val="00E140DD"/>
    <w:rsid w:val="00E53B3D"/>
    <w:rsid w:val="00EA0824"/>
    <w:rsid w:val="00EB48B7"/>
    <w:rsid w:val="00EE0090"/>
    <w:rsid w:val="00EE63BB"/>
    <w:rsid w:val="00EF2217"/>
    <w:rsid w:val="00F001B9"/>
    <w:rsid w:val="00F058BE"/>
    <w:rsid w:val="00F74D6F"/>
    <w:rsid w:val="00F84A71"/>
    <w:rsid w:val="00F9054F"/>
    <w:rsid w:val="00FA0CFB"/>
    <w:rsid w:val="00FB1661"/>
    <w:rsid w:val="00FE5D2F"/>
    <w:rsid w:val="00FE66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59"/>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FA0C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7B59"/>
    <w:rPr>
      <w:color w:val="0000FF"/>
      <w:u w:val="single"/>
    </w:rPr>
  </w:style>
  <w:style w:type="paragraph" w:styleId="FootnoteText">
    <w:name w:val="footnote text"/>
    <w:basedOn w:val="Normal"/>
    <w:link w:val="FootnoteTextChar"/>
    <w:uiPriority w:val="99"/>
    <w:semiHidden/>
    <w:rsid w:val="00097B59"/>
    <w:rPr>
      <w:sz w:val="20"/>
      <w:szCs w:val="20"/>
    </w:rPr>
  </w:style>
  <w:style w:type="character" w:customStyle="1" w:styleId="FootnoteTextChar">
    <w:name w:val="Footnote Text Char"/>
    <w:basedOn w:val="DefaultParagraphFont"/>
    <w:link w:val="FootnoteText"/>
    <w:uiPriority w:val="99"/>
    <w:semiHidden/>
    <w:rsid w:val="00097B59"/>
    <w:rPr>
      <w:rFonts w:ascii="Times New Roman" w:eastAsia="Times New Roman" w:hAnsi="Times New Roman" w:cs="Times New Roman"/>
      <w:sz w:val="20"/>
      <w:szCs w:val="20"/>
      <w:lang w:eastAsia="en-AU"/>
    </w:rPr>
  </w:style>
  <w:style w:type="character" w:styleId="FootnoteReference">
    <w:name w:val="footnote reference"/>
    <w:uiPriority w:val="99"/>
    <w:semiHidden/>
    <w:rsid w:val="00097B59"/>
    <w:rPr>
      <w:vertAlign w:val="superscript"/>
    </w:rPr>
  </w:style>
  <w:style w:type="character" w:customStyle="1" w:styleId="hps-normal1">
    <w:name w:val="hps-normal1"/>
    <w:rsid w:val="00097B59"/>
  </w:style>
  <w:style w:type="character" w:customStyle="1" w:styleId="Heading3Char">
    <w:name w:val="Heading 3 Char"/>
    <w:basedOn w:val="DefaultParagraphFont"/>
    <w:link w:val="Heading3"/>
    <w:rsid w:val="00FA0CFB"/>
    <w:rPr>
      <w:rFonts w:ascii="Arial" w:eastAsia="Times New Roman" w:hAnsi="Arial" w:cs="Arial"/>
      <w:b/>
      <w:bCs/>
      <w:sz w:val="26"/>
      <w:szCs w:val="26"/>
      <w:lang w:eastAsia="en-AU"/>
    </w:rPr>
  </w:style>
  <w:style w:type="paragraph" w:styleId="ListParagraph">
    <w:name w:val="List Paragraph"/>
    <w:basedOn w:val="Normal"/>
    <w:uiPriority w:val="34"/>
    <w:qFormat/>
    <w:rsid w:val="00AA3BEA"/>
    <w:pPr>
      <w:ind w:left="720"/>
      <w:contextualSpacing/>
    </w:pPr>
  </w:style>
  <w:style w:type="paragraph" w:styleId="Header">
    <w:name w:val="header"/>
    <w:basedOn w:val="Normal"/>
    <w:link w:val="HeaderChar"/>
    <w:uiPriority w:val="99"/>
    <w:unhideWhenUsed/>
    <w:rsid w:val="00024013"/>
    <w:pPr>
      <w:tabs>
        <w:tab w:val="center" w:pos="4513"/>
        <w:tab w:val="right" w:pos="9026"/>
      </w:tabs>
    </w:pPr>
  </w:style>
  <w:style w:type="character" w:customStyle="1" w:styleId="HeaderChar">
    <w:name w:val="Header Char"/>
    <w:basedOn w:val="DefaultParagraphFont"/>
    <w:link w:val="Header"/>
    <w:uiPriority w:val="99"/>
    <w:rsid w:val="0002401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24013"/>
    <w:pPr>
      <w:tabs>
        <w:tab w:val="center" w:pos="4513"/>
        <w:tab w:val="right" w:pos="9026"/>
      </w:tabs>
    </w:pPr>
  </w:style>
  <w:style w:type="character" w:customStyle="1" w:styleId="FooterChar">
    <w:name w:val="Footer Char"/>
    <w:basedOn w:val="DefaultParagraphFont"/>
    <w:link w:val="Footer"/>
    <w:uiPriority w:val="99"/>
    <w:rsid w:val="00024013"/>
    <w:rPr>
      <w:rFonts w:ascii="Times New Roman" w:eastAsia="Times New Roman" w:hAnsi="Times New Roman" w:cs="Times New Roman"/>
      <w:sz w:val="24"/>
      <w:szCs w:val="24"/>
      <w:lang w:eastAsia="en-AU"/>
    </w:rPr>
  </w:style>
  <w:style w:type="table" w:styleId="TableGrid">
    <w:name w:val="Table Grid"/>
    <w:basedOn w:val="TableNormal"/>
    <w:rsid w:val="009C0964"/>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C8B"/>
    <w:rPr>
      <w:rFonts w:ascii="Tahoma" w:hAnsi="Tahoma" w:cs="Tahoma"/>
      <w:sz w:val="16"/>
      <w:szCs w:val="16"/>
    </w:rPr>
  </w:style>
  <w:style w:type="character" w:customStyle="1" w:styleId="BalloonTextChar">
    <w:name w:val="Balloon Text Char"/>
    <w:basedOn w:val="DefaultParagraphFont"/>
    <w:link w:val="BalloonText"/>
    <w:uiPriority w:val="99"/>
    <w:semiHidden/>
    <w:rsid w:val="00921C8B"/>
    <w:rPr>
      <w:rFonts w:ascii="Tahoma" w:eastAsia="Times New Roman" w:hAnsi="Tahoma" w:cs="Tahoma"/>
      <w:sz w:val="16"/>
      <w:szCs w:val="16"/>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7B59"/>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next w:val="Normal"/>
    <w:link w:val="Heading3Char"/>
    <w:qFormat/>
    <w:rsid w:val="00FA0CFB"/>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97B59"/>
    <w:rPr>
      <w:color w:val="0000FF"/>
      <w:u w:val="single"/>
    </w:rPr>
  </w:style>
  <w:style w:type="paragraph" w:styleId="FootnoteText">
    <w:name w:val="footnote text"/>
    <w:basedOn w:val="Normal"/>
    <w:link w:val="FootnoteTextChar"/>
    <w:uiPriority w:val="99"/>
    <w:semiHidden/>
    <w:rsid w:val="00097B59"/>
    <w:rPr>
      <w:sz w:val="20"/>
      <w:szCs w:val="20"/>
    </w:rPr>
  </w:style>
  <w:style w:type="character" w:customStyle="1" w:styleId="FootnoteTextChar">
    <w:name w:val="Footnote Text Char"/>
    <w:basedOn w:val="DefaultParagraphFont"/>
    <w:link w:val="FootnoteText"/>
    <w:uiPriority w:val="99"/>
    <w:semiHidden/>
    <w:rsid w:val="00097B59"/>
    <w:rPr>
      <w:rFonts w:ascii="Times New Roman" w:eastAsia="Times New Roman" w:hAnsi="Times New Roman" w:cs="Times New Roman"/>
      <w:sz w:val="20"/>
      <w:szCs w:val="20"/>
      <w:lang w:eastAsia="en-AU"/>
    </w:rPr>
  </w:style>
  <w:style w:type="character" w:styleId="FootnoteReference">
    <w:name w:val="footnote reference"/>
    <w:uiPriority w:val="99"/>
    <w:semiHidden/>
    <w:rsid w:val="00097B59"/>
    <w:rPr>
      <w:vertAlign w:val="superscript"/>
    </w:rPr>
  </w:style>
  <w:style w:type="character" w:customStyle="1" w:styleId="hps-normal1">
    <w:name w:val="hps-normal1"/>
    <w:rsid w:val="00097B59"/>
  </w:style>
  <w:style w:type="character" w:customStyle="1" w:styleId="Heading3Char">
    <w:name w:val="Heading 3 Char"/>
    <w:basedOn w:val="DefaultParagraphFont"/>
    <w:link w:val="Heading3"/>
    <w:rsid w:val="00FA0CFB"/>
    <w:rPr>
      <w:rFonts w:ascii="Arial" w:eastAsia="Times New Roman" w:hAnsi="Arial" w:cs="Arial"/>
      <w:b/>
      <w:bCs/>
      <w:sz w:val="26"/>
      <w:szCs w:val="26"/>
      <w:lang w:eastAsia="en-AU"/>
    </w:rPr>
  </w:style>
  <w:style w:type="paragraph" w:styleId="ListParagraph">
    <w:name w:val="List Paragraph"/>
    <w:basedOn w:val="Normal"/>
    <w:uiPriority w:val="34"/>
    <w:qFormat/>
    <w:rsid w:val="00AA3BEA"/>
    <w:pPr>
      <w:ind w:left="720"/>
      <w:contextualSpacing/>
    </w:pPr>
  </w:style>
  <w:style w:type="paragraph" w:styleId="Header">
    <w:name w:val="header"/>
    <w:basedOn w:val="Normal"/>
    <w:link w:val="HeaderChar"/>
    <w:uiPriority w:val="99"/>
    <w:unhideWhenUsed/>
    <w:rsid w:val="00024013"/>
    <w:pPr>
      <w:tabs>
        <w:tab w:val="center" w:pos="4513"/>
        <w:tab w:val="right" w:pos="9026"/>
      </w:tabs>
    </w:pPr>
  </w:style>
  <w:style w:type="character" w:customStyle="1" w:styleId="HeaderChar">
    <w:name w:val="Header Char"/>
    <w:basedOn w:val="DefaultParagraphFont"/>
    <w:link w:val="Header"/>
    <w:uiPriority w:val="99"/>
    <w:rsid w:val="00024013"/>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024013"/>
    <w:pPr>
      <w:tabs>
        <w:tab w:val="center" w:pos="4513"/>
        <w:tab w:val="right" w:pos="9026"/>
      </w:tabs>
    </w:pPr>
  </w:style>
  <w:style w:type="character" w:customStyle="1" w:styleId="FooterChar">
    <w:name w:val="Footer Char"/>
    <w:basedOn w:val="DefaultParagraphFont"/>
    <w:link w:val="Footer"/>
    <w:uiPriority w:val="99"/>
    <w:rsid w:val="00024013"/>
    <w:rPr>
      <w:rFonts w:ascii="Times New Roman" w:eastAsia="Times New Roman" w:hAnsi="Times New Roman" w:cs="Times New Roman"/>
      <w:sz w:val="24"/>
      <w:szCs w:val="24"/>
      <w:lang w:eastAsia="en-AU"/>
    </w:rPr>
  </w:style>
  <w:style w:type="table" w:styleId="TableGrid">
    <w:name w:val="Table Grid"/>
    <w:basedOn w:val="TableNormal"/>
    <w:rsid w:val="009C0964"/>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21C8B"/>
    <w:rPr>
      <w:rFonts w:ascii="Tahoma" w:hAnsi="Tahoma" w:cs="Tahoma"/>
      <w:sz w:val="16"/>
      <w:szCs w:val="16"/>
    </w:rPr>
  </w:style>
  <w:style w:type="character" w:customStyle="1" w:styleId="BalloonTextChar">
    <w:name w:val="Balloon Text Char"/>
    <w:basedOn w:val="DefaultParagraphFont"/>
    <w:link w:val="BalloonText"/>
    <w:uiPriority w:val="99"/>
    <w:semiHidden/>
    <w:rsid w:val="00921C8B"/>
    <w:rPr>
      <w:rFonts w:ascii="Tahoma" w:eastAsia="Times New Roman" w:hAnsi="Tahoma" w:cs="Tahoma"/>
      <w:sz w:val="16"/>
      <w:szCs w:val="1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11455">
      <w:bodyDiv w:val="1"/>
      <w:marLeft w:val="0"/>
      <w:marRight w:val="0"/>
      <w:marTop w:val="0"/>
      <w:marBottom w:val="0"/>
      <w:divBdr>
        <w:top w:val="none" w:sz="0" w:space="0" w:color="auto"/>
        <w:left w:val="none" w:sz="0" w:space="0" w:color="auto"/>
        <w:bottom w:val="none" w:sz="0" w:space="0" w:color="auto"/>
        <w:right w:val="none" w:sz="0" w:space="0" w:color="auto"/>
      </w:divBdr>
    </w:div>
    <w:div w:id="1391344957">
      <w:bodyDiv w:val="1"/>
      <w:marLeft w:val="0"/>
      <w:marRight w:val="0"/>
      <w:marTop w:val="0"/>
      <w:marBottom w:val="0"/>
      <w:divBdr>
        <w:top w:val="none" w:sz="0" w:space="0" w:color="auto"/>
        <w:left w:val="none" w:sz="0" w:space="0" w:color="auto"/>
        <w:bottom w:val="none" w:sz="0" w:space="0" w:color="auto"/>
        <w:right w:val="none" w:sz="0" w:space="0" w:color="auto"/>
      </w:divBdr>
    </w:div>
    <w:div w:id="192926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7178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2017-08-16T02:25:00Z</dcterms:created>
  <dcterms:modified xsi:type="dcterms:W3CDTF">2017-08-16T02:25:00Z</dcterms:modified>
</cp:coreProperties>
</file>