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BD" w:rsidRDefault="00B76BBD" w:rsidP="00DB5D34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BBD">
        <w:t>PO</w:t>
      </w:r>
      <w:r>
        <w:t xml:space="preserve"> Box 3150</w:t>
      </w:r>
    </w:p>
    <w:p w:rsidR="00B76BBD" w:rsidRDefault="00B76BBD" w:rsidP="00DB5D3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Weston Creek, ACT 2611</w:t>
      </w:r>
    </w:p>
    <w:p w:rsidR="00B90311" w:rsidRDefault="00B90311" w:rsidP="00DB5D34">
      <w:pPr>
        <w:spacing w:after="0"/>
      </w:pPr>
    </w:p>
    <w:p w:rsidR="00B76BBD" w:rsidRDefault="00B76BBD" w:rsidP="00DB5D3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657107">
        <w:t>8</w:t>
      </w:r>
      <w:r>
        <w:t xml:space="preserve"> July 2017</w:t>
      </w:r>
    </w:p>
    <w:p w:rsidR="00DB5D34" w:rsidRDefault="00DB5D34" w:rsidP="00DB5D34">
      <w:pPr>
        <w:spacing w:after="0"/>
      </w:pPr>
      <w:bookmarkStart w:id="0" w:name="_GoBack"/>
      <w:bookmarkEnd w:id="0"/>
    </w:p>
    <w:p w:rsidR="00B76BBD" w:rsidRDefault="00B76BBD" w:rsidP="00DB5D34">
      <w:pPr>
        <w:spacing w:after="0"/>
      </w:pPr>
      <w:r>
        <w:t>Manager</w:t>
      </w:r>
    </w:p>
    <w:p w:rsidR="00B76BBD" w:rsidRDefault="00B76BBD" w:rsidP="00DB5D34">
      <w:pPr>
        <w:spacing w:after="0"/>
      </w:pPr>
      <w:r>
        <w:t>Large Corporates Unit</w:t>
      </w:r>
    </w:p>
    <w:p w:rsidR="00B76BBD" w:rsidRDefault="00B76BBD" w:rsidP="00DB5D34">
      <w:pPr>
        <w:spacing w:after="0"/>
      </w:pPr>
      <w:r>
        <w:t>Corporate and International Tax Division</w:t>
      </w:r>
    </w:p>
    <w:p w:rsidR="00B76BBD" w:rsidRDefault="00B76BBD" w:rsidP="00DB5D34">
      <w:pPr>
        <w:spacing w:after="0"/>
      </w:pPr>
      <w:r>
        <w:t>The Treasury</w:t>
      </w:r>
    </w:p>
    <w:p w:rsidR="00B76BBD" w:rsidRDefault="00B76BBD" w:rsidP="00DB5D34">
      <w:pPr>
        <w:spacing w:after="0"/>
      </w:pPr>
      <w:r>
        <w:t>Langton Crescent</w:t>
      </w:r>
    </w:p>
    <w:p w:rsidR="00B76BBD" w:rsidRDefault="00B76BBD" w:rsidP="00DB5D34">
      <w:pPr>
        <w:spacing w:after="0"/>
      </w:pPr>
      <w:r>
        <w:t>PARKES ACT 2600</w:t>
      </w:r>
    </w:p>
    <w:p w:rsidR="00DB5D34" w:rsidRDefault="00DB5D34" w:rsidP="00DB5D34">
      <w:pPr>
        <w:spacing w:after="0"/>
      </w:pPr>
    </w:p>
    <w:p w:rsidR="00B76BBD" w:rsidRDefault="00B76BBD">
      <w:r>
        <w:t>Dear Sir/Madam</w:t>
      </w:r>
    </w:p>
    <w:p w:rsidR="00B76BBD" w:rsidRPr="00B76BBD" w:rsidRDefault="00B76BBD">
      <w:pPr>
        <w:rPr>
          <w:b/>
        </w:rPr>
      </w:pPr>
      <w:r>
        <w:rPr>
          <w:b/>
        </w:rPr>
        <w:t xml:space="preserve">SUBMISSION: </w:t>
      </w:r>
      <w:r w:rsidRPr="00B76BBD">
        <w:rPr>
          <w:b/>
        </w:rPr>
        <w:t xml:space="preserve">OPTIONS TO ADDRESS THE DESIGN ISSUES IDENTIFIED IN THE PETROLEUM RESOURCE RENT TAX </w:t>
      </w:r>
      <w:r>
        <w:rPr>
          <w:b/>
        </w:rPr>
        <w:t xml:space="preserve">(CALLAGHAN) </w:t>
      </w:r>
      <w:r w:rsidRPr="00B76BBD">
        <w:rPr>
          <w:b/>
        </w:rPr>
        <w:t>REVIEW</w:t>
      </w:r>
    </w:p>
    <w:p w:rsidR="00DB5D34" w:rsidRDefault="00B76BBD">
      <w:r>
        <w:t xml:space="preserve">Please find attached suggested redesign of </w:t>
      </w:r>
      <w:r w:rsidR="00BA47E8">
        <w:t xml:space="preserve">the four aspects of </w:t>
      </w:r>
      <w:r>
        <w:t xml:space="preserve">PRRT </w:t>
      </w:r>
      <w:r w:rsidR="00BA47E8">
        <w:t>design</w:t>
      </w:r>
      <w:r>
        <w:t xml:space="preserve"> identified </w:t>
      </w:r>
      <w:r w:rsidR="00BA47E8">
        <w:t xml:space="preserve">by the Treasury options paper from the </w:t>
      </w:r>
      <w:r>
        <w:t xml:space="preserve">Part A recommendations of the Callaghan review. </w:t>
      </w:r>
    </w:p>
    <w:p w:rsidR="00BA47E8" w:rsidRDefault="00DB5D34">
      <w:r>
        <w:t xml:space="preserve">The suggested redesign focusses particularly </w:t>
      </w:r>
      <w:r w:rsidR="00BA47E8">
        <w:t>on bringing together design of uplifts, order of deductions and transferability of exploration expenditure in a way that provides simple, consistent treatment that meets the overarching objectives of appropriate return to the community and minimal distortion of investment in the petroleum resource sector.</w:t>
      </w:r>
    </w:p>
    <w:p w:rsidR="00BA47E8" w:rsidRDefault="00BA47E8">
      <w:r>
        <w:t>Yours faithfully</w:t>
      </w:r>
    </w:p>
    <w:p w:rsidR="00BA47E8" w:rsidRDefault="00BA47E8"/>
    <w:p w:rsidR="00657107" w:rsidRDefault="00657107"/>
    <w:p w:rsidR="00657107" w:rsidRDefault="00BA47E8" w:rsidP="00657107">
      <w:pPr>
        <w:spacing w:after="0"/>
      </w:pPr>
      <w:r>
        <w:t>Wayne Mayo</w:t>
      </w:r>
    </w:p>
    <w:p w:rsidR="00B76BBD" w:rsidRPr="00B76BBD" w:rsidRDefault="00657107" w:rsidP="00657107">
      <w:pPr>
        <w:spacing w:after="0"/>
      </w:pPr>
      <w:r>
        <w:t>Tax Consultant</w:t>
      </w:r>
      <w:r w:rsidR="00BA47E8">
        <w:t xml:space="preserve"> </w:t>
      </w:r>
      <w:r w:rsidR="00B76BBD">
        <w:t xml:space="preserve"> </w:t>
      </w:r>
      <w:r w:rsidR="00B76BBD" w:rsidRPr="00B76BBD">
        <w:br w:type="page"/>
      </w:r>
      <w:r w:rsidR="00B76BBD" w:rsidRPr="00B76BBD">
        <w:lastRenderedPageBreak/>
        <w:tab/>
      </w:r>
    </w:p>
    <w:p w:rsidR="00086E07" w:rsidRPr="003933D9" w:rsidRDefault="00F905E1">
      <w:pPr>
        <w:rPr>
          <w:b/>
        </w:rPr>
      </w:pPr>
      <w:r w:rsidRPr="003933D9">
        <w:rPr>
          <w:b/>
        </w:rPr>
        <w:t xml:space="preserve">DESIGN FEATURES OF </w:t>
      </w:r>
      <w:r w:rsidR="003933D9">
        <w:rPr>
          <w:b/>
        </w:rPr>
        <w:t xml:space="preserve">REDESIGNED </w:t>
      </w:r>
      <w:r w:rsidRPr="003933D9">
        <w:rPr>
          <w:b/>
        </w:rPr>
        <w:t>PETROLEUM RESOURCE RENT TAX (PRRT)</w:t>
      </w:r>
    </w:p>
    <w:p w:rsidR="00F905E1" w:rsidRDefault="00F905E1">
      <w:r>
        <w:t xml:space="preserve">The following table </w:t>
      </w:r>
      <w:r w:rsidR="00BF7976">
        <w:t xml:space="preserve">responds to the four aspects of PRRT design identified </w:t>
      </w:r>
      <w:r w:rsidR="008B451D">
        <w:t>by the Treasury options paper from</w:t>
      </w:r>
      <w:r w:rsidR="00BF7976">
        <w:t xml:space="preserve"> </w:t>
      </w:r>
      <w:r w:rsidR="00C81D5B">
        <w:t xml:space="preserve">the Part A recommendations of </w:t>
      </w:r>
      <w:r w:rsidR="00BF7976">
        <w:t>the Callaghan review</w:t>
      </w:r>
      <w:r w:rsidR="00C81D5B">
        <w:t>, as well as the issue of definition of new projects</w:t>
      </w:r>
      <w:r w:rsidR="00F51B14">
        <w:t xml:space="preserve"> discussed in the options paper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2390"/>
        <w:gridCol w:w="5306"/>
      </w:tblGrid>
      <w:tr w:rsidR="00F905E1" w:rsidTr="00A0067E">
        <w:tc>
          <w:tcPr>
            <w:tcW w:w="1546" w:type="dxa"/>
          </w:tcPr>
          <w:p w:rsidR="00F905E1" w:rsidRPr="00567F66" w:rsidRDefault="00F905E1">
            <w:pPr>
              <w:rPr>
                <w:b/>
              </w:rPr>
            </w:pPr>
            <w:r w:rsidRPr="00567F66">
              <w:rPr>
                <w:b/>
              </w:rPr>
              <w:t>Design Feature</w:t>
            </w:r>
          </w:p>
        </w:tc>
        <w:tc>
          <w:tcPr>
            <w:tcW w:w="2390" w:type="dxa"/>
          </w:tcPr>
          <w:p w:rsidR="00F905E1" w:rsidRPr="00567F66" w:rsidRDefault="00BF7976" w:rsidP="00BF7976">
            <w:pPr>
              <w:rPr>
                <w:b/>
              </w:rPr>
            </w:pPr>
            <w:r>
              <w:rPr>
                <w:b/>
              </w:rPr>
              <w:t>Suggested Red</w:t>
            </w:r>
            <w:r w:rsidR="00F905E1" w:rsidRPr="00567F66">
              <w:rPr>
                <w:b/>
              </w:rPr>
              <w:t>esign</w:t>
            </w:r>
          </w:p>
        </w:tc>
        <w:tc>
          <w:tcPr>
            <w:tcW w:w="5306" w:type="dxa"/>
          </w:tcPr>
          <w:p w:rsidR="00F905E1" w:rsidRPr="00567F66" w:rsidRDefault="00F905E1">
            <w:pPr>
              <w:rPr>
                <w:b/>
              </w:rPr>
            </w:pPr>
            <w:r w:rsidRPr="00567F66">
              <w:rPr>
                <w:b/>
              </w:rPr>
              <w:t>Comment</w:t>
            </w:r>
          </w:p>
        </w:tc>
      </w:tr>
      <w:tr w:rsidR="002156BD" w:rsidTr="00942508">
        <w:tc>
          <w:tcPr>
            <w:tcW w:w="9242" w:type="dxa"/>
            <w:gridSpan w:val="3"/>
          </w:tcPr>
          <w:p w:rsidR="002156BD" w:rsidRDefault="002156BD">
            <w:r w:rsidRPr="00567F66">
              <w:rPr>
                <w:b/>
              </w:rPr>
              <w:t>1. Uplift Rates</w:t>
            </w:r>
          </w:p>
        </w:tc>
      </w:tr>
      <w:tr w:rsidR="00F905E1" w:rsidTr="00A0067E">
        <w:tc>
          <w:tcPr>
            <w:tcW w:w="1546" w:type="dxa"/>
          </w:tcPr>
          <w:p w:rsidR="00F905E1" w:rsidRDefault="00F905E1">
            <w:r>
              <w:t>Exploration expenditure uplift</w:t>
            </w:r>
          </w:p>
        </w:tc>
        <w:tc>
          <w:tcPr>
            <w:tcW w:w="2390" w:type="dxa"/>
          </w:tcPr>
          <w:p w:rsidR="00F905E1" w:rsidRDefault="00F905E1" w:rsidP="0025704D">
            <w:r>
              <w:t>LTBR</w:t>
            </w:r>
            <w:r w:rsidR="00162E14">
              <w:t>*</w:t>
            </w:r>
            <w:r>
              <w:t xml:space="preserve"> x </w:t>
            </w:r>
            <w:r w:rsidR="00A0067E">
              <w:t>1.5</w:t>
            </w:r>
            <w:r w:rsidR="0025704D">
              <w:t xml:space="preserve"> within 5 years of production licence or </w:t>
            </w:r>
            <w:r w:rsidR="00A0067E">
              <w:t xml:space="preserve">of </w:t>
            </w:r>
            <w:r w:rsidR="0025704D">
              <w:t>transfer to profitable project</w:t>
            </w:r>
            <w:r w:rsidR="00A0067E">
              <w:t>.</w:t>
            </w:r>
          </w:p>
          <w:p w:rsidR="0025704D" w:rsidRDefault="0025704D" w:rsidP="00531F82">
            <w:r>
              <w:t xml:space="preserve">GDP deflator </w:t>
            </w:r>
            <w:r w:rsidR="00531F82">
              <w:t>before</w:t>
            </w:r>
            <w:r>
              <w:t xml:space="preserve"> that 5-year period</w:t>
            </w:r>
            <w:r w:rsidR="00A0067E">
              <w:t>.</w:t>
            </w:r>
          </w:p>
        </w:tc>
        <w:tc>
          <w:tcPr>
            <w:tcW w:w="5306" w:type="dxa"/>
          </w:tcPr>
          <w:p w:rsidR="00C30347" w:rsidRDefault="00C30347" w:rsidP="00C30347">
            <w:r>
              <w:t>Multiplicative, rather than additive, design accommodates changing levels of LTBR over time.</w:t>
            </w:r>
          </w:p>
          <w:p w:rsidR="00C30347" w:rsidRDefault="00C30347" w:rsidP="00C30347">
            <w:r>
              <w:t xml:space="preserve">Multiplier of </w:t>
            </w:r>
            <w:r w:rsidR="00A0067E">
              <w:t>1.5</w:t>
            </w:r>
            <w:r>
              <w:t xml:space="preserve"> recognises high</w:t>
            </w:r>
            <w:r w:rsidR="00A0067E">
              <w:t>er</w:t>
            </w:r>
            <w:r>
              <w:t xml:space="preserve"> risk </w:t>
            </w:r>
            <w:r w:rsidR="00A0067E">
              <w:t xml:space="preserve">(than </w:t>
            </w:r>
            <w:r w:rsidR="00531F82">
              <w:t xml:space="preserve">during </w:t>
            </w:r>
            <w:r w:rsidR="00A0067E">
              <w:t xml:space="preserve">production phase) </w:t>
            </w:r>
            <w:r>
              <w:t>of deductions being lost completely</w:t>
            </w:r>
            <w:r w:rsidR="00A0067E">
              <w:t xml:space="preserve"> after unsuccessful exploration</w:t>
            </w:r>
            <w:r w:rsidR="00D9255C">
              <w:t xml:space="preserve"> – despite transferability provisions</w:t>
            </w:r>
            <w:r>
              <w:t>.</w:t>
            </w:r>
          </w:p>
          <w:p w:rsidR="00D770B4" w:rsidRDefault="00C30347" w:rsidP="00D770B4">
            <w:r>
              <w:t xml:space="preserve">Sound exploration decisions factor in the </w:t>
            </w:r>
            <w:r w:rsidR="00D9255C">
              <w:t xml:space="preserve">high </w:t>
            </w:r>
            <w:r>
              <w:t xml:space="preserve">probability of no success and nil return along with probability of success </w:t>
            </w:r>
            <w:r w:rsidR="00D770B4">
              <w:t>and associated</w:t>
            </w:r>
            <w:r>
              <w:t xml:space="preserve"> </w:t>
            </w:r>
            <w:r w:rsidR="00D9255C">
              <w:t>reduced</w:t>
            </w:r>
            <w:r>
              <w:t xml:space="preserve"> </w:t>
            </w:r>
            <w:r w:rsidR="00D9255C">
              <w:t xml:space="preserve">project </w:t>
            </w:r>
            <w:r>
              <w:t xml:space="preserve">risk </w:t>
            </w:r>
            <w:r w:rsidR="00D770B4">
              <w:t>during production phase.</w:t>
            </w:r>
          </w:p>
          <w:p w:rsidR="00F905E1" w:rsidRDefault="00D770B4" w:rsidP="00531F82">
            <w:r>
              <w:t>GDP deflator recognises potential tax revenue risk from many years of applying high</w:t>
            </w:r>
            <w:r w:rsidR="00531F82">
              <w:t xml:space="preserve"> </w:t>
            </w:r>
            <w:r>
              <w:t xml:space="preserve">uplift. </w:t>
            </w:r>
            <w:r w:rsidR="00C30347">
              <w:t xml:space="preserve">       </w:t>
            </w:r>
          </w:p>
        </w:tc>
      </w:tr>
      <w:tr w:rsidR="00F905E1" w:rsidTr="00A0067E">
        <w:tc>
          <w:tcPr>
            <w:tcW w:w="1546" w:type="dxa"/>
          </w:tcPr>
          <w:p w:rsidR="00F905E1" w:rsidRDefault="0025704D">
            <w:r>
              <w:t>General expenditure</w:t>
            </w:r>
          </w:p>
        </w:tc>
        <w:tc>
          <w:tcPr>
            <w:tcW w:w="2390" w:type="dxa"/>
          </w:tcPr>
          <w:p w:rsidR="00F905E1" w:rsidRDefault="0025704D">
            <w:r>
              <w:t>LTBR</w:t>
            </w:r>
          </w:p>
          <w:p w:rsidR="00D770B4" w:rsidRDefault="00162E14" w:rsidP="00D9255C">
            <w:r>
              <w:t>*Strictly</w:t>
            </w:r>
            <w:r w:rsidR="008F08A2">
              <w:t xml:space="preserve">, </w:t>
            </w:r>
            <w:r w:rsidR="00676F38">
              <w:t xml:space="preserve">to achieve tax neutrality after both PRRT and income tax, </w:t>
            </w:r>
            <w:r w:rsidR="008F08A2">
              <w:t xml:space="preserve">LTBR </w:t>
            </w:r>
            <w:r>
              <w:t>should be at</w:t>
            </w:r>
            <w:r w:rsidR="008F08A2">
              <w:t xml:space="preserve"> after-income tax level </w:t>
            </w:r>
            <w:r w:rsidR="00D91722">
              <w:t>with</w:t>
            </w:r>
            <w:r w:rsidR="008F08A2">
              <w:t xml:space="preserve"> </w:t>
            </w:r>
            <w:r w:rsidR="00D91722">
              <w:t>post-</w:t>
            </w:r>
            <w:r>
              <w:t>PRRT flows (costs/receipts reduced by PRRT tax rate) feed</w:t>
            </w:r>
            <w:r w:rsidR="00D91722">
              <w:t>ing</w:t>
            </w:r>
            <w:r>
              <w:t xml:space="preserve"> into income taxation (like GST design). </w:t>
            </w:r>
            <w:r w:rsidR="008F08A2">
              <w:t xml:space="preserve"> </w:t>
            </w:r>
            <w:r w:rsidR="00D770B4">
              <w:t xml:space="preserve"> </w:t>
            </w:r>
          </w:p>
        </w:tc>
        <w:tc>
          <w:tcPr>
            <w:tcW w:w="5306" w:type="dxa"/>
          </w:tcPr>
          <w:p w:rsidR="00D770B4" w:rsidRDefault="00D770B4" w:rsidP="0025704D">
            <w:r>
              <w:t xml:space="preserve">LTBR reflects the much reduced risk of losing deductions during production </w:t>
            </w:r>
            <w:r w:rsidR="003176D8">
              <w:t xml:space="preserve">and closing-down </w:t>
            </w:r>
            <w:r>
              <w:t>phase</w:t>
            </w:r>
            <w:r w:rsidR="003176D8">
              <w:t>s</w:t>
            </w:r>
            <w:r>
              <w:t>.</w:t>
            </w:r>
          </w:p>
          <w:p w:rsidR="00F905E1" w:rsidRDefault="00D770B4" w:rsidP="0025704D">
            <w:r>
              <w:t xml:space="preserve">As the </w:t>
            </w:r>
            <w:r w:rsidR="0025704D">
              <w:t>Callaghan report note</w:t>
            </w:r>
            <w:r>
              <w:t>s</w:t>
            </w:r>
            <w:r w:rsidR="0025704D">
              <w:t xml:space="preserve"> (pg 72), “..once developed, rare would be the (still risky) project that could not utilise PRRT deductions uplifted at LTBR</w:t>
            </w:r>
            <w:r w:rsidR="00C30347">
              <w:t>.”</w:t>
            </w:r>
          </w:p>
          <w:p w:rsidR="003D42BC" w:rsidRDefault="00C30347" w:rsidP="00C30347">
            <w:r>
              <w:t xml:space="preserve">Simplicity </w:t>
            </w:r>
            <w:r w:rsidR="00A03361">
              <w:t xml:space="preserve">is </w:t>
            </w:r>
            <w:r>
              <w:t>achieved with same uplift rate applying to</w:t>
            </w:r>
            <w:r w:rsidR="00D9255C">
              <w:t xml:space="preserve"> any</w:t>
            </w:r>
            <w:r>
              <w:t xml:space="preserve"> general expenditure before production </w:t>
            </w:r>
            <w:r w:rsidR="001436FB">
              <w:t>licence</w:t>
            </w:r>
            <w:r>
              <w:t>.</w:t>
            </w:r>
          </w:p>
          <w:p w:rsidR="00F51B14" w:rsidRDefault="003D42BC" w:rsidP="00610ACC">
            <w:r>
              <w:t xml:space="preserve">Attached illustration shows how </w:t>
            </w:r>
            <w:r w:rsidR="00531F82">
              <w:t xml:space="preserve">tax </w:t>
            </w:r>
            <w:r>
              <w:t>neutrality achieved with marginal project when LTBR uplift differs from investor’s discount rate</w:t>
            </w:r>
            <w:r w:rsidR="003039B9">
              <w:t xml:space="preserve"> – cons</w:t>
            </w:r>
            <w:r>
              <w:t xml:space="preserve">istent with Box </w:t>
            </w:r>
            <w:r w:rsidR="00D9255C">
              <w:t>4.</w:t>
            </w:r>
            <w:r>
              <w:t>1</w:t>
            </w:r>
            <w:r w:rsidR="00D9255C">
              <w:t>, pg 73,</w:t>
            </w:r>
            <w:r>
              <w:t xml:space="preserve"> of the Callaghan report</w:t>
            </w:r>
            <w:r w:rsidR="001436FB">
              <w:t xml:space="preserve"> and </w:t>
            </w:r>
            <w:r w:rsidR="00610ACC">
              <w:t>show</w:t>
            </w:r>
            <w:r w:rsidR="001436FB">
              <w:t xml:space="preserve">ing the ‘circularity’ issue identified in options paper </w:t>
            </w:r>
            <w:r w:rsidR="003039B9">
              <w:t xml:space="preserve">(pg 6) </w:t>
            </w:r>
            <w:r w:rsidR="001436FB">
              <w:t>of higher uplift leading to greater chance of losing uplifted deductions.</w:t>
            </w:r>
          </w:p>
          <w:p w:rsidR="001C0692" w:rsidRDefault="001C0692" w:rsidP="00610ACC"/>
        </w:tc>
      </w:tr>
      <w:tr w:rsidR="002156BD" w:rsidTr="00CA0A3A">
        <w:tc>
          <w:tcPr>
            <w:tcW w:w="9242" w:type="dxa"/>
            <w:gridSpan w:val="3"/>
          </w:tcPr>
          <w:p w:rsidR="002156BD" w:rsidRDefault="002156BD" w:rsidP="0031403A">
            <w:r w:rsidRPr="0031403A">
              <w:rPr>
                <w:b/>
              </w:rPr>
              <w:t>2. Changes to order of deductions</w:t>
            </w:r>
          </w:p>
        </w:tc>
      </w:tr>
      <w:tr w:rsidR="00F905E1" w:rsidTr="00A0067E">
        <w:tc>
          <w:tcPr>
            <w:tcW w:w="1546" w:type="dxa"/>
          </w:tcPr>
          <w:p w:rsidR="00F905E1" w:rsidRDefault="0031403A">
            <w:r>
              <w:t>Ordering principle for different expenditures</w:t>
            </w:r>
          </w:p>
        </w:tc>
        <w:tc>
          <w:tcPr>
            <w:tcW w:w="2390" w:type="dxa"/>
          </w:tcPr>
          <w:p w:rsidR="00F905E1" w:rsidRDefault="0031403A">
            <w:r>
              <w:t xml:space="preserve">Once project established (production licence applied for), all prior uplifted project expenditure collapsed into one </w:t>
            </w:r>
            <w:r w:rsidR="00D40667">
              <w:t xml:space="preserve">project </w:t>
            </w:r>
            <w:r>
              <w:t>pool and uplifted at LTBR</w:t>
            </w:r>
          </w:p>
        </w:tc>
        <w:tc>
          <w:tcPr>
            <w:tcW w:w="5306" w:type="dxa"/>
          </w:tcPr>
          <w:p w:rsidR="0031403A" w:rsidRDefault="0031403A" w:rsidP="0031403A">
            <w:r>
              <w:t xml:space="preserve">With risk of losing deductions much reduced, there is no justification for continuing to uplift </w:t>
            </w:r>
            <w:r w:rsidR="00EF4ABC">
              <w:t xml:space="preserve">project </w:t>
            </w:r>
            <w:r>
              <w:t xml:space="preserve">expenditures above </w:t>
            </w:r>
            <w:r w:rsidR="00610ACC">
              <w:t>the rate for general expenditure</w:t>
            </w:r>
            <w:r>
              <w:t>.</w:t>
            </w:r>
          </w:p>
          <w:p w:rsidR="00F905E1" w:rsidRDefault="0031403A" w:rsidP="0031403A">
            <w:r>
              <w:t>With all project expenditures then uplifted at LTBR (including any prior exploration expenditures attracting GDP uplift</w:t>
            </w:r>
            <w:r w:rsidR="001436FB">
              <w:t xml:space="preserve"> and resource tax expenditure</w:t>
            </w:r>
            <w:r>
              <w:t>), ordering of deductions is no longer an issue.</w:t>
            </w:r>
          </w:p>
          <w:p w:rsidR="0099081F" w:rsidRDefault="0031403A" w:rsidP="0031403A">
            <w:r>
              <w:t xml:space="preserve">Once project commences, associated exploration expenditure </w:t>
            </w:r>
            <w:r w:rsidR="001436FB">
              <w:t xml:space="preserve">(in related exploration permit area) </w:t>
            </w:r>
            <w:r>
              <w:t>is no longer transferable to other projects.</w:t>
            </w:r>
          </w:p>
          <w:p w:rsidR="008B3113" w:rsidRDefault="00A03361" w:rsidP="003039B9">
            <w:r>
              <w:t>Redesign is c</w:t>
            </w:r>
            <w:r w:rsidR="0099081F">
              <w:t>onsistent with project-based PRRT design</w:t>
            </w:r>
            <w:r w:rsidR="00F51B14">
              <w:t xml:space="preserve"> with transferability added </w:t>
            </w:r>
            <w:r w:rsidR="00EF4ABC">
              <w:t>to accommodate</w:t>
            </w:r>
            <w:r w:rsidR="00F51B14">
              <w:t xml:space="preserve"> stranded</w:t>
            </w:r>
            <w:r w:rsidR="00EF4ABC">
              <w:t xml:space="preserve"> (non-project)</w:t>
            </w:r>
            <w:r w:rsidR="00F51B14">
              <w:t xml:space="preserve"> exploration expenditure.</w:t>
            </w:r>
          </w:p>
          <w:p w:rsidR="0031403A" w:rsidRDefault="00F51B14" w:rsidP="003039B9">
            <w:r>
              <w:t xml:space="preserve"> </w:t>
            </w:r>
            <w:r w:rsidR="0031403A">
              <w:t xml:space="preserve"> </w:t>
            </w:r>
          </w:p>
        </w:tc>
      </w:tr>
      <w:tr w:rsidR="00BF7976" w:rsidTr="000A3063">
        <w:tc>
          <w:tcPr>
            <w:tcW w:w="9242" w:type="dxa"/>
            <w:gridSpan w:val="3"/>
          </w:tcPr>
          <w:p w:rsidR="00BF7976" w:rsidRDefault="00BF7976">
            <w:r w:rsidRPr="00D40667">
              <w:rPr>
                <w:b/>
              </w:rPr>
              <w:lastRenderedPageBreak/>
              <w:t>3. Transferability</w:t>
            </w:r>
          </w:p>
        </w:tc>
      </w:tr>
      <w:tr w:rsidR="00F905E1" w:rsidTr="00A0067E">
        <w:tc>
          <w:tcPr>
            <w:tcW w:w="1546" w:type="dxa"/>
          </w:tcPr>
          <w:p w:rsidR="00F905E1" w:rsidRDefault="00B000E4">
            <w:r>
              <w:t>Exploration deduction transfer</w:t>
            </w:r>
          </w:p>
        </w:tc>
        <w:tc>
          <w:tcPr>
            <w:tcW w:w="2390" w:type="dxa"/>
          </w:tcPr>
          <w:p w:rsidR="00F905E1" w:rsidRDefault="00D40667">
            <w:r>
              <w:t>Exploration expenditure only transferable  before any associated project is established</w:t>
            </w:r>
          </w:p>
        </w:tc>
        <w:tc>
          <w:tcPr>
            <w:tcW w:w="5306" w:type="dxa"/>
          </w:tcPr>
          <w:p w:rsidR="00D91722" w:rsidRDefault="0099081F" w:rsidP="00D40667">
            <w:r>
              <w:t>Before 1991 amendments allowing transferability,</w:t>
            </w:r>
            <w:r w:rsidR="00F51B14">
              <w:t xml:space="preserve"> e</w:t>
            </w:r>
            <w:r w:rsidR="00D91722">
              <w:t>xploration e</w:t>
            </w:r>
            <w:r w:rsidR="00D40667">
              <w:t xml:space="preserve">xpenditure </w:t>
            </w:r>
            <w:r w:rsidR="00D91722">
              <w:t>not associated with a PRRT project was stranded.</w:t>
            </w:r>
          </w:p>
          <w:p w:rsidR="00D40667" w:rsidRDefault="00D91722" w:rsidP="00D40667">
            <w:r>
              <w:t>Th</w:t>
            </w:r>
            <w:r w:rsidR="00F51B14">
              <w:t>e suggested redesign of</w:t>
            </w:r>
            <w:r>
              <w:t xml:space="preserve"> ordering of deductions and transferability would continue to reduce the risk of stranded exploration deductions</w:t>
            </w:r>
            <w:r w:rsidR="00F51B14">
              <w:t xml:space="preserve"> while maintaining the project basis of PRRT design</w:t>
            </w:r>
            <w:r w:rsidR="00D40667">
              <w:t>.</w:t>
            </w:r>
          </w:p>
          <w:p w:rsidR="00F905E1" w:rsidRDefault="00D40667" w:rsidP="00A03361">
            <w:r>
              <w:t xml:space="preserve">In options paper’s Green </w:t>
            </w:r>
            <w:r w:rsidR="00A03361">
              <w:t>P</w:t>
            </w:r>
            <w:r>
              <w:t>roject illustration (Box 1</w:t>
            </w:r>
            <w:r w:rsidR="00D91722">
              <w:t>, pg 14</w:t>
            </w:r>
            <w:r>
              <w:t>)</w:t>
            </w:r>
            <w:r w:rsidR="00F51B14">
              <w:t>,</w:t>
            </w:r>
            <w:r w:rsidR="00D91722">
              <w:t xml:space="preserve"> </w:t>
            </w:r>
            <w:r w:rsidR="00F51B14">
              <w:t>suggested</w:t>
            </w:r>
            <w:r w:rsidR="00647B6A">
              <w:t xml:space="preserve"> design changes have the following effects on each participant’s $100m of exploration expenditure</w:t>
            </w:r>
            <w:r>
              <w:t>:</w:t>
            </w:r>
            <w:r w:rsidR="007E7D7F">
              <w:t xml:space="preserve"> Company A</w:t>
            </w:r>
            <w:r w:rsidR="00647B6A">
              <w:t xml:space="preserve">’s transfer </w:t>
            </w:r>
            <w:r w:rsidR="00F51B14">
              <w:t xml:space="preserve">in 2017-18 (before </w:t>
            </w:r>
            <w:r w:rsidR="004B7B21">
              <w:t xml:space="preserve">Project Green’s production licence) </w:t>
            </w:r>
            <w:r w:rsidR="00647B6A">
              <w:t>unchanged</w:t>
            </w:r>
            <w:r w:rsidR="00AB3BF8">
              <w:t xml:space="preserve"> as Project White is profitable</w:t>
            </w:r>
            <w:r w:rsidR="004B7B21">
              <w:t xml:space="preserve"> in that year</w:t>
            </w:r>
            <w:r w:rsidR="00647B6A">
              <w:t>; and</w:t>
            </w:r>
            <w:r w:rsidR="00AB3BF8">
              <w:t xml:space="preserve"> Company B, C and D’s expenditure is uplifted at LTBR from 2019-20 within Project Green</w:t>
            </w:r>
            <w:r w:rsidR="004B7B21">
              <w:t xml:space="preserve"> (Blue and </w:t>
            </w:r>
            <w:r w:rsidR="002B05F8">
              <w:t>Red p</w:t>
            </w:r>
            <w:r w:rsidR="004B7B21">
              <w:t>roject</w:t>
            </w:r>
            <w:r w:rsidR="002B05F8">
              <w:t>s</w:t>
            </w:r>
            <w:r w:rsidR="004B7B21">
              <w:t xml:space="preserve"> are not profitable before Project Green’s production licence</w:t>
            </w:r>
            <w:r w:rsidR="00D74B2B">
              <w:t xml:space="preserve"> </w:t>
            </w:r>
            <w:r w:rsidR="002B05F8">
              <w:t xml:space="preserve">in </w:t>
            </w:r>
            <w:r w:rsidR="00D74B2B">
              <w:t>2019-20</w:t>
            </w:r>
            <w:r w:rsidR="004B7B21">
              <w:t>)</w:t>
            </w:r>
            <w:r w:rsidR="00AB3BF8">
              <w:t>.</w:t>
            </w:r>
            <w:r w:rsidR="00647B6A">
              <w:t xml:space="preserve">    </w:t>
            </w:r>
            <w:r w:rsidR="007E7D7F">
              <w:t xml:space="preserve">  </w:t>
            </w:r>
            <w:r>
              <w:t xml:space="preserve"> </w:t>
            </w:r>
          </w:p>
        </w:tc>
      </w:tr>
      <w:tr w:rsidR="002156BD" w:rsidTr="00B925DF">
        <w:tc>
          <w:tcPr>
            <w:tcW w:w="9242" w:type="dxa"/>
            <w:gridSpan w:val="3"/>
          </w:tcPr>
          <w:p w:rsidR="002156BD" w:rsidRDefault="002156BD">
            <w:r w:rsidRPr="002156BD">
              <w:rPr>
                <w:b/>
              </w:rPr>
              <w:t>4. Gas Transfer Pricing</w:t>
            </w:r>
          </w:p>
        </w:tc>
      </w:tr>
      <w:tr w:rsidR="00F905E1" w:rsidTr="00A0067E">
        <w:tc>
          <w:tcPr>
            <w:tcW w:w="1546" w:type="dxa"/>
          </w:tcPr>
          <w:p w:rsidR="00F905E1" w:rsidRDefault="002156BD">
            <w:r>
              <w:t xml:space="preserve"> Taxing point</w:t>
            </w:r>
          </w:p>
        </w:tc>
        <w:tc>
          <w:tcPr>
            <w:tcW w:w="2390" w:type="dxa"/>
          </w:tcPr>
          <w:p w:rsidR="00F905E1" w:rsidRDefault="006B3EB7" w:rsidP="00A03361">
            <w:r>
              <w:t xml:space="preserve">In absence of </w:t>
            </w:r>
            <w:r w:rsidR="00C4224E">
              <w:t xml:space="preserve">clear, transparent and </w:t>
            </w:r>
            <w:r>
              <w:t>prioriti</w:t>
            </w:r>
            <w:r w:rsidR="00C4224E">
              <w:t>s</w:t>
            </w:r>
            <w:r>
              <w:t>e</w:t>
            </w:r>
            <w:r w:rsidR="00C4224E">
              <w:t>d</w:t>
            </w:r>
            <w:r>
              <w:t xml:space="preserve"> </w:t>
            </w:r>
            <w:r w:rsidR="00C4224E">
              <w:t>comparable uncontrolled price (</w:t>
            </w:r>
            <w:r>
              <w:t>CUP</w:t>
            </w:r>
            <w:r w:rsidR="00C4224E">
              <w:t>) for sales gas in integrated LNG operations</w:t>
            </w:r>
            <w:r>
              <w:t xml:space="preserve">, </w:t>
            </w:r>
            <w:r w:rsidR="00A03361">
              <w:t xml:space="preserve">there would be many advantages in </w:t>
            </w:r>
            <w:r>
              <w:t>m</w:t>
            </w:r>
            <w:r w:rsidR="002156BD">
              <w:t>ov</w:t>
            </w:r>
            <w:r>
              <w:t>ing</w:t>
            </w:r>
            <w:r w:rsidR="002156BD">
              <w:t xml:space="preserve"> </w:t>
            </w:r>
            <w:r w:rsidR="00C4224E">
              <w:t xml:space="preserve">PRRT </w:t>
            </w:r>
            <w:r w:rsidR="002156BD">
              <w:t>taxing point to end of LNG production</w:t>
            </w:r>
            <w:r w:rsidR="00947459">
              <w:t xml:space="preserve"> </w:t>
            </w:r>
            <w:r w:rsidR="00A03361">
              <w:t>(then a process that produces a ‘marketable petroleum product’)</w:t>
            </w:r>
          </w:p>
        </w:tc>
        <w:tc>
          <w:tcPr>
            <w:tcW w:w="5306" w:type="dxa"/>
          </w:tcPr>
          <w:p w:rsidR="00F905E1" w:rsidRDefault="00C4224E" w:rsidP="00216A1A">
            <w:r>
              <w:t>A clear, transparent</w:t>
            </w:r>
            <w:r w:rsidR="00216A1A">
              <w:t xml:space="preserve"> </w:t>
            </w:r>
            <w:r w:rsidR="002156BD">
              <w:t xml:space="preserve">CUP </w:t>
            </w:r>
            <w:r w:rsidR="00216A1A">
              <w:t xml:space="preserve">for gas </w:t>
            </w:r>
            <w:r>
              <w:t xml:space="preserve">in integrated LNG operations </w:t>
            </w:r>
            <w:r w:rsidR="002156BD">
              <w:t>prioritised over other</w:t>
            </w:r>
            <w:r w:rsidR="00216A1A">
              <w:t xml:space="preserve"> transfer pricing methodologies would </w:t>
            </w:r>
            <w:r>
              <w:t>meet PRRT requirements directly</w:t>
            </w:r>
            <w:r w:rsidR="00216A1A">
              <w:t xml:space="preserve">, </w:t>
            </w:r>
            <w:r w:rsidR="0038573F">
              <w:t xml:space="preserve">but </w:t>
            </w:r>
            <w:r w:rsidR="00216A1A">
              <w:t>practical difficulties remain.</w:t>
            </w:r>
          </w:p>
          <w:p w:rsidR="00A43CFA" w:rsidRDefault="00216A1A" w:rsidP="00A43CFA">
            <w:r>
              <w:t xml:space="preserve">If </w:t>
            </w:r>
            <w:r w:rsidR="004B0964">
              <w:t>pricing of such gas via the widely-applied residual pricing methodology (</w:t>
            </w:r>
            <w:r>
              <w:t>RPM</w:t>
            </w:r>
            <w:r w:rsidR="004B0964">
              <w:t>)</w:t>
            </w:r>
            <w:r>
              <w:t xml:space="preserve"> is retained, modification is essential </w:t>
            </w:r>
            <w:r w:rsidR="004B0964">
              <w:t xml:space="preserve">to address complexities, inconsistencies and arbitrary outcomes </w:t>
            </w:r>
            <w:r>
              <w:t xml:space="preserve">but </w:t>
            </w:r>
            <w:r w:rsidR="004B0964">
              <w:t xml:space="preserve">shortcomings would no doubt remain and </w:t>
            </w:r>
            <w:r>
              <w:t xml:space="preserve">RPM would </w:t>
            </w:r>
            <w:r w:rsidR="0038573F">
              <w:t>exhibit</w:t>
            </w:r>
            <w:r>
              <w:t xml:space="preserve"> structural </w:t>
            </w:r>
            <w:r w:rsidR="0038573F">
              <w:t>rigidities</w:t>
            </w:r>
            <w:r w:rsidR="00C05C45">
              <w:t>,</w:t>
            </w:r>
            <w:r>
              <w:t xml:space="preserve"> such as</w:t>
            </w:r>
            <w:r w:rsidR="00C05C45">
              <w:t>:</w:t>
            </w:r>
            <w:r>
              <w:t xml:space="preserve"> if the same effective life for capital allocation applies upstream and downstream</w:t>
            </w:r>
            <w:r w:rsidR="004B0964">
              <w:t xml:space="preserve"> of gas pricing point</w:t>
            </w:r>
            <w:r>
              <w:t xml:space="preserve">, gross </w:t>
            </w:r>
            <w:r w:rsidR="004B0964">
              <w:t xml:space="preserve">LNG </w:t>
            </w:r>
            <w:r>
              <w:t xml:space="preserve">receipts </w:t>
            </w:r>
            <w:r w:rsidR="004B0964">
              <w:t>(</w:t>
            </w:r>
            <w:r w:rsidR="002B05F8">
              <w:t>driving</w:t>
            </w:r>
            <w:r w:rsidR="004B0964">
              <w:t xml:space="preserve"> economic rent) </w:t>
            </w:r>
            <w:r>
              <w:t xml:space="preserve">will be split equally upstream and downstream regardless of the </w:t>
            </w:r>
            <w:r w:rsidR="004B0964">
              <w:t xml:space="preserve">level of the </w:t>
            </w:r>
            <w:r>
              <w:t xml:space="preserve">common capital </w:t>
            </w:r>
            <w:r w:rsidR="00C05C45">
              <w:t xml:space="preserve">allowance rate </w:t>
            </w:r>
            <w:r>
              <w:t>specified.</w:t>
            </w:r>
          </w:p>
          <w:p w:rsidR="00FA0E9E" w:rsidRDefault="00FA0E9E" w:rsidP="00A43CFA">
            <w:r>
              <w:t>Netback pricing methodology would overcome many</w:t>
            </w:r>
            <w:r w:rsidR="00A43CFA">
              <w:t xml:space="preserve"> of the </w:t>
            </w:r>
            <w:r>
              <w:t>shortcomings of the RPM but</w:t>
            </w:r>
            <w:r w:rsidR="008A4F12">
              <w:t xml:space="preserve"> the key return to downstream (LNG) capital resulting from required</w:t>
            </w:r>
            <w:r w:rsidR="00A43CFA">
              <w:t xml:space="preserve"> computations (a sub-set of those in RPM) </w:t>
            </w:r>
            <w:r w:rsidR="008A4F12">
              <w:t>would</w:t>
            </w:r>
            <w:r w:rsidR="00A43CFA">
              <w:t xml:space="preserve"> </w:t>
            </w:r>
            <w:r w:rsidR="00C05C45">
              <w:t xml:space="preserve">invariably </w:t>
            </w:r>
            <w:r w:rsidR="00A43CFA">
              <w:t>differ significantly from th</w:t>
            </w:r>
            <w:r w:rsidR="008A4F12">
              <w:t>e return</w:t>
            </w:r>
            <w:r w:rsidR="00A43CFA">
              <w:t xml:space="preserve"> specified – though in some circumstances a ‘break-even’ result could </w:t>
            </w:r>
            <w:r w:rsidR="00944D46">
              <w:t>occur</w:t>
            </w:r>
            <w:r w:rsidR="00A43CFA">
              <w:t xml:space="preserve"> whereby investors are indifferent to having taxing point at the wellhead or </w:t>
            </w:r>
            <w:r w:rsidR="00944D46">
              <w:t>end of LNG production</w:t>
            </w:r>
            <w:r>
              <w:t>.</w:t>
            </w:r>
          </w:p>
          <w:p w:rsidR="00FA0E9E" w:rsidRDefault="00FA0E9E" w:rsidP="00216A1A">
            <w:r>
              <w:t xml:space="preserve">Moving taxing point to end LNG production would remove complexities and uncertainties associated with the RPM </w:t>
            </w:r>
            <w:r w:rsidR="009F4B9D">
              <w:t>and</w:t>
            </w:r>
            <w:r>
              <w:t xml:space="preserve"> netback methodolog</w:t>
            </w:r>
            <w:r w:rsidR="009F4B9D">
              <w:t>ies</w:t>
            </w:r>
            <w:r>
              <w:t xml:space="preserve">. </w:t>
            </w:r>
          </w:p>
          <w:p w:rsidR="00216A1A" w:rsidRDefault="00FA0E9E" w:rsidP="00511D47">
            <w:r>
              <w:t xml:space="preserve">While any economic rent associated with downstream (LNG) production </w:t>
            </w:r>
            <w:r w:rsidR="008A4F12">
              <w:t>c</w:t>
            </w:r>
            <w:r>
              <w:t xml:space="preserve">ould be captured if taxing point were moved, it is the gas resource that </w:t>
            </w:r>
            <w:r w:rsidR="002B05F8">
              <w:t>underpins</w:t>
            </w:r>
            <w:r>
              <w:t xml:space="preserve"> overall economic rent.</w:t>
            </w:r>
          </w:p>
          <w:p w:rsidR="00863B38" w:rsidRDefault="00863B38" w:rsidP="008A4F12">
            <w:r>
              <w:t xml:space="preserve">A well-designed PRRT </w:t>
            </w:r>
            <w:r w:rsidR="002B05F8">
              <w:t xml:space="preserve">with taxing point at </w:t>
            </w:r>
            <w:r w:rsidR="008A4F12">
              <w:t xml:space="preserve">end </w:t>
            </w:r>
            <w:r w:rsidR="002B05F8">
              <w:t xml:space="preserve">LNG </w:t>
            </w:r>
            <w:r w:rsidR="008A4F12">
              <w:t>production</w:t>
            </w:r>
            <w:r w:rsidR="002B05F8">
              <w:t xml:space="preserve"> </w:t>
            </w:r>
            <w:r>
              <w:t xml:space="preserve">should have little or no impact on LNG investment decisions even though </w:t>
            </w:r>
            <w:r w:rsidR="002B05F8">
              <w:t>any</w:t>
            </w:r>
            <w:r>
              <w:t xml:space="preserve"> economic rent </w:t>
            </w:r>
            <w:r w:rsidR="002B05F8">
              <w:t xml:space="preserve">associated with LNG technology </w:t>
            </w:r>
            <w:r>
              <w:t>may be taxed.</w:t>
            </w:r>
          </w:p>
        </w:tc>
      </w:tr>
      <w:tr w:rsidR="00863B38" w:rsidTr="004B5286">
        <w:tc>
          <w:tcPr>
            <w:tcW w:w="9242" w:type="dxa"/>
            <w:gridSpan w:val="3"/>
          </w:tcPr>
          <w:p w:rsidR="00863B38" w:rsidRDefault="00863B38" w:rsidP="00216A1A">
            <w:r w:rsidRPr="00863B38">
              <w:rPr>
                <w:b/>
              </w:rPr>
              <w:lastRenderedPageBreak/>
              <w:t>5. What is a new project?</w:t>
            </w:r>
          </w:p>
        </w:tc>
      </w:tr>
      <w:tr w:rsidR="00863B38" w:rsidTr="00A0067E">
        <w:tc>
          <w:tcPr>
            <w:tcW w:w="1546" w:type="dxa"/>
          </w:tcPr>
          <w:p w:rsidR="00863B38" w:rsidRDefault="00863B38" w:rsidP="002B05F8">
            <w:r>
              <w:t xml:space="preserve">Can </w:t>
            </w:r>
            <w:r w:rsidR="002B05F8">
              <w:t xml:space="preserve">old/new </w:t>
            </w:r>
            <w:r>
              <w:t>distinction be avoided?</w:t>
            </w:r>
          </w:p>
        </w:tc>
        <w:tc>
          <w:tcPr>
            <w:tcW w:w="2390" w:type="dxa"/>
          </w:tcPr>
          <w:p w:rsidR="00863B38" w:rsidRDefault="00C57248" w:rsidP="002E7730">
            <w:r>
              <w:t xml:space="preserve">Options </w:t>
            </w:r>
            <w:r w:rsidR="008E57A7">
              <w:t xml:space="preserve">like restricting changed design, where possible, to expenditure after a </w:t>
            </w:r>
            <w:r w:rsidR="002E7730">
              <w:t>future</w:t>
            </w:r>
            <w:r w:rsidR="008E57A7">
              <w:t xml:space="preserve"> date or </w:t>
            </w:r>
            <w:r>
              <w:t xml:space="preserve">even </w:t>
            </w:r>
            <w:r w:rsidR="002B05F8">
              <w:t>some</w:t>
            </w:r>
            <w:r>
              <w:t xml:space="preserve"> reduction in the PRRT rate </w:t>
            </w:r>
            <w:r w:rsidR="00CA0CC3">
              <w:t>(with accompanying increase in capital value of</w:t>
            </w:r>
            <w:r w:rsidR="002B05F8">
              <w:t xml:space="preserve"> existing</w:t>
            </w:r>
            <w:r w:rsidR="00CA0CC3">
              <w:t xml:space="preserve"> projects) </w:t>
            </w:r>
            <w:r>
              <w:t>would be worth considering if they offer</w:t>
            </w:r>
            <w:r w:rsidR="008E57A7">
              <w:t>ed</w:t>
            </w:r>
            <w:r>
              <w:t xml:space="preserve"> the prospect of </w:t>
            </w:r>
            <w:r w:rsidR="008E57A7">
              <w:t xml:space="preserve">existing projects </w:t>
            </w:r>
            <w:r>
              <w:t xml:space="preserve">transitioning into a redesigned system.   </w:t>
            </w:r>
          </w:p>
        </w:tc>
        <w:tc>
          <w:tcPr>
            <w:tcW w:w="5306" w:type="dxa"/>
          </w:tcPr>
          <w:p w:rsidR="008E57A7" w:rsidRDefault="00863B38" w:rsidP="00C57248">
            <w:r>
              <w:t xml:space="preserve">A distinction between new and old </w:t>
            </w:r>
            <w:r w:rsidR="008E57A7">
              <w:t xml:space="preserve">projects </w:t>
            </w:r>
            <w:r>
              <w:t xml:space="preserve">would </w:t>
            </w:r>
            <w:r w:rsidR="00C57248">
              <w:t>involve much complexity and investment uncertainty – as reflected in the issues discussed in the options paper concerning project combination and exploration expenditure transfer</w:t>
            </w:r>
            <w:r w:rsidR="008E57A7">
              <w:t>.</w:t>
            </w:r>
          </w:p>
          <w:p w:rsidR="005235C7" w:rsidRDefault="008E57A7" w:rsidP="00C57248">
            <w:r>
              <w:t xml:space="preserve">Such distinction would raise many difficult issues </w:t>
            </w:r>
            <w:r w:rsidR="00C57248">
              <w:t xml:space="preserve">in relation to gas projects using shared facilities. </w:t>
            </w:r>
          </w:p>
          <w:p w:rsidR="00863B38" w:rsidRDefault="005235C7" w:rsidP="00D73C1F">
            <w:r>
              <w:t>While the Callaghan review was rightly most concerned not to impose design change on existing projects</w:t>
            </w:r>
            <w:r w:rsidR="00CA0CC3">
              <w:t xml:space="preserve"> – in recognition of sovereign risk effects – </w:t>
            </w:r>
            <w:r w:rsidR="008E57A7">
              <w:t>considerable reduction in compliance and administration costs</w:t>
            </w:r>
            <w:r w:rsidR="00D73C1F">
              <w:t xml:space="preserve"> would be realised</w:t>
            </w:r>
            <w:r w:rsidR="008E57A7">
              <w:t xml:space="preserve">, with positive spin-offs to investment decision-making, </w:t>
            </w:r>
            <w:r w:rsidR="00CA0CC3">
              <w:t xml:space="preserve">if </w:t>
            </w:r>
            <w:r w:rsidR="00D73C1F">
              <w:t xml:space="preserve">the </w:t>
            </w:r>
            <w:r w:rsidR="00CA0CC3">
              <w:t>transition</w:t>
            </w:r>
            <w:r w:rsidR="00D73C1F">
              <w:t>ing</w:t>
            </w:r>
            <w:r w:rsidR="00CA0CC3">
              <w:t xml:space="preserve"> </w:t>
            </w:r>
            <w:r w:rsidR="008E57A7">
              <w:t xml:space="preserve">of existing projects </w:t>
            </w:r>
            <w:r w:rsidR="00CA0CC3">
              <w:t xml:space="preserve">to a simpler, more certain and less distortive single </w:t>
            </w:r>
            <w:r w:rsidR="00D73C1F">
              <w:t xml:space="preserve">PRRT </w:t>
            </w:r>
            <w:r w:rsidR="00CA0CC3">
              <w:t xml:space="preserve">regime could be achieved. </w:t>
            </w:r>
            <w:r>
              <w:t xml:space="preserve"> </w:t>
            </w:r>
            <w:r w:rsidR="00C57248">
              <w:t xml:space="preserve"> </w:t>
            </w:r>
            <w:r w:rsidR="00863B38">
              <w:t xml:space="preserve"> </w:t>
            </w:r>
          </w:p>
        </w:tc>
      </w:tr>
    </w:tbl>
    <w:p w:rsidR="00F905E1" w:rsidRDefault="00F905E1">
      <w:r>
        <w:t xml:space="preserve">  </w:t>
      </w:r>
    </w:p>
    <w:p w:rsidR="003F0450" w:rsidRDefault="003F0450">
      <w:r>
        <w:br w:type="page"/>
      </w:r>
    </w:p>
    <w:p w:rsidR="003F0450" w:rsidRPr="003933D9" w:rsidRDefault="003F0450">
      <w:pPr>
        <w:rPr>
          <w:b/>
        </w:rPr>
      </w:pPr>
      <w:r w:rsidRPr="003933D9">
        <w:rPr>
          <w:b/>
        </w:rPr>
        <w:lastRenderedPageBreak/>
        <w:t>ATTACHMENT: PRRT NEUTRALITY WHEN UPLIFT RATE DIFFERS FROM HURDLE RATE</w:t>
      </w:r>
    </w:p>
    <w:p w:rsidR="00CB619E" w:rsidRDefault="00CB619E" w:rsidP="003933D9">
      <w:pPr>
        <w:rPr>
          <w:b/>
        </w:rPr>
      </w:pPr>
      <w:r>
        <w:t>Th</w:t>
      </w:r>
      <w:r w:rsidR="00676F38">
        <w:t>e</w:t>
      </w:r>
      <w:r>
        <w:t xml:space="preserve"> analysis of a stylised petroleum project </w:t>
      </w:r>
      <w:r w:rsidR="00676F38">
        <w:t xml:space="preserve">in this attachment </w:t>
      </w:r>
      <w:r>
        <w:t xml:space="preserve">is </w:t>
      </w:r>
      <w:r w:rsidR="000C6508">
        <w:t>equivalent to</w:t>
      </w:r>
      <w:r>
        <w:t xml:space="preserve"> that </w:t>
      </w:r>
      <w:r w:rsidR="00676F38">
        <w:t>of</w:t>
      </w:r>
      <w:r>
        <w:t xml:space="preserve"> the two-year project in Box 4.1, page 73 in the Callaghan report.</w:t>
      </w:r>
    </w:p>
    <w:p w:rsidR="003933D9" w:rsidRPr="003933D9" w:rsidRDefault="003933D9" w:rsidP="003933D9">
      <w:pPr>
        <w:rPr>
          <w:b/>
        </w:rPr>
      </w:pPr>
      <w:r w:rsidRPr="003933D9">
        <w:rPr>
          <w:b/>
        </w:rPr>
        <w:t xml:space="preserve">Pure cash flow taxation  </w:t>
      </w:r>
    </w:p>
    <w:p w:rsidR="003F0450" w:rsidRDefault="00321ED4" w:rsidP="003933D9">
      <w:r>
        <w:t xml:space="preserve">Table 1 shows </w:t>
      </w:r>
      <w:r w:rsidR="003933D9">
        <w:t xml:space="preserve">how a pure cash flow (or Brown) tax bites only on above-normal profits </w:t>
      </w:r>
      <w:r>
        <w:t>perceived by an investor in the production phase of a proposed petroleum project</w:t>
      </w:r>
      <w:r w:rsidR="003933D9">
        <w:t xml:space="preserve">. </w:t>
      </w:r>
      <w:r>
        <w:t>The table has</w:t>
      </w:r>
      <w:r w:rsidR="003933D9">
        <w:t xml:space="preserve"> </w:t>
      </w:r>
      <w:r>
        <w:t>the</w:t>
      </w:r>
      <w:r w:rsidR="003933D9">
        <w:t xml:space="preserve"> investor using a 15% risk-weighted discount rate to assess the viability of </w:t>
      </w:r>
      <w:r>
        <w:t>the</w:t>
      </w:r>
      <w:r w:rsidR="003933D9">
        <w:t xml:space="preserve"> </w:t>
      </w:r>
      <w:r w:rsidR="00F03393">
        <w:t xml:space="preserve">highly stylised </w:t>
      </w:r>
      <w:r w:rsidR="003933D9">
        <w:t xml:space="preserve">project. Thus, this investor requires at least 15% pa return from expected cash flows of the prospective </w:t>
      </w:r>
      <w:r>
        <w:t>petroleum</w:t>
      </w:r>
      <w:r w:rsidR="003933D9">
        <w:t xml:space="preserve"> investment (which equates to zero NPV with discount rate matching that return). </w:t>
      </w:r>
    </w:p>
    <w:p w:rsidR="003933D9" w:rsidRPr="000A7173" w:rsidRDefault="003933D9" w:rsidP="003933D9">
      <w:pPr>
        <w:spacing w:after="0"/>
        <w:rPr>
          <w:b/>
        </w:rPr>
      </w:pPr>
      <w:r w:rsidRPr="000A7173">
        <w:rPr>
          <w:b/>
        </w:rPr>
        <w:t xml:space="preserve">TABLE </w:t>
      </w:r>
      <w:r w:rsidR="00950ACA">
        <w:rPr>
          <w:b/>
        </w:rPr>
        <w:t>1</w:t>
      </w:r>
    </w:p>
    <w:p w:rsidR="003933D9" w:rsidRDefault="003933D9" w:rsidP="003933D9">
      <w:pPr>
        <w:spacing w:after="0"/>
      </w:pPr>
      <w:r>
        <w:t xml:space="preserve">Cash flows of stylised </w:t>
      </w:r>
      <w:r w:rsidR="00321ED4">
        <w:t>petroleum</w:t>
      </w:r>
      <w:r>
        <w:t xml:space="preserve"> project subject to 40% cash flow tax (a)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843"/>
        <w:gridCol w:w="1701"/>
        <w:gridCol w:w="1701"/>
      </w:tblGrid>
      <w:tr w:rsidR="003933D9" w:rsidTr="002354E1">
        <w:tc>
          <w:tcPr>
            <w:tcW w:w="1384" w:type="dxa"/>
            <w:shd w:val="clear" w:color="auto" w:fill="F2F2F2"/>
          </w:tcPr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Year</w:t>
            </w:r>
          </w:p>
        </w:tc>
        <w:tc>
          <w:tcPr>
            <w:tcW w:w="1559" w:type="dxa"/>
            <w:shd w:val="clear" w:color="auto" w:fill="F2F2F2"/>
          </w:tcPr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Capital expenditure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$m</w:t>
            </w:r>
          </w:p>
        </w:tc>
        <w:tc>
          <w:tcPr>
            <w:tcW w:w="1418" w:type="dxa"/>
            <w:shd w:val="clear" w:color="auto" w:fill="F2F2F2"/>
          </w:tcPr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Net receipts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$m</w:t>
            </w:r>
          </w:p>
        </w:tc>
        <w:tc>
          <w:tcPr>
            <w:tcW w:w="1843" w:type="dxa"/>
            <w:shd w:val="clear" w:color="auto" w:fill="F2F2F2"/>
          </w:tcPr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Pre-tax cash flow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(d)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$m</w:t>
            </w:r>
          </w:p>
        </w:tc>
        <w:tc>
          <w:tcPr>
            <w:tcW w:w="1701" w:type="dxa"/>
            <w:shd w:val="clear" w:color="auto" w:fill="F2F2F2"/>
          </w:tcPr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Cash flow tax rebates/tax payments</w:t>
            </w:r>
            <w:r>
              <w:rPr>
                <w:b/>
              </w:rPr>
              <w:t xml:space="preserve"> (e)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$m</w:t>
            </w:r>
          </w:p>
        </w:tc>
        <w:tc>
          <w:tcPr>
            <w:tcW w:w="1701" w:type="dxa"/>
            <w:shd w:val="clear" w:color="auto" w:fill="F2F2F2"/>
          </w:tcPr>
          <w:p w:rsidR="003933D9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 xml:space="preserve">Post-tax cash flow 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(</w:t>
            </w:r>
            <w:r>
              <w:rPr>
                <w:b/>
              </w:rPr>
              <w:t>f</w:t>
            </w:r>
            <w:r w:rsidRPr="0090054B">
              <w:rPr>
                <w:b/>
              </w:rPr>
              <w:t>)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$m</w:t>
            </w:r>
          </w:p>
        </w:tc>
      </w:tr>
      <w:tr w:rsidR="003933D9" w:rsidTr="002354E1">
        <w:tc>
          <w:tcPr>
            <w:tcW w:w="1384" w:type="dxa"/>
            <w:shd w:val="clear" w:color="auto" w:fill="auto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 w:rsidRPr="0090054B">
              <w:rPr>
                <w:b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1000</w:t>
            </w:r>
          </w:p>
        </w:tc>
        <w:tc>
          <w:tcPr>
            <w:tcW w:w="1418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-1000</w:t>
            </w:r>
          </w:p>
        </w:tc>
        <w:tc>
          <w:tcPr>
            <w:tcW w:w="1701" w:type="dxa"/>
            <w:shd w:val="clear" w:color="auto" w:fill="auto"/>
          </w:tcPr>
          <w:p w:rsidR="003933D9" w:rsidRDefault="003933D9" w:rsidP="00F740EB">
            <w:pPr>
              <w:jc w:val="center"/>
            </w:pPr>
            <w:r>
              <w:t>-400 (</w:t>
            </w:r>
            <w:r w:rsidR="00F740EB">
              <w:t>g</w:t>
            </w:r>
            <w:r>
              <w:t>)</w:t>
            </w:r>
          </w:p>
        </w:tc>
        <w:tc>
          <w:tcPr>
            <w:tcW w:w="1701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-600</w:t>
            </w:r>
          </w:p>
        </w:tc>
      </w:tr>
      <w:tr w:rsidR="003933D9" w:rsidTr="002354E1">
        <w:tc>
          <w:tcPr>
            <w:tcW w:w="1384" w:type="dxa"/>
            <w:shd w:val="clear" w:color="auto" w:fill="auto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 w:rsidRPr="0090054B">
              <w:rPr>
                <w:b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</w:tr>
      <w:tr w:rsidR="003933D9" w:rsidTr="002354E1">
        <w:tc>
          <w:tcPr>
            <w:tcW w:w="1384" w:type="dxa"/>
            <w:shd w:val="clear" w:color="auto" w:fill="auto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 w:rsidRPr="0090054B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</w:tr>
      <w:tr w:rsidR="003933D9" w:rsidTr="002354E1">
        <w:tc>
          <w:tcPr>
            <w:tcW w:w="1384" w:type="dxa"/>
            <w:shd w:val="clear" w:color="auto" w:fill="auto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 w:rsidRPr="0090054B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780</w:t>
            </w:r>
          </w:p>
        </w:tc>
        <w:tc>
          <w:tcPr>
            <w:tcW w:w="1843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780</w:t>
            </w:r>
          </w:p>
        </w:tc>
        <w:tc>
          <w:tcPr>
            <w:tcW w:w="1701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312</w:t>
            </w:r>
          </w:p>
        </w:tc>
        <w:tc>
          <w:tcPr>
            <w:tcW w:w="1701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468</w:t>
            </w:r>
          </w:p>
        </w:tc>
      </w:tr>
      <w:tr w:rsidR="003933D9" w:rsidTr="002354E1">
        <w:tc>
          <w:tcPr>
            <w:tcW w:w="1384" w:type="dxa"/>
            <w:shd w:val="clear" w:color="auto" w:fill="auto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 w:rsidRPr="0090054B">
              <w:rPr>
                <w:b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662</w:t>
            </w:r>
          </w:p>
        </w:tc>
        <w:tc>
          <w:tcPr>
            <w:tcW w:w="1843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662</w:t>
            </w:r>
          </w:p>
        </w:tc>
        <w:tc>
          <w:tcPr>
            <w:tcW w:w="1701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265</w:t>
            </w:r>
          </w:p>
        </w:tc>
        <w:tc>
          <w:tcPr>
            <w:tcW w:w="1701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397</w:t>
            </w:r>
          </w:p>
        </w:tc>
      </w:tr>
      <w:tr w:rsidR="003933D9" w:rsidTr="002354E1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219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219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131</w:t>
            </w:r>
          </w:p>
        </w:tc>
      </w:tr>
      <w:tr w:rsidR="003933D9" w:rsidTr="002354E1">
        <w:tc>
          <w:tcPr>
            <w:tcW w:w="1384" w:type="dxa"/>
            <w:shd w:val="clear" w:color="auto" w:fill="F2F2F2"/>
          </w:tcPr>
          <w:p w:rsidR="003933D9" w:rsidRPr="0090054B" w:rsidRDefault="003933D9" w:rsidP="002354E1">
            <w:pPr>
              <w:rPr>
                <w:b/>
              </w:rPr>
            </w:pPr>
            <w:r w:rsidRPr="0090054B">
              <w:rPr>
                <w:b/>
              </w:rPr>
              <w:t>NPV @ 1</w:t>
            </w:r>
            <w:r>
              <w:rPr>
                <w:b/>
              </w:rPr>
              <w:t>5</w:t>
            </w:r>
            <w:r w:rsidRPr="0090054B">
              <w:rPr>
                <w:b/>
              </w:rPr>
              <w:t>%</w:t>
            </w:r>
          </w:p>
        </w:tc>
        <w:tc>
          <w:tcPr>
            <w:tcW w:w="1559" w:type="dxa"/>
            <w:shd w:val="clear" w:color="auto" w:fill="F2F2F2"/>
          </w:tcPr>
          <w:p w:rsidR="003933D9" w:rsidRDefault="003933D9" w:rsidP="002354E1"/>
        </w:tc>
        <w:tc>
          <w:tcPr>
            <w:tcW w:w="1418" w:type="dxa"/>
            <w:shd w:val="clear" w:color="auto" w:fill="F2F2F2"/>
          </w:tcPr>
          <w:p w:rsidR="003933D9" w:rsidRDefault="003933D9" w:rsidP="002354E1"/>
        </w:tc>
        <w:tc>
          <w:tcPr>
            <w:tcW w:w="1843" w:type="dxa"/>
            <w:shd w:val="clear" w:color="auto" w:fill="F2F2F2"/>
          </w:tcPr>
          <w:p w:rsidR="003933D9" w:rsidRPr="0090054B" w:rsidRDefault="003933D9" w:rsidP="00F740EB">
            <w:pPr>
              <w:jc w:val="center"/>
              <w:rPr>
                <w:b/>
              </w:rPr>
            </w:pPr>
            <w:r>
              <w:rPr>
                <w:b/>
              </w:rPr>
              <w:t>Zero</w:t>
            </w:r>
            <w:r w:rsidRPr="0090054B">
              <w:rPr>
                <w:b/>
              </w:rPr>
              <w:t xml:space="preserve"> (</w:t>
            </w:r>
            <w:r w:rsidR="00F740EB">
              <w:rPr>
                <w:b/>
              </w:rPr>
              <w:t>h</w:t>
            </w:r>
            <w:r w:rsidRPr="0090054B"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F2F2F2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>
              <w:rPr>
                <w:b/>
              </w:rPr>
              <w:t>Zero</w:t>
            </w:r>
          </w:p>
        </w:tc>
        <w:tc>
          <w:tcPr>
            <w:tcW w:w="1701" w:type="dxa"/>
            <w:shd w:val="clear" w:color="auto" w:fill="F2F2F2"/>
          </w:tcPr>
          <w:p w:rsidR="003933D9" w:rsidRPr="0090054B" w:rsidRDefault="003933D9" w:rsidP="00F740EB">
            <w:pPr>
              <w:jc w:val="center"/>
              <w:rPr>
                <w:b/>
              </w:rPr>
            </w:pPr>
            <w:r>
              <w:rPr>
                <w:b/>
              </w:rPr>
              <w:t>Zero</w:t>
            </w:r>
            <w:r w:rsidRPr="0090054B">
              <w:rPr>
                <w:b/>
              </w:rPr>
              <w:t xml:space="preserve"> (</w:t>
            </w:r>
            <w:r w:rsidR="00F740EB">
              <w:rPr>
                <w:b/>
              </w:rPr>
              <w:t>h</w:t>
            </w:r>
            <w:r w:rsidRPr="0090054B">
              <w:rPr>
                <w:b/>
              </w:rPr>
              <w:t>)</w:t>
            </w:r>
          </w:p>
        </w:tc>
      </w:tr>
      <w:tr w:rsidR="003933D9" w:rsidTr="002354E1">
        <w:tc>
          <w:tcPr>
            <w:tcW w:w="1384" w:type="dxa"/>
            <w:shd w:val="clear" w:color="auto" w:fill="F2F2F2"/>
          </w:tcPr>
          <w:p w:rsidR="003933D9" w:rsidRPr="0090054B" w:rsidRDefault="003933D9" w:rsidP="002354E1">
            <w:pPr>
              <w:rPr>
                <w:b/>
              </w:rPr>
            </w:pPr>
            <w:r w:rsidRPr="0090054B">
              <w:rPr>
                <w:b/>
              </w:rPr>
              <w:t xml:space="preserve">NPV @ </w:t>
            </w:r>
            <w:r>
              <w:rPr>
                <w:b/>
              </w:rPr>
              <w:t>5</w:t>
            </w:r>
            <w:r w:rsidRPr="0090054B">
              <w:rPr>
                <w:b/>
              </w:rPr>
              <w:t>%</w:t>
            </w:r>
          </w:p>
        </w:tc>
        <w:tc>
          <w:tcPr>
            <w:tcW w:w="1559" w:type="dxa"/>
            <w:shd w:val="clear" w:color="auto" w:fill="F2F2F2"/>
          </w:tcPr>
          <w:p w:rsidR="003933D9" w:rsidRDefault="003933D9" w:rsidP="002354E1"/>
        </w:tc>
        <w:tc>
          <w:tcPr>
            <w:tcW w:w="1418" w:type="dxa"/>
            <w:shd w:val="clear" w:color="auto" w:fill="F2F2F2"/>
          </w:tcPr>
          <w:p w:rsidR="003933D9" w:rsidRDefault="003933D9" w:rsidP="002354E1"/>
        </w:tc>
        <w:tc>
          <w:tcPr>
            <w:tcW w:w="1843" w:type="dxa"/>
            <w:shd w:val="clear" w:color="auto" w:fill="F2F2F2"/>
          </w:tcPr>
          <w:p w:rsidR="003933D9" w:rsidRPr="0090054B" w:rsidRDefault="003933D9" w:rsidP="00F740EB">
            <w:pPr>
              <w:jc w:val="center"/>
              <w:rPr>
                <w:b/>
              </w:rPr>
            </w:pPr>
            <w:r>
              <w:rPr>
                <w:b/>
              </w:rPr>
              <w:t>390</w:t>
            </w:r>
            <w:r w:rsidRPr="0090054B">
              <w:rPr>
                <w:b/>
              </w:rPr>
              <w:t xml:space="preserve"> (</w:t>
            </w:r>
            <w:r w:rsidR="00F740EB">
              <w:rPr>
                <w:b/>
              </w:rPr>
              <w:t>h</w:t>
            </w:r>
            <w:r w:rsidRPr="0090054B"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F2F2F2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1701" w:type="dxa"/>
            <w:shd w:val="clear" w:color="auto" w:fill="F2F2F2"/>
          </w:tcPr>
          <w:p w:rsidR="003933D9" w:rsidRPr="0090054B" w:rsidRDefault="003933D9" w:rsidP="00F740EB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  <w:r w:rsidRPr="0090054B">
              <w:rPr>
                <w:b/>
              </w:rPr>
              <w:t xml:space="preserve"> (</w:t>
            </w:r>
            <w:r w:rsidR="00F740EB">
              <w:rPr>
                <w:b/>
              </w:rPr>
              <w:t>h</w:t>
            </w:r>
            <w:r w:rsidRPr="0090054B">
              <w:rPr>
                <w:b/>
              </w:rPr>
              <w:t>)</w:t>
            </w:r>
          </w:p>
        </w:tc>
      </w:tr>
      <w:tr w:rsidR="003933D9" w:rsidTr="002354E1">
        <w:tc>
          <w:tcPr>
            <w:tcW w:w="1384" w:type="dxa"/>
            <w:shd w:val="clear" w:color="auto" w:fill="F2F2F2"/>
          </w:tcPr>
          <w:p w:rsidR="003933D9" w:rsidRPr="0090054B" w:rsidRDefault="003933D9" w:rsidP="00F740EB">
            <w:pPr>
              <w:rPr>
                <w:b/>
              </w:rPr>
            </w:pPr>
            <w:r w:rsidRPr="0090054B">
              <w:rPr>
                <w:b/>
              </w:rPr>
              <w:t>IRR</w:t>
            </w:r>
            <w:r>
              <w:rPr>
                <w:b/>
              </w:rPr>
              <w:t xml:space="preserve"> %</w:t>
            </w:r>
            <w:r w:rsidRPr="0090054B">
              <w:rPr>
                <w:b/>
              </w:rPr>
              <w:t xml:space="preserve"> (</w:t>
            </w:r>
            <w:r w:rsidR="00F740EB">
              <w:rPr>
                <w:b/>
              </w:rPr>
              <w:t>i</w:t>
            </w:r>
            <w:r w:rsidRPr="0090054B">
              <w:rPr>
                <w:b/>
              </w:rPr>
              <w:t>)</w:t>
            </w:r>
          </w:p>
        </w:tc>
        <w:tc>
          <w:tcPr>
            <w:tcW w:w="1559" w:type="dxa"/>
            <w:shd w:val="clear" w:color="auto" w:fill="F2F2F2"/>
          </w:tcPr>
          <w:p w:rsidR="003933D9" w:rsidRDefault="003933D9" w:rsidP="002354E1"/>
        </w:tc>
        <w:tc>
          <w:tcPr>
            <w:tcW w:w="1418" w:type="dxa"/>
            <w:shd w:val="clear" w:color="auto" w:fill="F2F2F2"/>
          </w:tcPr>
          <w:p w:rsidR="003933D9" w:rsidRDefault="003933D9" w:rsidP="002354E1"/>
        </w:tc>
        <w:tc>
          <w:tcPr>
            <w:tcW w:w="1843" w:type="dxa"/>
            <w:shd w:val="clear" w:color="auto" w:fill="F2F2F2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1" w:type="dxa"/>
            <w:shd w:val="clear" w:color="auto" w:fill="F2F2F2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1" w:type="dxa"/>
            <w:shd w:val="clear" w:color="auto" w:fill="F2F2F2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3933D9" w:rsidRPr="000F0585" w:rsidRDefault="003933D9" w:rsidP="003933D9">
      <w:pPr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>Immediate expensing of all costs and immediate cash rebates for tax losses, so that negative cash flow is cut by 40% rebate and positive cash flow is reduced by 40% tax.</w:t>
      </w:r>
    </w:p>
    <w:p w:rsidR="003933D9" w:rsidRPr="000F0585" w:rsidRDefault="003933D9" w:rsidP="003933D9">
      <w:pPr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>Only capital expenditure involved is $1000m up front.</w:t>
      </w:r>
    </w:p>
    <w:p w:rsidR="003933D9" w:rsidRPr="000F0585" w:rsidRDefault="003933D9" w:rsidP="003933D9">
      <w:pPr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>Gross receipts from product sale less operating costs.</w:t>
      </w:r>
    </w:p>
    <w:p w:rsidR="003933D9" w:rsidRPr="000F0585" w:rsidRDefault="003933D9" w:rsidP="003933D9">
      <w:pPr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 xml:space="preserve">Column (c) less Column (b). </w:t>
      </w:r>
    </w:p>
    <w:p w:rsidR="003933D9" w:rsidRPr="000F0585" w:rsidRDefault="003933D9" w:rsidP="003933D9">
      <w:pPr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>Pre-tax cash flow times tax rate (40%).</w:t>
      </w:r>
    </w:p>
    <w:p w:rsidR="003933D9" w:rsidRPr="000F0585" w:rsidRDefault="003933D9" w:rsidP="003933D9">
      <w:pPr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>Pre-tax cash flow less (negative) cash rebate and (positive) tax payments.</w:t>
      </w:r>
    </w:p>
    <w:p w:rsidR="003933D9" w:rsidRPr="000F0585" w:rsidRDefault="003933D9" w:rsidP="003933D9">
      <w:pPr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>Cash rebate equal to 40% of $1000m annual cash outflow.</w:t>
      </w:r>
    </w:p>
    <w:p w:rsidR="003933D9" w:rsidRPr="000F0585" w:rsidRDefault="003933D9" w:rsidP="003933D9">
      <w:pPr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 xml:space="preserve">Regardless of investor’s discount rate (unchanged after </w:t>
      </w:r>
      <w:r w:rsidR="006A3EC2" w:rsidRPr="000F0585">
        <w:rPr>
          <w:sz w:val="20"/>
          <w:szCs w:val="20"/>
        </w:rPr>
        <w:t xml:space="preserve">the </w:t>
      </w:r>
      <w:r w:rsidRPr="000F0585">
        <w:rPr>
          <w:sz w:val="20"/>
          <w:szCs w:val="20"/>
        </w:rPr>
        <w:t xml:space="preserve">tax), </w:t>
      </w:r>
      <w:r w:rsidR="00F740EB" w:rsidRPr="000F0585">
        <w:rPr>
          <w:sz w:val="20"/>
          <w:szCs w:val="20"/>
        </w:rPr>
        <w:t xml:space="preserve">post-tax NPV equals </w:t>
      </w:r>
      <w:r w:rsidRPr="000F0585">
        <w:rPr>
          <w:sz w:val="20"/>
          <w:szCs w:val="20"/>
        </w:rPr>
        <w:t xml:space="preserve">pre-tax NPV </w:t>
      </w:r>
      <w:r w:rsidR="00F740EB" w:rsidRPr="000F0585">
        <w:rPr>
          <w:sz w:val="20"/>
          <w:szCs w:val="20"/>
        </w:rPr>
        <w:t>cut</w:t>
      </w:r>
      <w:r w:rsidRPr="000F0585">
        <w:rPr>
          <w:sz w:val="20"/>
          <w:szCs w:val="20"/>
        </w:rPr>
        <w:t xml:space="preserve"> by 40% (the tax rate).</w:t>
      </w:r>
    </w:p>
    <w:p w:rsidR="003933D9" w:rsidRDefault="003933D9" w:rsidP="003933D9">
      <w:pPr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 xml:space="preserve">The project’s pre-tax 15% internal rate of return (the interest rate that produces a zero NPV for the project) is unaffected by cash flow taxation. </w:t>
      </w:r>
    </w:p>
    <w:p w:rsidR="000F0585" w:rsidRPr="000F0585" w:rsidRDefault="000F0585" w:rsidP="000F0585">
      <w:pPr>
        <w:spacing w:after="0"/>
        <w:ind w:left="714"/>
        <w:rPr>
          <w:sz w:val="20"/>
          <w:szCs w:val="20"/>
        </w:rPr>
      </w:pPr>
    </w:p>
    <w:p w:rsidR="003933D9" w:rsidRDefault="002E46B0" w:rsidP="003933D9">
      <w:r>
        <w:lastRenderedPageBreak/>
        <w:t>Table 1 illustrates the situation where the project is of marginal viability before tax because the 15% pa before tax return it is offering (Column (d)) just matches the investor’s hurdle rate</w:t>
      </w:r>
      <w:r w:rsidR="00082CD8">
        <w:t xml:space="preserve"> (and pre-tax NPV is zero with discounting at the hurdle rate)</w:t>
      </w:r>
      <w:r>
        <w:t xml:space="preserve">. </w:t>
      </w:r>
      <w:r w:rsidR="003933D9">
        <w:t xml:space="preserve">The </w:t>
      </w:r>
      <w:r w:rsidR="00950ACA">
        <w:t>project</w:t>
      </w:r>
      <w:r w:rsidR="003933D9">
        <w:t xml:space="preserve">’s 15% pa pre-tax return comes from $1000m of </w:t>
      </w:r>
      <w:r w:rsidR="00D4664D">
        <w:t>general</w:t>
      </w:r>
      <w:r w:rsidR="003933D9">
        <w:t xml:space="preserve"> expenditure at start Year 1 (Year 0) followed by a characteristic time lag (when further expenditures would be made in practice) before realisation of delayed net receipts (sales revenue less operating costs, including closing</w:t>
      </w:r>
      <w:r w:rsidR="00CB619E">
        <w:t>-</w:t>
      </w:r>
      <w:r w:rsidR="003933D9">
        <w:t xml:space="preserve">down expenditure) in Years 3, 4 and 5. The </w:t>
      </w:r>
      <w:r w:rsidR="00D4664D">
        <w:t>petroleum</w:t>
      </w:r>
      <w:r w:rsidR="003933D9">
        <w:t xml:space="preserve"> assets are scrapped for nil value at end Year 5. </w:t>
      </w:r>
    </w:p>
    <w:p w:rsidR="003933D9" w:rsidRDefault="00950ACA" w:rsidP="003933D9">
      <w:r>
        <w:t xml:space="preserve">Table 1 </w:t>
      </w:r>
      <w:r w:rsidR="00CB619E">
        <w:t xml:space="preserve">also </w:t>
      </w:r>
      <w:r>
        <w:t xml:space="preserve">shows the effect of imposing a </w:t>
      </w:r>
      <w:r w:rsidR="003933D9">
        <w:t xml:space="preserve">40% cash flow tax on the project. </w:t>
      </w:r>
      <w:r w:rsidR="00076C07">
        <w:t>Under the tax, t</w:t>
      </w:r>
      <w:r w:rsidR="003933D9">
        <w:t>he investor receives cash payments that cut negative cash flow</w:t>
      </w:r>
      <w:r w:rsidR="00CB619E">
        <w:t>s</w:t>
      </w:r>
      <w:r w:rsidR="003933D9">
        <w:t xml:space="preserve"> by 40% and pays tax </w:t>
      </w:r>
      <w:r w:rsidR="00CB619E">
        <w:t xml:space="preserve">at 40% on positive cash flows </w:t>
      </w:r>
      <w:r w:rsidR="00076C07">
        <w:t>(Column (e))</w:t>
      </w:r>
      <w:r w:rsidR="003933D9">
        <w:t xml:space="preserve">. With all negative and positive cash flows </w:t>
      </w:r>
      <w:r w:rsidR="00CB619E">
        <w:t>cut</w:t>
      </w:r>
      <w:r w:rsidR="003933D9">
        <w:t xml:space="preserve"> by 40%, post-tax cash flow in Table </w:t>
      </w:r>
      <w:r w:rsidR="00076C07">
        <w:t>1</w:t>
      </w:r>
      <w:r w:rsidR="003933D9">
        <w:t xml:space="preserve"> (last column) still provides the investor with a 15% return </w:t>
      </w:r>
      <w:r w:rsidR="00076C07">
        <w:t xml:space="preserve">after tax </w:t>
      </w:r>
      <w:r w:rsidR="003933D9">
        <w:t xml:space="preserve">(and </w:t>
      </w:r>
      <w:r w:rsidR="00082CD8">
        <w:t>again</w:t>
      </w:r>
      <w:r w:rsidR="003933D9">
        <w:t xml:space="preserve"> zero NPV with discounting at the investor’s unchanged discount rate).</w:t>
      </w:r>
    </w:p>
    <w:p w:rsidR="003933D9" w:rsidRDefault="003933D9" w:rsidP="003933D9">
      <w:r>
        <w:t xml:space="preserve">With the </w:t>
      </w:r>
      <w:r w:rsidR="00D4664D">
        <w:t>petroleum</w:t>
      </w:r>
      <w:r>
        <w:t xml:space="preserve"> project subject to 40% cash flow tax, th</w:t>
      </w:r>
      <w:r w:rsidR="005077DB">
        <w:t>is</w:t>
      </w:r>
      <w:r>
        <w:t xml:space="preserve"> investor looking at the stream of government cash rebates in Year 0 and tax payments in Years 3, 4 and 5 (Column (e)) finds that no tax </w:t>
      </w:r>
      <w:r w:rsidR="00CB619E">
        <w:t>is</w:t>
      </w:r>
      <w:r>
        <w:t xml:space="preserve"> paid in discounted terms. Tax payments associated with the investment (in its later years) discounted at 15% just balance the up-front $400m cash rebate to provide a zero NPV. But </w:t>
      </w:r>
      <w:r w:rsidR="00CB619E">
        <w:t>were</w:t>
      </w:r>
      <w:r>
        <w:t xml:space="preserve"> the investment </w:t>
      </w:r>
      <w:r w:rsidR="00CB619E">
        <w:t xml:space="preserve">to </w:t>
      </w:r>
      <w:r>
        <w:t xml:space="preserve">earn more than 15% – earning above-normal profits from the investor's point of view – the investor would then see government taking out more than it put in. Similarly, Table </w:t>
      </w:r>
      <w:r w:rsidR="005077DB">
        <w:t>1</w:t>
      </w:r>
      <w:r>
        <w:t xml:space="preserve"> shows that, if the investor uses a 5% discount rate rather than 15%, the investor would view the project’s tax payments as exceeding the early cash rebate by $156m in discounted terms (reducing </w:t>
      </w:r>
      <w:r w:rsidR="00B96D4D">
        <w:t>$390</w:t>
      </w:r>
      <w:r w:rsidR="00513ED0">
        <w:t>m</w:t>
      </w:r>
      <w:r w:rsidR="00B96D4D">
        <w:t xml:space="preserve"> </w:t>
      </w:r>
      <w:r w:rsidR="00BB5C84">
        <w:t xml:space="preserve">pre-tax </w:t>
      </w:r>
      <w:r>
        <w:t xml:space="preserve">NPV </w:t>
      </w:r>
      <w:r w:rsidR="00BB5C84">
        <w:t xml:space="preserve">by that amount </w:t>
      </w:r>
      <w:r w:rsidR="005077DB">
        <w:t>to $234</w:t>
      </w:r>
      <w:r w:rsidR="00513ED0">
        <w:t>m</w:t>
      </w:r>
      <w:r w:rsidR="00BB5C84">
        <w:t xml:space="preserve"> after tax</w:t>
      </w:r>
      <w:r>
        <w:t>). Above-normal profits perceived by the investor (profit above the investor’s 5% required return) would be seen by the investor as being subject to tax.</w:t>
      </w:r>
    </w:p>
    <w:p w:rsidR="003933D9" w:rsidRDefault="00D4664D" w:rsidP="003933D9">
      <w:pPr>
        <w:spacing w:after="0"/>
      </w:pPr>
      <w:r>
        <w:t>E</w:t>
      </w:r>
      <w:r w:rsidR="003933D9">
        <w:t xml:space="preserve">conomic rent (or above-normal profit more generally) is in the eye of the investor and the inherent design of cash flow taxation allows that personal view of economic rent to play out. </w:t>
      </w:r>
    </w:p>
    <w:p w:rsidR="003933D9" w:rsidRDefault="003933D9" w:rsidP="003933D9">
      <w:pPr>
        <w:spacing w:after="0"/>
      </w:pPr>
    </w:p>
    <w:p w:rsidR="003933D9" w:rsidRPr="003933D9" w:rsidRDefault="00E12CBD" w:rsidP="003933D9">
      <w:pPr>
        <w:rPr>
          <w:b/>
        </w:rPr>
      </w:pPr>
      <w:r>
        <w:rPr>
          <w:b/>
        </w:rPr>
        <w:t xml:space="preserve">PRRT with 5% uplift rate reflecting minimal risk of losing deductions </w:t>
      </w:r>
      <w:r w:rsidR="003933D9" w:rsidRPr="003933D9">
        <w:rPr>
          <w:b/>
        </w:rPr>
        <w:t xml:space="preserve"> </w:t>
      </w:r>
    </w:p>
    <w:p w:rsidR="003933D9" w:rsidRDefault="003933D9" w:rsidP="003933D9">
      <w:r>
        <w:t xml:space="preserve">Table </w:t>
      </w:r>
      <w:r w:rsidR="00CE76A6">
        <w:t>2</w:t>
      </w:r>
      <w:r>
        <w:t xml:space="preserve"> </w:t>
      </w:r>
      <w:r w:rsidR="000313CF">
        <w:t>applies the PRRT to</w:t>
      </w:r>
      <w:r>
        <w:t xml:space="preserve"> the project in Table </w:t>
      </w:r>
      <w:r w:rsidR="00CE76A6">
        <w:t>1</w:t>
      </w:r>
      <w:r>
        <w:t xml:space="preserve"> </w:t>
      </w:r>
      <w:r w:rsidR="00E1405F">
        <w:t>with</w:t>
      </w:r>
      <w:r>
        <w:t xml:space="preserve"> </w:t>
      </w:r>
      <w:r w:rsidR="00E1405F">
        <w:t xml:space="preserve">loss </w:t>
      </w:r>
      <w:r>
        <w:t xml:space="preserve">uplift rate </w:t>
      </w:r>
      <w:r w:rsidR="00E1405F">
        <w:t xml:space="preserve">for general expenditures set at LTBR of 5%, the rate consistent with negligible risk of losing carried-forward losses in </w:t>
      </w:r>
      <w:r w:rsidR="00CB619E">
        <w:t xml:space="preserve">the </w:t>
      </w:r>
      <w:r w:rsidR="00E1405F">
        <w:t xml:space="preserve">production phase. </w:t>
      </w:r>
      <w:r>
        <w:t xml:space="preserve">In contrast to outcomes in Table </w:t>
      </w:r>
      <w:r w:rsidR="00CE76A6">
        <w:t>1</w:t>
      </w:r>
      <w:r>
        <w:t xml:space="preserve"> under full loss offset, in Table </w:t>
      </w:r>
      <w:r w:rsidR="00CE76A6">
        <w:t>2</w:t>
      </w:r>
      <w:r>
        <w:t xml:space="preserve"> (where losses are carried forward at 5% pa) the project after tax has an overall return of 11.5%</w:t>
      </w:r>
      <w:r w:rsidR="00CB619E">
        <w:t xml:space="preserve"> pa</w:t>
      </w:r>
      <w:r>
        <w:t xml:space="preserve"> and NPV of</w:t>
      </w:r>
      <w:r w:rsidR="00E1405F">
        <w:t xml:space="preserve"> </w:t>
      </w:r>
      <w:r>
        <w:t>-$104m with discounting at 15% (Column (</w:t>
      </w:r>
      <w:r w:rsidR="00CE76A6">
        <w:t>f</w:t>
      </w:r>
      <w:r>
        <w:t xml:space="preserve">)). Taken on face value, these post-tax results show 15% pre-tax return reduced to 11.5% and zero NPV turned negative for the investor with a 15% discount rate. These outcomes suggest the project, marginal before tax, has been made sub-marginal by the imposition of </w:t>
      </w:r>
      <w:r w:rsidR="00E1405F">
        <w:t>PRRT with 5% uplift rate</w:t>
      </w:r>
      <w:r>
        <w:t>.</w:t>
      </w:r>
    </w:p>
    <w:p w:rsidR="00A53AEB" w:rsidRDefault="00E1405F" w:rsidP="003933D9">
      <w:r>
        <w:t>The problem with this interpretation of post-tax cash flows is that overall post-</w:t>
      </w:r>
      <w:r w:rsidR="00082CD8">
        <w:t>PRRT</w:t>
      </w:r>
      <w:r>
        <w:t xml:space="preserve"> cash flows in Column (f) contain </w:t>
      </w:r>
      <w:r w:rsidR="00C5086B">
        <w:t xml:space="preserve">a mixture of </w:t>
      </w:r>
      <w:r w:rsidR="00082CD8">
        <w:t xml:space="preserve">two </w:t>
      </w:r>
      <w:r w:rsidR="00C5086B">
        <w:t>cash flows with very different risks</w:t>
      </w:r>
      <w:r w:rsidR="00CB619E">
        <w:t>. Table 1 s</w:t>
      </w:r>
      <w:r w:rsidR="00082CD8">
        <w:t>plit</w:t>
      </w:r>
      <w:r w:rsidR="00CB619E">
        <w:t xml:space="preserve">s aggregated post-tax flows of Column (f) into </w:t>
      </w:r>
      <w:r w:rsidR="00082CD8">
        <w:t xml:space="preserve">these two </w:t>
      </w:r>
      <w:r w:rsidR="00CB619E">
        <w:t>flows exhibiting very different risks</w:t>
      </w:r>
      <w:r w:rsidR="00C5086B">
        <w:t xml:space="preserve">: </w:t>
      </w:r>
      <w:r w:rsidR="00CB619E">
        <w:t xml:space="preserve">in Column (g), </w:t>
      </w:r>
      <w:r w:rsidR="00645F5B">
        <w:t xml:space="preserve">those possible </w:t>
      </w:r>
      <w:r w:rsidR="00780F9C">
        <w:t xml:space="preserve">post-tax </w:t>
      </w:r>
      <w:r w:rsidR="00645F5B">
        <w:t xml:space="preserve">flows with </w:t>
      </w:r>
      <w:r w:rsidR="005261AA">
        <w:t>a</w:t>
      </w:r>
      <w:r w:rsidR="00645F5B">
        <w:t xml:space="preserve"> wide range </w:t>
      </w:r>
      <w:r w:rsidR="005035E6">
        <w:t xml:space="preserve">of project </w:t>
      </w:r>
      <w:r w:rsidR="00645F5B">
        <w:t xml:space="preserve">risks justifying a 15% hurdle rate (pre-tax flows </w:t>
      </w:r>
      <w:r w:rsidR="00780F9C">
        <w:t>all cut 40% by the Brown tax effect</w:t>
      </w:r>
      <w:r w:rsidR="005035E6">
        <w:t>,</w:t>
      </w:r>
      <w:r w:rsidR="00E906B1">
        <w:t xml:space="preserve"> matching the flows in the last column of Table 1</w:t>
      </w:r>
      <w:r w:rsidR="00780F9C">
        <w:t>)</w:t>
      </w:r>
      <w:r w:rsidR="00C5086B">
        <w:t>; and</w:t>
      </w:r>
      <w:r w:rsidR="005035E6">
        <w:t>, in Column (h),</w:t>
      </w:r>
      <w:r w:rsidR="00C5086B">
        <w:t xml:space="preserve"> those </w:t>
      </w:r>
      <w:r w:rsidR="005035E6">
        <w:t xml:space="preserve">flows </w:t>
      </w:r>
      <w:r w:rsidR="00C5086B">
        <w:t>that involve minimal risk</w:t>
      </w:r>
      <w:r w:rsidR="005261AA">
        <w:t>. The flows in Column</w:t>
      </w:r>
      <w:r w:rsidR="00A53AEB">
        <w:t xml:space="preserve"> </w:t>
      </w:r>
      <w:r w:rsidR="005261AA">
        <w:t xml:space="preserve">(h) are a minimal-risk asset to the investor because there is minimal risk of not being able to offset </w:t>
      </w:r>
      <w:r w:rsidR="00CE76A6">
        <w:t xml:space="preserve">PRRT </w:t>
      </w:r>
      <w:r w:rsidR="005261AA">
        <w:t xml:space="preserve">losses uplifted at 5% against </w:t>
      </w:r>
      <w:r w:rsidR="005261AA">
        <w:lastRenderedPageBreak/>
        <w:t xml:space="preserve">the project’s net receipts.  This minimal-risk asset </w:t>
      </w:r>
      <w:r w:rsidR="00CE76A6">
        <w:t>comprises the</w:t>
      </w:r>
      <w:r w:rsidR="005261AA">
        <w:t xml:space="preserve"> forgoing </w:t>
      </w:r>
      <w:r w:rsidR="00082CD8">
        <w:t xml:space="preserve">under the PRRT </w:t>
      </w:r>
      <w:r w:rsidR="0031713E">
        <w:t xml:space="preserve">of </w:t>
      </w:r>
      <w:r w:rsidR="005261AA">
        <w:t xml:space="preserve">the </w:t>
      </w:r>
      <w:r w:rsidR="00082CD8">
        <w:t xml:space="preserve">up-front </w:t>
      </w:r>
      <w:r w:rsidR="005261AA">
        <w:t>shortfall in cash rebates of a Brown tax, in the knowledge that there is minimal risk that the amount forgone up</w:t>
      </w:r>
      <w:r w:rsidR="00CE76A6">
        <w:t xml:space="preserve"> </w:t>
      </w:r>
      <w:r w:rsidR="005261AA">
        <w:t>front will not be repaid with interest (uplift) via later</w:t>
      </w:r>
      <w:r w:rsidR="00082CD8">
        <w:t xml:space="preserve"> </w:t>
      </w:r>
      <w:r w:rsidR="00FC42EE">
        <w:t>tax</w:t>
      </w:r>
      <w:r w:rsidR="005261AA">
        <w:t xml:space="preserve"> payments</w:t>
      </w:r>
      <w:r w:rsidR="00082CD8">
        <w:t xml:space="preserve"> reduced below </w:t>
      </w:r>
      <w:r w:rsidR="00FC42EE">
        <w:t xml:space="preserve">those payable under a Brown tax </w:t>
      </w:r>
      <w:r w:rsidR="005261AA">
        <w:t xml:space="preserve">(with LTBR uplift rate reflecting these circumstances where it is just a matter of time before the </w:t>
      </w:r>
      <w:r w:rsidR="00CE76A6">
        <w:t>shortfall</w:t>
      </w:r>
      <w:r w:rsidR="005261AA">
        <w:t xml:space="preserve"> is repaid). </w:t>
      </w:r>
    </w:p>
    <w:p w:rsidR="00E1405F" w:rsidRDefault="00FC42EE" w:rsidP="003933D9">
      <w:r>
        <w:t>The minimal-risk asset</w:t>
      </w:r>
      <w:r w:rsidR="00A53AEB">
        <w:t xml:space="preserve"> in Column (h)</w:t>
      </w:r>
      <w:r w:rsidR="00E1405F">
        <w:t xml:space="preserve"> is computed in Table </w:t>
      </w:r>
      <w:r w:rsidR="00056317">
        <w:t>2</w:t>
      </w:r>
      <w:r w:rsidR="00E1405F">
        <w:t xml:space="preserve"> </w:t>
      </w:r>
      <w:r w:rsidR="0031713E">
        <w:t xml:space="preserve">simply </w:t>
      </w:r>
      <w:r w:rsidR="00E1405F">
        <w:t xml:space="preserve">from the difference between </w:t>
      </w:r>
      <w:r>
        <w:t>aggregated post-PRRT</w:t>
      </w:r>
      <w:r w:rsidR="00E1405F">
        <w:t xml:space="preserve"> cash flow in Column (f) and </w:t>
      </w:r>
      <w:r>
        <w:t xml:space="preserve">alternative post-Brown tax </w:t>
      </w:r>
      <w:r w:rsidR="00E1405F">
        <w:t xml:space="preserve">cash flow in Column (g). The deficiency of $400m in Year 0 </w:t>
      </w:r>
      <w:r>
        <w:t xml:space="preserve">from lack of cash rebates under PRRT </w:t>
      </w:r>
      <w:r w:rsidR="00E1405F">
        <w:t>is shown in Column (h) to be fully recovered via lower tax payments (relative to cash flow taxation) of $312m in Year 3</w:t>
      </w:r>
      <w:r w:rsidR="00BB3B69">
        <w:t xml:space="preserve"> (where nil PRRT is paid versus $312</w:t>
      </w:r>
      <w:r w:rsidR="00513ED0">
        <w:t>m</w:t>
      </w:r>
      <w:r w:rsidR="00BB3B69">
        <w:t>, or $780</w:t>
      </w:r>
      <w:r w:rsidR="00513ED0">
        <w:t>m</w:t>
      </w:r>
      <w:r w:rsidR="00BB3B69">
        <w:t xml:space="preserve"> x 0.4, Brown tax)</w:t>
      </w:r>
      <w:r w:rsidR="00E1405F">
        <w:t xml:space="preserve"> and $159m </w:t>
      </w:r>
      <w:r w:rsidR="00BB3B69">
        <w:t xml:space="preserve">in Year 4 </w:t>
      </w:r>
      <w:r w:rsidR="00E1405F">
        <w:t>($106m</w:t>
      </w:r>
      <w:r w:rsidR="00056317">
        <w:t xml:space="preserve"> PRRT paid</w:t>
      </w:r>
      <w:r w:rsidR="00E1405F">
        <w:t xml:space="preserve"> versus $</w:t>
      </w:r>
      <w:r w:rsidR="00BB3B69">
        <w:t>265</w:t>
      </w:r>
      <w:r w:rsidR="00E1405F">
        <w:t>m</w:t>
      </w:r>
      <w:r w:rsidR="00BB3B69">
        <w:t xml:space="preserve">, or </w:t>
      </w:r>
      <w:r w:rsidR="00EA660C">
        <w:t>$662</w:t>
      </w:r>
      <w:r w:rsidR="00513ED0">
        <w:t>m</w:t>
      </w:r>
      <w:r w:rsidR="00EA660C">
        <w:t xml:space="preserve"> x 0.4,</w:t>
      </w:r>
      <w:r w:rsidR="008077B0">
        <w:t xml:space="preserve"> Brown tax</w:t>
      </w:r>
      <w:r w:rsidR="00E1405F">
        <w:t xml:space="preserve">). These lower tax payments arise because the </w:t>
      </w:r>
      <w:r w:rsidR="00E906B1">
        <w:t xml:space="preserve">PRRT </w:t>
      </w:r>
      <w:r w:rsidR="00E1405F">
        <w:t>loss associated with the $1000m</w:t>
      </w:r>
      <w:r w:rsidR="008077B0">
        <w:t xml:space="preserve"> </w:t>
      </w:r>
      <w:r w:rsidR="00E1405F">
        <w:t>up-front outlay is compounded forward at 5% and offset against project net receipts in those years.</w:t>
      </w:r>
      <w:r w:rsidR="0011333D">
        <w:t xml:space="preserve"> What would have been a $400m cash rebate in Year 0 under pure cash flow taxation becomes $312m and $159m of lower tax </w:t>
      </w:r>
      <w:r w:rsidR="008077B0">
        <w:t>payments</w:t>
      </w:r>
      <w:r w:rsidR="0011333D">
        <w:t xml:space="preserve"> in Years 3 and 4, respectively.  </w:t>
      </w:r>
    </w:p>
    <w:p w:rsidR="003933D9" w:rsidRPr="000A7173" w:rsidRDefault="003933D9" w:rsidP="003933D9">
      <w:pPr>
        <w:spacing w:after="0"/>
        <w:rPr>
          <w:b/>
        </w:rPr>
      </w:pPr>
      <w:r w:rsidRPr="000A7173">
        <w:rPr>
          <w:b/>
        </w:rPr>
        <w:t xml:space="preserve">TABLE </w:t>
      </w:r>
      <w:r w:rsidR="0031713E">
        <w:rPr>
          <w:b/>
        </w:rPr>
        <w:t>2</w:t>
      </w:r>
    </w:p>
    <w:p w:rsidR="003933D9" w:rsidRDefault="003933D9" w:rsidP="003933D9">
      <w:pPr>
        <w:spacing w:after="0"/>
      </w:pPr>
      <w:r>
        <w:t xml:space="preserve">Cash flows of stylised </w:t>
      </w:r>
      <w:r w:rsidR="0011333D">
        <w:t>petroleum</w:t>
      </w:r>
      <w:r>
        <w:t xml:space="preserve"> project subject to 40% </w:t>
      </w:r>
      <w:r w:rsidR="0011333D">
        <w:t>PRRT</w:t>
      </w:r>
      <w:r>
        <w:t xml:space="preserve"> (a)</w:t>
      </w:r>
    </w:p>
    <w:tbl>
      <w:tblPr>
        <w:tblW w:w="949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907"/>
        <w:gridCol w:w="938"/>
        <w:gridCol w:w="1070"/>
        <w:gridCol w:w="1070"/>
        <w:gridCol w:w="1070"/>
        <w:gridCol w:w="938"/>
        <w:gridCol w:w="1202"/>
        <w:gridCol w:w="1202"/>
      </w:tblGrid>
      <w:tr w:rsidR="003933D9" w:rsidTr="002354E1">
        <w:tc>
          <w:tcPr>
            <w:tcW w:w="1096" w:type="dxa"/>
            <w:shd w:val="clear" w:color="auto" w:fill="F2F2F2"/>
          </w:tcPr>
          <w:p w:rsidR="003933D9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Year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7" w:type="dxa"/>
            <w:shd w:val="clear" w:color="auto" w:fill="F2F2F2"/>
          </w:tcPr>
          <w:p w:rsidR="003933D9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Capital expenditure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$m</w:t>
            </w:r>
          </w:p>
        </w:tc>
        <w:tc>
          <w:tcPr>
            <w:tcW w:w="938" w:type="dxa"/>
            <w:shd w:val="clear" w:color="auto" w:fill="F2F2F2"/>
          </w:tcPr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Net receipts</w:t>
            </w:r>
          </w:p>
          <w:p w:rsidR="003933D9" w:rsidRDefault="003933D9" w:rsidP="002354E1">
            <w:pPr>
              <w:spacing w:after="0"/>
              <w:jc w:val="center"/>
              <w:rPr>
                <w:b/>
              </w:rPr>
            </w:pP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$m</w:t>
            </w:r>
          </w:p>
        </w:tc>
        <w:tc>
          <w:tcPr>
            <w:tcW w:w="1070" w:type="dxa"/>
            <w:shd w:val="clear" w:color="auto" w:fill="F2F2F2"/>
          </w:tcPr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Pre-tax cash flow</w:t>
            </w:r>
          </w:p>
          <w:p w:rsidR="003933D9" w:rsidRDefault="003933D9" w:rsidP="002354E1">
            <w:pPr>
              <w:spacing w:after="0"/>
              <w:jc w:val="center"/>
              <w:rPr>
                <w:b/>
              </w:rPr>
            </w:pP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$m</w:t>
            </w:r>
          </w:p>
        </w:tc>
        <w:tc>
          <w:tcPr>
            <w:tcW w:w="1070" w:type="dxa"/>
            <w:shd w:val="clear" w:color="auto" w:fill="F2F2F2"/>
          </w:tcPr>
          <w:p w:rsidR="003933D9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Base after loss uplift </w:t>
            </w:r>
          </w:p>
          <w:p w:rsidR="003933D9" w:rsidRDefault="003933D9" w:rsidP="002354E1">
            <w:pPr>
              <w:spacing w:after="0"/>
              <w:jc w:val="center"/>
              <w:rPr>
                <w:b/>
              </w:rPr>
            </w:pPr>
          </w:p>
          <w:p w:rsidR="003933D9" w:rsidRDefault="003933D9" w:rsidP="002354E1">
            <w:pPr>
              <w:spacing w:after="0"/>
              <w:jc w:val="center"/>
              <w:rPr>
                <w:b/>
              </w:rPr>
            </w:pPr>
          </w:p>
          <w:p w:rsidR="003933D9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(d)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$m</w:t>
            </w:r>
          </w:p>
        </w:tc>
        <w:tc>
          <w:tcPr>
            <w:tcW w:w="1070" w:type="dxa"/>
            <w:shd w:val="clear" w:color="auto" w:fill="F2F2F2"/>
          </w:tcPr>
          <w:p w:rsidR="003933D9" w:rsidRDefault="00AC6D6F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PRRT</w:t>
            </w:r>
            <w:r w:rsidR="003933D9">
              <w:rPr>
                <w:b/>
              </w:rPr>
              <w:t xml:space="preserve"> payments</w:t>
            </w:r>
          </w:p>
          <w:p w:rsidR="003933D9" w:rsidRDefault="003933D9" w:rsidP="002354E1">
            <w:pPr>
              <w:spacing w:after="0"/>
              <w:jc w:val="center"/>
              <w:rPr>
                <w:b/>
              </w:rPr>
            </w:pPr>
          </w:p>
          <w:p w:rsidR="003933D9" w:rsidRDefault="003933D9" w:rsidP="002354E1">
            <w:pPr>
              <w:spacing w:after="0"/>
              <w:jc w:val="center"/>
              <w:rPr>
                <w:b/>
              </w:rPr>
            </w:pPr>
          </w:p>
          <w:p w:rsidR="003933D9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(e)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$m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shd w:val="clear" w:color="auto" w:fill="F2F2F2"/>
          </w:tcPr>
          <w:p w:rsidR="003933D9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Post-tax cash flow </w:t>
            </w:r>
          </w:p>
          <w:p w:rsidR="003933D9" w:rsidRDefault="003933D9" w:rsidP="002354E1">
            <w:pPr>
              <w:spacing w:after="0"/>
              <w:jc w:val="center"/>
              <w:rPr>
                <w:b/>
              </w:rPr>
            </w:pPr>
          </w:p>
          <w:p w:rsidR="003933D9" w:rsidRDefault="003933D9" w:rsidP="002354E1">
            <w:pPr>
              <w:spacing w:after="0"/>
              <w:jc w:val="center"/>
              <w:rPr>
                <w:b/>
              </w:rPr>
            </w:pPr>
          </w:p>
          <w:p w:rsidR="003933D9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(f)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$m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</w:tcPr>
          <w:p w:rsidR="003933D9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 xml:space="preserve">Cash flow </w:t>
            </w:r>
            <w:r>
              <w:rPr>
                <w:b/>
              </w:rPr>
              <w:t>after pure cash flow tax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(g)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$m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3933D9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90054B">
              <w:rPr>
                <w:b/>
              </w:rPr>
              <w:t>ash flow</w:t>
            </w:r>
            <w:r>
              <w:rPr>
                <w:b/>
              </w:rPr>
              <w:t xml:space="preserve"> (f) less (g)</w:t>
            </w:r>
          </w:p>
          <w:p w:rsidR="003933D9" w:rsidRDefault="003933D9" w:rsidP="002354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8077B0">
              <w:rPr>
                <w:b/>
              </w:rPr>
              <w:t>low</w:t>
            </w:r>
            <w:r>
              <w:rPr>
                <w:b/>
              </w:rPr>
              <w:t>-</w:t>
            </w:r>
            <w:r w:rsidR="008077B0">
              <w:rPr>
                <w:b/>
              </w:rPr>
              <w:t xml:space="preserve">risk </w:t>
            </w:r>
            <w:r>
              <w:rPr>
                <w:b/>
              </w:rPr>
              <w:t>asset)</w:t>
            </w:r>
            <w:r w:rsidRPr="0090054B">
              <w:rPr>
                <w:b/>
              </w:rPr>
              <w:t xml:space="preserve"> 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(</w:t>
            </w:r>
            <w:r>
              <w:rPr>
                <w:b/>
              </w:rPr>
              <w:t>h</w:t>
            </w:r>
            <w:r w:rsidRPr="0090054B">
              <w:rPr>
                <w:b/>
              </w:rPr>
              <w:t>)</w:t>
            </w:r>
          </w:p>
          <w:p w:rsidR="003933D9" w:rsidRPr="0090054B" w:rsidRDefault="003933D9" w:rsidP="002354E1">
            <w:pPr>
              <w:spacing w:after="0"/>
              <w:jc w:val="center"/>
              <w:rPr>
                <w:b/>
              </w:rPr>
            </w:pPr>
            <w:r w:rsidRPr="0090054B">
              <w:rPr>
                <w:b/>
              </w:rPr>
              <w:t>$m</w:t>
            </w:r>
          </w:p>
        </w:tc>
      </w:tr>
      <w:tr w:rsidR="003933D9" w:rsidTr="002354E1">
        <w:tc>
          <w:tcPr>
            <w:tcW w:w="1096" w:type="dxa"/>
            <w:shd w:val="clear" w:color="auto" w:fill="auto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 w:rsidRPr="0090054B">
              <w:rPr>
                <w:b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1000</w:t>
            </w:r>
          </w:p>
        </w:tc>
        <w:tc>
          <w:tcPr>
            <w:tcW w:w="938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1070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-1000</w:t>
            </w:r>
          </w:p>
        </w:tc>
        <w:tc>
          <w:tcPr>
            <w:tcW w:w="1070" w:type="dxa"/>
          </w:tcPr>
          <w:p w:rsidR="003933D9" w:rsidRDefault="003933D9" w:rsidP="002354E1">
            <w:pPr>
              <w:jc w:val="center"/>
            </w:pPr>
            <w:r>
              <w:t>-1000</w:t>
            </w:r>
          </w:p>
        </w:tc>
        <w:tc>
          <w:tcPr>
            <w:tcW w:w="1070" w:type="dxa"/>
          </w:tcPr>
          <w:p w:rsidR="003933D9" w:rsidRDefault="003933D9" w:rsidP="002354E1">
            <w:pPr>
              <w:jc w:val="center"/>
            </w:pP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3933D9" w:rsidRDefault="003933D9" w:rsidP="002354E1">
            <w:pPr>
              <w:jc w:val="center"/>
            </w:pPr>
            <w:r>
              <w:t>-1000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-600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-400</w:t>
            </w:r>
          </w:p>
        </w:tc>
      </w:tr>
      <w:tr w:rsidR="003933D9" w:rsidTr="002354E1">
        <w:tc>
          <w:tcPr>
            <w:tcW w:w="1096" w:type="dxa"/>
            <w:shd w:val="clear" w:color="auto" w:fill="auto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 w:rsidRPr="0090054B">
              <w:rPr>
                <w:b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938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1070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  <w:tc>
          <w:tcPr>
            <w:tcW w:w="1070" w:type="dxa"/>
          </w:tcPr>
          <w:p w:rsidR="003933D9" w:rsidRDefault="003933D9" w:rsidP="002354E1">
            <w:pPr>
              <w:jc w:val="center"/>
            </w:pPr>
            <w:r>
              <w:t>-1050</w:t>
            </w:r>
          </w:p>
        </w:tc>
        <w:tc>
          <w:tcPr>
            <w:tcW w:w="1070" w:type="dxa"/>
          </w:tcPr>
          <w:p w:rsidR="003933D9" w:rsidRDefault="003933D9" w:rsidP="002354E1">
            <w:pPr>
              <w:jc w:val="center"/>
            </w:pP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</w:tr>
      <w:tr w:rsidR="003933D9" w:rsidTr="002354E1">
        <w:tc>
          <w:tcPr>
            <w:tcW w:w="1096" w:type="dxa"/>
            <w:shd w:val="clear" w:color="auto" w:fill="auto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 w:rsidRPr="0090054B">
              <w:rPr>
                <w:b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938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1070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  <w:tc>
          <w:tcPr>
            <w:tcW w:w="1070" w:type="dxa"/>
          </w:tcPr>
          <w:p w:rsidR="003933D9" w:rsidRDefault="003933D9" w:rsidP="002354E1">
            <w:pPr>
              <w:jc w:val="center"/>
            </w:pPr>
            <w:r>
              <w:t>-1103</w:t>
            </w:r>
          </w:p>
        </w:tc>
        <w:tc>
          <w:tcPr>
            <w:tcW w:w="1070" w:type="dxa"/>
          </w:tcPr>
          <w:p w:rsidR="003933D9" w:rsidRDefault="003933D9" w:rsidP="002354E1">
            <w:pPr>
              <w:jc w:val="center"/>
            </w:pP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</w:tr>
      <w:tr w:rsidR="003933D9" w:rsidTr="002354E1">
        <w:tc>
          <w:tcPr>
            <w:tcW w:w="1096" w:type="dxa"/>
            <w:shd w:val="clear" w:color="auto" w:fill="auto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 w:rsidRPr="0090054B">
              <w:rPr>
                <w:b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938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780</w:t>
            </w:r>
          </w:p>
        </w:tc>
        <w:tc>
          <w:tcPr>
            <w:tcW w:w="1070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780</w:t>
            </w:r>
          </w:p>
        </w:tc>
        <w:tc>
          <w:tcPr>
            <w:tcW w:w="1070" w:type="dxa"/>
          </w:tcPr>
          <w:p w:rsidR="003933D9" w:rsidRDefault="003933D9" w:rsidP="002354E1">
            <w:pPr>
              <w:jc w:val="center"/>
            </w:pPr>
            <w:r>
              <w:t>-378</w:t>
            </w:r>
          </w:p>
        </w:tc>
        <w:tc>
          <w:tcPr>
            <w:tcW w:w="1070" w:type="dxa"/>
          </w:tcPr>
          <w:p w:rsidR="003933D9" w:rsidRDefault="003933D9" w:rsidP="002354E1">
            <w:pPr>
              <w:jc w:val="center"/>
            </w:pP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3933D9" w:rsidRDefault="003933D9" w:rsidP="002354E1">
            <w:pPr>
              <w:jc w:val="center"/>
            </w:pPr>
            <w:r>
              <w:t>780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468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312</w:t>
            </w:r>
          </w:p>
        </w:tc>
      </w:tr>
      <w:tr w:rsidR="003933D9" w:rsidTr="002354E1">
        <w:tc>
          <w:tcPr>
            <w:tcW w:w="1096" w:type="dxa"/>
            <w:shd w:val="clear" w:color="auto" w:fill="auto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 w:rsidRPr="0090054B">
              <w:rPr>
                <w:b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938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662</w:t>
            </w:r>
          </w:p>
        </w:tc>
        <w:tc>
          <w:tcPr>
            <w:tcW w:w="1070" w:type="dxa"/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662</w:t>
            </w:r>
          </w:p>
        </w:tc>
        <w:tc>
          <w:tcPr>
            <w:tcW w:w="1070" w:type="dxa"/>
          </w:tcPr>
          <w:p w:rsidR="003933D9" w:rsidRDefault="003933D9" w:rsidP="002354E1">
            <w:pPr>
              <w:jc w:val="center"/>
            </w:pPr>
            <w:r>
              <w:t>265</w:t>
            </w:r>
          </w:p>
        </w:tc>
        <w:tc>
          <w:tcPr>
            <w:tcW w:w="1070" w:type="dxa"/>
          </w:tcPr>
          <w:p w:rsidR="003933D9" w:rsidRDefault="003933D9" w:rsidP="002354E1">
            <w:pPr>
              <w:jc w:val="center"/>
            </w:pPr>
            <w:r>
              <w:t>106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3933D9" w:rsidRDefault="003933D9" w:rsidP="002354E1">
            <w:pPr>
              <w:jc w:val="center"/>
            </w:pPr>
            <w:r>
              <w:t>556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397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159</w:t>
            </w:r>
          </w:p>
        </w:tc>
      </w:tr>
      <w:tr w:rsidR="003933D9" w:rsidTr="002354E1"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3933D9" w:rsidRPr="0090054B" w:rsidRDefault="003933D9" w:rsidP="002354E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219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219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3933D9" w:rsidRDefault="003933D9" w:rsidP="002354E1">
            <w:pPr>
              <w:jc w:val="center"/>
            </w:pPr>
            <w:r>
              <w:t>219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3933D9" w:rsidRDefault="003933D9" w:rsidP="002354E1">
            <w:pPr>
              <w:jc w:val="center"/>
            </w:pPr>
            <w:r>
              <w:t>88</w:t>
            </w:r>
          </w:p>
        </w:tc>
        <w:tc>
          <w:tcPr>
            <w:tcW w:w="938" w:type="dxa"/>
            <w:tcBorders>
              <w:bottom w:val="single" w:sz="4" w:space="0" w:color="auto"/>
              <w:right w:val="single" w:sz="12" w:space="0" w:color="auto"/>
            </w:tcBorders>
          </w:tcPr>
          <w:p w:rsidR="003933D9" w:rsidRDefault="003933D9" w:rsidP="002354E1">
            <w:pPr>
              <w:jc w:val="center"/>
            </w:pPr>
            <w:r>
              <w:t>131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131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933D9" w:rsidRDefault="003933D9" w:rsidP="002354E1">
            <w:pPr>
              <w:jc w:val="center"/>
            </w:pPr>
            <w:r>
              <w:t>0</w:t>
            </w:r>
          </w:p>
        </w:tc>
      </w:tr>
      <w:tr w:rsidR="003933D9" w:rsidTr="002354E1">
        <w:tc>
          <w:tcPr>
            <w:tcW w:w="1096" w:type="dxa"/>
            <w:shd w:val="clear" w:color="auto" w:fill="F2F2F2"/>
          </w:tcPr>
          <w:p w:rsidR="003933D9" w:rsidRPr="00CA5D77" w:rsidRDefault="003933D9" w:rsidP="002354E1">
            <w:pPr>
              <w:spacing w:after="120"/>
              <w:rPr>
                <w:b/>
              </w:rPr>
            </w:pPr>
            <w:r>
              <w:rPr>
                <w:b/>
              </w:rPr>
              <w:t>NPV</w:t>
            </w:r>
            <w:r w:rsidRPr="00CA5D77">
              <w:rPr>
                <w:b/>
              </w:rPr>
              <w:t xml:space="preserve">@15% </w:t>
            </w:r>
          </w:p>
        </w:tc>
        <w:tc>
          <w:tcPr>
            <w:tcW w:w="907" w:type="dxa"/>
            <w:shd w:val="clear" w:color="auto" w:fill="F2F2F2"/>
          </w:tcPr>
          <w:p w:rsidR="003933D9" w:rsidRDefault="003933D9" w:rsidP="002354E1">
            <w:pPr>
              <w:spacing w:after="120"/>
            </w:pPr>
          </w:p>
        </w:tc>
        <w:tc>
          <w:tcPr>
            <w:tcW w:w="938" w:type="dxa"/>
            <w:shd w:val="clear" w:color="auto" w:fill="F2F2F2"/>
          </w:tcPr>
          <w:p w:rsidR="003933D9" w:rsidRDefault="003933D9" w:rsidP="002354E1">
            <w:pPr>
              <w:spacing w:after="120"/>
            </w:pPr>
          </w:p>
        </w:tc>
        <w:tc>
          <w:tcPr>
            <w:tcW w:w="1070" w:type="dxa"/>
            <w:shd w:val="clear" w:color="auto" w:fill="F2F2F2"/>
          </w:tcPr>
          <w:p w:rsidR="003933D9" w:rsidRPr="0090054B" w:rsidRDefault="003933D9" w:rsidP="002354E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Zero</w:t>
            </w:r>
          </w:p>
        </w:tc>
        <w:tc>
          <w:tcPr>
            <w:tcW w:w="1070" w:type="dxa"/>
            <w:shd w:val="clear" w:color="auto" w:fill="F2F2F2"/>
          </w:tcPr>
          <w:p w:rsidR="003933D9" w:rsidRDefault="003933D9" w:rsidP="002354E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70" w:type="dxa"/>
            <w:shd w:val="clear" w:color="auto" w:fill="F2F2F2"/>
          </w:tcPr>
          <w:p w:rsidR="003933D9" w:rsidRDefault="003933D9" w:rsidP="002354E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38" w:type="dxa"/>
            <w:tcBorders>
              <w:right w:val="single" w:sz="12" w:space="0" w:color="auto"/>
            </w:tcBorders>
            <w:shd w:val="clear" w:color="auto" w:fill="F2F2F2"/>
          </w:tcPr>
          <w:p w:rsidR="003933D9" w:rsidRDefault="003933D9" w:rsidP="002354E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-104</w:t>
            </w:r>
            <w:r w:rsidRPr="0090054B">
              <w:rPr>
                <w:b/>
              </w:rPr>
              <w:t xml:space="preserve"> (</w:t>
            </w:r>
            <w:r>
              <w:rPr>
                <w:b/>
              </w:rPr>
              <w:t>i</w:t>
            </w:r>
            <w:r w:rsidRPr="0090054B">
              <w:rPr>
                <w:b/>
              </w:rPr>
              <w:t>)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</w:tcPr>
          <w:p w:rsidR="003933D9" w:rsidRPr="0090054B" w:rsidRDefault="003933D9" w:rsidP="002354E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Zero (j)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3933D9" w:rsidRPr="0090054B" w:rsidRDefault="003933D9" w:rsidP="002354E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-104 (i)</w:t>
            </w:r>
          </w:p>
        </w:tc>
      </w:tr>
      <w:tr w:rsidR="003933D9" w:rsidTr="002354E1">
        <w:tc>
          <w:tcPr>
            <w:tcW w:w="1096" w:type="dxa"/>
            <w:shd w:val="clear" w:color="auto" w:fill="F2F2F2"/>
          </w:tcPr>
          <w:p w:rsidR="003933D9" w:rsidRPr="00CA5D77" w:rsidRDefault="003933D9" w:rsidP="002354E1">
            <w:pPr>
              <w:spacing w:after="120"/>
              <w:rPr>
                <w:b/>
              </w:rPr>
            </w:pPr>
            <w:r>
              <w:rPr>
                <w:b/>
              </w:rPr>
              <w:t>NPV</w:t>
            </w:r>
            <w:r w:rsidRPr="00CA5D77">
              <w:rPr>
                <w:b/>
              </w:rPr>
              <w:t>@5%</w:t>
            </w:r>
          </w:p>
        </w:tc>
        <w:tc>
          <w:tcPr>
            <w:tcW w:w="907" w:type="dxa"/>
            <w:shd w:val="clear" w:color="auto" w:fill="F2F2F2"/>
          </w:tcPr>
          <w:p w:rsidR="003933D9" w:rsidRDefault="003933D9" w:rsidP="002354E1">
            <w:pPr>
              <w:spacing w:after="120"/>
            </w:pPr>
          </w:p>
        </w:tc>
        <w:tc>
          <w:tcPr>
            <w:tcW w:w="938" w:type="dxa"/>
            <w:shd w:val="clear" w:color="auto" w:fill="F2F2F2"/>
          </w:tcPr>
          <w:p w:rsidR="003933D9" w:rsidRDefault="003933D9" w:rsidP="002354E1">
            <w:pPr>
              <w:spacing w:after="120"/>
            </w:pPr>
          </w:p>
        </w:tc>
        <w:tc>
          <w:tcPr>
            <w:tcW w:w="1070" w:type="dxa"/>
            <w:shd w:val="clear" w:color="auto" w:fill="F2F2F2"/>
          </w:tcPr>
          <w:p w:rsidR="003933D9" w:rsidRPr="0090054B" w:rsidRDefault="003933D9" w:rsidP="002354E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390</w:t>
            </w:r>
            <w:r w:rsidRPr="0090054B">
              <w:rPr>
                <w:b/>
              </w:rPr>
              <w:t xml:space="preserve"> (</w:t>
            </w:r>
            <w:r>
              <w:rPr>
                <w:b/>
              </w:rPr>
              <w:t>k</w:t>
            </w:r>
            <w:r w:rsidRPr="0090054B">
              <w:rPr>
                <w:b/>
              </w:rPr>
              <w:t>)</w:t>
            </w:r>
          </w:p>
        </w:tc>
        <w:tc>
          <w:tcPr>
            <w:tcW w:w="1070" w:type="dxa"/>
            <w:shd w:val="clear" w:color="auto" w:fill="F2F2F2"/>
          </w:tcPr>
          <w:p w:rsidR="003933D9" w:rsidRDefault="003933D9" w:rsidP="002354E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70" w:type="dxa"/>
            <w:shd w:val="clear" w:color="auto" w:fill="F2F2F2"/>
          </w:tcPr>
          <w:p w:rsidR="003933D9" w:rsidRDefault="003933D9" w:rsidP="002354E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38" w:type="dxa"/>
            <w:tcBorders>
              <w:right w:val="single" w:sz="12" w:space="0" w:color="auto"/>
            </w:tcBorders>
            <w:shd w:val="clear" w:color="auto" w:fill="F2F2F2"/>
          </w:tcPr>
          <w:p w:rsidR="003933D9" w:rsidRDefault="003933D9" w:rsidP="002354E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234 (k)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</w:tcPr>
          <w:p w:rsidR="003933D9" w:rsidRPr="0090054B" w:rsidRDefault="003933D9" w:rsidP="002354E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234 (j)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3933D9" w:rsidRPr="0090054B" w:rsidRDefault="003933D9" w:rsidP="002354E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Zero</w:t>
            </w:r>
            <w:r w:rsidRPr="0090054B">
              <w:rPr>
                <w:b/>
              </w:rPr>
              <w:t xml:space="preserve"> (</w:t>
            </w:r>
            <w:r>
              <w:rPr>
                <w:b/>
              </w:rPr>
              <w:t>k</w:t>
            </w:r>
            <w:r w:rsidRPr="0090054B">
              <w:rPr>
                <w:b/>
              </w:rPr>
              <w:t>)</w:t>
            </w:r>
          </w:p>
        </w:tc>
      </w:tr>
      <w:tr w:rsidR="003933D9" w:rsidTr="002354E1">
        <w:tc>
          <w:tcPr>
            <w:tcW w:w="1096" w:type="dxa"/>
            <w:shd w:val="clear" w:color="auto" w:fill="F2F2F2"/>
          </w:tcPr>
          <w:p w:rsidR="003933D9" w:rsidRPr="0090054B" w:rsidRDefault="003933D9" w:rsidP="002354E1">
            <w:pPr>
              <w:spacing w:after="120"/>
              <w:rPr>
                <w:b/>
              </w:rPr>
            </w:pPr>
            <w:r w:rsidRPr="0090054B">
              <w:rPr>
                <w:b/>
              </w:rPr>
              <w:t>IRR</w:t>
            </w:r>
            <w:r>
              <w:rPr>
                <w:b/>
              </w:rPr>
              <w:t xml:space="preserve"> </w:t>
            </w:r>
            <w:r w:rsidR="0031713E">
              <w:rPr>
                <w:b/>
              </w:rPr>
              <w:t>% pa</w:t>
            </w:r>
          </w:p>
        </w:tc>
        <w:tc>
          <w:tcPr>
            <w:tcW w:w="907" w:type="dxa"/>
            <w:shd w:val="clear" w:color="auto" w:fill="F2F2F2"/>
          </w:tcPr>
          <w:p w:rsidR="003933D9" w:rsidRDefault="003933D9" w:rsidP="002354E1">
            <w:pPr>
              <w:spacing w:after="120"/>
            </w:pPr>
          </w:p>
        </w:tc>
        <w:tc>
          <w:tcPr>
            <w:tcW w:w="938" w:type="dxa"/>
            <w:shd w:val="clear" w:color="auto" w:fill="F2F2F2"/>
          </w:tcPr>
          <w:p w:rsidR="003933D9" w:rsidRDefault="003933D9" w:rsidP="002354E1">
            <w:pPr>
              <w:spacing w:after="120"/>
            </w:pPr>
          </w:p>
        </w:tc>
        <w:tc>
          <w:tcPr>
            <w:tcW w:w="1070" w:type="dxa"/>
            <w:shd w:val="clear" w:color="auto" w:fill="F2F2F2"/>
          </w:tcPr>
          <w:p w:rsidR="003933D9" w:rsidRPr="0090054B" w:rsidRDefault="003933D9" w:rsidP="002354E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70" w:type="dxa"/>
            <w:shd w:val="clear" w:color="auto" w:fill="F2F2F2"/>
          </w:tcPr>
          <w:p w:rsidR="003933D9" w:rsidRDefault="003933D9" w:rsidP="002354E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70" w:type="dxa"/>
            <w:shd w:val="clear" w:color="auto" w:fill="F2F2F2"/>
          </w:tcPr>
          <w:p w:rsidR="003933D9" w:rsidRDefault="003933D9" w:rsidP="002354E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38" w:type="dxa"/>
            <w:tcBorders>
              <w:right w:val="single" w:sz="12" w:space="0" w:color="auto"/>
            </w:tcBorders>
            <w:shd w:val="clear" w:color="auto" w:fill="F2F2F2"/>
          </w:tcPr>
          <w:p w:rsidR="003933D9" w:rsidRDefault="003933D9" w:rsidP="002354E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11.5 (l)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</w:tcPr>
          <w:p w:rsidR="003933D9" w:rsidRPr="0090054B" w:rsidRDefault="003933D9" w:rsidP="002354E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15 (l)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933D9" w:rsidRPr="0090054B" w:rsidRDefault="003933D9" w:rsidP="002354E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5 (l)</w:t>
            </w:r>
          </w:p>
        </w:tc>
      </w:tr>
    </w:tbl>
    <w:p w:rsidR="003933D9" w:rsidRPr="000F0585" w:rsidRDefault="003933D9" w:rsidP="003933D9">
      <w:pPr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 xml:space="preserve">Immediate expensing of all costs, tax losses (negative cash flow) compounded forward </w:t>
      </w:r>
      <w:r w:rsidR="0011333D" w:rsidRPr="000F0585">
        <w:rPr>
          <w:sz w:val="20"/>
          <w:szCs w:val="20"/>
        </w:rPr>
        <w:t>with</w:t>
      </w:r>
      <w:r w:rsidRPr="000F0585">
        <w:rPr>
          <w:sz w:val="20"/>
          <w:szCs w:val="20"/>
        </w:rPr>
        <w:t xml:space="preserve"> 5%</w:t>
      </w:r>
      <w:r w:rsidR="0011333D" w:rsidRPr="000F0585">
        <w:rPr>
          <w:sz w:val="20"/>
          <w:szCs w:val="20"/>
        </w:rPr>
        <w:t xml:space="preserve"> (LTBR) uplift</w:t>
      </w:r>
      <w:r w:rsidRPr="000F0585">
        <w:rPr>
          <w:sz w:val="20"/>
          <w:szCs w:val="20"/>
        </w:rPr>
        <w:t>.</w:t>
      </w:r>
    </w:p>
    <w:p w:rsidR="003933D9" w:rsidRPr="000F0585" w:rsidRDefault="003933D9" w:rsidP="003933D9">
      <w:pPr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 xml:space="preserve">As in Table </w:t>
      </w:r>
      <w:r w:rsidR="00AC6D6F">
        <w:rPr>
          <w:sz w:val="20"/>
          <w:szCs w:val="20"/>
        </w:rPr>
        <w:t>1</w:t>
      </w:r>
      <w:r w:rsidRPr="000F0585">
        <w:rPr>
          <w:sz w:val="20"/>
          <w:szCs w:val="20"/>
        </w:rPr>
        <w:t>.</w:t>
      </w:r>
    </w:p>
    <w:p w:rsidR="003933D9" w:rsidRPr="000F0585" w:rsidRDefault="003933D9" w:rsidP="003933D9">
      <w:pPr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 xml:space="preserve">As in Table </w:t>
      </w:r>
      <w:r w:rsidR="00AC6D6F">
        <w:rPr>
          <w:sz w:val="20"/>
          <w:szCs w:val="20"/>
        </w:rPr>
        <w:t>1</w:t>
      </w:r>
      <w:r w:rsidRPr="000F0585">
        <w:rPr>
          <w:sz w:val="20"/>
          <w:szCs w:val="20"/>
        </w:rPr>
        <w:t>.</w:t>
      </w:r>
    </w:p>
    <w:p w:rsidR="003933D9" w:rsidRPr="000F0585" w:rsidRDefault="003933D9" w:rsidP="003933D9">
      <w:pPr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 xml:space="preserve">Prior year negative cash flow uplifted by 5% plus pre-tax cash flow </w:t>
      </w:r>
      <w:r w:rsidR="00AC6D6F">
        <w:rPr>
          <w:sz w:val="20"/>
          <w:szCs w:val="20"/>
        </w:rPr>
        <w:t>each</w:t>
      </w:r>
      <w:r w:rsidRPr="000F0585">
        <w:rPr>
          <w:sz w:val="20"/>
          <w:szCs w:val="20"/>
        </w:rPr>
        <w:t xml:space="preserve"> year.</w:t>
      </w:r>
    </w:p>
    <w:p w:rsidR="003933D9" w:rsidRPr="000F0585" w:rsidRDefault="003933D9" w:rsidP="003933D9">
      <w:pPr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>40% times any positive tax base after loss uplift (Column (</w:t>
      </w:r>
      <w:r w:rsidR="003157D7" w:rsidRPr="000F0585">
        <w:rPr>
          <w:sz w:val="20"/>
          <w:szCs w:val="20"/>
        </w:rPr>
        <w:t>d</w:t>
      </w:r>
      <w:r w:rsidRPr="000F0585">
        <w:rPr>
          <w:sz w:val="20"/>
          <w:szCs w:val="20"/>
        </w:rPr>
        <w:t>)).</w:t>
      </w:r>
    </w:p>
    <w:p w:rsidR="003933D9" w:rsidRPr="000F0585" w:rsidRDefault="003933D9" w:rsidP="003933D9">
      <w:pPr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>Pre-tax cash flow less tax payments in Column (e).</w:t>
      </w:r>
    </w:p>
    <w:p w:rsidR="003933D9" w:rsidRPr="000F0585" w:rsidRDefault="003933D9" w:rsidP="003933D9">
      <w:pPr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lastRenderedPageBreak/>
        <w:t xml:space="preserve">Pre-tax cash flow in Column (c) times 60% or the cash flow (see Table </w:t>
      </w:r>
      <w:r w:rsidR="009165DF">
        <w:rPr>
          <w:sz w:val="20"/>
          <w:szCs w:val="20"/>
        </w:rPr>
        <w:t>1</w:t>
      </w:r>
      <w:r w:rsidRPr="000F0585">
        <w:rPr>
          <w:sz w:val="20"/>
          <w:szCs w:val="20"/>
        </w:rPr>
        <w:t xml:space="preserve">) that would have resulted from a 40% pure cash flow tax reducing all positive and negative cash flows immediately by 40%. These cash flows </w:t>
      </w:r>
      <w:r w:rsidR="00EC55ED" w:rsidRPr="000F0585">
        <w:rPr>
          <w:sz w:val="20"/>
          <w:szCs w:val="20"/>
        </w:rPr>
        <w:t>are</w:t>
      </w:r>
      <w:r w:rsidRPr="000F0585">
        <w:rPr>
          <w:sz w:val="20"/>
          <w:szCs w:val="20"/>
        </w:rPr>
        <w:t xml:space="preserve"> the component of the project's overall </w:t>
      </w:r>
      <w:r w:rsidR="00AC6D6F">
        <w:rPr>
          <w:sz w:val="20"/>
          <w:szCs w:val="20"/>
        </w:rPr>
        <w:t xml:space="preserve">post-tax </w:t>
      </w:r>
      <w:r w:rsidRPr="000F0585">
        <w:rPr>
          <w:sz w:val="20"/>
          <w:szCs w:val="20"/>
        </w:rPr>
        <w:t xml:space="preserve">cash flows in Column (f) </w:t>
      </w:r>
      <w:r w:rsidR="00EC55ED" w:rsidRPr="000F0585">
        <w:rPr>
          <w:sz w:val="20"/>
          <w:szCs w:val="20"/>
        </w:rPr>
        <w:t xml:space="preserve">that reflect project risk </w:t>
      </w:r>
      <w:r w:rsidRPr="000F0585">
        <w:rPr>
          <w:sz w:val="20"/>
          <w:szCs w:val="20"/>
        </w:rPr>
        <w:t xml:space="preserve">and are the same as Column (f), Table </w:t>
      </w:r>
      <w:r w:rsidR="009165DF">
        <w:rPr>
          <w:sz w:val="20"/>
          <w:szCs w:val="20"/>
        </w:rPr>
        <w:t>1</w:t>
      </w:r>
      <w:r w:rsidRPr="000F0585">
        <w:rPr>
          <w:sz w:val="20"/>
          <w:szCs w:val="20"/>
        </w:rPr>
        <w:t xml:space="preserve">. </w:t>
      </w:r>
    </w:p>
    <w:p w:rsidR="003933D9" w:rsidRPr="000F0585" w:rsidRDefault="003933D9" w:rsidP="003933D9">
      <w:pPr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 xml:space="preserve">Overall post-tax cash flow less post-tax cash flow if a pure cash flow tax were applying – that is, Column (f) less Column (g). </w:t>
      </w:r>
      <w:r w:rsidR="00AC6D6F">
        <w:rPr>
          <w:sz w:val="20"/>
          <w:szCs w:val="20"/>
        </w:rPr>
        <w:t>T</w:t>
      </w:r>
      <w:r w:rsidRPr="000F0585">
        <w:rPr>
          <w:sz w:val="20"/>
          <w:szCs w:val="20"/>
        </w:rPr>
        <w:t xml:space="preserve">hese cash flows comprise the </w:t>
      </w:r>
      <w:r w:rsidR="00EC55ED" w:rsidRPr="000F0585">
        <w:rPr>
          <w:sz w:val="20"/>
          <w:szCs w:val="20"/>
        </w:rPr>
        <w:t>minimal</w:t>
      </w:r>
      <w:r w:rsidR="00AC6D6F">
        <w:rPr>
          <w:sz w:val="20"/>
          <w:szCs w:val="20"/>
        </w:rPr>
        <w:t>-</w:t>
      </w:r>
      <w:r w:rsidR="00EC55ED" w:rsidRPr="000F0585">
        <w:rPr>
          <w:sz w:val="20"/>
          <w:szCs w:val="20"/>
        </w:rPr>
        <w:t>risk</w:t>
      </w:r>
      <w:r w:rsidRPr="000F0585">
        <w:rPr>
          <w:sz w:val="20"/>
          <w:szCs w:val="20"/>
        </w:rPr>
        <w:t xml:space="preserve"> component of the project's </w:t>
      </w:r>
      <w:r w:rsidR="00AC6D6F">
        <w:rPr>
          <w:sz w:val="20"/>
          <w:szCs w:val="20"/>
        </w:rPr>
        <w:t xml:space="preserve">overall post-tax </w:t>
      </w:r>
      <w:r w:rsidRPr="000F0585">
        <w:rPr>
          <w:sz w:val="20"/>
          <w:szCs w:val="20"/>
        </w:rPr>
        <w:t>cash flows</w:t>
      </w:r>
      <w:r w:rsidR="00AC6D6F">
        <w:rPr>
          <w:sz w:val="20"/>
          <w:szCs w:val="20"/>
        </w:rPr>
        <w:t xml:space="preserve"> in Column (f)</w:t>
      </w:r>
      <w:r w:rsidRPr="000F0585">
        <w:rPr>
          <w:sz w:val="20"/>
          <w:szCs w:val="20"/>
        </w:rPr>
        <w:t>.</w:t>
      </w:r>
    </w:p>
    <w:p w:rsidR="003933D9" w:rsidRPr="000F0585" w:rsidRDefault="003933D9" w:rsidP="003933D9">
      <w:pPr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 xml:space="preserve">Aggregate post-tax cash flow in Column (f) has negative NPV with discounting at 15%. However, </w:t>
      </w:r>
      <w:r w:rsidR="00AC6D6F">
        <w:rPr>
          <w:sz w:val="20"/>
          <w:szCs w:val="20"/>
        </w:rPr>
        <w:t>this</w:t>
      </w:r>
      <w:r w:rsidRPr="000F0585">
        <w:rPr>
          <w:sz w:val="20"/>
          <w:szCs w:val="20"/>
        </w:rPr>
        <w:t xml:space="preserve"> is seen to arise solely from discounting the </w:t>
      </w:r>
      <w:r w:rsidR="00EC55ED" w:rsidRPr="000F0585">
        <w:rPr>
          <w:sz w:val="20"/>
          <w:szCs w:val="20"/>
        </w:rPr>
        <w:t>minimal-risk</w:t>
      </w:r>
      <w:r w:rsidRPr="000F0585">
        <w:rPr>
          <w:sz w:val="20"/>
          <w:szCs w:val="20"/>
        </w:rPr>
        <w:t xml:space="preserve"> component in Column (h) at 15% instead of 5% </w:t>
      </w:r>
      <w:r w:rsidR="004F5233">
        <w:rPr>
          <w:sz w:val="20"/>
          <w:szCs w:val="20"/>
        </w:rPr>
        <w:t>LTBR</w:t>
      </w:r>
      <w:r w:rsidRPr="000F0585">
        <w:rPr>
          <w:sz w:val="20"/>
          <w:szCs w:val="20"/>
        </w:rPr>
        <w:t xml:space="preserve"> rate.</w:t>
      </w:r>
    </w:p>
    <w:p w:rsidR="003933D9" w:rsidRPr="000F0585" w:rsidRDefault="00676F38" w:rsidP="003933D9">
      <w:pPr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>
        <w:rPr>
          <w:sz w:val="20"/>
          <w:szCs w:val="20"/>
        </w:rPr>
        <w:t>NPV of the p</w:t>
      </w:r>
      <w:r w:rsidR="003933D9" w:rsidRPr="000F0585">
        <w:rPr>
          <w:sz w:val="20"/>
          <w:szCs w:val="20"/>
        </w:rPr>
        <w:t xml:space="preserve">roject’s risky post-tax flows </w:t>
      </w:r>
      <w:r>
        <w:rPr>
          <w:sz w:val="20"/>
          <w:szCs w:val="20"/>
        </w:rPr>
        <w:t>is</w:t>
      </w:r>
      <w:r w:rsidR="003933D9" w:rsidRPr="000F0585">
        <w:rPr>
          <w:sz w:val="20"/>
          <w:szCs w:val="20"/>
        </w:rPr>
        <w:t xml:space="preserve"> 60% of pre-tax NPV, matching effect in Table </w:t>
      </w:r>
      <w:r w:rsidR="003B01DC">
        <w:rPr>
          <w:sz w:val="20"/>
          <w:szCs w:val="20"/>
        </w:rPr>
        <w:t>1</w:t>
      </w:r>
      <w:r w:rsidR="003933D9" w:rsidRPr="000F0585">
        <w:rPr>
          <w:sz w:val="20"/>
          <w:szCs w:val="20"/>
        </w:rPr>
        <w:t xml:space="preserve"> under immediate full loss offset.</w:t>
      </w:r>
    </w:p>
    <w:p w:rsidR="003933D9" w:rsidRPr="000F0585" w:rsidRDefault="003933D9" w:rsidP="003933D9">
      <w:pPr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 xml:space="preserve">With discounting at 5% </w:t>
      </w:r>
      <w:r w:rsidR="00EC55ED" w:rsidRPr="000F0585">
        <w:rPr>
          <w:sz w:val="20"/>
          <w:szCs w:val="20"/>
        </w:rPr>
        <w:t>LTBR</w:t>
      </w:r>
      <w:r w:rsidRPr="000F0585">
        <w:rPr>
          <w:sz w:val="20"/>
          <w:szCs w:val="20"/>
        </w:rPr>
        <w:t>, NPV of overall post</w:t>
      </w:r>
      <w:r w:rsidR="00EC55ED" w:rsidRPr="000F0585">
        <w:rPr>
          <w:sz w:val="20"/>
          <w:szCs w:val="20"/>
        </w:rPr>
        <w:t>-</w:t>
      </w:r>
      <w:r w:rsidRPr="000F0585">
        <w:rPr>
          <w:sz w:val="20"/>
          <w:szCs w:val="20"/>
        </w:rPr>
        <w:t xml:space="preserve">tax cash flow is also 60% of pre-tax NPV. That is because the </w:t>
      </w:r>
      <w:r w:rsidR="00EC55ED" w:rsidRPr="000F0585">
        <w:rPr>
          <w:sz w:val="20"/>
          <w:szCs w:val="20"/>
        </w:rPr>
        <w:t>minimal-risk</w:t>
      </w:r>
      <w:r w:rsidRPr="000F0585">
        <w:rPr>
          <w:sz w:val="20"/>
          <w:szCs w:val="20"/>
        </w:rPr>
        <w:t xml:space="preserve"> component of project cash flows has zero NPV at this discount rate (discount rate matches loss uplift rate). </w:t>
      </w:r>
    </w:p>
    <w:p w:rsidR="003933D9" w:rsidRPr="000F0585" w:rsidRDefault="0068574F" w:rsidP="003933D9">
      <w:pPr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0F0585">
        <w:rPr>
          <w:sz w:val="20"/>
          <w:szCs w:val="20"/>
        </w:rPr>
        <w:t xml:space="preserve">The internal rate of return (IRR) of overall post-tax cash flow is reduced below pre-tax return. As with NPV, however, separating aggregate post-tax cash flows into </w:t>
      </w:r>
      <w:r w:rsidR="00AC6D6F">
        <w:rPr>
          <w:sz w:val="20"/>
          <w:szCs w:val="20"/>
        </w:rPr>
        <w:t xml:space="preserve">those related to project </w:t>
      </w:r>
      <w:r w:rsidRPr="000F0585">
        <w:rPr>
          <w:sz w:val="20"/>
          <w:szCs w:val="20"/>
        </w:rPr>
        <w:t>risk (Column (g)) and</w:t>
      </w:r>
      <w:r w:rsidR="00AC6D6F">
        <w:rPr>
          <w:sz w:val="20"/>
          <w:szCs w:val="20"/>
        </w:rPr>
        <w:t xml:space="preserve"> those with</w:t>
      </w:r>
      <w:r w:rsidRPr="000F0585">
        <w:rPr>
          <w:sz w:val="20"/>
          <w:szCs w:val="20"/>
        </w:rPr>
        <w:t xml:space="preserve"> </w:t>
      </w:r>
      <w:r w:rsidR="000F0585" w:rsidRPr="000F0585">
        <w:rPr>
          <w:sz w:val="20"/>
          <w:szCs w:val="20"/>
        </w:rPr>
        <w:t>minimal-risk</w:t>
      </w:r>
      <w:r w:rsidRPr="000F0585">
        <w:rPr>
          <w:sz w:val="20"/>
          <w:szCs w:val="20"/>
        </w:rPr>
        <w:t xml:space="preserve"> (Column (h)) results in IRR of the </w:t>
      </w:r>
      <w:r w:rsidR="00AC6D6F">
        <w:rPr>
          <w:sz w:val="20"/>
          <w:szCs w:val="20"/>
        </w:rPr>
        <w:t>project-</w:t>
      </w:r>
      <w:r w:rsidRPr="000F0585">
        <w:rPr>
          <w:sz w:val="20"/>
          <w:szCs w:val="20"/>
        </w:rPr>
        <w:t xml:space="preserve">risk component being equal to pre-tax IRR and IRR of </w:t>
      </w:r>
      <w:r w:rsidR="004F5233">
        <w:rPr>
          <w:sz w:val="20"/>
          <w:szCs w:val="20"/>
        </w:rPr>
        <w:t>minimal-</w:t>
      </w:r>
      <w:r w:rsidRPr="000F0585">
        <w:rPr>
          <w:sz w:val="20"/>
          <w:szCs w:val="20"/>
        </w:rPr>
        <w:t>risk component equal to 5% uplift rate.</w:t>
      </w:r>
    </w:p>
    <w:p w:rsidR="000F0585" w:rsidRDefault="000F0585" w:rsidP="000F0585">
      <w:pPr>
        <w:spacing w:after="0"/>
        <w:ind w:left="714"/>
      </w:pPr>
    </w:p>
    <w:p w:rsidR="003933D9" w:rsidRDefault="0011333D" w:rsidP="003933D9">
      <w:r>
        <w:t>Because of the minimal risk involved with the cash flows</w:t>
      </w:r>
      <w:r w:rsidR="00E906B1">
        <w:t xml:space="preserve"> in Column (h)</w:t>
      </w:r>
      <w:r>
        <w:t xml:space="preserve">, </w:t>
      </w:r>
      <w:r w:rsidR="003933D9">
        <w:t>it would be misleading financially for investors to discount the</w:t>
      </w:r>
      <w:r>
        <w:t>m</w:t>
      </w:r>
      <w:r w:rsidR="003933D9">
        <w:t xml:space="preserve"> using</w:t>
      </w:r>
      <w:r w:rsidR="00E1405F">
        <w:t xml:space="preserve"> </w:t>
      </w:r>
      <w:r w:rsidR="003933D9">
        <w:t>a risk-weighted discount rate</w:t>
      </w:r>
      <w:r>
        <w:t xml:space="preserve"> reflecting overall project risk</w:t>
      </w:r>
      <w:r w:rsidR="003933D9">
        <w:t xml:space="preserve">. And, as shown in Table </w:t>
      </w:r>
      <w:r w:rsidR="00E906B1">
        <w:t>2</w:t>
      </w:r>
      <w:r w:rsidR="003933D9">
        <w:t xml:space="preserve">, the project’s post-tax NPV of -$104m </w:t>
      </w:r>
      <w:r w:rsidR="00A0350F">
        <w:t xml:space="preserve">for aggregated post-tax flows </w:t>
      </w:r>
      <w:r w:rsidR="003933D9">
        <w:t xml:space="preserve">in Column (f) arises solely because the </w:t>
      </w:r>
      <w:r>
        <w:t>minimal</w:t>
      </w:r>
      <w:r w:rsidR="003933D9">
        <w:t>-</w:t>
      </w:r>
      <w:r w:rsidR="00E906B1">
        <w:t>risk</w:t>
      </w:r>
      <w:r w:rsidR="003933D9">
        <w:t xml:space="preserve"> component of </w:t>
      </w:r>
      <w:r w:rsidR="0031713E">
        <w:t>aggregated</w:t>
      </w:r>
      <w:r w:rsidR="003933D9">
        <w:t xml:space="preserve"> post-tax flows is discounted at a risk-weighted 15% – producing the -$104m in Column (h) – instead of 5%. Discounting those </w:t>
      </w:r>
      <w:r w:rsidR="0031713E">
        <w:t xml:space="preserve">minimal-risk </w:t>
      </w:r>
      <w:r w:rsidR="003933D9">
        <w:t>flows at 5% must result in zero NPV.</w:t>
      </w:r>
    </w:p>
    <w:p w:rsidR="00A8532D" w:rsidRDefault="00151FF1" w:rsidP="003933D9">
      <w:r>
        <w:t>Consequently, w</w:t>
      </w:r>
      <w:r w:rsidR="003933D9">
        <w:t>ith correct financial analysis</w:t>
      </w:r>
      <w:r>
        <w:t xml:space="preserve"> and</w:t>
      </w:r>
      <w:r w:rsidR="003933D9">
        <w:t xml:space="preserve"> </w:t>
      </w:r>
      <w:r>
        <w:t xml:space="preserve">with 5% uplift rate aligned with risk of losing deductions, </w:t>
      </w:r>
      <w:r w:rsidR="003933D9">
        <w:t xml:space="preserve">the project </w:t>
      </w:r>
      <w:r w:rsidR="00471370">
        <w:t xml:space="preserve">marginal before tax </w:t>
      </w:r>
      <w:r w:rsidR="003933D9">
        <w:t xml:space="preserve">remains marginal after </w:t>
      </w:r>
      <w:r w:rsidR="00471370">
        <w:t>PRRT</w:t>
      </w:r>
      <w:r w:rsidR="00676F38">
        <w:t xml:space="preserve">. In addition, </w:t>
      </w:r>
      <w:r w:rsidR="008B6650">
        <w:t xml:space="preserve">PRRT </w:t>
      </w:r>
      <w:r w:rsidR="00676F38">
        <w:t>is collected</w:t>
      </w:r>
      <w:r>
        <w:t xml:space="preserve"> in Years 4 and 5</w:t>
      </w:r>
      <w:r w:rsidR="003933D9">
        <w:t>.</w:t>
      </w:r>
      <w:r w:rsidR="00E20435">
        <w:t xml:space="preserve"> </w:t>
      </w:r>
      <w:r w:rsidR="00500618">
        <w:t xml:space="preserve"> </w:t>
      </w:r>
    </w:p>
    <w:p w:rsidR="003933D9" w:rsidRDefault="002778E5" w:rsidP="003933D9">
      <w:r>
        <w:t>W</w:t>
      </w:r>
      <w:r w:rsidR="00151FF1">
        <w:t>ere the</w:t>
      </w:r>
      <w:r w:rsidR="008B6650">
        <w:t xml:space="preserve"> uplift rate set </w:t>
      </w:r>
      <w:r w:rsidR="003122B8">
        <w:t xml:space="preserve">much higher </w:t>
      </w:r>
      <w:r w:rsidR="008B6650">
        <w:t>at 15%</w:t>
      </w:r>
      <w:r w:rsidR="00151FF1">
        <w:t xml:space="preserve">, the investor using a 15% </w:t>
      </w:r>
      <w:r w:rsidR="008B6650">
        <w:t>hurdle rate</w:t>
      </w:r>
      <w:r w:rsidR="00151FF1">
        <w:t xml:space="preserve"> to discount </w:t>
      </w:r>
      <w:r w:rsidR="00A0350F">
        <w:t xml:space="preserve">aggregate </w:t>
      </w:r>
      <w:r w:rsidR="00151FF1">
        <w:t xml:space="preserve">post-PRRT flows would </w:t>
      </w:r>
      <w:r w:rsidR="003122B8">
        <w:t xml:space="preserve">view </w:t>
      </w:r>
      <w:r w:rsidR="008B6650">
        <w:t xml:space="preserve">the project </w:t>
      </w:r>
      <w:r w:rsidR="003122B8">
        <w:t xml:space="preserve">as </w:t>
      </w:r>
      <w:r w:rsidR="008B6650">
        <w:t>remain</w:t>
      </w:r>
      <w:r w:rsidR="003122B8">
        <w:t>ing</w:t>
      </w:r>
      <w:r w:rsidR="008B6650">
        <w:t xml:space="preserve"> marginal after tax </w:t>
      </w:r>
      <w:r w:rsidR="003122B8">
        <w:t xml:space="preserve">– </w:t>
      </w:r>
      <w:r w:rsidR="008B6650">
        <w:t>because no PRRT would be paid</w:t>
      </w:r>
      <w:r w:rsidR="003122B8">
        <w:t xml:space="preserve"> at all</w:t>
      </w:r>
      <w:r w:rsidR="008B6650">
        <w:t>.</w:t>
      </w:r>
      <w:r w:rsidR="003122B8">
        <w:t xml:space="preserve"> The $1000</w:t>
      </w:r>
      <w:r w:rsidR="00513ED0">
        <w:t>m</w:t>
      </w:r>
      <w:r w:rsidR="003122B8">
        <w:t xml:space="preserve"> of up-front capital expenditure</w:t>
      </w:r>
      <w:r w:rsidR="00A0350F">
        <w:t xml:space="preserve"> in Column (c)</w:t>
      </w:r>
      <w:r w:rsidR="003122B8">
        <w:t xml:space="preserve">, compounded forward at 15% pa, would be just fully absorbed by the last dollar of net receipts in Year 5 </w:t>
      </w:r>
      <w:r>
        <w:t xml:space="preserve">– with </w:t>
      </w:r>
      <w:r w:rsidR="003122B8">
        <w:t xml:space="preserve">accompanying </w:t>
      </w:r>
      <w:r w:rsidR="00C92E65">
        <w:t xml:space="preserve">increased </w:t>
      </w:r>
      <w:r w:rsidR="003122B8">
        <w:t>risk</w:t>
      </w:r>
      <w:r w:rsidR="00B629C1">
        <w:t xml:space="preserve"> that insufficient net receipts would, in the event, be realised to absorb carried-forward losses completely</w:t>
      </w:r>
      <w:r>
        <w:t xml:space="preserve"> (</w:t>
      </w:r>
      <w:r w:rsidR="003122B8">
        <w:t>the ‘circularity’ issue noted in the Treasury options paper</w:t>
      </w:r>
      <w:r>
        <w:t>)</w:t>
      </w:r>
      <w:r w:rsidR="00B629C1">
        <w:t>.</w:t>
      </w:r>
      <w:r>
        <w:t xml:space="preserve"> </w:t>
      </w:r>
      <w:r w:rsidR="00B772AD">
        <w:t>Beyond this tax revenue difference even for marginal projects, t</w:t>
      </w:r>
      <w:r>
        <w:t xml:space="preserve">he Callaghan review explains how excessively high uplift rates can significantly reduce and delay PRRT payments with above-marginal projects, particularly those that are capital intensive </w:t>
      </w:r>
      <w:r w:rsidR="00C92E65">
        <w:t>and have</w:t>
      </w:r>
      <w:r>
        <w:t xml:space="preserve"> long lead times.       </w:t>
      </w:r>
      <w:r w:rsidR="00B629C1">
        <w:t xml:space="preserve"> </w:t>
      </w:r>
      <w:r w:rsidR="003122B8">
        <w:t xml:space="preserve"> </w:t>
      </w:r>
    </w:p>
    <w:sectPr w:rsidR="00393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F4" w:rsidRDefault="002122F4" w:rsidP="003E3E1C">
      <w:pPr>
        <w:spacing w:after="0" w:line="240" w:lineRule="auto"/>
      </w:pPr>
      <w:r>
        <w:separator/>
      </w:r>
    </w:p>
  </w:endnote>
  <w:endnote w:type="continuationSeparator" w:id="0">
    <w:p w:rsidR="002122F4" w:rsidRDefault="002122F4" w:rsidP="003E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69" w:rsidRDefault="005C5B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307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3E1C" w:rsidRDefault="003E3E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B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3E1C" w:rsidRDefault="003E3E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69" w:rsidRDefault="005C5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F4" w:rsidRDefault="002122F4" w:rsidP="003E3E1C">
      <w:pPr>
        <w:spacing w:after="0" w:line="240" w:lineRule="auto"/>
      </w:pPr>
      <w:r>
        <w:separator/>
      </w:r>
    </w:p>
  </w:footnote>
  <w:footnote w:type="continuationSeparator" w:id="0">
    <w:p w:rsidR="002122F4" w:rsidRDefault="002122F4" w:rsidP="003E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69" w:rsidRDefault="005C5B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69" w:rsidRDefault="005C5B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69" w:rsidRDefault="005C5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C2299"/>
    <w:multiLevelType w:val="hybridMultilevel"/>
    <w:tmpl w:val="E194A36A"/>
    <w:lvl w:ilvl="0" w:tplc="567C57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0295A"/>
    <w:multiLevelType w:val="hybridMultilevel"/>
    <w:tmpl w:val="E194A36A"/>
    <w:lvl w:ilvl="0" w:tplc="567C57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E1"/>
    <w:rsid w:val="00016FBD"/>
    <w:rsid w:val="000313CF"/>
    <w:rsid w:val="00056317"/>
    <w:rsid w:val="0006039D"/>
    <w:rsid w:val="00076C07"/>
    <w:rsid w:val="00082CD8"/>
    <w:rsid w:val="00086E07"/>
    <w:rsid w:val="00095D1C"/>
    <w:rsid w:val="000C6508"/>
    <w:rsid w:val="000F0585"/>
    <w:rsid w:val="0011333D"/>
    <w:rsid w:val="001436FB"/>
    <w:rsid w:val="00151FF1"/>
    <w:rsid w:val="00162E14"/>
    <w:rsid w:val="001C0692"/>
    <w:rsid w:val="002122F4"/>
    <w:rsid w:val="002156BD"/>
    <w:rsid w:val="00216A1A"/>
    <w:rsid w:val="002237A5"/>
    <w:rsid w:val="0025704D"/>
    <w:rsid w:val="002778E5"/>
    <w:rsid w:val="002B05F8"/>
    <w:rsid w:val="002E46B0"/>
    <w:rsid w:val="002E7730"/>
    <w:rsid w:val="003039B9"/>
    <w:rsid w:val="003122B8"/>
    <w:rsid w:val="0031403A"/>
    <w:rsid w:val="003157D7"/>
    <w:rsid w:val="0031713E"/>
    <w:rsid w:val="003176D8"/>
    <w:rsid w:val="00321ED4"/>
    <w:rsid w:val="0038573F"/>
    <w:rsid w:val="003933D9"/>
    <w:rsid w:val="003B01DC"/>
    <w:rsid w:val="003D42BC"/>
    <w:rsid w:val="003E3E1C"/>
    <w:rsid w:val="003F0450"/>
    <w:rsid w:val="00460B65"/>
    <w:rsid w:val="00471370"/>
    <w:rsid w:val="0047687D"/>
    <w:rsid w:val="004B0964"/>
    <w:rsid w:val="004B514A"/>
    <w:rsid w:val="004B7B21"/>
    <w:rsid w:val="004E75EE"/>
    <w:rsid w:val="004F5233"/>
    <w:rsid w:val="00500618"/>
    <w:rsid w:val="005035E6"/>
    <w:rsid w:val="005077DB"/>
    <w:rsid w:val="00511D47"/>
    <w:rsid w:val="00513ED0"/>
    <w:rsid w:val="005235C7"/>
    <w:rsid w:val="005261AA"/>
    <w:rsid w:val="00531F82"/>
    <w:rsid w:val="00567F66"/>
    <w:rsid w:val="005C5B69"/>
    <w:rsid w:val="00610ACC"/>
    <w:rsid w:val="00645F5B"/>
    <w:rsid w:val="00647B6A"/>
    <w:rsid w:val="00657107"/>
    <w:rsid w:val="00676F38"/>
    <w:rsid w:val="0068574F"/>
    <w:rsid w:val="006A3EC2"/>
    <w:rsid w:val="006B3EB7"/>
    <w:rsid w:val="00780F9C"/>
    <w:rsid w:val="007E7D7F"/>
    <w:rsid w:val="008077B0"/>
    <w:rsid w:val="00813EC4"/>
    <w:rsid w:val="00863B38"/>
    <w:rsid w:val="008A4F12"/>
    <w:rsid w:val="008B3113"/>
    <w:rsid w:val="008B451D"/>
    <w:rsid w:val="008B6650"/>
    <w:rsid w:val="008C2BF7"/>
    <w:rsid w:val="008E57A7"/>
    <w:rsid w:val="008F08A2"/>
    <w:rsid w:val="00906252"/>
    <w:rsid w:val="009165DF"/>
    <w:rsid w:val="00944D46"/>
    <w:rsid w:val="00947459"/>
    <w:rsid w:val="00950ACA"/>
    <w:rsid w:val="0099081F"/>
    <w:rsid w:val="009B54A9"/>
    <w:rsid w:val="009D498F"/>
    <w:rsid w:val="009F4B9D"/>
    <w:rsid w:val="00A0067E"/>
    <w:rsid w:val="00A03361"/>
    <w:rsid w:val="00A0350F"/>
    <w:rsid w:val="00A43CFA"/>
    <w:rsid w:val="00A53AEB"/>
    <w:rsid w:val="00A8532D"/>
    <w:rsid w:val="00AB3BF8"/>
    <w:rsid w:val="00AC6D6F"/>
    <w:rsid w:val="00B000E4"/>
    <w:rsid w:val="00B629C1"/>
    <w:rsid w:val="00B76BBD"/>
    <w:rsid w:val="00B772AD"/>
    <w:rsid w:val="00B90311"/>
    <w:rsid w:val="00B96D4D"/>
    <w:rsid w:val="00BA47E8"/>
    <w:rsid w:val="00BB3B69"/>
    <w:rsid w:val="00BB5C84"/>
    <w:rsid w:val="00BF7976"/>
    <w:rsid w:val="00C05C45"/>
    <w:rsid w:val="00C30347"/>
    <w:rsid w:val="00C32F7A"/>
    <w:rsid w:val="00C4224E"/>
    <w:rsid w:val="00C5086B"/>
    <w:rsid w:val="00C57248"/>
    <w:rsid w:val="00C81D5B"/>
    <w:rsid w:val="00C92E65"/>
    <w:rsid w:val="00CA0CC3"/>
    <w:rsid w:val="00CB619E"/>
    <w:rsid w:val="00CE76A6"/>
    <w:rsid w:val="00D40667"/>
    <w:rsid w:val="00D4664D"/>
    <w:rsid w:val="00D73C1F"/>
    <w:rsid w:val="00D74B2B"/>
    <w:rsid w:val="00D770B4"/>
    <w:rsid w:val="00D91722"/>
    <w:rsid w:val="00D9255C"/>
    <w:rsid w:val="00DB5D34"/>
    <w:rsid w:val="00E12CBD"/>
    <w:rsid w:val="00E1405F"/>
    <w:rsid w:val="00E20435"/>
    <w:rsid w:val="00E906B1"/>
    <w:rsid w:val="00EA660C"/>
    <w:rsid w:val="00EC55ED"/>
    <w:rsid w:val="00ED5A22"/>
    <w:rsid w:val="00EF4ABC"/>
    <w:rsid w:val="00F03393"/>
    <w:rsid w:val="00F03EC8"/>
    <w:rsid w:val="00F51B14"/>
    <w:rsid w:val="00F740EB"/>
    <w:rsid w:val="00F905E1"/>
    <w:rsid w:val="00FA0E9E"/>
    <w:rsid w:val="00FB67CD"/>
    <w:rsid w:val="00FC42EE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05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E1C"/>
  </w:style>
  <w:style w:type="paragraph" w:styleId="Footer">
    <w:name w:val="footer"/>
    <w:basedOn w:val="Normal"/>
    <w:link w:val="FooterChar"/>
    <w:uiPriority w:val="99"/>
    <w:unhideWhenUsed/>
    <w:rsid w:val="003E3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05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E1C"/>
  </w:style>
  <w:style w:type="paragraph" w:styleId="Footer">
    <w:name w:val="footer"/>
    <w:basedOn w:val="Normal"/>
    <w:link w:val="FooterChar"/>
    <w:uiPriority w:val="99"/>
    <w:unhideWhenUsed/>
    <w:rsid w:val="003E3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2017-08-16T02:26:00Z</dcterms:created>
  <dcterms:modified xsi:type="dcterms:W3CDTF">2017-08-16T02:26:00Z</dcterms:modified>
</cp:coreProperties>
</file>