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D3C" w:rsidRDefault="00742D3C" w:rsidP="00742D3C">
      <w:pPr>
        <w:spacing w:after="0"/>
        <w:rPr>
          <w:rFonts w:ascii="Arial" w:eastAsia="Times New Roman" w:hAnsi="Arial" w:cs="Arial"/>
          <w:color w:val="000000"/>
        </w:rPr>
      </w:pPr>
      <w:bookmarkStart w:id="0" w:name="_GoBack"/>
      <w:bookmarkEnd w:id="0"/>
    </w:p>
    <w:p w:rsidR="003B33C1" w:rsidRDefault="003B33C1" w:rsidP="00901E39">
      <w:pPr>
        <w:spacing w:after="0"/>
        <w:rPr>
          <w:rFonts w:ascii="Arial" w:eastAsia="Times New Roman" w:hAnsi="Arial" w:cs="Arial"/>
          <w:color w:val="000000"/>
        </w:rPr>
      </w:pPr>
    </w:p>
    <w:p w:rsidR="00901E39" w:rsidRPr="00901E39" w:rsidRDefault="00901E39" w:rsidP="00901E39">
      <w:pPr>
        <w:spacing w:after="0"/>
        <w:rPr>
          <w:rFonts w:ascii="Arial" w:eastAsia="Times New Roman" w:hAnsi="Arial" w:cs="Arial"/>
          <w:color w:val="000000"/>
        </w:rPr>
      </w:pPr>
      <w:r w:rsidRPr="00901E39">
        <w:rPr>
          <w:rFonts w:ascii="Arial" w:eastAsia="Times New Roman" w:hAnsi="Arial" w:cs="Arial"/>
          <w:color w:val="000000"/>
        </w:rPr>
        <w:t>Manager</w:t>
      </w:r>
    </w:p>
    <w:p w:rsidR="00901E39" w:rsidRPr="00901E39" w:rsidRDefault="00901E39" w:rsidP="00901E39">
      <w:pPr>
        <w:spacing w:after="0"/>
        <w:rPr>
          <w:rFonts w:ascii="Arial" w:eastAsia="Times New Roman" w:hAnsi="Arial" w:cs="Arial"/>
          <w:color w:val="000000"/>
        </w:rPr>
      </w:pPr>
      <w:r w:rsidRPr="00901E39">
        <w:rPr>
          <w:rFonts w:ascii="Arial" w:eastAsia="Times New Roman" w:hAnsi="Arial" w:cs="Arial"/>
          <w:color w:val="000000"/>
        </w:rPr>
        <w:t>Banking, Insurance and Capital Markets Unit</w:t>
      </w:r>
    </w:p>
    <w:p w:rsidR="00901E39" w:rsidRPr="00901E39" w:rsidRDefault="00901E39" w:rsidP="00901E39">
      <w:pPr>
        <w:spacing w:after="0"/>
        <w:rPr>
          <w:rFonts w:ascii="Arial" w:eastAsia="Times New Roman" w:hAnsi="Arial" w:cs="Arial"/>
          <w:color w:val="000000"/>
        </w:rPr>
      </w:pPr>
      <w:r w:rsidRPr="00901E39">
        <w:rPr>
          <w:rFonts w:ascii="Arial" w:eastAsia="Times New Roman" w:hAnsi="Arial" w:cs="Arial"/>
          <w:color w:val="000000"/>
        </w:rPr>
        <w:t>Financial System Division</w:t>
      </w:r>
    </w:p>
    <w:p w:rsidR="00901E39" w:rsidRPr="00901E39" w:rsidRDefault="00901E39" w:rsidP="00901E39">
      <w:pPr>
        <w:spacing w:after="0"/>
        <w:rPr>
          <w:rFonts w:ascii="Arial" w:eastAsia="Times New Roman" w:hAnsi="Arial" w:cs="Arial"/>
          <w:color w:val="000000"/>
        </w:rPr>
      </w:pPr>
      <w:r w:rsidRPr="00901E39">
        <w:rPr>
          <w:rFonts w:ascii="Arial" w:eastAsia="Times New Roman" w:hAnsi="Arial" w:cs="Arial"/>
          <w:color w:val="000000"/>
        </w:rPr>
        <w:t>The Treasury</w:t>
      </w:r>
    </w:p>
    <w:p w:rsidR="00901E39" w:rsidRPr="00901E39" w:rsidRDefault="00901E39" w:rsidP="00901E39">
      <w:pPr>
        <w:spacing w:after="0"/>
        <w:rPr>
          <w:rFonts w:ascii="Arial" w:eastAsia="Times New Roman" w:hAnsi="Arial" w:cs="Arial"/>
          <w:color w:val="000000"/>
        </w:rPr>
      </w:pPr>
      <w:r w:rsidRPr="00901E39">
        <w:rPr>
          <w:rFonts w:ascii="Arial" w:eastAsia="Times New Roman" w:hAnsi="Arial" w:cs="Arial"/>
          <w:color w:val="000000"/>
        </w:rPr>
        <w:t>Langton Crescent</w:t>
      </w:r>
    </w:p>
    <w:p w:rsidR="00901E39" w:rsidRDefault="00901E39" w:rsidP="00901E39">
      <w:pPr>
        <w:spacing w:after="0"/>
        <w:rPr>
          <w:rFonts w:ascii="Arial" w:eastAsia="Times New Roman" w:hAnsi="Arial" w:cs="Arial"/>
          <w:color w:val="000000"/>
        </w:rPr>
      </w:pPr>
      <w:r w:rsidRPr="00901E39">
        <w:rPr>
          <w:rFonts w:ascii="Arial" w:eastAsia="Times New Roman" w:hAnsi="Arial" w:cs="Arial"/>
          <w:color w:val="000000"/>
        </w:rPr>
        <w:t>PARKES ACT 2600</w:t>
      </w:r>
    </w:p>
    <w:p w:rsidR="00901E39" w:rsidRDefault="00901E39" w:rsidP="00901E39">
      <w:pPr>
        <w:spacing w:after="0"/>
        <w:rPr>
          <w:rFonts w:ascii="Arial" w:eastAsia="Times New Roman" w:hAnsi="Arial" w:cs="Arial"/>
          <w:color w:val="000000"/>
        </w:rPr>
      </w:pPr>
    </w:p>
    <w:p w:rsidR="003B33C1" w:rsidRDefault="003B33C1" w:rsidP="00901E39">
      <w:pPr>
        <w:spacing w:after="0"/>
        <w:rPr>
          <w:rFonts w:ascii="Arial" w:eastAsia="Times New Roman" w:hAnsi="Arial" w:cs="Arial"/>
          <w:color w:val="000000"/>
        </w:rPr>
      </w:pPr>
    </w:p>
    <w:p w:rsidR="002D02DC" w:rsidRDefault="00901E39" w:rsidP="00901E39">
      <w:pPr>
        <w:spacing w:after="0"/>
        <w:rPr>
          <w:rFonts w:ascii="Arial" w:eastAsia="Times New Roman" w:hAnsi="Arial" w:cs="Arial"/>
          <w:color w:val="000000"/>
        </w:rPr>
      </w:pPr>
      <w:r>
        <w:rPr>
          <w:rFonts w:ascii="Arial" w:eastAsia="Times New Roman" w:hAnsi="Arial" w:cs="Arial"/>
          <w:color w:val="000000"/>
        </w:rPr>
        <w:t xml:space="preserve">Via email: </w:t>
      </w:r>
      <w:r w:rsidRPr="00901E39">
        <w:rPr>
          <w:rFonts w:ascii="Arial" w:eastAsia="Times New Roman" w:hAnsi="Arial" w:cs="Arial"/>
          <w:color w:val="000000"/>
        </w:rPr>
        <w:t>bear@treasury.gov.au</w:t>
      </w:r>
    </w:p>
    <w:p w:rsidR="00901E39" w:rsidRDefault="00901E39" w:rsidP="003855DD">
      <w:pPr>
        <w:rPr>
          <w:rFonts w:ascii="Arial" w:eastAsia="Times New Roman" w:hAnsi="Arial" w:cs="Arial"/>
          <w:color w:val="000000"/>
        </w:rPr>
      </w:pPr>
    </w:p>
    <w:p w:rsidR="00A91084" w:rsidRDefault="00901E39" w:rsidP="003855DD">
      <w:pPr>
        <w:rPr>
          <w:rFonts w:ascii="Arial" w:eastAsia="Times New Roman" w:hAnsi="Arial" w:cs="Arial"/>
          <w:color w:val="000000"/>
        </w:rPr>
      </w:pPr>
      <w:r>
        <w:rPr>
          <w:rFonts w:ascii="Arial" w:eastAsia="Times New Roman" w:hAnsi="Arial" w:cs="Arial"/>
          <w:color w:val="000000"/>
        </w:rPr>
        <w:t>3</w:t>
      </w:r>
      <w:r w:rsidR="003855DD" w:rsidRPr="00EA1D2E">
        <w:rPr>
          <w:rFonts w:ascii="Arial" w:eastAsia="Times New Roman" w:hAnsi="Arial" w:cs="Arial"/>
          <w:color w:val="000000"/>
        </w:rPr>
        <w:t xml:space="preserve"> August 2017</w:t>
      </w:r>
    </w:p>
    <w:p w:rsidR="00EA1D2E" w:rsidRPr="00EA1D2E" w:rsidRDefault="00901E39" w:rsidP="003855DD">
      <w:pPr>
        <w:rPr>
          <w:rFonts w:ascii="Arial" w:eastAsia="Times New Roman" w:hAnsi="Arial" w:cs="Arial"/>
          <w:color w:val="000000"/>
        </w:rPr>
      </w:pPr>
      <w:r>
        <w:rPr>
          <w:rFonts w:ascii="Arial" w:eastAsia="Times New Roman" w:hAnsi="Arial" w:cs="Arial"/>
          <w:color w:val="000000"/>
        </w:rPr>
        <w:t>Dear Manager</w:t>
      </w:r>
    </w:p>
    <w:p w:rsidR="003855DD" w:rsidRPr="00EA1D2E" w:rsidRDefault="003855DD" w:rsidP="003855DD">
      <w:pPr>
        <w:outlineLvl w:val="0"/>
        <w:rPr>
          <w:rFonts w:ascii="Arial" w:eastAsia="Times New Roman" w:hAnsi="Arial" w:cs="Arial"/>
          <w:b/>
          <w:color w:val="E36C0A" w:themeColor="accent6" w:themeShade="BF"/>
        </w:rPr>
      </w:pPr>
      <w:r w:rsidRPr="00EA1D2E">
        <w:rPr>
          <w:rFonts w:ascii="Arial" w:eastAsia="Times New Roman" w:hAnsi="Arial" w:cs="Arial"/>
          <w:b/>
          <w:color w:val="E36C0A" w:themeColor="accent6" w:themeShade="BF"/>
        </w:rPr>
        <w:t xml:space="preserve">Submission to the </w:t>
      </w:r>
      <w:r w:rsidR="00901E39">
        <w:rPr>
          <w:rFonts w:ascii="Arial" w:eastAsia="Times New Roman" w:hAnsi="Arial" w:cs="Arial"/>
          <w:b/>
          <w:color w:val="E36C0A" w:themeColor="accent6" w:themeShade="BF"/>
        </w:rPr>
        <w:t>Treasury consultation paper into the Banking Executive Accountability R</w:t>
      </w:r>
      <w:r w:rsidR="00901E39" w:rsidRPr="00901E39">
        <w:rPr>
          <w:rFonts w:ascii="Arial" w:eastAsia="Times New Roman" w:hAnsi="Arial" w:cs="Arial"/>
          <w:b/>
          <w:color w:val="E36C0A" w:themeColor="accent6" w:themeShade="BF"/>
        </w:rPr>
        <w:t>egime</w:t>
      </w:r>
    </w:p>
    <w:p w:rsidR="002D02DC" w:rsidRDefault="003855DD" w:rsidP="00EA1D2E">
      <w:pPr>
        <w:rPr>
          <w:rFonts w:ascii="Arial" w:eastAsia="Times New Roman" w:hAnsi="Arial" w:cs="Arial"/>
          <w:color w:val="000000"/>
        </w:rPr>
      </w:pPr>
      <w:r w:rsidRPr="00EA1D2E">
        <w:rPr>
          <w:rFonts w:ascii="Arial" w:eastAsia="Times New Roman" w:hAnsi="Arial" w:cs="Arial"/>
          <w:color w:val="000000"/>
        </w:rPr>
        <w:t xml:space="preserve">The Business Council of Co-operatives and Mutuals (BCCM) welcomes the opportunity to make a </w:t>
      </w:r>
      <w:r w:rsidR="00EA1D2E" w:rsidRPr="00EA1D2E">
        <w:rPr>
          <w:rFonts w:ascii="Arial" w:eastAsia="Times New Roman" w:hAnsi="Arial" w:cs="Arial"/>
          <w:color w:val="000000"/>
        </w:rPr>
        <w:t>submission to the</w:t>
      </w:r>
      <w:r w:rsidR="00742D3C">
        <w:rPr>
          <w:rFonts w:ascii="Arial" w:eastAsia="Times New Roman" w:hAnsi="Arial" w:cs="Arial"/>
          <w:color w:val="000000"/>
        </w:rPr>
        <w:t xml:space="preserve"> </w:t>
      </w:r>
      <w:r w:rsidR="00901E39" w:rsidRPr="00901E39">
        <w:rPr>
          <w:rFonts w:ascii="Arial" w:eastAsia="Times New Roman" w:hAnsi="Arial" w:cs="Arial"/>
          <w:color w:val="000000"/>
        </w:rPr>
        <w:t>Treasury consultation paper into the Banking Executive Accountability Regime</w:t>
      </w:r>
      <w:r w:rsidR="00EA1D2E" w:rsidRPr="00EA1D2E">
        <w:rPr>
          <w:rFonts w:ascii="Arial" w:eastAsia="Times New Roman" w:hAnsi="Arial" w:cs="Arial"/>
          <w:color w:val="000000"/>
        </w:rPr>
        <w:t>.</w:t>
      </w:r>
      <w:r w:rsidR="002D02DC">
        <w:rPr>
          <w:rFonts w:ascii="Arial" w:eastAsia="Times New Roman" w:hAnsi="Arial" w:cs="Arial"/>
          <w:color w:val="000000"/>
        </w:rPr>
        <w:t xml:space="preserve"> </w:t>
      </w:r>
    </w:p>
    <w:p w:rsidR="00901E39" w:rsidRDefault="002D02DC" w:rsidP="00901E39">
      <w:pPr>
        <w:rPr>
          <w:rFonts w:ascii="Arial" w:eastAsia="Times New Roman" w:hAnsi="Arial" w:cs="Arial"/>
          <w:color w:val="000000"/>
        </w:rPr>
      </w:pPr>
      <w:r>
        <w:rPr>
          <w:rFonts w:ascii="Arial" w:eastAsia="Times New Roman" w:hAnsi="Arial" w:cs="Arial"/>
          <w:color w:val="000000"/>
        </w:rPr>
        <w:t>We have included information about the BCCM and about co-operatives and mutuals as appendices</w:t>
      </w:r>
      <w:r w:rsidR="00901E39">
        <w:rPr>
          <w:rFonts w:ascii="Arial" w:eastAsia="Times New Roman" w:hAnsi="Arial" w:cs="Arial"/>
          <w:color w:val="000000"/>
        </w:rPr>
        <w:t xml:space="preserve">, as well as a list of </w:t>
      </w:r>
      <w:r w:rsidR="00265536">
        <w:rPr>
          <w:rFonts w:ascii="Arial" w:eastAsia="Times New Roman" w:hAnsi="Arial" w:cs="Arial"/>
          <w:color w:val="000000"/>
        </w:rPr>
        <w:t xml:space="preserve">the </w:t>
      </w:r>
      <w:r w:rsidR="00901E39">
        <w:rPr>
          <w:rFonts w:ascii="Arial" w:eastAsia="Times New Roman" w:hAnsi="Arial" w:cs="Arial"/>
          <w:color w:val="000000"/>
        </w:rPr>
        <w:t xml:space="preserve">member-owned Authorised Deposit-taking Institutions </w:t>
      </w:r>
      <w:r w:rsidR="00265536">
        <w:rPr>
          <w:rFonts w:ascii="Arial" w:eastAsia="Times New Roman" w:hAnsi="Arial" w:cs="Arial"/>
          <w:color w:val="000000"/>
        </w:rPr>
        <w:t>that are</w:t>
      </w:r>
      <w:r w:rsidR="00901E39">
        <w:rPr>
          <w:rFonts w:ascii="Arial" w:eastAsia="Times New Roman" w:hAnsi="Arial" w:cs="Arial"/>
          <w:color w:val="000000"/>
        </w:rPr>
        <w:t xml:space="preserve"> member</w:t>
      </w:r>
      <w:r w:rsidR="00265536">
        <w:rPr>
          <w:rFonts w:ascii="Arial" w:eastAsia="Times New Roman" w:hAnsi="Arial" w:cs="Arial"/>
          <w:color w:val="000000"/>
        </w:rPr>
        <w:t>s</w:t>
      </w:r>
      <w:r w:rsidR="00901E39">
        <w:rPr>
          <w:rFonts w:ascii="Arial" w:eastAsia="Times New Roman" w:hAnsi="Arial" w:cs="Arial"/>
          <w:color w:val="000000"/>
        </w:rPr>
        <w:t xml:space="preserve"> of the BCCM.</w:t>
      </w:r>
    </w:p>
    <w:p w:rsidR="00901E39" w:rsidRDefault="00265536" w:rsidP="00901E39">
      <w:pPr>
        <w:rPr>
          <w:rFonts w:ascii="Arial" w:eastAsia="Times New Roman" w:hAnsi="Arial" w:cs="Arial"/>
          <w:color w:val="000000"/>
        </w:rPr>
      </w:pPr>
      <w:r>
        <w:rPr>
          <w:rFonts w:ascii="Arial" w:eastAsia="Times New Roman" w:hAnsi="Arial" w:cs="Arial"/>
          <w:color w:val="000000"/>
        </w:rPr>
        <w:t xml:space="preserve">Our </w:t>
      </w:r>
      <w:r w:rsidR="00901E39">
        <w:rPr>
          <w:rFonts w:ascii="Arial" w:eastAsia="Times New Roman" w:hAnsi="Arial" w:cs="Arial"/>
          <w:color w:val="000000"/>
        </w:rPr>
        <w:t xml:space="preserve">members include some of Australia’s largest </w:t>
      </w:r>
      <w:r w:rsidR="005E13D2">
        <w:rPr>
          <w:rFonts w:ascii="Arial" w:eastAsia="Times New Roman" w:hAnsi="Arial" w:cs="Arial"/>
          <w:color w:val="000000"/>
        </w:rPr>
        <w:t>member-owned ADIs</w:t>
      </w:r>
      <w:r w:rsidR="00481EBE">
        <w:rPr>
          <w:rStyle w:val="FootnoteReference"/>
          <w:rFonts w:ascii="Arial" w:eastAsia="Times New Roman" w:hAnsi="Arial" w:cs="Arial"/>
          <w:color w:val="000000"/>
        </w:rPr>
        <w:footnoteReference w:id="1"/>
      </w:r>
      <w:r w:rsidR="00C92B0C">
        <w:rPr>
          <w:rFonts w:ascii="Arial" w:eastAsia="Times New Roman" w:hAnsi="Arial" w:cs="Arial"/>
          <w:color w:val="000000"/>
        </w:rPr>
        <w:t xml:space="preserve">. Combined, these </w:t>
      </w:r>
      <w:r w:rsidR="005E13D2">
        <w:rPr>
          <w:rFonts w:ascii="Arial" w:eastAsia="Times New Roman" w:hAnsi="Arial" w:cs="Arial"/>
          <w:color w:val="000000"/>
        </w:rPr>
        <w:t>financial institutions have an annual turnover of more than $</w:t>
      </w:r>
      <w:r w:rsidR="00C92B0C">
        <w:rPr>
          <w:rFonts w:ascii="Arial" w:eastAsia="Times New Roman" w:hAnsi="Arial" w:cs="Arial"/>
          <w:color w:val="000000"/>
        </w:rPr>
        <w:t>3 billion and assets of almost $6</w:t>
      </w:r>
      <w:r w:rsidR="005E13D2">
        <w:rPr>
          <w:rFonts w:ascii="Arial" w:eastAsia="Times New Roman" w:hAnsi="Arial" w:cs="Arial"/>
          <w:color w:val="000000"/>
        </w:rPr>
        <w:t>0 billion.</w:t>
      </w:r>
      <w:r w:rsidR="00FD0E8E">
        <w:rPr>
          <w:rFonts w:ascii="Arial" w:eastAsia="Times New Roman" w:hAnsi="Arial" w:cs="Arial"/>
          <w:color w:val="000000"/>
        </w:rPr>
        <w:t xml:space="preserve"> They include Australia’s largest member-owned bank – Heritage Bank – and Australia’s largest member-owned ADI – CUA.</w:t>
      </w:r>
      <w:r w:rsidR="005E13D2">
        <w:rPr>
          <w:rFonts w:ascii="Arial" w:eastAsia="Times New Roman" w:hAnsi="Arial" w:cs="Arial"/>
          <w:color w:val="000000"/>
        </w:rPr>
        <w:t xml:space="preserve"> Two of the</w:t>
      </w:r>
      <w:r w:rsidR="00FD0E8E">
        <w:rPr>
          <w:rFonts w:ascii="Arial" w:eastAsia="Times New Roman" w:hAnsi="Arial" w:cs="Arial"/>
          <w:color w:val="000000"/>
        </w:rPr>
        <w:t xml:space="preserve"> members</w:t>
      </w:r>
      <w:r w:rsidR="005E13D2">
        <w:rPr>
          <w:rFonts w:ascii="Arial" w:eastAsia="Times New Roman" w:hAnsi="Arial" w:cs="Arial"/>
          <w:color w:val="000000"/>
        </w:rPr>
        <w:t>, People’s Choice Credit Union and Beyond Bank</w:t>
      </w:r>
      <w:r w:rsidR="00C92B0C">
        <w:rPr>
          <w:rFonts w:ascii="Arial" w:eastAsia="Times New Roman" w:hAnsi="Arial" w:cs="Arial"/>
          <w:color w:val="000000"/>
        </w:rPr>
        <w:t>,</w:t>
      </w:r>
      <w:r w:rsidR="005E13D2">
        <w:rPr>
          <w:rFonts w:ascii="Arial" w:eastAsia="Times New Roman" w:hAnsi="Arial" w:cs="Arial"/>
          <w:color w:val="000000"/>
        </w:rPr>
        <w:t xml:space="preserve"> </w:t>
      </w:r>
      <w:r w:rsidR="00FD0E8E">
        <w:rPr>
          <w:rFonts w:ascii="Arial" w:eastAsia="Times New Roman" w:hAnsi="Arial" w:cs="Arial"/>
          <w:color w:val="000000"/>
        </w:rPr>
        <w:t>are based in Adelaide, South Australia and have a combined membership of around one-third of all residents in that state.</w:t>
      </w:r>
      <w:r w:rsidR="00722602">
        <w:rPr>
          <w:rFonts w:ascii="Arial" w:eastAsia="Times New Roman" w:hAnsi="Arial" w:cs="Arial"/>
          <w:color w:val="000000"/>
        </w:rPr>
        <w:t xml:space="preserve"> The BCCM membership also includes the Customer Owned Banking Association (COBA).</w:t>
      </w:r>
    </w:p>
    <w:p w:rsidR="00722602" w:rsidRDefault="00722602" w:rsidP="00901E39">
      <w:pPr>
        <w:rPr>
          <w:rFonts w:ascii="Arial" w:eastAsia="Times New Roman" w:hAnsi="Arial" w:cs="Arial"/>
          <w:color w:val="000000"/>
        </w:rPr>
      </w:pPr>
      <w:r>
        <w:rPr>
          <w:rFonts w:ascii="Arial" w:eastAsia="Times New Roman" w:hAnsi="Arial" w:cs="Arial"/>
          <w:color w:val="000000"/>
        </w:rPr>
        <w:t>Mutual ADIs</w:t>
      </w:r>
      <w:r w:rsidRPr="00722602">
        <w:rPr>
          <w:rFonts w:ascii="Arial" w:eastAsia="Times New Roman" w:hAnsi="Arial" w:cs="Arial"/>
          <w:color w:val="000000"/>
        </w:rPr>
        <w:t xml:space="preserve"> are mem</w:t>
      </w:r>
      <w:r>
        <w:rPr>
          <w:rFonts w:ascii="Arial" w:eastAsia="Times New Roman" w:hAnsi="Arial" w:cs="Arial"/>
          <w:color w:val="000000"/>
        </w:rPr>
        <w:t xml:space="preserve">ber owned, and </w:t>
      </w:r>
      <w:r w:rsidRPr="00722602">
        <w:rPr>
          <w:rFonts w:ascii="Arial" w:eastAsia="Times New Roman" w:hAnsi="Arial" w:cs="Arial"/>
          <w:color w:val="000000"/>
        </w:rPr>
        <w:t xml:space="preserve">profits </w:t>
      </w:r>
      <w:r>
        <w:rPr>
          <w:rFonts w:ascii="Arial" w:eastAsia="Times New Roman" w:hAnsi="Arial" w:cs="Arial"/>
          <w:color w:val="000000"/>
        </w:rPr>
        <w:t xml:space="preserve">– or </w:t>
      </w:r>
      <w:r w:rsidRPr="00722602">
        <w:rPr>
          <w:rFonts w:ascii="Arial" w:eastAsia="Times New Roman" w:hAnsi="Arial" w:cs="Arial"/>
          <w:color w:val="000000"/>
        </w:rPr>
        <w:t>su</w:t>
      </w:r>
      <w:r>
        <w:rPr>
          <w:rFonts w:ascii="Arial" w:eastAsia="Times New Roman" w:hAnsi="Arial" w:cs="Arial"/>
          <w:color w:val="000000"/>
        </w:rPr>
        <w:t>rpluses as they are known</w:t>
      </w:r>
      <w:r w:rsidR="00CC570E">
        <w:rPr>
          <w:rFonts w:ascii="Arial" w:eastAsia="Times New Roman" w:hAnsi="Arial" w:cs="Arial"/>
          <w:color w:val="000000"/>
        </w:rPr>
        <w:t xml:space="preserve"> – are retained or reinvested </w:t>
      </w:r>
      <w:r w:rsidRPr="00722602">
        <w:rPr>
          <w:rFonts w:ascii="Arial" w:eastAsia="Times New Roman" w:hAnsi="Arial" w:cs="Arial"/>
          <w:color w:val="000000"/>
        </w:rPr>
        <w:t xml:space="preserve">to run the business and </w:t>
      </w:r>
      <w:r w:rsidR="00CC570E">
        <w:rPr>
          <w:rFonts w:ascii="Arial" w:eastAsia="Times New Roman" w:hAnsi="Arial" w:cs="Arial"/>
          <w:color w:val="000000"/>
        </w:rPr>
        <w:t>to provide</w:t>
      </w:r>
      <w:r w:rsidRPr="00722602">
        <w:rPr>
          <w:rFonts w:ascii="Arial" w:eastAsia="Times New Roman" w:hAnsi="Arial" w:cs="Arial"/>
          <w:color w:val="000000"/>
        </w:rPr>
        <w:t xml:space="preserve"> services </w:t>
      </w:r>
      <w:r w:rsidR="00CC570E">
        <w:rPr>
          <w:rFonts w:ascii="Arial" w:eastAsia="Times New Roman" w:hAnsi="Arial" w:cs="Arial"/>
          <w:color w:val="000000"/>
        </w:rPr>
        <w:t>that benefit the member. Mutual ADIs</w:t>
      </w:r>
      <w:r w:rsidRPr="00722602">
        <w:rPr>
          <w:rFonts w:ascii="Arial" w:eastAsia="Times New Roman" w:hAnsi="Arial" w:cs="Arial"/>
          <w:color w:val="000000"/>
        </w:rPr>
        <w:t xml:space="preserve"> have majority member elected boards, one member one vote democracy and they are accountable and transparent in the way they distribute the members</w:t>
      </w:r>
      <w:r w:rsidR="006B7591">
        <w:rPr>
          <w:rFonts w:ascii="Arial" w:eastAsia="Times New Roman" w:hAnsi="Arial" w:cs="Arial"/>
          <w:color w:val="000000"/>
        </w:rPr>
        <w:t>’</w:t>
      </w:r>
      <w:r w:rsidRPr="00722602">
        <w:rPr>
          <w:rFonts w:ascii="Arial" w:eastAsia="Times New Roman" w:hAnsi="Arial" w:cs="Arial"/>
          <w:color w:val="000000"/>
        </w:rPr>
        <w:t xml:space="preserve"> surplus.</w:t>
      </w:r>
    </w:p>
    <w:p w:rsidR="00FD0E8E" w:rsidRDefault="00FD0E8E" w:rsidP="00901E39">
      <w:pPr>
        <w:rPr>
          <w:rFonts w:ascii="Arial" w:eastAsia="Times New Roman" w:hAnsi="Arial" w:cs="Arial"/>
          <w:color w:val="000000"/>
        </w:rPr>
      </w:pPr>
      <w:r>
        <w:rPr>
          <w:rFonts w:ascii="Arial" w:eastAsia="Times New Roman" w:hAnsi="Arial" w:cs="Arial"/>
          <w:color w:val="000000"/>
        </w:rPr>
        <w:t>The BCCM has surveyed our members on the implications of the BEAR, and we would like to represent their views on several matters:</w:t>
      </w:r>
    </w:p>
    <w:p w:rsidR="007D7DEA" w:rsidRDefault="00A91084" w:rsidP="00FD0E8E">
      <w:pPr>
        <w:pStyle w:val="ListParagraph"/>
        <w:numPr>
          <w:ilvl w:val="0"/>
          <w:numId w:val="26"/>
        </w:numPr>
        <w:rPr>
          <w:rFonts w:ascii="Arial" w:hAnsi="Arial" w:cs="Arial"/>
        </w:rPr>
      </w:pPr>
      <w:r>
        <w:rPr>
          <w:rFonts w:ascii="Arial" w:hAnsi="Arial" w:cs="Arial"/>
        </w:rPr>
        <w:lastRenderedPageBreak/>
        <w:t>Given the objective of the Regime, we believe that customer-owned and mutual ADIs should be provided an exemption from the Regime</w:t>
      </w:r>
    </w:p>
    <w:p w:rsidR="00D76CCA" w:rsidRDefault="00265536" w:rsidP="00D76CCA">
      <w:pPr>
        <w:pStyle w:val="ListParagraph"/>
        <w:numPr>
          <w:ilvl w:val="0"/>
          <w:numId w:val="26"/>
        </w:numPr>
        <w:rPr>
          <w:rFonts w:ascii="Arial" w:hAnsi="Arial" w:cs="Arial"/>
        </w:rPr>
      </w:pPr>
      <w:r>
        <w:rPr>
          <w:rFonts w:ascii="Arial" w:hAnsi="Arial" w:cs="Arial"/>
        </w:rPr>
        <w:t>By way of</w:t>
      </w:r>
      <w:r w:rsidR="00D76CCA">
        <w:rPr>
          <w:rFonts w:ascii="Arial" w:hAnsi="Arial" w:cs="Arial"/>
        </w:rPr>
        <w:t xml:space="preserve"> </w:t>
      </w:r>
      <w:r>
        <w:rPr>
          <w:rFonts w:ascii="Arial" w:hAnsi="Arial" w:cs="Arial"/>
        </w:rPr>
        <w:t>their business structure</w:t>
      </w:r>
      <w:r w:rsidR="00D76CCA">
        <w:rPr>
          <w:rFonts w:ascii="Arial" w:hAnsi="Arial" w:cs="Arial"/>
        </w:rPr>
        <w:t>, member-owned ADIs do not have access to the type of share-based remuneration available to listed entities (</w:t>
      </w:r>
      <w:r w:rsidR="003B33C1">
        <w:rPr>
          <w:rFonts w:ascii="Arial" w:hAnsi="Arial" w:cs="Arial"/>
        </w:rPr>
        <w:t xml:space="preserve">Consultation Paper </w:t>
      </w:r>
      <w:r w:rsidR="00D76CCA">
        <w:rPr>
          <w:rFonts w:ascii="Arial" w:hAnsi="Arial" w:cs="Arial"/>
        </w:rPr>
        <w:t>Question 8)</w:t>
      </w:r>
    </w:p>
    <w:p w:rsidR="007D7DEA" w:rsidRDefault="007D7DEA" w:rsidP="00FD0E8E">
      <w:pPr>
        <w:pStyle w:val="ListParagraph"/>
        <w:numPr>
          <w:ilvl w:val="0"/>
          <w:numId w:val="26"/>
        </w:numPr>
        <w:rPr>
          <w:rFonts w:ascii="Arial" w:hAnsi="Arial" w:cs="Arial"/>
        </w:rPr>
      </w:pPr>
      <w:r>
        <w:rPr>
          <w:rFonts w:ascii="Arial" w:hAnsi="Arial" w:cs="Arial"/>
        </w:rPr>
        <w:t>Particular care should be taken with the definition of “variable</w:t>
      </w:r>
      <w:r w:rsidR="003B33C1">
        <w:rPr>
          <w:rFonts w:ascii="Arial" w:hAnsi="Arial" w:cs="Arial"/>
        </w:rPr>
        <w:t xml:space="preserve"> remuneration” (</w:t>
      </w:r>
      <w:r w:rsidR="00D76CCA">
        <w:rPr>
          <w:rFonts w:ascii="Arial" w:hAnsi="Arial" w:cs="Arial"/>
        </w:rPr>
        <w:t>Q</w:t>
      </w:r>
      <w:r>
        <w:rPr>
          <w:rFonts w:ascii="Arial" w:hAnsi="Arial" w:cs="Arial"/>
        </w:rPr>
        <w:t>uestion 7)</w:t>
      </w:r>
    </w:p>
    <w:p w:rsidR="0065623F" w:rsidRDefault="0065623F" w:rsidP="00FD0E8E">
      <w:pPr>
        <w:pStyle w:val="ListParagraph"/>
        <w:numPr>
          <w:ilvl w:val="0"/>
          <w:numId w:val="26"/>
        </w:numPr>
        <w:rPr>
          <w:rFonts w:ascii="Arial" w:hAnsi="Arial" w:cs="Arial"/>
        </w:rPr>
      </w:pPr>
      <w:r>
        <w:rPr>
          <w:rFonts w:ascii="Arial" w:hAnsi="Arial" w:cs="Arial"/>
        </w:rPr>
        <w:t>A 4-year deferment of variable remuneration would have a negative impact on customer-owned ADIs (Question 9)</w:t>
      </w:r>
    </w:p>
    <w:p w:rsidR="00A80B2C" w:rsidRDefault="00A91084" w:rsidP="00EA1D2E">
      <w:pPr>
        <w:pStyle w:val="ListParagraph"/>
        <w:numPr>
          <w:ilvl w:val="0"/>
          <w:numId w:val="26"/>
        </w:numPr>
        <w:rPr>
          <w:rFonts w:ascii="Arial" w:hAnsi="Arial" w:cs="Arial"/>
        </w:rPr>
      </w:pPr>
      <w:bookmarkStart w:id="1" w:name="_Hlk489536081"/>
      <w:r>
        <w:rPr>
          <w:rFonts w:ascii="Arial" w:hAnsi="Arial" w:cs="Arial"/>
        </w:rPr>
        <w:t>The additional regulatory and compliance burdens on customer-owned and mutual ADIs and their boards in balancing an appropriate remuneration</w:t>
      </w:r>
      <w:r w:rsidR="003B33C1">
        <w:rPr>
          <w:rFonts w:ascii="Arial" w:hAnsi="Arial" w:cs="Arial"/>
        </w:rPr>
        <w:t xml:space="preserve"> (Question 17)</w:t>
      </w:r>
    </w:p>
    <w:p w:rsidR="00CC1C03" w:rsidRPr="00481EBE" w:rsidRDefault="00782AD8" w:rsidP="00EA1D2E">
      <w:pPr>
        <w:pStyle w:val="ListParagraph"/>
        <w:numPr>
          <w:ilvl w:val="0"/>
          <w:numId w:val="26"/>
        </w:numPr>
        <w:rPr>
          <w:rFonts w:ascii="Arial" w:hAnsi="Arial" w:cs="Arial"/>
        </w:rPr>
      </w:pPr>
      <w:r>
        <w:rPr>
          <w:rFonts w:ascii="Arial" w:hAnsi="Arial" w:cs="Arial"/>
        </w:rPr>
        <w:t>ADIs should have p</w:t>
      </w:r>
      <w:r w:rsidR="00CC1C03">
        <w:rPr>
          <w:rFonts w:ascii="Arial" w:hAnsi="Arial" w:cs="Arial"/>
        </w:rPr>
        <w:t>owers of appeal to APRA decisions</w:t>
      </w:r>
      <w:r>
        <w:rPr>
          <w:rFonts w:ascii="Arial" w:hAnsi="Arial" w:cs="Arial"/>
        </w:rPr>
        <w:t xml:space="preserve"> covered by this regime</w:t>
      </w:r>
    </w:p>
    <w:bookmarkEnd w:id="1"/>
    <w:p w:rsidR="006B7591" w:rsidRDefault="006B7591" w:rsidP="003855DD">
      <w:pPr>
        <w:rPr>
          <w:rFonts w:ascii="Arial" w:hAnsi="Arial" w:cs="Arial"/>
        </w:rPr>
      </w:pPr>
      <w:r>
        <w:rPr>
          <w:rFonts w:ascii="Arial" w:hAnsi="Arial" w:cs="Arial"/>
        </w:rPr>
        <w:t>It is essential that Treasury</w:t>
      </w:r>
      <w:r w:rsidRPr="006B7591">
        <w:rPr>
          <w:rFonts w:ascii="Arial" w:hAnsi="Arial" w:cs="Arial"/>
        </w:rPr>
        <w:t xml:space="preserve"> </w:t>
      </w:r>
      <w:r>
        <w:rPr>
          <w:rFonts w:ascii="Arial" w:hAnsi="Arial" w:cs="Arial"/>
        </w:rPr>
        <w:t>remains</w:t>
      </w:r>
      <w:r w:rsidRPr="006B7591">
        <w:rPr>
          <w:rFonts w:ascii="Arial" w:hAnsi="Arial" w:cs="Arial"/>
        </w:rPr>
        <w:t xml:space="preserve"> cognisant of the different business models to ensure that there are not unintended consequences of a </w:t>
      </w:r>
      <w:r>
        <w:rPr>
          <w:rFonts w:ascii="Arial" w:hAnsi="Arial" w:cs="Arial"/>
        </w:rPr>
        <w:t>“</w:t>
      </w:r>
      <w:r w:rsidRPr="006B7591">
        <w:rPr>
          <w:rFonts w:ascii="Arial" w:hAnsi="Arial" w:cs="Arial"/>
        </w:rPr>
        <w:t>catch all</w:t>
      </w:r>
      <w:r>
        <w:rPr>
          <w:rFonts w:ascii="Arial" w:hAnsi="Arial" w:cs="Arial"/>
        </w:rPr>
        <w:t>”</w:t>
      </w:r>
      <w:r w:rsidRPr="006B7591">
        <w:rPr>
          <w:rFonts w:ascii="Arial" w:hAnsi="Arial" w:cs="Arial"/>
        </w:rPr>
        <w:t xml:space="preserve"> regime.</w:t>
      </w:r>
      <w:r>
        <w:rPr>
          <w:rFonts w:ascii="Arial" w:hAnsi="Arial" w:cs="Arial"/>
        </w:rPr>
        <w:t xml:space="preserve"> The Senate Economics References Committee inquiry into co-operatives, mutuals and members owned business noted that awareness of the mutual business model was a systemic barrier for the sector.</w:t>
      </w:r>
      <w:r>
        <w:rPr>
          <w:rStyle w:val="FootnoteReference"/>
          <w:rFonts w:ascii="Arial" w:hAnsi="Arial" w:cs="Arial"/>
        </w:rPr>
        <w:footnoteReference w:id="2"/>
      </w:r>
    </w:p>
    <w:p w:rsidR="003855DD" w:rsidRPr="00EA1D2E" w:rsidRDefault="003B61F2" w:rsidP="003855DD">
      <w:pPr>
        <w:rPr>
          <w:rFonts w:ascii="Arial" w:hAnsi="Arial" w:cs="Arial"/>
        </w:rPr>
      </w:pPr>
      <w:r w:rsidRPr="00EA1D2E">
        <w:rPr>
          <w:rFonts w:ascii="Arial" w:hAnsi="Arial" w:cs="Arial"/>
        </w:rPr>
        <w:t>The BCCM welcomes the opportunity to provide further information or comment on any aspect of this s</w:t>
      </w:r>
      <w:r w:rsidR="00D76CCA">
        <w:rPr>
          <w:rFonts w:ascii="Arial" w:hAnsi="Arial" w:cs="Arial"/>
        </w:rPr>
        <w:t>ubmission at any hearings the Treasury may</w:t>
      </w:r>
      <w:r w:rsidRPr="00EA1D2E">
        <w:rPr>
          <w:rFonts w:ascii="Arial" w:hAnsi="Arial" w:cs="Arial"/>
        </w:rPr>
        <w:t xml:space="preserve"> hold.</w:t>
      </w:r>
    </w:p>
    <w:p w:rsidR="003855DD" w:rsidRPr="00EA1D2E" w:rsidRDefault="003855DD" w:rsidP="003855DD">
      <w:pPr>
        <w:rPr>
          <w:rFonts w:ascii="Arial" w:hAnsi="Arial" w:cs="Arial"/>
        </w:rPr>
      </w:pPr>
      <w:r w:rsidRPr="00EA1D2E">
        <w:rPr>
          <w:rFonts w:ascii="Arial" w:hAnsi="Arial" w:cs="Arial"/>
        </w:rPr>
        <w:t>Yours faithfully</w:t>
      </w:r>
    </w:p>
    <w:p w:rsidR="003855DD" w:rsidRPr="00EA1D2E" w:rsidRDefault="003855DD" w:rsidP="003855DD">
      <w:pPr>
        <w:rPr>
          <w:rFonts w:ascii="Arial" w:hAnsi="Arial" w:cs="Arial"/>
        </w:rPr>
      </w:pPr>
      <w:r w:rsidRPr="00EA1D2E">
        <w:rPr>
          <w:rFonts w:ascii="Arial" w:hAnsi="Arial" w:cs="Arial"/>
          <w:noProof/>
          <w:lang w:eastAsia="en-AU"/>
        </w:rPr>
        <w:drawing>
          <wp:inline distT="0" distB="0" distL="0" distR="0" wp14:anchorId="7FB33B4F" wp14:editId="19F74468">
            <wp:extent cx="1905770" cy="84806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linaSignature.png"/>
                    <pic:cNvPicPr/>
                  </pic:nvPicPr>
                  <pic:blipFill>
                    <a:blip r:embed="rId15">
                      <a:extLst>
                        <a:ext uri="{28A0092B-C50C-407E-A947-70E740481C1C}">
                          <a14:useLocalDpi xmlns:a14="http://schemas.microsoft.com/office/drawing/2010/main" val="0"/>
                        </a:ext>
                      </a:extLst>
                    </a:blip>
                    <a:stretch>
                      <a:fillRect/>
                    </a:stretch>
                  </pic:blipFill>
                  <pic:spPr>
                    <a:xfrm>
                      <a:off x="0" y="0"/>
                      <a:ext cx="1905770" cy="848068"/>
                    </a:xfrm>
                    <a:prstGeom prst="rect">
                      <a:avLst/>
                    </a:prstGeom>
                  </pic:spPr>
                </pic:pic>
              </a:graphicData>
            </a:graphic>
          </wp:inline>
        </w:drawing>
      </w:r>
    </w:p>
    <w:p w:rsidR="003855DD" w:rsidRPr="003B33C1" w:rsidRDefault="003855DD" w:rsidP="003855DD">
      <w:pPr>
        <w:spacing w:after="0"/>
        <w:rPr>
          <w:rFonts w:ascii="Arial" w:hAnsi="Arial" w:cs="Arial"/>
          <w:b/>
        </w:rPr>
      </w:pPr>
      <w:r w:rsidRPr="003B33C1">
        <w:rPr>
          <w:rFonts w:ascii="Arial" w:hAnsi="Arial" w:cs="Arial"/>
          <w:b/>
        </w:rPr>
        <w:t>Melina Morrison</w:t>
      </w:r>
    </w:p>
    <w:p w:rsidR="006774B3" w:rsidRPr="003B33C1" w:rsidRDefault="003855DD" w:rsidP="006774B3">
      <w:pPr>
        <w:spacing w:after="0"/>
        <w:rPr>
          <w:rFonts w:ascii="Arial" w:hAnsi="Arial" w:cs="Arial"/>
          <w:b/>
        </w:rPr>
      </w:pPr>
      <w:r w:rsidRPr="003B33C1">
        <w:rPr>
          <w:rFonts w:ascii="Arial" w:hAnsi="Arial" w:cs="Arial"/>
          <w:b/>
        </w:rPr>
        <w:t>CEO</w:t>
      </w:r>
    </w:p>
    <w:p w:rsidR="002D02DC" w:rsidRDefault="002D02DC" w:rsidP="006774B3">
      <w:pPr>
        <w:spacing w:after="0"/>
        <w:rPr>
          <w:rFonts w:ascii="Arial" w:hAnsi="Arial" w:cs="Arial"/>
        </w:rPr>
      </w:pPr>
      <w:r>
        <w:rPr>
          <w:rFonts w:ascii="Arial" w:hAnsi="Arial" w:cs="Arial"/>
        </w:rPr>
        <w:t>Business Council of Co-operatives and Mutuals</w:t>
      </w:r>
    </w:p>
    <w:p w:rsidR="00EA1D2E" w:rsidRDefault="00EA1D2E" w:rsidP="006774B3">
      <w:pPr>
        <w:spacing w:after="0"/>
        <w:rPr>
          <w:rFonts w:ascii="Arial" w:hAnsi="Arial" w:cs="Arial"/>
        </w:rPr>
      </w:pPr>
    </w:p>
    <w:p w:rsidR="00A91084" w:rsidRDefault="00A91084">
      <w:pPr>
        <w:spacing w:line="276" w:lineRule="auto"/>
        <w:rPr>
          <w:rFonts w:ascii="Arial" w:hAnsi="Arial" w:cs="Arial"/>
        </w:rPr>
      </w:pPr>
      <w:r>
        <w:rPr>
          <w:rFonts w:ascii="Arial" w:hAnsi="Arial" w:cs="Arial"/>
        </w:rPr>
        <w:br w:type="page"/>
      </w:r>
    </w:p>
    <w:p w:rsidR="00CA3391" w:rsidRDefault="00CA3391" w:rsidP="00CA3391">
      <w:pPr>
        <w:spacing w:after="0"/>
        <w:rPr>
          <w:rFonts w:ascii="Arial" w:hAnsi="Arial" w:cs="Arial"/>
          <w:color w:val="E36C0A" w:themeColor="accent6" w:themeShade="BF"/>
        </w:rPr>
      </w:pPr>
      <w:r>
        <w:rPr>
          <w:rFonts w:ascii="Arial" w:hAnsi="Arial" w:cs="Arial"/>
          <w:b/>
          <w:color w:val="E36C0A" w:themeColor="accent6" w:themeShade="BF"/>
        </w:rPr>
        <w:lastRenderedPageBreak/>
        <w:t>Exempting customer-owned and mutual ADIs from the Banking Executive Accountability Regime</w:t>
      </w:r>
      <w:r w:rsidR="00D76CCA">
        <w:rPr>
          <w:rFonts w:ascii="Arial" w:hAnsi="Arial" w:cs="Arial"/>
          <w:b/>
          <w:color w:val="E36C0A" w:themeColor="accent6" w:themeShade="BF"/>
        </w:rPr>
        <w:t xml:space="preserve"> (including discussion around </w:t>
      </w:r>
      <w:r w:rsidR="003B33C1">
        <w:rPr>
          <w:rFonts w:ascii="Arial" w:hAnsi="Arial" w:cs="Arial"/>
          <w:b/>
          <w:color w:val="E36C0A" w:themeColor="accent6" w:themeShade="BF"/>
        </w:rPr>
        <w:t xml:space="preserve">Consultation Paper </w:t>
      </w:r>
      <w:r w:rsidR="00D76CCA">
        <w:rPr>
          <w:rFonts w:ascii="Arial" w:hAnsi="Arial" w:cs="Arial"/>
          <w:b/>
          <w:color w:val="E36C0A" w:themeColor="accent6" w:themeShade="BF"/>
        </w:rPr>
        <w:t>Question 8</w:t>
      </w:r>
      <w:r w:rsidR="003B33C1">
        <w:rPr>
          <w:rFonts w:ascii="Arial" w:hAnsi="Arial" w:cs="Arial"/>
          <w:b/>
          <w:color w:val="E36C0A" w:themeColor="accent6" w:themeShade="BF"/>
        </w:rPr>
        <w:t>)</w:t>
      </w:r>
    </w:p>
    <w:p w:rsidR="00CA3391" w:rsidRDefault="00CA3391" w:rsidP="00CA3391">
      <w:pPr>
        <w:spacing w:after="0"/>
        <w:rPr>
          <w:rFonts w:ascii="Arial" w:hAnsi="Arial" w:cs="Arial"/>
          <w:color w:val="E36C0A" w:themeColor="accent6" w:themeShade="BF"/>
        </w:rPr>
      </w:pPr>
    </w:p>
    <w:p w:rsidR="00965DB1" w:rsidRDefault="00481EBE" w:rsidP="00CA3391">
      <w:pPr>
        <w:spacing w:after="0"/>
        <w:rPr>
          <w:rFonts w:ascii="Arial" w:hAnsi="Arial" w:cs="Arial"/>
        </w:rPr>
      </w:pPr>
      <w:r>
        <w:rPr>
          <w:rFonts w:ascii="Arial" w:hAnsi="Arial" w:cs="Arial"/>
        </w:rPr>
        <w:t>Mutual</w:t>
      </w:r>
      <w:r w:rsidR="00CA3391">
        <w:rPr>
          <w:rFonts w:ascii="Arial" w:hAnsi="Arial" w:cs="Arial"/>
        </w:rPr>
        <w:t xml:space="preserve"> ADIs are</w:t>
      </w:r>
      <w:r>
        <w:rPr>
          <w:rFonts w:ascii="Arial" w:hAnsi="Arial" w:cs="Arial"/>
        </w:rPr>
        <w:t xml:space="preserve"> not, by their very nature, seeking to maximise a dividend to external</w:t>
      </w:r>
      <w:r w:rsidR="00265536">
        <w:rPr>
          <w:rFonts w:ascii="Arial" w:hAnsi="Arial" w:cs="Arial"/>
        </w:rPr>
        <w:t xml:space="preserve"> </w:t>
      </w:r>
      <w:r>
        <w:rPr>
          <w:rFonts w:ascii="Arial" w:hAnsi="Arial" w:cs="Arial"/>
        </w:rPr>
        <w:t xml:space="preserve">shareholders. </w:t>
      </w:r>
      <w:r w:rsidR="00FC1F3B">
        <w:rPr>
          <w:rFonts w:ascii="Arial" w:hAnsi="Arial" w:cs="Arial"/>
        </w:rPr>
        <w:t>Their structure of</w:t>
      </w:r>
      <w:r>
        <w:rPr>
          <w:rFonts w:ascii="Arial" w:hAnsi="Arial" w:cs="Arial"/>
        </w:rPr>
        <w:t xml:space="preserve"> customer</w:t>
      </w:r>
      <w:r w:rsidR="00265536">
        <w:rPr>
          <w:rFonts w:ascii="Arial" w:hAnsi="Arial" w:cs="Arial"/>
        </w:rPr>
        <w:t xml:space="preserve"> </w:t>
      </w:r>
      <w:r w:rsidR="00FC1F3B">
        <w:rPr>
          <w:rFonts w:ascii="Arial" w:hAnsi="Arial" w:cs="Arial"/>
        </w:rPr>
        <w:t>own</w:t>
      </w:r>
      <w:r w:rsidR="00965DB1">
        <w:rPr>
          <w:rFonts w:ascii="Arial" w:hAnsi="Arial" w:cs="Arial"/>
        </w:rPr>
        <w:t>ership creates an inherent requirement</w:t>
      </w:r>
      <w:r w:rsidR="00FC1F3B">
        <w:rPr>
          <w:rFonts w:ascii="Arial" w:hAnsi="Arial" w:cs="Arial"/>
        </w:rPr>
        <w:t xml:space="preserve"> for executives within a mutual ADI </w:t>
      </w:r>
      <w:r w:rsidR="00965DB1">
        <w:rPr>
          <w:rFonts w:ascii="Arial" w:hAnsi="Arial" w:cs="Arial"/>
        </w:rPr>
        <w:t>to have maximum focus on their customers.</w:t>
      </w:r>
      <w:r w:rsidR="00722602">
        <w:rPr>
          <w:rFonts w:ascii="Arial" w:hAnsi="Arial" w:cs="Arial"/>
        </w:rPr>
        <w:t xml:space="preserve"> By virtue of this business model, executives working for mutual ADIs do not have the same incentive to make short term business decisions in order to maximise the share price which in turn increases the value of their variable remuneration (where that remuneration is paid in shares).</w:t>
      </w:r>
    </w:p>
    <w:p w:rsidR="00965DB1" w:rsidRDefault="00965DB1" w:rsidP="00CA3391">
      <w:pPr>
        <w:spacing w:after="0"/>
        <w:rPr>
          <w:rFonts w:ascii="Arial" w:hAnsi="Arial" w:cs="Arial"/>
        </w:rPr>
      </w:pPr>
    </w:p>
    <w:p w:rsidR="00CA3391" w:rsidRDefault="00E959C7" w:rsidP="00CA3391">
      <w:pPr>
        <w:spacing w:after="0"/>
        <w:rPr>
          <w:rFonts w:ascii="Arial" w:hAnsi="Arial" w:cs="Arial"/>
        </w:rPr>
      </w:pPr>
      <w:r>
        <w:rPr>
          <w:rFonts w:ascii="Arial" w:hAnsi="Arial" w:cs="Arial"/>
        </w:rPr>
        <w:t xml:space="preserve">In contrast, executives in </w:t>
      </w:r>
      <w:r w:rsidR="00FC1F3B">
        <w:rPr>
          <w:rFonts w:ascii="Arial" w:hAnsi="Arial" w:cs="Arial"/>
        </w:rPr>
        <w:t xml:space="preserve">Australia’s investor-owned ADIs, especially given the level </w:t>
      </w:r>
      <w:r w:rsidR="00965DB1">
        <w:rPr>
          <w:rFonts w:ascii="Arial" w:hAnsi="Arial" w:cs="Arial"/>
        </w:rPr>
        <w:t>of institutional investor owner</w:t>
      </w:r>
      <w:r w:rsidR="00FC1F3B">
        <w:rPr>
          <w:rFonts w:ascii="Arial" w:hAnsi="Arial" w:cs="Arial"/>
        </w:rPr>
        <w:t>ship</w:t>
      </w:r>
      <w:r w:rsidR="00965DB1">
        <w:rPr>
          <w:rFonts w:ascii="Arial" w:hAnsi="Arial" w:cs="Arial"/>
        </w:rPr>
        <w:t xml:space="preserve">, </w:t>
      </w:r>
      <w:r>
        <w:rPr>
          <w:rFonts w:ascii="Arial" w:hAnsi="Arial" w:cs="Arial"/>
        </w:rPr>
        <w:t xml:space="preserve">must focus on </w:t>
      </w:r>
      <w:r w:rsidR="00965DB1">
        <w:rPr>
          <w:rFonts w:ascii="Arial" w:hAnsi="Arial" w:cs="Arial"/>
        </w:rPr>
        <w:t>shareholder return in the form of dividend delivery and subsequent increases in share price</w:t>
      </w:r>
      <w:r w:rsidR="00FC1F3B">
        <w:rPr>
          <w:rFonts w:ascii="Arial" w:hAnsi="Arial" w:cs="Arial"/>
        </w:rPr>
        <w:t xml:space="preserve">. </w:t>
      </w:r>
      <w:r w:rsidR="00965DB1">
        <w:rPr>
          <w:rFonts w:ascii="Arial" w:hAnsi="Arial" w:cs="Arial"/>
        </w:rPr>
        <w:t xml:space="preserve">This is only exacerbated by </w:t>
      </w:r>
      <w:r w:rsidR="002A2057">
        <w:rPr>
          <w:rFonts w:ascii="Arial" w:hAnsi="Arial" w:cs="Arial"/>
        </w:rPr>
        <w:t>any part payment of remuneration in shares</w:t>
      </w:r>
      <w:r>
        <w:rPr>
          <w:rFonts w:ascii="Arial" w:hAnsi="Arial" w:cs="Arial"/>
        </w:rPr>
        <w:t xml:space="preserve">; </w:t>
      </w:r>
      <w:r w:rsidR="002A2057">
        <w:rPr>
          <w:rFonts w:ascii="Arial" w:hAnsi="Arial" w:cs="Arial"/>
        </w:rPr>
        <w:t xml:space="preserve">executives </w:t>
      </w:r>
      <w:r>
        <w:rPr>
          <w:rFonts w:ascii="Arial" w:hAnsi="Arial" w:cs="Arial"/>
        </w:rPr>
        <w:t xml:space="preserve">are incentivised to </w:t>
      </w:r>
      <w:r w:rsidR="003B33C1">
        <w:rPr>
          <w:rFonts w:ascii="Arial" w:hAnsi="Arial" w:cs="Arial"/>
        </w:rPr>
        <w:t xml:space="preserve">make decisions </w:t>
      </w:r>
      <w:r>
        <w:rPr>
          <w:rFonts w:ascii="Arial" w:hAnsi="Arial" w:cs="Arial"/>
        </w:rPr>
        <w:t xml:space="preserve">that </w:t>
      </w:r>
      <w:r w:rsidR="003B33C1">
        <w:rPr>
          <w:rFonts w:ascii="Arial" w:hAnsi="Arial" w:cs="Arial"/>
        </w:rPr>
        <w:t>have the potential to directly</w:t>
      </w:r>
      <w:r w:rsidR="002A2057">
        <w:rPr>
          <w:rFonts w:ascii="Arial" w:hAnsi="Arial" w:cs="Arial"/>
        </w:rPr>
        <w:t xml:space="preserve"> increase the value of that portion of their remuneration.</w:t>
      </w:r>
    </w:p>
    <w:p w:rsidR="002A2057" w:rsidRDefault="002A2057" w:rsidP="00CA3391">
      <w:pPr>
        <w:spacing w:after="0"/>
        <w:rPr>
          <w:rFonts w:ascii="Arial" w:hAnsi="Arial" w:cs="Arial"/>
        </w:rPr>
      </w:pPr>
    </w:p>
    <w:p w:rsidR="00CA3391" w:rsidRDefault="00782AD8" w:rsidP="00330CB1">
      <w:pPr>
        <w:spacing w:after="0"/>
        <w:rPr>
          <w:rFonts w:ascii="Arial" w:hAnsi="Arial" w:cs="Arial"/>
        </w:rPr>
      </w:pPr>
      <w:r>
        <w:rPr>
          <w:rFonts w:ascii="Arial" w:hAnsi="Arial" w:cs="Arial"/>
        </w:rPr>
        <w:t>Executives working for c</w:t>
      </w:r>
      <w:r w:rsidR="002A2057">
        <w:rPr>
          <w:rFonts w:ascii="Arial" w:hAnsi="Arial" w:cs="Arial"/>
        </w:rPr>
        <w:t>ustomer-owned ADIs do not have access to</w:t>
      </w:r>
      <w:r w:rsidR="008338C3">
        <w:rPr>
          <w:rFonts w:ascii="Arial" w:hAnsi="Arial" w:cs="Arial"/>
        </w:rPr>
        <w:t xml:space="preserve"> the same</w:t>
      </w:r>
      <w:r w:rsidR="002A2057">
        <w:rPr>
          <w:rFonts w:ascii="Arial" w:hAnsi="Arial" w:cs="Arial"/>
        </w:rPr>
        <w:t xml:space="preserve"> share capital</w:t>
      </w:r>
      <w:r w:rsidR="00462955">
        <w:rPr>
          <w:rFonts w:ascii="Arial" w:hAnsi="Arial" w:cs="Arial"/>
        </w:rPr>
        <w:t xml:space="preserve"> </w:t>
      </w:r>
      <w:r w:rsidR="008338C3">
        <w:rPr>
          <w:rFonts w:ascii="Arial" w:hAnsi="Arial" w:cs="Arial"/>
        </w:rPr>
        <w:t>remuneration as their colleagues in publicly listed ADIs.</w:t>
      </w:r>
      <w:r>
        <w:rPr>
          <w:rFonts w:ascii="Arial" w:hAnsi="Arial" w:cs="Arial"/>
        </w:rPr>
        <w:t xml:space="preserve"> </w:t>
      </w:r>
      <w:r w:rsidR="008338C3">
        <w:rPr>
          <w:rFonts w:ascii="Arial" w:hAnsi="Arial" w:cs="Arial"/>
        </w:rPr>
        <w:t>As a result, customer-owned ADI executives</w:t>
      </w:r>
      <w:r>
        <w:rPr>
          <w:rFonts w:ascii="Arial" w:hAnsi="Arial" w:cs="Arial"/>
        </w:rPr>
        <w:t xml:space="preserve"> do not have the</w:t>
      </w:r>
      <w:r w:rsidR="008338C3">
        <w:rPr>
          <w:rFonts w:ascii="Arial" w:hAnsi="Arial" w:cs="Arial"/>
        </w:rPr>
        <w:t xml:space="preserve"> same</w:t>
      </w:r>
      <w:r>
        <w:rPr>
          <w:rFonts w:ascii="Arial" w:hAnsi="Arial" w:cs="Arial"/>
        </w:rPr>
        <w:t xml:space="preserve"> incentive to make short term decisions </w:t>
      </w:r>
      <w:r w:rsidR="008338C3">
        <w:rPr>
          <w:rFonts w:ascii="Arial" w:hAnsi="Arial" w:cs="Arial"/>
        </w:rPr>
        <w:t>in order to</w:t>
      </w:r>
      <w:r>
        <w:rPr>
          <w:rFonts w:ascii="Arial" w:hAnsi="Arial" w:cs="Arial"/>
        </w:rPr>
        <w:t xml:space="preserve"> maximise the</w:t>
      </w:r>
      <w:r w:rsidR="00462955">
        <w:rPr>
          <w:rFonts w:ascii="Arial" w:hAnsi="Arial" w:cs="Arial"/>
        </w:rPr>
        <w:t xml:space="preserve"> </w:t>
      </w:r>
      <w:r w:rsidR="008338C3">
        <w:rPr>
          <w:rFonts w:ascii="Arial" w:hAnsi="Arial" w:cs="Arial"/>
        </w:rPr>
        <w:t>value of their remuneration</w:t>
      </w:r>
      <w:r w:rsidR="00E959C7">
        <w:rPr>
          <w:rFonts w:ascii="Arial" w:hAnsi="Arial" w:cs="Arial"/>
        </w:rPr>
        <w:t>.</w:t>
      </w:r>
      <w:r w:rsidR="002A2057">
        <w:rPr>
          <w:rFonts w:ascii="Arial" w:hAnsi="Arial" w:cs="Arial"/>
        </w:rPr>
        <w:t xml:space="preserve"> </w:t>
      </w:r>
      <w:r w:rsidR="00C92B0C">
        <w:rPr>
          <w:rFonts w:ascii="Arial" w:hAnsi="Arial" w:cs="Arial"/>
        </w:rPr>
        <w:t>T</w:t>
      </w:r>
      <w:r w:rsidR="002A2057">
        <w:rPr>
          <w:rFonts w:ascii="Arial" w:hAnsi="Arial" w:cs="Arial"/>
        </w:rPr>
        <w:t xml:space="preserve">he </w:t>
      </w:r>
      <w:r w:rsidR="00C92B0C">
        <w:rPr>
          <w:rFonts w:ascii="Arial" w:hAnsi="Arial" w:cs="Arial"/>
        </w:rPr>
        <w:t>BCCM believes the aim</w:t>
      </w:r>
      <w:r w:rsidR="002A2057">
        <w:rPr>
          <w:rFonts w:ascii="Arial" w:hAnsi="Arial" w:cs="Arial"/>
        </w:rPr>
        <w:t xml:space="preserve"> of the BEAR</w:t>
      </w:r>
      <w:r>
        <w:rPr>
          <w:rFonts w:ascii="Arial" w:hAnsi="Arial" w:cs="Arial"/>
        </w:rPr>
        <w:t xml:space="preserve"> </w:t>
      </w:r>
      <w:r w:rsidR="002A2057">
        <w:rPr>
          <w:rFonts w:ascii="Arial" w:hAnsi="Arial" w:cs="Arial"/>
        </w:rPr>
        <w:t>has limited application in the mutual ADI sector, irrespective of size</w:t>
      </w:r>
      <w:r w:rsidR="00330CB1">
        <w:rPr>
          <w:rFonts w:ascii="Arial" w:hAnsi="Arial" w:cs="Arial"/>
        </w:rPr>
        <w:t xml:space="preserve"> (as discussed in the section “Civil Penalties”, page 14</w:t>
      </w:r>
      <w:r w:rsidR="00C92B0C">
        <w:rPr>
          <w:rFonts w:ascii="Arial" w:hAnsi="Arial" w:cs="Arial"/>
        </w:rPr>
        <w:t xml:space="preserve"> of the discussion paper</w:t>
      </w:r>
      <w:r w:rsidR="00330CB1">
        <w:rPr>
          <w:rFonts w:ascii="Arial" w:hAnsi="Arial" w:cs="Arial"/>
        </w:rPr>
        <w:t>) an</w:t>
      </w:r>
      <w:r w:rsidR="0065623F">
        <w:rPr>
          <w:rFonts w:ascii="Arial" w:hAnsi="Arial" w:cs="Arial"/>
        </w:rPr>
        <w:t xml:space="preserve">d the sector should </w:t>
      </w:r>
      <w:r w:rsidR="00C92B0C">
        <w:rPr>
          <w:rFonts w:ascii="Arial" w:hAnsi="Arial" w:cs="Arial"/>
        </w:rPr>
        <w:t>be exempt from the regime.</w:t>
      </w:r>
    </w:p>
    <w:p w:rsidR="00330CB1" w:rsidRDefault="00330CB1" w:rsidP="00330CB1">
      <w:pPr>
        <w:spacing w:after="0"/>
        <w:rPr>
          <w:rFonts w:ascii="Arial" w:hAnsi="Arial" w:cs="Arial"/>
        </w:rPr>
      </w:pPr>
    </w:p>
    <w:p w:rsidR="00330CB1" w:rsidRDefault="00330CB1" w:rsidP="00330CB1">
      <w:pPr>
        <w:spacing w:after="0"/>
        <w:rPr>
          <w:rFonts w:ascii="Arial" w:hAnsi="Arial" w:cs="Arial"/>
          <w:b/>
          <w:color w:val="E36C0A" w:themeColor="accent6" w:themeShade="BF"/>
        </w:rPr>
      </w:pPr>
      <w:r>
        <w:rPr>
          <w:rFonts w:ascii="Arial" w:hAnsi="Arial" w:cs="Arial"/>
          <w:b/>
          <w:color w:val="E36C0A" w:themeColor="accent6" w:themeShade="BF"/>
        </w:rPr>
        <w:t xml:space="preserve">Question 7: </w:t>
      </w:r>
      <w:r w:rsidRPr="00330CB1">
        <w:rPr>
          <w:rFonts w:ascii="Arial" w:hAnsi="Arial" w:cs="Arial"/>
          <w:b/>
          <w:color w:val="E36C0A" w:themeColor="accent6" w:themeShade="BF"/>
        </w:rPr>
        <w:t>What are the complexities in defining variable remuneration, including in relation to</w:t>
      </w:r>
      <w:r>
        <w:rPr>
          <w:rFonts w:ascii="Arial" w:hAnsi="Arial" w:cs="Arial"/>
          <w:b/>
          <w:color w:val="E36C0A" w:themeColor="accent6" w:themeShade="BF"/>
        </w:rPr>
        <w:t xml:space="preserve"> </w:t>
      </w:r>
      <w:r w:rsidRPr="00330CB1">
        <w:rPr>
          <w:rFonts w:ascii="Arial" w:hAnsi="Arial" w:cs="Arial"/>
          <w:b/>
          <w:color w:val="E36C0A" w:themeColor="accent6" w:themeShade="BF"/>
        </w:rPr>
        <w:t>non-cash remuneration?</w:t>
      </w:r>
    </w:p>
    <w:p w:rsidR="00330CB1" w:rsidRDefault="00330CB1" w:rsidP="00330CB1">
      <w:pPr>
        <w:spacing w:after="0"/>
        <w:rPr>
          <w:rFonts w:ascii="Arial" w:hAnsi="Arial" w:cs="Arial"/>
          <w:b/>
          <w:color w:val="E36C0A" w:themeColor="accent6" w:themeShade="BF"/>
        </w:rPr>
      </w:pPr>
    </w:p>
    <w:p w:rsidR="00330CB1" w:rsidRDefault="00330CB1" w:rsidP="00330CB1">
      <w:pPr>
        <w:rPr>
          <w:rFonts w:ascii="Arial" w:hAnsi="Arial" w:cs="Arial"/>
        </w:rPr>
      </w:pPr>
      <w:r>
        <w:rPr>
          <w:rFonts w:ascii="Arial" w:hAnsi="Arial" w:cs="Arial"/>
        </w:rPr>
        <w:t xml:space="preserve">If </w:t>
      </w:r>
      <w:r w:rsidR="00E959C7">
        <w:rPr>
          <w:rFonts w:ascii="Arial" w:hAnsi="Arial" w:cs="Arial"/>
        </w:rPr>
        <w:t>m</w:t>
      </w:r>
      <w:r>
        <w:rPr>
          <w:rFonts w:ascii="Arial" w:hAnsi="Arial" w:cs="Arial"/>
        </w:rPr>
        <w:t>utual ADIs are not excluded from the BEAR, the BCCM would urge caution in the definition of variable remuneration.</w:t>
      </w:r>
    </w:p>
    <w:p w:rsidR="00330CB1" w:rsidRDefault="00330CB1" w:rsidP="00330CB1">
      <w:pPr>
        <w:rPr>
          <w:rFonts w:ascii="Arial" w:hAnsi="Arial" w:cs="Arial"/>
        </w:rPr>
      </w:pPr>
      <w:r>
        <w:rPr>
          <w:rFonts w:ascii="Arial" w:hAnsi="Arial" w:cs="Arial"/>
        </w:rPr>
        <w:t>It is presumed, especially given the second part of Question 7 –</w:t>
      </w:r>
      <w:r w:rsidR="00E959C7">
        <w:rPr>
          <w:rFonts w:ascii="Arial" w:hAnsi="Arial" w:cs="Arial"/>
        </w:rPr>
        <w:t xml:space="preserve"> </w:t>
      </w:r>
      <w:r>
        <w:rPr>
          <w:rFonts w:ascii="Arial" w:hAnsi="Arial" w:cs="Arial"/>
        </w:rPr>
        <w:t>the term “non-cash remuneration” – that the focus is on share and other equity options. This should be made explicit in any definition of “variable remuneration”.</w:t>
      </w:r>
    </w:p>
    <w:p w:rsidR="00330CB1" w:rsidRDefault="00330CB1" w:rsidP="00330CB1">
      <w:pPr>
        <w:rPr>
          <w:rFonts w:ascii="Arial" w:hAnsi="Arial" w:cs="Arial"/>
        </w:rPr>
      </w:pPr>
      <w:r>
        <w:rPr>
          <w:rFonts w:ascii="Arial" w:hAnsi="Arial" w:cs="Arial"/>
        </w:rPr>
        <w:t>Vari</w:t>
      </w:r>
      <w:r w:rsidR="00C92B0C">
        <w:rPr>
          <w:rFonts w:ascii="Arial" w:hAnsi="Arial" w:cs="Arial"/>
        </w:rPr>
        <w:t xml:space="preserve">able bonuses are common in </w:t>
      </w:r>
      <w:r>
        <w:rPr>
          <w:rFonts w:ascii="Arial" w:hAnsi="Arial" w:cs="Arial"/>
        </w:rPr>
        <w:t xml:space="preserve">businesses throughout many parts of the Australian economy, including the member-owned banking sector. As </w:t>
      </w:r>
      <w:r w:rsidR="00E2281A">
        <w:rPr>
          <w:rFonts w:ascii="Arial" w:hAnsi="Arial" w:cs="Arial"/>
        </w:rPr>
        <w:t xml:space="preserve">stated </w:t>
      </w:r>
      <w:r>
        <w:rPr>
          <w:rFonts w:ascii="Arial" w:hAnsi="Arial" w:cs="Arial"/>
        </w:rPr>
        <w:t xml:space="preserve">in </w:t>
      </w:r>
      <w:r w:rsidR="00E2281A">
        <w:rPr>
          <w:rFonts w:ascii="Arial" w:hAnsi="Arial" w:cs="Arial"/>
        </w:rPr>
        <w:t>our response to question 8 above:</w:t>
      </w:r>
      <w:r>
        <w:rPr>
          <w:rFonts w:ascii="Arial" w:hAnsi="Arial" w:cs="Arial"/>
        </w:rPr>
        <w:t xml:space="preserve"> </w:t>
      </w:r>
      <w:r w:rsidR="00E2281A">
        <w:rPr>
          <w:rFonts w:ascii="Arial" w:hAnsi="Arial" w:cs="Arial"/>
        </w:rPr>
        <w:t>the structure of mutual ADIs precludes them from issuing shares or other equity as “non-cash” variable remuneration</w:t>
      </w:r>
      <w:r>
        <w:rPr>
          <w:rFonts w:ascii="Arial" w:hAnsi="Arial" w:cs="Arial"/>
        </w:rPr>
        <w:t xml:space="preserve">. </w:t>
      </w:r>
      <w:r w:rsidR="00462955">
        <w:rPr>
          <w:rFonts w:ascii="Arial" w:hAnsi="Arial" w:cs="Arial"/>
        </w:rPr>
        <w:t>Variable b</w:t>
      </w:r>
      <w:r w:rsidR="00782AD8">
        <w:rPr>
          <w:rFonts w:ascii="Arial" w:hAnsi="Arial" w:cs="Arial"/>
        </w:rPr>
        <w:t xml:space="preserve">onuses </w:t>
      </w:r>
      <w:r>
        <w:rPr>
          <w:rFonts w:ascii="Arial" w:hAnsi="Arial" w:cs="Arial"/>
        </w:rPr>
        <w:t xml:space="preserve">are not, however, inherently objectionable. Many customer-owned ADIs include KPIs such as membership retention, and return of </w:t>
      </w:r>
      <w:r w:rsidR="00D76CCA">
        <w:rPr>
          <w:rFonts w:ascii="Arial" w:hAnsi="Arial" w:cs="Arial"/>
        </w:rPr>
        <w:t>investment to customers and the community</w:t>
      </w:r>
      <w:r>
        <w:rPr>
          <w:rFonts w:ascii="Arial" w:hAnsi="Arial" w:cs="Arial"/>
        </w:rPr>
        <w:t xml:space="preserve"> in their calculation</w:t>
      </w:r>
      <w:r w:rsidR="00D76CCA">
        <w:rPr>
          <w:rFonts w:ascii="Arial" w:hAnsi="Arial" w:cs="Arial"/>
        </w:rPr>
        <w:t xml:space="preserve"> </w:t>
      </w:r>
      <w:r w:rsidR="00E2281A">
        <w:rPr>
          <w:rFonts w:ascii="Arial" w:hAnsi="Arial" w:cs="Arial"/>
        </w:rPr>
        <w:t>of</w:t>
      </w:r>
      <w:r w:rsidR="00D76CCA">
        <w:rPr>
          <w:rFonts w:ascii="Arial" w:hAnsi="Arial" w:cs="Arial"/>
        </w:rPr>
        <w:t xml:space="preserve"> variable bonuses. </w:t>
      </w:r>
    </w:p>
    <w:p w:rsidR="00330CB1" w:rsidRDefault="00E2281A" w:rsidP="00330CB1">
      <w:pPr>
        <w:rPr>
          <w:rFonts w:ascii="Arial" w:hAnsi="Arial" w:cs="Arial"/>
        </w:rPr>
      </w:pPr>
      <w:r>
        <w:rPr>
          <w:rFonts w:ascii="Arial" w:hAnsi="Arial" w:cs="Arial"/>
        </w:rPr>
        <w:t xml:space="preserve">Such </w:t>
      </w:r>
      <w:r w:rsidR="00D76CCA">
        <w:rPr>
          <w:rFonts w:ascii="Arial" w:hAnsi="Arial" w:cs="Arial"/>
        </w:rPr>
        <w:t>payments</w:t>
      </w:r>
      <w:r w:rsidR="00330CB1">
        <w:rPr>
          <w:rFonts w:ascii="Arial" w:hAnsi="Arial" w:cs="Arial"/>
        </w:rPr>
        <w:t xml:space="preserve"> could</w:t>
      </w:r>
      <w:r>
        <w:rPr>
          <w:rFonts w:ascii="Arial" w:hAnsi="Arial" w:cs="Arial"/>
        </w:rPr>
        <w:t xml:space="preserve"> </w:t>
      </w:r>
      <w:r w:rsidR="00330CB1">
        <w:rPr>
          <w:rFonts w:ascii="Arial" w:hAnsi="Arial" w:cs="Arial"/>
        </w:rPr>
        <w:t>be caught by the definition of “variable remuneration”</w:t>
      </w:r>
      <w:r>
        <w:rPr>
          <w:rFonts w:ascii="Arial" w:hAnsi="Arial" w:cs="Arial"/>
        </w:rPr>
        <w:t xml:space="preserve"> if no clarification or refinement is undertaken</w:t>
      </w:r>
      <w:r w:rsidR="00330CB1">
        <w:rPr>
          <w:rFonts w:ascii="Arial" w:hAnsi="Arial" w:cs="Arial"/>
        </w:rPr>
        <w:t>. This would likely be an uninten</w:t>
      </w:r>
      <w:r w:rsidR="00D76CCA">
        <w:rPr>
          <w:rFonts w:ascii="Arial" w:hAnsi="Arial" w:cs="Arial"/>
        </w:rPr>
        <w:t>ded consequence of the regime.</w:t>
      </w:r>
    </w:p>
    <w:p w:rsidR="00CC570E" w:rsidRDefault="00CC570E" w:rsidP="00330CB1">
      <w:pPr>
        <w:rPr>
          <w:rFonts w:ascii="Arial" w:hAnsi="Arial" w:cs="Arial"/>
        </w:rPr>
      </w:pPr>
    </w:p>
    <w:p w:rsidR="00CC570E" w:rsidRDefault="00CC570E" w:rsidP="00330CB1">
      <w:pPr>
        <w:rPr>
          <w:rFonts w:ascii="Arial" w:hAnsi="Arial" w:cs="Arial"/>
        </w:rPr>
      </w:pPr>
    </w:p>
    <w:p w:rsidR="0065623F" w:rsidRDefault="0065623F" w:rsidP="0065623F">
      <w:pPr>
        <w:rPr>
          <w:rFonts w:ascii="Arial" w:hAnsi="Arial" w:cs="Arial"/>
          <w:b/>
          <w:color w:val="E36C0A" w:themeColor="accent6" w:themeShade="BF"/>
        </w:rPr>
      </w:pPr>
      <w:r>
        <w:rPr>
          <w:rFonts w:ascii="Arial" w:hAnsi="Arial" w:cs="Arial"/>
          <w:b/>
          <w:color w:val="E36C0A" w:themeColor="accent6" w:themeShade="BF"/>
        </w:rPr>
        <w:t>Question 9: I</w:t>
      </w:r>
      <w:r w:rsidRPr="0065623F">
        <w:rPr>
          <w:rFonts w:ascii="Arial" w:hAnsi="Arial" w:cs="Arial"/>
          <w:b/>
          <w:color w:val="E36C0A" w:themeColor="accent6" w:themeShade="BF"/>
        </w:rPr>
        <w:t>s the proposal for deferring 60 percent of the v</w:t>
      </w:r>
      <w:r>
        <w:rPr>
          <w:rFonts w:ascii="Arial" w:hAnsi="Arial" w:cs="Arial"/>
          <w:b/>
          <w:color w:val="E36C0A" w:themeColor="accent6" w:themeShade="BF"/>
        </w:rPr>
        <w:t xml:space="preserve">ariable remuneration of certain </w:t>
      </w:r>
      <w:r w:rsidRPr="0065623F">
        <w:rPr>
          <w:rFonts w:ascii="Arial" w:hAnsi="Arial" w:cs="Arial"/>
          <w:b/>
          <w:color w:val="E36C0A" w:themeColor="accent6" w:themeShade="BF"/>
        </w:rPr>
        <w:t>executive accountable persons appropriate?</w:t>
      </w:r>
    </w:p>
    <w:p w:rsidR="0065623F" w:rsidRDefault="0065623F" w:rsidP="0065623F">
      <w:pPr>
        <w:rPr>
          <w:rFonts w:ascii="Arial" w:hAnsi="Arial" w:cs="Arial"/>
        </w:rPr>
      </w:pPr>
      <w:r>
        <w:rPr>
          <w:rFonts w:ascii="Arial" w:hAnsi="Arial" w:cs="Arial"/>
        </w:rPr>
        <w:t xml:space="preserve">The BCCM believes that a 4 year deferment of part payment of variable remuneration will significantly disadvantage customer-owned ADIs. </w:t>
      </w:r>
    </w:p>
    <w:p w:rsidR="0065623F" w:rsidRDefault="0065623F" w:rsidP="0065623F">
      <w:pPr>
        <w:rPr>
          <w:rFonts w:ascii="Arial" w:hAnsi="Arial" w:cs="Arial"/>
        </w:rPr>
      </w:pPr>
      <w:r>
        <w:rPr>
          <w:rFonts w:ascii="Arial" w:hAnsi="Arial" w:cs="Arial"/>
        </w:rPr>
        <w:t xml:space="preserve">Several of our members already have a deferment of part of the payment of variable remuneration (see discussion above, under Question 7), however, to the best of our knowledge, none have a </w:t>
      </w:r>
      <w:r w:rsidR="00F334C0">
        <w:rPr>
          <w:rFonts w:ascii="Arial" w:hAnsi="Arial" w:cs="Arial"/>
        </w:rPr>
        <w:t xml:space="preserve">quarantine rate of </w:t>
      </w:r>
      <w:r>
        <w:rPr>
          <w:rFonts w:ascii="Arial" w:hAnsi="Arial" w:cs="Arial"/>
        </w:rPr>
        <w:t>60% and 4 year deferment.</w:t>
      </w:r>
    </w:p>
    <w:p w:rsidR="0065623F" w:rsidRPr="0065623F" w:rsidRDefault="0065623F" w:rsidP="0065623F">
      <w:pPr>
        <w:rPr>
          <w:rFonts w:ascii="Arial" w:hAnsi="Arial" w:cs="Arial"/>
        </w:rPr>
      </w:pPr>
      <w:r>
        <w:rPr>
          <w:rFonts w:ascii="Arial" w:hAnsi="Arial" w:cs="Arial"/>
        </w:rPr>
        <w:t xml:space="preserve">We believe that this </w:t>
      </w:r>
      <w:r w:rsidR="00A76A60">
        <w:rPr>
          <w:rFonts w:ascii="Arial" w:hAnsi="Arial" w:cs="Arial"/>
        </w:rPr>
        <w:t>parameter</w:t>
      </w:r>
      <w:r>
        <w:rPr>
          <w:rFonts w:ascii="Arial" w:hAnsi="Arial" w:cs="Arial"/>
        </w:rPr>
        <w:t xml:space="preserve"> will be a fundamental shift </w:t>
      </w:r>
      <w:r w:rsidR="00A76A60">
        <w:rPr>
          <w:rFonts w:ascii="Arial" w:hAnsi="Arial" w:cs="Arial"/>
        </w:rPr>
        <w:t xml:space="preserve">and will require a major realignment in the executive recruitment process, adding additional complexity to the current regime. </w:t>
      </w:r>
    </w:p>
    <w:p w:rsidR="003B33C1" w:rsidRDefault="003B33C1" w:rsidP="00330CB1">
      <w:pPr>
        <w:rPr>
          <w:rFonts w:ascii="Arial" w:hAnsi="Arial" w:cs="Arial"/>
          <w:b/>
          <w:color w:val="E36C0A" w:themeColor="accent6" w:themeShade="BF"/>
        </w:rPr>
      </w:pPr>
      <w:r>
        <w:rPr>
          <w:rFonts w:ascii="Arial" w:hAnsi="Arial" w:cs="Arial"/>
          <w:b/>
          <w:color w:val="E36C0A" w:themeColor="accent6" w:themeShade="BF"/>
        </w:rPr>
        <w:t xml:space="preserve">Question 17: </w:t>
      </w:r>
      <w:r w:rsidRPr="003B33C1">
        <w:rPr>
          <w:rFonts w:ascii="Arial" w:hAnsi="Arial" w:cs="Arial"/>
          <w:b/>
          <w:color w:val="E36C0A" w:themeColor="accent6" w:themeShade="BF"/>
        </w:rPr>
        <w:t>How significant are the costs associated with implementing the BEAR? How can these costs be mitigated consistent with the policy intent of the BEAR?</w:t>
      </w:r>
    </w:p>
    <w:p w:rsidR="00A76A60" w:rsidRDefault="00CC1C03" w:rsidP="00330CB1">
      <w:pPr>
        <w:rPr>
          <w:rFonts w:ascii="Arial" w:hAnsi="Arial" w:cs="Arial"/>
        </w:rPr>
      </w:pPr>
      <w:r>
        <w:rPr>
          <w:rFonts w:ascii="Arial" w:hAnsi="Arial" w:cs="Arial"/>
        </w:rPr>
        <w:t>A number of our members raised concern</w:t>
      </w:r>
      <w:r w:rsidR="00E2281A">
        <w:rPr>
          <w:rFonts w:ascii="Arial" w:hAnsi="Arial" w:cs="Arial"/>
        </w:rPr>
        <w:t>s</w:t>
      </w:r>
      <w:r>
        <w:rPr>
          <w:rFonts w:ascii="Arial" w:hAnsi="Arial" w:cs="Arial"/>
        </w:rPr>
        <w:t xml:space="preserve"> </w:t>
      </w:r>
      <w:r w:rsidR="003B33C1">
        <w:rPr>
          <w:rFonts w:ascii="Arial" w:hAnsi="Arial" w:cs="Arial"/>
        </w:rPr>
        <w:t>regarding board implications and cost of compliance of the proposed regime.</w:t>
      </w:r>
      <w:r w:rsidR="00A76A60">
        <w:rPr>
          <w:rFonts w:ascii="Arial" w:hAnsi="Arial" w:cs="Arial"/>
        </w:rPr>
        <w:t xml:space="preserve"> Any new compliance regime has inherent costs associated with it.</w:t>
      </w:r>
    </w:p>
    <w:p w:rsidR="003B33C1" w:rsidRPr="00330CB1" w:rsidRDefault="003B33C1" w:rsidP="00330CB1">
      <w:pPr>
        <w:rPr>
          <w:rFonts w:ascii="Arial" w:hAnsi="Arial" w:cs="Arial"/>
        </w:rPr>
      </w:pPr>
      <w:r>
        <w:rPr>
          <w:rFonts w:ascii="Arial" w:hAnsi="Arial" w:cs="Arial"/>
        </w:rPr>
        <w:t>Customer-owned ADIs do not have the option of withholding additional costs – for example, the compliance costs associated with the BEAR – from shareholder dividends. Profits are returned to the business and are re-invested in new products</w:t>
      </w:r>
      <w:r w:rsidR="00E2281A">
        <w:rPr>
          <w:rFonts w:ascii="Arial" w:hAnsi="Arial" w:cs="Arial"/>
        </w:rPr>
        <w:t>, services and technology</w:t>
      </w:r>
      <w:r>
        <w:rPr>
          <w:rFonts w:ascii="Arial" w:hAnsi="Arial" w:cs="Arial"/>
        </w:rPr>
        <w:t xml:space="preserve"> such as new mobile ba</w:t>
      </w:r>
      <w:r w:rsidR="00A76A60">
        <w:rPr>
          <w:rFonts w:ascii="Arial" w:hAnsi="Arial" w:cs="Arial"/>
        </w:rPr>
        <w:t>nking apps</w:t>
      </w:r>
      <w:r w:rsidR="00E2281A">
        <w:rPr>
          <w:rFonts w:ascii="Arial" w:hAnsi="Arial" w:cs="Arial"/>
        </w:rPr>
        <w:t xml:space="preserve"> that will benefit customers</w:t>
      </w:r>
      <w:r w:rsidR="00A76A60">
        <w:rPr>
          <w:rFonts w:ascii="Arial" w:hAnsi="Arial" w:cs="Arial"/>
        </w:rPr>
        <w:t>. Any compliance cost</w:t>
      </w:r>
      <w:r>
        <w:rPr>
          <w:rFonts w:ascii="Arial" w:hAnsi="Arial" w:cs="Arial"/>
        </w:rPr>
        <w:t xml:space="preserve"> will result in a lo</w:t>
      </w:r>
      <w:r w:rsidR="0065623F">
        <w:rPr>
          <w:rFonts w:ascii="Arial" w:hAnsi="Arial" w:cs="Arial"/>
        </w:rPr>
        <w:t>wer return</w:t>
      </w:r>
      <w:r w:rsidR="00A76A60">
        <w:rPr>
          <w:rFonts w:ascii="Arial" w:hAnsi="Arial" w:cs="Arial"/>
        </w:rPr>
        <w:t xml:space="preserve"> of benefits to customer</w:t>
      </w:r>
      <w:r w:rsidR="00F334C0">
        <w:rPr>
          <w:rFonts w:ascii="Arial" w:hAnsi="Arial" w:cs="Arial"/>
        </w:rPr>
        <w:t>s – a consequence which would appear to be contrary to any policy initiative which aims to improve customer outcomes.</w:t>
      </w:r>
    </w:p>
    <w:p w:rsidR="00CA3391" w:rsidRDefault="00CC1C03" w:rsidP="002D02DC">
      <w:pPr>
        <w:spacing w:after="0"/>
        <w:rPr>
          <w:rFonts w:ascii="Arial" w:hAnsi="Arial" w:cs="Arial"/>
          <w:b/>
          <w:color w:val="E36C0A" w:themeColor="accent6" w:themeShade="BF"/>
        </w:rPr>
      </w:pPr>
      <w:r w:rsidRPr="00CC1C03">
        <w:rPr>
          <w:rFonts w:ascii="Arial" w:hAnsi="Arial" w:cs="Arial"/>
          <w:b/>
          <w:color w:val="E36C0A" w:themeColor="accent6" w:themeShade="BF"/>
        </w:rPr>
        <w:t>Powers of appeal to APRA decisions</w:t>
      </w:r>
    </w:p>
    <w:p w:rsidR="00CC1C03" w:rsidRDefault="00CC1C03" w:rsidP="002D02DC">
      <w:pPr>
        <w:spacing w:after="0"/>
        <w:rPr>
          <w:rFonts w:ascii="Arial" w:hAnsi="Arial" w:cs="Arial"/>
          <w:b/>
          <w:color w:val="E36C0A" w:themeColor="accent6" w:themeShade="BF"/>
        </w:rPr>
      </w:pPr>
    </w:p>
    <w:p w:rsidR="00CC1C03" w:rsidRDefault="00CC1C03" w:rsidP="002D02DC">
      <w:pPr>
        <w:spacing w:after="0"/>
        <w:rPr>
          <w:rFonts w:ascii="Arial" w:hAnsi="Arial" w:cs="Arial"/>
        </w:rPr>
      </w:pPr>
      <w:r>
        <w:rPr>
          <w:rFonts w:ascii="Arial" w:hAnsi="Arial" w:cs="Arial"/>
        </w:rPr>
        <w:t>The BCCM believes that</w:t>
      </w:r>
      <w:r w:rsidR="00CE03F5">
        <w:rPr>
          <w:rFonts w:ascii="Arial" w:hAnsi="Arial" w:cs="Arial"/>
        </w:rPr>
        <w:t xml:space="preserve"> there must be a clear avenue of appeal (for example, to the Administrative Appeals Tribunal) in relation to</w:t>
      </w:r>
      <w:r w:rsidR="00E2281A">
        <w:rPr>
          <w:rFonts w:ascii="Arial" w:hAnsi="Arial" w:cs="Arial"/>
        </w:rPr>
        <w:t xml:space="preserve"> </w:t>
      </w:r>
      <w:r>
        <w:rPr>
          <w:rFonts w:ascii="Arial" w:hAnsi="Arial" w:cs="Arial"/>
        </w:rPr>
        <w:t>all APRA decisions on remuneration</w:t>
      </w:r>
      <w:r w:rsidR="00CE03F5">
        <w:rPr>
          <w:rFonts w:ascii="Arial" w:hAnsi="Arial" w:cs="Arial"/>
        </w:rPr>
        <w:t>.</w:t>
      </w:r>
    </w:p>
    <w:p w:rsidR="00CC1C03" w:rsidRDefault="00CC1C03" w:rsidP="002D02DC">
      <w:pPr>
        <w:spacing w:after="0"/>
        <w:rPr>
          <w:rFonts w:ascii="Arial" w:hAnsi="Arial" w:cs="Arial"/>
        </w:rPr>
      </w:pPr>
    </w:p>
    <w:p w:rsidR="00CC1C03" w:rsidRPr="00CC1C03" w:rsidRDefault="00CC1C03" w:rsidP="002D02DC">
      <w:pPr>
        <w:spacing w:after="0"/>
        <w:rPr>
          <w:rFonts w:ascii="Arial" w:hAnsi="Arial" w:cs="Arial"/>
        </w:rPr>
      </w:pPr>
      <w:r>
        <w:rPr>
          <w:rFonts w:ascii="Arial" w:hAnsi="Arial" w:cs="Arial"/>
        </w:rPr>
        <w:t>It would be unacceptable for a regulator to have powers of subjective assessment with minimal levels of accountability.</w:t>
      </w:r>
    </w:p>
    <w:p w:rsidR="00CC1C03" w:rsidRDefault="00CC1C03" w:rsidP="002D02DC">
      <w:pPr>
        <w:spacing w:after="0"/>
        <w:rPr>
          <w:rFonts w:ascii="Arial" w:hAnsi="Arial" w:cs="Arial"/>
          <w:b/>
          <w:color w:val="E36C0A" w:themeColor="accent6" w:themeShade="BF"/>
        </w:rPr>
      </w:pPr>
    </w:p>
    <w:p w:rsidR="00A76A60" w:rsidRDefault="00A76A60">
      <w:pPr>
        <w:spacing w:line="276" w:lineRule="auto"/>
        <w:rPr>
          <w:rFonts w:ascii="Arial" w:hAnsi="Arial" w:cs="Arial"/>
          <w:b/>
          <w:color w:val="E36C0A" w:themeColor="accent6" w:themeShade="BF"/>
        </w:rPr>
      </w:pPr>
      <w:r>
        <w:rPr>
          <w:rFonts w:ascii="Arial" w:hAnsi="Arial" w:cs="Arial"/>
          <w:b/>
          <w:color w:val="E36C0A" w:themeColor="accent6" w:themeShade="BF"/>
        </w:rPr>
        <w:br w:type="page"/>
      </w:r>
    </w:p>
    <w:p w:rsidR="006774B3" w:rsidRPr="002D02DC" w:rsidRDefault="002D02DC" w:rsidP="002D02DC">
      <w:pPr>
        <w:spacing w:after="0"/>
        <w:rPr>
          <w:rFonts w:ascii="Arial" w:hAnsi="Arial" w:cs="Arial"/>
          <w:b/>
          <w:color w:val="E36C0A" w:themeColor="accent6" w:themeShade="BF"/>
        </w:rPr>
      </w:pPr>
      <w:r>
        <w:rPr>
          <w:rFonts w:ascii="Arial" w:hAnsi="Arial" w:cs="Arial"/>
          <w:b/>
          <w:color w:val="E36C0A" w:themeColor="accent6" w:themeShade="BF"/>
        </w:rPr>
        <w:t xml:space="preserve">Appendix A: </w:t>
      </w:r>
      <w:r w:rsidR="003855DD" w:rsidRPr="002D02DC">
        <w:rPr>
          <w:rFonts w:ascii="Arial" w:hAnsi="Arial" w:cs="Arial"/>
          <w:b/>
          <w:color w:val="E36C0A" w:themeColor="accent6" w:themeShade="BF"/>
        </w:rPr>
        <w:t>About the BCCM</w:t>
      </w:r>
    </w:p>
    <w:p w:rsidR="006774B3" w:rsidRPr="00EA1D2E" w:rsidRDefault="006774B3" w:rsidP="006774B3">
      <w:pPr>
        <w:spacing w:after="0"/>
        <w:ind w:left="360"/>
        <w:rPr>
          <w:rFonts w:ascii="Arial" w:hAnsi="Arial" w:cs="Arial"/>
          <w:b/>
          <w:color w:val="E36C0A" w:themeColor="accent6" w:themeShade="BF"/>
        </w:rPr>
      </w:pPr>
    </w:p>
    <w:p w:rsidR="003855DD" w:rsidRPr="00EA1D2E" w:rsidRDefault="003855DD" w:rsidP="003855DD">
      <w:pPr>
        <w:rPr>
          <w:rFonts w:ascii="Arial" w:hAnsi="Arial" w:cs="Arial"/>
        </w:rPr>
      </w:pPr>
      <w:r w:rsidRPr="00EA1D2E">
        <w:rPr>
          <w:rFonts w:ascii="Arial" w:hAnsi="Arial" w:cs="Arial"/>
        </w:rPr>
        <w:t xml:space="preserve">The BCCM is the peak body for Australian co-operatives, mutuals and member-owned businesses. The BCCM represents a diverse range of businesses operating in sectors including agriculture, finance and banking, insurance, motoring services, health services, aged care, disability employment, education, indigenous services, social housing and retail. </w:t>
      </w:r>
    </w:p>
    <w:p w:rsidR="003855DD" w:rsidRPr="00EA1D2E" w:rsidRDefault="003855DD" w:rsidP="003855DD">
      <w:pPr>
        <w:rPr>
          <w:rFonts w:ascii="Arial" w:hAnsi="Arial" w:cs="Arial"/>
        </w:rPr>
      </w:pPr>
      <w:r w:rsidRPr="00EA1D2E">
        <w:rPr>
          <w:rFonts w:ascii="Arial" w:hAnsi="Arial" w:cs="Arial"/>
        </w:rPr>
        <w:t>The BCCM advocates for recognition of the sector and for measures that create a level playing field between co-operatives and other businesses, including implementation of the recommendations of the Senate Economics References Committee report into Cooperative, mutual and member-owned firms.</w:t>
      </w:r>
      <w:r w:rsidRPr="00EA1D2E">
        <w:rPr>
          <w:rStyle w:val="FootnoteReference"/>
          <w:rFonts w:ascii="Arial" w:hAnsi="Arial" w:cs="Arial"/>
        </w:rPr>
        <w:footnoteReference w:id="3"/>
      </w:r>
      <w:r w:rsidRPr="00EA1D2E">
        <w:rPr>
          <w:rFonts w:ascii="Arial" w:hAnsi="Arial" w:cs="Arial"/>
        </w:rPr>
        <w:t xml:space="preserve"> </w:t>
      </w:r>
    </w:p>
    <w:p w:rsidR="003855DD" w:rsidRPr="00EA1D2E" w:rsidRDefault="002D02DC" w:rsidP="003855DD">
      <w:pPr>
        <w:rPr>
          <w:rFonts w:ascii="Arial" w:hAnsi="Arial" w:cs="Arial"/>
          <w:b/>
          <w:color w:val="E36C0A" w:themeColor="accent6" w:themeShade="BF"/>
        </w:rPr>
      </w:pPr>
      <w:r>
        <w:rPr>
          <w:rFonts w:ascii="Arial" w:hAnsi="Arial" w:cs="Arial"/>
          <w:b/>
          <w:color w:val="E36C0A" w:themeColor="accent6" w:themeShade="BF"/>
        </w:rPr>
        <w:t xml:space="preserve">Appendix B: </w:t>
      </w:r>
      <w:r w:rsidR="003855DD" w:rsidRPr="00EA1D2E">
        <w:rPr>
          <w:rFonts w:ascii="Arial" w:hAnsi="Arial" w:cs="Arial"/>
          <w:b/>
          <w:color w:val="E36C0A" w:themeColor="accent6" w:themeShade="BF"/>
        </w:rPr>
        <w:t>About Co-operatives and Mutual Enterprises</w:t>
      </w:r>
    </w:p>
    <w:p w:rsidR="003855DD" w:rsidRPr="00EA1D2E" w:rsidRDefault="003855DD" w:rsidP="003855DD">
      <w:pPr>
        <w:rPr>
          <w:rFonts w:ascii="Arial" w:hAnsi="Arial" w:cs="Arial"/>
        </w:rPr>
      </w:pPr>
      <w:r w:rsidRPr="00EA1D2E">
        <w:rPr>
          <w:rFonts w:ascii="Arial" w:hAnsi="Arial" w:cs="Arial"/>
        </w:rPr>
        <w:t>Co-operative and mutual enterprises (CMEs) are a significant contributor to the Australian economy: 8 in 10 Australians are members of at least one CME and annual turnover of the top 100 CMEs (excluding member-owned superannuation funds) reached $30.5 billion in FY2014/2015.</w:t>
      </w:r>
      <w:r w:rsidRPr="00EA1D2E">
        <w:rPr>
          <w:rStyle w:val="FootnoteReference"/>
          <w:rFonts w:ascii="Arial" w:hAnsi="Arial" w:cs="Arial"/>
        </w:rPr>
        <w:footnoteReference w:id="4"/>
      </w:r>
      <w:r w:rsidRPr="00EA1D2E">
        <w:rPr>
          <w:rFonts w:ascii="Arial" w:hAnsi="Arial" w:cs="Arial"/>
        </w:rPr>
        <w:t xml:space="preserve"> Together with mutual superfunds, it is estimated that the CME sector contributes 7 per cent of </w:t>
      </w:r>
      <w:r w:rsidR="003B61F2" w:rsidRPr="00EA1D2E">
        <w:rPr>
          <w:rFonts w:ascii="Arial" w:hAnsi="Arial" w:cs="Arial"/>
        </w:rPr>
        <w:t xml:space="preserve">Australia’s </w:t>
      </w:r>
      <w:r w:rsidRPr="00EA1D2E">
        <w:rPr>
          <w:rFonts w:ascii="Arial" w:hAnsi="Arial" w:cs="Arial"/>
        </w:rPr>
        <w:t>GDP. There are 15 million</w:t>
      </w:r>
      <w:r w:rsidR="003B61F2" w:rsidRPr="00EA1D2E">
        <w:rPr>
          <w:rFonts w:ascii="Arial" w:hAnsi="Arial" w:cs="Arial"/>
        </w:rPr>
        <w:t xml:space="preserve"> individual</w:t>
      </w:r>
      <w:r w:rsidRPr="00EA1D2E">
        <w:rPr>
          <w:rFonts w:ascii="Arial" w:hAnsi="Arial" w:cs="Arial"/>
        </w:rPr>
        <w:t xml:space="preserve"> members of CMEs in Australia.</w:t>
      </w:r>
    </w:p>
    <w:p w:rsidR="003855DD" w:rsidRPr="00EA1D2E" w:rsidRDefault="003855DD" w:rsidP="003855DD">
      <w:pPr>
        <w:rPr>
          <w:rFonts w:ascii="Arial" w:hAnsi="Arial" w:cs="Arial"/>
        </w:rPr>
      </w:pPr>
      <w:r w:rsidRPr="00EA1D2E">
        <w:rPr>
          <w:rFonts w:ascii="Arial" w:hAnsi="Arial" w:cs="Arial"/>
        </w:rPr>
        <w:t xml:space="preserve">The distinguishing feature of all CMEs, regardless of what legal form they use, is that they are owned by their members and operate for member benefit. Member benefit can mean a wider range of social or non-financial benefits compared with the financial returns enjoyed by a shareholder. Membership is tied to contributing to or making use of the CME; this ensures the CME is made up of people who share its common purpose. </w:t>
      </w:r>
    </w:p>
    <w:p w:rsidR="003855DD" w:rsidRPr="00EA1D2E" w:rsidRDefault="003855DD" w:rsidP="003855DD">
      <w:pPr>
        <w:rPr>
          <w:rFonts w:ascii="Arial" w:hAnsi="Arial" w:cs="Arial"/>
        </w:rPr>
      </w:pPr>
      <w:r w:rsidRPr="00EA1D2E">
        <w:rPr>
          <w:rFonts w:ascii="Arial" w:hAnsi="Arial" w:cs="Arial"/>
        </w:rPr>
        <w:t>The vast majority of CMEs are incorporated and regulated under one of two legislative regimes: the State/Territory-based Co-operatives National Law (the CNL)</w:t>
      </w:r>
      <w:r w:rsidRPr="00EA1D2E">
        <w:rPr>
          <w:rStyle w:val="FootnoteReference"/>
          <w:rFonts w:ascii="Arial" w:hAnsi="Arial" w:cs="Arial"/>
        </w:rPr>
        <w:footnoteReference w:id="5"/>
      </w:r>
      <w:r w:rsidRPr="00EA1D2E">
        <w:rPr>
          <w:rFonts w:ascii="Arial" w:hAnsi="Arial" w:cs="Arial"/>
        </w:rPr>
        <w:t xml:space="preserve"> or the Commonwealth Corporations Act. Whether a company under the Corporations Act is a co-operative or mutual will depend on its constitution. </w:t>
      </w:r>
    </w:p>
    <w:p w:rsidR="003855DD" w:rsidRPr="002D02DC" w:rsidRDefault="002D02DC" w:rsidP="002D02DC">
      <w:pPr>
        <w:spacing w:after="160" w:line="259" w:lineRule="auto"/>
        <w:rPr>
          <w:rFonts w:ascii="Arial" w:eastAsia="Times New Roman" w:hAnsi="Arial" w:cs="Arial"/>
          <w:b/>
          <w:color w:val="E36C0A" w:themeColor="accent6" w:themeShade="BF"/>
        </w:rPr>
      </w:pPr>
      <w:r>
        <w:rPr>
          <w:rFonts w:ascii="Arial" w:eastAsia="Times New Roman" w:hAnsi="Arial" w:cs="Arial"/>
          <w:b/>
          <w:color w:val="E36C0A" w:themeColor="accent6" w:themeShade="BF"/>
        </w:rPr>
        <w:t xml:space="preserve">Appendix C: </w:t>
      </w:r>
      <w:r w:rsidR="00901E39">
        <w:rPr>
          <w:rFonts w:ascii="Arial" w:eastAsia="Times New Roman" w:hAnsi="Arial" w:cs="Arial"/>
          <w:b/>
          <w:color w:val="E36C0A" w:themeColor="accent6" w:themeShade="BF"/>
        </w:rPr>
        <w:t>BCCM Mutual ADIs Membership</w:t>
      </w:r>
      <w:r w:rsidRPr="002D02DC">
        <w:rPr>
          <w:rStyle w:val="FootnoteReference"/>
          <w:rFonts w:ascii="Arial" w:eastAsia="Times New Roman" w:hAnsi="Arial" w:cs="Arial"/>
        </w:rPr>
        <w:footnoteReference w:id="6"/>
      </w:r>
    </w:p>
    <w:p w:rsidR="005820CE" w:rsidRDefault="00901E39" w:rsidP="00901E39">
      <w:pPr>
        <w:pStyle w:val="ListParagraph"/>
        <w:numPr>
          <w:ilvl w:val="0"/>
          <w:numId w:val="25"/>
        </w:numPr>
        <w:rPr>
          <w:rFonts w:ascii="Arial" w:hAnsi="Arial" w:cs="Arial"/>
        </w:rPr>
      </w:pPr>
      <w:r w:rsidRPr="00A76A60">
        <w:rPr>
          <w:rFonts w:ascii="Arial" w:hAnsi="Arial" w:cs="Arial"/>
        </w:rPr>
        <w:t>Bank Australia</w:t>
      </w:r>
    </w:p>
    <w:p w:rsidR="00F334C0" w:rsidRPr="00A76A60" w:rsidRDefault="00F334C0" w:rsidP="00901E39">
      <w:pPr>
        <w:pStyle w:val="ListParagraph"/>
        <w:numPr>
          <w:ilvl w:val="0"/>
          <w:numId w:val="25"/>
        </w:numPr>
        <w:rPr>
          <w:rFonts w:ascii="Arial" w:hAnsi="Arial" w:cs="Arial"/>
        </w:rPr>
      </w:pPr>
      <w:r>
        <w:rPr>
          <w:rFonts w:ascii="Arial" w:hAnsi="Arial" w:cs="Arial"/>
        </w:rPr>
        <w:t>BankVic</w:t>
      </w:r>
    </w:p>
    <w:p w:rsidR="00901E39" w:rsidRPr="00A76A60" w:rsidRDefault="00901E39" w:rsidP="00901E39">
      <w:pPr>
        <w:pStyle w:val="ListParagraph"/>
        <w:numPr>
          <w:ilvl w:val="0"/>
          <w:numId w:val="25"/>
        </w:numPr>
        <w:rPr>
          <w:rFonts w:ascii="Arial" w:hAnsi="Arial" w:cs="Arial"/>
        </w:rPr>
      </w:pPr>
      <w:r w:rsidRPr="00A76A60">
        <w:rPr>
          <w:rFonts w:ascii="Arial" w:hAnsi="Arial" w:cs="Arial"/>
        </w:rPr>
        <w:t>Beyond Bank</w:t>
      </w:r>
    </w:p>
    <w:p w:rsidR="00901E39" w:rsidRPr="00A76A60" w:rsidRDefault="00901E39" w:rsidP="00901E39">
      <w:pPr>
        <w:pStyle w:val="ListParagraph"/>
        <w:numPr>
          <w:ilvl w:val="0"/>
          <w:numId w:val="25"/>
        </w:numPr>
        <w:rPr>
          <w:rFonts w:ascii="Arial" w:hAnsi="Arial" w:cs="Arial"/>
        </w:rPr>
      </w:pPr>
      <w:r w:rsidRPr="00A76A60">
        <w:rPr>
          <w:rFonts w:ascii="Arial" w:hAnsi="Arial" w:cs="Arial"/>
        </w:rPr>
        <w:t>Community First Credit Union</w:t>
      </w:r>
    </w:p>
    <w:p w:rsidR="00901E39" w:rsidRPr="00A76A60" w:rsidRDefault="00901E39" w:rsidP="00901E39">
      <w:pPr>
        <w:pStyle w:val="ListParagraph"/>
        <w:numPr>
          <w:ilvl w:val="0"/>
          <w:numId w:val="25"/>
        </w:numPr>
        <w:rPr>
          <w:rFonts w:ascii="Arial" w:hAnsi="Arial" w:cs="Arial"/>
        </w:rPr>
      </w:pPr>
      <w:r w:rsidRPr="00A76A60">
        <w:rPr>
          <w:rFonts w:ascii="Arial" w:hAnsi="Arial" w:cs="Arial"/>
        </w:rPr>
        <w:t>CUA</w:t>
      </w:r>
    </w:p>
    <w:p w:rsidR="00901E39" w:rsidRPr="00A76A60" w:rsidRDefault="00901E39" w:rsidP="00901E39">
      <w:pPr>
        <w:pStyle w:val="ListParagraph"/>
        <w:numPr>
          <w:ilvl w:val="0"/>
          <w:numId w:val="25"/>
        </w:numPr>
        <w:rPr>
          <w:rFonts w:ascii="Arial" w:hAnsi="Arial" w:cs="Arial"/>
        </w:rPr>
      </w:pPr>
      <w:r w:rsidRPr="00A76A60">
        <w:rPr>
          <w:rFonts w:ascii="Arial" w:hAnsi="Arial" w:cs="Arial"/>
        </w:rPr>
        <w:t>Defence Bank</w:t>
      </w:r>
    </w:p>
    <w:p w:rsidR="00901E39" w:rsidRPr="00A76A60" w:rsidRDefault="00901E39" w:rsidP="00901E39">
      <w:pPr>
        <w:pStyle w:val="ListParagraph"/>
        <w:numPr>
          <w:ilvl w:val="0"/>
          <w:numId w:val="25"/>
        </w:numPr>
        <w:rPr>
          <w:rFonts w:ascii="Arial" w:hAnsi="Arial" w:cs="Arial"/>
        </w:rPr>
      </w:pPr>
      <w:r w:rsidRPr="00A76A60">
        <w:rPr>
          <w:rFonts w:ascii="Arial" w:hAnsi="Arial" w:cs="Arial"/>
        </w:rPr>
        <w:t>Greater Bank</w:t>
      </w:r>
    </w:p>
    <w:p w:rsidR="00901E39" w:rsidRPr="00F334C0" w:rsidRDefault="00901E39" w:rsidP="00F334C0">
      <w:pPr>
        <w:pStyle w:val="ListParagraph"/>
        <w:numPr>
          <w:ilvl w:val="0"/>
          <w:numId w:val="25"/>
        </w:numPr>
        <w:rPr>
          <w:rFonts w:ascii="Arial" w:hAnsi="Arial" w:cs="Arial"/>
        </w:rPr>
      </w:pPr>
      <w:r w:rsidRPr="00A76A60">
        <w:rPr>
          <w:rFonts w:ascii="Arial" w:hAnsi="Arial" w:cs="Arial"/>
        </w:rPr>
        <w:t>Heritage Bank</w:t>
      </w:r>
    </w:p>
    <w:p w:rsidR="00901E39" w:rsidRPr="00A76A60" w:rsidRDefault="00901E39" w:rsidP="00901E39">
      <w:pPr>
        <w:pStyle w:val="ListParagraph"/>
        <w:numPr>
          <w:ilvl w:val="0"/>
          <w:numId w:val="25"/>
        </w:numPr>
        <w:rPr>
          <w:rFonts w:ascii="Arial" w:hAnsi="Arial" w:cs="Arial"/>
        </w:rPr>
      </w:pPr>
      <w:r w:rsidRPr="00A76A60">
        <w:rPr>
          <w:rFonts w:ascii="Arial" w:hAnsi="Arial" w:cs="Arial"/>
        </w:rPr>
        <w:t>People’s Choice Credit Union</w:t>
      </w:r>
    </w:p>
    <w:p w:rsidR="00901E39" w:rsidRPr="00A76A60" w:rsidRDefault="00901E39" w:rsidP="00901E39">
      <w:pPr>
        <w:pStyle w:val="ListParagraph"/>
        <w:numPr>
          <w:ilvl w:val="0"/>
          <w:numId w:val="25"/>
        </w:numPr>
        <w:rPr>
          <w:rFonts w:ascii="Arial" w:hAnsi="Arial" w:cs="Arial"/>
        </w:rPr>
      </w:pPr>
      <w:r w:rsidRPr="00A76A60">
        <w:rPr>
          <w:rFonts w:ascii="Arial" w:hAnsi="Arial" w:cs="Arial"/>
        </w:rPr>
        <w:t>P&amp;N Bank</w:t>
      </w:r>
    </w:p>
    <w:p w:rsidR="00901E39" w:rsidRPr="00A76A60" w:rsidRDefault="00901E39" w:rsidP="00901E39">
      <w:pPr>
        <w:pStyle w:val="ListParagraph"/>
        <w:numPr>
          <w:ilvl w:val="0"/>
          <w:numId w:val="25"/>
        </w:numPr>
        <w:rPr>
          <w:rFonts w:ascii="Arial" w:hAnsi="Arial" w:cs="Arial"/>
        </w:rPr>
      </w:pPr>
      <w:r w:rsidRPr="00A76A60">
        <w:rPr>
          <w:rFonts w:ascii="Arial" w:hAnsi="Arial" w:cs="Arial"/>
        </w:rPr>
        <w:t>Police Bank</w:t>
      </w:r>
    </w:p>
    <w:p w:rsidR="00901E39" w:rsidRPr="00722602" w:rsidRDefault="00901E39" w:rsidP="00722602">
      <w:pPr>
        <w:pStyle w:val="ListParagraph"/>
        <w:numPr>
          <w:ilvl w:val="0"/>
          <w:numId w:val="25"/>
        </w:numPr>
        <w:rPr>
          <w:rFonts w:ascii="Arial" w:hAnsi="Arial" w:cs="Arial"/>
        </w:rPr>
      </w:pPr>
      <w:r w:rsidRPr="00A76A60">
        <w:rPr>
          <w:rFonts w:ascii="Arial" w:hAnsi="Arial" w:cs="Arial"/>
        </w:rPr>
        <w:t>Qudos Bank</w:t>
      </w:r>
    </w:p>
    <w:p w:rsidR="00901E39" w:rsidRDefault="00901E39" w:rsidP="00901E39">
      <w:pPr>
        <w:pStyle w:val="ListParagraph"/>
        <w:numPr>
          <w:ilvl w:val="0"/>
          <w:numId w:val="25"/>
        </w:numPr>
        <w:rPr>
          <w:rFonts w:ascii="Arial" w:hAnsi="Arial" w:cs="Arial"/>
        </w:rPr>
      </w:pPr>
      <w:r w:rsidRPr="00A76A60">
        <w:rPr>
          <w:rFonts w:ascii="Arial" w:hAnsi="Arial" w:cs="Arial"/>
        </w:rPr>
        <w:t>Regional Australia Bank</w:t>
      </w:r>
    </w:p>
    <w:p w:rsidR="00F334C0" w:rsidRPr="00A76A60" w:rsidRDefault="00F334C0" w:rsidP="00901E39">
      <w:pPr>
        <w:pStyle w:val="ListParagraph"/>
        <w:numPr>
          <w:ilvl w:val="0"/>
          <w:numId w:val="25"/>
        </w:numPr>
        <w:rPr>
          <w:rFonts w:ascii="Arial" w:hAnsi="Arial" w:cs="Arial"/>
        </w:rPr>
      </w:pPr>
      <w:r>
        <w:rPr>
          <w:rFonts w:ascii="Arial" w:hAnsi="Arial" w:cs="Arial"/>
        </w:rPr>
        <w:t>Select Encompass</w:t>
      </w:r>
    </w:p>
    <w:p w:rsidR="00462955" w:rsidRPr="00F334C0" w:rsidRDefault="00901E39" w:rsidP="00F334C0">
      <w:pPr>
        <w:pStyle w:val="ListParagraph"/>
        <w:numPr>
          <w:ilvl w:val="0"/>
          <w:numId w:val="25"/>
        </w:numPr>
        <w:rPr>
          <w:rFonts w:ascii="Arial" w:hAnsi="Arial" w:cs="Arial"/>
        </w:rPr>
      </w:pPr>
      <w:r w:rsidRPr="00A76A60">
        <w:rPr>
          <w:rFonts w:ascii="Arial" w:hAnsi="Arial" w:cs="Arial"/>
        </w:rPr>
        <w:t>Teachers Mutual Bank</w:t>
      </w:r>
    </w:p>
    <w:p w:rsidR="00462955" w:rsidRPr="00A76A60" w:rsidRDefault="00462955" w:rsidP="00901E39">
      <w:pPr>
        <w:pStyle w:val="ListParagraph"/>
        <w:numPr>
          <w:ilvl w:val="0"/>
          <w:numId w:val="25"/>
        </w:numPr>
        <w:rPr>
          <w:rFonts w:ascii="Arial" w:hAnsi="Arial" w:cs="Arial"/>
        </w:rPr>
      </w:pPr>
      <w:r>
        <w:rPr>
          <w:rFonts w:ascii="Arial" w:hAnsi="Arial" w:cs="Arial"/>
        </w:rPr>
        <w:t>Queensland Country Credit Union</w:t>
      </w:r>
    </w:p>
    <w:p w:rsidR="00901E39" w:rsidRPr="00A76A60" w:rsidRDefault="00901E39" w:rsidP="00901E39">
      <w:pPr>
        <w:pStyle w:val="ListParagraph"/>
        <w:numPr>
          <w:ilvl w:val="0"/>
          <w:numId w:val="25"/>
        </w:numPr>
        <w:rPr>
          <w:rFonts w:ascii="Arial" w:hAnsi="Arial" w:cs="Arial"/>
        </w:rPr>
      </w:pPr>
      <w:r w:rsidRPr="00A76A60">
        <w:rPr>
          <w:rFonts w:ascii="Arial" w:hAnsi="Arial" w:cs="Arial"/>
        </w:rPr>
        <w:t>Customer Owned Banking Association (associate member)</w:t>
      </w:r>
    </w:p>
    <w:p w:rsidR="00901E39" w:rsidRPr="00A76A60" w:rsidRDefault="00901E39" w:rsidP="00901E39">
      <w:pPr>
        <w:pStyle w:val="ListParagraph"/>
        <w:numPr>
          <w:ilvl w:val="0"/>
          <w:numId w:val="25"/>
        </w:numPr>
        <w:rPr>
          <w:rFonts w:ascii="Arial" w:hAnsi="Arial" w:cs="Arial"/>
        </w:rPr>
      </w:pPr>
      <w:r w:rsidRPr="00A76A60">
        <w:rPr>
          <w:rFonts w:ascii="Arial" w:hAnsi="Arial" w:cs="Arial"/>
        </w:rPr>
        <w:t>Service One Alliance Bank (associate member)</w:t>
      </w:r>
    </w:p>
    <w:p w:rsidR="00CE03F5" w:rsidRPr="00462955" w:rsidRDefault="00901E39" w:rsidP="00462955">
      <w:pPr>
        <w:pStyle w:val="ListParagraph"/>
        <w:numPr>
          <w:ilvl w:val="0"/>
          <w:numId w:val="25"/>
        </w:numPr>
        <w:rPr>
          <w:rFonts w:ascii="Arial" w:hAnsi="Arial" w:cs="Arial"/>
        </w:rPr>
      </w:pPr>
      <w:r w:rsidRPr="00A76A60">
        <w:rPr>
          <w:rFonts w:ascii="Arial" w:hAnsi="Arial" w:cs="Arial"/>
        </w:rPr>
        <w:t>Woolworths Employees Credit Union (associate member)</w:t>
      </w:r>
    </w:p>
    <w:sectPr w:rsidR="00CE03F5" w:rsidRPr="00462955" w:rsidSect="00EC19E0">
      <w:headerReference w:type="default" r:id="rId16"/>
      <w:footerReference w:type="default" r:id="rId17"/>
      <w:headerReference w:type="first" r:id="rId18"/>
      <w:footerReference w:type="first" r:id="rId19"/>
      <w:pgSz w:w="11906" w:h="16838"/>
      <w:pgMar w:top="1440" w:right="1440" w:bottom="1134" w:left="1440" w:header="708" w:footer="6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8C4" w:rsidRDefault="007978C4" w:rsidP="000E33A8">
      <w:pPr>
        <w:spacing w:after="0"/>
      </w:pPr>
      <w:r>
        <w:separator/>
      </w:r>
    </w:p>
  </w:endnote>
  <w:endnote w:type="continuationSeparator" w:id="0">
    <w:p w:rsidR="007978C4" w:rsidRDefault="007978C4" w:rsidP="000E3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C1" w:rsidRDefault="003B33C1" w:rsidP="00831013">
    <w:pPr>
      <w:pStyle w:val="Footer"/>
      <w:jc w:val="right"/>
      <w:rPr>
        <w:rFonts w:ascii="Arial" w:hAnsi="Arial" w:cs="Arial"/>
        <w:color w:val="808080" w:themeColor="background1" w:themeShade="80"/>
        <w:sz w:val="16"/>
        <w:szCs w:val="16"/>
      </w:rPr>
    </w:pPr>
    <w:r w:rsidRPr="00831013">
      <w:rPr>
        <w:rFonts w:ascii="Arial" w:hAnsi="Arial" w:cs="Arial"/>
        <w:color w:val="808080" w:themeColor="background1" w:themeShade="80"/>
        <w:sz w:val="16"/>
        <w:szCs w:val="16"/>
      </w:rPr>
      <w:t xml:space="preserve">Page </w:t>
    </w:r>
    <w:r w:rsidRPr="00831013">
      <w:rPr>
        <w:rFonts w:ascii="Arial" w:hAnsi="Arial" w:cs="Arial"/>
        <w:b/>
        <w:bCs/>
        <w:color w:val="808080" w:themeColor="background1" w:themeShade="80"/>
        <w:sz w:val="16"/>
        <w:szCs w:val="16"/>
      </w:rPr>
      <w:fldChar w:fldCharType="begin"/>
    </w:r>
    <w:r w:rsidRPr="00831013">
      <w:rPr>
        <w:rFonts w:ascii="Arial" w:hAnsi="Arial" w:cs="Arial"/>
        <w:b/>
        <w:bCs/>
        <w:color w:val="808080" w:themeColor="background1" w:themeShade="80"/>
        <w:sz w:val="16"/>
        <w:szCs w:val="16"/>
      </w:rPr>
      <w:instrText xml:space="preserve"> PAGE  \* Arabic  \* MERGEFORMAT </w:instrText>
    </w:r>
    <w:r w:rsidRPr="00831013">
      <w:rPr>
        <w:rFonts w:ascii="Arial" w:hAnsi="Arial" w:cs="Arial"/>
        <w:b/>
        <w:bCs/>
        <w:color w:val="808080" w:themeColor="background1" w:themeShade="80"/>
        <w:sz w:val="16"/>
        <w:szCs w:val="16"/>
      </w:rPr>
      <w:fldChar w:fldCharType="separate"/>
    </w:r>
    <w:r w:rsidR="00A64732">
      <w:rPr>
        <w:rFonts w:ascii="Arial" w:hAnsi="Arial" w:cs="Arial"/>
        <w:b/>
        <w:bCs/>
        <w:noProof/>
        <w:color w:val="808080" w:themeColor="background1" w:themeShade="80"/>
        <w:sz w:val="16"/>
        <w:szCs w:val="16"/>
      </w:rPr>
      <w:t>2</w:t>
    </w:r>
    <w:r w:rsidRPr="00831013">
      <w:rPr>
        <w:rFonts w:ascii="Arial" w:hAnsi="Arial" w:cs="Arial"/>
        <w:b/>
        <w:bCs/>
        <w:color w:val="808080" w:themeColor="background1" w:themeShade="80"/>
        <w:sz w:val="16"/>
        <w:szCs w:val="16"/>
      </w:rPr>
      <w:fldChar w:fldCharType="end"/>
    </w:r>
    <w:r w:rsidRPr="00831013">
      <w:rPr>
        <w:rFonts w:ascii="Arial" w:hAnsi="Arial" w:cs="Arial"/>
        <w:color w:val="808080" w:themeColor="background1" w:themeShade="80"/>
        <w:sz w:val="16"/>
        <w:szCs w:val="16"/>
      </w:rPr>
      <w:t xml:space="preserve"> of </w:t>
    </w:r>
    <w:r w:rsidRPr="00831013">
      <w:rPr>
        <w:rFonts w:ascii="Arial" w:hAnsi="Arial" w:cs="Arial"/>
        <w:b/>
        <w:bCs/>
        <w:color w:val="808080" w:themeColor="background1" w:themeShade="80"/>
        <w:sz w:val="16"/>
        <w:szCs w:val="16"/>
      </w:rPr>
      <w:fldChar w:fldCharType="begin"/>
    </w:r>
    <w:r w:rsidRPr="00831013">
      <w:rPr>
        <w:rFonts w:ascii="Arial" w:hAnsi="Arial" w:cs="Arial"/>
        <w:b/>
        <w:bCs/>
        <w:color w:val="808080" w:themeColor="background1" w:themeShade="80"/>
        <w:sz w:val="16"/>
        <w:szCs w:val="16"/>
      </w:rPr>
      <w:instrText xml:space="preserve"> NUMPAGES  \* Arabic  \* MERGEFORMAT </w:instrText>
    </w:r>
    <w:r w:rsidRPr="00831013">
      <w:rPr>
        <w:rFonts w:ascii="Arial" w:hAnsi="Arial" w:cs="Arial"/>
        <w:b/>
        <w:bCs/>
        <w:color w:val="808080" w:themeColor="background1" w:themeShade="80"/>
        <w:sz w:val="16"/>
        <w:szCs w:val="16"/>
      </w:rPr>
      <w:fldChar w:fldCharType="separate"/>
    </w:r>
    <w:r w:rsidR="00A64732">
      <w:rPr>
        <w:rFonts w:ascii="Arial" w:hAnsi="Arial" w:cs="Arial"/>
        <w:b/>
        <w:bCs/>
        <w:noProof/>
        <w:color w:val="808080" w:themeColor="background1" w:themeShade="80"/>
        <w:sz w:val="16"/>
        <w:szCs w:val="16"/>
      </w:rPr>
      <w:t>2</w:t>
    </w:r>
    <w:r w:rsidRPr="00831013">
      <w:rPr>
        <w:rFonts w:ascii="Arial" w:hAnsi="Arial" w:cs="Arial"/>
        <w:b/>
        <w:bCs/>
        <w:color w:val="808080" w:themeColor="background1" w:themeShade="80"/>
        <w:sz w:val="16"/>
        <w:szCs w:val="16"/>
      </w:rPr>
      <w:fldChar w:fldCharType="end"/>
    </w:r>
  </w:p>
  <w:p w:rsidR="003B33C1" w:rsidRPr="000E33A8" w:rsidRDefault="003B33C1">
    <w:pPr>
      <w:pStyle w:val="Footer"/>
      <w:rPr>
        <w:rFonts w:ascii="Arial" w:hAnsi="Arial" w:cs="Arial"/>
        <w:color w:val="808080" w:themeColor="background1" w:themeShade="8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C1" w:rsidRPr="00831013" w:rsidRDefault="003B33C1" w:rsidP="00831013">
    <w:pPr>
      <w:pStyle w:val="Header"/>
      <w:jc w:val="right"/>
    </w:pPr>
    <w:r>
      <w:tab/>
    </w:r>
    <w:r>
      <w:tab/>
    </w:r>
    <w:r w:rsidRPr="00831013">
      <w:rPr>
        <w:rFonts w:ascii="Arial" w:hAnsi="Arial" w:cs="Arial"/>
        <w:color w:val="808080" w:themeColor="background1" w:themeShade="80"/>
        <w:sz w:val="16"/>
        <w:szCs w:val="16"/>
      </w:rPr>
      <w:t xml:space="preserve">Page </w:t>
    </w:r>
    <w:r w:rsidRPr="00831013">
      <w:rPr>
        <w:rFonts w:ascii="Arial" w:hAnsi="Arial" w:cs="Arial"/>
        <w:b/>
        <w:bCs/>
        <w:color w:val="808080" w:themeColor="background1" w:themeShade="80"/>
        <w:sz w:val="16"/>
        <w:szCs w:val="16"/>
      </w:rPr>
      <w:fldChar w:fldCharType="begin"/>
    </w:r>
    <w:r w:rsidRPr="00831013">
      <w:rPr>
        <w:rFonts w:ascii="Arial" w:hAnsi="Arial" w:cs="Arial"/>
        <w:b/>
        <w:bCs/>
        <w:color w:val="808080" w:themeColor="background1" w:themeShade="80"/>
        <w:sz w:val="16"/>
        <w:szCs w:val="16"/>
      </w:rPr>
      <w:instrText xml:space="preserve"> PAGE  \* Arabic  \* MERGEFORMAT </w:instrText>
    </w:r>
    <w:r w:rsidRPr="00831013">
      <w:rPr>
        <w:rFonts w:ascii="Arial" w:hAnsi="Arial" w:cs="Arial"/>
        <w:b/>
        <w:bCs/>
        <w:color w:val="808080" w:themeColor="background1" w:themeShade="80"/>
        <w:sz w:val="16"/>
        <w:szCs w:val="16"/>
      </w:rPr>
      <w:fldChar w:fldCharType="separate"/>
    </w:r>
    <w:r w:rsidR="00A64732">
      <w:rPr>
        <w:rFonts w:ascii="Arial" w:hAnsi="Arial" w:cs="Arial"/>
        <w:b/>
        <w:bCs/>
        <w:noProof/>
        <w:color w:val="808080" w:themeColor="background1" w:themeShade="80"/>
        <w:sz w:val="16"/>
        <w:szCs w:val="16"/>
      </w:rPr>
      <w:t>1</w:t>
    </w:r>
    <w:r w:rsidRPr="00831013">
      <w:rPr>
        <w:rFonts w:ascii="Arial" w:hAnsi="Arial" w:cs="Arial"/>
        <w:b/>
        <w:bCs/>
        <w:color w:val="808080" w:themeColor="background1" w:themeShade="80"/>
        <w:sz w:val="16"/>
        <w:szCs w:val="16"/>
      </w:rPr>
      <w:fldChar w:fldCharType="end"/>
    </w:r>
    <w:r w:rsidRPr="00831013">
      <w:rPr>
        <w:rFonts w:ascii="Arial" w:hAnsi="Arial" w:cs="Arial"/>
        <w:color w:val="808080" w:themeColor="background1" w:themeShade="80"/>
        <w:sz w:val="16"/>
        <w:szCs w:val="16"/>
      </w:rPr>
      <w:t xml:space="preserve"> of </w:t>
    </w:r>
    <w:r w:rsidRPr="00831013">
      <w:rPr>
        <w:rFonts w:ascii="Arial" w:hAnsi="Arial" w:cs="Arial"/>
        <w:b/>
        <w:bCs/>
        <w:color w:val="808080" w:themeColor="background1" w:themeShade="80"/>
        <w:sz w:val="16"/>
        <w:szCs w:val="16"/>
      </w:rPr>
      <w:fldChar w:fldCharType="begin"/>
    </w:r>
    <w:r w:rsidRPr="00831013">
      <w:rPr>
        <w:rFonts w:ascii="Arial" w:hAnsi="Arial" w:cs="Arial"/>
        <w:b/>
        <w:bCs/>
        <w:color w:val="808080" w:themeColor="background1" w:themeShade="80"/>
        <w:sz w:val="16"/>
        <w:szCs w:val="16"/>
      </w:rPr>
      <w:instrText xml:space="preserve"> NUMPAGES  \* Arabic  \* MERGEFORMAT </w:instrText>
    </w:r>
    <w:r w:rsidRPr="00831013">
      <w:rPr>
        <w:rFonts w:ascii="Arial" w:hAnsi="Arial" w:cs="Arial"/>
        <w:b/>
        <w:bCs/>
        <w:color w:val="808080" w:themeColor="background1" w:themeShade="80"/>
        <w:sz w:val="16"/>
        <w:szCs w:val="16"/>
      </w:rPr>
      <w:fldChar w:fldCharType="separate"/>
    </w:r>
    <w:r w:rsidR="00A64732">
      <w:rPr>
        <w:rFonts w:ascii="Arial" w:hAnsi="Arial" w:cs="Arial"/>
        <w:b/>
        <w:bCs/>
        <w:noProof/>
        <w:color w:val="808080" w:themeColor="background1" w:themeShade="80"/>
        <w:sz w:val="16"/>
        <w:szCs w:val="16"/>
      </w:rPr>
      <w:t>1</w:t>
    </w:r>
    <w:r w:rsidRPr="00831013">
      <w:rPr>
        <w:rFonts w:ascii="Arial" w:hAnsi="Arial" w:cs="Arial"/>
        <w:b/>
        <w:bCs/>
        <w:color w:val="808080" w:themeColor="background1" w:themeShade="80"/>
        <w:sz w:val="16"/>
        <w:szCs w:val="16"/>
      </w:rPr>
      <w:fldChar w:fldCharType="end"/>
    </w:r>
  </w:p>
  <w:p w:rsidR="003B33C1" w:rsidRDefault="003B33C1" w:rsidP="00831013">
    <w:pPr>
      <w:pStyle w:val="Footer"/>
      <w:rPr>
        <w:rFonts w:ascii="Arial" w:hAnsi="Arial" w:cs="Arial"/>
        <w:color w:val="808080" w:themeColor="background1" w:themeShade="80"/>
        <w:sz w:val="16"/>
        <w:szCs w:val="16"/>
      </w:rPr>
    </w:pPr>
  </w:p>
  <w:p w:rsidR="003B33C1" w:rsidRPr="000E33A8" w:rsidRDefault="003B33C1" w:rsidP="00831013">
    <w:pPr>
      <w:pStyle w:val="Footer"/>
      <w:rPr>
        <w:rFonts w:ascii="Arial" w:hAnsi="Arial" w:cs="Arial"/>
        <w:color w:val="808080" w:themeColor="background1" w:themeShade="80"/>
        <w:sz w:val="16"/>
        <w:szCs w:val="16"/>
      </w:rPr>
    </w:pPr>
    <w:r w:rsidRPr="000E33A8">
      <w:rPr>
        <w:rFonts w:ascii="Arial" w:hAnsi="Arial" w:cs="Arial"/>
        <w:color w:val="808080" w:themeColor="background1" w:themeShade="80"/>
        <w:sz w:val="16"/>
        <w:szCs w:val="16"/>
      </w:rPr>
      <w:t>GPO Box 5166</w:t>
    </w:r>
    <w:r>
      <w:rPr>
        <w:rFonts w:ascii="Arial" w:hAnsi="Arial" w:cs="Arial"/>
        <w:color w:val="808080" w:themeColor="background1" w:themeShade="80"/>
        <w:sz w:val="16"/>
        <w:szCs w:val="16"/>
      </w:rPr>
      <w:tab/>
      <w:t xml:space="preserve">                                                                                                                                                            02 9239 5931</w:t>
    </w:r>
    <w:r>
      <w:rPr>
        <w:rFonts w:ascii="Arial" w:hAnsi="Arial" w:cs="Arial"/>
        <w:color w:val="808080" w:themeColor="background1" w:themeShade="80"/>
        <w:sz w:val="16"/>
        <w:szCs w:val="16"/>
      </w:rPr>
      <w:tab/>
    </w:r>
  </w:p>
  <w:p w:rsidR="003B33C1" w:rsidRPr="000E33A8" w:rsidRDefault="003B33C1" w:rsidP="00831013">
    <w:pPr>
      <w:pStyle w:val="Footer"/>
      <w:rPr>
        <w:rFonts w:ascii="Arial" w:hAnsi="Arial" w:cs="Arial"/>
        <w:color w:val="808080" w:themeColor="background1" w:themeShade="80"/>
        <w:sz w:val="16"/>
        <w:szCs w:val="16"/>
      </w:rPr>
    </w:pPr>
    <w:r w:rsidRPr="000E33A8">
      <w:rPr>
        <w:rFonts w:ascii="Arial" w:hAnsi="Arial" w:cs="Arial"/>
        <w:color w:val="808080" w:themeColor="background1" w:themeShade="80"/>
        <w:sz w:val="16"/>
        <w:szCs w:val="16"/>
      </w:rPr>
      <w:t>Sydney, NSW, 2001</w:t>
    </w:r>
    <w:r>
      <w:rPr>
        <w:rFonts w:ascii="Arial" w:hAnsi="Arial" w:cs="Arial"/>
        <w:color w:val="808080" w:themeColor="background1" w:themeShade="80"/>
        <w:sz w:val="16"/>
        <w:szCs w:val="16"/>
      </w:rPr>
      <w:tab/>
    </w:r>
    <w:r>
      <w:rPr>
        <w:rFonts w:ascii="Arial" w:hAnsi="Arial" w:cs="Arial"/>
        <w:color w:val="808080" w:themeColor="background1" w:themeShade="80"/>
        <w:sz w:val="16"/>
        <w:szCs w:val="16"/>
      </w:rPr>
      <w:tab/>
      <w:t>info@bccm.coop</w:t>
    </w:r>
  </w:p>
  <w:p w:rsidR="003B33C1" w:rsidRPr="00831013" w:rsidRDefault="003B33C1">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ACN 148863932</w:t>
    </w:r>
    <w:r>
      <w:rPr>
        <w:rFonts w:ascii="Arial" w:hAnsi="Arial" w:cs="Arial"/>
        <w:color w:val="808080" w:themeColor="background1" w:themeShade="80"/>
        <w:sz w:val="16"/>
        <w:szCs w:val="16"/>
      </w:rPr>
      <w:tab/>
    </w:r>
    <w:r>
      <w:rPr>
        <w:rFonts w:ascii="Arial" w:hAnsi="Arial" w:cs="Arial"/>
        <w:color w:val="808080" w:themeColor="background1" w:themeShade="80"/>
        <w:sz w:val="16"/>
        <w:szCs w:val="16"/>
      </w:rPr>
      <w:tab/>
      <w:t xml:space="preserve"> www.bccm.coop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8C4" w:rsidRDefault="007978C4" w:rsidP="000E33A8">
      <w:pPr>
        <w:spacing w:after="0"/>
      </w:pPr>
      <w:r>
        <w:separator/>
      </w:r>
    </w:p>
  </w:footnote>
  <w:footnote w:type="continuationSeparator" w:id="0">
    <w:p w:rsidR="007978C4" w:rsidRDefault="007978C4" w:rsidP="000E33A8">
      <w:pPr>
        <w:spacing w:after="0"/>
      </w:pPr>
      <w:r>
        <w:continuationSeparator/>
      </w:r>
    </w:p>
  </w:footnote>
  <w:footnote w:id="1">
    <w:p w:rsidR="003B33C1" w:rsidRPr="00CC570E" w:rsidRDefault="003B33C1">
      <w:pPr>
        <w:pStyle w:val="FootnoteText"/>
        <w:rPr>
          <w:rFonts w:ascii="Arial" w:hAnsi="Arial" w:cs="Arial"/>
        </w:rPr>
      </w:pPr>
      <w:r w:rsidRPr="00CC570E">
        <w:rPr>
          <w:rStyle w:val="FootnoteReference"/>
          <w:rFonts w:ascii="Arial" w:hAnsi="Arial" w:cs="Arial"/>
        </w:rPr>
        <w:footnoteRef/>
      </w:r>
      <w:r w:rsidRPr="00CC570E">
        <w:rPr>
          <w:rFonts w:ascii="Arial" w:hAnsi="Arial" w:cs="Arial"/>
        </w:rPr>
        <w:t xml:space="preserve"> The terms “member-owned”, “customer-owned”, “mutual” and are used interchangeably in this submission.</w:t>
      </w:r>
    </w:p>
  </w:footnote>
  <w:footnote w:id="2">
    <w:p w:rsidR="00CC570E" w:rsidRPr="00CC570E" w:rsidRDefault="006B7591">
      <w:pPr>
        <w:pStyle w:val="FootnoteText"/>
        <w:rPr>
          <w:rFonts w:ascii="Arial" w:hAnsi="Arial" w:cs="Arial"/>
        </w:rPr>
      </w:pPr>
      <w:r w:rsidRPr="00CC570E">
        <w:rPr>
          <w:rStyle w:val="FootnoteReference"/>
          <w:rFonts w:ascii="Arial" w:hAnsi="Arial" w:cs="Arial"/>
        </w:rPr>
        <w:footnoteRef/>
      </w:r>
      <w:r w:rsidRPr="00CC570E">
        <w:rPr>
          <w:rFonts w:ascii="Arial" w:hAnsi="Arial" w:cs="Arial"/>
        </w:rPr>
        <w:t xml:space="preserve"> See especially paragraphs 3.25 and 3.28 </w:t>
      </w:r>
      <w:r w:rsidRPr="00CC570E">
        <w:rPr>
          <w:rFonts w:ascii="Arial" w:hAnsi="Arial" w:cs="Arial"/>
          <w:i/>
        </w:rPr>
        <w:t>Recommendation 2</w:t>
      </w:r>
      <w:r w:rsidRPr="00CC570E">
        <w:rPr>
          <w:rFonts w:ascii="Arial" w:hAnsi="Arial" w:cs="Arial"/>
        </w:rPr>
        <w:t xml:space="preserve"> and </w:t>
      </w:r>
      <w:r w:rsidR="00CC570E" w:rsidRPr="00CC570E">
        <w:rPr>
          <w:rFonts w:ascii="Arial" w:hAnsi="Arial" w:cs="Arial"/>
        </w:rPr>
        <w:t>3.47 “The committee concurs with the principles that support competitive neutrality.”</w:t>
      </w:r>
      <w:r w:rsidRPr="00CC570E">
        <w:rPr>
          <w:rFonts w:ascii="Arial" w:hAnsi="Arial" w:cs="Arial"/>
        </w:rPr>
        <w:t xml:space="preserve"> </w:t>
      </w:r>
      <w:hyperlink r:id="rId1" w:history="1">
        <w:r w:rsidRPr="00CC570E">
          <w:rPr>
            <w:rStyle w:val="Hyperlink"/>
            <w:rFonts w:ascii="Arial" w:hAnsi="Arial" w:cs="Arial"/>
          </w:rPr>
          <w:t>http://www.aph.gov.au/Parliamentary_Business/Committees/Senate/Economics/Cooperatives/Report/c03</w:t>
        </w:r>
      </w:hyperlink>
    </w:p>
  </w:footnote>
  <w:footnote w:id="3">
    <w:p w:rsidR="003B33C1" w:rsidRPr="00742D3C" w:rsidRDefault="003B33C1" w:rsidP="003855DD">
      <w:pPr>
        <w:pStyle w:val="FootnoteText"/>
        <w:rPr>
          <w:rFonts w:ascii="Arial" w:hAnsi="Arial" w:cs="Arial"/>
        </w:rPr>
      </w:pPr>
      <w:r w:rsidRPr="00742D3C">
        <w:rPr>
          <w:rStyle w:val="FootnoteReference"/>
          <w:rFonts w:ascii="Arial" w:hAnsi="Arial" w:cs="Arial"/>
        </w:rPr>
        <w:footnoteRef/>
      </w:r>
      <w:hyperlink r:id="rId2" w:history="1">
        <w:r w:rsidRPr="00742D3C">
          <w:rPr>
            <w:rStyle w:val="Hyperlink"/>
            <w:rFonts w:ascii="Arial" w:hAnsi="Arial" w:cs="Arial"/>
          </w:rPr>
          <w:t>http://www.aph.gov.au/Parliamentary_Business/Committees/Senate/Economics/Cooperatives/Report</w:t>
        </w:r>
      </w:hyperlink>
      <w:r w:rsidRPr="00742D3C">
        <w:rPr>
          <w:rFonts w:ascii="Arial" w:hAnsi="Arial" w:cs="Arial"/>
        </w:rPr>
        <w:t xml:space="preserve"> </w:t>
      </w:r>
    </w:p>
  </w:footnote>
  <w:footnote w:id="4">
    <w:p w:rsidR="003B33C1" w:rsidRPr="00742D3C" w:rsidRDefault="003B33C1" w:rsidP="003855DD">
      <w:pPr>
        <w:pStyle w:val="FootnoteText"/>
        <w:rPr>
          <w:rFonts w:ascii="Arial" w:hAnsi="Arial" w:cs="Arial"/>
          <w:u w:val="single"/>
        </w:rPr>
      </w:pPr>
      <w:r w:rsidRPr="00742D3C">
        <w:rPr>
          <w:rStyle w:val="FootnoteReference"/>
          <w:rFonts w:ascii="Arial" w:hAnsi="Arial" w:cs="Arial"/>
        </w:rPr>
        <w:footnoteRef/>
      </w:r>
      <w:r w:rsidRPr="00742D3C">
        <w:rPr>
          <w:rFonts w:ascii="Arial" w:hAnsi="Arial" w:cs="Arial"/>
        </w:rPr>
        <w:t xml:space="preserve"> Business Council of Co-operatives and Mutuals, National Mutual Economy Report 2016, 17.  </w:t>
      </w:r>
      <w:hyperlink r:id="rId3" w:history="1">
        <w:r w:rsidRPr="00742D3C">
          <w:rPr>
            <w:rStyle w:val="Hyperlink"/>
            <w:rFonts w:ascii="Arial" w:hAnsi="Arial" w:cs="Arial"/>
          </w:rPr>
          <w:t>http://bccm.coop/wp/wp-content/uploads/2016/11/BCCM-NME-Report-2016.pdf</w:t>
        </w:r>
      </w:hyperlink>
      <w:r w:rsidRPr="00742D3C">
        <w:rPr>
          <w:rFonts w:ascii="Arial" w:hAnsi="Arial" w:cs="Arial"/>
        </w:rPr>
        <w:t xml:space="preserve"> </w:t>
      </w:r>
    </w:p>
  </w:footnote>
  <w:footnote w:id="5">
    <w:p w:rsidR="003B33C1" w:rsidRPr="00742D3C" w:rsidRDefault="003B33C1" w:rsidP="003855DD">
      <w:pPr>
        <w:pStyle w:val="FootnoteText"/>
        <w:rPr>
          <w:rFonts w:ascii="Arial" w:hAnsi="Arial" w:cs="Arial"/>
        </w:rPr>
      </w:pPr>
      <w:r w:rsidRPr="00742D3C">
        <w:rPr>
          <w:rStyle w:val="FootnoteReference"/>
          <w:rFonts w:ascii="Arial" w:hAnsi="Arial" w:cs="Arial"/>
        </w:rPr>
        <w:footnoteRef/>
      </w:r>
      <w:r w:rsidRPr="00742D3C">
        <w:rPr>
          <w:rFonts w:ascii="Arial" w:hAnsi="Arial" w:cs="Arial"/>
        </w:rPr>
        <w:t xml:space="preserve"> The CNL has been adopted in all States and Territories except Queensland. Western Australia has adopted consistent legislation.</w:t>
      </w:r>
    </w:p>
  </w:footnote>
  <w:footnote w:id="6">
    <w:p w:rsidR="003B33C1" w:rsidRPr="00901E39" w:rsidRDefault="003B33C1">
      <w:pPr>
        <w:pStyle w:val="FootnoteText"/>
        <w:rPr>
          <w:rFonts w:ascii="Arial" w:hAnsi="Arial" w:cs="Arial"/>
        </w:rPr>
      </w:pPr>
      <w:r w:rsidRPr="00742D3C">
        <w:rPr>
          <w:rStyle w:val="FootnoteReference"/>
          <w:rFonts w:ascii="Arial" w:hAnsi="Arial" w:cs="Arial"/>
        </w:rPr>
        <w:footnoteRef/>
      </w:r>
      <w:r w:rsidRPr="00742D3C">
        <w:rPr>
          <w:rFonts w:ascii="Arial" w:hAnsi="Arial" w:cs="Arial"/>
        </w:rPr>
        <w:t xml:space="preserve"> </w:t>
      </w:r>
      <w:hyperlink r:id="rId4" w:history="1">
        <w:r w:rsidRPr="00901E39">
          <w:rPr>
            <w:rStyle w:val="Hyperlink"/>
            <w:rFonts w:ascii="Arial" w:hAnsi="Arial" w:cs="Arial"/>
          </w:rPr>
          <w:t>http://bccm.coop/our-members/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C1" w:rsidRDefault="003B33C1" w:rsidP="000E33A8">
    <w:pPr>
      <w:pStyle w:val="Header"/>
      <w:jc w:val="right"/>
    </w:pP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C1" w:rsidRDefault="003B33C1" w:rsidP="00831013">
    <w:pPr>
      <w:pStyle w:val="Header"/>
      <w:jc w:val="right"/>
    </w:pPr>
    <w:r>
      <w:rPr>
        <w:noProof/>
        <w:lang w:eastAsia="en-AU"/>
      </w:rPr>
      <w:drawing>
        <wp:inline distT="0" distB="0" distL="0" distR="0" wp14:anchorId="68E7AB34" wp14:editId="1A9FEAB2">
          <wp:extent cx="2997019" cy="819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CM-logo_.jpg"/>
                  <pic:cNvPicPr/>
                </pic:nvPicPr>
                <pic:blipFill>
                  <a:blip r:embed="rId1">
                    <a:extLst>
                      <a:ext uri="{28A0092B-C50C-407E-A947-70E740481C1C}">
                        <a14:useLocalDpi xmlns:a14="http://schemas.microsoft.com/office/drawing/2010/main" val="0"/>
                      </a:ext>
                    </a:extLst>
                  </a:blip>
                  <a:stretch>
                    <a:fillRect/>
                  </a:stretch>
                </pic:blipFill>
                <pic:spPr>
                  <a:xfrm>
                    <a:off x="0" y="0"/>
                    <a:ext cx="3007360" cy="82197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093"/>
    <w:multiLevelType w:val="multilevel"/>
    <w:tmpl w:val="BCAEF530"/>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0E906084"/>
    <w:multiLevelType w:val="hybridMultilevel"/>
    <w:tmpl w:val="CC1A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C0371"/>
    <w:multiLevelType w:val="hybridMultilevel"/>
    <w:tmpl w:val="D71261D6"/>
    <w:lvl w:ilvl="0" w:tplc="E02EE1B8">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285C38"/>
    <w:multiLevelType w:val="hybridMultilevel"/>
    <w:tmpl w:val="68585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0343B"/>
    <w:multiLevelType w:val="hybridMultilevel"/>
    <w:tmpl w:val="FADC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A01DCE"/>
    <w:multiLevelType w:val="hybridMultilevel"/>
    <w:tmpl w:val="6C009B86"/>
    <w:lvl w:ilvl="0" w:tplc="6BAE580E">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A1059"/>
    <w:multiLevelType w:val="hybridMultilevel"/>
    <w:tmpl w:val="D5FA5056"/>
    <w:lvl w:ilvl="0" w:tplc="DBD4FDBC">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76246E"/>
    <w:multiLevelType w:val="hybridMultilevel"/>
    <w:tmpl w:val="D7289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71486"/>
    <w:multiLevelType w:val="hybridMultilevel"/>
    <w:tmpl w:val="CC88F97E"/>
    <w:lvl w:ilvl="0" w:tplc="3DEE4830">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FB3FE2"/>
    <w:multiLevelType w:val="hybridMultilevel"/>
    <w:tmpl w:val="1F6244F6"/>
    <w:lvl w:ilvl="0" w:tplc="57B89068">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602B7D"/>
    <w:multiLevelType w:val="hybridMultilevel"/>
    <w:tmpl w:val="22A8FA66"/>
    <w:lvl w:ilvl="0" w:tplc="3DEE4830">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793E2C"/>
    <w:multiLevelType w:val="multilevel"/>
    <w:tmpl w:val="7E9E0A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405D71A2"/>
    <w:multiLevelType w:val="hybridMultilevel"/>
    <w:tmpl w:val="AFD63F50"/>
    <w:lvl w:ilvl="0" w:tplc="AF944DEC">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485183"/>
    <w:multiLevelType w:val="multilevel"/>
    <w:tmpl w:val="DA00AF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83D0815"/>
    <w:multiLevelType w:val="hybridMultilevel"/>
    <w:tmpl w:val="384E7154"/>
    <w:lvl w:ilvl="0" w:tplc="2962D8E4">
      <w:start w:val="1"/>
      <w:numFmt w:val="bullet"/>
      <w:pStyle w:val="BulletTextstyles"/>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4CA76DC9"/>
    <w:multiLevelType w:val="hybridMultilevel"/>
    <w:tmpl w:val="54B2A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4A47DE"/>
    <w:multiLevelType w:val="hybridMultilevel"/>
    <w:tmpl w:val="A392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AD4F97"/>
    <w:multiLevelType w:val="hybridMultilevel"/>
    <w:tmpl w:val="68585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F10BD4"/>
    <w:multiLevelType w:val="hybridMultilevel"/>
    <w:tmpl w:val="114AA440"/>
    <w:lvl w:ilvl="0" w:tplc="3DEE4830">
      <w:numFmt w:val="bullet"/>
      <w:lvlText w:val="-"/>
      <w:lvlJc w:val="left"/>
      <w:pPr>
        <w:ind w:left="1440" w:hanging="360"/>
      </w:pPr>
      <w:rPr>
        <w:rFonts w:ascii="Arial" w:eastAsia="Cambr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DB707D1"/>
    <w:multiLevelType w:val="hybridMultilevel"/>
    <w:tmpl w:val="68585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60701C"/>
    <w:multiLevelType w:val="hybridMultilevel"/>
    <w:tmpl w:val="411AE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9E11F18"/>
    <w:multiLevelType w:val="hybridMultilevel"/>
    <w:tmpl w:val="E0386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4A830CE"/>
    <w:multiLevelType w:val="hybridMultilevel"/>
    <w:tmpl w:val="F4E6A2F2"/>
    <w:lvl w:ilvl="0" w:tplc="E7F2B37A">
      <w:start w:val="200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7443747"/>
    <w:multiLevelType w:val="hybridMultilevel"/>
    <w:tmpl w:val="CD50F656"/>
    <w:lvl w:ilvl="0" w:tplc="FC3ACD48">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50ADE"/>
    <w:multiLevelType w:val="hybridMultilevel"/>
    <w:tmpl w:val="DD1C0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847361"/>
    <w:multiLevelType w:val="hybridMultilevel"/>
    <w:tmpl w:val="475ADD5A"/>
    <w:lvl w:ilvl="0" w:tplc="57B89068">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DF6FFE"/>
    <w:multiLevelType w:val="hybridMultilevel"/>
    <w:tmpl w:val="840C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0"/>
  </w:num>
  <w:num w:numId="4">
    <w:abstractNumId w:val="18"/>
  </w:num>
  <w:num w:numId="5">
    <w:abstractNumId w:val="5"/>
  </w:num>
  <w:num w:numId="6">
    <w:abstractNumId w:val="14"/>
  </w:num>
  <w:num w:numId="7">
    <w:abstractNumId w:val="1"/>
  </w:num>
  <w:num w:numId="8">
    <w:abstractNumId w:val="25"/>
  </w:num>
  <w:num w:numId="9">
    <w:abstractNumId w:val="9"/>
  </w:num>
  <w:num w:numId="10">
    <w:abstractNumId w:val="13"/>
  </w:num>
  <w:num w:numId="11">
    <w:abstractNumId w:val="17"/>
  </w:num>
  <w:num w:numId="12">
    <w:abstractNumId w:val="16"/>
  </w:num>
  <w:num w:numId="13">
    <w:abstractNumId w:val="26"/>
  </w:num>
  <w:num w:numId="14">
    <w:abstractNumId w:val="15"/>
  </w:num>
  <w:num w:numId="15">
    <w:abstractNumId w:val="7"/>
  </w:num>
  <w:num w:numId="16">
    <w:abstractNumId w:val="3"/>
  </w:num>
  <w:num w:numId="17">
    <w:abstractNumId w:val="19"/>
  </w:num>
  <w:num w:numId="18">
    <w:abstractNumId w:val="21"/>
  </w:num>
  <w:num w:numId="19">
    <w:abstractNumId w:val="6"/>
  </w:num>
  <w:num w:numId="20">
    <w:abstractNumId w:val="22"/>
  </w:num>
  <w:num w:numId="21">
    <w:abstractNumId w:val="0"/>
  </w:num>
  <w:num w:numId="22">
    <w:abstractNumId w:val="24"/>
  </w:num>
  <w:num w:numId="23">
    <w:abstractNumId w:val="2"/>
  </w:num>
  <w:num w:numId="24">
    <w:abstractNumId w:val="12"/>
  </w:num>
  <w:num w:numId="25">
    <w:abstractNumId w:val="4"/>
  </w:num>
  <w:num w:numId="26">
    <w:abstractNumId w:val="20"/>
  </w:num>
  <w:num w:numId="2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3A8"/>
    <w:rsid w:val="00006A08"/>
    <w:rsid w:val="0000707F"/>
    <w:rsid w:val="000105A4"/>
    <w:rsid w:val="000113BB"/>
    <w:rsid w:val="00015B46"/>
    <w:rsid w:val="00023E5E"/>
    <w:rsid w:val="00024458"/>
    <w:rsid w:val="00025976"/>
    <w:rsid w:val="000270B2"/>
    <w:rsid w:val="00027E93"/>
    <w:rsid w:val="00040298"/>
    <w:rsid w:val="000560FB"/>
    <w:rsid w:val="0006127E"/>
    <w:rsid w:val="00064465"/>
    <w:rsid w:val="00075B60"/>
    <w:rsid w:val="00075EFE"/>
    <w:rsid w:val="0007632C"/>
    <w:rsid w:val="000768A8"/>
    <w:rsid w:val="000865FA"/>
    <w:rsid w:val="000978E0"/>
    <w:rsid w:val="00097CBD"/>
    <w:rsid w:val="000A0380"/>
    <w:rsid w:val="000A0FF3"/>
    <w:rsid w:val="000A1B71"/>
    <w:rsid w:val="000A744A"/>
    <w:rsid w:val="000B1953"/>
    <w:rsid w:val="000B1B71"/>
    <w:rsid w:val="000B77B5"/>
    <w:rsid w:val="000C3735"/>
    <w:rsid w:val="000E33A8"/>
    <w:rsid w:val="000E453F"/>
    <w:rsid w:val="000E6AFD"/>
    <w:rsid w:val="000F6643"/>
    <w:rsid w:val="000F681E"/>
    <w:rsid w:val="001044CA"/>
    <w:rsid w:val="00104EC8"/>
    <w:rsid w:val="00117AB0"/>
    <w:rsid w:val="00123BE6"/>
    <w:rsid w:val="001249E8"/>
    <w:rsid w:val="0013217B"/>
    <w:rsid w:val="00134F5E"/>
    <w:rsid w:val="00136F6B"/>
    <w:rsid w:val="001438A7"/>
    <w:rsid w:val="00147265"/>
    <w:rsid w:val="00147DC1"/>
    <w:rsid w:val="00157809"/>
    <w:rsid w:val="00163A71"/>
    <w:rsid w:val="00170BF9"/>
    <w:rsid w:val="0018089F"/>
    <w:rsid w:val="0018331B"/>
    <w:rsid w:val="00183C78"/>
    <w:rsid w:val="00192A3B"/>
    <w:rsid w:val="00193E85"/>
    <w:rsid w:val="001A2873"/>
    <w:rsid w:val="001A5FA8"/>
    <w:rsid w:val="001A66C2"/>
    <w:rsid w:val="001E18E4"/>
    <w:rsid w:val="001E49AA"/>
    <w:rsid w:val="001F0D84"/>
    <w:rsid w:val="001F30BB"/>
    <w:rsid w:val="001F5750"/>
    <w:rsid w:val="001F69E4"/>
    <w:rsid w:val="00207A21"/>
    <w:rsid w:val="00212BCA"/>
    <w:rsid w:val="00213AD1"/>
    <w:rsid w:val="00215E20"/>
    <w:rsid w:val="00221679"/>
    <w:rsid w:val="002253DD"/>
    <w:rsid w:val="002258A7"/>
    <w:rsid w:val="00240B9A"/>
    <w:rsid w:val="00244C18"/>
    <w:rsid w:val="00245D31"/>
    <w:rsid w:val="0025039A"/>
    <w:rsid w:val="00250F84"/>
    <w:rsid w:val="00255CD6"/>
    <w:rsid w:val="002637A0"/>
    <w:rsid w:val="00263A17"/>
    <w:rsid w:val="00265536"/>
    <w:rsid w:val="002812C8"/>
    <w:rsid w:val="0029046B"/>
    <w:rsid w:val="002941B0"/>
    <w:rsid w:val="002976DA"/>
    <w:rsid w:val="002A17C7"/>
    <w:rsid w:val="002A2057"/>
    <w:rsid w:val="002A6126"/>
    <w:rsid w:val="002A62E8"/>
    <w:rsid w:val="002B1F67"/>
    <w:rsid w:val="002B59F4"/>
    <w:rsid w:val="002C23D8"/>
    <w:rsid w:val="002C5D3C"/>
    <w:rsid w:val="002D02DC"/>
    <w:rsid w:val="002D122F"/>
    <w:rsid w:val="002D5F80"/>
    <w:rsid w:val="002E5C31"/>
    <w:rsid w:val="002E5EE3"/>
    <w:rsid w:val="002E6DCA"/>
    <w:rsid w:val="002F2E69"/>
    <w:rsid w:val="002F556C"/>
    <w:rsid w:val="00307023"/>
    <w:rsid w:val="00317475"/>
    <w:rsid w:val="00330CB1"/>
    <w:rsid w:val="0034045B"/>
    <w:rsid w:val="003433ED"/>
    <w:rsid w:val="00343BE1"/>
    <w:rsid w:val="003458BD"/>
    <w:rsid w:val="0035221B"/>
    <w:rsid w:val="003533DD"/>
    <w:rsid w:val="0035412B"/>
    <w:rsid w:val="00354A0B"/>
    <w:rsid w:val="00354E5B"/>
    <w:rsid w:val="0036496A"/>
    <w:rsid w:val="003716F5"/>
    <w:rsid w:val="003739BE"/>
    <w:rsid w:val="00380746"/>
    <w:rsid w:val="00381064"/>
    <w:rsid w:val="003855DD"/>
    <w:rsid w:val="00387B31"/>
    <w:rsid w:val="003A1E42"/>
    <w:rsid w:val="003A2E01"/>
    <w:rsid w:val="003A3158"/>
    <w:rsid w:val="003A3706"/>
    <w:rsid w:val="003A4A90"/>
    <w:rsid w:val="003B33C1"/>
    <w:rsid w:val="003B61F2"/>
    <w:rsid w:val="003C0F45"/>
    <w:rsid w:val="003C7F48"/>
    <w:rsid w:val="003D0ACE"/>
    <w:rsid w:val="003E009A"/>
    <w:rsid w:val="003F12C0"/>
    <w:rsid w:val="003F67AD"/>
    <w:rsid w:val="00401216"/>
    <w:rsid w:val="00412B79"/>
    <w:rsid w:val="00417179"/>
    <w:rsid w:val="00421C30"/>
    <w:rsid w:val="0042488C"/>
    <w:rsid w:val="00441955"/>
    <w:rsid w:val="00442D64"/>
    <w:rsid w:val="0044645C"/>
    <w:rsid w:val="00452EA2"/>
    <w:rsid w:val="00462955"/>
    <w:rsid w:val="00463695"/>
    <w:rsid w:val="0046455E"/>
    <w:rsid w:val="004734FA"/>
    <w:rsid w:val="00475663"/>
    <w:rsid w:val="004770A1"/>
    <w:rsid w:val="00481EBE"/>
    <w:rsid w:val="00482E24"/>
    <w:rsid w:val="00491F0D"/>
    <w:rsid w:val="00493126"/>
    <w:rsid w:val="004934A8"/>
    <w:rsid w:val="004A4F01"/>
    <w:rsid w:val="004B0B21"/>
    <w:rsid w:val="004B0D85"/>
    <w:rsid w:val="004B0F47"/>
    <w:rsid w:val="004B2FD5"/>
    <w:rsid w:val="004B3B42"/>
    <w:rsid w:val="004C2AF0"/>
    <w:rsid w:val="004D2F6B"/>
    <w:rsid w:val="004E71C5"/>
    <w:rsid w:val="004F7586"/>
    <w:rsid w:val="0050020E"/>
    <w:rsid w:val="00502322"/>
    <w:rsid w:val="00507AC5"/>
    <w:rsid w:val="005148CF"/>
    <w:rsid w:val="0051667F"/>
    <w:rsid w:val="00525F69"/>
    <w:rsid w:val="005270F5"/>
    <w:rsid w:val="005330B3"/>
    <w:rsid w:val="0054563F"/>
    <w:rsid w:val="005461A8"/>
    <w:rsid w:val="00553520"/>
    <w:rsid w:val="005537E3"/>
    <w:rsid w:val="00555BB2"/>
    <w:rsid w:val="00560CB0"/>
    <w:rsid w:val="005736A9"/>
    <w:rsid w:val="00577FD1"/>
    <w:rsid w:val="005820CE"/>
    <w:rsid w:val="00582F64"/>
    <w:rsid w:val="00583450"/>
    <w:rsid w:val="005904BD"/>
    <w:rsid w:val="00591439"/>
    <w:rsid w:val="00591A9A"/>
    <w:rsid w:val="005A2906"/>
    <w:rsid w:val="005A6390"/>
    <w:rsid w:val="005B10D9"/>
    <w:rsid w:val="005B10EB"/>
    <w:rsid w:val="005B4AE6"/>
    <w:rsid w:val="005B61AB"/>
    <w:rsid w:val="005C0FFB"/>
    <w:rsid w:val="005C3A97"/>
    <w:rsid w:val="005D12ED"/>
    <w:rsid w:val="005D2789"/>
    <w:rsid w:val="005D3F42"/>
    <w:rsid w:val="005D75E3"/>
    <w:rsid w:val="005E13D2"/>
    <w:rsid w:val="005E298A"/>
    <w:rsid w:val="005F32A6"/>
    <w:rsid w:val="005F4BD5"/>
    <w:rsid w:val="005F5445"/>
    <w:rsid w:val="005F64F2"/>
    <w:rsid w:val="00606A80"/>
    <w:rsid w:val="00611D66"/>
    <w:rsid w:val="00613D8A"/>
    <w:rsid w:val="00622AAA"/>
    <w:rsid w:val="00626E27"/>
    <w:rsid w:val="00654B1B"/>
    <w:rsid w:val="006553D7"/>
    <w:rsid w:val="0065623F"/>
    <w:rsid w:val="0065633C"/>
    <w:rsid w:val="006577BE"/>
    <w:rsid w:val="0066040A"/>
    <w:rsid w:val="0066305E"/>
    <w:rsid w:val="006774B3"/>
    <w:rsid w:val="0068549D"/>
    <w:rsid w:val="006873C1"/>
    <w:rsid w:val="00693AC3"/>
    <w:rsid w:val="0069524D"/>
    <w:rsid w:val="006A488D"/>
    <w:rsid w:val="006A5516"/>
    <w:rsid w:val="006B7591"/>
    <w:rsid w:val="006C1A26"/>
    <w:rsid w:val="006D1464"/>
    <w:rsid w:val="006E77BC"/>
    <w:rsid w:val="006F43BC"/>
    <w:rsid w:val="006F6404"/>
    <w:rsid w:val="006F7CA5"/>
    <w:rsid w:val="00702086"/>
    <w:rsid w:val="007025B7"/>
    <w:rsid w:val="0071513A"/>
    <w:rsid w:val="00717B09"/>
    <w:rsid w:val="00722602"/>
    <w:rsid w:val="00725597"/>
    <w:rsid w:val="0073608E"/>
    <w:rsid w:val="0074287D"/>
    <w:rsid w:val="00742A76"/>
    <w:rsid w:val="00742D3C"/>
    <w:rsid w:val="0074402F"/>
    <w:rsid w:val="00752BCF"/>
    <w:rsid w:val="007553EC"/>
    <w:rsid w:val="00760219"/>
    <w:rsid w:val="0076038C"/>
    <w:rsid w:val="007619CA"/>
    <w:rsid w:val="0076209E"/>
    <w:rsid w:val="0077501B"/>
    <w:rsid w:val="00775FFC"/>
    <w:rsid w:val="007773CC"/>
    <w:rsid w:val="007801A0"/>
    <w:rsid w:val="00781AF1"/>
    <w:rsid w:val="00782AD8"/>
    <w:rsid w:val="00790503"/>
    <w:rsid w:val="007978C4"/>
    <w:rsid w:val="00797DC5"/>
    <w:rsid w:val="007A286E"/>
    <w:rsid w:val="007B5FA7"/>
    <w:rsid w:val="007D06A6"/>
    <w:rsid w:val="007D2B7B"/>
    <w:rsid w:val="007D4E98"/>
    <w:rsid w:val="007D7AFD"/>
    <w:rsid w:val="007D7DEA"/>
    <w:rsid w:val="007E41D6"/>
    <w:rsid w:val="007E6F3C"/>
    <w:rsid w:val="00800003"/>
    <w:rsid w:val="0080368C"/>
    <w:rsid w:val="00810FEB"/>
    <w:rsid w:val="00811C71"/>
    <w:rsid w:val="00821A16"/>
    <w:rsid w:val="008229FC"/>
    <w:rsid w:val="0082529E"/>
    <w:rsid w:val="00830B25"/>
    <w:rsid w:val="00831013"/>
    <w:rsid w:val="008320A9"/>
    <w:rsid w:val="008338C3"/>
    <w:rsid w:val="008421BE"/>
    <w:rsid w:val="008434C2"/>
    <w:rsid w:val="00843FFA"/>
    <w:rsid w:val="0086298E"/>
    <w:rsid w:val="00867948"/>
    <w:rsid w:val="00874DD5"/>
    <w:rsid w:val="00875CC4"/>
    <w:rsid w:val="0087777A"/>
    <w:rsid w:val="008859DB"/>
    <w:rsid w:val="008949E7"/>
    <w:rsid w:val="00895400"/>
    <w:rsid w:val="00895F18"/>
    <w:rsid w:val="008A5572"/>
    <w:rsid w:val="008A63EE"/>
    <w:rsid w:val="008B6D25"/>
    <w:rsid w:val="008C32F2"/>
    <w:rsid w:val="008C4656"/>
    <w:rsid w:val="008C47F6"/>
    <w:rsid w:val="008D53A5"/>
    <w:rsid w:val="008F344F"/>
    <w:rsid w:val="008F3DCB"/>
    <w:rsid w:val="008F6E13"/>
    <w:rsid w:val="00901E39"/>
    <w:rsid w:val="00903BA7"/>
    <w:rsid w:val="009150A8"/>
    <w:rsid w:val="0091742D"/>
    <w:rsid w:val="00921DEE"/>
    <w:rsid w:val="00935E4A"/>
    <w:rsid w:val="0094530B"/>
    <w:rsid w:val="00946CB0"/>
    <w:rsid w:val="00946D45"/>
    <w:rsid w:val="00946F1E"/>
    <w:rsid w:val="00954684"/>
    <w:rsid w:val="00954E4A"/>
    <w:rsid w:val="00956B16"/>
    <w:rsid w:val="00965DB1"/>
    <w:rsid w:val="00970D9A"/>
    <w:rsid w:val="00973BCF"/>
    <w:rsid w:val="00975865"/>
    <w:rsid w:val="009803F9"/>
    <w:rsid w:val="00982ED7"/>
    <w:rsid w:val="0098323E"/>
    <w:rsid w:val="00985914"/>
    <w:rsid w:val="00987A68"/>
    <w:rsid w:val="009A04CC"/>
    <w:rsid w:val="009A053C"/>
    <w:rsid w:val="009A2519"/>
    <w:rsid w:val="009B334A"/>
    <w:rsid w:val="009B645D"/>
    <w:rsid w:val="009C574B"/>
    <w:rsid w:val="009C7FBE"/>
    <w:rsid w:val="009D4254"/>
    <w:rsid w:val="009D5BAB"/>
    <w:rsid w:val="009D76C1"/>
    <w:rsid w:val="009E5204"/>
    <w:rsid w:val="009E67B7"/>
    <w:rsid w:val="009E7D7A"/>
    <w:rsid w:val="009F1E3A"/>
    <w:rsid w:val="009F3D7F"/>
    <w:rsid w:val="009F56EB"/>
    <w:rsid w:val="00A06BD9"/>
    <w:rsid w:val="00A11D3D"/>
    <w:rsid w:val="00A16B26"/>
    <w:rsid w:val="00A249DB"/>
    <w:rsid w:val="00A24AAE"/>
    <w:rsid w:val="00A319FD"/>
    <w:rsid w:val="00A357E2"/>
    <w:rsid w:val="00A37200"/>
    <w:rsid w:val="00A372D3"/>
    <w:rsid w:val="00A45818"/>
    <w:rsid w:val="00A508BB"/>
    <w:rsid w:val="00A5180C"/>
    <w:rsid w:val="00A527E4"/>
    <w:rsid w:val="00A55297"/>
    <w:rsid w:val="00A64411"/>
    <w:rsid w:val="00A64732"/>
    <w:rsid w:val="00A729AE"/>
    <w:rsid w:val="00A76A60"/>
    <w:rsid w:val="00A80B2C"/>
    <w:rsid w:val="00A81E16"/>
    <w:rsid w:val="00A861F9"/>
    <w:rsid w:val="00A86C27"/>
    <w:rsid w:val="00A91084"/>
    <w:rsid w:val="00A958EC"/>
    <w:rsid w:val="00A969A8"/>
    <w:rsid w:val="00AA4738"/>
    <w:rsid w:val="00AA55C2"/>
    <w:rsid w:val="00AB303A"/>
    <w:rsid w:val="00AB37D0"/>
    <w:rsid w:val="00AB4638"/>
    <w:rsid w:val="00AB6294"/>
    <w:rsid w:val="00AB6B31"/>
    <w:rsid w:val="00AC0C90"/>
    <w:rsid w:val="00AC6033"/>
    <w:rsid w:val="00AD0185"/>
    <w:rsid w:val="00AD3EE4"/>
    <w:rsid w:val="00AD6099"/>
    <w:rsid w:val="00AE7358"/>
    <w:rsid w:val="00AF3658"/>
    <w:rsid w:val="00AF4804"/>
    <w:rsid w:val="00B00EF8"/>
    <w:rsid w:val="00B04358"/>
    <w:rsid w:val="00B04EE3"/>
    <w:rsid w:val="00B21003"/>
    <w:rsid w:val="00B22976"/>
    <w:rsid w:val="00B2327E"/>
    <w:rsid w:val="00B23B23"/>
    <w:rsid w:val="00B343B5"/>
    <w:rsid w:val="00B34FC3"/>
    <w:rsid w:val="00B40C17"/>
    <w:rsid w:val="00B47646"/>
    <w:rsid w:val="00B524B5"/>
    <w:rsid w:val="00B52800"/>
    <w:rsid w:val="00B53D73"/>
    <w:rsid w:val="00B60013"/>
    <w:rsid w:val="00B63425"/>
    <w:rsid w:val="00B6442C"/>
    <w:rsid w:val="00B71595"/>
    <w:rsid w:val="00B7599A"/>
    <w:rsid w:val="00B76150"/>
    <w:rsid w:val="00B84B35"/>
    <w:rsid w:val="00B84B46"/>
    <w:rsid w:val="00B852FF"/>
    <w:rsid w:val="00B96A5F"/>
    <w:rsid w:val="00B976E3"/>
    <w:rsid w:val="00BA7AB0"/>
    <w:rsid w:val="00BB0CBC"/>
    <w:rsid w:val="00BB2943"/>
    <w:rsid w:val="00BB59D2"/>
    <w:rsid w:val="00BB6865"/>
    <w:rsid w:val="00BC0405"/>
    <w:rsid w:val="00BC21FE"/>
    <w:rsid w:val="00BC4449"/>
    <w:rsid w:val="00BD089E"/>
    <w:rsid w:val="00BD6440"/>
    <w:rsid w:val="00BE5C5E"/>
    <w:rsid w:val="00BF7D7C"/>
    <w:rsid w:val="00C13011"/>
    <w:rsid w:val="00C158D2"/>
    <w:rsid w:val="00C347CB"/>
    <w:rsid w:val="00C353E5"/>
    <w:rsid w:val="00C43502"/>
    <w:rsid w:val="00C564C0"/>
    <w:rsid w:val="00C66B08"/>
    <w:rsid w:val="00C80F35"/>
    <w:rsid w:val="00C82231"/>
    <w:rsid w:val="00C92B0C"/>
    <w:rsid w:val="00CA0988"/>
    <w:rsid w:val="00CA2262"/>
    <w:rsid w:val="00CA3391"/>
    <w:rsid w:val="00CB5A69"/>
    <w:rsid w:val="00CB68C8"/>
    <w:rsid w:val="00CC1C03"/>
    <w:rsid w:val="00CC570E"/>
    <w:rsid w:val="00CC743A"/>
    <w:rsid w:val="00CD3295"/>
    <w:rsid w:val="00CE03F5"/>
    <w:rsid w:val="00CE1610"/>
    <w:rsid w:val="00CE3075"/>
    <w:rsid w:val="00CE4C23"/>
    <w:rsid w:val="00CF12E6"/>
    <w:rsid w:val="00CF3397"/>
    <w:rsid w:val="00CF4FF2"/>
    <w:rsid w:val="00D013AC"/>
    <w:rsid w:val="00D07472"/>
    <w:rsid w:val="00D15B29"/>
    <w:rsid w:val="00D21CC5"/>
    <w:rsid w:val="00D24B35"/>
    <w:rsid w:val="00D26C61"/>
    <w:rsid w:val="00D32A4B"/>
    <w:rsid w:val="00D33624"/>
    <w:rsid w:val="00D40AA3"/>
    <w:rsid w:val="00D42BDE"/>
    <w:rsid w:val="00D44C57"/>
    <w:rsid w:val="00D50793"/>
    <w:rsid w:val="00D74132"/>
    <w:rsid w:val="00D76CCA"/>
    <w:rsid w:val="00D77253"/>
    <w:rsid w:val="00D82DAE"/>
    <w:rsid w:val="00D946BB"/>
    <w:rsid w:val="00DA3DB3"/>
    <w:rsid w:val="00DA7EAF"/>
    <w:rsid w:val="00DB62A8"/>
    <w:rsid w:val="00DC75E2"/>
    <w:rsid w:val="00DC7B62"/>
    <w:rsid w:val="00DD29D8"/>
    <w:rsid w:val="00DD60A2"/>
    <w:rsid w:val="00DD6174"/>
    <w:rsid w:val="00DE4A62"/>
    <w:rsid w:val="00DF75A7"/>
    <w:rsid w:val="00DF7EE2"/>
    <w:rsid w:val="00E00D6A"/>
    <w:rsid w:val="00E01E78"/>
    <w:rsid w:val="00E07997"/>
    <w:rsid w:val="00E21953"/>
    <w:rsid w:val="00E21DD4"/>
    <w:rsid w:val="00E2281A"/>
    <w:rsid w:val="00E2353B"/>
    <w:rsid w:val="00E25B60"/>
    <w:rsid w:val="00E26D0C"/>
    <w:rsid w:val="00E30034"/>
    <w:rsid w:val="00E3247B"/>
    <w:rsid w:val="00E37FF4"/>
    <w:rsid w:val="00E56220"/>
    <w:rsid w:val="00E615D8"/>
    <w:rsid w:val="00E61BF2"/>
    <w:rsid w:val="00E6259D"/>
    <w:rsid w:val="00E65441"/>
    <w:rsid w:val="00E73AD5"/>
    <w:rsid w:val="00E748DB"/>
    <w:rsid w:val="00E83D71"/>
    <w:rsid w:val="00E90C37"/>
    <w:rsid w:val="00E959C7"/>
    <w:rsid w:val="00E97D35"/>
    <w:rsid w:val="00EA13F6"/>
    <w:rsid w:val="00EA1D2E"/>
    <w:rsid w:val="00EB3169"/>
    <w:rsid w:val="00EC19E0"/>
    <w:rsid w:val="00EC28B0"/>
    <w:rsid w:val="00EC7B87"/>
    <w:rsid w:val="00ED160A"/>
    <w:rsid w:val="00ED2015"/>
    <w:rsid w:val="00ED3081"/>
    <w:rsid w:val="00EE4967"/>
    <w:rsid w:val="00EE65EF"/>
    <w:rsid w:val="00F00242"/>
    <w:rsid w:val="00F018B3"/>
    <w:rsid w:val="00F07ABE"/>
    <w:rsid w:val="00F2169D"/>
    <w:rsid w:val="00F334C0"/>
    <w:rsid w:val="00F36567"/>
    <w:rsid w:val="00F3735A"/>
    <w:rsid w:val="00F40CCE"/>
    <w:rsid w:val="00F54C3E"/>
    <w:rsid w:val="00F551EC"/>
    <w:rsid w:val="00F56BF5"/>
    <w:rsid w:val="00F62612"/>
    <w:rsid w:val="00F62EBA"/>
    <w:rsid w:val="00F642EC"/>
    <w:rsid w:val="00F756BD"/>
    <w:rsid w:val="00F80E90"/>
    <w:rsid w:val="00F90E3B"/>
    <w:rsid w:val="00F93617"/>
    <w:rsid w:val="00FC1F3B"/>
    <w:rsid w:val="00FC200F"/>
    <w:rsid w:val="00FC5DF3"/>
    <w:rsid w:val="00FD0E8E"/>
    <w:rsid w:val="00FD41B4"/>
    <w:rsid w:val="00FD65C4"/>
    <w:rsid w:val="00FE6B60"/>
    <w:rsid w:val="00FF1AF2"/>
    <w:rsid w:val="00FF2319"/>
    <w:rsid w:val="00FF2A2A"/>
    <w:rsid w:val="00FF2D0B"/>
    <w:rsid w:val="17A288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A8"/>
    <w:pPr>
      <w:spacing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901E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A3158"/>
    <w:pPr>
      <w:spacing w:before="100" w:beforeAutospacing="1" w:after="100" w:afterAutospacing="1"/>
      <w:outlineLvl w:val="1"/>
    </w:pPr>
    <w:rPr>
      <w:rFonts w:ascii="Times New Roman" w:eastAsia="Times New Roman" w:hAnsi="Times New Roman"/>
      <w:b/>
      <w:bCs/>
      <w:sz w:val="36"/>
      <w:szCs w:val="36"/>
      <w:lang w:eastAsia="en-AU"/>
    </w:rPr>
  </w:style>
  <w:style w:type="paragraph" w:styleId="Heading3">
    <w:name w:val="heading 3"/>
    <w:basedOn w:val="Normal"/>
    <w:next w:val="Normal"/>
    <w:link w:val="Heading3Char"/>
    <w:uiPriority w:val="9"/>
    <w:semiHidden/>
    <w:unhideWhenUsed/>
    <w:qFormat/>
    <w:rsid w:val="002976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76D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76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33A8"/>
    <w:pPr>
      <w:spacing w:after="0" w:line="240" w:lineRule="auto"/>
    </w:pPr>
    <w:rPr>
      <w:rFonts w:ascii="Cambria" w:eastAsia="Cambria"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3A8"/>
    <w:pPr>
      <w:ind w:left="720"/>
      <w:contextualSpacing/>
    </w:pPr>
  </w:style>
  <w:style w:type="paragraph" w:styleId="Header">
    <w:name w:val="header"/>
    <w:basedOn w:val="Normal"/>
    <w:link w:val="HeaderChar"/>
    <w:uiPriority w:val="99"/>
    <w:unhideWhenUsed/>
    <w:rsid w:val="000E33A8"/>
    <w:pPr>
      <w:tabs>
        <w:tab w:val="center" w:pos="4513"/>
        <w:tab w:val="right" w:pos="9026"/>
      </w:tabs>
      <w:spacing w:after="0"/>
    </w:pPr>
  </w:style>
  <w:style w:type="character" w:customStyle="1" w:styleId="HeaderChar">
    <w:name w:val="Header Char"/>
    <w:basedOn w:val="DefaultParagraphFont"/>
    <w:link w:val="Header"/>
    <w:uiPriority w:val="99"/>
    <w:rsid w:val="000E33A8"/>
    <w:rPr>
      <w:rFonts w:ascii="Cambria" w:eastAsia="Cambria" w:hAnsi="Cambria" w:cs="Times New Roman"/>
      <w:sz w:val="24"/>
      <w:szCs w:val="24"/>
      <w:lang w:val="en-US"/>
    </w:rPr>
  </w:style>
  <w:style w:type="paragraph" w:styleId="Footer">
    <w:name w:val="footer"/>
    <w:basedOn w:val="Normal"/>
    <w:link w:val="FooterChar"/>
    <w:uiPriority w:val="99"/>
    <w:unhideWhenUsed/>
    <w:rsid w:val="000E33A8"/>
    <w:pPr>
      <w:tabs>
        <w:tab w:val="center" w:pos="4513"/>
        <w:tab w:val="right" w:pos="9026"/>
      </w:tabs>
      <w:spacing w:after="0"/>
    </w:pPr>
  </w:style>
  <w:style w:type="character" w:customStyle="1" w:styleId="FooterChar">
    <w:name w:val="Footer Char"/>
    <w:basedOn w:val="DefaultParagraphFont"/>
    <w:link w:val="Footer"/>
    <w:uiPriority w:val="99"/>
    <w:rsid w:val="000E33A8"/>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0E33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3A8"/>
    <w:rPr>
      <w:rFonts w:ascii="Tahoma" w:eastAsia="Cambria" w:hAnsi="Tahoma" w:cs="Tahoma"/>
      <w:sz w:val="16"/>
      <w:szCs w:val="16"/>
      <w:lang w:val="en-US"/>
    </w:rPr>
  </w:style>
  <w:style w:type="character" w:styleId="Hyperlink">
    <w:name w:val="Hyperlink"/>
    <w:basedOn w:val="DefaultParagraphFont"/>
    <w:uiPriority w:val="99"/>
    <w:unhideWhenUsed/>
    <w:rsid w:val="000E33A8"/>
    <w:rPr>
      <w:color w:val="0000FF" w:themeColor="hyperlink"/>
      <w:u w:val="single"/>
    </w:rPr>
  </w:style>
  <w:style w:type="character" w:styleId="CommentReference">
    <w:name w:val="annotation reference"/>
    <w:basedOn w:val="DefaultParagraphFont"/>
    <w:uiPriority w:val="99"/>
    <w:semiHidden/>
    <w:unhideWhenUsed/>
    <w:rsid w:val="002E5C31"/>
    <w:rPr>
      <w:sz w:val="16"/>
      <w:szCs w:val="16"/>
    </w:rPr>
  </w:style>
  <w:style w:type="paragraph" w:styleId="CommentText">
    <w:name w:val="annotation text"/>
    <w:basedOn w:val="Normal"/>
    <w:link w:val="CommentTextChar"/>
    <w:uiPriority w:val="99"/>
    <w:semiHidden/>
    <w:unhideWhenUsed/>
    <w:rsid w:val="002E5C31"/>
    <w:rPr>
      <w:sz w:val="20"/>
      <w:szCs w:val="20"/>
    </w:rPr>
  </w:style>
  <w:style w:type="character" w:customStyle="1" w:styleId="CommentTextChar">
    <w:name w:val="Comment Text Char"/>
    <w:basedOn w:val="DefaultParagraphFont"/>
    <w:link w:val="CommentText"/>
    <w:uiPriority w:val="99"/>
    <w:semiHidden/>
    <w:rsid w:val="002E5C31"/>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E5C31"/>
    <w:rPr>
      <w:b/>
      <w:bCs/>
    </w:rPr>
  </w:style>
  <w:style w:type="character" w:customStyle="1" w:styleId="CommentSubjectChar">
    <w:name w:val="Comment Subject Char"/>
    <w:basedOn w:val="CommentTextChar"/>
    <w:link w:val="CommentSubject"/>
    <w:uiPriority w:val="99"/>
    <w:semiHidden/>
    <w:rsid w:val="002E5C31"/>
    <w:rPr>
      <w:rFonts w:ascii="Cambria" w:eastAsia="Cambria" w:hAnsi="Cambria" w:cs="Times New Roman"/>
      <w:b/>
      <w:bCs/>
      <w:sz w:val="20"/>
      <w:szCs w:val="20"/>
      <w:lang w:val="en-US"/>
    </w:rPr>
  </w:style>
  <w:style w:type="character" w:styleId="Strong">
    <w:name w:val="Strong"/>
    <w:basedOn w:val="DefaultParagraphFont"/>
    <w:uiPriority w:val="22"/>
    <w:qFormat/>
    <w:rsid w:val="003A3158"/>
    <w:rPr>
      <w:b/>
      <w:bCs/>
    </w:rPr>
  </w:style>
  <w:style w:type="character" w:customStyle="1" w:styleId="apple-converted-space">
    <w:name w:val="apple-converted-space"/>
    <w:basedOn w:val="DefaultParagraphFont"/>
    <w:rsid w:val="003A3158"/>
  </w:style>
  <w:style w:type="character" w:customStyle="1" w:styleId="Heading2Char">
    <w:name w:val="Heading 2 Char"/>
    <w:basedOn w:val="DefaultParagraphFont"/>
    <w:link w:val="Heading2"/>
    <w:uiPriority w:val="9"/>
    <w:rsid w:val="003A3158"/>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3A3158"/>
    <w:pPr>
      <w:spacing w:before="100" w:beforeAutospacing="1" w:after="100" w:afterAutospacing="1"/>
    </w:pPr>
    <w:rPr>
      <w:rFonts w:ascii="Times New Roman" w:eastAsia="Times New Roman" w:hAnsi="Times New Roman"/>
      <w:lang w:eastAsia="en-AU"/>
    </w:rPr>
  </w:style>
  <w:style w:type="paragraph" w:customStyle="1" w:styleId="wp-caption-text">
    <w:name w:val="wp-caption-text"/>
    <w:basedOn w:val="Normal"/>
    <w:rsid w:val="003A3158"/>
    <w:pPr>
      <w:spacing w:before="100" w:beforeAutospacing="1" w:after="100" w:afterAutospacing="1"/>
    </w:pPr>
    <w:rPr>
      <w:rFonts w:ascii="Times New Roman" w:eastAsia="Times New Roman" w:hAnsi="Times New Roman"/>
      <w:lang w:eastAsia="en-AU"/>
    </w:rPr>
  </w:style>
  <w:style w:type="character" w:customStyle="1" w:styleId="Heading3Char">
    <w:name w:val="Heading 3 Char"/>
    <w:basedOn w:val="DefaultParagraphFont"/>
    <w:link w:val="Heading3"/>
    <w:uiPriority w:val="9"/>
    <w:semiHidden/>
    <w:rsid w:val="002976D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2976DA"/>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semiHidden/>
    <w:rsid w:val="002976DA"/>
    <w:rPr>
      <w:rFonts w:asciiTheme="majorHAnsi" w:eastAsiaTheme="majorEastAsia" w:hAnsiTheme="majorHAnsi" w:cstheme="majorBidi"/>
      <w:color w:val="243F60" w:themeColor="accent1" w:themeShade="7F"/>
      <w:sz w:val="24"/>
      <w:szCs w:val="24"/>
      <w:lang w:val="en-US"/>
    </w:rPr>
  </w:style>
  <w:style w:type="paragraph" w:customStyle="1" w:styleId="Default">
    <w:name w:val="Default"/>
    <w:rsid w:val="00F2169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EC28B0"/>
    <w:pPr>
      <w:spacing w:after="0"/>
    </w:pPr>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EC28B0"/>
    <w:rPr>
      <w:rFonts w:ascii="Calibri" w:hAnsi="Calibri" w:cs="Times New Roman"/>
      <w:sz w:val="20"/>
      <w:szCs w:val="20"/>
      <w:lang w:val="en-US"/>
    </w:rPr>
  </w:style>
  <w:style w:type="character" w:styleId="FootnoteReference">
    <w:name w:val="footnote reference"/>
    <w:basedOn w:val="DefaultParagraphFont"/>
    <w:uiPriority w:val="99"/>
    <w:unhideWhenUsed/>
    <w:rsid w:val="00EC28B0"/>
    <w:rPr>
      <w:vertAlign w:val="superscript"/>
    </w:rPr>
  </w:style>
  <w:style w:type="character" w:styleId="Emphasis">
    <w:name w:val="Emphasis"/>
    <w:basedOn w:val="DefaultParagraphFont"/>
    <w:uiPriority w:val="20"/>
    <w:qFormat/>
    <w:rsid w:val="008421BE"/>
    <w:rPr>
      <w:i/>
      <w:iCs/>
    </w:rPr>
  </w:style>
  <w:style w:type="paragraph" w:styleId="Revision">
    <w:name w:val="Revision"/>
    <w:hidden/>
    <w:uiPriority w:val="99"/>
    <w:semiHidden/>
    <w:rsid w:val="001249E8"/>
    <w:pPr>
      <w:spacing w:after="0" w:line="240" w:lineRule="auto"/>
    </w:pPr>
    <w:rPr>
      <w:rFonts w:ascii="Cambria" w:eastAsia="Cambria" w:hAnsi="Cambria" w:cs="Times New Roman"/>
      <w:sz w:val="24"/>
      <w:szCs w:val="24"/>
      <w:lang w:val="en-US"/>
    </w:rPr>
  </w:style>
  <w:style w:type="paragraph" w:customStyle="1" w:styleId="BulletTextstyles">
    <w:name w:val="Bullet (Text styles)"/>
    <w:basedOn w:val="Normal"/>
    <w:uiPriority w:val="99"/>
    <w:rsid w:val="00E21953"/>
    <w:pPr>
      <w:widowControl w:val="0"/>
      <w:numPr>
        <w:numId w:val="6"/>
      </w:numPr>
      <w:suppressAutoHyphens/>
      <w:autoSpaceDE w:val="0"/>
      <w:autoSpaceDN w:val="0"/>
      <w:adjustRightInd w:val="0"/>
      <w:spacing w:after="120" w:line="300" w:lineRule="atLeast"/>
      <w:ind w:left="924" w:hanging="357"/>
      <w:textAlignment w:val="center"/>
    </w:pPr>
    <w:rPr>
      <w:rFonts w:asciiTheme="majorHAnsi" w:eastAsiaTheme="minorEastAsia" w:hAnsiTheme="majorHAnsi" w:cs="MyriadPro-Light"/>
      <w:color w:val="000000"/>
      <w:sz w:val="22"/>
      <w:szCs w:val="22"/>
      <w:lang w:eastAsia="ja-JP"/>
    </w:rPr>
  </w:style>
  <w:style w:type="paragraph" w:customStyle="1" w:styleId="H1">
    <w:name w:val="H1"/>
    <w:basedOn w:val="Normal"/>
    <w:uiPriority w:val="99"/>
    <w:rsid w:val="00E21953"/>
    <w:pPr>
      <w:widowControl w:val="0"/>
      <w:suppressAutoHyphens/>
      <w:autoSpaceDE w:val="0"/>
      <w:autoSpaceDN w:val="0"/>
      <w:adjustRightInd w:val="0"/>
      <w:spacing w:after="283" w:line="288" w:lineRule="auto"/>
      <w:textAlignment w:val="center"/>
    </w:pPr>
    <w:rPr>
      <w:rFonts w:asciiTheme="majorHAnsi" w:eastAsiaTheme="minorEastAsia" w:hAnsiTheme="majorHAnsi" w:cs="MyriadPro-Light"/>
      <w:spacing w:val="-15"/>
      <w:sz w:val="60"/>
      <w:szCs w:val="60"/>
      <w:lang w:eastAsia="ja-JP"/>
    </w:rPr>
  </w:style>
  <w:style w:type="character" w:styleId="FollowedHyperlink">
    <w:name w:val="FollowedHyperlink"/>
    <w:basedOn w:val="DefaultParagraphFont"/>
    <w:uiPriority w:val="99"/>
    <w:semiHidden/>
    <w:unhideWhenUsed/>
    <w:rsid w:val="00134F5E"/>
    <w:rPr>
      <w:color w:val="800080" w:themeColor="followedHyperlink"/>
      <w:u w:val="single"/>
    </w:rPr>
  </w:style>
  <w:style w:type="character" w:customStyle="1" w:styleId="Heading1Char">
    <w:name w:val="Heading 1 Char"/>
    <w:basedOn w:val="DefaultParagraphFont"/>
    <w:link w:val="Heading1"/>
    <w:uiPriority w:val="9"/>
    <w:rsid w:val="00901E39"/>
    <w:rPr>
      <w:rFonts w:asciiTheme="majorHAnsi" w:eastAsiaTheme="majorEastAsia" w:hAnsiTheme="majorHAnsi" w:cstheme="majorBidi"/>
      <w:color w:val="365F91" w:themeColor="accent1" w:themeShade="BF"/>
      <w:sz w:val="32"/>
      <w:szCs w:val="32"/>
      <w:lang w:val="en-US"/>
    </w:rPr>
  </w:style>
  <w:style w:type="character" w:customStyle="1" w:styleId="UnresolvedMention1">
    <w:name w:val="Unresolved Mention1"/>
    <w:basedOn w:val="DefaultParagraphFont"/>
    <w:uiPriority w:val="99"/>
    <w:semiHidden/>
    <w:unhideWhenUsed/>
    <w:rsid w:val="00901E39"/>
    <w:rPr>
      <w:color w:val="808080"/>
      <w:shd w:val="clear" w:color="auto" w:fill="E6E6E6"/>
    </w:rPr>
  </w:style>
  <w:style w:type="character" w:customStyle="1" w:styleId="UnresolvedMention">
    <w:name w:val="Unresolved Mention"/>
    <w:basedOn w:val="DefaultParagraphFont"/>
    <w:uiPriority w:val="99"/>
    <w:semiHidden/>
    <w:unhideWhenUsed/>
    <w:rsid w:val="00CC57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A8"/>
    <w:pPr>
      <w:spacing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901E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A3158"/>
    <w:pPr>
      <w:spacing w:before="100" w:beforeAutospacing="1" w:after="100" w:afterAutospacing="1"/>
      <w:outlineLvl w:val="1"/>
    </w:pPr>
    <w:rPr>
      <w:rFonts w:ascii="Times New Roman" w:eastAsia="Times New Roman" w:hAnsi="Times New Roman"/>
      <w:b/>
      <w:bCs/>
      <w:sz w:val="36"/>
      <w:szCs w:val="36"/>
      <w:lang w:eastAsia="en-AU"/>
    </w:rPr>
  </w:style>
  <w:style w:type="paragraph" w:styleId="Heading3">
    <w:name w:val="heading 3"/>
    <w:basedOn w:val="Normal"/>
    <w:next w:val="Normal"/>
    <w:link w:val="Heading3Char"/>
    <w:uiPriority w:val="9"/>
    <w:semiHidden/>
    <w:unhideWhenUsed/>
    <w:qFormat/>
    <w:rsid w:val="002976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76D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76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33A8"/>
    <w:pPr>
      <w:spacing w:after="0" w:line="240" w:lineRule="auto"/>
    </w:pPr>
    <w:rPr>
      <w:rFonts w:ascii="Cambria" w:eastAsia="Cambria"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3A8"/>
    <w:pPr>
      <w:ind w:left="720"/>
      <w:contextualSpacing/>
    </w:pPr>
  </w:style>
  <w:style w:type="paragraph" w:styleId="Header">
    <w:name w:val="header"/>
    <w:basedOn w:val="Normal"/>
    <w:link w:val="HeaderChar"/>
    <w:uiPriority w:val="99"/>
    <w:unhideWhenUsed/>
    <w:rsid w:val="000E33A8"/>
    <w:pPr>
      <w:tabs>
        <w:tab w:val="center" w:pos="4513"/>
        <w:tab w:val="right" w:pos="9026"/>
      </w:tabs>
      <w:spacing w:after="0"/>
    </w:pPr>
  </w:style>
  <w:style w:type="character" w:customStyle="1" w:styleId="HeaderChar">
    <w:name w:val="Header Char"/>
    <w:basedOn w:val="DefaultParagraphFont"/>
    <w:link w:val="Header"/>
    <w:uiPriority w:val="99"/>
    <w:rsid w:val="000E33A8"/>
    <w:rPr>
      <w:rFonts w:ascii="Cambria" w:eastAsia="Cambria" w:hAnsi="Cambria" w:cs="Times New Roman"/>
      <w:sz w:val="24"/>
      <w:szCs w:val="24"/>
      <w:lang w:val="en-US"/>
    </w:rPr>
  </w:style>
  <w:style w:type="paragraph" w:styleId="Footer">
    <w:name w:val="footer"/>
    <w:basedOn w:val="Normal"/>
    <w:link w:val="FooterChar"/>
    <w:uiPriority w:val="99"/>
    <w:unhideWhenUsed/>
    <w:rsid w:val="000E33A8"/>
    <w:pPr>
      <w:tabs>
        <w:tab w:val="center" w:pos="4513"/>
        <w:tab w:val="right" w:pos="9026"/>
      </w:tabs>
      <w:spacing w:after="0"/>
    </w:pPr>
  </w:style>
  <w:style w:type="character" w:customStyle="1" w:styleId="FooterChar">
    <w:name w:val="Footer Char"/>
    <w:basedOn w:val="DefaultParagraphFont"/>
    <w:link w:val="Footer"/>
    <w:uiPriority w:val="99"/>
    <w:rsid w:val="000E33A8"/>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0E33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3A8"/>
    <w:rPr>
      <w:rFonts w:ascii="Tahoma" w:eastAsia="Cambria" w:hAnsi="Tahoma" w:cs="Tahoma"/>
      <w:sz w:val="16"/>
      <w:szCs w:val="16"/>
      <w:lang w:val="en-US"/>
    </w:rPr>
  </w:style>
  <w:style w:type="character" w:styleId="Hyperlink">
    <w:name w:val="Hyperlink"/>
    <w:basedOn w:val="DefaultParagraphFont"/>
    <w:uiPriority w:val="99"/>
    <w:unhideWhenUsed/>
    <w:rsid w:val="000E33A8"/>
    <w:rPr>
      <w:color w:val="0000FF" w:themeColor="hyperlink"/>
      <w:u w:val="single"/>
    </w:rPr>
  </w:style>
  <w:style w:type="character" w:styleId="CommentReference">
    <w:name w:val="annotation reference"/>
    <w:basedOn w:val="DefaultParagraphFont"/>
    <w:uiPriority w:val="99"/>
    <w:semiHidden/>
    <w:unhideWhenUsed/>
    <w:rsid w:val="002E5C31"/>
    <w:rPr>
      <w:sz w:val="16"/>
      <w:szCs w:val="16"/>
    </w:rPr>
  </w:style>
  <w:style w:type="paragraph" w:styleId="CommentText">
    <w:name w:val="annotation text"/>
    <w:basedOn w:val="Normal"/>
    <w:link w:val="CommentTextChar"/>
    <w:uiPriority w:val="99"/>
    <w:semiHidden/>
    <w:unhideWhenUsed/>
    <w:rsid w:val="002E5C31"/>
    <w:rPr>
      <w:sz w:val="20"/>
      <w:szCs w:val="20"/>
    </w:rPr>
  </w:style>
  <w:style w:type="character" w:customStyle="1" w:styleId="CommentTextChar">
    <w:name w:val="Comment Text Char"/>
    <w:basedOn w:val="DefaultParagraphFont"/>
    <w:link w:val="CommentText"/>
    <w:uiPriority w:val="99"/>
    <w:semiHidden/>
    <w:rsid w:val="002E5C31"/>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E5C31"/>
    <w:rPr>
      <w:b/>
      <w:bCs/>
    </w:rPr>
  </w:style>
  <w:style w:type="character" w:customStyle="1" w:styleId="CommentSubjectChar">
    <w:name w:val="Comment Subject Char"/>
    <w:basedOn w:val="CommentTextChar"/>
    <w:link w:val="CommentSubject"/>
    <w:uiPriority w:val="99"/>
    <w:semiHidden/>
    <w:rsid w:val="002E5C31"/>
    <w:rPr>
      <w:rFonts w:ascii="Cambria" w:eastAsia="Cambria" w:hAnsi="Cambria" w:cs="Times New Roman"/>
      <w:b/>
      <w:bCs/>
      <w:sz w:val="20"/>
      <w:szCs w:val="20"/>
      <w:lang w:val="en-US"/>
    </w:rPr>
  </w:style>
  <w:style w:type="character" w:styleId="Strong">
    <w:name w:val="Strong"/>
    <w:basedOn w:val="DefaultParagraphFont"/>
    <w:uiPriority w:val="22"/>
    <w:qFormat/>
    <w:rsid w:val="003A3158"/>
    <w:rPr>
      <w:b/>
      <w:bCs/>
    </w:rPr>
  </w:style>
  <w:style w:type="character" w:customStyle="1" w:styleId="apple-converted-space">
    <w:name w:val="apple-converted-space"/>
    <w:basedOn w:val="DefaultParagraphFont"/>
    <w:rsid w:val="003A3158"/>
  </w:style>
  <w:style w:type="character" w:customStyle="1" w:styleId="Heading2Char">
    <w:name w:val="Heading 2 Char"/>
    <w:basedOn w:val="DefaultParagraphFont"/>
    <w:link w:val="Heading2"/>
    <w:uiPriority w:val="9"/>
    <w:rsid w:val="003A3158"/>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3A3158"/>
    <w:pPr>
      <w:spacing w:before="100" w:beforeAutospacing="1" w:after="100" w:afterAutospacing="1"/>
    </w:pPr>
    <w:rPr>
      <w:rFonts w:ascii="Times New Roman" w:eastAsia="Times New Roman" w:hAnsi="Times New Roman"/>
      <w:lang w:eastAsia="en-AU"/>
    </w:rPr>
  </w:style>
  <w:style w:type="paragraph" w:customStyle="1" w:styleId="wp-caption-text">
    <w:name w:val="wp-caption-text"/>
    <w:basedOn w:val="Normal"/>
    <w:rsid w:val="003A3158"/>
    <w:pPr>
      <w:spacing w:before="100" w:beforeAutospacing="1" w:after="100" w:afterAutospacing="1"/>
    </w:pPr>
    <w:rPr>
      <w:rFonts w:ascii="Times New Roman" w:eastAsia="Times New Roman" w:hAnsi="Times New Roman"/>
      <w:lang w:eastAsia="en-AU"/>
    </w:rPr>
  </w:style>
  <w:style w:type="character" w:customStyle="1" w:styleId="Heading3Char">
    <w:name w:val="Heading 3 Char"/>
    <w:basedOn w:val="DefaultParagraphFont"/>
    <w:link w:val="Heading3"/>
    <w:uiPriority w:val="9"/>
    <w:semiHidden/>
    <w:rsid w:val="002976D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2976DA"/>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semiHidden/>
    <w:rsid w:val="002976DA"/>
    <w:rPr>
      <w:rFonts w:asciiTheme="majorHAnsi" w:eastAsiaTheme="majorEastAsia" w:hAnsiTheme="majorHAnsi" w:cstheme="majorBidi"/>
      <w:color w:val="243F60" w:themeColor="accent1" w:themeShade="7F"/>
      <w:sz w:val="24"/>
      <w:szCs w:val="24"/>
      <w:lang w:val="en-US"/>
    </w:rPr>
  </w:style>
  <w:style w:type="paragraph" w:customStyle="1" w:styleId="Default">
    <w:name w:val="Default"/>
    <w:rsid w:val="00F2169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EC28B0"/>
    <w:pPr>
      <w:spacing w:after="0"/>
    </w:pPr>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EC28B0"/>
    <w:rPr>
      <w:rFonts w:ascii="Calibri" w:hAnsi="Calibri" w:cs="Times New Roman"/>
      <w:sz w:val="20"/>
      <w:szCs w:val="20"/>
      <w:lang w:val="en-US"/>
    </w:rPr>
  </w:style>
  <w:style w:type="character" w:styleId="FootnoteReference">
    <w:name w:val="footnote reference"/>
    <w:basedOn w:val="DefaultParagraphFont"/>
    <w:uiPriority w:val="99"/>
    <w:unhideWhenUsed/>
    <w:rsid w:val="00EC28B0"/>
    <w:rPr>
      <w:vertAlign w:val="superscript"/>
    </w:rPr>
  </w:style>
  <w:style w:type="character" w:styleId="Emphasis">
    <w:name w:val="Emphasis"/>
    <w:basedOn w:val="DefaultParagraphFont"/>
    <w:uiPriority w:val="20"/>
    <w:qFormat/>
    <w:rsid w:val="008421BE"/>
    <w:rPr>
      <w:i/>
      <w:iCs/>
    </w:rPr>
  </w:style>
  <w:style w:type="paragraph" w:styleId="Revision">
    <w:name w:val="Revision"/>
    <w:hidden/>
    <w:uiPriority w:val="99"/>
    <w:semiHidden/>
    <w:rsid w:val="001249E8"/>
    <w:pPr>
      <w:spacing w:after="0" w:line="240" w:lineRule="auto"/>
    </w:pPr>
    <w:rPr>
      <w:rFonts w:ascii="Cambria" w:eastAsia="Cambria" w:hAnsi="Cambria" w:cs="Times New Roman"/>
      <w:sz w:val="24"/>
      <w:szCs w:val="24"/>
      <w:lang w:val="en-US"/>
    </w:rPr>
  </w:style>
  <w:style w:type="paragraph" w:customStyle="1" w:styleId="BulletTextstyles">
    <w:name w:val="Bullet (Text styles)"/>
    <w:basedOn w:val="Normal"/>
    <w:uiPriority w:val="99"/>
    <w:rsid w:val="00E21953"/>
    <w:pPr>
      <w:widowControl w:val="0"/>
      <w:numPr>
        <w:numId w:val="6"/>
      </w:numPr>
      <w:suppressAutoHyphens/>
      <w:autoSpaceDE w:val="0"/>
      <w:autoSpaceDN w:val="0"/>
      <w:adjustRightInd w:val="0"/>
      <w:spacing w:after="120" w:line="300" w:lineRule="atLeast"/>
      <w:ind w:left="924" w:hanging="357"/>
      <w:textAlignment w:val="center"/>
    </w:pPr>
    <w:rPr>
      <w:rFonts w:asciiTheme="majorHAnsi" w:eastAsiaTheme="minorEastAsia" w:hAnsiTheme="majorHAnsi" w:cs="MyriadPro-Light"/>
      <w:color w:val="000000"/>
      <w:sz w:val="22"/>
      <w:szCs w:val="22"/>
      <w:lang w:eastAsia="ja-JP"/>
    </w:rPr>
  </w:style>
  <w:style w:type="paragraph" w:customStyle="1" w:styleId="H1">
    <w:name w:val="H1"/>
    <w:basedOn w:val="Normal"/>
    <w:uiPriority w:val="99"/>
    <w:rsid w:val="00E21953"/>
    <w:pPr>
      <w:widowControl w:val="0"/>
      <w:suppressAutoHyphens/>
      <w:autoSpaceDE w:val="0"/>
      <w:autoSpaceDN w:val="0"/>
      <w:adjustRightInd w:val="0"/>
      <w:spacing w:after="283" w:line="288" w:lineRule="auto"/>
      <w:textAlignment w:val="center"/>
    </w:pPr>
    <w:rPr>
      <w:rFonts w:asciiTheme="majorHAnsi" w:eastAsiaTheme="minorEastAsia" w:hAnsiTheme="majorHAnsi" w:cs="MyriadPro-Light"/>
      <w:spacing w:val="-15"/>
      <w:sz w:val="60"/>
      <w:szCs w:val="60"/>
      <w:lang w:eastAsia="ja-JP"/>
    </w:rPr>
  </w:style>
  <w:style w:type="character" w:styleId="FollowedHyperlink">
    <w:name w:val="FollowedHyperlink"/>
    <w:basedOn w:val="DefaultParagraphFont"/>
    <w:uiPriority w:val="99"/>
    <w:semiHidden/>
    <w:unhideWhenUsed/>
    <w:rsid w:val="00134F5E"/>
    <w:rPr>
      <w:color w:val="800080" w:themeColor="followedHyperlink"/>
      <w:u w:val="single"/>
    </w:rPr>
  </w:style>
  <w:style w:type="character" w:customStyle="1" w:styleId="Heading1Char">
    <w:name w:val="Heading 1 Char"/>
    <w:basedOn w:val="DefaultParagraphFont"/>
    <w:link w:val="Heading1"/>
    <w:uiPriority w:val="9"/>
    <w:rsid w:val="00901E39"/>
    <w:rPr>
      <w:rFonts w:asciiTheme="majorHAnsi" w:eastAsiaTheme="majorEastAsia" w:hAnsiTheme="majorHAnsi" w:cstheme="majorBidi"/>
      <w:color w:val="365F91" w:themeColor="accent1" w:themeShade="BF"/>
      <w:sz w:val="32"/>
      <w:szCs w:val="32"/>
      <w:lang w:val="en-US"/>
    </w:rPr>
  </w:style>
  <w:style w:type="character" w:customStyle="1" w:styleId="UnresolvedMention1">
    <w:name w:val="Unresolved Mention1"/>
    <w:basedOn w:val="DefaultParagraphFont"/>
    <w:uiPriority w:val="99"/>
    <w:semiHidden/>
    <w:unhideWhenUsed/>
    <w:rsid w:val="00901E39"/>
    <w:rPr>
      <w:color w:val="808080"/>
      <w:shd w:val="clear" w:color="auto" w:fill="E6E6E6"/>
    </w:rPr>
  </w:style>
  <w:style w:type="character" w:customStyle="1" w:styleId="UnresolvedMention">
    <w:name w:val="Unresolved Mention"/>
    <w:basedOn w:val="DefaultParagraphFont"/>
    <w:uiPriority w:val="99"/>
    <w:semiHidden/>
    <w:unhideWhenUsed/>
    <w:rsid w:val="00CC57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1289">
      <w:bodyDiv w:val="1"/>
      <w:marLeft w:val="0"/>
      <w:marRight w:val="0"/>
      <w:marTop w:val="0"/>
      <w:marBottom w:val="0"/>
      <w:divBdr>
        <w:top w:val="none" w:sz="0" w:space="0" w:color="auto"/>
        <w:left w:val="none" w:sz="0" w:space="0" w:color="auto"/>
        <w:bottom w:val="none" w:sz="0" w:space="0" w:color="auto"/>
        <w:right w:val="none" w:sz="0" w:space="0" w:color="auto"/>
      </w:divBdr>
    </w:div>
    <w:div w:id="285935804">
      <w:bodyDiv w:val="1"/>
      <w:marLeft w:val="0"/>
      <w:marRight w:val="0"/>
      <w:marTop w:val="0"/>
      <w:marBottom w:val="0"/>
      <w:divBdr>
        <w:top w:val="none" w:sz="0" w:space="0" w:color="auto"/>
        <w:left w:val="none" w:sz="0" w:space="0" w:color="auto"/>
        <w:bottom w:val="none" w:sz="0" w:space="0" w:color="auto"/>
        <w:right w:val="none" w:sz="0" w:space="0" w:color="auto"/>
      </w:divBdr>
      <w:divsChild>
        <w:div w:id="1922399471">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290138685">
      <w:bodyDiv w:val="1"/>
      <w:marLeft w:val="0"/>
      <w:marRight w:val="0"/>
      <w:marTop w:val="0"/>
      <w:marBottom w:val="0"/>
      <w:divBdr>
        <w:top w:val="none" w:sz="0" w:space="0" w:color="auto"/>
        <w:left w:val="none" w:sz="0" w:space="0" w:color="auto"/>
        <w:bottom w:val="none" w:sz="0" w:space="0" w:color="auto"/>
        <w:right w:val="none" w:sz="0" w:space="0" w:color="auto"/>
      </w:divBdr>
    </w:div>
    <w:div w:id="528951289">
      <w:bodyDiv w:val="1"/>
      <w:marLeft w:val="0"/>
      <w:marRight w:val="0"/>
      <w:marTop w:val="0"/>
      <w:marBottom w:val="0"/>
      <w:divBdr>
        <w:top w:val="none" w:sz="0" w:space="0" w:color="auto"/>
        <w:left w:val="none" w:sz="0" w:space="0" w:color="auto"/>
        <w:bottom w:val="none" w:sz="0" w:space="0" w:color="auto"/>
        <w:right w:val="none" w:sz="0" w:space="0" w:color="auto"/>
      </w:divBdr>
    </w:div>
    <w:div w:id="678239898">
      <w:bodyDiv w:val="1"/>
      <w:marLeft w:val="0"/>
      <w:marRight w:val="0"/>
      <w:marTop w:val="0"/>
      <w:marBottom w:val="0"/>
      <w:divBdr>
        <w:top w:val="none" w:sz="0" w:space="0" w:color="auto"/>
        <w:left w:val="none" w:sz="0" w:space="0" w:color="auto"/>
        <w:bottom w:val="none" w:sz="0" w:space="0" w:color="auto"/>
        <w:right w:val="none" w:sz="0" w:space="0" w:color="auto"/>
      </w:divBdr>
    </w:div>
    <w:div w:id="798382054">
      <w:bodyDiv w:val="1"/>
      <w:marLeft w:val="0"/>
      <w:marRight w:val="0"/>
      <w:marTop w:val="0"/>
      <w:marBottom w:val="0"/>
      <w:divBdr>
        <w:top w:val="none" w:sz="0" w:space="0" w:color="auto"/>
        <w:left w:val="none" w:sz="0" w:space="0" w:color="auto"/>
        <w:bottom w:val="none" w:sz="0" w:space="0" w:color="auto"/>
        <w:right w:val="none" w:sz="0" w:space="0" w:color="auto"/>
      </w:divBdr>
    </w:div>
    <w:div w:id="1116287371">
      <w:bodyDiv w:val="1"/>
      <w:marLeft w:val="0"/>
      <w:marRight w:val="0"/>
      <w:marTop w:val="0"/>
      <w:marBottom w:val="0"/>
      <w:divBdr>
        <w:top w:val="none" w:sz="0" w:space="0" w:color="auto"/>
        <w:left w:val="none" w:sz="0" w:space="0" w:color="auto"/>
        <w:bottom w:val="none" w:sz="0" w:space="0" w:color="auto"/>
        <w:right w:val="none" w:sz="0" w:space="0" w:color="auto"/>
      </w:divBdr>
    </w:div>
    <w:div w:id="1167669582">
      <w:bodyDiv w:val="1"/>
      <w:marLeft w:val="0"/>
      <w:marRight w:val="0"/>
      <w:marTop w:val="0"/>
      <w:marBottom w:val="0"/>
      <w:divBdr>
        <w:top w:val="none" w:sz="0" w:space="0" w:color="auto"/>
        <w:left w:val="none" w:sz="0" w:space="0" w:color="auto"/>
        <w:bottom w:val="none" w:sz="0" w:space="0" w:color="auto"/>
        <w:right w:val="none" w:sz="0" w:space="0" w:color="auto"/>
      </w:divBdr>
    </w:div>
    <w:div w:id="1220627581">
      <w:bodyDiv w:val="1"/>
      <w:marLeft w:val="0"/>
      <w:marRight w:val="0"/>
      <w:marTop w:val="0"/>
      <w:marBottom w:val="0"/>
      <w:divBdr>
        <w:top w:val="none" w:sz="0" w:space="0" w:color="auto"/>
        <w:left w:val="none" w:sz="0" w:space="0" w:color="auto"/>
        <w:bottom w:val="none" w:sz="0" w:space="0" w:color="auto"/>
        <w:right w:val="none" w:sz="0" w:space="0" w:color="auto"/>
      </w:divBdr>
    </w:div>
    <w:div w:id="1231424709">
      <w:bodyDiv w:val="1"/>
      <w:marLeft w:val="0"/>
      <w:marRight w:val="0"/>
      <w:marTop w:val="0"/>
      <w:marBottom w:val="0"/>
      <w:divBdr>
        <w:top w:val="none" w:sz="0" w:space="0" w:color="auto"/>
        <w:left w:val="none" w:sz="0" w:space="0" w:color="auto"/>
        <w:bottom w:val="none" w:sz="0" w:space="0" w:color="auto"/>
        <w:right w:val="none" w:sz="0" w:space="0" w:color="auto"/>
      </w:divBdr>
      <w:divsChild>
        <w:div w:id="21640613">
          <w:marLeft w:val="0"/>
          <w:marRight w:val="0"/>
          <w:marTop w:val="0"/>
          <w:marBottom w:val="0"/>
          <w:divBdr>
            <w:top w:val="none" w:sz="0" w:space="0" w:color="auto"/>
            <w:left w:val="none" w:sz="0" w:space="0" w:color="auto"/>
            <w:bottom w:val="none" w:sz="0" w:space="0" w:color="auto"/>
            <w:right w:val="none" w:sz="0" w:space="0" w:color="auto"/>
          </w:divBdr>
        </w:div>
        <w:div w:id="533075416">
          <w:marLeft w:val="0"/>
          <w:marRight w:val="0"/>
          <w:marTop w:val="0"/>
          <w:marBottom w:val="0"/>
          <w:divBdr>
            <w:top w:val="none" w:sz="0" w:space="0" w:color="auto"/>
            <w:left w:val="none" w:sz="0" w:space="0" w:color="auto"/>
            <w:bottom w:val="none" w:sz="0" w:space="0" w:color="auto"/>
            <w:right w:val="none" w:sz="0" w:space="0" w:color="auto"/>
          </w:divBdr>
        </w:div>
        <w:div w:id="191772013">
          <w:marLeft w:val="0"/>
          <w:marRight w:val="0"/>
          <w:marTop w:val="0"/>
          <w:marBottom w:val="0"/>
          <w:divBdr>
            <w:top w:val="none" w:sz="0" w:space="0" w:color="auto"/>
            <w:left w:val="none" w:sz="0" w:space="0" w:color="auto"/>
            <w:bottom w:val="none" w:sz="0" w:space="0" w:color="auto"/>
            <w:right w:val="none" w:sz="0" w:space="0" w:color="auto"/>
          </w:divBdr>
        </w:div>
        <w:div w:id="974140820">
          <w:marLeft w:val="0"/>
          <w:marRight w:val="0"/>
          <w:marTop w:val="0"/>
          <w:marBottom w:val="0"/>
          <w:divBdr>
            <w:top w:val="none" w:sz="0" w:space="0" w:color="auto"/>
            <w:left w:val="none" w:sz="0" w:space="0" w:color="auto"/>
            <w:bottom w:val="none" w:sz="0" w:space="0" w:color="auto"/>
            <w:right w:val="none" w:sz="0" w:space="0" w:color="auto"/>
          </w:divBdr>
        </w:div>
        <w:div w:id="1994945467">
          <w:marLeft w:val="0"/>
          <w:marRight w:val="0"/>
          <w:marTop w:val="0"/>
          <w:marBottom w:val="0"/>
          <w:divBdr>
            <w:top w:val="none" w:sz="0" w:space="0" w:color="auto"/>
            <w:left w:val="none" w:sz="0" w:space="0" w:color="auto"/>
            <w:bottom w:val="none" w:sz="0" w:space="0" w:color="auto"/>
            <w:right w:val="none" w:sz="0" w:space="0" w:color="auto"/>
          </w:divBdr>
        </w:div>
        <w:div w:id="53166730">
          <w:marLeft w:val="0"/>
          <w:marRight w:val="0"/>
          <w:marTop w:val="0"/>
          <w:marBottom w:val="0"/>
          <w:divBdr>
            <w:top w:val="none" w:sz="0" w:space="0" w:color="auto"/>
            <w:left w:val="none" w:sz="0" w:space="0" w:color="auto"/>
            <w:bottom w:val="none" w:sz="0" w:space="0" w:color="auto"/>
            <w:right w:val="none" w:sz="0" w:space="0" w:color="auto"/>
          </w:divBdr>
        </w:div>
        <w:div w:id="820193111">
          <w:marLeft w:val="0"/>
          <w:marRight w:val="0"/>
          <w:marTop w:val="0"/>
          <w:marBottom w:val="0"/>
          <w:divBdr>
            <w:top w:val="none" w:sz="0" w:space="0" w:color="auto"/>
            <w:left w:val="none" w:sz="0" w:space="0" w:color="auto"/>
            <w:bottom w:val="none" w:sz="0" w:space="0" w:color="auto"/>
            <w:right w:val="none" w:sz="0" w:space="0" w:color="auto"/>
          </w:divBdr>
        </w:div>
        <w:div w:id="1219173134">
          <w:marLeft w:val="0"/>
          <w:marRight w:val="0"/>
          <w:marTop w:val="0"/>
          <w:marBottom w:val="0"/>
          <w:divBdr>
            <w:top w:val="none" w:sz="0" w:space="0" w:color="auto"/>
            <w:left w:val="none" w:sz="0" w:space="0" w:color="auto"/>
            <w:bottom w:val="none" w:sz="0" w:space="0" w:color="auto"/>
            <w:right w:val="none" w:sz="0" w:space="0" w:color="auto"/>
          </w:divBdr>
        </w:div>
        <w:div w:id="1816682890">
          <w:marLeft w:val="0"/>
          <w:marRight w:val="0"/>
          <w:marTop w:val="0"/>
          <w:marBottom w:val="0"/>
          <w:divBdr>
            <w:top w:val="none" w:sz="0" w:space="0" w:color="auto"/>
            <w:left w:val="none" w:sz="0" w:space="0" w:color="auto"/>
            <w:bottom w:val="none" w:sz="0" w:space="0" w:color="auto"/>
            <w:right w:val="none" w:sz="0" w:space="0" w:color="auto"/>
          </w:divBdr>
        </w:div>
        <w:div w:id="2101292401">
          <w:marLeft w:val="0"/>
          <w:marRight w:val="0"/>
          <w:marTop w:val="0"/>
          <w:marBottom w:val="0"/>
          <w:divBdr>
            <w:top w:val="none" w:sz="0" w:space="0" w:color="auto"/>
            <w:left w:val="none" w:sz="0" w:space="0" w:color="auto"/>
            <w:bottom w:val="none" w:sz="0" w:space="0" w:color="auto"/>
            <w:right w:val="none" w:sz="0" w:space="0" w:color="auto"/>
          </w:divBdr>
        </w:div>
        <w:div w:id="1757824773">
          <w:marLeft w:val="0"/>
          <w:marRight w:val="0"/>
          <w:marTop w:val="0"/>
          <w:marBottom w:val="0"/>
          <w:divBdr>
            <w:top w:val="none" w:sz="0" w:space="0" w:color="auto"/>
            <w:left w:val="none" w:sz="0" w:space="0" w:color="auto"/>
            <w:bottom w:val="none" w:sz="0" w:space="0" w:color="auto"/>
            <w:right w:val="none" w:sz="0" w:space="0" w:color="auto"/>
          </w:divBdr>
        </w:div>
        <w:div w:id="922567458">
          <w:marLeft w:val="0"/>
          <w:marRight w:val="0"/>
          <w:marTop w:val="0"/>
          <w:marBottom w:val="0"/>
          <w:divBdr>
            <w:top w:val="none" w:sz="0" w:space="0" w:color="auto"/>
            <w:left w:val="none" w:sz="0" w:space="0" w:color="auto"/>
            <w:bottom w:val="none" w:sz="0" w:space="0" w:color="auto"/>
            <w:right w:val="none" w:sz="0" w:space="0" w:color="auto"/>
          </w:divBdr>
        </w:div>
        <w:div w:id="417750848">
          <w:marLeft w:val="0"/>
          <w:marRight w:val="0"/>
          <w:marTop w:val="0"/>
          <w:marBottom w:val="0"/>
          <w:divBdr>
            <w:top w:val="none" w:sz="0" w:space="0" w:color="auto"/>
            <w:left w:val="none" w:sz="0" w:space="0" w:color="auto"/>
            <w:bottom w:val="none" w:sz="0" w:space="0" w:color="auto"/>
            <w:right w:val="none" w:sz="0" w:space="0" w:color="auto"/>
          </w:divBdr>
        </w:div>
        <w:div w:id="1225876571">
          <w:marLeft w:val="0"/>
          <w:marRight w:val="0"/>
          <w:marTop w:val="0"/>
          <w:marBottom w:val="0"/>
          <w:divBdr>
            <w:top w:val="none" w:sz="0" w:space="0" w:color="auto"/>
            <w:left w:val="none" w:sz="0" w:space="0" w:color="auto"/>
            <w:bottom w:val="none" w:sz="0" w:space="0" w:color="auto"/>
            <w:right w:val="none" w:sz="0" w:space="0" w:color="auto"/>
          </w:divBdr>
        </w:div>
        <w:div w:id="497694313">
          <w:marLeft w:val="0"/>
          <w:marRight w:val="0"/>
          <w:marTop w:val="0"/>
          <w:marBottom w:val="0"/>
          <w:divBdr>
            <w:top w:val="none" w:sz="0" w:space="0" w:color="auto"/>
            <w:left w:val="none" w:sz="0" w:space="0" w:color="auto"/>
            <w:bottom w:val="none" w:sz="0" w:space="0" w:color="auto"/>
            <w:right w:val="none" w:sz="0" w:space="0" w:color="auto"/>
          </w:divBdr>
        </w:div>
        <w:div w:id="1652056332">
          <w:marLeft w:val="0"/>
          <w:marRight w:val="0"/>
          <w:marTop w:val="0"/>
          <w:marBottom w:val="0"/>
          <w:divBdr>
            <w:top w:val="none" w:sz="0" w:space="0" w:color="auto"/>
            <w:left w:val="none" w:sz="0" w:space="0" w:color="auto"/>
            <w:bottom w:val="none" w:sz="0" w:space="0" w:color="auto"/>
            <w:right w:val="none" w:sz="0" w:space="0" w:color="auto"/>
          </w:divBdr>
        </w:div>
        <w:div w:id="679545582">
          <w:marLeft w:val="0"/>
          <w:marRight w:val="0"/>
          <w:marTop w:val="0"/>
          <w:marBottom w:val="0"/>
          <w:divBdr>
            <w:top w:val="none" w:sz="0" w:space="0" w:color="auto"/>
            <w:left w:val="none" w:sz="0" w:space="0" w:color="auto"/>
            <w:bottom w:val="none" w:sz="0" w:space="0" w:color="auto"/>
            <w:right w:val="none" w:sz="0" w:space="0" w:color="auto"/>
          </w:divBdr>
        </w:div>
        <w:div w:id="1681392382">
          <w:marLeft w:val="0"/>
          <w:marRight w:val="0"/>
          <w:marTop w:val="0"/>
          <w:marBottom w:val="0"/>
          <w:divBdr>
            <w:top w:val="none" w:sz="0" w:space="0" w:color="auto"/>
            <w:left w:val="none" w:sz="0" w:space="0" w:color="auto"/>
            <w:bottom w:val="none" w:sz="0" w:space="0" w:color="auto"/>
            <w:right w:val="none" w:sz="0" w:space="0" w:color="auto"/>
          </w:divBdr>
        </w:div>
        <w:div w:id="1207911714">
          <w:marLeft w:val="0"/>
          <w:marRight w:val="0"/>
          <w:marTop w:val="0"/>
          <w:marBottom w:val="0"/>
          <w:divBdr>
            <w:top w:val="none" w:sz="0" w:space="0" w:color="auto"/>
            <w:left w:val="none" w:sz="0" w:space="0" w:color="auto"/>
            <w:bottom w:val="none" w:sz="0" w:space="0" w:color="auto"/>
            <w:right w:val="none" w:sz="0" w:space="0" w:color="auto"/>
          </w:divBdr>
        </w:div>
        <w:div w:id="1190098678">
          <w:marLeft w:val="0"/>
          <w:marRight w:val="0"/>
          <w:marTop w:val="280"/>
          <w:marBottom w:val="280"/>
          <w:divBdr>
            <w:top w:val="none" w:sz="0" w:space="0" w:color="auto"/>
            <w:left w:val="none" w:sz="0" w:space="0" w:color="auto"/>
            <w:bottom w:val="none" w:sz="0" w:space="0" w:color="auto"/>
            <w:right w:val="none" w:sz="0" w:space="0" w:color="auto"/>
          </w:divBdr>
        </w:div>
        <w:div w:id="1922330522">
          <w:marLeft w:val="720"/>
          <w:marRight w:val="0"/>
          <w:marTop w:val="280"/>
          <w:marBottom w:val="280"/>
          <w:divBdr>
            <w:top w:val="none" w:sz="0" w:space="0" w:color="auto"/>
            <w:left w:val="none" w:sz="0" w:space="0" w:color="auto"/>
            <w:bottom w:val="none" w:sz="0" w:space="0" w:color="auto"/>
            <w:right w:val="none" w:sz="0" w:space="0" w:color="auto"/>
          </w:divBdr>
        </w:div>
        <w:div w:id="550533712">
          <w:marLeft w:val="720"/>
          <w:marRight w:val="0"/>
          <w:marTop w:val="280"/>
          <w:marBottom w:val="280"/>
          <w:divBdr>
            <w:top w:val="none" w:sz="0" w:space="0" w:color="auto"/>
            <w:left w:val="none" w:sz="0" w:space="0" w:color="auto"/>
            <w:bottom w:val="none" w:sz="0" w:space="0" w:color="auto"/>
            <w:right w:val="none" w:sz="0" w:space="0" w:color="auto"/>
          </w:divBdr>
        </w:div>
        <w:div w:id="2005353352">
          <w:marLeft w:val="720"/>
          <w:marRight w:val="0"/>
          <w:marTop w:val="280"/>
          <w:marBottom w:val="280"/>
          <w:divBdr>
            <w:top w:val="none" w:sz="0" w:space="0" w:color="auto"/>
            <w:left w:val="none" w:sz="0" w:space="0" w:color="auto"/>
            <w:bottom w:val="none" w:sz="0" w:space="0" w:color="auto"/>
            <w:right w:val="none" w:sz="0" w:space="0" w:color="auto"/>
          </w:divBdr>
        </w:div>
        <w:div w:id="1658411833">
          <w:marLeft w:val="720"/>
          <w:marRight w:val="0"/>
          <w:marTop w:val="280"/>
          <w:marBottom w:val="280"/>
          <w:divBdr>
            <w:top w:val="none" w:sz="0" w:space="0" w:color="auto"/>
            <w:left w:val="none" w:sz="0" w:space="0" w:color="auto"/>
            <w:bottom w:val="none" w:sz="0" w:space="0" w:color="auto"/>
            <w:right w:val="none" w:sz="0" w:space="0" w:color="auto"/>
          </w:divBdr>
        </w:div>
        <w:div w:id="1008215956">
          <w:marLeft w:val="720"/>
          <w:marRight w:val="0"/>
          <w:marTop w:val="280"/>
          <w:marBottom w:val="280"/>
          <w:divBdr>
            <w:top w:val="none" w:sz="0" w:space="0" w:color="auto"/>
            <w:left w:val="none" w:sz="0" w:space="0" w:color="auto"/>
            <w:bottom w:val="none" w:sz="0" w:space="0" w:color="auto"/>
            <w:right w:val="none" w:sz="0" w:space="0" w:color="auto"/>
          </w:divBdr>
        </w:div>
        <w:div w:id="1719475409">
          <w:marLeft w:val="720"/>
          <w:marRight w:val="0"/>
          <w:marTop w:val="280"/>
          <w:marBottom w:val="280"/>
          <w:divBdr>
            <w:top w:val="none" w:sz="0" w:space="0" w:color="auto"/>
            <w:left w:val="none" w:sz="0" w:space="0" w:color="auto"/>
            <w:bottom w:val="none" w:sz="0" w:space="0" w:color="auto"/>
            <w:right w:val="none" w:sz="0" w:space="0" w:color="auto"/>
          </w:divBdr>
        </w:div>
        <w:div w:id="530611890">
          <w:marLeft w:val="720"/>
          <w:marRight w:val="0"/>
          <w:marTop w:val="280"/>
          <w:marBottom w:val="280"/>
          <w:divBdr>
            <w:top w:val="none" w:sz="0" w:space="0" w:color="auto"/>
            <w:left w:val="none" w:sz="0" w:space="0" w:color="auto"/>
            <w:bottom w:val="none" w:sz="0" w:space="0" w:color="auto"/>
            <w:right w:val="none" w:sz="0" w:space="0" w:color="auto"/>
          </w:divBdr>
        </w:div>
        <w:div w:id="864446096">
          <w:marLeft w:val="720"/>
          <w:marRight w:val="0"/>
          <w:marTop w:val="280"/>
          <w:marBottom w:val="280"/>
          <w:divBdr>
            <w:top w:val="none" w:sz="0" w:space="0" w:color="auto"/>
            <w:left w:val="none" w:sz="0" w:space="0" w:color="auto"/>
            <w:bottom w:val="none" w:sz="0" w:space="0" w:color="auto"/>
            <w:right w:val="none" w:sz="0" w:space="0" w:color="auto"/>
          </w:divBdr>
        </w:div>
        <w:div w:id="1063287846">
          <w:marLeft w:val="720"/>
          <w:marRight w:val="0"/>
          <w:marTop w:val="280"/>
          <w:marBottom w:val="280"/>
          <w:divBdr>
            <w:top w:val="none" w:sz="0" w:space="0" w:color="auto"/>
            <w:left w:val="none" w:sz="0" w:space="0" w:color="auto"/>
            <w:bottom w:val="none" w:sz="0" w:space="0" w:color="auto"/>
            <w:right w:val="none" w:sz="0" w:space="0" w:color="auto"/>
          </w:divBdr>
        </w:div>
        <w:div w:id="1571430003">
          <w:marLeft w:val="720"/>
          <w:marRight w:val="0"/>
          <w:marTop w:val="280"/>
          <w:marBottom w:val="280"/>
          <w:divBdr>
            <w:top w:val="none" w:sz="0" w:space="0" w:color="auto"/>
            <w:left w:val="none" w:sz="0" w:space="0" w:color="auto"/>
            <w:bottom w:val="none" w:sz="0" w:space="0" w:color="auto"/>
            <w:right w:val="none" w:sz="0" w:space="0" w:color="auto"/>
          </w:divBdr>
        </w:div>
        <w:div w:id="621150743">
          <w:marLeft w:val="720"/>
          <w:marRight w:val="0"/>
          <w:marTop w:val="280"/>
          <w:marBottom w:val="280"/>
          <w:divBdr>
            <w:top w:val="none" w:sz="0" w:space="0" w:color="auto"/>
            <w:left w:val="none" w:sz="0" w:space="0" w:color="auto"/>
            <w:bottom w:val="none" w:sz="0" w:space="0" w:color="auto"/>
            <w:right w:val="none" w:sz="0" w:space="0" w:color="auto"/>
          </w:divBdr>
        </w:div>
        <w:div w:id="708798016">
          <w:marLeft w:val="720"/>
          <w:marRight w:val="0"/>
          <w:marTop w:val="280"/>
          <w:marBottom w:val="280"/>
          <w:divBdr>
            <w:top w:val="none" w:sz="0" w:space="0" w:color="auto"/>
            <w:left w:val="none" w:sz="0" w:space="0" w:color="auto"/>
            <w:bottom w:val="none" w:sz="0" w:space="0" w:color="auto"/>
            <w:right w:val="none" w:sz="0" w:space="0" w:color="auto"/>
          </w:divBdr>
        </w:div>
        <w:div w:id="1045987044">
          <w:marLeft w:val="720"/>
          <w:marRight w:val="0"/>
          <w:marTop w:val="280"/>
          <w:marBottom w:val="280"/>
          <w:divBdr>
            <w:top w:val="none" w:sz="0" w:space="0" w:color="auto"/>
            <w:left w:val="none" w:sz="0" w:space="0" w:color="auto"/>
            <w:bottom w:val="none" w:sz="0" w:space="0" w:color="auto"/>
            <w:right w:val="none" w:sz="0" w:space="0" w:color="auto"/>
          </w:divBdr>
        </w:div>
        <w:div w:id="535630095">
          <w:marLeft w:val="720"/>
          <w:marRight w:val="0"/>
          <w:marTop w:val="280"/>
          <w:marBottom w:val="280"/>
          <w:divBdr>
            <w:top w:val="none" w:sz="0" w:space="0" w:color="auto"/>
            <w:left w:val="none" w:sz="0" w:space="0" w:color="auto"/>
            <w:bottom w:val="none" w:sz="0" w:space="0" w:color="auto"/>
            <w:right w:val="none" w:sz="0" w:space="0" w:color="auto"/>
          </w:divBdr>
        </w:div>
        <w:div w:id="2076775846">
          <w:marLeft w:val="720"/>
          <w:marRight w:val="0"/>
          <w:marTop w:val="280"/>
          <w:marBottom w:val="280"/>
          <w:divBdr>
            <w:top w:val="none" w:sz="0" w:space="0" w:color="auto"/>
            <w:left w:val="none" w:sz="0" w:space="0" w:color="auto"/>
            <w:bottom w:val="none" w:sz="0" w:space="0" w:color="auto"/>
            <w:right w:val="none" w:sz="0" w:space="0" w:color="auto"/>
          </w:divBdr>
        </w:div>
        <w:div w:id="470712196">
          <w:marLeft w:val="720"/>
          <w:marRight w:val="0"/>
          <w:marTop w:val="280"/>
          <w:marBottom w:val="280"/>
          <w:divBdr>
            <w:top w:val="none" w:sz="0" w:space="0" w:color="auto"/>
            <w:left w:val="none" w:sz="0" w:space="0" w:color="auto"/>
            <w:bottom w:val="none" w:sz="0" w:space="0" w:color="auto"/>
            <w:right w:val="none" w:sz="0" w:space="0" w:color="auto"/>
          </w:divBdr>
        </w:div>
        <w:div w:id="649479687">
          <w:marLeft w:val="720"/>
          <w:marRight w:val="0"/>
          <w:marTop w:val="280"/>
          <w:marBottom w:val="280"/>
          <w:divBdr>
            <w:top w:val="none" w:sz="0" w:space="0" w:color="auto"/>
            <w:left w:val="none" w:sz="0" w:space="0" w:color="auto"/>
            <w:bottom w:val="none" w:sz="0" w:space="0" w:color="auto"/>
            <w:right w:val="none" w:sz="0" w:space="0" w:color="auto"/>
          </w:divBdr>
        </w:div>
        <w:div w:id="572006897">
          <w:marLeft w:val="720"/>
          <w:marRight w:val="0"/>
          <w:marTop w:val="280"/>
          <w:marBottom w:val="280"/>
          <w:divBdr>
            <w:top w:val="none" w:sz="0" w:space="0" w:color="auto"/>
            <w:left w:val="none" w:sz="0" w:space="0" w:color="auto"/>
            <w:bottom w:val="none" w:sz="0" w:space="0" w:color="auto"/>
            <w:right w:val="none" w:sz="0" w:space="0" w:color="auto"/>
          </w:divBdr>
        </w:div>
        <w:div w:id="992758572">
          <w:marLeft w:val="720"/>
          <w:marRight w:val="0"/>
          <w:marTop w:val="280"/>
          <w:marBottom w:val="280"/>
          <w:divBdr>
            <w:top w:val="none" w:sz="0" w:space="0" w:color="auto"/>
            <w:left w:val="none" w:sz="0" w:space="0" w:color="auto"/>
            <w:bottom w:val="none" w:sz="0" w:space="0" w:color="auto"/>
            <w:right w:val="none" w:sz="0" w:space="0" w:color="auto"/>
          </w:divBdr>
        </w:div>
        <w:div w:id="1828083288">
          <w:marLeft w:val="720"/>
          <w:marRight w:val="0"/>
          <w:marTop w:val="280"/>
          <w:marBottom w:val="280"/>
          <w:divBdr>
            <w:top w:val="none" w:sz="0" w:space="0" w:color="auto"/>
            <w:left w:val="none" w:sz="0" w:space="0" w:color="auto"/>
            <w:bottom w:val="none" w:sz="0" w:space="0" w:color="auto"/>
            <w:right w:val="none" w:sz="0" w:space="0" w:color="auto"/>
          </w:divBdr>
        </w:div>
        <w:div w:id="331110654">
          <w:marLeft w:val="720"/>
          <w:marRight w:val="0"/>
          <w:marTop w:val="280"/>
          <w:marBottom w:val="280"/>
          <w:divBdr>
            <w:top w:val="none" w:sz="0" w:space="0" w:color="auto"/>
            <w:left w:val="none" w:sz="0" w:space="0" w:color="auto"/>
            <w:bottom w:val="none" w:sz="0" w:space="0" w:color="auto"/>
            <w:right w:val="none" w:sz="0" w:space="0" w:color="auto"/>
          </w:divBdr>
        </w:div>
        <w:div w:id="617764482">
          <w:marLeft w:val="720"/>
          <w:marRight w:val="0"/>
          <w:marTop w:val="280"/>
          <w:marBottom w:val="280"/>
          <w:divBdr>
            <w:top w:val="none" w:sz="0" w:space="0" w:color="auto"/>
            <w:left w:val="none" w:sz="0" w:space="0" w:color="auto"/>
            <w:bottom w:val="none" w:sz="0" w:space="0" w:color="auto"/>
            <w:right w:val="none" w:sz="0" w:space="0" w:color="auto"/>
          </w:divBdr>
        </w:div>
        <w:div w:id="1371764940">
          <w:marLeft w:val="720"/>
          <w:marRight w:val="0"/>
          <w:marTop w:val="280"/>
          <w:marBottom w:val="280"/>
          <w:divBdr>
            <w:top w:val="none" w:sz="0" w:space="0" w:color="auto"/>
            <w:left w:val="none" w:sz="0" w:space="0" w:color="auto"/>
            <w:bottom w:val="none" w:sz="0" w:space="0" w:color="auto"/>
            <w:right w:val="none" w:sz="0" w:space="0" w:color="auto"/>
          </w:divBdr>
        </w:div>
        <w:div w:id="1732076574">
          <w:marLeft w:val="720"/>
          <w:marRight w:val="0"/>
          <w:marTop w:val="280"/>
          <w:marBottom w:val="280"/>
          <w:divBdr>
            <w:top w:val="none" w:sz="0" w:space="0" w:color="auto"/>
            <w:left w:val="none" w:sz="0" w:space="0" w:color="auto"/>
            <w:bottom w:val="none" w:sz="0" w:space="0" w:color="auto"/>
            <w:right w:val="none" w:sz="0" w:space="0" w:color="auto"/>
          </w:divBdr>
        </w:div>
        <w:div w:id="2117940279">
          <w:marLeft w:val="720"/>
          <w:marRight w:val="0"/>
          <w:marTop w:val="280"/>
          <w:marBottom w:val="280"/>
          <w:divBdr>
            <w:top w:val="none" w:sz="0" w:space="0" w:color="auto"/>
            <w:left w:val="none" w:sz="0" w:space="0" w:color="auto"/>
            <w:bottom w:val="none" w:sz="0" w:space="0" w:color="auto"/>
            <w:right w:val="none" w:sz="0" w:space="0" w:color="auto"/>
          </w:divBdr>
        </w:div>
        <w:div w:id="1167205181">
          <w:marLeft w:val="720"/>
          <w:marRight w:val="0"/>
          <w:marTop w:val="280"/>
          <w:marBottom w:val="280"/>
          <w:divBdr>
            <w:top w:val="none" w:sz="0" w:space="0" w:color="auto"/>
            <w:left w:val="none" w:sz="0" w:space="0" w:color="auto"/>
            <w:bottom w:val="none" w:sz="0" w:space="0" w:color="auto"/>
            <w:right w:val="none" w:sz="0" w:space="0" w:color="auto"/>
          </w:divBdr>
        </w:div>
        <w:div w:id="1558928003">
          <w:marLeft w:val="720"/>
          <w:marRight w:val="0"/>
          <w:marTop w:val="280"/>
          <w:marBottom w:val="280"/>
          <w:divBdr>
            <w:top w:val="none" w:sz="0" w:space="0" w:color="auto"/>
            <w:left w:val="none" w:sz="0" w:space="0" w:color="auto"/>
            <w:bottom w:val="none" w:sz="0" w:space="0" w:color="auto"/>
            <w:right w:val="none" w:sz="0" w:space="0" w:color="auto"/>
          </w:divBdr>
        </w:div>
        <w:div w:id="139083375">
          <w:marLeft w:val="720"/>
          <w:marRight w:val="0"/>
          <w:marTop w:val="280"/>
          <w:marBottom w:val="280"/>
          <w:divBdr>
            <w:top w:val="none" w:sz="0" w:space="0" w:color="auto"/>
            <w:left w:val="none" w:sz="0" w:space="0" w:color="auto"/>
            <w:bottom w:val="none" w:sz="0" w:space="0" w:color="auto"/>
            <w:right w:val="none" w:sz="0" w:space="0" w:color="auto"/>
          </w:divBdr>
        </w:div>
        <w:div w:id="1346207124">
          <w:marLeft w:val="720"/>
          <w:marRight w:val="0"/>
          <w:marTop w:val="280"/>
          <w:marBottom w:val="280"/>
          <w:divBdr>
            <w:top w:val="none" w:sz="0" w:space="0" w:color="auto"/>
            <w:left w:val="none" w:sz="0" w:space="0" w:color="auto"/>
            <w:bottom w:val="none" w:sz="0" w:space="0" w:color="auto"/>
            <w:right w:val="none" w:sz="0" w:space="0" w:color="auto"/>
          </w:divBdr>
        </w:div>
        <w:div w:id="1366101414">
          <w:marLeft w:val="720"/>
          <w:marRight w:val="0"/>
          <w:marTop w:val="280"/>
          <w:marBottom w:val="280"/>
          <w:divBdr>
            <w:top w:val="none" w:sz="0" w:space="0" w:color="auto"/>
            <w:left w:val="none" w:sz="0" w:space="0" w:color="auto"/>
            <w:bottom w:val="none" w:sz="0" w:space="0" w:color="auto"/>
            <w:right w:val="none" w:sz="0" w:space="0" w:color="auto"/>
          </w:divBdr>
        </w:div>
        <w:div w:id="524099642">
          <w:marLeft w:val="720"/>
          <w:marRight w:val="0"/>
          <w:marTop w:val="280"/>
          <w:marBottom w:val="280"/>
          <w:divBdr>
            <w:top w:val="none" w:sz="0" w:space="0" w:color="auto"/>
            <w:left w:val="none" w:sz="0" w:space="0" w:color="auto"/>
            <w:bottom w:val="none" w:sz="0" w:space="0" w:color="auto"/>
            <w:right w:val="none" w:sz="0" w:space="0" w:color="auto"/>
          </w:divBdr>
        </w:div>
        <w:div w:id="1729066772">
          <w:marLeft w:val="720"/>
          <w:marRight w:val="0"/>
          <w:marTop w:val="280"/>
          <w:marBottom w:val="280"/>
          <w:divBdr>
            <w:top w:val="none" w:sz="0" w:space="0" w:color="auto"/>
            <w:left w:val="none" w:sz="0" w:space="0" w:color="auto"/>
            <w:bottom w:val="none" w:sz="0" w:space="0" w:color="auto"/>
            <w:right w:val="none" w:sz="0" w:space="0" w:color="auto"/>
          </w:divBdr>
        </w:div>
        <w:div w:id="2008706681">
          <w:marLeft w:val="720"/>
          <w:marRight w:val="0"/>
          <w:marTop w:val="280"/>
          <w:marBottom w:val="280"/>
          <w:divBdr>
            <w:top w:val="none" w:sz="0" w:space="0" w:color="auto"/>
            <w:left w:val="none" w:sz="0" w:space="0" w:color="auto"/>
            <w:bottom w:val="none" w:sz="0" w:space="0" w:color="auto"/>
            <w:right w:val="none" w:sz="0" w:space="0" w:color="auto"/>
          </w:divBdr>
        </w:div>
        <w:div w:id="944114914">
          <w:marLeft w:val="720"/>
          <w:marRight w:val="0"/>
          <w:marTop w:val="280"/>
          <w:marBottom w:val="280"/>
          <w:divBdr>
            <w:top w:val="none" w:sz="0" w:space="0" w:color="auto"/>
            <w:left w:val="none" w:sz="0" w:space="0" w:color="auto"/>
            <w:bottom w:val="none" w:sz="0" w:space="0" w:color="auto"/>
            <w:right w:val="none" w:sz="0" w:space="0" w:color="auto"/>
          </w:divBdr>
        </w:div>
      </w:divsChild>
    </w:div>
    <w:div w:id="1282108723">
      <w:bodyDiv w:val="1"/>
      <w:marLeft w:val="0"/>
      <w:marRight w:val="0"/>
      <w:marTop w:val="0"/>
      <w:marBottom w:val="0"/>
      <w:divBdr>
        <w:top w:val="none" w:sz="0" w:space="0" w:color="auto"/>
        <w:left w:val="none" w:sz="0" w:space="0" w:color="auto"/>
        <w:bottom w:val="none" w:sz="0" w:space="0" w:color="auto"/>
        <w:right w:val="none" w:sz="0" w:space="0" w:color="auto"/>
      </w:divBdr>
    </w:div>
    <w:div w:id="1282540409">
      <w:bodyDiv w:val="1"/>
      <w:marLeft w:val="0"/>
      <w:marRight w:val="0"/>
      <w:marTop w:val="0"/>
      <w:marBottom w:val="0"/>
      <w:divBdr>
        <w:top w:val="none" w:sz="0" w:space="0" w:color="auto"/>
        <w:left w:val="none" w:sz="0" w:space="0" w:color="auto"/>
        <w:bottom w:val="none" w:sz="0" w:space="0" w:color="auto"/>
        <w:right w:val="none" w:sz="0" w:space="0" w:color="auto"/>
      </w:divBdr>
    </w:div>
    <w:div w:id="1462461342">
      <w:bodyDiv w:val="1"/>
      <w:marLeft w:val="0"/>
      <w:marRight w:val="0"/>
      <w:marTop w:val="0"/>
      <w:marBottom w:val="0"/>
      <w:divBdr>
        <w:top w:val="none" w:sz="0" w:space="0" w:color="auto"/>
        <w:left w:val="none" w:sz="0" w:space="0" w:color="auto"/>
        <w:bottom w:val="none" w:sz="0" w:space="0" w:color="auto"/>
        <w:right w:val="none" w:sz="0" w:space="0" w:color="auto"/>
      </w:divBdr>
    </w:div>
    <w:div w:id="1494952084">
      <w:bodyDiv w:val="1"/>
      <w:marLeft w:val="0"/>
      <w:marRight w:val="0"/>
      <w:marTop w:val="0"/>
      <w:marBottom w:val="0"/>
      <w:divBdr>
        <w:top w:val="none" w:sz="0" w:space="0" w:color="auto"/>
        <w:left w:val="none" w:sz="0" w:space="0" w:color="auto"/>
        <w:bottom w:val="none" w:sz="0" w:space="0" w:color="auto"/>
        <w:right w:val="none" w:sz="0" w:space="0" w:color="auto"/>
      </w:divBdr>
    </w:div>
    <w:div w:id="1517884938">
      <w:bodyDiv w:val="1"/>
      <w:marLeft w:val="0"/>
      <w:marRight w:val="0"/>
      <w:marTop w:val="0"/>
      <w:marBottom w:val="0"/>
      <w:divBdr>
        <w:top w:val="none" w:sz="0" w:space="0" w:color="auto"/>
        <w:left w:val="none" w:sz="0" w:space="0" w:color="auto"/>
        <w:bottom w:val="none" w:sz="0" w:space="0" w:color="auto"/>
        <w:right w:val="none" w:sz="0" w:space="0" w:color="auto"/>
      </w:divBdr>
    </w:div>
    <w:div w:id="18479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bccm.coop/wp/wp-content/uploads/2016/11/BCCM-NME-Report-2016.pdf" TargetMode="External"/><Relationship Id="rId2" Type="http://schemas.openxmlformats.org/officeDocument/2006/relationships/hyperlink" Target="http://www.aph.gov.au/Parliamentary_Business/Committees/Senate/Economics/Cooperatives/Report" TargetMode="External"/><Relationship Id="rId1" Type="http://schemas.openxmlformats.org/officeDocument/2006/relationships/hyperlink" Target="http://www.aph.gov.au/Parliamentary_Business/Committees/Senate/Economics/Cooperatives/Report/c03" TargetMode="External"/><Relationship Id="rId4" Type="http://schemas.openxmlformats.org/officeDocument/2006/relationships/hyperlink" Target="http://bccm.coop/our-memb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2017MG-100-31706</_dlc_DocId>
    <TaxCatchAll xmlns="d4dd4adf-ddb3-46a3-8d7c-fab3fb2a6bc7">
      <Value>2</Value>
    </TaxCatchAll>
    <_dlc_DocIdUrl xmlns="d4dd4adf-ddb3-46a3-8d7c-fab3fb2a6bc7">
      <Url>http://tweb13/sites/mg/fsd/_layouts/15/DocIdRedir.aspx?ID=2017MG-100-31706</Url>
      <Description>2017MG-100-31706</Description>
    </_dlc_DocIdUrl>
    <IconOverlay xmlns="http://schemas.microsoft.com/sharepoint/v4" xsi:nil="true"/>
    <URL xmlns="73145ffa-26c3-4f49-8968-9a615fc305ab">
      <Url xsi:nil="true"/>
      <Description xsi:nil="true"/>
    </URL>
    <Web xmlns="73145ffa-26c3-4f49-8968-9a615fc305ab">
      <Url xsi:nil="true"/>
      <Description xsi:nil="true"/>
    </Web>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14F2EA74E46AF4AB3D11AA23F0DACD2" ma:contentTypeVersion="4844" ma:contentTypeDescription=" " ma:contentTypeScope="" ma:versionID="e67ca588b73231dcfd90dd9f71045680">
  <xsd:schema xmlns:xsd="http://www.w3.org/2001/XMLSchema" xmlns:xs="http://www.w3.org/2001/XMLSchema" xmlns:p="http://schemas.microsoft.com/office/2006/metadata/properties" xmlns:ns1="http://schemas.microsoft.com/sharepoint/v3" xmlns:ns2="d4dd4adf-ddb3-46a3-8d7c-fab3fb2a6bc7" xmlns:ns3="73145ffa-26c3-4f49-8968-9a615fc305ab" xmlns:ns4="http://schemas.microsoft.com/sharepoint/v4" targetNamespace="http://schemas.microsoft.com/office/2006/metadata/properties" ma:root="true" ma:fieldsID="ed0affb95875f4b3ef5751baf3724ef4" ns1:_="" ns2:_="" ns3:_="" ns4:_="">
    <xsd:import namespace="http://schemas.microsoft.com/sharepoint/v3"/>
    <xsd:import namespace="d4dd4adf-ddb3-46a3-8d7c-fab3fb2a6bc7"/>
    <xsd:import namespace="73145ffa-26c3-4f49-8968-9a615fc305a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3:URL" minOccurs="0"/>
                <xsd:element ref="ns3:We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145ffa-26c3-4f49-8968-9a615fc305ab" elementFormDefault="qualified">
    <xsd:import namespace="http://schemas.microsoft.com/office/2006/documentManagement/types"/>
    <xsd:import namespace="http://schemas.microsoft.com/office/infopath/2007/PartnerControls"/>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Web" ma:index="18" nillable="true" ma:displayName="Web" ma:format="Hyperlink" ma:internalName="Web">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1762D-8FAA-4572-A20E-2A51476725CF}">
  <ds:schemaRefs>
    <ds:schemaRef ds:uri="office.server.policy"/>
  </ds:schemaRefs>
</ds:datastoreItem>
</file>

<file path=customXml/itemProps2.xml><?xml version="1.0" encoding="utf-8"?>
<ds:datastoreItem xmlns:ds="http://schemas.openxmlformats.org/officeDocument/2006/customXml" ds:itemID="{264E2B06-5997-4802-B30F-20FC2ECD11AC}">
  <ds:schemaRefs>
    <ds:schemaRef ds:uri="http://schemas.microsoft.com/sharepoint/events"/>
  </ds:schemaRefs>
</ds:datastoreItem>
</file>

<file path=customXml/itemProps3.xml><?xml version="1.0" encoding="utf-8"?>
<ds:datastoreItem xmlns:ds="http://schemas.openxmlformats.org/officeDocument/2006/customXml" ds:itemID="{9882691C-D74D-4B96-93C3-3B1394C4B929}">
  <ds:schemaRefs>
    <ds:schemaRef ds:uri="http://schemas.microsoft.com/sharepoint/events"/>
  </ds:schemaRefs>
</ds:datastoreItem>
</file>

<file path=customXml/itemProps4.xml><?xml version="1.0" encoding="utf-8"?>
<ds:datastoreItem xmlns:ds="http://schemas.openxmlformats.org/officeDocument/2006/customXml" ds:itemID="{AD3E364B-C474-44DA-8B95-12CE4C31DDA4}">
  <ds:schemaRefs>
    <ds:schemaRef ds:uri="http://schemas.microsoft.com/office/2006/metadata/properties"/>
    <ds:schemaRef ds:uri="http://schemas.microsoft.com/office/infopath/2007/PartnerControls"/>
    <ds:schemaRef ds:uri="d4dd4adf-ddb3-46a3-8d7c-fab3fb2a6bc7"/>
    <ds:schemaRef ds:uri="http://schemas.microsoft.com/sharepoint/v4"/>
    <ds:schemaRef ds:uri="73145ffa-26c3-4f49-8968-9a615fc305ab"/>
  </ds:schemaRefs>
</ds:datastoreItem>
</file>

<file path=customXml/itemProps5.xml><?xml version="1.0" encoding="utf-8"?>
<ds:datastoreItem xmlns:ds="http://schemas.openxmlformats.org/officeDocument/2006/customXml" ds:itemID="{2FFB573D-0D36-4F06-A9C9-1839A6C2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73145ffa-26c3-4f49-8968-9a615fc305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890C4B-4512-45CB-95FC-222486B4D003}">
  <ds:schemaRefs>
    <ds:schemaRef ds:uri="http://schemas.microsoft.com/sharepoint/v3/contenttype/forms"/>
  </ds:schemaRefs>
</ds:datastoreItem>
</file>

<file path=customXml/itemProps7.xml><?xml version="1.0" encoding="utf-8"?>
<ds:datastoreItem xmlns:ds="http://schemas.openxmlformats.org/officeDocument/2006/customXml" ds:itemID="{5FFED0A7-D1F8-47A8-977A-76EC9046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1522</Words>
  <Characters>8606</Characters>
  <Application>Microsoft Office Word</Application>
  <DocSecurity>0</DocSecurity>
  <Lines>192</Lines>
  <Paragraphs>73</Paragraphs>
  <ScaleCrop>false</ScaleCrop>
  <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Council of Cooperatives and Mutuals - Submission in response to the Banking Executive Accountability Regime</dc:title>
  <dc:creator/>
  <cp:lastModifiedBy/>
  <cp:revision>1</cp:revision>
  <dcterms:created xsi:type="dcterms:W3CDTF">2017-08-20T23:38:00Z</dcterms:created>
  <dcterms:modified xsi:type="dcterms:W3CDTF">2017-08-20T23:38:00Z</dcterms:modified>
  <dc:language>English</dc:language>
</cp:coreProperties>
</file>