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E1011" w14:textId="77777777" w:rsidR="0056559F" w:rsidRPr="006D0240" w:rsidRDefault="0056559F" w:rsidP="0056559F">
      <w:pPr>
        <w:pStyle w:val="CoverTitleSub"/>
        <w:rPr>
          <w:rFonts w:cs="Calibri"/>
          <w:color w:val="auto"/>
          <w:szCs w:val="36"/>
        </w:rPr>
      </w:pPr>
      <w:r>
        <w:rPr>
          <w:rFonts w:cs="Calibri"/>
          <w:noProof/>
          <w:color w:val="auto"/>
          <w:szCs w:val="36"/>
        </w:rPr>
        <w:drawing>
          <wp:inline distT="0" distB="0" distL="0" distR="0" wp14:anchorId="14ED28D2" wp14:editId="6943CD77">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31EB5230" w14:textId="77777777" w:rsidR="0056559F" w:rsidRPr="0090524A" w:rsidRDefault="007C53C0" w:rsidP="0056559F">
      <w:pPr>
        <w:pStyle w:val="CoverTitleMain"/>
        <w:shd w:val="clear" w:color="auto" w:fill="FFFFFF" w:themeFill="background1"/>
        <w:spacing w:before="2760" w:after="240"/>
        <w:rPr>
          <w:rFonts w:ascii="Garamond" w:hAnsi="Garamond"/>
        </w:rPr>
      </w:pPr>
      <w:r>
        <w:rPr>
          <w:rFonts w:ascii="Garamond" w:hAnsi="Garamond"/>
        </w:rPr>
        <w:t>Tax Deductible Gift Recipi</w:t>
      </w:r>
      <w:bookmarkStart w:id="0" w:name="_GoBack"/>
      <w:bookmarkEnd w:id="0"/>
      <w:r>
        <w:rPr>
          <w:rFonts w:ascii="Garamond" w:hAnsi="Garamond"/>
        </w:rPr>
        <w:t xml:space="preserve">ent </w:t>
      </w:r>
      <w:r>
        <w:rPr>
          <w:rFonts w:ascii="Garamond" w:hAnsi="Garamond"/>
        </w:rPr>
        <w:br/>
        <w:t xml:space="preserve">Reform Opportunities </w:t>
      </w:r>
    </w:p>
    <w:p w14:paraId="2BBCD893" w14:textId="1579AEA7" w:rsidR="0056559F" w:rsidRPr="0090524A" w:rsidRDefault="0056559F" w:rsidP="0056559F">
      <w:pPr>
        <w:pStyle w:val="CoverTitleSub"/>
        <w:pBdr>
          <w:top w:val="single" w:sz="24" w:space="4" w:color="342E82"/>
        </w:pBdr>
        <w:spacing w:before="480"/>
        <w:rPr>
          <w:rFonts w:ascii="Garamond" w:hAnsi="Garamond"/>
        </w:rPr>
      </w:pPr>
      <w:r w:rsidRPr="0090524A">
        <w:rPr>
          <w:rFonts w:ascii="Garamond" w:hAnsi="Garamond"/>
        </w:rPr>
        <w:t>Discussion Paper</w:t>
      </w:r>
      <w:r w:rsidRPr="0090524A">
        <w:rPr>
          <w:rFonts w:ascii="Garamond" w:hAnsi="Garamond"/>
        </w:rPr>
        <w:br/>
      </w:r>
      <w:r w:rsidR="00BF2611">
        <w:rPr>
          <w:rFonts w:ascii="Garamond" w:hAnsi="Garamond"/>
          <w:szCs w:val="28"/>
        </w:rPr>
        <w:t>15</w:t>
      </w:r>
      <w:r w:rsidR="00391C04">
        <w:rPr>
          <w:rFonts w:ascii="Garamond" w:hAnsi="Garamond"/>
          <w:szCs w:val="28"/>
        </w:rPr>
        <w:t xml:space="preserve"> June 2017</w:t>
      </w:r>
    </w:p>
    <w:p w14:paraId="06CD50C7" w14:textId="77777777" w:rsidR="0056559F" w:rsidRDefault="0056559F"/>
    <w:p w14:paraId="0DA09FD0" w14:textId="77777777" w:rsidR="0056559F" w:rsidRDefault="0056559F"/>
    <w:tbl>
      <w:tblPr>
        <w:tblW w:w="4885" w:type="pct"/>
        <w:tblInd w:w="108" w:type="dxa"/>
        <w:shd w:val="clear" w:color="auto" w:fill="E6E6E6"/>
        <w:tblLook w:val="01E0" w:firstRow="1" w:lastRow="1" w:firstColumn="1" w:lastColumn="1" w:noHBand="0" w:noVBand="0"/>
      </w:tblPr>
      <w:tblGrid>
        <w:gridCol w:w="9072"/>
      </w:tblGrid>
      <w:tr w:rsidR="000A7BCF" w14:paraId="76A30B9E" w14:textId="77777777" w:rsidTr="00447234">
        <w:tc>
          <w:tcPr>
            <w:tcW w:w="5000" w:type="pct"/>
            <w:shd w:val="clear" w:color="auto" w:fill="E6E6E6"/>
          </w:tcPr>
          <w:p w14:paraId="661FA6E8" w14:textId="77777777" w:rsidR="000A7BCF" w:rsidRDefault="00352FCF">
            <w:pPr>
              <w:pStyle w:val="NotesHeading"/>
            </w:pPr>
            <w:r>
              <w:t>Notes to participants</w:t>
            </w:r>
          </w:p>
          <w:p w14:paraId="675302E5" w14:textId="545F3843" w:rsidR="000A7BCF" w:rsidRPr="008950C5" w:rsidRDefault="00AC243E" w:rsidP="00391C04">
            <w:pPr>
              <w:pStyle w:val="Disclaimer"/>
            </w:pPr>
            <w:r>
              <w:t xml:space="preserve">This paper is for consultation purposes only. Comments </w:t>
            </w:r>
            <w:r w:rsidRPr="00391C04">
              <w:t xml:space="preserve">are due by </w:t>
            </w:r>
            <w:r w:rsidR="00391C04" w:rsidRPr="00391C04">
              <w:t>14</w:t>
            </w:r>
            <w:r w:rsidR="00E23C59" w:rsidRPr="00391C04">
              <w:t xml:space="preserve"> </w:t>
            </w:r>
            <w:r w:rsidR="00391C04" w:rsidRPr="00391C04">
              <w:t>July 2017</w:t>
            </w:r>
            <w:r w:rsidR="000D3403" w:rsidRPr="00391C04">
              <w:t>.</w:t>
            </w:r>
          </w:p>
        </w:tc>
      </w:tr>
    </w:tbl>
    <w:p w14:paraId="680192F9" w14:textId="77777777" w:rsidR="000A7BCF" w:rsidRDefault="000A7BCF"/>
    <w:p w14:paraId="1F704DED" w14:textId="77777777" w:rsidR="0056559F" w:rsidRDefault="0056559F"/>
    <w:p w14:paraId="326A2D0E" w14:textId="77777777" w:rsidR="000A7BCF" w:rsidRDefault="000A7BCF">
      <w:pPr>
        <w:sectPr w:rsidR="000A7BCF" w:rsidSect="00927676">
          <w:headerReference w:type="even" r:id="rId9"/>
          <w:footerReference w:type="even" r:id="rId10"/>
          <w:footerReference w:type="default" r:id="rId11"/>
          <w:footerReference w:type="first" r:id="rId12"/>
          <w:pgSz w:w="11906" w:h="16838" w:code="9"/>
          <w:pgMar w:top="1418" w:right="1418" w:bottom="1418" w:left="1418" w:header="709" w:footer="709" w:gutter="0"/>
          <w:pgNumType w:fmt="lowerRoman"/>
          <w:cols w:space="708"/>
          <w:titlePg/>
          <w:docGrid w:linePitch="360"/>
        </w:sectPr>
      </w:pPr>
    </w:p>
    <w:p w14:paraId="2E4F2F27" w14:textId="77777777" w:rsidR="00813AC3" w:rsidRDefault="00813AC3" w:rsidP="00813AC3"/>
    <w:p w14:paraId="2ED0C66F" w14:textId="77777777" w:rsidR="0056559F" w:rsidRDefault="0056559F" w:rsidP="00813AC3">
      <w:pPr>
        <w:pStyle w:val="ContentsHeading"/>
      </w:pPr>
      <w:r>
        <w:t>Contents</w:t>
      </w:r>
    </w:p>
    <w:p w14:paraId="769816F6" w14:textId="77777777" w:rsidR="00995F0E" w:rsidRPr="00995F0E" w:rsidRDefault="0056559F">
      <w:pPr>
        <w:pStyle w:val="TOC2"/>
        <w:rPr>
          <w:rFonts w:asciiTheme="minorHAnsi" w:eastAsiaTheme="minorEastAsia" w:hAnsiTheme="minorHAnsi" w:cstheme="minorBidi"/>
          <w:noProof/>
          <w:szCs w:val="22"/>
        </w:rPr>
      </w:pPr>
      <w:r w:rsidRPr="00995F0E">
        <w:fldChar w:fldCharType="begin"/>
      </w:r>
      <w:r w:rsidRPr="00995F0E">
        <w:instrText xml:space="preserve"> TOC \o "1-3" \h \z \u </w:instrText>
      </w:r>
      <w:r w:rsidRPr="00995F0E">
        <w:fldChar w:fldCharType="separate"/>
      </w:r>
      <w:hyperlink w:anchor="_Toc475351601" w:history="1">
        <w:r w:rsidR="00995F0E" w:rsidRPr="00995F0E">
          <w:rPr>
            <w:rStyle w:val="Hyperlink"/>
            <w:noProof/>
            <w:color w:val="1F497D" w:themeColor="text2"/>
            <w:szCs w:val="22"/>
          </w:rPr>
          <w:t>Consultation Process</w:t>
        </w:r>
        <w:r w:rsidR="00995F0E" w:rsidRPr="00995F0E">
          <w:rPr>
            <w:noProof/>
            <w:webHidden/>
            <w:szCs w:val="22"/>
          </w:rPr>
          <w:tab/>
        </w:r>
        <w:r w:rsidR="00995F0E" w:rsidRPr="00995F0E">
          <w:rPr>
            <w:noProof/>
            <w:webHidden/>
            <w:szCs w:val="22"/>
          </w:rPr>
          <w:fldChar w:fldCharType="begin"/>
        </w:r>
        <w:r w:rsidR="00995F0E" w:rsidRPr="00995F0E">
          <w:rPr>
            <w:noProof/>
            <w:webHidden/>
            <w:szCs w:val="22"/>
          </w:rPr>
          <w:instrText xml:space="preserve"> PAGEREF _Toc475351601 \h </w:instrText>
        </w:r>
        <w:r w:rsidR="00995F0E" w:rsidRPr="00995F0E">
          <w:rPr>
            <w:noProof/>
            <w:webHidden/>
            <w:szCs w:val="22"/>
          </w:rPr>
        </w:r>
        <w:r w:rsidR="00995F0E" w:rsidRPr="00995F0E">
          <w:rPr>
            <w:noProof/>
            <w:webHidden/>
            <w:szCs w:val="22"/>
          </w:rPr>
          <w:fldChar w:fldCharType="separate"/>
        </w:r>
        <w:r w:rsidR="005124B3">
          <w:rPr>
            <w:noProof/>
            <w:webHidden/>
            <w:szCs w:val="22"/>
          </w:rPr>
          <w:t>iii</w:t>
        </w:r>
        <w:r w:rsidR="00995F0E" w:rsidRPr="00995F0E">
          <w:rPr>
            <w:noProof/>
            <w:webHidden/>
            <w:szCs w:val="22"/>
          </w:rPr>
          <w:fldChar w:fldCharType="end"/>
        </w:r>
      </w:hyperlink>
    </w:p>
    <w:p w14:paraId="43B5CEAF" w14:textId="77777777" w:rsidR="00995F0E" w:rsidRPr="00995F0E" w:rsidRDefault="00A303AF">
      <w:pPr>
        <w:pStyle w:val="TOC3"/>
        <w:rPr>
          <w:rFonts w:asciiTheme="minorHAnsi" w:eastAsiaTheme="minorEastAsia" w:hAnsiTheme="minorHAnsi" w:cstheme="minorBidi"/>
          <w:noProof/>
          <w:color w:val="1F497D" w:themeColor="text2"/>
          <w:szCs w:val="22"/>
        </w:rPr>
      </w:pPr>
      <w:hyperlink w:anchor="_Toc475351602" w:history="1">
        <w:r w:rsidR="00995F0E" w:rsidRPr="00995F0E">
          <w:rPr>
            <w:rStyle w:val="Hyperlink"/>
            <w:noProof/>
            <w:color w:val="1F497D" w:themeColor="text2"/>
            <w:szCs w:val="22"/>
          </w:rPr>
          <w:t>Request for feedback and comments</w:t>
        </w:r>
        <w:r w:rsidR="00995F0E" w:rsidRPr="00995F0E">
          <w:rPr>
            <w:noProof/>
            <w:webHidden/>
            <w:color w:val="1F497D" w:themeColor="text2"/>
            <w:szCs w:val="22"/>
          </w:rPr>
          <w:tab/>
        </w:r>
        <w:r w:rsidR="00995F0E" w:rsidRPr="00995F0E">
          <w:rPr>
            <w:noProof/>
            <w:webHidden/>
            <w:color w:val="1F497D" w:themeColor="text2"/>
            <w:szCs w:val="22"/>
          </w:rPr>
          <w:fldChar w:fldCharType="begin"/>
        </w:r>
        <w:r w:rsidR="00995F0E" w:rsidRPr="00995F0E">
          <w:rPr>
            <w:noProof/>
            <w:webHidden/>
            <w:color w:val="1F497D" w:themeColor="text2"/>
            <w:szCs w:val="22"/>
          </w:rPr>
          <w:instrText xml:space="preserve"> PAGEREF _Toc475351602 \h </w:instrText>
        </w:r>
        <w:r w:rsidR="00995F0E" w:rsidRPr="00995F0E">
          <w:rPr>
            <w:noProof/>
            <w:webHidden/>
            <w:color w:val="1F497D" w:themeColor="text2"/>
            <w:szCs w:val="22"/>
          </w:rPr>
        </w:r>
        <w:r w:rsidR="00995F0E" w:rsidRPr="00995F0E">
          <w:rPr>
            <w:noProof/>
            <w:webHidden/>
            <w:color w:val="1F497D" w:themeColor="text2"/>
            <w:szCs w:val="22"/>
          </w:rPr>
          <w:fldChar w:fldCharType="separate"/>
        </w:r>
        <w:r w:rsidR="005124B3">
          <w:rPr>
            <w:noProof/>
            <w:webHidden/>
            <w:color w:val="1F497D" w:themeColor="text2"/>
            <w:szCs w:val="22"/>
          </w:rPr>
          <w:t>iii</w:t>
        </w:r>
        <w:r w:rsidR="00995F0E" w:rsidRPr="00995F0E">
          <w:rPr>
            <w:noProof/>
            <w:webHidden/>
            <w:color w:val="1F497D" w:themeColor="text2"/>
            <w:szCs w:val="22"/>
          </w:rPr>
          <w:fldChar w:fldCharType="end"/>
        </w:r>
      </w:hyperlink>
    </w:p>
    <w:p w14:paraId="30C6D808" w14:textId="77777777" w:rsidR="00995F0E" w:rsidRPr="00995F0E" w:rsidRDefault="00A303AF">
      <w:pPr>
        <w:pStyle w:val="TOC1"/>
        <w:rPr>
          <w:rFonts w:asciiTheme="minorHAnsi" w:eastAsiaTheme="minorEastAsia" w:hAnsiTheme="minorHAnsi" w:cstheme="minorBidi"/>
          <w:b w:val="0"/>
          <w:noProof/>
          <w:sz w:val="22"/>
        </w:rPr>
      </w:pPr>
      <w:hyperlink w:anchor="_Toc475351603" w:history="1">
        <w:r w:rsidR="00995F0E" w:rsidRPr="00995F0E">
          <w:rPr>
            <w:rStyle w:val="Hyperlink"/>
            <w:b w:val="0"/>
            <w:noProof/>
            <w:color w:val="1F497D" w:themeColor="text2"/>
            <w:sz w:val="22"/>
          </w:rPr>
          <w:t>Tax Deductible Gift Recipient Reform Opportunities</w:t>
        </w:r>
        <w:r w:rsidR="00995F0E" w:rsidRPr="00995F0E">
          <w:rPr>
            <w:b w:val="0"/>
            <w:noProof/>
            <w:webHidden/>
            <w:sz w:val="22"/>
          </w:rPr>
          <w:tab/>
        </w:r>
        <w:r w:rsidR="00995F0E" w:rsidRPr="00995F0E">
          <w:rPr>
            <w:b w:val="0"/>
            <w:noProof/>
            <w:webHidden/>
            <w:sz w:val="22"/>
          </w:rPr>
          <w:fldChar w:fldCharType="begin"/>
        </w:r>
        <w:r w:rsidR="00995F0E" w:rsidRPr="00995F0E">
          <w:rPr>
            <w:b w:val="0"/>
            <w:noProof/>
            <w:webHidden/>
            <w:sz w:val="22"/>
          </w:rPr>
          <w:instrText xml:space="preserve"> PAGEREF _Toc475351603 \h </w:instrText>
        </w:r>
        <w:r w:rsidR="00995F0E" w:rsidRPr="00995F0E">
          <w:rPr>
            <w:b w:val="0"/>
            <w:noProof/>
            <w:webHidden/>
            <w:sz w:val="22"/>
          </w:rPr>
        </w:r>
        <w:r w:rsidR="00995F0E" w:rsidRPr="00995F0E">
          <w:rPr>
            <w:b w:val="0"/>
            <w:noProof/>
            <w:webHidden/>
            <w:sz w:val="22"/>
          </w:rPr>
          <w:fldChar w:fldCharType="separate"/>
        </w:r>
        <w:r w:rsidR="005124B3">
          <w:rPr>
            <w:b w:val="0"/>
            <w:noProof/>
            <w:webHidden/>
            <w:sz w:val="22"/>
          </w:rPr>
          <w:t>1</w:t>
        </w:r>
        <w:r w:rsidR="00995F0E" w:rsidRPr="00995F0E">
          <w:rPr>
            <w:b w:val="0"/>
            <w:noProof/>
            <w:webHidden/>
            <w:sz w:val="22"/>
          </w:rPr>
          <w:fldChar w:fldCharType="end"/>
        </w:r>
      </w:hyperlink>
    </w:p>
    <w:p w14:paraId="575A772F" w14:textId="77777777" w:rsidR="00995F0E" w:rsidRPr="00995F0E" w:rsidRDefault="00A303AF">
      <w:pPr>
        <w:pStyle w:val="TOC2"/>
        <w:rPr>
          <w:rFonts w:asciiTheme="minorHAnsi" w:eastAsiaTheme="minorEastAsia" w:hAnsiTheme="minorHAnsi" w:cstheme="minorBidi"/>
          <w:noProof/>
          <w:szCs w:val="22"/>
        </w:rPr>
      </w:pPr>
      <w:hyperlink w:anchor="_Toc475351604" w:history="1">
        <w:r w:rsidR="00995F0E" w:rsidRPr="00995F0E">
          <w:rPr>
            <w:rStyle w:val="Hyperlink"/>
            <w:noProof/>
            <w:color w:val="1F497D" w:themeColor="text2"/>
            <w:szCs w:val="22"/>
          </w:rPr>
          <w:t>Introduction/Background</w:t>
        </w:r>
        <w:r w:rsidR="00995F0E" w:rsidRPr="00995F0E">
          <w:rPr>
            <w:noProof/>
            <w:webHidden/>
            <w:szCs w:val="22"/>
          </w:rPr>
          <w:tab/>
        </w:r>
        <w:r w:rsidR="00995F0E" w:rsidRPr="00995F0E">
          <w:rPr>
            <w:noProof/>
            <w:webHidden/>
            <w:szCs w:val="22"/>
          </w:rPr>
          <w:fldChar w:fldCharType="begin"/>
        </w:r>
        <w:r w:rsidR="00995F0E" w:rsidRPr="00995F0E">
          <w:rPr>
            <w:noProof/>
            <w:webHidden/>
            <w:szCs w:val="22"/>
          </w:rPr>
          <w:instrText xml:space="preserve"> PAGEREF _Toc475351604 \h </w:instrText>
        </w:r>
        <w:r w:rsidR="00995F0E" w:rsidRPr="00995F0E">
          <w:rPr>
            <w:noProof/>
            <w:webHidden/>
            <w:szCs w:val="22"/>
          </w:rPr>
        </w:r>
        <w:r w:rsidR="00995F0E" w:rsidRPr="00995F0E">
          <w:rPr>
            <w:noProof/>
            <w:webHidden/>
            <w:szCs w:val="22"/>
          </w:rPr>
          <w:fldChar w:fldCharType="separate"/>
        </w:r>
        <w:r w:rsidR="005124B3">
          <w:rPr>
            <w:noProof/>
            <w:webHidden/>
            <w:szCs w:val="22"/>
          </w:rPr>
          <w:t>1</w:t>
        </w:r>
        <w:r w:rsidR="00995F0E" w:rsidRPr="00995F0E">
          <w:rPr>
            <w:noProof/>
            <w:webHidden/>
            <w:szCs w:val="22"/>
          </w:rPr>
          <w:fldChar w:fldCharType="end"/>
        </w:r>
      </w:hyperlink>
    </w:p>
    <w:p w14:paraId="449B1C77" w14:textId="77777777" w:rsidR="00995F0E" w:rsidRPr="00995F0E" w:rsidRDefault="00A303AF">
      <w:pPr>
        <w:pStyle w:val="TOC2"/>
        <w:rPr>
          <w:rFonts w:asciiTheme="minorHAnsi" w:eastAsiaTheme="minorEastAsia" w:hAnsiTheme="minorHAnsi" w:cstheme="minorBidi"/>
          <w:noProof/>
          <w:szCs w:val="22"/>
        </w:rPr>
      </w:pPr>
      <w:hyperlink w:anchor="_Toc475351605" w:history="1">
        <w:r w:rsidR="00995F0E" w:rsidRPr="00995F0E">
          <w:rPr>
            <w:rStyle w:val="Hyperlink"/>
            <w:noProof/>
            <w:color w:val="1F497D" w:themeColor="text2"/>
            <w:szCs w:val="22"/>
          </w:rPr>
          <w:t>Issues</w:t>
        </w:r>
        <w:r w:rsidR="00995F0E" w:rsidRPr="00995F0E">
          <w:rPr>
            <w:noProof/>
            <w:webHidden/>
            <w:szCs w:val="22"/>
          </w:rPr>
          <w:tab/>
        </w:r>
        <w:r w:rsidR="00995F0E" w:rsidRPr="00995F0E">
          <w:rPr>
            <w:noProof/>
            <w:webHidden/>
            <w:szCs w:val="22"/>
          </w:rPr>
          <w:fldChar w:fldCharType="begin"/>
        </w:r>
        <w:r w:rsidR="00995F0E" w:rsidRPr="00995F0E">
          <w:rPr>
            <w:noProof/>
            <w:webHidden/>
            <w:szCs w:val="22"/>
          </w:rPr>
          <w:instrText xml:space="preserve"> PAGEREF _Toc475351605 \h </w:instrText>
        </w:r>
        <w:r w:rsidR="00995F0E" w:rsidRPr="00995F0E">
          <w:rPr>
            <w:noProof/>
            <w:webHidden/>
            <w:szCs w:val="22"/>
          </w:rPr>
        </w:r>
        <w:r w:rsidR="00995F0E" w:rsidRPr="00995F0E">
          <w:rPr>
            <w:noProof/>
            <w:webHidden/>
            <w:szCs w:val="22"/>
          </w:rPr>
          <w:fldChar w:fldCharType="separate"/>
        </w:r>
        <w:r w:rsidR="005124B3">
          <w:rPr>
            <w:noProof/>
            <w:webHidden/>
            <w:szCs w:val="22"/>
          </w:rPr>
          <w:t>2</w:t>
        </w:r>
        <w:r w:rsidR="00995F0E" w:rsidRPr="00995F0E">
          <w:rPr>
            <w:noProof/>
            <w:webHidden/>
            <w:szCs w:val="22"/>
          </w:rPr>
          <w:fldChar w:fldCharType="end"/>
        </w:r>
      </w:hyperlink>
    </w:p>
    <w:p w14:paraId="0D9FEBA2" w14:textId="77777777" w:rsidR="00995F0E" w:rsidRPr="00995F0E" w:rsidRDefault="00A303AF">
      <w:pPr>
        <w:pStyle w:val="TOC3"/>
        <w:rPr>
          <w:rFonts w:asciiTheme="minorHAnsi" w:eastAsiaTheme="minorEastAsia" w:hAnsiTheme="minorHAnsi" w:cstheme="minorBidi"/>
          <w:noProof/>
          <w:color w:val="1F497D" w:themeColor="text2"/>
          <w:szCs w:val="22"/>
        </w:rPr>
      </w:pPr>
      <w:hyperlink w:anchor="_Toc475351606" w:history="1">
        <w:r w:rsidR="00995F0E" w:rsidRPr="00995F0E">
          <w:rPr>
            <w:rStyle w:val="Hyperlink"/>
            <w:noProof/>
            <w:color w:val="1F497D" w:themeColor="text2"/>
            <w:szCs w:val="22"/>
          </w:rPr>
          <w:t>Summary of proposed reforms</w:t>
        </w:r>
        <w:r w:rsidR="00995F0E" w:rsidRPr="00995F0E">
          <w:rPr>
            <w:noProof/>
            <w:webHidden/>
            <w:color w:val="1F497D" w:themeColor="text2"/>
            <w:szCs w:val="22"/>
          </w:rPr>
          <w:tab/>
        </w:r>
        <w:r w:rsidR="00995F0E" w:rsidRPr="00995F0E">
          <w:rPr>
            <w:noProof/>
            <w:webHidden/>
            <w:color w:val="1F497D" w:themeColor="text2"/>
            <w:szCs w:val="22"/>
          </w:rPr>
          <w:fldChar w:fldCharType="begin"/>
        </w:r>
        <w:r w:rsidR="00995F0E" w:rsidRPr="00995F0E">
          <w:rPr>
            <w:noProof/>
            <w:webHidden/>
            <w:color w:val="1F497D" w:themeColor="text2"/>
            <w:szCs w:val="22"/>
          </w:rPr>
          <w:instrText xml:space="preserve"> PAGEREF _Toc475351606 \h </w:instrText>
        </w:r>
        <w:r w:rsidR="00995F0E" w:rsidRPr="00995F0E">
          <w:rPr>
            <w:noProof/>
            <w:webHidden/>
            <w:color w:val="1F497D" w:themeColor="text2"/>
            <w:szCs w:val="22"/>
          </w:rPr>
        </w:r>
        <w:r w:rsidR="00995F0E" w:rsidRPr="00995F0E">
          <w:rPr>
            <w:noProof/>
            <w:webHidden/>
            <w:color w:val="1F497D" w:themeColor="text2"/>
            <w:szCs w:val="22"/>
          </w:rPr>
          <w:fldChar w:fldCharType="separate"/>
        </w:r>
        <w:r w:rsidR="005124B3">
          <w:rPr>
            <w:noProof/>
            <w:webHidden/>
            <w:color w:val="1F497D" w:themeColor="text2"/>
            <w:szCs w:val="22"/>
          </w:rPr>
          <w:t>4</w:t>
        </w:r>
        <w:r w:rsidR="00995F0E" w:rsidRPr="00995F0E">
          <w:rPr>
            <w:noProof/>
            <w:webHidden/>
            <w:color w:val="1F497D" w:themeColor="text2"/>
            <w:szCs w:val="22"/>
          </w:rPr>
          <w:fldChar w:fldCharType="end"/>
        </w:r>
      </w:hyperlink>
    </w:p>
    <w:p w14:paraId="4B1F56A1" w14:textId="77777777" w:rsidR="00995F0E" w:rsidRPr="00995F0E" w:rsidRDefault="00A303AF">
      <w:pPr>
        <w:pStyle w:val="TOC3"/>
        <w:rPr>
          <w:rFonts w:asciiTheme="minorHAnsi" w:eastAsiaTheme="minorEastAsia" w:hAnsiTheme="minorHAnsi" w:cstheme="minorBidi"/>
          <w:noProof/>
          <w:color w:val="1F497D" w:themeColor="text2"/>
          <w:szCs w:val="22"/>
        </w:rPr>
      </w:pPr>
      <w:hyperlink w:anchor="_Toc475351607" w:history="1">
        <w:r w:rsidR="00995F0E" w:rsidRPr="00995F0E">
          <w:rPr>
            <w:rStyle w:val="Hyperlink"/>
            <w:noProof/>
            <w:color w:val="1F497D" w:themeColor="text2"/>
            <w:szCs w:val="22"/>
          </w:rPr>
          <w:t>Strengthening Governance Arrangements</w:t>
        </w:r>
        <w:r w:rsidR="00995F0E" w:rsidRPr="00995F0E">
          <w:rPr>
            <w:noProof/>
            <w:webHidden/>
            <w:color w:val="1F497D" w:themeColor="text2"/>
            <w:szCs w:val="22"/>
          </w:rPr>
          <w:tab/>
        </w:r>
        <w:r w:rsidR="00995F0E" w:rsidRPr="00995F0E">
          <w:rPr>
            <w:noProof/>
            <w:webHidden/>
            <w:color w:val="1F497D" w:themeColor="text2"/>
            <w:szCs w:val="22"/>
          </w:rPr>
          <w:fldChar w:fldCharType="begin"/>
        </w:r>
        <w:r w:rsidR="00995F0E" w:rsidRPr="00995F0E">
          <w:rPr>
            <w:noProof/>
            <w:webHidden/>
            <w:color w:val="1F497D" w:themeColor="text2"/>
            <w:szCs w:val="22"/>
          </w:rPr>
          <w:instrText xml:space="preserve"> PAGEREF _Toc475351607 \h </w:instrText>
        </w:r>
        <w:r w:rsidR="00995F0E" w:rsidRPr="00995F0E">
          <w:rPr>
            <w:noProof/>
            <w:webHidden/>
            <w:color w:val="1F497D" w:themeColor="text2"/>
            <w:szCs w:val="22"/>
          </w:rPr>
        </w:r>
        <w:r w:rsidR="00995F0E" w:rsidRPr="00995F0E">
          <w:rPr>
            <w:noProof/>
            <w:webHidden/>
            <w:color w:val="1F497D" w:themeColor="text2"/>
            <w:szCs w:val="22"/>
          </w:rPr>
          <w:fldChar w:fldCharType="separate"/>
        </w:r>
        <w:r w:rsidR="005124B3">
          <w:rPr>
            <w:noProof/>
            <w:webHidden/>
            <w:color w:val="1F497D" w:themeColor="text2"/>
            <w:szCs w:val="22"/>
          </w:rPr>
          <w:t>5</w:t>
        </w:r>
        <w:r w:rsidR="00995F0E" w:rsidRPr="00995F0E">
          <w:rPr>
            <w:noProof/>
            <w:webHidden/>
            <w:color w:val="1F497D" w:themeColor="text2"/>
            <w:szCs w:val="22"/>
          </w:rPr>
          <w:fldChar w:fldCharType="end"/>
        </w:r>
      </w:hyperlink>
    </w:p>
    <w:p w14:paraId="0C4B41D9" w14:textId="77777777" w:rsidR="00995F0E" w:rsidRPr="00995F0E" w:rsidRDefault="00A303AF">
      <w:pPr>
        <w:pStyle w:val="TOC3"/>
        <w:rPr>
          <w:rFonts w:asciiTheme="minorHAnsi" w:eastAsiaTheme="minorEastAsia" w:hAnsiTheme="minorHAnsi" w:cstheme="minorBidi"/>
          <w:noProof/>
          <w:color w:val="1F497D" w:themeColor="text2"/>
          <w:szCs w:val="22"/>
        </w:rPr>
      </w:pPr>
      <w:hyperlink w:anchor="_Toc475351608" w:history="1">
        <w:r w:rsidR="00995F0E" w:rsidRPr="00995F0E">
          <w:rPr>
            <w:rStyle w:val="Hyperlink"/>
            <w:noProof/>
            <w:color w:val="1F497D" w:themeColor="text2"/>
            <w:szCs w:val="22"/>
          </w:rPr>
          <w:t>Reducing complexity</w:t>
        </w:r>
        <w:r w:rsidR="00995F0E" w:rsidRPr="00995F0E">
          <w:rPr>
            <w:noProof/>
            <w:webHidden/>
            <w:color w:val="1F497D" w:themeColor="text2"/>
            <w:szCs w:val="22"/>
          </w:rPr>
          <w:tab/>
        </w:r>
        <w:r w:rsidR="00995F0E" w:rsidRPr="00995F0E">
          <w:rPr>
            <w:noProof/>
            <w:webHidden/>
            <w:color w:val="1F497D" w:themeColor="text2"/>
            <w:szCs w:val="22"/>
          </w:rPr>
          <w:fldChar w:fldCharType="begin"/>
        </w:r>
        <w:r w:rsidR="00995F0E" w:rsidRPr="00995F0E">
          <w:rPr>
            <w:noProof/>
            <w:webHidden/>
            <w:color w:val="1F497D" w:themeColor="text2"/>
            <w:szCs w:val="22"/>
          </w:rPr>
          <w:instrText xml:space="preserve"> PAGEREF _Toc475351608 \h </w:instrText>
        </w:r>
        <w:r w:rsidR="00995F0E" w:rsidRPr="00995F0E">
          <w:rPr>
            <w:noProof/>
            <w:webHidden/>
            <w:color w:val="1F497D" w:themeColor="text2"/>
            <w:szCs w:val="22"/>
          </w:rPr>
        </w:r>
        <w:r w:rsidR="00995F0E" w:rsidRPr="00995F0E">
          <w:rPr>
            <w:noProof/>
            <w:webHidden/>
            <w:color w:val="1F497D" w:themeColor="text2"/>
            <w:szCs w:val="22"/>
          </w:rPr>
          <w:fldChar w:fldCharType="separate"/>
        </w:r>
        <w:r w:rsidR="005124B3">
          <w:rPr>
            <w:noProof/>
            <w:webHidden/>
            <w:color w:val="1F497D" w:themeColor="text2"/>
            <w:szCs w:val="22"/>
          </w:rPr>
          <w:t>7</w:t>
        </w:r>
        <w:r w:rsidR="00995F0E" w:rsidRPr="00995F0E">
          <w:rPr>
            <w:noProof/>
            <w:webHidden/>
            <w:color w:val="1F497D" w:themeColor="text2"/>
            <w:szCs w:val="22"/>
          </w:rPr>
          <w:fldChar w:fldCharType="end"/>
        </w:r>
      </w:hyperlink>
    </w:p>
    <w:p w14:paraId="3E29CFC3" w14:textId="77777777" w:rsidR="00995F0E" w:rsidRPr="00995F0E" w:rsidRDefault="00A303AF">
      <w:pPr>
        <w:pStyle w:val="TOC3"/>
        <w:rPr>
          <w:rFonts w:asciiTheme="minorHAnsi" w:eastAsiaTheme="minorEastAsia" w:hAnsiTheme="minorHAnsi" w:cstheme="minorBidi"/>
          <w:noProof/>
          <w:color w:val="1F497D" w:themeColor="text2"/>
          <w:szCs w:val="22"/>
        </w:rPr>
      </w:pPr>
      <w:hyperlink w:anchor="_Toc475351609" w:history="1">
        <w:r w:rsidR="00995F0E" w:rsidRPr="00995F0E">
          <w:rPr>
            <w:rStyle w:val="Hyperlink"/>
            <w:noProof/>
            <w:color w:val="1F497D" w:themeColor="text2"/>
            <w:szCs w:val="22"/>
          </w:rPr>
          <w:t>Integrity</w:t>
        </w:r>
        <w:r w:rsidR="00995F0E" w:rsidRPr="00995F0E">
          <w:rPr>
            <w:noProof/>
            <w:webHidden/>
            <w:color w:val="1F497D" w:themeColor="text2"/>
            <w:szCs w:val="22"/>
          </w:rPr>
          <w:tab/>
        </w:r>
        <w:r w:rsidR="00995F0E" w:rsidRPr="00995F0E">
          <w:rPr>
            <w:noProof/>
            <w:webHidden/>
            <w:color w:val="1F497D" w:themeColor="text2"/>
            <w:szCs w:val="22"/>
          </w:rPr>
          <w:fldChar w:fldCharType="begin"/>
        </w:r>
        <w:r w:rsidR="00995F0E" w:rsidRPr="00995F0E">
          <w:rPr>
            <w:noProof/>
            <w:webHidden/>
            <w:color w:val="1F497D" w:themeColor="text2"/>
            <w:szCs w:val="22"/>
          </w:rPr>
          <w:instrText xml:space="preserve"> PAGEREF _Toc475351609 \h </w:instrText>
        </w:r>
        <w:r w:rsidR="00995F0E" w:rsidRPr="00995F0E">
          <w:rPr>
            <w:noProof/>
            <w:webHidden/>
            <w:color w:val="1F497D" w:themeColor="text2"/>
            <w:szCs w:val="22"/>
          </w:rPr>
        </w:r>
        <w:r w:rsidR="00995F0E" w:rsidRPr="00995F0E">
          <w:rPr>
            <w:noProof/>
            <w:webHidden/>
            <w:color w:val="1F497D" w:themeColor="text2"/>
            <w:szCs w:val="22"/>
          </w:rPr>
          <w:fldChar w:fldCharType="separate"/>
        </w:r>
        <w:r w:rsidR="005124B3">
          <w:rPr>
            <w:noProof/>
            <w:webHidden/>
            <w:color w:val="1F497D" w:themeColor="text2"/>
            <w:szCs w:val="22"/>
          </w:rPr>
          <w:t>10</w:t>
        </w:r>
        <w:r w:rsidR="00995F0E" w:rsidRPr="00995F0E">
          <w:rPr>
            <w:noProof/>
            <w:webHidden/>
            <w:color w:val="1F497D" w:themeColor="text2"/>
            <w:szCs w:val="22"/>
          </w:rPr>
          <w:fldChar w:fldCharType="end"/>
        </w:r>
      </w:hyperlink>
    </w:p>
    <w:p w14:paraId="651452F0" w14:textId="77777777" w:rsidR="00995F0E" w:rsidRPr="00995F0E" w:rsidRDefault="00A303AF">
      <w:pPr>
        <w:pStyle w:val="TOC3"/>
        <w:rPr>
          <w:rFonts w:asciiTheme="minorHAnsi" w:eastAsiaTheme="minorEastAsia" w:hAnsiTheme="minorHAnsi" w:cstheme="minorBidi"/>
          <w:noProof/>
          <w:color w:val="1F497D" w:themeColor="text2"/>
          <w:szCs w:val="22"/>
        </w:rPr>
      </w:pPr>
      <w:hyperlink w:anchor="_Toc475351610" w:history="1">
        <w:r w:rsidR="00995F0E" w:rsidRPr="00995F0E">
          <w:rPr>
            <w:rStyle w:val="Hyperlink"/>
            <w:noProof/>
            <w:color w:val="1F497D" w:themeColor="text2"/>
            <w:szCs w:val="22"/>
          </w:rPr>
          <w:t>Parliamentary Inquiry into the Register of Environmental Organisations</w:t>
        </w:r>
        <w:r w:rsidR="00995F0E" w:rsidRPr="00995F0E">
          <w:rPr>
            <w:noProof/>
            <w:webHidden/>
            <w:color w:val="1F497D" w:themeColor="text2"/>
            <w:szCs w:val="22"/>
          </w:rPr>
          <w:tab/>
        </w:r>
        <w:r w:rsidR="00995F0E" w:rsidRPr="00995F0E">
          <w:rPr>
            <w:noProof/>
            <w:webHidden/>
            <w:color w:val="1F497D" w:themeColor="text2"/>
            <w:szCs w:val="22"/>
          </w:rPr>
          <w:fldChar w:fldCharType="begin"/>
        </w:r>
        <w:r w:rsidR="00995F0E" w:rsidRPr="00995F0E">
          <w:rPr>
            <w:noProof/>
            <w:webHidden/>
            <w:color w:val="1F497D" w:themeColor="text2"/>
            <w:szCs w:val="22"/>
          </w:rPr>
          <w:instrText xml:space="preserve"> PAGEREF _Toc475351610 \h </w:instrText>
        </w:r>
        <w:r w:rsidR="00995F0E" w:rsidRPr="00995F0E">
          <w:rPr>
            <w:noProof/>
            <w:webHidden/>
            <w:color w:val="1F497D" w:themeColor="text2"/>
            <w:szCs w:val="22"/>
          </w:rPr>
        </w:r>
        <w:r w:rsidR="00995F0E" w:rsidRPr="00995F0E">
          <w:rPr>
            <w:noProof/>
            <w:webHidden/>
            <w:color w:val="1F497D" w:themeColor="text2"/>
            <w:szCs w:val="22"/>
          </w:rPr>
          <w:fldChar w:fldCharType="separate"/>
        </w:r>
        <w:r w:rsidR="005124B3">
          <w:rPr>
            <w:noProof/>
            <w:webHidden/>
            <w:color w:val="1F497D" w:themeColor="text2"/>
            <w:szCs w:val="22"/>
          </w:rPr>
          <w:t>11</w:t>
        </w:r>
        <w:r w:rsidR="00995F0E" w:rsidRPr="00995F0E">
          <w:rPr>
            <w:noProof/>
            <w:webHidden/>
            <w:color w:val="1F497D" w:themeColor="text2"/>
            <w:szCs w:val="22"/>
          </w:rPr>
          <w:fldChar w:fldCharType="end"/>
        </w:r>
      </w:hyperlink>
    </w:p>
    <w:p w14:paraId="57BEBEFE" w14:textId="4A5AC5A2" w:rsidR="00995F0E" w:rsidRPr="00995F0E" w:rsidRDefault="00A303AF">
      <w:pPr>
        <w:pStyle w:val="TOC3"/>
        <w:rPr>
          <w:rFonts w:asciiTheme="minorHAnsi" w:eastAsiaTheme="minorEastAsia" w:hAnsiTheme="minorHAnsi" w:cstheme="minorBidi"/>
          <w:noProof/>
          <w:color w:val="1F497D" w:themeColor="text2"/>
          <w:szCs w:val="22"/>
        </w:rPr>
      </w:pPr>
      <w:hyperlink w:anchor="_Toc475351611" w:history="1">
        <w:r w:rsidR="00995F0E" w:rsidRPr="00995F0E">
          <w:rPr>
            <w:rStyle w:val="Hyperlink"/>
            <w:noProof/>
            <w:color w:val="1F497D" w:themeColor="text2"/>
            <w:szCs w:val="22"/>
          </w:rPr>
          <w:t>Summary of consultation questions</w:t>
        </w:r>
        <w:r w:rsidR="00995F0E" w:rsidRPr="00995F0E">
          <w:rPr>
            <w:noProof/>
            <w:webHidden/>
            <w:color w:val="1F497D" w:themeColor="text2"/>
            <w:szCs w:val="22"/>
          </w:rPr>
          <w:tab/>
        </w:r>
        <w:r w:rsidR="00995F0E" w:rsidRPr="00995F0E">
          <w:rPr>
            <w:noProof/>
            <w:webHidden/>
            <w:color w:val="1F497D" w:themeColor="text2"/>
            <w:szCs w:val="22"/>
          </w:rPr>
          <w:fldChar w:fldCharType="begin"/>
        </w:r>
        <w:r w:rsidR="00995F0E" w:rsidRPr="00995F0E">
          <w:rPr>
            <w:noProof/>
            <w:webHidden/>
            <w:color w:val="1F497D" w:themeColor="text2"/>
            <w:szCs w:val="22"/>
          </w:rPr>
          <w:instrText xml:space="preserve"> PAGEREF _Toc475351611 \h </w:instrText>
        </w:r>
        <w:r w:rsidR="00995F0E" w:rsidRPr="00995F0E">
          <w:rPr>
            <w:noProof/>
            <w:webHidden/>
            <w:color w:val="1F497D" w:themeColor="text2"/>
            <w:szCs w:val="22"/>
          </w:rPr>
        </w:r>
        <w:r w:rsidR="00995F0E" w:rsidRPr="00995F0E">
          <w:rPr>
            <w:noProof/>
            <w:webHidden/>
            <w:color w:val="1F497D" w:themeColor="text2"/>
            <w:szCs w:val="22"/>
          </w:rPr>
          <w:fldChar w:fldCharType="separate"/>
        </w:r>
        <w:r w:rsidR="005124B3">
          <w:rPr>
            <w:noProof/>
            <w:webHidden/>
            <w:color w:val="1F497D" w:themeColor="text2"/>
            <w:szCs w:val="22"/>
          </w:rPr>
          <w:t>15</w:t>
        </w:r>
        <w:r w:rsidR="00995F0E" w:rsidRPr="00995F0E">
          <w:rPr>
            <w:noProof/>
            <w:webHidden/>
            <w:color w:val="1F497D" w:themeColor="text2"/>
            <w:szCs w:val="22"/>
          </w:rPr>
          <w:fldChar w:fldCharType="end"/>
        </w:r>
      </w:hyperlink>
    </w:p>
    <w:p w14:paraId="2CDBC898" w14:textId="77777777" w:rsidR="0056559F" w:rsidRPr="00995F0E" w:rsidRDefault="0056559F" w:rsidP="0056559F">
      <w:pPr>
        <w:rPr>
          <w:color w:val="1F497D" w:themeColor="text2"/>
        </w:rPr>
      </w:pPr>
      <w:r w:rsidRPr="00995F0E">
        <w:rPr>
          <w:rFonts w:ascii="Century Gothic" w:hAnsi="Century Gothic"/>
          <w:color w:val="1F497D" w:themeColor="text2"/>
        </w:rPr>
        <w:fldChar w:fldCharType="end"/>
      </w:r>
    </w:p>
    <w:p w14:paraId="06AB2D7D" w14:textId="77777777" w:rsidR="00F30068" w:rsidRDefault="00F30068" w:rsidP="0056559F">
      <w:pPr>
        <w:sectPr w:rsidR="00F30068" w:rsidSect="00927676">
          <w:headerReference w:type="first" r:id="rId13"/>
          <w:pgSz w:w="11906" w:h="16838" w:code="9"/>
          <w:pgMar w:top="1418" w:right="1418" w:bottom="1418" w:left="1418" w:header="709" w:footer="709" w:gutter="0"/>
          <w:pgNumType w:fmt="lowerRoman"/>
          <w:cols w:space="708"/>
          <w:titlePg/>
          <w:docGrid w:linePitch="360"/>
        </w:sectPr>
      </w:pPr>
    </w:p>
    <w:p w14:paraId="6FFCC5B6" w14:textId="77777777" w:rsidR="00F30068" w:rsidRPr="005750C6" w:rsidRDefault="00F30068" w:rsidP="005750C6">
      <w:pPr>
        <w:pStyle w:val="Heading2NotNumbered"/>
      </w:pPr>
      <w:bookmarkStart w:id="1" w:name="_Toc475351601"/>
      <w:r w:rsidRPr="005750C6">
        <w:lastRenderedPageBreak/>
        <w:t>Consultation Process</w:t>
      </w:r>
      <w:bookmarkEnd w:id="1"/>
    </w:p>
    <w:p w14:paraId="4F39C4E3" w14:textId="77777777" w:rsidR="00F30068" w:rsidRDefault="00F30068" w:rsidP="005750C6">
      <w:pPr>
        <w:pStyle w:val="Heading3"/>
      </w:pPr>
      <w:bookmarkStart w:id="2" w:name="_Toc475351602"/>
      <w:r>
        <w:t>Request for feedback and comments</w:t>
      </w:r>
      <w:bookmarkEnd w:id="2"/>
    </w:p>
    <w:p w14:paraId="76431659" w14:textId="77777777" w:rsidR="003112CD" w:rsidRDefault="003112CD" w:rsidP="00F30068">
      <w:r>
        <w:t xml:space="preserve">This </w:t>
      </w:r>
      <w:r w:rsidR="00117F17">
        <w:t xml:space="preserve">consultation </w:t>
      </w:r>
      <w:r>
        <w:t xml:space="preserve">paper considers </w:t>
      </w:r>
      <w:r w:rsidR="00F51F18">
        <w:t>potential</w:t>
      </w:r>
      <w:r>
        <w:t xml:space="preserve"> reform</w:t>
      </w:r>
      <w:r w:rsidR="00F51F18">
        <w:t>s</w:t>
      </w:r>
      <w:r>
        <w:t xml:space="preserve"> </w:t>
      </w:r>
      <w:r w:rsidR="00F51F18">
        <w:t xml:space="preserve">to </w:t>
      </w:r>
      <w:r>
        <w:t xml:space="preserve">the Deductible Gift Recipient (DGR) tax arrangements. </w:t>
      </w:r>
    </w:p>
    <w:p w14:paraId="06BD4507" w14:textId="6B9245D0" w:rsidR="00F30068" w:rsidRDefault="003112CD" w:rsidP="00F30068">
      <w:r>
        <w:t>DGR status allows an organisation to receive gifts and contributions</w:t>
      </w:r>
      <w:r w:rsidR="007A6B46">
        <w:t xml:space="preserve"> for which d</w:t>
      </w:r>
      <w:r>
        <w:t xml:space="preserve">onors are able to claim a tax deduction. The DGR </w:t>
      </w:r>
      <w:r w:rsidR="005D270E">
        <w:t>tax arrangements</w:t>
      </w:r>
      <w:r>
        <w:t xml:space="preserve"> </w:t>
      </w:r>
      <w:r w:rsidR="005D270E">
        <w:t>are</w:t>
      </w:r>
      <w:r>
        <w:t xml:space="preserve"> intended to encourage philanthro</w:t>
      </w:r>
      <w:r w:rsidR="00CA2C15">
        <w:t xml:space="preserve">py and provide support for the not-for-profit (NFP) </w:t>
      </w:r>
      <w:r>
        <w:t xml:space="preserve">sector. Along with other tax concessions to the NFP sector, DGR status </w:t>
      </w:r>
      <w:r w:rsidR="00F3122E">
        <w:t xml:space="preserve">encourages </w:t>
      </w:r>
      <w:r>
        <w:t xml:space="preserve">the delivery of goods and services that are of public benefit. The DGR provisions can be found in Division 30 of the </w:t>
      </w:r>
      <w:r w:rsidRPr="00E50DF0">
        <w:rPr>
          <w:i/>
        </w:rPr>
        <w:t>Income Tax Assessment Act 1997</w:t>
      </w:r>
      <w:r w:rsidR="00CA2C15">
        <w:rPr>
          <w:i/>
        </w:rPr>
        <w:t xml:space="preserve"> </w:t>
      </w:r>
      <w:r w:rsidR="00C45940">
        <w:t xml:space="preserve">(Cth) </w:t>
      </w:r>
      <w:r w:rsidR="00CA2C15">
        <w:t>(Gifts and Contributions)</w:t>
      </w:r>
      <w:r>
        <w:t>.</w:t>
      </w:r>
    </w:p>
    <w:p w14:paraId="260DD837" w14:textId="5A7FD2C6" w:rsidR="003112CD" w:rsidRDefault="003112CD" w:rsidP="00F30068">
      <w:r>
        <w:t xml:space="preserve">This paper outlines a number of proposals to strengthen the </w:t>
      </w:r>
      <w:r w:rsidR="00BB4659">
        <w:t xml:space="preserve">DGR </w:t>
      </w:r>
      <w:r>
        <w:t>governance arrangements, reduce administrative complexity and</w:t>
      </w:r>
      <w:r w:rsidR="00BB4659">
        <w:t xml:space="preserve"> </w:t>
      </w:r>
      <w:r>
        <w:t xml:space="preserve">ensure </w:t>
      </w:r>
      <w:r w:rsidR="005D270E">
        <w:t xml:space="preserve">that </w:t>
      </w:r>
      <w:r w:rsidR="00BB4659">
        <w:t xml:space="preserve">an </w:t>
      </w:r>
      <w:r>
        <w:t>organisation</w:t>
      </w:r>
      <w:r w:rsidR="00BB4659">
        <w:t>’</w:t>
      </w:r>
      <w:r>
        <w:t xml:space="preserve">s </w:t>
      </w:r>
      <w:r w:rsidR="00BB4659">
        <w:t xml:space="preserve">eligibility for </w:t>
      </w:r>
      <w:r>
        <w:t>DGR status</w:t>
      </w:r>
      <w:r w:rsidR="009B0DEE">
        <w:t xml:space="preserve"> </w:t>
      </w:r>
      <w:r w:rsidR="00BB4659">
        <w:t>is up to date</w:t>
      </w:r>
      <w:r>
        <w:t>.</w:t>
      </w:r>
    </w:p>
    <w:p w14:paraId="7C2C7212" w14:textId="77777777" w:rsidR="003112CD" w:rsidRDefault="003112CD" w:rsidP="003112CD">
      <w:pPr>
        <w:jc w:val="left"/>
        <w:rPr>
          <w:rFonts w:cs="Arial"/>
        </w:rPr>
      </w:pPr>
      <w:r>
        <w:rPr>
          <w:rFonts w:cs="Arial"/>
        </w:rPr>
        <w:t>Interested parties are invited to comment on the proposal</w:t>
      </w:r>
      <w:r w:rsidR="00CA2C15">
        <w:rPr>
          <w:rFonts w:cs="Arial"/>
        </w:rPr>
        <w:t>s</w:t>
      </w:r>
      <w:r>
        <w:rPr>
          <w:rFonts w:cs="Arial"/>
        </w:rPr>
        <w:t xml:space="preserve"> outlined in th</w:t>
      </w:r>
      <w:r w:rsidR="00117F17">
        <w:rPr>
          <w:rFonts w:cs="Arial"/>
        </w:rPr>
        <w:t>is</w:t>
      </w:r>
      <w:r>
        <w:rPr>
          <w:rFonts w:cs="Arial"/>
        </w:rPr>
        <w:t xml:space="preserve"> paper.</w:t>
      </w:r>
    </w:p>
    <w:p w14:paraId="5021104D" w14:textId="74C5D5C3" w:rsidR="003112CD" w:rsidRDefault="007A6B46" w:rsidP="003112CD">
      <w:pPr>
        <w:jc w:val="left"/>
        <w:rPr>
          <w:rFonts w:cs="Arial"/>
        </w:rPr>
      </w:pPr>
      <w:r>
        <w:rPr>
          <w:rFonts w:cs="Arial"/>
        </w:rPr>
        <w:t>E</w:t>
      </w:r>
      <w:r w:rsidR="003112CD">
        <w:rPr>
          <w:rFonts w:cs="Arial"/>
        </w:rPr>
        <w:t>lectronic lodgement is preferred. For accessibility reasons, please submit responses sent via email in a Word or RTF format. An additional PDF version may also be submitted.</w:t>
      </w:r>
    </w:p>
    <w:p w14:paraId="1F7B4C3E" w14:textId="056CC8B9" w:rsidR="003112CD" w:rsidRDefault="00AA278F" w:rsidP="003112CD">
      <w:pPr>
        <w:jc w:val="left"/>
        <w:rPr>
          <w:rFonts w:cs="Arial"/>
        </w:rPr>
      </w:pPr>
      <w:r>
        <w:rPr>
          <w:rFonts w:cs="Arial"/>
        </w:rPr>
        <w:t>If you</w:t>
      </w:r>
      <w:r w:rsidR="003112CD">
        <w:rPr>
          <w:rFonts w:cs="Arial"/>
        </w:rPr>
        <w:t xml:space="preserve"> would like part of </w:t>
      </w:r>
      <w:r>
        <w:rPr>
          <w:rFonts w:cs="Arial"/>
        </w:rPr>
        <w:t>your</w:t>
      </w:r>
      <w:r w:rsidR="003112CD">
        <w:rPr>
          <w:rFonts w:cs="Arial"/>
        </w:rPr>
        <w:t xml:space="preserve"> submission to remain in confidence</w:t>
      </w:r>
      <w:r>
        <w:rPr>
          <w:rFonts w:cs="Arial"/>
        </w:rPr>
        <w:t>,</w:t>
      </w:r>
      <w:r w:rsidR="003112CD">
        <w:rPr>
          <w:rFonts w:cs="Arial"/>
        </w:rPr>
        <w:t xml:space="preserve"> </w:t>
      </w:r>
      <w:r>
        <w:rPr>
          <w:rFonts w:cs="Arial"/>
        </w:rPr>
        <w:t xml:space="preserve">you </w:t>
      </w:r>
      <w:r w:rsidR="003112CD">
        <w:rPr>
          <w:rFonts w:cs="Arial"/>
        </w:rPr>
        <w:t xml:space="preserve">should provide this information marked as such in a separate attachment. A request made under the </w:t>
      </w:r>
      <w:r w:rsidR="003112CD">
        <w:rPr>
          <w:rFonts w:cs="Arial"/>
          <w:i/>
        </w:rPr>
        <w:t xml:space="preserve">Freedom of Information Act 1982 </w:t>
      </w:r>
      <w:r w:rsidR="003112CD">
        <w:rPr>
          <w:rFonts w:cs="Arial"/>
        </w:rPr>
        <w:t>(Cth) for a submission marked ‘confidential’ to be made available will be determined in accordance with that Act.</w:t>
      </w:r>
    </w:p>
    <w:p w14:paraId="58289A13" w14:textId="1F6E8F20" w:rsidR="00F30068" w:rsidRDefault="00F30068" w:rsidP="00F30068">
      <w:pPr>
        <w:pStyle w:val="Heading4"/>
      </w:pPr>
      <w:r>
        <w:rPr>
          <w:rFonts w:cs="Calibri"/>
          <w:bCs w:val="0"/>
        </w:rPr>
        <w:t xml:space="preserve">Closing date for submissions: </w:t>
      </w:r>
      <w:r w:rsidR="00025737">
        <w:rPr>
          <w:rFonts w:cs="Calibri"/>
          <w:bCs w:val="0"/>
        </w:rPr>
        <w:t xml:space="preserve">14 July </w:t>
      </w:r>
      <w:r w:rsidR="000D3403">
        <w:rPr>
          <w:rFonts w:cs="Calibri"/>
          <w:bCs w:val="0"/>
        </w:rPr>
        <w:t>2017</w:t>
      </w:r>
    </w:p>
    <w:tbl>
      <w:tblPr>
        <w:tblW w:w="0" w:type="auto"/>
        <w:tblLook w:val="01E0" w:firstRow="1" w:lastRow="1" w:firstColumn="1" w:lastColumn="1" w:noHBand="0" w:noVBand="0"/>
      </w:tblPr>
      <w:tblGrid>
        <w:gridCol w:w="1668"/>
        <w:gridCol w:w="7618"/>
      </w:tblGrid>
      <w:tr w:rsidR="00F30068" w:rsidRPr="000D3403" w14:paraId="38948DCE" w14:textId="77777777" w:rsidTr="000A4BA8">
        <w:tc>
          <w:tcPr>
            <w:tcW w:w="1668" w:type="dxa"/>
            <w:hideMark/>
          </w:tcPr>
          <w:p w14:paraId="28ABA38B" w14:textId="77777777" w:rsidR="00F30068" w:rsidRPr="000D3403" w:rsidRDefault="00F30068" w:rsidP="000A4BA8">
            <w:pPr>
              <w:pStyle w:val="SingleParagraph"/>
              <w:rPr>
                <w:rFonts w:cs="Arial"/>
              </w:rPr>
            </w:pPr>
            <w:bookmarkStart w:id="3" w:name="OLE_LINK5" w:colFirst="0" w:colLast="0"/>
            <w:bookmarkStart w:id="4" w:name="OLE_LINK6" w:colFirst="0" w:colLast="0"/>
            <w:r w:rsidRPr="000D3403">
              <w:rPr>
                <w:rFonts w:cs="Arial"/>
              </w:rPr>
              <w:t xml:space="preserve">Email: </w:t>
            </w:r>
          </w:p>
        </w:tc>
        <w:tc>
          <w:tcPr>
            <w:tcW w:w="7618" w:type="dxa"/>
            <w:hideMark/>
          </w:tcPr>
          <w:p w14:paraId="5BADE0C3" w14:textId="664FA981" w:rsidR="00F30068" w:rsidRPr="000D3403" w:rsidRDefault="00364BB7" w:rsidP="000A4BA8">
            <w:pPr>
              <w:rPr>
                <w:rFonts w:ascii="Calibri" w:hAnsi="Calibri" w:cs="Arial"/>
              </w:rPr>
            </w:pPr>
            <w:r>
              <w:rPr>
                <w:rFonts w:cs="Arial"/>
              </w:rPr>
              <w:t>DGR@treasury.gov.au</w:t>
            </w:r>
          </w:p>
        </w:tc>
      </w:tr>
      <w:bookmarkEnd w:id="3"/>
      <w:bookmarkEnd w:id="4"/>
      <w:tr w:rsidR="00F30068" w:rsidRPr="000D3403" w14:paraId="26ABCDD8" w14:textId="77777777" w:rsidTr="000A4BA8">
        <w:tc>
          <w:tcPr>
            <w:tcW w:w="1668" w:type="dxa"/>
            <w:hideMark/>
          </w:tcPr>
          <w:p w14:paraId="3610E011" w14:textId="77777777" w:rsidR="00F30068" w:rsidRPr="000D3403" w:rsidRDefault="00F30068" w:rsidP="000A4BA8">
            <w:pPr>
              <w:pStyle w:val="SingleParagraph"/>
              <w:rPr>
                <w:rFonts w:cs="Arial"/>
              </w:rPr>
            </w:pPr>
            <w:r w:rsidRPr="000D3403">
              <w:rPr>
                <w:rFonts w:cs="Arial"/>
              </w:rPr>
              <w:t>Mail:</w:t>
            </w:r>
          </w:p>
        </w:tc>
        <w:tc>
          <w:tcPr>
            <w:tcW w:w="7618" w:type="dxa"/>
            <w:hideMark/>
          </w:tcPr>
          <w:p w14:paraId="4070C9E9" w14:textId="7772DCF9" w:rsidR="00F30068" w:rsidRPr="000D3403" w:rsidRDefault="003420F4" w:rsidP="000A4BA8">
            <w:pPr>
              <w:pStyle w:val="SingleParagraph"/>
              <w:rPr>
                <w:rFonts w:ascii="Calibri" w:hAnsi="Calibri" w:cs="Arial"/>
              </w:rPr>
            </w:pPr>
            <w:r>
              <w:rPr>
                <w:rFonts w:cs="Arial"/>
              </w:rPr>
              <w:t>Senior Advis</w:t>
            </w:r>
            <w:r w:rsidR="0083606B">
              <w:rPr>
                <w:rFonts w:cs="Arial"/>
              </w:rPr>
              <w:t>e</w:t>
            </w:r>
            <w:r>
              <w:rPr>
                <w:rFonts w:cs="Arial"/>
              </w:rPr>
              <w:t>r</w:t>
            </w:r>
          </w:p>
          <w:p w14:paraId="41FED266" w14:textId="317EC81F" w:rsidR="00F30068" w:rsidRPr="000D3403" w:rsidRDefault="003420F4" w:rsidP="000A4BA8">
            <w:pPr>
              <w:pStyle w:val="SingleParagraph"/>
              <w:rPr>
                <w:rFonts w:cs="Arial"/>
              </w:rPr>
            </w:pPr>
            <w:r>
              <w:rPr>
                <w:rFonts w:cs="Arial"/>
              </w:rPr>
              <w:t>Individuals and Indirect Tax Division</w:t>
            </w:r>
          </w:p>
          <w:p w14:paraId="67DA7C54" w14:textId="77777777" w:rsidR="00F30068" w:rsidRPr="000D3403" w:rsidRDefault="00F30068" w:rsidP="000A4BA8">
            <w:pPr>
              <w:pStyle w:val="SingleParagraph"/>
              <w:rPr>
                <w:rFonts w:cs="Arial"/>
              </w:rPr>
            </w:pPr>
            <w:r w:rsidRPr="000D3403">
              <w:rPr>
                <w:rFonts w:cs="Arial"/>
              </w:rPr>
              <w:t>The Treasury</w:t>
            </w:r>
          </w:p>
          <w:p w14:paraId="43E08439" w14:textId="77777777" w:rsidR="00F30068" w:rsidRPr="000D3403" w:rsidRDefault="00F30068" w:rsidP="000A4BA8">
            <w:pPr>
              <w:pStyle w:val="SingleParagraph"/>
              <w:rPr>
                <w:rFonts w:cs="Arial"/>
              </w:rPr>
            </w:pPr>
            <w:r w:rsidRPr="000D3403">
              <w:rPr>
                <w:rFonts w:cs="Arial"/>
              </w:rPr>
              <w:t>Langton Crescent</w:t>
            </w:r>
          </w:p>
          <w:p w14:paraId="173D5327" w14:textId="77777777" w:rsidR="00F30068" w:rsidRPr="000D3403" w:rsidRDefault="00F30068" w:rsidP="000A4BA8">
            <w:pPr>
              <w:rPr>
                <w:rFonts w:ascii="Calibri" w:hAnsi="Calibri" w:cs="Arial"/>
              </w:rPr>
            </w:pPr>
            <w:r w:rsidRPr="000D3403">
              <w:rPr>
                <w:rFonts w:cs="Arial"/>
              </w:rPr>
              <w:t>PARKES  ACT  2600</w:t>
            </w:r>
          </w:p>
        </w:tc>
      </w:tr>
      <w:tr w:rsidR="00F30068" w:rsidRPr="000D3403" w14:paraId="624D5A6D" w14:textId="77777777" w:rsidTr="000A4BA8">
        <w:tc>
          <w:tcPr>
            <w:tcW w:w="1668" w:type="dxa"/>
            <w:hideMark/>
          </w:tcPr>
          <w:p w14:paraId="2804A6AB" w14:textId="77777777" w:rsidR="00F30068" w:rsidRPr="000D3403" w:rsidRDefault="00F30068" w:rsidP="000A4BA8">
            <w:pPr>
              <w:pStyle w:val="SingleParagraph"/>
              <w:rPr>
                <w:rFonts w:cs="Arial"/>
              </w:rPr>
            </w:pPr>
            <w:r w:rsidRPr="000D3403">
              <w:rPr>
                <w:rFonts w:cs="Arial"/>
              </w:rPr>
              <w:t>Enq</w:t>
            </w:r>
            <w:r w:rsidRPr="000D3403">
              <w:rPr>
                <w:rStyle w:val="SingleParagraphChar"/>
                <w:rFonts w:cs="Arial"/>
              </w:rPr>
              <w:t>u</w:t>
            </w:r>
            <w:r w:rsidRPr="000D3403">
              <w:rPr>
                <w:rFonts w:cs="Arial"/>
              </w:rPr>
              <w:t>iries:</w:t>
            </w:r>
          </w:p>
        </w:tc>
        <w:tc>
          <w:tcPr>
            <w:tcW w:w="7618" w:type="dxa"/>
            <w:hideMark/>
          </w:tcPr>
          <w:p w14:paraId="557AC7BC" w14:textId="478543C8" w:rsidR="00F30068" w:rsidRPr="000D3403" w:rsidRDefault="00F30068" w:rsidP="003420F4">
            <w:pPr>
              <w:rPr>
                <w:rFonts w:ascii="Calibri" w:hAnsi="Calibri" w:cs="Arial"/>
              </w:rPr>
            </w:pPr>
            <w:r w:rsidRPr="000D3403">
              <w:rPr>
                <w:rFonts w:cs="Arial"/>
              </w:rPr>
              <w:t xml:space="preserve">Enquiries can be initially directed to </w:t>
            </w:r>
            <w:r w:rsidR="003420F4">
              <w:rPr>
                <w:rFonts w:cs="Arial"/>
              </w:rPr>
              <w:t xml:space="preserve">Susan Bultitude. </w:t>
            </w:r>
          </w:p>
        </w:tc>
      </w:tr>
      <w:tr w:rsidR="00F30068" w14:paraId="45E3026D" w14:textId="77777777" w:rsidTr="000A4BA8">
        <w:tc>
          <w:tcPr>
            <w:tcW w:w="1668" w:type="dxa"/>
            <w:hideMark/>
          </w:tcPr>
          <w:p w14:paraId="4C92ED5A" w14:textId="77777777" w:rsidR="00F30068" w:rsidRPr="000D3403" w:rsidRDefault="00F30068" w:rsidP="000A4BA8">
            <w:pPr>
              <w:rPr>
                <w:rFonts w:ascii="Calibri" w:hAnsi="Calibri" w:cs="Arial"/>
              </w:rPr>
            </w:pPr>
            <w:r w:rsidRPr="000D3403">
              <w:rPr>
                <w:rFonts w:cs="Arial"/>
              </w:rPr>
              <w:t>Phone:</w:t>
            </w:r>
          </w:p>
        </w:tc>
        <w:tc>
          <w:tcPr>
            <w:tcW w:w="7618" w:type="dxa"/>
            <w:hideMark/>
          </w:tcPr>
          <w:p w14:paraId="3BA862CC" w14:textId="43896F0B" w:rsidR="00F30068" w:rsidRDefault="00F30068" w:rsidP="003420F4">
            <w:pPr>
              <w:rPr>
                <w:rFonts w:ascii="Calibri" w:hAnsi="Calibri" w:cs="Arial"/>
              </w:rPr>
            </w:pPr>
            <w:r w:rsidRPr="000D3403">
              <w:rPr>
                <w:rFonts w:cs="Arial"/>
              </w:rPr>
              <w:t xml:space="preserve">02 6263 </w:t>
            </w:r>
            <w:r w:rsidR="003420F4">
              <w:rPr>
                <w:rFonts w:cs="Arial"/>
              </w:rPr>
              <w:t>4413</w:t>
            </w:r>
          </w:p>
        </w:tc>
      </w:tr>
    </w:tbl>
    <w:p w14:paraId="30E0F307" w14:textId="77777777" w:rsidR="0056559F" w:rsidRDefault="0056559F" w:rsidP="0056559F"/>
    <w:p w14:paraId="40D82ECE" w14:textId="77777777" w:rsidR="00F30068" w:rsidRDefault="00F30068" w:rsidP="0056559F"/>
    <w:p w14:paraId="408877D1" w14:textId="77777777" w:rsidR="0056559F" w:rsidRPr="0056559F" w:rsidRDefault="0056559F" w:rsidP="0056559F">
      <w:pPr>
        <w:sectPr w:rsidR="0056559F" w:rsidRPr="0056559F" w:rsidSect="00927676">
          <w:pgSz w:w="11906" w:h="16838" w:code="9"/>
          <w:pgMar w:top="1418" w:right="1418" w:bottom="1418" w:left="1418" w:header="709" w:footer="709" w:gutter="0"/>
          <w:pgNumType w:fmt="lowerRoman"/>
          <w:cols w:space="708"/>
          <w:titlePg/>
          <w:docGrid w:linePitch="360"/>
        </w:sectPr>
      </w:pPr>
    </w:p>
    <w:p w14:paraId="4E6964BE" w14:textId="77777777" w:rsidR="000A7BCF" w:rsidRDefault="00570152">
      <w:pPr>
        <w:pStyle w:val="Heading1"/>
      </w:pPr>
      <w:bookmarkStart w:id="5" w:name="_Toc475351603"/>
      <w:r>
        <w:lastRenderedPageBreak/>
        <w:t>Tax Deductible Gift Recipient Reform Opportunities</w:t>
      </w:r>
      <w:bookmarkEnd w:id="5"/>
    </w:p>
    <w:p w14:paraId="3C4AA25E" w14:textId="77777777" w:rsidR="000A7BCF" w:rsidRDefault="00352FCF">
      <w:pPr>
        <w:pStyle w:val="Heading2"/>
      </w:pPr>
      <w:bookmarkStart w:id="6" w:name="_Toc306887371"/>
      <w:bookmarkStart w:id="7" w:name="_Toc475351604"/>
      <w:r>
        <w:t>Introduction/Background</w:t>
      </w:r>
      <w:bookmarkEnd w:id="6"/>
      <w:bookmarkEnd w:id="7"/>
    </w:p>
    <w:p w14:paraId="1643C5B8" w14:textId="71CE7F0C" w:rsidR="00117B34" w:rsidRDefault="00117B34" w:rsidP="00704C8E">
      <w:pPr>
        <w:pStyle w:val="OutlineNumbered1"/>
        <w:tabs>
          <w:tab w:val="clear" w:pos="1135"/>
        </w:tabs>
        <w:ind w:left="567"/>
      </w:pPr>
      <w:r>
        <w:t>Th</w:t>
      </w:r>
      <w:r w:rsidR="00117F17">
        <w:t>e</w:t>
      </w:r>
      <w:r>
        <w:t xml:space="preserve"> purpose of this paper is to </w:t>
      </w:r>
      <w:r w:rsidR="00864451">
        <w:t>consider</w:t>
      </w:r>
      <w:r>
        <w:t xml:space="preserve"> </w:t>
      </w:r>
      <w:r w:rsidR="00BB4659">
        <w:t>possible</w:t>
      </w:r>
      <w:r>
        <w:t xml:space="preserve"> reform</w:t>
      </w:r>
      <w:r w:rsidR="00BB4659">
        <w:t>s to</w:t>
      </w:r>
      <w:r>
        <w:t xml:space="preserve"> the Deductible Gift Recipient (DGR) tax arrangements</w:t>
      </w:r>
      <w:r w:rsidR="00451408">
        <w:t xml:space="preserve">. </w:t>
      </w:r>
      <w:r>
        <w:t xml:space="preserve">In particular, it will examine the governance </w:t>
      </w:r>
      <w:r w:rsidR="00062937">
        <w:t xml:space="preserve">of DGRs </w:t>
      </w:r>
      <w:r w:rsidR="00C26F63">
        <w:t xml:space="preserve">and the complexity of </w:t>
      </w:r>
      <w:r>
        <w:t>DGR application</w:t>
      </w:r>
      <w:r w:rsidR="00864451">
        <w:t xml:space="preserve"> processes</w:t>
      </w:r>
      <w:r w:rsidR="00C26F63">
        <w:t xml:space="preserve">, as well </w:t>
      </w:r>
      <w:r w:rsidR="00864451">
        <w:t>as</w:t>
      </w:r>
      <w:r w:rsidR="00F3122E">
        <w:t xml:space="preserve"> to</w:t>
      </w:r>
      <w:r w:rsidR="00864451">
        <w:t xml:space="preserve"> </w:t>
      </w:r>
      <w:r w:rsidR="007554F6">
        <w:t xml:space="preserve">consider </w:t>
      </w:r>
      <w:r w:rsidR="00523478">
        <w:t>ways to ensure an organisation’s eligibility for DGR status</w:t>
      </w:r>
      <w:r w:rsidR="00523478" w:rsidRPr="00AE20C6">
        <w:t xml:space="preserve"> </w:t>
      </w:r>
      <w:r w:rsidR="00523478">
        <w:t>is up to date</w:t>
      </w:r>
      <w:r w:rsidR="00C26F63">
        <w:t>.</w:t>
      </w:r>
    </w:p>
    <w:p w14:paraId="6CF3E0E5" w14:textId="053191F0" w:rsidR="00D9207F" w:rsidRDefault="00D9207F" w:rsidP="00704C8E">
      <w:pPr>
        <w:pStyle w:val="OutlineNumbered1"/>
        <w:tabs>
          <w:tab w:val="clear" w:pos="1135"/>
        </w:tabs>
        <w:ind w:left="567"/>
      </w:pPr>
      <w:r>
        <w:t>The Australian not-for-profit (NFP) sector is large and diverse. It consists of approximately 600,000 organisations across a number of different entity types. As of 17</w:t>
      </w:r>
      <w:r w:rsidR="001D1517">
        <w:t> </w:t>
      </w:r>
      <w:r>
        <w:t>February 2017, around 54,800 charities were registered with the ACNC.</w:t>
      </w:r>
      <w:r>
        <w:rPr>
          <w:rStyle w:val="FootnoteReference"/>
        </w:rPr>
        <w:footnoteReference w:id="2"/>
      </w:r>
      <w:r>
        <w:t xml:space="preserve"> </w:t>
      </w:r>
      <w:r w:rsidR="007A02D2">
        <w:t xml:space="preserve">There are around </w:t>
      </w:r>
      <w:r>
        <w:t xml:space="preserve">28,000 </w:t>
      </w:r>
      <w:r w:rsidRPr="00975358">
        <w:t xml:space="preserve">organisations </w:t>
      </w:r>
      <w:r>
        <w:t>endorsed</w:t>
      </w:r>
      <w:r w:rsidRPr="00975358">
        <w:t xml:space="preserve"> as DGRs</w:t>
      </w:r>
      <w:r w:rsidRPr="007A02D2">
        <w:rPr>
          <w:rStyle w:val="FootnoteReference"/>
        </w:rPr>
        <w:footnoteReference w:id="3"/>
      </w:r>
      <w:r w:rsidRPr="00975358">
        <w:t>, of which around 18 per cent are not</w:t>
      </w:r>
      <w:r>
        <w:t xml:space="preserve"> registered charities – under 10 per cent are government entities (and therefore not eligible for charity registration) and over 8 per cent could seek charity registration with </w:t>
      </w:r>
      <w:r w:rsidR="00C25570">
        <w:t xml:space="preserve">the </w:t>
      </w:r>
      <w:r>
        <w:t>ACNC.</w:t>
      </w:r>
    </w:p>
    <w:p w14:paraId="43685AAE" w14:textId="59C41C2A" w:rsidR="00D9207F" w:rsidRDefault="00D9207F" w:rsidP="00D9207F">
      <w:pPr>
        <w:pStyle w:val="OutlineNumbered1"/>
        <w:tabs>
          <w:tab w:val="clear" w:pos="1135"/>
        </w:tabs>
        <w:ind w:left="567"/>
      </w:pPr>
      <w:r>
        <w:t xml:space="preserve">DGR status allows an organisation to receive tax-deductible gifts and contributions. Donors are able to claim a tax deduction for gifts and contributions. The DGR tax arrangements are intended to encourage philanthropy and provide support for the NFP sector. Along with other tax concessions available to the NFP sector, DGR status encourages </w:t>
      </w:r>
      <w:r w:rsidR="001D1517">
        <w:t>donations to organisations and encourag</w:t>
      </w:r>
      <w:r>
        <w:t xml:space="preserve">es the delivery of goods and services that are of public benefit. The DGR provisions can be found in Division 30 of the </w:t>
      </w:r>
      <w:r w:rsidRPr="001031E3">
        <w:rPr>
          <w:i/>
        </w:rPr>
        <w:t>Income Tax Assessment Act 1997</w:t>
      </w:r>
      <w:r w:rsidRPr="00287E0A">
        <w:t xml:space="preserve"> </w:t>
      </w:r>
      <w:r>
        <w:t xml:space="preserve">(Gifts and Contributions). </w:t>
      </w:r>
    </w:p>
    <w:p w14:paraId="37841FB1" w14:textId="77777777" w:rsidR="00D9207F" w:rsidRDefault="00D9207F" w:rsidP="00D9207F">
      <w:pPr>
        <w:pStyle w:val="OutlineNumbered1"/>
        <w:tabs>
          <w:tab w:val="clear" w:pos="1135"/>
        </w:tabs>
        <w:ind w:left="567"/>
      </w:pPr>
      <w:r>
        <w:t>In recent times, two reviews have examined aspects of the DGR tax arrangements and made recommendations. Some recommendations remain under consideration.  The reviews are:</w:t>
      </w:r>
    </w:p>
    <w:p w14:paraId="62C08ED5" w14:textId="77777777" w:rsidR="00D9207F" w:rsidRDefault="00D9207F" w:rsidP="00D9207F">
      <w:pPr>
        <w:pStyle w:val="Bullet"/>
        <w:keepNext/>
        <w:tabs>
          <w:tab w:val="clear" w:pos="520"/>
          <w:tab w:val="num" w:pos="1134"/>
        </w:tabs>
        <w:ind w:left="1134"/>
      </w:pPr>
      <w:r>
        <w:t>the House of Representatives Standing Committee on the Environment’s inquiry on the Register of Environmental Organisations (REO inquiry</w:t>
      </w:r>
      <w:r>
        <w:rPr>
          <w:rStyle w:val="FootnoteReference"/>
        </w:rPr>
        <w:footnoteReference w:id="4"/>
      </w:r>
      <w:r>
        <w:t xml:space="preserve">) – April 2016; and </w:t>
      </w:r>
    </w:p>
    <w:p w14:paraId="103470CD" w14:textId="77777777" w:rsidR="00D9207F" w:rsidRDefault="00D9207F" w:rsidP="00D9207F">
      <w:pPr>
        <w:pStyle w:val="Bullet"/>
        <w:keepNext/>
        <w:tabs>
          <w:tab w:val="clear" w:pos="520"/>
          <w:tab w:val="num" w:pos="1134"/>
        </w:tabs>
        <w:ind w:left="1134"/>
      </w:pPr>
      <w:r>
        <w:t>the report of the NFP Sector Tax Concession Working Group</w:t>
      </w:r>
      <w:r>
        <w:rPr>
          <w:rStyle w:val="FootnoteReference"/>
        </w:rPr>
        <w:footnoteReference w:id="5"/>
      </w:r>
      <w:r>
        <w:t xml:space="preserve"> - May 2013.</w:t>
      </w:r>
    </w:p>
    <w:p w14:paraId="4104E7F4" w14:textId="26848B89" w:rsidR="00442D32" w:rsidRDefault="00EB717E" w:rsidP="00D9207F">
      <w:pPr>
        <w:pStyle w:val="OutlineNumbered1"/>
        <w:tabs>
          <w:tab w:val="clear" w:pos="1135"/>
        </w:tabs>
        <w:ind w:left="567"/>
      </w:pPr>
      <w:r>
        <w:t xml:space="preserve">Under the </w:t>
      </w:r>
      <w:r w:rsidRPr="00CD6BF1">
        <w:rPr>
          <w:i/>
        </w:rPr>
        <w:t>Australian Charities and Not-for-profits Commission Act 2012</w:t>
      </w:r>
      <w:r w:rsidR="001D1517">
        <w:rPr>
          <w:i/>
        </w:rPr>
        <w:t xml:space="preserve"> </w:t>
      </w:r>
      <w:r w:rsidR="00275614">
        <w:t xml:space="preserve">(Cth) </w:t>
      </w:r>
      <w:r w:rsidR="001D1517" w:rsidRPr="001D1517">
        <w:t>(ACNC Act)</w:t>
      </w:r>
      <w:r w:rsidRPr="001D1517">
        <w:t>,</w:t>
      </w:r>
      <w:r>
        <w:t xml:space="preserve"> registered </w:t>
      </w:r>
      <w:r w:rsidR="00ED24C5">
        <w:t>charities</w:t>
      </w:r>
      <w:r w:rsidR="00264890">
        <w:t xml:space="preserve"> (except basic religious charities)</w:t>
      </w:r>
      <w:r w:rsidR="00ED24C5">
        <w:t xml:space="preserve"> must meet a set of governance standards to be registered and remain registered with the ACNC</w:t>
      </w:r>
      <w:r>
        <w:t xml:space="preserve"> (the national regulator of charities established in December 2012)</w:t>
      </w:r>
      <w:r w:rsidR="00F60A89">
        <w:rPr>
          <w:rStyle w:val="FootnoteReference"/>
        </w:rPr>
        <w:footnoteReference w:id="6"/>
      </w:r>
      <w:r w:rsidR="00ED24C5">
        <w:t xml:space="preserve">. </w:t>
      </w:r>
      <w:r w:rsidR="00523478">
        <w:t>Compliance with the standards</w:t>
      </w:r>
      <w:r>
        <w:t xml:space="preserve"> and the ACNC Act</w:t>
      </w:r>
      <w:r w:rsidR="00523478">
        <w:t xml:space="preserve"> </w:t>
      </w:r>
      <w:r w:rsidR="00ED24C5">
        <w:t xml:space="preserve">help charities to </w:t>
      </w:r>
      <w:r w:rsidR="00523478">
        <w:t xml:space="preserve">retain </w:t>
      </w:r>
      <w:r w:rsidR="00512574">
        <w:t>the</w:t>
      </w:r>
      <w:r w:rsidR="00523478">
        <w:t xml:space="preserve"> public</w:t>
      </w:r>
      <w:r w:rsidR="00512574">
        <w:t>’s</w:t>
      </w:r>
      <w:r w:rsidR="00ED24C5">
        <w:t xml:space="preserve"> trust</w:t>
      </w:r>
      <w:r w:rsidR="00512574">
        <w:t xml:space="preserve"> and confidence</w:t>
      </w:r>
      <w:r w:rsidR="00523478">
        <w:t>.</w:t>
      </w:r>
    </w:p>
    <w:p w14:paraId="744359BF" w14:textId="6CB80457" w:rsidR="00DA139B" w:rsidRDefault="004313DC" w:rsidP="00704C8E">
      <w:pPr>
        <w:pStyle w:val="OutlineNumbered1"/>
        <w:tabs>
          <w:tab w:val="clear" w:pos="1135"/>
        </w:tabs>
        <w:ind w:left="567"/>
      </w:pPr>
      <w:r>
        <w:t xml:space="preserve">The </w:t>
      </w:r>
      <w:r w:rsidRPr="00926BD2">
        <w:rPr>
          <w:i/>
        </w:rPr>
        <w:t>Charities Act 2013</w:t>
      </w:r>
      <w:r>
        <w:t xml:space="preserve"> (Cth) (Charities Act) introduces statutory definitions of ‘charity’ and ‘charitable purpose’. </w:t>
      </w:r>
      <w:r w:rsidR="00AE516D">
        <w:t>To be a charity, the</w:t>
      </w:r>
      <w:r w:rsidR="00DA139B">
        <w:t xml:space="preserve"> organisation </w:t>
      </w:r>
      <w:r w:rsidR="00AE516D">
        <w:t xml:space="preserve">must </w:t>
      </w:r>
      <w:r w:rsidR="00DA139B">
        <w:t xml:space="preserve">have a charitable </w:t>
      </w:r>
      <w:r w:rsidR="00DA139B">
        <w:lastRenderedPageBreak/>
        <w:t>purpose</w:t>
      </w:r>
      <w:r w:rsidR="00C45940">
        <w:t xml:space="preserve"> or charitable purposes</w:t>
      </w:r>
      <w:r w:rsidR="008170F5">
        <w:t xml:space="preserve"> that are for the public benefit</w:t>
      </w:r>
      <w:r w:rsidR="00563D69">
        <w:rPr>
          <w:rStyle w:val="FootnoteReference"/>
        </w:rPr>
        <w:footnoteReference w:id="7"/>
      </w:r>
      <w:r w:rsidR="00DA139B">
        <w:t xml:space="preserve">. </w:t>
      </w:r>
      <w:r w:rsidR="0012673D">
        <w:t xml:space="preserve">The </w:t>
      </w:r>
      <w:r>
        <w:t xml:space="preserve">Charities Act </w:t>
      </w:r>
      <w:r w:rsidR="0012673D">
        <w:t xml:space="preserve">lists </w:t>
      </w:r>
      <w:r w:rsidR="00DA139B">
        <w:t xml:space="preserve">12 charitable purposes </w:t>
      </w:r>
      <w:r w:rsidR="0020223E">
        <w:t xml:space="preserve">which apply for the purposes of all </w:t>
      </w:r>
      <w:r w:rsidR="0003756E">
        <w:t>Commonwealth legislation</w:t>
      </w:r>
      <w:r w:rsidR="00DA139B">
        <w:t xml:space="preserve">.  The ACNC provides information, guidance and support for </w:t>
      </w:r>
      <w:r w:rsidR="009156DD">
        <w:t xml:space="preserve">registered </w:t>
      </w:r>
      <w:r w:rsidR="00DA139B">
        <w:t>charities in meeting their obligations</w:t>
      </w:r>
      <w:r w:rsidR="009156DD">
        <w:t xml:space="preserve"> under the ACNC legislation</w:t>
      </w:r>
      <w:r w:rsidR="00DA139B">
        <w:t xml:space="preserve">, as well as monitoring and managing non-compliance.  </w:t>
      </w:r>
    </w:p>
    <w:p w14:paraId="56D6F9FC" w14:textId="77777777" w:rsidR="006407B0" w:rsidRDefault="008125C1" w:rsidP="00704C8E">
      <w:pPr>
        <w:pStyle w:val="OutlineNumbered1"/>
        <w:tabs>
          <w:tab w:val="clear" w:pos="1135"/>
        </w:tabs>
        <w:ind w:left="567"/>
      </w:pPr>
      <w:r>
        <w:t>To be eligible to be registered as a charity with the ACNC</w:t>
      </w:r>
      <w:r w:rsidR="006407B0">
        <w:t>, the organisation must also:</w:t>
      </w:r>
    </w:p>
    <w:p w14:paraId="0A2DEC96" w14:textId="77777777" w:rsidR="008F0AD2" w:rsidRDefault="006407B0" w:rsidP="006407B0">
      <w:pPr>
        <w:pStyle w:val="Bullet"/>
        <w:tabs>
          <w:tab w:val="clear" w:pos="520"/>
          <w:tab w:val="num" w:pos="1134"/>
        </w:tabs>
        <w:ind w:left="1134"/>
      </w:pPr>
      <w:r>
        <w:t xml:space="preserve">be </w:t>
      </w:r>
      <w:r w:rsidR="008125C1">
        <w:t>a</w:t>
      </w:r>
      <w:r w:rsidR="007554F6">
        <w:t>n</w:t>
      </w:r>
      <w:r w:rsidR="008125C1">
        <w:t xml:space="preserve"> NFP</w:t>
      </w:r>
      <w:r w:rsidR="002F0F59">
        <w:t xml:space="preserve"> </w:t>
      </w:r>
      <w:r w:rsidR="008F0AD2">
        <w:t xml:space="preserve">entity; </w:t>
      </w:r>
    </w:p>
    <w:p w14:paraId="10410D4B" w14:textId="03E205E6" w:rsidR="006407B0" w:rsidRDefault="002F0F59" w:rsidP="006407B0">
      <w:pPr>
        <w:pStyle w:val="Bullet"/>
        <w:tabs>
          <w:tab w:val="clear" w:pos="520"/>
          <w:tab w:val="num" w:pos="1134"/>
        </w:tabs>
        <w:ind w:left="1134"/>
      </w:pPr>
      <w:r>
        <w:t>have an ABN</w:t>
      </w:r>
      <w:r w:rsidR="008125C1">
        <w:t xml:space="preserve">; </w:t>
      </w:r>
    </w:p>
    <w:p w14:paraId="2AA7BA6F" w14:textId="3EDE3DD1" w:rsidR="006407B0" w:rsidRDefault="006407B0" w:rsidP="006407B0">
      <w:pPr>
        <w:pStyle w:val="Bullet"/>
        <w:tabs>
          <w:tab w:val="clear" w:pos="520"/>
          <w:tab w:val="num" w:pos="1134"/>
        </w:tabs>
        <w:ind w:left="1134"/>
      </w:pPr>
      <w:r>
        <w:t>comply</w:t>
      </w:r>
      <w:r w:rsidR="008125C1">
        <w:t xml:space="preserve"> with ACNC governance standards</w:t>
      </w:r>
      <w:r w:rsidR="00E23870">
        <w:rPr>
          <w:rStyle w:val="FootnoteReference"/>
        </w:rPr>
        <w:footnoteReference w:id="8"/>
      </w:r>
      <w:r w:rsidR="008125C1">
        <w:t xml:space="preserve">; </w:t>
      </w:r>
    </w:p>
    <w:p w14:paraId="7FA7F309" w14:textId="1799EAED" w:rsidR="006407B0" w:rsidRDefault="008125C1" w:rsidP="006407B0">
      <w:pPr>
        <w:pStyle w:val="Bullet"/>
        <w:tabs>
          <w:tab w:val="clear" w:pos="520"/>
          <w:tab w:val="num" w:pos="1134"/>
        </w:tabs>
        <w:ind w:left="1134"/>
      </w:pPr>
      <w:r>
        <w:t xml:space="preserve">not have a </w:t>
      </w:r>
      <w:r w:rsidR="00F60A89">
        <w:t>‘</w:t>
      </w:r>
      <w:r>
        <w:t>disqualifying purpose</w:t>
      </w:r>
      <w:r w:rsidR="00F60A89">
        <w:t>’</w:t>
      </w:r>
      <w:r>
        <w:t xml:space="preserve"> (</w:t>
      </w:r>
      <w:r w:rsidR="00F60A89">
        <w:t>which means</w:t>
      </w:r>
      <w:r>
        <w:t xml:space="preserve"> </w:t>
      </w:r>
      <w:r w:rsidR="00F60A89">
        <w:t xml:space="preserve">the purpose of </w:t>
      </w:r>
      <w:r>
        <w:t xml:space="preserve">engaging </w:t>
      </w:r>
      <w:r w:rsidR="006407B0">
        <w:t xml:space="preserve">in </w:t>
      </w:r>
      <w:r>
        <w:t xml:space="preserve">or promoting activities that are unlawful or </w:t>
      </w:r>
      <w:r w:rsidR="008170F5">
        <w:t>contrary to public policy</w:t>
      </w:r>
      <w:r w:rsidR="00F60A89">
        <w:t>,</w:t>
      </w:r>
      <w:r w:rsidR="008170F5">
        <w:t xml:space="preserve"> </w:t>
      </w:r>
      <w:r w:rsidR="00713E86">
        <w:t xml:space="preserve">or </w:t>
      </w:r>
      <w:r w:rsidR="00F60A89">
        <w:t xml:space="preserve">the purpose of </w:t>
      </w:r>
      <w:r>
        <w:t>promot</w:t>
      </w:r>
      <w:r w:rsidR="00F60A89">
        <w:t>ing</w:t>
      </w:r>
      <w:r>
        <w:t xml:space="preserve"> or oppos</w:t>
      </w:r>
      <w:r w:rsidR="00F60A89">
        <w:t>ing</w:t>
      </w:r>
      <w:r>
        <w:t xml:space="preserve"> a political party or </w:t>
      </w:r>
      <w:r w:rsidR="00F60A89">
        <w:t xml:space="preserve">a </w:t>
      </w:r>
      <w:r>
        <w:t>candidate for political office</w:t>
      </w:r>
      <w:r w:rsidR="0067612A">
        <w:t>)</w:t>
      </w:r>
      <w:r>
        <w:t xml:space="preserve">; and </w:t>
      </w:r>
    </w:p>
    <w:p w14:paraId="6923A1BE" w14:textId="77777777" w:rsidR="008125C1" w:rsidRDefault="008125C1" w:rsidP="006407B0">
      <w:pPr>
        <w:pStyle w:val="Bullet"/>
        <w:tabs>
          <w:tab w:val="clear" w:pos="520"/>
          <w:tab w:val="num" w:pos="1134"/>
        </w:tabs>
        <w:ind w:left="1134"/>
      </w:pPr>
      <w:r>
        <w:t>not be an individual, political party o</w:t>
      </w:r>
      <w:r w:rsidR="002F0F59">
        <w:t>r</w:t>
      </w:r>
      <w:r>
        <w:t xml:space="preserve"> government entity.</w:t>
      </w:r>
    </w:p>
    <w:p w14:paraId="24F7EF87" w14:textId="69A59A71" w:rsidR="005D6237" w:rsidRDefault="005D6237" w:rsidP="00287E0A">
      <w:pPr>
        <w:pStyle w:val="OutlineNumbered1"/>
        <w:tabs>
          <w:tab w:val="clear" w:pos="1135"/>
        </w:tabs>
        <w:ind w:left="567"/>
      </w:pPr>
      <w:r>
        <w:t xml:space="preserve">The changes under consideration </w:t>
      </w:r>
      <w:r w:rsidR="00713E86">
        <w:t xml:space="preserve">in this paper </w:t>
      </w:r>
      <w:r w:rsidR="009B0DEE">
        <w:t>do not seek to change</w:t>
      </w:r>
      <w:r>
        <w:t xml:space="preserve"> the existing eligibility criteria</w:t>
      </w:r>
      <w:r w:rsidR="009B0DEE">
        <w:t>, as this</w:t>
      </w:r>
      <w:r>
        <w:t xml:space="preserve"> is beyond the scope of this paper. Scrutiny of an organisation’s continued eligibility is appropriate as the scope of activities undertaken by an organisation can change over time, potentially making them ineligible for DGR status. This discussion paper seeks feedback on how to manage compliance burdens associated with the process of more effectively </w:t>
      </w:r>
      <w:r w:rsidR="003B6D5D">
        <w:t xml:space="preserve">assessing and monitoring ongoing </w:t>
      </w:r>
      <w:r>
        <w:t>DGR eligibility.</w:t>
      </w:r>
    </w:p>
    <w:p w14:paraId="7738D26E" w14:textId="25056577" w:rsidR="00F413A7" w:rsidRDefault="00F413A7" w:rsidP="00F413A7">
      <w:pPr>
        <w:pStyle w:val="Heading2"/>
      </w:pPr>
      <w:bookmarkStart w:id="8" w:name="_Toc475351605"/>
      <w:bookmarkStart w:id="9" w:name="_Toc306887373"/>
      <w:bookmarkStart w:id="10" w:name="_Toc306887372"/>
      <w:r>
        <w:t>Issues</w:t>
      </w:r>
      <w:bookmarkEnd w:id="8"/>
      <w:r>
        <w:t xml:space="preserve"> </w:t>
      </w:r>
      <w:bookmarkEnd w:id="9"/>
    </w:p>
    <w:bookmarkEnd w:id="10"/>
    <w:p w14:paraId="59EDC6B0" w14:textId="127A88F1" w:rsidR="002F0F59" w:rsidRDefault="00F413A7" w:rsidP="00287E0A">
      <w:pPr>
        <w:pStyle w:val="OutlineNumbered1"/>
        <w:tabs>
          <w:tab w:val="clear" w:pos="1135"/>
        </w:tabs>
        <w:ind w:left="567"/>
      </w:pPr>
      <w:r>
        <w:t>DGR concessions were first provided in 1915</w:t>
      </w:r>
      <w:r w:rsidR="002F0F59">
        <w:t xml:space="preserve">. The DGR system has </w:t>
      </w:r>
      <w:r>
        <w:t xml:space="preserve">evolved </w:t>
      </w:r>
      <w:r w:rsidR="00BB4659">
        <w:t>over the years and it is timely and appropriate to consider whether the system is as simple and transparent as it could</w:t>
      </w:r>
      <w:r w:rsidR="002E60E6">
        <w:t xml:space="preserve"> be</w:t>
      </w:r>
      <w:r w:rsidR="00BB4659">
        <w:t xml:space="preserve">, so that DGRs can </w:t>
      </w:r>
      <w:r w:rsidR="002E60E6">
        <w:t xml:space="preserve">easily </w:t>
      </w:r>
      <w:r w:rsidR="00BB4659">
        <w:t>understand and meet their obligations.</w:t>
      </w:r>
      <w:r w:rsidR="00BA6E88">
        <w:t xml:space="preserve"> There are now 51 general categories (which includes the four registers).</w:t>
      </w:r>
      <w:r>
        <w:t xml:space="preserve"> </w:t>
      </w:r>
    </w:p>
    <w:p w14:paraId="50A98642" w14:textId="379F83FB" w:rsidR="0090390B" w:rsidRDefault="00BB4659" w:rsidP="001D1517">
      <w:pPr>
        <w:pStyle w:val="OutlineNumbered1"/>
        <w:tabs>
          <w:tab w:val="clear" w:pos="1135"/>
        </w:tabs>
        <w:ind w:left="567"/>
      </w:pPr>
      <w:r>
        <w:t xml:space="preserve">There are concerns that the application process for </w:t>
      </w:r>
      <w:r w:rsidR="002E60E6">
        <w:t xml:space="preserve">obtaining </w:t>
      </w:r>
      <w:r>
        <w:t>DGR status is</w:t>
      </w:r>
      <w:r w:rsidR="00C40CC9">
        <w:t xml:space="preserve"> too</w:t>
      </w:r>
      <w:r>
        <w:t xml:space="preserve"> complex. </w:t>
      </w:r>
      <w:r w:rsidR="00DA139B">
        <w:t>There are different processes for organisations that are already registered as charities and those that are</w:t>
      </w:r>
      <w:r w:rsidR="006C023C">
        <w:t xml:space="preserve"> </w:t>
      </w:r>
      <w:r w:rsidR="00DA139B">
        <w:t>n</w:t>
      </w:r>
      <w:r w:rsidR="006C023C">
        <w:t>o</w:t>
      </w:r>
      <w:r w:rsidR="00DA139B">
        <w:t>t. Organisations that are</w:t>
      </w:r>
      <w:r w:rsidR="002A7F59">
        <w:t xml:space="preserve"> </w:t>
      </w:r>
      <w:r w:rsidR="003B6D5D">
        <w:t>seeking registration</w:t>
      </w:r>
      <w:r w:rsidR="00DA139B">
        <w:t xml:space="preserve"> as charities can apply </w:t>
      </w:r>
      <w:r w:rsidR="00321735">
        <w:t>to the ACNC</w:t>
      </w:r>
      <w:r w:rsidR="00C40CC9">
        <w:t>, and</w:t>
      </w:r>
      <w:r w:rsidR="002A7F59">
        <w:t xml:space="preserve"> indicate on</w:t>
      </w:r>
      <w:r w:rsidR="00CB6122">
        <w:t xml:space="preserve"> the A</w:t>
      </w:r>
      <w:r w:rsidR="002A7F59">
        <w:t>CNC’s charity registration form</w:t>
      </w:r>
      <w:r w:rsidR="00CB6122">
        <w:t xml:space="preserve"> </w:t>
      </w:r>
      <w:r w:rsidR="003B6D5D">
        <w:t xml:space="preserve">that they want the ATO to assess their eligibility for </w:t>
      </w:r>
      <w:r w:rsidR="00DA139B">
        <w:t xml:space="preserve">one of 47 </w:t>
      </w:r>
      <w:r w:rsidR="00DA139B" w:rsidRPr="007557D0">
        <w:t>general DGR categories</w:t>
      </w:r>
      <w:r w:rsidR="00CB6122">
        <w:t>.</w:t>
      </w:r>
      <w:r w:rsidR="00DA139B">
        <w:t xml:space="preserve">  Organisations that are not </w:t>
      </w:r>
      <w:r w:rsidR="00321735">
        <w:t xml:space="preserve">registered as </w:t>
      </w:r>
      <w:r w:rsidR="00DA139B">
        <w:t xml:space="preserve">charities </w:t>
      </w:r>
      <w:r w:rsidR="00BE55FA">
        <w:t xml:space="preserve">can apply </w:t>
      </w:r>
      <w:r w:rsidR="0090390B">
        <w:t xml:space="preserve">directly </w:t>
      </w:r>
      <w:r w:rsidR="00BE55FA">
        <w:t>to the ATO for DGR endorsement</w:t>
      </w:r>
      <w:r w:rsidR="00DA139B">
        <w:t xml:space="preserve">. </w:t>
      </w:r>
    </w:p>
    <w:p w14:paraId="2C150B16" w14:textId="5253765B" w:rsidR="00DA139B" w:rsidRDefault="0090390B" w:rsidP="00CD6BF1">
      <w:pPr>
        <w:pStyle w:val="OutlineNumbered1"/>
        <w:numPr>
          <w:ilvl w:val="0"/>
          <w:numId w:val="0"/>
        </w:numPr>
        <w:ind w:left="568"/>
      </w:pPr>
      <w:r>
        <w:t>O</w:t>
      </w:r>
      <w:r w:rsidR="00DA139B">
        <w:t xml:space="preserve">rganisations can apply </w:t>
      </w:r>
      <w:r w:rsidR="004F3B77">
        <w:t xml:space="preserve">for entry </w:t>
      </w:r>
      <w:r w:rsidR="00DA139B">
        <w:t>to one of four</w:t>
      </w:r>
      <w:r w:rsidR="00BE55FA">
        <w:t xml:space="preserve"> DGR</w:t>
      </w:r>
      <w:r w:rsidR="00DA139B">
        <w:t xml:space="preserve"> registers</w:t>
      </w:r>
      <w:r w:rsidR="001D1517">
        <w:t xml:space="preserve"> – there are over 2,500 organisations on these registers</w:t>
      </w:r>
      <w:r w:rsidR="003B6D5D">
        <w:t>.</w:t>
      </w:r>
      <w:r w:rsidR="00DA139B">
        <w:t xml:space="preserve"> These registers are administered by four different Government departments</w:t>
      </w:r>
      <w:r w:rsidR="004F3B77">
        <w:t>:</w:t>
      </w:r>
    </w:p>
    <w:p w14:paraId="3E571BD7" w14:textId="77777777" w:rsidR="00DA139B" w:rsidRDefault="004F3B77" w:rsidP="004F3B77">
      <w:pPr>
        <w:pStyle w:val="Bullet"/>
        <w:tabs>
          <w:tab w:val="clear" w:pos="520"/>
          <w:tab w:val="num" w:pos="1134"/>
        </w:tabs>
        <w:ind w:left="1134"/>
      </w:pPr>
      <w:r>
        <w:lastRenderedPageBreak/>
        <w:t>The Department of Foreign Affairs and Trade administers the</w:t>
      </w:r>
      <w:r w:rsidR="00DA139B">
        <w:t xml:space="preserve"> Overseas Aid Gift Deduction Scheme </w:t>
      </w:r>
      <w:r>
        <w:t xml:space="preserve">and </w:t>
      </w:r>
      <w:r w:rsidR="00DA139B">
        <w:t>register</w:t>
      </w:r>
      <w:r>
        <w:rPr>
          <w:rStyle w:val="FootnoteReference"/>
        </w:rPr>
        <w:footnoteReference w:id="9"/>
      </w:r>
      <w:r w:rsidR="00DA139B">
        <w:t xml:space="preserve">. </w:t>
      </w:r>
    </w:p>
    <w:p w14:paraId="2ED3E092" w14:textId="77777777" w:rsidR="00DA139B" w:rsidRDefault="00DA139B" w:rsidP="004F3B77">
      <w:pPr>
        <w:pStyle w:val="Bullet"/>
        <w:tabs>
          <w:tab w:val="clear" w:pos="520"/>
          <w:tab w:val="num" w:pos="1134"/>
        </w:tabs>
        <w:ind w:left="1134"/>
      </w:pPr>
      <w:r>
        <w:t xml:space="preserve">The </w:t>
      </w:r>
      <w:r w:rsidR="004F3B77">
        <w:t xml:space="preserve">Department of Social Services administers the </w:t>
      </w:r>
      <w:r>
        <w:t>Register of Harm Prevention Charities</w:t>
      </w:r>
      <w:r w:rsidR="008E5966">
        <w:rPr>
          <w:rStyle w:val="FootnoteReference"/>
        </w:rPr>
        <w:footnoteReference w:id="10"/>
      </w:r>
      <w:r>
        <w:t xml:space="preserve">. </w:t>
      </w:r>
    </w:p>
    <w:p w14:paraId="115B163C" w14:textId="77777777" w:rsidR="00DA139B" w:rsidRDefault="00DA139B" w:rsidP="004F3B77">
      <w:pPr>
        <w:pStyle w:val="Bullet"/>
        <w:tabs>
          <w:tab w:val="clear" w:pos="520"/>
          <w:tab w:val="num" w:pos="1134"/>
        </w:tabs>
        <w:ind w:left="1134"/>
      </w:pPr>
      <w:r>
        <w:t xml:space="preserve">The </w:t>
      </w:r>
      <w:r w:rsidR="004F3B77">
        <w:t xml:space="preserve">Department of the Environment and Energy administers the </w:t>
      </w:r>
      <w:r>
        <w:t>Register of Environmental Organisation</w:t>
      </w:r>
      <w:r w:rsidR="004F3B77">
        <w:t>s</w:t>
      </w:r>
      <w:r w:rsidR="00DE3508">
        <w:rPr>
          <w:rStyle w:val="FootnoteReference"/>
        </w:rPr>
        <w:footnoteReference w:id="11"/>
      </w:r>
      <w:r>
        <w:t>.</w:t>
      </w:r>
    </w:p>
    <w:p w14:paraId="6E70C36D" w14:textId="5F57FB46" w:rsidR="00DA139B" w:rsidRDefault="00DA139B" w:rsidP="004F3B77">
      <w:pPr>
        <w:pStyle w:val="Bullet"/>
        <w:tabs>
          <w:tab w:val="clear" w:pos="520"/>
          <w:tab w:val="num" w:pos="1134"/>
        </w:tabs>
        <w:ind w:left="1134"/>
      </w:pPr>
      <w:r>
        <w:t xml:space="preserve">The </w:t>
      </w:r>
      <w:r w:rsidR="004F3B77">
        <w:t>Department of Communication</w:t>
      </w:r>
      <w:r w:rsidR="006A305B">
        <w:t>s</w:t>
      </w:r>
      <w:r w:rsidR="004F3B77">
        <w:t xml:space="preserve"> and the Arts administers the </w:t>
      </w:r>
      <w:r>
        <w:t>Register of Cultural Organisations</w:t>
      </w:r>
      <w:r w:rsidR="007557D0">
        <w:rPr>
          <w:rStyle w:val="FootnoteReference"/>
        </w:rPr>
        <w:footnoteReference w:id="12"/>
      </w:r>
      <w:r>
        <w:t xml:space="preserve">. </w:t>
      </w:r>
    </w:p>
    <w:p w14:paraId="2189613E" w14:textId="110C1880" w:rsidR="00131E7A" w:rsidRDefault="0090390B" w:rsidP="0090390B">
      <w:pPr>
        <w:pStyle w:val="OutlineNumbered1"/>
        <w:tabs>
          <w:tab w:val="clear" w:pos="1135"/>
        </w:tabs>
        <w:ind w:left="567"/>
      </w:pPr>
      <w:r>
        <w:t xml:space="preserve">The categories and registers have evolved over time, broadly </w:t>
      </w:r>
      <w:r w:rsidR="00C40CC9">
        <w:t xml:space="preserve">seeking </w:t>
      </w:r>
      <w:r>
        <w:t xml:space="preserve">to align the activities of DGRs with community expectations and </w:t>
      </w:r>
      <w:r w:rsidR="00020711">
        <w:t xml:space="preserve">to </w:t>
      </w:r>
      <w:r>
        <w:t xml:space="preserve">ensure the tax concessions deliver clear public benefits. </w:t>
      </w:r>
      <w:r w:rsidR="001D1517">
        <w:t>When first developed, i</w:t>
      </w:r>
      <w:r w:rsidR="00D55AD0">
        <w:t xml:space="preserve">t was considered that the registers required subject specific assessment of eligibility by their respective departments. </w:t>
      </w:r>
      <w:r w:rsidR="001D1517">
        <w:t>But i</w:t>
      </w:r>
      <w:r>
        <w:t>n practice, the four registers adopt a more involved process for DGR applicants</w:t>
      </w:r>
      <w:r w:rsidR="001D1517">
        <w:t xml:space="preserve"> and o</w:t>
      </w:r>
      <w:r w:rsidR="002E60E6">
        <w:t xml:space="preserve">btaining DGR status under the register arrangements can take </w:t>
      </w:r>
      <w:r w:rsidR="001D1517">
        <w:t>over a</w:t>
      </w:r>
      <w:r w:rsidR="002E60E6">
        <w:t xml:space="preserve"> year for some applications. </w:t>
      </w:r>
    </w:p>
    <w:p w14:paraId="40EC1D80" w14:textId="6A2D8616" w:rsidR="00DA139B" w:rsidRDefault="00DA139B" w:rsidP="00131E7A">
      <w:pPr>
        <w:pStyle w:val="OutlineNumbered1"/>
        <w:tabs>
          <w:tab w:val="clear" w:pos="1135"/>
        </w:tabs>
        <w:ind w:left="567"/>
      </w:pPr>
      <w:r>
        <w:t xml:space="preserve">Organisations that do not fall within one of the </w:t>
      </w:r>
      <w:r w:rsidR="00C40CC9">
        <w:t>47</w:t>
      </w:r>
      <w:r w:rsidR="007E7B72">
        <w:t xml:space="preserve"> </w:t>
      </w:r>
      <w:r w:rsidR="007557D0">
        <w:t xml:space="preserve">general </w:t>
      </w:r>
      <w:r>
        <w:t>categories</w:t>
      </w:r>
      <w:r w:rsidR="00C40CC9">
        <w:t xml:space="preserve"> or four registers </w:t>
      </w:r>
      <w:r>
        <w:t xml:space="preserve">may apply to be considered for specific listing with the Minister for Revenue and Financial Services. </w:t>
      </w:r>
      <w:r w:rsidR="00D55AD0">
        <w:t>There are currently only around 190 specifically listed organisations as they have been</w:t>
      </w:r>
      <w:r>
        <w:t xml:space="preserve"> granted DGR status </w:t>
      </w:r>
      <w:r w:rsidR="004225F2">
        <w:t xml:space="preserve">in ‘exceptional circumstances’. </w:t>
      </w:r>
      <w:r>
        <w:t xml:space="preserve">DGR organisations </w:t>
      </w:r>
      <w:r w:rsidR="00C40CC9">
        <w:t xml:space="preserve">with a specific listing </w:t>
      </w:r>
      <w:r w:rsidR="007E7B72">
        <w:t>may</w:t>
      </w:r>
      <w:r w:rsidR="007557D0">
        <w:t xml:space="preserve"> </w:t>
      </w:r>
      <w:r>
        <w:t xml:space="preserve">not </w:t>
      </w:r>
      <w:r w:rsidR="007E7B72">
        <w:t xml:space="preserve">be </w:t>
      </w:r>
      <w:r>
        <w:t>subject to a sunset clause</w:t>
      </w:r>
      <w:r w:rsidR="007E7B72">
        <w:t xml:space="preserve"> or registered with the ACNC</w:t>
      </w:r>
      <w:r>
        <w:t xml:space="preserve"> and are </w:t>
      </w:r>
      <w:r w:rsidR="00C40CC9">
        <w:t xml:space="preserve">effectively </w:t>
      </w:r>
      <w:r>
        <w:t xml:space="preserve">granted </w:t>
      </w:r>
      <w:r w:rsidR="007557D0">
        <w:t xml:space="preserve">DGR </w:t>
      </w:r>
      <w:r>
        <w:t>status in perpetuity</w:t>
      </w:r>
      <w:r w:rsidR="007E7B72">
        <w:t>, without being subject to governance standards</w:t>
      </w:r>
      <w:r w:rsidR="00514602">
        <w:t xml:space="preserve"> or the other requirements of the ACNC </w:t>
      </w:r>
      <w:r w:rsidR="00013959">
        <w:t>legislation</w:t>
      </w:r>
      <w:r>
        <w:t xml:space="preserve">. </w:t>
      </w:r>
    </w:p>
    <w:p w14:paraId="3D347E75" w14:textId="1F9C08FD" w:rsidR="00570152" w:rsidRDefault="00570152" w:rsidP="00287E0A">
      <w:pPr>
        <w:pStyle w:val="OutlineNumbered1"/>
        <w:tabs>
          <w:tab w:val="clear" w:pos="1135"/>
        </w:tabs>
        <w:ind w:left="567"/>
      </w:pPr>
      <w:r>
        <w:t>The majority of DGRs are endorsed without a sun</w:t>
      </w:r>
      <w:r w:rsidR="007E7B72">
        <w:t>-</w:t>
      </w:r>
      <w:r>
        <w:t xml:space="preserve">setting </w:t>
      </w:r>
      <w:r w:rsidR="00331749">
        <w:t>date</w:t>
      </w:r>
      <w:r>
        <w:t xml:space="preserve">, and </w:t>
      </w:r>
      <w:r w:rsidR="00331749">
        <w:t>they are not subject to</w:t>
      </w:r>
      <w:r w:rsidR="00131E7A">
        <w:t xml:space="preserve"> </w:t>
      </w:r>
      <w:r>
        <w:t>regular review</w:t>
      </w:r>
      <w:r w:rsidR="00131E7A">
        <w:t xml:space="preserve"> of their eligibility status</w:t>
      </w:r>
      <w:r>
        <w:t xml:space="preserve">. </w:t>
      </w:r>
      <w:r w:rsidR="00331749">
        <w:t xml:space="preserve">With the </w:t>
      </w:r>
      <w:r>
        <w:t>growing stock of DGR organisation</w:t>
      </w:r>
      <w:r w:rsidR="00331749">
        <w:t xml:space="preserve">s, the system would benefit from regular reviews to ensure </w:t>
      </w:r>
      <w:r w:rsidR="00F0179E">
        <w:t>an organisation’s</w:t>
      </w:r>
      <w:r w:rsidR="00020711">
        <w:t xml:space="preserve"> </w:t>
      </w:r>
      <w:r w:rsidR="00331749">
        <w:t xml:space="preserve">DGR status </w:t>
      </w:r>
      <w:r w:rsidR="00020711">
        <w:t xml:space="preserve">is </w:t>
      </w:r>
      <w:r w:rsidR="00331749">
        <w:t>up to date</w:t>
      </w:r>
      <w:r>
        <w:t xml:space="preserve">. </w:t>
      </w:r>
    </w:p>
    <w:p w14:paraId="21E428DF" w14:textId="1B1736CB" w:rsidR="00F4203E" w:rsidRDefault="00570152" w:rsidP="00287E0A">
      <w:pPr>
        <w:pStyle w:val="OutlineNumbered1"/>
        <w:tabs>
          <w:tab w:val="clear" w:pos="1135"/>
        </w:tabs>
        <w:ind w:left="567"/>
      </w:pPr>
      <w:r>
        <w:t xml:space="preserve">Certain types of DGRs are also required to establish a public fund to receive tax deductible gifts and contributions. </w:t>
      </w:r>
      <w:r w:rsidR="00D55AD0">
        <w:t>Public funds added additional governance</w:t>
      </w:r>
      <w:r w:rsidR="00DE2014">
        <w:t xml:space="preserve"> requirements to address risk particular to certain categories</w:t>
      </w:r>
      <w:r w:rsidR="00D55AD0">
        <w:t xml:space="preserve">. </w:t>
      </w:r>
      <w:r>
        <w:t xml:space="preserve">The establishment of a public fund requires the nomination of a </w:t>
      </w:r>
      <w:r w:rsidR="00264434">
        <w:t>‘</w:t>
      </w:r>
      <w:r>
        <w:t>responsible person</w:t>
      </w:r>
      <w:r w:rsidR="00264434">
        <w:t>’</w:t>
      </w:r>
      <w:r>
        <w:t xml:space="preserve"> as defined by the ATO</w:t>
      </w:r>
      <w:r w:rsidR="007A1C0D" w:rsidRPr="00975358">
        <w:rPr>
          <w:rStyle w:val="FootnoteReference"/>
        </w:rPr>
        <w:footnoteReference w:id="13"/>
      </w:r>
      <w:r w:rsidR="00264434">
        <w:t xml:space="preserve"> and there is some confusion </w:t>
      </w:r>
      <w:r w:rsidR="00F0179E">
        <w:t xml:space="preserve">with </w:t>
      </w:r>
      <w:r w:rsidR="00264434">
        <w:t>the ACNC</w:t>
      </w:r>
      <w:r w:rsidR="00F0179E">
        <w:t>’s</w:t>
      </w:r>
      <w:r w:rsidR="00264434">
        <w:t xml:space="preserve"> different definition for </w:t>
      </w:r>
      <w:r w:rsidR="00D60E02">
        <w:t>‘</w:t>
      </w:r>
      <w:r w:rsidR="00264434">
        <w:t>responsible person</w:t>
      </w:r>
      <w:r w:rsidR="00D60E02">
        <w:t>’</w:t>
      </w:r>
      <w:r w:rsidR="004045A9">
        <w:rPr>
          <w:rStyle w:val="FootnoteReference"/>
        </w:rPr>
        <w:footnoteReference w:id="14"/>
      </w:r>
      <w:r>
        <w:t xml:space="preserve">. DGR organisations in </w:t>
      </w:r>
      <w:r w:rsidR="00D60E02">
        <w:t xml:space="preserve">regional and </w:t>
      </w:r>
      <w:r w:rsidR="0023420D">
        <w:t>rural parts of</w:t>
      </w:r>
      <w:r>
        <w:t xml:space="preserve"> Australia often face </w:t>
      </w:r>
      <w:r>
        <w:lastRenderedPageBreak/>
        <w:t>difficulties in nominating a responsible person. This creates an additional procedural barrier for these types of DGRs, without necessarily improving governance.</w:t>
      </w:r>
      <w:r w:rsidR="003414B6">
        <w:t xml:space="preserve"> The public fund requirements </w:t>
      </w:r>
      <w:r w:rsidR="00331749">
        <w:t xml:space="preserve">may therefore be </w:t>
      </w:r>
      <w:r w:rsidR="003414B6">
        <w:t xml:space="preserve">unnecessary for DGRs that are charities </w:t>
      </w:r>
      <w:r w:rsidR="001D1517">
        <w:t xml:space="preserve">and </w:t>
      </w:r>
      <w:r w:rsidR="003414B6">
        <w:t>subject to ACNC governance standards.</w:t>
      </w:r>
      <w:r w:rsidR="00264434">
        <w:t xml:space="preserve"> </w:t>
      </w:r>
    </w:p>
    <w:p w14:paraId="4900A8BC" w14:textId="00F32028" w:rsidR="002F0F59" w:rsidRDefault="002F0F59" w:rsidP="00287E0A">
      <w:pPr>
        <w:pStyle w:val="OutlineNumbered1"/>
        <w:tabs>
          <w:tab w:val="clear" w:pos="1135"/>
        </w:tabs>
        <w:ind w:left="567"/>
      </w:pPr>
      <w:r>
        <w:t xml:space="preserve">There are also concerns </w:t>
      </w:r>
      <w:r w:rsidR="009345C1">
        <w:t xml:space="preserve">that some </w:t>
      </w:r>
      <w:r w:rsidR="00020711">
        <w:t xml:space="preserve">charities and DGRs undertake advocacy activity that may </w:t>
      </w:r>
      <w:r w:rsidR="009345C1">
        <w:t xml:space="preserve">be out of step with the expectations of </w:t>
      </w:r>
      <w:r w:rsidR="00020711">
        <w:t>the broader community</w:t>
      </w:r>
      <w:r w:rsidR="00FF1549">
        <w:t xml:space="preserve">, particularly </w:t>
      </w:r>
      <w:r w:rsidR="00331749">
        <w:t>by</w:t>
      </w:r>
      <w:r w:rsidR="00FF1549">
        <w:t xml:space="preserve"> environmental DGRs</w:t>
      </w:r>
      <w:r w:rsidR="00264434">
        <w:t xml:space="preserve"> </w:t>
      </w:r>
      <w:r w:rsidR="00FF1549">
        <w:t xml:space="preserve">which </w:t>
      </w:r>
      <w:r w:rsidR="002A0927">
        <w:t xml:space="preserve">must have a </w:t>
      </w:r>
      <w:r w:rsidR="00FF1549">
        <w:t>principal purpose of protecting the environment</w:t>
      </w:r>
      <w:r w:rsidR="002A0927">
        <w:t>.</w:t>
      </w:r>
      <w:r w:rsidR="00FF1549" w:rsidRPr="00975358">
        <w:rPr>
          <w:rStyle w:val="FootnoteReference"/>
        </w:rPr>
        <w:footnoteReference w:id="15"/>
      </w:r>
      <w:r w:rsidR="00FF1549">
        <w:t xml:space="preserve"> </w:t>
      </w:r>
    </w:p>
    <w:p w14:paraId="1B5EB9C8" w14:textId="2CC27536" w:rsidR="00363BA0" w:rsidRDefault="00363BA0" w:rsidP="00287E0A">
      <w:pPr>
        <w:pStyle w:val="OutlineNumbered1"/>
        <w:tabs>
          <w:tab w:val="clear" w:pos="1135"/>
        </w:tabs>
        <w:ind w:left="567"/>
      </w:pPr>
      <w:r>
        <w:t xml:space="preserve">Broadly, the various requirements for DGR eligibility </w:t>
      </w:r>
      <w:r w:rsidR="00A23D99">
        <w:t>are</w:t>
      </w:r>
      <w:r>
        <w:t xml:space="preserve"> directed at ensuring </w:t>
      </w:r>
      <w:r w:rsidR="00A15A45">
        <w:t>the activities of DGRs deliver benefits</w:t>
      </w:r>
      <w:r w:rsidR="006E3DBC">
        <w:t xml:space="preserve"> to the </w:t>
      </w:r>
      <w:r w:rsidR="001D1517">
        <w:t xml:space="preserve">Australian </w:t>
      </w:r>
      <w:r w:rsidR="006E3DBC">
        <w:t>community</w:t>
      </w:r>
      <w:r>
        <w:t xml:space="preserve">. However, requirements may be overlapping and </w:t>
      </w:r>
      <w:r w:rsidR="006E3DBC">
        <w:t>inconsistently applied across organisations. T</w:t>
      </w:r>
      <w:r w:rsidR="009800F8">
        <w:t>ransparency and accountability regarding the eligibility of DGRs</w:t>
      </w:r>
      <w:r w:rsidR="006E3DBC">
        <w:t>, which can change the scope of their activities</w:t>
      </w:r>
      <w:r w:rsidR="009800F8">
        <w:t xml:space="preserve"> over time</w:t>
      </w:r>
      <w:r w:rsidR="006E3DBC">
        <w:t>,</w:t>
      </w:r>
      <w:r w:rsidR="006E3DBC" w:rsidRPr="006E3DBC">
        <w:t xml:space="preserve"> </w:t>
      </w:r>
      <w:r w:rsidR="006E3DBC">
        <w:t>is also lacking</w:t>
      </w:r>
      <w:r w:rsidR="009800F8">
        <w:t xml:space="preserve">. </w:t>
      </w:r>
    </w:p>
    <w:p w14:paraId="39561734" w14:textId="77777777" w:rsidR="007E1673" w:rsidRDefault="007E1673" w:rsidP="0067612A">
      <w:pPr>
        <w:pStyle w:val="Heading3"/>
      </w:pPr>
      <w:bookmarkStart w:id="11" w:name="_Toc475351606"/>
      <w:r>
        <w:t>Summary of proposed reforms</w:t>
      </w:r>
      <w:bookmarkEnd w:id="11"/>
    </w:p>
    <w:p w14:paraId="36C4F6BD" w14:textId="313ACF90" w:rsidR="002F0F59" w:rsidRDefault="002F0F59" w:rsidP="00287E0A">
      <w:pPr>
        <w:pStyle w:val="OutlineNumbered1"/>
        <w:tabs>
          <w:tab w:val="clear" w:pos="1135"/>
        </w:tabs>
        <w:ind w:left="567"/>
      </w:pPr>
      <w:r>
        <w:t xml:space="preserve">To strengthen the governance arrangements, reduce administrative complexity and </w:t>
      </w:r>
      <w:r w:rsidR="00A23D99">
        <w:t xml:space="preserve">to </w:t>
      </w:r>
      <w:r w:rsidR="00331749">
        <w:t xml:space="preserve">help </w:t>
      </w:r>
      <w:r w:rsidR="006D1BBF">
        <w:t>ensure</w:t>
      </w:r>
      <w:r>
        <w:t xml:space="preserve"> </w:t>
      </w:r>
      <w:r w:rsidR="00331749">
        <w:t>an</w:t>
      </w:r>
      <w:r w:rsidR="006D1BBF">
        <w:t xml:space="preserve"> organisation</w:t>
      </w:r>
      <w:r w:rsidR="00331749">
        <w:t>’</w:t>
      </w:r>
      <w:r w:rsidR="006D1BBF">
        <w:t>s DGR status</w:t>
      </w:r>
      <w:r w:rsidR="00331749">
        <w:t xml:space="preserve"> is up to date</w:t>
      </w:r>
      <w:r>
        <w:t xml:space="preserve">, this paper </w:t>
      </w:r>
      <w:r w:rsidR="004F7C67">
        <w:t>consider</w:t>
      </w:r>
      <w:r w:rsidR="00760A35">
        <w:t xml:space="preserve">s a number of </w:t>
      </w:r>
      <w:r w:rsidR="00331749">
        <w:t xml:space="preserve">possible </w:t>
      </w:r>
      <w:r w:rsidR="00760A35">
        <w:t>reforms</w:t>
      </w:r>
      <w:r>
        <w:t>:</w:t>
      </w:r>
    </w:p>
    <w:p w14:paraId="3D3A8A20" w14:textId="493F6FCE" w:rsidR="007007AD" w:rsidRDefault="00331749" w:rsidP="00287E0A">
      <w:pPr>
        <w:pStyle w:val="Bullet"/>
        <w:tabs>
          <w:tab w:val="clear" w:pos="520"/>
          <w:tab w:val="num" w:pos="1134"/>
        </w:tabs>
        <w:ind w:left="1134"/>
      </w:pPr>
      <w:r>
        <w:t>A</w:t>
      </w:r>
      <w:r w:rsidR="00760A35">
        <w:t>ll</w:t>
      </w:r>
      <w:r w:rsidR="007007AD">
        <w:t xml:space="preserve"> DGRs </w:t>
      </w:r>
      <w:r>
        <w:t xml:space="preserve">could be required </w:t>
      </w:r>
      <w:r w:rsidR="007007AD">
        <w:t>to be charities registered and regulated by the ACNC</w:t>
      </w:r>
      <w:r w:rsidR="004F7C67">
        <w:t xml:space="preserve"> (other than government entities</w:t>
      </w:r>
      <w:r w:rsidR="00760A35">
        <w:t>,</w:t>
      </w:r>
      <w:r w:rsidR="004F7C67">
        <w:t xml:space="preserve"> which cannot be charities)</w:t>
      </w:r>
      <w:r>
        <w:t>.</w:t>
      </w:r>
      <w:r w:rsidR="007007AD">
        <w:t xml:space="preserve"> </w:t>
      </w:r>
    </w:p>
    <w:p w14:paraId="041E3EA3" w14:textId="675BBE41" w:rsidR="00C627A2" w:rsidRDefault="00331749" w:rsidP="00C627A2">
      <w:pPr>
        <w:pStyle w:val="Bullet"/>
        <w:tabs>
          <w:tab w:val="clear" w:pos="520"/>
          <w:tab w:val="num" w:pos="1134"/>
        </w:tabs>
        <w:ind w:left="1134"/>
      </w:pPr>
      <w:r>
        <w:t>T</w:t>
      </w:r>
      <w:r w:rsidR="004E075A">
        <w:t xml:space="preserve">he </w:t>
      </w:r>
      <w:r w:rsidR="007007AD">
        <w:t>ACNC</w:t>
      </w:r>
      <w:r w:rsidR="004A69BD">
        <w:t>’s guidance</w:t>
      </w:r>
      <w:r w:rsidR="007007AD">
        <w:t xml:space="preserve"> </w:t>
      </w:r>
      <w:r w:rsidR="001D1517">
        <w:t>for registered charities (and subsequently for DGRs) help</w:t>
      </w:r>
      <w:r w:rsidR="007007AD">
        <w:t xml:space="preserve"> </w:t>
      </w:r>
      <w:r>
        <w:t xml:space="preserve">these organisations </w:t>
      </w:r>
      <w:r w:rsidR="007007AD">
        <w:t>to understand their obligations, particularly for certain types of advocacy</w:t>
      </w:r>
      <w:r w:rsidR="004E075A">
        <w:t xml:space="preserve">. </w:t>
      </w:r>
      <w:r w:rsidR="00C627A2" w:rsidRPr="00C627A2">
        <w:t xml:space="preserve"> </w:t>
      </w:r>
      <w:r w:rsidR="00C627A2">
        <w:t xml:space="preserve">The ACNC has already </w:t>
      </w:r>
      <w:r w:rsidR="005E53CD">
        <w:t>developed guidance on advocacy</w:t>
      </w:r>
      <w:r w:rsidR="001D1517">
        <w:t xml:space="preserve"> so</w:t>
      </w:r>
      <w:r w:rsidR="005E53CD">
        <w:t xml:space="preserve"> </w:t>
      </w:r>
      <w:r w:rsidR="00C627A2">
        <w:t>DGRs that are</w:t>
      </w:r>
      <w:r w:rsidR="005E53CD">
        <w:t xml:space="preserve"> not</w:t>
      </w:r>
      <w:r w:rsidR="00C627A2">
        <w:t xml:space="preserve"> currently registered charities </w:t>
      </w:r>
      <w:r w:rsidR="00C07717">
        <w:t>should refer to this resource</w:t>
      </w:r>
      <w:r w:rsidR="00C627A2">
        <w:t xml:space="preserve">. </w:t>
      </w:r>
    </w:p>
    <w:p w14:paraId="09D1C2D2" w14:textId="54FBA479" w:rsidR="007007AD" w:rsidRDefault="004E075A" w:rsidP="00287E0A">
      <w:pPr>
        <w:pStyle w:val="Bullet"/>
        <w:tabs>
          <w:tab w:val="clear" w:pos="520"/>
          <w:tab w:val="num" w:pos="1134"/>
        </w:tabs>
        <w:ind w:left="1134"/>
      </w:pPr>
      <w:r>
        <w:t xml:space="preserve">The ACNC could revoke </w:t>
      </w:r>
      <w:r w:rsidR="00C6650A">
        <w:t xml:space="preserve">an organisation’s </w:t>
      </w:r>
      <w:r w:rsidR="0044593D">
        <w:t xml:space="preserve">registration </w:t>
      </w:r>
      <w:r>
        <w:t>status</w:t>
      </w:r>
      <w:r w:rsidR="005E53CD">
        <w:t>,</w:t>
      </w:r>
      <w:r>
        <w:t xml:space="preserve"> and </w:t>
      </w:r>
      <w:r w:rsidR="00760A35">
        <w:t>consequently</w:t>
      </w:r>
      <w:r>
        <w:t xml:space="preserve"> </w:t>
      </w:r>
      <w:r w:rsidR="001D1517">
        <w:t xml:space="preserve">the ATO would revoke </w:t>
      </w:r>
      <w:r w:rsidR="00400773">
        <w:t>the organisation</w:t>
      </w:r>
      <w:r w:rsidR="005E53CD">
        <w:t xml:space="preserve">’s </w:t>
      </w:r>
      <w:r>
        <w:t>DGR status, if</w:t>
      </w:r>
      <w:r w:rsidR="005E53CD">
        <w:t xml:space="preserve"> </w:t>
      </w:r>
      <w:r w:rsidR="00C85CF5">
        <w:t>one of the</w:t>
      </w:r>
      <w:r w:rsidR="00400773">
        <w:t xml:space="preserve"> grounds for revocation under the </w:t>
      </w:r>
      <w:r w:rsidR="009973ED">
        <w:t xml:space="preserve">ACNC Act </w:t>
      </w:r>
      <w:r w:rsidR="005E53CD">
        <w:t xml:space="preserve">were to </w:t>
      </w:r>
      <w:r w:rsidR="00400773">
        <w:t>exist</w:t>
      </w:r>
      <w:r w:rsidR="00A23D99">
        <w:t>.</w:t>
      </w:r>
      <w:r>
        <w:t xml:space="preserve"> </w:t>
      </w:r>
    </w:p>
    <w:p w14:paraId="5B885F16" w14:textId="4DF01EDA" w:rsidR="007007AD" w:rsidRPr="00D20D48" w:rsidRDefault="00C6650A" w:rsidP="00D20D48">
      <w:pPr>
        <w:pStyle w:val="Bullet"/>
        <w:tabs>
          <w:tab w:val="clear" w:pos="520"/>
          <w:tab w:val="num" w:pos="1134"/>
        </w:tabs>
        <w:ind w:left="1134"/>
      </w:pPr>
      <w:r>
        <w:t xml:space="preserve">To simplify the application process for DGRs, </w:t>
      </w:r>
      <w:r w:rsidR="007007AD">
        <w:t xml:space="preserve">the administration of the </w:t>
      </w:r>
      <w:r w:rsidR="004225F2">
        <w:t xml:space="preserve">four DGR registers </w:t>
      </w:r>
      <w:r>
        <w:t xml:space="preserve">could be transferred </w:t>
      </w:r>
      <w:r w:rsidR="007007AD">
        <w:t>to the ATO</w:t>
      </w:r>
      <w:r>
        <w:t>.</w:t>
      </w:r>
      <w:r w:rsidR="00DA02D2">
        <w:t xml:space="preserve"> Those organisations that do not fall within the four registers would still be able to apply to the Minister Revenue and Financial Services for specific listing.</w:t>
      </w:r>
    </w:p>
    <w:p w14:paraId="19B4AC5B" w14:textId="33A0862B" w:rsidR="00EC7829" w:rsidRDefault="00C6650A" w:rsidP="00287E0A">
      <w:pPr>
        <w:pStyle w:val="Bullet"/>
        <w:tabs>
          <w:tab w:val="clear" w:pos="520"/>
          <w:tab w:val="num" w:pos="1134"/>
        </w:tabs>
        <w:ind w:left="1134"/>
      </w:pPr>
      <w:r>
        <w:t>The</w:t>
      </w:r>
      <w:r w:rsidR="00206330" w:rsidRPr="000A4BA8">
        <w:t xml:space="preserve"> public fund requirement for </w:t>
      </w:r>
      <w:r w:rsidR="00AD219C">
        <w:t xml:space="preserve">DGRs that are </w:t>
      </w:r>
      <w:r w:rsidR="00206330" w:rsidRPr="000A4BA8">
        <w:t>charities</w:t>
      </w:r>
      <w:r w:rsidR="00AD219C">
        <w:t xml:space="preserve"> </w:t>
      </w:r>
      <w:r>
        <w:t xml:space="preserve">could be removed </w:t>
      </w:r>
      <w:r w:rsidR="00AD219C">
        <w:t xml:space="preserve">and </w:t>
      </w:r>
      <w:r w:rsidR="00AD219C" w:rsidRPr="000A4BA8">
        <w:t>DGR entities</w:t>
      </w:r>
      <w:r w:rsidR="00AD219C">
        <w:t xml:space="preserve"> </w:t>
      </w:r>
      <w:r>
        <w:t xml:space="preserve">could apply </w:t>
      </w:r>
      <w:r w:rsidR="00206330" w:rsidRPr="000A4BA8">
        <w:t xml:space="preserve">to be endorsed </w:t>
      </w:r>
      <w:r w:rsidR="00F0179E">
        <w:t>across</w:t>
      </w:r>
      <w:r w:rsidR="00F0179E" w:rsidRPr="000A4BA8">
        <w:t xml:space="preserve"> </w:t>
      </w:r>
      <w:r w:rsidR="00206330" w:rsidRPr="000A4BA8">
        <w:t>multiple categories</w:t>
      </w:r>
      <w:r>
        <w:t>.</w:t>
      </w:r>
    </w:p>
    <w:p w14:paraId="442ACDF9" w14:textId="0E303CE9" w:rsidR="00206330" w:rsidRDefault="00C6650A" w:rsidP="00287E0A">
      <w:pPr>
        <w:pStyle w:val="Bullet"/>
        <w:tabs>
          <w:tab w:val="clear" w:pos="520"/>
          <w:tab w:val="num" w:pos="1134"/>
        </w:tabs>
        <w:ind w:left="1134"/>
      </w:pPr>
      <w:r>
        <w:t>Regular reviews could be undertaken by the ACNC</w:t>
      </w:r>
      <w:r w:rsidR="001A1316">
        <w:t xml:space="preserve"> and/or </w:t>
      </w:r>
      <w:r>
        <w:t xml:space="preserve">ATO to ensure an organisation’s DGR status was up to date and to provide confidence to donors wishing to claim tax deductions for donations. In addition, </w:t>
      </w:r>
      <w:r w:rsidR="00206330">
        <w:t xml:space="preserve">DGRs </w:t>
      </w:r>
      <w:r>
        <w:t xml:space="preserve">could be required </w:t>
      </w:r>
      <w:r w:rsidR="00206330">
        <w:t>to certify annually that they meet the DGR eligibility requirements</w:t>
      </w:r>
      <w:r w:rsidR="006D1BBF">
        <w:t>,</w:t>
      </w:r>
      <w:r w:rsidR="00206330">
        <w:t xml:space="preserve"> with penalties for false statements</w:t>
      </w:r>
      <w:r w:rsidR="00A23D99">
        <w:t>.</w:t>
      </w:r>
    </w:p>
    <w:p w14:paraId="016761F0" w14:textId="195D8266" w:rsidR="006D1BBF" w:rsidRDefault="006D1BBF" w:rsidP="00287E0A">
      <w:pPr>
        <w:pStyle w:val="Bullet"/>
        <w:tabs>
          <w:tab w:val="clear" w:pos="520"/>
          <w:tab w:val="num" w:pos="1134"/>
        </w:tabs>
        <w:ind w:left="1134"/>
      </w:pPr>
      <w:r>
        <w:lastRenderedPageBreak/>
        <w:t xml:space="preserve">The reforms outlined above would address </w:t>
      </w:r>
      <w:r w:rsidR="00824C14">
        <w:t>many</w:t>
      </w:r>
      <w:r>
        <w:t xml:space="preserve"> of the </w:t>
      </w:r>
      <w:r w:rsidR="009800F8">
        <w:t xml:space="preserve">issues identified by </w:t>
      </w:r>
      <w:r>
        <w:t>the House of Representatives Standing Committee’s REO inquiry</w:t>
      </w:r>
      <w:r w:rsidR="00653E6A">
        <w:rPr>
          <w:rStyle w:val="FootnoteReference"/>
        </w:rPr>
        <w:footnoteReference w:id="16"/>
      </w:r>
      <w:r>
        <w:t xml:space="preserve">. Further discussion of </w:t>
      </w:r>
      <w:r w:rsidR="00AC243E">
        <w:t xml:space="preserve">the REO inquiry </w:t>
      </w:r>
      <w:r>
        <w:t>recommendation</w:t>
      </w:r>
      <w:r w:rsidR="00AC243E">
        <w:t>s</w:t>
      </w:r>
      <w:r>
        <w:t xml:space="preserve"> are detailed below under the heading – </w:t>
      </w:r>
      <w:r w:rsidRPr="006D1BBF">
        <w:rPr>
          <w:i/>
        </w:rPr>
        <w:t>Parliamentary Inquiry into the Register of Environmental Organisations</w:t>
      </w:r>
      <w:r>
        <w:t>.</w:t>
      </w:r>
    </w:p>
    <w:p w14:paraId="7624F6CC" w14:textId="3047F4E4" w:rsidR="007C53C0" w:rsidRDefault="007C53C0" w:rsidP="006D1BBF">
      <w:pPr>
        <w:pStyle w:val="Heading3"/>
        <w:keepNext w:val="0"/>
      </w:pPr>
      <w:bookmarkStart w:id="12" w:name="_Toc475351607"/>
      <w:r>
        <w:t>Strengthening Governance Arrangements</w:t>
      </w:r>
      <w:bookmarkEnd w:id="12"/>
    </w:p>
    <w:p w14:paraId="031CDC50" w14:textId="3DA41ADF" w:rsidR="00793F01" w:rsidRDefault="00F47594" w:rsidP="006D1BBF">
      <w:pPr>
        <w:pStyle w:val="OutlineNumbered1"/>
        <w:numPr>
          <w:ilvl w:val="0"/>
          <w:numId w:val="0"/>
        </w:numPr>
        <w:ind w:left="567" w:hanging="567"/>
      </w:pPr>
      <w:r>
        <w:rPr>
          <w:u w:val="single"/>
        </w:rPr>
        <w:t>Issue</w:t>
      </w:r>
      <w:r w:rsidR="002143E9">
        <w:rPr>
          <w:u w:val="single"/>
        </w:rPr>
        <w:t xml:space="preserve"> 1</w:t>
      </w:r>
      <w:r>
        <w:rPr>
          <w:u w:val="single"/>
        </w:rPr>
        <w:t xml:space="preserve">: </w:t>
      </w:r>
      <w:r w:rsidR="00201BC9">
        <w:rPr>
          <w:u w:val="single"/>
        </w:rPr>
        <w:t>T</w:t>
      </w:r>
      <w:r w:rsidR="00793F01" w:rsidRPr="00187537">
        <w:rPr>
          <w:u w:val="single"/>
        </w:rPr>
        <w:t>ransparency in DGR dealings and adherence to governance sta</w:t>
      </w:r>
      <w:r w:rsidR="009C45D7">
        <w:rPr>
          <w:u w:val="single"/>
        </w:rPr>
        <w:t>ndards</w:t>
      </w:r>
      <w:r w:rsidR="00793F01" w:rsidRPr="00187537">
        <w:rPr>
          <w:u w:val="single"/>
        </w:rPr>
        <w:t>.</w:t>
      </w:r>
    </w:p>
    <w:p w14:paraId="053C8CCF" w14:textId="046BF76E" w:rsidR="00F47594" w:rsidRDefault="00793F01" w:rsidP="00704C8E">
      <w:pPr>
        <w:pStyle w:val="OutlineNumbered1"/>
        <w:tabs>
          <w:tab w:val="clear" w:pos="1135"/>
          <w:tab w:val="num" w:pos="567"/>
        </w:tabs>
        <w:ind w:left="567"/>
      </w:pPr>
      <w:r w:rsidRPr="009C45D7">
        <w:t>Around eight per cent of the current stock of 28,</w:t>
      </w:r>
      <w:r w:rsidR="00253F8F" w:rsidRPr="009C45D7">
        <w:t>0</w:t>
      </w:r>
      <w:r w:rsidRPr="009C45D7">
        <w:t xml:space="preserve">00 DGRs are </w:t>
      </w:r>
      <w:r w:rsidR="00591BF6">
        <w:t>not</w:t>
      </w:r>
      <w:r w:rsidRPr="009C45D7">
        <w:t xml:space="preserve"> registered</w:t>
      </w:r>
      <w:r>
        <w:t xml:space="preserve"> charities</w:t>
      </w:r>
      <w:r w:rsidR="001A1316">
        <w:t xml:space="preserve"> or</w:t>
      </w:r>
      <w:r>
        <w:t xml:space="preserve"> government entities.</w:t>
      </w:r>
      <w:r w:rsidR="00F47594">
        <w:t xml:space="preserve"> </w:t>
      </w:r>
      <w:r w:rsidR="008D23E4">
        <w:t>These organisations are not necessarily subject to robust reporting and governance standards</w:t>
      </w:r>
      <w:r w:rsidR="00DE2014">
        <w:rPr>
          <w:rStyle w:val="FootnoteReference"/>
        </w:rPr>
        <w:footnoteReference w:id="17"/>
      </w:r>
      <w:r w:rsidR="008D23E4">
        <w:t xml:space="preserve">. </w:t>
      </w:r>
    </w:p>
    <w:p w14:paraId="7EF286F6" w14:textId="6582F2DE" w:rsidR="00793F01" w:rsidRDefault="00793F01" w:rsidP="00704C8E">
      <w:pPr>
        <w:pStyle w:val="OutlineNumbered1"/>
        <w:tabs>
          <w:tab w:val="clear" w:pos="1135"/>
          <w:tab w:val="num" w:pos="567"/>
        </w:tabs>
        <w:ind w:left="567"/>
      </w:pPr>
      <w:r>
        <w:t xml:space="preserve">The four </w:t>
      </w:r>
      <w:r w:rsidR="00591BF6">
        <w:t>DGR registers</w:t>
      </w:r>
      <w:r w:rsidR="008D23E4">
        <w:t>, which</w:t>
      </w:r>
      <w:r w:rsidR="00591BF6">
        <w:t xml:space="preserve"> </w:t>
      </w:r>
      <w:r>
        <w:t>are not administered by the ATO</w:t>
      </w:r>
      <w:r w:rsidR="008D23E4">
        <w:t>,</w:t>
      </w:r>
      <w:r>
        <w:t xml:space="preserve"> have s</w:t>
      </w:r>
      <w:r w:rsidR="00591BF6">
        <w:t xml:space="preserve">eparate reporting requirements. </w:t>
      </w:r>
      <w:r>
        <w:t xml:space="preserve">Not all organisations on </w:t>
      </w:r>
      <w:r w:rsidR="00591BF6">
        <w:t>the environmental and cultural r</w:t>
      </w:r>
      <w:r>
        <w:t xml:space="preserve">egisters are charities, so </w:t>
      </w:r>
      <w:r w:rsidR="00DE2014">
        <w:t xml:space="preserve">organisations </w:t>
      </w:r>
      <w:r w:rsidR="00591BF6">
        <w:t xml:space="preserve">on the same register can have different </w:t>
      </w:r>
      <w:r>
        <w:t>reporting requirements and governance standards.</w:t>
      </w:r>
      <w:r w:rsidR="00DE2014">
        <w:t xml:space="preserve"> T</w:t>
      </w:r>
      <w:r w:rsidR="001A1316">
        <w:t>his also means that t</w:t>
      </w:r>
      <w:r w:rsidR="00DE2014">
        <w:t>here are organisations which report both to the register and the ACNC.</w:t>
      </w:r>
    </w:p>
    <w:p w14:paraId="3930912F" w14:textId="069D917E" w:rsidR="00793F01" w:rsidRDefault="0094282A" w:rsidP="00704C8E">
      <w:pPr>
        <w:pStyle w:val="OutlineNumbered1"/>
        <w:tabs>
          <w:tab w:val="clear" w:pos="1135"/>
          <w:tab w:val="num" w:pos="567"/>
        </w:tabs>
        <w:ind w:left="567"/>
      </w:pPr>
      <w:r>
        <w:t>The Government provides a substantial financial contribution to NFP entities through tax concessions</w:t>
      </w:r>
      <w:r w:rsidR="003877C5">
        <w:t>. The cost to the Commonwealth of deductions from donations to DGR</w:t>
      </w:r>
      <w:r w:rsidR="00420B5E">
        <w:t xml:space="preserve"> </w:t>
      </w:r>
      <w:r w:rsidR="007D70F8">
        <w:t>organisations</w:t>
      </w:r>
      <w:r w:rsidR="003877C5">
        <w:t xml:space="preserve"> is $1.31 billion in 2016-17 rising to an estimated </w:t>
      </w:r>
      <w:r w:rsidR="00275FBD">
        <w:t>$</w:t>
      </w:r>
      <w:r w:rsidR="003877C5">
        <w:t>1.46 billion in 2019-20. O</w:t>
      </w:r>
      <w:r>
        <w:t>nce an entity is a DGR</w:t>
      </w:r>
      <w:r w:rsidR="001A1316">
        <w:t>,</w:t>
      </w:r>
      <w:r>
        <w:t xml:space="preserve"> it is generally for life, </w:t>
      </w:r>
      <w:r w:rsidR="00663D50">
        <w:t>and is subject to</w:t>
      </w:r>
      <w:r>
        <w:t xml:space="preserve"> minimal governance unless it is an ACNC regulated charity. Given the generous tax concessions they receive</w:t>
      </w:r>
      <w:r w:rsidR="004227E1">
        <w:t>,</w:t>
      </w:r>
      <w:r>
        <w:t xml:space="preserve"> it is appropriate </w:t>
      </w:r>
      <w:r w:rsidR="004227E1">
        <w:t>to require</w:t>
      </w:r>
      <w:r>
        <w:t xml:space="preserve"> DGRs </w:t>
      </w:r>
      <w:r w:rsidR="002C7FE8">
        <w:t>to be</w:t>
      </w:r>
      <w:r>
        <w:t xml:space="preserve"> transparent in their dealings and </w:t>
      </w:r>
      <w:r w:rsidR="002C7FE8">
        <w:t xml:space="preserve">to </w:t>
      </w:r>
      <w:r>
        <w:t xml:space="preserve">adhere to </w:t>
      </w:r>
      <w:r w:rsidR="004227E1">
        <w:t xml:space="preserve">appropriate </w:t>
      </w:r>
      <w:r>
        <w:t xml:space="preserve">governance standards. </w:t>
      </w:r>
    </w:p>
    <w:p w14:paraId="173E9A02" w14:textId="77777777" w:rsidR="00793F01" w:rsidRPr="00793F01" w:rsidRDefault="00793F01" w:rsidP="00287E0A">
      <w:pPr>
        <w:pStyle w:val="OutlineNumbered1"/>
        <w:keepNext/>
        <w:numPr>
          <w:ilvl w:val="0"/>
          <w:numId w:val="0"/>
        </w:numPr>
        <w:rPr>
          <w:u w:val="single"/>
        </w:rPr>
      </w:pPr>
      <w:r>
        <w:rPr>
          <w:u w:val="single"/>
        </w:rPr>
        <w:t>Proposed Action</w:t>
      </w:r>
    </w:p>
    <w:p w14:paraId="57A701B6" w14:textId="455772C9" w:rsidR="00FE1A3F" w:rsidRDefault="00793F01" w:rsidP="00287E0A">
      <w:pPr>
        <w:pStyle w:val="OutlineNumbered1"/>
        <w:keepNext/>
        <w:tabs>
          <w:tab w:val="clear" w:pos="1135"/>
          <w:tab w:val="num" w:pos="567"/>
        </w:tabs>
        <w:ind w:left="567"/>
      </w:pPr>
      <w:r>
        <w:t xml:space="preserve">To </w:t>
      </w:r>
      <w:r w:rsidR="004227E1">
        <w:t>address transparency issues and improve DGR governance</w:t>
      </w:r>
      <w:r>
        <w:t xml:space="preserve">, DGRs </w:t>
      </w:r>
      <w:r w:rsidR="004F7C67">
        <w:t>(other than government entit</w:t>
      </w:r>
      <w:r w:rsidR="00E454A2">
        <w:t>ies</w:t>
      </w:r>
      <w:r w:rsidR="004F7C67">
        <w:t xml:space="preserve">) </w:t>
      </w:r>
      <w:r w:rsidR="0021693B">
        <w:t xml:space="preserve">could be required </w:t>
      </w:r>
      <w:r>
        <w:t xml:space="preserve">to become charities registered and regulated by the ACNC. This </w:t>
      </w:r>
      <w:r w:rsidR="0021693B">
        <w:t xml:space="preserve">would be </w:t>
      </w:r>
      <w:r>
        <w:t xml:space="preserve">consistent with </w:t>
      </w:r>
      <w:r w:rsidR="004227E1">
        <w:t xml:space="preserve">recommendation 2 from </w:t>
      </w:r>
      <w:r>
        <w:t xml:space="preserve">the House of Representatives Standing Committee on the Environment’s </w:t>
      </w:r>
      <w:r w:rsidR="004E075A">
        <w:t xml:space="preserve">REO </w:t>
      </w:r>
      <w:r>
        <w:t>inquiry</w:t>
      </w:r>
      <w:r w:rsidR="00E454A2">
        <w:t>. The Committee</w:t>
      </w:r>
      <w:r w:rsidR="004227E1">
        <w:t xml:space="preserve"> </w:t>
      </w:r>
      <w:r>
        <w:t xml:space="preserve">recommended requiring </w:t>
      </w:r>
      <w:r w:rsidR="00FA48EA">
        <w:t xml:space="preserve">environmental </w:t>
      </w:r>
      <w:r>
        <w:t xml:space="preserve">organisations </w:t>
      </w:r>
      <w:r w:rsidR="00FA48EA">
        <w:t xml:space="preserve">to be registered with the ACNC </w:t>
      </w:r>
      <w:r w:rsidR="00066B2B">
        <w:t xml:space="preserve">as a prerequisite to obtaining endorsement as a DGR </w:t>
      </w:r>
      <w:r w:rsidR="00F77B5C">
        <w:t>by</w:t>
      </w:r>
      <w:r w:rsidR="00066B2B">
        <w:t xml:space="preserve"> the ATO</w:t>
      </w:r>
      <w:r>
        <w:t>.</w:t>
      </w:r>
      <w:r w:rsidR="00F47594">
        <w:t xml:space="preserve"> </w:t>
      </w:r>
    </w:p>
    <w:p w14:paraId="3CF98BCB" w14:textId="35685B1C" w:rsidR="00F47594" w:rsidRDefault="00826E40" w:rsidP="00287E0A">
      <w:pPr>
        <w:pStyle w:val="OutlineNumbered1"/>
        <w:tabs>
          <w:tab w:val="clear" w:pos="1135"/>
          <w:tab w:val="num" w:pos="567"/>
        </w:tabs>
        <w:ind w:left="567"/>
      </w:pPr>
      <w:r>
        <w:t xml:space="preserve">The proposal is also consistent with recommendation 6.5 of the NFP Sector Tax Concession Working </w:t>
      </w:r>
      <w:r w:rsidR="004E075A">
        <w:t xml:space="preserve">Group </w:t>
      </w:r>
      <w:r>
        <w:t>Report of May</w:t>
      </w:r>
      <w:r w:rsidR="004E075A">
        <w:t> </w:t>
      </w:r>
      <w:r>
        <w:t>2013</w:t>
      </w:r>
      <w:r w:rsidRPr="005E7DCC">
        <w:rPr>
          <w:vertAlign w:val="superscript"/>
        </w:rPr>
        <w:footnoteReference w:id="18"/>
      </w:r>
      <w:r w:rsidR="00E454A2">
        <w:t xml:space="preserve">, which expected that the majority of current specifically listed or endorsed entities would fit within the proposed framework. </w:t>
      </w:r>
    </w:p>
    <w:p w14:paraId="72F09B9A" w14:textId="13B34727" w:rsidR="00824C14" w:rsidRDefault="00824C14" w:rsidP="00287E0A">
      <w:pPr>
        <w:pStyle w:val="OutlineNumbered1"/>
        <w:tabs>
          <w:tab w:val="clear" w:pos="1135"/>
          <w:tab w:val="num" w:pos="567"/>
        </w:tabs>
        <w:ind w:left="567"/>
      </w:pPr>
      <w:r>
        <w:t>For specific list</w:t>
      </w:r>
      <w:r w:rsidR="00F0179E">
        <w:t>ing as a DGR in the tax law</w:t>
      </w:r>
      <w:r>
        <w:t xml:space="preserve">, a Treasury Minister </w:t>
      </w:r>
      <w:r w:rsidR="008D23E4">
        <w:t xml:space="preserve">would </w:t>
      </w:r>
      <w:r>
        <w:t xml:space="preserve">have the discretion to propose to Cabinet an </w:t>
      </w:r>
      <w:r w:rsidR="008D23E4">
        <w:t>organisation that</w:t>
      </w:r>
      <w:r>
        <w:t xml:space="preserve"> is not a charity.</w:t>
      </w:r>
    </w:p>
    <w:p w14:paraId="1BB3AC35" w14:textId="5B51063C" w:rsidR="00622B84" w:rsidRDefault="006E1764" w:rsidP="00287E0A">
      <w:pPr>
        <w:pStyle w:val="OutlineNumbered1"/>
        <w:tabs>
          <w:tab w:val="clear" w:pos="1135"/>
          <w:tab w:val="num" w:pos="567"/>
        </w:tabs>
        <w:ind w:left="567"/>
      </w:pPr>
      <w:r>
        <w:t>For existing DGR organisations, t</w:t>
      </w:r>
      <w:r w:rsidR="00A6620D">
        <w:t xml:space="preserve">he requirement could commence 12 months after passage of the amending legislation or from Government announcement to give organisations and the ACNC sufficient time to register </w:t>
      </w:r>
      <w:r w:rsidR="001A1316">
        <w:t>the new</w:t>
      </w:r>
      <w:r w:rsidR="00A6620D">
        <w:t xml:space="preserve"> charities.</w:t>
      </w:r>
      <w:r>
        <w:t xml:space="preserve"> </w:t>
      </w:r>
    </w:p>
    <w:p w14:paraId="005368C6" w14:textId="4E691346" w:rsidR="00622B84" w:rsidRDefault="00622B84" w:rsidP="00287E0A">
      <w:pPr>
        <w:pStyle w:val="OutlineNumbered1"/>
        <w:tabs>
          <w:tab w:val="clear" w:pos="1135"/>
          <w:tab w:val="num" w:pos="567"/>
        </w:tabs>
        <w:ind w:left="567"/>
      </w:pPr>
      <w:r>
        <w:lastRenderedPageBreak/>
        <w:t xml:space="preserve">The ACNC’s registration team </w:t>
      </w:r>
      <w:r w:rsidR="0021693B">
        <w:t>would</w:t>
      </w:r>
      <w:r>
        <w:t xml:space="preserve"> work with existing DGR organisations to help them apply for </w:t>
      </w:r>
      <w:r w:rsidR="00F0179E">
        <w:t xml:space="preserve">charity </w:t>
      </w:r>
      <w:r w:rsidR="00DE1150">
        <w:t xml:space="preserve">registration </w:t>
      </w:r>
      <w:r>
        <w:t xml:space="preserve">status. They </w:t>
      </w:r>
      <w:r w:rsidR="0021693B">
        <w:t>would</w:t>
      </w:r>
      <w:r>
        <w:t xml:space="preserve"> </w:t>
      </w:r>
      <w:r w:rsidR="00B12B83">
        <w:t xml:space="preserve">engage </w:t>
      </w:r>
      <w:r>
        <w:t xml:space="preserve">with applicants to ensure that only organisations that are genuine charities are registered. </w:t>
      </w:r>
    </w:p>
    <w:p w14:paraId="35397097" w14:textId="70043EFA" w:rsidR="002C7FE8" w:rsidRDefault="005431C9" w:rsidP="00287E0A">
      <w:pPr>
        <w:pStyle w:val="OutlineNumbered1"/>
        <w:tabs>
          <w:tab w:val="clear" w:pos="1135"/>
          <w:tab w:val="num" w:pos="567"/>
        </w:tabs>
        <w:ind w:left="567"/>
      </w:pPr>
      <w:r>
        <w:t>ACNC r</w:t>
      </w:r>
      <w:r w:rsidR="002C7FE8">
        <w:t>egistration would mean that DGRs would be required to lodge an Annual Information Statement, and in the case of medium and large charities</w:t>
      </w:r>
      <w:r w:rsidR="00DE1150">
        <w:rPr>
          <w:rStyle w:val="FootnoteReference"/>
        </w:rPr>
        <w:footnoteReference w:id="19"/>
      </w:r>
      <w:r w:rsidR="002C7FE8">
        <w:t xml:space="preserve">, also lodge </w:t>
      </w:r>
      <w:r w:rsidR="00DE1150">
        <w:t xml:space="preserve">annual </w:t>
      </w:r>
      <w:r w:rsidR="002C7FE8">
        <w:t>financi</w:t>
      </w:r>
      <w:r w:rsidR="00F45F07">
        <w:t xml:space="preserve">al </w:t>
      </w:r>
      <w:r w:rsidR="007166DE">
        <w:t xml:space="preserve">reports </w:t>
      </w:r>
      <w:r w:rsidR="00FE1A3F">
        <w:t xml:space="preserve">with the ACNC, </w:t>
      </w:r>
      <w:r w:rsidR="00F45F07">
        <w:t>which are public</w:t>
      </w:r>
      <w:r w:rsidR="002C7FE8">
        <w:t>ly accessible through the ACNC Charity Register</w:t>
      </w:r>
      <w:r w:rsidR="007166DE">
        <w:t xml:space="preserve"> (ACNC Register)</w:t>
      </w:r>
      <w:r w:rsidR="002C7FE8">
        <w:t xml:space="preserve">. </w:t>
      </w:r>
      <w:r w:rsidR="005D5BEB">
        <w:t xml:space="preserve">Registration </w:t>
      </w:r>
      <w:r w:rsidR="00F0179E">
        <w:t xml:space="preserve">as a charity </w:t>
      </w:r>
      <w:r w:rsidR="005D5BEB">
        <w:t>would enhance transparency in the use of taxpayer funds.</w:t>
      </w:r>
    </w:p>
    <w:p w14:paraId="4B05BC9B" w14:textId="60E4625B" w:rsidR="00224659" w:rsidRDefault="00224659" w:rsidP="00287E0A">
      <w:pPr>
        <w:pStyle w:val="OutlineNumbered1"/>
        <w:tabs>
          <w:tab w:val="clear" w:pos="1135"/>
          <w:tab w:val="num" w:pos="567"/>
        </w:tabs>
        <w:ind w:left="567"/>
      </w:pPr>
      <w:r w:rsidRPr="00562386">
        <w:t xml:space="preserve">The ACNC Register includes core information on all registered charities, including name, contact details, governing documents, names and positions of people on their governing bodies, and financial reports (for medium and large charities). </w:t>
      </w:r>
      <w:r w:rsidR="00EB21DB">
        <w:t xml:space="preserve">The ACNC can withhold or remove information from the ACNC Register in prescribed circumstances. </w:t>
      </w:r>
      <w:r w:rsidR="00B12B83">
        <w:t>P</w:t>
      </w:r>
      <w:r w:rsidRPr="00562386">
        <w:t xml:space="preserve">rivate ancillary funds </w:t>
      </w:r>
      <w:r>
        <w:t xml:space="preserve">can </w:t>
      </w:r>
      <w:r w:rsidRPr="00562386">
        <w:t xml:space="preserve">ask the ACNC to withhold or remove some information from the </w:t>
      </w:r>
      <w:r w:rsidR="00AD527E">
        <w:t xml:space="preserve">ACNC </w:t>
      </w:r>
      <w:r w:rsidRPr="00562386">
        <w:t>Register</w:t>
      </w:r>
      <w:r>
        <w:t xml:space="preserve">, such as </w:t>
      </w:r>
      <w:r w:rsidRPr="00562386">
        <w:t>information likely to identify individual donors.</w:t>
      </w:r>
      <w:r w:rsidR="00EB21DB">
        <w:t xml:space="preserve"> </w:t>
      </w:r>
    </w:p>
    <w:p w14:paraId="0FB64EBA" w14:textId="5BB286BF" w:rsidR="002143E9" w:rsidRDefault="002C7FE8" w:rsidP="00287E0A">
      <w:pPr>
        <w:pStyle w:val="OutlineNumbered1"/>
        <w:tabs>
          <w:tab w:val="clear" w:pos="1135"/>
          <w:tab w:val="num" w:pos="567"/>
        </w:tabs>
        <w:ind w:left="567"/>
      </w:pPr>
      <w:r>
        <w:t>DGRs</w:t>
      </w:r>
      <w:r w:rsidR="005E7DCC">
        <w:t xml:space="preserve">, once registered as charities, </w:t>
      </w:r>
      <w:r>
        <w:t xml:space="preserve">would </w:t>
      </w:r>
      <w:r w:rsidR="00F47594">
        <w:t xml:space="preserve">also </w:t>
      </w:r>
      <w:r>
        <w:t xml:space="preserve">have to adhere to the ACNC governance standards. </w:t>
      </w:r>
      <w:r w:rsidR="00793F01">
        <w:t xml:space="preserve">If any DGR entities </w:t>
      </w:r>
      <w:r>
        <w:t>were</w:t>
      </w:r>
      <w:r w:rsidR="00793F01">
        <w:t xml:space="preserve"> not adhering to the standards, they </w:t>
      </w:r>
      <w:r>
        <w:t>could</w:t>
      </w:r>
      <w:r w:rsidR="00793F01">
        <w:t xml:space="preserve"> face revocation of their </w:t>
      </w:r>
      <w:r w:rsidR="00AD527E">
        <w:t xml:space="preserve">registration </w:t>
      </w:r>
      <w:r w:rsidR="00793F01">
        <w:t>status</w:t>
      </w:r>
      <w:r w:rsidR="00FE1A3F">
        <w:t>,</w:t>
      </w:r>
      <w:r w:rsidR="00793F01">
        <w:t xml:space="preserve"> which would mean that </w:t>
      </w:r>
      <w:r w:rsidR="00FE1A3F">
        <w:t xml:space="preserve">their DGR status could be revoked by the </w:t>
      </w:r>
      <w:r w:rsidR="00793F01">
        <w:t xml:space="preserve">ATO </w:t>
      </w:r>
      <w:r w:rsidR="00FE1A3F">
        <w:t xml:space="preserve">and </w:t>
      </w:r>
      <w:r w:rsidR="00911A9B">
        <w:t xml:space="preserve">also </w:t>
      </w:r>
      <w:r w:rsidR="00F0179E">
        <w:t>impact</w:t>
      </w:r>
      <w:r w:rsidR="00793F01">
        <w:t xml:space="preserve"> other tax concessions. </w:t>
      </w:r>
    </w:p>
    <w:p w14:paraId="782B8AB5" w14:textId="6AE821FA" w:rsidR="00A6620D" w:rsidRPr="00704C8E" w:rsidRDefault="00A6620D" w:rsidP="00975358">
      <w:pPr>
        <w:pStyle w:val="OutlineNumbered1"/>
        <w:numPr>
          <w:ilvl w:val="0"/>
          <w:numId w:val="0"/>
        </w:numPr>
        <w:ind w:left="567"/>
      </w:pPr>
    </w:p>
    <w:tbl>
      <w:tblPr>
        <w:tblStyle w:val="TableGrid"/>
        <w:tblW w:w="0" w:type="auto"/>
        <w:tblLook w:val="04A0" w:firstRow="1" w:lastRow="0" w:firstColumn="1" w:lastColumn="0" w:noHBand="0" w:noVBand="1"/>
      </w:tblPr>
      <w:tblGrid>
        <w:gridCol w:w="9178"/>
      </w:tblGrid>
      <w:tr w:rsidR="00247753" w14:paraId="02D910FC" w14:textId="77777777" w:rsidTr="00975358">
        <w:tc>
          <w:tcPr>
            <w:tcW w:w="9178" w:type="dxa"/>
          </w:tcPr>
          <w:p w14:paraId="13272891" w14:textId="6CABB3CA" w:rsidR="00247753" w:rsidRPr="00287E0A" w:rsidRDefault="00247753" w:rsidP="00975358">
            <w:pPr>
              <w:pStyle w:val="Bullet"/>
              <w:keepNext/>
              <w:numPr>
                <w:ilvl w:val="0"/>
                <w:numId w:val="0"/>
              </w:numPr>
              <w:rPr>
                <w:b/>
                <w:color w:val="342E82"/>
              </w:rPr>
            </w:pPr>
            <w:r w:rsidRPr="00287E0A">
              <w:rPr>
                <w:b/>
                <w:color w:val="342E82"/>
              </w:rPr>
              <w:t>Consultation question</w:t>
            </w:r>
            <w:r w:rsidR="00EF3250">
              <w:rPr>
                <w:b/>
                <w:color w:val="342E82"/>
              </w:rPr>
              <w:t>s</w:t>
            </w:r>
          </w:p>
          <w:p w14:paraId="2A7058A8" w14:textId="666C76CB" w:rsidR="0021693B" w:rsidRDefault="0021693B" w:rsidP="00975358">
            <w:pPr>
              <w:pStyle w:val="OutlineNumbered1"/>
              <w:keepNext/>
              <w:numPr>
                <w:ilvl w:val="0"/>
                <w:numId w:val="0"/>
              </w:numPr>
            </w:pPr>
            <w:r>
              <w:t xml:space="preserve">1. What are stakeholders’ views on a requirement for a DGR (other than government entity DGR) to be a </w:t>
            </w:r>
            <w:r w:rsidR="001B5CA0">
              <w:t xml:space="preserve">registered </w:t>
            </w:r>
            <w:r>
              <w:t xml:space="preserve">charity in order for it to be eligible for DGR status. What issues </w:t>
            </w:r>
            <w:r w:rsidR="006D5215">
              <w:t>could arise</w:t>
            </w:r>
            <w:r>
              <w:t>?</w:t>
            </w:r>
          </w:p>
          <w:p w14:paraId="1648ADA1" w14:textId="6A163710" w:rsidR="0021693B" w:rsidRDefault="0021693B" w:rsidP="00975358">
            <w:pPr>
              <w:pStyle w:val="OutlineNumbered1"/>
              <w:keepNext/>
              <w:numPr>
                <w:ilvl w:val="0"/>
                <w:numId w:val="0"/>
              </w:numPr>
            </w:pPr>
            <w:r>
              <w:t xml:space="preserve">2. Are there likely to be DGRs (other than </w:t>
            </w:r>
            <w:r w:rsidR="00AD527E">
              <w:t>g</w:t>
            </w:r>
            <w:r>
              <w:t>overnment entity DGRs) that could not meet this requirement and</w:t>
            </w:r>
            <w:r w:rsidR="006D5215">
              <w:t>,</w:t>
            </w:r>
            <w:r>
              <w:t xml:space="preserve"> if so</w:t>
            </w:r>
            <w:r w:rsidR="006D5215">
              <w:t>,</w:t>
            </w:r>
            <w:r>
              <w:t xml:space="preserve"> why? </w:t>
            </w:r>
          </w:p>
          <w:p w14:paraId="557EF710" w14:textId="714B6189" w:rsidR="00247753" w:rsidRDefault="0021693B" w:rsidP="00975358">
            <w:pPr>
              <w:pStyle w:val="Bullet"/>
              <w:keepNext/>
              <w:numPr>
                <w:ilvl w:val="0"/>
                <w:numId w:val="0"/>
              </w:numPr>
              <w:ind w:left="34"/>
            </w:pPr>
            <w:r>
              <w:t xml:space="preserve">3. Are there </w:t>
            </w:r>
            <w:r w:rsidR="006D5215">
              <w:t>particular</w:t>
            </w:r>
            <w:r>
              <w:t xml:space="preserve"> privacy concerns associated with this proposal for private ancillary funds and DGRs more broadly?</w:t>
            </w:r>
          </w:p>
        </w:tc>
      </w:tr>
    </w:tbl>
    <w:p w14:paraId="2F7484CA" w14:textId="310B79A9" w:rsidR="00BA6E88" w:rsidRDefault="00BA6E88">
      <w:pPr>
        <w:spacing w:after="0" w:line="240" w:lineRule="auto"/>
        <w:jc w:val="left"/>
        <w:rPr>
          <w:u w:val="single"/>
        </w:rPr>
      </w:pPr>
    </w:p>
    <w:p w14:paraId="7AD078C6" w14:textId="01E453EE" w:rsidR="00A364E8" w:rsidRPr="00CD6BF1" w:rsidRDefault="00A364E8" w:rsidP="00CD6BF1">
      <w:pPr>
        <w:pStyle w:val="OutlineNumbered1"/>
        <w:numPr>
          <w:ilvl w:val="0"/>
          <w:numId w:val="0"/>
        </w:numPr>
        <w:rPr>
          <w:u w:val="single"/>
        </w:rPr>
      </w:pPr>
      <w:r w:rsidRPr="00CD6BF1">
        <w:rPr>
          <w:u w:val="single"/>
        </w:rPr>
        <w:t>Issue</w:t>
      </w:r>
      <w:r w:rsidR="002143E9" w:rsidRPr="00CD6BF1">
        <w:rPr>
          <w:u w:val="single"/>
        </w:rPr>
        <w:t xml:space="preserve"> 2</w:t>
      </w:r>
      <w:r w:rsidR="005D5BEB" w:rsidRPr="00CD6BF1">
        <w:rPr>
          <w:u w:val="single"/>
        </w:rPr>
        <w:t xml:space="preserve">: </w:t>
      </w:r>
      <w:r w:rsidR="007E1673" w:rsidRPr="00CD6BF1">
        <w:rPr>
          <w:u w:val="single"/>
        </w:rPr>
        <w:t xml:space="preserve"> </w:t>
      </w:r>
      <w:r w:rsidR="00DE2014" w:rsidRPr="00CD6BF1">
        <w:rPr>
          <w:u w:val="single"/>
        </w:rPr>
        <w:t xml:space="preserve">Ensuring that </w:t>
      </w:r>
      <w:r w:rsidR="007E1673" w:rsidRPr="007E1673">
        <w:rPr>
          <w:u w:val="single"/>
        </w:rPr>
        <w:t>DGR</w:t>
      </w:r>
      <w:r w:rsidR="005D5BEB">
        <w:rPr>
          <w:u w:val="single"/>
        </w:rPr>
        <w:t>s</w:t>
      </w:r>
      <w:r w:rsidR="007E1673" w:rsidRPr="007E1673">
        <w:rPr>
          <w:u w:val="single"/>
        </w:rPr>
        <w:t xml:space="preserve"> understand their obligations, for example in respect of advocacy.</w:t>
      </w:r>
    </w:p>
    <w:p w14:paraId="2AB64F5F" w14:textId="17DEE0A1" w:rsidR="004F53BB" w:rsidRDefault="004F53BB" w:rsidP="00287E0A">
      <w:pPr>
        <w:pStyle w:val="OutlineNumbered1"/>
        <w:tabs>
          <w:tab w:val="clear" w:pos="1135"/>
        </w:tabs>
        <w:ind w:left="567"/>
      </w:pPr>
      <w:r>
        <w:t xml:space="preserve">There are concerns that charities and DGRs </w:t>
      </w:r>
      <w:r w:rsidR="00020711">
        <w:t xml:space="preserve">are unsure of the extent of </w:t>
      </w:r>
      <w:r>
        <w:t xml:space="preserve">advocacy </w:t>
      </w:r>
      <w:r w:rsidR="00020711">
        <w:t xml:space="preserve">they can </w:t>
      </w:r>
      <w:r>
        <w:t>undertake</w:t>
      </w:r>
      <w:r w:rsidR="00EC54E8">
        <w:t xml:space="preserve"> </w:t>
      </w:r>
      <w:r w:rsidR="00C44CE4">
        <w:t>without risking their DGR status.</w:t>
      </w:r>
      <w:r>
        <w:t xml:space="preserve"> </w:t>
      </w:r>
      <w:r w:rsidR="00C44CE4">
        <w:t xml:space="preserve">This is a </w:t>
      </w:r>
      <w:r>
        <w:t xml:space="preserve">particular </w:t>
      </w:r>
      <w:r w:rsidR="00C44CE4">
        <w:t>concern for</w:t>
      </w:r>
      <w:r>
        <w:t xml:space="preserve"> environmental DGRs, which must have a principal purpose of protecting the environment.</w:t>
      </w:r>
      <w:r w:rsidRPr="00975358">
        <w:rPr>
          <w:position w:val="6"/>
          <w:vertAlign w:val="superscript"/>
        </w:rPr>
        <w:footnoteReference w:id="20"/>
      </w:r>
      <w:r>
        <w:t xml:space="preserve"> </w:t>
      </w:r>
    </w:p>
    <w:p w14:paraId="2F0FCAB3" w14:textId="28F8D62F" w:rsidR="004549B0" w:rsidRDefault="004549B0" w:rsidP="00287E0A">
      <w:pPr>
        <w:pStyle w:val="OutlineNumbered1"/>
        <w:tabs>
          <w:tab w:val="clear" w:pos="1135"/>
        </w:tabs>
        <w:ind w:left="567"/>
      </w:pPr>
      <w:r>
        <w:lastRenderedPageBreak/>
        <w:t xml:space="preserve">With the ACNC’s establishment, charities were given time to transition to a new system. </w:t>
      </w:r>
      <w:r w:rsidR="00525DDA">
        <w:t>Noting</w:t>
      </w:r>
      <w:r>
        <w:t xml:space="preserve"> the ACNC’s ongoing role has been confirmed and </w:t>
      </w:r>
      <w:r w:rsidR="00525DDA">
        <w:t xml:space="preserve">given </w:t>
      </w:r>
      <w:r>
        <w:t xml:space="preserve">the proposal to require all DGRs to become </w:t>
      </w:r>
      <w:r w:rsidR="00A712AD">
        <w:t xml:space="preserve">registered </w:t>
      </w:r>
      <w:r>
        <w:t xml:space="preserve">charities, the ACNC </w:t>
      </w:r>
      <w:r w:rsidR="00E713DE">
        <w:t xml:space="preserve">would </w:t>
      </w:r>
      <w:r w:rsidR="001A1316">
        <w:t>work with</w:t>
      </w:r>
      <w:r w:rsidR="00DE2014">
        <w:t xml:space="preserve"> </w:t>
      </w:r>
      <w:r w:rsidR="00684944">
        <w:t>the</w:t>
      </w:r>
      <w:r>
        <w:t xml:space="preserve"> new registered charities</w:t>
      </w:r>
      <w:r w:rsidR="00DE2014">
        <w:t xml:space="preserve"> </w:t>
      </w:r>
      <w:r w:rsidR="001A1316">
        <w:t xml:space="preserve">to </w:t>
      </w:r>
      <w:r w:rsidR="00E713DE">
        <w:t xml:space="preserve">assist them to </w:t>
      </w:r>
      <w:r w:rsidR="00DE2014">
        <w:t>understand their obligations</w:t>
      </w:r>
      <w:r>
        <w:t xml:space="preserve">.  </w:t>
      </w:r>
    </w:p>
    <w:p w14:paraId="5FF4DD9C" w14:textId="599663C4" w:rsidR="00FE2902" w:rsidRPr="00253F8F" w:rsidRDefault="004549B0" w:rsidP="00287E0A">
      <w:pPr>
        <w:pStyle w:val="OutlineNumbered1"/>
        <w:numPr>
          <w:ilvl w:val="0"/>
          <w:numId w:val="0"/>
        </w:numPr>
      </w:pPr>
      <w:r w:rsidRPr="00287E0A">
        <w:rPr>
          <w:u w:val="single"/>
        </w:rPr>
        <w:t>Proposed Action</w:t>
      </w:r>
    </w:p>
    <w:p w14:paraId="25CA0BD1" w14:textId="2798DBE8" w:rsidR="004549B0" w:rsidRDefault="004549B0" w:rsidP="00287E0A">
      <w:pPr>
        <w:pStyle w:val="OutlineNumbered1"/>
        <w:tabs>
          <w:tab w:val="clear" w:pos="1135"/>
        </w:tabs>
        <w:ind w:left="567"/>
      </w:pPr>
      <w:r w:rsidRPr="00253F8F">
        <w:t xml:space="preserve">The ACNC </w:t>
      </w:r>
      <w:r w:rsidR="00E571CA">
        <w:t>would</w:t>
      </w:r>
      <w:r w:rsidR="00E571CA" w:rsidRPr="00253F8F">
        <w:t xml:space="preserve"> </w:t>
      </w:r>
      <w:r w:rsidRPr="00253F8F">
        <w:t xml:space="preserve">clearly set out the rules </w:t>
      </w:r>
      <w:r w:rsidR="00E571CA">
        <w:t>applying to</w:t>
      </w:r>
      <w:r w:rsidR="00E571CA" w:rsidRPr="00253F8F">
        <w:t xml:space="preserve"> </w:t>
      </w:r>
      <w:r w:rsidR="00A712AD">
        <w:t xml:space="preserve">registered </w:t>
      </w:r>
      <w:r w:rsidRPr="00253F8F">
        <w:t>charities</w:t>
      </w:r>
      <w:r w:rsidR="00DE2014">
        <w:t xml:space="preserve"> for the DGRs that become new </w:t>
      </w:r>
      <w:r w:rsidR="00E713DE">
        <w:t xml:space="preserve">registered </w:t>
      </w:r>
      <w:r w:rsidR="00DE2014">
        <w:t>charities</w:t>
      </w:r>
      <w:r w:rsidRPr="00253F8F">
        <w:t xml:space="preserve">, helping to ensure that they understand their obligations, particularly for certain types of advocacy. </w:t>
      </w:r>
      <w:r w:rsidR="001A1316">
        <w:t xml:space="preserve">As with all </w:t>
      </w:r>
      <w:r w:rsidR="00F45C65">
        <w:t xml:space="preserve">registered </w:t>
      </w:r>
      <w:r w:rsidR="001A1316">
        <w:t>charities, i</w:t>
      </w:r>
      <w:r w:rsidRPr="00253F8F">
        <w:t>f an organisation does not meet its obligations</w:t>
      </w:r>
      <w:r>
        <w:t xml:space="preserve">, the ACNC would be able to take steps </w:t>
      </w:r>
      <w:r w:rsidR="005C6DBD">
        <w:t xml:space="preserve">to facilitate compliance and where appropriate enforce proportionate sanctions which </w:t>
      </w:r>
      <w:r w:rsidR="002958B0">
        <w:t>c</w:t>
      </w:r>
      <w:r w:rsidR="005C6DBD">
        <w:t>ould include the</w:t>
      </w:r>
      <w:r>
        <w:t xml:space="preserve"> </w:t>
      </w:r>
      <w:r w:rsidR="005C6DBD">
        <w:t xml:space="preserve">revocation of </w:t>
      </w:r>
      <w:r w:rsidR="00A712AD">
        <w:t xml:space="preserve">registration </w:t>
      </w:r>
      <w:r>
        <w:t>status lead</w:t>
      </w:r>
      <w:r w:rsidR="005C6DBD">
        <w:t>ing</w:t>
      </w:r>
      <w:r>
        <w:t xml:space="preserve"> to the loss of their DGR status.</w:t>
      </w:r>
    </w:p>
    <w:p w14:paraId="533429B7" w14:textId="22FEDFC6" w:rsidR="00EB22B8" w:rsidRDefault="004F53BB" w:rsidP="00287E0A">
      <w:pPr>
        <w:pStyle w:val="OutlineNumbered1"/>
        <w:tabs>
          <w:tab w:val="clear" w:pos="1135"/>
        </w:tabs>
        <w:ind w:left="567"/>
      </w:pPr>
      <w:r>
        <w:t>The</w:t>
      </w:r>
      <w:r w:rsidRPr="00253F8F">
        <w:t xml:space="preserve"> ACNC give </w:t>
      </w:r>
      <w:r>
        <w:t>smaller charities</w:t>
      </w:r>
      <w:r w:rsidR="00641B56">
        <w:rPr>
          <w:rStyle w:val="FootnoteReference"/>
        </w:rPr>
        <w:footnoteReference w:id="21"/>
      </w:r>
      <w:r>
        <w:t xml:space="preserve"> </w:t>
      </w:r>
      <w:r w:rsidRPr="00253F8F">
        <w:t>additional support to help them comply</w:t>
      </w:r>
      <w:r w:rsidR="004549B0">
        <w:t xml:space="preserve"> with their reporting and other obligations</w:t>
      </w:r>
      <w:r>
        <w:t>.</w:t>
      </w:r>
      <w:r w:rsidR="00FE2902">
        <w:t xml:space="preserve"> </w:t>
      </w:r>
      <w:r w:rsidR="00684944">
        <w:t xml:space="preserve">It should be noted that the majority of registered charities are small, and do meet their obligations. </w:t>
      </w:r>
      <w:r w:rsidR="00FE2902">
        <w:t xml:space="preserve">A set of template </w:t>
      </w:r>
      <w:r w:rsidR="00DC315A">
        <w:t xml:space="preserve">governing documents and model </w:t>
      </w:r>
      <w:r w:rsidR="00FE2902">
        <w:t>rules for unincorporated associations has been developed with associated guidance and explanatory notes</w:t>
      </w:r>
      <w:r w:rsidR="00DC315A">
        <w:t xml:space="preserve"> to assist smaller charities meet certain legal requirements</w:t>
      </w:r>
      <w:r w:rsidR="00FE2902">
        <w:t>.</w:t>
      </w:r>
    </w:p>
    <w:p w14:paraId="78B89C16" w14:textId="45B95884" w:rsidR="00D20D48" w:rsidRDefault="00D20D48" w:rsidP="00D20D48">
      <w:pPr>
        <w:pStyle w:val="OutlineNumbered1"/>
        <w:numPr>
          <w:ilvl w:val="0"/>
          <w:numId w:val="0"/>
        </w:numPr>
        <w:ind w:left="567"/>
      </w:pPr>
    </w:p>
    <w:tbl>
      <w:tblPr>
        <w:tblStyle w:val="TableGrid"/>
        <w:tblW w:w="0" w:type="auto"/>
        <w:tblLook w:val="04A0" w:firstRow="1" w:lastRow="0" w:firstColumn="1" w:lastColumn="0" w:noHBand="0" w:noVBand="1"/>
      </w:tblPr>
      <w:tblGrid>
        <w:gridCol w:w="9286"/>
      </w:tblGrid>
      <w:tr w:rsidR="00922D3D" w14:paraId="5157081F" w14:textId="77777777" w:rsidTr="00975358">
        <w:tc>
          <w:tcPr>
            <w:tcW w:w="9286" w:type="dxa"/>
          </w:tcPr>
          <w:p w14:paraId="4B24FFC5" w14:textId="69E5DCA6" w:rsidR="006A16A7" w:rsidRPr="00975358" w:rsidRDefault="00922D3D" w:rsidP="00922D3D">
            <w:pPr>
              <w:pStyle w:val="Bullet"/>
              <w:numPr>
                <w:ilvl w:val="0"/>
                <w:numId w:val="0"/>
              </w:numPr>
              <w:rPr>
                <w:b/>
                <w:color w:val="342E82"/>
              </w:rPr>
            </w:pPr>
            <w:r w:rsidRPr="00975358">
              <w:rPr>
                <w:b/>
                <w:color w:val="342E82"/>
              </w:rPr>
              <w:t>Consultation question</w:t>
            </w:r>
            <w:r w:rsidR="00CD6BF1">
              <w:rPr>
                <w:b/>
                <w:color w:val="342E82"/>
              </w:rPr>
              <w:t>s</w:t>
            </w:r>
          </w:p>
          <w:p w14:paraId="32267394" w14:textId="32953C87" w:rsidR="005D14CC" w:rsidRDefault="005D14CC" w:rsidP="00CD6BF1">
            <w:pPr>
              <w:pStyle w:val="Bullet"/>
              <w:numPr>
                <w:ilvl w:val="0"/>
                <w:numId w:val="0"/>
              </w:numPr>
            </w:pPr>
            <w:r>
              <w:t xml:space="preserve">4. </w:t>
            </w:r>
            <w:r w:rsidRPr="005D14CC">
              <w:t>Should the ACNC require additional information fro</w:t>
            </w:r>
            <w:r w:rsidRPr="00047DDF">
              <w:t xml:space="preserve">m all </w:t>
            </w:r>
            <w:r w:rsidR="004A69BD">
              <w:t xml:space="preserve">registered </w:t>
            </w:r>
            <w:r w:rsidRPr="00047DDF">
              <w:t>charities about their advocacy activities?</w:t>
            </w:r>
          </w:p>
          <w:p w14:paraId="7EB5071B" w14:textId="29AC1650" w:rsidR="005D14CC" w:rsidRDefault="005D14CC" w:rsidP="00CD6BF1">
            <w:pPr>
              <w:pStyle w:val="Bullet"/>
              <w:numPr>
                <w:ilvl w:val="0"/>
                <w:numId w:val="0"/>
              </w:numPr>
            </w:pPr>
            <w:r>
              <w:t>5.</w:t>
            </w:r>
            <w:r w:rsidR="00927676">
              <w:t xml:space="preserve"> </w:t>
            </w:r>
            <w:r>
              <w:t>Is the Annual Information Statement the appropriate vehicle for collecting this information?</w:t>
            </w:r>
          </w:p>
          <w:p w14:paraId="1A768EF5" w14:textId="1F0D519B" w:rsidR="00922D3D" w:rsidRPr="00287E0A" w:rsidRDefault="00684944" w:rsidP="00CD6BF1">
            <w:pPr>
              <w:pStyle w:val="Bullet"/>
              <w:numPr>
                <w:ilvl w:val="0"/>
                <w:numId w:val="0"/>
              </w:numPr>
            </w:pPr>
            <w:r>
              <w:t>6. What is the best way to collect the information without imposing significant additional reporting burden?</w:t>
            </w:r>
            <w:r w:rsidR="00E571CA" w:rsidRPr="00975358">
              <w:t xml:space="preserve"> </w:t>
            </w:r>
          </w:p>
        </w:tc>
      </w:tr>
    </w:tbl>
    <w:p w14:paraId="133134B0" w14:textId="77777777" w:rsidR="007C53C0" w:rsidRDefault="007C53C0" w:rsidP="00045948">
      <w:pPr>
        <w:pStyle w:val="Heading3"/>
      </w:pPr>
      <w:bookmarkStart w:id="13" w:name="_Toc475351608"/>
      <w:r>
        <w:t>Reducing complexity</w:t>
      </w:r>
      <w:bookmarkEnd w:id="13"/>
    </w:p>
    <w:p w14:paraId="61BF0A4B" w14:textId="39B3AD8A" w:rsidR="003953BF" w:rsidRPr="00AA054C" w:rsidRDefault="002C540E" w:rsidP="003953BF">
      <w:pPr>
        <w:pStyle w:val="OutlineNumbered1"/>
        <w:numPr>
          <w:ilvl w:val="0"/>
          <w:numId w:val="0"/>
        </w:numPr>
        <w:rPr>
          <w:u w:val="single"/>
        </w:rPr>
      </w:pPr>
      <w:r w:rsidRPr="00AA054C">
        <w:rPr>
          <w:u w:val="single"/>
        </w:rPr>
        <w:t>Issue</w:t>
      </w:r>
      <w:r w:rsidR="002143E9">
        <w:rPr>
          <w:u w:val="single"/>
        </w:rPr>
        <w:t xml:space="preserve"> 3</w:t>
      </w:r>
      <w:r w:rsidR="003953BF" w:rsidRPr="00AA054C">
        <w:rPr>
          <w:u w:val="single"/>
        </w:rPr>
        <w:t xml:space="preserve">: </w:t>
      </w:r>
      <w:r w:rsidR="00AA054C" w:rsidRPr="00AA054C">
        <w:rPr>
          <w:u w:val="single"/>
        </w:rPr>
        <w:t>C</w:t>
      </w:r>
      <w:r w:rsidR="00EF24E3" w:rsidRPr="00AA054C">
        <w:rPr>
          <w:u w:val="single"/>
        </w:rPr>
        <w:t>omplexity for approvals</w:t>
      </w:r>
      <w:r w:rsidR="0086406F" w:rsidRPr="00AA054C">
        <w:rPr>
          <w:u w:val="single"/>
        </w:rPr>
        <w:t xml:space="preserve"> under the </w:t>
      </w:r>
      <w:r w:rsidR="00AA054C" w:rsidRPr="00AA054C">
        <w:rPr>
          <w:u w:val="single"/>
        </w:rPr>
        <w:t>four DGR registers</w:t>
      </w:r>
      <w:r w:rsidR="003953BF" w:rsidRPr="00AA054C">
        <w:rPr>
          <w:u w:val="single"/>
        </w:rPr>
        <w:t>.</w:t>
      </w:r>
    </w:p>
    <w:p w14:paraId="78FACE96" w14:textId="5D007336" w:rsidR="003953BF" w:rsidRDefault="003953BF" w:rsidP="00287E0A">
      <w:pPr>
        <w:pStyle w:val="OutlineNumbered1"/>
        <w:tabs>
          <w:tab w:val="clear" w:pos="1135"/>
        </w:tabs>
        <w:ind w:left="567"/>
      </w:pPr>
      <w:r>
        <w:t xml:space="preserve">Organisations </w:t>
      </w:r>
      <w:r w:rsidR="00A277C6">
        <w:t>in certain fields can qualify</w:t>
      </w:r>
      <w:r>
        <w:t xml:space="preserve"> for DGR status </w:t>
      </w:r>
      <w:r w:rsidR="00A277C6">
        <w:t>by being included on</w:t>
      </w:r>
      <w:r w:rsidRPr="003953BF">
        <w:t xml:space="preserve"> </w:t>
      </w:r>
      <w:r w:rsidR="00A277C6">
        <w:t xml:space="preserve">one of </w:t>
      </w:r>
      <w:r w:rsidR="005431C9">
        <w:t xml:space="preserve">the </w:t>
      </w:r>
      <w:r w:rsidR="00A277C6">
        <w:t>four DGR registers</w:t>
      </w:r>
      <w:r>
        <w:t xml:space="preserve"> - </w:t>
      </w:r>
      <w:r w:rsidRPr="003953BF">
        <w:t>the Register of Environmental Organisations (RE</w:t>
      </w:r>
      <w:r>
        <w:t>O</w:t>
      </w:r>
      <w:r w:rsidRPr="003953BF">
        <w:t xml:space="preserve">), </w:t>
      </w:r>
      <w:r>
        <w:t xml:space="preserve">the </w:t>
      </w:r>
      <w:r w:rsidRPr="003953BF">
        <w:t xml:space="preserve">Register of Cultural Organisations (ROCO), </w:t>
      </w:r>
      <w:r>
        <w:t xml:space="preserve">the </w:t>
      </w:r>
      <w:r w:rsidRPr="003953BF">
        <w:t xml:space="preserve">Register for Harm Prevention Charities (RHPC) and </w:t>
      </w:r>
      <w:r>
        <w:t xml:space="preserve">the </w:t>
      </w:r>
      <w:r w:rsidRPr="003953BF">
        <w:t xml:space="preserve">Overseas Aid Gift </w:t>
      </w:r>
      <w:r w:rsidR="00A712AD">
        <w:t>D</w:t>
      </w:r>
      <w:r w:rsidRPr="003953BF">
        <w:t>eduction Scheme</w:t>
      </w:r>
      <w:r>
        <w:t xml:space="preserve"> (OAGDS).</w:t>
      </w:r>
    </w:p>
    <w:p w14:paraId="039AC83A" w14:textId="0B866D63" w:rsidR="006A16A7" w:rsidRPr="003953BF" w:rsidRDefault="006A16A7" w:rsidP="006A16A7">
      <w:pPr>
        <w:pStyle w:val="OutlineNumbered1"/>
        <w:tabs>
          <w:tab w:val="clear" w:pos="1135"/>
        </w:tabs>
        <w:ind w:left="567"/>
      </w:pPr>
      <w:r>
        <w:t xml:space="preserve">The separate portfolio registers were established to draw on the subject-matter expertise within each agency when assessing applications against the requirements of the </w:t>
      </w:r>
      <w:r w:rsidRPr="00CC2765">
        <w:rPr>
          <w:i/>
        </w:rPr>
        <w:t>Income Tax Assessment Act 1997</w:t>
      </w:r>
      <w:r w:rsidR="002958B0">
        <w:t>.</w:t>
      </w:r>
    </w:p>
    <w:p w14:paraId="48D44D8C" w14:textId="4DD03CC6" w:rsidR="00AA054C" w:rsidRPr="00287E0A" w:rsidRDefault="003953BF" w:rsidP="00287E0A">
      <w:pPr>
        <w:pStyle w:val="OutlineNumbered1"/>
        <w:tabs>
          <w:tab w:val="clear" w:pos="1135"/>
        </w:tabs>
        <w:ind w:left="567"/>
      </w:pPr>
      <w:r>
        <w:t xml:space="preserve">It can take </w:t>
      </w:r>
      <w:r w:rsidR="001A1316">
        <w:t>over a</w:t>
      </w:r>
      <w:r>
        <w:t xml:space="preserve"> year for </w:t>
      </w:r>
      <w:r w:rsidR="00A277C6">
        <w:t>an</w:t>
      </w:r>
      <w:r>
        <w:t xml:space="preserve"> organisation to be </w:t>
      </w:r>
      <w:r w:rsidR="00A277C6">
        <w:t>included</w:t>
      </w:r>
      <w:r>
        <w:t xml:space="preserve"> </w:t>
      </w:r>
      <w:r w:rsidR="00A277C6">
        <w:t>on</w:t>
      </w:r>
      <w:r w:rsidR="00A277C6" w:rsidRPr="003953BF">
        <w:t xml:space="preserve"> </w:t>
      </w:r>
      <w:r w:rsidR="00012A1B">
        <w:t>a</w:t>
      </w:r>
      <w:r w:rsidR="00A277C6">
        <w:t xml:space="preserve"> DGR register</w:t>
      </w:r>
      <w:r>
        <w:t xml:space="preserve">. An organisation that applies for </w:t>
      </w:r>
      <w:r w:rsidR="00A277C6">
        <w:t>DGR</w:t>
      </w:r>
      <w:r>
        <w:t xml:space="preserve"> status under </w:t>
      </w:r>
      <w:r w:rsidR="00085216">
        <w:t xml:space="preserve">one of </w:t>
      </w:r>
      <w:r>
        <w:t>the</w:t>
      </w:r>
      <w:r w:rsidR="00A277C6">
        <w:t xml:space="preserve"> </w:t>
      </w:r>
      <w:r w:rsidR="00BE55FA">
        <w:t>DGR</w:t>
      </w:r>
      <w:r w:rsidR="00A277C6">
        <w:t xml:space="preserve"> registers </w:t>
      </w:r>
      <w:r>
        <w:t xml:space="preserve">must </w:t>
      </w:r>
      <w:r w:rsidR="00AA054C">
        <w:t xml:space="preserve">firstly </w:t>
      </w:r>
      <w:r>
        <w:t xml:space="preserve">apply to </w:t>
      </w:r>
      <w:r w:rsidR="00AA054C">
        <w:t xml:space="preserve">the government </w:t>
      </w:r>
      <w:r>
        <w:t>agenc</w:t>
      </w:r>
      <w:r w:rsidR="00085216">
        <w:t xml:space="preserve">y which </w:t>
      </w:r>
      <w:r>
        <w:t>administer</w:t>
      </w:r>
      <w:r w:rsidR="00085216">
        <w:t>s</w:t>
      </w:r>
      <w:r>
        <w:t xml:space="preserve"> </w:t>
      </w:r>
      <w:r w:rsidR="006D3AA7">
        <w:t>that</w:t>
      </w:r>
      <w:r>
        <w:t xml:space="preserve"> </w:t>
      </w:r>
      <w:r w:rsidR="00C25D74">
        <w:t>r</w:t>
      </w:r>
      <w:r>
        <w:t>egister</w:t>
      </w:r>
      <w:r w:rsidR="00F45F07">
        <w:t>.</w:t>
      </w:r>
      <w:r w:rsidR="00AA054C">
        <w:t xml:space="preserve"> </w:t>
      </w:r>
      <w:r>
        <w:t xml:space="preserve">Once the application </w:t>
      </w:r>
      <w:r>
        <w:lastRenderedPageBreak/>
        <w:t xml:space="preserve">has been assessed to meet the requirements of the </w:t>
      </w:r>
      <w:r w:rsidR="00AA054C">
        <w:t>particular r</w:t>
      </w:r>
      <w:r>
        <w:t xml:space="preserve">egister, the portfolio Minister must approve the addition and </w:t>
      </w:r>
      <w:r w:rsidR="00085216">
        <w:t xml:space="preserve">also </w:t>
      </w:r>
      <w:r>
        <w:t xml:space="preserve">seek a Treasury Minister’s </w:t>
      </w:r>
      <w:r w:rsidR="005431C9">
        <w:t>agreement</w:t>
      </w:r>
      <w:r>
        <w:t>. For the OAGDS</w:t>
      </w:r>
      <w:r w:rsidR="00AA054C">
        <w:t xml:space="preserve"> register</w:t>
      </w:r>
      <w:r>
        <w:t>, the Treasury Minister must also gazette the organisation</w:t>
      </w:r>
      <w:r w:rsidR="005431C9">
        <w:t>’s public fund</w:t>
      </w:r>
      <w:r>
        <w:t xml:space="preserve">. </w:t>
      </w:r>
      <w:r w:rsidR="00AA054C" w:rsidRPr="00287E0A">
        <w:t xml:space="preserve">Once </w:t>
      </w:r>
      <w:r w:rsidR="00D60E02" w:rsidRPr="00287E0A">
        <w:t>an</w:t>
      </w:r>
      <w:r w:rsidR="00AA054C" w:rsidRPr="00287E0A">
        <w:t xml:space="preserve"> application ha</w:t>
      </w:r>
      <w:r w:rsidR="00D60E02" w:rsidRPr="00287E0A">
        <w:t>s</w:t>
      </w:r>
      <w:r w:rsidR="00AA054C" w:rsidRPr="00287E0A">
        <w:t xml:space="preserve"> been through the Ministerial processes, the ATO can then officially </w:t>
      </w:r>
      <w:r w:rsidR="00D5755F" w:rsidRPr="00287E0A">
        <w:t xml:space="preserve">endorse them as a </w:t>
      </w:r>
      <w:r w:rsidR="00AA054C" w:rsidRPr="00287E0A">
        <w:t>DGR.</w:t>
      </w:r>
    </w:p>
    <w:p w14:paraId="13AFD3D8" w14:textId="0256AA89" w:rsidR="003953BF" w:rsidRDefault="00085216" w:rsidP="00287E0A">
      <w:pPr>
        <w:pStyle w:val="OutlineNumbered1"/>
        <w:tabs>
          <w:tab w:val="clear" w:pos="1135"/>
        </w:tabs>
        <w:ind w:left="567"/>
      </w:pPr>
      <w:r>
        <w:t>These arrangements are tim</w:t>
      </w:r>
      <w:r w:rsidR="00AA054C">
        <w:t>e</w:t>
      </w:r>
      <w:r>
        <w:t xml:space="preserve"> consuming and add little value to </w:t>
      </w:r>
      <w:r w:rsidR="006A16A7">
        <w:t xml:space="preserve">supporting a </w:t>
      </w:r>
      <w:r w:rsidR="00012A1B">
        <w:t>robust</w:t>
      </w:r>
      <w:r>
        <w:t xml:space="preserve"> process </w:t>
      </w:r>
      <w:r w:rsidR="00012A1B">
        <w:t>for</w:t>
      </w:r>
      <w:r>
        <w:t xml:space="preserve"> assessing an </w:t>
      </w:r>
      <w:r w:rsidR="00012A1B">
        <w:t>applicant’s eligibility</w:t>
      </w:r>
      <w:r>
        <w:t xml:space="preserve"> </w:t>
      </w:r>
      <w:r w:rsidR="006A16A7">
        <w:t xml:space="preserve">for </w:t>
      </w:r>
      <w:r>
        <w:t xml:space="preserve">DGR status. Furthermore, all the </w:t>
      </w:r>
      <w:r w:rsidR="00AA054C">
        <w:t>DGR registers</w:t>
      </w:r>
      <w:r>
        <w:t xml:space="preserve"> have different annual reporting requirements, adding unnecessary complexity.</w:t>
      </w:r>
      <w:r w:rsidR="006D5F5C">
        <w:t xml:space="preserve"> </w:t>
      </w:r>
      <w:r w:rsidR="005431C9">
        <w:t>If</w:t>
      </w:r>
      <w:r w:rsidR="006D5F5C">
        <w:t xml:space="preserve"> all DGRs</w:t>
      </w:r>
      <w:r w:rsidR="005431C9">
        <w:t xml:space="preserve"> are required</w:t>
      </w:r>
      <w:r w:rsidR="006D5F5C">
        <w:t xml:space="preserve"> to be</w:t>
      </w:r>
      <w:r w:rsidR="00A223D8">
        <w:t xml:space="preserve"> </w:t>
      </w:r>
      <w:r w:rsidR="00C44CE4">
        <w:t xml:space="preserve">a </w:t>
      </w:r>
      <w:r w:rsidR="00A223D8">
        <w:t>registered</w:t>
      </w:r>
      <w:r w:rsidR="006D5F5C">
        <w:t xml:space="preserve"> charit</w:t>
      </w:r>
      <w:r w:rsidR="00C44CE4">
        <w:t>y</w:t>
      </w:r>
      <w:r w:rsidR="006D5F5C">
        <w:t xml:space="preserve">, reporting </w:t>
      </w:r>
      <w:r w:rsidR="00B5660E">
        <w:t xml:space="preserve">could </w:t>
      </w:r>
      <w:r w:rsidR="006D5F5C">
        <w:t xml:space="preserve">be simplified. </w:t>
      </w:r>
      <w:r w:rsidR="001A1316">
        <w:t>The time taken to apply for DGR status could also be significantly reduced.</w:t>
      </w:r>
    </w:p>
    <w:p w14:paraId="4DAE1128" w14:textId="51D90E7A" w:rsidR="00EC4D31" w:rsidRPr="0086772B" w:rsidRDefault="00EC4D31" w:rsidP="00287E0A">
      <w:pPr>
        <w:pStyle w:val="OutlineNumbered1"/>
        <w:tabs>
          <w:tab w:val="clear" w:pos="1135"/>
        </w:tabs>
        <w:ind w:left="567"/>
      </w:pPr>
      <w:r w:rsidRPr="0086772B">
        <w:t xml:space="preserve">These issues </w:t>
      </w:r>
      <w:r w:rsidR="0067042D" w:rsidRPr="00287E0A">
        <w:t>were</w:t>
      </w:r>
      <w:r w:rsidRPr="0086772B">
        <w:t xml:space="preserve"> highlighted</w:t>
      </w:r>
      <w:r w:rsidR="0067042D" w:rsidRPr="00287E0A">
        <w:t xml:space="preserve"> as recommendations</w:t>
      </w:r>
      <w:r w:rsidRPr="0086772B">
        <w:t xml:space="preserve"> in the recent</w:t>
      </w:r>
      <w:r w:rsidR="0067042D" w:rsidRPr="00287E0A">
        <w:t xml:space="preserve"> REO inquiry and the </w:t>
      </w:r>
      <w:r w:rsidR="0086772B" w:rsidRPr="00287E0A">
        <w:t xml:space="preserve">2011 </w:t>
      </w:r>
      <w:r w:rsidR="0067042D" w:rsidRPr="00287E0A">
        <w:t>Mitchell report on Private Sector Support for the Arts.</w:t>
      </w:r>
      <w:r w:rsidR="0067042D" w:rsidRPr="00975358">
        <w:rPr>
          <w:position w:val="6"/>
          <w:vertAlign w:val="superscript"/>
        </w:rPr>
        <w:footnoteReference w:id="22"/>
      </w:r>
    </w:p>
    <w:p w14:paraId="5B5ED318" w14:textId="77777777" w:rsidR="003953BF" w:rsidRPr="003953BF" w:rsidRDefault="00525DDA" w:rsidP="003953BF">
      <w:pPr>
        <w:pStyle w:val="OutlineNumbered1"/>
        <w:numPr>
          <w:ilvl w:val="0"/>
          <w:numId w:val="0"/>
        </w:numPr>
        <w:rPr>
          <w:u w:val="single"/>
        </w:rPr>
      </w:pPr>
      <w:r>
        <w:rPr>
          <w:u w:val="single"/>
        </w:rPr>
        <w:t xml:space="preserve">Proposed </w:t>
      </w:r>
      <w:r w:rsidRPr="003953BF">
        <w:rPr>
          <w:u w:val="single"/>
        </w:rPr>
        <w:t>Action</w:t>
      </w:r>
    </w:p>
    <w:p w14:paraId="5FD52073" w14:textId="0BBEBF90" w:rsidR="00C93F61" w:rsidRDefault="00085216" w:rsidP="00287E0A">
      <w:pPr>
        <w:pStyle w:val="OutlineNumbered1"/>
        <w:tabs>
          <w:tab w:val="clear" w:pos="1135"/>
        </w:tabs>
        <w:ind w:left="567"/>
      </w:pPr>
      <w:r>
        <w:t>It is proposed to t</w:t>
      </w:r>
      <w:r w:rsidR="00A766C4">
        <w:t>ransfer</w:t>
      </w:r>
      <w:r>
        <w:t xml:space="preserve"> </w:t>
      </w:r>
      <w:r w:rsidR="002C540E">
        <w:t xml:space="preserve">the administration of the </w:t>
      </w:r>
      <w:r w:rsidR="00AA054C">
        <w:t xml:space="preserve">four DGR </w:t>
      </w:r>
      <w:r w:rsidR="005431C9">
        <w:t>Registers</w:t>
      </w:r>
      <w:r w:rsidR="00AA054C">
        <w:t xml:space="preserve"> </w:t>
      </w:r>
      <w:r w:rsidR="002C540E">
        <w:t>to the ATO.</w:t>
      </w:r>
      <w:r w:rsidR="003953BF">
        <w:t xml:space="preserve"> </w:t>
      </w:r>
      <w:r w:rsidR="00C93F61">
        <w:t xml:space="preserve">This proposal is consistent </w:t>
      </w:r>
      <w:r w:rsidR="00AA054C">
        <w:t xml:space="preserve">with </w:t>
      </w:r>
      <w:r w:rsidR="00D8054A">
        <w:t xml:space="preserve">recommendation 1 of the </w:t>
      </w:r>
      <w:r w:rsidR="00F45F07">
        <w:t>REO i</w:t>
      </w:r>
      <w:r w:rsidR="00D8054A">
        <w:t xml:space="preserve">nquiry by the </w:t>
      </w:r>
      <w:r w:rsidR="00C93F61">
        <w:t>House of Representatives Standing Committee on the Environment</w:t>
      </w:r>
      <w:r w:rsidR="00D8054A">
        <w:t>.</w:t>
      </w:r>
      <w:r w:rsidR="00AA054C">
        <w:t xml:space="preserve"> </w:t>
      </w:r>
      <w:r w:rsidR="00AA054C" w:rsidRPr="00704C8E">
        <w:t xml:space="preserve">The Committee recommended that </w:t>
      </w:r>
      <w:r w:rsidR="00A223D8">
        <w:t xml:space="preserve">REO </w:t>
      </w:r>
      <w:r w:rsidR="00AA054C" w:rsidRPr="00704C8E">
        <w:t xml:space="preserve">be abolished and that the administration process for endorsement as a </w:t>
      </w:r>
      <w:r w:rsidR="005A7A1C">
        <w:t xml:space="preserve">DGR </w:t>
      </w:r>
      <w:r w:rsidR="00AA054C" w:rsidRPr="00704C8E">
        <w:t xml:space="preserve">for environmental organisations be transferred wholly to the </w:t>
      </w:r>
      <w:r w:rsidR="00626B83">
        <w:t>ATO</w:t>
      </w:r>
      <w:r w:rsidR="00AA054C" w:rsidRPr="00704C8E">
        <w:t>.</w:t>
      </w:r>
    </w:p>
    <w:p w14:paraId="0E4AC8BA" w14:textId="29BD1C3F" w:rsidR="00C93F61" w:rsidRDefault="00085216" w:rsidP="00287E0A">
      <w:pPr>
        <w:pStyle w:val="OutlineNumbered1"/>
        <w:tabs>
          <w:tab w:val="clear" w:pos="1135"/>
        </w:tabs>
        <w:ind w:left="567"/>
      </w:pPr>
      <w:r>
        <w:t xml:space="preserve">Transferring the </w:t>
      </w:r>
      <w:r w:rsidR="00C93F61">
        <w:t xml:space="preserve">administration of </w:t>
      </w:r>
      <w:r w:rsidR="006D5F5C">
        <w:t xml:space="preserve">the four DGR </w:t>
      </w:r>
      <w:r w:rsidR="005431C9">
        <w:t>Registers</w:t>
      </w:r>
      <w:r w:rsidR="006D5F5C">
        <w:t xml:space="preserve"> to the ATO </w:t>
      </w:r>
      <w:r w:rsidR="00C93F61">
        <w:t>is expected to</w:t>
      </w:r>
      <w:r>
        <w:t xml:space="preserve"> reduce the </w:t>
      </w:r>
      <w:r w:rsidR="00C93F61">
        <w:t xml:space="preserve">compliance </w:t>
      </w:r>
      <w:r>
        <w:t>burden for the NFP sector, reduce government administration</w:t>
      </w:r>
      <w:r w:rsidR="006D5F5C">
        <w:t xml:space="preserve"> and </w:t>
      </w:r>
      <w:r>
        <w:t xml:space="preserve">reduce </w:t>
      </w:r>
      <w:r w:rsidR="00C93F61">
        <w:t xml:space="preserve">the </w:t>
      </w:r>
      <w:r w:rsidR="006D5F5C">
        <w:t xml:space="preserve">application processing time, as Ministers would no longer be required to </w:t>
      </w:r>
      <w:r w:rsidR="00AB7AB9">
        <w:t xml:space="preserve">agree to </w:t>
      </w:r>
      <w:r w:rsidR="006D5F5C">
        <w:t>DGR applications</w:t>
      </w:r>
      <w:r>
        <w:t xml:space="preserve">. </w:t>
      </w:r>
    </w:p>
    <w:p w14:paraId="66033F17" w14:textId="5D4D0BD7" w:rsidR="00085216" w:rsidRDefault="001F777F" w:rsidP="00287E0A">
      <w:pPr>
        <w:pStyle w:val="OutlineNumbered1"/>
        <w:tabs>
          <w:tab w:val="clear" w:pos="1135"/>
        </w:tabs>
        <w:ind w:left="567"/>
      </w:pPr>
      <w:r>
        <w:t>An organisation</w:t>
      </w:r>
      <w:r w:rsidR="00085216">
        <w:t xml:space="preserve"> must </w:t>
      </w:r>
      <w:r w:rsidR="001056D2">
        <w:t xml:space="preserve">already </w:t>
      </w:r>
      <w:r w:rsidR="00085216">
        <w:t xml:space="preserve">be a </w:t>
      </w:r>
      <w:r w:rsidR="00800C0E">
        <w:t xml:space="preserve">registered </w:t>
      </w:r>
      <w:r w:rsidR="00085216">
        <w:t xml:space="preserve">charity </w:t>
      </w:r>
      <w:r w:rsidR="00800C0E">
        <w:t xml:space="preserve">with the ACNC </w:t>
      </w:r>
      <w:r w:rsidR="00085216">
        <w:t xml:space="preserve">to </w:t>
      </w:r>
      <w:r w:rsidR="006D5F5C">
        <w:t>be added to</w:t>
      </w:r>
      <w:r w:rsidR="00085216">
        <w:t xml:space="preserve"> the RHPC and OAGDS</w:t>
      </w:r>
      <w:r w:rsidR="006D5F5C">
        <w:t xml:space="preserve"> register</w:t>
      </w:r>
      <w:r w:rsidR="00AB7AB9">
        <w:t>s</w:t>
      </w:r>
      <w:r>
        <w:t xml:space="preserve">. </w:t>
      </w:r>
      <w:r w:rsidR="00B5660E">
        <w:t xml:space="preserve">If </w:t>
      </w:r>
      <w:r w:rsidR="001056D2">
        <w:t xml:space="preserve">all </w:t>
      </w:r>
      <w:r w:rsidR="00085216">
        <w:t xml:space="preserve">DGRs </w:t>
      </w:r>
      <w:r w:rsidR="001056D2">
        <w:t xml:space="preserve">(other than government entities) </w:t>
      </w:r>
      <w:r w:rsidR="00B5660E">
        <w:t>were</w:t>
      </w:r>
      <w:r w:rsidR="00085216">
        <w:t xml:space="preserve"> </w:t>
      </w:r>
      <w:r w:rsidR="006D5F5C">
        <w:t>charit</w:t>
      </w:r>
      <w:r w:rsidR="001056D2">
        <w:t>ies</w:t>
      </w:r>
      <w:r w:rsidR="001A1316">
        <w:t>,</w:t>
      </w:r>
      <w:r w:rsidR="00085216">
        <w:t xml:space="preserve"> </w:t>
      </w:r>
      <w:r w:rsidR="00B5660E">
        <w:t xml:space="preserve">there would </w:t>
      </w:r>
      <w:r w:rsidR="00085216">
        <w:t xml:space="preserve">be one process for </w:t>
      </w:r>
      <w:r w:rsidR="006A16A7">
        <w:t xml:space="preserve">all </w:t>
      </w:r>
      <w:r w:rsidR="00085216">
        <w:t xml:space="preserve">non-government entities to apply for </w:t>
      </w:r>
      <w:r w:rsidR="00525DDA">
        <w:t xml:space="preserve">DGR status under </w:t>
      </w:r>
      <w:r w:rsidR="001A1316">
        <w:t>all</w:t>
      </w:r>
      <w:r w:rsidR="00AB7AB9">
        <w:t xml:space="preserve"> </w:t>
      </w:r>
      <w:r w:rsidR="00085216">
        <w:t xml:space="preserve">general DGR categories. </w:t>
      </w:r>
      <w:r w:rsidR="001056D2">
        <w:t xml:space="preserve">It </w:t>
      </w:r>
      <w:r w:rsidR="00B5660E">
        <w:t xml:space="preserve">would </w:t>
      </w:r>
      <w:r w:rsidR="006A16A7">
        <w:t xml:space="preserve">also </w:t>
      </w:r>
      <w:r w:rsidR="001056D2">
        <w:t xml:space="preserve">mean that </w:t>
      </w:r>
      <w:r w:rsidR="00085216">
        <w:t>all organisations on the</w:t>
      </w:r>
      <w:r w:rsidR="006D5F5C">
        <w:t xml:space="preserve"> </w:t>
      </w:r>
      <w:r w:rsidR="001056D2">
        <w:t xml:space="preserve">four </w:t>
      </w:r>
      <w:r w:rsidR="006D5F5C">
        <w:t xml:space="preserve">DGR registers </w:t>
      </w:r>
      <w:r w:rsidR="00132263">
        <w:t>would</w:t>
      </w:r>
      <w:r w:rsidR="00085216">
        <w:t xml:space="preserve"> need to complete </w:t>
      </w:r>
      <w:r w:rsidR="00C93F61">
        <w:t>an</w:t>
      </w:r>
      <w:r w:rsidR="00F45F07">
        <w:t xml:space="preserve"> Annual Information Statement</w:t>
      </w:r>
      <w:r w:rsidR="00085216">
        <w:t xml:space="preserve"> and where required, </w:t>
      </w:r>
      <w:r w:rsidR="00AF0C49">
        <w:t xml:space="preserve">lodge annual </w:t>
      </w:r>
      <w:r w:rsidR="00085216">
        <w:t xml:space="preserve">financial </w:t>
      </w:r>
      <w:r w:rsidR="00AF0C49">
        <w:t xml:space="preserve">reports </w:t>
      </w:r>
      <w:r w:rsidR="00085216">
        <w:t xml:space="preserve">for public scrutiny. This </w:t>
      </w:r>
      <w:r w:rsidR="00B5660E">
        <w:t xml:space="preserve">would also mean that </w:t>
      </w:r>
      <w:r w:rsidR="00132263">
        <w:t>DGR</w:t>
      </w:r>
      <w:r w:rsidR="00B5660E">
        <w:t xml:space="preserve">s, as </w:t>
      </w:r>
      <w:r w:rsidR="00AF0C49">
        <w:t xml:space="preserve">registered </w:t>
      </w:r>
      <w:r w:rsidR="00132263">
        <w:t>charities</w:t>
      </w:r>
      <w:r w:rsidR="00B5660E">
        <w:t>,</w:t>
      </w:r>
      <w:r w:rsidR="00132263">
        <w:t xml:space="preserve"> would need to </w:t>
      </w:r>
      <w:r w:rsidR="00085216">
        <w:t xml:space="preserve">adhere to the same </w:t>
      </w:r>
      <w:r w:rsidR="00FA33DD">
        <w:t xml:space="preserve">ACNC </w:t>
      </w:r>
      <w:r w:rsidR="00085216">
        <w:t xml:space="preserve">reporting and governance standards. </w:t>
      </w:r>
    </w:p>
    <w:p w14:paraId="2598460D" w14:textId="07D2264E" w:rsidR="00085216" w:rsidRDefault="00085216" w:rsidP="00287E0A">
      <w:pPr>
        <w:pStyle w:val="OutlineNumbered1"/>
        <w:tabs>
          <w:tab w:val="clear" w:pos="1135"/>
        </w:tabs>
        <w:ind w:left="567"/>
      </w:pPr>
      <w:r>
        <w:t xml:space="preserve">If there </w:t>
      </w:r>
      <w:r w:rsidR="001056D2">
        <w:t>were</w:t>
      </w:r>
      <w:r>
        <w:t xml:space="preserve"> additional questions that </w:t>
      </w:r>
      <w:r w:rsidR="001056D2">
        <w:t xml:space="preserve">were </w:t>
      </w:r>
      <w:r>
        <w:t>need</w:t>
      </w:r>
      <w:r w:rsidR="001056D2">
        <w:t>ed</w:t>
      </w:r>
      <w:r>
        <w:t xml:space="preserve"> </w:t>
      </w:r>
      <w:r w:rsidR="001056D2">
        <w:t>on the</w:t>
      </w:r>
      <w:r>
        <w:t xml:space="preserve"> Annual Information Statement, </w:t>
      </w:r>
      <w:r w:rsidR="001056D2">
        <w:t xml:space="preserve">the ACNC would </w:t>
      </w:r>
      <w:r>
        <w:t>consult</w:t>
      </w:r>
      <w:r w:rsidR="001056D2">
        <w:t xml:space="preserve"> on their content with </w:t>
      </w:r>
      <w:r w:rsidR="003461FD">
        <w:t xml:space="preserve">stakeholders, </w:t>
      </w:r>
      <w:r w:rsidR="001056D2">
        <w:t xml:space="preserve">the </w:t>
      </w:r>
      <w:r>
        <w:t>ATO</w:t>
      </w:r>
      <w:r w:rsidR="001056D2">
        <w:t>, Treasury</w:t>
      </w:r>
      <w:r>
        <w:t xml:space="preserve"> and </w:t>
      </w:r>
      <w:r w:rsidR="00C93F61">
        <w:t xml:space="preserve">the relevant government </w:t>
      </w:r>
      <w:r>
        <w:t>agency</w:t>
      </w:r>
      <w:r w:rsidR="003461FD">
        <w:t>.</w:t>
      </w:r>
      <w:r w:rsidR="00B82E88">
        <w:t xml:space="preserve"> </w:t>
      </w:r>
    </w:p>
    <w:p w14:paraId="5DC41B64" w14:textId="498D4BA3" w:rsidR="00D8054A" w:rsidRDefault="00C93F61" w:rsidP="00287E0A">
      <w:pPr>
        <w:pStyle w:val="OutlineNumbered1"/>
        <w:tabs>
          <w:tab w:val="clear" w:pos="1135"/>
        </w:tabs>
        <w:ind w:left="567"/>
      </w:pPr>
      <w:r>
        <w:t>Under this proposal</w:t>
      </w:r>
      <w:r w:rsidR="00B5660E">
        <w:t xml:space="preserve"> </w:t>
      </w:r>
      <w:r>
        <w:t>a</w:t>
      </w:r>
      <w:r w:rsidR="001A1316">
        <w:t>ll new applicants</w:t>
      </w:r>
      <w:r w:rsidR="003953BF">
        <w:t xml:space="preserve"> would need to apply once to the ACNC for </w:t>
      </w:r>
      <w:r w:rsidR="00754576">
        <w:t xml:space="preserve">registration </w:t>
      </w:r>
      <w:r w:rsidR="003953BF">
        <w:t xml:space="preserve">status and nominate to be considered for endorsement </w:t>
      </w:r>
      <w:r w:rsidR="00132263">
        <w:t>under</w:t>
      </w:r>
      <w:r w:rsidR="003953BF">
        <w:t xml:space="preserve"> </w:t>
      </w:r>
      <w:r w:rsidR="00132263">
        <w:t>one of t</w:t>
      </w:r>
      <w:r w:rsidR="003953BF">
        <w:t xml:space="preserve">he </w:t>
      </w:r>
      <w:r w:rsidR="00AB7AB9">
        <w:t xml:space="preserve">general </w:t>
      </w:r>
      <w:r w:rsidR="00DE3318">
        <w:t xml:space="preserve">DGR </w:t>
      </w:r>
      <w:r w:rsidR="00AB7AB9">
        <w:t>categories, which include</w:t>
      </w:r>
      <w:r w:rsidR="001A1316">
        <w:t>s</w:t>
      </w:r>
      <w:r w:rsidR="00AB7AB9">
        <w:t xml:space="preserve"> the four DGR registers</w:t>
      </w:r>
      <w:r w:rsidR="003953BF">
        <w:t xml:space="preserve">. Once </w:t>
      </w:r>
      <w:r w:rsidR="00BA00F4">
        <w:t xml:space="preserve">registration </w:t>
      </w:r>
      <w:r w:rsidR="003953BF">
        <w:t xml:space="preserve">status is approved, the ACNC would pass the information to the ATO </w:t>
      </w:r>
      <w:r w:rsidR="00FA33DD">
        <w:t>to</w:t>
      </w:r>
      <w:r w:rsidR="003953BF">
        <w:t xml:space="preserve"> assess </w:t>
      </w:r>
      <w:r w:rsidR="00FA33DD">
        <w:t>an organisation’s</w:t>
      </w:r>
      <w:r w:rsidR="003953BF">
        <w:t xml:space="preserve"> eligibility </w:t>
      </w:r>
      <w:r w:rsidR="00FA33DD">
        <w:t>against the</w:t>
      </w:r>
      <w:r w:rsidR="003953BF">
        <w:t xml:space="preserve"> </w:t>
      </w:r>
      <w:r w:rsidR="00FA33DD">
        <w:t>requirements</w:t>
      </w:r>
      <w:r w:rsidR="00FA33DD" w:rsidRPr="00FA33DD">
        <w:t xml:space="preserve"> </w:t>
      </w:r>
      <w:r w:rsidR="0025385C">
        <w:t xml:space="preserve">of the tax law in respect of that </w:t>
      </w:r>
      <w:r w:rsidR="00AB7AB9">
        <w:t xml:space="preserve">general </w:t>
      </w:r>
      <w:r w:rsidR="00BA00F4">
        <w:t xml:space="preserve">DGR </w:t>
      </w:r>
      <w:r w:rsidR="00AB7AB9">
        <w:t>category</w:t>
      </w:r>
      <w:r w:rsidR="003953BF">
        <w:t xml:space="preserve">. </w:t>
      </w:r>
      <w:r w:rsidR="00FA74B5">
        <w:t xml:space="preserve">It is </w:t>
      </w:r>
      <w:r w:rsidR="00FA33DD">
        <w:t>expected</w:t>
      </w:r>
      <w:r w:rsidR="00FA74B5">
        <w:t xml:space="preserve"> that this process could be completed within a month of the correct information being supplied in the application. A Treasury Minister would continue to have oversight of administration. </w:t>
      </w:r>
    </w:p>
    <w:p w14:paraId="475BADC9" w14:textId="37BCF157" w:rsidR="00D8054A" w:rsidRDefault="00D5755F" w:rsidP="00287E0A">
      <w:pPr>
        <w:pStyle w:val="OutlineNumbered1"/>
        <w:tabs>
          <w:tab w:val="clear" w:pos="1135"/>
        </w:tabs>
        <w:ind w:left="567"/>
      </w:pPr>
      <w:r>
        <w:lastRenderedPageBreak/>
        <w:t xml:space="preserve">When the four </w:t>
      </w:r>
      <w:r w:rsidR="00AB7AB9">
        <w:t>DGR R</w:t>
      </w:r>
      <w:r w:rsidR="00D8054A">
        <w:t xml:space="preserve">egisters were </w:t>
      </w:r>
      <w:r>
        <w:t>established</w:t>
      </w:r>
      <w:r w:rsidR="00D8054A">
        <w:t xml:space="preserve">, it was considered that each agency </w:t>
      </w:r>
      <w:r>
        <w:t>should</w:t>
      </w:r>
      <w:r w:rsidR="00D8054A">
        <w:t xml:space="preserve"> administer their </w:t>
      </w:r>
      <w:r w:rsidR="00AF304F">
        <w:t xml:space="preserve">specific </w:t>
      </w:r>
      <w:r w:rsidR="00D8054A">
        <w:t>register as they would have the expertise to assess application</w:t>
      </w:r>
      <w:r w:rsidR="00AF304F">
        <w:t>s</w:t>
      </w:r>
      <w:r w:rsidR="00FA33DD">
        <w:t xml:space="preserve"> against the requirements of the </w:t>
      </w:r>
      <w:r w:rsidR="00FA33DD" w:rsidRPr="00CD6BF1">
        <w:rPr>
          <w:i/>
        </w:rPr>
        <w:t>Income Tax Assessment Act 1997</w:t>
      </w:r>
      <w:r w:rsidR="00FA33DD" w:rsidRPr="00CD6BF1">
        <w:rPr>
          <w:vertAlign w:val="superscript"/>
        </w:rPr>
        <w:footnoteReference w:id="23"/>
      </w:r>
      <w:r w:rsidR="00D8054A">
        <w:t xml:space="preserve">. </w:t>
      </w:r>
      <w:r w:rsidR="00AF304F">
        <w:t xml:space="preserve"> Under the proposed transfer, the ATO would assess applications against the</w:t>
      </w:r>
      <w:r>
        <w:t xml:space="preserve"> </w:t>
      </w:r>
      <w:r w:rsidR="00AF304F">
        <w:t xml:space="preserve">requirements of the tax law.  The </w:t>
      </w:r>
      <w:r w:rsidR="00D8054A">
        <w:t xml:space="preserve">ATO </w:t>
      </w:r>
      <w:r w:rsidR="00AF304F">
        <w:t xml:space="preserve">would be able to </w:t>
      </w:r>
      <w:r w:rsidR="00D8054A">
        <w:t xml:space="preserve">call on </w:t>
      </w:r>
      <w:r w:rsidR="00AF304F">
        <w:t xml:space="preserve">the </w:t>
      </w:r>
      <w:r w:rsidR="00D8054A">
        <w:t xml:space="preserve">expertise </w:t>
      </w:r>
      <w:r w:rsidR="00AF304F">
        <w:t xml:space="preserve">in the relevant government agency </w:t>
      </w:r>
      <w:r w:rsidR="00D8054A">
        <w:t xml:space="preserve">on a case by case </w:t>
      </w:r>
      <w:r w:rsidR="00AF304F">
        <w:t>basis, if required.</w:t>
      </w:r>
    </w:p>
    <w:p w14:paraId="34619CB8" w14:textId="668374DD" w:rsidR="00922D3D" w:rsidRPr="00341CAD" w:rsidRDefault="00FA74B5" w:rsidP="00287E0A">
      <w:pPr>
        <w:pStyle w:val="OutlineNumbered1"/>
        <w:tabs>
          <w:tab w:val="clear" w:pos="1135"/>
        </w:tabs>
        <w:ind w:left="567"/>
      </w:pPr>
      <w:r>
        <w:t xml:space="preserve">The ATO would work with the relevant Government agencies to </w:t>
      </w:r>
      <w:r w:rsidR="00C44CE4">
        <w:t>affect</w:t>
      </w:r>
      <w:r>
        <w:t xml:space="preserve"> a smooth </w:t>
      </w:r>
      <w:r w:rsidR="00AF304F">
        <w:t>transfer of the administration functions</w:t>
      </w:r>
      <w:r>
        <w:t xml:space="preserve"> from the agencies to the ATO.</w:t>
      </w:r>
      <w:r w:rsidR="00132263">
        <w:t xml:space="preserve"> </w:t>
      </w:r>
    </w:p>
    <w:tbl>
      <w:tblPr>
        <w:tblStyle w:val="TableGrid"/>
        <w:tblW w:w="0" w:type="auto"/>
        <w:tblInd w:w="108" w:type="dxa"/>
        <w:tblLook w:val="04A0" w:firstRow="1" w:lastRow="0" w:firstColumn="1" w:lastColumn="0" w:noHBand="0" w:noVBand="1"/>
      </w:tblPr>
      <w:tblGrid>
        <w:gridCol w:w="9178"/>
      </w:tblGrid>
      <w:tr w:rsidR="00922D3D" w14:paraId="293273AC" w14:textId="77777777" w:rsidTr="00287E0A">
        <w:tc>
          <w:tcPr>
            <w:tcW w:w="9178" w:type="dxa"/>
          </w:tcPr>
          <w:p w14:paraId="4402F09A" w14:textId="77777777" w:rsidR="00922D3D" w:rsidRPr="00287E0A" w:rsidRDefault="00922D3D" w:rsidP="00287E0A">
            <w:pPr>
              <w:pStyle w:val="Bullet"/>
              <w:numPr>
                <w:ilvl w:val="0"/>
                <w:numId w:val="0"/>
              </w:numPr>
              <w:rPr>
                <w:b/>
                <w:color w:val="342E82"/>
              </w:rPr>
            </w:pPr>
            <w:r w:rsidRPr="00287E0A">
              <w:rPr>
                <w:b/>
                <w:color w:val="342E82"/>
              </w:rPr>
              <w:t>Consultation question</w:t>
            </w:r>
          </w:p>
          <w:p w14:paraId="6E78BE89" w14:textId="4EDC100A" w:rsidR="00922D3D" w:rsidRDefault="00CD6BF1" w:rsidP="00287E0A">
            <w:pPr>
              <w:pStyle w:val="Bullet"/>
              <w:numPr>
                <w:ilvl w:val="0"/>
                <w:numId w:val="0"/>
              </w:numPr>
            </w:pPr>
            <w:r>
              <w:t>7</w:t>
            </w:r>
            <w:r w:rsidR="00B5660E">
              <w:t xml:space="preserve">. What are stakeholders’ views on the proposal to transfer the administration of the four DGR </w:t>
            </w:r>
            <w:r w:rsidR="00DC6521">
              <w:t xml:space="preserve">Registers </w:t>
            </w:r>
            <w:r w:rsidR="00B5660E">
              <w:t xml:space="preserve">to the </w:t>
            </w:r>
            <w:r w:rsidR="00927676">
              <w:t>ATO?</w:t>
            </w:r>
            <w:r w:rsidR="00B5660E">
              <w:t xml:space="preserve"> Are there any specific issues that need consideration?</w:t>
            </w:r>
          </w:p>
        </w:tc>
      </w:tr>
    </w:tbl>
    <w:p w14:paraId="021A30EF" w14:textId="298088F7" w:rsidR="00F86D55" w:rsidRDefault="00F86D55" w:rsidP="00D20D48">
      <w:pPr>
        <w:pStyle w:val="OutlineNumbered1"/>
        <w:numPr>
          <w:ilvl w:val="0"/>
          <w:numId w:val="0"/>
        </w:numPr>
        <w:spacing w:after="0"/>
      </w:pPr>
    </w:p>
    <w:p w14:paraId="666AE587" w14:textId="764AD05E" w:rsidR="00045948" w:rsidRPr="000A4BA8" w:rsidRDefault="00A766C4" w:rsidP="00A94E12">
      <w:pPr>
        <w:pStyle w:val="OutlineNumbered1"/>
        <w:keepNext/>
        <w:numPr>
          <w:ilvl w:val="0"/>
          <w:numId w:val="0"/>
        </w:numPr>
        <w:ind w:left="567" w:hanging="567"/>
        <w:rPr>
          <w:u w:val="single"/>
        </w:rPr>
      </w:pPr>
      <w:r w:rsidRPr="000A4BA8">
        <w:rPr>
          <w:u w:val="single"/>
        </w:rPr>
        <w:t>Issue</w:t>
      </w:r>
      <w:r w:rsidR="00247753">
        <w:rPr>
          <w:u w:val="single"/>
        </w:rPr>
        <w:t xml:space="preserve"> </w:t>
      </w:r>
      <w:r w:rsidR="00275FBD">
        <w:rPr>
          <w:u w:val="single"/>
        </w:rPr>
        <w:t>4</w:t>
      </w:r>
      <w:r w:rsidR="000A4BA8" w:rsidRPr="000A4BA8">
        <w:rPr>
          <w:u w:val="single"/>
        </w:rPr>
        <w:t>:</w:t>
      </w:r>
      <w:r w:rsidRPr="000A4BA8">
        <w:rPr>
          <w:u w:val="single"/>
        </w:rPr>
        <w:t xml:space="preserve"> Complexity and red tape created by the public fund requirements </w:t>
      </w:r>
    </w:p>
    <w:p w14:paraId="2DF45BEA" w14:textId="66626C75" w:rsidR="00C91817" w:rsidRDefault="009D4325" w:rsidP="00287E0A">
      <w:pPr>
        <w:pStyle w:val="OutlineNumbered1"/>
        <w:tabs>
          <w:tab w:val="clear" w:pos="1135"/>
        </w:tabs>
        <w:ind w:left="567"/>
      </w:pPr>
      <w:r>
        <w:t>V</w:t>
      </w:r>
      <w:r w:rsidR="00C91817">
        <w:t xml:space="preserve">arious DGR general categories require entities to establish a public fund to receive tax deductible donations. Public funds need to reflect the purpose of the fund, be managed by a committee which has a degree of responsibility to the general community and the funds kept separate from other funds of the entity. With the introduction of ACNC governance standards, </w:t>
      </w:r>
      <w:r w:rsidR="00D5755F">
        <w:t>the development of more sophisticated</w:t>
      </w:r>
      <w:r>
        <w:t xml:space="preserve"> </w:t>
      </w:r>
      <w:r w:rsidR="00C91817">
        <w:t xml:space="preserve">accounting systems and </w:t>
      </w:r>
      <w:r w:rsidR="00505CFF">
        <w:t>electronic</w:t>
      </w:r>
      <w:r w:rsidR="00C91817">
        <w:t xml:space="preserve"> banking, the requirement for a </w:t>
      </w:r>
      <w:r w:rsidR="00841860">
        <w:t xml:space="preserve">charitable </w:t>
      </w:r>
      <w:r w:rsidR="00C91817">
        <w:t>DGR entity</w:t>
      </w:r>
      <w:r w:rsidR="00841860">
        <w:t xml:space="preserve"> </w:t>
      </w:r>
      <w:r w:rsidR="00C91817">
        <w:t>to maintain a public fund is potentially unnecessary.</w:t>
      </w:r>
    </w:p>
    <w:p w14:paraId="1276F1C2" w14:textId="383CC915" w:rsidR="00C91817" w:rsidRDefault="00F0179E" w:rsidP="00287E0A">
      <w:pPr>
        <w:pStyle w:val="OutlineNumbered1"/>
        <w:tabs>
          <w:tab w:val="clear" w:pos="1135"/>
        </w:tabs>
        <w:ind w:left="567"/>
      </w:pPr>
      <w:r>
        <w:t>Under the existing law, a separate public fund is required for each gene</w:t>
      </w:r>
      <w:r w:rsidR="00EA57D1">
        <w:t>ral category if an organisation</w:t>
      </w:r>
      <w:r>
        <w:t xml:space="preserve"> wishes to seek DGR status in more than one general category. </w:t>
      </w:r>
      <w:r w:rsidR="00C91817">
        <w:t xml:space="preserve">Some </w:t>
      </w:r>
      <w:r>
        <w:t xml:space="preserve">organisations </w:t>
      </w:r>
      <w:r w:rsidR="00C91817">
        <w:t xml:space="preserve">apply for DGR specific listing to avoid applying for multiple categories. The creation of separate funds can increase the complexity of </w:t>
      </w:r>
      <w:r w:rsidR="000313A6">
        <w:t>financial statements</w:t>
      </w:r>
      <w:r w:rsidR="00C91817">
        <w:t xml:space="preserve"> and add to </w:t>
      </w:r>
      <w:r w:rsidR="0033440D">
        <w:t xml:space="preserve">the </w:t>
      </w:r>
      <w:r w:rsidR="00C91817">
        <w:t xml:space="preserve">regulatory burden </w:t>
      </w:r>
      <w:r w:rsidR="0033440D">
        <w:t>when</w:t>
      </w:r>
      <w:r w:rsidR="00C91817">
        <w:t xml:space="preserve"> applying for more than one general </w:t>
      </w:r>
      <w:r w:rsidR="00924702">
        <w:t xml:space="preserve">DGR </w:t>
      </w:r>
      <w:r w:rsidR="00C91817">
        <w:t xml:space="preserve">category. </w:t>
      </w:r>
    </w:p>
    <w:p w14:paraId="78255978" w14:textId="77777777" w:rsidR="00417806" w:rsidRDefault="00417806" w:rsidP="00287E0A">
      <w:pPr>
        <w:pStyle w:val="OutlineNumbered1"/>
        <w:tabs>
          <w:tab w:val="clear" w:pos="1135"/>
        </w:tabs>
        <w:ind w:left="567"/>
      </w:pPr>
      <w:r>
        <w:t>There is also confusion and added complexity for DGRs because of the difference in the definition of ‘responsible person’ used by the ATO for DGRs and the ACNC for charities.</w:t>
      </w:r>
      <w:r w:rsidRPr="00417806">
        <w:t xml:space="preserve"> </w:t>
      </w:r>
    </w:p>
    <w:p w14:paraId="4BE64110" w14:textId="3CF79069" w:rsidR="00417806" w:rsidRPr="00417806" w:rsidRDefault="001A1316" w:rsidP="00287E0A">
      <w:pPr>
        <w:pStyle w:val="OutlineNumbered1"/>
        <w:tabs>
          <w:tab w:val="clear" w:pos="1135"/>
        </w:tabs>
        <w:ind w:left="567"/>
      </w:pPr>
      <w:r>
        <w:t>Under the ACNC Act</w:t>
      </w:r>
      <w:r w:rsidR="002006B9">
        <w:t>, t</w:t>
      </w:r>
      <w:r w:rsidR="00417806" w:rsidRPr="00287E0A">
        <w:t xml:space="preserve">he term ‘responsible </w:t>
      </w:r>
      <w:r w:rsidR="00E25D7F">
        <w:t>entity</w:t>
      </w:r>
      <w:r w:rsidR="00417806" w:rsidRPr="00287E0A">
        <w:t xml:space="preserve">’ refers to those </w:t>
      </w:r>
      <w:r w:rsidR="00E25D7F">
        <w:t xml:space="preserve">who have one of the positions described </w:t>
      </w:r>
      <w:r w:rsidR="00F23F54">
        <w:t>in the Act</w:t>
      </w:r>
      <w:r w:rsidR="00417806" w:rsidRPr="00287E0A">
        <w:t>.</w:t>
      </w:r>
      <w:r w:rsidR="00F23F54">
        <w:rPr>
          <w:rStyle w:val="FootnoteReference"/>
        </w:rPr>
        <w:footnoteReference w:id="24"/>
      </w:r>
      <w:r w:rsidR="00417806" w:rsidRPr="00287E0A">
        <w:t xml:space="preserve"> </w:t>
      </w:r>
      <w:r w:rsidR="00E25D7F">
        <w:t xml:space="preserve">The ACNC refers to ‘responsible entities’ of charities as ‘responsible persons’. </w:t>
      </w:r>
      <w:r w:rsidR="00417806" w:rsidRPr="00287E0A">
        <w:t>Generally, a charity’s responsible people are its board or committee members, or trustees (including insolvency trustees or administrators)</w:t>
      </w:r>
      <w:r w:rsidR="00417806" w:rsidRPr="00975358">
        <w:rPr>
          <w:position w:val="6"/>
          <w:vertAlign w:val="superscript"/>
        </w:rPr>
        <w:footnoteReference w:id="25"/>
      </w:r>
      <w:r w:rsidR="00417806" w:rsidRPr="00287E0A">
        <w:t>.</w:t>
      </w:r>
    </w:p>
    <w:p w14:paraId="5B5ACF03" w14:textId="77777777" w:rsidR="00417806" w:rsidRDefault="00417806" w:rsidP="00287E0A">
      <w:pPr>
        <w:pStyle w:val="OutlineNumbered1"/>
        <w:tabs>
          <w:tab w:val="clear" w:pos="1135"/>
        </w:tabs>
        <w:ind w:left="567"/>
      </w:pPr>
      <w:r>
        <w:t xml:space="preserve">In addition, DGR entities in regional and rural Australia have problems in identifying committee members for public funds because of the tighter definition of ‘responsible person’ in the tax area. </w:t>
      </w:r>
    </w:p>
    <w:p w14:paraId="45C49BE1" w14:textId="41E22A7B" w:rsidR="003177CA" w:rsidRDefault="00C91817" w:rsidP="00287E0A">
      <w:pPr>
        <w:pStyle w:val="OutlineNumbered1"/>
        <w:tabs>
          <w:tab w:val="clear" w:pos="1135"/>
        </w:tabs>
        <w:ind w:left="567"/>
      </w:pPr>
      <w:r w:rsidRPr="0033440D">
        <w:t>The removal of the public fund requirement would lead to the definition of responsible person having less significance to the ATO in relation to DGR entities</w:t>
      </w:r>
      <w:r w:rsidR="003177CA">
        <w:t xml:space="preserve"> and remove the confusion over the two different definitions in the tax and </w:t>
      </w:r>
      <w:r w:rsidR="00F93F15">
        <w:t>ACNC legislation</w:t>
      </w:r>
      <w:r w:rsidRPr="0033440D">
        <w:t xml:space="preserve">. </w:t>
      </w:r>
    </w:p>
    <w:p w14:paraId="229CCEE5" w14:textId="77777777" w:rsidR="00BA5F78" w:rsidRPr="000A4BA8" w:rsidRDefault="00BA5F78" w:rsidP="00BA5F78">
      <w:pPr>
        <w:pStyle w:val="OutlineNumbered1"/>
        <w:keepNext/>
        <w:numPr>
          <w:ilvl w:val="0"/>
          <w:numId w:val="0"/>
        </w:numPr>
        <w:rPr>
          <w:u w:val="single"/>
        </w:rPr>
      </w:pPr>
      <w:r w:rsidRPr="000A4BA8">
        <w:rPr>
          <w:u w:val="single"/>
        </w:rPr>
        <w:lastRenderedPageBreak/>
        <w:t xml:space="preserve">Proposed Action </w:t>
      </w:r>
    </w:p>
    <w:p w14:paraId="74B9FDF5" w14:textId="6386810E" w:rsidR="00BA5F78" w:rsidRDefault="00BA5F78" w:rsidP="00287E0A">
      <w:pPr>
        <w:pStyle w:val="OutlineNumbered1"/>
        <w:tabs>
          <w:tab w:val="clear" w:pos="1135"/>
        </w:tabs>
        <w:ind w:left="567"/>
      </w:pPr>
      <w:r>
        <w:t>It is proposed to r</w:t>
      </w:r>
      <w:r w:rsidRPr="000A4BA8">
        <w:t>emove the public fund requirements for charities</w:t>
      </w:r>
      <w:r w:rsidRPr="00924702">
        <w:t xml:space="preserve"> </w:t>
      </w:r>
      <w:r w:rsidRPr="000A4BA8">
        <w:t>and allow DGR entities to be endorsed in multiple categories</w:t>
      </w:r>
      <w:r>
        <w:t xml:space="preserve">. </w:t>
      </w:r>
    </w:p>
    <w:p w14:paraId="7E59ABAE" w14:textId="1F0DBB58" w:rsidR="00922D3D" w:rsidRDefault="000871E7" w:rsidP="00287E0A">
      <w:pPr>
        <w:pStyle w:val="OutlineNumbered1"/>
        <w:tabs>
          <w:tab w:val="clear" w:pos="1135"/>
        </w:tabs>
        <w:ind w:left="567"/>
      </w:pPr>
      <w:r>
        <w:t>As a result, the ACNC definition of ‘responsible person’ would apply as the DGR must be a</w:t>
      </w:r>
      <w:r w:rsidR="00C556A7">
        <w:t xml:space="preserve"> registered</w:t>
      </w:r>
      <w:r>
        <w:t xml:space="preserve"> charity.  </w:t>
      </w:r>
    </w:p>
    <w:tbl>
      <w:tblPr>
        <w:tblStyle w:val="TableGrid"/>
        <w:tblW w:w="0" w:type="auto"/>
        <w:tblInd w:w="108" w:type="dxa"/>
        <w:tblLook w:val="04A0" w:firstRow="1" w:lastRow="0" w:firstColumn="1" w:lastColumn="0" w:noHBand="0" w:noVBand="1"/>
      </w:tblPr>
      <w:tblGrid>
        <w:gridCol w:w="9178"/>
      </w:tblGrid>
      <w:tr w:rsidR="00922D3D" w14:paraId="5516A425" w14:textId="77777777" w:rsidTr="00287E0A">
        <w:tc>
          <w:tcPr>
            <w:tcW w:w="9178" w:type="dxa"/>
          </w:tcPr>
          <w:p w14:paraId="28D44B84" w14:textId="000E60E4" w:rsidR="00922D3D" w:rsidRPr="00287E0A" w:rsidRDefault="006D407D" w:rsidP="00287E0A">
            <w:pPr>
              <w:pStyle w:val="Bullet"/>
              <w:numPr>
                <w:ilvl w:val="0"/>
                <w:numId w:val="0"/>
              </w:numPr>
              <w:rPr>
                <w:b/>
                <w:color w:val="342E82"/>
              </w:rPr>
            </w:pPr>
            <w:r>
              <w:br w:type="page"/>
            </w:r>
            <w:r w:rsidR="00922D3D" w:rsidRPr="00287E0A">
              <w:rPr>
                <w:b/>
                <w:color w:val="342E82"/>
              </w:rPr>
              <w:t>Consultation question</w:t>
            </w:r>
          </w:p>
          <w:p w14:paraId="216C5C1E" w14:textId="2A4F3B2C" w:rsidR="00922D3D" w:rsidRDefault="00397740" w:rsidP="001A1316">
            <w:pPr>
              <w:pStyle w:val="Bullet"/>
              <w:numPr>
                <w:ilvl w:val="0"/>
                <w:numId w:val="0"/>
              </w:numPr>
            </w:pPr>
            <w:r>
              <w:t>8</w:t>
            </w:r>
            <w:r w:rsidR="00B22ECA">
              <w:t>. What are stakeholder</w:t>
            </w:r>
            <w:r w:rsidR="00A612C4">
              <w:t>s’</w:t>
            </w:r>
            <w:r w:rsidR="00B22ECA">
              <w:t xml:space="preserve"> views on the proposal to remove the public fund requirements for charities and allow organisations to be endorsed in multiple DGR categories?</w:t>
            </w:r>
            <w:r w:rsidR="009C1AA9">
              <w:t xml:space="preserve"> </w:t>
            </w:r>
            <w:r w:rsidR="0083636E">
              <w:t>Are regulatory compliance savings likely to arise for charities</w:t>
            </w:r>
            <w:r w:rsidR="001A1316">
              <w:t xml:space="preserve"> who are also </w:t>
            </w:r>
            <w:r w:rsidR="0083636E">
              <w:t>DGRs?</w:t>
            </w:r>
          </w:p>
        </w:tc>
      </w:tr>
    </w:tbl>
    <w:p w14:paraId="12534EB7" w14:textId="21E1F7E6" w:rsidR="00045948" w:rsidRDefault="00642C3A" w:rsidP="002958B0">
      <w:pPr>
        <w:pStyle w:val="Heading3"/>
      </w:pPr>
      <w:bookmarkStart w:id="14" w:name="_Toc475351609"/>
      <w:r>
        <w:t>Integrity</w:t>
      </w:r>
      <w:bookmarkEnd w:id="14"/>
    </w:p>
    <w:p w14:paraId="629D95D2" w14:textId="3D2C0ECC" w:rsidR="0000789E" w:rsidRPr="00524B84" w:rsidRDefault="0000789E" w:rsidP="0000789E">
      <w:pPr>
        <w:pStyle w:val="OutlineNumbered1"/>
        <w:keepNext/>
        <w:numPr>
          <w:ilvl w:val="0"/>
          <w:numId w:val="0"/>
        </w:numPr>
        <w:ind w:left="567" w:hanging="567"/>
        <w:rPr>
          <w:u w:val="single"/>
        </w:rPr>
      </w:pPr>
      <w:r w:rsidRPr="00524B84">
        <w:rPr>
          <w:u w:val="single"/>
        </w:rPr>
        <w:t>Issue</w:t>
      </w:r>
      <w:r>
        <w:rPr>
          <w:u w:val="single"/>
        </w:rPr>
        <w:t xml:space="preserve"> </w:t>
      </w:r>
      <w:r w:rsidR="00275FBD">
        <w:rPr>
          <w:u w:val="single"/>
        </w:rPr>
        <w:t>5</w:t>
      </w:r>
      <w:r w:rsidRPr="00524B84">
        <w:rPr>
          <w:u w:val="single"/>
        </w:rPr>
        <w:t xml:space="preserve">: DGRs endorsed </w:t>
      </w:r>
      <w:r>
        <w:rPr>
          <w:u w:val="single"/>
        </w:rPr>
        <w:t>in</w:t>
      </w:r>
      <w:r w:rsidRPr="00524B84">
        <w:rPr>
          <w:u w:val="single"/>
        </w:rPr>
        <w:t xml:space="preserve"> perpetuity, without regular </w:t>
      </w:r>
      <w:r>
        <w:rPr>
          <w:u w:val="single"/>
        </w:rPr>
        <w:t xml:space="preserve">and systemic </w:t>
      </w:r>
      <w:r w:rsidRPr="00524B84">
        <w:rPr>
          <w:u w:val="single"/>
        </w:rPr>
        <w:t>review</w:t>
      </w:r>
    </w:p>
    <w:p w14:paraId="20FF8851" w14:textId="47DB6B61" w:rsidR="008C7F95" w:rsidRDefault="003F3A3F" w:rsidP="0000789E">
      <w:pPr>
        <w:pStyle w:val="OutlineNumbered1"/>
        <w:tabs>
          <w:tab w:val="clear" w:pos="1135"/>
        </w:tabs>
        <w:ind w:left="567"/>
      </w:pPr>
      <w:r>
        <w:t>The Government provides a substantial financial contribution to NFP entities through tax concessions, but once an entity is a DGR</w:t>
      </w:r>
      <w:r w:rsidR="00C2271A">
        <w:t>,</w:t>
      </w:r>
      <w:r>
        <w:t xml:space="preserve"> it is generally for life</w:t>
      </w:r>
      <w:r w:rsidR="0000789E">
        <w:t>. Currently</w:t>
      </w:r>
      <w:r>
        <w:t>,</w:t>
      </w:r>
      <w:r w:rsidR="0000789E">
        <w:t xml:space="preserve"> a DGR</w:t>
      </w:r>
      <w:r>
        <w:t xml:space="preserve"> </w:t>
      </w:r>
      <w:r w:rsidR="0000789E">
        <w:t xml:space="preserve">is subject to </w:t>
      </w:r>
      <w:r>
        <w:t xml:space="preserve">minimal governance unless it is an ACNC regulated charity. </w:t>
      </w:r>
      <w:r w:rsidR="00BA5623" w:rsidRPr="00BA5623">
        <w:t xml:space="preserve"> </w:t>
      </w:r>
      <w:r w:rsidR="00BA5623">
        <w:t>It is important to have appropriate measures in place to ensure an organisat</w:t>
      </w:r>
      <w:r w:rsidR="002958B0">
        <w:t xml:space="preserve">ion’s DGR status is up to date, </w:t>
      </w:r>
      <w:r w:rsidR="00BA5623">
        <w:t xml:space="preserve">to reassure </w:t>
      </w:r>
      <w:r w:rsidR="00C2271A">
        <w:t>donors</w:t>
      </w:r>
      <w:r w:rsidR="002958B0">
        <w:t xml:space="preserve">, </w:t>
      </w:r>
      <w:r w:rsidR="00BA5623">
        <w:t>given the generous tax concessions available.</w:t>
      </w:r>
    </w:p>
    <w:p w14:paraId="2CAC6273" w14:textId="7CBC29CD" w:rsidR="00524B84" w:rsidRDefault="00524B84" w:rsidP="0000789E">
      <w:pPr>
        <w:pStyle w:val="OutlineNumbered1"/>
        <w:tabs>
          <w:tab w:val="clear" w:pos="1135"/>
        </w:tabs>
        <w:ind w:left="567"/>
      </w:pPr>
      <w:r>
        <w:t xml:space="preserve">The majority of DGR entities have been endorsed </w:t>
      </w:r>
      <w:r w:rsidR="003177CA">
        <w:t>in</w:t>
      </w:r>
      <w:r>
        <w:t xml:space="preserve"> perpetuity. Unless the ATO undertakes </w:t>
      </w:r>
      <w:r w:rsidR="006C6AB0">
        <w:t>a</w:t>
      </w:r>
      <w:r w:rsidR="00F0179E">
        <w:t xml:space="preserve"> review or</w:t>
      </w:r>
      <w:r w:rsidR="006C6AB0">
        <w:t xml:space="preserve"> audit of </w:t>
      </w:r>
      <w:r>
        <w:t xml:space="preserve">a specific </w:t>
      </w:r>
      <w:r w:rsidR="006C6AB0">
        <w:t>DGR organisation</w:t>
      </w:r>
      <w:r>
        <w:t xml:space="preserve">, it </w:t>
      </w:r>
      <w:r w:rsidR="006C6AB0">
        <w:t xml:space="preserve">is difficult for the ATO to identify if the organisation </w:t>
      </w:r>
      <w:r w:rsidR="006A41E8">
        <w:t xml:space="preserve">remains </w:t>
      </w:r>
      <w:r w:rsidR="006C6AB0">
        <w:t xml:space="preserve">eligible to retain its DGR status. </w:t>
      </w:r>
    </w:p>
    <w:p w14:paraId="6C49B310" w14:textId="565E24EF" w:rsidR="00524B84" w:rsidRDefault="006C6AB0" w:rsidP="0000789E">
      <w:pPr>
        <w:pStyle w:val="OutlineNumbered1"/>
        <w:tabs>
          <w:tab w:val="clear" w:pos="1135"/>
        </w:tabs>
        <w:ind w:left="567"/>
      </w:pPr>
      <w:r>
        <w:t xml:space="preserve">While the ATO encourages </w:t>
      </w:r>
      <w:r w:rsidR="00524B84">
        <w:t xml:space="preserve">DGR entities </w:t>
      </w:r>
      <w:r>
        <w:t xml:space="preserve">to </w:t>
      </w:r>
      <w:r w:rsidR="00524B84">
        <w:t>self</w:t>
      </w:r>
      <w:r w:rsidR="00524B84">
        <w:noBreakHyphen/>
      </w:r>
      <w:r w:rsidR="00642C3A">
        <w:t xml:space="preserve">review </w:t>
      </w:r>
      <w:r w:rsidR="00524B84">
        <w:t xml:space="preserve">annually, or when their circumstances change, </w:t>
      </w:r>
      <w:r w:rsidR="004913C5">
        <w:t>in practice</w:t>
      </w:r>
      <w:r w:rsidR="00524B84">
        <w:t xml:space="preserve"> the ATO does not know if an entity is undertaking this review. </w:t>
      </w:r>
      <w:r w:rsidR="00490F70">
        <w:t>A</w:t>
      </w:r>
      <w:r w:rsidR="00524B84">
        <w:t xml:space="preserve">n entity may have evolved over many years into a different organisation </w:t>
      </w:r>
      <w:r w:rsidR="000871E7">
        <w:t xml:space="preserve">that </w:t>
      </w:r>
      <w:r w:rsidR="00524B84">
        <w:t xml:space="preserve">no longer meets the criteria for their general </w:t>
      </w:r>
      <w:r w:rsidR="006571C5">
        <w:t xml:space="preserve">DGR </w:t>
      </w:r>
      <w:r w:rsidR="00524B84">
        <w:t>category</w:t>
      </w:r>
      <w:r w:rsidR="00BA5623">
        <w:t>, or for any category</w:t>
      </w:r>
      <w:r w:rsidR="00524B84">
        <w:t>.</w:t>
      </w:r>
    </w:p>
    <w:p w14:paraId="42DC2BC8" w14:textId="770DAEEF" w:rsidR="007035DB" w:rsidRPr="0000789E" w:rsidRDefault="0000789E" w:rsidP="007C07FA">
      <w:pPr>
        <w:pStyle w:val="OutlineNumbered1"/>
        <w:keepNext/>
        <w:numPr>
          <w:ilvl w:val="0"/>
          <w:numId w:val="0"/>
        </w:numPr>
        <w:ind w:left="567" w:hanging="567"/>
        <w:rPr>
          <w:u w:val="single"/>
        </w:rPr>
      </w:pPr>
      <w:r w:rsidRPr="0000789E">
        <w:rPr>
          <w:u w:val="single"/>
        </w:rPr>
        <w:t xml:space="preserve">Proposed Action - </w:t>
      </w:r>
      <w:r w:rsidR="002A3D7A">
        <w:rPr>
          <w:u w:val="single"/>
        </w:rPr>
        <w:t>r</w:t>
      </w:r>
      <w:r w:rsidR="007035DB" w:rsidRPr="0000789E">
        <w:rPr>
          <w:u w:val="single"/>
        </w:rPr>
        <w:t>olling reviews to address existing DGR stock</w:t>
      </w:r>
    </w:p>
    <w:p w14:paraId="13886EA7" w14:textId="04F3CC13" w:rsidR="00524B84" w:rsidRPr="00490F70" w:rsidRDefault="007035DB" w:rsidP="0000789E">
      <w:pPr>
        <w:pStyle w:val="OutlineNumbered1"/>
        <w:tabs>
          <w:tab w:val="clear" w:pos="1135"/>
        </w:tabs>
        <w:ind w:left="567"/>
      </w:pPr>
      <w:r w:rsidRPr="00490F70">
        <w:t>Consideration could be given to a</w:t>
      </w:r>
      <w:r w:rsidR="00524B84" w:rsidRPr="00490F70">
        <w:t xml:space="preserve"> rolling review by the ACNC and</w:t>
      </w:r>
      <w:r w:rsidR="00704C8E" w:rsidRPr="00490F70">
        <w:t>/or</w:t>
      </w:r>
      <w:r w:rsidR="00524B84" w:rsidRPr="00490F70">
        <w:t xml:space="preserve"> ATO to ensure that </w:t>
      </w:r>
      <w:r w:rsidR="007C4243" w:rsidRPr="00490F70">
        <w:t xml:space="preserve">each </w:t>
      </w:r>
      <w:r w:rsidR="00524B84" w:rsidRPr="00490F70">
        <w:t xml:space="preserve">DGR </w:t>
      </w:r>
      <w:r w:rsidR="007C4243" w:rsidRPr="00490F70">
        <w:t xml:space="preserve">organisation is </w:t>
      </w:r>
      <w:r w:rsidR="009C5EB6" w:rsidRPr="00490F70">
        <w:t xml:space="preserve">still </w:t>
      </w:r>
      <w:r w:rsidR="007C4243" w:rsidRPr="00490F70">
        <w:t xml:space="preserve">eligible </w:t>
      </w:r>
      <w:r w:rsidR="009C5EB6" w:rsidRPr="00490F70">
        <w:t xml:space="preserve">for </w:t>
      </w:r>
      <w:r w:rsidR="007C4243" w:rsidRPr="00490F70">
        <w:t xml:space="preserve">DGR </w:t>
      </w:r>
      <w:r w:rsidR="00524B84" w:rsidRPr="00490F70">
        <w:t>status</w:t>
      </w:r>
      <w:r w:rsidRPr="00490F70">
        <w:t>.</w:t>
      </w:r>
      <w:r w:rsidR="00704C8E" w:rsidRPr="00490F70">
        <w:t xml:space="preserve"> Each DGR </w:t>
      </w:r>
      <w:r w:rsidR="00BA5623" w:rsidRPr="00490F70">
        <w:t>c</w:t>
      </w:r>
      <w:r w:rsidR="00704C8E" w:rsidRPr="00490F70">
        <w:t xml:space="preserve">ould be reviewed at least once </w:t>
      </w:r>
      <w:r w:rsidR="002A3D7A">
        <w:t>within a specified period, for example five years</w:t>
      </w:r>
      <w:r w:rsidR="00704C8E" w:rsidRPr="00490F70">
        <w:t>.</w:t>
      </w:r>
      <w:r w:rsidR="001B5C65" w:rsidRPr="00490F70">
        <w:t xml:space="preserve"> To determine which general categories </w:t>
      </w:r>
      <w:r w:rsidR="00490F70">
        <w:t>c</w:t>
      </w:r>
      <w:r w:rsidR="001B5C65" w:rsidRPr="00490F70">
        <w:t>ould be r</w:t>
      </w:r>
      <w:r w:rsidR="00490F70">
        <w:t>eviewed in the first instance, a</w:t>
      </w:r>
      <w:r w:rsidR="001B5C65" w:rsidRPr="00490F70">
        <w:t xml:space="preserve"> risk assessment</w:t>
      </w:r>
      <w:r w:rsidR="00490F70">
        <w:t xml:space="preserve"> could be developed based on the likelihood of changes in purpose over time</w:t>
      </w:r>
      <w:r w:rsidR="001B5C65" w:rsidRPr="00490F70">
        <w:t>.</w:t>
      </w:r>
    </w:p>
    <w:p w14:paraId="3B16F787" w14:textId="5B4AB075" w:rsidR="00BF3047" w:rsidRDefault="00466989" w:rsidP="0000789E">
      <w:pPr>
        <w:pStyle w:val="OutlineNumbered1"/>
        <w:tabs>
          <w:tab w:val="clear" w:pos="1135"/>
        </w:tabs>
        <w:ind w:left="567"/>
      </w:pPr>
      <w:r>
        <w:t>These reviews could commence w</w:t>
      </w:r>
      <w:r w:rsidR="00524B84">
        <w:t>ith a desk top review</w:t>
      </w:r>
      <w:r>
        <w:t xml:space="preserve"> by the ACNC and the ATO</w:t>
      </w:r>
      <w:r w:rsidR="00524B84">
        <w:t>. Those organisations identified as high risk from the desk top review would be investigated further. Organisations confirmed as no longer eligible for DGR status would have their status revoked, and may also lose some of their other tax concessions</w:t>
      </w:r>
      <w:r w:rsidR="006323C6">
        <w:t xml:space="preserve"> if their </w:t>
      </w:r>
      <w:r w:rsidR="00C2271A">
        <w:t xml:space="preserve">charity </w:t>
      </w:r>
      <w:r w:rsidR="00C556A7">
        <w:t xml:space="preserve">registration </w:t>
      </w:r>
      <w:r w:rsidR="006323C6">
        <w:t>status is also revoked</w:t>
      </w:r>
      <w:r w:rsidR="00524B84">
        <w:t>.</w:t>
      </w:r>
      <w:r w:rsidR="00BF3047" w:rsidRPr="00BF3047">
        <w:t xml:space="preserve"> </w:t>
      </w:r>
    </w:p>
    <w:p w14:paraId="7409ABB8" w14:textId="0D210A71" w:rsidR="00524B84" w:rsidRDefault="00BF3047" w:rsidP="0000789E">
      <w:pPr>
        <w:pStyle w:val="OutlineNumbered1"/>
        <w:tabs>
          <w:tab w:val="clear" w:pos="1135"/>
        </w:tabs>
        <w:ind w:left="567"/>
      </w:pPr>
      <w:r>
        <w:t xml:space="preserve">The reviews would be undertaken in a way to minimise the burden on DGR organisations, with the </w:t>
      </w:r>
      <w:r w:rsidR="00D564F0">
        <w:t xml:space="preserve">ACNC or </w:t>
      </w:r>
      <w:r>
        <w:t>ATO only seeking information from organisations after conducting a desk top review and assessing them as high risk or seeking missing information.</w:t>
      </w:r>
    </w:p>
    <w:p w14:paraId="291CE265" w14:textId="435BE80B" w:rsidR="00BF3047" w:rsidRPr="0000789E" w:rsidRDefault="00BF3047" w:rsidP="00BF3047">
      <w:pPr>
        <w:pStyle w:val="OutlineNumbered1"/>
        <w:keepNext/>
        <w:numPr>
          <w:ilvl w:val="0"/>
          <w:numId w:val="0"/>
        </w:numPr>
        <w:rPr>
          <w:u w:val="single"/>
        </w:rPr>
      </w:pPr>
      <w:r w:rsidRPr="0000789E">
        <w:rPr>
          <w:u w:val="single"/>
        </w:rPr>
        <w:lastRenderedPageBreak/>
        <w:t>Proposed Action - Annual certification by DGR</w:t>
      </w:r>
    </w:p>
    <w:p w14:paraId="6D404E63" w14:textId="01309B5D" w:rsidR="00922D3D" w:rsidRDefault="00BF3047" w:rsidP="00BF3047">
      <w:pPr>
        <w:pStyle w:val="OutlineNumbered1"/>
        <w:tabs>
          <w:tab w:val="clear" w:pos="1135"/>
        </w:tabs>
        <w:ind w:left="567"/>
      </w:pPr>
      <w:r>
        <w:t xml:space="preserve">As part of completing their </w:t>
      </w:r>
      <w:r w:rsidR="003F118F">
        <w:t>A</w:t>
      </w:r>
      <w:r>
        <w:t xml:space="preserve">nnual </w:t>
      </w:r>
      <w:r w:rsidR="003F118F">
        <w:t>I</w:t>
      </w:r>
      <w:r>
        <w:t xml:space="preserve">nformation </w:t>
      </w:r>
      <w:r w:rsidR="003F118F">
        <w:t>S</w:t>
      </w:r>
      <w:r>
        <w:t xml:space="preserve">tatement as a </w:t>
      </w:r>
      <w:r w:rsidR="003F118F">
        <w:t xml:space="preserve">registered </w:t>
      </w:r>
      <w:r>
        <w:t xml:space="preserve">charity, DGRs could also be required to certify that they meet the DGR eligibility requirements. </w:t>
      </w:r>
      <w:r w:rsidRPr="000D3403">
        <w:t>Penalties</w:t>
      </w:r>
      <w:r w:rsidR="007E65FD" w:rsidRPr="000D3403">
        <w:t>,</w:t>
      </w:r>
      <w:r w:rsidRPr="000D3403">
        <w:t xml:space="preserve"> </w:t>
      </w:r>
      <w:r w:rsidR="007E65FD" w:rsidRPr="000D3403">
        <w:t xml:space="preserve">under the tax legislation, </w:t>
      </w:r>
      <w:r w:rsidRPr="000D3403">
        <w:t>could</w:t>
      </w:r>
      <w:r>
        <w:t xml:space="preserve"> apply if an organisation certified it met the eligibility criteria and, through the review or otherwise, it was subsequently found not to be eligible for DGR endorsement. </w:t>
      </w:r>
    </w:p>
    <w:tbl>
      <w:tblPr>
        <w:tblStyle w:val="TableGrid"/>
        <w:tblW w:w="0" w:type="auto"/>
        <w:tblInd w:w="108" w:type="dxa"/>
        <w:tblLook w:val="04A0" w:firstRow="1" w:lastRow="0" w:firstColumn="1" w:lastColumn="0" w:noHBand="0" w:noVBand="1"/>
      </w:tblPr>
      <w:tblGrid>
        <w:gridCol w:w="9178"/>
      </w:tblGrid>
      <w:tr w:rsidR="00922D3D" w14:paraId="52A751DF" w14:textId="77777777" w:rsidTr="00BF3047">
        <w:tc>
          <w:tcPr>
            <w:tcW w:w="9178" w:type="dxa"/>
          </w:tcPr>
          <w:p w14:paraId="6C2DD63C" w14:textId="77777777" w:rsidR="00922D3D" w:rsidRPr="00490F70" w:rsidRDefault="00922D3D" w:rsidP="00BF3047">
            <w:pPr>
              <w:pStyle w:val="Bullet"/>
              <w:numPr>
                <w:ilvl w:val="0"/>
                <w:numId w:val="0"/>
              </w:numPr>
            </w:pPr>
            <w:r w:rsidRPr="00490F70">
              <w:rPr>
                <w:b/>
                <w:color w:val="342E82"/>
              </w:rPr>
              <w:t>Consultation question</w:t>
            </w:r>
          </w:p>
          <w:p w14:paraId="0B71B788" w14:textId="2DA33A0E" w:rsidR="00922D3D" w:rsidRPr="00490F70" w:rsidRDefault="00397740" w:rsidP="00975358">
            <w:pPr>
              <w:pStyle w:val="Bullet"/>
              <w:numPr>
                <w:ilvl w:val="0"/>
                <w:numId w:val="0"/>
              </w:numPr>
            </w:pPr>
            <w:r>
              <w:t>9</w:t>
            </w:r>
            <w:r w:rsidR="003A2970" w:rsidRPr="00490F70">
              <w:t xml:space="preserve">. </w:t>
            </w:r>
            <w:r w:rsidR="002041FB" w:rsidRPr="00490F70">
              <w:t>What are stakeholder</w:t>
            </w:r>
            <w:r w:rsidR="001D186E">
              <w:t>s’</w:t>
            </w:r>
            <w:r w:rsidR="002041FB" w:rsidRPr="00490F70">
              <w:t xml:space="preserve"> views on the introduction of a formal rolling review program and the proposals to require DGRs to make annual certifications? Are there other approaches that could be considered?</w:t>
            </w:r>
          </w:p>
          <w:p w14:paraId="73244CE8" w14:textId="72103FBE" w:rsidR="001B5C65" w:rsidRPr="00490F70" w:rsidRDefault="00397740" w:rsidP="00490F70">
            <w:pPr>
              <w:pStyle w:val="Bullet"/>
              <w:numPr>
                <w:ilvl w:val="0"/>
                <w:numId w:val="0"/>
              </w:numPr>
              <w:spacing w:after="0"/>
            </w:pPr>
            <w:r>
              <w:t>10</w:t>
            </w:r>
            <w:r w:rsidR="001B5C65" w:rsidRPr="00490F70">
              <w:t>. What are stakeholders’ views on who should be reviewed in the first instance? What should be considered when determining this?</w:t>
            </w:r>
          </w:p>
        </w:tc>
      </w:tr>
    </w:tbl>
    <w:p w14:paraId="1E521C4C" w14:textId="77777777" w:rsidR="00F86D55" w:rsidRDefault="00E70F66" w:rsidP="00CD6BF1">
      <w:pPr>
        <w:pStyle w:val="OutlineNumbered1"/>
        <w:keepNext/>
        <w:numPr>
          <w:ilvl w:val="0"/>
          <w:numId w:val="0"/>
        </w:numPr>
        <w:spacing w:before="120"/>
        <w:rPr>
          <w:rFonts w:cstheme="minorHAnsi"/>
          <w:szCs w:val="22"/>
          <w:u w:val="single"/>
        </w:rPr>
      </w:pPr>
      <w:r w:rsidRPr="00CF0DAD">
        <w:rPr>
          <w:rFonts w:cstheme="minorHAnsi"/>
          <w:szCs w:val="22"/>
          <w:u w:val="single"/>
        </w:rPr>
        <w:t xml:space="preserve"> </w:t>
      </w:r>
    </w:p>
    <w:p w14:paraId="2A4A8DC7" w14:textId="17E8A05D" w:rsidR="008C7F95" w:rsidRPr="006A16A7" w:rsidRDefault="008C7F95" w:rsidP="00CD6BF1">
      <w:pPr>
        <w:pStyle w:val="OutlineNumbered1"/>
        <w:keepNext/>
        <w:numPr>
          <w:ilvl w:val="0"/>
          <w:numId w:val="0"/>
        </w:numPr>
        <w:spacing w:before="120"/>
        <w:rPr>
          <w:rFonts w:cstheme="minorHAnsi"/>
          <w:szCs w:val="22"/>
          <w:u w:val="single"/>
        </w:rPr>
      </w:pPr>
      <w:r w:rsidRPr="00CF0DAD">
        <w:rPr>
          <w:rFonts w:cstheme="minorHAnsi"/>
          <w:szCs w:val="22"/>
          <w:u w:val="single"/>
        </w:rPr>
        <w:t>Issue</w:t>
      </w:r>
      <w:r w:rsidR="00247753" w:rsidRPr="00CF0DAD">
        <w:rPr>
          <w:rFonts w:cstheme="minorHAnsi"/>
          <w:szCs w:val="22"/>
          <w:u w:val="single"/>
        </w:rPr>
        <w:t xml:space="preserve"> </w:t>
      </w:r>
      <w:r w:rsidR="00275FBD">
        <w:rPr>
          <w:rFonts w:cstheme="minorHAnsi"/>
          <w:szCs w:val="22"/>
          <w:u w:val="single"/>
        </w:rPr>
        <w:t>6</w:t>
      </w:r>
      <w:r w:rsidRPr="006A16A7">
        <w:rPr>
          <w:rFonts w:cstheme="minorHAnsi"/>
          <w:szCs w:val="22"/>
          <w:u w:val="single"/>
        </w:rPr>
        <w:t>: Specific listing of DGRs by Government</w:t>
      </w:r>
    </w:p>
    <w:p w14:paraId="3F4F0B73" w14:textId="2DB71E1B" w:rsidR="008C7F95" w:rsidRPr="0000789E" w:rsidRDefault="008C7F95" w:rsidP="0000789E">
      <w:pPr>
        <w:pStyle w:val="OutlineNumbered1"/>
        <w:tabs>
          <w:tab w:val="clear" w:pos="1135"/>
        </w:tabs>
        <w:ind w:left="567"/>
      </w:pPr>
      <w:r>
        <w:t>A specifically listed DGR entity has DGR status in perpetuity</w:t>
      </w:r>
      <w:r w:rsidR="00EA0276">
        <w:t>,</w:t>
      </w:r>
      <w:r>
        <w:t xml:space="preserve"> unless there is a special condition that restricts </w:t>
      </w:r>
      <w:r w:rsidR="00EA0276">
        <w:t xml:space="preserve">its listing </w:t>
      </w:r>
      <w:r>
        <w:t xml:space="preserve">period. As DGR entities can evolve over time, there may come a time when </w:t>
      </w:r>
      <w:r w:rsidR="00EA0276">
        <w:t>the ‘exceptional circumstances’ that justified their specific listing no longer applies</w:t>
      </w:r>
      <w:r>
        <w:t xml:space="preserve">. </w:t>
      </w:r>
    </w:p>
    <w:p w14:paraId="56770674" w14:textId="7BE2A064" w:rsidR="008C7F95" w:rsidRPr="008C7F95" w:rsidRDefault="008C7F95" w:rsidP="006C2DB6">
      <w:pPr>
        <w:pStyle w:val="OutlineNumbered1"/>
        <w:keepNext/>
        <w:numPr>
          <w:ilvl w:val="0"/>
          <w:numId w:val="0"/>
        </w:numPr>
        <w:rPr>
          <w:rFonts w:cstheme="minorHAnsi"/>
          <w:szCs w:val="22"/>
          <w:u w:val="single"/>
        </w:rPr>
      </w:pPr>
      <w:r w:rsidRPr="008C7F95">
        <w:rPr>
          <w:rFonts w:cstheme="minorHAnsi"/>
          <w:szCs w:val="22"/>
          <w:u w:val="single"/>
        </w:rPr>
        <w:t xml:space="preserve">Proposed Action </w:t>
      </w:r>
    </w:p>
    <w:p w14:paraId="56764A2E" w14:textId="5F12F931" w:rsidR="00922D3D" w:rsidRDefault="00407D92" w:rsidP="0000789E">
      <w:pPr>
        <w:pStyle w:val="OutlineNumbered1"/>
        <w:tabs>
          <w:tab w:val="clear" w:pos="1135"/>
        </w:tabs>
        <w:ind w:left="567"/>
      </w:pPr>
      <w:r>
        <w:t xml:space="preserve">A sunset period of </w:t>
      </w:r>
      <w:r w:rsidR="002A3D7A">
        <w:t xml:space="preserve">no more than </w:t>
      </w:r>
      <w:r>
        <w:t xml:space="preserve">five years could be introduced as a general rule for all specifically listed DGRs. After five years, the organisation would need to reapply for endorsement. This would give the Government of the day and Parliament the opportunity to decide whether the organisation still met the ‘exceptional circumstances’ requirement. </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178"/>
      </w:tblGrid>
      <w:tr w:rsidR="00922D3D" w14:paraId="466AF8BB" w14:textId="77777777" w:rsidTr="003D4A7C">
        <w:tc>
          <w:tcPr>
            <w:tcW w:w="9178" w:type="dxa"/>
            <w:shd w:val="clear" w:color="auto" w:fill="D9D9D9" w:themeFill="background1" w:themeFillShade="D9"/>
          </w:tcPr>
          <w:p w14:paraId="03D01151" w14:textId="77777777" w:rsidR="00922D3D" w:rsidRPr="00287E0A" w:rsidRDefault="00922D3D" w:rsidP="00287E0A">
            <w:pPr>
              <w:pStyle w:val="Bullet"/>
              <w:numPr>
                <w:ilvl w:val="0"/>
                <w:numId w:val="0"/>
              </w:numPr>
              <w:rPr>
                <w:b/>
                <w:color w:val="342E82"/>
              </w:rPr>
            </w:pPr>
            <w:r w:rsidRPr="00287E0A">
              <w:rPr>
                <w:b/>
                <w:color w:val="342E82"/>
              </w:rPr>
              <w:t>Consultation question</w:t>
            </w:r>
          </w:p>
          <w:p w14:paraId="7E13532E" w14:textId="6112E64B" w:rsidR="00922D3D" w:rsidRDefault="00CD6BF1" w:rsidP="00397740">
            <w:pPr>
              <w:pStyle w:val="Bullet"/>
              <w:numPr>
                <w:ilvl w:val="0"/>
                <w:numId w:val="0"/>
              </w:numPr>
            </w:pPr>
            <w:r>
              <w:t>1</w:t>
            </w:r>
            <w:r w:rsidR="00397740">
              <w:t>1</w:t>
            </w:r>
            <w:r w:rsidR="003A2970">
              <w:t xml:space="preserve">. </w:t>
            </w:r>
            <w:r w:rsidR="002041FB">
              <w:t xml:space="preserve">What are stakeholders’ views on the idea of having a general sunset rule of </w:t>
            </w:r>
            <w:r w:rsidR="00275FBD">
              <w:t>no more than</w:t>
            </w:r>
            <w:r w:rsidR="002041FB">
              <w:t xml:space="preserve"> five years for specifically listed DGRs</w:t>
            </w:r>
            <w:r w:rsidR="003A2970">
              <w:t>?</w:t>
            </w:r>
            <w:r w:rsidR="002041FB">
              <w:t xml:space="preserve"> What about existing listings, should they </w:t>
            </w:r>
            <w:r w:rsidR="00933600">
              <w:t xml:space="preserve">be </w:t>
            </w:r>
            <w:r w:rsidR="002041FB">
              <w:t>reviewed at least once every</w:t>
            </w:r>
            <w:r w:rsidR="00275FBD">
              <w:t>, say,</w:t>
            </w:r>
            <w:r w:rsidR="002041FB">
              <w:t xml:space="preserve"> five years to ensure they continue to meet the ‘exceptional circumstances’</w:t>
            </w:r>
            <w:r w:rsidR="00851B60">
              <w:t xml:space="preserve"> policy requirement for listing?</w:t>
            </w:r>
          </w:p>
        </w:tc>
      </w:tr>
    </w:tbl>
    <w:p w14:paraId="11A3A146" w14:textId="77777777" w:rsidR="00922D3D" w:rsidRDefault="00922D3D" w:rsidP="003D4A7C">
      <w:pPr>
        <w:pStyle w:val="OutlineNumbered1"/>
        <w:keepNext/>
        <w:numPr>
          <w:ilvl w:val="0"/>
          <w:numId w:val="0"/>
        </w:numPr>
      </w:pPr>
    </w:p>
    <w:p w14:paraId="057EDC5E" w14:textId="77777777" w:rsidR="00EC7829" w:rsidRDefault="00EC7829" w:rsidP="00F776A3">
      <w:pPr>
        <w:pStyle w:val="Heading3"/>
      </w:pPr>
      <w:bookmarkStart w:id="15" w:name="_Toc475351610"/>
      <w:r>
        <w:t>Parliamentary Inquiry into the Register of Environmental Organisations</w:t>
      </w:r>
      <w:bookmarkEnd w:id="15"/>
      <w:r>
        <w:t xml:space="preserve"> </w:t>
      </w:r>
    </w:p>
    <w:p w14:paraId="6ED8B4F3" w14:textId="6A6CEE63" w:rsidR="008F354B" w:rsidRPr="008F354B" w:rsidRDefault="00EC7829" w:rsidP="00287E0A">
      <w:pPr>
        <w:pStyle w:val="OutlineNumbered1"/>
        <w:tabs>
          <w:tab w:val="clear" w:pos="1135"/>
        </w:tabs>
        <w:ind w:left="567"/>
      </w:pPr>
      <w:r>
        <w:t xml:space="preserve">On 4 May 2016, the House of Representatives Standing Committee on the Environment tabled its report </w:t>
      </w:r>
      <w:r w:rsidR="00075C04">
        <w:t>of</w:t>
      </w:r>
      <w:r>
        <w:t xml:space="preserve"> its inquiry into the Register of Environmental Organisations</w:t>
      </w:r>
      <w:r w:rsidR="001C0F82">
        <w:t xml:space="preserve"> (REO)</w:t>
      </w:r>
      <w:r w:rsidR="00143D06" w:rsidRPr="00975358">
        <w:rPr>
          <w:position w:val="6"/>
          <w:vertAlign w:val="superscript"/>
        </w:rPr>
        <w:footnoteReference w:id="26"/>
      </w:r>
      <w:r>
        <w:t xml:space="preserve">. </w:t>
      </w:r>
      <w:r w:rsidR="00EB6968">
        <w:t>Consistent with the term</w:t>
      </w:r>
      <w:r w:rsidR="001C0F82">
        <w:t>s</w:t>
      </w:r>
      <w:r w:rsidR="00EB6968">
        <w:t xml:space="preserve"> of </w:t>
      </w:r>
      <w:r w:rsidR="00EB6968" w:rsidRPr="00287E0A">
        <w:t xml:space="preserve">reference for the </w:t>
      </w:r>
      <w:r w:rsidR="00F776A3" w:rsidRPr="00287E0A">
        <w:t>inquiry</w:t>
      </w:r>
      <w:r w:rsidR="00EB6968" w:rsidRPr="00287E0A">
        <w:t>, the Committee</w:t>
      </w:r>
      <w:r w:rsidR="00F776A3" w:rsidRPr="00287E0A">
        <w:t xml:space="preserve"> considered the administration and transparency of the </w:t>
      </w:r>
      <w:r w:rsidR="001C0F82" w:rsidRPr="00287E0A">
        <w:t xml:space="preserve">REO, which </w:t>
      </w:r>
      <w:r w:rsidR="00F776A3" w:rsidRPr="00287E0A">
        <w:t>enable</w:t>
      </w:r>
      <w:r w:rsidR="00EB6968" w:rsidRPr="00287E0A">
        <w:t>s</w:t>
      </w:r>
      <w:r w:rsidR="00F776A3" w:rsidRPr="00287E0A">
        <w:t xml:space="preserve"> eligible environmental organisations </w:t>
      </w:r>
      <w:r w:rsidR="001C0F82" w:rsidRPr="00287E0A">
        <w:t xml:space="preserve">to </w:t>
      </w:r>
      <w:r w:rsidR="00EB6968" w:rsidRPr="00287E0A">
        <w:t>become a DGR in order to</w:t>
      </w:r>
      <w:r w:rsidR="00F776A3" w:rsidRPr="00287E0A">
        <w:t xml:space="preserve"> </w:t>
      </w:r>
      <w:r w:rsidR="001C0F82" w:rsidRPr="00287E0A">
        <w:t xml:space="preserve">obtain </w:t>
      </w:r>
      <w:r w:rsidR="00F776A3" w:rsidRPr="00287E0A">
        <w:t>tax-deductible donations</w:t>
      </w:r>
      <w:r w:rsidR="001C0F82" w:rsidRPr="00287E0A">
        <w:t xml:space="preserve"> from taxpayers</w:t>
      </w:r>
      <w:r w:rsidR="00F776A3" w:rsidRPr="00287E0A">
        <w:t xml:space="preserve">. </w:t>
      </w:r>
    </w:p>
    <w:p w14:paraId="57212422" w14:textId="77777777" w:rsidR="00490F70" w:rsidRDefault="00EB6968" w:rsidP="00490F70">
      <w:pPr>
        <w:pStyle w:val="OutlineNumbered1"/>
        <w:tabs>
          <w:tab w:val="clear" w:pos="1135"/>
        </w:tabs>
        <w:ind w:left="567"/>
      </w:pPr>
      <w:r w:rsidRPr="00287E0A">
        <w:lastRenderedPageBreak/>
        <w:t>T</w:t>
      </w:r>
      <w:r w:rsidR="00F776A3" w:rsidRPr="00287E0A">
        <w:t xml:space="preserve">he focus of the inquiry was on the effectiveness of the </w:t>
      </w:r>
      <w:r w:rsidR="001C0F82" w:rsidRPr="00287E0A">
        <w:t>REO</w:t>
      </w:r>
      <w:r w:rsidR="00F776A3" w:rsidRPr="00287E0A">
        <w:t xml:space="preserve"> in supporting communities to undertake practical action to improve the environment</w:t>
      </w:r>
      <w:r w:rsidRPr="00287E0A">
        <w:t xml:space="preserve">. </w:t>
      </w:r>
      <w:r w:rsidR="008F354B" w:rsidRPr="00287E0A">
        <w:t>The</w:t>
      </w:r>
      <w:r w:rsidR="00F776A3" w:rsidRPr="00287E0A">
        <w:t xml:space="preserve"> Committee </w:t>
      </w:r>
      <w:r w:rsidR="008F354B" w:rsidRPr="00287E0A">
        <w:t>made recommendations designed</w:t>
      </w:r>
      <w:r w:rsidR="00F776A3" w:rsidRPr="00287E0A">
        <w:t xml:space="preserve"> to strengthen the integrity of tax-concessional arrangements for environmental organisations. The Committee also identified scope to stre</w:t>
      </w:r>
      <w:r w:rsidR="001C0F82" w:rsidRPr="00287E0A">
        <w:t xml:space="preserve">amline the administration </w:t>
      </w:r>
      <w:r w:rsidR="00F776A3" w:rsidRPr="00287E0A">
        <w:t xml:space="preserve">of the </w:t>
      </w:r>
      <w:r w:rsidR="008F354B" w:rsidRPr="00287E0A">
        <w:t xml:space="preserve">REO </w:t>
      </w:r>
      <w:r w:rsidR="00F776A3" w:rsidRPr="00287E0A">
        <w:t>system.</w:t>
      </w:r>
    </w:p>
    <w:p w14:paraId="5A8DEFE6" w14:textId="77777777" w:rsidR="00490F70" w:rsidRDefault="00EC7829" w:rsidP="00490F70">
      <w:pPr>
        <w:pStyle w:val="OutlineNumbered1"/>
        <w:tabs>
          <w:tab w:val="clear" w:pos="1135"/>
        </w:tabs>
        <w:ind w:left="567"/>
      </w:pPr>
      <w:r>
        <w:t>The Committee made nine recommendations</w:t>
      </w:r>
      <w:r w:rsidR="008F354B">
        <w:t xml:space="preserve"> many of which can be applied to the DGR system as a whole and to the other </w:t>
      </w:r>
      <w:r w:rsidR="00075C04">
        <w:t xml:space="preserve">DGR </w:t>
      </w:r>
      <w:r w:rsidR="008F354B">
        <w:t>registers</w:t>
      </w:r>
      <w:r w:rsidR="00075C04">
        <w:t xml:space="preserve"> </w:t>
      </w:r>
      <w:r w:rsidR="008F354B">
        <w:t xml:space="preserve">- the </w:t>
      </w:r>
      <w:r w:rsidR="008F354B" w:rsidRPr="003953BF">
        <w:t>Reg</w:t>
      </w:r>
      <w:r w:rsidR="008F354B">
        <w:t>ister of Cultural Organisations,</w:t>
      </w:r>
      <w:r w:rsidR="008F354B" w:rsidRPr="003953BF">
        <w:t xml:space="preserve"> </w:t>
      </w:r>
      <w:r w:rsidR="008F354B">
        <w:t xml:space="preserve">the </w:t>
      </w:r>
      <w:r w:rsidR="008F354B" w:rsidRPr="003953BF">
        <w:t>Register for Harm Prevention Charities</w:t>
      </w:r>
      <w:r w:rsidR="008F354B">
        <w:t>,</w:t>
      </w:r>
      <w:r w:rsidR="008F354B" w:rsidRPr="003953BF">
        <w:t xml:space="preserve"> and </w:t>
      </w:r>
      <w:r w:rsidR="008F354B">
        <w:t xml:space="preserve">the </w:t>
      </w:r>
      <w:r w:rsidR="00075C04">
        <w:t>Overseas Aid Gift D</w:t>
      </w:r>
      <w:r w:rsidR="008F354B" w:rsidRPr="003953BF">
        <w:t>eduction Scheme</w:t>
      </w:r>
      <w:r>
        <w:t xml:space="preserve">. </w:t>
      </w:r>
    </w:p>
    <w:p w14:paraId="6381D5C5" w14:textId="123928E4" w:rsidR="00F776A3" w:rsidRPr="00490F70" w:rsidRDefault="00F776A3" w:rsidP="00490F70">
      <w:pPr>
        <w:pStyle w:val="OutlineNumbered1"/>
        <w:keepNext/>
        <w:numPr>
          <w:ilvl w:val="0"/>
          <w:numId w:val="0"/>
        </w:numPr>
        <w:rPr>
          <w:b/>
        </w:rPr>
      </w:pPr>
      <w:r w:rsidRPr="00490F70">
        <w:rPr>
          <w:b/>
        </w:rPr>
        <w:t xml:space="preserve">Recommendation 1 </w:t>
      </w:r>
    </w:p>
    <w:p w14:paraId="06F2CDE5" w14:textId="77777777" w:rsidR="00F776A3" w:rsidRPr="005534FE" w:rsidRDefault="00F776A3" w:rsidP="00287E0A">
      <w:pPr>
        <w:pStyle w:val="OutlineNumbered1"/>
        <w:keepNext/>
        <w:tabs>
          <w:tab w:val="clear" w:pos="1135"/>
        </w:tabs>
        <w:ind w:left="567"/>
        <w:rPr>
          <w:b/>
        </w:rPr>
      </w:pPr>
      <w:r w:rsidRPr="005534FE">
        <w:rPr>
          <w:b/>
        </w:rPr>
        <w:t>The Committee recommend</w:t>
      </w:r>
      <w:r w:rsidR="002538FB" w:rsidRPr="005534FE">
        <w:rPr>
          <w:b/>
        </w:rPr>
        <w:t>ed</w:t>
      </w:r>
      <w:r w:rsidRPr="005534FE">
        <w:rPr>
          <w:b/>
        </w:rPr>
        <w:t xml:space="preserve"> that the Register of Environmental Organisations be abolished and that the administration process for endorsement as a </w:t>
      </w:r>
      <w:r w:rsidR="00075C04">
        <w:rPr>
          <w:b/>
        </w:rPr>
        <w:t>DGR</w:t>
      </w:r>
      <w:r w:rsidRPr="005534FE">
        <w:rPr>
          <w:b/>
        </w:rPr>
        <w:t xml:space="preserve"> for environmental organisations be transferred wholly to the </w:t>
      </w:r>
      <w:r w:rsidR="00075C04">
        <w:rPr>
          <w:b/>
        </w:rPr>
        <w:t>ATO</w:t>
      </w:r>
      <w:r w:rsidRPr="005534FE">
        <w:rPr>
          <w:b/>
        </w:rPr>
        <w:t xml:space="preserve">. </w:t>
      </w:r>
    </w:p>
    <w:p w14:paraId="2BD1902D" w14:textId="55998180" w:rsidR="002538FB" w:rsidRPr="00F776A3" w:rsidRDefault="002538FB" w:rsidP="005D6237">
      <w:pPr>
        <w:pStyle w:val="OutlineNumbered1"/>
        <w:tabs>
          <w:tab w:val="clear" w:pos="1135"/>
        </w:tabs>
        <w:ind w:left="567"/>
      </w:pPr>
      <w:r>
        <w:t xml:space="preserve">The </w:t>
      </w:r>
      <w:r w:rsidR="00075C04">
        <w:t xml:space="preserve">action </w:t>
      </w:r>
      <w:r>
        <w:t xml:space="preserve">proposed in paragraph </w:t>
      </w:r>
      <w:r w:rsidR="0048230A">
        <w:t>38</w:t>
      </w:r>
      <w:r>
        <w:t xml:space="preserve"> would give </w:t>
      </w:r>
      <w:r w:rsidR="00CF0DAD">
        <w:t xml:space="preserve">substantive </w:t>
      </w:r>
      <w:r>
        <w:t>effect to this recommendation.</w:t>
      </w:r>
    </w:p>
    <w:p w14:paraId="2194DADA" w14:textId="77777777" w:rsidR="00F776A3" w:rsidRPr="005534FE" w:rsidRDefault="00F776A3" w:rsidP="00F4472A">
      <w:pPr>
        <w:pStyle w:val="OutlineNumbered1"/>
        <w:keepNext/>
        <w:numPr>
          <w:ilvl w:val="0"/>
          <w:numId w:val="0"/>
        </w:numPr>
        <w:rPr>
          <w:b/>
        </w:rPr>
      </w:pPr>
      <w:r w:rsidRPr="005534FE">
        <w:rPr>
          <w:b/>
        </w:rPr>
        <w:t xml:space="preserve">Recommendation 2 </w:t>
      </w:r>
    </w:p>
    <w:p w14:paraId="669CA221" w14:textId="77777777" w:rsidR="00F776A3" w:rsidRPr="005534FE" w:rsidRDefault="00F776A3" w:rsidP="00287E0A">
      <w:pPr>
        <w:pStyle w:val="OutlineNumbered1"/>
        <w:keepNext/>
        <w:ind w:left="567"/>
        <w:rPr>
          <w:b/>
        </w:rPr>
      </w:pPr>
      <w:r w:rsidRPr="005534FE">
        <w:rPr>
          <w:b/>
        </w:rPr>
        <w:t>The Committee recommend</w:t>
      </w:r>
      <w:r w:rsidR="00D77E5A" w:rsidRPr="005534FE">
        <w:rPr>
          <w:b/>
        </w:rPr>
        <w:t>ed</w:t>
      </w:r>
      <w:r w:rsidRPr="005534FE">
        <w:rPr>
          <w:b/>
        </w:rPr>
        <w:t xml:space="preserve"> that registration as an environmental charity through the </w:t>
      </w:r>
      <w:r w:rsidR="00075C04">
        <w:rPr>
          <w:b/>
        </w:rPr>
        <w:t>ACNC</w:t>
      </w:r>
      <w:r w:rsidRPr="005534FE">
        <w:rPr>
          <w:b/>
        </w:rPr>
        <w:t xml:space="preserve"> be a prerequisite for environmental organisations to obtain endorsement as a </w:t>
      </w:r>
      <w:r w:rsidR="00075C04">
        <w:rPr>
          <w:b/>
        </w:rPr>
        <w:t>DGR</w:t>
      </w:r>
      <w:r w:rsidRPr="005534FE">
        <w:rPr>
          <w:b/>
        </w:rPr>
        <w:t xml:space="preserve"> by the </w:t>
      </w:r>
      <w:r w:rsidR="00075C04">
        <w:rPr>
          <w:b/>
        </w:rPr>
        <w:t>ATO</w:t>
      </w:r>
      <w:r w:rsidRPr="005534FE">
        <w:rPr>
          <w:b/>
        </w:rPr>
        <w:t xml:space="preserve">. </w:t>
      </w:r>
    </w:p>
    <w:p w14:paraId="2204AA07" w14:textId="0314253A" w:rsidR="00D77E5A" w:rsidRPr="00F776A3" w:rsidRDefault="00D77E5A" w:rsidP="00287E0A">
      <w:pPr>
        <w:pStyle w:val="OutlineNumbered1"/>
        <w:ind w:left="567"/>
      </w:pPr>
      <w:r>
        <w:t xml:space="preserve">The </w:t>
      </w:r>
      <w:r w:rsidR="00075C04">
        <w:t xml:space="preserve">action </w:t>
      </w:r>
      <w:r>
        <w:t xml:space="preserve">proposed in paragraph </w:t>
      </w:r>
      <w:r w:rsidR="0048230A">
        <w:t xml:space="preserve">21 </w:t>
      </w:r>
      <w:r>
        <w:t>would give effect to this recommendation.</w:t>
      </w:r>
    </w:p>
    <w:p w14:paraId="27FB8072" w14:textId="77777777" w:rsidR="00F776A3" w:rsidRPr="005534FE" w:rsidRDefault="00F776A3" w:rsidP="002538FB">
      <w:pPr>
        <w:pStyle w:val="OutlineNumbered1"/>
        <w:numPr>
          <w:ilvl w:val="0"/>
          <w:numId w:val="0"/>
        </w:numPr>
        <w:rPr>
          <w:b/>
        </w:rPr>
      </w:pPr>
      <w:r w:rsidRPr="005534FE">
        <w:rPr>
          <w:b/>
        </w:rPr>
        <w:t xml:space="preserve">Recommendation 3 </w:t>
      </w:r>
    </w:p>
    <w:p w14:paraId="767B6E33" w14:textId="77777777" w:rsidR="00F776A3" w:rsidRPr="005534FE" w:rsidRDefault="00F776A3" w:rsidP="00287E0A">
      <w:pPr>
        <w:pStyle w:val="OutlineNumbered1"/>
        <w:ind w:left="567"/>
        <w:rPr>
          <w:b/>
        </w:rPr>
      </w:pPr>
      <w:r w:rsidRPr="005534FE">
        <w:rPr>
          <w:b/>
        </w:rPr>
        <w:t>The Committee recommend</w:t>
      </w:r>
      <w:r w:rsidR="00350574" w:rsidRPr="005534FE">
        <w:rPr>
          <w:b/>
        </w:rPr>
        <w:t>ed</w:t>
      </w:r>
      <w:r w:rsidRPr="005534FE">
        <w:rPr>
          <w:b/>
        </w:rPr>
        <w:t xml:space="preserve"> that the Treasurer and the Minister for the Environment pursue amendments to the </w:t>
      </w:r>
      <w:r w:rsidRPr="005534FE">
        <w:rPr>
          <w:b/>
          <w:i/>
          <w:iCs/>
        </w:rPr>
        <w:t xml:space="preserve">Income Tax Assessment Act 1997 </w:t>
      </w:r>
      <w:r w:rsidRPr="005534FE">
        <w:rPr>
          <w:b/>
        </w:rPr>
        <w:t xml:space="preserve">(Cth) to remove environmental </w:t>
      </w:r>
      <w:r w:rsidR="00075C04">
        <w:rPr>
          <w:b/>
        </w:rPr>
        <w:t>DGRs</w:t>
      </w:r>
      <w:r w:rsidRPr="005534FE">
        <w:rPr>
          <w:b/>
        </w:rPr>
        <w:t xml:space="preserve"> listed individually by name in the Act. </w:t>
      </w:r>
    </w:p>
    <w:p w14:paraId="783FA418" w14:textId="7924214F" w:rsidR="00350574" w:rsidRPr="00F776A3" w:rsidRDefault="00CF0DAD" w:rsidP="00287E0A">
      <w:pPr>
        <w:pStyle w:val="OutlineNumbered1"/>
        <w:ind w:left="567"/>
      </w:pPr>
      <w:r>
        <w:t>T</w:t>
      </w:r>
      <w:r w:rsidR="005366EA">
        <w:t xml:space="preserve">he discussion in paragraph </w:t>
      </w:r>
      <w:r w:rsidR="00AE3FCE">
        <w:t>61</w:t>
      </w:r>
      <w:r w:rsidR="005366EA">
        <w:t xml:space="preserve"> proposed that</w:t>
      </w:r>
      <w:r w:rsidR="00350574">
        <w:t xml:space="preserve"> new specific listings continue to be considered by </w:t>
      </w:r>
      <w:r w:rsidR="00075C04">
        <w:t xml:space="preserve">Government and put to the Parliament in the usual way. </w:t>
      </w:r>
      <w:r w:rsidR="00350574">
        <w:t xml:space="preserve">For </w:t>
      </w:r>
      <w:r w:rsidR="00075C04">
        <w:t xml:space="preserve">specific </w:t>
      </w:r>
      <w:r w:rsidR="00350574">
        <w:t>listing, organisations would need to</w:t>
      </w:r>
      <w:r w:rsidR="00075C04">
        <w:t xml:space="preserve"> meet the</w:t>
      </w:r>
      <w:r w:rsidR="00350574">
        <w:t xml:space="preserve"> </w:t>
      </w:r>
      <w:r w:rsidR="00075C04">
        <w:t xml:space="preserve">‘exceptional circumstances’ </w:t>
      </w:r>
      <w:r w:rsidR="002041FB">
        <w:t xml:space="preserve">policy </w:t>
      </w:r>
      <w:r w:rsidR="00075C04">
        <w:t xml:space="preserve">requirement </w:t>
      </w:r>
      <w:r w:rsidR="00350574">
        <w:t xml:space="preserve">and </w:t>
      </w:r>
      <w:r w:rsidR="00932DF2">
        <w:t xml:space="preserve">not </w:t>
      </w:r>
      <w:r w:rsidR="00075C04">
        <w:t xml:space="preserve">be </w:t>
      </w:r>
      <w:r w:rsidR="00350574">
        <w:t>eligible to be listed in one of the general DGR categories.</w:t>
      </w:r>
      <w:r w:rsidR="00932DF2">
        <w:t xml:space="preserve"> There are several environmental organisations that were specifically listed prior to the commencement of the REO that </w:t>
      </w:r>
      <w:r w:rsidR="00E03E8F">
        <w:t>c</w:t>
      </w:r>
      <w:r w:rsidR="00932DF2">
        <w:t>ould be eligible for the REO</w:t>
      </w:r>
      <w:r w:rsidR="003A2970">
        <w:t>,</w:t>
      </w:r>
      <w:r w:rsidR="00932DF2">
        <w:t xml:space="preserve"> which would reduce the number of specifically listed </w:t>
      </w:r>
      <w:r w:rsidR="00366E37">
        <w:t>DGR entities in the environment section of the tax law</w:t>
      </w:r>
      <w:r w:rsidR="00932DF2">
        <w:t>.</w:t>
      </w:r>
    </w:p>
    <w:p w14:paraId="3C871971" w14:textId="77777777" w:rsidR="00F776A3" w:rsidRPr="005534FE" w:rsidRDefault="00F776A3" w:rsidP="002538FB">
      <w:pPr>
        <w:pStyle w:val="OutlineNumbered1"/>
        <w:numPr>
          <w:ilvl w:val="0"/>
          <w:numId w:val="0"/>
        </w:numPr>
        <w:rPr>
          <w:b/>
        </w:rPr>
      </w:pPr>
      <w:r w:rsidRPr="005534FE">
        <w:rPr>
          <w:b/>
        </w:rPr>
        <w:t xml:space="preserve">Recommendation 4 </w:t>
      </w:r>
    </w:p>
    <w:p w14:paraId="25E7CD1C" w14:textId="77777777" w:rsidR="00F776A3" w:rsidRPr="005534FE" w:rsidRDefault="00F776A3" w:rsidP="00287E0A">
      <w:pPr>
        <w:pStyle w:val="OutlineNumbered1"/>
        <w:ind w:left="567"/>
        <w:rPr>
          <w:b/>
        </w:rPr>
      </w:pPr>
      <w:r w:rsidRPr="005534FE">
        <w:rPr>
          <w:b/>
        </w:rPr>
        <w:t>The Committee recommend</w:t>
      </w:r>
      <w:r w:rsidR="00350574" w:rsidRPr="005534FE">
        <w:rPr>
          <w:b/>
        </w:rPr>
        <w:t>ed</w:t>
      </w:r>
      <w:r w:rsidRPr="005534FE">
        <w:rPr>
          <w:b/>
        </w:rPr>
        <w:t xml:space="preserve"> that the </w:t>
      </w:r>
      <w:r w:rsidR="005366EA">
        <w:rPr>
          <w:b/>
        </w:rPr>
        <w:t>ATO</w:t>
      </w:r>
      <w:r w:rsidRPr="005534FE">
        <w:rPr>
          <w:b/>
        </w:rPr>
        <w:t xml:space="preserve"> maintain a publicly available list of organisations that receive </w:t>
      </w:r>
      <w:r w:rsidR="005366EA">
        <w:rPr>
          <w:b/>
        </w:rPr>
        <w:t>DGR</w:t>
      </w:r>
      <w:r w:rsidRPr="005534FE">
        <w:rPr>
          <w:b/>
        </w:rPr>
        <w:t xml:space="preserve"> endorsement as an environmental charity. </w:t>
      </w:r>
    </w:p>
    <w:p w14:paraId="48B46278" w14:textId="006BD68D" w:rsidR="001C0F82" w:rsidRPr="00F776A3" w:rsidRDefault="001C0F82" w:rsidP="00287E0A">
      <w:pPr>
        <w:pStyle w:val="OutlineNumbered1"/>
        <w:ind w:left="567"/>
      </w:pPr>
      <w:r>
        <w:t xml:space="preserve">As noted in paragraph </w:t>
      </w:r>
      <w:r w:rsidR="0048230A">
        <w:t>26</w:t>
      </w:r>
      <w:r>
        <w:t xml:space="preserve">, the proposal to require DGRs to become charities registered and regulated by the ACNC would give </w:t>
      </w:r>
      <w:r w:rsidR="001D186E">
        <w:t xml:space="preserve">some </w:t>
      </w:r>
      <w:r>
        <w:t>effect to this recommendation.</w:t>
      </w:r>
      <w:r w:rsidR="00C80607">
        <w:t xml:space="preserve"> When charities are registered with the ACNC, they appear on the </w:t>
      </w:r>
      <w:r w:rsidR="00C80607" w:rsidRPr="00CD6BF1">
        <w:t>ACNC Register</w:t>
      </w:r>
      <w:r w:rsidR="00C80607">
        <w:t>. This is publicly available on the internet and is maintained by the ACNC.</w:t>
      </w:r>
    </w:p>
    <w:p w14:paraId="0DE4DF0A" w14:textId="77777777" w:rsidR="00083959" w:rsidRDefault="00083959" w:rsidP="002538FB">
      <w:pPr>
        <w:pStyle w:val="OutlineNumbered1"/>
        <w:numPr>
          <w:ilvl w:val="0"/>
          <w:numId w:val="0"/>
        </w:numPr>
        <w:ind w:left="567" w:hanging="567"/>
        <w:rPr>
          <w:b/>
        </w:rPr>
      </w:pPr>
    </w:p>
    <w:p w14:paraId="707B4892" w14:textId="77777777" w:rsidR="00083959" w:rsidRDefault="00083959" w:rsidP="002538FB">
      <w:pPr>
        <w:pStyle w:val="OutlineNumbered1"/>
        <w:numPr>
          <w:ilvl w:val="0"/>
          <w:numId w:val="0"/>
        </w:numPr>
        <w:ind w:left="567" w:hanging="567"/>
        <w:rPr>
          <w:b/>
        </w:rPr>
      </w:pPr>
    </w:p>
    <w:p w14:paraId="4B327161" w14:textId="77777777" w:rsidR="00F776A3" w:rsidRPr="005534FE" w:rsidRDefault="00F776A3" w:rsidP="002538FB">
      <w:pPr>
        <w:pStyle w:val="OutlineNumbered1"/>
        <w:numPr>
          <w:ilvl w:val="0"/>
          <w:numId w:val="0"/>
        </w:numPr>
        <w:ind w:left="567" w:hanging="567"/>
        <w:rPr>
          <w:b/>
        </w:rPr>
      </w:pPr>
      <w:r w:rsidRPr="005534FE">
        <w:rPr>
          <w:b/>
        </w:rPr>
        <w:lastRenderedPageBreak/>
        <w:t xml:space="preserve">Recommendation 5 </w:t>
      </w:r>
    </w:p>
    <w:p w14:paraId="693483A2" w14:textId="77777777" w:rsidR="00F776A3" w:rsidRPr="005534FE" w:rsidRDefault="00F776A3" w:rsidP="00287E0A">
      <w:pPr>
        <w:pStyle w:val="OutlineNumbered1"/>
        <w:ind w:left="567"/>
        <w:rPr>
          <w:b/>
        </w:rPr>
      </w:pPr>
      <w:r w:rsidRPr="005534FE">
        <w:rPr>
          <w:b/>
        </w:rPr>
        <w:t>The Committee recommend</w:t>
      </w:r>
      <w:r w:rsidR="00350574" w:rsidRPr="005534FE">
        <w:rPr>
          <w:b/>
        </w:rPr>
        <w:t>ed</w:t>
      </w:r>
      <w:r w:rsidRPr="005534FE">
        <w:rPr>
          <w:b/>
        </w:rPr>
        <w:t xml:space="preserve"> that legislative and administrative changes be pursued by the </w:t>
      </w:r>
      <w:r w:rsidR="005366EA">
        <w:rPr>
          <w:b/>
        </w:rPr>
        <w:t>ATO</w:t>
      </w:r>
      <w:r w:rsidRPr="005534FE">
        <w:rPr>
          <w:b/>
        </w:rPr>
        <w:t xml:space="preserve"> to require that the value of each environmental </w:t>
      </w:r>
      <w:r w:rsidR="005366EA">
        <w:rPr>
          <w:b/>
        </w:rPr>
        <w:t>DGR’s</w:t>
      </w:r>
      <w:r w:rsidRPr="005534FE">
        <w:rPr>
          <w:b/>
        </w:rPr>
        <w:t xml:space="preserve"> annual expenditure on environmental remediation work be no less than 25 per cent of the organisation’s annual expenditure from its public fund. </w:t>
      </w:r>
    </w:p>
    <w:p w14:paraId="1EAABF30" w14:textId="06147CCA" w:rsidR="00BA06DD" w:rsidRDefault="00BA06DD" w:rsidP="00A94E12">
      <w:pPr>
        <w:pStyle w:val="OutlineNumbered1"/>
        <w:spacing w:after="120"/>
        <w:ind w:left="567"/>
      </w:pPr>
      <w:r>
        <w:t xml:space="preserve">In making this recommendation, the Committee acknowledged the benefits of a diverse range of environmental work and said it wished to ensure that the concessions conferred on environmental DGRs were directed, at least in some part, </w:t>
      </w:r>
      <w:r w:rsidR="00092214">
        <w:t>to</w:t>
      </w:r>
      <w:r>
        <w:t xml:space="preserve"> environmental work that achieves clear on-ground environmental outcomes. </w:t>
      </w:r>
      <w:r w:rsidR="007A7B02">
        <w:t xml:space="preserve">On the other hand, several stakeholders raised concerns with Committee </w:t>
      </w:r>
      <w:r w:rsidR="007A7B02" w:rsidRPr="00763065">
        <w:t>that it could be difficult for charities to determine whether a particular activity would be considered charitable or political and that resources may be diverted away from charitable work to reporting and compliance activities</w:t>
      </w:r>
      <w:r w:rsidR="007A7B02">
        <w:t>.</w:t>
      </w:r>
    </w:p>
    <w:p w14:paraId="2B89899C" w14:textId="77777777" w:rsidR="006444B8" w:rsidRDefault="006444B8" w:rsidP="00975358">
      <w:pPr>
        <w:pStyle w:val="OutlineNumbered1"/>
        <w:numPr>
          <w:ilvl w:val="0"/>
          <w:numId w:val="0"/>
        </w:numPr>
        <w:shd w:val="clear" w:color="auto" w:fill="D9D9D9" w:themeFill="background1" w:themeFillShade="D9"/>
      </w:pPr>
      <w:r w:rsidRPr="00287E0A">
        <w:rPr>
          <w:b/>
          <w:color w:val="342E82"/>
        </w:rPr>
        <w:t>Consultation question</w:t>
      </w:r>
      <w:r w:rsidRPr="006444B8">
        <w:t xml:space="preserve"> </w:t>
      </w:r>
    </w:p>
    <w:p w14:paraId="0A607770" w14:textId="756D7EFF" w:rsidR="006D407D" w:rsidRDefault="003A2970" w:rsidP="00975358">
      <w:pPr>
        <w:pStyle w:val="OutlineNumbered1"/>
        <w:numPr>
          <w:ilvl w:val="0"/>
          <w:numId w:val="0"/>
        </w:numPr>
        <w:shd w:val="clear" w:color="auto" w:fill="D9D9D9" w:themeFill="background1" w:themeFillShade="D9"/>
      </w:pPr>
      <w:r>
        <w:t>1</w:t>
      </w:r>
      <w:r w:rsidR="00397740">
        <w:t>2</w:t>
      </w:r>
      <w:r>
        <w:t xml:space="preserve">. </w:t>
      </w:r>
      <w:r w:rsidR="006444B8">
        <w:t>Stakeholders’ v</w:t>
      </w:r>
      <w:r w:rsidR="003077E5">
        <w:t xml:space="preserve">iews are sought on </w:t>
      </w:r>
      <w:r w:rsidR="006D0976">
        <w:t>requiring environmental organisations to commit no less than 25</w:t>
      </w:r>
      <w:r w:rsidR="00275FBD">
        <w:t xml:space="preserve"> per cent</w:t>
      </w:r>
      <w:r w:rsidR="006D0976">
        <w:t xml:space="preserve"> of their annual expenditure from their public fund to environmental remediation</w:t>
      </w:r>
      <w:r w:rsidR="004D14CA">
        <w:t>, and whether a higher limit, such as 50 per cent, should be considered?</w:t>
      </w:r>
      <w:r w:rsidR="00E2710B">
        <w:t xml:space="preserve"> </w:t>
      </w:r>
      <w:r w:rsidR="00C80607">
        <w:t>In particular</w:t>
      </w:r>
      <w:r w:rsidR="006D0976">
        <w:t>,</w:t>
      </w:r>
      <w:r w:rsidR="00C80607">
        <w:t xml:space="preserve"> </w:t>
      </w:r>
      <w:r w:rsidR="004D14CA">
        <w:t xml:space="preserve">what are </w:t>
      </w:r>
      <w:r w:rsidR="00C80607">
        <w:t xml:space="preserve">the </w:t>
      </w:r>
      <w:r w:rsidR="006D0976">
        <w:t xml:space="preserve">potential </w:t>
      </w:r>
      <w:r w:rsidR="00C80607">
        <w:t xml:space="preserve">benefits </w:t>
      </w:r>
      <w:r w:rsidR="004D14CA">
        <w:t>and</w:t>
      </w:r>
      <w:r w:rsidR="006D0976">
        <w:t xml:space="preserve"> </w:t>
      </w:r>
      <w:r w:rsidR="00C80607">
        <w:t>the potential regulatory burden</w:t>
      </w:r>
      <w:r w:rsidR="003077E5">
        <w:t xml:space="preserve">? How could the proposal be implemented to minimise the </w:t>
      </w:r>
      <w:r w:rsidR="003D4A7C">
        <w:t>regulatory</w:t>
      </w:r>
      <w:r w:rsidR="003077E5">
        <w:t xml:space="preserve"> burden?</w:t>
      </w:r>
    </w:p>
    <w:p w14:paraId="52696CC6" w14:textId="77777777" w:rsidR="004D14CA" w:rsidRDefault="004D14CA" w:rsidP="00975358">
      <w:pPr>
        <w:pStyle w:val="OutlineNumbered1"/>
        <w:numPr>
          <w:ilvl w:val="0"/>
          <w:numId w:val="0"/>
        </w:numPr>
        <w:shd w:val="clear" w:color="auto" w:fill="D9D9D9" w:themeFill="background1" w:themeFillShade="D9"/>
      </w:pPr>
    </w:p>
    <w:p w14:paraId="57109E1A" w14:textId="77777777" w:rsidR="00F776A3" w:rsidRPr="005534FE" w:rsidRDefault="00F776A3" w:rsidP="007C37B2">
      <w:pPr>
        <w:pStyle w:val="OutlineNumbered1"/>
        <w:keepNext/>
        <w:numPr>
          <w:ilvl w:val="0"/>
          <w:numId w:val="0"/>
        </w:numPr>
        <w:rPr>
          <w:b/>
        </w:rPr>
      </w:pPr>
      <w:r w:rsidRPr="005534FE">
        <w:rPr>
          <w:b/>
        </w:rPr>
        <w:t xml:space="preserve">Recommendation 6 </w:t>
      </w:r>
    </w:p>
    <w:p w14:paraId="338E2283" w14:textId="5BB10A4C" w:rsidR="00F776A3" w:rsidRPr="00D20D48" w:rsidRDefault="00F776A3" w:rsidP="00287E0A">
      <w:pPr>
        <w:pStyle w:val="OutlineNumbered1"/>
        <w:keepNext/>
        <w:ind w:left="567"/>
        <w:rPr>
          <w:b/>
          <w:color w:val="auto"/>
        </w:rPr>
      </w:pPr>
      <w:r w:rsidRPr="00D20D48">
        <w:rPr>
          <w:b/>
          <w:color w:val="auto"/>
        </w:rPr>
        <w:t>The Committee recommend</w:t>
      </w:r>
      <w:r w:rsidR="00350574" w:rsidRPr="00D20D48">
        <w:rPr>
          <w:b/>
          <w:color w:val="auto"/>
        </w:rPr>
        <w:t>ed</w:t>
      </w:r>
      <w:r w:rsidRPr="00D20D48">
        <w:rPr>
          <w:b/>
          <w:color w:val="auto"/>
        </w:rPr>
        <w:t xml:space="preserve"> that administrative sanctions be introduced for environmental </w:t>
      </w:r>
      <w:r w:rsidR="00EE3C94" w:rsidRPr="00D20D48">
        <w:rPr>
          <w:b/>
          <w:color w:val="auto"/>
        </w:rPr>
        <w:t xml:space="preserve">DGRs </w:t>
      </w:r>
      <w:r w:rsidRPr="00D20D48">
        <w:rPr>
          <w:b/>
          <w:color w:val="auto"/>
        </w:rPr>
        <w:t xml:space="preserve">that encourage, support, promote, or endorse illegal or unlawful activity undertaken by employees, members, or volunteers of the organisation or by others without formal connections to the organisation. </w:t>
      </w:r>
    </w:p>
    <w:p w14:paraId="2B3888A1" w14:textId="2016858D" w:rsidR="00CD60C4" w:rsidRDefault="00CD60C4" w:rsidP="00287E0A">
      <w:pPr>
        <w:pStyle w:val="OutlineNumbered1"/>
        <w:keepNext/>
        <w:ind w:left="567"/>
        <w:rPr>
          <w:color w:val="auto"/>
        </w:rPr>
      </w:pPr>
      <w:r w:rsidRPr="00092214">
        <w:rPr>
          <w:color w:val="auto"/>
        </w:rPr>
        <w:t xml:space="preserve">The Committee considered that </w:t>
      </w:r>
      <w:r>
        <w:rPr>
          <w:color w:val="auto"/>
        </w:rPr>
        <w:t xml:space="preserve">requiring DGRs to be </w:t>
      </w:r>
      <w:r w:rsidR="00951F01">
        <w:rPr>
          <w:color w:val="auto"/>
        </w:rPr>
        <w:t xml:space="preserve">registered </w:t>
      </w:r>
      <w:r>
        <w:rPr>
          <w:color w:val="auto"/>
        </w:rPr>
        <w:t xml:space="preserve">charities </w:t>
      </w:r>
      <w:r w:rsidRPr="00092214">
        <w:rPr>
          <w:color w:val="auto"/>
        </w:rPr>
        <w:t>would provide greater assurance to members of the public that environmental DGRs are operating lawfully and in the public interest</w:t>
      </w:r>
      <w:r w:rsidRPr="005C5453">
        <w:rPr>
          <w:color w:val="auto"/>
        </w:rPr>
        <w:t>.</w:t>
      </w:r>
      <w:r w:rsidR="00786560" w:rsidRPr="005C5453">
        <w:rPr>
          <w:color w:val="auto"/>
        </w:rPr>
        <w:t xml:space="preserve"> </w:t>
      </w:r>
      <w:r w:rsidR="00060F0B" w:rsidRPr="005C5453">
        <w:rPr>
          <w:color w:val="auto"/>
        </w:rPr>
        <w:t>Under the committee’s recommendation,</w:t>
      </w:r>
      <w:r w:rsidR="004150A0" w:rsidRPr="005C5453">
        <w:rPr>
          <w:color w:val="auto"/>
        </w:rPr>
        <w:t xml:space="preserve"> </w:t>
      </w:r>
      <w:r w:rsidR="004150A0">
        <w:rPr>
          <w:color w:val="auto"/>
        </w:rPr>
        <w:t>t</w:t>
      </w:r>
      <w:r w:rsidR="00C80607">
        <w:rPr>
          <w:color w:val="auto"/>
        </w:rPr>
        <w:t xml:space="preserve">he </w:t>
      </w:r>
      <w:r w:rsidR="00C80607" w:rsidRPr="00CD6BF1">
        <w:rPr>
          <w:color w:val="auto"/>
        </w:rPr>
        <w:t>decision to apply sanctions would be the responsibility of the Commissioner of Taxation.</w:t>
      </w:r>
    </w:p>
    <w:p w14:paraId="10406A3D" w14:textId="7AD7916A" w:rsidR="005534FE" w:rsidRPr="00092214" w:rsidRDefault="005534FE" w:rsidP="00287E0A">
      <w:pPr>
        <w:pStyle w:val="OutlineNumbered1"/>
        <w:keepNext/>
        <w:ind w:left="567"/>
        <w:rPr>
          <w:color w:val="auto"/>
        </w:rPr>
      </w:pPr>
      <w:r w:rsidRPr="002C3863">
        <w:rPr>
          <w:color w:val="auto"/>
        </w:rPr>
        <w:t xml:space="preserve">The proposal in paragraph </w:t>
      </w:r>
      <w:r w:rsidR="0048230A">
        <w:rPr>
          <w:color w:val="auto"/>
        </w:rPr>
        <w:t>21</w:t>
      </w:r>
      <w:r w:rsidRPr="002C3863">
        <w:rPr>
          <w:color w:val="auto"/>
        </w:rPr>
        <w:t xml:space="preserve">, </w:t>
      </w:r>
      <w:r>
        <w:rPr>
          <w:color w:val="auto"/>
        </w:rPr>
        <w:t>(which is consisten</w:t>
      </w:r>
      <w:r w:rsidR="00BD103D">
        <w:rPr>
          <w:color w:val="auto"/>
        </w:rPr>
        <w:t xml:space="preserve">t with recommendation 2 of the REO </w:t>
      </w:r>
      <w:r w:rsidR="00BD103D" w:rsidRPr="00092214">
        <w:rPr>
          <w:color w:val="auto"/>
        </w:rPr>
        <w:t>inquiry r</w:t>
      </w:r>
      <w:r w:rsidRPr="00092214">
        <w:rPr>
          <w:color w:val="auto"/>
        </w:rPr>
        <w:t xml:space="preserve">eport) would require all DGRs to be charities registered and regulated by the ACNC. </w:t>
      </w:r>
      <w:r w:rsidR="00092214">
        <w:rPr>
          <w:color w:val="auto"/>
        </w:rPr>
        <w:t>Under the proposal,</w:t>
      </w:r>
      <w:r w:rsidRPr="00092214">
        <w:rPr>
          <w:color w:val="auto"/>
        </w:rPr>
        <w:t xml:space="preserve"> environmental </w:t>
      </w:r>
      <w:r w:rsidR="00092214">
        <w:rPr>
          <w:color w:val="auto"/>
        </w:rPr>
        <w:t xml:space="preserve">and other </w:t>
      </w:r>
      <w:r w:rsidRPr="00092214">
        <w:rPr>
          <w:color w:val="auto"/>
        </w:rPr>
        <w:t xml:space="preserve">DGRs </w:t>
      </w:r>
      <w:r w:rsidR="00302C94" w:rsidRPr="00092214">
        <w:rPr>
          <w:color w:val="auto"/>
        </w:rPr>
        <w:t xml:space="preserve">must not have a disqualifying purpose, </w:t>
      </w:r>
      <w:r w:rsidR="00E72F71">
        <w:rPr>
          <w:color w:val="auto"/>
        </w:rPr>
        <w:t xml:space="preserve">which </w:t>
      </w:r>
      <w:r w:rsidR="00CF0DAD">
        <w:rPr>
          <w:color w:val="auto"/>
        </w:rPr>
        <w:t>includes</w:t>
      </w:r>
      <w:r w:rsidR="00E72F71" w:rsidRPr="00092214">
        <w:rPr>
          <w:color w:val="auto"/>
        </w:rPr>
        <w:t xml:space="preserve"> </w:t>
      </w:r>
      <w:r w:rsidR="00E72F71">
        <w:rPr>
          <w:color w:val="auto"/>
        </w:rPr>
        <w:t xml:space="preserve">the purpose of </w:t>
      </w:r>
      <w:r w:rsidR="00302C94" w:rsidRPr="00092214">
        <w:rPr>
          <w:color w:val="auto"/>
        </w:rPr>
        <w:t xml:space="preserve">engaging in or promoting </w:t>
      </w:r>
      <w:r w:rsidRPr="00092214">
        <w:rPr>
          <w:color w:val="auto"/>
        </w:rPr>
        <w:t xml:space="preserve"> </w:t>
      </w:r>
      <w:r w:rsidR="00302C94" w:rsidRPr="00092214">
        <w:rPr>
          <w:color w:val="auto"/>
        </w:rPr>
        <w:t xml:space="preserve">activities that are unlawful or contrary to public policy, or </w:t>
      </w:r>
      <w:r w:rsidR="00E72F71">
        <w:rPr>
          <w:color w:val="auto"/>
        </w:rPr>
        <w:t xml:space="preserve">the purpose of </w:t>
      </w:r>
      <w:r w:rsidR="00302C94" w:rsidRPr="00092214">
        <w:rPr>
          <w:color w:val="auto"/>
        </w:rPr>
        <w:t xml:space="preserve">promoting or opposing a political party or </w:t>
      </w:r>
      <w:r w:rsidR="00E72F71">
        <w:rPr>
          <w:color w:val="auto"/>
        </w:rPr>
        <w:t xml:space="preserve">a </w:t>
      </w:r>
      <w:r w:rsidR="00302C94" w:rsidRPr="00092214">
        <w:rPr>
          <w:color w:val="auto"/>
        </w:rPr>
        <w:t>candidate for political office</w:t>
      </w:r>
      <w:r w:rsidR="00CF0DAD">
        <w:rPr>
          <w:color w:val="auto"/>
        </w:rPr>
        <w:t>.</w:t>
      </w:r>
      <w:r w:rsidRPr="00092214">
        <w:rPr>
          <w:color w:val="auto"/>
        </w:rPr>
        <w:t xml:space="preserve">  </w:t>
      </w:r>
    </w:p>
    <w:p w14:paraId="43BC1265" w14:textId="27273582" w:rsidR="00925BE2" w:rsidRDefault="00925BE2" w:rsidP="00975358">
      <w:pPr>
        <w:pStyle w:val="OutlineNumbered1"/>
        <w:numPr>
          <w:ilvl w:val="0"/>
          <w:numId w:val="0"/>
        </w:numPr>
        <w:shd w:val="clear" w:color="auto" w:fill="D9D9D9" w:themeFill="background1" w:themeFillShade="D9"/>
      </w:pPr>
      <w:r>
        <w:rPr>
          <w:b/>
          <w:color w:val="342E82"/>
        </w:rPr>
        <w:t>Co</w:t>
      </w:r>
      <w:r w:rsidRPr="00287E0A">
        <w:rPr>
          <w:b/>
          <w:color w:val="342E82"/>
        </w:rPr>
        <w:t>nsultation</w:t>
      </w:r>
      <w:r>
        <w:rPr>
          <w:b/>
          <w:color w:val="342E82"/>
        </w:rPr>
        <w:t xml:space="preserve"> question</w:t>
      </w:r>
    </w:p>
    <w:p w14:paraId="1548879E" w14:textId="7B35015F" w:rsidR="00BA2C22" w:rsidRDefault="003A2970" w:rsidP="00BA2C22">
      <w:pPr>
        <w:pStyle w:val="OutlineNumbered1"/>
        <w:numPr>
          <w:ilvl w:val="0"/>
          <w:numId w:val="0"/>
        </w:numPr>
        <w:shd w:val="clear" w:color="auto" w:fill="D9D9D9" w:themeFill="background1" w:themeFillShade="D9"/>
      </w:pPr>
      <w:r>
        <w:t>1</w:t>
      </w:r>
      <w:r w:rsidR="00397740">
        <w:t>3</w:t>
      </w:r>
      <w:r>
        <w:t xml:space="preserve">. </w:t>
      </w:r>
      <w:r w:rsidR="00925BE2">
        <w:t xml:space="preserve">Stakeholders’ views are sought on the </w:t>
      </w:r>
      <w:r w:rsidR="00CD60C4">
        <w:t>need for sanctions</w:t>
      </w:r>
      <w:r w:rsidR="00D20D48">
        <w:t>. Would</w:t>
      </w:r>
      <w:r w:rsidR="00CD60C4">
        <w:t xml:space="preserve"> the proposal to require DGRs to be </w:t>
      </w:r>
      <w:r w:rsidR="00192C4F">
        <w:t xml:space="preserve">ACNC </w:t>
      </w:r>
      <w:r w:rsidR="00E72F71">
        <w:t xml:space="preserve">registered </w:t>
      </w:r>
      <w:r w:rsidR="00CD60C4">
        <w:t xml:space="preserve">charities </w:t>
      </w:r>
      <w:r w:rsidR="009675A6">
        <w:t xml:space="preserve">and therefore </w:t>
      </w:r>
      <w:r w:rsidR="00CD60C4">
        <w:t xml:space="preserve">subject to </w:t>
      </w:r>
      <w:r w:rsidR="00CF0DAD">
        <w:t>ACNC’s</w:t>
      </w:r>
      <w:r w:rsidR="00CD60C4">
        <w:t xml:space="preserve"> </w:t>
      </w:r>
      <w:r w:rsidR="00E17D07">
        <w:t xml:space="preserve">governance </w:t>
      </w:r>
      <w:r w:rsidR="00CD60C4">
        <w:t>standards and supervision</w:t>
      </w:r>
      <w:r w:rsidR="009675A6">
        <w:t xml:space="preserve"> ensure that environmental DGRs are operating lawfully?</w:t>
      </w:r>
    </w:p>
    <w:p w14:paraId="1A280036" w14:textId="77777777" w:rsidR="00BA2C22" w:rsidRPr="003D4A7C" w:rsidRDefault="00BA2C22" w:rsidP="00BA2C22">
      <w:pPr>
        <w:pStyle w:val="OutlineNumbered1"/>
        <w:numPr>
          <w:ilvl w:val="0"/>
          <w:numId w:val="0"/>
        </w:numPr>
        <w:shd w:val="clear" w:color="auto" w:fill="D9D9D9" w:themeFill="background1" w:themeFillShade="D9"/>
      </w:pPr>
    </w:p>
    <w:p w14:paraId="527903AE" w14:textId="77777777" w:rsidR="00397740" w:rsidRDefault="00397740" w:rsidP="002538FB">
      <w:pPr>
        <w:pStyle w:val="OutlineNumbered1"/>
        <w:numPr>
          <w:ilvl w:val="0"/>
          <w:numId w:val="0"/>
        </w:numPr>
        <w:rPr>
          <w:b/>
        </w:rPr>
      </w:pPr>
    </w:p>
    <w:p w14:paraId="180BC53D" w14:textId="77777777" w:rsidR="00F776A3" w:rsidRPr="005534FE" w:rsidRDefault="00F776A3" w:rsidP="002538FB">
      <w:pPr>
        <w:pStyle w:val="OutlineNumbered1"/>
        <w:numPr>
          <w:ilvl w:val="0"/>
          <w:numId w:val="0"/>
        </w:numPr>
        <w:rPr>
          <w:b/>
        </w:rPr>
      </w:pPr>
      <w:r w:rsidRPr="005534FE">
        <w:rPr>
          <w:b/>
        </w:rPr>
        <w:lastRenderedPageBreak/>
        <w:t xml:space="preserve">Recommendation 7 </w:t>
      </w:r>
    </w:p>
    <w:p w14:paraId="169A7B12" w14:textId="77777777" w:rsidR="00F776A3" w:rsidRPr="005534FE" w:rsidRDefault="00F776A3" w:rsidP="00287E0A">
      <w:pPr>
        <w:pStyle w:val="OutlineNumbered1"/>
        <w:ind w:left="567"/>
        <w:rPr>
          <w:b/>
        </w:rPr>
      </w:pPr>
      <w:r w:rsidRPr="005534FE">
        <w:rPr>
          <w:b/>
        </w:rPr>
        <w:t>The Committee recommend</w:t>
      </w:r>
      <w:r w:rsidR="00350574" w:rsidRPr="005534FE">
        <w:rPr>
          <w:b/>
        </w:rPr>
        <w:t>ed</w:t>
      </w:r>
      <w:r w:rsidRPr="005534FE">
        <w:rPr>
          <w:b/>
        </w:rPr>
        <w:t xml:space="preserve"> that environmental organisations with </w:t>
      </w:r>
      <w:r w:rsidR="00707EAE">
        <w:rPr>
          <w:b/>
        </w:rPr>
        <w:t>DGR</w:t>
      </w:r>
      <w:r w:rsidRPr="005534FE">
        <w:rPr>
          <w:b/>
        </w:rPr>
        <w:t xml:space="preserve"> status be required to submit an annual self-assessment to the </w:t>
      </w:r>
      <w:r w:rsidR="00707EAE">
        <w:rPr>
          <w:b/>
        </w:rPr>
        <w:t>ATO</w:t>
      </w:r>
      <w:r w:rsidRPr="005534FE">
        <w:rPr>
          <w:b/>
        </w:rPr>
        <w:t xml:space="preserve"> supporting their continuing eligibility for endorsement as a </w:t>
      </w:r>
      <w:r w:rsidR="00707EAE">
        <w:rPr>
          <w:b/>
        </w:rPr>
        <w:t>DGR</w:t>
      </w:r>
      <w:r w:rsidRPr="005534FE">
        <w:rPr>
          <w:b/>
        </w:rPr>
        <w:t xml:space="preserve">. </w:t>
      </w:r>
    </w:p>
    <w:p w14:paraId="3F702713" w14:textId="4CC8BDAC" w:rsidR="001C0F82" w:rsidRPr="00F776A3" w:rsidRDefault="001C0F82" w:rsidP="00287E0A">
      <w:pPr>
        <w:pStyle w:val="OutlineNumbered1"/>
        <w:ind w:left="567"/>
      </w:pPr>
      <w:r>
        <w:t xml:space="preserve">The proposal outlined in paragraph </w:t>
      </w:r>
      <w:r w:rsidR="00955510">
        <w:t>59</w:t>
      </w:r>
      <w:r>
        <w:t xml:space="preserve"> above, would give effect to this recommendation.</w:t>
      </w:r>
    </w:p>
    <w:p w14:paraId="4C97CCF5" w14:textId="0C9A80E6" w:rsidR="00F776A3" w:rsidRPr="00F4472A" w:rsidRDefault="00F776A3" w:rsidP="005E0F49">
      <w:pPr>
        <w:pStyle w:val="OutlineNumbered1"/>
        <w:keepNext/>
        <w:numPr>
          <w:ilvl w:val="0"/>
          <w:numId w:val="0"/>
        </w:numPr>
        <w:rPr>
          <w:b/>
          <w:szCs w:val="22"/>
        </w:rPr>
      </w:pPr>
      <w:r w:rsidRPr="00F4472A">
        <w:rPr>
          <w:b/>
          <w:szCs w:val="22"/>
        </w:rPr>
        <w:t xml:space="preserve">Recommendation 8 </w:t>
      </w:r>
    </w:p>
    <w:p w14:paraId="769EB0A9" w14:textId="77777777" w:rsidR="00F776A3" w:rsidRPr="00D20D48" w:rsidRDefault="00F776A3" w:rsidP="00287E0A">
      <w:pPr>
        <w:pStyle w:val="OutlineNumbered1"/>
        <w:keepNext/>
        <w:ind w:left="567"/>
        <w:rPr>
          <w:b/>
          <w:szCs w:val="22"/>
        </w:rPr>
      </w:pPr>
      <w:r w:rsidRPr="00F4472A">
        <w:rPr>
          <w:b/>
          <w:szCs w:val="22"/>
        </w:rPr>
        <w:t>The Committee recommend</w:t>
      </w:r>
      <w:r w:rsidR="00350574" w:rsidRPr="00F4472A">
        <w:rPr>
          <w:b/>
          <w:szCs w:val="22"/>
        </w:rPr>
        <w:t>ed</w:t>
      </w:r>
      <w:r w:rsidRPr="00F4472A">
        <w:rPr>
          <w:b/>
          <w:szCs w:val="22"/>
        </w:rPr>
        <w:t xml:space="preserve"> that the Commonwealth Treasury, in consultation with the </w:t>
      </w:r>
      <w:r w:rsidR="00707EAE">
        <w:rPr>
          <w:b/>
          <w:szCs w:val="22"/>
        </w:rPr>
        <w:t>ATO</w:t>
      </w:r>
      <w:r w:rsidRPr="00F4472A">
        <w:rPr>
          <w:b/>
          <w:szCs w:val="22"/>
        </w:rPr>
        <w:t xml:space="preserve">, review the provisions in the </w:t>
      </w:r>
      <w:r w:rsidRPr="00F4472A">
        <w:rPr>
          <w:b/>
          <w:i/>
          <w:iCs/>
          <w:szCs w:val="22"/>
        </w:rPr>
        <w:t xml:space="preserve">Income Tax Assessment Act 1997 </w:t>
      </w:r>
      <w:r w:rsidRPr="00F4472A">
        <w:rPr>
          <w:b/>
          <w:szCs w:val="22"/>
        </w:rPr>
        <w:t xml:space="preserve">(Cth) prohibiting conduit behaviour, with a view to providing clear guidance to </w:t>
      </w:r>
      <w:r w:rsidRPr="00D20D48">
        <w:rPr>
          <w:b/>
          <w:szCs w:val="22"/>
        </w:rPr>
        <w:t xml:space="preserve">environmental </w:t>
      </w:r>
      <w:r w:rsidR="00707EAE" w:rsidRPr="00D20D48">
        <w:rPr>
          <w:b/>
          <w:szCs w:val="22"/>
        </w:rPr>
        <w:t>DGRs</w:t>
      </w:r>
      <w:r w:rsidRPr="00D20D48">
        <w:rPr>
          <w:b/>
          <w:szCs w:val="22"/>
        </w:rPr>
        <w:t xml:space="preserve">, as to the types of activities that would constitute conduit behaviour. </w:t>
      </w:r>
    </w:p>
    <w:p w14:paraId="6595D5EE" w14:textId="07AD0457" w:rsidR="00A47956" w:rsidRPr="00D20D48" w:rsidRDefault="00A47956" w:rsidP="00A47956">
      <w:pPr>
        <w:pStyle w:val="OutlineNumbered1"/>
        <w:ind w:left="567"/>
      </w:pPr>
      <w:r w:rsidRPr="00D20D48">
        <w:t xml:space="preserve">Under the </w:t>
      </w:r>
      <w:r w:rsidRPr="00D20D48">
        <w:rPr>
          <w:i/>
        </w:rPr>
        <w:t>Income Tax Assessment Act 1997</w:t>
      </w:r>
      <w:r w:rsidRPr="00D20D48">
        <w:t xml:space="preserve"> charities wanting access to DGR endorsement need to show that they have a policy of not acting as a mere conduit for the donation of money or property to other organisations, bodies or people.</w:t>
      </w:r>
    </w:p>
    <w:p w14:paraId="5895A96C" w14:textId="13CE5C3B" w:rsidR="00060F0B" w:rsidRPr="00D20D48" w:rsidRDefault="009B2370" w:rsidP="00A47956">
      <w:pPr>
        <w:pStyle w:val="OutlineNumbered1"/>
        <w:ind w:left="567"/>
      </w:pPr>
      <w:r>
        <w:t>This policy</w:t>
      </w:r>
      <w:r w:rsidR="00060F0B" w:rsidRPr="00D20D48">
        <w:t xml:space="preserve"> is intended to stop registered organisations acting as collection agencies for tax-deductible donations intended by a donor to be passed on to another organisation or person.</w:t>
      </w:r>
    </w:p>
    <w:p w14:paraId="5C8E3607" w14:textId="1AB5CD68" w:rsidR="00EA0B3E" w:rsidRPr="00D20D48" w:rsidRDefault="003768E9" w:rsidP="00287E0A">
      <w:pPr>
        <w:pStyle w:val="OutlineNumbered1"/>
        <w:ind w:left="567"/>
        <w:rPr>
          <w:szCs w:val="22"/>
        </w:rPr>
      </w:pPr>
      <w:r w:rsidRPr="00D20D48">
        <w:rPr>
          <w:szCs w:val="22"/>
        </w:rPr>
        <w:t xml:space="preserve">ATO ruling </w:t>
      </w:r>
      <w:r w:rsidR="00CD60C4" w:rsidRPr="00D20D48">
        <w:rPr>
          <w:szCs w:val="22"/>
        </w:rPr>
        <w:t>(</w:t>
      </w:r>
      <w:r w:rsidR="007C1BD0" w:rsidRPr="00D20D48">
        <w:rPr>
          <w:szCs w:val="22"/>
        </w:rPr>
        <w:t xml:space="preserve">Taxation Ruling </w:t>
      </w:r>
      <w:r w:rsidR="00CD60C4" w:rsidRPr="00D20D48">
        <w:rPr>
          <w:szCs w:val="22"/>
        </w:rPr>
        <w:t xml:space="preserve">2005/13) </w:t>
      </w:r>
      <w:r w:rsidR="00CF0DAD" w:rsidRPr="00D20D48">
        <w:rPr>
          <w:szCs w:val="22"/>
        </w:rPr>
        <w:t>relates to</w:t>
      </w:r>
      <w:r w:rsidRPr="00D20D48">
        <w:rPr>
          <w:szCs w:val="22"/>
        </w:rPr>
        <w:t xml:space="preserve"> this issue</w:t>
      </w:r>
      <w:r w:rsidR="00CF0DAD" w:rsidRPr="00D20D48">
        <w:rPr>
          <w:szCs w:val="22"/>
        </w:rPr>
        <w:t>.  T</w:t>
      </w:r>
      <w:r w:rsidR="00FE6D5A" w:rsidRPr="00D20D48">
        <w:rPr>
          <w:szCs w:val="22"/>
        </w:rPr>
        <w:t xml:space="preserve">he ATO </w:t>
      </w:r>
      <w:r w:rsidR="00A55888" w:rsidRPr="00D20D48">
        <w:rPr>
          <w:szCs w:val="22"/>
        </w:rPr>
        <w:t xml:space="preserve">could work with the DGR sector to clarify </w:t>
      </w:r>
      <w:r w:rsidR="00CF0DAD" w:rsidRPr="00D20D48">
        <w:rPr>
          <w:szCs w:val="22"/>
        </w:rPr>
        <w:t xml:space="preserve">further </w:t>
      </w:r>
      <w:r w:rsidR="00A55888" w:rsidRPr="00D20D48">
        <w:rPr>
          <w:szCs w:val="22"/>
        </w:rPr>
        <w:t>what constitutes</w:t>
      </w:r>
      <w:r w:rsidRPr="00D20D48">
        <w:rPr>
          <w:szCs w:val="22"/>
        </w:rPr>
        <w:t xml:space="preserve"> </w:t>
      </w:r>
      <w:r w:rsidR="00A55888" w:rsidRPr="00D20D48">
        <w:rPr>
          <w:szCs w:val="22"/>
        </w:rPr>
        <w:t>prohibited conduit behaviour</w:t>
      </w:r>
      <w:r w:rsidR="00E5595A" w:rsidRPr="00D20D48">
        <w:rPr>
          <w:szCs w:val="22"/>
        </w:rPr>
        <w:t>.</w:t>
      </w:r>
    </w:p>
    <w:p w14:paraId="56BBA4C0" w14:textId="585A4578" w:rsidR="00F776A3" w:rsidRPr="005534FE" w:rsidRDefault="00F776A3" w:rsidP="002958B0">
      <w:pPr>
        <w:spacing w:line="240" w:lineRule="auto"/>
        <w:jc w:val="left"/>
        <w:rPr>
          <w:b/>
        </w:rPr>
      </w:pPr>
      <w:r w:rsidRPr="00D20D48">
        <w:rPr>
          <w:b/>
        </w:rPr>
        <w:t>Recommendation 9</w:t>
      </w:r>
      <w:r w:rsidRPr="005534FE">
        <w:rPr>
          <w:b/>
        </w:rPr>
        <w:t xml:space="preserve"> </w:t>
      </w:r>
    </w:p>
    <w:p w14:paraId="77AC3D67" w14:textId="77777777" w:rsidR="00EC7829" w:rsidRPr="005534FE" w:rsidRDefault="00F776A3" w:rsidP="00287E0A">
      <w:pPr>
        <w:pStyle w:val="OutlineNumbered1"/>
        <w:ind w:left="567"/>
        <w:rPr>
          <w:b/>
          <w:bCs/>
        </w:rPr>
      </w:pPr>
      <w:r w:rsidRPr="005534FE">
        <w:rPr>
          <w:b/>
        </w:rPr>
        <w:t>The Committee recommend</w:t>
      </w:r>
      <w:r w:rsidR="00350574" w:rsidRPr="005534FE">
        <w:rPr>
          <w:b/>
        </w:rPr>
        <w:t>ed</w:t>
      </w:r>
      <w:r w:rsidRPr="005534FE">
        <w:rPr>
          <w:b/>
        </w:rPr>
        <w:t xml:space="preserve"> that the </w:t>
      </w:r>
      <w:r w:rsidR="00C77B7A">
        <w:rPr>
          <w:b/>
        </w:rPr>
        <w:t>ATO</w:t>
      </w:r>
      <w:r w:rsidRPr="005534FE">
        <w:rPr>
          <w:b/>
        </w:rPr>
        <w:t>, in conjunction with the Commonwealth Treasury, investigate options for establishing annual reporting requirements for organisations to maintain deductible gift recipient status as an environmental organisation, where such reporting is to be made publicly available.</w:t>
      </w:r>
    </w:p>
    <w:p w14:paraId="25BC8896" w14:textId="3A3B8F02" w:rsidR="001C0F82" w:rsidRPr="00F776A3" w:rsidRDefault="001C0F82" w:rsidP="00287E0A">
      <w:pPr>
        <w:pStyle w:val="OutlineNumbered1"/>
        <w:ind w:left="567"/>
      </w:pPr>
      <w:r>
        <w:t xml:space="preserve">The proposal outlined in paragraph </w:t>
      </w:r>
      <w:r w:rsidR="00CD6BF1">
        <w:t xml:space="preserve">26 </w:t>
      </w:r>
      <w:r>
        <w:t>above would give effect to this recommendation.</w:t>
      </w:r>
    </w:p>
    <w:p w14:paraId="09AC6723" w14:textId="77777777" w:rsidR="006D407D" w:rsidRDefault="006D407D">
      <w:pPr>
        <w:spacing w:after="0" w:line="240" w:lineRule="auto"/>
        <w:jc w:val="left"/>
        <w:rPr>
          <w:rFonts w:ascii="Century Gothic" w:hAnsi="Century Gothic" w:cs="Arial"/>
          <w:b/>
          <w:bCs/>
          <w:color w:val="1F497D" w:themeColor="text2"/>
          <w:sz w:val="26"/>
          <w:szCs w:val="26"/>
        </w:rPr>
      </w:pPr>
      <w:r>
        <w:br w:type="page"/>
      </w:r>
    </w:p>
    <w:p w14:paraId="55A0CD34" w14:textId="6B7F31F5" w:rsidR="00CE76FB" w:rsidRDefault="00336F15" w:rsidP="00975358">
      <w:pPr>
        <w:pStyle w:val="Heading3"/>
      </w:pPr>
      <w:bookmarkStart w:id="16" w:name="_Toc475351611"/>
      <w:r w:rsidRPr="00287E0A">
        <w:lastRenderedPageBreak/>
        <w:t>Summary of consultation questions</w:t>
      </w:r>
      <w:bookmarkEnd w:id="16"/>
    </w:p>
    <w:p w14:paraId="167BA793" w14:textId="302113DB" w:rsidR="00CD6BF1" w:rsidRDefault="00CD6BF1" w:rsidP="00CD6BF1">
      <w:pPr>
        <w:pStyle w:val="OutlineNumbered1"/>
        <w:numPr>
          <w:ilvl w:val="0"/>
          <w:numId w:val="30"/>
        </w:numPr>
      </w:pPr>
      <w:r>
        <w:t>What are stakeholders’ views on a requirement for a DGR (other than government entity DGR) to be a registered charity in order for it to be eligible for DGR status. What issues could arise?</w:t>
      </w:r>
    </w:p>
    <w:p w14:paraId="20D86D4C" w14:textId="4E729B09" w:rsidR="00CD6BF1" w:rsidRDefault="00CD6BF1" w:rsidP="00CD6BF1">
      <w:pPr>
        <w:pStyle w:val="OutlineNumbered1"/>
      </w:pPr>
      <w:r>
        <w:t xml:space="preserve">Are there likely to be DGRs (other than government entity DGRs) that could not meet this requirement and, if so, why? </w:t>
      </w:r>
    </w:p>
    <w:p w14:paraId="5441F937" w14:textId="1D7DD786" w:rsidR="00CD6BF1" w:rsidRDefault="00CD6BF1" w:rsidP="00CD6BF1">
      <w:pPr>
        <w:pStyle w:val="OutlineNumbered1"/>
      </w:pPr>
      <w:r>
        <w:t>Are there particular privacy concerns associated with this proposal for private ancillary funds and DGRs more broadly?</w:t>
      </w:r>
    </w:p>
    <w:p w14:paraId="3492B091" w14:textId="7EEEDB95" w:rsidR="00CD6BF1" w:rsidRDefault="00CD6BF1" w:rsidP="00CD6BF1">
      <w:pPr>
        <w:pStyle w:val="OutlineNumbered1"/>
      </w:pPr>
      <w:r w:rsidRPr="005D14CC">
        <w:t>Should the ACNC require additional information fro</w:t>
      </w:r>
      <w:r w:rsidRPr="00047DDF">
        <w:t>m all charities about their advocacy activities?</w:t>
      </w:r>
    </w:p>
    <w:p w14:paraId="7A8C693D" w14:textId="78640B92" w:rsidR="00CD6BF1" w:rsidRDefault="00CD6BF1" w:rsidP="00CD6BF1">
      <w:pPr>
        <w:pStyle w:val="OutlineNumbered1"/>
      </w:pPr>
      <w:r>
        <w:t>Is the Annual Information Statement the appropriate vehicle for collecting this information?</w:t>
      </w:r>
    </w:p>
    <w:p w14:paraId="100041EB" w14:textId="3DF4D621" w:rsidR="00CD6BF1" w:rsidRDefault="00CD6BF1" w:rsidP="00CD6BF1">
      <w:pPr>
        <w:pStyle w:val="OutlineNumbered1"/>
      </w:pPr>
      <w:r>
        <w:t>What is the best way to collect the information without imposing significant additional reporting burden?</w:t>
      </w:r>
    </w:p>
    <w:p w14:paraId="196820CC" w14:textId="610A8438" w:rsidR="00CD6BF1" w:rsidRDefault="00CD6BF1" w:rsidP="00CD6BF1">
      <w:pPr>
        <w:pStyle w:val="OutlineNumbered1"/>
      </w:pPr>
      <w:r>
        <w:t>What are stakeholders’ views on the proposal to transfer the administration of the four DGR Registers to the ATO</w:t>
      </w:r>
      <w:r w:rsidR="006D407D">
        <w:t>?</w:t>
      </w:r>
      <w:r>
        <w:t xml:space="preserve"> Are there any specific issues that need consideration?</w:t>
      </w:r>
    </w:p>
    <w:p w14:paraId="7E97AC8D" w14:textId="61DAE60F" w:rsidR="00CD6BF1" w:rsidRDefault="00CD6BF1" w:rsidP="00CD6BF1">
      <w:pPr>
        <w:pStyle w:val="OutlineNumbered1"/>
      </w:pPr>
      <w:r>
        <w:t>What are stakeholder</w:t>
      </w:r>
      <w:r w:rsidR="00D07BDC">
        <w:t>s’</w:t>
      </w:r>
      <w:r>
        <w:t xml:space="preserve"> views on the proposal to remove the public fund requirements for charities and allow organisations to be endorsed in multiple DGR categories? Are regulatory compliance savings likely to arise for charities</w:t>
      </w:r>
      <w:r w:rsidR="00C2271A">
        <w:t xml:space="preserve"> who are also D</w:t>
      </w:r>
      <w:r>
        <w:t>GRs?</w:t>
      </w:r>
    </w:p>
    <w:p w14:paraId="7DF436BD" w14:textId="77777777" w:rsidR="00D07BDC" w:rsidRDefault="00D07BDC" w:rsidP="00CD6BF1">
      <w:pPr>
        <w:pStyle w:val="OutlineNumbered1"/>
      </w:pPr>
      <w:r w:rsidRPr="00490F70">
        <w:t>What are stakeholder</w:t>
      </w:r>
      <w:r>
        <w:t>s’</w:t>
      </w:r>
      <w:r w:rsidRPr="00490F70">
        <w:t xml:space="preserve"> views on the introduction of a formal rolling review program and the proposals to require DGRs to make annual certifications? Are there other approaches that could be considered?</w:t>
      </w:r>
    </w:p>
    <w:p w14:paraId="5E5EB4F3" w14:textId="1CE4F36A" w:rsidR="00CD6BF1" w:rsidRPr="00490F70" w:rsidRDefault="00CD6BF1" w:rsidP="00CD6BF1">
      <w:pPr>
        <w:pStyle w:val="OutlineNumbered1"/>
      </w:pPr>
      <w:r w:rsidRPr="00490F70">
        <w:t>What are stakeholders’ views on who should be reviewed in the first instance? What should be considered when determining this?</w:t>
      </w:r>
    </w:p>
    <w:p w14:paraId="72DB5A18" w14:textId="4E41A81E" w:rsidR="00CD6BF1" w:rsidRDefault="00CD6BF1" w:rsidP="00CD6BF1">
      <w:pPr>
        <w:pStyle w:val="OutlineNumbered1"/>
      </w:pPr>
      <w:r>
        <w:t>What are stakeholders’ views on the idea of having a general sunset rule of five years for specifically listed DGRs? What about existing listings, should they be reviewed at least once every five years to ensure they continue to meet the ‘exceptional circumstances’</w:t>
      </w:r>
      <w:r w:rsidR="002958B0">
        <w:t xml:space="preserve"> policy requirement for listing?</w:t>
      </w:r>
    </w:p>
    <w:p w14:paraId="134F3420" w14:textId="5729B0B9" w:rsidR="00397740" w:rsidRDefault="004D14CA" w:rsidP="00CD6BF1">
      <w:pPr>
        <w:pStyle w:val="OutlineNumbered1"/>
      </w:pPr>
      <w:r>
        <w:t xml:space="preserve">Stakeholders’ views are sought on requiring environmental organisations to commit no less than 25 per cent of their annual expenditure from their public fund to environmental remediation, and whether a higher limit, such as 50 per cent, should be considered? In particular, what are the potential benefits and the potential regulatory burden? How could the proposal be implemented to minimise the regulatory burden? </w:t>
      </w:r>
    </w:p>
    <w:p w14:paraId="4EF61FD2" w14:textId="4D856B15" w:rsidR="00CD6BF1" w:rsidRPr="00CD6BF1" w:rsidRDefault="00ED4B68" w:rsidP="00ED4B68">
      <w:pPr>
        <w:pStyle w:val="OutlineNumbered1"/>
      </w:pPr>
      <w:r>
        <w:t>Stakeholders’ views are sought on the need for sanctions. Would the proposal to require DGRs to be ACNC registered charities and therefore subject to ACNC’s governance standards and supervision ensure that environmental DGRs are operating lawfully?</w:t>
      </w:r>
    </w:p>
    <w:sectPr w:rsidR="00CD6BF1" w:rsidRPr="00CD6BF1" w:rsidSect="0056559F">
      <w:footerReference w:type="first" r:id="rId14"/>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7D9E1" w14:textId="77777777" w:rsidR="00723950" w:rsidRDefault="00723950">
      <w:pPr>
        <w:spacing w:after="0" w:line="240" w:lineRule="auto"/>
      </w:pPr>
      <w:r>
        <w:separator/>
      </w:r>
    </w:p>
  </w:endnote>
  <w:endnote w:type="continuationSeparator" w:id="0">
    <w:p w14:paraId="1FE90201" w14:textId="77777777" w:rsidR="00723950" w:rsidRDefault="00723950">
      <w:pPr>
        <w:spacing w:after="0" w:line="240" w:lineRule="auto"/>
      </w:pPr>
      <w:r>
        <w:continuationSeparator/>
      </w:r>
    </w:p>
  </w:endnote>
  <w:endnote w:type="continuationNotice" w:id="1">
    <w:p w14:paraId="69DF0C40" w14:textId="77777777" w:rsidR="00723950" w:rsidRDefault="00723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DD9E" w14:textId="77777777" w:rsidR="00723950" w:rsidRDefault="00723950">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060A17D" w14:textId="5E00BC3F" w:rsidR="00723950" w:rsidRDefault="00A303AF">
    <w:pPr>
      <w:pStyle w:val="SecurityClassificationFooter"/>
      <w:rPr>
        <w:rStyle w:val="PageNumber"/>
      </w:rPr>
    </w:pPr>
    <w:r>
      <w:fldChar w:fldCharType="begin"/>
    </w:r>
    <w:r>
      <w:instrText xml:space="preserve"> DOCPROPERTY SecurityClassification \* MERGEFORMAT </w:instrText>
    </w:r>
    <w:r>
      <w:fldChar w:fldCharType="separate"/>
    </w:r>
    <w:r w:rsidR="00723950" w:rsidRPr="00DC096F">
      <w:rPr>
        <w:rStyle w:val="PageNumber"/>
      </w:rPr>
      <w:t>Draft</w:t>
    </w:r>
    <w:r>
      <w:rPr>
        <w:rStyle w:val="PageNumber"/>
      </w:rPr>
      <w:fldChar w:fldCharType="end"/>
    </w:r>
  </w:p>
  <w:p w14:paraId="19BD0A86" w14:textId="29C91616" w:rsidR="00723950" w:rsidRDefault="00A303AF" w:rsidP="006D1DC9">
    <w:pPr>
      <w:pStyle w:val="SecurityClassificationFooter"/>
    </w:pPr>
    <w:r>
      <w:fldChar w:fldCharType="begin"/>
    </w:r>
    <w:r>
      <w:instrText xml:space="preserve"> DOCPROPERTY SecurityClassification \* MERGEFORMAT </w:instrText>
    </w:r>
    <w:r>
      <w:fldChar w:fldCharType="separate"/>
    </w:r>
    <w:r w:rsidR="005124B3">
      <w:t>Draft</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5F9FF" w14:textId="77777777" w:rsidR="00723950" w:rsidRDefault="00723950">
    <w:pPr>
      <w:pStyle w:val="FooterOdd"/>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7C88">
      <w:rPr>
        <w:rStyle w:val="PageNumber"/>
        <w:noProof/>
      </w:rPr>
      <w:t>15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015671"/>
      <w:docPartObj>
        <w:docPartGallery w:val="Page Numbers (Bottom of Page)"/>
        <w:docPartUnique/>
      </w:docPartObj>
    </w:sdtPr>
    <w:sdtEndPr>
      <w:rPr>
        <w:noProof/>
        <w:color w:val="auto"/>
      </w:rPr>
    </w:sdtEndPr>
    <w:sdtContent>
      <w:p w14:paraId="3C90F7C9" w14:textId="34DB7238" w:rsidR="00723950" w:rsidRPr="00927676" w:rsidRDefault="00723950">
        <w:pPr>
          <w:pStyle w:val="Footer"/>
          <w:jc w:val="right"/>
          <w:rPr>
            <w:color w:val="auto"/>
          </w:rPr>
        </w:pPr>
        <w:r w:rsidRPr="00927676">
          <w:rPr>
            <w:color w:val="auto"/>
          </w:rPr>
          <w:fldChar w:fldCharType="begin"/>
        </w:r>
        <w:r w:rsidRPr="00927676">
          <w:rPr>
            <w:color w:val="auto"/>
          </w:rPr>
          <w:instrText xml:space="preserve"> PAGE   \* MERGEFORMAT </w:instrText>
        </w:r>
        <w:r w:rsidRPr="00927676">
          <w:rPr>
            <w:color w:val="auto"/>
          </w:rPr>
          <w:fldChar w:fldCharType="separate"/>
        </w:r>
        <w:r w:rsidR="00A303AF">
          <w:rPr>
            <w:noProof/>
            <w:color w:val="auto"/>
          </w:rPr>
          <w:t>ii</w:t>
        </w:r>
        <w:r w:rsidRPr="00927676">
          <w:rPr>
            <w:noProof/>
            <w:color w:val="auto"/>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6D83D" w14:textId="77777777" w:rsidR="00723950" w:rsidRDefault="00723950">
    <w:pPr>
      <w:pStyle w:val="FooterOdd"/>
      <w:rPr>
        <w:rStyle w:val="PageNumber"/>
      </w:rPr>
    </w:pPr>
    <w:r>
      <w:rPr>
        <w:rStyle w:val="PageNumber"/>
      </w:rPr>
      <w:t xml:space="preserve">Page </w:t>
    </w:r>
    <w:r w:rsidRPr="0056559F">
      <w:rPr>
        <w:rStyle w:val="PageNumber"/>
      </w:rPr>
      <w:fldChar w:fldCharType="begin"/>
    </w:r>
    <w:r w:rsidRPr="0056559F">
      <w:rPr>
        <w:rStyle w:val="PageNumber"/>
      </w:rPr>
      <w:instrText xml:space="preserve"> PAGE   \* MERGEFORMAT </w:instrText>
    </w:r>
    <w:r w:rsidRPr="0056559F">
      <w:rPr>
        <w:rStyle w:val="PageNumber"/>
      </w:rPr>
      <w:fldChar w:fldCharType="separate"/>
    </w:r>
    <w:r w:rsidR="00647C88">
      <w:rPr>
        <w:rStyle w:val="PageNumber"/>
        <w:noProof/>
      </w:rPr>
      <w:t>1</w:t>
    </w:r>
    <w:r w:rsidRPr="0056559F">
      <w:rPr>
        <w:rStyle w:val="PageNumber"/>
        <w:noProof/>
      </w:rPr>
      <w:fldChar w:fldCharType="end"/>
    </w:r>
  </w:p>
  <w:p w14:paraId="19E271E1" w14:textId="6C770847" w:rsidR="00723950" w:rsidRDefault="00723950">
    <w:pPr>
      <w:pStyle w:val="SecurityClassificationFooter"/>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3A107" w14:textId="77777777" w:rsidR="00723950" w:rsidRDefault="00723950">
      <w:pPr>
        <w:spacing w:after="0" w:line="240" w:lineRule="auto"/>
      </w:pPr>
      <w:r>
        <w:separator/>
      </w:r>
    </w:p>
  </w:footnote>
  <w:footnote w:type="continuationSeparator" w:id="0">
    <w:p w14:paraId="39D03C0B" w14:textId="77777777" w:rsidR="00723950" w:rsidRDefault="00723950">
      <w:pPr>
        <w:spacing w:after="0" w:line="240" w:lineRule="auto"/>
      </w:pPr>
      <w:r>
        <w:continuationSeparator/>
      </w:r>
    </w:p>
  </w:footnote>
  <w:footnote w:type="continuationNotice" w:id="1">
    <w:p w14:paraId="7A5E2AB0" w14:textId="77777777" w:rsidR="00723950" w:rsidRDefault="00723950">
      <w:pPr>
        <w:spacing w:after="0" w:line="240" w:lineRule="auto"/>
      </w:pPr>
    </w:p>
  </w:footnote>
  <w:footnote w:id="2">
    <w:p w14:paraId="15D0F2ED" w14:textId="11FE1CF6" w:rsidR="00723950" w:rsidRPr="00514CE4" w:rsidRDefault="00723950" w:rsidP="00D9207F">
      <w:pPr>
        <w:spacing w:after="0" w:line="240" w:lineRule="auto"/>
        <w:ind w:left="284" w:hanging="284"/>
        <w:jc w:val="left"/>
        <w:rPr>
          <w:color w:val="auto"/>
          <w:sz w:val="18"/>
          <w:szCs w:val="18"/>
        </w:rPr>
      </w:pPr>
      <w:r w:rsidRPr="00975358">
        <w:rPr>
          <w:rStyle w:val="FootnoteReference"/>
          <w:color w:val="auto"/>
          <w:sz w:val="18"/>
          <w:szCs w:val="18"/>
        </w:rPr>
        <w:footnoteRef/>
      </w:r>
      <w:r w:rsidRPr="00975358">
        <w:rPr>
          <w:color w:val="auto"/>
          <w:sz w:val="18"/>
          <w:szCs w:val="18"/>
        </w:rPr>
        <w:t xml:space="preserve"> </w:t>
      </w:r>
      <w:r w:rsidRPr="00975358">
        <w:rPr>
          <w:rStyle w:val="Hyperlink"/>
          <w:rFonts w:cs="ArialMT"/>
          <w:sz w:val="18"/>
          <w:szCs w:val="18"/>
        </w:rPr>
        <w:t xml:space="preserve">According to the ACNC, </w:t>
      </w:r>
      <w:r>
        <w:rPr>
          <w:rFonts w:cs="ArialMT"/>
          <w:color w:val="auto"/>
          <w:sz w:val="18"/>
          <w:szCs w:val="18"/>
        </w:rPr>
        <w:t>38.4</w:t>
      </w:r>
      <w:r w:rsidRPr="00975358">
        <w:rPr>
          <w:rFonts w:cs="ArialMT"/>
          <w:color w:val="auto"/>
          <w:sz w:val="18"/>
          <w:szCs w:val="18"/>
        </w:rPr>
        <w:t>% of registered charities have DGR status (Australian Charities Report 201</w:t>
      </w:r>
      <w:r>
        <w:rPr>
          <w:rFonts w:cs="ArialMT"/>
          <w:color w:val="auto"/>
          <w:sz w:val="18"/>
          <w:szCs w:val="18"/>
        </w:rPr>
        <w:t>5</w:t>
      </w:r>
      <w:r w:rsidRPr="00975358">
        <w:rPr>
          <w:rFonts w:cs="ArialMT"/>
          <w:color w:val="auto"/>
          <w:sz w:val="18"/>
          <w:szCs w:val="18"/>
        </w:rPr>
        <w:t>).</w:t>
      </w:r>
      <w:r>
        <w:rPr>
          <w:rFonts w:cs="ArialMT"/>
          <w:color w:val="auto"/>
          <w:sz w:val="18"/>
          <w:szCs w:val="18"/>
        </w:rPr>
        <w:t xml:space="preserve"> </w:t>
      </w:r>
    </w:p>
  </w:footnote>
  <w:footnote w:id="3">
    <w:p w14:paraId="0C041A9C" w14:textId="77777777" w:rsidR="00723950" w:rsidRPr="00514CE4" w:rsidRDefault="00723950" w:rsidP="00D9207F">
      <w:pPr>
        <w:pStyle w:val="FootnoteText"/>
        <w:spacing w:after="0" w:line="240" w:lineRule="auto"/>
        <w:jc w:val="left"/>
        <w:rPr>
          <w:color w:val="auto"/>
        </w:rPr>
      </w:pPr>
      <w:r w:rsidRPr="00514CE4">
        <w:rPr>
          <w:rStyle w:val="FootnoteReference"/>
          <w:color w:val="auto"/>
        </w:rPr>
        <w:footnoteRef/>
      </w:r>
      <w:r w:rsidRPr="00514CE4">
        <w:rPr>
          <w:color w:val="auto"/>
        </w:rPr>
        <w:t xml:space="preserve"> </w:t>
      </w:r>
      <w:hyperlink r:id="rId1" w:history="1">
        <w:r w:rsidRPr="00514CE4">
          <w:rPr>
            <w:rStyle w:val="Hyperlink"/>
          </w:rPr>
          <w:t xml:space="preserve">Australian Taxation Office, </w:t>
        </w:r>
        <w:r w:rsidRPr="00514CE4">
          <w:rPr>
            <w:rStyle w:val="Hyperlink"/>
            <w:i/>
          </w:rPr>
          <w:t>Taxation Statistics</w:t>
        </w:r>
        <w:r w:rsidRPr="00514CE4">
          <w:rPr>
            <w:rStyle w:val="Hyperlink"/>
          </w:rPr>
          <w:t xml:space="preserve"> </w:t>
        </w:r>
        <w:r w:rsidRPr="00514CE4">
          <w:rPr>
            <w:rStyle w:val="Hyperlink"/>
            <w:i/>
          </w:rPr>
          <w:t>2013-14</w:t>
        </w:r>
        <w:r w:rsidRPr="00514CE4">
          <w:rPr>
            <w:rStyle w:val="Hyperlink"/>
          </w:rPr>
          <w:t xml:space="preserve"> (2016).</w:t>
        </w:r>
      </w:hyperlink>
    </w:p>
  </w:footnote>
  <w:footnote w:id="4">
    <w:p w14:paraId="46D81FC5" w14:textId="77777777" w:rsidR="00723950" w:rsidRPr="00514CE4" w:rsidRDefault="00723950" w:rsidP="00D9207F">
      <w:pPr>
        <w:pStyle w:val="FootnoteText"/>
        <w:spacing w:after="0" w:line="240" w:lineRule="auto"/>
        <w:jc w:val="left"/>
        <w:rPr>
          <w:color w:val="auto"/>
        </w:rPr>
      </w:pPr>
      <w:r w:rsidRPr="00514CE4">
        <w:rPr>
          <w:rStyle w:val="FootnoteReference"/>
          <w:color w:val="auto"/>
        </w:rPr>
        <w:footnoteRef/>
      </w:r>
      <w:r>
        <w:rPr>
          <w:color w:val="auto"/>
        </w:rPr>
        <w:t xml:space="preserve"> See</w:t>
      </w:r>
      <w:r w:rsidRPr="00514CE4">
        <w:rPr>
          <w:color w:val="auto"/>
        </w:rPr>
        <w:t xml:space="preserve"> </w:t>
      </w:r>
      <w:hyperlink r:id="rId2" w:history="1">
        <w:r w:rsidRPr="00514CE4">
          <w:rPr>
            <w:rStyle w:val="Hyperlink"/>
          </w:rPr>
          <w:t>http://www.aph.gov.au/reo</w:t>
        </w:r>
      </w:hyperlink>
    </w:p>
  </w:footnote>
  <w:footnote w:id="5">
    <w:p w14:paraId="6C47A45A" w14:textId="3F1C00BF" w:rsidR="00723950" w:rsidRPr="00BA2C22" w:rsidRDefault="00723950" w:rsidP="00D9207F">
      <w:pPr>
        <w:pStyle w:val="FootnoteText"/>
        <w:spacing w:after="0" w:line="240" w:lineRule="auto"/>
        <w:jc w:val="left"/>
        <w:rPr>
          <w:rStyle w:val="FootnoteReference"/>
          <w:color w:val="auto"/>
        </w:rPr>
      </w:pPr>
      <w:r w:rsidRPr="00BA2C22">
        <w:rPr>
          <w:rStyle w:val="FootnoteReference"/>
          <w:color w:val="auto"/>
        </w:rPr>
        <w:footnoteRef/>
      </w:r>
      <w:r w:rsidRPr="00BA2C22">
        <w:rPr>
          <w:rStyle w:val="FootnoteReference"/>
        </w:rPr>
        <w:t xml:space="preserve"> </w:t>
      </w:r>
      <w:r w:rsidRPr="00BA2C22">
        <w:rPr>
          <w:rStyle w:val="FootnoteReference"/>
          <w:vertAlign w:val="baseline"/>
        </w:rPr>
        <w:t>See</w:t>
      </w:r>
      <w:r>
        <w:rPr>
          <w:rStyle w:val="FootnoteReference"/>
          <w:color w:val="auto"/>
          <w:vertAlign w:val="baseline"/>
        </w:rPr>
        <w:t xml:space="preserve"> </w:t>
      </w:r>
      <w:hyperlink r:id="rId3" w:history="1">
        <w:r w:rsidRPr="00BA2C22">
          <w:rPr>
            <w:rStyle w:val="FootnoteReference"/>
            <w:vertAlign w:val="baseline"/>
          </w:rPr>
          <w:t>http://www.treasury.gov.au/~/media/Treasury/Access%20to%20Information/Disclosure%20Log/2014/1447/Downloads/PDF/NFP%20Sector%20WG%20Final%20Report.ashx</w:t>
        </w:r>
      </w:hyperlink>
    </w:p>
  </w:footnote>
  <w:footnote w:id="6">
    <w:p w14:paraId="2B5EC607" w14:textId="10F39B95" w:rsidR="00723950" w:rsidRPr="00BA2C22" w:rsidRDefault="00723950" w:rsidP="00A94E12">
      <w:pPr>
        <w:pStyle w:val="FootnoteText"/>
        <w:spacing w:after="0" w:line="240" w:lineRule="auto"/>
        <w:jc w:val="left"/>
        <w:rPr>
          <w:rStyle w:val="FootnoteReference"/>
          <w:color w:val="auto"/>
          <w:vertAlign w:val="baseline"/>
        </w:rPr>
      </w:pPr>
      <w:r w:rsidRPr="00BA2C22">
        <w:rPr>
          <w:rStyle w:val="FootnoteReference"/>
          <w:color w:val="auto"/>
        </w:rPr>
        <w:footnoteRef/>
      </w:r>
      <w:r w:rsidRPr="00BA2C22">
        <w:rPr>
          <w:rStyle w:val="FootnoteReference"/>
          <w:color w:val="auto"/>
        </w:rPr>
        <w:t xml:space="preserve"> </w:t>
      </w:r>
      <w:r w:rsidRPr="00BA2C22">
        <w:rPr>
          <w:rStyle w:val="FootnoteReference"/>
          <w:color w:val="auto"/>
          <w:vertAlign w:val="baseline"/>
        </w:rPr>
        <w:t>The governance standards do not apply to a limited class of charities called ‘basic religious charities’.</w:t>
      </w:r>
    </w:p>
  </w:footnote>
  <w:footnote w:id="7">
    <w:p w14:paraId="48B2D326" w14:textId="1219FF25" w:rsidR="00723950" w:rsidRPr="00BA2C22" w:rsidRDefault="00723950" w:rsidP="00A94E12">
      <w:pPr>
        <w:pStyle w:val="FootnoteText"/>
        <w:spacing w:after="0" w:line="240" w:lineRule="auto"/>
        <w:jc w:val="left"/>
        <w:rPr>
          <w:rStyle w:val="FootnoteReference"/>
          <w:color w:val="auto"/>
        </w:rPr>
      </w:pPr>
      <w:r w:rsidRPr="00BA2C22">
        <w:rPr>
          <w:rStyle w:val="FootnoteReference"/>
          <w:color w:val="auto"/>
        </w:rPr>
        <w:footnoteRef/>
      </w:r>
      <w:r w:rsidRPr="00BA2C22">
        <w:rPr>
          <w:rStyle w:val="FootnoteReference"/>
          <w:color w:val="auto"/>
        </w:rPr>
        <w:t xml:space="preserve"> ‘</w:t>
      </w:r>
      <w:r w:rsidRPr="00BA2C22">
        <w:rPr>
          <w:rStyle w:val="FootnoteReference"/>
          <w:color w:val="auto"/>
          <w:vertAlign w:val="baseline"/>
        </w:rPr>
        <w:t>Charity’ is defined in section 5 of the Charities Act 2013 (Cth) (Charities Act) and ‘charitable purpose’ is defined in section 12 of the Charities Act.</w:t>
      </w:r>
    </w:p>
  </w:footnote>
  <w:footnote w:id="8">
    <w:p w14:paraId="6EF658F5" w14:textId="39738EDC" w:rsidR="00723950" w:rsidRPr="00BA2C22" w:rsidRDefault="00723950" w:rsidP="00BA2C22">
      <w:pPr>
        <w:pStyle w:val="FootnoteText"/>
        <w:spacing w:after="0" w:line="240" w:lineRule="auto"/>
        <w:jc w:val="left"/>
        <w:rPr>
          <w:rStyle w:val="FootnoteReference"/>
          <w:color w:val="auto"/>
        </w:rPr>
      </w:pPr>
      <w:r w:rsidRPr="00BA2C22">
        <w:rPr>
          <w:rStyle w:val="FootnoteReference"/>
          <w:color w:val="auto"/>
        </w:rPr>
        <w:footnoteRef/>
      </w:r>
      <w:r w:rsidRPr="00BA2C22">
        <w:rPr>
          <w:rStyle w:val="FootnoteReference"/>
          <w:color w:val="auto"/>
        </w:rPr>
        <w:t xml:space="preserve"> </w:t>
      </w:r>
      <w:r w:rsidRPr="00BA2C22">
        <w:rPr>
          <w:rStyle w:val="FootnoteReference"/>
          <w:color w:val="auto"/>
          <w:vertAlign w:val="baseline"/>
        </w:rPr>
        <w:t>Except for basic religious charities.</w:t>
      </w:r>
    </w:p>
  </w:footnote>
  <w:footnote w:id="9">
    <w:p w14:paraId="13119B8C" w14:textId="77777777" w:rsidR="00723950" w:rsidRDefault="00723950" w:rsidP="007557D0">
      <w:pPr>
        <w:pStyle w:val="FootnoteText"/>
        <w:spacing w:after="0" w:line="240" w:lineRule="auto"/>
        <w:jc w:val="left"/>
      </w:pPr>
      <w:r>
        <w:rPr>
          <w:rStyle w:val="FootnoteReference"/>
        </w:rPr>
        <w:footnoteRef/>
      </w:r>
      <w:r>
        <w:t xml:space="preserve"> </w:t>
      </w:r>
      <w:hyperlink r:id="rId4" w:history="1">
        <w:r w:rsidRPr="008E5966">
          <w:rPr>
            <w:rStyle w:val="Hyperlink"/>
          </w:rPr>
          <w:t>http://dfat.gov.au/aid/who-we-work-with/ngos/Pages/tax-deductibility.aspx</w:t>
        </w:r>
      </w:hyperlink>
    </w:p>
  </w:footnote>
  <w:footnote w:id="10">
    <w:p w14:paraId="25890488" w14:textId="77777777" w:rsidR="00723950" w:rsidRDefault="00723950" w:rsidP="007557D0">
      <w:pPr>
        <w:pStyle w:val="FootnoteText"/>
        <w:spacing w:after="0" w:line="240" w:lineRule="auto"/>
        <w:jc w:val="left"/>
      </w:pPr>
      <w:r>
        <w:rPr>
          <w:rStyle w:val="FootnoteReference"/>
        </w:rPr>
        <w:footnoteRef/>
      </w:r>
      <w:r>
        <w:t xml:space="preserve"> </w:t>
      </w:r>
      <w:hyperlink r:id="rId5" w:history="1">
        <w:r w:rsidRPr="008E5966">
          <w:rPr>
            <w:rStyle w:val="Hyperlink"/>
          </w:rPr>
          <w:t>https://www.dss.gov.au/our-responsibilities/communities-and-vulnerable-people/programmes-services/register-of-harm-prevention-charities#1</w:t>
        </w:r>
      </w:hyperlink>
    </w:p>
  </w:footnote>
  <w:footnote w:id="11">
    <w:p w14:paraId="147F9180" w14:textId="77777777" w:rsidR="00723950" w:rsidRDefault="00723950" w:rsidP="007557D0">
      <w:pPr>
        <w:pStyle w:val="FootnoteText"/>
        <w:spacing w:after="0" w:line="240" w:lineRule="auto"/>
      </w:pPr>
      <w:r>
        <w:rPr>
          <w:rStyle w:val="FootnoteReference"/>
        </w:rPr>
        <w:footnoteRef/>
      </w:r>
      <w:r>
        <w:t xml:space="preserve"> </w:t>
      </w:r>
      <w:hyperlink r:id="rId6" w:history="1">
        <w:r w:rsidRPr="007557D0">
          <w:rPr>
            <w:rStyle w:val="Hyperlink"/>
          </w:rPr>
          <w:t>https://www.environment.gov.au/about-us/business/tax/register-environmental-organisations</w:t>
        </w:r>
      </w:hyperlink>
    </w:p>
  </w:footnote>
  <w:footnote w:id="12">
    <w:p w14:paraId="7CFDA8E6" w14:textId="77777777" w:rsidR="00723950" w:rsidRDefault="00723950" w:rsidP="007557D0">
      <w:pPr>
        <w:pStyle w:val="FootnoteText"/>
        <w:spacing w:after="0" w:line="240" w:lineRule="auto"/>
      </w:pPr>
      <w:r>
        <w:rPr>
          <w:rStyle w:val="FootnoteReference"/>
        </w:rPr>
        <w:footnoteRef/>
      </w:r>
      <w:r>
        <w:t xml:space="preserve"> </w:t>
      </w:r>
      <w:hyperlink r:id="rId7" w:history="1">
        <w:r w:rsidRPr="007557D0">
          <w:rPr>
            <w:rStyle w:val="Hyperlink"/>
          </w:rPr>
          <w:t>https://www.arts.gov.au/what-we-do/cultural-heritage/register-cultural-organisations</w:t>
        </w:r>
      </w:hyperlink>
    </w:p>
  </w:footnote>
  <w:footnote w:id="13">
    <w:p w14:paraId="2A4571BF" w14:textId="77777777" w:rsidR="00723950" w:rsidRPr="007A1C0D" w:rsidRDefault="00723950" w:rsidP="002958B0">
      <w:pPr>
        <w:spacing w:after="0" w:line="240" w:lineRule="auto"/>
        <w:ind w:left="284" w:hanging="284"/>
        <w:jc w:val="left"/>
        <w:rPr>
          <w:color w:val="auto"/>
          <w:szCs w:val="18"/>
        </w:rPr>
      </w:pPr>
      <w:r w:rsidRPr="00514CE4">
        <w:rPr>
          <w:rStyle w:val="FootnoteReference"/>
          <w:color w:val="auto"/>
          <w:sz w:val="18"/>
          <w:szCs w:val="18"/>
        </w:rPr>
        <w:footnoteRef/>
      </w:r>
      <w:r w:rsidRPr="00514CE4">
        <w:rPr>
          <w:color w:val="auto"/>
          <w:sz w:val="18"/>
          <w:szCs w:val="18"/>
        </w:rPr>
        <w:t xml:space="preserve"> According to ATO website </w:t>
      </w:r>
      <w:r>
        <w:rPr>
          <w:color w:val="auto"/>
          <w:sz w:val="18"/>
          <w:szCs w:val="18"/>
        </w:rPr>
        <w:t>– ‘</w:t>
      </w:r>
      <w:r w:rsidRPr="00514CE4">
        <w:rPr>
          <w:color w:val="auto"/>
          <w:sz w:val="18"/>
          <w:szCs w:val="18"/>
        </w:rPr>
        <w:t xml:space="preserve">Responsible Person - </w:t>
      </w:r>
      <w:r w:rsidRPr="006D055A">
        <w:rPr>
          <w:rFonts w:cs="Arial"/>
          <w:color w:val="auto"/>
          <w:sz w:val="18"/>
          <w:szCs w:val="18"/>
          <w:lang w:val="en"/>
        </w:rPr>
        <w:t>The rules must reflect that the majority of individuals, who are one of the following, must have a degree of responsibility to the community:</w:t>
      </w:r>
      <w:r w:rsidRPr="00514CE4">
        <w:rPr>
          <w:rFonts w:cs="Arial"/>
          <w:color w:val="auto"/>
          <w:sz w:val="18"/>
          <w:szCs w:val="18"/>
          <w:lang w:val="en"/>
        </w:rPr>
        <w:t xml:space="preserve"> </w:t>
      </w:r>
      <w:r w:rsidRPr="006D055A">
        <w:rPr>
          <w:rFonts w:cs="Arial"/>
          <w:color w:val="auto"/>
          <w:sz w:val="18"/>
          <w:szCs w:val="18"/>
          <w:lang w:val="en"/>
        </w:rPr>
        <w:t>a trustee</w:t>
      </w:r>
      <w:r w:rsidRPr="00514CE4">
        <w:rPr>
          <w:rFonts w:cs="Arial"/>
          <w:color w:val="auto"/>
          <w:sz w:val="18"/>
          <w:szCs w:val="18"/>
          <w:lang w:val="en"/>
        </w:rPr>
        <w:t xml:space="preserve">; </w:t>
      </w:r>
      <w:r w:rsidRPr="006D055A">
        <w:rPr>
          <w:rFonts w:cs="Arial"/>
          <w:color w:val="auto"/>
          <w:sz w:val="18"/>
          <w:szCs w:val="18"/>
          <w:lang w:val="en"/>
        </w:rPr>
        <w:t>a member of any committee or other controlling body of the fund</w:t>
      </w:r>
      <w:r w:rsidRPr="00514CE4">
        <w:rPr>
          <w:rFonts w:cs="Arial"/>
          <w:color w:val="auto"/>
          <w:sz w:val="18"/>
          <w:szCs w:val="18"/>
          <w:lang w:val="en"/>
        </w:rPr>
        <w:t xml:space="preserve">; or </w:t>
      </w:r>
      <w:r>
        <w:rPr>
          <w:rFonts w:cs="Arial"/>
          <w:color w:val="auto"/>
          <w:sz w:val="18"/>
          <w:szCs w:val="18"/>
          <w:lang w:val="en"/>
        </w:rPr>
        <w:t xml:space="preserve">a director of a trustee’. </w:t>
      </w:r>
      <w:r>
        <w:rPr>
          <w:rFonts w:cs="Arial"/>
          <w:color w:val="auto"/>
          <w:sz w:val="18"/>
          <w:szCs w:val="18"/>
          <w:lang w:val="en"/>
        </w:rPr>
        <w:br/>
      </w:r>
      <w:r w:rsidRPr="00514CE4">
        <w:rPr>
          <w:rFonts w:cs="Arial"/>
          <w:color w:val="auto"/>
          <w:sz w:val="18"/>
          <w:szCs w:val="18"/>
          <w:lang w:val="en"/>
        </w:rPr>
        <w:t xml:space="preserve">See </w:t>
      </w:r>
      <w:hyperlink r:id="rId8" w:history="1">
        <w:r w:rsidRPr="00514CE4">
          <w:rPr>
            <w:rStyle w:val="Hyperlink"/>
            <w:rFonts w:cs="Arial"/>
            <w:sz w:val="18"/>
            <w:szCs w:val="18"/>
            <w:lang w:val="en"/>
          </w:rPr>
          <w:t>https://www.ato.gov.au/Non-profit/Getting-started/In-detail/Types-of-DGRs/Public-ancillary-funds/?anchor=Public_ancillary_funds#Public_ancillary_funds</w:t>
        </w:r>
      </w:hyperlink>
    </w:p>
  </w:footnote>
  <w:footnote w:id="14">
    <w:p w14:paraId="1675E5CD" w14:textId="1CAE46DA" w:rsidR="00723950" w:rsidRDefault="00723950">
      <w:pPr>
        <w:pStyle w:val="FootnoteText"/>
      </w:pPr>
      <w:r>
        <w:rPr>
          <w:rStyle w:val="FootnoteReference"/>
        </w:rPr>
        <w:footnoteRef/>
      </w:r>
      <w:r>
        <w:t xml:space="preserve"> The</w:t>
      </w:r>
      <w:r w:rsidRPr="004045A9">
        <w:t xml:space="preserve"> </w:t>
      </w:r>
      <w:r>
        <w:rPr>
          <w:i/>
        </w:rPr>
        <w:t xml:space="preserve">Australian Charities and Not-for-profits Commission Act 2012 </w:t>
      </w:r>
      <w:r>
        <w:t>(Cth) (</w:t>
      </w:r>
      <w:r w:rsidRPr="004045A9">
        <w:t>ACNC Act</w:t>
      </w:r>
      <w:r>
        <w:t>)</w:t>
      </w:r>
      <w:r w:rsidRPr="004045A9">
        <w:t xml:space="preserve"> defines the concept of a ‘responsible entity’. The responsible entities of a</w:t>
      </w:r>
      <w:r>
        <w:t xml:space="preserve"> registered</w:t>
      </w:r>
      <w:r w:rsidRPr="004045A9">
        <w:t xml:space="preserve"> charity are the people in the organisation that have one of the positions described in </w:t>
      </w:r>
      <w:r>
        <w:t>s.</w:t>
      </w:r>
      <w:r w:rsidRPr="004045A9">
        <w:t>205-30 of the</w:t>
      </w:r>
      <w:r>
        <w:t xml:space="preserve"> ACNC Act</w:t>
      </w:r>
      <w:r w:rsidRPr="004045A9">
        <w:t>.</w:t>
      </w:r>
      <w:r w:rsidRPr="006053A3">
        <w:t xml:space="preserve"> The ACNC refers to the ‘responsible entities’ of charities as ‘responsible persons’.</w:t>
      </w:r>
    </w:p>
  </w:footnote>
  <w:footnote w:id="15">
    <w:p w14:paraId="45297F55" w14:textId="77777777" w:rsidR="00723950" w:rsidRPr="002A0927" w:rsidRDefault="00723950" w:rsidP="002958B0">
      <w:pPr>
        <w:pStyle w:val="subsection"/>
        <w:spacing w:before="0" w:beforeAutospacing="0" w:after="0" w:afterAutospacing="0"/>
        <w:ind w:left="284" w:hanging="284"/>
        <w:rPr>
          <w:rFonts w:ascii="Book Antiqua" w:hAnsi="Book Antiqua"/>
          <w:sz w:val="18"/>
          <w:szCs w:val="18"/>
        </w:rPr>
      </w:pPr>
      <w:r w:rsidRPr="002A0927">
        <w:rPr>
          <w:rStyle w:val="FootnoteReference"/>
          <w:rFonts w:ascii="Book Antiqua" w:hAnsi="Book Antiqua"/>
          <w:sz w:val="18"/>
          <w:szCs w:val="18"/>
        </w:rPr>
        <w:footnoteRef/>
      </w:r>
      <w:r w:rsidRPr="002A0927">
        <w:rPr>
          <w:rFonts w:ascii="Book Antiqua" w:hAnsi="Book Antiqua"/>
          <w:sz w:val="18"/>
          <w:szCs w:val="18"/>
        </w:rPr>
        <w:t xml:space="preserve"> Subsection 30-265(1) of the </w:t>
      </w:r>
      <w:r w:rsidRPr="00CD6BF1">
        <w:rPr>
          <w:rFonts w:ascii="Book Antiqua" w:hAnsi="Book Antiqua"/>
          <w:i/>
          <w:sz w:val="18"/>
          <w:szCs w:val="18"/>
        </w:rPr>
        <w:t>Income Tax Assessment Act 1997</w:t>
      </w:r>
      <w:r w:rsidRPr="002A0927">
        <w:rPr>
          <w:rFonts w:ascii="Book Antiqua" w:hAnsi="Book Antiqua"/>
          <w:sz w:val="18"/>
          <w:szCs w:val="18"/>
        </w:rPr>
        <w:t xml:space="preserve"> - Its principal purpose must be: (a)  the protection and enhancement of the natural environment or of a significant aspect of the natural environment; or (b)  the provision of information or education, or the carrying on of research, about the natural environment or a significant aspect of the natural environment</w:t>
      </w:r>
      <w:r>
        <w:rPr>
          <w:rFonts w:ascii="Book Antiqua" w:hAnsi="Book Antiqua"/>
          <w:sz w:val="18"/>
          <w:szCs w:val="18"/>
        </w:rPr>
        <w:t>.</w:t>
      </w:r>
    </w:p>
  </w:footnote>
  <w:footnote w:id="16">
    <w:p w14:paraId="6406BCA3" w14:textId="77777777" w:rsidR="00723950" w:rsidRPr="00514CE4" w:rsidRDefault="00723950" w:rsidP="00653E6A">
      <w:pPr>
        <w:pStyle w:val="FootnoteText"/>
        <w:spacing w:after="0" w:line="240" w:lineRule="auto"/>
        <w:jc w:val="left"/>
        <w:rPr>
          <w:color w:val="auto"/>
        </w:rPr>
      </w:pPr>
      <w:r w:rsidRPr="00514CE4">
        <w:rPr>
          <w:rStyle w:val="FootnoteReference"/>
          <w:color w:val="auto"/>
        </w:rPr>
        <w:footnoteRef/>
      </w:r>
      <w:r>
        <w:rPr>
          <w:color w:val="auto"/>
        </w:rPr>
        <w:t xml:space="preserve"> See</w:t>
      </w:r>
      <w:r w:rsidRPr="00514CE4">
        <w:rPr>
          <w:color w:val="auto"/>
        </w:rPr>
        <w:t xml:space="preserve"> </w:t>
      </w:r>
      <w:hyperlink r:id="rId9" w:history="1">
        <w:r w:rsidRPr="00514CE4">
          <w:rPr>
            <w:rStyle w:val="Hyperlink"/>
          </w:rPr>
          <w:t>http://www.aph.gov.au/reo</w:t>
        </w:r>
      </w:hyperlink>
    </w:p>
  </w:footnote>
  <w:footnote w:id="17">
    <w:p w14:paraId="39949ACE" w14:textId="0DA32764" w:rsidR="00723950" w:rsidRPr="00BA2C22" w:rsidRDefault="00723950" w:rsidP="00BA2C22">
      <w:pPr>
        <w:pStyle w:val="FootnoteText"/>
        <w:spacing w:after="0" w:line="240" w:lineRule="auto"/>
        <w:jc w:val="left"/>
        <w:rPr>
          <w:rStyle w:val="FootnoteReference"/>
          <w:color w:val="auto"/>
          <w:vertAlign w:val="baseline"/>
        </w:rPr>
      </w:pPr>
      <w:r w:rsidRPr="00BA2C22">
        <w:rPr>
          <w:rStyle w:val="FootnoteReference"/>
          <w:color w:val="auto"/>
        </w:rPr>
        <w:footnoteRef/>
      </w:r>
      <w:r w:rsidRPr="00BA2C22">
        <w:rPr>
          <w:rStyle w:val="FootnoteReference"/>
          <w:color w:val="auto"/>
        </w:rPr>
        <w:t xml:space="preserve"> </w:t>
      </w:r>
      <w:r w:rsidRPr="00BA2C22">
        <w:rPr>
          <w:rStyle w:val="FootnoteReference"/>
          <w:color w:val="auto"/>
          <w:vertAlign w:val="baseline"/>
        </w:rPr>
        <w:t xml:space="preserve">They are comprised primarily of some registered environmental and cultural organisations, some ancillary funds, public funds for persons in necessitous circumstances, some public ambulance committees, volunteer based emergency service public funds, some museums, and some school building funds. </w:t>
      </w:r>
    </w:p>
  </w:footnote>
  <w:footnote w:id="18">
    <w:p w14:paraId="717FB478" w14:textId="77777777" w:rsidR="00723950" w:rsidRPr="00826E40" w:rsidRDefault="00723950" w:rsidP="004F7C67">
      <w:pPr>
        <w:pStyle w:val="FootnoteText"/>
        <w:spacing w:after="0" w:line="240" w:lineRule="auto"/>
        <w:jc w:val="left"/>
        <w:rPr>
          <w:szCs w:val="18"/>
        </w:rPr>
      </w:pPr>
      <w:r w:rsidRPr="00BA2C22">
        <w:rPr>
          <w:rStyle w:val="FootnoteReference"/>
          <w:color w:val="auto"/>
        </w:rPr>
        <w:footnoteRef/>
      </w:r>
      <w:r w:rsidRPr="00BA2C22">
        <w:rPr>
          <w:rStyle w:val="FootnoteReference"/>
          <w:color w:val="auto"/>
          <w:vertAlign w:val="baseline"/>
        </w:rPr>
        <w:t xml:space="preserve"> </w:t>
      </w:r>
      <w:hyperlink r:id="rId10" w:history="1">
        <w:r w:rsidRPr="00BA2C22">
          <w:rPr>
            <w:rStyle w:val="FootnoteReference"/>
            <w:vertAlign w:val="baseline"/>
          </w:rPr>
          <w:t>http://www.treasury.gov.au/~/media/Treasury/Access%20to%20Information/Disclosure%20Log/ 2014/1447/Downloads/PDF/NFP%20Sector%20WG%20Final%20Report.ashx</w:t>
        </w:r>
      </w:hyperlink>
    </w:p>
  </w:footnote>
  <w:footnote w:id="19">
    <w:p w14:paraId="7CCB2DA0" w14:textId="3C3AAF64" w:rsidR="00723950" w:rsidRDefault="00723950" w:rsidP="00BA2C22">
      <w:pPr>
        <w:pStyle w:val="FootnoteText"/>
        <w:spacing w:after="0" w:line="240" w:lineRule="auto"/>
      </w:pPr>
      <w:r>
        <w:rPr>
          <w:rStyle w:val="FootnoteReference"/>
        </w:rPr>
        <w:footnoteRef/>
      </w:r>
      <w:r>
        <w:t xml:space="preserve"> </w:t>
      </w:r>
      <w:r w:rsidRPr="00DE1150">
        <w:t>The charity’s size is based on its revenue for the reporting period. Medium registered charities are those whose annual revenue is $250,000 or more but less than $1 million.</w:t>
      </w:r>
      <w:r>
        <w:t xml:space="preserve"> </w:t>
      </w:r>
      <w:r w:rsidRPr="00DE1150">
        <w:t>Large registered charities are those with annual revenue of $1 million or more</w:t>
      </w:r>
      <w:r>
        <w:t xml:space="preserve"> (section 205-25 of the ACNC Act)</w:t>
      </w:r>
      <w:r w:rsidRPr="00DE1150">
        <w:t>.</w:t>
      </w:r>
    </w:p>
  </w:footnote>
  <w:footnote w:id="20">
    <w:p w14:paraId="4B3B5814" w14:textId="77777777" w:rsidR="00723950" w:rsidRPr="002A0927" w:rsidRDefault="00723950" w:rsidP="002958B0">
      <w:pPr>
        <w:pStyle w:val="subsection"/>
        <w:spacing w:before="0" w:beforeAutospacing="0" w:after="0" w:afterAutospacing="0"/>
        <w:ind w:left="284" w:hanging="284"/>
        <w:rPr>
          <w:rFonts w:ascii="Book Antiqua" w:hAnsi="Book Antiqua"/>
          <w:sz w:val="18"/>
          <w:szCs w:val="18"/>
        </w:rPr>
      </w:pPr>
      <w:r w:rsidRPr="002A0927">
        <w:rPr>
          <w:rStyle w:val="FootnoteReference"/>
          <w:rFonts w:ascii="Book Antiqua" w:hAnsi="Book Antiqua"/>
          <w:sz w:val="18"/>
          <w:szCs w:val="18"/>
        </w:rPr>
        <w:footnoteRef/>
      </w:r>
      <w:r w:rsidRPr="002A0927">
        <w:rPr>
          <w:rFonts w:ascii="Book Antiqua" w:hAnsi="Book Antiqua"/>
          <w:sz w:val="18"/>
          <w:szCs w:val="18"/>
        </w:rPr>
        <w:t xml:space="preserve"> Subsection 30-265(1) of the Income Tax Assessment Act 1997 - Its principal purpose must be: (a)  the protection and enhancement of the natural environment or of a significant aspect of the natural environment; or (b)  the provision of information or education, or the carrying on of research, about the natural environment or a significant aspect of the natural environment</w:t>
      </w:r>
      <w:r>
        <w:rPr>
          <w:rFonts w:ascii="Book Antiqua" w:hAnsi="Book Antiqua"/>
          <w:sz w:val="18"/>
          <w:szCs w:val="18"/>
        </w:rPr>
        <w:t>.</w:t>
      </w:r>
    </w:p>
  </w:footnote>
  <w:footnote w:id="21">
    <w:p w14:paraId="2EF88BD2" w14:textId="6263029D" w:rsidR="00723950" w:rsidRDefault="00723950" w:rsidP="00BA2C22">
      <w:pPr>
        <w:pStyle w:val="FootnoteText"/>
        <w:spacing w:after="0" w:line="240" w:lineRule="auto"/>
      </w:pPr>
      <w:r>
        <w:rPr>
          <w:rStyle w:val="FootnoteReference"/>
        </w:rPr>
        <w:footnoteRef/>
      </w:r>
      <w:r>
        <w:t xml:space="preserve"> </w:t>
      </w:r>
      <w:r w:rsidRPr="00641B56">
        <w:t>Small registered charities are those with annual revenue of less than $250,000</w:t>
      </w:r>
      <w:r>
        <w:t xml:space="preserve"> (section 205-25 of the ACNC Act)</w:t>
      </w:r>
      <w:r w:rsidRPr="00641B56">
        <w:t>.</w:t>
      </w:r>
    </w:p>
  </w:footnote>
  <w:footnote w:id="22">
    <w:p w14:paraId="4610F229" w14:textId="5F116BE9" w:rsidR="00723950" w:rsidRPr="002A0927" w:rsidRDefault="00723950" w:rsidP="0067042D">
      <w:pPr>
        <w:pStyle w:val="subsection"/>
        <w:spacing w:before="0" w:beforeAutospacing="0" w:after="0" w:afterAutospacing="0"/>
        <w:rPr>
          <w:rFonts w:ascii="Book Antiqua" w:hAnsi="Book Antiqua"/>
          <w:sz w:val="18"/>
          <w:szCs w:val="18"/>
        </w:rPr>
      </w:pPr>
      <w:r w:rsidRPr="002A0927">
        <w:rPr>
          <w:rStyle w:val="FootnoteReference"/>
          <w:rFonts w:ascii="Book Antiqua" w:hAnsi="Book Antiqua"/>
          <w:sz w:val="18"/>
          <w:szCs w:val="18"/>
        </w:rPr>
        <w:footnoteRef/>
      </w:r>
      <w:r w:rsidRPr="0067042D">
        <w:rPr>
          <w:rFonts w:ascii="Book Antiqua" w:hAnsi="Book Antiqua"/>
          <w:sz w:val="18"/>
          <w:szCs w:val="18"/>
        </w:rPr>
        <w:t>https://www.arts.gov.au/publications/building-support-report-review-private-sector-support-arts-australia</w:t>
      </w:r>
      <w:r>
        <w:rPr>
          <w:rFonts w:ascii="Book Antiqua" w:hAnsi="Book Antiqua"/>
          <w:sz w:val="18"/>
          <w:szCs w:val="18"/>
        </w:rPr>
        <w:t>.</w:t>
      </w:r>
    </w:p>
  </w:footnote>
  <w:footnote w:id="23">
    <w:p w14:paraId="3EAED41A" w14:textId="77777777" w:rsidR="00723950" w:rsidRDefault="00723950" w:rsidP="00D54227">
      <w:pPr>
        <w:pStyle w:val="FootnoteText"/>
        <w:spacing w:after="0" w:line="240" w:lineRule="auto"/>
        <w:jc w:val="left"/>
      </w:pPr>
      <w:r>
        <w:rPr>
          <w:rStyle w:val="FootnoteReference"/>
        </w:rPr>
        <w:footnoteRef/>
      </w:r>
      <w:r>
        <w:t xml:space="preserve"> For example, for environmental organisations see section 30-290 of the ITAA 1997 </w:t>
      </w:r>
      <w:hyperlink r:id="rId11" w:history="1">
        <w:r w:rsidRPr="00D54227">
          <w:rPr>
            <w:rStyle w:val="Hyperlink"/>
          </w:rPr>
          <w:t>http://www.austlii.edu.au/au/legis/cth/consol_act/itaa1997240/s30.250.html</w:t>
        </w:r>
      </w:hyperlink>
    </w:p>
  </w:footnote>
  <w:footnote w:id="24">
    <w:p w14:paraId="528DCD03" w14:textId="588252B2" w:rsidR="00723950" w:rsidRDefault="00723950" w:rsidP="00BA2C22">
      <w:pPr>
        <w:pStyle w:val="FootnoteText"/>
        <w:spacing w:after="0" w:line="240" w:lineRule="auto"/>
      </w:pPr>
      <w:r>
        <w:rPr>
          <w:rStyle w:val="FootnoteReference"/>
        </w:rPr>
        <w:footnoteRef/>
      </w:r>
      <w:r>
        <w:t xml:space="preserve"> ACNC Act, s.205-30.</w:t>
      </w:r>
    </w:p>
  </w:footnote>
  <w:footnote w:id="25">
    <w:p w14:paraId="0BC1AE8C" w14:textId="7CD1B496" w:rsidR="00723950" w:rsidRPr="0033440D" w:rsidRDefault="00723950" w:rsidP="00BA2C22">
      <w:pPr>
        <w:pStyle w:val="FootnoteText"/>
        <w:spacing w:after="0" w:line="240" w:lineRule="auto"/>
        <w:rPr>
          <w:szCs w:val="18"/>
        </w:rPr>
      </w:pPr>
      <w:r w:rsidRPr="0033440D">
        <w:rPr>
          <w:rStyle w:val="FootnoteReference"/>
          <w:szCs w:val="18"/>
        </w:rPr>
        <w:footnoteRef/>
      </w:r>
      <w:r>
        <w:rPr>
          <w:rFonts w:cs="Arial"/>
          <w:szCs w:val="18"/>
        </w:rPr>
        <w:t xml:space="preserve"> </w:t>
      </w:r>
      <w:r w:rsidRPr="0033440D">
        <w:rPr>
          <w:rFonts w:cs="Arial"/>
          <w:szCs w:val="18"/>
        </w:rPr>
        <w:t xml:space="preserve">See </w:t>
      </w:r>
      <w:hyperlink r:id="rId12" w:history="1">
        <w:r w:rsidRPr="00673178">
          <w:rPr>
            <w:rStyle w:val="Hyperlink"/>
            <w:szCs w:val="18"/>
          </w:rPr>
          <w:t>https://www.acnc.gov.au/ACNC/FTS/FS_RespPers.aspx</w:t>
        </w:r>
      </w:hyperlink>
      <w:r>
        <w:rPr>
          <w:rStyle w:val="Hyperlink"/>
          <w:szCs w:val="18"/>
        </w:rPr>
        <w:t xml:space="preserve"> </w:t>
      </w:r>
    </w:p>
  </w:footnote>
  <w:footnote w:id="26">
    <w:p w14:paraId="2051F652" w14:textId="77777777" w:rsidR="00723950" w:rsidRDefault="00723950">
      <w:pPr>
        <w:pStyle w:val="FootnoteText"/>
      </w:pPr>
      <w:r>
        <w:rPr>
          <w:rStyle w:val="FootnoteReference"/>
        </w:rPr>
        <w:footnoteRef/>
      </w:r>
      <w:r>
        <w:t xml:space="preserve"> </w:t>
      </w:r>
      <w:hyperlink r:id="rId13" w:history="1">
        <w:r w:rsidRPr="00DE4AB2">
          <w:rPr>
            <w:rStyle w:val="Hyperlink"/>
          </w:rPr>
          <w:t>http://www.aph.gov.au/reo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2760C" w14:textId="68DC1617" w:rsidR="00723950" w:rsidRDefault="00A303AF" w:rsidP="006D1DC9">
    <w:pPr>
      <w:pStyle w:val="SecurityClassificationHeader"/>
    </w:pPr>
    <w:r>
      <w:fldChar w:fldCharType="begin"/>
    </w:r>
    <w:r>
      <w:instrText xml:space="preserve"> DOCPROPERTY SecurityClassification \* MERGEFORMAT </w:instrText>
    </w:r>
    <w:r>
      <w:fldChar w:fldCharType="separate"/>
    </w:r>
    <w:r w:rsidR="005124B3">
      <w:t>Draft</w:t>
    </w:r>
    <w:r>
      <w:fldChar w:fldCharType="end"/>
    </w:r>
  </w:p>
  <w:p w14:paraId="7AEFE02F" w14:textId="10837C41" w:rsidR="00723950" w:rsidRDefault="00A303AF">
    <w:pPr>
      <w:pStyle w:val="SecurityClassificationHeader"/>
    </w:pPr>
    <w:r>
      <w:fldChar w:fldCharType="begin"/>
    </w:r>
    <w:r>
      <w:instrText xml:space="preserve"> DOCPROPERTY SecurityClassification \* MERGEFORMAT </w:instrText>
    </w:r>
    <w:r>
      <w:fldChar w:fldCharType="separate"/>
    </w:r>
    <w:r w:rsidR="005124B3">
      <w:t>Draft</w:t>
    </w:r>
    <w:r>
      <w:fldChar w:fldCharType="end"/>
    </w:r>
  </w:p>
  <w:p w14:paraId="5F785DDD" w14:textId="77777777" w:rsidR="00723950" w:rsidRDefault="00723950">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49D25" w14:textId="42C55696" w:rsidR="00723950" w:rsidRPr="00FA2EB1" w:rsidRDefault="00723950" w:rsidP="00FA2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lvl>
    <w:lvl w:ilvl="5">
      <w:start w:val="1"/>
      <w:numFmt w:val="none"/>
      <w:lvlText w:val=""/>
      <w:lvlJc w:val="left"/>
      <w:pPr>
        <w:tabs>
          <w:tab w:val="num" w:pos="1701"/>
        </w:tabs>
        <w:ind w:left="1701" w:hanging="281"/>
      </w:pPr>
    </w:lvl>
    <w:lvl w:ilvl="6">
      <w:start w:val="1"/>
      <w:numFmt w:val="none"/>
      <w:lvlText w:val=""/>
      <w:lvlJc w:val="left"/>
      <w:pPr>
        <w:tabs>
          <w:tab w:val="num" w:pos="1985"/>
        </w:tabs>
        <w:ind w:left="1985" w:hanging="281"/>
      </w:pPr>
    </w:lvl>
    <w:lvl w:ilvl="7">
      <w:start w:val="1"/>
      <w:numFmt w:val="none"/>
      <w:lvlText w:val=""/>
      <w:lvlJc w:val="left"/>
      <w:pPr>
        <w:tabs>
          <w:tab w:val="num" w:pos="2268"/>
        </w:tabs>
        <w:ind w:left="2268" w:hanging="280"/>
      </w:pPr>
    </w:lvl>
    <w:lvl w:ilvl="8">
      <w:start w:val="1"/>
      <w:numFmt w:val="none"/>
      <w:lvlRestart w:val="0"/>
      <w:lvlText w:val=""/>
      <w:lvlJc w:val="left"/>
      <w:pPr>
        <w:tabs>
          <w:tab w:val="num" w:pos="2552"/>
        </w:tabs>
        <w:ind w:left="2552" w:hanging="280"/>
      </w:pPr>
    </w:lvl>
  </w:abstractNum>
  <w:abstractNum w:abstractNumId="1">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2">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nsid w:val="1DEE60F6"/>
    <w:multiLevelType w:val="hybridMultilevel"/>
    <w:tmpl w:val="06265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nsid w:val="27440C8B"/>
    <w:multiLevelType w:val="multilevel"/>
    <w:tmpl w:val="963C24F6"/>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B9073FD"/>
    <w:multiLevelType w:val="hybridMultilevel"/>
    <w:tmpl w:val="EA6CC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8">
    <w:nsid w:val="2DF54350"/>
    <w:multiLevelType w:val="multilevel"/>
    <w:tmpl w:val="A6800B9E"/>
    <w:styleLink w:val="Outlinenumbering"/>
    <w:lvl w:ilvl="0">
      <w:start w:val="1"/>
      <w:numFmt w:val="decimal"/>
      <w:lvlRestart w:val="0"/>
      <w:pStyle w:val="OutlineNumbered1"/>
      <w:lvlText w:val="%1."/>
      <w:lvlJc w:val="left"/>
      <w:pPr>
        <w:tabs>
          <w:tab w:val="num" w:pos="1135"/>
        </w:tabs>
        <w:ind w:left="1135"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10">
    <w:nsid w:val="3FAE2851"/>
    <w:multiLevelType w:val="hybridMultilevel"/>
    <w:tmpl w:val="DD6AD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EA0F8F"/>
    <w:multiLevelType w:val="hybridMultilevel"/>
    <w:tmpl w:val="CEA648CE"/>
    <w:lvl w:ilvl="0" w:tplc="91AE548C">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3">
    <w:nsid w:val="542006B6"/>
    <w:multiLevelType w:val="hybridMultilevel"/>
    <w:tmpl w:val="365CCBD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62D30C38"/>
    <w:multiLevelType w:val="hybridMultilevel"/>
    <w:tmpl w:val="D654E6E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7E178CC"/>
    <w:multiLevelType w:val="hybridMultilevel"/>
    <w:tmpl w:val="D5628C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1B16805"/>
    <w:multiLevelType w:val="multilevel"/>
    <w:tmpl w:val="93C44352"/>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EBF275E"/>
    <w:multiLevelType w:val="multilevel"/>
    <w:tmpl w:val="A6800B9E"/>
    <w:numStyleLink w:val="Outlinenumbering"/>
  </w:abstractNum>
  <w:num w:numId="1">
    <w:abstractNumId w:val="5"/>
  </w:num>
  <w:num w:numId="2">
    <w:abstractNumId w:val="7"/>
  </w:num>
  <w:num w:numId="3">
    <w:abstractNumId w:val="12"/>
  </w:num>
  <w:num w:numId="4">
    <w:abstractNumId w:val="14"/>
  </w:num>
  <w:num w:numId="5">
    <w:abstractNumId w:val="1"/>
  </w:num>
  <w:num w:numId="6">
    <w:abstractNumId w:val="2"/>
  </w:num>
  <w:num w:numId="7">
    <w:abstractNumId w:val="4"/>
  </w:num>
  <w:num w:numId="8">
    <w:abstractNumId w:val="8"/>
  </w:num>
  <w:num w:numId="9">
    <w:abstractNumId w:val="20"/>
  </w:num>
  <w:num w:numId="10">
    <w:abstractNumId w:val="18"/>
  </w:num>
  <w:num w:numId="11">
    <w:abstractNumId w:val="0"/>
  </w:num>
  <w:num w:numId="12">
    <w:abstractNumId w:val="17"/>
  </w:num>
  <w:num w:numId="13">
    <w:abstractNumId w:val="10"/>
  </w:num>
  <w:num w:numId="14">
    <w:abstractNumId w:val="13"/>
  </w:num>
  <w:num w:numId="15">
    <w:abstractNumId w:val="16"/>
  </w:num>
  <w:num w:numId="16">
    <w:abstractNumId w:val="3"/>
  </w:num>
  <w:num w:numId="17">
    <w:abstractNumId w:val="11"/>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20"/>
  </w:num>
  <w:num w:numId="26">
    <w:abstractNumId w:val="20"/>
  </w:num>
  <w:num w:numId="27">
    <w:abstractNumId w:val="20"/>
  </w:num>
  <w:num w:numId="28">
    <w:abstractNumId w:val="20"/>
  </w:num>
  <w:num w:numId="29">
    <w:abstractNumId w:val="2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0"/>
  </w:num>
  <w:num w:numId="34">
    <w:abstractNumId w:val="20"/>
  </w:num>
  <w:num w:numId="35">
    <w:abstractNumId w:val="6"/>
  </w:num>
  <w:num w:numId="36">
    <w:abstractNumId w:val="20"/>
  </w:num>
  <w:num w:numId="3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True"/>
  </w:docVars>
  <w:rsids>
    <w:rsidRoot w:val="007C53C0"/>
    <w:rsid w:val="00000F5D"/>
    <w:rsid w:val="0000355C"/>
    <w:rsid w:val="000050A4"/>
    <w:rsid w:val="0000752A"/>
    <w:rsid w:val="0000789E"/>
    <w:rsid w:val="00007BD3"/>
    <w:rsid w:val="00010DAB"/>
    <w:rsid w:val="00012A1B"/>
    <w:rsid w:val="00012F36"/>
    <w:rsid w:val="00013959"/>
    <w:rsid w:val="00014326"/>
    <w:rsid w:val="0001795F"/>
    <w:rsid w:val="00020711"/>
    <w:rsid w:val="00023B2D"/>
    <w:rsid w:val="0002532B"/>
    <w:rsid w:val="00025737"/>
    <w:rsid w:val="000313A6"/>
    <w:rsid w:val="000320D5"/>
    <w:rsid w:val="000364B1"/>
    <w:rsid w:val="0003756E"/>
    <w:rsid w:val="0004048D"/>
    <w:rsid w:val="00045948"/>
    <w:rsid w:val="00050622"/>
    <w:rsid w:val="00052C5E"/>
    <w:rsid w:val="000549BD"/>
    <w:rsid w:val="00060F0B"/>
    <w:rsid w:val="00062937"/>
    <w:rsid w:val="00063D10"/>
    <w:rsid w:val="00064348"/>
    <w:rsid w:val="00066592"/>
    <w:rsid w:val="00066B2B"/>
    <w:rsid w:val="00071E56"/>
    <w:rsid w:val="00075C04"/>
    <w:rsid w:val="000762C9"/>
    <w:rsid w:val="00083959"/>
    <w:rsid w:val="00085216"/>
    <w:rsid w:val="000871E7"/>
    <w:rsid w:val="00092214"/>
    <w:rsid w:val="00093750"/>
    <w:rsid w:val="000A204D"/>
    <w:rsid w:val="000A2114"/>
    <w:rsid w:val="000A4BA8"/>
    <w:rsid w:val="000A5814"/>
    <w:rsid w:val="000A7BCF"/>
    <w:rsid w:val="000B4D91"/>
    <w:rsid w:val="000C04E8"/>
    <w:rsid w:val="000C2585"/>
    <w:rsid w:val="000D13E6"/>
    <w:rsid w:val="000D3403"/>
    <w:rsid w:val="000D6581"/>
    <w:rsid w:val="000E3478"/>
    <w:rsid w:val="000E5D50"/>
    <w:rsid w:val="000F6D94"/>
    <w:rsid w:val="001056D2"/>
    <w:rsid w:val="00112EF6"/>
    <w:rsid w:val="00114275"/>
    <w:rsid w:val="0011462E"/>
    <w:rsid w:val="00117B34"/>
    <w:rsid w:val="00117F17"/>
    <w:rsid w:val="001212CF"/>
    <w:rsid w:val="00121DBC"/>
    <w:rsid w:val="0012673D"/>
    <w:rsid w:val="00131E7A"/>
    <w:rsid w:val="00132263"/>
    <w:rsid w:val="001338B4"/>
    <w:rsid w:val="0013505A"/>
    <w:rsid w:val="00143D06"/>
    <w:rsid w:val="001557DC"/>
    <w:rsid w:val="00156B74"/>
    <w:rsid w:val="001744AB"/>
    <w:rsid w:val="0018040D"/>
    <w:rsid w:val="00183608"/>
    <w:rsid w:val="00187537"/>
    <w:rsid w:val="00191485"/>
    <w:rsid w:val="001922DC"/>
    <w:rsid w:val="00192C4F"/>
    <w:rsid w:val="00193C63"/>
    <w:rsid w:val="001A1316"/>
    <w:rsid w:val="001A7093"/>
    <w:rsid w:val="001B3C44"/>
    <w:rsid w:val="001B5C65"/>
    <w:rsid w:val="001B5CA0"/>
    <w:rsid w:val="001C0F82"/>
    <w:rsid w:val="001D1517"/>
    <w:rsid w:val="001D186E"/>
    <w:rsid w:val="001D35DE"/>
    <w:rsid w:val="001D4733"/>
    <w:rsid w:val="001D6EF9"/>
    <w:rsid w:val="001D756C"/>
    <w:rsid w:val="001E43D3"/>
    <w:rsid w:val="001F777F"/>
    <w:rsid w:val="002006B9"/>
    <w:rsid w:val="00201BC9"/>
    <w:rsid w:val="0020223E"/>
    <w:rsid w:val="002041FB"/>
    <w:rsid w:val="00206330"/>
    <w:rsid w:val="00211E9D"/>
    <w:rsid w:val="002143E9"/>
    <w:rsid w:val="0021693B"/>
    <w:rsid w:val="00224659"/>
    <w:rsid w:val="002263FA"/>
    <w:rsid w:val="002278A0"/>
    <w:rsid w:val="0023196A"/>
    <w:rsid w:val="00233E0E"/>
    <w:rsid w:val="0023420D"/>
    <w:rsid w:val="00236AED"/>
    <w:rsid w:val="00240FF6"/>
    <w:rsid w:val="00244F3E"/>
    <w:rsid w:val="00245077"/>
    <w:rsid w:val="00247753"/>
    <w:rsid w:val="00253056"/>
    <w:rsid w:val="0025385C"/>
    <w:rsid w:val="002538FB"/>
    <w:rsid w:val="00253F8F"/>
    <w:rsid w:val="00255031"/>
    <w:rsid w:val="002569B0"/>
    <w:rsid w:val="00261CA1"/>
    <w:rsid w:val="00262536"/>
    <w:rsid w:val="00263221"/>
    <w:rsid w:val="00264434"/>
    <w:rsid w:val="00264890"/>
    <w:rsid w:val="00271EE5"/>
    <w:rsid w:val="0027374E"/>
    <w:rsid w:val="00275614"/>
    <w:rsid w:val="00275FBD"/>
    <w:rsid w:val="00281829"/>
    <w:rsid w:val="002837B4"/>
    <w:rsid w:val="00287E0A"/>
    <w:rsid w:val="0029090D"/>
    <w:rsid w:val="002958B0"/>
    <w:rsid w:val="00297FB7"/>
    <w:rsid w:val="002A0114"/>
    <w:rsid w:val="002A0927"/>
    <w:rsid w:val="002A3D7A"/>
    <w:rsid w:val="002A7F59"/>
    <w:rsid w:val="002C0F44"/>
    <w:rsid w:val="002C3863"/>
    <w:rsid w:val="002C540E"/>
    <w:rsid w:val="002C7FE8"/>
    <w:rsid w:val="002D5E92"/>
    <w:rsid w:val="002D7AB4"/>
    <w:rsid w:val="002E60E6"/>
    <w:rsid w:val="002F0851"/>
    <w:rsid w:val="002F0F59"/>
    <w:rsid w:val="002F1351"/>
    <w:rsid w:val="002F3096"/>
    <w:rsid w:val="00302C94"/>
    <w:rsid w:val="003043AD"/>
    <w:rsid w:val="003077E5"/>
    <w:rsid w:val="003112CD"/>
    <w:rsid w:val="00311FC3"/>
    <w:rsid w:val="00313A48"/>
    <w:rsid w:val="003177CA"/>
    <w:rsid w:val="00321735"/>
    <w:rsid w:val="00322E44"/>
    <w:rsid w:val="00325947"/>
    <w:rsid w:val="00331749"/>
    <w:rsid w:val="0033440D"/>
    <w:rsid w:val="00336F15"/>
    <w:rsid w:val="00340EC5"/>
    <w:rsid w:val="003414B6"/>
    <w:rsid w:val="003420F4"/>
    <w:rsid w:val="0034373A"/>
    <w:rsid w:val="003461FD"/>
    <w:rsid w:val="00350574"/>
    <w:rsid w:val="00352FBD"/>
    <w:rsid w:val="00352FCF"/>
    <w:rsid w:val="0035602A"/>
    <w:rsid w:val="00363BA0"/>
    <w:rsid w:val="00364BB7"/>
    <w:rsid w:val="00366E37"/>
    <w:rsid w:val="003768E9"/>
    <w:rsid w:val="003877C5"/>
    <w:rsid w:val="00391A3C"/>
    <w:rsid w:val="00391C04"/>
    <w:rsid w:val="0039229F"/>
    <w:rsid w:val="003925CE"/>
    <w:rsid w:val="003953BF"/>
    <w:rsid w:val="00397740"/>
    <w:rsid w:val="003A2970"/>
    <w:rsid w:val="003A29F9"/>
    <w:rsid w:val="003A7B21"/>
    <w:rsid w:val="003B5C4F"/>
    <w:rsid w:val="003B6D5D"/>
    <w:rsid w:val="003C128F"/>
    <w:rsid w:val="003C345A"/>
    <w:rsid w:val="003D3341"/>
    <w:rsid w:val="003D4A7C"/>
    <w:rsid w:val="003D5DB7"/>
    <w:rsid w:val="003D608E"/>
    <w:rsid w:val="003E62FC"/>
    <w:rsid w:val="003F118F"/>
    <w:rsid w:val="003F28BE"/>
    <w:rsid w:val="003F3A3F"/>
    <w:rsid w:val="00400773"/>
    <w:rsid w:val="004045A9"/>
    <w:rsid w:val="00407D92"/>
    <w:rsid w:val="0041357A"/>
    <w:rsid w:val="00413862"/>
    <w:rsid w:val="00413E00"/>
    <w:rsid w:val="004150A0"/>
    <w:rsid w:val="00416B11"/>
    <w:rsid w:val="00417806"/>
    <w:rsid w:val="00420B5E"/>
    <w:rsid w:val="004225F2"/>
    <w:rsid w:val="004227E1"/>
    <w:rsid w:val="00424132"/>
    <w:rsid w:val="004264E5"/>
    <w:rsid w:val="004313DC"/>
    <w:rsid w:val="00435338"/>
    <w:rsid w:val="00436557"/>
    <w:rsid w:val="004365D6"/>
    <w:rsid w:val="004376E6"/>
    <w:rsid w:val="00442D32"/>
    <w:rsid w:val="0044593D"/>
    <w:rsid w:val="00447234"/>
    <w:rsid w:val="00451408"/>
    <w:rsid w:val="004549B0"/>
    <w:rsid w:val="004555D0"/>
    <w:rsid w:val="004657BE"/>
    <w:rsid w:val="00466989"/>
    <w:rsid w:val="00466B31"/>
    <w:rsid w:val="0048230A"/>
    <w:rsid w:val="0048738C"/>
    <w:rsid w:val="004906FE"/>
    <w:rsid w:val="00490F70"/>
    <w:rsid w:val="004913C5"/>
    <w:rsid w:val="00494191"/>
    <w:rsid w:val="004A69BD"/>
    <w:rsid w:val="004C030D"/>
    <w:rsid w:val="004D14CA"/>
    <w:rsid w:val="004D1D89"/>
    <w:rsid w:val="004E075A"/>
    <w:rsid w:val="004E14C3"/>
    <w:rsid w:val="004E6C15"/>
    <w:rsid w:val="004F2550"/>
    <w:rsid w:val="004F3060"/>
    <w:rsid w:val="004F3B77"/>
    <w:rsid w:val="004F53BB"/>
    <w:rsid w:val="004F7C67"/>
    <w:rsid w:val="005039EE"/>
    <w:rsid w:val="00504163"/>
    <w:rsid w:val="00505CFF"/>
    <w:rsid w:val="005124B3"/>
    <w:rsid w:val="00512574"/>
    <w:rsid w:val="00514602"/>
    <w:rsid w:val="005148B5"/>
    <w:rsid w:val="00514CE4"/>
    <w:rsid w:val="005219FD"/>
    <w:rsid w:val="005227B8"/>
    <w:rsid w:val="00523478"/>
    <w:rsid w:val="00524B84"/>
    <w:rsid w:val="00524FEC"/>
    <w:rsid w:val="00525DDA"/>
    <w:rsid w:val="0053008F"/>
    <w:rsid w:val="005366EA"/>
    <w:rsid w:val="00541681"/>
    <w:rsid w:val="00542945"/>
    <w:rsid w:val="005431C9"/>
    <w:rsid w:val="00547BBD"/>
    <w:rsid w:val="005534FE"/>
    <w:rsid w:val="0055429A"/>
    <w:rsid w:val="00556988"/>
    <w:rsid w:val="00563D69"/>
    <w:rsid w:val="0056559F"/>
    <w:rsid w:val="00570152"/>
    <w:rsid w:val="005750C6"/>
    <w:rsid w:val="005828D7"/>
    <w:rsid w:val="0058499E"/>
    <w:rsid w:val="00591BF6"/>
    <w:rsid w:val="00595204"/>
    <w:rsid w:val="00595DBF"/>
    <w:rsid w:val="00596D76"/>
    <w:rsid w:val="00597C08"/>
    <w:rsid w:val="005A0D8F"/>
    <w:rsid w:val="005A7A1C"/>
    <w:rsid w:val="005B0D61"/>
    <w:rsid w:val="005B1055"/>
    <w:rsid w:val="005B27C5"/>
    <w:rsid w:val="005C08E0"/>
    <w:rsid w:val="005C5453"/>
    <w:rsid w:val="005C6CE6"/>
    <w:rsid w:val="005C6DBD"/>
    <w:rsid w:val="005C7A8C"/>
    <w:rsid w:val="005D14CC"/>
    <w:rsid w:val="005D270E"/>
    <w:rsid w:val="005D4E76"/>
    <w:rsid w:val="005D5BEB"/>
    <w:rsid w:val="005D6237"/>
    <w:rsid w:val="005E0F49"/>
    <w:rsid w:val="005E20D7"/>
    <w:rsid w:val="005E2225"/>
    <w:rsid w:val="005E2E88"/>
    <w:rsid w:val="005E53CD"/>
    <w:rsid w:val="005E6DBD"/>
    <w:rsid w:val="005E7DCC"/>
    <w:rsid w:val="006053A3"/>
    <w:rsid w:val="006066F0"/>
    <w:rsid w:val="00611173"/>
    <w:rsid w:val="0061428B"/>
    <w:rsid w:val="006151F4"/>
    <w:rsid w:val="00616403"/>
    <w:rsid w:val="00622B84"/>
    <w:rsid w:val="00626B83"/>
    <w:rsid w:val="006321A6"/>
    <w:rsid w:val="006323C6"/>
    <w:rsid w:val="006407B0"/>
    <w:rsid w:val="006415A1"/>
    <w:rsid w:val="00641B56"/>
    <w:rsid w:val="00642C3A"/>
    <w:rsid w:val="006444B8"/>
    <w:rsid w:val="00646021"/>
    <w:rsid w:val="00647C88"/>
    <w:rsid w:val="00651FB7"/>
    <w:rsid w:val="00653416"/>
    <w:rsid w:val="00653E6A"/>
    <w:rsid w:val="006571C5"/>
    <w:rsid w:val="00663D50"/>
    <w:rsid w:val="0067042D"/>
    <w:rsid w:val="0067459A"/>
    <w:rsid w:val="00674738"/>
    <w:rsid w:val="0067612A"/>
    <w:rsid w:val="00683270"/>
    <w:rsid w:val="00684944"/>
    <w:rsid w:val="00690F28"/>
    <w:rsid w:val="00693FFC"/>
    <w:rsid w:val="00694E91"/>
    <w:rsid w:val="006A16A7"/>
    <w:rsid w:val="006A305B"/>
    <w:rsid w:val="006A41E8"/>
    <w:rsid w:val="006A7898"/>
    <w:rsid w:val="006B3980"/>
    <w:rsid w:val="006B5651"/>
    <w:rsid w:val="006B5E71"/>
    <w:rsid w:val="006B7A3D"/>
    <w:rsid w:val="006C023C"/>
    <w:rsid w:val="006C2DB6"/>
    <w:rsid w:val="006C6AB0"/>
    <w:rsid w:val="006D0976"/>
    <w:rsid w:val="006D160C"/>
    <w:rsid w:val="006D1BBF"/>
    <w:rsid w:val="006D1DC9"/>
    <w:rsid w:val="006D3AA7"/>
    <w:rsid w:val="006D407D"/>
    <w:rsid w:val="006D40B7"/>
    <w:rsid w:val="006D5215"/>
    <w:rsid w:val="006D5F5C"/>
    <w:rsid w:val="006E1764"/>
    <w:rsid w:val="006E1ED3"/>
    <w:rsid w:val="006E2D36"/>
    <w:rsid w:val="006E3DBC"/>
    <w:rsid w:val="006E71AD"/>
    <w:rsid w:val="006F4086"/>
    <w:rsid w:val="0070049F"/>
    <w:rsid w:val="007007AD"/>
    <w:rsid w:val="007031C4"/>
    <w:rsid w:val="007035DB"/>
    <w:rsid w:val="00704C8E"/>
    <w:rsid w:val="00707606"/>
    <w:rsid w:val="00707A8C"/>
    <w:rsid w:val="00707EAE"/>
    <w:rsid w:val="00713E86"/>
    <w:rsid w:val="007166DE"/>
    <w:rsid w:val="00717426"/>
    <w:rsid w:val="00723950"/>
    <w:rsid w:val="0072447D"/>
    <w:rsid w:val="00732E84"/>
    <w:rsid w:val="0074226C"/>
    <w:rsid w:val="0075099D"/>
    <w:rsid w:val="0075195F"/>
    <w:rsid w:val="00754576"/>
    <w:rsid w:val="007554BD"/>
    <w:rsid w:val="007554F6"/>
    <w:rsid w:val="007557D0"/>
    <w:rsid w:val="00756381"/>
    <w:rsid w:val="007568B4"/>
    <w:rsid w:val="00760A35"/>
    <w:rsid w:val="00763065"/>
    <w:rsid w:val="007709C5"/>
    <w:rsid w:val="00786560"/>
    <w:rsid w:val="00793F01"/>
    <w:rsid w:val="00794502"/>
    <w:rsid w:val="007A02D2"/>
    <w:rsid w:val="007A13F2"/>
    <w:rsid w:val="007A1C0D"/>
    <w:rsid w:val="007A2208"/>
    <w:rsid w:val="007A3BA0"/>
    <w:rsid w:val="007A6B46"/>
    <w:rsid w:val="007A6D69"/>
    <w:rsid w:val="007A7B02"/>
    <w:rsid w:val="007B3F8D"/>
    <w:rsid w:val="007C07FA"/>
    <w:rsid w:val="007C1683"/>
    <w:rsid w:val="007C1BD0"/>
    <w:rsid w:val="007C37B2"/>
    <w:rsid w:val="007C4243"/>
    <w:rsid w:val="007C53C0"/>
    <w:rsid w:val="007C6DFD"/>
    <w:rsid w:val="007D03B1"/>
    <w:rsid w:val="007D362E"/>
    <w:rsid w:val="007D70F8"/>
    <w:rsid w:val="007D7FB3"/>
    <w:rsid w:val="007E0AC1"/>
    <w:rsid w:val="007E1673"/>
    <w:rsid w:val="007E65FD"/>
    <w:rsid w:val="007E734E"/>
    <w:rsid w:val="007E7B72"/>
    <w:rsid w:val="007F4869"/>
    <w:rsid w:val="007F6D6A"/>
    <w:rsid w:val="007F7ED0"/>
    <w:rsid w:val="00800C0E"/>
    <w:rsid w:val="008037D6"/>
    <w:rsid w:val="008125C1"/>
    <w:rsid w:val="00813AC3"/>
    <w:rsid w:val="008170F5"/>
    <w:rsid w:val="00822325"/>
    <w:rsid w:val="00824C14"/>
    <w:rsid w:val="00826E40"/>
    <w:rsid w:val="00830D16"/>
    <w:rsid w:val="0083547C"/>
    <w:rsid w:val="0083606B"/>
    <w:rsid w:val="0083636E"/>
    <w:rsid w:val="00841860"/>
    <w:rsid w:val="00841F0E"/>
    <w:rsid w:val="00851B60"/>
    <w:rsid w:val="008567FB"/>
    <w:rsid w:val="0086114F"/>
    <w:rsid w:val="0086406F"/>
    <w:rsid w:val="00864451"/>
    <w:rsid w:val="0086772B"/>
    <w:rsid w:val="008803DB"/>
    <w:rsid w:val="008830ED"/>
    <w:rsid w:val="008A3CE2"/>
    <w:rsid w:val="008B150B"/>
    <w:rsid w:val="008C1754"/>
    <w:rsid w:val="008C3780"/>
    <w:rsid w:val="008C6716"/>
    <w:rsid w:val="008C7F95"/>
    <w:rsid w:val="008D23E4"/>
    <w:rsid w:val="008D6070"/>
    <w:rsid w:val="008E4CF5"/>
    <w:rsid w:val="008E5966"/>
    <w:rsid w:val="008F0AD2"/>
    <w:rsid w:val="008F12DD"/>
    <w:rsid w:val="008F354B"/>
    <w:rsid w:val="008F7F4E"/>
    <w:rsid w:val="0090390B"/>
    <w:rsid w:val="00904CD9"/>
    <w:rsid w:val="00911A9B"/>
    <w:rsid w:val="009139DE"/>
    <w:rsid w:val="009156DD"/>
    <w:rsid w:val="00922D3D"/>
    <w:rsid w:val="009243D0"/>
    <w:rsid w:val="00924702"/>
    <w:rsid w:val="00925BE2"/>
    <w:rsid w:val="00925F6B"/>
    <w:rsid w:val="00927676"/>
    <w:rsid w:val="009277BD"/>
    <w:rsid w:val="009319C9"/>
    <w:rsid w:val="00932DF2"/>
    <w:rsid w:val="00933600"/>
    <w:rsid w:val="009345C1"/>
    <w:rsid w:val="0094282A"/>
    <w:rsid w:val="009449A7"/>
    <w:rsid w:val="00946577"/>
    <w:rsid w:val="00951F01"/>
    <w:rsid w:val="00955510"/>
    <w:rsid w:val="0095734D"/>
    <w:rsid w:val="009631F2"/>
    <w:rsid w:val="009675A6"/>
    <w:rsid w:val="0096795D"/>
    <w:rsid w:val="009740CF"/>
    <w:rsid w:val="00975358"/>
    <w:rsid w:val="00976CB4"/>
    <w:rsid w:val="009800F8"/>
    <w:rsid w:val="009823BA"/>
    <w:rsid w:val="0098548C"/>
    <w:rsid w:val="00987900"/>
    <w:rsid w:val="00993B80"/>
    <w:rsid w:val="00995F0E"/>
    <w:rsid w:val="00996003"/>
    <w:rsid w:val="009973ED"/>
    <w:rsid w:val="009A4CB9"/>
    <w:rsid w:val="009A549A"/>
    <w:rsid w:val="009B012C"/>
    <w:rsid w:val="009B0DEE"/>
    <w:rsid w:val="009B1DEA"/>
    <w:rsid w:val="009B2370"/>
    <w:rsid w:val="009C1AA9"/>
    <w:rsid w:val="009C45D7"/>
    <w:rsid w:val="009C5EB6"/>
    <w:rsid w:val="009D14CF"/>
    <w:rsid w:val="009D4325"/>
    <w:rsid w:val="009E05FA"/>
    <w:rsid w:val="009E6C71"/>
    <w:rsid w:val="009F22FE"/>
    <w:rsid w:val="00A01A06"/>
    <w:rsid w:val="00A15A45"/>
    <w:rsid w:val="00A17E54"/>
    <w:rsid w:val="00A2030E"/>
    <w:rsid w:val="00A223D8"/>
    <w:rsid w:val="00A22936"/>
    <w:rsid w:val="00A23D99"/>
    <w:rsid w:val="00A277C6"/>
    <w:rsid w:val="00A303AF"/>
    <w:rsid w:val="00A33910"/>
    <w:rsid w:val="00A360A8"/>
    <w:rsid w:val="00A36410"/>
    <w:rsid w:val="00A364E8"/>
    <w:rsid w:val="00A42876"/>
    <w:rsid w:val="00A42C62"/>
    <w:rsid w:val="00A45866"/>
    <w:rsid w:val="00A47956"/>
    <w:rsid w:val="00A55888"/>
    <w:rsid w:val="00A567CE"/>
    <w:rsid w:val="00A612C4"/>
    <w:rsid w:val="00A62905"/>
    <w:rsid w:val="00A6620D"/>
    <w:rsid w:val="00A6764F"/>
    <w:rsid w:val="00A712AD"/>
    <w:rsid w:val="00A766C4"/>
    <w:rsid w:val="00A94E12"/>
    <w:rsid w:val="00AA054C"/>
    <w:rsid w:val="00AA278F"/>
    <w:rsid w:val="00AB232F"/>
    <w:rsid w:val="00AB28F4"/>
    <w:rsid w:val="00AB7AB9"/>
    <w:rsid w:val="00AC1DB4"/>
    <w:rsid w:val="00AC20D4"/>
    <w:rsid w:val="00AC243E"/>
    <w:rsid w:val="00AC73F0"/>
    <w:rsid w:val="00AD219C"/>
    <w:rsid w:val="00AD28D7"/>
    <w:rsid w:val="00AD4BB3"/>
    <w:rsid w:val="00AD527E"/>
    <w:rsid w:val="00AD77E8"/>
    <w:rsid w:val="00AD7F93"/>
    <w:rsid w:val="00AE3A04"/>
    <w:rsid w:val="00AE3FCE"/>
    <w:rsid w:val="00AE516D"/>
    <w:rsid w:val="00AF0C49"/>
    <w:rsid w:val="00AF304F"/>
    <w:rsid w:val="00AF3CC1"/>
    <w:rsid w:val="00AF6DF5"/>
    <w:rsid w:val="00B051F8"/>
    <w:rsid w:val="00B1263F"/>
    <w:rsid w:val="00B12B83"/>
    <w:rsid w:val="00B12C0A"/>
    <w:rsid w:val="00B154F4"/>
    <w:rsid w:val="00B22ECA"/>
    <w:rsid w:val="00B306FB"/>
    <w:rsid w:val="00B3574E"/>
    <w:rsid w:val="00B35C18"/>
    <w:rsid w:val="00B379B2"/>
    <w:rsid w:val="00B42BF7"/>
    <w:rsid w:val="00B4374A"/>
    <w:rsid w:val="00B45E1A"/>
    <w:rsid w:val="00B4773D"/>
    <w:rsid w:val="00B552BA"/>
    <w:rsid w:val="00B55703"/>
    <w:rsid w:val="00B5660E"/>
    <w:rsid w:val="00B62A9B"/>
    <w:rsid w:val="00B63E73"/>
    <w:rsid w:val="00B67032"/>
    <w:rsid w:val="00B7013A"/>
    <w:rsid w:val="00B772F8"/>
    <w:rsid w:val="00B82E88"/>
    <w:rsid w:val="00B966D5"/>
    <w:rsid w:val="00BA00F4"/>
    <w:rsid w:val="00BA06DD"/>
    <w:rsid w:val="00BA07DD"/>
    <w:rsid w:val="00BA2219"/>
    <w:rsid w:val="00BA25C8"/>
    <w:rsid w:val="00BA2C22"/>
    <w:rsid w:val="00BA5623"/>
    <w:rsid w:val="00BA5F78"/>
    <w:rsid w:val="00BA6E88"/>
    <w:rsid w:val="00BB4659"/>
    <w:rsid w:val="00BC62CC"/>
    <w:rsid w:val="00BC69F4"/>
    <w:rsid w:val="00BD09BE"/>
    <w:rsid w:val="00BD103D"/>
    <w:rsid w:val="00BD2ECA"/>
    <w:rsid w:val="00BD376E"/>
    <w:rsid w:val="00BD5E46"/>
    <w:rsid w:val="00BD602D"/>
    <w:rsid w:val="00BE2EA4"/>
    <w:rsid w:val="00BE4B3D"/>
    <w:rsid w:val="00BE55FA"/>
    <w:rsid w:val="00BF23D9"/>
    <w:rsid w:val="00BF2611"/>
    <w:rsid w:val="00BF2771"/>
    <w:rsid w:val="00BF3047"/>
    <w:rsid w:val="00BF306B"/>
    <w:rsid w:val="00C0259E"/>
    <w:rsid w:val="00C04E69"/>
    <w:rsid w:val="00C07717"/>
    <w:rsid w:val="00C14AC5"/>
    <w:rsid w:val="00C15327"/>
    <w:rsid w:val="00C21DD9"/>
    <w:rsid w:val="00C2271A"/>
    <w:rsid w:val="00C25570"/>
    <w:rsid w:val="00C25D74"/>
    <w:rsid w:val="00C26F63"/>
    <w:rsid w:val="00C40CC9"/>
    <w:rsid w:val="00C44CE4"/>
    <w:rsid w:val="00C45940"/>
    <w:rsid w:val="00C505F4"/>
    <w:rsid w:val="00C52339"/>
    <w:rsid w:val="00C556A7"/>
    <w:rsid w:val="00C5667E"/>
    <w:rsid w:val="00C56E8F"/>
    <w:rsid w:val="00C627A2"/>
    <w:rsid w:val="00C651DF"/>
    <w:rsid w:val="00C6650A"/>
    <w:rsid w:val="00C6679C"/>
    <w:rsid w:val="00C70D8F"/>
    <w:rsid w:val="00C76F10"/>
    <w:rsid w:val="00C77B7A"/>
    <w:rsid w:val="00C80607"/>
    <w:rsid w:val="00C84E1E"/>
    <w:rsid w:val="00C8548F"/>
    <w:rsid w:val="00C85CF5"/>
    <w:rsid w:val="00C901F5"/>
    <w:rsid w:val="00C91309"/>
    <w:rsid w:val="00C91817"/>
    <w:rsid w:val="00C92D30"/>
    <w:rsid w:val="00C93F61"/>
    <w:rsid w:val="00C953EB"/>
    <w:rsid w:val="00CA2C15"/>
    <w:rsid w:val="00CA3258"/>
    <w:rsid w:val="00CA601E"/>
    <w:rsid w:val="00CB1F6F"/>
    <w:rsid w:val="00CB6122"/>
    <w:rsid w:val="00CC5B55"/>
    <w:rsid w:val="00CD07FF"/>
    <w:rsid w:val="00CD3268"/>
    <w:rsid w:val="00CD56BF"/>
    <w:rsid w:val="00CD60C4"/>
    <w:rsid w:val="00CD6246"/>
    <w:rsid w:val="00CD6BF1"/>
    <w:rsid w:val="00CE0C55"/>
    <w:rsid w:val="00CE76FB"/>
    <w:rsid w:val="00CF0DAD"/>
    <w:rsid w:val="00CF6E7C"/>
    <w:rsid w:val="00CF7737"/>
    <w:rsid w:val="00D005D2"/>
    <w:rsid w:val="00D07BDC"/>
    <w:rsid w:val="00D10395"/>
    <w:rsid w:val="00D138C1"/>
    <w:rsid w:val="00D20D48"/>
    <w:rsid w:val="00D23BA2"/>
    <w:rsid w:val="00D245DB"/>
    <w:rsid w:val="00D45DF7"/>
    <w:rsid w:val="00D464E5"/>
    <w:rsid w:val="00D52685"/>
    <w:rsid w:val="00D52C0C"/>
    <w:rsid w:val="00D54227"/>
    <w:rsid w:val="00D55AD0"/>
    <w:rsid w:val="00D564F0"/>
    <w:rsid w:val="00D5755F"/>
    <w:rsid w:val="00D60E02"/>
    <w:rsid w:val="00D61D9B"/>
    <w:rsid w:val="00D66434"/>
    <w:rsid w:val="00D7186C"/>
    <w:rsid w:val="00D745BB"/>
    <w:rsid w:val="00D77E5A"/>
    <w:rsid w:val="00D8054A"/>
    <w:rsid w:val="00D8177D"/>
    <w:rsid w:val="00D8233F"/>
    <w:rsid w:val="00D86E01"/>
    <w:rsid w:val="00D91884"/>
    <w:rsid w:val="00D9207F"/>
    <w:rsid w:val="00D94803"/>
    <w:rsid w:val="00DA02D2"/>
    <w:rsid w:val="00DA139B"/>
    <w:rsid w:val="00DA4A1B"/>
    <w:rsid w:val="00DB6AF8"/>
    <w:rsid w:val="00DC096F"/>
    <w:rsid w:val="00DC315A"/>
    <w:rsid w:val="00DC6521"/>
    <w:rsid w:val="00DD0A4F"/>
    <w:rsid w:val="00DD7A4D"/>
    <w:rsid w:val="00DE0CBC"/>
    <w:rsid w:val="00DE1150"/>
    <w:rsid w:val="00DE2014"/>
    <w:rsid w:val="00DE3318"/>
    <w:rsid w:val="00DE3508"/>
    <w:rsid w:val="00DE415B"/>
    <w:rsid w:val="00DE4AB2"/>
    <w:rsid w:val="00DE522C"/>
    <w:rsid w:val="00E012CF"/>
    <w:rsid w:val="00E03E8F"/>
    <w:rsid w:val="00E0617A"/>
    <w:rsid w:val="00E12F14"/>
    <w:rsid w:val="00E17D07"/>
    <w:rsid w:val="00E22717"/>
    <w:rsid w:val="00E23870"/>
    <w:rsid w:val="00E23C59"/>
    <w:rsid w:val="00E25D7F"/>
    <w:rsid w:val="00E26C69"/>
    <w:rsid w:val="00E2710B"/>
    <w:rsid w:val="00E27E54"/>
    <w:rsid w:val="00E3176F"/>
    <w:rsid w:val="00E33A80"/>
    <w:rsid w:val="00E4018E"/>
    <w:rsid w:val="00E427D4"/>
    <w:rsid w:val="00E454A2"/>
    <w:rsid w:val="00E50DF0"/>
    <w:rsid w:val="00E51658"/>
    <w:rsid w:val="00E55043"/>
    <w:rsid w:val="00E5595A"/>
    <w:rsid w:val="00E571CA"/>
    <w:rsid w:val="00E63366"/>
    <w:rsid w:val="00E667C4"/>
    <w:rsid w:val="00E67449"/>
    <w:rsid w:val="00E7021E"/>
    <w:rsid w:val="00E70F66"/>
    <w:rsid w:val="00E713DE"/>
    <w:rsid w:val="00E72F71"/>
    <w:rsid w:val="00E77C37"/>
    <w:rsid w:val="00E81A7A"/>
    <w:rsid w:val="00E91A75"/>
    <w:rsid w:val="00E94666"/>
    <w:rsid w:val="00E948BA"/>
    <w:rsid w:val="00E94E1C"/>
    <w:rsid w:val="00EA0276"/>
    <w:rsid w:val="00EA0B3E"/>
    <w:rsid w:val="00EA2B5E"/>
    <w:rsid w:val="00EA3AD9"/>
    <w:rsid w:val="00EA542E"/>
    <w:rsid w:val="00EA57D1"/>
    <w:rsid w:val="00EA7088"/>
    <w:rsid w:val="00EB16BB"/>
    <w:rsid w:val="00EB21DB"/>
    <w:rsid w:val="00EB22B8"/>
    <w:rsid w:val="00EB5B5C"/>
    <w:rsid w:val="00EB6968"/>
    <w:rsid w:val="00EB717E"/>
    <w:rsid w:val="00EC4D31"/>
    <w:rsid w:val="00EC54E8"/>
    <w:rsid w:val="00EC7829"/>
    <w:rsid w:val="00ED24C5"/>
    <w:rsid w:val="00ED42A5"/>
    <w:rsid w:val="00ED4B68"/>
    <w:rsid w:val="00EE3C94"/>
    <w:rsid w:val="00EE3ED4"/>
    <w:rsid w:val="00EE731A"/>
    <w:rsid w:val="00EF1311"/>
    <w:rsid w:val="00EF24E3"/>
    <w:rsid w:val="00EF307C"/>
    <w:rsid w:val="00EF3250"/>
    <w:rsid w:val="00F00302"/>
    <w:rsid w:val="00F0179E"/>
    <w:rsid w:val="00F035DE"/>
    <w:rsid w:val="00F100E8"/>
    <w:rsid w:val="00F162F1"/>
    <w:rsid w:val="00F21092"/>
    <w:rsid w:val="00F2127B"/>
    <w:rsid w:val="00F23F54"/>
    <w:rsid w:val="00F30068"/>
    <w:rsid w:val="00F3122E"/>
    <w:rsid w:val="00F31B35"/>
    <w:rsid w:val="00F35696"/>
    <w:rsid w:val="00F413A7"/>
    <w:rsid w:val="00F4197E"/>
    <w:rsid w:val="00F4203E"/>
    <w:rsid w:val="00F4472A"/>
    <w:rsid w:val="00F455A4"/>
    <w:rsid w:val="00F45C65"/>
    <w:rsid w:val="00F45F07"/>
    <w:rsid w:val="00F47594"/>
    <w:rsid w:val="00F51D06"/>
    <w:rsid w:val="00F51F18"/>
    <w:rsid w:val="00F60A89"/>
    <w:rsid w:val="00F60DC6"/>
    <w:rsid w:val="00F65E69"/>
    <w:rsid w:val="00F66501"/>
    <w:rsid w:val="00F7063E"/>
    <w:rsid w:val="00F72115"/>
    <w:rsid w:val="00F73A84"/>
    <w:rsid w:val="00F75DE3"/>
    <w:rsid w:val="00F776A3"/>
    <w:rsid w:val="00F77B5C"/>
    <w:rsid w:val="00F813C8"/>
    <w:rsid w:val="00F86D55"/>
    <w:rsid w:val="00F93F15"/>
    <w:rsid w:val="00FA2EB1"/>
    <w:rsid w:val="00FA33DD"/>
    <w:rsid w:val="00FA4742"/>
    <w:rsid w:val="00FA48EA"/>
    <w:rsid w:val="00FA74B5"/>
    <w:rsid w:val="00FA78B7"/>
    <w:rsid w:val="00FA794E"/>
    <w:rsid w:val="00FB073D"/>
    <w:rsid w:val="00FB0965"/>
    <w:rsid w:val="00FB5131"/>
    <w:rsid w:val="00FB6F9B"/>
    <w:rsid w:val="00FC1281"/>
    <w:rsid w:val="00FC2F95"/>
    <w:rsid w:val="00FC3FA9"/>
    <w:rsid w:val="00FC55BF"/>
    <w:rsid w:val="00FC7552"/>
    <w:rsid w:val="00FD7CBB"/>
    <w:rsid w:val="00FE0569"/>
    <w:rsid w:val="00FE1949"/>
    <w:rsid w:val="00FE1A3F"/>
    <w:rsid w:val="00FE2902"/>
    <w:rsid w:val="00FE6D5A"/>
    <w:rsid w:val="00FF1549"/>
    <w:rsid w:val="00FF2EDA"/>
    <w:rsid w:val="00FF3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D31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aliases w:val="Heading 1 Cab"/>
    <w:basedOn w:val="HeadingBase"/>
    <w:next w:val="OutlineNumbered1"/>
    <w:uiPriority w:val="4"/>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5039EE"/>
    <w:pPr>
      <w:tabs>
        <w:tab w:val="left" w:pos="284"/>
      </w:tabs>
      <w:ind w:left="284" w:hanging="284"/>
    </w:pPr>
    <w:rPr>
      <w:sz w:val="18"/>
    </w:rPr>
  </w:style>
  <w:style w:type="paragraph" w:customStyle="1" w:styleId="Bullet">
    <w:name w:val="Bullet"/>
    <w:aliases w:val="b"/>
    <w:basedOn w:val="Normal"/>
    <w:link w:val="BulletChar"/>
    <w:qFormat/>
    <w:rsid w:val="000A7BCF"/>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link w:val="OutlineNumbered1Char"/>
    <w:rsid w:val="001E43D3"/>
    <w:pPr>
      <w:numPr>
        <w:numId w:val="9"/>
      </w:numPr>
    </w:pPr>
  </w:style>
  <w:style w:type="paragraph" w:customStyle="1" w:styleId="OutlineNumbered2">
    <w:name w:val="Outline Numbered 2"/>
    <w:basedOn w:val="Normal"/>
    <w:link w:val="OutlineNumbered2Char"/>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uiPriority w:val="99"/>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customStyle="1" w:styleId="CAB-NumberedParagraph">
    <w:name w:val="CAB - Numbered Paragraph"/>
    <w:basedOn w:val="Normal"/>
    <w:uiPriority w:val="98"/>
    <w:rsid w:val="0094282A"/>
    <w:pPr>
      <w:tabs>
        <w:tab w:val="num" w:pos="340"/>
      </w:tabs>
      <w:spacing w:before="120" w:after="120" w:line="240" w:lineRule="auto"/>
      <w:ind w:left="340"/>
      <w:jc w:val="left"/>
    </w:pPr>
    <w:rPr>
      <w:rFonts w:ascii="Arial" w:eastAsiaTheme="minorHAnsi" w:hAnsi="Arial" w:cstheme="minorBidi"/>
      <w:color w:val="auto"/>
      <w:szCs w:val="22"/>
      <w:lang w:eastAsia="en-US"/>
    </w:rPr>
  </w:style>
  <w:style w:type="character" w:styleId="FootnoteReference">
    <w:name w:val="footnote reference"/>
    <w:basedOn w:val="DefaultParagraphFont"/>
    <w:uiPriority w:val="99"/>
    <w:semiHidden/>
    <w:unhideWhenUsed/>
    <w:rsid w:val="00A01A06"/>
    <w:rPr>
      <w:vertAlign w:val="superscript"/>
    </w:rPr>
  </w:style>
  <w:style w:type="character" w:customStyle="1" w:styleId="CABBackGroundChar1">
    <w:name w:val="CABBackGround Char1"/>
    <w:basedOn w:val="DefaultParagraphFont"/>
    <w:link w:val="CABBackGround"/>
    <w:locked/>
    <w:rsid w:val="003953BF"/>
    <w:rPr>
      <w:sz w:val="24"/>
    </w:rPr>
  </w:style>
  <w:style w:type="paragraph" w:customStyle="1" w:styleId="CABBackGround">
    <w:name w:val="CABBackGround"/>
    <w:basedOn w:val="Normal"/>
    <w:link w:val="CABBackGroundChar1"/>
    <w:rsid w:val="003953BF"/>
    <w:pPr>
      <w:spacing w:after="0" w:line="360" w:lineRule="auto"/>
      <w:jc w:val="left"/>
    </w:pPr>
    <w:rPr>
      <w:rFonts w:ascii="Times New Roman" w:hAnsi="Times New Roman"/>
      <w:color w:val="auto"/>
      <w:sz w:val="24"/>
    </w:rPr>
  </w:style>
  <w:style w:type="paragraph" w:customStyle="1" w:styleId="Default">
    <w:name w:val="Default"/>
    <w:rsid w:val="00D8054A"/>
    <w:pPr>
      <w:autoSpaceDE w:val="0"/>
      <w:autoSpaceDN w:val="0"/>
      <w:adjustRightInd w:val="0"/>
    </w:pPr>
    <w:rPr>
      <w:rFonts w:ascii="Arial Black" w:hAnsi="Arial Black" w:cs="Arial Black"/>
      <w:color w:val="000000"/>
      <w:sz w:val="24"/>
      <w:szCs w:val="24"/>
    </w:rPr>
  </w:style>
  <w:style w:type="character" w:customStyle="1" w:styleId="CABNETParagraphAttChar">
    <w:name w:val="CABNET Paragraph Att Char"/>
    <w:basedOn w:val="DefaultParagraphFont"/>
    <w:link w:val="CABNETParagraphAtt"/>
    <w:locked/>
    <w:rsid w:val="00D7186C"/>
    <w:rPr>
      <w:szCs w:val="24"/>
    </w:rPr>
  </w:style>
  <w:style w:type="paragraph" w:customStyle="1" w:styleId="CABNETParagraphAtt">
    <w:name w:val="CABNET Paragraph Att"/>
    <w:basedOn w:val="Normal"/>
    <w:link w:val="CABNETParagraphAttChar"/>
    <w:qFormat/>
    <w:rsid w:val="00D7186C"/>
    <w:pPr>
      <w:spacing w:before="120" w:after="120" w:line="240" w:lineRule="auto"/>
      <w:jc w:val="left"/>
    </w:pPr>
    <w:rPr>
      <w:rFonts w:ascii="Times New Roman" w:hAnsi="Times New Roman"/>
      <w:color w:val="auto"/>
      <w:sz w:val="20"/>
      <w:szCs w:val="24"/>
    </w:rPr>
  </w:style>
  <w:style w:type="character" w:styleId="CommentReference">
    <w:name w:val="annotation reference"/>
    <w:basedOn w:val="DefaultParagraphFont"/>
    <w:uiPriority w:val="99"/>
    <w:semiHidden/>
    <w:unhideWhenUsed/>
    <w:rsid w:val="00C91817"/>
    <w:rPr>
      <w:sz w:val="16"/>
      <w:szCs w:val="16"/>
    </w:rPr>
  </w:style>
  <w:style w:type="paragraph" w:styleId="CommentText">
    <w:name w:val="annotation text"/>
    <w:basedOn w:val="Normal"/>
    <w:link w:val="CommentTextChar"/>
    <w:uiPriority w:val="99"/>
    <w:unhideWhenUsed/>
    <w:rsid w:val="00C91817"/>
    <w:pPr>
      <w:spacing w:line="240" w:lineRule="auto"/>
    </w:pPr>
    <w:rPr>
      <w:sz w:val="20"/>
    </w:rPr>
  </w:style>
  <w:style w:type="character" w:customStyle="1" w:styleId="CommentTextChar">
    <w:name w:val="Comment Text Char"/>
    <w:basedOn w:val="DefaultParagraphFont"/>
    <w:link w:val="CommentText"/>
    <w:uiPriority w:val="99"/>
    <w:rsid w:val="00C91817"/>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C91817"/>
    <w:rPr>
      <w:b/>
      <w:bCs/>
    </w:rPr>
  </w:style>
  <w:style w:type="character" w:customStyle="1" w:styleId="CommentSubjectChar">
    <w:name w:val="Comment Subject Char"/>
    <w:basedOn w:val="CommentTextChar"/>
    <w:link w:val="CommentSubject"/>
    <w:uiPriority w:val="99"/>
    <w:semiHidden/>
    <w:rsid w:val="00C91817"/>
    <w:rPr>
      <w:rFonts w:ascii="Book Antiqua" w:hAnsi="Book Antiqua"/>
      <w:b/>
      <w:bCs/>
      <w:color w:val="000000"/>
    </w:rPr>
  </w:style>
  <w:style w:type="character" w:customStyle="1" w:styleId="BulletChar">
    <w:name w:val="Bullet Char"/>
    <w:aliases w:val="b Char Char"/>
    <w:basedOn w:val="DefaultParagraphFont"/>
    <w:link w:val="Bullet"/>
    <w:locked/>
    <w:rsid w:val="008C7F95"/>
    <w:rPr>
      <w:rFonts w:ascii="Book Antiqua" w:hAnsi="Book Antiqua"/>
      <w:color w:val="000000"/>
      <w:sz w:val="22"/>
    </w:rPr>
  </w:style>
  <w:style w:type="paragraph" w:customStyle="1" w:styleId="Bullet2">
    <w:name w:val="Bullet 2"/>
    <w:basedOn w:val="Normal"/>
    <w:qFormat/>
    <w:rsid w:val="008C7F95"/>
    <w:pPr>
      <w:tabs>
        <w:tab w:val="num" w:pos="568"/>
      </w:tabs>
      <w:spacing w:after="120" w:line="240" w:lineRule="auto"/>
      <w:ind w:left="568" w:hanging="284"/>
      <w:jc w:val="left"/>
    </w:pPr>
    <w:rPr>
      <w:rFonts w:ascii="Calibri" w:eastAsia="Calibri" w:hAnsi="Calibri"/>
      <w:color w:val="auto"/>
      <w:szCs w:val="22"/>
      <w:lang w:eastAsia="en-US"/>
    </w:rPr>
  </w:style>
  <w:style w:type="paragraph" w:customStyle="1" w:styleId="Bullet3">
    <w:name w:val="Bullet 3"/>
    <w:basedOn w:val="Normal"/>
    <w:qFormat/>
    <w:rsid w:val="008C7F95"/>
    <w:pPr>
      <w:tabs>
        <w:tab w:val="left" w:pos="284"/>
        <w:tab w:val="num" w:pos="852"/>
      </w:tabs>
      <w:spacing w:after="120" w:line="240" w:lineRule="auto"/>
      <w:ind w:left="852" w:hanging="284"/>
      <w:jc w:val="left"/>
    </w:pPr>
    <w:rPr>
      <w:rFonts w:ascii="Calibri" w:eastAsia="Calibri" w:hAnsi="Calibri"/>
      <w:color w:val="auto"/>
      <w:szCs w:val="22"/>
      <w:lang w:eastAsia="en-US"/>
    </w:rPr>
  </w:style>
  <w:style w:type="numbering" w:customStyle="1" w:styleId="Bulletlist">
    <w:name w:val="Bullet list"/>
    <w:uiPriority w:val="99"/>
    <w:rsid w:val="008C7F95"/>
    <w:pPr>
      <w:numPr>
        <w:numId w:val="11"/>
      </w:numPr>
    </w:pPr>
  </w:style>
  <w:style w:type="character" w:customStyle="1" w:styleId="OutlineNumbered1Char">
    <w:name w:val="Outline Numbered 1 Char"/>
    <w:basedOn w:val="DefaultParagraphFont"/>
    <w:link w:val="OutlineNumbered1"/>
    <w:rsid w:val="00DA139B"/>
    <w:rPr>
      <w:rFonts w:ascii="Book Antiqua" w:hAnsi="Book Antiqua"/>
      <w:color w:val="000000"/>
      <w:sz w:val="22"/>
    </w:rPr>
  </w:style>
  <w:style w:type="character" w:customStyle="1" w:styleId="OutlineNumbered2Char">
    <w:name w:val="Outline Numbered 2 Char"/>
    <w:basedOn w:val="DefaultParagraphFont"/>
    <w:link w:val="OutlineNumbered2"/>
    <w:rsid w:val="00DA139B"/>
    <w:rPr>
      <w:rFonts w:ascii="Book Antiqua" w:hAnsi="Book Antiqua"/>
      <w:color w:val="000000"/>
      <w:sz w:val="22"/>
    </w:rPr>
  </w:style>
  <w:style w:type="character" w:customStyle="1" w:styleId="FootnoteTextChar">
    <w:name w:val="Footnote Text Char"/>
    <w:basedOn w:val="DefaultParagraphFont"/>
    <w:link w:val="FootnoteText"/>
    <w:uiPriority w:val="99"/>
    <w:rsid w:val="00442D32"/>
    <w:rPr>
      <w:rFonts w:ascii="Book Antiqua" w:hAnsi="Book Antiqua"/>
      <w:color w:val="000000"/>
      <w:sz w:val="18"/>
    </w:rPr>
  </w:style>
  <w:style w:type="paragraph" w:customStyle="1" w:styleId="subsection">
    <w:name w:val="subsection"/>
    <w:basedOn w:val="Normal"/>
    <w:rsid w:val="002A0927"/>
    <w:pPr>
      <w:spacing w:before="100" w:beforeAutospacing="1" w:after="100" w:afterAutospacing="1" w:line="240" w:lineRule="auto"/>
      <w:jc w:val="left"/>
    </w:pPr>
    <w:rPr>
      <w:rFonts w:ascii="Times New Roman" w:hAnsi="Times New Roman"/>
      <w:color w:val="auto"/>
      <w:sz w:val="24"/>
      <w:szCs w:val="24"/>
    </w:rPr>
  </w:style>
  <w:style w:type="paragraph" w:customStyle="1" w:styleId="paragraph">
    <w:name w:val="paragraph"/>
    <w:basedOn w:val="Normal"/>
    <w:rsid w:val="002A0927"/>
    <w:pPr>
      <w:spacing w:before="100" w:beforeAutospacing="1" w:after="100" w:afterAutospacing="1" w:line="240" w:lineRule="auto"/>
      <w:jc w:val="left"/>
    </w:pPr>
    <w:rPr>
      <w:rFonts w:ascii="Times New Roman" w:hAnsi="Times New Roman"/>
      <w:color w:val="auto"/>
      <w:sz w:val="24"/>
      <w:szCs w:val="24"/>
    </w:rPr>
  </w:style>
  <w:style w:type="paragraph" w:styleId="Revision">
    <w:name w:val="Revision"/>
    <w:hidden/>
    <w:uiPriority w:val="99"/>
    <w:semiHidden/>
    <w:rsid w:val="00704C8E"/>
    <w:rPr>
      <w:rFonts w:ascii="Book Antiqua" w:hAnsi="Book Antiqua"/>
      <w:color w:val="000000"/>
      <w:sz w:val="22"/>
    </w:rPr>
  </w:style>
  <w:style w:type="paragraph" w:styleId="NormalWeb">
    <w:name w:val="Normal (Web)"/>
    <w:basedOn w:val="Normal"/>
    <w:uiPriority w:val="99"/>
    <w:semiHidden/>
    <w:unhideWhenUsed/>
    <w:rsid w:val="007554BD"/>
    <w:pPr>
      <w:spacing w:before="100" w:beforeAutospacing="1" w:after="100" w:afterAutospacing="1" w:line="240" w:lineRule="auto"/>
      <w:jc w:val="left"/>
    </w:pPr>
    <w:rPr>
      <w:rFonts w:ascii="Times New Roman" w:hAnsi="Times New Roman"/>
      <w:color w:val="auto"/>
      <w:sz w:val="24"/>
      <w:szCs w:val="24"/>
    </w:rPr>
  </w:style>
  <w:style w:type="character" w:styleId="HTMLCite">
    <w:name w:val="HTML Cite"/>
    <w:basedOn w:val="DefaultParagraphFont"/>
    <w:uiPriority w:val="99"/>
    <w:semiHidden/>
    <w:unhideWhenUsed/>
    <w:rsid w:val="00514602"/>
    <w:rPr>
      <w:i/>
      <w:iCs/>
    </w:rPr>
  </w:style>
  <w:style w:type="character" w:customStyle="1" w:styleId="FooterChar">
    <w:name w:val="Footer Char"/>
    <w:basedOn w:val="DefaultParagraphFont"/>
    <w:link w:val="Footer"/>
    <w:uiPriority w:val="99"/>
    <w:rsid w:val="00927676"/>
    <w:rPr>
      <w:rFonts w:ascii="Century Gothic" w:hAnsi="Century Gothic"/>
      <w:color w:val="1F497D" w:themeColor="text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aliases w:val="Heading 1 Cab"/>
    <w:basedOn w:val="HeadingBase"/>
    <w:next w:val="OutlineNumbered1"/>
    <w:uiPriority w:val="4"/>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5039EE"/>
    <w:pPr>
      <w:tabs>
        <w:tab w:val="left" w:pos="284"/>
      </w:tabs>
      <w:ind w:left="284" w:hanging="284"/>
    </w:pPr>
    <w:rPr>
      <w:sz w:val="18"/>
    </w:rPr>
  </w:style>
  <w:style w:type="paragraph" w:customStyle="1" w:styleId="Bullet">
    <w:name w:val="Bullet"/>
    <w:aliases w:val="b"/>
    <w:basedOn w:val="Normal"/>
    <w:link w:val="BulletChar"/>
    <w:qFormat/>
    <w:rsid w:val="000A7BCF"/>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link w:val="OutlineNumbered1Char"/>
    <w:rsid w:val="001E43D3"/>
    <w:pPr>
      <w:numPr>
        <w:numId w:val="9"/>
      </w:numPr>
    </w:pPr>
  </w:style>
  <w:style w:type="paragraph" w:customStyle="1" w:styleId="OutlineNumbered2">
    <w:name w:val="Outline Numbered 2"/>
    <w:basedOn w:val="Normal"/>
    <w:link w:val="OutlineNumbered2Char"/>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uiPriority w:val="99"/>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customStyle="1" w:styleId="CAB-NumberedParagraph">
    <w:name w:val="CAB - Numbered Paragraph"/>
    <w:basedOn w:val="Normal"/>
    <w:uiPriority w:val="98"/>
    <w:rsid w:val="0094282A"/>
    <w:pPr>
      <w:tabs>
        <w:tab w:val="num" w:pos="340"/>
      </w:tabs>
      <w:spacing w:before="120" w:after="120" w:line="240" w:lineRule="auto"/>
      <w:ind w:left="340"/>
      <w:jc w:val="left"/>
    </w:pPr>
    <w:rPr>
      <w:rFonts w:ascii="Arial" w:eastAsiaTheme="minorHAnsi" w:hAnsi="Arial" w:cstheme="minorBidi"/>
      <w:color w:val="auto"/>
      <w:szCs w:val="22"/>
      <w:lang w:eastAsia="en-US"/>
    </w:rPr>
  </w:style>
  <w:style w:type="character" w:styleId="FootnoteReference">
    <w:name w:val="footnote reference"/>
    <w:basedOn w:val="DefaultParagraphFont"/>
    <w:uiPriority w:val="99"/>
    <w:semiHidden/>
    <w:unhideWhenUsed/>
    <w:rsid w:val="00A01A06"/>
    <w:rPr>
      <w:vertAlign w:val="superscript"/>
    </w:rPr>
  </w:style>
  <w:style w:type="character" w:customStyle="1" w:styleId="CABBackGroundChar1">
    <w:name w:val="CABBackGround Char1"/>
    <w:basedOn w:val="DefaultParagraphFont"/>
    <w:link w:val="CABBackGround"/>
    <w:locked/>
    <w:rsid w:val="003953BF"/>
    <w:rPr>
      <w:sz w:val="24"/>
    </w:rPr>
  </w:style>
  <w:style w:type="paragraph" w:customStyle="1" w:styleId="CABBackGround">
    <w:name w:val="CABBackGround"/>
    <w:basedOn w:val="Normal"/>
    <w:link w:val="CABBackGroundChar1"/>
    <w:rsid w:val="003953BF"/>
    <w:pPr>
      <w:spacing w:after="0" w:line="360" w:lineRule="auto"/>
      <w:jc w:val="left"/>
    </w:pPr>
    <w:rPr>
      <w:rFonts w:ascii="Times New Roman" w:hAnsi="Times New Roman"/>
      <w:color w:val="auto"/>
      <w:sz w:val="24"/>
    </w:rPr>
  </w:style>
  <w:style w:type="paragraph" w:customStyle="1" w:styleId="Default">
    <w:name w:val="Default"/>
    <w:rsid w:val="00D8054A"/>
    <w:pPr>
      <w:autoSpaceDE w:val="0"/>
      <w:autoSpaceDN w:val="0"/>
      <w:adjustRightInd w:val="0"/>
    </w:pPr>
    <w:rPr>
      <w:rFonts w:ascii="Arial Black" w:hAnsi="Arial Black" w:cs="Arial Black"/>
      <w:color w:val="000000"/>
      <w:sz w:val="24"/>
      <w:szCs w:val="24"/>
    </w:rPr>
  </w:style>
  <w:style w:type="character" w:customStyle="1" w:styleId="CABNETParagraphAttChar">
    <w:name w:val="CABNET Paragraph Att Char"/>
    <w:basedOn w:val="DefaultParagraphFont"/>
    <w:link w:val="CABNETParagraphAtt"/>
    <w:locked/>
    <w:rsid w:val="00D7186C"/>
    <w:rPr>
      <w:szCs w:val="24"/>
    </w:rPr>
  </w:style>
  <w:style w:type="paragraph" w:customStyle="1" w:styleId="CABNETParagraphAtt">
    <w:name w:val="CABNET Paragraph Att"/>
    <w:basedOn w:val="Normal"/>
    <w:link w:val="CABNETParagraphAttChar"/>
    <w:qFormat/>
    <w:rsid w:val="00D7186C"/>
    <w:pPr>
      <w:spacing w:before="120" w:after="120" w:line="240" w:lineRule="auto"/>
      <w:jc w:val="left"/>
    </w:pPr>
    <w:rPr>
      <w:rFonts w:ascii="Times New Roman" w:hAnsi="Times New Roman"/>
      <w:color w:val="auto"/>
      <w:sz w:val="20"/>
      <w:szCs w:val="24"/>
    </w:rPr>
  </w:style>
  <w:style w:type="character" w:styleId="CommentReference">
    <w:name w:val="annotation reference"/>
    <w:basedOn w:val="DefaultParagraphFont"/>
    <w:uiPriority w:val="99"/>
    <w:semiHidden/>
    <w:unhideWhenUsed/>
    <w:rsid w:val="00C91817"/>
    <w:rPr>
      <w:sz w:val="16"/>
      <w:szCs w:val="16"/>
    </w:rPr>
  </w:style>
  <w:style w:type="paragraph" w:styleId="CommentText">
    <w:name w:val="annotation text"/>
    <w:basedOn w:val="Normal"/>
    <w:link w:val="CommentTextChar"/>
    <w:uiPriority w:val="99"/>
    <w:unhideWhenUsed/>
    <w:rsid w:val="00C91817"/>
    <w:pPr>
      <w:spacing w:line="240" w:lineRule="auto"/>
    </w:pPr>
    <w:rPr>
      <w:sz w:val="20"/>
    </w:rPr>
  </w:style>
  <w:style w:type="character" w:customStyle="1" w:styleId="CommentTextChar">
    <w:name w:val="Comment Text Char"/>
    <w:basedOn w:val="DefaultParagraphFont"/>
    <w:link w:val="CommentText"/>
    <w:uiPriority w:val="99"/>
    <w:rsid w:val="00C91817"/>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C91817"/>
    <w:rPr>
      <w:b/>
      <w:bCs/>
    </w:rPr>
  </w:style>
  <w:style w:type="character" w:customStyle="1" w:styleId="CommentSubjectChar">
    <w:name w:val="Comment Subject Char"/>
    <w:basedOn w:val="CommentTextChar"/>
    <w:link w:val="CommentSubject"/>
    <w:uiPriority w:val="99"/>
    <w:semiHidden/>
    <w:rsid w:val="00C91817"/>
    <w:rPr>
      <w:rFonts w:ascii="Book Antiqua" w:hAnsi="Book Antiqua"/>
      <w:b/>
      <w:bCs/>
      <w:color w:val="000000"/>
    </w:rPr>
  </w:style>
  <w:style w:type="character" w:customStyle="1" w:styleId="BulletChar">
    <w:name w:val="Bullet Char"/>
    <w:aliases w:val="b Char Char"/>
    <w:basedOn w:val="DefaultParagraphFont"/>
    <w:link w:val="Bullet"/>
    <w:locked/>
    <w:rsid w:val="008C7F95"/>
    <w:rPr>
      <w:rFonts w:ascii="Book Antiqua" w:hAnsi="Book Antiqua"/>
      <w:color w:val="000000"/>
      <w:sz w:val="22"/>
    </w:rPr>
  </w:style>
  <w:style w:type="paragraph" w:customStyle="1" w:styleId="Bullet2">
    <w:name w:val="Bullet 2"/>
    <w:basedOn w:val="Normal"/>
    <w:qFormat/>
    <w:rsid w:val="008C7F95"/>
    <w:pPr>
      <w:tabs>
        <w:tab w:val="num" w:pos="568"/>
      </w:tabs>
      <w:spacing w:after="120" w:line="240" w:lineRule="auto"/>
      <w:ind w:left="568" w:hanging="284"/>
      <w:jc w:val="left"/>
    </w:pPr>
    <w:rPr>
      <w:rFonts w:ascii="Calibri" w:eastAsia="Calibri" w:hAnsi="Calibri"/>
      <w:color w:val="auto"/>
      <w:szCs w:val="22"/>
      <w:lang w:eastAsia="en-US"/>
    </w:rPr>
  </w:style>
  <w:style w:type="paragraph" w:customStyle="1" w:styleId="Bullet3">
    <w:name w:val="Bullet 3"/>
    <w:basedOn w:val="Normal"/>
    <w:qFormat/>
    <w:rsid w:val="008C7F95"/>
    <w:pPr>
      <w:tabs>
        <w:tab w:val="left" w:pos="284"/>
        <w:tab w:val="num" w:pos="852"/>
      </w:tabs>
      <w:spacing w:after="120" w:line="240" w:lineRule="auto"/>
      <w:ind w:left="852" w:hanging="284"/>
      <w:jc w:val="left"/>
    </w:pPr>
    <w:rPr>
      <w:rFonts w:ascii="Calibri" w:eastAsia="Calibri" w:hAnsi="Calibri"/>
      <w:color w:val="auto"/>
      <w:szCs w:val="22"/>
      <w:lang w:eastAsia="en-US"/>
    </w:rPr>
  </w:style>
  <w:style w:type="numbering" w:customStyle="1" w:styleId="Bulletlist">
    <w:name w:val="Bullet list"/>
    <w:uiPriority w:val="99"/>
    <w:rsid w:val="008C7F95"/>
    <w:pPr>
      <w:numPr>
        <w:numId w:val="11"/>
      </w:numPr>
    </w:pPr>
  </w:style>
  <w:style w:type="character" w:customStyle="1" w:styleId="OutlineNumbered1Char">
    <w:name w:val="Outline Numbered 1 Char"/>
    <w:basedOn w:val="DefaultParagraphFont"/>
    <w:link w:val="OutlineNumbered1"/>
    <w:rsid w:val="00DA139B"/>
    <w:rPr>
      <w:rFonts w:ascii="Book Antiqua" w:hAnsi="Book Antiqua"/>
      <w:color w:val="000000"/>
      <w:sz w:val="22"/>
    </w:rPr>
  </w:style>
  <w:style w:type="character" w:customStyle="1" w:styleId="OutlineNumbered2Char">
    <w:name w:val="Outline Numbered 2 Char"/>
    <w:basedOn w:val="DefaultParagraphFont"/>
    <w:link w:val="OutlineNumbered2"/>
    <w:rsid w:val="00DA139B"/>
    <w:rPr>
      <w:rFonts w:ascii="Book Antiqua" w:hAnsi="Book Antiqua"/>
      <w:color w:val="000000"/>
      <w:sz w:val="22"/>
    </w:rPr>
  </w:style>
  <w:style w:type="character" w:customStyle="1" w:styleId="FootnoteTextChar">
    <w:name w:val="Footnote Text Char"/>
    <w:basedOn w:val="DefaultParagraphFont"/>
    <w:link w:val="FootnoteText"/>
    <w:uiPriority w:val="99"/>
    <w:rsid w:val="00442D32"/>
    <w:rPr>
      <w:rFonts w:ascii="Book Antiqua" w:hAnsi="Book Antiqua"/>
      <w:color w:val="000000"/>
      <w:sz w:val="18"/>
    </w:rPr>
  </w:style>
  <w:style w:type="paragraph" w:customStyle="1" w:styleId="subsection">
    <w:name w:val="subsection"/>
    <w:basedOn w:val="Normal"/>
    <w:rsid w:val="002A0927"/>
    <w:pPr>
      <w:spacing w:before="100" w:beforeAutospacing="1" w:after="100" w:afterAutospacing="1" w:line="240" w:lineRule="auto"/>
      <w:jc w:val="left"/>
    </w:pPr>
    <w:rPr>
      <w:rFonts w:ascii="Times New Roman" w:hAnsi="Times New Roman"/>
      <w:color w:val="auto"/>
      <w:sz w:val="24"/>
      <w:szCs w:val="24"/>
    </w:rPr>
  </w:style>
  <w:style w:type="paragraph" w:customStyle="1" w:styleId="paragraph">
    <w:name w:val="paragraph"/>
    <w:basedOn w:val="Normal"/>
    <w:rsid w:val="002A0927"/>
    <w:pPr>
      <w:spacing w:before="100" w:beforeAutospacing="1" w:after="100" w:afterAutospacing="1" w:line="240" w:lineRule="auto"/>
      <w:jc w:val="left"/>
    </w:pPr>
    <w:rPr>
      <w:rFonts w:ascii="Times New Roman" w:hAnsi="Times New Roman"/>
      <w:color w:val="auto"/>
      <w:sz w:val="24"/>
      <w:szCs w:val="24"/>
    </w:rPr>
  </w:style>
  <w:style w:type="paragraph" w:styleId="Revision">
    <w:name w:val="Revision"/>
    <w:hidden/>
    <w:uiPriority w:val="99"/>
    <w:semiHidden/>
    <w:rsid w:val="00704C8E"/>
    <w:rPr>
      <w:rFonts w:ascii="Book Antiqua" w:hAnsi="Book Antiqua"/>
      <w:color w:val="000000"/>
      <w:sz w:val="22"/>
    </w:rPr>
  </w:style>
  <w:style w:type="paragraph" w:styleId="NormalWeb">
    <w:name w:val="Normal (Web)"/>
    <w:basedOn w:val="Normal"/>
    <w:uiPriority w:val="99"/>
    <w:semiHidden/>
    <w:unhideWhenUsed/>
    <w:rsid w:val="007554BD"/>
    <w:pPr>
      <w:spacing w:before="100" w:beforeAutospacing="1" w:after="100" w:afterAutospacing="1" w:line="240" w:lineRule="auto"/>
      <w:jc w:val="left"/>
    </w:pPr>
    <w:rPr>
      <w:rFonts w:ascii="Times New Roman" w:hAnsi="Times New Roman"/>
      <w:color w:val="auto"/>
      <w:sz w:val="24"/>
      <w:szCs w:val="24"/>
    </w:rPr>
  </w:style>
  <w:style w:type="character" w:styleId="HTMLCite">
    <w:name w:val="HTML Cite"/>
    <w:basedOn w:val="DefaultParagraphFont"/>
    <w:uiPriority w:val="99"/>
    <w:semiHidden/>
    <w:unhideWhenUsed/>
    <w:rsid w:val="00514602"/>
    <w:rPr>
      <w:i/>
      <w:iCs/>
    </w:rPr>
  </w:style>
  <w:style w:type="character" w:customStyle="1" w:styleId="FooterChar">
    <w:name w:val="Footer Char"/>
    <w:basedOn w:val="DefaultParagraphFont"/>
    <w:link w:val="Footer"/>
    <w:uiPriority w:val="99"/>
    <w:rsid w:val="00927676"/>
    <w:rPr>
      <w:rFonts w:ascii="Century Gothic" w:hAnsi="Century Gothic"/>
      <w:color w:val="1F497D"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81">
      <w:bodyDiv w:val="1"/>
      <w:marLeft w:val="0"/>
      <w:marRight w:val="0"/>
      <w:marTop w:val="0"/>
      <w:marBottom w:val="0"/>
      <w:divBdr>
        <w:top w:val="none" w:sz="0" w:space="0" w:color="auto"/>
        <w:left w:val="none" w:sz="0" w:space="0" w:color="auto"/>
        <w:bottom w:val="none" w:sz="0" w:space="0" w:color="auto"/>
        <w:right w:val="none" w:sz="0" w:space="0" w:color="auto"/>
      </w:divBdr>
    </w:div>
    <w:div w:id="15816584">
      <w:bodyDiv w:val="1"/>
      <w:marLeft w:val="0"/>
      <w:marRight w:val="0"/>
      <w:marTop w:val="0"/>
      <w:marBottom w:val="0"/>
      <w:divBdr>
        <w:top w:val="none" w:sz="0" w:space="0" w:color="auto"/>
        <w:left w:val="none" w:sz="0" w:space="0" w:color="auto"/>
        <w:bottom w:val="none" w:sz="0" w:space="0" w:color="auto"/>
        <w:right w:val="none" w:sz="0" w:space="0" w:color="auto"/>
      </w:divBdr>
    </w:div>
    <w:div w:id="95685924">
      <w:bodyDiv w:val="1"/>
      <w:marLeft w:val="0"/>
      <w:marRight w:val="0"/>
      <w:marTop w:val="0"/>
      <w:marBottom w:val="0"/>
      <w:divBdr>
        <w:top w:val="none" w:sz="0" w:space="0" w:color="auto"/>
        <w:left w:val="none" w:sz="0" w:space="0" w:color="auto"/>
        <w:bottom w:val="none" w:sz="0" w:space="0" w:color="auto"/>
        <w:right w:val="none" w:sz="0" w:space="0" w:color="auto"/>
      </w:divBdr>
    </w:div>
    <w:div w:id="124205565">
      <w:bodyDiv w:val="1"/>
      <w:marLeft w:val="0"/>
      <w:marRight w:val="0"/>
      <w:marTop w:val="0"/>
      <w:marBottom w:val="0"/>
      <w:divBdr>
        <w:top w:val="none" w:sz="0" w:space="0" w:color="auto"/>
        <w:left w:val="none" w:sz="0" w:space="0" w:color="auto"/>
        <w:bottom w:val="none" w:sz="0" w:space="0" w:color="auto"/>
        <w:right w:val="none" w:sz="0" w:space="0" w:color="auto"/>
      </w:divBdr>
    </w:div>
    <w:div w:id="173879573">
      <w:bodyDiv w:val="1"/>
      <w:marLeft w:val="0"/>
      <w:marRight w:val="0"/>
      <w:marTop w:val="0"/>
      <w:marBottom w:val="0"/>
      <w:divBdr>
        <w:top w:val="none" w:sz="0" w:space="0" w:color="auto"/>
        <w:left w:val="none" w:sz="0" w:space="0" w:color="auto"/>
        <w:bottom w:val="none" w:sz="0" w:space="0" w:color="auto"/>
        <w:right w:val="none" w:sz="0" w:space="0" w:color="auto"/>
      </w:divBdr>
    </w:div>
    <w:div w:id="184174886">
      <w:bodyDiv w:val="1"/>
      <w:marLeft w:val="0"/>
      <w:marRight w:val="0"/>
      <w:marTop w:val="0"/>
      <w:marBottom w:val="0"/>
      <w:divBdr>
        <w:top w:val="none" w:sz="0" w:space="0" w:color="auto"/>
        <w:left w:val="none" w:sz="0" w:space="0" w:color="auto"/>
        <w:bottom w:val="none" w:sz="0" w:space="0" w:color="auto"/>
        <w:right w:val="none" w:sz="0" w:space="0" w:color="auto"/>
      </w:divBdr>
    </w:div>
    <w:div w:id="196895358">
      <w:bodyDiv w:val="1"/>
      <w:marLeft w:val="0"/>
      <w:marRight w:val="0"/>
      <w:marTop w:val="0"/>
      <w:marBottom w:val="0"/>
      <w:divBdr>
        <w:top w:val="none" w:sz="0" w:space="0" w:color="auto"/>
        <w:left w:val="none" w:sz="0" w:space="0" w:color="auto"/>
        <w:bottom w:val="none" w:sz="0" w:space="0" w:color="auto"/>
        <w:right w:val="none" w:sz="0" w:space="0" w:color="auto"/>
      </w:divBdr>
    </w:div>
    <w:div w:id="293366042">
      <w:bodyDiv w:val="1"/>
      <w:marLeft w:val="0"/>
      <w:marRight w:val="0"/>
      <w:marTop w:val="0"/>
      <w:marBottom w:val="0"/>
      <w:divBdr>
        <w:top w:val="none" w:sz="0" w:space="0" w:color="auto"/>
        <w:left w:val="none" w:sz="0" w:space="0" w:color="auto"/>
        <w:bottom w:val="none" w:sz="0" w:space="0" w:color="auto"/>
        <w:right w:val="none" w:sz="0" w:space="0" w:color="auto"/>
      </w:divBdr>
    </w:div>
    <w:div w:id="495917903">
      <w:bodyDiv w:val="1"/>
      <w:marLeft w:val="0"/>
      <w:marRight w:val="0"/>
      <w:marTop w:val="0"/>
      <w:marBottom w:val="0"/>
      <w:divBdr>
        <w:top w:val="none" w:sz="0" w:space="0" w:color="auto"/>
        <w:left w:val="none" w:sz="0" w:space="0" w:color="auto"/>
        <w:bottom w:val="none" w:sz="0" w:space="0" w:color="auto"/>
        <w:right w:val="none" w:sz="0" w:space="0" w:color="auto"/>
      </w:divBdr>
    </w:div>
    <w:div w:id="517156390">
      <w:bodyDiv w:val="1"/>
      <w:marLeft w:val="0"/>
      <w:marRight w:val="0"/>
      <w:marTop w:val="0"/>
      <w:marBottom w:val="0"/>
      <w:divBdr>
        <w:top w:val="none" w:sz="0" w:space="0" w:color="auto"/>
        <w:left w:val="none" w:sz="0" w:space="0" w:color="auto"/>
        <w:bottom w:val="none" w:sz="0" w:space="0" w:color="auto"/>
        <w:right w:val="none" w:sz="0" w:space="0" w:color="auto"/>
      </w:divBdr>
    </w:div>
    <w:div w:id="520821183">
      <w:bodyDiv w:val="1"/>
      <w:marLeft w:val="0"/>
      <w:marRight w:val="0"/>
      <w:marTop w:val="0"/>
      <w:marBottom w:val="0"/>
      <w:divBdr>
        <w:top w:val="none" w:sz="0" w:space="0" w:color="auto"/>
        <w:left w:val="none" w:sz="0" w:space="0" w:color="auto"/>
        <w:bottom w:val="none" w:sz="0" w:space="0" w:color="auto"/>
        <w:right w:val="none" w:sz="0" w:space="0" w:color="auto"/>
      </w:divBdr>
    </w:div>
    <w:div w:id="592710197">
      <w:bodyDiv w:val="1"/>
      <w:marLeft w:val="0"/>
      <w:marRight w:val="0"/>
      <w:marTop w:val="0"/>
      <w:marBottom w:val="0"/>
      <w:divBdr>
        <w:top w:val="none" w:sz="0" w:space="0" w:color="auto"/>
        <w:left w:val="none" w:sz="0" w:space="0" w:color="auto"/>
        <w:bottom w:val="none" w:sz="0" w:space="0" w:color="auto"/>
        <w:right w:val="none" w:sz="0" w:space="0" w:color="auto"/>
      </w:divBdr>
    </w:div>
    <w:div w:id="682778357">
      <w:bodyDiv w:val="1"/>
      <w:marLeft w:val="0"/>
      <w:marRight w:val="0"/>
      <w:marTop w:val="0"/>
      <w:marBottom w:val="0"/>
      <w:divBdr>
        <w:top w:val="none" w:sz="0" w:space="0" w:color="auto"/>
        <w:left w:val="none" w:sz="0" w:space="0" w:color="auto"/>
        <w:bottom w:val="none" w:sz="0" w:space="0" w:color="auto"/>
        <w:right w:val="none" w:sz="0" w:space="0" w:color="auto"/>
      </w:divBdr>
    </w:div>
    <w:div w:id="773088577">
      <w:bodyDiv w:val="1"/>
      <w:marLeft w:val="0"/>
      <w:marRight w:val="0"/>
      <w:marTop w:val="0"/>
      <w:marBottom w:val="0"/>
      <w:divBdr>
        <w:top w:val="none" w:sz="0" w:space="0" w:color="auto"/>
        <w:left w:val="none" w:sz="0" w:space="0" w:color="auto"/>
        <w:bottom w:val="none" w:sz="0" w:space="0" w:color="auto"/>
        <w:right w:val="none" w:sz="0" w:space="0" w:color="auto"/>
      </w:divBdr>
    </w:div>
    <w:div w:id="787626375">
      <w:bodyDiv w:val="1"/>
      <w:marLeft w:val="0"/>
      <w:marRight w:val="0"/>
      <w:marTop w:val="0"/>
      <w:marBottom w:val="0"/>
      <w:divBdr>
        <w:top w:val="none" w:sz="0" w:space="0" w:color="auto"/>
        <w:left w:val="none" w:sz="0" w:space="0" w:color="auto"/>
        <w:bottom w:val="none" w:sz="0" w:space="0" w:color="auto"/>
        <w:right w:val="none" w:sz="0" w:space="0" w:color="auto"/>
      </w:divBdr>
    </w:div>
    <w:div w:id="885943886">
      <w:bodyDiv w:val="1"/>
      <w:marLeft w:val="0"/>
      <w:marRight w:val="0"/>
      <w:marTop w:val="0"/>
      <w:marBottom w:val="0"/>
      <w:divBdr>
        <w:top w:val="none" w:sz="0" w:space="0" w:color="auto"/>
        <w:left w:val="none" w:sz="0" w:space="0" w:color="auto"/>
        <w:bottom w:val="none" w:sz="0" w:space="0" w:color="auto"/>
        <w:right w:val="none" w:sz="0" w:space="0" w:color="auto"/>
      </w:divBdr>
    </w:div>
    <w:div w:id="1126654853">
      <w:bodyDiv w:val="1"/>
      <w:marLeft w:val="0"/>
      <w:marRight w:val="0"/>
      <w:marTop w:val="0"/>
      <w:marBottom w:val="0"/>
      <w:divBdr>
        <w:top w:val="none" w:sz="0" w:space="0" w:color="auto"/>
        <w:left w:val="none" w:sz="0" w:space="0" w:color="auto"/>
        <w:bottom w:val="none" w:sz="0" w:space="0" w:color="auto"/>
        <w:right w:val="none" w:sz="0" w:space="0" w:color="auto"/>
      </w:divBdr>
    </w:div>
    <w:div w:id="1135685711">
      <w:bodyDiv w:val="1"/>
      <w:marLeft w:val="0"/>
      <w:marRight w:val="0"/>
      <w:marTop w:val="0"/>
      <w:marBottom w:val="0"/>
      <w:divBdr>
        <w:top w:val="none" w:sz="0" w:space="0" w:color="auto"/>
        <w:left w:val="none" w:sz="0" w:space="0" w:color="auto"/>
        <w:bottom w:val="none" w:sz="0" w:space="0" w:color="auto"/>
        <w:right w:val="none" w:sz="0" w:space="0" w:color="auto"/>
      </w:divBdr>
    </w:div>
    <w:div w:id="1232882915">
      <w:bodyDiv w:val="1"/>
      <w:marLeft w:val="0"/>
      <w:marRight w:val="0"/>
      <w:marTop w:val="0"/>
      <w:marBottom w:val="0"/>
      <w:divBdr>
        <w:top w:val="none" w:sz="0" w:space="0" w:color="auto"/>
        <w:left w:val="none" w:sz="0" w:space="0" w:color="auto"/>
        <w:bottom w:val="none" w:sz="0" w:space="0" w:color="auto"/>
        <w:right w:val="none" w:sz="0" w:space="0" w:color="auto"/>
      </w:divBdr>
    </w:div>
    <w:div w:id="1311670143">
      <w:bodyDiv w:val="1"/>
      <w:marLeft w:val="0"/>
      <w:marRight w:val="0"/>
      <w:marTop w:val="0"/>
      <w:marBottom w:val="0"/>
      <w:divBdr>
        <w:top w:val="none" w:sz="0" w:space="0" w:color="auto"/>
        <w:left w:val="none" w:sz="0" w:space="0" w:color="auto"/>
        <w:bottom w:val="none" w:sz="0" w:space="0" w:color="auto"/>
        <w:right w:val="none" w:sz="0" w:space="0" w:color="auto"/>
      </w:divBdr>
    </w:div>
    <w:div w:id="1453089953">
      <w:bodyDiv w:val="1"/>
      <w:marLeft w:val="0"/>
      <w:marRight w:val="0"/>
      <w:marTop w:val="0"/>
      <w:marBottom w:val="0"/>
      <w:divBdr>
        <w:top w:val="none" w:sz="0" w:space="0" w:color="auto"/>
        <w:left w:val="none" w:sz="0" w:space="0" w:color="auto"/>
        <w:bottom w:val="none" w:sz="0" w:space="0" w:color="auto"/>
        <w:right w:val="none" w:sz="0" w:space="0" w:color="auto"/>
      </w:divBdr>
    </w:div>
    <w:div w:id="1474831672">
      <w:bodyDiv w:val="1"/>
      <w:marLeft w:val="0"/>
      <w:marRight w:val="0"/>
      <w:marTop w:val="0"/>
      <w:marBottom w:val="0"/>
      <w:divBdr>
        <w:top w:val="none" w:sz="0" w:space="0" w:color="auto"/>
        <w:left w:val="none" w:sz="0" w:space="0" w:color="auto"/>
        <w:bottom w:val="none" w:sz="0" w:space="0" w:color="auto"/>
        <w:right w:val="none" w:sz="0" w:space="0" w:color="auto"/>
      </w:divBdr>
    </w:div>
    <w:div w:id="1507936823">
      <w:bodyDiv w:val="1"/>
      <w:marLeft w:val="0"/>
      <w:marRight w:val="0"/>
      <w:marTop w:val="0"/>
      <w:marBottom w:val="0"/>
      <w:divBdr>
        <w:top w:val="none" w:sz="0" w:space="0" w:color="auto"/>
        <w:left w:val="none" w:sz="0" w:space="0" w:color="auto"/>
        <w:bottom w:val="none" w:sz="0" w:space="0" w:color="auto"/>
        <w:right w:val="none" w:sz="0" w:space="0" w:color="auto"/>
      </w:divBdr>
      <w:divsChild>
        <w:div w:id="532349894">
          <w:marLeft w:val="0"/>
          <w:marRight w:val="0"/>
          <w:marTop w:val="0"/>
          <w:marBottom w:val="0"/>
          <w:divBdr>
            <w:top w:val="none" w:sz="0" w:space="0" w:color="auto"/>
            <w:left w:val="none" w:sz="0" w:space="0" w:color="auto"/>
            <w:bottom w:val="none" w:sz="0" w:space="0" w:color="auto"/>
            <w:right w:val="none" w:sz="0" w:space="0" w:color="auto"/>
          </w:divBdr>
          <w:divsChild>
            <w:div w:id="670837497">
              <w:marLeft w:val="-225"/>
              <w:marRight w:val="-225"/>
              <w:marTop w:val="0"/>
              <w:marBottom w:val="0"/>
              <w:divBdr>
                <w:top w:val="none" w:sz="0" w:space="0" w:color="auto"/>
                <w:left w:val="none" w:sz="0" w:space="0" w:color="auto"/>
                <w:bottom w:val="none" w:sz="0" w:space="0" w:color="auto"/>
                <w:right w:val="none" w:sz="0" w:space="0" w:color="auto"/>
              </w:divBdr>
              <w:divsChild>
                <w:div w:id="1589382583">
                  <w:marLeft w:val="0"/>
                  <w:marRight w:val="0"/>
                  <w:marTop w:val="0"/>
                  <w:marBottom w:val="0"/>
                  <w:divBdr>
                    <w:top w:val="none" w:sz="0" w:space="0" w:color="auto"/>
                    <w:left w:val="none" w:sz="0" w:space="0" w:color="auto"/>
                    <w:bottom w:val="none" w:sz="0" w:space="0" w:color="auto"/>
                    <w:right w:val="none" w:sz="0" w:space="0" w:color="auto"/>
                  </w:divBdr>
                  <w:divsChild>
                    <w:div w:id="10309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95163">
      <w:bodyDiv w:val="1"/>
      <w:marLeft w:val="0"/>
      <w:marRight w:val="0"/>
      <w:marTop w:val="0"/>
      <w:marBottom w:val="0"/>
      <w:divBdr>
        <w:top w:val="none" w:sz="0" w:space="0" w:color="auto"/>
        <w:left w:val="none" w:sz="0" w:space="0" w:color="auto"/>
        <w:bottom w:val="none" w:sz="0" w:space="0" w:color="auto"/>
        <w:right w:val="none" w:sz="0" w:space="0" w:color="auto"/>
      </w:divBdr>
    </w:div>
    <w:div w:id="1640457139">
      <w:bodyDiv w:val="1"/>
      <w:marLeft w:val="0"/>
      <w:marRight w:val="0"/>
      <w:marTop w:val="0"/>
      <w:marBottom w:val="0"/>
      <w:divBdr>
        <w:top w:val="none" w:sz="0" w:space="0" w:color="auto"/>
        <w:left w:val="none" w:sz="0" w:space="0" w:color="auto"/>
        <w:bottom w:val="none" w:sz="0" w:space="0" w:color="auto"/>
        <w:right w:val="none" w:sz="0" w:space="0" w:color="auto"/>
      </w:divBdr>
    </w:div>
    <w:div w:id="1780954907">
      <w:bodyDiv w:val="1"/>
      <w:marLeft w:val="0"/>
      <w:marRight w:val="0"/>
      <w:marTop w:val="0"/>
      <w:marBottom w:val="0"/>
      <w:divBdr>
        <w:top w:val="none" w:sz="0" w:space="0" w:color="auto"/>
        <w:left w:val="none" w:sz="0" w:space="0" w:color="auto"/>
        <w:bottom w:val="none" w:sz="0" w:space="0" w:color="auto"/>
        <w:right w:val="none" w:sz="0" w:space="0" w:color="auto"/>
      </w:divBdr>
    </w:div>
    <w:div w:id="1903102681">
      <w:bodyDiv w:val="1"/>
      <w:marLeft w:val="0"/>
      <w:marRight w:val="0"/>
      <w:marTop w:val="0"/>
      <w:marBottom w:val="0"/>
      <w:divBdr>
        <w:top w:val="none" w:sz="0" w:space="0" w:color="auto"/>
        <w:left w:val="none" w:sz="0" w:space="0" w:color="auto"/>
        <w:bottom w:val="none" w:sz="0" w:space="0" w:color="auto"/>
        <w:right w:val="none" w:sz="0" w:space="0" w:color="auto"/>
      </w:divBdr>
    </w:div>
    <w:div w:id="1917780981">
      <w:bodyDiv w:val="1"/>
      <w:marLeft w:val="0"/>
      <w:marRight w:val="0"/>
      <w:marTop w:val="0"/>
      <w:marBottom w:val="0"/>
      <w:divBdr>
        <w:top w:val="none" w:sz="0" w:space="0" w:color="auto"/>
        <w:left w:val="none" w:sz="0" w:space="0" w:color="auto"/>
        <w:bottom w:val="none" w:sz="0" w:space="0" w:color="auto"/>
        <w:right w:val="none" w:sz="0" w:space="0" w:color="auto"/>
      </w:divBdr>
    </w:div>
    <w:div w:id="1985088049">
      <w:bodyDiv w:val="1"/>
      <w:marLeft w:val="0"/>
      <w:marRight w:val="0"/>
      <w:marTop w:val="0"/>
      <w:marBottom w:val="0"/>
      <w:divBdr>
        <w:top w:val="none" w:sz="0" w:space="0" w:color="auto"/>
        <w:left w:val="none" w:sz="0" w:space="0" w:color="auto"/>
        <w:bottom w:val="none" w:sz="0" w:space="0" w:color="auto"/>
        <w:right w:val="none" w:sz="0" w:space="0" w:color="auto"/>
      </w:divBdr>
    </w:div>
    <w:div w:id="1989701006">
      <w:bodyDiv w:val="1"/>
      <w:marLeft w:val="0"/>
      <w:marRight w:val="0"/>
      <w:marTop w:val="0"/>
      <w:marBottom w:val="0"/>
      <w:divBdr>
        <w:top w:val="none" w:sz="0" w:space="0" w:color="auto"/>
        <w:left w:val="none" w:sz="0" w:space="0" w:color="auto"/>
        <w:bottom w:val="none" w:sz="0" w:space="0" w:color="auto"/>
        <w:right w:val="none" w:sz="0" w:space="0" w:color="auto"/>
      </w:divBdr>
    </w:div>
    <w:div w:id="1997874823">
      <w:bodyDiv w:val="1"/>
      <w:marLeft w:val="0"/>
      <w:marRight w:val="0"/>
      <w:marTop w:val="0"/>
      <w:marBottom w:val="0"/>
      <w:divBdr>
        <w:top w:val="none" w:sz="0" w:space="0" w:color="auto"/>
        <w:left w:val="none" w:sz="0" w:space="0" w:color="auto"/>
        <w:bottom w:val="none" w:sz="0" w:space="0" w:color="auto"/>
        <w:right w:val="none" w:sz="0" w:space="0" w:color="auto"/>
      </w:divBdr>
    </w:div>
    <w:div w:id="206124319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ato.gov.au/Non-profit/Getting-started/In-detail/Types-of-DGRs/Public-ancillary-funds/?anchor=Public_ancillary_funds%23Public_ancillary_funds" TargetMode="External"/><Relationship Id="rId13" Type="http://schemas.openxmlformats.org/officeDocument/2006/relationships/hyperlink" Target="http://www.aph.gov.au/reo" TargetMode="External"/><Relationship Id="rId3" Type="http://schemas.openxmlformats.org/officeDocument/2006/relationships/hyperlink" Target="http://www.treasury.gov.au/~/media/Treasury/Access%20to%20Information/Disclosure%20Log/2014/1447/Downloads/PDF/NFP%20Sector%20WG%20Final%20Report.ashx" TargetMode="External"/><Relationship Id="rId7" Type="http://schemas.openxmlformats.org/officeDocument/2006/relationships/hyperlink" Target="https://www.arts.gov.au/what-we-do/cultural-heritage/register-cultural-organisations" TargetMode="External"/><Relationship Id="rId12" Type="http://schemas.openxmlformats.org/officeDocument/2006/relationships/hyperlink" Target="https://www.acnc.gov.au/ACNC/FTS/FS_RespPers.aspx" TargetMode="External"/><Relationship Id="rId2" Type="http://schemas.openxmlformats.org/officeDocument/2006/relationships/hyperlink" Target="http://www.aph.gov.au/reo" TargetMode="External"/><Relationship Id="rId1" Type="http://schemas.openxmlformats.org/officeDocument/2006/relationships/hyperlink" Target="https://data.gov.au/dataset/taxation-statistics-2013-14/resource/1d9b99ef-09f4-48da-aeea-7c0800a518fa?inner_span=True" TargetMode="External"/><Relationship Id="rId6" Type="http://schemas.openxmlformats.org/officeDocument/2006/relationships/hyperlink" Target="https://www.environment.gov.au/about-us/business/tax/register-environmental-organisations" TargetMode="External"/><Relationship Id="rId11" Type="http://schemas.openxmlformats.org/officeDocument/2006/relationships/hyperlink" Target="http://www.austlii.edu.au/au/legis/cth/consol_act/itaa1997240/s30.250.html" TargetMode="External"/><Relationship Id="rId5" Type="http://schemas.openxmlformats.org/officeDocument/2006/relationships/hyperlink" Target="https://www.dss.gov.au/our-responsibilities/communities-and-vulnerable-people/programmes-services/register-of-harm-prevention-charities%231" TargetMode="External"/><Relationship Id="rId10" Type="http://schemas.openxmlformats.org/officeDocument/2006/relationships/hyperlink" Target="http://www.treasury.gov.au/~/media/Treasury/Access%20to%20Information/Disclosure%20Log/%202014/1447/Downloads/PDF/NFP%20Sector%20WG%20Final%20Report.ashx" TargetMode="External"/><Relationship Id="rId4" Type="http://schemas.openxmlformats.org/officeDocument/2006/relationships/hyperlink" Target="http://dfat.gov.au/aid/who-we-work-with/ngos/Pages/tax-deductibility.aspx" TargetMode="External"/><Relationship Id="rId9" Type="http://schemas.openxmlformats.org/officeDocument/2006/relationships/hyperlink" Target="http://www.aph.gov.au/r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6161</Words>
  <Characters>34357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Consultation/Discussion paper</vt:lpstr>
    </vt:vector>
  </TitlesOfParts>
  <LinksUpToDate>false</LinksUpToDate>
  <CharactersWithSpaces>40438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Consultation/Discussion paper</dc:title>
  <dc:creator/>
  <cp:lastModifiedBy/>
  <cp:revision>1</cp:revision>
  <dcterms:created xsi:type="dcterms:W3CDTF">2017-06-14T23:35:00Z</dcterms:created>
  <dcterms:modified xsi:type="dcterms:W3CDTF">2017-06-14T23:35:00Z</dcterms:modified>
</cp:coreProperties>
</file>