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9F" w:rsidRPr="006D0240" w:rsidRDefault="0056559F" w:rsidP="0056559F">
      <w:pPr>
        <w:pStyle w:val="CoverTitleSub"/>
        <w:rPr>
          <w:rFonts w:cs="Calibri"/>
          <w:color w:val="auto"/>
          <w:szCs w:val="36"/>
        </w:rPr>
      </w:pPr>
      <w:r>
        <w:rPr>
          <w:rFonts w:cs="Calibri"/>
          <w:noProof/>
          <w:color w:val="auto"/>
          <w:szCs w:val="36"/>
        </w:rPr>
        <w:drawing>
          <wp:inline distT="0" distB="0" distL="0" distR="0" wp14:anchorId="61104C63" wp14:editId="494F6AAD">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rsidR="0056559F" w:rsidRPr="0090524A" w:rsidRDefault="00182C87" w:rsidP="0056559F">
      <w:pPr>
        <w:pStyle w:val="CoverTitleMain"/>
        <w:shd w:val="clear" w:color="auto" w:fill="FFFFFF" w:themeFill="background1"/>
        <w:spacing w:before="2760" w:after="240"/>
        <w:rPr>
          <w:rFonts w:ascii="Garamond" w:hAnsi="Garamond"/>
        </w:rPr>
      </w:pPr>
      <w:r>
        <w:rPr>
          <w:rFonts w:ascii="Garamond" w:hAnsi="Garamond"/>
        </w:rPr>
        <w:t>Improving dispute resolution in the financial system</w:t>
      </w:r>
    </w:p>
    <w:p w:rsidR="0002183E" w:rsidRDefault="0056559F" w:rsidP="0056559F">
      <w:pPr>
        <w:pStyle w:val="CoverTitleSub"/>
        <w:pBdr>
          <w:top w:val="single" w:sz="24" w:space="4" w:color="342E82"/>
        </w:pBdr>
        <w:spacing w:before="480"/>
        <w:rPr>
          <w:rFonts w:ascii="Garamond" w:hAnsi="Garamond"/>
          <w:szCs w:val="28"/>
        </w:rPr>
      </w:pPr>
      <w:r>
        <w:rPr>
          <w:rFonts w:ascii="Garamond" w:hAnsi="Garamond"/>
        </w:rPr>
        <w:t>Consultation</w:t>
      </w:r>
      <w:r w:rsidRPr="0090524A">
        <w:rPr>
          <w:rFonts w:ascii="Garamond" w:hAnsi="Garamond"/>
        </w:rPr>
        <w:t xml:space="preserve"> Paper</w:t>
      </w:r>
      <w:r w:rsidRPr="0090524A">
        <w:rPr>
          <w:rFonts w:ascii="Garamond" w:hAnsi="Garamond"/>
        </w:rPr>
        <w:br/>
      </w:r>
    </w:p>
    <w:p w:rsidR="0056559F" w:rsidRPr="0090524A" w:rsidRDefault="00DB2717" w:rsidP="0056559F">
      <w:pPr>
        <w:pStyle w:val="CoverTitleSub"/>
        <w:pBdr>
          <w:top w:val="single" w:sz="24" w:space="4" w:color="342E82"/>
        </w:pBdr>
        <w:spacing w:before="480"/>
        <w:rPr>
          <w:rFonts w:ascii="Garamond" w:hAnsi="Garamond"/>
        </w:rPr>
      </w:pPr>
      <w:r>
        <w:rPr>
          <w:rFonts w:ascii="Garamond" w:hAnsi="Garamond"/>
          <w:szCs w:val="28"/>
        </w:rPr>
        <w:t>May</w:t>
      </w:r>
      <w:r w:rsidR="006916AB">
        <w:rPr>
          <w:rFonts w:ascii="Garamond" w:hAnsi="Garamond"/>
          <w:szCs w:val="28"/>
        </w:rPr>
        <w:t xml:space="preserve"> 2017</w:t>
      </w:r>
    </w:p>
    <w:p w:rsidR="0056559F" w:rsidRDefault="0056559F"/>
    <w:p w:rsidR="0056559F" w:rsidRDefault="0056559F"/>
    <w:p w:rsidR="000A7BCF" w:rsidRDefault="000A7BCF"/>
    <w:p w:rsidR="0056559F" w:rsidRDefault="0056559F"/>
    <w:p w:rsidR="000A7BCF" w:rsidRDefault="000A7BCF">
      <w:pPr>
        <w:sectPr w:rsidR="000A7BCF" w:rsidSect="0056559F">
          <w:headerReference w:type="even" r:id="rId15"/>
          <w:footerReference w:type="even" r:id="rId16"/>
          <w:footerReference w:type="default" r:id="rId17"/>
          <w:pgSz w:w="11906" w:h="16838" w:code="9"/>
          <w:pgMar w:top="1418" w:right="1418" w:bottom="1418" w:left="1418" w:header="709" w:footer="709" w:gutter="0"/>
          <w:cols w:space="708"/>
          <w:titlePg/>
          <w:docGrid w:linePitch="360"/>
        </w:sectPr>
      </w:pPr>
    </w:p>
    <w:p w:rsidR="00813AC3" w:rsidRDefault="009D5E6B" w:rsidP="009D5E6B">
      <w:pPr>
        <w:tabs>
          <w:tab w:val="left" w:pos="916"/>
        </w:tabs>
      </w:pPr>
      <w:r>
        <w:tab/>
      </w:r>
    </w:p>
    <w:p w:rsidR="0056559F" w:rsidRDefault="0056559F" w:rsidP="00813AC3">
      <w:pPr>
        <w:pStyle w:val="ContentsHeading"/>
      </w:pPr>
      <w:r>
        <w:t>Contents</w:t>
      </w:r>
    </w:p>
    <w:p w:rsidR="00FA534E" w:rsidRDefault="0056559F">
      <w:pPr>
        <w:pStyle w:val="TOC2"/>
        <w:rPr>
          <w:rFonts w:asciiTheme="minorHAnsi" w:eastAsiaTheme="minorEastAsia" w:hAnsiTheme="minorHAnsi" w:cstheme="minorBidi"/>
          <w:noProof/>
          <w:color w:val="auto"/>
          <w:szCs w:val="22"/>
        </w:rPr>
      </w:pPr>
      <w:r>
        <w:rPr>
          <w:b/>
          <w:sz w:val="24"/>
        </w:rPr>
        <w:fldChar w:fldCharType="begin"/>
      </w:r>
      <w:r>
        <w:instrText xml:space="preserve"> TOC \o "1-3" \h \z \u </w:instrText>
      </w:r>
      <w:r>
        <w:rPr>
          <w:b/>
          <w:sz w:val="24"/>
        </w:rPr>
        <w:fldChar w:fldCharType="separate"/>
      </w:r>
      <w:hyperlink w:anchor="_Toc482200692" w:history="1">
        <w:r w:rsidR="00FA534E" w:rsidRPr="00F252AA">
          <w:rPr>
            <w:rStyle w:val="Hyperlink"/>
            <w:noProof/>
          </w:rPr>
          <w:t>Consultation Process</w:t>
        </w:r>
        <w:r w:rsidR="00FA534E">
          <w:rPr>
            <w:noProof/>
            <w:webHidden/>
          </w:rPr>
          <w:tab/>
        </w:r>
        <w:r w:rsidR="00645649">
          <w:rPr>
            <w:noProof/>
            <w:webHidden/>
          </w:rPr>
          <w:t>iii</w:t>
        </w:r>
      </w:hyperlink>
    </w:p>
    <w:p w:rsidR="00FA534E" w:rsidRDefault="00771D36">
      <w:pPr>
        <w:pStyle w:val="TOC3"/>
        <w:rPr>
          <w:rFonts w:asciiTheme="minorHAnsi" w:eastAsiaTheme="minorEastAsia" w:hAnsiTheme="minorHAnsi" w:cstheme="minorBidi"/>
          <w:noProof/>
          <w:color w:val="auto"/>
          <w:szCs w:val="22"/>
        </w:rPr>
      </w:pPr>
      <w:hyperlink w:anchor="_Toc482200693" w:history="1">
        <w:r w:rsidR="00FA534E" w:rsidRPr="00F252AA">
          <w:rPr>
            <w:rStyle w:val="Hyperlink"/>
            <w:noProof/>
          </w:rPr>
          <w:t>Request for feedback and comments</w:t>
        </w:r>
        <w:r w:rsidR="00FA534E">
          <w:rPr>
            <w:noProof/>
            <w:webHidden/>
          </w:rPr>
          <w:tab/>
        </w:r>
        <w:r w:rsidR="00645649">
          <w:rPr>
            <w:noProof/>
            <w:webHidden/>
          </w:rPr>
          <w:t>iii</w:t>
        </w:r>
      </w:hyperlink>
    </w:p>
    <w:p w:rsidR="00FA534E" w:rsidRDefault="00771D36">
      <w:pPr>
        <w:pStyle w:val="TOC1"/>
        <w:rPr>
          <w:rFonts w:asciiTheme="minorHAnsi" w:eastAsiaTheme="minorEastAsia" w:hAnsiTheme="minorHAnsi" w:cstheme="minorBidi"/>
          <w:b w:val="0"/>
          <w:noProof/>
          <w:color w:val="auto"/>
          <w:sz w:val="22"/>
        </w:rPr>
      </w:pPr>
      <w:hyperlink w:anchor="_Toc482200694" w:history="1">
        <w:r w:rsidR="00FA534E" w:rsidRPr="00F252AA">
          <w:rPr>
            <w:rStyle w:val="Hyperlink"/>
            <w:noProof/>
          </w:rPr>
          <w:t>Improving dispute resolution in the financial system</w:t>
        </w:r>
        <w:r w:rsidR="00FA534E">
          <w:rPr>
            <w:noProof/>
            <w:webHidden/>
          </w:rPr>
          <w:tab/>
        </w:r>
        <w:r w:rsidR="00FA534E">
          <w:rPr>
            <w:noProof/>
            <w:webHidden/>
          </w:rPr>
          <w:fldChar w:fldCharType="begin"/>
        </w:r>
        <w:r w:rsidR="00FA534E">
          <w:rPr>
            <w:noProof/>
            <w:webHidden/>
          </w:rPr>
          <w:instrText xml:space="preserve"> PAGEREF _Toc482200694 \h </w:instrText>
        </w:r>
        <w:r w:rsidR="00FA534E">
          <w:rPr>
            <w:noProof/>
            <w:webHidden/>
          </w:rPr>
        </w:r>
        <w:r w:rsidR="00FA534E">
          <w:rPr>
            <w:noProof/>
            <w:webHidden/>
          </w:rPr>
          <w:fldChar w:fldCharType="separate"/>
        </w:r>
        <w:r w:rsidR="00645649">
          <w:rPr>
            <w:noProof/>
            <w:webHidden/>
          </w:rPr>
          <w:t>1</w:t>
        </w:r>
        <w:r w:rsidR="00FA534E">
          <w:rPr>
            <w:noProof/>
            <w:webHidden/>
          </w:rPr>
          <w:fldChar w:fldCharType="end"/>
        </w:r>
      </w:hyperlink>
    </w:p>
    <w:p w:rsidR="00FA534E" w:rsidRDefault="00771D36">
      <w:pPr>
        <w:pStyle w:val="TOC2"/>
        <w:rPr>
          <w:rFonts w:asciiTheme="minorHAnsi" w:eastAsiaTheme="minorEastAsia" w:hAnsiTheme="minorHAnsi" w:cstheme="minorBidi"/>
          <w:noProof/>
          <w:color w:val="auto"/>
          <w:szCs w:val="22"/>
        </w:rPr>
      </w:pPr>
      <w:hyperlink w:anchor="_Toc482200695" w:history="1">
        <w:r w:rsidR="00FA534E" w:rsidRPr="00F252AA">
          <w:rPr>
            <w:rStyle w:val="Hyperlink"/>
            <w:noProof/>
          </w:rPr>
          <w:t>Introduction</w:t>
        </w:r>
        <w:r w:rsidR="00FA534E">
          <w:rPr>
            <w:noProof/>
            <w:webHidden/>
          </w:rPr>
          <w:tab/>
        </w:r>
        <w:r w:rsidR="00FA534E">
          <w:rPr>
            <w:noProof/>
            <w:webHidden/>
          </w:rPr>
          <w:fldChar w:fldCharType="begin"/>
        </w:r>
        <w:r w:rsidR="00FA534E">
          <w:rPr>
            <w:noProof/>
            <w:webHidden/>
          </w:rPr>
          <w:instrText xml:space="preserve"> PAGEREF _Toc482200695 \h </w:instrText>
        </w:r>
        <w:r w:rsidR="00FA534E">
          <w:rPr>
            <w:noProof/>
            <w:webHidden/>
          </w:rPr>
        </w:r>
        <w:r w:rsidR="00FA534E">
          <w:rPr>
            <w:noProof/>
            <w:webHidden/>
          </w:rPr>
          <w:fldChar w:fldCharType="separate"/>
        </w:r>
        <w:r w:rsidR="00645649">
          <w:rPr>
            <w:noProof/>
            <w:webHidden/>
          </w:rPr>
          <w:t>1</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696" w:history="1">
        <w:r w:rsidR="00FA534E" w:rsidRPr="00F252AA">
          <w:rPr>
            <w:rStyle w:val="Hyperlink"/>
            <w:noProof/>
          </w:rPr>
          <w:t>A new dispute resolution framework</w:t>
        </w:r>
        <w:r w:rsidR="00FA534E">
          <w:rPr>
            <w:noProof/>
            <w:webHidden/>
          </w:rPr>
          <w:tab/>
        </w:r>
        <w:r w:rsidR="00FA534E">
          <w:rPr>
            <w:noProof/>
            <w:webHidden/>
          </w:rPr>
          <w:fldChar w:fldCharType="begin"/>
        </w:r>
        <w:r w:rsidR="00FA534E">
          <w:rPr>
            <w:noProof/>
            <w:webHidden/>
          </w:rPr>
          <w:instrText xml:space="preserve"> PAGEREF _Toc482200696 \h </w:instrText>
        </w:r>
        <w:r w:rsidR="00FA534E">
          <w:rPr>
            <w:noProof/>
            <w:webHidden/>
          </w:rPr>
        </w:r>
        <w:r w:rsidR="00FA534E">
          <w:rPr>
            <w:noProof/>
            <w:webHidden/>
          </w:rPr>
          <w:fldChar w:fldCharType="separate"/>
        </w:r>
        <w:r w:rsidR="00645649">
          <w:rPr>
            <w:noProof/>
            <w:webHidden/>
          </w:rPr>
          <w:t>1</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697" w:history="1">
        <w:r w:rsidR="00FA534E" w:rsidRPr="00F252AA">
          <w:rPr>
            <w:rStyle w:val="Hyperlink"/>
            <w:noProof/>
          </w:rPr>
          <w:t>The establishment of AFCA</w:t>
        </w:r>
        <w:r w:rsidR="00FA534E">
          <w:rPr>
            <w:noProof/>
            <w:webHidden/>
          </w:rPr>
          <w:tab/>
        </w:r>
        <w:r w:rsidR="00FA534E">
          <w:rPr>
            <w:noProof/>
            <w:webHidden/>
          </w:rPr>
          <w:fldChar w:fldCharType="begin"/>
        </w:r>
        <w:r w:rsidR="00FA534E">
          <w:rPr>
            <w:noProof/>
            <w:webHidden/>
          </w:rPr>
          <w:instrText xml:space="preserve"> PAGEREF _Toc482200697 \h </w:instrText>
        </w:r>
        <w:r w:rsidR="00FA534E">
          <w:rPr>
            <w:noProof/>
            <w:webHidden/>
          </w:rPr>
        </w:r>
        <w:r w:rsidR="00FA534E">
          <w:rPr>
            <w:noProof/>
            <w:webHidden/>
          </w:rPr>
          <w:fldChar w:fldCharType="separate"/>
        </w:r>
        <w:r w:rsidR="00645649">
          <w:rPr>
            <w:noProof/>
            <w:webHidden/>
          </w:rPr>
          <w:t>2</w:t>
        </w:r>
        <w:r w:rsidR="00FA534E">
          <w:rPr>
            <w:noProof/>
            <w:webHidden/>
          </w:rPr>
          <w:fldChar w:fldCharType="end"/>
        </w:r>
      </w:hyperlink>
    </w:p>
    <w:p w:rsidR="00FA534E" w:rsidRDefault="00771D36">
      <w:pPr>
        <w:pStyle w:val="TOC2"/>
        <w:rPr>
          <w:rFonts w:asciiTheme="minorHAnsi" w:eastAsiaTheme="minorEastAsia" w:hAnsiTheme="minorHAnsi" w:cstheme="minorBidi"/>
          <w:noProof/>
          <w:color w:val="auto"/>
          <w:szCs w:val="22"/>
        </w:rPr>
      </w:pPr>
      <w:hyperlink w:anchor="_Toc482200698" w:history="1">
        <w:r w:rsidR="00FA534E" w:rsidRPr="00F252AA">
          <w:rPr>
            <w:rStyle w:val="Hyperlink"/>
            <w:noProof/>
          </w:rPr>
          <w:t>Legislative framework</w:t>
        </w:r>
        <w:r w:rsidR="00FA534E">
          <w:rPr>
            <w:noProof/>
            <w:webHidden/>
          </w:rPr>
          <w:tab/>
        </w:r>
        <w:r w:rsidR="00FA534E">
          <w:rPr>
            <w:noProof/>
            <w:webHidden/>
          </w:rPr>
          <w:fldChar w:fldCharType="begin"/>
        </w:r>
        <w:r w:rsidR="00FA534E">
          <w:rPr>
            <w:noProof/>
            <w:webHidden/>
          </w:rPr>
          <w:instrText xml:space="preserve"> PAGEREF _Toc482200698 \h </w:instrText>
        </w:r>
        <w:r w:rsidR="00FA534E">
          <w:rPr>
            <w:noProof/>
            <w:webHidden/>
          </w:rPr>
        </w:r>
        <w:r w:rsidR="00FA534E">
          <w:rPr>
            <w:noProof/>
            <w:webHidden/>
          </w:rPr>
          <w:fldChar w:fldCharType="separate"/>
        </w:r>
        <w:r w:rsidR="00645649">
          <w:rPr>
            <w:noProof/>
            <w:webHidden/>
          </w:rPr>
          <w:t>2</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699" w:history="1">
        <w:r w:rsidR="00FA534E" w:rsidRPr="00F252AA">
          <w:rPr>
            <w:rStyle w:val="Hyperlink"/>
            <w:noProof/>
          </w:rPr>
          <w:t>Ministerial authorisation</w:t>
        </w:r>
        <w:r w:rsidR="00FA534E">
          <w:rPr>
            <w:noProof/>
            <w:webHidden/>
          </w:rPr>
          <w:tab/>
        </w:r>
        <w:r w:rsidR="00FA534E">
          <w:rPr>
            <w:noProof/>
            <w:webHidden/>
          </w:rPr>
          <w:fldChar w:fldCharType="begin"/>
        </w:r>
        <w:r w:rsidR="00FA534E">
          <w:rPr>
            <w:noProof/>
            <w:webHidden/>
          </w:rPr>
          <w:instrText xml:space="preserve"> PAGEREF _Toc482200699 \h </w:instrText>
        </w:r>
        <w:r w:rsidR="00FA534E">
          <w:rPr>
            <w:noProof/>
            <w:webHidden/>
          </w:rPr>
        </w:r>
        <w:r w:rsidR="00FA534E">
          <w:rPr>
            <w:noProof/>
            <w:webHidden/>
          </w:rPr>
          <w:fldChar w:fldCharType="separate"/>
        </w:r>
        <w:r w:rsidR="00645649">
          <w:rPr>
            <w:noProof/>
            <w:webHidden/>
          </w:rPr>
          <w:t>2</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700" w:history="1">
        <w:r w:rsidR="00FA534E" w:rsidRPr="00F252AA">
          <w:rPr>
            <w:rStyle w:val="Hyperlink"/>
            <w:noProof/>
          </w:rPr>
          <w:t>Membership will be compulsory for all financial firms</w:t>
        </w:r>
        <w:r w:rsidR="00FA534E">
          <w:rPr>
            <w:noProof/>
            <w:webHidden/>
          </w:rPr>
          <w:tab/>
        </w:r>
        <w:r w:rsidR="00FA534E">
          <w:rPr>
            <w:noProof/>
            <w:webHidden/>
          </w:rPr>
          <w:fldChar w:fldCharType="begin"/>
        </w:r>
        <w:r w:rsidR="00FA534E">
          <w:rPr>
            <w:noProof/>
            <w:webHidden/>
          </w:rPr>
          <w:instrText xml:space="preserve"> PAGEREF _Toc482200700 \h </w:instrText>
        </w:r>
        <w:r w:rsidR="00FA534E">
          <w:rPr>
            <w:noProof/>
            <w:webHidden/>
          </w:rPr>
        </w:r>
        <w:r w:rsidR="00FA534E">
          <w:rPr>
            <w:noProof/>
            <w:webHidden/>
          </w:rPr>
          <w:fldChar w:fldCharType="separate"/>
        </w:r>
        <w:r w:rsidR="00645649">
          <w:rPr>
            <w:noProof/>
            <w:webHidden/>
          </w:rPr>
          <w:t>3</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701" w:history="1">
        <w:r w:rsidR="00FA534E" w:rsidRPr="00F252AA">
          <w:rPr>
            <w:rStyle w:val="Hyperlink"/>
            <w:noProof/>
          </w:rPr>
          <w:t>Strengthened regulatory oversight</w:t>
        </w:r>
        <w:r w:rsidR="00FA534E">
          <w:rPr>
            <w:noProof/>
            <w:webHidden/>
          </w:rPr>
          <w:tab/>
        </w:r>
        <w:r w:rsidR="00FA534E">
          <w:rPr>
            <w:noProof/>
            <w:webHidden/>
          </w:rPr>
          <w:fldChar w:fldCharType="begin"/>
        </w:r>
        <w:r w:rsidR="00FA534E">
          <w:rPr>
            <w:noProof/>
            <w:webHidden/>
          </w:rPr>
          <w:instrText xml:space="preserve"> PAGEREF _Toc482200701 \h </w:instrText>
        </w:r>
        <w:r w:rsidR="00FA534E">
          <w:rPr>
            <w:noProof/>
            <w:webHidden/>
          </w:rPr>
        </w:r>
        <w:r w:rsidR="00FA534E">
          <w:rPr>
            <w:noProof/>
            <w:webHidden/>
          </w:rPr>
          <w:fldChar w:fldCharType="separate"/>
        </w:r>
        <w:r w:rsidR="00645649">
          <w:rPr>
            <w:noProof/>
            <w:webHidden/>
          </w:rPr>
          <w:t>3</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702" w:history="1">
        <w:r w:rsidR="00FA534E" w:rsidRPr="00F252AA">
          <w:rPr>
            <w:rStyle w:val="Hyperlink"/>
            <w:noProof/>
          </w:rPr>
          <w:t>Enhanced internal dispute resolution reporting</w:t>
        </w:r>
        <w:r w:rsidR="00FA534E">
          <w:rPr>
            <w:noProof/>
            <w:webHidden/>
          </w:rPr>
          <w:tab/>
        </w:r>
        <w:r w:rsidR="00FA534E">
          <w:rPr>
            <w:noProof/>
            <w:webHidden/>
          </w:rPr>
          <w:fldChar w:fldCharType="begin"/>
        </w:r>
        <w:r w:rsidR="00FA534E">
          <w:rPr>
            <w:noProof/>
            <w:webHidden/>
          </w:rPr>
          <w:instrText xml:space="preserve"> PAGEREF _Toc482200702 \h </w:instrText>
        </w:r>
        <w:r w:rsidR="00FA534E">
          <w:rPr>
            <w:noProof/>
            <w:webHidden/>
          </w:rPr>
        </w:r>
        <w:r w:rsidR="00FA534E">
          <w:rPr>
            <w:noProof/>
            <w:webHidden/>
          </w:rPr>
          <w:fldChar w:fldCharType="separate"/>
        </w:r>
        <w:r w:rsidR="00645649">
          <w:rPr>
            <w:noProof/>
            <w:webHidden/>
          </w:rPr>
          <w:t>3</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703" w:history="1">
        <w:r w:rsidR="00FA534E" w:rsidRPr="00F252AA">
          <w:rPr>
            <w:rStyle w:val="Hyperlink"/>
            <w:noProof/>
          </w:rPr>
          <w:t>Superannuation complaints</w:t>
        </w:r>
        <w:r w:rsidR="00FA534E">
          <w:rPr>
            <w:noProof/>
            <w:webHidden/>
          </w:rPr>
          <w:tab/>
        </w:r>
        <w:r w:rsidR="00FA534E">
          <w:rPr>
            <w:noProof/>
            <w:webHidden/>
          </w:rPr>
          <w:fldChar w:fldCharType="begin"/>
        </w:r>
        <w:r w:rsidR="00FA534E">
          <w:rPr>
            <w:noProof/>
            <w:webHidden/>
          </w:rPr>
          <w:instrText xml:space="preserve"> PAGEREF _Toc482200703 \h </w:instrText>
        </w:r>
        <w:r w:rsidR="00FA534E">
          <w:rPr>
            <w:noProof/>
            <w:webHidden/>
          </w:rPr>
        </w:r>
        <w:r w:rsidR="00FA534E">
          <w:rPr>
            <w:noProof/>
            <w:webHidden/>
          </w:rPr>
          <w:fldChar w:fldCharType="separate"/>
        </w:r>
        <w:r w:rsidR="00645649">
          <w:rPr>
            <w:noProof/>
            <w:webHidden/>
          </w:rPr>
          <w:t>4</w:t>
        </w:r>
        <w:r w:rsidR="00FA534E">
          <w:rPr>
            <w:noProof/>
            <w:webHidden/>
          </w:rPr>
          <w:fldChar w:fldCharType="end"/>
        </w:r>
      </w:hyperlink>
    </w:p>
    <w:p w:rsidR="00FA534E" w:rsidRDefault="00771D36">
      <w:pPr>
        <w:pStyle w:val="TOC2"/>
        <w:rPr>
          <w:rFonts w:asciiTheme="minorHAnsi" w:eastAsiaTheme="minorEastAsia" w:hAnsiTheme="minorHAnsi" w:cstheme="minorBidi"/>
          <w:noProof/>
          <w:color w:val="auto"/>
          <w:szCs w:val="22"/>
        </w:rPr>
      </w:pPr>
      <w:hyperlink w:anchor="_Toc482200704" w:history="1">
        <w:r w:rsidR="00FA534E" w:rsidRPr="00F252AA">
          <w:rPr>
            <w:rStyle w:val="Hyperlink"/>
            <w:noProof/>
          </w:rPr>
          <w:t>Terms of reference</w:t>
        </w:r>
        <w:r w:rsidR="00FA534E">
          <w:rPr>
            <w:noProof/>
            <w:webHidden/>
          </w:rPr>
          <w:tab/>
        </w:r>
        <w:r w:rsidR="00FA534E">
          <w:rPr>
            <w:noProof/>
            <w:webHidden/>
          </w:rPr>
          <w:fldChar w:fldCharType="begin"/>
        </w:r>
        <w:r w:rsidR="00FA534E">
          <w:rPr>
            <w:noProof/>
            <w:webHidden/>
          </w:rPr>
          <w:instrText xml:space="preserve"> PAGEREF _Toc482200704 \h </w:instrText>
        </w:r>
        <w:r w:rsidR="00FA534E">
          <w:rPr>
            <w:noProof/>
            <w:webHidden/>
          </w:rPr>
        </w:r>
        <w:r w:rsidR="00FA534E">
          <w:rPr>
            <w:noProof/>
            <w:webHidden/>
          </w:rPr>
          <w:fldChar w:fldCharType="separate"/>
        </w:r>
        <w:r w:rsidR="00645649">
          <w:rPr>
            <w:noProof/>
            <w:webHidden/>
          </w:rPr>
          <w:t>5</w:t>
        </w:r>
        <w:r w:rsidR="00FA534E">
          <w:rPr>
            <w:noProof/>
            <w:webHidden/>
          </w:rPr>
          <w:fldChar w:fldCharType="end"/>
        </w:r>
      </w:hyperlink>
    </w:p>
    <w:p w:rsidR="00FA534E" w:rsidRDefault="00771D36">
      <w:pPr>
        <w:pStyle w:val="TOC2"/>
        <w:rPr>
          <w:rFonts w:asciiTheme="minorHAnsi" w:eastAsiaTheme="minorEastAsia" w:hAnsiTheme="minorHAnsi" w:cstheme="minorBidi"/>
          <w:noProof/>
          <w:color w:val="auto"/>
          <w:szCs w:val="22"/>
        </w:rPr>
      </w:pPr>
      <w:hyperlink w:anchor="_Toc482200705" w:history="1">
        <w:r w:rsidR="00FA534E" w:rsidRPr="00F252AA">
          <w:rPr>
            <w:rStyle w:val="Hyperlink"/>
            <w:noProof/>
          </w:rPr>
          <w:t>Transitional arrangements</w:t>
        </w:r>
        <w:r w:rsidR="00FA534E">
          <w:rPr>
            <w:noProof/>
            <w:webHidden/>
          </w:rPr>
          <w:tab/>
        </w:r>
        <w:r w:rsidR="00FA534E">
          <w:rPr>
            <w:noProof/>
            <w:webHidden/>
          </w:rPr>
          <w:fldChar w:fldCharType="begin"/>
        </w:r>
        <w:r w:rsidR="00FA534E">
          <w:rPr>
            <w:noProof/>
            <w:webHidden/>
          </w:rPr>
          <w:instrText xml:space="preserve"> PAGEREF _Toc482200705 \h </w:instrText>
        </w:r>
        <w:r w:rsidR="00FA534E">
          <w:rPr>
            <w:noProof/>
            <w:webHidden/>
          </w:rPr>
        </w:r>
        <w:r w:rsidR="00FA534E">
          <w:rPr>
            <w:noProof/>
            <w:webHidden/>
          </w:rPr>
          <w:fldChar w:fldCharType="separate"/>
        </w:r>
        <w:r w:rsidR="00645649">
          <w:rPr>
            <w:noProof/>
            <w:webHidden/>
          </w:rPr>
          <w:t>6</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706" w:history="1">
        <w:r w:rsidR="00FA534E" w:rsidRPr="00F252AA">
          <w:rPr>
            <w:rStyle w:val="Hyperlink"/>
            <w:noProof/>
          </w:rPr>
          <w:t>FOS/CIO</w:t>
        </w:r>
        <w:r w:rsidR="00FA534E">
          <w:rPr>
            <w:noProof/>
            <w:webHidden/>
          </w:rPr>
          <w:tab/>
        </w:r>
        <w:r w:rsidR="00FA534E">
          <w:rPr>
            <w:noProof/>
            <w:webHidden/>
          </w:rPr>
          <w:fldChar w:fldCharType="begin"/>
        </w:r>
        <w:r w:rsidR="00FA534E">
          <w:rPr>
            <w:noProof/>
            <w:webHidden/>
          </w:rPr>
          <w:instrText xml:space="preserve"> PAGEREF _Toc482200706 \h </w:instrText>
        </w:r>
        <w:r w:rsidR="00FA534E">
          <w:rPr>
            <w:noProof/>
            <w:webHidden/>
          </w:rPr>
        </w:r>
        <w:r w:rsidR="00FA534E">
          <w:rPr>
            <w:noProof/>
            <w:webHidden/>
          </w:rPr>
          <w:fldChar w:fldCharType="separate"/>
        </w:r>
        <w:r w:rsidR="00645649">
          <w:rPr>
            <w:noProof/>
            <w:webHidden/>
          </w:rPr>
          <w:t>6</w:t>
        </w:r>
        <w:r w:rsidR="00FA534E">
          <w:rPr>
            <w:noProof/>
            <w:webHidden/>
          </w:rPr>
          <w:fldChar w:fldCharType="end"/>
        </w:r>
      </w:hyperlink>
    </w:p>
    <w:p w:rsidR="00FA534E" w:rsidRDefault="00771D36">
      <w:pPr>
        <w:pStyle w:val="TOC3"/>
        <w:rPr>
          <w:rFonts w:asciiTheme="minorHAnsi" w:eastAsiaTheme="minorEastAsia" w:hAnsiTheme="minorHAnsi" w:cstheme="minorBidi"/>
          <w:noProof/>
          <w:color w:val="auto"/>
          <w:szCs w:val="22"/>
        </w:rPr>
      </w:pPr>
      <w:hyperlink w:anchor="_Toc482200707" w:history="1">
        <w:r w:rsidR="00FA534E" w:rsidRPr="00F252AA">
          <w:rPr>
            <w:rStyle w:val="Hyperlink"/>
            <w:noProof/>
          </w:rPr>
          <w:t>Superannuation Complaints Tribunal</w:t>
        </w:r>
        <w:r w:rsidR="00FA534E">
          <w:rPr>
            <w:noProof/>
            <w:webHidden/>
          </w:rPr>
          <w:tab/>
        </w:r>
        <w:r w:rsidR="00FA534E">
          <w:rPr>
            <w:noProof/>
            <w:webHidden/>
          </w:rPr>
          <w:fldChar w:fldCharType="begin"/>
        </w:r>
        <w:r w:rsidR="00FA534E">
          <w:rPr>
            <w:noProof/>
            <w:webHidden/>
          </w:rPr>
          <w:instrText xml:space="preserve"> PAGEREF _Toc482200707 \h </w:instrText>
        </w:r>
        <w:r w:rsidR="00FA534E">
          <w:rPr>
            <w:noProof/>
            <w:webHidden/>
          </w:rPr>
        </w:r>
        <w:r w:rsidR="00FA534E">
          <w:rPr>
            <w:noProof/>
            <w:webHidden/>
          </w:rPr>
          <w:fldChar w:fldCharType="separate"/>
        </w:r>
        <w:r w:rsidR="00645649">
          <w:rPr>
            <w:noProof/>
            <w:webHidden/>
          </w:rPr>
          <w:t>7</w:t>
        </w:r>
        <w:r w:rsidR="00FA534E">
          <w:rPr>
            <w:noProof/>
            <w:webHidden/>
          </w:rPr>
          <w:fldChar w:fldCharType="end"/>
        </w:r>
      </w:hyperlink>
    </w:p>
    <w:p w:rsidR="00FA534E" w:rsidRDefault="00771D36">
      <w:pPr>
        <w:pStyle w:val="TOC2"/>
        <w:rPr>
          <w:rFonts w:asciiTheme="minorHAnsi" w:eastAsiaTheme="minorEastAsia" w:hAnsiTheme="minorHAnsi" w:cstheme="minorBidi"/>
          <w:noProof/>
          <w:color w:val="auto"/>
          <w:szCs w:val="22"/>
        </w:rPr>
      </w:pPr>
      <w:hyperlink w:anchor="_Toc482200708" w:history="1">
        <w:r w:rsidR="00FA534E" w:rsidRPr="00F252AA">
          <w:rPr>
            <w:rStyle w:val="Hyperlink"/>
            <w:noProof/>
          </w:rPr>
          <w:t>Monetary Limits</w:t>
        </w:r>
        <w:r w:rsidR="00FA534E">
          <w:rPr>
            <w:noProof/>
            <w:webHidden/>
          </w:rPr>
          <w:tab/>
        </w:r>
        <w:r w:rsidR="00FA534E">
          <w:rPr>
            <w:noProof/>
            <w:webHidden/>
          </w:rPr>
          <w:fldChar w:fldCharType="begin"/>
        </w:r>
        <w:r w:rsidR="00FA534E">
          <w:rPr>
            <w:noProof/>
            <w:webHidden/>
          </w:rPr>
          <w:instrText xml:space="preserve"> PAGEREF _Toc482200708 \h </w:instrText>
        </w:r>
        <w:r w:rsidR="00FA534E">
          <w:rPr>
            <w:noProof/>
            <w:webHidden/>
          </w:rPr>
        </w:r>
        <w:r w:rsidR="00FA534E">
          <w:rPr>
            <w:noProof/>
            <w:webHidden/>
          </w:rPr>
          <w:fldChar w:fldCharType="separate"/>
        </w:r>
        <w:r w:rsidR="00645649">
          <w:rPr>
            <w:noProof/>
            <w:webHidden/>
          </w:rPr>
          <w:t>7</w:t>
        </w:r>
        <w:r w:rsidR="00FA534E">
          <w:rPr>
            <w:noProof/>
            <w:webHidden/>
          </w:rPr>
          <w:fldChar w:fldCharType="end"/>
        </w:r>
      </w:hyperlink>
    </w:p>
    <w:p w:rsidR="00FA534E" w:rsidRDefault="00771D36">
      <w:pPr>
        <w:pStyle w:val="TOC2"/>
        <w:rPr>
          <w:rFonts w:asciiTheme="minorHAnsi" w:eastAsiaTheme="minorEastAsia" w:hAnsiTheme="minorHAnsi" w:cstheme="minorBidi"/>
          <w:noProof/>
          <w:color w:val="auto"/>
          <w:szCs w:val="22"/>
        </w:rPr>
      </w:pPr>
      <w:hyperlink w:anchor="_Toc482200709" w:history="1">
        <w:r w:rsidR="00FA534E" w:rsidRPr="00F252AA">
          <w:rPr>
            <w:rStyle w:val="Hyperlink"/>
            <w:noProof/>
          </w:rPr>
          <w:t>Credit Representatives</w:t>
        </w:r>
        <w:r w:rsidR="00FA534E">
          <w:rPr>
            <w:noProof/>
            <w:webHidden/>
          </w:rPr>
          <w:tab/>
        </w:r>
        <w:r w:rsidR="00FA534E">
          <w:rPr>
            <w:noProof/>
            <w:webHidden/>
          </w:rPr>
          <w:fldChar w:fldCharType="begin"/>
        </w:r>
        <w:r w:rsidR="00FA534E">
          <w:rPr>
            <w:noProof/>
            <w:webHidden/>
          </w:rPr>
          <w:instrText xml:space="preserve"> PAGEREF _Toc482200709 \h </w:instrText>
        </w:r>
        <w:r w:rsidR="00FA534E">
          <w:rPr>
            <w:noProof/>
            <w:webHidden/>
          </w:rPr>
        </w:r>
        <w:r w:rsidR="00FA534E">
          <w:rPr>
            <w:noProof/>
            <w:webHidden/>
          </w:rPr>
          <w:fldChar w:fldCharType="separate"/>
        </w:r>
        <w:r w:rsidR="00645649">
          <w:rPr>
            <w:noProof/>
            <w:webHidden/>
          </w:rPr>
          <w:t>8</w:t>
        </w:r>
        <w:r w:rsidR="00FA534E">
          <w:rPr>
            <w:noProof/>
            <w:webHidden/>
          </w:rPr>
          <w:fldChar w:fldCharType="end"/>
        </w:r>
      </w:hyperlink>
    </w:p>
    <w:p w:rsidR="00FA534E" w:rsidRDefault="00771D36">
      <w:pPr>
        <w:pStyle w:val="TOC2"/>
        <w:rPr>
          <w:rFonts w:asciiTheme="minorHAnsi" w:eastAsiaTheme="minorEastAsia" w:hAnsiTheme="minorHAnsi" w:cstheme="minorBidi"/>
          <w:noProof/>
          <w:color w:val="auto"/>
          <w:szCs w:val="22"/>
        </w:rPr>
      </w:pPr>
      <w:hyperlink w:anchor="_Toc482200710" w:history="1">
        <w:r w:rsidR="00FA534E" w:rsidRPr="00F252AA">
          <w:rPr>
            <w:rStyle w:val="Hyperlink"/>
            <w:noProof/>
          </w:rPr>
          <w:t>Regulatory Impact</w:t>
        </w:r>
        <w:r w:rsidR="00FA534E">
          <w:rPr>
            <w:noProof/>
            <w:webHidden/>
          </w:rPr>
          <w:tab/>
        </w:r>
        <w:r w:rsidR="00FA534E">
          <w:rPr>
            <w:noProof/>
            <w:webHidden/>
          </w:rPr>
          <w:fldChar w:fldCharType="begin"/>
        </w:r>
        <w:r w:rsidR="00FA534E">
          <w:rPr>
            <w:noProof/>
            <w:webHidden/>
          </w:rPr>
          <w:instrText xml:space="preserve"> PAGEREF _Toc482200710 \h </w:instrText>
        </w:r>
        <w:r w:rsidR="00FA534E">
          <w:rPr>
            <w:noProof/>
            <w:webHidden/>
          </w:rPr>
        </w:r>
        <w:r w:rsidR="00FA534E">
          <w:rPr>
            <w:noProof/>
            <w:webHidden/>
          </w:rPr>
          <w:fldChar w:fldCharType="separate"/>
        </w:r>
        <w:r w:rsidR="00645649">
          <w:rPr>
            <w:noProof/>
            <w:webHidden/>
          </w:rPr>
          <w:t>8</w:t>
        </w:r>
        <w:r w:rsidR="00FA534E">
          <w:rPr>
            <w:noProof/>
            <w:webHidden/>
          </w:rPr>
          <w:fldChar w:fldCharType="end"/>
        </w:r>
      </w:hyperlink>
    </w:p>
    <w:p w:rsidR="0056559F" w:rsidRDefault="0056559F" w:rsidP="0056559F">
      <w:r>
        <w:fldChar w:fldCharType="end"/>
      </w:r>
    </w:p>
    <w:p w:rsidR="00F30068" w:rsidRDefault="00F30068" w:rsidP="0056559F">
      <w:pPr>
        <w:sectPr w:rsidR="00F30068" w:rsidSect="0056559F">
          <w:headerReference w:type="first" r:id="rId18"/>
          <w:pgSz w:w="11906" w:h="16838" w:code="9"/>
          <w:pgMar w:top="1418" w:right="1418" w:bottom="1418" w:left="1418" w:header="709" w:footer="709" w:gutter="0"/>
          <w:cols w:space="708"/>
          <w:titlePg/>
          <w:docGrid w:linePitch="360"/>
        </w:sectPr>
      </w:pPr>
    </w:p>
    <w:p w:rsidR="00F30068" w:rsidRPr="005750C6" w:rsidRDefault="00F30068" w:rsidP="005750C6">
      <w:pPr>
        <w:pStyle w:val="Heading2NotNumbered"/>
      </w:pPr>
      <w:bookmarkStart w:id="0" w:name="_Toc481060947"/>
      <w:bookmarkStart w:id="1" w:name="_Toc481061478"/>
      <w:bookmarkStart w:id="2" w:name="_Toc481062576"/>
      <w:bookmarkStart w:id="3" w:name="_Toc481063523"/>
      <w:bookmarkStart w:id="4" w:name="_Toc481065073"/>
      <w:bookmarkStart w:id="5" w:name="_Toc481065953"/>
      <w:bookmarkStart w:id="6" w:name="_Toc481068017"/>
      <w:bookmarkStart w:id="7" w:name="_Toc482200355"/>
      <w:bookmarkStart w:id="8" w:name="_Toc482200692"/>
      <w:r w:rsidRPr="005750C6">
        <w:t>Consultation Process</w:t>
      </w:r>
      <w:bookmarkEnd w:id="0"/>
      <w:bookmarkEnd w:id="1"/>
      <w:bookmarkEnd w:id="2"/>
      <w:bookmarkEnd w:id="3"/>
      <w:bookmarkEnd w:id="4"/>
      <w:bookmarkEnd w:id="5"/>
      <w:bookmarkEnd w:id="6"/>
      <w:bookmarkEnd w:id="7"/>
      <w:bookmarkEnd w:id="8"/>
    </w:p>
    <w:p w:rsidR="00F30068" w:rsidRDefault="00F30068" w:rsidP="005750C6">
      <w:pPr>
        <w:pStyle w:val="Heading3"/>
      </w:pPr>
      <w:bookmarkStart w:id="9" w:name="_Toc481060948"/>
      <w:bookmarkStart w:id="10" w:name="_Toc481061479"/>
      <w:bookmarkStart w:id="11" w:name="_Toc481062577"/>
      <w:bookmarkStart w:id="12" w:name="_Toc481063524"/>
      <w:bookmarkStart w:id="13" w:name="_Toc481065074"/>
      <w:bookmarkStart w:id="14" w:name="_Toc481065954"/>
      <w:bookmarkStart w:id="15" w:name="_Toc481068018"/>
      <w:bookmarkStart w:id="16" w:name="_Toc482200356"/>
      <w:bookmarkStart w:id="17" w:name="_Toc482200693"/>
      <w:r>
        <w:t>Request for feedback and comments</w:t>
      </w:r>
      <w:bookmarkEnd w:id="9"/>
      <w:bookmarkEnd w:id="10"/>
      <w:bookmarkEnd w:id="11"/>
      <w:bookmarkEnd w:id="12"/>
      <w:bookmarkEnd w:id="13"/>
      <w:bookmarkEnd w:id="14"/>
      <w:bookmarkEnd w:id="15"/>
      <w:bookmarkEnd w:id="16"/>
      <w:bookmarkEnd w:id="17"/>
    </w:p>
    <w:p w:rsidR="006916AB" w:rsidRPr="006916AB" w:rsidRDefault="006916AB" w:rsidP="006916AB">
      <w:r w:rsidRPr="006916AB">
        <w:t>Interested parties are invited to comment on this consultation paper</w:t>
      </w:r>
      <w:r w:rsidR="00212E0D">
        <w:t xml:space="preserve"> and accompanying draft legislation and regulations</w:t>
      </w:r>
      <w:r w:rsidRPr="006916AB">
        <w:t>.</w:t>
      </w:r>
    </w:p>
    <w:p w:rsidR="006916AB" w:rsidRPr="006916AB" w:rsidRDefault="006916AB" w:rsidP="006916AB">
      <w:r w:rsidRPr="006916AB">
        <w:t>While submissions may be lodged electronically or by post, electronic lodgement is preferred. For accessibility reasons, please submit responses sent via email in a Word or RTF format. An additional PDF version may also be submitted.</w:t>
      </w:r>
    </w:p>
    <w:p w:rsidR="006916AB" w:rsidRPr="006916AB" w:rsidRDefault="006916AB" w:rsidP="006916AB">
      <w:r w:rsidRPr="006916AB">
        <w:t xml:space="preserve">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w:t>
      </w:r>
      <w:r w:rsidR="00212E0D">
        <w:t>confidential</w:t>
      </w:r>
      <w:r w:rsidRPr="006916AB">
        <w:t xml:space="preserve"> should provide this information marked as such in a separate attachment.</w:t>
      </w:r>
    </w:p>
    <w:p w:rsidR="00F30068" w:rsidRDefault="00F30068" w:rsidP="00F30068">
      <w:pPr>
        <w:pStyle w:val="Heading4"/>
      </w:pPr>
      <w:r>
        <w:rPr>
          <w:rFonts w:cs="Calibri"/>
          <w:bCs w:val="0"/>
        </w:rPr>
        <w:t xml:space="preserve">Closing date for submissions: </w:t>
      </w:r>
      <w:r w:rsidR="00C453F5">
        <w:rPr>
          <w:rFonts w:cs="Calibri"/>
          <w:bCs w:val="0"/>
        </w:rPr>
        <w:t>1</w:t>
      </w:r>
      <w:r w:rsidR="002B5BB1">
        <w:rPr>
          <w:rFonts w:cs="Calibri"/>
          <w:bCs w:val="0"/>
        </w:rPr>
        <w:t>4</w:t>
      </w:r>
      <w:r w:rsidR="00713746" w:rsidRPr="0052217A">
        <w:t xml:space="preserve"> June</w:t>
      </w:r>
      <w:r w:rsidR="00060A28">
        <w:t xml:space="preserve"> 2017</w:t>
      </w:r>
    </w:p>
    <w:tbl>
      <w:tblPr>
        <w:tblW w:w="0" w:type="auto"/>
        <w:tblLook w:val="01E0" w:firstRow="1" w:lastRow="1" w:firstColumn="1" w:lastColumn="1" w:noHBand="0" w:noVBand="0"/>
      </w:tblPr>
      <w:tblGrid>
        <w:gridCol w:w="1668"/>
        <w:gridCol w:w="7618"/>
      </w:tblGrid>
      <w:tr w:rsidR="00F30068" w:rsidTr="002F0C5D">
        <w:tc>
          <w:tcPr>
            <w:tcW w:w="1668" w:type="dxa"/>
            <w:hideMark/>
          </w:tcPr>
          <w:p w:rsidR="00F30068" w:rsidRDefault="00F30068" w:rsidP="002F0C5D">
            <w:pPr>
              <w:pStyle w:val="SingleParagraph"/>
              <w:rPr>
                <w:rFonts w:cs="Arial"/>
              </w:rPr>
            </w:pPr>
            <w:bookmarkStart w:id="18" w:name="OLE_LINK5" w:colFirst="0" w:colLast="0"/>
            <w:bookmarkStart w:id="19" w:name="OLE_LINK6" w:colFirst="0" w:colLast="0"/>
            <w:r>
              <w:rPr>
                <w:rFonts w:cs="Arial"/>
              </w:rPr>
              <w:t xml:space="preserve">Email: </w:t>
            </w:r>
          </w:p>
        </w:tc>
        <w:tc>
          <w:tcPr>
            <w:tcW w:w="7618" w:type="dxa"/>
            <w:hideMark/>
          </w:tcPr>
          <w:p w:rsidR="00F30068" w:rsidRDefault="00771D36" w:rsidP="002F0C5D">
            <w:pPr>
              <w:rPr>
                <w:rFonts w:ascii="Calibri" w:hAnsi="Calibri" w:cs="Arial"/>
              </w:rPr>
            </w:pPr>
            <w:hyperlink r:id="rId19" w:history="1">
              <w:r w:rsidR="00125BED" w:rsidRPr="004C5D34">
                <w:rPr>
                  <w:rStyle w:val="Hyperlink"/>
                  <w:rFonts w:cs="Arial"/>
                </w:rPr>
                <w:t>EDR@treasury.gov.au</w:t>
              </w:r>
            </w:hyperlink>
            <w:r w:rsidR="00060A28">
              <w:rPr>
                <w:rFonts w:cs="Arial"/>
              </w:rPr>
              <w:t xml:space="preserve"> </w:t>
            </w:r>
          </w:p>
        </w:tc>
      </w:tr>
      <w:bookmarkEnd w:id="18"/>
      <w:bookmarkEnd w:id="19"/>
      <w:tr w:rsidR="00F30068" w:rsidTr="002F0C5D">
        <w:tc>
          <w:tcPr>
            <w:tcW w:w="1668" w:type="dxa"/>
            <w:hideMark/>
          </w:tcPr>
          <w:p w:rsidR="00F30068" w:rsidRDefault="00F30068" w:rsidP="002F0C5D">
            <w:pPr>
              <w:pStyle w:val="SingleParagraph"/>
              <w:rPr>
                <w:rFonts w:cs="Arial"/>
              </w:rPr>
            </w:pPr>
            <w:r>
              <w:rPr>
                <w:rFonts w:cs="Arial"/>
              </w:rPr>
              <w:t>Mail:</w:t>
            </w:r>
          </w:p>
        </w:tc>
        <w:tc>
          <w:tcPr>
            <w:tcW w:w="7618" w:type="dxa"/>
            <w:hideMark/>
          </w:tcPr>
          <w:p w:rsidR="00F30068" w:rsidRDefault="00693921" w:rsidP="002F0C5D">
            <w:pPr>
              <w:pStyle w:val="SingleParagraph"/>
              <w:rPr>
                <w:rFonts w:ascii="Calibri" w:hAnsi="Calibri" w:cs="Arial"/>
              </w:rPr>
            </w:pPr>
            <w:r>
              <w:rPr>
                <w:rFonts w:cs="Arial"/>
              </w:rPr>
              <w:t>Manager</w:t>
            </w:r>
          </w:p>
          <w:p w:rsidR="00693921" w:rsidRDefault="00693921" w:rsidP="002F0C5D">
            <w:pPr>
              <w:pStyle w:val="SingleParagraph"/>
              <w:rPr>
                <w:rFonts w:cs="Arial"/>
              </w:rPr>
            </w:pPr>
            <w:r>
              <w:rPr>
                <w:rFonts w:cs="Arial"/>
              </w:rPr>
              <w:t>Financial Services Unit</w:t>
            </w:r>
          </w:p>
          <w:p w:rsidR="00F30068" w:rsidRDefault="00F30068" w:rsidP="002F0C5D">
            <w:pPr>
              <w:pStyle w:val="SingleParagraph"/>
              <w:rPr>
                <w:rFonts w:cs="Arial"/>
              </w:rPr>
            </w:pPr>
            <w:r>
              <w:rPr>
                <w:rFonts w:cs="Arial"/>
              </w:rPr>
              <w:t>The Treasury</w:t>
            </w:r>
          </w:p>
          <w:p w:rsidR="00F30068" w:rsidRDefault="00F30068" w:rsidP="002F0C5D">
            <w:pPr>
              <w:pStyle w:val="SingleParagraph"/>
              <w:rPr>
                <w:rFonts w:cs="Arial"/>
              </w:rPr>
            </w:pPr>
            <w:r>
              <w:rPr>
                <w:rFonts w:cs="Arial"/>
              </w:rPr>
              <w:t>Langton Crescent</w:t>
            </w:r>
          </w:p>
          <w:p w:rsidR="00F30068" w:rsidRDefault="00F30068" w:rsidP="002F0C5D">
            <w:pPr>
              <w:rPr>
                <w:rFonts w:ascii="Calibri" w:hAnsi="Calibri" w:cs="Arial"/>
              </w:rPr>
            </w:pPr>
            <w:r>
              <w:rPr>
                <w:rFonts w:cs="Arial"/>
              </w:rPr>
              <w:t>PARKES  ACT  2600</w:t>
            </w:r>
          </w:p>
        </w:tc>
      </w:tr>
      <w:tr w:rsidR="00F30068" w:rsidTr="002F0C5D">
        <w:tc>
          <w:tcPr>
            <w:tcW w:w="1668" w:type="dxa"/>
            <w:hideMark/>
          </w:tcPr>
          <w:p w:rsidR="00F30068" w:rsidRDefault="00F30068" w:rsidP="002F0C5D">
            <w:pPr>
              <w:pStyle w:val="SingleParagraph"/>
              <w:rPr>
                <w:rFonts w:cs="Arial"/>
              </w:rPr>
            </w:pPr>
            <w:r>
              <w:rPr>
                <w:rFonts w:cs="Arial"/>
              </w:rPr>
              <w:t>Enq</w:t>
            </w:r>
            <w:r>
              <w:rPr>
                <w:rStyle w:val="SingleParagraphChar"/>
                <w:rFonts w:cs="Arial"/>
              </w:rPr>
              <w:t>u</w:t>
            </w:r>
            <w:r>
              <w:rPr>
                <w:rFonts w:cs="Arial"/>
              </w:rPr>
              <w:t>iries:</w:t>
            </w:r>
          </w:p>
        </w:tc>
        <w:tc>
          <w:tcPr>
            <w:tcW w:w="7618" w:type="dxa"/>
            <w:hideMark/>
          </w:tcPr>
          <w:p w:rsidR="00F30068" w:rsidRDefault="00F30068" w:rsidP="006916AB">
            <w:pPr>
              <w:rPr>
                <w:rFonts w:ascii="Calibri" w:hAnsi="Calibri" w:cs="Arial"/>
              </w:rPr>
            </w:pPr>
            <w:r>
              <w:rPr>
                <w:rFonts w:cs="Arial"/>
              </w:rPr>
              <w:t xml:space="preserve">Enquiries can be initially directed to </w:t>
            </w:r>
            <w:r w:rsidR="00CF733F">
              <w:rPr>
                <w:rFonts w:cs="Arial"/>
              </w:rPr>
              <w:t>EDR implementation team</w:t>
            </w:r>
            <w:r w:rsidR="00966D46">
              <w:rPr>
                <w:rFonts w:cs="Arial"/>
              </w:rPr>
              <w:t>.</w:t>
            </w:r>
          </w:p>
        </w:tc>
      </w:tr>
      <w:tr w:rsidR="00F30068" w:rsidTr="002F0C5D">
        <w:tc>
          <w:tcPr>
            <w:tcW w:w="1668" w:type="dxa"/>
            <w:hideMark/>
          </w:tcPr>
          <w:p w:rsidR="00F30068" w:rsidRDefault="00F30068" w:rsidP="002F0C5D">
            <w:pPr>
              <w:rPr>
                <w:rFonts w:ascii="Calibri" w:hAnsi="Calibri" w:cs="Arial"/>
              </w:rPr>
            </w:pPr>
            <w:r>
              <w:rPr>
                <w:rFonts w:cs="Arial"/>
              </w:rPr>
              <w:t>Phone:</w:t>
            </w:r>
          </w:p>
        </w:tc>
        <w:tc>
          <w:tcPr>
            <w:tcW w:w="7618" w:type="dxa"/>
            <w:hideMark/>
          </w:tcPr>
          <w:p w:rsidR="00F30068" w:rsidRDefault="00F30068" w:rsidP="006916AB">
            <w:pPr>
              <w:rPr>
                <w:rFonts w:ascii="Calibri" w:hAnsi="Calibri" w:cs="Arial"/>
              </w:rPr>
            </w:pPr>
            <w:r>
              <w:rPr>
                <w:rFonts w:cs="Arial"/>
              </w:rPr>
              <w:t xml:space="preserve">02 6263 </w:t>
            </w:r>
            <w:r w:rsidR="00FB520D">
              <w:rPr>
                <w:rFonts w:cs="Arial"/>
              </w:rPr>
              <w:t>2111.</w:t>
            </w:r>
          </w:p>
        </w:tc>
      </w:tr>
    </w:tbl>
    <w:p w:rsidR="0056559F" w:rsidRDefault="0056559F" w:rsidP="0056559F"/>
    <w:p w:rsidR="00F30068" w:rsidRDefault="00F30068" w:rsidP="0056559F"/>
    <w:p w:rsidR="0056559F" w:rsidRPr="0056559F" w:rsidRDefault="0056559F" w:rsidP="0056559F">
      <w:pPr>
        <w:sectPr w:rsidR="0056559F" w:rsidRPr="0056559F" w:rsidSect="0056559F">
          <w:pgSz w:w="11906" w:h="16838" w:code="9"/>
          <w:pgMar w:top="1418" w:right="1418" w:bottom="1418" w:left="1418" w:header="709" w:footer="709" w:gutter="0"/>
          <w:cols w:space="708"/>
          <w:titlePg/>
          <w:docGrid w:linePitch="360"/>
        </w:sectPr>
      </w:pPr>
    </w:p>
    <w:p w:rsidR="000A7BCF" w:rsidRDefault="00182C87">
      <w:pPr>
        <w:pStyle w:val="Heading1"/>
      </w:pPr>
      <w:bookmarkStart w:id="20" w:name="_Toc481060949"/>
      <w:bookmarkStart w:id="21" w:name="_Toc481061480"/>
      <w:bookmarkStart w:id="22" w:name="_Toc481062578"/>
      <w:bookmarkStart w:id="23" w:name="_Toc481063525"/>
      <w:bookmarkStart w:id="24" w:name="_Toc481065075"/>
      <w:bookmarkStart w:id="25" w:name="_Toc481065955"/>
      <w:bookmarkStart w:id="26" w:name="_Toc481068019"/>
      <w:bookmarkStart w:id="27" w:name="_Toc482200357"/>
      <w:bookmarkStart w:id="28" w:name="_Toc482200694"/>
      <w:r>
        <w:t>Improving dispute resolution in the financial system</w:t>
      </w:r>
      <w:bookmarkEnd w:id="20"/>
      <w:bookmarkEnd w:id="21"/>
      <w:bookmarkEnd w:id="22"/>
      <w:bookmarkEnd w:id="23"/>
      <w:bookmarkEnd w:id="24"/>
      <w:bookmarkEnd w:id="25"/>
      <w:bookmarkEnd w:id="26"/>
      <w:bookmarkEnd w:id="27"/>
      <w:bookmarkEnd w:id="28"/>
    </w:p>
    <w:p w:rsidR="000A7BCF" w:rsidRDefault="00352FCF">
      <w:pPr>
        <w:pStyle w:val="Heading2"/>
      </w:pPr>
      <w:bookmarkStart w:id="29" w:name="_Toc306887371"/>
      <w:bookmarkStart w:id="30" w:name="_Toc481060950"/>
      <w:bookmarkStart w:id="31" w:name="_Toc481061481"/>
      <w:bookmarkStart w:id="32" w:name="_Toc481062579"/>
      <w:bookmarkStart w:id="33" w:name="_Toc481063526"/>
      <w:bookmarkStart w:id="34" w:name="_Toc481065076"/>
      <w:bookmarkStart w:id="35" w:name="_Toc481065956"/>
      <w:bookmarkStart w:id="36" w:name="_Toc481068020"/>
      <w:bookmarkStart w:id="37" w:name="_Toc482200358"/>
      <w:bookmarkStart w:id="38" w:name="_Toc482200695"/>
      <w:r>
        <w:t>Introduction</w:t>
      </w:r>
      <w:bookmarkEnd w:id="29"/>
      <w:bookmarkEnd w:id="30"/>
      <w:bookmarkEnd w:id="31"/>
      <w:bookmarkEnd w:id="32"/>
      <w:bookmarkEnd w:id="33"/>
      <w:bookmarkEnd w:id="34"/>
      <w:bookmarkEnd w:id="35"/>
      <w:bookmarkEnd w:id="36"/>
      <w:bookmarkEnd w:id="37"/>
      <w:bookmarkEnd w:id="38"/>
    </w:p>
    <w:p w:rsidR="001610F2" w:rsidRPr="001610F2" w:rsidRDefault="001610F2" w:rsidP="001610F2">
      <w:pPr>
        <w:pStyle w:val="Heading3"/>
      </w:pPr>
      <w:bookmarkStart w:id="39" w:name="_Toc482200359"/>
      <w:bookmarkStart w:id="40" w:name="_Toc482200696"/>
      <w:r>
        <w:t>A new dispute resolution framework</w:t>
      </w:r>
      <w:bookmarkEnd w:id="39"/>
      <w:bookmarkEnd w:id="40"/>
    </w:p>
    <w:p w:rsidR="00E22EA1" w:rsidRDefault="00E22EA1" w:rsidP="000A390C">
      <w:pPr>
        <w:pStyle w:val="OutlineNumbered1"/>
      </w:pPr>
      <w:r>
        <w:t xml:space="preserve">On </w:t>
      </w:r>
      <w:r w:rsidR="00D56525">
        <w:t>9 May</w:t>
      </w:r>
      <w:r w:rsidR="00430193">
        <w:t xml:space="preserve"> 2017</w:t>
      </w:r>
      <w:r>
        <w:t xml:space="preserve">, the Government announced a new framework for dispute resolution in the financial system. The key element of this is a </w:t>
      </w:r>
      <w:r w:rsidR="00875EB4">
        <w:t xml:space="preserve">single </w:t>
      </w:r>
      <w:r w:rsidR="00283ABF">
        <w:t xml:space="preserve">external </w:t>
      </w:r>
      <w:r w:rsidR="00875EB4">
        <w:t xml:space="preserve">dispute resolution </w:t>
      </w:r>
      <w:r w:rsidR="00283ABF">
        <w:t>(EDR) scheme</w:t>
      </w:r>
      <w:r w:rsidR="00875EB4">
        <w:t xml:space="preserve"> (a </w:t>
      </w:r>
      <w:r>
        <w:t>one-stop shop</w:t>
      </w:r>
      <w:r w:rsidR="00875EB4">
        <w:t>)</w:t>
      </w:r>
      <w:r>
        <w:t xml:space="preserve"> </w:t>
      </w:r>
      <w:r w:rsidR="00283ABF">
        <w:t xml:space="preserve">— the Australian Financial Complaints Authority </w:t>
      </w:r>
      <w:r w:rsidR="000108F5">
        <w:t xml:space="preserve">— </w:t>
      </w:r>
      <w:r w:rsidR="00283ABF">
        <w:t xml:space="preserve">(AFCA) that will deal with all financial disputes, including superannuation disputes. </w:t>
      </w:r>
    </w:p>
    <w:p w:rsidR="001C4847" w:rsidRDefault="001C4847" w:rsidP="001C4847">
      <w:pPr>
        <w:pStyle w:val="OutlineNumbered1"/>
      </w:pPr>
      <w:r>
        <w:t>The new EDR framework will be enacted via the Treasury Laws Amendment (External Dispute Resolution) Bill 2017 (the Bill) and the Treasury Laws Amendment (External Dispute Resolution) Regulations 2017 (the Regulations). Drafts of the Bills</w:t>
      </w:r>
      <w:r w:rsidR="0023221D">
        <w:t xml:space="preserve"> and Reg</w:t>
      </w:r>
      <w:r w:rsidR="00747645">
        <w:t>ulations</w:t>
      </w:r>
      <w:r>
        <w:t xml:space="preserve"> have been released for consultation.</w:t>
      </w:r>
    </w:p>
    <w:p w:rsidR="000A390C" w:rsidRDefault="000A390C" w:rsidP="0085268C">
      <w:pPr>
        <w:pStyle w:val="Heading4"/>
      </w:pPr>
      <w:bookmarkStart w:id="41" w:name="_Toc481060951"/>
      <w:bookmarkStart w:id="42" w:name="_Toc481061482"/>
      <w:bookmarkStart w:id="43" w:name="_Toc481062580"/>
      <w:bookmarkStart w:id="44" w:name="_Toc481063527"/>
      <w:bookmarkStart w:id="45" w:name="_Toc481065077"/>
      <w:bookmarkStart w:id="46" w:name="_Toc481065957"/>
      <w:bookmarkStart w:id="47" w:name="_Toc481068021"/>
      <w:r>
        <w:t>Review of the EDR framework</w:t>
      </w:r>
      <w:bookmarkEnd w:id="41"/>
      <w:bookmarkEnd w:id="42"/>
      <w:bookmarkEnd w:id="43"/>
      <w:bookmarkEnd w:id="44"/>
      <w:bookmarkEnd w:id="45"/>
      <w:bookmarkEnd w:id="46"/>
      <w:bookmarkEnd w:id="47"/>
    </w:p>
    <w:p w:rsidR="000A390C" w:rsidRDefault="000A390C" w:rsidP="00FC2ABE">
      <w:pPr>
        <w:pStyle w:val="OutlineNumbered1"/>
      </w:pPr>
      <w:r>
        <w:t>In April 2016, the Government commissioned the first comprehensive review of the EDR framework</w:t>
      </w:r>
      <w:r w:rsidR="000108F5">
        <w:t xml:space="preserve"> to be led by an expert panel chaired by Professor Ian Ramsay (the Ramsay Review)</w:t>
      </w:r>
      <w:r>
        <w:t xml:space="preserve">. </w:t>
      </w:r>
    </w:p>
    <w:p w:rsidR="001C4847" w:rsidRDefault="001C4847" w:rsidP="001C4847">
      <w:pPr>
        <w:pStyle w:val="OutlineNumbered1"/>
      </w:pPr>
      <w:r>
        <w:t xml:space="preserve">The purpose of EDR in the financial system is to provide free and timely access to redress where a consumer or small business has a dispute with their financial service provider, credit provider or superannuation trustee. </w:t>
      </w:r>
    </w:p>
    <w:p w:rsidR="001C4847" w:rsidRDefault="001C4847" w:rsidP="001C4847">
      <w:pPr>
        <w:pStyle w:val="OutlineNumbered1"/>
      </w:pPr>
      <w:r>
        <w:t>There are currently three EDR bodies in the financial system: the Financial Ombudsman Service (FOS), the Credit and Investments Ombudsman (CIO) and the Superannuation Complaints Tribunal (SCT).</w:t>
      </w:r>
    </w:p>
    <w:p w:rsidR="001C4847" w:rsidRDefault="001C4847" w:rsidP="001C4847">
      <w:pPr>
        <w:pStyle w:val="OutlineNumbered2"/>
        <w:numPr>
          <w:ilvl w:val="1"/>
          <w:numId w:val="57"/>
        </w:numPr>
      </w:pPr>
      <w:r>
        <w:t xml:space="preserve">The FOS and CIO are ASIC authorised ombudsman schemes: Australian Financial Services licensees and Australian Credit licensees are required to be members of one of these schemes as a condition of their licence. </w:t>
      </w:r>
    </w:p>
    <w:p w:rsidR="001C4847" w:rsidRDefault="001C4847" w:rsidP="001C4847">
      <w:pPr>
        <w:pStyle w:val="OutlineNumbered2"/>
        <w:numPr>
          <w:ilvl w:val="1"/>
          <w:numId w:val="57"/>
        </w:numPr>
      </w:pPr>
      <w:r>
        <w:t xml:space="preserve">The SCT is a statutory tribunal: its jurisdiction extends to the decisions and conduct of </w:t>
      </w:r>
      <w:r w:rsidRPr="00057F13">
        <w:t xml:space="preserve">trustees, insurers and other decision-makers in relation to regulated superannuation funds (other than self-managed superannuation funds), </w:t>
      </w:r>
      <w:r>
        <w:t>approved</w:t>
      </w:r>
      <w:r w:rsidRPr="00057F13">
        <w:t xml:space="preserve"> deposit funds, annuities, life policy funds and retirement savings accounts.</w:t>
      </w:r>
      <w:r>
        <w:t xml:space="preserve"> </w:t>
      </w:r>
    </w:p>
    <w:p w:rsidR="000A390C" w:rsidRDefault="001C4847" w:rsidP="00FC2ABE">
      <w:pPr>
        <w:pStyle w:val="OutlineNumbered1"/>
      </w:pPr>
      <w:r>
        <w:t>The Review provided its final report to Government in April 2017.</w:t>
      </w:r>
      <w:r w:rsidR="00ED4D65">
        <w:t xml:space="preserve"> </w:t>
      </w:r>
      <w:r w:rsidR="000A390C">
        <w:t>The Review found:</w:t>
      </w:r>
    </w:p>
    <w:p w:rsidR="000A390C" w:rsidRDefault="000A390C" w:rsidP="00057F13">
      <w:pPr>
        <w:pStyle w:val="OutlineNumbered2"/>
        <w:numPr>
          <w:ilvl w:val="1"/>
          <w:numId w:val="56"/>
        </w:numPr>
      </w:pPr>
      <w:r w:rsidRPr="00FC236D">
        <w:t xml:space="preserve">The existence of multiple EDR schemes with overlapping jurisdictions means: it is difficult to achieve comparable outcomes for consumers with similar complaints; it is more difficult for consumers to progress </w:t>
      </w:r>
      <w:r w:rsidR="00182C87">
        <w:t>complaints</w:t>
      </w:r>
      <w:r w:rsidR="00182C87" w:rsidRPr="00FC236D">
        <w:t xml:space="preserve"> </w:t>
      </w:r>
      <w:r w:rsidRPr="00FC236D">
        <w:t>involving firms that are members of different schemes; and there is an increased risk of consumer confusion. Multiple EDR schemes also result in duplicative costs for industry and for the regulator.</w:t>
      </w:r>
    </w:p>
    <w:p w:rsidR="003E727D" w:rsidRDefault="003E727D" w:rsidP="00057F13">
      <w:pPr>
        <w:pStyle w:val="OutlineNumbered2"/>
        <w:numPr>
          <w:ilvl w:val="1"/>
          <w:numId w:val="56"/>
        </w:numPr>
      </w:pPr>
      <w:r>
        <w:t xml:space="preserve">There are long-standing problems with </w:t>
      </w:r>
      <w:r w:rsidRPr="00057F13">
        <w:t>the SCT’s current</w:t>
      </w:r>
      <w:r>
        <w:t xml:space="preserve"> arrangements for resolving superannuation </w:t>
      </w:r>
      <w:r w:rsidR="00182C87">
        <w:t>complaints</w:t>
      </w:r>
      <w:r>
        <w:t>, which can be attributed to: underfunding and a lack of flexibility in funding; outdated governance; and limited flexibility with regard to its dispute resolution processes.</w:t>
      </w:r>
    </w:p>
    <w:p w:rsidR="000A390C" w:rsidRDefault="000A390C" w:rsidP="00057F13">
      <w:pPr>
        <w:pStyle w:val="OutlineNumbered2"/>
        <w:numPr>
          <w:ilvl w:val="1"/>
          <w:numId w:val="56"/>
        </w:numPr>
      </w:pPr>
      <w:r>
        <w:t xml:space="preserve">While superannuation </w:t>
      </w:r>
      <w:r w:rsidR="00182C87">
        <w:t>complaints</w:t>
      </w:r>
      <w:r>
        <w:t xml:space="preserve"> are not subject to a monetary limit, the monetary limits and compensation caps applying to other </w:t>
      </w:r>
      <w:r w:rsidR="00182C87">
        <w:t>complaints</w:t>
      </w:r>
      <w:r>
        <w:t xml:space="preserve"> </w:t>
      </w:r>
      <w:r w:rsidR="00C21FFC">
        <w:t xml:space="preserve">($500,000 and $309,000 respectively) </w:t>
      </w:r>
      <w:r>
        <w:t xml:space="preserve">have fallen behind what is required to ensure access to redress for consumers, with </w:t>
      </w:r>
      <w:r w:rsidR="00C21FFC">
        <w:t xml:space="preserve">the value of </w:t>
      </w:r>
      <w:r>
        <w:t xml:space="preserve">many financial products and services being higher than the current limits. </w:t>
      </w:r>
    </w:p>
    <w:p w:rsidR="000A390C" w:rsidRDefault="000A390C" w:rsidP="00057F13">
      <w:pPr>
        <w:pStyle w:val="OutlineNumbered2"/>
        <w:numPr>
          <w:ilvl w:val="1"/>
          <w:numId w:val="56"/>
        </w:numPr>
      </w:pPr>
      <w:r>
        <w:t xml:space="preserve">Small business does not have adequate access to EDR because the existing monetary limits of $500,000 for the value of the claim under dispute and $2 million in relation to credit facilities preclude many </w:t>
      </w:r>
      <w:r w:rsidR="00182C87">
        <w:t>complaints</w:t>
      </w:r>
      <w:r>
        <w:t xml:space="preserve"> from being able to be brought to the schemes.</w:t>
      </w:r>
    </w:p>
    <w:p w:rsidR="00843CE4" w:rsidRPr="00CC2FC9" w:rsidRDefault="00CC2FC9" w:rsidP="00057F13">
      <w:pPr>
        <w:pStyle w:val="OutlineNumbered2"/>
        <w:numPr>
          <w:ilvl w:val="1"/>
          <w:numId w:val="56"/>
        </w:numPr>
      </w:pPr>
      <w:r w:rsidRPr="00CC2FC9">
        <w:t>D</w:t>
      </w:r>
      <w:r>
        <w:t>ata on internal dispute resolution (IDR)</w:t>
      </w:r>
      <w:r w:rsidRPr="00CC2FC9">
        <w:t xml:space="preserve"> outcomes is limited and inconsistent which means that it is difficult to determine the effectiveness of IDR and whether it is leading to improved consumer outcomes over time.</w:t>
      </w:r>
    </w:p>
    <w:p w:rsidR="000A390C" w:rsidRPr="003949DB" w:rsidRDefault="000A390C" w:rsidP="00057F13">
      <w:pPr>
        <w:pStyle w:val="Heading3"/>
      </w:pPr>
      <w:bookmarkStart w:id="48" w:name="_Toc481060952"/>
      <w:bookmarkStart w:id="49" w:name="_Toc481061483"/>
      <w:bookmarkStart w:id="50" w:name="_Toc481062581"/>
      <w:bookmarkStart w:id="51" w:name="_Toc481063528"/>
      <w:bookmarkStart w:id="52" w:name="_Toc481065078"/>
      <w:bookmarkStart w:id="53" w:name="_Toc481065958"/>
      <w:bookmarkStart w:id="54" w:name="_Toc481068022"/>
      <w:bookmarkStart w:id="55" w:name="_Toc482200360"/>
      <w:bookmarkStart w:id="56" w:name="_Toc482200697"/>
      <w:r w:rsidRPr="003949DB">
        <w:t xml:space="preserve">The </w:t>
      </w:r>
      <w:r>
        <w:t xml:space="preserve">establishment of </w:t>
      </w:r>
      <w:bookmarkEnd w:id="48"/>
      <w:bookmarkEnd w:id="49"/>
      <w:bookmarkEnd w:id="50"/>
      <w:bookmarkEnd w:id="51"/>
      <w:bookmarkEnd w:id="52"/>
      <w:bookmarkEnd w:id="53"/>
      <w:bookmarkEnd w:id="54"/>
      <w:r w:rsidR="0085268C">
        <w:t>AFCA</w:t>
      </w:r>
      <w:bookmarkEnd w:id="55"/>
      <w:bookmarkEnd w:id="56"/>
    </w:p>
    <w:p w:rsidR="000A390C" w:rsidRDefault="00881993" w:rsidP="00FC2ABE">
      <w:pPr>
        <w:pStyle w:val="OutlineNumbered1"/>
      </w:pPr>
      <w:r>
        <w:t>A new</w:t>
      </w:r>
      <w:r w:rsidR="000A390C">
        <w:t xml:space="preserve"> single EDR </w:t>
      </w:r>
      <w:r w:rsidR="00F97476">
        <w:t>scheme</w:t>
      </w:r>
      <w:r w:rsidR="00321CC0">
        <w:t>, AFCA,</w:t>
      </w:r>
      <w:r w:rsidR="000A390C">
        <w:t xml:space="preserve"> </w:t>
      </w:r>
      <w:r>
        <w:t>will</w:t>
      </w:r>
      <w:r w:rsidR="000A390C">
        <w:t xml:space="preserve"> replace FOS, CIO and </w:t>
      </w:r>
      <w:r w:rsidR="00F35435">
        <w:t xml:space="preserve">the </w:t>
      </w:r>
      <w:r w:rsidR="000A390C">
        <w:t xml:space="preserve">SCT. </w:t>
      </w:r>
    </w:p>
    <w:p w:rsidR="00430193" w:rsidRDefault="003B29FE" w:rsidP="00FC2ABE">
      <w:pPr>
        <w:pStyle w:val="OutlineNumbered1"/>
      </w:pPr>
      <w:r>
        <w:t xml:space="preserve">The Government has announced that </w:t>
      </w:r>
      <w:r w:rsidR="00321CC0">
        <w:t>AFCA</w:t>
      </w:r>
      <w:r w:rsidR="000A390C">
        <w:t xml:space="preserve"> will be based on an </w:t>
      </w:r>
      <w:r w:rsidR="00C21FFC">
        <w:t>o</w:t>
      </w:r>
      <w:r w:rsidR="000A390C">
        <w:t>mbudsman model</w:t>
      </w:r>
      <w:r w:rsidR="00103FF3">
        <w:t xml:space="preserve"> and will be operational by 1 July 2018</w:t>
      </w:r>
      <w:r w:rsidR="000A390C">
        <w:t xml:space="preserve">. It will be established </w:t>
      </w:r>
      <w:r w:rsidR="005B5022">
        <w:t xml:space="preserve">by industry </w:t>
      </w:r>
      <w:r w:rsidR="000A390C">
        <w:t>as a company limited by guarantee</w:t>
      </w:r>
      <w:r w:rsidR="00C21FFC">
        <w:t xml:space="preserve">. </w:t>
      </w:r>
    </w:p>
    <w:p w:rsidR="00F440DD" w:rsidRDefault="00F440DD" w:rsidP="00F440DD">
      <w:pPr>
        <w:pStyle w:val="OutlineNumbered1"/>
      </w:pPr>
      <w:r>
        <w:t>The new scheme will operate under a co</w:t>
      </w:r>
      <w:r>
        <w:noBreakHyphen/>
        <w:t xml:space="preserve">regulatory framework.  This means that while </w:t>
      </w:r>
      <w:r w:rsidR="00DA0591">
        <w:t xml:space="preserve">the </w:t>
      </w:r>
      <w:r w:rsidR="00DA0591" w:rsidRPr="0052217A">
        <w:t xml:space="preserve">AFCA </w:t>
      </w:r>
      <w:r w:rsidR="00B23439" w:rsidRPr="0052217A">
        <w:t>b</w:t>
      </w:r>
      <w:r w:rsidR="00DA0591" w:rsidRPr="0052217A">
        <w:t>oard</w:t>
      </w:r>
      <w:r>
        <w:t xml:space="preserve"> will make its own decisions regarding funding, staffing and dispute resolution processes, it must comply with legislative and regulatory requirements, as set by Government and ASIC. Such an approach will provide the scheme with flexibility and adaptability to respond to changes in the regulatory framework, user expectations and the overall economic context, but ensure that minimum standards and protections for users are retained.</w:t>
      </w:r>
    </w:p>
    <w:p w:rsidR="00F440DD" w:rsidRDefault="00F440DD" w:rsidP="00F440DD">
      <w:pPr>
        <w:pStyle w:val="OutlineNumbered1"/>
      </w:pPr>
      <w:r>
        <w:t xml:space="preserve">Although in most instances the operational aspects of the scheme will be </w:t>
      </w:r>
      <w:r w:rsidR="001B4678">
        <w:t>based on private law (contractual) obligations between the operator of the EDR scheme and its members</w:t>
      </w:r>
      <w:r>
        <w:t xml:space="preserve">, </w:t>
      </w:r>
      <w:r w:rsidR="001B4678">
        <w:t xml:space="preserve">some </w:t>
      </w:r>
      <w:r>
        <w:t>statutory powers are required to manage superannuation complaints</w:t>
      </w:r>
      <w:r w:rsidR="0089207C">
        <w:t xml:space="preserve"> effectively</w:t>
      </w:r>
      <w:r>
        <w:t xml:space="preserve">. Where statutory powers are provided, it is important that the circumstances in which those powers can be used </w:t>
      </w:r>
      <w:r w:rsidR="0089207C">
        <w:t>and</w:t>
      </w:r>
      <w:r>
        <w:t xml:space="preserve"> accountability mechanisms are also included in the legislation. These issues are discussed in further detail in the Superannuation section.</w:t>
      </w:r>
    </w:p>
    <w:p w:rsidR="00430193" w:rsidRDefault="00430193" w:rsidP="00057F13">
      <w:pPr>
        <w:pStyle w:val="Heading2"/>
      </w:pPr>
      <w:bookmarkStart w:id="57" w:name="_Toc481060953"/>
      <w:bookmarkStart w:id="58" w:name="_Toc481061484"/>
      <w:bookmarkStart w:id="59" w:name="_Toc481062582"/>
      <w:bookmarkStart w:id="60" w:name="_Toc481063529"/>
      <w:bookmarkStart w:id="61" w:name="_Toc481065079"/>
      <w:bookmarkStart w:id="62" w:name="_Toc481065959"/>
      <w:bookmarkStart w:id="63" w:name="_Toc481068023"/>
      <w:bookmarkStart w:id="64" w:name="_Toc482200361"/>
      <w:bookmarkStart w:id="65" w:name="_Toc482200698"/>
      <w:r>
        <w:t>L</w:t>
      </w:r>
      <w:bookmarkEnd w:id="57"/>
      <w:r w:rsidR="006879ED">
        <w:t>egislative framework</w:t>
      </w:r>
      <w:bookmarkEnd w:id="58"/>
      <w:bookmarkEnd w:id="59"/>
      <w:bookmarkEnd w:id="60"/>
      <w:bookmarkEnd w:id="61"/>
      <w:bookmarkEnd w:id="62"/>
      <w:bookmarkEnd w:id="63"/>
      <w:bookmarkEnd w:id="64"/>
      <w:bookmarkEnd w:id="65"/>
    </w:p>
    <w:p w:rsidR="009C718A" w:rsidRDefault="009C718A" w:rsidP="00057F13">
      <w:pPr>
        <w:pStyle w:val="Heading3"/>
      </w:pPr>
      <w:bookmarkStart w:id="66" w:name="_Toc481060954"/>
      <w:bookmarkStart w:id="67" w:name="_Toc481061485"/>
      <w:bookmarkStart w:id="68" w:name="_Toc481062583"/>
      <w:bookmarkStart w:id="69" w:name="_Toc481063530"/>
      <w:bookmarkStart w:id="70" w:name="_Toc481065080"/>
      <w:bookmarkStart w:id="71" w:name="_Toc481065960"/>
      <w:bookmarkStart w:id="72" w:name="_Toc481068024"/>
      <w:bookmarkStart w:id="73" w:name="_Toc482200362"/>
      <w:bookmarkStart w:id="74" w:name="_Toc482200699"/>
      <w:r>
        <w:t xml:space="preserve">Ministerial </w:t>
      </w:r>
      <w:r w:rsidR="00DD1C18" w:rsidRPr="007773DA">
        <w:t>authorisation</w:t>
      </w:r>
      <w:bookmarkEnd w:id="66"/>
      <w:bookmarkEnd w:id="67"/>
      <w:bookmarkEnd w:id="68"/>
      <w:bookmarkEnd w:id="69"/>
      <w:bookmarkEnd w:id="70"/>
      <w:bookmarkEnd w:id="71"/>
      <w:bookmarkEnd w:id="72"/>
      <w:bookmarkEnd w:id="73"/>
      <w:bookmarkEnd w:id="74"/>
    </w:p>
    <w:p w:rsidR="009C718A" w:rsidRDefault="000E4099" w:rsidP="00FC2ABE">
      <w:pPr>
        <w:pStyle w:val="OutlineNumbered1"/>
      </w:pPr>
      <w:r>
        <w:t>T</w:t>
      </w:r>
      <w:r w:rsidR="000A390C">
        <w:t xml:space="preserve">he </w:t>
      </w:r>
      <w:r w:rsidR="00BB67D6">
        <w:t>scheme</w:t>
      </w:r>
      <w:r w:rsidR="000A390C">
        <w:t xml:space="preserve"> will be formally a</w:t>
      </w:r>
      <w:r w:rsidR="002E3BCE">
        <w:t>uthorised</w:t>
      </w:r>
      <w:r w:rsidR="000A390C">
        <w:t xml:space="preserve"> by the Minister</w:t>
      </w:r>
      <w:r w:rsidR="001817E7">
        <w:t xml:space="preserve"> (</w:t>
      </w:r>
      <w:r w:rsidR="00404D74">
        <w:t xml:space="preserve">proposed </w:t>
      </w:r>
      <w:r w:rsidR="001817E7">
        <w:t>s</w:t>
      </w:r>
      <w:r w:rsidR="00404D74">
        <w:t xml:space="preserve"> </w:t>
      </w:r>
      <w:r w:rsidR="001817E7">
        <w:t>10</w:t>
      </w:r>
      <w:r w:rsidR="008F16E5">
        <w:t>46</w:t>
      </w:r>
      <w:r w:rsidR="00943E53">
        <w:t xml:space="preserve">(1) </w:t>
      </w:r>
      <w:r w:rsidR="00943E53" w:rsidRPr="00676CF9">
        <w:rPr>
          <w:i/>
        </w:rPr>
        <w:t>Corporations Act</w:t>
      </w:r>
      <w:r w:rsidR="007F63CC" w:rsidRPr="00676CF9">
        <w:rPr>
          <w:i/>
        </w:rPr>
        <w:t xml:space="preserve"> 2001</w:t>
      </w:r>
      <w:r w:rsidR="007F63CC">
        <w:rPr>
          <w:i/>
        </w:rPr>
        <w:t xml:space="preserve"> </w:t>
      </w:r>
      <w:r w:rsidR="007F63CC" w:rsidRPr="00676CF9">
        <w:t>(Corporations Act</w:t>
      </w:r>
      <w:r w:rsidR="007F63CC">
        <w:rPr>
          <w:i/>
        </w:rPr>
        <w:t>)</w:t>
      </w:r>
      <w:r w:rsidR="001817E7">
        <w:t>)</w:t>
      </w:r>
      <w:r w:rsidR="00430193">
        <w:t>.</w:t>
      </w:r>
      <w:r w:rsidR="009C718A" w:rsidDel="00430193">
        <w:t xml:space="preserve"> </w:t>
      </w:r>
    </w:p>
    <w:p w:rsidR="009C718A" w:rsidRDefault="009C718A" w:rsidP="009C718A">
      <w:pPr>
        <w:pStyle w:val="OutlineNumbered1"/>
      </w:pPr>
      <w:r>
        <w:t xml:space="preserve">In making the decision to designate a scheme as the authorised EDR scheme, the Minister will have regard to </w:t>
      </w:r>
      <w:r w:rsidR="000A390C">
        <w:t xml:space="preserve">requirements specified in the </w:t>
      </w:r>
      <w:r w:rsidR="005B5022">
        <w:t>legislation</w:t>
      </w:r>
      <w:r w:rsidR="001B4678">
        <w:t xml:space="preserve"> (see especially proposed </w:t>
      </w:r>
      <w:proofErr w:type="spellStart"/>
      <w:r w:rsidR="001B4678">
        <w:t>ss</w:t>
      </w:r>
      <w:proofErr w:type="spellEnd"/>
      <w:r w:rsidR="001B4678">
        <w:t xml:space="preserve"> 1046(2) and s 1047</w:t>
      </w:r>
      <w:r w:rsidR="00943E53">
        <w:t xml:space="preserve"> Corporations Act</w:t>
      </w:r>
      <w:r w:rsidR="001B4678">
        <w:t>)</w:t>
      </w:r>
      <w:r w:rsidR="000A390C">
        <w:t xml:space="preserve">. </w:t>
      </w:r>
      <w:r w:rsidR="001B4678">
        <w:t>Among other things, t</w:t>
      </w:r>
      <w:r w:rsidR="000A390C" w:rsidRPr="00183593">
        <w:t xml:space="preserve">he </w:t>
      </w:r>
      <w:r>
        <w:t>Minister will have regard to whether the scheme will be</w:t>
      </w:r>
      <w:r w:rsidR="000A390C" w:rsidRPr="00183593">
        <w:t xml:space="preserve">: accessible, accountable, </w:t>
      </w:r>
      <w:r w:rsidR="00183593" w:rsidRPr="00183593">
        <w:t xml:space="preserve">free for consumers, efficient, effective, </w:t>
      </w:r>
      <w:proofErr w:type="gramStart"/>
      <w:r w:rsidR="009B6457">
        <w:t>able</w:t>
      </w:r>
      <w:proofErr w:type="gramEnd"/>
      <w:r w:rsidR="009B6457">
        <w:t xml:space="preserve"> to </w:t>
      </w:r>
      <w:r w:rsidR="00183593" w:rsidRPr="00183593">
        <w:t>deal with complaints in a timely manner and have the necessary expertise to effectively operate the scheme.</w:t>
      </w:r>
    </w:p>
    <w:p w:rsidR="000A390C" w:rsidRPr="00057F13" w:rsidRDefault="009C718A" w:rsidP="009C718A">
      <w:pPr>
        <w:pStyle w:val="OutlineNumbered1"/>
      </w:pPr>
      <w:r>
        <w:t xml:space="preserve">In making the authorisation decision, </w:t>
      </w:r>
      <w:r w:rsidR="001817E7">
        <w:t xml:space="preserve">it is expected that </w:t>
      </w:r>
      <w:r>
        <w:t xml:space="preserve">the Minister will have regard to the </w:t>
      </w:r>
      <w:r w:rsidR="005F1E7F">
        <w:t xml:space="preserve">proposed </w:t>
      </w:r>
      <w:r w:rsidR="00430193">
        <w:t>operational rules of the scheme (its ‘t</w:t>
      </w:r>
      <w:r>
        <w:t xml:space="preserve">erms of </w:t>
      </w:r>
      <w:r w:rsidR="00430193">
        <w:t>re</w:t>
      </w:r>
      <w:r>
        <w:t>ference</w:t>
      </w:r>
      <w:r w:rsidR="00430193">
        <w:t xml:space="preserve">’). </w:t>
      </w:r>
    </w:p>
    <w:p w:rsidR="007F085A" w:rsidRDefault="00B01559" w:rsidP="009C718A">
      <w:pPr>
        <w:pStyle w:val="OutlineNumbered1"/>
      </w:pPr>
      <w:r>
        <w:t>Consistent with the Government decision</w:t>
      </w:r>
      <w:r w:rsidR="00AE33E8">
        <w:t xml:space="preserve"> that there be a one-stop shop EDR scheme</w:t>
      </w:r>
      <w:r>
        <w:t>, t</w:t>
      </w:r>
      <w:r w:rsidR="007F085A">
        <w:t>he Minister will only authorise one scheme as the authorised EDR scheme.</w:t>
      </w:r>
    </w:p>
    <w:p w:rsidR="00430193" w:rsidRDefault="00430193" w:rsidP="00057F13">
      <w:pPr>
        <w:pStyle w:val="Heading3"/>
      </w:pPr>
      <w:bookmarkStart w:id="75" w:name="_Toc481060955"/>
      <w:bookmarkStart w:id="76" w:name="_Toc481061486"/>
      <w:bookmarkStart w:id="77" w:name="_Toc481062584"/>
      <w:bookmarkStart w:id="78" w:name="_Toc481063531"/>
      <w:bookmarkStart w:id="79" w:name="_Toc481065081"/>
      <w:bookmarkStart w:id="80" w:name="_Toc481065961"/>
      <w:bookmarkStart w:id="81" w:name="_Toc481068025"/>
      <w:bookmarkStart w:id="82" w:name="_Toc482200363"/>
      <w:bookmarkStart w:id="83" w:name="_Toc482200700"/>
      <w:r>
        <w:t>Membership will be compulsory for all financial firms</w:t>
      </w:r>
      <w:bookmarkEnd w:id="75"/>
      <w:bookmarkEnd w:id="76"/>
      <w:bookmarkEnd w:id="77"/>
      <w:bookmarkEnd w:id="78"/>
      <w:bookmarkEnd w:id="79"/>
      <w:bookmarkEnd w:id="80"/>
      <w:bookmarkEnd w:id="81"/>
      <w:bookmarkEnd w:id="82"/>
      <w:bookmarkEnd w:id="83"/>
    </w:p>
    <w:p w:rsidR="00051064" w:rsidRDefault="00430193">
      <w:pPr>
        <w:pStyle w:val="OutlineNumbered1"/>
      </w:pPr>
      <w:r>
        <w:t xml:space="preserve">In order to ensure that its decisions are binding, financial firms </w:t>
      </w:r>
      <w:r w:rsidR="00244F4C">
        <w:t>providing services to retail clients</w:t>
      </w:r>
      <w:r w:rsidR="00641C66">
        <w:t>,</w:t>
      </w:r>
      <w:r w:rsidR="00244F4C">
        <w:t xml:space="preserve"> </w:t>
      </w:r>
      <w:r w:rsidR="00641C66">
        <w:t>as well as</w:t>
      </w:r>
      <w:r>
        <w:t xml:space="preserve"> </w:t>
      </w:r>
      <w:r w:rsidR="003361DF">
        <w:t xml:space="preserve">regulated </w:t>
      </w:r>
      <w:r>
        <w:t>superannuation funds</w:t>
      </w:r>
      <w:r w:rsidR="00641C66">
        <w:t xml:space="preserve"> (other than self</w:t>
      </w:r>
      <w:r w:rsidR="00D85605">
        <w:noBreakHyphen/>
      </w:r>
      <w:r w:rsidR="00641C66">
        <w:t>managed superannuation funds</w:t>
      </w:r>
      <w:r w:rsidDel="00641C66">
        <w:t>)</w:t>
      </w:r>
      <w:r w:rsidR="00641C66">
        <w:t xml:space="preserve"> and approved deposit funds,</w:t>
      </w:r>
      <w:r>
        <w:t xml:space="preserve"> will be required </w:t>
      </w:r>
      <w:r w:rsidR="005D1C3F">
        <w:t xml:space="preserve">under </w:t>
      </w:r>
      <w:r w:rsidR="003E40A6">
        <w:t xml:space="preserve">the </w:t>
      </w:r>
      <w:r w:rsidR="001C2EBB">
        <w:t xml:space="preserve">Bill and Regulations </w:t>
      </w:r>
      <w:r>
        <w:t>to be members of the single EDR scheme as a condition of one or more of their licences and be contractually bound to comply with its rules.</w:t>
      </w:r>
      <w:r w:rsidR="001C2EBB">
        <w:t xml:space="preserve"> </w:t>
      </w:r>
    </w:p>
    <w:p w:rsidR="000A390C" w:rsidRDefault="000A390C" w:rsidP="00057F13">
      <w:pPr>
        <w:pStyle w:val="Heading3"/>
      </w:pPr>
      <w:bookmarkStart w:id="84" w:name="_Toc481060956"/>
      <w:bookmarkStart w:id="85" w:name="_Toc481061487"/>
      <w:bookmarkStart w:id="86" w:name="_Toc481062585"/>
      <w:bookmarkStart w:id="87" w:name="_Toc481063532"/>
      <w:bookmarkStart w:id="88" w:name="_Toc481065082"/>
      <w:bookmarkStart w:id="89" w:name="_Toc481065962"/>
      <w:bookmarkStart w:id="90" w:name="_Toc481068026"/>
      <w:bookmarkStart w:id="91" w:name="_Toc482200364"/>
      <w:bookmarkStart w:id="92" w:name="_Toc482200701"/>
      <w:r>
        <w:t>Strengthened regulatory oversight</w:t>
      </w:r>
      <w:bookmarkEnd w:id="84"/>
      <w:bookmarkEnd w:id="85"/>
      <w:bookmarkEnd w:id="86"/>
      <w:bookmarkEnd w:id="87"/>
      <w:bookmarkEnd w:id="88"/>
      <w:bookmarkEnd w:id="89"/>
      <w:bookmarkEnd w:id="90"/>
      <w:bookmarkEnd w:id="91"/>
      <w:bookmarkEnd w:id="92"/>
    </w:p>
    <w:p w:rsidR="00D164D0" w:rsidRDefault="00D164D0" w:rsidP="003E727D">
      <w:pPr>
        <w:pStyle w:val="OutlineNumbered1"/>
      </w:pPr>
      <w:r>
        <w:t xml:space="preserve">The EDR scheme will be subject to enhanced oversight and monitoring.  </w:t>
      </w:r>
    </w:p>
    <w:p w:rsidR="003E727D" w:rsidRDefault="001871ED" w:rsidP="003E727D">
      <w:pPr>
        <w:pStyle w:val="OutlineNumbered1"/>
      </w:pPr>
      <w:r>
        <w:t>The authorisation of the EDR scheme will be subject to conditions (see proposed s 1048</w:t>
      </w:r>
      <w:r w:rsidR="00E21A3A">
        <w:t xml:space="preserve"> Corporations Act</w:t>
      </w:r>
      <w:r>
        <w:t xml:space="preserve">), including a condition that it complies with </w:t>
      </w:r>
      <w:r w:rsidR="00D164D0">
        <w:t xml:space="preserve"> </w:t>
      </w:r>
      <w:r w:rsidR="003E727D">
        <w:t xml:space="preserve">ongoing </w:t>
      </w:r>
      <w:r w:rsidR="00FD1FEA">
        <w:t xml:space="preserve">scheme functions </w:t>
      </w:r>
      <w:r w:rsidR="003E727D">
        <w:t xml:space="preserve">set out in </w:t>
      </w:r>
      <w:r w:rsidR="00C3338F">
        <w:t xml:space="preserve">proposed </w:t>
      </w:r>
      <w:r w:rsidR="00BF0620">
        <w:t>s</w:t>
      </w:r>
      <w:r w:rsidR="00C3338F">
        <w:t xml:space="preserve"> </w:t>
      </w:r>
      <w:r w:rsidR="00BF0620">
        <w:t>10</w:t>
      </w:r>
      <w:r>
        <w:t>47</w:t>
      </w:r>
      <w:r w:rsidR="007F63CC">
        <w:t xml:space="preserve"> Corporations Act</w:t>
      </w:r>
      <w:r w:rsidR="00BF0620">
        <w:t>)</w:t>
      </w:r>
      <w:r w:rsidR="00D164D0">
        <w:t xml:space="preserve">, </w:t>
      </w:r>
      <w:r>
        <w:t xml:space="preserve">and that it </w:t>
      </w:r>
      <w:r w:rsidR="00D164D0">
        <w:t>compl</w:t>
      </w:r>
      <w:r>
        <w:t>ies</w:t>
      </w:r>
      <w:r w:rsidR="00D164D0">
        <w:t xml:space="preserve"> with</w:t>
      </w:r>
      <w:r w:rsidR="0020536D">
        <w:t xml:space="preserve"> any</w:t>
      </w:r>
      <w:r w:rsidR="00D164D0">
        <w:t xml:space="preserve"> regulatory requirements set by ASIC. </w:t>
      </w:r>
      <w:r w:rsidR="003E727D">
        <w:t xml:space="preserve">ASIC will be provided with </w:t>
      </w:r>
      <w:r w:rsidR="003E727D" w:rsidRPr="003C65CF">
        <w:t>a new power</w:t>
      </w:r>
      <w:r w:rsidR="003E727D">
        <w:t xml:space="preserve"> to issue </w:t>
      </w:r>
      <w:r w:rsidR="0020536D">
        <w:t>such</w:t>
      </w:r>
      <w:r w:rsidR="00D164D0">
        <w:t xml:space="preserve"> </w:t>
      </w:r>
      <w:r w:rsidR="003E727D">
        <w:t>requirements</w:t>
      </w:r>
      <w:r w:rsidR="00C3338F">
        <w:t>, which will be legislative instruments</w:t>
      </w:r>
      <w:r>
        <w:t xml:space="preserve"> (proposed s 1049</w:t>
      </w:r>
      <w:r w:rsidR="007F63CC">
        <w:t xml:space="preserve"> Corporations Act</w:t>
      </w:r>
      <w:r>
        <w:t>)</w:t>
      </w:r>
      <w:r w:rsidR="003E727D">
        <w:t xml:space="preserve">. </w:t>
      </w:r>
    </w:p>
    <w:p w:rsidR="005F1E7F" w:rsidRDefault="005F1E7F" w:rsidP="005F1E7F">
      <w:pPr>
        <w:pStyle w:val="OutlineNumbered1"/>
      </w:pPr>
      <w:r>
        <w:t xml:space="preserve">The EDR scheme will also need to seek approval from ASIC </w:t>
      </w:r>
      <w:r w:rsidR="00205317">
        <w:t xml:space="preserve">before </w:t>
      </w:r>
      <w:r w:rsidR="001C6997">
        <w:t>the operator of the EDR scheme can make any</w:t>
      </w:r>
      <w:r>
        <w:t xml:space="preserve"> materi</w:t>
      </w:r>
      <w:r w:rsidR="000360C7">
        <w:t>al changes to its terms of r</w:t>
      </w:r>
      <w:r>
        <w:t>eference</w:t>
      </w:r>
      <w:r w:rsidR="00C3338F">
        <w:t xml:space="preserve"> (proposed s 1050</w:t>
      </w:r>
      <w:r w:rsidR="007F63CC">
        <w:t xml:space="preserve"> Corporations Act</w:t>
      </w:r>
      <w:r w:rsidR="00C3338F">
        <w:t>)</w:t>
      </w:r>
      <w:r>
        <w:t xml:space="preserve">. </w:t>
      </w:r>
      <w:r w:rsidR="001C6997">
        <w:t xml:space="preserve">ASIC will take into account the same matters the Minister considered when authorising the EDR scheme before approving the change. </w:t>
      </w:r>
    </w:p>
    <w:p w:rsidR="003E727D" w:rsidRDefault="000A390C" w:rsidP="005F1E7F">
      <w:pPr>
        <w:pStyle w:val="OutlineNumbered1"/>
      </w:pPr>
      <w:r>
        <w:t xml:space="preserve">ASIC will be provided with a general directions power that can be used where the </w:t>
      </w:r>
      <w:r w:rsidR="002E3BCE">
        <w:t>scheme</w:t>
      </w:r>
      <w:r>
        <w:t xml:space="preserve"> fails to meet </w:t>
      </w:r>
      <w:r w:rsidR="00BF603D">
        <w:t>a condition of its authorisation</w:t>
      </w:r>
      <w:r w:rsidR="00FD1FEA">
        <w:t xml:space="preserve"> (proposed s 1051</w:t>
      </w:r>
      <w:r w:rsidR="007F63CC">
        <w:t xml:space="preserve"> Corporations Act</w:t>
      </w:r>
      <w:r w:rsidR="00FD1FEA">
        <w:t>)</w:t>
      </w:r>
      <w:r w:rsidR="001871ED">
        <w:t>, including</w:t>
      </w:r>
      <w:r w:rsidR="00422134">
        <w:t xml:space="preserve"> conditions </w:t>
      </w:r>
      <w:r w:rsidR="00BF603D">
        <w:t>set out in proposed s 1048</w:t>
      </w:r>
      <w:r w:rsidR="007F63CC">
        <w:t xml:space="preserve">, a failure to </w:t>
      </w:r>
      <w:r w:rsidR="0006082F">
        <w:t xml:space="preserve">perform </w:t>
      </w:r>
      <w:r w:rsidR="00BF603D">
        <w:t>the scheme functions</w:t>
      </w:r>
      <w:r w:rsidR="00BF0620">
        <w:t xml:space="preserve"> set out in </w:t>
      </w:r>
      <w:r w:rsidR="000360C7">
        <w:t xml:space="preserve">proposed </w:t>
      </w:r>
      <w:r w:rsidR="00BF603D">
        <w:t xml:space="preserve">s </w:t>
      </w:r>
      <w:r w:rsidR="00BF0620">
        <w:t>10</w:t>
      </w:r>
      <w:r w:rsidR="00BF603D">
        <w:t>47</w:t>
      </w:r>
      <w:r w:rsidR="007F63CC">
        <w:t>,</w:t>
      </w:r>
      <w:r w:rsidR="00BF0620">
        <w:t xml:space="preserve"> or </w:t>
      </w:r>
      <w:r w:rsidR="0006082F">
        <w:t xml:space="preserve">comply with </w:t>
      </w:r>
      <w:r w:rsidR="007F63CC">
        <w:t xml:space="preserve">ASIC regulatory requirements </w:t>
      </w:r>
      <w:r w:rsidR="00BF0620">
        <w:t xml:space="preserve">made under </w:t>
      </w:r>
      <w:r w:rsidR="000360C7">
        <w:t xml:space="preserve">proposed </w:t>
      </w:r>
      <w:r w:rsidR="00BF0620">
        <w:t>s</w:t>
      </w:r>
      <w:r w:rsidR="00BF603D">
        <w:t xml:space="preserve"> </w:t>
      </w:r>
      <w:r w:rsidR="00BF0620">
        <w:t>10</w:t>
      </w:r>
      <w:r w:rsidR="00BF603D">
        <w:t>49</w:t>
      </w:r>
      <w:r>
        <w:t>.</w:t>
      </w:r>
      <w:r w:rsidR="00BF0620">
        <w:t xml:space="preserve"> Before issuing a direction, ASIC will be required to provide the operator of the EDR scheme with written </w:t>
      </w:r>
      <w:r w:rsidR="00F202C4">
        <w:t xml:space="preserve">advice </w:t>
      </w:r>
      <w:r w:rsidR="00BF0620">
        <w:t>that it intends to use its power</w:t>
      </w:r>
      <w:r w:rsidR="00F202C4">
        <w:t xml:space="preserve"> and the reasons for that </w:t>
      </w:r>
      <w:r w:rsidR="007F63CC">
        <w:t>decision</w:t>
      </w:r>
      <w:r w:rsidR="00490727">
        <w:t>,</w:t>
      </w:r>
      <w:r w:rsidR="00F202C4">
        <w:t xml:space="preserve"> as well as set out the specific measures the operator needs to undertake to comply with the condition</w:t>
      </w:r>
      <w:r w:rsidR="000A558C">
        <w:t xml:space="preserve"> of its authorisation</w:t>
      </w:r>
      <w:r w:rsidR="00BF0620" w:rsidDel="00F202C4">
        <w:t>.</w:t>
      </w:r>
    </w:p>
    <w:p w:rsidR="000734BD" w:rsidRDefault="000A390C" w:rsidP="005B5022">
      <w:pPr>
        <w:pStyle w:val="OutlineNumbered1"/>
      </w:pPr>
      <w:r>
        <w:t xml:space="preserve">Use of the directions power will be subject to merits review. </w:t>
      </w:r>
    </w:p>
    <w:p w:rsidR="000A390C" w:rsidRDefault="000A390C" w:rsidP="00057F13">
      <w:pPr>
        <w:pStyle w:val="Heading3"/>
      </w:pPr>
      <w:bookmarkStart w:id="93" w:name="_Toc481060957"/>
      <w:bookmarkStart w:id="94" w:name="_Toc481061488"/>
      <w:bookmarkStart w:id="95" w:name="_Toc481062586"/>
      <w:bookmarkStart w:id="96" w:name="_Toc481063533"/>
      <w:bookmarkStart w:id="97" w:name="_Toc481065083"/>
      <w:bookmarkStart w:id="98" w:name="_Toc481065963"/>
      <w:bookmarkStart w:id="99" w:name="_Toc481068027"/>
      <w:bookmarkStart w:id="100" w:name="_Toc482200365"/>
      <w:bookmarkStart w:id="101" w:name="_Toc482200702"/>
      <w:r>
        <w:t>Enhanced internal dispute resolution reporting</w:t>
      </w:r>
      <w:bookmarkEnd w:id="93"/>
      <w:bookmarkEnd w:id="94"/>
      <w:bookmarkEnd w:id="95"/>
      <w:bookmarkEnd w:id="96"/>
      <w:bookmarkEnd w:id="97"/>
      <w:bookmarkEnd w:id="98"/>
      <w:bookmarkEnd w:id="99"/>
      <w:bookmarkEnd w:id="100"/>
      <w:bookmarkEnd w:id="101"/>
    </w:p>
    <w:p w:rsidR="001045E3" w:rsidRDefault="00A26EEB" w:rsidP="005B5022">
      <w:pPr>
        <w:pStyle w:val="OutlineNumbered1"/>
      </w:pPr>
      <w:r>
        <w:t>T</w:t>
      </w:r>
      <w:r w:rsidR="000A390C" w:rsidRPr="005B5022">
        <w:t>here will be enhanced</w:t>
      </w:r>
      <w:r w:rsidR="001045E3">
        <w:t xml:space="preserve"> transparency and accountability of</w:t>
      </w:r>
      <w:r w:rsidR="000A390C" w:rsidRPr="005B5022">
        <w:t xml:space="preserve"> </w:t>
      </w:r>
      <w:r w:rsidR="000734BD">
        <w:t>the</w:t>
      </w:r>
      <w:r w:rsidR="007F085A">
        <w:t xml:space="preserve"> </w:t>
      </w:r>
      <w:r w:rsidR="000A390C" w:rsidRPr="005B5022">
        <w:t>internal dispute resolution (IDR)</w:t>
      </w:r>
      <w:r w:rsidR="000734BD">
        <w:t xml:space="preserve"> activities of firms</w:t>
      </w:r>
      <w:r w:rsidR="001045E3">
        <w:t xml:space="preserve">. </w:t>
      </w:r>
    </w:p>
    <w:p w:rsidR="000A390C" w:rsidRPr="005B5022" w:rsidRDefault="000A390C" w:rsidP="005B5022">
      <w:pPr>
        <w:pStyle w:val="OutlineNumbered1"/>
      </w:pPr>
      <w:r w:rsidRPr="005B5022">
        <w:t xml:space="preserve">All members of </w:t>
      </w:r>
      <w:r w:rsidR="00A26EEB">
        <w:t>the</w:t>
      </w:r>
      <w:r w:rsidRPr="005B5022">
        <w:t xml:space="preserve"> EDR scheme will be required to </w:t>
      </w:r>
      <w:r w:rsidR="0020536D">
        <w:t xml:space="preserve">have IDR arrangements that comply with ASIC’s regulatory guidance and be required to </w:t>
      </w:r>
      <w:r w:rsidRPr="005B5022">
        <w:t xml:space="preserve">report to ASIC in a standardised form (as determined by ASIC) on their IDR activity. </w:t>
      </w:r>
      <w:r w:rsidR="001F24CC" w:rsidRPr="00057F13">
        <w:t>For superannuation complaints</w:t>
      </w:r>
      <w:r w:rsidR="00E77E75" w:rsidRPr="00057F13">
        <w:t>,</w:t>
      </w:r>
      <w:r w:rsidR="001F24CC" w:rsidRPr="00057F13">
        <w:t xml:space="preserve"> the above requirements will replace those contained in section 101 of the </w:t>
      </w:r>
      <w:r w:rsidR="001F24CC" w:rsidRPr="00057F13">
        <w:rPr>
          <w:i/>
        </w:rPr>
        <w:t>Superannuation Industry (Supervision) Act 1993</w:t>
      </w:r>
      <w:r w:rsidR="00413D47">
        <w:t xml:space="preserve"> (SIS Act)</w:t>
      </w:r>
      <w:r w:rsidR="001F24CC" w:rsidRPr="00057F13">
        <w:rPr>
          <w:i/>
        </w:rPr>
        <w:t>.</w:t>
      </w:r>
    </w:p>
    <w:p w:rsidR="005B5022" w:rsidRPr="00057F13" w:rsidRDefault="005B5022" w:rsidP="0060396C">
      <w:pPr>
        <w:pStyle w:val="Heading3"/>
      </w:pPr>
      <w:bookmarkStart w:id="102" w:name="_Toc481060958"/>
      <w:bookmarkStart w:id="103" w:name="_Toc481061489"/>
      <w:bookmarkStart w:id="104" w:name="_Toc481062587"/>
      <w:bookmarkStart w:id="105" w:name="_Toc481063534"/>
      <w:bookmarkStart w:id="106" w:name="_Toc481065084"/>
      <w:bookmarkStart w:id="107" w:name="_Toc481065964"/>
      <w:bookmarkStart w:id="108" w:name="_Toc481068028"/>
      <w:bookmarkStart w:id="109" w:name="_Toc482200366"/>
      <w:bookmarkStart w:id="110" w:name="_Toc482200703"/>
      <w:bookmarkStart w:id="111" w:name="_Toc306887373"/>
      <w:r w:rsidRPr="00057F13">
        <w:t>Superannuation</w:t>
      </w:r>
      <w:r w:rsidR="001F24CC" w:rsidRPr="00057F13">
        <w:t xml:space="preserve"> complaints</w:t>
      </w:r>
      <w:bookmarkEnd w:id="102"/>
      <w:bookmarkEnd w:id="103"/>
      <w:bookmarkEnd w:id="104"/>
      <w:bookmarkEnd w:id="105"/>
      <w:bookmarkEnd w:id="106"/>
      <w:bookmarkEnd w:id="107"/>
      <w:bookmarkEnd w:id="108"/>
      <w:bookmarkEnd w:id="109"/>
      <w:bookmarkEnd w:id="110"/>
    </w:p>
    <w:p w:rsidR="002E59C5" w:rsidRPr="00057F13" w:rsidRDefault="0023380D" w:rsidP="005B5022">
      <w:pPr>
        <w:pStyle w:val="OutlineNumbered1"/>
      </w:pPr>
      <w:r w:rsidRPr="00057F13">
        <w:t>Superannuation is a compulsory, long</w:t>
      </w:r>
      <w:r w:rsidRPr="00057F13">
        <w:noBreakHyphen/>
        <w:t>term product</w:t>
      </w:r>
      <w:r w:rsidRPr="00CC7E02">
        <w:t xml:space="preserve"> </w:t>
      </w:r>
      <w:r w:rsidR="00272852">
        <w:t>and currently, superannuation complaints have</w:t>
      </w:r>
      <w:r w:rsidRPr="00057F13">
        <w:t xml:space="preserve"> an unlimited monetary jurisdiction. </w:t>
      </w:r>
      <w:r w:rsidR="008C6EA5" w:rsidRPr="00057F13">
        <w:t xml:space="preserve">The Government </w:t>
      </w:r>
      <w:r w:rsidR="00C17A7C" w:rsidRPr="00057F13">
        <w:t xml:space="preserve">agrees with the Ramsay Review recommendation that </w:t>
      </w:r>
      <w:r w:rsidR="001871ED">
        <w:t xml:space="preserve">the EDR scheme </w:t>
      </w:r>
      <w:r w:rsidR="00C17A7C" w:rsidRPr="00057F13">
        <w:t>should have appropriate statutory powers</w:t>
      </w:r>
      <w:r w:rsidR="001871ED">
        <w:t xml:space="preserve"> in relation to </w:t>
      </w:r>
      <w:r w:rsidR="008C6EA5" w:rsidRPr="00057F13">
        <w:t xml:space="preserve">superannuation </w:t>
      </w:r>
      <w:r w:rsidR="00182C87">
        <w:t>complaints</w:t>
      </w:r>
      <w:r w:rsidR="00C17A7C" w:rsidRPr="00057F13">
        <w:t xml:space="preserve">. </w:t>
      </w:r>
      <w:r w:rsidR="001871ED">
        <w:t>S</w:t>
      </w:r>
      <w:r w:rsidR="008C6EA5" w:rsidRPr="00057F13">
        <w:t xml:space="preserve">uperannuation </w:t>
      </w:r>
      <w:r w:rsidR="00182C87">
        <w:t>complaints</w:t>
      </w:r>
      <w:r w:rsidR="008C6EA5" w:rsidRPr="00057F13">
        <w:t xml:space="preserve"> </w:t>
      </w:r>
      <w:r w:rsidR="00767CB7" w:rsidRPr="0052217A">
        <w:t>may</w:t>
      </w:r>
      <w:r w:rsidR="008C6EA5" w:rsidRPr="00057F13">
        <w:t xml:space="preserve"> have unique features that </w:t>
      </w:r>
      <w:r w:rsidR="00616DB2" w:rsidRPr="0052217A">
        <w:t>may</w:t>
      </w:r>
      <w:r w:rsidR="00616DB2">
        <w:t xml:space="preserve"> </w:t>
      </w:r>
      <w:r w:rsidR="008C6EA5" w:rsidRPr="00057F13">
        <w:t xml:space="preserve">require statutory provisions for effective </w:t>
      </w:r>
      <w:r w:rsidR="00232515" w:rsidRPr="00057F13">
        <w:t xml:space="preserve">dispute resolution. </w:t>
      </w:r>
    </w:p>
    <w:p w:rsidR="008C6EA5" w:rsidRPr="00057F13" w:rsidRDefault="00232515" w:rsidP="005B5022">
      <w:pPr>
        <w:pStyle w:val="OutlineNumbered1"/>
      </w:pPr>
      <w:r w:rsidRPr="00057F13">
        <w:t xml:space="preserve">In particular, </w:t>
      </w:r>
      <w:r w:rsidR="001871ED">
        <w:t xml:space="preserve">unlike other financial </w:t>
      </w:r>
      <w:r w:rsidR="009340D2">
        <w:t>system</w:t>
      </w:r>
      <w:r w:rsidR="001871ED">
        <w:t xml:space="preserve"> complaints, </w:t>
      </w:r>
      <w:r w:rsidR="00616DB2" w:rsidRPr="0052217A">
        <w:t>some</w:t>
      </w:r>
      <w:r w:rsidR="00616DB2">
        <w:t xml:space="preserve"> </w:t>
      </w:r>
      <w:r w:rsidR="002E59C5" w:rsidRPr="00057F13">
        <w:t>superannuation</w:t>
      </w:r>
      <w:r w:rsidR="008C6EA5" w:rsidRPr="00057F13">
        <w:t xml:space="preserve"> complaints </w:t>
      </w:r>
      <w:r w:rsidRPr="00057F13">
        <w:t xml:space="preserve">may </w:t>
      </w:r>
      <w:r w:rsidR="001871ED">
        <w:t xml:space="preserve">not be able to be adequately resolved </w:t>
      </w:r>
      <w:r w:rsidR="00E302CE">
        <w:t>by relying</w:t>
      </w:r>
      <w:r w:rsidR="001871ED">
        <w:t xml:space="preserve"> on the contractual obligations between the EDR scheme and its members (as set out in the terms of reference). Superannuation complaints </w:t>
      </w:r>
      <w:r w:rsidRPr="00057F13">
        <w:t xml:space="preserve">may </w:t>
      </w:r>
      <w:r w:rsidR="008C6EA5" w:rsidRPr="00057F13">
        <w:t xml:space="preserve">involve third parties to a </w:t>
      </w:r>
      <w:r w:rsidR="00B76D00">
        <w:t>complaint</w:t>
      </w:r>
      <w:r w:rsidR="008C6EA5" w:rsidRPr="00057F13">
        <w:t xml:space="preserve">, where a person is not a party to a contract between the complainant and the member of the EDR </w:t>
      </w:r>
      <w:r w:rsidR="002E3BCE">
        <w:t>scheme</w:t>
      </w:r>
      <w:r w:rsidRPr="00057F13">
        <w:t xml:space="preserve"> but may have an interest in </w:t>
      </w:r>
      <w:r w:rsidR="00B76D00">
        <w:t>the outcome of a complaint</w:t>
      </w:r>
      <w:r w:rsidR="00C17A7C" w:rsidRPr="00057F13">
        <w:t xml:space="preserve">; for example, </w:t>
      </w:r>
      <w:r w:rsidR="002E59C5" w:rsidRPr="00057F13">
        <w:t xml:space="preserve">beneficiaries to a death benefit.  </w:t>
      </w:r>
    </w:p>
    <w:p w:rsidR="008C6EA5" w:rsidRPr="00057F13" w:rsidRDefault="001871ED" w:rsidP="005B5022">
      <w:pPr>
        <w:pStyle w:val="OutlineNumbered1"/>
      </w:pPr>
      <w:r>
        <w:t xml:space="preserve">The EDR scheme will have enhanced flexibility under the </w:t>
      </w:r>
      <w:r w:rsidR="0033146B">
        <w:t xml:space="preserve">proposed </w:t>
      </w:r>
      <w:r w:rsidR="00F45EAA">
        <w:t>industry-based</w:t>
      </w:r>
      <w:r>
        <w:t xml:space="preserve"> model to resolve disputes</w:t>
      </w:r>
      <w:r w:rsidR="008B361A">
        <w:t xml:space="preserve">. </w:t>
      </w:r>
      <w:r w:rsidR="002E7F51" w:rsidRPr="0052217A">
        <w:t>I</w:t>
      </w:r>
      <w:r w:rsidR="00616DB2" w:rsidRPr="0052217A">
        <w:t>t</w:t>
      </w:r>
      <w:r>
        <w:t xml:space="preserve"> </w:t>
      </w:r>
      <w:r w:rsidR="009B6457">
        <w:t xml:space="preserve">will </w:t>
      </w:r>
      <w:r>
        <w:t xml:space="preserve">also be given sufficient powers to ensure that the rights parties currently have under the SCT framework are preserved in the new framework. Consistent with this, </w:t>
      </w:r>
      <w:r w:rsidR="0023380D" w:rsidRPr="00057F13">
        <w:t xml:space="preserve">complaints handled by the EDR </w:t>
      </w:r>
      <w:r w:rsidR="002E3BCE">
        <w:t>scheme</w:t>
      </w:r>
      <w:r w:rsidR="0023380D" w:rsidRPr="00057F13">
        <w:t xml:space="preserve"> will be covered by the statutory powers</w:t>
      </w:r>
      <w:r w:rsidR="00B76D00">
        <w:t xml:space="preserve"> a</w:t>
      </w:r>
      <w:r w:rsidR="009B6457">
        <w:t>s</w:t>
      </w:r>
      <w:r w:rsidR="00B76D00">
        <w:t xml:space="preserve"> defined in </w:t>
      </w:r>
      <w:r w:rsidR="0023380D" w:rsidRPr="00057F13">
        <w:t>t</w:t>
      </w:r>
      <w:r w:rsidR="008C6EA5" w:rsidRPr="00057F13">
        <w:t>he draft legislation</w:t>
      </w:r>
      <w:r w:rsidR="00B76D00">
        <w:t>. T</w:t>
      </w:r>
      <w:r w:rsidR="008C6EA5" w:rsidRPr="00057F13">
        <w:t>he draft legislation defines a ‘superannuation complaint’</w:t>
      </w:r>
      <w:r w:rsidR="00232515" w:rsidRPr="00057F13">
        <w:t xml:space="preserve"> in </w:t>
      </w:r>
      <w:r w:rsidR="004D33A7">
        <w:t>proposed s</w:t>
      </w:r>
      <w:r>
        <w:t xml:space="preserve"> 1052</w:t>
      </w:r>
      <w:r w:rsidR="007F63CC">
        <w:t xml:space="preserve"> Corporations Act</w:t>
      </w:r>
      <w:r>
        <w:t xml:space="preserve"> </w:t>
      </w:r>
      <w:r w:rsidR="004016A3">
        <w:t xml:space="preserve">in </w:t>
      </w:r>
      <w:r w:rsidR="00232515" w:rsidRPr="00057F13">
        <w:t xml:space="preserve">broad terms, </w:t>
      </w:r>
      <w:r w:rsidR="008C6EA5" w:rsidRPr="00057F13">
        <w:t xml:space="preserve">intended to </w:t>
      </w:r>
      <w:r w:rsidR="0023380D" w:rsidRPr="00057F13">
        <w:t>capture the same decision</w:t>
      </w:r>
      <w:r w:rsidR="0023380D" w:rsidRPr="00057F13">
        <w:noBreakHyphen/>
        <w:t xml:space="preserve">makers </w:t>
      </w:r>
      <w:r>
        <w:t xml:space="preserve">and types of complaints </w:t>
      </w:r>
      <w:r w:rsidR="0023380D" w:rsidRPr="00057F13">
        <w:t>covered</w:t>
      </w:r>
      <w:r w:rsidR="008C6EA5" w:rsidRPr="00057F13">
        <w:t xml:space="preserve"> </w:t>
      </w:r>
      <w:r w:rsidR="00B4715D" w:rsidRPr="00057F13">
        <w:t>by</w:t>
      </w:r>
      <w:r w:rsidR="008C6EA5" w:rsidRPr="00057F13">
        <w:t xml:space="preserve"> the </w:t>
      </w:r>
      <w:r w:rsidR="008C6EA5" w:rsidRPr="00057F13">
        <w:rPr>
          <w:i/>
        </w:rPr>
        <w:t>Superannuation (Resolution of Complaints) Act 1993</w:t>
      </w:r>
      <w:r w:rsidR="00EC5B76" w:rsidRPr="00057F13">
        <w:rPr>
          <w:i/>
        </w:rPr>
        <w:t xml:space="preserve">  </w:t>
      </w:r>
      <w:r w:rsidR="00EC5B76" w:rsidRPr="004D33A7">
        <w:t>(S(ROC) Act)</w:t>
      </w:r>
      <w:r w:rsidR="0023380D" w:rsidRPr="004D33A7">
        <w:t>.</w:t>
      </w:r>
    </w:p>
    <w:p w:rsidR="005B5022" w:rsidRPr="00057F13" w:rsidRDefault="004016A3" w:rsidP="005B5022">
      <w:pPr>
        <w:pStyle w:val="OutlineNumbered1"/>
      </w:pPr>
      <w:r>
        <w:t>As</w:t>
      </w:r>
      <w:r w:rsidR="00130347">
        <w:t xml:space="preserve"> noted above, </w:t>
      </w:r>
      <w:r>
        <w:t xml:space="preserve">superannuation complaints sometimes require the involvement of third parties who will not have contractual obligations to comply with the EDR scheme’s processes. Accordingly, the draft legislation provides </w:t>
      </w:r>
      <w:r w:rsidR="008C6EA5" w:rsidRPr="00057F13">
        <w:t xml:space="preserve">the EDR </w:t>
      </w:r>
      <w:r w:rsidR="002E3BCE">
        <w:t>scheme</w:t>
      </w:r>
      <w:r w:rsidR="008C6EA5" w:rsidRPr="00057F13">
        <w:t xml:space="preserve"> </w:t>
      </w:r>
      <w:r>
        <w:t>with</w:t>
      </w:r>
      <w:r w:rsidRPr="00057F13">
        <w:t xml:space="preserve"> </w:t>
      </w:r>
      <w:r>
        <w:t xml:space="preserve">equivalent powers to the SCT </w:t>
      </w:r>
      <w:r w:rsidR="008C6EA5" w:rsidRPr="00057F13">
        <w:t>to obtain information and documents</w:t>
      </w:r>
      <w:r w:rsidR="003B7732" w:rsidRPr="00057F13">
        <w:t xml:space="preserve"> (with appropriate secrecy provisions)</w:t>
      </w:r>
      <w:r>
        <w:t xml:space="preserve"> (see </w:t>
      </w:r>
      <w:r w:rsidR="004D33A7">
        <w:t xml:space="preserve">proposed </w:t>
      </w:r>
      <w:r>
        <w:t>s</w:t>
      </w:r>
      <w:r w:rsidR="004D33A7">
        <w:t xml:space="preserve"> </w:t>
      </w:r>
      <w:r>
        <w:t>1054 and</w:t>
      </w:r>
      <w:r w:rsidR="00C41342">
        <w:t xml:space="preserve"> s</w:t>
      </w:r>
      <w:r>
        <w:t xml:space="preserve"> 1064</w:t>
      </w:r>
      <w:r w:rsidR="00413D47">
        <w:t xml:space="preserve"> Corporations Act</w:t>
      </w:r>
      <w:r w:rsidR="003B7732" w:rsidRPr="00057F13">
        <w:t>)</w:t>
      </w:r>
      <w:r w:rsidR="008C6EA5" w:rsidRPr="00057F13">
        <w:t xml:space="preserve">, </w:t>
      </w:r>
      <w:r w:rsidR="002E59C5" w:rsidRPr="00057F13">
        <w:t xml:space="preserve">to </w:t>
      </w:r>
      <w:r w:rsidR="008C6EA5" w:rsidRPr="00057F13">
        <w:t xml:space="preserve">require attendance at conciliation conferences </w:t>
      </w:r>
      <w:r>
        <w:t>(</w:t>
      </w:r>
      <w:r w:rsidR="004D33A7">
        <w:t xml:space="preserve">proposed </w:t>
      </w:r>
      <w:r>
        <w:t xml:space="preserve">s 1055) </w:t>
      </w:r>
      <w:r w:rsidR="008C6EA5" w:rsidRPr="00057F13">
        <w:t xml:space="preserve">and </w:t>
      </w:r>
      <w:r w:rsidR="002E59C5" w:rsidRPr="00057F13">
        <w:t xml:space="preserve">to </w:t>
      </w:r>
      <w:r w:rsidR="008C6EA5" w:rsidRPr="00057F13">
        <w:t xml:space="preserve">join third parties to a </w:t>
      </w:r>
      <w:r w:rsidR="00C76587">
        <w:t>complaint</w:t>
      </w:r>
      <w:r>
        <w:t xml:space="preserve"> (</w:t>
      </w:r>
      <w:r w:rsidR="004D33A7">
        <w:t xml:space="preserve">proposed </w:t>
      </w:r>
      <w:r>
        <w:t>s 1053)</w:t>
      </w:r>
      <w:r w:rsidR="008C6EA5" w:rsidRPr="00057F13">
        <w:t xml:space="preserve">. </w:t>
      </w:r>
    </w:p>
    <w:p w:rsidR="008C6EA5" w:rsidRPr="00057F13" w:rsidRDefault="003B7732" w:rsidP="005B5022">
      <w:pPr>
        <w:pStyle w:val="OutlineNumbered1"/>
      </w:pPr>
      <w:r w:rsidRPr="00057F13">
        <w:t xml:space="preserve">The </w:t>
      </w:r>
      <w:r w:rsidR="004016A3">
        <w:t xml:space="preserve">draft legislation also preserves </w:t>
      </w:r>
      <w:r w:rsidR="00E66072">
        <w:t>certain existing</w:t>
      </w:r>
      <w:r w:rsidR="004016A3">
        <w:t xml:space="preserve"> requirements</w:t>
      </w:r>
      <w:r w:rsidRPr="00057F13">
        <w:t xml:space="preserve"> </w:t>
      </w:r>
      <w:r w:rsidR="008C6EA5" w:rsidRPr="00057F13">
        <w:t>around decision</w:t>
      </w:r>
      <w:r w:rsidR="00C76587">
        <w:noBreakHyphen/>
      </w:r>
      <w:r w:rsidR="008C6EA5" w:rsidRPr="00057F13">
        <w:t>making processes</w:t>
      </w:r>
      <w:r w:rsidRPr="00057F13">
        <w:t xml:space="preserve"> for superannuation complaints</w:t>
      </w:r>
      <w:r w:rsidR="008C6EA5" w:rsidRPr="00057F13">
        <w:t xml:space="preserve">. </w:t>
      </w:r>
      <w:r w:rsidR="004016A3">
        <w:t xml:space="preserve">In particular, </w:t>
      </w:r>
      <w:r w:rsidR="00E66072">
        <w:t xml:space="preserve">as under the </w:t>
      </w:r>
      <w:proofErr w:type="gramStart"/>
      <w:r w:rsidR="00E66072">
        <w:t>S(</w:t>
      </w:r>
      <w:proofErr w:type="gramEnd"/>
      <w:r w:rsidR="00E66072">
        <w:t xml:space="preserve">ROC) Act, </w:t>
      </w:r>
      <w:r w:rsidR="004016A3">
        <w:t>t</w:t>
      </w:r>
      <w:r w:rsidR="008C6EA5" w:rsidRPr="00057F13">
        <w:t xml:space="preserve">he EDR </w:t>
      </w:r>
      <w:r w:rsidR="002E3BCE">
        <w:t>scheme</w:t>
      </w:r>
      <w:r w:rsidR="008C6EA5" w:rsidRPr="00057F13">
        <w:t xml:space="preserve"> will have all the </w:t>
      </w:r>
      <w:r w:rsidR="00BE75BC">
        <w:t xml:space="preserve">powers, obligations and discretions </w:t>
      </w:r>
      <w:r w:rsidR="008C6EA5" w:rsidRPr="00057F13">
        <w:t xml:space="preserve">conferred on the trustee or other decision-maker, </w:t>
      </w:r>
      <w:r w:rsidR="00E66072">
        <w:t>and</w:t>
      </w:r>
      <w:r w:rsidR="004016A3" w:rsidRPr="00057F13">
        <w:t xml:space="preserve"> will only be able to provide remedies to remove the unfairness or unreasonableness of a decision</w:t>
      </w:r>
      <w:r w:rsidR="00E66072">
        <w:t xml:space="preserve"> (</w:t>
      </w:r>
      <w:r w:rsidR="004D33A7">
        <w:t xml:space="preserve">proposed </w:t>
      </w:r>
      <w:r w:rsidR="00E66072">
        <w:t>s 1057</w:t>
      </w:r>
      <w:r w:rsidR="00413D47">
        <w:t xml:space="preserve"> Corporations Act</w:t>
      </w:r>
      <w:r w:rsidR="00E66072">
        <w:t>)</w:t>
      </w:r>
      <w:r w:rsidR="004016A3" w:rsidRPr="00057F13">
        <w:t>.</w:t>
      </w:r>
      <w:r w:rsidR="004016A3">
        <w:t xml:space="preserve"> </w:t>
      </w:r>
      <w:r w:rsidR="008C6EA5" w:rsidRPr="00057F13">
        <w:t xml:space="preserve">This ensures that decisions made by the EDR </w:t>
      </w:r>
      <w:r w:rsidR="002E3BCE">
        <w:t>scheme</w:t>
      </w:r>
      <w:r w:rsidR="008C6EA5" w:rsidRPr="00057F13">
        <w:t xml:space="preserve"> </w:t>
      </w:r>
      <w:r w:rsidR="00E66072">
        <w:t>continue to be</w:t>
      </w:r>
      <w:r w:rsidR="00E66072" w:rsidRPr="00057F13">
        <w:t xml:space="preserve"> </w:t>
      </w:r>
      <w:r w:rsidR="008C6EA5" w:rsidRPr="00057F13">
        <w:t>consistent with superannuation fund trustee duties</w:t>
      </w:r>
      <w:r w:rsidR="00197F29" w:rsidRPr="00057F13">
        <w:t xml:space="preserve"> </w:t>
      </w:r>
      <w:r w:rsidRPr="00057F13">
        <w:t>and/</w:t>
      </w:r>
      <w:r w:rsidR="00197F29" w:rsidRPr="00057F13">
        <w:t>or the duties of other decision-makers</w:t>
      </w:r>
      <w:r w:rsidR="008C6EA5" w:rsidRPr="00057F13">
        <w:t xml:space="preserve">. </w:t>
      </w:r>
    </w:p>
    <w:p w:rsidR="008C6EA5" w:rsidRPr="00057F13" w:rsidRDefault="008C6EA5" w:rsidP="005B5022">
      <w:pPr>
        <w:pStyle w:val="OutlineNumbered1"/>
      </w:pPr>
      <w:r w:rsidRPr="00057F13">
        <w:t xml:space="preserve">EDR determinations for superannuation complaints </w:t>
      </w:r>
      <w:r w:rsidR="00BE75BC">
        <w:t>will come into operation immediately upon the making of the determination (unless otherwise specified) (</w:t>
      </w:r>
      <w:r w:rsidR="004D33A7">
        <w:t xml:space="preserve">proposed </w:t>
      </w:r>
      <w:r w:rsidR="00BE75BC">
        <w:t>s 1059</w:t>
      </w:r>
      <w:r w:rsidR="00413D47">
        <w:t xml:space="preserve"> Corporations Act</w:t>
      </w:r>
      <w:r w:rsidR="00BE75BC">
        <w:t xml:space="preserve">) and </w:t>
      </w:r>
      <w:r w:rsidRPr="00057F13">
        <w:t xml:space="preserve">will be </w:t>
      </w:r>
      <w:r w:rsidR="00197F29" w:rsidRPr="00057F13">
        <w:t xml:space="preserve">legally </w:t>
      </w:r>
      <w:r w:rsidRPr="00057F13">
        <w:t>enforceable as the original decision of the trustee</w:t>
      </w:r>
      <w:r w:rsidR="00B002BD" w:rsidRPr="00057F13">
        <w:t xml:space="preserve"> or other decision-maker</w:t>
      </w:r>
      <w:r w:rsidR="00E66072">
        <w:t xml:space="preserve"> (</w:t>
      </w:r>
      <w:r w:rsidR="004D33A7">
        <w:t xml:space="preserve">proposed </w:t>
      </w:r>
      <w:r w:rsidR="00E66072">
        <w:t>s 1059)</w:t>
      </w:r>
      <w:r w:rsidRPr="00057F13">
        <w:t xml:space="preserve">, in line with current </w:t>
      </w:r>
      <w:r w:rsidR="0023380D" w:rsidRPr="00057F13">
        <w:t>provisions</w:t>
      </w:r>
      <w:r w:rsidRPr="00057F13">
        <w:t xml:space="preserve">. </w:t>
      </w:r>
    </w:p>
    <w:p w:rsidR="00232515" w:rsidRPr="00057F13" w:rsidRDefault="00B72BD6" w:rsidP="005B5022">
      <w:pPr>
        <w:pStyle w:val="OutlineNumbered1"/>
      </w:pPr>
      <w:r w:rsidRPr="00057F13">
        <w:t xml:space="preserve">Consistent with current provisions in the </w:t>
      </w:r>
      <w:proofErr w:type="gramStart"/>
      <w:r w:rsidRPr="00057F13">
        <w:t>S(</w:t>
      </w:r>
      <w:proofErr w:type="gramEnd"/>
      <w:r w:rsidRPr="00057F13">
        <w:t xml:space="preserve">ROC) Act, all </w:t>
      </w:r>
      <w:r w:rsidR="00232515" w:rsidRPr="00057F13">
        <w:t>parties to a superannuation complaint will have the right to appeal to the Federal Court on questions of law</w:t>
      </w:r>
      <w:r w:rsidR="002E59C5" w:rsidRPr="00057F13">
        <w:t>.</w:t>
      </w:r>
      <w:r w:rsidR="00BE75BC">
        <w:t xml:space="preserve"> </w:t>
      </w:r>
    </w:p>
    <w:p w:rsidR="003B7732" w:rsidRPr="00057F13" w:rsidRDefault="000D7E19" w:rsidP="005B5022">
      <w:pPr>
        <w:pStyle w:val="OutlineNumbered1"/>
      </w:pPr>
      <w:r>
        <w:t>Many of the c</w:t>
      </w:r>
      <w:r w:rsidR="000367CF" w:rsidRPr="00057F13">
        <w:t>urrent p</w:t>
      </w:r>
      <w:r w:rsidR="003B7732" w:rsidRPr="00057F13">
        <w:t xml:space="preserve">rovisions in the </w:t>
      </w:r>
      <w:r w:rsidR="00A33025">
        <w:t>S(ROC) Act</w:t>
      </w:r>
      <w:r w:rsidR="003B7732" w:rsidRPr="00057F13">
        <w:t xml:space="preserve"> that </w:t>
      </w:r>
      <w:r w:rsidR="00EA3464">
        <w:t xml:space="preserve">relate to operational aspects of the scheme </w:t>
      </w:r>
      <w:r w:rsidR="00FF6159">
        <w:t>w</w:t>
      </w:r>
      <w:r w:rsidR="00EA3464">
        <w:t xml:space="preserve">ill be included in </w:t>
      </w:r>
      <w:r w:rsidR="0052769F">
        <w:t>the t</w:t>
      </w:r>
      <w:r w:rsidR="00EA3464">
        <w:t xml:space="preserve">erms of </w:t>
      </w:r>
      <w:r w:rsidR="0052769F">
        <w:t>r</w:t>
      </w:r>
      <w:r w:rsidR="00EA3464">
        <w:t>eference, rather than the Bill (se</w:t>
      </w:r>
      <w:r w:rsidR="004D33A7">
        <w:t>e section on terms of r</w:t>
      </w:r>
      <w:r w:rsidR="00EA3464">
        <w:t>eference).</w:t>
      </w:r>
      <w:r w:rsidR="003B7732" w:rsidRPr="00057F13">
        <w:t xml:space="preserve"> </w:t>
      </w:r>
    </w:p>
    <w:p w:rsidR="000D19C5" w:rsidRDefault="0023380D" w:rsidP="000D19C5">
      <w:pPr>
        <w:pStyle w:val="OutlineNumbered1"/>
      </w:pPr>
      <w:r w:rsidRPr="00057F13">
        <w:t>In line with current provisions</w:t>
      </w:r>
      <w:r w:rsidR="00DF20F1" w:rsidRPr="00057F13">
        <w:t>, superannuation fund</w:t>
      </w:r>
      <w:r w:rsidR="00C42510">
        <w:t>s</w:t>
      </w:r>
      <w:r w:rsidR="00DF20F1" w:rsidRPr="00057F13">
        <w:t xml:space="preserve"> which are not regulated superannuation funds under the</w:t>
      </w:r>
      <w:r w:rsidR="00413D47">
        <w:t xml:space="preserve"> SIS Act</w:t>
      </w:r>
      <w:r w:rsidR="00DF20F1" w:rsidRPr="00057F13">
        <w:t xml:space="preserve"> may elect to be members of the new EDR </w:t>
      </w:r>
      <w:r w:rsidR="002E3BCE">
        <w:t>scheme</w:t>
      </w:r>
      <w:r w:rsidR="00DF20F1" w:rsidRPr="00057F13">
        <w:t>. T</w:t>
      </w:r>
      <w:r w:rsidR="003217B6">
        <w:t>he policy intent is that t</w:t>
      </w:r>
      <w:r w:rsidR="00DF20F1" w:rsidRPr="00057F13">
        <w:t xml:space="preserve">hese </w:t>
      </w:r>
      <w:r w:rsidR="00C42510">
        <w:t>funds</w:t>
      </w:r>
      <w:r w:rsidR="00DF20F1" w:rsidRPr="00057F13">
        <w:t xml:space="preserve"> would </w:t>
      </w:r>
      <w:r w:rsidR="00131CDB">
        <w:t xml:space="preserve">then </w:t>
      </w:r>
      <w:r w:rsidR="00DF20F1" w:rsidRPr="00057F13">
        <w:t xml:space="preserve">be subject to the relevant legislative and regulatory provisions </w:t>
      </w:r>
      <w:r w:rsidR="00E8481C" w:rsidRPr="00057F13">
        <w:t>and</w:t>
      </w:r>
      <w:r w:rsidR="00DF20F1" w:rsidRPr="00057F13">
        <w:t xml:space="preserve"> the </w:t>
      </w:r>
      <w:r w:rsidR="0052769F">
        <w:t>t</w:t>
      </w:r>
      <w:r w:rsidR="00DF20F1" w:rsidRPr="00057F13">
        <w:t xml:space="preserve">erms of </w:t>
      </w:r>
      <w:r w:rsidR="00F430AC">
        <w:t>r</w:t>
      </w:r>
      <w:r w:rsidR="00DF20F1" w:rsidRPr="00057F13">
        <w:t xml:space="preserve">eference of the </w:t>
      </w:r>
      <w:r w:rsidR="00910A3B" w:rsidRPr="00057F13">
        <w:t xml:space="preserve">new </w:t>
      </w:r>
      <w:r w:rsidR="00DF20F1" w:rsidRPr="00057F13">
        <w:t xml:space="preserve">EDR </w:t>
      </w:r>
      <w:r w:rsidR="002E3BCE">
        <w:t>scheme</w:t>
      </w:r>
      <w:r w:rsidR="00E8481C" w:rsidRPr="00057F13">
        <w:t>, as well as</w:t>
      </w:r>
      <w:r w:rsidR="00DF20F1" w:rsidRPr="00057F13">
        <w:t xml:space="preserve"> the enhanced IDR requirements set out by ASIC. </w:t>
      </w:r>
    </w:p>
    <w:tbl>
      <w:tblPr>
        <w:tblStyle w:val="TableGrid"/>
        <w:tblW w:w="0" w:type="auto"/>
        <w:tblLook w:val="04A0" w:firstRow="1" w:lastRow="0" w:firstColumn="1" w:lastColumn="0" w:noHBand="0" w:noVBand="1"/>
      </w:tblPr>
      <w:tblGrid>
        <w:gridCol w:w="8719"/>
      </w:tblGrid>
      <w:tr w:rsidR="002A3DCE" w:rsidTr="002A3DCE">
        <w:tc>
          <w:tcPr>
            <w:tcW w:w="8719" w:type="dxa"/>
          </w:tcPr>
          <w:p w:rsidR="002A3DCE" w:rsidRPr="002F62DF" w:rsidRDefault="002A3DCE" w:rsidP="002A3DCE">
            <w:pPr>
              <w:pStyle w:val="OutlineNumbered1"/>
              <w:numPr>
                <w:ilvl w:val="0"/>
                <w:numId w:val="0"/>
              </w:numPr>
              <w:rPr>
                <w:b/>
              </w:rPr>
            </w:pPr>
            <w:r>
              <w:rPr>
                <w:b/>
              </w:rPr>
              <w:t>Question</w:t>
            </w:r>
            <w:r w:rsidR="008A745B">
              <w:rPr>
                <w:b/>
              </w:rPr>
              <w:t xml:space="preserve"> </w:t>
            </w:r>
            <w:r w:rsidR="00AA72A2">
              <w:rPr>
                <w:b/>
              </w:rPr>
              <w:t>1</w:t>
            </w:r>
          </w:p>
          <w:p w:rsidR="002A3DCE" w:rsidRDefault="00696029" w:rsidP="002A3DCE">
            <w:pPr>
              <w:pStyle w:val="OutlineNumbered1"/>
              <w:numPr>
                <w:ilvl w:val="0"/>
                <w:numId w:val="0"/>
              </w:numPr>
            </w:pPr>
            <w:r>
              <w:t>Are there other statutory powers the EDR body will need to resolve superannuation complaints</w:t>
            </w:r>
            <w:r w:rsidR="00272852">
              <w:t xml:space="preserve"> effectively</w:t>
            </w:r>
            <w:r>
              <w:t>?</w:t>
            </w:r>
          </w:p>
        </w:tc>
      </w:tr>
    </w:tbl>
    <w:p w:rsidR="00610770" w:rsidRPr="000D19C5" w:rsidRDefault="00610770" w:rsidP="00784067">
      <w:pPr>
        <w:pStyle w:val="OutlineNumbered1"/>
        <w:numPr>
          <w:ilvl w:val="0"/>
          <w:numId w:val="0"/>
        </w:numPr>
        <w:ind w:left="567"/>
      </w:pPr>
    </w:p>
    <w:p w:rsidR="00EA3464" w:rsidRPr="00DD1C18" w:rsidRDefault="00AB5E00" w:rsidP="0060396C">
      <w:pPr>
        <w:pStyle w:val="Heading2"/>
      </w:pPr>
      <w:bookmarkStart w:id="112" w:name="_Toc481060959"/>
      <w:bookmarkStart w:id="113" w:name="_Toc481061490"/>
      <w:bookmarkStart w:id="114" w:name="_Toc481062588"/>
      <w:bookmarkStart w:id="115" w:name="_Toc481063535"/>
      <w:bookmarkStart w:id="116" w:name="_Toc481065085"/>
      <w:bookmarkStart w:id="117" w:name="_Toc481065965"/>
      <w:bookmarkStart w:id="118" w:name="_Toc481068029"/>
      <w:bookmarkStart w:id="119" w:name="_Toc482200367"/>
      <w:bookmarkStart w:id="120" w:name="_Toc482200704"/>
      <w:r>
        <w:t>T</w:t>
      </w:r>
      <w:r w:rsidR="00EA3464" w:rsidRPr="00DD1C18">
        <w:t xml:space="preserve">erms of </w:t>
      </w:r>
      <w:r w:rsidR="00EA3464" w:rsidRPr="0060396C">
        <w:t>reference</w:t>
      </w:r>
      <w:bookmarkEnd w:id="112"/>
      <w:bookmarkEnd w:id="113"/>
      <w:bookmarkEnd w:id="114"/>
      <w:bookmarkEnd w:id="115"/>
      <w:bookmarkEnd w:id="116"/>
      <w:bookmarkEnd w:id="117"/>
      <w:bookmarkEnd w:id="118"/>
      <w:bookmarkEnd w:id="119"/>
      <w:bookmarkEnd w:id="120"/>
    </w:p>
    <w:p w:rsidR="00EA3464" w:rsidRDefault="00EA3464" w:rsidP="00EA3464">
      <w:pPr>
        <w:pStyle w:val="OutlineNumbered1"/>
      </w:pPr>
      <w:r w:rsidRPr="00DD1C18">
        <w:t xml:space="preserve">A key element of the new framework is that </w:t>
      </w:r>
      <w:r w:rsidR="00760E1E">
        <w:t>AFCA</w:t>
      </w:r>
      <w:r>
        <w:t xml:space="preserve"> is flexible and responsive to new developments.  </w:t>
      </w:r>
    </w:p>
    <w:p w:rsidR="00EA3464" w:rsidRPr="0052217A" w:rsidRDefault="00EA3464" w:rsidP="00EA3464">
      <w:pPr>
        <w:pStyle w:val="OutlineNumbered1"/>
      </w:pPr>
      <w:r>
        <w:t xml:space="preserve">For this reason, under the new EDR framework, the standards </w:t>
      </w:r>
      <w:r w:rsidR="00350A9B">
        <w:t>that AFCA</w:t>
      </w:r>
      <w:r>
        <w:t xml:space="preserve"> must adhere to will be set in the legislation</w:t>
      </w:r>
      <w:r w:rsidR="00F430AC">
        <w:t>;</w:t>
      </w:r>
      <w:r>
        <w:t xml:space="preserve"> however, the way in which </w:t>
      </w:r>
      <w:r w:rsidR="00D31A94">
        <w:t>it</w:t>
      </w:r>
      <w:r>
        <w:t xml:space="preserve"> operates in order to meet these standards will be</w:t>
      </w:r>
      <w:r w:rsidR="00D31A94">
        <w:t xml:space="preserve"> determined </w:t>
      </w:r>
      <w:r w:rsidR="00D31A94" w:rsidRPr="0052217A">
        <w:t xml:space="preserve">by the AFCA board </w:t>
      </w:r>
      <w:r w:rsidR="003C26ED" w:rsidRPr="0052217A">
        <w:t>and</w:t>
      </w:r>
      <w:r w:rsidR="00A7277F" w:rsidRPr="0052217A">
        <w:t xml:space="preserve"> set out in </w:t>
      </w:r>
      <w:r w:rsidR="00D31A94" w:rsidRPr="0052217A">
        <w:t>AFCA</w:t>
      </w:r>
      <w:r w:rsidRPr="0052217A">
        <w:t>’s terms of reference.</w:t>
      </w:r>
    </w:p>
    <w:p w:rsidR="00EA3464" w:rsidRDefault="006D2A2C" w:rsidP="00EA3464">
      <w:pPr>
        <w:pStyle w:val="OutlineNumbered1"/>
      </w:pPr>
      <w:r>
        <w:t>This approach</w:t>
      </w:r>
      <w:r w:rsidR="00EA3464">
        <w:t xml:space="preserve"> will allow operational improvements to be enacted much more quickly than would be the case if legislative change were required.</w:t>
      </w:r>
    </w:p>
    <w:p w:rsidR="00EA3464" w:rsidRDefault="00EA3464" w:rsidP="00EA3464">
      <w:pPr>
        <w:pStyle w:val="OutlineNumbered1"/>
      </w:pPr>
      <w:r>
        <w:t>To ensure that the new scheme fulfils its legislative obligations and delivers benefits to consumers and small businesses, the Minister will carefully consider the terms of reference</w:t>
      </w:r>
      <w:r w:rsidR="00F014E2">
        <w:t xml:space="preserve"> </w:t>
      </w:r>
      <w:r>
        <w:t>when approving</w:t>
      </w:r>
      <w:r w:rsidR="00543352">
        <w:t xml:space="preserve"> a company to be the authorised </w:t>
      </w:r>
      <w:r>
        <w:t>EDR scheme.</w:t>
      </w:r>
      <w:r w:rsidR="0060396C" w:rsidDel="008E0C9B">
        <w:t xml:space="preserve"> </w:t>
      </w:r>
      <w:r w:rsidR="0060396C">
        <w:t>The Minister will publicly outline the minimum requirements that would be expected to be included in</w:t>
      </w:r>
      <w:r w:rsidR="00A7277F">
        <w:t xml:space="preserve"> </w:t>
      </w:r>
      <w:r w:rsidR="0060396C">
        <w:t>a scheme’s ter</w:t>
      </w:r>
      <w:r w:rsidR="00BA7A10">
        <w:t>m</w:t>
      </w:r>
      <w:r w:rsidR="0060396C">
        <w:t xml:space="preserve">s of reference for it to be designated as </w:t>
      </w:r>
      <w:r w:rsidR="00F430AC">
        <w:t xml:space="preserve">the </w:t>
      </w:r>
      <w:r w:rsidR="0060396C">
        <w:t>authorised EDR scheme</w:t>
      </w:r>
      <w:r w:rsidR="003A1173">
        <w:t xml:space="preserve"> at a later date</w:t>
      </w:r>
      <w:r w:rsidR="0060396C">
        <w:t>.</w:t>
      </w:r>
    </w:p>
    <w:p w:rsidR="00EA3464" w:rsidRPr="0052217A" w:rsidRDefault="00E66875" w:rsidP="00EA3464">
      <w:pPr>
        <w:pStyle w:val="OutlineNumbered1"/>
      </w:pPr>
      <w:r w:rsidRPr="0052217A">
        <w:t>The following sets out the matters that are expected to be addressed in the scheme’s terms of reference</w:t>
      </w:r>
      <w:r w:rsidR="00C448D0" w:rsidRPr="0052217A">
        <w:t xml:space="preserve">: </w:t>
      </w:r>
    </w:p>
    <w:p w:rsidR="009B4F6C" w:rsidRDefault="009B4F6C" w:rsidP="00057F13">
      <w:pPr>
        <w:pStyle w:val="OutlineNumbered2"/>
        <w:numPr>
          <w:ilvl w:val="1"/>
          <w:numId w:val="54"/>
        </w:numPr>
      </w:pPr>
      <w:r>
        <w:t xml:space="preserve">how the scheme is funded </w:t>
      </w:r>
      <w:r w:rsidR="00F430AC">
        <w:t xml:space="preserve">by </w:t>
      </w:r>
      <w:r>
        <w:t>its members (although the fact that it must be free for consumers will be a legislative requirement);</w:t>
      </w:r>
    </w:p>
    <w:p w:rsidR="009B4F6C" w:rsidRDefault="009B4F6C" w:rsidP="00057F13">
      <w:pPr>
        <w:pStyle w:val="OutlineNumbered2"/>
        <w:numPr>
          <w:ilvl w:val="1"/>
          <w:numId w:val="54"/>
        </w:numPr>
      </w:pPr>
      <w:r>
        <w:t>the governance structure of the scheme (and, in particular, that the Board will comprise an independent Chair and equal number of directors with consumer and industry backgrounds);</w:t>
      </w:r>
    </w:p>
    <w:p w:rsidR="00EA3464" w:rsidRDefault="00EA3464" w:rsidP="00057F13">
      <w:pPr>
        <w:pStyle w:val="OutlineNumbered2"/>
        <w:numPr>
          <w:ilvl w:val="1"/>
          <w:numId w:val="54"/>
        </w:numPr>
      </w:pPr>
      <w:r>
        <w:t>the monetary limits that determine which disputes can be heard by the scheme and how much compensation can be awarded;</w:t>
      </w:r>
    </w:p>
    <w:p w:rsidR="00EA3464" w:rsidRDefault="00EA3464" w:rsidP="00057F13">
      <w:pPr>
        <w:pStyle w:val="OutlineNumbered2"/>
        <w:numPr>
          <w:ilvl w:val="1"/>
          <w:numId w:val="54"/>
        </w:numPr>
      </w:pPr>
      <w:r>
        <w:t>the processes by which the scheme will manage complaints;</w:t>
      </w:r>
    </w:p>
    <w:p w:rsidR="00EA3464" w:rsidRDefault="00EA3464" w:rsidP="00057F13">
      <w:pPr>
        <w:pStyle w:val="OutlineNumbered2"/>
        <w:numPr>
          <w:ilvl w:val="1"/>
          <w:numId w:val="54"/>
        </w:numPr>
      </w:pPr>
      <w:r>
        <w:t>the approach the scheme takes to making decisions;</w:t>
      </w:r>
    </w:p>
    <w:p w:rsidR="00EA3464" w:rsidRDefault="00EA3464" w:rsidP="00057F13">
      <w:pPr>
        <w:pStyle w:val="OutlineNumbered2"/>
        <w:numPr>
          <w:ilvl w:val="1"/>
          <w:numId w:val="54"/>
        </w:numPr>
      </w:pPr>
      <w:r>
        <w:t>how the scheme uses panels to resolve complaints;</w:t>
      </w:r>
    </w:p>
    <w:p w:rsidR="00EA3464" w:rsidRDefault="00EA3464" w:rsidP="00057F13">
      <w:pPr>
        <w:pStyle w:val="OutlineNumbered2"/>
        <w:numPr>
          <w:ilvl w:val="1"/>
          <w:numId w:val="54"/>
        </w:numPr>
      </w:pPr>
      <w:r>
        <w:t xml:space="preserve">when the scheme will refer complaints back to the financial </w:t>
      </w:r>
      <w:r w:rsidR="009B4F6C">
        <w:t>firm with which the consumer had the original complaint</w:t>
      </w:r>
      <w:r>
        <w:t>;</w:t>
      </w:r>
    </w:p>
    <w:p w:rsidR="00EA3464" w:rsidRDefault="00EA3464" w:rsidP="00057F13">
      <w:pPr>
        <w:pStyle w:val="OutlineNumbered2"/>
        <w:numPr>
          <w:ilvl w:val="1"/>
          <w:numId w:val="54"/>
        </w:numPr>
      </w:pPr>
      <w:r>
        <w:t>how and when the scheme will undertake periodic reviews of its operations; and</w:t>
      </w:r>
    </w:p>
    <w:p w:rsidR="00EA3464" w:rsidRPr="005F275F" w:rsidRDefault="00E66875" w:rsidP="00057F13">
      <w:pPr>
        <w:pStyle w:val="OutlineNumbered2"/>
        <w:numPr>
          <w:ilvl w:val="1"/>
          <w:numId w:val="54"/>
        </w:numPr>
      </w:pPr>
      <w:r>
        <w:t xml:space="preserve">matters relating to the </w:t>
      </w:r>
      <w:r w:rsidR="00A03B71">
        <w:t>establishment of</w:t>
      </w:r>
      <w:r w:rsidR="00EA3464">
        <w:t xml:space="preserve"> </w:t>
      </w:r>
      <w:r w:rsidR="005E0F14">
        <w:t>an</w:t>
      </w:r>
      <w:r w:rsidR="00EA3464">
        <w:t xml:space="preserve"> independent </w:t>
      </w:r>
      <w:r w:rsidR="00EA3464" w:rsidRPr="005F275F">
        <w:t>assessor</w:t>
      </w:r>
      <w:r w:rsidR="005B6A13" w:rsidRPr="005F275F">
        <w:t xml:space="preserve"> (Ramsay Review </w:t>
      </w:r>
      <w:r w:rsidR="001E012E" w:rsidRPr="005F275F">
        <w:t>R</w:t>
      </w:r>
      <w:r w:rsidR="00C448D0" w:rsidRPr="005F275F">
        <w:t>ecommendation 6</w:t>
      </w:r>
      <w:r w:rsidR="005B6A13" w:rsidRPr="005F275F">
        <w:t>)</w:t>
      </w:r>
      <w:r w:rsidR="00D22396" w:rsidRPr="005F275F">
        <w:t>, whose role will be to</w:t>
      </w:r>
      <w:r w:rsidR="00A03B71" w:rsidRPr="005F275F">
        <w:t xml:space="preserve"> review the way in which disputes were handled by the scheme (but not the outcome of the dispute).</w:t>
      </w:r>
    </w:p>
    <w:p w:rsidR="00EA3464" w:rsidRPr="00B8165B" w:rsidRDefault="00EA3464" w:rsidP="00B50E44">
      <w:pPr>
        <w:pStyle w:val="OutlineNumbered1"/>
      </w:pPr>
      <w:r>
        <w:t xml:space="preserve">In relation to </w:t>
      </w:r>
      <w:r w:rsidR="00F430AC">
        <w:t>s</w:t>
      </w:r>
      <w:r>
        <w:t xml:space="preserve">uperannuation, </w:t>
      </w:r>
      <w:r w:rsidR="001229BE">
        <w:t xml:space="preserve">the Government </w:t>
      </w:r>
      <w:r w:rsidR="00F45EAA">
        <w:t>considers</w:t>
      </w:r>
      <w:r w:rsidR="001229BE">
        <w:t xml:space="preserve"> </w:t>
      </w:r>
      <w:r>
        <w:t xml:space="preserve">the following matters that are currently in the S(ROC) Act </w:t>
      </w:r>
      <w:r w:rsidR="00F45EAA">
        <w:t>would</w:t>
      </w:r>
      <w:r>
        <w:t xml:space="preserve"> be </w:t>
      </w:r>
      <w:r w:rsidR="00F45EAA">
        <w:t xml:space="preserve">appropriate to </w:t>
      </w:r>
      <w:r w:rsidR="009D1BB6">
        <w:t>include</w:t>
      </w:r>
      <w:r>
        <w:t xml:space="preserve"> in the </w:t>
      </w:r>
      <w:r w:rsidR="001E563E">
        <w:t>scheme’s t</w:t>
      </w:r>
      <w:r>
        <w:t xml:space="preserve">erms of </w:t>
      </w:r>
      <w:r w:rsidR="001E563E">
        <w:t>r</w:t>
      </w:r>
      <w:r>
        <w:t xml:space="preserve">eference: </w:t>
      </w:r>
    </w:p>
    <w:p w:rsidR="00875F55" w:rsidRDefault="00875F55" w:rsidP="00057F13">
      <w:pPr>
        <w:pStyle w:val="OutlineNumbered2"/>
        <w:numPr>
          <w:ilvl w:val="1"/>
          <w:numId w:val="55"/>
        </w:numPr>
      </w:pPr>
      <w:r w:rsidRPr="00B8165B">
        <w:t xml:space="preserve">appropriate elements of the ‘claim-staking’ process for death benefit </w:t>
      </w:r>
      <w:r w:rsidRPr="00DD1C18">
        <w:t>complaints</w:t>
      </w:r>
      <w:r w:rsidRPr="00B8165B">
        <w:t xml:space="preserve">, including who will be considered to have an interest in a death benefit and appropriate time limits for considering death benefit </w:t>
      </w:r>
      <w:r w:rsidRPr="00DD1C18">
        <w:t>complaints</w:t>
      </w:r>
      <w:r w:rsidRPr="00B8165B">
        <w:t>;</w:t>
      </w:r>
      <w:r>
        <w:t xml:space="preserve"> and</w:t>
      </w:r>
    </w:p>
    <w:p w:rsidR="00EA3464" w:rsidRPr="00B8165B" w:rsidRDefault="00EA3464" w:rsidP="00057F13">
      <w:pPr>
        <w:pStyle w:val="OutlineNumbered2"/>
        <w:numPr>
          <w:ilvl w:val="1"/>
          <w:numId w:val="55"/>
        </w:numPr>
      </w:pPr>
      <w:proofErr w:type="gramStart"/>
      <w:r w:rsidRPr="00B8165B">
        <w:t>appropriate</w:t>
      </w:r>
      <w:proofErr w:type="gramEnd"/>
      <w:r w:rsidRPr="00B8165B">
        <w:t xml:space="preserve"> time limits for total and permanent disability complaints, which should be designed to ensure that consumers do not have to wait long periods of time to access these benefits</w:t>
      </w:r>
      <w:r w:rsidR="00774825">
        <w:t>.</w:t>
      </w:r>
    </w:p>
    <w:p w:rsidR="00EA3464" w:rsidRDefault="00774825" w:rsidP="0058683F">
      <w:pPr>
        <w:pStyle w:val="OutlineNumbered1"/>
      </w:pPr>
      <w:r>
        <w:t xml:space="preserve">The Government </w:t>
      </w:r>
      <w:r w:rsidR="0031236D">
        <w:t xml:space="preserve">also </w:t>
      </w:r>
      <w:r>
        <w:t>expects</w:t>
      </w:r>
      <w:r w:rsidR="00100DB9">
        <w:t xml:space="preserve"> that the terms of reference</w:t>
      </w:r>
      <w:r>
        <w:t xml:space="preserve"> should </w:t>
      </w:r>
      <w:r w:rsidR="00100DB9">
        <w:t>include</w:t>
      </w:r>
      <w:r>
        <w:t xml:space="preserve"> </w:t>
      </w:r>
      <w:r w:rsidR="002D765F">
        <w:t xml:space="preserve">an </w:t>
      </w:r>
      <w:r w:rsidR="00EA3464" w:rsidRPr="00B8165B">
        <w:t>unlimited monetary jurisdiction for superannuation complaints.</w:t>
      </w:r>
    </w:p>
    <w:p w:rsidR="00EA3464" w:rsidRDefault="00A36000" w:rsidP="00EA3464">
      <w:pPr>
        <w:pStyle w:val="OutlineNumbered1"/>
      </w:pPr>
      <w:r>
        <w:t>As noted above, m</w:t>
      </w:r>
      <w:r w:rsidR="00EA3464">
        <w:t xml:space="preserve">aterial changes to the terms of reference will be subject to ASIC approval. ASIC will also have a </w:t>
      </w:r>
      <w:r w:rsidR="00F430AC">
        <w:t xml:space="preserve">power to issue enforceable </w:t>
      </w:r>
      <w:r w:rsidR="00EA3464">
        <w:t>direction</w:t>
      </w:r>
      <w:r w:rsidR="00634508">
        <w:t>s</w:t>
      </w:r>
      <w:r w:rsidR="00EA3464">
        <w:t xml:space="preserve"> if </w:t>
      </w:r>
      <w:r w:rsidR="005F275F">
        <w:t>AFC</w:t>
      </w:r>
      <w:r w:rsidR="00EB2874">
        <w:t>A</w:t>
      </w:r>
      <w:r w:rsidR="00EA3464">
        <w:t xml:space="preserve"> fails to comply with this, or other legislative or regulatory requirements. </w:t>
      </w:r>
    </w:p>
    <w:tbl>
      <w:tblPr>
        <w:tblStyle w:val="TableGrid"/>
        <w:tblW w:w="0" w:type="auto"/>
        <w:tblLook w:val="04A0" w:firstRow="1" w:lastRow="0" w:firstColumn="1" w:lastColumn="0" w:noHBand="0" w:noVBand="1"/>
      </w:tblPr>
      <w:tblGrid>
        <w:gridCol w:w="8719"/>
      </w:tblGrid>
      <w:tr w:rsidR="00EA3464" w:rsidTr="00C94D69">
        <w:tc>
          <w:tcPr>
            <w:tcW w:w="8719" w:type="dxa"/>
          </w:tcPr>
          <w:p w:rsidR="00EA3464" w:rsidRPr="002F62DF" w:rsidRDefault="00EA3464" w:rsidP="00C94D69">
            <w:pPr>
              <w:pStyle w:val="OutlineNumbered1"/>
              <w:numPr>
                <w:ilvl w:val="0"/>
                <w:numId w:val="0"/>
              </w:numPr>
              <w:rPr>
                <w:b/>
              </w:rPr>
            </w:pPr>
            <w:r>
              <w:rPr>
                <w:b/>
              </w:rPr>
              <w:t xml:space="preserve">Question </w:t>
            </w:r>
            <w:r w:rsidR="00AA72A2">
              <w:rPr>
                <w:b/>
              </w:rPr>
              <w:t>2</w:t>
            </w:r>
          </w:p>
          <w:p w:rsidR="00EA3464" w:rsidRDefault="00EA3464" w:rsidP="00C94D69">
            <w:pPr>
              <w:pStyle w:val="OutlineNumbered1"/>
              <w:numPr>
                <w:ilvl w:val="0"/>
                <w:numId w:val="0"/>
              </w:numPr>
            </w:pPr>
            <w:r>
              <w:t xml:space="preserve">Do you consider that the Bill strikes the right balance between setting the new EDR schemes objectives in the legislation whilst leaving the operation of the scheme to the terms of reference? </w:t>
            </w:r>
          </w:p>
          <w:p w:rsidR="00EA3464" w:rsidRDefault="00EA3464" w:rsidP="00C94D69">
            <w:pPr>
              <w:pStyle w:val="OutlineNumbered1"/>
              <w:numPr>
                <w:ilvl w:val="0"/>
                <w:numId w:val="0"/>
              </w:numPr>
              <w:rPr>
                <w:b/>
              </w:rPr>
            </w:pPr>
            <w:r w:rsidRPr="002F62DF">
              <w:rPr>
                <w:b/>
              </w:rPr>
              <w:t xml:space="preserve">Question </w:t>
            </w:r>
            <w:r w:rsidR="00AA72A2">
              <w:rPr>
                <w:b/>
              </w:rPr>
              <w:t>3</w:t>
            </w:r>
          </w:p>
          <w:p w:rsidR="00EA3464" w:rsidRPr="002F62DF" w:rsidRDefault="00EA3464" w:rsidP="00C94D69">
            <w:pPr>
              <w:pStyle w:val="OutlineNumbered1"/>
              <w:numPr>
                <w:ilvl w:val="0"/>
                <w:numId w:val="0"/>
              </w:numPr>
              <w:rPr>
                <w:b/>
              </w:rPr>
            </w:pPr>
            <w:r>
              <w:t>Are there any issues that are currently in the Bill that would be more appropriately placed in the terms of reference or issues that are currently absent from the Bill that should be included in the Bill</w:t>
            </w:r>
            <w:r w:rsidR="002D765F">
              <w:t>?</w:t>
            </w:r>
          </w:p>
        </w:tc>
      </w:tr>
    </w:tbl>
    <w:p w:rsidR="00610770" w:rsidRPr="00610770" w:rsidRDefault="00610770" w:rsidP="00784067">
      <w:pPr>
        <w:pStyle w:val="Heading2"/>
      </w:pPr>
      <w:bookmarkStart w:id="121" w:name="_Toc481060960"/>
      <w:bookmarkStart w:id="122" w:name="_Toc481061491"/>
      <w:bookmarkStart w:id="123" w:name="_Toc481062589"/>
      <w:bookmarkStart w:id="124" w:name="_Toc481063536"/>
      <w:bookmarkStart w:id="125" w:name="_Toc481065086"/>
      <w:bookmarkStart w:id="126" w:name="_Toc481065966"/>
      <w:bookmarkStart w:id="127" w:name="_Toc481068030"/>
      <w:bookmarkStart w:id="128" w:name="_Toc482200368"/>
      <w:bookmarkStart w:id="129" w:name="_Toc482200705"/>
      <w:r w:rsidRPr="00610770">
        <w:t>Transitional arrangements</w:t>
      </w:r>
      <w:bookmarkEnd w:id="121"/>
      <w:bookmarkEnd w:id="122"/>
      <w:bookmarkEnd w:id="123"/>
      <w:bookmarkEnd w:id="124"/>
      <w:bookmarkEnd w:id="125"/>
      <w:bookmarkEnd w:id="126"/>
      <w:bookmarkEnd w:id="127"/>
      <w:bookmarkEnd w:id="128"/>
      <w:bookmarkEnd w:id="129"/>
    </w:p>
    <w:p w:rsidR="00610770" w:rsidRPr="00057F13" w:rsidRDefault="00610770" w:rsidP="00784067">
      <w:pPr>
        <w:pStyle w:val="Heading3"/>
      </w:pPr>
      <w:bookmarkStart w:id="130" w:name="_Toc481060961"/>
      <w:bookmarkStart w:id="131" w:name="_Toc481061492"/>
      <w:bookmarkStart w:id="132" w:name="_Toc481062590"/>
      <w:bookmarkStart w:id="133" w:name="_Toc481063537"/>
      <w:bookmarkStart w:id="134" w:name="_Toc481065087"/>
      <w:bookmarkStart w:id="135" w:name="_Toc481065967"/>
      <w:bookmarkStart w:id="136" w:name="_Toc481068031"/>
      <w:bookmarkStart w:id="137" w:name="_Toc482200369"/>
      <w:bookmarkStart w:id="138" w:name="_Toc482200706"/>
      <w:r w:rsidRPr="00057F13">
        <w:t>FOS/CIO</w:t>
      </w:r>
      <w:bookmarkEnd w:id="130"/>
      <w:bookmarkEnd w:id="131"/>
      <w:bookmarkEnd w:id="132"/>
      <w:bookmarkEnd w:id="133"/>
      <w:bookmarkEnd w:id="134"/>
      <w:bookmarkEnd w:id="135"/>
      <w:bookmarkEnd w:id="136"/>
      <w:bookmarkEnd w:id="137"/>
      <w:bookmarkEnd w:id="138"/>
    </w:p>
    <w:p w:rsidR="008F4ABA" w:rsidRPr="00057F13" w:rsidRDefault="005738F4" w:rsidP="00610770">
      <w:pPr>
        <w:pStyle w:val="OutlineNumbered1"/>
      </w:pPr>
      <w:r>
        <w:t xml:space="preserve">Once </w:t>
      </w:r>
      <w:r w:rsidR="00232333">
        <w:t xml:space="preserve">the </w:t>
      </w:r>
      <w:r w:rsidR="00E801D3">
        <w:t>new body</w:t>
      </w:r>
      <w:r>
        <w:t xml:space="preserve"> is operational</w:t>
      </w:r>
      <w:r w:rsidR="00E801D3">
        <w:t>,</w:t>
      </w:r>
      <w:r>
        <w:t xml:space="preserve"> </w:t>
      </w:r>
      <w:r w:rsidR="008F4ABA" w:rsidRPr="00057F13">
        <w:t xml:space="preserve">all new complaints will be heard by </w:t>
      </w:r>
      <w:r w:rsidR="000955C9">
        <w:t>AFCA</w:t>
      </w:r>
      <w:r w:rsidR="008F4ABA" w:rsidRPr="00057F13">
        <w:t>. It is proposed that all disputes that are lodged with the FOS</w:t>
      </w:r>
      <w:r w:rsidR="009E4AC6">
        <w:t>/</w:t>
      </w:r>
      <w:r w:rsidR="008F4ABA" w:rsidRPr="00057F13">
        <w:t xml:space="preserve">CIO prior to </w:t>
      </w:r>
      <w:r>
        <w:t xml:space="preserve">this date </w:t>
      </w:r>
      <w:r w:rsidR="008F4ABA" w:rsidRPr="00057F13">
        <w:t>will be dealt with by the CIO</w:t>
      </w:r>
      <w:r w:rsidR="009E4AC6">
        <w:t>/</w:t>
      </w:r>
      <w:r w:rsidR="008F4ABA" w:rsidRPr="00057F13">
        <w:t>FOS. As such, it is anticipated that financial service and credit providers will be required to be members of the new EDR scheme and their existing EDR scheme as FOS and CIO work through their remaining complaints.</w:t>
      </w:r>
    </w:p>
    <w:p w:rsidR="005820AD" w:rsidRDefault="005820AD">
      <w:pPr>
        <w:spacing w:after="0" w:line="240" w:lineRule="auto"/>
        <w:jc w:val="left"/>
      </w:pPr>
      <w:r>
        <w:br w:type="page"/>
      </w:r>
    </w:p>
    <w:p w:rsidR="001937D0" w:rsidRPr="00057F13" w:rsidRDefault="008F4ABA" w:rsidP="00610770">
      <w:pPr>
        <w:pStyle w:val="OutlineNumbered1"/>
      </w:pPr>
      <w:r w:rsidRPr="00057F13">
        <w:t xml:space="preserve">Although there would be no statutory obligation to remain a member of the FOS or CIO, financial service and credit providers with a complaint being heard by one of these bodies would continue to be bound by contract to adhere to the determinations of the scheme. </w:t>
      </w:r>
    </w:p>
    <w:p w:rsidR="00610770" w:rsidRPr="00057F13" w:rsidRDefault="00610770" w:rsidP="00784067">
      <w:pPr>
        <w:pStyle w:val="Heading3"/>
      </w:pPr>
      <w:bookmarkStart w:id="139" w:name="_Toc481060962"/>
      <w:bookmarkStart w:id="140" w:name="_Toc481061493"/>
      <w:bookmarkStart w:id="141" w:name="_Toc481062591"/>
      <w:bookmarkStart w:id="142" w:name="_Toc481063538"/>
      <w:bookmarkStart w:id="143" w:name="_Toc481065088"/>
      <w:bookmarkStart w:id="144" w:name="_Toc481065968"/>
      <w:bookmarkStart w:id="145" w:name="_Toc481068032"/>
      <w:bookmarkStart w:id="146" w:name="_Toc482200370"/>
      <w:bookmarkStart w:id="147" w:name="_Toc482200707"/>
      <w:r w:rsidRPr="00057F13">
        <w:t>Superannuation Complaints Tribunal</w:t>
      </w:r>
      <w:bookmarkEnd w:id="139"/>
      <w:bookmarkEnd w:id="140"/>
      <w:bookmarkEnd w:id="141"/>
      <w:bookmarkEnd w:id="142"/>
      <w:bookmarkEnd w:id="143"/>
      <w:bookmarkEnd w:id="144"/>
      <w:bookmarkEnd w:id="145"/>
      <w:bookmarkEnd w:id="146"/>
      <w:bookmarkEnd w:id="147"/>
    </w:p>
    <w:p w:rsidR="008E0C9B" w:rsidRPr="00057F13" w:rsidRDefault="00610770" w:rsidP="00610770">
      <w:pPr>
        <w:pStyle w:val="OutlineNumbered1"/>
      </w:pPr>
      <w:r w:rsidRPr="00057F13">
        <w:t xml:space="preserve">While all new superannuation complaints will be made to the new EDR </w:t>
      </w:r>
      <w:r w:rsidR="002E3BCE">
        <w:t>scheme</w:t>
      </w:r>
      <w:r w:rsidRPr="00057F13">
        <w:t xml:space="preserve"> </w:t>
      </w:r>
      <w:r w:rsidRPr="00057F13" w:rsidDel="00D25822">
        <w:t>from</w:t>
      </w:r>
      <w:r w:rsidRPr="00057F13" w:rsidDel="00232333">
        <w:t xml:space="preserve"> </w:t>
      </w:r>
      <w:r w:rsidR="00D25822">
        <w:t>the</w:t>
      </w:r>
      <w:r w:rsidR="00232333">
        <w:t xml:space="preserve"> date the </w:t>
      </w:r>
      <w:r w:rsidR="003C0455">
        <w:t>new body</w:t>
      </w:r>
      <w:r w:rsidR="00D25822">
        <w:t xml:space="preserve"> is operational</w:t>
      </w:r>
      <w:r w:rsidRPr="00057F13">
        <w:t xml:space="preserve">, the SCT will continue operations until 1 July 2020 to resolve the current backlog of complaints. Consumers will have the option to refer complaints previously made to the SCT to the new </w:t>
      </w:r>
      <w:r w:rsidR="002E3BCE">
        <w:t>scheme</w:t>
      </w:r>
      <w:r w:rsidRPr="00057F13">
        <w:t xml:space="preserve"> </w:t>
      </w:r>
      <w:r w:rsidR="00040AA7">
        <w:t>once it is operational</w:t>
      </w:r>
      <w:r w:rsidRPr="00057F13">
        <w:t xml:space="preserve">. </w:t>
      </w:r>
    </w:p>
    <w:tbl>
      <w:tblPr>
        <w:tblStyle w:val="TableGrid"/>
        <w:tblW w:w="0" w:type="auto"/>
        <w:tblLook w:val="04A0" w:firstRow="1" w:lastRow="0" w:firstColumn="1" w:lastColumn="0" w:noHBand="0" w:noVBand="1"/>
      </w:tblPr>
      <w:tblGrid>
        <w:gridCol w:w="8719"/>
      </w:tblGrid>
      <w:tr w:rsidR="002A3DCE" w:rsidTr="002A3DCE">
        <w:tc>
          <w:tcPr>
            <w:tcW w:w="8719" w:type="dxa"/>
          </w:tcPr>
          <w:p w:rsidR="002A3DCE" w:rsidRPr="002A3DCE" w:rsidRDefault="002A3DCE" w:rsidP="002A3DCE">
            <w:pPr>
              <w:pStyle w:val="OutlineNumbered1"/>
              <w:numPr>
                <w:ilvl w:val="0"/>
                <w:numId w:val="0"/>
              </w:numPr>
              <w:rPr>
                <w:b/>
              </w:rPr>
            </w:pPr>
            <w:r w:rsidRPr="002A3DCE">
              <w:rPr>
                <w:b/>
              </w:rPr>
              <w:t xml:space="preserve">Question </w:t>
            </w:r>
            <w:r w:rsidR="00AA72A2">
              <w:rPr>
                <w:b/>
              </w:rPr>
              <w:t>4</w:t>
            </w:r>
          </w:p>
          <w:p w:rsidR="002A3DCE" w:rsidRPr="00057F13" w:rsidRDefault="00BD32C7" w:rsidP="002A3DCE">
            <w:pPr>
              <w:pStyle w:val="OutlineNumbered1"/>
              <w:numPr>
                <w:ilvl w:val="0"/>
                <w:numId w:val="0"/>
              </w:numPr>
            </w:pPr>
            <w:r>
              <w:t xml:space="preserve">Are there any additional issues that should be considered to ensure an effective </w:t>
            </w:r>
            <w:r w:rsidR="002A3DCE">
              <w:t>transition to the new EDR scheme?</w:t>
            </w:r>
          </w:p>
        </w:tc>
      </w:tr>
    </w:tbl>
    <w:p w:rsidR="002A3DCE" w:rsidRPr="00057F13" w:rsidRDefault="002A3DCE" w:rsidP="002A3DCE">
      <w:pPr>
        <w:pStyle w:val="OutlineNumbered1"/>
        <w:numPr>
          <w:ilvl w:val="0"/>
          <w:numId w:val="0"/>
        </w:numPr>
        <w:ind w:left="567" w:hanging="567"/>
      </w:pPr>
    </w:p>
    <w:p w:rsidR="005B5022" w:rsidRPr="00610770" w:rsidRDefault="005B5022" w:rsidP="00057F13">
      <w:pPr>
        <w:pStyle w:val="Heading2"/>
      </w:pPr>
      <w:bookmarkStart w:id="148" w:name="_Toc481060963"/>
      <w:bookmarkStart w:id="149" w:name="_Toc481061494"/>
      <w:bookmarkStart w:id="150" w:name="_Toc481062592"/>
      <w:bookmarkStart w:id="151" w:name="_Toc481063539"/>
      <w:bookmarkStart w:id="152" w:name="_Toc481065089"/>
      <w:bookmarkStart w:id="153" w:name="_Toc481065969"/>
      <w:bookmarkStart w:id="154" w:name="_Toc481068033"/>
      <w:bookmarkStart w:id="155" w:name="_Toc482200371"/>
      <w:bookmarkStart w:id="156" w:name="_Toc482200708"/>
      <w:r w:rsidRPr="00610770">
        <w:t>Monetary Limits</w:t>
      </w:r>
      <w:bookmarkEnd w:id="148"/>
      <w:bookmarkEnd w:id="149"/>
      <w:bookmarkEnd w:id="150"/>
      <w:bookmarkEnd w:id="151"/>
      <w:bookmarkEnd w:id="152"/>
      <w:bookmarkEnd w:id="153"/>
      <w:bookmarkEnd w:id="154"/>
      <w:bookmarkEnd w:id="155"/>
      <w:bookmarkEnd w:id="156"/>
    </w:p>
    <w:p w:rsidR="00CF6E14" w:rsidRDefault="00BD32C7" w:rsidP="006C1D6E">
      <w:pPr>
        <w:pStyle w:val="OutlineNumbered1"/>
      </w:pPr>
      <w:r>
        <w:t xml:space="preserve">The Government has accepted the Ramsay Review recommendations </w:t>
      </w:r>
      <w:r w:rsidR="006C1D6E">
        <w:t xml:space="preserve">that the claim limits and compensation caps be raised for consumer and small business </w:t>
      </w:r>
      <w:r w:rsidR="00CF6E14">
        <w:t>non</w:t>
      </w:r>
      <w:r w:rsidR="00CF6E14">
        <w:noBreakHyphen/>
        <w:t xml:space="preserve">superannuation </w:t>
      </w:r>
      <w:r w:rsidR="00182C87">
        <w:t>complaints</w:t>
      </w:r>
      <w:r>
        <w:t>, as the</w:t>
      </w:r>
      <w:r w:rsidR="00CF6E14">
        <w:t xml:space="preserve"> existing limits are inadequate and no longer in line with the values of many financial products.</w:t>
      </w:r>
    </w:p>
    <w:p w:rsidR="00CF6E14" w:rsidRDefault="00CF6E14" w:rsidP="006C1D6E">
      <w:pPr>
        <w:pStyle w:val="OutlineNumbered1"/>
      </w:pPr>
      <w:r>
        <w:t xml:space="preserve">While the Ramsay review recommended that initially claim limits be set at $1 million and compensation caps </w:t>
      </w:r>
      <w:r w:rsidR="002259DF">
        <w:t xml:space="preserve">be </w:t>
      </w:r>
      <w:r>
        <w:t xml:space="preserve">set at $500,000 for consumer </w:t>
      </w:r>
      <w:r w:rsidR="00182C87">
        <w:t>complaints</w:t>
      </w:r>
      <w:r>
        <w:t xml:space="preserve"> and non-credit small business </w:t>
      </w:r>
      <w:r w:rsidR="00182C87">
        <w:t>complaints</w:t>
      </w:r>
      <w:r>
        <w:t>, the Panel also recommended that consultation be undertaken about:</w:t>
      </w:r>
    </w:p>
    <w:p w:rsidR="00CF6E14" w:rsidRDefault="00CF6E14" w:rsidP="00057F13">
      <w:pPr>
        <w:pStyle w:val="OutlineNumbered2"/>
        <w:numPr>
          <w:ilvl w:val="1"/>
          <w:numId w:val="53"/>
        </w:numPr>
      </w:pPr>
      <w:r>
        <w:t xml:space="preserve">whether </w:t>
      </w:r>
      <w:r w:rsidR="00182C87">
        <w:t>complaints</w:t>
      </w:r>
      <w:r>
        <w:t xml:space="preserve"> in relation to certain products, including mortgages and general insurance products, should move immediately on commencement to a compensation cap of $1 million; and</w:t>
      </w:r>
    </w:p>
    <w:p w:rsidR="00CF6E14" w:rsidRDefault="00CF6E14" w:rsidP="00057F13">
      <w:pPr>
        <w:pStyle w:val="OutlineNumbered2"/>
        <w:numPr>
          <w:ilvl w:val="1"/>
          <w:numId w:val="53"/>
        </w:numPr>
      </w:pPr>
      <w:proofErr w:type="gramStart"/>
      <w:r>
        <w:t>whether</w:t>
      </w:r>
      <w:proofErr w:type="gramEnd"/>
      <w:r>
        <w:t xml:space="preserve"> there are compelling reasons to retain the current sub-limits applying to different insurance products.</w:t>
      </w:r>
    </w:p>
    <w:p w:rsidR="00B02CE1" w:rsidRDefault="00B453F0" w:rsidP="006C1D6E">
      <w:pPr>
        <w:pStyle w:val="OutlineNumbered1"/>
      </w:pPr>
      <w:r>
        <w:t>S</w:t>
      </w:r>
      <w:r w:rsidR="00B02CE1">
        <w:t xml:space="preserve">uperannuation complaints </w:t>
      </w:r>
      <w:r>
        <w:t>will</w:t>
      </w:r>
      <w:r w:rsidR="00B02CE1">
        <w:t xml:space="preserve"> have an unlimited monetary jurisdiction, in line with current arrangements.</w:t>
      </w:r>
    </w:p>
    <w:p w:rsidR="000D19C5" w:rsidRDefault="006C1D6E" w:rsidP="006C1D6E">
      <w:pPr>
        <w:pStyle w:val="OutlineNumbered1"/>
      </w:pPr>
      <w:r>
        <w:t xml:space="preserve">The draft legislation notes that the Minister must take into account the accessibility and effectiveness of the scheme but </w:t>
      </w:r>
      <w:r w:rsidR="00000A88">
        <w:t>does not prescribe the</w:t>
      </w:r>
      <w:r>
        <w:t xml:space="preserve"> monetary </w:t>
      </w:r>
      <w:r w:rsidR="00912CFA">
        <w:t>limits</w:t>
      </w:r>
      <w:r>
        <w:t xml:space="preserve"> for </w:t>
      </w:r>
      <w:r w:rsidR="00182C87">
        <w:t>complaints</w:t>
      </w:r>
      <w:r w:rsidR="00610770">
        <w:t>, which will be specified in the terms of reference of the EDR scheme</w:t>
      </w:r>
      <w:r>
        <w:t xml:space="preserve">. </w:t>
      </w:r>
      <w:r w:rsidR="00CF6E14">
        <w:t xml:space="preserve">The Minister </w:t>
      </w:r>
      <w:r w:rsidR="0026615B">
        <w:t xml:space="preserve">will have regard to the </w:t>
      </w:r>
      <w:r w:rsidR="00CF6E14">
        <w:t xml:space="preserve">monetary limits </w:t>
      </w:r>
      <w:r w:rsidR="0026615B">
        <w:t>specified in the</w:t>
      </w:r>
      <w:r w:rsidR="00CF6E14">
        <w:t xml:space="preserve"> Terms of Reference</w:t>
      </w:r>
      <w:r w:rsidR="0026615B">
        <w:t xml:space="preserve"> when making the authorisation decision</w:t>
      </w:r>
      <w:r w:rsidR="00CF6E14">
        <w:t>.</w:t>
      </w:r>
      <w:r w:rsidR="000D19C5">
        <w:t xml:space="preserve"> </w:t>
      </w:r>
      <w:r w:rsidR="00000A88">
        <w:t xml:space="preserve">Additionally, in the event that future monetary limits imposed by the scheme are considered ineffective in meeting the purposes of the scheme, ASIC will have a power to issue a direction that the monetary limit be increased (see </w:t>
      </w:r>
      <w:r w:rsidR="008D1551">
        <w:t xml:space="preserve">proposed </w:t>
      </w:r>
      <w:proofErr w:type="spellStart"/>
      <w:r w:rsidR="00000A88">
        <w:t>s</w:t>
      </w:r>
      <w:r w:rsidR="000A1979">
        <w:t>s</w:t>
      </w:r>
      <w:proofErr w:type="spellEnd"/>
      <w:r w:rsidR="00000A88">
        <w:t xml:space="preserve"> 1048(3)</w:t>
      </w:r>
      <w:r w:rsidR="00413D47">
        <w:t xml:space="preserve"> Corporations Act</w:t>
      </w:r>
      <w:r w:rsidR="00000A88">
        <w:t>).</w:t>
      </w:r>
    </w:p>
    <w:p w:rsidR="00F724EC" w:rsidRDefault="00F724EC" w:rsidP="00F724EC">
      <w:pPr>
        <w:pStyle w:val="OutlineNumbered1"/>
        <w:numPr>
          <w:ilvl w:val="0"/>
          <w:numId w:val="0"/>
        </w:numPr>
        <w:ind w:left="567"/>
      </w:pPr>
    </w:p>
    <w:p w:rsidR="00F724EC" w:rsidRDefault="00F724EC">
      <w:pPr>
        <w:spacing w:after="0" w:line="240" w:lineRule="auto"/>
        <w:jc w:val="left"/>
      </w:pPr>
      <w:r>
        <w:br w:type="page"/>
      </w:r>
    </w:p>
    <w:p w:rsidR="00F724EC" w:rsidRDefault="00F724EC" w:rsidP="00F724EC">
      <w:pPr>
        <w:pStyle w:val="OutlineNumbered1"/>
        <w:numPr>
          <w:ilvl w:val="0"/>
          <w:numId w:val="0"/>
        </w:numPr>
        <w:ind w:left="567"/>
      </w:pPr>
    </w:p>
    <w:tbl>
      <w:tblPr>
        <w:tblStyle w:val="TableGrid"/>
        <w:tblW w:w="0" w:type="auto"/>
        <w:tblLook w:val="04A0" w:firstRow="1" w:lastRow="0" w:firstColumn="1" w:lastColumn="0" w:noHBand="0" w:noVBand="1"/>
      </w:tblPr>
      <w:tblGrid>
        <w:gridCol w:w="8719"/>
      </w:tblGrid>
      <w:tr w:rsidR="006516F6" w:rsidTr="006516F6">
        <w:tc>
          <w:tcPr>
            <w:tcW w:w="8719" w:type="dxa"/>
          </w:tcPr>
          <w:p w:rsidR="006516F6" w:rsidRPr="006516F6" w:rsidRDefault="006516F6" w:rsidP="006516F6">
            <w:pPr>
              <w:pStyle w:val="OutlineNumbered1"/>
              <w:numPr>
                <w:ilvl w:val="0"/>
                <w:numId w:val="0"/>
              </w:numPr>
              <w:rPr>
                <w:b/>
              </w:rPr>
            </w:pPr>
            <w:r w:rsidRPr="006516F6">
              <w:rPr>
                <w:b/>
              </w:rPr>
              <w:t xml:space="preserve">Question </w:t>
            </w:r>
            <w:r w:rsidR="00AA72A2">
              <w:rPr>
                <w:b/>
              </w:rPr>
              <w:t>5</w:t>
            </w:r>
          </w:p>
          <w:p w:rsidR="006516F6" w:rsidRDefault="006516F6" w:rsidP="006516F6">
            <w:r>
              <w:t>Would moving immediately to a compensation cap of $1 million have significant impacts on the availability/price of professional indemnity insurance</w:t>
            </w:r>
            <w:r w:rsidR="00C3154B">
              <w:t xml:space="preserve">? </w:t>
            </w:r>
          </w:p>
          <w:p w:rsidR="006516F6" w:rsidRPr="006516F6" w:rsidRDefault="006516F6" w:rsidP="006516F6">
            <w:pPr>
              <w:pStyle w:val="OutlineNumbered1"/>
              <w:numPr>
                <w:ilvl w:val="0"/>
                <w:numId w:val="0"/>
              </w:numPr>
              <w:rPr>
                <w:b/>
              </w:rPr>
            </w:pPr>
            <w:r w:rsidRPr="006516F6">
              <w:rPr>
                <w:b/>
              </w:rPr>
              <w:t xml:space="preserve">Question </w:t>
            </w:r>
            <w:r w:rsidR="00AA72A2">
              <w:rPr>
                <w:b/>
              </w:rPr>
              <w:t>6</w:t>
            </w:r>
          </w:p>
          <w:p w:rsidR="006516F6" w:rsidRDefault="006516F6" w:rsidP="006516F6">
            <w:r>
              <w:t>Are the existing sub-limits for different insurance products still required?</w:t>
            </w:r>
          </w:p>
        </w:tc>
      </w:tr>
    </w:tbl>
    <w:p w:rsidR="006516F6" w:rsidRDefault="006516F6" w:rsidP="006516F6">
      <w:pPr>
        <w:pStyle w:val="OutlineNumbered1"/>
        <w:numPr>
          <w:ilvl w:val="0"/>
          <w:numId w:val="0"/>
        </w:numPr>
        <w:ind w:left="567" w:hanging="567"/>
      </w:pPr>
    </w:p>
    <w:p w:rsidR="001C5E58" w:rsidRPr="001C5E58" w:rsidRDefault="001C5E58" w:rsidP="00057F13">
      <w:pPr>
        <w:pStyle w:val="Heading2"/>
      </w:pPr>
      <w:bookmarkStart w:id="157" w:name="_Toc481060964"/>
      <w:bookmarkStart w:id="158" w:name="_Toc481061495"/>
      <w:bookmarkStart w:id="159" w:name="_Toc481062593"/>
      <w:bookmarkStart w:id="160" w:name="_Toc481063540"/>
      <w:bookmarkStart w:id="161" w:name="_Toc481065090"/>
      <w:bookmarkStart w:id="162" w:name="_Toc481065970"/>
      <w:bookmarkStart w:id="163" w:name="_Toc481068034"/>
      <w:bookmarkStart w:id="164" w:name="_Toc482200372"/>
      <w:bookmarkStart w:id="165" w:name="_Toc482200709"/>
      <w:r w:rsidRPr="001C5E58">
        <w:t>Credit Representatives</w:t>
      </w:r>
      <w:bookmarkEnd w:id="157"/>
      <w:bookmarkEnd w:id="158"/>
      <w:bookmarkEnd w:id="159"/>
      <w:bookmarkEnd w:id="160"/>
      <w:bookmarkEnd w:id="161"/>
      <w:bookmarkEnd w:id="162"/>
      <w:bookmarkEnd w:id="163"/>
      <w:bookmarkEnd w:id="164"/>
      <w:bookmarkEnd w:id="165"/>
    </w:p>
    <w:p w:rsidR="00C57E04" w:rsidRDefault="001C5E58" w:rsidP="001C5E58">
      <w:pPr>
        <w:pStyle w:val="OutlineNumbered1"/>
      </w:pPr>
      <w:r>
        <w:t>Recommendation 11 of the Ramsay Review noted that in principle there is no reason why credit representatives should continue to hold EDR membership</w:t>
      </w:r>
      <w:r w:rsidR="009229BB">
        <w:t xml:space="preserve"> but that further work should be undertaken to ensure there would be no unintended consequences from removing the requirement. </w:t>
      </w:r>
    </w:p>
    <w:p w:rsidR="00C57E04" w:rsidRDefault="00C57E04" w:rsidP="00C57E04">
      <w:pPr>
        <w:pStyle w:val="OutlineNumbered1"/>
      </w:pPr>
      <w:r>
        <w:t xml:space="preserve">Under the </w:t>
      </w:r>
      <w:r w:rsidRPr="008F5937">
        <w:rPr>
          <w:i/>
        </w:rPr>
        <w:t>National Consumer Credit Protection Act 2009</w:t>
      </w:r>
      <w:r w:rsidR="009229BB">
        <w:rPr>
          <w:i/>
        </w:rPr>
        <w:t>,</w:t>
      </w:r>
      <w:r>
        <w:t xml:space="preserve"> both credit licensees and credit representatives are required to be members of an EDR scheme, even though the licensee is responsible and liable for the conduct of their representatives. </w:t>
      </w:r>
    </w:p>
    <w:p w:rsidR="00C57E04" w:rsidRDefault="00C57E04" w:rsidP="00C57E04">
      <w:pPr>
        <w:pStyle w:val="OutlineNumbered1"/>
      </w:pPr>
      <w:r>
        <w:t>This requirement is in contrast to the financial services licen</w:t>
      </w:r>
      <w:r w:rsidR="00B643D6">
        <w:t>s</w:t>
      </w:r>
      <w:r>
        <w:t xml:space="preserve">ing regime where only the licensee is required to be a member of an EDR scheme. The rationale for the financial services approach is that making financial services licensees responsible for the conduct of their representatives, combined with compulsory EDR membership for licensees provides adequate consumer protection. </w:t>
      </w:r>
    </w:p>
    <w:p w:rsidR="00C57E04" w:rsidRDefault="00C57E04" w:rsidP="00C57E04">
      <w:pPr>
        <w:pStyle w:val="OutlineNumbered1"/>
      </w:pPr>
      <w:r>
        <w:t>Removing the obligation for credit representatives to be members of an EDR scheme could potentially lower the regulatory burden on industry without impacting on consumer’s ability to access redress, as the licensee ultimately retains responsibility for the conduct of their representatives.</w:t>
      </w:r>
    </w:p>
    <w:p w:rsidR="006C1D6E" w:rsidRDefault="00C57E04" w:rsidP="001C5E58">
      <w:pPr>
        <w:pStyle w:val="OutlineNumbered1"/>
      </w:pPr>
      <w:r>
        <w:t>Stakeholders are invited to provide any concerns that they would have</w:t>
      </w:r>
      <w:r w:rsidR="001C5E58">
        <w:t xml:space="preserve"> </w:t>
      </w:r>
      <w:r>
        <w:t xml:space="preserve">with removing the requirement for credit representatives to be members of an EDR scheme. </w:t>
      </w:r>
    </w:p>
    <w:tbl>
      <w:tblPr>
        <w:tblStyle w:val="TableGrid"/>
        <w:tblW w:w="0" w:type="auto"/>
        <w:tblLook w:val="04A0" w:firstRow="1" w:lastRow="0" w:firstColumn="1" w:lastColumn="0" w:noHBand="0" w:noVBand="1"/>
      </w:tblPr>
      <w:tblGrid>
        <w:gridCol w:w="8719"/>
      </w:tblGrid>
      <w:tr w:rsidR="006516F6" w:rsidTr="006516F6">
        <w:tc>
          <w:tcPr>
            <w:tcW w:w="8719" w:type="dxa"/>
          </w:tcPr>
          <w:p w:rsidR="006516F6" w:rsidRPr="006516F6" w:rsidRDefault="006516F6" w:rsidP="006516F6">
            <w:pPr>
              <w:pStyle w:val="OutlineNumbered1"/>
              <w:numPr>
                <w:ilvl w:val="0"/>
                <w:numId w:val="0"/>
              </w:numPr>
              <w:rPr>
                <w:b/>
              </w:rPr>
            </w:pPr>
            <w:r w:rsidRPr="006516F6">
              <w:rPr>
                <w:b/>
              </w:rPr>
              <w:t xml:space="preserve">Question </w:t>
            </w:r>
            <w:r w:rsidR="00AA72A2">
              <w:rPr>
                <w:b/>
              </w:rPr>
              <w:t>7</w:t>
            </w:r>
          </w:p>
          <w:p w:rsidR="006516F6" w:rsidRDefault="006516F6" w:rsidP="006516F6">
            <w:r>
              <w:t>Are there any reasons why credit representatives should be required to be a member of an EDR scheme?</w:t>
            </w:r>
          </w:p>
        </w:tc>
      </w:tr>
    </w:tbl>
    <w:p w:rsidR="006516F6" w:rsidRDefault="006516F6" w:rsidP="006516F6">
      <w:pPr>
        <w:pStyle w:val="OutlineNumbered1"/>
        <w:numPr>
          <w:ilvl w:val="0"/>
          <w:numId w:val="0"/>
        </w:numPr>
        <w:ind w:left="567" w:hanging="567"/>
      </w:pPr>
    </w:p>
    <w:p w:rsidR="005B5022" w:rsidRPr="005B5022" w:rsidRDefault="005B5022" w:rsidP="00057F13">
      <w:pPr>
        <w:pStyle w:val="Heading2"/>
      </w:pPr>
      <w:bookmarkStart w:id="166" w:name="_Toc481060965"/>
      <w:bookmarkStart w:id="167" w:name="_Toc481061496"/>
      <w:bookmarkStart w:id="168" w:name="_Toc481062594"/>
      <w:bookmarkStart w:id="169" w:name="_Toc481063541"/>
      <w:bookmarkStart w:id="170" w:name="_Toc481065091"/>
      <w:bookmarkStart w:id="171" w:name="_Toc481065971"/>
      <w:bookmarkStart w:id="172" w:name="_Toc481068035"/>
      <w:bookmarkStart w:id="173" w:name="_Toc482200373"/>
      <w:bookmarkStart w:id="174" w:name="_Toc482200710"/>
      <w:r w:rsidRPr="005B5022">
        <w:t xml:space="preserve">Regulatory </w:t>
      </w:r>
      <w:r>
        <w:t>I</w:t>
      </w:r>
      <w:r w:rsidRPr="005B5022">
        <w:t>mpact</w:t>
      </w:r>
      <w:bookmarkEnd w:id="166"/>
      <w:bookmarkEnd w:id="167"/>
      <w:bookmarkEnd w:id="168"/>
      <w:bookmarkEnd w:id="169"/>
      <w:bookmarkEnd w:id="170"/>
      <w:bookmarkEnd w:id="171"/>
      <w:bookmarkEnd w:id="172"/>
      <w:bookmarkEnd w:id="173"/>
      <w:bookmarkEnd w:id="174"/>
    </w:p>
    <w:p w:rsidR="00D30FE9" w:rsidRDefault="00D30FE9" w:rsidP="00D30FE9">
      <w:pPr>
        <w:pStyle w:val="OutlineNumbered1"/>
      </w:pPr>
      <w:r>
        <w:t xml:space="preserve">Consistent with best practice, Treasury will assess the regulatory impact of the new EDR framework by costing the regulatory impact using the Government’s regulatory burden measurement framework. </w:t>
      </w:r>
    </w:p>
    <w:p w:rsidR="00F724EC" w:rsidRDefault="00F724EC">
      <w:pPr>
        <w:spacing w:after="0" w:line="240" w:lineRule="auto"/>
        <w:jc w:val="left"/>
      </w:pPr>
      <w:r>
        <w:br w:type="page"/>
      </w:r>
    </w:p>
    <w:p w:rsidR="005B5022" w:rsidRDefault="00D30FE9" w:rsidP="00D30FE9">
      <w:pPr>
        <w:pStyle w:val="OutlineNumbered1"/>
      </w:pPr>
      <w:r>
        <w:t>Areas where there could be an increase in regulatory burden for industry include:</w:t>
      </w:r>
    </w:p>
    <w:p w:rsidR="00D30FE9" w:rsidRDefault="00D30FE9" w:rsidP="00057F13">
      <w:pPr>
        <w:pStyle w:val="OutlineNumbered2"/>
        <w:numPr>
          <w:ilvl w:val="1"/>
          <w:numId w:val="52"/>
        </w:numPr>
      </w:pPr>
      <w:r>
        <w:t>updating disclosure material;</w:t>
      </w:r>
    </w:p>
    <w:p w:rsidR="00D30FE9" w:rsidRDefault="00D30FE9" w:rsidP="00057F13">
      <w:pPr>
        <w:pStyle w:val="OutlineNumbered2"/>
        <w:numPr>
          <w:ilvl w:val="1"/>
          <w:numId w:val="52"/>
        </w:numPr>
      </w:pPr>
      <w:r>
        <w:t>training staff;</w:t>
      </w:r>
    </w:p>
    <w:p w:rsidR="00D30FE9" w:rsidRDefault="00D30FE9" w:rsidP="00057F13">
      <w:pPr>
        <w:pStyle w:val="OutlineNumbered2"/>
        <w:numPr>
          <w:ilvl w:val="1"/>
          <w:numId w:val="52"/>
        </w:numPr>
      </w:pPr>
      <w:r>
        <w:t>the obligation on superannuation funds to be members of a scheme;</w:t>
      </w:r>
    </w:p>
    <w:p w:rsidR="00D30FE9" w:rsidRDefault="00D30FE9" w:rsidP="00057F13">
      <w:pPr>
        <w:pStyle w:val="OutlineNumbered2"/>
        <w:numPr>
          <w:ilvl w:val="1"/>
          <w:numId w:val="52"/>
        </w:numPr>
      </w:pPr>
      <w:r>
        <w:t xml:space="preserve">firms dealing with an increased number of </w:t>
      </w:r>
      <w:r w:rsidR="00182C87">
        <w:t>complaints</w:t>
      </w:r>
      <w:r>
        <w:t xml:space="preserve"> as a result of increased claim limits; and</w:t>
      </w:r>
    </w:p>
    <w:p w:rsidR="00D30FE9" w:rsidRDefault="00D30FE9" w:rsidP="00057F13">
      <w:pPr>
        <w:pStyle w:val="OutlineNumbered2"/>
        <w:numPr>
          <w:ilvl w:val="1"/>
          <w:numId w:val="52"/>
        </w:numPr>
      </w:pPr>
      <w:proofErr w:type="gramStart"/>
      <w:r>
        <w:t>the</w:t>
      </w:r>
      <w:proofErr w:type="gramEnd"/>
      <w:r>
        <w:t xml:space="preserve"> cost of providing IDR data to ASIC.</w:t>
      </w:r>
    </w:p>
    <w:p w:rsidR="00D30FE9" w:rsidRDefault="00D30FE9" w:rsidP="00D30FE9">
      <w:pPr>
        <w:pStyle w:val="OutlineNumbered1"/>
      </w:pPr>
      <w:r>
        <w:t xml:space="preserve">Stakeholders are invited to provide feedback on the regulatory impact of the reforms, including the impact of the factors identified above, as well as any additional factors. </w:t>
      </w:r>
    </w:p>
    <w:tbl>
      <w:tblPr>
        <w:tblStyle w:val="TableGrid"/>
        <w:tblW w:w="0" w:type="auto"/>
        <w:tblLook w:val="04A0" w:firstRow="1" w:lastRow="0" w:firstColumn="1" w:lastColumn="0" w:noHBand="0" w:noVBand="1"/>
      </w:tblPr>
      <w:tblGrid>
        <w:gridCol w:w="8719"/>
      </w:tblGrid>
      <w:tr w:rsidR="008A745B" w:rsidTr="008A745B">
        <w:tc>
          <w:tcPr>
            <w:tcW w:w="8719" w:type="dxa"/>
          </w:tcPr>
          <w:bookmarkEnd w:id="111"/>
          <w:p w:rsidR="008A745B" w:rsidRPr="008A745B" w:rsidRDefault="008A745B" w:rsidP="008A745B">
            <w:pPr>
              <w:pStyle w:val="OutlineNumbered1"/>
              <w:numPr>
                <w:ilvl w:val="0"/>
                <w:numId w:val="0"/>
              </w:numPr>
              <w:rPr>
                <w:b/>
              </w:rPr>
            </w:pPr>
            <w:r w:rsidRPr="008A745B">
              <w:rPr>
                <w:b/>
              </w:rPr>
              <w:t xml:space="preserve">Question </w:t>
            </w:r>
            <w:r w:rsidR="00AA72A2">
              <w:rPr>
                <w:b/>
              </w:rPr>
              <w:t>8</w:t>
            </w:r>
          </w:p>
          <w:p w:rsidR="008A745B" w:rsidRPr="00057F13" w:rsidRDefault="008A745B" w:rsidP="005D72F5">
            <w:r w:rsidRPr="008A745B">
              <w:t xml:space="preserve">What will the regulatory </w:t>
            </w:r>
            <w:r w:rsidR="00951662">
              <w:t>impact</w:t>
            </w:r>
            <w:r w:rsidR="005D72F5">
              <w:t>s</w:t>
            </w:r>
            <w:r w:rsidRPr="008A745B">
              <w:t xml:space="preserve"> of the new EDR framework be</w:t>
            </w:r>
            <w:r w:rsidR="005D72F5">
              <w:t xml:space="preserve">? </w:t>
            </w:r>
          </w:p>
        </w:tc>
      </w:tr>
    </w:tbl>
    <w:p w:rsidR="002C57B5" w:rsidRPr="00057F13" w:rsidRDefault="002C57B5" w:rsidP="008A745B">
      <w:pPr>
        <w:pStyle w:val="OutlineNumbered1"/>
        <w:numPr>
          <w:ilvl w:val="0"/>
          <w:numId w:val="0"/>
        </w:numPr>
        <w:ind w:left="567"/>
      </w:pPr>
    </w:p>
    <w:sectPr w:rsidR="002C57B5" w:rsidRPr="00057F13" w:rsidSect="0056559F">
      <w:footerReference w:type="first" r:id="rId2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D36" w:rsidRDefault="00771D36">
      <w:pPr>
        <w:spacing w:after="0" w:line="240" w:lineRule="auto"/>
      </w:pPr>
      <w:r>
        <w:separator/>
      </w:r>
    </w:p>
  </w:endnote>
  <w:endnote w:type="continuationSeparator" w:id="0">
    <w:p w:rsidR="00771D36" w:rsidRDefault="00771D36">
      <w:pPr>
        <w:spacing w:after="0" w:line="240" w:lineRule="auto"/>
      </w:pPr>
      <w:r>
        <w:continuationSeparator/>
      </w:r>
    </w:p>
  </w:endnote>
  <w:endnote w:type="continuationNotice" w:id="1">
    <w:p w:rsidR="00771D36" w:rsidRDefault="0077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0B" w:rsidRDefault="0000040B">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00040B" w:rsidRDefault="00C453F5">
    <w:pPr>
      <w:pStyle w:val="SecurityClassificationFooter"/>
    </w:pPr>
    <w:fldSimple w:instr=" DOCPROPERTY SecurityClassification \* MERGEFORMAT ">
      <w:r w:rsidR="00645649" w:rsidRPr="00645649">
        <w:rPr>
          <w:rStyle w:val="PageNumber"/>
        </w:rPr>
        <w:t>In Confidence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0B" w:rsidRDefault="0000040B">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5BB1">
      <w:rPr>
        <w:rStyle w:val="PageNumber"/>
        <w:noProof/>
      </w:rPr>
      <w:t>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0B" w:rsidRDefault="0000040B">
    <w:pPr>
      <w:pStyle w:val="FooterOdd"/>
      <w:rPr>
        <w:rStyle w:val="PageNumber"/>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C64124">
      <w:rPr>
        <w:rStyle w:val="PageNumber"/>
        <w:noProof/>
      </w:rPr>
      <w:t>1</w:t>
    </w:r>
    <w:r w:rsidRPr="0056559F">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D36" w:rsidRDefault="00771D36">
      <w:pPr>
        <w:spacing w:after="0" w:line="240" w:lineRule="auto"/>
      </w:pPr>
      <w:r>
        <w:separator/>
      </w:r>
    </w:p>
  </w:footnote>
  <w:footnote w:type="continuationSeparator" w:id="0">
    <w:p w:rsidR="00771D36" w:rsidRDefault="00771D36">
      <w:pPr>
        <w:spacing w:after="0" w:line="240" w:lineRule="auto"/>
      </w:pPr>
      <w:r>
        <w:continuationSeparator/>
      </w:r>
    </w:p>
  </w:footnote>
  <w:footnote w:type="continuationNotice" w:id="1">
    <w:p w:rsidR="00771D36" w:rsidRDefault="00771D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0B" w:rsidRDefault="00C453F5">
    <w:pPr>
      <w:pStyle w:val="SecurityClassificationHeader"/>
    </w:pPr>
    <w:fldSimple w:instr=" DOCPROPERTY SecurityClassification \* MERGEFORMAT ">
      <w:r w:rsidR="00645649">
        <w:t>In Confidence</w:t>
      </w:r>
    </w:fldSimple>
  </w:p>
  <w:p w:rsidR="0000040B" w:rsidRDefault="0000040B">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0B" w:rsidRDefault="0000040B" w:rsidP="006916AB">
    <w:pPr>
      <w:pStyle w:val="SecurityClassification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06C84C2D"/>
    <w:multiLevelType w:val="multilevel"/>
    <w:tmpl w:val="5FE6654A"/>
    <w:lvl w:ilvl="0">
      <w:start w:val="1"/>
      <w:numFmt w:val="decimal"/>
      <w:lvlRestart w:val="0"/>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19E178A2"/>
    <w:multiLevelType w:val="multilevel"/>
    <w:tmpl w:val="74684480"/>
    <w:lvl w:ilvl="0">
      <w:start w:val="1"/>
      <w:numFmt w:val="decimal"/>
      <w:lvlRestart w:val="0"/>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2E15935"/>
    <w:multiLevelType w:val="multilevel"/>
    <w:tmpl w:val="2E04D47C"/>
    <w:lvl w:ilvl="0">
      <w:start w:val="1"/>
      <w:numFmt w:val="decimal"/>
      <w:lvlRestart w:val="0"/>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44237C5"/>
    <w:multiLevelType w:val="multilevel"/>
    <w:tmpl w:val="A6800B9E"/>
    <w:numStyleLink w:val="Outlinenumbering"/>
  </w:abstractNum>
  <w:abstractNum w:abstractNumId="17">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7440C8B"/>
    <w:multiLevelType w:val="multilevel"/>
    <w:tmpl w:val="B0BCC0B4"/>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2680"/>
        </w:tabs>
        <w:ind w:left="2680" w:hanging="360"/>
      </w:pPr>
      <w:rPr>
        <w:b w:val="0"/>
        <w:i w:val="0"/>
      </w:rPr>
    </w:lvl>
    <w:lvl w:ilvl="4">
      <w:start w:val="1"/>
      <w:numFmt w:val="lowerLetter"/>
      <w:lvlText w:val="(%5)"/>
      <w:lvlJc w:val="left"/>
      <w:pPr>
        <w:tabs>
          <w:tab w:val="num" w:pos="3040"/>
        </w:tabs>
        <w:ind w:left="3040" w:hanging="360"/>
      </w:pPr>
      <w:rPr>
        <w:b w:val="0"/>
        <w:i w:val="0"/>
      </w:rPr>
    </w:lvl>
    <w:lvl w:ilvl="5">
      <w:start w:val="1"/>
      <w:numFmt w:val="lowerRoman"/>
      <w:lvlText w:val="(%6)"/>
      <w:lvlJc w:val="left"/>
      <w:pPr>
        <w:tabs>
          <w:tab w:val="num" w:pos="3400"/>
        </w:tabs>
        <w:ind w:left="3400" w:hanging="360"/>
      </w:pPr>
      <w:rPr>
        <w:b w:val="0"/>
        <w:i w:val="0"/>
      </w:rPr>
    </w:lvl>
    <w:lvl w:ilvl="6">
      <w:start w:val="1"/>
      <w:numFmt w:val="decimal"/>
      <w:lvlText w:val="%7."/>
      <w:lvlJc w:val="left"/>
      <w:pPr>
        <w:tabs>
          <w:tab w:val="num" w:pos="3760"/>
        </w:tabs>
        <w:ind w:left="3760" w:hanging="360"/>
      </w:pPr>
      <w:rPr>
        <w:b w:val="0"/>
        <w:i w:val="0"/>
      </w:rPr>
    </w:lvl>
    <w:lvl w:ilvl="7">
      <w:start w:val="1"/>
      <w:numFmt w:val="lowerLetter"/>
      <w:lvlText w:val="%8."/>
      <w:lvlJc w:val="left"/>
      <w:pPr>
        <w:tabs>
          <w:tab w:val="num" w:pos="4120"/>
        </w:tabs>
        <w:ind w:left="4120" w:hanging="360"/>
      </w:pPr>
      <w:rPr>
        <w:b w:val="0"/>
        <w:i w:val="0"/>
      </w:rPr>
    </w:lvl>
    <w:lvl w:ilvl="8">
      <w:start w:val="1"/>
      <w:numFmt w:val="lowerRoman"/>
      <w:lvlText w:val="%9."/>
      <w:lvlJc w:val="left"/>
      <w:pPr>
        <w:tabs>
          <w:tab w:val="num" w:pos="4480"/>
        </w:tabs>
        <w:ind w:left="4480" w:hanging="360"/>
      </w:pPr>
      <w:rPr>
        <w:b w:val="0"/>
        <w:i w:val="0"/>
      </w:rPr>
    </w:lvl>
  </w:abstractNum>
  <w:abstractNum w:abstractNumId="19">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20">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nsid w:val="330219FA"/>
    <w:multiLevelType w:val="multilevel"/>
    <w:tmpl w:val="7652CAA6"/>
    <w:lvl w:ilvl="0">
      <w:start w:val="1"/>
      <w:numFmt w:val="decimal"/>
      <w:lvlRestart w:val="0"/>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nsid w:val="370C0EC8"/>
    <w:multiLevelType w:val="multilevel"/>
    <w:tmpl w:val="E7D0963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4">
    <w:nsid w:val="3C857931"/>
    <w:multiLevelType w:val="singleLevel"/>
    <w:tmpl w:val="0C09000F"/>
    <w:lvl w:ilvl="0">
      <w:start w:val="1"/>
      <w:numFmt w:val="decimal"/>
      <w:lvlText w:val="%1."/>
      <w:lvlJc w:val="left"/>
      <w:pPr>
        <w:tabs>
          <w:tab w:val="num" w:pos="720"/>
        </w:tabs>
        <w:ind w:left="720" w:hanging="360"/>
      </w:pPr>
    </w:lvl>
  </w:abstractNum>
  <w:abstractNum w:abstractNumId="25">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18B22D4"/>
    <w:multiLevelType w:val="singleLevel"/>
    <w:tmpl w:val="0C09000F"/>
    <w:lvl w:ilvl="0">
      <w:start w:val="1"/>
      <w:numFmt w:val="decimal"/>
      <w:lvlText w:val="%1."/>
      <w:lvlJc w:val="left"/>
      <w:pPr>
        <w:tabs>
          <w:tab w:val="num" w:pos="720"/>
        </w:tabs>
        <w:ind w:left="720" w:hanging="360"/>
      </w:pPr>
    </w:lvl>
  </w:abstractNum>
  <w:abstractNum w:abstractNumId="27">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8">
    <w:nsid w:val="535357C1"/>
    <w:multiLevelType w:val="singleLevel"/>
    <w:tmpl w:val="0C09000F"/>
    <w:lvl w:ilvl="0">
      <w:start w:val="1"/>
      <w:numFmt w:val="decimal"/>
      <w:lvlText w:val="%1."/>
      <w:lvlJc w:val="left"/>
      <w:pPr>
        <w:tabs>
          <w:tab w:val="num" w:pos="720"/>
        </w:tabs>
        <w:ind w:left="720" w:hanging="360"/>
      </w:pPr>
    </w:lvl>
  </w:abstractNum>
  <w:abstractNum w:abstractNumId="29">
    <w:nsid w:val="54E633A5"/>
    <w:multiLevelType w:val="multilevel"/>
    <w:tmpl w:val="1DE8A1C0"/>
    <w:lvl w:ilvl="0">
      <w:start w:val="1"/>
      <w:numFmt w:val="decimal"/>
      <w:lvlRestart w:val="0"/>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0">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nsid w:val="65DF6494"/>
    <w:multiLevelType w:val="multilevel"/>
    <w:tmpl w:val="A316FE50"/>
    <w:numStyleLink w:val="ChapterList"/>
  </w:abstractNum>
  <w:abstractNum w:abstractNumId="33">
    <w:nsid w:val="65FB0D17"/>
    <w:multiLevelType w:val="singleLevel"/>
    <w:tmpl w:val="0C09000F"/>
    <w:lvl w:ilvl="0">
      <w:start w:val="1"/>
      <w:numFmt w:val="decimal"/>
      <w:lvlText w:val="%1."/>
      <w:lvlJc w:val="left"/>
      <w:pPr>
        <w:tabs>
          <w:tab w:val="num" w:pos="720"/>
        </w:tabs>
        <w:ind w:left="720" w:hanging="360"/>
      </w:pPr>
    </w:lvl>
  </w:abstractNum>
  <w:abstractNum w:abstractNumId="3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B5C3FD9"/>
    <w:multiLevelType w:val="hybridMultilevel"/>
    <w:tmpl w:val="42AE77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nsid w:val="7CE94092"/>
    <w:multiLevelType w:val="multilevel"/>
    <w:tmpl w:val="ABD0C45C"/>
    <w:lvl w:ilvl="0">
      <w:start w:val="1"/>
      <w:numFmt w:val="decimal"/>
      <w:lvlRestart w:val="0"/>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8">
    <w:nsid w:val="7EBF275E"/>
    <w:multiLevelType w:val="multilevel"/>
    <w:tmpl w:val="A6800B9E"/>
    <w:numStyleLink w:val="Outlinenumbering"/>
  </w:abstractNum>
  <w:num w:numId="1">
    <w:abstractNumId w:val="18"/>
  </w:num>
  <w:num w:numId="2">
    <w:abstractNumId w:val="16"/>
  </w:num>
  <w:num w:numId="3">
    <w:abstractNumId w:val="19"/>
  </w:num>
  <w:num w:numId="4">
    <w:abstractNumId w:val="27"/>
  </w:num>
  <w:num w:numId="5">
    <w:abstractNumId w:val="15"/>
  </w:num>
  <w:num w:numId="6">
    <w:abstractNumId w:val="15"/>
  </w:num>
  <w:num w:numId="7">
    <w:abstractNumId w:val="15"/>
  </w:num>
  <w:num w:numId="8">
    <w:abstractNumId w:val="35"/>
  </w:num>
  <w:num w:numId="9">
    <w:abstractNumId w:val="30"/>
  </w:num>
  <w:num w:numId="10">
    <w:abstractNumId w:val="11"/>
  </w:num>
  <w:num w:numId="11">
    <w:abstractNumId w:val="3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7"/>
  </w:num>
  <w:num w:numId="25">
    <w:abstractNumId w:val="20"/>
  </w:num>
  <w:num w:numId="26">
    <w:abstractNumId w:val="38"/>
  </w:num>
  <w:num w:numId="27">
    <w:abstractNumId w:val="3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25"/>
  </w:num>
  <w:num w:numId="31">
    <w:abstractNumId w:val="3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22"/>
  </w:num>
  <w:num w:numId="33">
    <w:abstractNumId w:val="32"/>
  </w:num>
  <w:num w:numId="34">
    <w:abstractNumId w:val="38"/>
  </w:num>
  <w:num w:numId="35">
    <w:abstractNumId w:val="38"/>
  </w:num>
  <w:num w:numId="36">
    <w:abstractNumId w:val="38"/>
  </w:num>
  <w:num w:numId="37">
    <w:abstractNumId w:val="38"/>
  </w:num>
  <w:num w:numId="38">
    <w:abstractNumId w:val="38"/>
  </w:num>
  <w:num w:numId="39">
    <w:abstractNumId w:val="38"/>
  </w:num>
  <w:num w:numId="40">
    <w:abstractNumId w:val="38"/>
  </w:num>
  <w:num w:numId="41">
    <w:abstractNumId w:val="38"/>
  </w:num>
  <w:num w:numId="42">
    <w:abstractNumId w:val="38"/>
  </w:num>
  <w:num w:numId="43">
    <w:abstractNumId w:val="38"/>
  </w:num>
  <w:num w:numId="44">
    <w:abstractNumId w:val="38"/>
  </w:num>
  <w:num w:numId="45">
    <w:abstractNumId w:val="38"/>
  </w:num>
  <w:num w:numId="46">
    <w:abstractNumId w:val="18"/>
  </w:num>
  <w:num w:numId="47">
    <w:abstractNumId w:val="38"/>
  </w:num>
  <w:num w:numId="48">
    <w:abstractNumId w:val="38"/>
  </w:num>
  <w:num w:numId="49">
    <w:abstractNumId w:val="38"/>
  </w:num>
  <w:num w:numId="50">
    <w:abstractNumId w:val="38"/>
  </w:num>
  <w:num w:numId="51">
    <w:abstractNumId w:val="36"/>
  </w:num>
  <w:num w:numId="52">
    <w:abstractNumId w:val="29"/>
  </w:num>
  <w:num w:numId="53">
    <w:abstractNumId w:val="14"/>
  </w:num>
  <w:num w:numId="54">
    <w:abstractNumId w:val="12"/>
  </w:num>
  <w:num w:numId="55">
    <w:abstractNumId w:val="21"/>
  </w:num>
  <w:num w:numId="56">
    <w:abstractNumId w:val="10"/>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6916AB"/>
    <w:rsid w:val="0000040B"/>
    <w:rsid w:val="00000A88"/>
    <w:rsid w:val="00005227"/>
    <w:rsid w:val="000108F5"/>
    <w:rsid w:val="00012D76"/>
    <w:rsid w:val="0002183E"/>
    <w:rsid w:val="000360C7"/>
    <w:rsid w:val="000367CF"/>
    <w:rsid w:val="00040AA7"/>
    <w:rsid w:val="00042282"/>
    <w:rsid w:val="000437DE"/>
    <w:rsid w:val="00051064"/>
    <w:rsid w:val="00052C5E"/>
    <w:rsid w:val="0005388D"/>
    <w:rsid w:val="00056D4B"/>
    <w:rsid w:val="00057F13"/>
    <w:rsid w:val="0006082F"/>
    <w:rsid w:val="00060A28"/>
    <w:rsid w:val="000734BD"/>
    <w:rsid w:val="00073C1B"/>
    <w:rsid w:val="0007702C"/>
    <w:rsid w:val="00090470"/>
    <w:rsid w:val="00093C31"/>
    <w:rsid w:val="000955C9"/>
    <w:rsid w:val="00095FCE"/>
    <w:rsid w:val="000A1979"/>
    <w:rsid w:val="000A390C"/>
    <w:rsid w:val="000A4E28"/>
    <w:rsid w:val="000A558C"/>
    <w:rsid w:val="000A5814"/>
    <w:rsid w:val="000A7BCF"/>
    <w:rsid w:val="000B14E6"/>
    <w:rsid w:val="000B4308"/>
    <w:rsid w:val="000B76FB"/>
    <w:rsid w:val="000C578D"/>
    <w:rsid w:val="000D13E6"/>
    <w:rsid w:val="000D19C5"/>
    <w:rsid w:val="000D2C32"/>
    <w:rsid w:val="000D33AF"/>
    <w:rsid w:val="000D348F"/>
    <w:rsid w:val="000D4E38"/>
    <w:rsid w:val="000D4FB9"/>
    <w:rsid w:val="000D52F6"/>
    <w:rsid w:val="000D7E19"/>
    <w:rsid w:val="000E3EBD"/>
    <w:rsid w:val="000E4099"/>
    <w:rsid w:val="000E6790"/>
    <w:rsid w:val="000F20B0"/>
    <w:rsid w:val="000F2DA2"/>
    <w:rsid w:val="000F6311"/>
    <w:rsid w:val="000F733A"/>
    <w:rsid w:val="00100DB9"/>
    <w:rsid w:val="00103FF3"/>
    <w:rsid w:val="001045E3"/>
    <w:rsid w:val="00107965"/>
    <w:rsid w:val="0011462E"/>
    <w:rsid w:val="001229BE"/>
    <w:rsid w:val="00125BED"/>
    <w:rsid w:val="00127663"/>
    <w:rsid w:val="00130347"/>
    <w:rsid w:val="00130BE7"/>
    <w:rsid w:val="00131CDB"/>
    <w:rsid w:val="00132F32"/>
    <w:rsid w:val="001335EE"/>
    <w:rsid w:val="00133EE0"/>
    <w:rsid w:val="0015515D"/>
    <w:rsid w:val="0015567F"/>
    <w:rsid w:val="0015580E"/>
    <w:rsid w:val="001610F2"/>
    <w:rsid w:val="00163421"/>
    <w:rsid w:val="00165A6F"/>
    <w:rsid w:val="0016679D"/>
    <w:rsid w:val="00172669"/>
    <w:rsid w:val="0017340D"/>
    <w:rsid w:val="00176D0E"/>
    <w:rsid w:val="00180E7F"/>
    <w:rsid w:val="001817E7"/>
    <w:rsid w:val="00182C87"/>
    <w:rsid w:val="00183593"/>
    <w:rsid w:val="001871ED"/>
    <w:rsid w:val="001917B3"/>
    <w:rsid w:val="001937D0"/>
    <w:rsid w:val="00197F29"/>
    <w:rsid w:val="001B4678"/>
    <w:rsid w:val="001B5D42"/>
    <w:rsid w:val="001B5F12"/>
    <w:rsid w:val="001C2885"/>
    <w:rsid w:val="001C2EBB"/>
    <w:rsid w:val="001C3265"/>
    <w:rsid w:val="001C4847"/>
    <w:rsid w:val="001C5CAF"/>
    <w:rsid w:val="001C5E58"/>
    <w:rsid w:val="001C6997"/>
    <w:rsid w:val="001D0003"/>
    <w:rsid w:val="001E012E"/>
    <w:rsid w:val="001E3244"/>
    <w:rsid w:val="001E43D3"/>
    <w:rsid w:val="001E563E"/>
    <w:rsid w:val="001F24CC"/>
    <w:rsid w:val="001F2D9C"/>
    <w:rsid w:val="001F4DAA"/>
    <w:rsid w:val="002009D2"/>
    <w:rsid w:val="00205317"/>
    <w:rsid w:val="0020536D"/>
    <w:rsid w:val="00212E0D"/>
    <w:rsid w:val="002259DF"/>
    <w:rsid w:val="0023111C"/>
    <w:rsid w:val="0023221D"/>
    <w:rsid w:val="00232333"/>
    <w:rsid w:val="00232515"/>
    <w:rsid w:val="0023380D"/>
    <w:rsid w:val="00233E0E"/>
    <w:rsid w:val="002374FB"/>
    <w:rsid w:val="002434C8"/>
    <w:rsid w:val="00244F4C"/>
    <w:rsid w:val="00246D84"/>
    <w:rsid w:val="00246DCB"/>
    <w:rsid w:val="00261AB2"/>
    <w:rsid w:val="0026615B"/>
    <w:rsid w:val="00271A22"/>
    <w:rsid w:val="00272852"/>
    <w:rsid w:val="002737CC"/>
    <w:rsid w:val="00275D04"/>
    <w:rsid w:val="002765CD"/>
    <w:rsid w:val="00283ABF"/>
    <w:rsid w:val="002866D9"/>
    <w:rsid w:val="002A10A1"/>
    <w:rsid w:val="002A3DCE"/>
    <w:rsid w:val="002A7B79"/>
    <w:rsid w:val="002A7BB7"/>
    <w:rsid w:val="002B01D5"/>
    <w:rsid w:val="002B05D3"/>
    <w:rsid w:val="002B5389"/>
    <w:rsid w:val="002B5BB1"/>
    <w:rsid w:val="002C57B5"/>
    <w:rsid w:val="002D765F"/>
    <w:rsid w:val="002E0073"/>
    <w:rsid w:val="002E112F"/>
    <w:rsid w:val="002E3BCE"/>
    <w:rsid w:val="002E58C3"/>
    <w:rsid w:val="002E59C5"/>
    <w:rsid w:val="002E7F51"/>
    <w:rsid w:val="002F0C5D"/>
    <w:rsid w:val="002F1351"/>
    <w:rsid w:val="002F62DF"/>
    <w:rsid w:val="003037DA"/>
    <w:rsid w:val="0031236D"/>
    <w:rsid w:val="003217B6"/>
    <w:rsid w:val="00321CC0"/>
    <w:rsid w:val="00323440"/>
    <w:rsid w:val="0033146B"/>
    <w:rsid w:val="0033377B"/>
    <w:rsid w:val="00334502"/>
    <w:rsid w:val="003361DF"/>
    <w:rsid w:val="0034179A"/>
    <w:rsid w:val="0034676B"/>
    <w:rsid w:val="00350A9B"/>
    <w:rsid w:val="003527DC"/>
    <w:rsid w:val="00352FBD"/>
    <w:rsid w:val="00352FCF"/>
    <w:rsid w:val="0035665E"/>
    <w:rsid w:val="0036189D"/>
    <w:rsid w:val="00364C76"/>
    <w:rsid w:val="00374F09"/>
    <w:rsid w:val="003769BF"/>
    <w:rsid w:val="00392905"/>
    <w:rsid w:val="00393672"/>
    <w:rsid w:val="00397106"/>
    <w:rsid w:val="003A1173"/>
    <w:rsid w:val="003A2B9B"/>
    <w:rsid w:val="003B29FE"/>
    <w:rsid w:val="003B5B77"/>
    <w:rsid w:val="003B6C8F"/>
    <w:rsid w:val="003B7732"/>
    <w:rsid w:val="003C0455"/>
    <w:rsid w:val="003C26ED"/>
    <w:rsid w:val="003C59A1"/>
    <w:rsid w:val="003C65CF"/>
    <w:rsid w:val="003C6661"/>
    <w:rsid w:val="003C715D"/>
    <w:rsid w:val="003D1BDD"/>
    <w:rsid w:val="003E1D3D"/>
    <w:rsid w:val="003E40A6"/>
    <w:rsid w:val="003E727D"/>
    <w:rsid w:val="003F6326"/>
    <w:rsid w:val="004016A3"/>
    <w:rsid w:val="004029E8"/>
    <w:rsid w:val="00404D74"/>
    <w:rsid w:val="00411B6D"/>
    <w:rsid w:val="00412DE1"/>
    <w:rsid w:val="00413D47"/>
    <w:rsid w:val="00416B11"/>
    <w:rsid w:val="00416FD8"/>
    <w:rsid w:val="00422134"/>
    <w:rsid w:val="00430193"/>
    <w:rsid w:val="00432AB1"/>
    <w:rsid w:val="004365D6"/>
    <w:rsid w:val="004376E6"/>
    <w:rsid w:val="004378E1"/>
    <w:rsid w:val="0044029D"/>
    <w:rsid w:val="00446C16"/>
    <w:rsid w:val="00447234"/>
    <w:rsid w:val="00451A1C"/>
    <w:rsid w:val="004555D0"/>
    <w:rsid w:val="00456A47"/>
    <w:rsid w:val="00466B31"/>
    <w:rsid w:val="00484F54"/>
    <w:rsid w:val="00490727"/>
    <w:rsid w:val="004926B5"/>
    <w:rsid w:val="004936A1"/>
    <w:rsid w:val="004A26A1"/>
    <w:rsid w:val="004A4217"/>
    <w:rsid w:val="004A7EDC"/>
    <w:rsid w:val="004B5569"/>
    <w:rsid w:val="004B6882"/>
    <w:rsid w:val="004C34EC"/>
    <w:rsid w:val="004D33A7"/>
    <w:rsid w:val="004D744F"/>
    <w:rsid w:val="004E1262"/>
    <w:rsid w:val="004E6EB5"/>
    <w:rsid w:val="004F3A6E"/>
    <w:rsid w:val="004F3E35"/>
    <w:rsid w:val="005013F3"/>
    <w:rsid w:val="00502E1F"/>
    <w:rsid w:val="005033E5"/>
    <w:rsid w:val="005039EE"/>
    <w:rsid w:val="00504813"/>
    <w:rsid w:val="00511BC1"/>
    <w:rsid w:val="00514698"/>
    <w:rsid w:val="00514EC0"/>
    <w:rsid w:val="00517814"/>
    <w:rsid w:val="005178B4"/>
    <w:rsid w:val="0052217A"/>
    <w:rsid w:val="00523740"/>
    <w:rsid w:val="0052769F"/>
    <w:rsid w:val="00531FD0"/>
    <w:rsid w:val="005323AD"/>
    <w:rsid w:val="005409F8"/>
    <w:rsid w:val="00543352"/>
    <w:rsid w:val="005438B1"/>
    <w:rsid w:val="0055141A"/>
    <w:rsid w:val="00557B29"/>
    <w:rsid w:val="00561585"/>
    <w:rsid w:val="0056559F"/>
    <w:rsid w:val="005738F4"/>
    <w:rsid w:val="005750C6"/>
    <w:rsid w:val="005820AD"/>
    <w:rsid w:val="0058529C"/>
    <w:rsid w:val="0058683F"/>
    <w:rsid w:val="005B065A"/>
    <w:rsid w:val="005B27C5"/>
    <w:rsid w:val="005B5022"/>
    <w:rsid w:val="005B6A13"/>
    <w:rsid w:val="005C09CF"/>
    <w:rsid w:val="005C3A8E"/>
    <w:rsid w:val="005C51C2"/>
    <w:rsid w:val="005D10D3"/>
    <w:rsid w:val="005D1C3F"/>
    <w:rsid w:val="005D6145"/>
    <w:rsid w:val="005D637D"/>
    <w:rsid w:val="005D72F5"/>
    <w:rsid w:val="005E0F14"/>
    <w:rsid w:val="005E4427"/>
    <w:rsid w:val="005F15F2"/>
    <w:rsid w:val="005F1E7F"/>
    <w:rsid w:val="005F275F"/>
    <w:rsid w:val="005F45CD"/>
    <w:rsid w:val="00601B5F"/>
    <w:rsid w:val="00603636"/>
    <w:rsid w:val="0060396C"/>
    <w:rsid w:val="00605510"/>
    <w:rsid w:val="00610770"/>
    <w:rsid w:val="00611376"/>
    <w:rsid w:val="00616DB2"/>
    <w:rsid w:val="00627531"/>
    <w:rsid w:val="00627C0C"/>
    <w:rsid w:val="00630F77"/>
    <w:rsid w:val="00634508"/>
    <w:rsid w:val="00637809"/>
    <w:rsid w:val="00641C66"/>
    <w:rsid w:val="00645649"/>
    <w:rsid w:val="006516F6"/>
    <w:rsid w:val="00654CFE"/>
    <w:rsid w:val="00661352"/>
    <w:rsid w:val="006653D8"/>
    <w:rsid w:val="00666A1C"/>
    <w:rsid w:val="006762F4"/>
    <w:rsid w:val="00676CF9"/>
    <w:rsid w:val="00680B07"/>
    <w:rsid w:val="00681EC8"/>
    <w:rsid w:val="006879ED"/>
    <w:rsid w:val="00690377"/>
    <w:rsid w:val="006916AB"/>
    <w:rsid w:val="00693921"/>
    <w:rsid w:val="00694C19"/>
    <w:rsid w:val="00694E91"/>
    <w:rsid w:val="00696029"/>
    <w:rsid w:val="006A2568"/>
    <w:rsid w:val="006A7569"/>
    <w:rsid w:val="006B1625"/>
    <w:rsid w:val="006B2433"/>
    <w:rsid w:val="006B45E4"/>
    <w:rsid w:val="006B4C3C"/>
    <w:rsid w:val="006C03E4"/>
    <w:rsid w:val="006C1D6E"/>
    <w:rsid w:val="006D2A2C"/>
    <w:rsid w:val="006D7565"/>
    <w:rsid w:val="006E7CB6"/>
    <w:rsid w:val="006F58D5"/>
    <w:rsid w:val="006F7C10"/>
    <w:rsid w:val="007031C4"/>
    <w:rsid w:val="00703F2D"/>
    <w:rsid w:val="00704726"/>
    <w:rsid w:val="00707606"/>
    <w:rsid w:val="00707A8C"/>
    <w:rsid w:val="00707C56"/>
    <w:rsid w:val="00713746"/>
    <w:rsid w:val="00717426"/>
    <w:rsid w:val="00735963"/>
    <w:rsid w:val="00740ED5"/>
    <w:rsid w:val="00747645"/>
    <w:rsid w:val="00756381"/>
    <w:rsid w:val="00757F85"/>
    <w:rsid w:val="00760E1E"/>
    <w:rsid w:val="00767CB7"/>
    <w:rsid w:val="007710E0"/>
    <w:rsid w:val="00771D36"/>
    <w:rsid w:val="007736AE"/>
    <w:rsid w:val="00774825"/>
    <w:rsid w:val="007773DA"/>
    <w:rsid w:val="007774B0"/>
    <w:rsid w:val="00784067"/>
    <w:rsid w:val="00786F0A"/>
    <w:rsid w:val="00793B41"/>
    <w:rsid w:val="00794663"/>
    <w:rsid w:val="007A499A"/>
    <w:rsid w:val="007B6B5E"/>
    <w:rsid w:val="007B6F70"/>
    <w:rsid w:val="007D4C3A"/>
    <w:rsid w:val="007D5ABF"/>
    <w:rsid w:val="007D60A9"/>
    <w:rsid w:val="007E0093"/>
    <w:rsid w:val="007E529F"/>
    <w:rsid w:val="007E7C9E"/>
    <w:rsid w:val="007F085A"/>
    <w:rsid w:val="007F63CC"/>
    <w:rsid w:val="00800EB3"/>
    <w:rsid w:val="00802EEC"/>
    <w:rsid w:val="00807345"/>
    <w:rsid w:val="008114B6"/>
    <w:rsid w:val="00813AC3"/>
    <w:rsid w:val="0083652C"/>
    <w:rsid w:val="0083710B"/>
    <w:rsid w:val="00841F0E"/>
    <w:rsid w:val="00843CE4"/>
    <w:rsid w:val="0085268C"/>
    <w:rsid w:val="00861A67"/>
    <w:rsid w:val="00875EB4"/>
    <w:rsid w:val="00875F55"/>
    <w:rsid w:val="00881993"/>
    <w:rsid w:val="00883E35"/>
    <w:rsid w:val="00884879"/>
    <w:rsid w:val="00885E73"/>
    <w:rsid w:val="008861EE"/>
    <w:rsid w:val="0089207C"/>
    <w:rsid w:val="00895DFF"/>
    <w:rsid w:val="008A52CB"/>
    <w:rsid w:val="008A745B"/>
    <w:rsid w:val="008A7D02"/>
    <w:rsid w:val="008B361A"/>
    <w:rsid w:val="008B559D"/>
    <w:rsid w:val="008C5B89"/>
    <w:rsid w:val="008C6EA5"/>
    <w:rsid w:val="008D1033"/>
    <w:rsid w:val="008D1551"/>
    <w:rsid w:val="008D4882"/>
    <w:rsid w:val="008D59CD"/>
    <w:rsid w:val="008D59FD"/>
    <w:rsid w:val="008D5BF0"/>
    <w:rsid w:val="008D5C1E"/>
    <w:rsid w:val="008E0C9B"/>
    <w:rsid w:val="008E4D24"/>
    <w:rsid w:val="008E55FD"/>
    <w:rsid w:val="008E7A93"/>
    <w:rsid w:val="008F0630"/>
    <w:rsid w:val="008F16E5"/>
    <w:rsid w:val="008F44EB"/>
    <w:rsid w:val="008F4ABA"/>
    <w:rsid w:val="0091079B"/>
    <w:rsid w:val="00910A3B"/>
    <w:rsid w:val="00912CFA"/>
    <w:rsid w:val="00915F6A"/>
    <w:rsid w:val="009229BB"/>
    <w:rsid w:val="009340D2"/>
    <w:rsid w:val="00943E53"/>
    <w:rsid w:val="00946577"/>
    <w:rsid w:val="00951662"/>
    <w:rsid w:val="00952188"/>
    <w:rsid w:val="00955269"/>
    <w:rsid w:val="00956C4E"/>
    <w:rsid w:val="00962AD2"/>
    <w:rsid w:val="00966D46"/>
    <w:rsid w:val="009700DC"/>
    <w:rsid w:val="00970C03"/>
    <w:rsid w:val="00980733"/>
    <w:rsid w:val="00981D18"/>
    <w:rsid w:val="009870BB"/>
    <w:rsid w:val="009915F0"/>
    <w:rsid w:val="00995926"/>
    <w:rsid w:val="00995F3C"/>
    <w:rsid w:val="00995F90"/>
    <w:rsid w:val="009A148B"/>
    <w:rsid w:val="009A434D"/>
    <w:rsid w:val="009A4CB9"/>
    <w:rsid w:val="009B166C"/>
    <w:rsid w:val="009B4F6C"/>
    <w:rsid w:val="009B6457"/>
    <w:rsid w:val="009B799A"/>
    <w:rsid w:val="009C583F"/>
    <w:rsid w:val="009C718A"/>
    <w:rsid w:val="009D0D81"/>
    <w:rsid w:val="009D1BB6"/>
    <w:rsid w:val="009D2D83"/>
    <w:rsid w:val="009D5E6B"/>
    <w:rsid w:val="009E1CC8"/>
    <w:rsid w:val="009E1F60"/>
    <w:rsid w:val="009E4AC6"/>
    <w:rsid w:val="009F28D1"/>
    <w:rsid w:val="009F361A"/>
    <w:rsid w:val="009F7805"/>
    <w:rsid w:val="00A01B34"/>
    <w:rsid w:val="00A03B71"/>
    <w:rsid w:val="00A101DF"/>
    <w:rsid w:val="00A26EEB"/>
    <w:rsid w:val="00A30760"/>
    <w:rsid w:val="00A30A73"/>
    <w:rsid w:val="00A33025"/>
    <w:rsid w:val="00A36000"/>
    <w:rsid w:val="00A4337B"/>
    <w:rsid w:val="00A5162C"/>
    <w:rsid w:val="00A5377E"/>
    <w:rsid w:val="00A56EC5"/>
    <w:rsid w:val="00A627B2"/>
    <w:rsid w:val="00A62D5B"/>
    <w:rsid w:val="00A65DF0"/>
    <w:rsid w:val="00A7277F"/>
    <w:rsid w:val="00A735B1"/>
    <w:rsid w:val="00A81915"/>
    <w:rsid w:val="00A81AF4"/>
    <w:rsid w:val="00A83DCC"/>
    <w:rsid w:val="00A83DD4"/>
    <w:rsid w:val="00A97B42"/>
    <w:rsid w:val="00AA080D"/>
    <w:rsid w:val="00AA72A2"/>
    <w:rsid w:val="00AB48CB"/>
    <w:rsid w:val="00AB5E00"/>
    <w:rsid w:val="00AC4177"/>
    <w:rsid w:val="00AD3CBF"/>
    <w:rsid w:val="00AE1FFB"/>
    <w:rsid w:val="00AE33E8"/>
    <w:rsid w:val="00AE4131"/>
    <w:rsid w:val="00AF0966"/>
    <w:rsid w:val="00AF25B9"/>
    <w:rsid w:val="00AF63A6"/>
    <w:rsid w:val="00B002BD"/>
    <w:rsid w:val="00B01559"/>
    <w:rsid w:val="00B02CE1"/>
    <w:rsid w:val="00B05195"/>
    <w:rsid w:val="00B06C79"/>
    <w:rsid w:val="00B07A25"/>
    <w:rsid w:val="00B10395"/>
    <w:rsid w:val="00B13E63"/>
    <w:rsid w:val="00B23439"/>
    <w:rsid w:val="00B23977"/>
    <w:rsid w:val="00B32AEA"/>
    <w:rsid w:val="00B453F0"/>
    <w:rsid w:val="00B46937"/>
    <w:rsid w:val="00B4715D"/>
    <w:rsid w:val="00B4773D"/>
    <w:rsid w:val="00B50E44"/>
    <w:rsid w:val="00B643D6"/>
    <w:rsid w:val="00B65E60"/>
    <w:rsid w:val="00B6739F"/>
    <w:rsid w:val="00B72BD6"/>
    <w:rsid w:val="00B76D00"/>
    <w:rsid w:val="00B80BA9"/>
    <w:rsid w:val="00B9150C"/>
    <w:rsid w:val="00B923FB"/>
    <w:rsid w:val="00BA7A10"/>
    <w:rsid w:val="00BB1823"/>
    <w:rsid w:val="00BB63B0"/>
    <w:rsid w:val="00BB67D6"/>
    <w:rsid w:val="00BC1A4B"/>
    <w:rsid w:val="00BD1812"/>
    <w:rsid w:val="00BD32C7"/>
    <w:rsid w:val="00BD6746"/>
    <w:rsid w:val="00BE1459"/>
    <w:rsid w:val="00BE3D22"/>
    <w:rsid w:val="00BE4C09"/>
    <w:rsid w:val="00BE66CD"/>
    <w:rsid w:val="00BE75BC"/>
    <w:rsid w:val="00BF0620"/>
    <w:rsid w:val="00BF603D"/>
    <w:rsid w:val="00C01054"/>
    <w:rsid w:val="00C04E69"/>
    <w:rsid w:val="00C0768F"/>
    <w:rsid w:val="00C10473"/>
    <w:rsid w:val="00C14AC5"/>
    <w:rsid w:val="00C17A7C"/>
    <w:rsid w:val="00C21A18"/>
    <w:rsid w:val="00C21FFC"/>
    <w:rsid w:val="00C26436"/>
    <w:rsid w:val="00C3154B"/>
    <w:rsid w:val="00C3338F"/>
    <w:rsid w:val="00C35314"/>
    <w:rsid w:val="00C35D32"/>
    <w:rsid w:val="00C40191"/>
    <w:rsid w:val="00C40CD7"/>
    <w:rsid w:val="00C41342"/>
    <w:rsid w:val="00C42510"/>
    <w:rsid w:val="00C443F1"/>
    <w:rsid w:val="00C448D0"/>
    <w:rsid w:val="00C453F5"/>
    <w:rsid w:val="00C505F4"/>
    <w:rsid w:val="00C52339"/>
    <w:rsid w:val="00C57E04"/>
    <w:rsid w:val="00C62D12"/>
    <w:rsid w:val="00C64124"/>
    <w:rsid w:val="00C651DF"/>
    <w:rsid w:val="00C66A84"/>
    <w:rsid w:val="00C76587"/>
    <w:rsid w:val="00C76F10"/>
    <w:rsid w:val="00C77D33"/>
    <w:rsid w:val="00C77F4E"/>
    <w:rsid w:val="00C873AB"/>
    <w:rsid w:val="00C94D69"/>
    <w:rsid w:val="00C97C5B"/>
    <w:rsid w:val="00CA601E"/>
    <w:rsid w:val="00CB5050"/>
    <w:rsid w:val="00CC102C"/>
    <w:rsid w:val="00CC2FC9"/>
    <w:rsid w:val="00CC620B"/>
    <w:rsid w:val="00CC716F"/>
    <w:rsid w:val="00CC7E02"/>
    <w:rsid w:val="00CD523B"/>
    <w:rsid w:val="00CE1566"/>
    <w:rsid w:val="00CE6168"/>
    <w:rsid w:val="00CE7489"/>
    <w:rsid w:val="00CE76FB"/>
    <w:rsid w:val="00CF0DF3"/>
    <w:rsid w:val="00CF6E14"/>
    <w:rsid w:val="00CF733F"/>
    <w:rsid w:val="00D016C5"/>
    <w:rsid w:val="00D15C71"/>
    <w:rsid w:val="00D163A9"/>
    <w:rsid w:val="00D164D0"/>
    <w:rsid w:val="00D22396"/>
    <w:rsid w:val="00D25822"/>
    <w:rsid w:val="00D25D58"/>
    <w:rsid w:val="00D30FE9"/>
    <w:rsid w:val="00D31A94"/>
    <w:rsid w:val="00D40769"/>
    <w:rsid w:val="00D52C0C"/>
    <w:rsid w:val="00D56525"/>
    <w:rsid w:val="00D60EED"/>
    <w:rsid w:val="00D649CB"/>
    <w:rsid w:val="00D837CF"/>
    <w:rsid w:val="00D848A5"/>
    <w:rsid w:val="00D85605"/>
    <w:rsid w:val="00D90BB6"/>
    <w:rsid w:val="00D952A9"/>
    <w:rsid w:val="00D97C4F"/>
    <w:rsid w:val="00DA0591"/>
    <w:rsid w:val="00DA2972"/>
    <w:rsid w:val="00DA66B6"/>
    <w:rsid w:val="00DA792F"/>
    <w:rsid w:val="00DB2717"/>
    <w:rsid w:val="00DB2BAB"/>
    <w:rsid w:val="00DC0881"/>
    <w:rsid w:val="00DC5606"/>
    <w:rsid w:val="00DD085F"/>
    <w:rsid w:val="00DD0EE5"/>
    <w:rsid w:val="00DD1C18"/>
    <w:rsid w:val="00DE08E3"/>
    <w:rsid w:val="00DE1AA7"/>
    <w:rsid w:val="00DE70AC"/>
    <w:rsid w:val="00DF20F1"/>
    <w:rsid w:val="00DF3D5C"/>
    <w:rsid w:val="00E12CEA"/>
    <w:rsid w:val="00E15BA1"/>
    <w:rsid w:val="00E16EAF"/>
    <w:rsid w:val="00E20163"/>
    <w:rsid w:val="00E21A3A"/>
    <w:rsid w:val="00E22EA1"/>
    <w:rsid w:val="00E302CE"/>
    <w:rsid w:val="00E30AE1"/>
    <w:rsid w:val="00E32FB9"/>
    <w:rsid w:val="00E33B7C"/>
    <w:rsid w:val="00E34AB4"/>
    <w:rsid w:val="00E5243B"/>
    <w:rsid w:val="00E5684D"/>
    <w:rsid w:val="00E66072"/>
    <w:rsid w:val="00E66875"/>
    <w:rsid w:val="00E70360"/>
    <w:rsid w:val="00E7372D"/>
    <w:rsid w:val="00E77E75"/>
    <w:rsid w:val="00E801D3"/>
    <w:rsid w:val="00E8216E"/>
    <w:rsid w:val="00E8481C"/>
    <w:rsid w:val="00E84D08"/>
    <w:rsid w:val="00E860CA"/>
    <w:rsid w:val="00EA2B5E"/>
    <w:rsid w:val="00EA3464"/>
    <w:rsid w:val="00EA3DBA"/>
    <w:rsid w:val="00EA542E"/>
    <w:rsid w:val="00EB2874"/>
    <w:rsid w:val="00EB51C8"/>
    <w:rsid w:val="00EC5B76"/>
    <w:rsid w:val="00EC677A"/>
    <w:rsid w:val="00ED07CD"/>
    <w:rsid w:val="00ED4D65"/>
    <w:rsid w:val="00EE2B82"/>
    <w:rsid w:val="00EF10DF"/>
    <w:rsid w:val="00EF3B4B"/>
    <w:rsid w:val="00EF55EB"/>
    <w:rsid w:val="00F014E2"/>
    <w:rsid w:val="00F02450"/>
    <w:rsid w:val="00F202C4"/>
    <w:rsid w:val="00F21092"/>
    <w:rsid w:val="00F22728"/>
    <w:rsid w:val="00F30068"/>
    <w:rsid w:val="00F35435"/>
    <w:rsid w:val="00F430AC"/>
    <w:rsid w:val="00F440AC"/>
    <w:rsid w:val="00F440DD"/>
    <w:rsid w:val="00F45EAA"/>
    <w:rsid w:val="00F46DF9"/>
    <w:rsid w:val="00F51545"/>
    <w:rsid w:val="00F51AE0"/>
    <w:rsid w:val="00F63A51"/>
    <w:rsid w:val="00F66280"/>
    <w:rsid w:val="00F724EC"/>
    <w:rsid w:val="00F94B8C"/>
    <w:rsid w:val="00F9743D"/>
    <w:rsid w:val="00F97476"/>
    <w:rsid w:val="00FA534E"/>
    <w:rsid w:val="00FB01DE"/>
    <w:rsid w:val="00FB153E"/>
    <w:rsid w:val="00FB5131"/>
    <w:rsid w:val="00FB520D"/>
    <w:rsid w:val="00FB5614"/>
    <w:rsid w:val="00FC2ABE"/>
    <w:rsid w:val="00FD1FEA"/>
    <w:rsid w:val="00FD60BC"/>
    <w:rsid w:val="00FE1949"/>
    <w:rsid w:val="00FE34CD"/>
    <w:rsid w:val="00FE3CE8"/>
    <w:rsid w:val="00FE7BD7"/>
    <w:rsid w:val="00FF2EDA"/>
    <w:rsid w:val="00FF43F3"/>
    <w:rsid w:val="00FF6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basedOn w:val="Normal"/>
    <w:link w:val="BulletChar"/>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1E43D3"/>
    <w:pPr>
      <w:numPr>
        <w:ilvl w:val="1"/>
        <w:numId w:val="26"/>
      </w:numPr>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customStyle="1" w:styleId="ChapterHeading">
    <w:name w:val="Chapter Heading"/>
    <w:next w:val="Heading2"/>
    <w:rsid w:val="000A390C"/>
    <w:pPr>
      <w:numPr>
        <w:numId w:val="31"/>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0A390C"/>
    <w:pPr>
      <w:numPr>
        <w:ilvl w:val="4"/>
        <w:numId w:val="31"/>
      </w:numPr>
      <w:tabs>
        <w:tab w:val="num" w:pos="360"/>
      </w:tabs>
      <w:spacing w:before="120" w:after="120"/>
    </w:pPr>
    <w:rPr>
      <w:rFonts w:ascii="Times New Roman" w:hAnsi="Times New Roman"/>
      <w:bCs w:val="0"/>
      <w:color w:val="auto"/>
      <w:szCs w:val="20"/>
    </w:rPr>
  </w:style>
  <w:style w:type="paragraph" w:customStyle="1" w:styleId="base-text-paragraph">
    <w:name w:val="base-text-paragraph"/>
    <w:basedOn w:val="Normal"/>
    <w:link w:val="base-text-paragraphChar"/>
    <w:rsid w:val="000A390C"/>
    <w:pPr>
      <w:numPr>
        <w:ilvl w:val="1"/>
        <w:numId w:val="31"/>
      </w:numPr>
      <w:spacing w:before="120" w:after="120" w:line="240" w:lineRule="auto"/>
      <w:jc w:val="left"/>
    </w:pPr>
    <w:rPr>
      <w:rFonts w:ascii="Times New Roman" w:hAnsi="Times New Roman"/>
      <w:color w:val="auto"/>
    </w:rPr>
  </w:style>
  <w:style w:type="paragraph" w:customStyle="1" w:styleId="ExampleHeading">
    <w:name w:val="Example Heading"/>
    <w:basedOn w:val="Normal"/>
    <w:next w:val="Normal"/>
    <w:rsid w:val="000A390C"/>
    <w:pPr>
      <w:keepNext/>
      <w:numPr>
        <w:ilvl w:val="3"/>
        <w:numId w:val="31"/>
      </w:numPr>
      <w:tabs>
        <w:tab w:val="num" w:pos="360"/>
      </w:tabs>
      <w:spacing w:before="120" w:after="120" w:line="240" w:lineRule="auto"/>
      <w:ind w:left="0"/>
      <w:jc w:val="left"/>
    </w:pPr>
    <w:rPr>
      <w:rFonts w:ascii="Times New Roman" w:hAnsi="Times New Roman"/>
      <w:b/>
      <w:color w:val="auto"/>
    </w:rPr>
  </w:style>
  <w:style w:type="paragraph" w:customStyle="1" w:styleId="Diagram">
    <w:name w:val="Diagram"/>
    <w:basedOn w:val="Normal"/>
    <w:next w:val="Normal"/>
    <w:rsid w:val="000A390C"/>
    <w:pPr>
      <w:keepNext/>
      <w:numPr>
        <w:ilvl w:val="2"/>
        <w:numId w:val="31"/>
      </w:numPr>
      <w:tabs>
        <w:tab w:val="num" w:pos="360"/>
      </w:tabs>
      <w:spacing w:after="0" w:line="240" w:lineRule="auto"/>
      <w:ind w:left="0"/>
      <w:jc w:val="left"/>
    </w:pPr>
    <w:rPr>
      <w:rFonts w:ascii="Times New Roman" w:hAnsi="Times New Roman"/>
      <w:b/>
      <w:color w:val="auto"/>
    </w:rPr>
  </w:style>
  <w:style w:type="character" w:customStyle="1" w:styleId="base-text-paragraphChar">
    <w:name w:val="base-text-paragraph Char"/>
    <w:basedOn w:val="DefaultParagraphFont"/>
    <w:link w:val="base-text-paragraph"/>
    <w:rsid w:val="000A390C"/>
    <w:rPr>
      <w:sz w:val="22"/>
    </w:rPr>
  </w:style>
  <w:style w:type="numbering" w:customStyle="1" w:styleId="ChapterList">
    <w:name w:val="ChapterList"/>
    <w:uiPriority w:val="99"/>
    <w:rsid w:val="000A390C"/>
    <w:pPr>
      <w:numPr>
        <w:numId w:val="30"/>
      </w:numPr>
    </w:pPr>
  </w:style>
  <w:style w:type="character" w:customStyle="1" w:styleId="BulletChar">
    <w:name w:val="Bullet Char"/>
    <w:basedOn w:val="base-text-paragraphChar"/>
    <w:link w:val="Bullet"/>
    <w:rsid w:val="000A390C"/>
    <w:rPr>
      <w:rFonts w:ascii="Book Antiqua" w:hAnsi="Book Antiqua"/>
      <w:color w:val="000000"/>
      <w:sz w:val="22"/>
    </w:rPr>
  </w:style>
  <w:style w:type="character" w:styleId="CommentReference">
    <w:name w:val="annotation reference"/>
    <w:basedOn w:val="DefaultParagraphFont"/>
    <w:rsid w:val="000A390C"/>
    <w:rPr>
      <w:sz w:val="16"/>
      <w:szCs w:val="16"/>
    </w:rPr>
  </w:style>
  <w:style w:type="paragraph" w:styleId="CommentText">
    <w:name w:val="annotation text"/>
    <w:basedOn w:val="Normal"/>
    <w:link w:val="CommentTextChar"/>
    <w:rsid w:val="000A390C"/>
    <w:pPr>
      <w:spacing w:before="120" w:after="120" w:line="240" w:lineRule="auto"/>
      <w:jc w:val="left"/>
    </w:pPr>
    <w:rPr>
      <w:rFonts w:ascii="Times New Roman" w:hAnsi="Times New Roman"/>
      <w:color w:val="auto"/>
      <w:sz w:val="20"/>
    </w:rPr>
  </w:style>
  <w:style w:type="character" w:customStyle="1" w:styleId="CommentTextChar">
    <w:name w:val="Comment Text Char"/>
    <w:basedOn w:val="DefaultParagraphFont"/>
    <w:link w:val="CommentText"/>
    <w:rsid w:val="000A390C"/>
  </w:style>
  <w:style w:type="paragraph" w:styleId="CommentSubject">
    <w:name w:val="annotation subject"/>
    <w:basedOn w:val="CommentText"/>
    <w:next w:val="CommentText"/>
    <w:link w:val="CommentSubjectChar"/>
    <w:uiPriority w:val="99"/>
    <w:semiHidden/>
    <w:unhideWhenUsed/>
    <w:rsid w:val="003E727D"/>
    <w:pPr>
      <w:spacing w:before="0" w:after="240"/>
      <w:jc w:val="both"/>
    </w:pPr>
    <w:rPr>
      <w:rFonts w:ascii="Book Antiqua" w:hAnsi="Book Antiqua"/>
      <w:b/>
      <w:bCs/>
      <w:color w:val="000000"/>
    </w:rPr>
  </w:style>
  <w:style w:type="character" w:customStyle="1" w:styleId="CommentSubjectChar">
    <w:name w:val="Comment Subject Char"/>
    <w:basedOn w:val="CommentTextChar"/>
    <w:link w:val="CommentSubject"/>
    <w:uiPriority w:val="99"/>
    <w:semiHidden/>
    <w:rsid w:val="003E727D"/>
    <w:rPr>
      <w:rFonts w:ascii="Book Antiqua" w:hAnsi="Book Antiqua"/>
      <w:b/>
      <w:bCs/>
      <w:color w:val="000000"/>
    </w:rPr>
  </w:style>
  <w:style w:type="paragraph" w:styleId="Revision">
    <w:name w:val="Revision"/>
    <w:hidden/>
    <w:uiPriority w:val="99"/>
    <w:semiHidden/>
    <w:rsid w:val="003E727D"/>
    <w:rPr>
      <w:rFonts w:ascii="Book Antiqua" w:hAnsi="Book Antiqua"/>
      <w:color w:val="000000"/>
      <w:sz w:val="22"/>
    </w:rPr>
  </w:style>
  <w:style w:type="paragraph" w:styleId="PlainText">
    <w:name w:val="Plain Text"/>
    <w:basedOn w:val="Normal"/>
    <w:link w:val="PlainTextChar"/>
    <w:uiPriority w:val="99"/>
    <w:semiHidden/>
    <w:unhideWhenUsed/>
    <w:rsid w:val="002E0073"/>
    <w:pPr>
      <w:spacing w:after="0" w:line="240" w:lineRule="auto"/>
      <w:jc w:val="left"/>
    </w:pPr>
    <w:rPr>
      <w:rFonts w:ascii="Calibri" w:eastAsiaTheme="minorHAnsi" w:hAnsi="Calibri"/>
      <w:color w:val="auto"/>
      <w:szCs w:val="22"/>
      <w:lang w:eastAsia="en-US"/>
    </w:rPr>
  </w:style>
  <w:style w:type="character" w:customStyle="1" w:styleId="PlainTextChar">
    <w:name w:val="Plain Text Char"/>
    <w:basedOn w:val="DefaultParagraphFont"/>
    <w:link w:val="PlainText"/>
    <w:uiPriority w:val="99"/>
    <w:semiHidden/>
    <w:rsid w:val="002E0073"/>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basedOn w:val="Normal"/>
    <w:link w:val="BulletChar"/>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26"/>
      </w:numPr>
    </w:pPr>
  </w:style>
  <w:style w:type="paragraph" w:customStyle="1" w:styleId="OutlineNumbered2">
    <w:name w:val="Outline Numbered 2"/>
    <w:basedOn w:val="Normal"/>
    <w:rsid w:val="001E43D3"/>
    <w:pPr>
      <w:numPr>
        <w:ilvl w:val="1"/>
        <w:numId w:val="26"/>
      </w:numPr>
    </w:pPr>
  </w:style>
  <w:style w:type="paragraph" w:customStyle="1" w:styleId="OutlineNumbered3">
    <w:name w:val="Outline Numbered 3"/>
    <w:basedOn w:val="Normal"/>
    <w:rsid w:val="001E43D3"/>
    <w:pPr>
      <w:numPr>
        <w:ilvl w:val="2"/>
        <w:numId w:val="26"/>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customStyle="1" w:styleId="ChapterHeading">
    <w:name w:val="Chapter Heading"/>
    <w:next w:val="Heading2"/>
    <w:rsid w:val="000A390C"/>
    <w:pPr>
      <w:numPr>
        <w:numId w:val="31"/>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0A390C"/>
    <w:pPr>
      <w:numPr>
        <w:ilvl w:val="4"/>
        <w:numId w:val="31"/>
      </w:numPr>
      <w:tabs>
        <w:tab w:val="num" w:pos="360"/>
      </w:tabs>
      <w:spacing w:before="120" w:after="120"/>
    </w:pPr>
    <w:rPr>
      <w:rFonts w:ascii="Times New Roman" w:hAnsi="Times New Roman"/>
      <w:bCs w:val="0"/>
      <w:color w:val="auto"/>
      <w:szCs w:val="20"/>
    </w:rPr>
  </w:style>
  <w:style w:type="paragraph" w:customStyle="1" w:styleId="base-text-paragraph">
    <w:name w:val="base-text-paragraph"/>
    <w:basedOn w:val="Normal"/>
    <w:link w:val="base-text-paragraphChar"/>
    <w:rsid w:val="000A390C"/>
    <w:pPr>
      <w:numPr>
        <w:ilvl w:val="1"/>
        <w:numId w:val="31"/>
      </w:numPr>
      <w:spacing w:before="120" w:after="120" w:line="240" w:lineRule="auto"/>
      <w:jc w:val="left"/>
    </w:pPr>
    <w:rPr>
      <w:rFonts w:ascii="Times New Roman" w:hAnsi="Times New Roman"/>
      <w:color w:val="auto"/>
    </w:rPr>
  </w:style>
  <w:style w:type="paragraph" w:customStyle="1" w:styleId="ExampleHeading">
    <w:name w:val="Example Heading"/>
    <w:basedOn w:val="Normal"/>
    <w:next w:val="Normal"/>
    <w:rsid w:val="000A390C"/>
    <w:pPr>
      <w:keepNext/>
      <w:numPr>
        <w:ilvl w:val="3"/>
        <w:numId w:val="31"/>
      </w:numPr>
      <w:tabs>
        <w:tab w:val="num" w:pos="360"/>
      </w:tabs>
      <w:spacing w:before="120" w:after="120" w:line="240" w:lineRule="auto"/>
      <w:ind w:left="0"/>
      <w:jc w:val="left"/>
    </w:pPr>
    <w:rPr>
      <w:rFonts w:ascii="Times New Roman" w:hAnsi="Times New Roman"/>
      <w:b/>
      <w:color w:val="auto"/>
    </w:rPr>
  </w:style>
  <w:style w:type="paragraph" w:customStyle="1" w:styleId="Diagram">
    <w:name w:val="Diagram"/>
    <w:basedOn w:val="Normal"/>
    <w:next w:val="Normal"/>
    <w:rsid w:val="000A390C"/>
    <w:pPr>
      <w:keepNext/>
      <w:numPr>
        <w:ilvl w:val="2"/>
        <w:numId w:val="31"/>
      </w:numPr>
      <w:tabs>
        <w:tab w:val="num" w:pos="360"/>
      </w:tabs>
      <w:spacing w:after="0" w:line="240" w:lineRule="auto"/>
      <w:ind w:left="0"/>
      <w:jc w:val="left"/>
    </w:pPr>
    <w:rPr>
      <w:rFonts w:ascii="Times New Roman" w:hAnsi="Times New Roman"/>
      <w:b/>
      <w:color w:val="auto"/>
    </w:rPr>
  </w:style>
  <w:style w:type="character" w:customStyle="1" w:styleId="base-text-paragraphChar">
    <w:name w:val="base-text-paragraph Char"/>
    <w:basedOn w:val="DefaultParagraphFont"/>
    <w:link w:val="base-text-paragraph"/>
    <w:rsid w:val="000A390C"/>
    <w:rPr>
      <w:sz w:val="22"/>
    </w:rPr>
  </w:style>
  <w:style w:type="numbering" w:customStyle="1" w:styleId="ChapterList">
    <w:name w:val="ChapterList"/>
    <w:uiPriority w:val="99"/>
    <w:rsid w:val="000A390C"/>
    <w:pPr>
      <w:numPr>
        <w:numId w:val="30"/>
      </w:numPr>
    </w:pPr>
  </w:style>
  <w:style w:type="character" w:customStyle="1" w:styleId="BulletChar">
    <w:name w:val="Bullet Char"/>
    <w:basedOn w:val="base-text-paragraphChar"/>
    <w:link w:val="Bullet"/>
    <w:rsid w:val="000A390C"/>
    <w:rPr>
      <w:rFonts w:ascii="Book Antiqua" w:hAnsi="Book Antiqua"/>
      <w:color w:val="000000"/>
      <w:sz w:val="22"/>
    </w:rPr>
  </w:style>
  <w:style w:type="character" w:styleId="CommentReference">
    <w:name w:val="annotation reference"/>
    <w:basedOn w:val="DefaultParagraphFont"/>
    <w:rsid w:val="000A390C"/>
    <w:rPr>
      <w:sz w:val="16"/>
      <w:szCs w:val="16"/>
    </w:rPr>
  </w:style>
  <w:style w:type="paragraph" w:styleId="CommentText">
    <w:name w:val="annotation text"/>
    <w:basedOn w:val="Normal"/>
    <w:link w:val="CommentTextChar"/>
    <w:rsid w:val="000A390C"/>
    <w:pPr>
      <w:spacing w:before="120" w:after="120" w:line="240" w:lineRule="auto"/>
      <w:jc w:val="left"/>
    </w:pPr>
    <w:rPr>
      <w:rFonts w:ascii="Times New Roman" w:hAnsi="Times New Roman"/>
      <w:color w:val="auto"/>
      <w:sz w:val="20"/>
    </w:rPr>
  </w:style>
  <w:style w:type="character" w:customStyle="1" w:styleId="CommentTextChar">
    <w:name w:val="Comment Text Char"/>
    <w:basedOn w:val="DefaultParagraphFont"/>
    <w:link w:val="CommentText"/>
    <w:rsid w:val="000A390C"/>
  </w:style>
  <w:style w:type="paragraph" w:styleId="CommentSubject">
    <w:name w:val="annotation subject"/>
    <w:basedOn w:val="CommentText"/>
    <w:next w:val="CommentText"/>
    <w:link w:val="CommentSubjectChar"/>
    <w:uiPriority w:val="99"/>
    <w:semiHidden/>
    <w:unhideWhenUsed/>
    <w:rsid w:val="003E727D"/>
    <w:pPr>
      <w:spacing w:before="0" w:after="240"/>
      <w:jc w:val="both"/>
    </w:pPr>
    <w:rPr>
      <w:rFonts w:ascii="Book Antiqua" w:hAnsi="Book Antiqua"/>
      <w:b/>
      <w:bCs/>
      <w:color w:val="000000"/>
    </w:rPr>
  </w:style>
  <w:style w:type="character" w:customStyle="1" w:styleId="CommentSubjectChar">
    <w:name w:val="Comment Subject Char"/>
    <w:basedOn w:val="CommentTextChar"/>
    <w:link w:val="CommentSubject"/>
    <w:uiPriority w:val="99"/>
    <w:semiHidden/>
    <w:rsid w:val="003E727D"/>
    <w:rPr>
      <w:rFonts w:ascii="Book Antiqua" w:hAnsi="Book Antiqua"/>
      <w:b/>
      <w:bCs/>
      <w:color w:val="000000"/>
    </w:rPr>
  </w:style>
  <w:style w:type="paragraph" w:styleId="Revision">
    <w:name w:val="Revision"/>
    <w:hidden/>
    <w:uiPriority w:val="99"/>
    <w:semiHidden/>
    <w:rsid w:val="003E727D"/>
    <w:rPr>
      <w:rFonts w:ascii="Book Antiqua" w:hAnsi="Book Antiqua"/>
      <w:color w:val="000000"/>
      <w:sz w:val="22"/>
    </w:rPr>
  </w:style>
  <w:style w:type="paragraph" w:styleId="PlainText">
    <w:name w:val="Plain Text"/>
    <w:basedOn w:val="Normal"/>
    <w:link w:val="PlainTextChar"/>
    <w:uiPriority w:val="99"/>
    <w:semiHidden/>
    <w:unhideWhenUsed/>
    <w:rsid w:val="002E0073"/>
    <w:pPr>
      <w:spacing w:after="0" w:line="240" w:lineRule="auto"/>
      <w:jc w:val="left"/>
    </w:pPr>
    <w:rPr>
      <w:rFonts w:ascii="Calibri" w:eastAsiaTheme="minorHAnsi" w:hAnsi="Calibri"/>
      <w:color w:val="auto"/>
      <w:szCs w:val="22"/>
      <w:lang w:eastAsia="en-US"/>
    </w:rPr>
  </w:style>
  <w:style w:type="character" w:customStyle="1" w:styleId="PlainTextChar">
    <w:name w:val="Plain Text Char"/>
    <w:basedOn w:val="DefaultParagraphFont"/>
    <w:link w:val="PlainText"/>
    <w:uiPriority w:val="99"/>
    <w:semiHidden/>
    <w:rsid w:val="002E0073"/>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6335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EDR@treasury.gov.a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2017MG-93-24096</_dlc_DocId>
    <_dlc_DocIdUrl xmlns="d4dd4adf-ddb3-46a3-8d7c-fab3fb2a6bc7">
      <Url>http://tweb/sites/mg/fsd/_layouts/15/DocIdRedir.aspx?ID=2017MG-93-24096</Url>
      <Description>2017MG-93-24096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525" ma:contentTypeDescription=" " ma:contentTypeScope="" ma:versionID="6788a6f456531b1ef90d57af975c26e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dda6633483ac4ea3c2b2103835a3c4c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0EA2-B4DC-41A5-B57E-4F6DA8740E55}">
  <ds:schemaRefs>
    <ds:schemaRef ds:uri="office.server.policy"/>
  </ds:schemaRefs>
</ds:datastoreItem>
</file>

<file path=customXml/itemProps2.xml><?xml version="1.0" encoding="utf-8"?>
<ds:datastoreItem xmlns:ds="http://schemas.openxmlformats.org/officeDocument/2006/customXml" ds:itemID="{1BD90942-06D0-49F6-B5A3-482489D37E91}">
  <ds:schemaRefs>
    <ds:schemaRef ds:uri="http://schemas.microsoft.com/sharepoint/events"/>
  </ds:schemaRefs>
</ds:datastoreItem>
</file>

<file path=customXml/itemProps3.xml><?xml version="1.0" encoding="utf-8"?>
<ds:datastoreItem xmlns:ds="http://schemas.openxmlformats.org/officeDocument/2006/customXml" ds:itemID="{A4961B29-AF5B-425D-A2C7-D1C6EE468B4D}">
  <ds:schemaRefs>
    <ds:schemaRef ds:uri="http://schemas.microsoft.com/office/2006/metadata/properties"/>
    <ds:schemaRef ds:uri="http://schemas.microsoft.com/office/infopath/2007/PartnerControls"/>
    <ds:schemaRef ds:uri="http://schemas.microsoft.com/sharepoint/v4"/>
    <ds:schemaRef ds:uri="d4dd4adf-ddb3-46a3-8d7c-fab3fb2a6bc7"/>
  </ds:schemaRefs>
</ds:datastoreItem>
</file>

<file path=customXml/itemProps4.xml><?xml version="1.0" encoding="utf-8"?>
<ds:datastoreItem xmlns:ds="http://schemas.openxmlformats.org/officeDocument/2006/customXml" ds:itemID="{6817B92F-21C8-4642-83CD-20749C26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D23B02-B668-4538-B51B-07C8A85CF3E3}">
  <ds:schemaRefs>
    <ds:schemaRef ds:uri="http://schemas.microsoft.com/sharepoint/v3/contenttype/forms"/>
  </ds:schemaRefs>
</ds:datastoreItem>
</file>

<file path=customXml/itemProps6.xml><?xml version="1.0" encoding="utf-8"?>
<ds:datastoreItem xmlns:ds="http://schemas.openxmlformats.org/officeDocument/2006/customXml" ds:itemID="{6E0ADB95-814D-442F-9644-A7C70E3C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3</TotalTime>
  <Pages>1</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Consultation/Discussion paper</vt:lpstr>
    </vt:vector>
  </TitlesOfParts>
  <Company>The Treasury</Company>
  <LinksUpToDate>false</LinksUpToDate>
  <CharactersWithSpaces>24150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Consultation/Discussion paper</dc:title>
  <dc:subject>[Subject]</dc:subject>
  <dc:creator>Gaudry, Danial</dc:creator>
  <cp:lastModifiedBy>Gaudry, Danial</cp:lastModifiedBy>
  <cp:revision>6</cp:revision>
  <cp:lastPrinted>2017-05-11T06:54:00Z</cp:lastPrinted>
  <dcterms:created xsi:type="dcterms:W3CDTF">2017-05-11T06:30:00Z</dcterms:created>
  <dcterms:modified xsi:type="dcterms:W3CDTF">2017-05-16T06:46:00Z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In Confidence</vt:lpwstr>
  </property>
  <property fmtid="{D5CDD505-2E9C-101B-9397-08002B2CF9AE}" pid="3" name="Language">
    <vt:lpwstr>English</vt:lpwstr>
  </property>
  <property fmtid="{D5CDD505-2E9C-101B-9397-08002B2CF9AE}" pid="4" name="ContentTypeId">
    <vt:lpwstr>0x010100E95D40E5DFEA714B90E88DB5CE07A6B500A4C39F1D50EC0F4EBD06D6A3817BE15D</vt:lpwstr>
  </property>
  <property fmtid="{D5CDD505-2E9C-101B-9397-08002B2CF9AE}" pid="5" name="TSYRecordClass">
    <vt:lpwstr>7;#TSY RA-9072 - Retain as national archives|d71911a4-1e32-4fc6-834f-26c4fc33e217</vt:lpwstr>
  </property>
  <property fmtid="{D5CDD505-2E9C-101B-9397-08002B2CF9AE}" pid="6" name="_dlc_DocIdItemGuid">
    <vt:lpwstr>45a50dfe-b006-4846-9137-f206242050fb</vt:lpwstr>
  </property>
  <property fmtid="{D5CDD505-2E9C-101B-9397-08002B2CF9AE}" pid="7" name="_AdHocReviewCycleID">
    <vt:i4>-350559410</vt:i4>
  </property>
  <property fmtid="{D5CDD505-2E9C-101B-9397-08002B2CF9AE}" pid="8" name="_NewReviewCycle">
    <vt:lpwstr/>
  </property>
  <property fmtid="{D5CDD505-2E9C-101B-9397-08002B2CF9AE}" pid="9" name="_EmailSubject">
    <vt:lpwstr>Update - Change to Existing Webpage Request #S40893 [SEC=UNCLASSIFIED]</vt:lpwstr>
  </property>
  <property fmtid="{D5CDD505-2E9C-101B-9397-08002B2CF9AE}" pid="10" name="_AuthorEmail">
    <vt:lpwstr>Danial.Gaudry@TREASURY.GOV.AU</vt:lpwstr>
  </property>
  <property fmtid="{D5CDD505-2E9C-101B-9397-08002B2CF9AE}" pid="11" name="_AuthorEmailDisplayName">
    <vt:lpwstr>Gaudry, Danial</vt:lpwstr>
  </property>
</Properties>
</file>