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Default Extension="tiff" ContentType="image/tiff"/>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5.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9F" w:rsidRPr="006D0240" w:rsidRDefault="0056559F" w:rsidP="0056559F">
      <w:pPr>
        <w:pStyle w:val="CoverTitleSub"/>
        <w:rPr>
          <w:rFonts w:cs="Calibri"/>
          <w:color w:val="auto"/>
          <w:szCs w:val="36"/>
        </w:rPr>
      </w:pPr>
      <w:r>
        <w:rPr>
          <w:rFonts w:cs="Calibri"/>
          <w:noProof/>
          <w:color w:val="auto"/>
          <w:szCs w:val="36"/>
        </w:rPr>
        <w:drawing>
          <wp:inline distT="0" distB="0" distL="0" distR="0" wp14:anchorId="4BAD63F2" wp14:editId="55E018F3">
            <wp:extent cx="2023654" cy="1016169"/>
            <wp:effectExtent l="0" t="0" r="0" b="0"/>
            <wp:docPr id="1" name="Picture 1" descr="Australian Goverment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_stack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19124" cy="1013894"/>
                    </a:xfrm>
                    <a:prstGeom prst="rect">
                      <a:avLst/>
                    </a:prstGeom>
                  </pic:spPr>
                </pic:pic>
              </a:graphicData>
            </a:graphic>
          </wp:inline>
        </w:drawing>
      </w:r>
    </w:p>
    <w:p w:rsidR="0056559F" w:rsidRPr="0090524A" w:rsidRDefault="00A64492" w:rsidP="00D623D0">
      <w:pPr>
        <w:pStyle w:val="CoverTitleMain"/>
        <w:shd w:val="clear" w:color="auto" w:fill="FFFFFF" w:themeFill="background1"/>
        <w:spacing w:before="2760" w:after="240"/>
        <w:rPr>
          <w:rFonts w:ascii="Garamond" w:hAnsi="Garamond"/>
        </w:rPr>
      </w:pPr>
      <w:r>
        <w:rPr>
          <w:rFonts w:ascii="Garamond" w:hAnsi="Garamond"/>
        </w:rPr>
        <w:t xml:space="preserve">Reforms to </w:t>
      </w:r>
      <w:r w:rsidR="00FC2B33">
        <w:rPr>
          <w:rFonts w:ascii="Garamond" w:hAnsi="Garamond"/>
        </w:rPr>
        <w:t>address</w:t>
      </w:r>
      <w:r>
        <w:rPr>
          <w:rFonts w:ascii="Garamond" w:hAnsi="Garamond"/>
        </w:rPr>
        <w:t xml:space="preserve"> corporate misuse of the Fair Entitlements Guarantee scheme </w:t>
      </w:r>
    </w:p>
    <w:p w:rsidR="00861C7F" w:rsidRDefault="00861C7F" w:rsidP="00861C7F">
      <w:pPr>
        <w:pStyle w:val="CoverTitleSub"/>
        <w:pBdr>
          <w:top w:val="single" w:sz="24" w:space="4" w:color="342E82"/>
        </w:pBdr>
        <w:spacing w:before="480"/>
      </w:pPr>
    </w:p>
    <w:p w:rsidR="00861C7F" w:rsidRDefault="00B00232" w:rsidP="00861C7F">
      <w:pPr>
        <w:pStyle w:val="CoverTitleSub"/>
        <w:pBdr>
          <w:top w:val="single" w:sz="24" w:space="4" w:color="342E82"/>
        </w:pBdr>
        <w:spacing w:before="480"/>
      </w:pPr>
      <w:r>
        <w:t>Consultation p</w:t>
      </w:r>
      <w:r w:rsidR="00861C7F" w:rsidRPr="00346A66">
        <w:t>aper</w:t>
      </w:r>
    </w:p>
    <w:p w:rsidR="004A7246" w:rsidRDefault="003F0A71" w:rsidP="004E0ACC">
      <w:pPr>
        <w:pStyle w:val="CoverTitleSub"/>
        <w:pBdr>
          <w:top w:val="single" w:sz="24" w:space="4" w:color="342E82"/>
        </w:pBdr>
        <w:spacing w:before="480"/>
        <w:rPr>
          <w:szCs w:val="28"/>
        </w:rPr>
        <w:sectPr w:rsidR="004A7246" w:rsidSect="00F74E80">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418" w:bottom="1418" w:left="1418" w:header="709" w:footer="709" w:gutter="0"/>
          <w:pgNumType w:fmt="lowerRoman" w:start="1"/>
          <w:cols w:space="708"/>
          <w:titlePg/>
          <w:docGrid w:linePitch="360"/>
        </w:sectPr>
      </w:pPr>
      <w:r>
        <w:rPr>
          <w:szCs w:val="28"/>
        </w:rPr>
        <w:t>May</w:t>
      </w:r>
      <w:r w:rsidR="00861C7F" w:rsidRPr="00346A66">
        <w:rPr>
          <w:szCs w:val="28"/>
        </w:rPr>
        <w:t xml:space="preserve"> 2017</w:t>
      </w:r>
    </w:p>
    <w:bookmarkStart w:id="0" w:name="_Toc481948275" w:displacedByCustomXml="next"/>
    <w:bookmarkStart w:id="1" w:name="_Toc481070326" w:displacedByCustomXml="next"/>
    <w:bookmarkStart w:id="2" w:name="_Toc480975462" w:displacedByCustomXml="next"/>
    <w:sdt>
      <w:sdtPr>
        <w:rPr>
          <w:rFonts w:ascii="Book Antiqua" w:hAnsi="Book Antiqua" w:cs="Times New Roman"/>
          <w:b w:val="0"/>
          <w:bCs w:val="0"/>
          <w:iCs w:val="0"/>
          <w:smallCaps w:val="0"/>
          <w:color w:val="000000"/>
          <w:sz w:val="22"/>
          <w:szCs w:val="20"/>
        </w:rPr>
        <w:id w:val="-1492721021"/>
        <w:docPartObj>
          <w:docPartGallery w:val="Table of Contents"/>
          <w:docPartUnique/>
        </w:docPartObj>
      </w:sdtPr>
      <w:sdtEndPr>
        <w:rPr>
          <w:rFonts w:ascii="Century Gothic" w:hAnsi="Century Gothic"/>
          <w:noProof/>
          <w:color w:val="1F497D" w:themeColor="text2"/>
        </w:rPr>
      </w:sdtEndPr>
      <w:sdtContent>
        <w:p w:rsidR="00D333AC" w:rsidRPr="00D41104" w:rsidRDefault="00D41104" w:rsidP="00D41104">
          <w:pPr>
            <w:pStyle w:val="Heading2"/>
          </w:pPr>
          <w:r>
            <w:t>CONTENTS</w:t>
          </w:r>
          <w:bookmarkEnd w:id="2"/>
          <w:bookmarkEnd w:id="1"/>
          <w:bookmarkEnd w:id="0"/>
        </w:p>
        <w:p w:rsidR="00C75296" w:rsidRPr="00195060" w:rsidRDefault="00D333AC">
          <w:pPr>
            <w:pStyle w:val="TOC2"/>
            <w:rPr>
              <w:rFonts w:ascii="Book Antiqua" w:eastAsiaTheme="minorEastAsia" w:hAnsi="Book Antiqua" w:cstheme="minorBidi"/>
              <w:noProof/>
              <w:color w:val="auto"/>
              <w:szCs w:val="22"/>
            </w:rPr>
          </w:pPr>
          <w:r>
            <w:fldChar w:fldCharType="begin"/>
          </w:r>
          <w:r>
            <w:instrText xml:space="preserve"> TOC \o "1-3" \h \z \u </w:instrText>
          </w:r>
          <w:r>
            <w:fldChar w:fldCharType="separate"/>
          </w:r>
        </w:p>
        <w:p w:rsidR="00C75296" w:rsidRPr="00695B18" w:rsidRDefault="00C75296" w:rsidP="00695B18">
          <w:pPr>
            <w:pStyle w:val="TOC2"/>
            <w:spacing w:before="120" w:after="120" w:line="360" w:lineRule="auto"/>
            <w:rPr>
              <w:rStyle w:val="Hyperlink"/>
              <w:noProof/>
            </w:rPr>
          </w:pPr>
          <w:hyperlink w:anchor="_Toc481948276" w:history="1">
            <w:r w:rsidRPr="00CB6703">
              <w:rPr>
                <w:rStyle w:val="Hyperlink"/>
                <w:noProof/>
              </w:rPr>
              <w:t>Consultation process</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_Toc481948276 \h </w:instrText>
            </w:r>
            <w:r w:rsidRPr="00695B18">
              <w:rPr>
                <w:rStyle w:val="Hyperlink"/>
                <w:noProof/>
                <w:webHidden/>
              </w:rPr>
            </w:r>
            <w:r w:rsidRPr="00695B18">
              <w:rPr>
                <w:rStyle w:val="Hyperlink"/>
                <w:noProof/>
                <w:webHidden/>
              </w:rPr>
              <w:fldChar w:fldCharType="separate"/>
            </w:r>
            <w:r w:rsidR="00B30057">
              <w:rPr>
                <w:rStyle w:val="Hyperlink"/>
                <w:noProof/>
                <w:webHidden/>
              </w:rPr>
              <w:t>ii</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278" w:history="1">
            <w:r w:rsidRPr="00CB6703">
              <w:rPr>
                <w:rStyle w:val="Hyperlink"/>
                <w:noProof/>
              </w:rPr>
              <w:t>Foreword</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_Toc481948278 \h </w:instrText>
            </w:r>
            <w:r w:rsidRPr="00695B18">
              <w:rPr>
                <w:rStyle w:val="Hyperlink"/>
                <w:noProof/>
                <w:webHidden/>
              </w:rPr>
            </w:r>
            <w:r w:rsidRPr="00695B18">
              <w:rPr>
                <w:rStyle w:val="Hyperlink"/>
                <w:noProof/>
                <w:webHidden/>
              </w:rPr>
              <w:fldChar w:fldCharType="separate"/>
            </w:r>
            <w:r w:rsidR="00B30057">
              <w:rPr>
                <w:rStyle w:val="Hyperlink"/>
                <w:noProof/>
                <w:webHidden/>
              </w:rPr>
              <w:t>iii</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279" w:history="1">
            <w:r w:rsidRPr="00CB6703">
              <w:rPr>
                <w:rStyle w:val="Hyperlink"/>
                <w:noProof/>
              </w:rPr>
              <w:t>1. Introduction</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_Toc481948279 \h </w:instrText>
            </w:r>
            <w:r w:rsidRPr="00695B18">
              <w:rPr>
                <w:rStyle w:val="Hyperlink"/>
                <w:noProof/>
                <w:webHidden/>
              </w:rPr>
            </w:r>
            <w:r w:rsidRPr="00695B18">
              <w:rPr>
                <w:rStyle w:val="Hyperlink"/>
                <w:noProof/>
                <w:webHidden/>
              </w:rPr>
              <w:fldChar w:fldCharType="separate"/>
            </w:r>
            <w:r w:rsidR="00B30057">
              <w:rPr>
                <w:rStyle w:val="Hyperlink"/>
                <w:noProof/>
                <w:webHidden/>
              </w:rPr>
              <w:t>1</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280" w:history="1">
            <w:r w:rsidRPr="00CB6703">
              <w:rPr>
                <w:rStyle w:val="Hyperlink"/>
                <w:noProof/>
              </w:rPr>
              <w:t>2. The Fair Entitlements Guarantee scheme</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_Toc481948280 \h </w:instrText>
            </w:r>
            <w:r w:rsidRPr="00695B18">
              <w:rPr>
                <w:rStyle w:val="Hyperlink"/>
                <w:noProof/>
                <w:webHidden/>
              </w:rPr>
            </w:r>
            <w:r w:rsidRPr="00695B18">
              <w:rPr>
                <w:rStyle w:val="Hyperlink"/>
                <w:noProof/>
                <w:webHidden/>
              </w:rPr>
              <w:fldChar w:fldCharType="separate"/>
            </w:r>
            <w:r w:rsidR="00B30057">
              <w:rPr>
                <w:rStyle w:val="Hyperlink"/>
                <w:noProof/>
                <w:webHidden/>
              </w:rPr>
              <w:t>1</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283" w:history="1">
            <w:r w:rsidRPr="00CB6703">
              <w:rPr>
                <w:rStyle w:val="Hyperlink"/>
                <w:noProof/>
              </w:rPr>
              <w:t>3. Sharp corporate practices</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_Toc481948283 \h </w:instrText>
            </w:r>
            <w:r w:rsidRPr="00695B18">
              <w:rPr>
                <w:rStyle w:val="Hyperlink"/>
                <w:noProof/>
                <w:webHidden/>
              </w:rPr>
            </w:r>
            <w:r w:rsidRPr="00695B18">
              <w:rPr>
                <w:rStyle w:val="Hyperlink"/>
                <w:noProof/>
                <w:webHidden/>
              </w:rPr>
              <w:fldChar w:fldCharType="separate"/>
            </w:r>
            <w:r w:rsidR="00B30057">
              <w:rPr>
                <w:rStyle w:val="Hyperlink"/>
                <w:noProof/>
                <w:webHidden/>
              </w:rPr>
              <w:t>4</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288" w:history="1">
            <w:r w:rsidRPr="00CB6703">
              <w:rPr>
                <w:rStyle w:val="Hyperlink"/>
                <w:noProof/>
              </w:rPr>
              <w:t>4. Proposals for reform</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_Toc481948288 \h </w:instrText>
            </w:r>
            <w:r w:rsidRPr="00695B18">
              <w:rPr>
                <w:rStyle w:val="Hyperlink"/>
                <w:noProof/>
                <w:webHidden/>
              </w:rPr>
            </w:r>
            <w:r w:rsidRPr="00695B18">
              <w:rPr>
                <w:rStyle w:val="Hyperlink"/>
                <w:noProof/>
                <w:webHidden/>
              </w:rPr>
              <w:fldChar w:fldCharType="separate"/>
            </w:r>
            <w:r w:rsidR="00B30057">
              <w:rPr>
                <w:rStyle w:val="Hyperlink"/>
                <w:noProof/>
                <w:webHidden/>
              </w:rPr>
              <w:t>7</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289" w:history="1">
            <w:r w:rsidRPr="00CB6703">
              <w:rPr>
                <w:rStyle w:val="Hyperlink"/>
                <w:noProof/>
              </w:rPr>
              <w:t>5. Reform to Part 5.8A of the Corporations Act</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_Toc481948289 \h </w:instrText>
            </w:r>
            <w:r w:rsidRPr="00695B18">
              <w:rPr>
                <w:rStyle w:val="Hyperlink"/>
                <w:noProof/>
                <w:webHidden/>
              </w:rPr>
            </w:r>
            <w:r w:rsidRPr="00695B18">
              <w:rPr>
                <w:rStyle w:val="Hyperlink"/>
                <w:noProof/>
                <w:webHidden/>
              </w:rPr>
              <w:fldChar w:fldCharType="separate"/>
            </w:r>
            <w:r w:rsidR="00B30057">
              <w:rPr>
                <w:rStyle w:val="Hyperlink"/>
                <w:noProof/>
                <w:webHidden/>
              </w:rPr>
              <w:t>8</w:t>
            </w:r>
            <w:r w:rsidRPr="00695B18">
              <w:rPr>
                <w:rStyle w:val="Hyperlink"/>
                <w:noProof/>
                <w:webHidden/>
              </w:rPr>
              <w:fldChar w:fldCharType="end"/>
            </w:r>
          </w:hyperlink>
        </w:p>
        <w:p w:rsidR="00C75296" w:rsidRPr="00695B18" w:rsidRDefault="00C75296" w:rsidP="00695B18">
          <w:pPr>
            <w:pStyle w:val="TOC2"/>
            <w:spacing w:before="120" w:after="120" w:line="360" w:lineRule="auto"/>
            <w:ind w:left="284" w:hanging="284"/>
            <w:rPr>
              <w:rStyle w:val="Hyperlink"/>
              <w:noProof/>
            </w:rPr>
          </w:pPr>
          <w:hyperlink w:anchor="_Toc481948296" w:history="1">
            <w:r w:rsidRPr="00CB6703">
              <w:rPr>
                <w:rStyle w:val="Hyperlink"/>
                <w:noProof/>
              </w:rPr>
              <w:t>6. Preventing abuse of corporate group structures to avoid paying employee entitlements</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_Toc481948296 \h </w:instrText>
            </w:r>
            <w:r w:rsidRPr="00695B18">
              <w:rPr>
                <w:rStyle w:val="Hyperlink"/>
                <w:noProof/>
                <w:webHidden/>
              </w:rPr>
            </w:r>
            <w:r w:rsidRPr="00695B18">
              <w:rPr>
                <w:rStyle w:val="Hyperlink"/>
                <w:noProof/>
                <w:webHidden/>
              </w:rPr>
              <w:fldChar w:fldCharType="separate"/>
            </w:r>
            <w:r w:rsidR="00B30057">
              <w:rPr>
                <w:rStyle w:val="Hyperlink"/>
                <w:noProof/>
                <w:webHidden/>
              </w:rPr>
              <w:t>14</w:t>
            </w:r>
            <w:r w:rsidRPr="00695B18">
              <w:rPr>
                <w:rStyle w:val="Hyperlink"/>
                <w:noProof/>
                <w:webHidden/>
              </w:rPr>
              <w:fldChar w:fldCharType="end"/>
            </w:r>
          </w:hyperlink>
        </w:p>
        <w:p w:rsidR="00C75296" w:rsidRPr="00695B18" w:rsidRDefault="00C75296" w:rsidP="00695B18">
          <w:pPr>
            <w:pStyle w:val="TOC2"/>
            <w:spacing w:before="120" w:after="120" w:line="360" w:lineRule="auto"/>
            <w:ind w:left="284" w:hanging="284"/>
            <w:rPr>
              <w:rStyle w:val="Hyperlink"/>
              <w:noProof/>
            </w:rPr>
          </w:pPr>
          <w:hyperlink w:anchor="_Toc481948298" w:history="1">
            <w:r w:rsidR="00166554">
              <w:rPr>
                <w:rStyle w:val="Hyperlink"/>
                <w:noProof/>
              </w:rPr>
              <w:t>7. S</w:t>
            </w:r>
            <w:r w:rsidRPr="00CB6703">
              <w:rPr>
                <w:rStyle w:val="Hyperlink"/>
                <w:noProof/>
              </w:rPr>
              <w:t>anctioning directors and officers with a track record of involvement in insolvencies where FEG is relied upon</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_Toc481948298 \h </w:instrText>
            </w:r>
            <w:r w:rsidRPr="00695B18">
              <w:rPr>
                <w:rStyle w:val="Hyperlink"/>
                <w:noProof/>
                <w:webHidden/>
              </w:rPr>
            </w:r>
            <w:r w:rsidRPr="00695B18">
              <w:rPr>
                <w:rStyle w:val="Hyperlink"/>
                <w:noProof/>
                <w:webHidden/>
              </w:rPr>
              <w:fldChar w:fldCharType="separate"/>
            </w:r>
            <w:r w:rsidR="00B30057">
              <w:rPr>
                <w:rStyle w:val="Hyperlink"/>
                <w:noProof/>
                <w:webHidden/>
              </w:rPr>
              <w:t>18</w:t>
            </w:r>
            <w:r w:rsidRPr="00695B18">
              <w:rPr>
                <w:rStyle w:val="Hyperlink"/>
                <w:noProof/>
                <w:webHidden/>
              </w:rPr>
              <w:fldChar w:fldCharType="end"/>
            </w:r>
          </w:hyperlink>
        </w:p>
        <w:p w:rsidR="00C75296" w:rsidRPr="00695B18" w:rsidRDefault="00C75296" w:rsidP="00695B18">
          <w:pPr>
            <w:pStyle w:val="TOC2"/>
            <w:spacing w:before="120" w:after="120" w:line="360" w:lineRule="auto"/>
            <w:rPr>
              <w:rStyle w:val="Hyperlink"/>
              <w:noProof/>
            </w:rPr>
          </w:pPr>
          <w:hyperlink w:anchor="_Toc481948300" w:history="1">
            <w:r w:rsidRPr="00CB6703">
              <w:rPr>
                <w:rStyle w:val="Hyperlink"/>
                <w:noProof/>
              </w:rPr>
              <w:t>8. Other related reforms</w:t>
            </w:r>
            <w:r w:rsidRPr="00695B18">
              <w:rPr>
                <w:rStyle w:val="Hyperlink"/>
                <w:noProof/>
                <w:webHidden/>
              </w:rPr>
              <w:tab/>
            </w:r>
            <w:r w:rsidRPr="00695B18">
              <w:rPr>
                <w:rStyle w:val="Hyperlink"/>
                <w:noProof/>
                <w:webHidden/>
              </w:rPr>
              <w:fldChar w:fldCharType="begin"/>
            </w:r>
            <w:r w:rsidRPr="00695B18">
              <w:rPr>
                <w:rStyle w:val="Hyperlink"/>
                <w:noProof/>
                <w:webHidden/>
              </w:rPr>
              <w:instrText xml:space="preserve"> PAGEREF _Toc481948300 \h </w:instrText>
            </w:r>
            <w:r w:rsidRPr="00695B18">
              <w:rPr>
                <w:rStyle w:val="Hyperlink"/>
                <w:noProof/>
                <w:webHidden/>
              </w:rPr>
            </w:r>
            <w:r w:rsidRPr="00695B18">
              <w:rPr>
                <w:rStyle w:val="Hyperlink"/>
                <w:noProof/>
                <w:webHidden/>
              </w:rPr>
              <w:fldChar w:fldCharType="separate"/>
            </w:r>
            <w:r w:rsidR="00B30057">
              <w:rPr>
                <w:rStyle w:val="Hyperlink"/>
                <w:noProof/>
                <w:webHidden/>
              </w:rPr>
              <w:t>21</w:t>
            </w:r>
            <w:r w:rsidRPr="00695B18">
              <w:rPr>
                <w:rStyle w:val="Hyperlink"/>
                <w:noProof/>
                <w:webHidden/>
              </w:rPr>
              <w:fldChar w:fldCharType="end"/>
            </w:r>
          </w:hyperlink>
        </w:p>
        <w:p w:rsidR="00D333AC" w:rsidRDefault="00D333AC" w:rsidP="00D623D0">
          <w:pPr>
            <w:pStyle w:val="TOC2"/>
            <w:spacing w:line="480" w:lineRule="auto"/>
            <w:ind w:left="284" w:hanging="284"/>
          </w:pPr>
          <w:r>
            <w:rPr>
              <w:b/>
              <w:bCs/>
              <w:noProof/>
            </w:rPr>
            <w:fldChar w:fldCharType="end"/>
          </w:r>
        </w:p>
      </w:sdtContent>
    </w:sdt>
    <w:p w:rsidR="001643BD" w:rsidRDefault="001643BD">
      <w:pPr>
        <w:spacing w:after="0" w:line="240" w:lineRule="auto"/>
        <w:jc w:val="left"/>
        <w:rPr>
          <w:rFonts w:ascii="Century Gothic" w:hAnsi="Century Gothic" w:cs="Arial"/>
          <w:b/>
          <w:bCs/>
          <w:iCs/>
          <w:smallCaps/>
          <w:color w:val="1F497D" w:themeColor="text2"/>
          <w:sz w:val="32"/>
          <w:szCs w:val="28"/>
        </w:rPr>
      </w:pPr>
      <w:r>
        <w:br w:type="page"/>
      </w:r>
    </w:p>
    <w:p w:rsidR="00F30068" w:rsidRPr="005750C6" w:rsidRDefault="004241A4" w:rsidP="005750C6">
      <w:pPr>
        <w:pStyle w:val="Heading2NotNumbered"/>
      </w:pPr>
      <w:bookmarkStart w:id="3" w:name="_Toc481948276"/>
      <w:r>
        <w:lastRenderedPageBreak/>
        <w:t>Consultation p</w:t>
      </w:r>
      <w:r w:rsidR="00F30068" w:rsidRPr="005750C6">
        <w:t>rocess</w:t>
      </w:r>
      <w:bookmarkEnd w:id="3"/>
    </w:p>
    <w:p w:rsidR="00F30068" w:rsidRDefault="00F30068" w:rsidP="005750C6">
      <w:pPr>
        <w:pStyle w:val="Heading3"/>
      </w:pPr>
      <w:bookmarkStart w:id="4" w:name="_Toc477939000"/>
      <w:bookmarkStart w:id="5" w:name="_Toc480975464"/>
      <w:bookmarkStart w:id="6" w:name="_Toc481070328"/>
      <w:bookmarkStart w:id="7" w:name="_Toc481948277"/>
      <w:r>
        <w:t>Request for feedback and comments</w:t>
      </w:r>
      <w:bookmarkEnd w:id="4"/>
      <w:bookmarkEnd w:id="5"/>
      <w:bookmarkEnd w:id="6"/>
      <w:bookmarkEnd w:id="7"/>
    </w:p>
    <w:p w:rsidR="00A64492" w:rsidRDefault="00A64492" w:rsidP="00A64492">
      <w:pPr>
        <w:spacing w:after="0" w:line="240" w:lineRule="auto"/>
      </w:pPr>
      <w:r w:rsidRPr="00A64492">
        <w:t xml:space="preserve">The questions in this </w:t>
      </w:r>
      <w:r w:rsidR="00C87132">
        <w:t xml:space="preserve">consultation </w:t>
      </w:r>
      <w:r w:rsidRPr="00A64492">
        <w:t xml:space="preserve">paper aim to frame discussion </w:t>
      </w:r>
      <w:proofErr w:type="gramStart"/>
      <w:r w:rsidRPr="00A64492">
        <w:t>however,</w:t>
      </w:r>
      <w:proofErr w:type="gramEnd"/>
      <w:r w:rsidRPr="00A64492">
        <w:t xml:space="preserve"> they are not intended to limit consideration of related and relevant matters. </w:t>
      </w:r>
    </w:p>
    <w:p w:rsidR="00A64492" w:rsidRPr="00A64492" w:rsidRDefault="00A64492" w:rsidP="00A64492">
      <w:pPr>
        <w:spacing w:after="0" w:line="240" w:lineRule="auto"/>
      </w:pPr>
    </w:p>
    <w:p w:rsidR="00A64492" w:rsidRPr="00A64492" w:rsidRDefault="00A64492" w:rsidP="00A64492">
      <w:pPr>
        <w:pStyle w:val="Default"/>
        <w:rPr>
          <w:rFonts w:ascii="Book Antiqua" w:hAnsi="Book Antiqua"/>
          <w:sz w:val="22"/>
          <w:szCs w:val="22"/>
        </w:rPr>
      </w:pPr>
      <w:r w:rsidRPr="00A64492">
        <w:rPr>
          <w:rFonts w:ascii="Book Antiqua" w:eastAsiaTheme="minorEastAsia" w:hAnsi="Book Antiqua" w:cstheme="minorBidi"/>
          <w:color w:val="auto"/>
          <w:sz w:val="22"/>
          <w:szCs w:val="22"/>
          <w:lang w:eastAsia="en-AU"/>
        </w:rPr>
        <w:t xml:space="preserve">Non-confidential submissions may be made available on the Treasury and the Department of Employment websites. Submissions made in confidence will </w:t>
      </w:r>
      <w:r w:rsidR="002D4AAF">
        <w:rPr>
          <w:rFonts w:ascii="Book Antiqua" w:eastAsiaTheme="minorEastAsia" w:hAnsi="Book Antiqua" w:cstheme="minorBidi"/>
          <w:color w:val="auto"/>
          <w:sz w:val="22"/>
          <w:szCs w:val="22"/>
          <w:lang w:eastAsia="en-AU"/>
        </w:rPr>
        <w:t>not be published</w:t>
      </w:r>
      <w:r w:rsidRPr="00A64492">
        <w:rPr>
          <w:rFonts w:ascii="Book Antiqua" w:eastAsiaTheme="minorEastAsia" w:hAnsi="Book Antiqua" w:cstheme="minorBidi"/>
          <w:color w:val="auto"/>
          <w:sz w:val="22"/>
          <w:szCs w:val="22"/>
          <w:lang w:eastAsia="en-AU"/>
        </w:rPr>
        <w:t xml:space="preserve">. A request for access to a confidential submission will be determined in accordance with the </w:t>
      </w:r>
      <w:r w:rsidRPr="00A64492">
        <w:rPr>
          <w:rFonts w:ascii="Book Antiqua" w:eastAsiaTheme="minorEastAsia" w:hAnsi="Book Antiqua" w:cstheme="minorBidi"/>
          <w:i/>
          <w:color w:val="auto"/>
          <w:sz w:val="22"/>
          <w:szCs w:val="22"/>
          <w:lang w:eastAsia="en-AU"/>
        </w:rPr>
        <w:t xml:space="preserve">Freedom of Information Act 1982 </w:t>
      </w:r>
      <w:r w:rsidRPr="00A64492">
        <w:rPr>
          <w:rFonts w:ascii="Book Antiqua" w:eastAsiaTheme="minorEastAsia" w:hAnsi="Book Antiqua" w:cstheme="minorBidi"/>
          <w:color w:val="auto"/>
          <w:sz w:val="22"/>
          <w:szCs w:val="22"/>
          <w:lang w:eastAsia="en-AU"/>
        </w:rPr>
        <w:t>(</w:t>
      </w:r>
      <w:proofErr w:type="spellStart"/>
      <w:r w:rsidRPr="00A64492">
        <w:rPr>
          <w:rFonts w:ascii="Book Antiqua" w:eastAsiaTheme="minorEastAsia" w:hAnsi="Book Antiqua" w:cstheme="minorBidi"/>
          <w:color w:val="auto"/>
          <w:sz w:val="22"/>
          <w:szCs w:val="22"/>
          <w:lang w:eastAsia="en-AU"/>
        </w:rPr>
        <w:t>Cth</w:t>
      </w:r>
      <w:proofErr w:type="spellEnd"/>
      <w:r w:rsidRPr="00A64492">
        <w:rPr>
          <w:rFonts w:ascii="Book Antiqua" w:eastAsiaTheme="minorEastAsia" w:hAnsi="Book Antiqua" w:cstheme="minorBidi"/>
          <w:color w:val="auto"/>
          <w:sz w:val="22"/>
          <w:szCs w:val="22"/>
          <w:lang w:eastAsia="en-AU"/>
        </w:rPr>
        <w:t xml:space="preserve">). </w:t>
      </w:r>
      <w:proofErr w:type="gramStart"/>
      <w:r w:rsidRPr="00A64492">
        <w:rPr>
          <w:rFonts w:ascii="Book Antiqua" w:eastAsiaTheme="minorEastAsia" w:hAnsi="Book Antiqua" w:cstheme="minorBidi"/>
          <w:color w:val="auto"/>
          <w:sz w:val="22"/>
          <w:szCs w:val="22"/>
          <w:lang w:eastAsia="en-AU"/>
        </w:rPr>
        <w:t xml:space="preserve">In the absence of a clear indication that a submission is intended to be confidential, </w:t>
      </w:r>
      <w:r w:rsidR="002D4AAF">
        <w:rPr>
          <w:rFonts w:ascii="Book Antiqua" w:eastAsiaTheme="minorEastAsia" w:hAnsi="Book Antiqua" w:cstheme="minorBidi"/>
          <w:color w:val="auto"/>
          <w:sz w:val="22"/>
          <w:szCs w:val="22"/>
          <w:lang w:eastAsia="en-AU"/>
        </w:rPr>
        <w:t>a</w:t>
      </w:r>
      <w:r w:rsidRPr="00A64492">
        <w:rPr>
          <w:rFonts w:ascii="Book Antiqua" w:eastAsiaTheme="minorEastAsia" w:hAnsi="Book Antiqua" w:cstheme="minorBidi"/>
          <w:color w:val="auto"/>
          <w:sz w:val="22"/>
          <w:szCs w:val="22"/>
          <w:lang w:eastAsia="en-AU"/>
        </w:rPr>
        <w:t xml:space="preserve"> submission will be treated as non-confidential.</w:t>
      </w:r>
      <w:proofErr w:type="gramEnd"/>
    </w:p>
    <w:p w:rsidR="00A64492" w:rsidRDefault="00A64492" w:rsidP="00A64492">
      <w:pPr>
        <w:pStyle w:val="Default"/>
        <w:rPr>
          <w:rFonts w:ascii="Book Antiqua" w:eastAsiaTheme="minorEastAsia" w:hAnsi="Book Antiqua" w:cstheme="minorBidi"/>
          <w:color w:val="auto"/>
          <w:sz w:val="22"/>
          <w:szCs w:val="22"/>
          <w:lang w:eastAsia="en-AU"/>
        </w:rPr>
      </w:pPr>
    </w:p>
    <w:p w:rsidR="00F30068" w:rsidRDefault="00F30068" w:rsidP="00F30068">
      <w:pPr>
        <w:pStyle w:val="Heading4"/>
      </w:pPr>
      <w:r>
        <w:rPr>
          <w:rFonts w:cs="Calibri"/>
          <w:bCs w:val="0"/>
        </w:rPr>
        <w:t xml:space="preserve">Closing date for submissions: </w:t>
      </w:r>
      <w:r w:rsidR="00461D5D" w:rsidRPr="00792FB9">
        <w:rPr>
          <w:rFonts w:cs="Calibri"/>
          <w:bCs w:val="0"/>
        </w:rPr>
        <w:t>16</w:t>
      </w:r>
      <w:r w:rsidR="00D41104">
        <w:rPr>
          <w:rFonts w:cs="Calibri"/>
          <w:bCs w:val="0"/>
        </w:rPr>
        <w:t xml:space="preserve"> June </w:t>
      </w:r>
      <w:r w:rsidR="00A64492">
        <w:t>2017</w:t>
      </w:r>
    </w:p>
    <w:p w:rsidR="006347FD" w:rsidRDefault="00C87132" w:rsidP="006347FD">
      <w:pPr>
        <w:pStyle w:val="OutlineNumbered1"/>
        <w:numPr>
          <w:ilvl w:val="0"/>
          <w:numId w:val="0"/>
        </w:numPr>
        <w:rPr>
          <w:color w:val="0000FF"/>
          <w:szCs w:val="22"/>
          <w:u w:val="single"/>
        </w:rPr>
      </w:pPr>
      <w:r>
        <w:t>Submissions should be sent to</w:t>
      </w:r>
      <w:r w:rsidR="006347FD">
        <w:t>:</w:t>
      </w:r>
      <w:r w:rsidR="006347FD" w:rsidRPr="002440AA">
        <w:t xml:space="preserve"> </w:t>
      </w:r>
      <w:hyperlink r:id="rId16" w:history="1">
        <w:r w:rsidR="00B66F7E" w:rsidRPr="002440AA">
          <w:rPr>
            <w:color w:val="0000FF"/>
            <w:szCs w:val="22"/>
            <w:u w:val="single"/>
          </w:rPr>
          <w:t>ImprovingFEG@employment.gov.au</w:t>
        </w:r>
      </w:hyperlink>
    </w:p>
    <w:p w:rsidR="00B01E6E" w:rsidRDefault="00B01E6E" w:rsidP="00B01E6E">
      <w:pPr>
        <w:spacing w:after="0" w:line="240" w:lineRule="auto"/>
      </w:pPr>
      <w:r w:rsidRPr="00A64492">
        <w:t>Those wishing to obtain further information about th</w:t>
      </w:r>
      <w:r>
        <w:t xml:space="preserve">is paper or the </w:t>
      </w:r>
      <w:r w:rsidRPr="00A64492">
        <w:t>consultation process shou</w:t>
      </w:r>
      <w:r>
        <w:t>ld contact:</w:t>
      </w:r>
    </w:p>
    <w:p w:rsidR="00B01E6E" w:rsidRDefault="00B01E6E" w:rsidP="00B01E6E">
      <w:pPr>
        <w:spacing w:after="0" w:line="240" w:lineRule="auto"/>
      </w:pPr>
    </w:p>
    <w:p w:rsidR="00B01E6E" w:rsidRDefault="00B01E6E" w:rsidP="00B01E6E">
      <w:pPr>
        <w:spacing w:after="0" w:line="240" w:lineRule="auto"/>
        <w:sectPr w:rsidR="00B01E6E" w:rsidSect="00F74E80">
          <w:pgSz w:w="11906" w:h="16838" w:code="9"/>
          <w:pgMar w:top="1418" w:right="1418" w:bottom="1418" w:left="1418" w:header="709" w:footer="709" w:gutter="0"/>
          <w:pgNumType w:fmt="lowerRoman" w:start="1"/>
          <w:cols w:space="708"/>
          <w:docGrid w:linePitch="360"/>
        </w:sectPr>
      </w:pPr>
    </w:p>
    <w:p w:rsidR="00B01E6E" w:rsidRPr="006347FD" w:rsidRDefault="00B01E6E" w:rsidP="00B01E6E">
      <w:pPr>
        <w:pStyle w:val="SingleParagraph"/>
        <w:spacing w:line="240" w:lineRule="auto"/>
        <w:rPr>
          <w:rFonts w:cs="Arial"/>
        </w:rPr>
      </w:pPr>
      <w:r w:rsidRPr="006347FD">
        <w:rPr>
          <w:rFonts w:cs="Arial"/>
        </w:rPr>
        <w:lastRenderedPageBreak/>
        <w:t>Mr Peter Krizmanits</w:t>
      </w:r>
    </w:p>
    <w:p w:rsidR="00B01E6E" w:rsidRPr="006347FD" w:rsidRDefault="00B01E6E" w:rsidP="00B01E6E">
      <w:pPr>
        <w:pStyle w:val="SingleParagraph"/>
        <w:spacing w:line="240" w:lineRule="auto"/>
        <w:rPr>
          <w:rFonts w:cs="Arial"/>
        </w:rPr>
      </w:pPr>
      <w:r w:rsidRPr="006347FD">
        <w:rPr>
          <w:rFonts w:cs="Arial"/>
        </w:rPr>
        <w:t>Recovery and Litigation Branch</w:t>
      </w:r>
    </w:p>
    <w:p w:rsidR="00B01E6E" w:rsidRPr="006347FD" w:rsidRDefault="00B01E6E" w:rsidP="00B01E6E">
      <w:pPr>
        <w:pStyle w:val="SingleParagraph"/>
        <w:spacing w:line="240" w:lineRule="auto"/>
        <w:rPr>
          <w:rFonts w:cs="Arial"/>
        </w:rPr>
      </w:pPr>
      <w:r w:rsidRPr="006347FD">
        <w:rPr>
          <w:rFonts w:cs="Arial"/>
        </w:rPr>
        <w:t>Workplace Relations Programmes Group</w:t>
      </w:r>
    </w:p>
    <w:p w:rsidR="00B01E6E" w:rsidRPr="006347FD" w:rsidRDefault="00B01E6E" w:rsidP="00B01E6E">
      <w:pPr>
        <w:pStyle w:val="SingleParagraph"/>
        <w:spacing w:line="240" w:lineRule="auto"/>
        <w:rPr>
          <w:rFonts w:cs="Arial"/>
        </w:rPr>
      </w:pPr>
      <w:r w:rsidRPr="006347FD">
        <w:rPr>
          <w:rFonts w:cs="Arial"/>
        </w:rPr>
        <w:t>Department of Employment</w:t>
      </w:r>
    </w:p>
    <w:p w:rsidR="00B01E6E" w:rsidRPr="006347FD" w:rsidRDefault="00B01E6E" w:rsidP="00B01E6E">
      <w:pPr>
        <w:pStyle w:val="SingleParagraph"/>
        <w:spacing w:line="240" w:lineRule="auto"/>
        <w:rPr>
          <w:rFonts w:cs="Arial"/>
        </w:rPr>
      </w:pPr>
      <w:r w:rsidRPr="006347FD">
        <w:rPr>
          <w:rFonts w:cs="Arial"/>
        </w:rPr>
        <w:t>Telephone: (02) 6240 8067</w:t>
      </w:r>
    </w:p>
    <w:p w:rsidR="00B01E6E" w:rsidRDefault="00B01E6E" w:rsidP="00B01E6E">
      <w:pPr>
        <w:spacing w:after="0" w:line="240" w:lineRule="auto"/>
      </w:pPr>
      <w:r w:rsidRPr="006347FD">
        <w:rPr>
          <w:rFonts w:cs="Arial"/>
        </w:rPr>
        <w:t>E-mail:</w:t>
      </w:r>
      <w:r>
        <w:rPr>
          <w:rFonts w:cs="Arial"/>
        </w:rPr>
        <w:t xml:space="preserve"> </w:t>
      </w:r>
      <w:r>
        <w:rPr>
          <w:rFonts w:cs="Calibri"/>
          <w:color w:val="0000FF"/>
          <w:szCs w:val="22"/>
          <w:u w:val="single"/>
        </w:rPr>
        <w:t>peter.krizmanits@employment.gov.au</w:t>
      </w:r>
    </w:p>
    <w:p w:rsidR="00B01E6E" w:rsidRPr="006347FD" w:rsidRDefault="00B01E6E" w:rsidP="00B01E6E">
      <w:pPr>
        <w:spacing w:after="0" w:line="240" w:lineRule="auto"/>
      </w:pPr>
      <w:r>
        <w:br w:type="column"/>
      </w:r>
      <w:r w:rsidRPr="006347FD">
        <w:lastRenderedPageBreak/>
        <w:t>Mr James Mason</w:t>
      </w:r>
    </w:p>
    <w:p w:rsidR="00B01E6E" w:rsidRPr="006347FD" w:rsidRDefault="00B01E6E" w:rsidP="00B01E6E">
      <w:pPr>
        <w:spacing w:after="0" w:line="240" w:lineRule="auto"/>
      </w:pPr>
      <w:r w:rsidRPr="006347FD">
        <w:t>Financial System Division</w:t>
      </w:r>
    </w:p>
    <w:p w:rsidR="00B01E6E" w:rsidRPr="006347FD" w:rsidRDefault="00B01E6E" w:rsidP="00B01E6E">
      <w:pPr>
        <w:spacing w:after="0" w:line="240" w:lineRule="auto"/>
      </w:pPr>
      <w:r w:rsidRPr="006347FD">
        <w:t>Markets Group</w:t>
      </w:r>
    </w:p>
    <w:p w:rsidR="00B01E6E" w:rsidRPr="006347FD" w:rsidRDefault="00B01E6E" w:rsidP="00B01E6E">
      <w:pPr>
        <w:spacing w:after="0" w:line="240" w:lineRule="auto"/>
      </w:pPr>
      <w:r w:rsidRPr="006347FD">
        <w:t>The Treasury</w:t>
      </w:r>
    </w:p>
    <w:p w:rsidR="00B01E6E" w:rsidRPr="006347FD" w:rsidRDefault="00B01E6E" w:rsidP="00B01E6E">
      <w:pPr>
        <w:spacing w:after="0" w:line="240" w:lineRule="auto"/>
      </w:pPr>
      <w:r w:rsidRPr="006347FD">
        <w:t>Telephone: (02) 6263 4405</w:t>
      </w:r>
    </w:p>
    <w:p w:rsidR="00B01E6E" w:rsidRDefault="00B01E6E" w:rsidP="00B01E6E">
      <w:pPr>
        <w:spacing w:after="0" w:line="240" w:lineRule="auto"/>
      </w:pPr>
      <w:r w:rsidRPr="006347FD">
        <w:t xml:space="preserve">E-mail: </w:t>
      </w:r>
      <w:hyperlink r:id="rId17" w:history="1">
        <w:r w:rsidRPr="002440AA">
          <w:rPr>
            <w:rFonts w:cs="Calibri"/>
            <w:color w:val="0000FF"/>
            <w:szCs w:val="22"/>
            <w:u w:val="single"/>
          </w:rPr>
          <w:t>james.mason@treasury.gov.au</w:t>
        </w:r>
      </w:hyperlink>
    </w:p>
    <w:p w:rsidR="00B01E6E" w:rsidRDefault="00B01E6E" w:rsidP="00B01E6E">
      <w:pPr>
        <w:spacing w:after="0" w:line="240" w:lineRule="auto"/>
        <w:sectPr w:rsidR="00B01E6E" w:rsidSect="004E0ACC">
          <w:type w:val="continuous"/>
          <w:pgSz w:w="11906" w:h="16838" w:code="9"/>
          <w:pgMar w:top="1418" w:right="1418" w:bottom="1418" w:left="1418" w:header="709" w:footer="709" w:gutter="0"/>
          <w:cols w:num="2" w:space="567" w:equalWidth="0">
            <w:col w:w="4649" w:space="567"/>
            <w:col w:w="3854"/>
          </w:cols>
          <w:titlePg/>
          <w:docGrid w:linePitch="360"/>
        </w:sectPr>
      </w:pPr>
    </w:p>
    <w:p w:rsidR="00A64492" w:rsidRDefault="00B01E6E" w:rsidP="00DC0C29">
      <w:pPr>
        <w:spacing w:before="360" w:after="0" w:line="240" w:lineRule="auto"/>
      </w:pPr>
      <w:r w:rsidRPr="004D3A92">
        <w:lastRenderedPageBreak/>
        <w:t xml:space="preserve">Disclaimer: </w:t>
      </w:r>
      <w:r w:rsidR="00A64492" w:rsidRPr="004D3A92">
        <w:t>This document is designed to assist consideration of issues and options to</w:t>
      </w:r>
      <w:r w:rsidR="006347FD">
        <w:t xml:space="preserve"> </w:t>
      </w:r>
      <w:r w:rsidR="00A64492" w:rsidRPr="004D3A92">
        <w:t xml:space="preserve">inform the consultation process. It does not indicate a commitment </w:t>
      </w:r>
      <w:r w:rsidR="002D4AAF">
        <w:t xml:space="preserve">by the Australian Government </w:t>
      </w:r>
      <w:r w:rsidR="00A64492" w:rsidRPr="004D3A92">
        <w:t>to a particular course of action.</w:t>
      </w:r>
    </w:p>
    <w:p w:rsidR="00A64492" w:rsidRDefault="00A64492" w:rsidP="00A64492">
      <w:r>
        <w:br w:type="page"/>
      </w:r>
    </w:p>
    <w:p w:rsidR="00357DDC" w:rsidRPr="00381CD0" w:rsidRDefault="00357DDC" w:rsidP="00357DDC">
      <w:pPr>
        <w:pStyle w:val="Heading2NotNumbered"/>
      </w:pPr>
      <w:bookmarkStart w:id="8" w:name="_Toc463518743"/>
      <w:bookmarkStart w:id="9" w:name="_Toc464207017"/>
      <w:bookmarkStart w:id="10" w:name="_Toc466542580"/>
      <w:bookmarkStart w:id="11" w:name="_Toc474414899"/>
      <w:bookmarkStart w:id="12" w:name="_Toc477939001"/>
      <w:bookmarkStart w:id="13" w:name="_Toc480975466"/>
      <w:bookmarkStart w:id="14" w:name="_Toc481948278"/>
      <w:r w:rsidRPr="00BC3EA8">
        <w:lastRenderedPageBreak/>
        <w:t>Foreword</w:t>
      </w:r>
      <w:bookmarkEnd w:id="8"/>
      <w:bookmarkEnd w:id="9"/>
      <w:bookmarkEnd w:id="10"/>
      <w:bookmarkEnd w:id="11"/>
      <w:bookmarkEnd w:id="12"/>
      <w:bookmarkEnd w:id="14"/>
    </w:p>
    <w:p w:rsidR="00357DDC" w:rsidRDefault="00357DDC" w:rsidP="00357DDC">
      <w:pPr>
        <w:spacing w:line="280" w:lineRule="exact"/>
        <w:rPr>
          <w:spacing w:val="-2"/>
        </w:rPr>
        <w:sectPr w:rsidR="00357DDC" w:rsidSect="00F74E80">
          <w:type w:val="continuous"/>
          <w:pgSz w:w="11906" w:h="16838" w:code="9"/>
          <w:pgMar w:top="1418" w:right="1418" w:bottom="1418" w:left="1418" w:header="709" w:footer="709" w:gutter="0"/>
          <w:pgNumType w:fmt="lowerRoman"/>
          <w:cols w:space="708"/>
          <w:titlePg/>
          <w:docGrid w:linePitch="360"/>
        </w:sectPr>
      </w:pPr>
    </w:p>
    <w:p w:rsidR="00357DDC" w:rsidRPr="007F01AA" w:rsidRDefault="00357DDC" w:rsidP="00357DDC">
      <w:pPr>
        <w:pStyle w:val="NoSpacing"/>
        <w:jc w:val="right"/>
      </w:pPr>
      <w:r>
        <w:rPr>
          <w:noProof/>
        </w:rPr>
        <w:lastRenderedPageBreak/>
        <w:drawing>
          <wp:inline distT="0" distB="0" distL="0" distR="0" wp14:anchorId="1129FA8C" wp14:editId="127D7F4A">
            <wp:extent cx="1496291" cy="1517073"/>
            <wp:effectExtent l="0" t="0" r="8890" b="6985"/>
            <wp:docPr id="13" name="Picture 13" descr="Photo of the Minister for Revenue and Financial Services - Kelly O'Dwyer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ODwyer.jpg"/>
                    <pic:cNvPicPr/>
                  </pic:nvPicPr>
                  <pic:blipFill>
                    <a:blip r:embed="rId18">
                      <a:extLst>
                        <a:ext uri="{BEBA8EAE-BF5A-486C-A8C5-ECC9F3942E4B}">
                          <a14:imgProps xmlns:a14="http://schemas.microsoft.com/office/drawing/2010/main">
                            <a14:imgLayer r:embed="rId19">
                              <a14:imgEffect>
                                <a14:saturation sat="140000"/>
                              </a14:imgEffect>
                            </a14:imgLayer>
                          </a14:imgProps>
                        </a:ext>
                        <a:ext uri="{28A0092B-C50C-407E-A947-70E740481C1C}">
                          <a14:useLocalDpi xmlns:a14="http://schemas.microsoft.com/office/drawing/2010/main" val="0"/>
                        </a:ext>
                      </a:extLst>
                    </a:blip>
                    <a:stretch>
                      <a:fillRect/>
                    </a:stretch>
                  </pic:blipFill>
                  <pic:spPr>
                    <a:xfrm>
                      <a:off x="0" y="0"/>
                      <a:ext cx="1496291" cy="1517073"/>
                    </a:xfrm>
                    <a:prstGeom prst="rect">
                      <a:avLst/>
                    </a:prstGeom>
                  </pic:spPr>
                </pic:pic>
              </a:graphicData>
            </a:graphic>
          </wp:inline>
        </w:drawing>
      </w:r>
    </w:p>
    <w:p w:rsidR="00357DDC" w:rsidRDefault="00357DDC" w:rsidP="00357DDC">
      <w:pPr>
        <w:spacing w:after="0" w:line="280" w:lineRule="exact"/>
        <w:jc w:val="left"/>
        <w:rPr>
          <w:spacing w:val="-2"/>
        </w:rPr>
      </w:pPr>
    </w:p>
    <w:p w:rsidR="00357DDC" w:rsidRPr="007F01AA" w:rsidRDefault="00357DDC" w:rsidP="00357DDC">
      <w:pPr>
        <w:pStyle w:val="NoSpacing"/>
      </w:pPr>
      <w:r>
        <w:rPr>
          <w:noProof/>
        </w:rPr>
        <w:lastRenderedPageBreak/>
        <w:drawing>
          <wp:inline distT="0" distB="0" distL="0" distR="0" wp14:anchorId="7388F6B9" wp14:editId="686E03ED">
            <wp:extent cx="1496291" cy="1517073"/>
            <wp:effectExtent l="0" t="0" r="8890" b="6985"/>
            <wp:docPr id="14" name="Picture 14" descr="Photo of Senator the Hon Michaelia Cash MP&#10;Minister for Employ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nister-cash.jpg"/>
                    <pic:cNvPicPr/>
                  </pic:nvPicPr>
                  <pic:blipFill>
                    <a:blip r:embed="rId20">
                      <a:extLst>
                        <a:ext uri="{BEBA8EAE-BF5A-486C-A8C5-ECC9F3942E4B}">
                          <a14:imgProps xmlns:a14="http://schemas.microsoft.com/office/drawing/2010/main">
                            <a14:imgLayer r:embed="rId21">
                              <a14:imgEffect>
                                <a14:saturation sat="132000"/>
                              </a14:imgEffect>
                            </a14:imgLayer>
                          </a14:imgProps>
                        </a:ext>
                        <a:ext uri="{28A0092B-C50C-407E-A947-70E740481C1C}">
                          <a14:useLocalDpi xmlns:a14="http://schemas.microsoft.com/office/drawing/2010/main" val="0"/>
                        </a:ext>
                      </a:extLst>
                    </a:blip>
                    <a:stretch>
                      <a:fillRect/>
                    </a:stretch>
                  </pic:blipFill>
                  <pic:spPr>
                    <a:xfrm>
                      <a:off x="0" y="0"/>
                      <a:ext cx="1496291" cy="1517073"/>
                    </a:xfrm>
                    <a:prstGeom prst="rect">
                      <a:avLst/>
                    </a:prstGeom>
                  </pic:spPr>
                </pic:pic>
              </a:graphicData>
            </a:graphic>
          </wp:inline>
        </w:drawing>
      </w:r>
    </w:p>
    <w:p w:rsidR="00357DDC" w:rsidRDefault="00357DDC" w:rsidP="00357DDC">
      <w:pPr>
        <w:spacing w:after="0" w:line="240" w:lineRule="auto"/>
        <w:jc w:val="left"/>
        <w:sectPr w:rsidR="00357DDC" w:rsidSect="00BC3EA8">
          <w:type w:val="continuous"/>
          <w:pgSz w:w="11906" w:h="16838" w:code="9"/>
          <w:pgMar w:top="1418" w:right="1418" w:bottom="1418" w:left="1418" w:header="709" w:footer="709" w:gutter="0"/>
          <w:cols w:num="2" w:space="708"/>
          <w:titlePg/>
          <w:docGrid w:linePitch="360"/>
        </w:sectPr>
      </w:pPr>
    </w:p>
    <w:bookmarkEnd w:id="13"/>
    <w:p w:rsidR="00934381" w:rsidRDefault="00934381" w:rsidP="00934381">
      <w:r>
        <w:lastRenderedPageBreak/>
        <w:t>The Australian Government operates the Fair Entitlements Guarantee (FEG) scheme which assists certain employees when their employer’s business fails and the employer has not made adequate provision for employee entitlements (such as accrued leave, redundancy payments and unpaid wages).</w:t>
      </w:r>
      <w:r w:rsidR="00EA2CE1">
        <w:t xml:space="preserve"> It is a scheme of last resort to support redundant workers.</w:t>
      </w:r>
    </w:p>
    <w:p w:rsidR="00934381" w:rsidRDefault="00934381" w:rsidP="00934381">
      <w:r>
        <w:t>Costs under the FEG s</w:t>
      </w:r>
      <w:r w:rsidRPr="00F749CA">
        <w:t xml:space="preserve">cheme </w:t>
      </w:r>
      <w:r w:rsidR="00EA2CE1">
        <w:t>have dramatically increased</w:t>
      </w:r>
      <w:r>
        <w:t xml:space="preserve"> with </w:t>
      </w:r>
      <w:r w:rsidRPr="00F749CA">
        <w:t>FEG payments totall</w:t>
      </w:r>
      <w:r>
        <w:t>ing more than $1 </w:t>
      </w:r>
      <w:r w:rsidRPr="00F749CA">
        <w:t xml:space="preserve">billion </w:t>
      </w:r>
      <w:r>
        <w:t>between 2012</w:t>
      </w:r>
      <w:r>
        <w:noBreakHyphen/>
        <w:t>13 and 2015</w:t>
      </w:r>
      <w:r>
        <w:noBreakHyphen/>
        <w:t xml:space="preserve">16. This represents </w:t>
      </w:r>
      <w:r w:rsidRPr="00F749CA">
        <w:t>a 75 per cent increase over the preceding f</w:t>
      </w:r>
      <w:r>
        <w:t xml:space="preserve">our year period. </w:t>
      </w:r>
    </w:p>
    <w:p w:rsidR="00934381" w:rsidRDefault="00EA2CE1" w:rsidP="00934381">
      <w:pPr>
        <w:rPr>
          <w:rFonts w:cstheme="minorHAnsi"/>
        </w:rPr>
      </w:pPr>
      <w:r>
        <w:t>T</w:t>
      </w:r>
      <w:r w:rsidR="00934381">
        <w:t xml:space="preserve">here is increasing evidence that some employers are deliberately structuring their corporate affairs to avoid paying employee entitlements when a business becomes insolvent. </w:t>
      </w:r>
      <w:r>
        <w:rPr>
          <w:rFonts w:cstheme="minorHAnsi"/>
        </w:rPr>
        <w:t>I</w:t>
      </w:r>
      <w:r w:rsidR="00934381">
        <w:rPr>
          <w:rFonts w:cstheme="minorHAnsi"/>
        </w:rPr>
        <w:t xml:space="preserve">n several recent cases, practices have been openly employed to shift the cost of the employee entitlements to the </w:t>
      </w:r>
      <w:r>
        <w:rPr>
          <w:rFonts w:cstheme="minorHAnsi"/>
        </w:rPr>
        <w:t xml:space="preserve">FEG </w:t>
      </w:r>
      <w:r w:rsidR="00934381">
        <w:rPr>
          <w:rFonts w:cstheme="minorHAnsi"/>
        </w:rPr>
        <w:t>scheme.</w:t>
      </w:r>
    </w:p>
    <w:p w:rsidR="00934381" w:rsidRDefault="00934381" w:rsidP="00934381">
      <w:r>
        <w:t>This</w:t>
      </w:r>
      <w:r w:rsidR="00807D5B">
        <w:t xml:space="preserve"> inappropriate</w:t>
      </w:r>
      <w:r>
        <w:t xml:space="preserve"> reliance </w:t>
      </w:r>
      <w:r w:rsidR="00EA2CE1">
        <w:t xml:space="preserve">by some employers </w:t>
      </w:r>
      <w:r>
        <w:t>on the FEG scheme</w:t>
      </w:r>
      <w:r w:rsidR="00EA2CE1">
        <w:t xml:space="preserve"> to cover </w:t>
      </w:r>
      <w:r w:rsidR="00095F29">
        <w:t xml:space="preserve">the payment of </w:t>
      </w:r>
      <w:r w:rsidR="00EA2CE1">
        <w:t>employee entitlements</w:t>
      </w:r>
      <w:r w:rsidR="00B91313">
        <w:t xml:space="preserve"> is unacceptable. </w:t>
      </w:r>
      <w:r>
        <w:t xml:space="preserve">For the Australian Government to make FEG </w:t>
      </w:r>
      <w:r w:rsidRPr="00F749CA">
        <w:t>payments in</w:t>
      </w:r>
      <w:r>
        <w:t xml:space="preserve"> </w:t>
      </w:r>
      <w:r w:rsidRPr="00F749CA">
        <w:t xml:space="preserve">circumstances </w:t>
      </w:r>
      <w:r>
        <w:t xml:space="preserve">where businesses can pay their employee entitlements but choose not to, </w:t>
      </w:r>
      <w:r w:rsidRPr="00F749CA">
        <w:t>is</w:t>
      </w:r>
      <w:r>
        <w:t xml:space="preserve"> contrary to the purpose of the </w:t>
      </w:r>
      <w:r w:rsidR="00233775">
        <w:t>s</w:t>
      </w:r>
      <w:r w:rsidRPr="00F749CA">
        <w:t>cheme.</w:t>
      </w:r>
      <w:r>
        <w:t xml:space="preserve"> </w:t>
      </w:r>
    </w:p>
    <w:p w:rsidR="00934381" w:rsidRDefault="00934381" w:rsidP="00934381">
      <w:r>
        <w:t>T</w:t>
      </w:r>
      <w:r w:rsidRPr="00F749CA">
        <w:t>o address the</w:t>
      </w:r>
      <w:r w:rsidR="00EA2CE1">
        <w:t>se</w:t>
      </w:r>
      <w:r w:rsidR="003C398A">
        <w:t xml:space="preserve"> issues a</w:t>
      </w:r>
      <w:r w:rsidRPr="00F749CA">
        <w:t xml:space="preserve">nd </w:t>
      </w:r>
      <w:r w:rsidR="003C398A">
        <w:t>e</w:t>
      </w:r>
      <w:r w:rsidRPr="00F749CA">
        <w:t xml:space="preserve">nsure the FEG scheme remains viable, the </w:t>
      </w:r>
      <w:r>
        <w:t>Australian </w:t>
      </w:r>
      <w:r w:rsidRPr="00F749CA">
        <w:t xml:space="preserve">Government is consulting on </w:t>
      </w:r>
      <w:r>
        <w:t xml:space="preserve">options for </w:t>
      </w:r>
      <w:r w:rsidRPr="00F749CA">
        <w:t xml:space="preserve">targeted law reform to </w:t>
      </w:r>
      <w:r w:rsidR="00B21548">
        <w:t>address</w:t>
      </w:r>
      <w:r>
        <w:t xml:space="preserve"> corporate misuse of the FEG scheme and to </w:t>
      </w:r>
      <w:r w:rsidRPr="00F749CA">
        <w:t>improve the recovery of FEG</w:t>
      </w:r>
      <w:r>
        <w:t> </w:t>
      </w:r>
      <w:r w:rsidRPr="00F749CA">
        <w:t>payments.</w:t>
      </w:r>
    </w:p>
    <w:p w:rsidR="00D03D6C" w:rsidRDefault="00934381" w:rsidP="00D03D6C">
      <w:r>
        <w:t xml:space="preserve">Any </w:t>
      </w:r>
      <w:r w:rsidR="00EA2CE1">
        <w:t>proposed</w:t>
      </w:r>
      <w:r>
        <w:t xml:space="preserve"> amendments to the law will be</w:t>
      </w:r>
      <w:r w:rsidR="00EA253B">
        <w:t xml:space="preserve"> largely </w:t>
      </w:r>
      <w:r>
        <w:t xml:space="preserve">tailored </w:t>
      </w:r>
      <w:r w:rsidR="00EA253B">
        <w:t xml:space="preserve">around </w:t>
      </w:r>
      <w:r>
        <w:t>FEG</w:t>
      </w:r>
      <w:r w:rsidR="0009341E">
        <w:t>, and will support and be comple</w:t>
      </w:r>
      <w:r>
        <w:t xml:space="preserve">mentary to other Australian Government processes such as the </w:t>
      </w:r>
      <w:r w:rsidR="00EA253B">
        <w:t>work of t</w:t>
      </w:r>
      <w:r>
        <w:t xml:space="preserve">he Phoenix Taskforce and the </w:t>
      </w:r>
      <w:r w:rsidR="00EA253B">
        <w:t xml:space="preserve">improvements to insolvency laws under the </w:t>
      </w:r>
      <w:r>
        <w:t>National Innovation &amp; Science Agenda.</w:t>
      </w:r>
    </w:p>
    <w:p w:rsidR="00D03D6C" w:rsidRDefault="00934381" w:rsidP="00934381">
      <w:r w:rsidRPr="00F749CA">
        <w:t xml:space="preserve">The </w:t>
      </w:r>
      <w:r>
        <w:t xml:space="preserve">Australian </w:t>
      </w:r>
      <w:r w:rsidRPr="00F749CA">
        <w:t xml:space="preserve">Government seeks your </w:t>
      </w:r>
      <w:r>
        <w:t xml:space="preserve">views </w:t>
      </w:r>
      <w:r w:rsidRPr="00F749CA">
        <w:t xml:space="preserve">on the options for reform </w:t>
      </w:r>
      <w:r>
        <w:t xml:space="preserve">outlined in this paper </w:t>
      </w:r>
      <w:r w:rsidRPr="00F749CA">
        <w:t xml:space="preserve">and </w:t>
      </w:r>
      <w:r>
        <w:t xml:space="preserve">your </w:t>
      </w:r>
      <w:r w:rsidRPr="00F749CA">
        <w:t xml:space="preserve">participation in the consultation process. </w:t>
      </w:r>
    </w:p>
    <w:p w:rsidR="00DC0C29" w:rsidRDefault="00DC0C29" w:rsidP="00DC0C29">
      <w:pPr>
        <w:keepNext/>
        <w:spacing w:after="0" w:line="240" w:lineRule="auto"/>
        <w:ind w:left="-142"/>
        <w:jc w:val="left"/>
        <w:rPr>
          <w:rFonts w:ascii="Century Gothic" w:hAnsi="Century Gothic"/>
          <w:color w:val="1F497D" w:themeColor="text2"/>
          <w:sz w:val="20"/>
        </w:rPr>
        <w:sectPr w:rsidR="00DC0C29" w:rsidSect="00D623D0">
          <w:footerReference w:type="default" r:id="rId22"/>
          <w:footerReference w:type="first" r:id="rId23"/>
          <w:type w:val="continuous"/>
          <w:pgSz w:w="11906" w:h="16838" w:code="9"/>
          <w:pgMar w:top="1418" w:right="1418" w:bottom="1418" w:left="1418" w:header="709" w:footer="709" w:gutter="0"/>
          <w:pgNumType w:fmt="lowerRoman" w:start="1"/>
          <w:cols w:space="708"/>
          <w:titlePg/>
          <w:docGrid w:linePitch="360"/>
        </w:sectPr>
      </w:pPr>
    </w:p>
    <w:p w:rsidR="00DC0C29" w:rsidRPr="007F01AA" w:rsidRDefault="00DC0C29" w:rsidP="00DC0C29">
      <w:pPr>
        <w:keepNext/>
        <w:spacing w:after="0" w:line="240" w:lineRule="auto"/>
        <w:ind w:left="-142"/>
        <w:jc w:val="left"/>
        <w:rPr>
          <w:rFonts w:ascii="Century Gothic" w:hAnsi="Century Gothic"/>
          <w:color w:val="1F497D" w:themeColor="text2"/>
          <w:sz w:val="20"/>
        </w:rPr>
      </w:pPr>
      <w:r w:rsidRPr="007F01AA">
        <w:rPr>
          <w:rFonts w:ascii="Century Gothic" w:hAnsi="Century Gothic"/>
          <w:noProof/>
          <w:color w:val="1F497D" w:themeColor="text2"/>
          <w:sz w:val="20"/>
        </w:rPr>
        <w:lastRenderedPageBreak/>
        <w:drawing>
          <wp:inline distT="0" distB="0" distL="0" distR="0" wp14:anchorId="5F998A84" wp14:editId="2063C79E">
            <wp:extent cx="1638300" cy="779415"/>
            <wp:effectExtent l="0" t="0" r="0" b="1905"/>
            <wp:docPr id="10" name="Picture 10" descr="Signature -  Minister for Revenue and Financial Services - Kelly O'Dwyer 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 Odwyer_Signature.tif"/>
                    <pic:cNvPicPr/>
                  </pic:nvPicPr>
                  <pic:blipFill rotWithShape="1">
                    <a:blip r:embed="rId24" cstate="print">
                      <a:extLst>
                        <a:ext uri="{28A0092B-C50C-407E-A947-70E740481C1C}">
                          <a14:useLocalDpi xmlns:a14="http://schemas.microsoft.com/office/drawing/2010/main" val="0"/>
                        </a:ext>
                      </a:extLst>
                    </a:blip>
                    <a:srcRect/>
                    <a:stretch/>
                  </pic:blipFill>
                  <pic:spPr bwMode="auto">
                    <a:xfrm>
                      <a:off x="0" y="0"/>
                      <a:ext cx="1638300" cy="779415"/>
                    </a:xfrm>
                    <a:prstGeom prst="rect">
                      <a:avLst/>
                    </a:prstGeom>
                    <a:ln>
                      <a:noFill/>
                    </a:ln>
                    <a:extLst>
                      <a:ext uri="{53640926-AAD7-44D8-BBD7-CCE9431645EC}">
                        <a14:shadowObscured xmlns:a14="http://schemas.microsoft.com/office/drawing/2010/main"/>
                      </a:ext>
                    </a:extLst>
                  </pic:spPr>
                </pic:pic>
              </a:graphicData>
            </a:graphic>
          </wp:inline>
        </w:drawing>
      </w:r>
    </w:p>
    <w:p w:rsidR="00DC0C29" w:rsidRDefault="00DC0C29" w:rsidP="00DC0C29">
      <w:pPr>
        <w:spacing w:line="280" w:lineRule="exact"/>
        <w:jc w:val="left"/>
        <w:rPr>
          <w:spacing w:val="-2"/>
        </w:rPr>
      </w:pPr>
      <w:r w:rsidRPr="007F01AA">
        <w:rPr>
          <w:spacing w:val="-2"/>
        </w:rPr>
        <w:t xml:space="preserve">The Hon Kelly </w:t>
      </w:r>
      <w:proofErr w:type="spellStart"/>
      <w:r w:rsidRPr="007F01AA">
        <w:rPr>
          <w:spacing w:val="-2"/>
        </w:rPr>
        <w:t>O’Dwyer</w:t>
      </w:r>
      <w:proofErr w:type="spellEnd"/>
      <w:r w:rsidRPr="007F01AA">
        <w:rPr>
          <w:spacing w:val="-2"/>
        </w:rPr>
        <w:t xml:space="preserve"> MP</w:t>
      </w:r>
      <w:r w:rsidRPr="007F01AA">
        <w:rPr>
          <w:spacing w:val="-2"/>
        </w:rPr>
        <w:br/>
        <w:t>Minister for Revenue and Financial Services</w:t>
      </w:r>
    </w:p>
    <w:p w:rsidR="00DC0C29" w:rsidRPr="007F01AA" w:rsidRDefault="00DC0C29" w:rsidP="00DC0C29">
      <w:pPr>
        <w:pStyle w:val="NoSpacing"/>
        <w:rPr>
          <w:rFonts w:ascii="Century Gothic" w:hAnsi="Century Gothic"/>
          <w:color w:val="1F497D" w:themeColor="text2"/>
          <w:sz w:val="20"/>
        </w:rPr>
      </w:pPr>
      <w:r>
        <w:br w:type="column"/>
      </w:r>
      <w:r w:rsidRPr="007F01AA">
        <w:rPr>
          <w:rFonts w:ascii="Century Gothic" w:hAnsi="Century Gothic"/>
          <w:noProof/>
          <w:color w:val="1F497D" w:themeColor="text2"/>
          <w:sz w:val="20"/>
        </w:rPr>
        <w:lastRenderedPageBreak/>
        <w:drawing>
          <wp:inline distT="0" distB="0" distL="0" distR="0" wp14:anchorId="2EEDADD3" wp14:editId="6F323EAF">
            <wp:extent cx="1970797" cy="533400"/>
            <wp:effectExtent l="0" t="0" r="0" b="0"/>
            <wp:docPr id="11" name="Picture 11" descr="Signature - Senator the Hon Michaelia Cash MP&#10;Minister for Employ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 Odwyer_Signature.tif"/>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977258" cy="535149"/>
                    </a:xfrm>
                    <a:prstGeom prst="rect">
                      <a:avLst/>
                    </a:prstGeom>
                    <a:ln>
                      <a:noFill/>
                    </a:ln>
                    <a:extLst>
                      <a:ext uri="{53640926-AAD7-44D8-BBD7-CCE9431645EC}">
                        <a14:shadowObscured xmlns:a14="http://schemas.microsoft.com/office/drawing/2010/main"/>
                      </a:ext>
                    </a:extLst>
                  </pic:spPr>
                </pic:pic>
              </a:graphicData>
            </a:graphic>
          </wp:inline>
        </w:drawing>
      </w:r>
      <w:r>
        <w:rPr>
          <w:rFonts w:ascii="Century Gothic" w:hAnsi="Century Gothic"/>
          <w:color w:val="1F497D" w:themeColor="text2"/>
          <w:sz w:val="20"/>
        </w:rPr>
        <w:br/>
      </w:r>
    </w:p>
    <w:p w:rsidR="00DC0C29" w:rsidRDefault="00DC0C29" w:rsidP="00DC0C29">
      <w:pPr>
        <w:spacing w:before="160" w:after="0" w:line="280" w:lineRule="exact"/>
        <w:jc w:val="left"/>
        <w:rPr>
          <w:spacing w:val="-2"/>
        </w:rPr>
      </w:pPr>
      <w:r>
        <w:rPr>
          <w:spacing w:val="-2"/>
        </w:rPr>
        <w:t>Senator t</w:t>
      </w:r>
      <w:r w:rsidRPr="007F01AA">
        <w:rPr>
          <w:spacing w:val="-2"/>
        </w:rPr>
        <w:t xml:space="preserve">he Hon </w:t>
      </w:r>
      <w:proofErr w:type="spellStart"/>
      <w:r>
        <w:rPr>
          <w:spacing w:val="-2"/>
        </w:rPr>
        <w:t>Michaelia</w:t>
      </w:r>
      <w:proofErr w:type="spellEnd"/>
      <w:r>
        <w:rPr>
          <w:spacing w:val="-2"/>
        </w:rPr>
        <w:t xml:space="preserve"> Cash</w:t>
      </w:r>
      <w:r w:rsidRPr="007F01AA">
        <w:rPr>
          <w:spacing w:val="-2"/>
        </w:rPr>
        <w:t xml:space="preserve"> MP</w:t>
      </w:r>
      <w:r w:rsidRPr="007F01AA">
        <w:rPr>
          <w:spacing w:val="-2"/>
        </w:rPr>
        <w:br/>
        <w:t xml:space="preserve">Minister for </w:t>
      </w:r>
      <w:r>
        <w:rPr>
          <w:spacing w:val="-2"/>
        </w:rPr>
        <w:t>Employment</w:t>
      </w:r>
    </w:p>
    <w:p w:rsidR="00DC0C29" w:rsidRDefault="00DC0C29" w:rsidP="00DC0C29">
      <w:pPr>
        <w:sectPr w:rsidR="00DC0C29" w:rsidSect="00DC0C29">
          <w:type w:val="continuous"/>
          <w:pgSz w:w="11906" w:h="16838" w:code="9"/>
          <w:pgMar w:top="1418" w:right="1418" w:bottom="1418" w:left="1418" w:header="709" w:footer="709" w:gutter="0"/>
          <w:pgNumType w:fmt="lowerRoman" w:start="1"/>
          <w:cols w:num="2" w:space="567" w:equalWidth="0">
            <w:col w:w="4309" w:space="567"/>
            <w:col w:w="4194"/>
          </w:cols>
          <w:titlePg/>
          <w:docGrid w:linePitch="360"/>
        </w:sectPr>
      </w:pPr>
    </w:p>
    <w:p w:rsidR="006347FD" w:rsidRPr="00DC0C29" w:rsidRDefault="006347FD" w:rsidP="00DC0C29"/>
    <w:p w:rsidR="001643BD" w:rsidRDefault="001643BD" w:rsidP="006347FD">
      <w:pPr>
        <w:spacing w:after="0" w:line="240" w:lineRule="auto"/>
        <w:jc w:val="left"/>
        <w:rPr>
          <w:spacing w:val="-2"/>
          <w:sz w:val="16"/>
          <w:szCs w:val="16"/>
        </w:rPr>
        <w:sectPr w:rsidR="001643BD" w:rsidSect="00D623D0">
          <w:type w:val="continuous"/>
          <w:pgSz w:w="11906" w:h="16838" w:code="9"/>
          <w:pgMar w:top="1418" w:right="1418" w:bottom="1418" w:left="1418" w:header="709" w:footer="709" w:gutter="0"/>
          <w:pgNumType w:fmt="lowerRoman" w:start="1"/>
          <w:cols w:space="708"/>
          <w:titlePg/>
          <w:docGrid w:linePitch="360"/>
        </w:sectPr>
      </w:pPr>
    </w:p>
    <w:p w:rsidR="000A7BCF" w:rsidRDefault="000C1B19" w:rsidP="000C1B19">
      <w:pPr>
        <w:pStyle w:val="Heading2"/>
      </w:pPr>
      <w:bookmarkStart w:id="15" w:name="_Toc306887371"/>
      <w:bookmarkStart w:id="16" w:name="_Toc432064635"/>
      <w:bookmarkStart w:id="17" w:name="_Toc481948279"/>
      <w:r>
        <w:lastRenderedPageBreak/>
        <w:t xml:space="preserve">1. </w:t>
      </w:r>
      <w:r w:rsidR="00352FCF">
        <w:t>Introduction</w:t>
      </w:r>
      <w:bookmarkEnd w:id="17"/>
      <w:r w:rsidR="00637298">
        <w:t xml:space="preserve"> </w:t>
      </w:r>
      <w:bookmarkEnd w:id="15"/>
      <w:bookmarkEnd w:id="16"/>
    </w:p>
    <w:p w:rsidR="006331B9" w:rsidRDefault="00D1216C" w:rsidP="000C1B19">
      <w:pPr>
        <w:pStyle w:val="OutlineNumbered1"/>
        <w:numPr>
          <w:ilvl w:val="0"/>
          <w:numId w:val="0"/>
        </w:numPr>
      </w:pPr>
      <w:r w:rsidRPr="00EA67A0">
        <w:t>Under the Fair Entitlements Guarantee (FEG) scheme,</w:t>
      </w:r>
      <w:r>
        <w:rPr>
          <w:rStyle w:val="FootnoteReference"/>
        </w:rPr>
        <w:footnoteReference w:id="1"/>
      </w:r>
      <w:r w:rsidR="004241A4">
        <w:t xml:space="preserve"> t</w:t>
      </w:r>
      <w:r w:rsidRPr="00EA67A0">
        <w:t xml:space="preserve">he </w:t>
      </w:r>
      <w:r>
        <w:t xml:space="preserve">Australian </w:t>
      </w:r>
      <w:r w:rsidRPr="00EA67A0">
        <w:t xml:space="preserve">Government provides financial assistance </w:t>
      </w:r>
      <w:r w:rsidR="00807D5B">
        <w:t xml:space="preserve">for certain unpaid employee entitlements </w:t>
      </w:r>
      <w:r w:rsidRPr="00EA67A0">
        <w:t xml:space="preserve">to </w:t>
      </w:r>
      <w:r>
        <w:t xml:space="preserve">eligible </w:t>
      </w:r>
      <w:r w:rsidRPr="00EA67A0">
        <w:t>employees who have lost their jobs due to the insolvency of their employers</w:t>
      </w:r>
      <w:r w:rsidR="00807D5B">
        <w:t xml:space="preserve"> (including </w:t>
      </w:r>
      <w:r>
        <w:t>entitlements such as accrued leave, redundancy payments and unpaid wages</w:t>
      </w:r>
      <w:r w:rsidR="00807D5B">
        <w:t>)</w:t>
      </w:r>
      <w:r w:rsidRPr="00EA67A0">
        <w:t xml:space="preserve">. After assistance is paid to </w:t>
      </w:r>
      <w:r>
        <w:t xml:space="preserve">an eligible </w:t>
      </w:r>
      <w:r w:rsidRPr="00EA67A0">
        <w:t xml:space="preserve">claimant, the </w:t>
      </w:r>
      <w:r>
        <w:t xml:space="preserve">Government </w:t>
      </w:r>
      <w:r w:rsidR="00FF22C4">
        <w:t>“</w:t>
      </w:r>
      <w:r w:rsidRPr="00EA67A0">
        <w:t>stands in the shoes</w:t>
      </w:r>
      <w:r w:rsidR="00FF22C4">
        <w:t>”</w:t>
      </w:r>
      <w:r w:rsidRPr="00EA67A0">
        <w:t xml:space="preserve"> of the employee</w:t>
      </w:r>
      <w:r>
        <w:t xml:space="preserve"> and becomes </w:t>
      </w:r>
      <w:r w:rsidRPr="00EA67A0">
        <w:t>a creditor of the insolvent e</w:t>
      </w:r>
      <w:r w:rsidR="003C398A">
        <w:t>ntity</w:t>
      </w:r>
      <w:r w:rsidRPr="00EA67A0">
        <w:t xml:space="preserve">. </w:t>
      </w:r>
    </w:p>
    <w:p w:rsidR="006331B9" w:rsidRDefault="00B32090" w:rsidP="000C1B19">
      <w:pPr>
        <w:pStyle w:val="OutlineNumbered1"/>
        <w:numPr>
          <w:ilvl w:val="0"/>
          <w:numId w:val="0"/>
        </w:numPr>
      </w:pPr>
      <w:r>
        <w:t xml:space="preserve">Costs of the FEG scheme have been increasing due to the </w:t>
      </w:r>
      <w:r w:rsidR="00637298">
        <w:t xml:space="preserve">adoption of </w:t>
      </w:r>
      <w:r w:rsidR="00637298" w:rsidRPr="00807D5B">
        <w:t>sharp corporate practices</w:t>
      </w:r>
      <w:r w:rsidR="00637298">
        <w:rPr>
          <w:rStyle w:val="FootnoteReference"/>
        </w:rPr>
        <w:footnoteReference w:id="2"/>
      </w:r>
      <w:r w:rsidR="00637298" w:rsidRPr="00EA67A0">
        <w:t xml:space="preserve"> </w:t>
      </w:r>
      <w:r w:rsidR="00637298">
        <w:t>by</w:t>
      </w:r>
      <w:r w:rsidR="00233775">
        <w:t xml:space="preserve"> select</w:t>
      </w:r>
      <w:r w:rsidR="00637298">
        <w:t xml:space="preserve"> employers and parties associated with them</w:t>
      </w:r>
      <w:r>
        <w:t xml:space="preserve">, resulting in </w:t>
      </w:r>
      <w:r w:rsidR="00637298">
        <w:t>cost shifting to the scheme</w:t>
      </w:r>
      <w:r w:rsidR="00640402">
        <w:t xml:space="preserve"> </w:t>
      </w:r>
      <w:r w:rsidR="00D03D6C">
        <w:t>and through it</w:t>
      </w:r>
      <w:r w:rsidR="00640402">
        <w:t>,</w:t>
      </w:r>
      <w:r w:rsidR="00D03D6C">
        <w:t xml:space="preserve"> to taxpayers</w:t>
      </w:r>
      <w:r w:rsidR="00637298" w:rsidRPr="00EA67A0">
        <w:t>.</w:t>
      </w:r>
    </w:p>
    <w:p w:rsidR="00637298" w:rsidRPr="00EA67A0" w:rsidRDefault="00637298" w:rsidP="000C1B19">
      <w:pPr>
        <w:pStyle w:val="OutlineNumbered1"/>
        <w:numPr>
          <w:ilvl w:val="0"/>
          <w:numId w:val="0"/>
        </w:numPr>
      </w:pPr>
      <w:r>
        <w:t xml:space="preserve">While certain </w:t>
      </w:r>
      <w:r w:rsidRPr="00461D5D">
        <w:t>sharp corporate practices</w:t>
      </w:r>
      <w:r w:rsidRPr="00EA67A0">
        <w:t xml:space="preserve"> </w:t>
      </w:r>
      <w:r>
        <w:t xml:space="preserve">can be addressed through </w:t>
      </w:r>
      <w:r w:rsidRPr="00EA67A0">
        <w:t xml:space="preserve">current </w:t>
      </w:r>
      <w:r>
        <w:t xml:space="preserve">administrative and </w:t>
      </w:r>
      <w:r w:rsidRPr="00EA67A0">
        <w:t>legal mechanisms</w:t>
      </w:r>
      <w:r>
        <w:t>,</w:t>
      </w:r>
      <w:r>
        <w:rPr>
          <w:rStyle w:val="FootnoteReference"/>
        </w:rPr>
        <w:footnoteReference w:id="3"/>
      </w:r>
      <w:r>
        <w:t xml:space="preserve"> </w:t>
      </w:r>
      <w:r w:rsidRPr="00EA67A0">
        <w:t xml:space="preserve">more needs to be done </w:t>
      </w:r>
      <w:r w:rsidR="00962CC3">
        <w:t xml:space="preserve">to ensure all </w:t>
      </w:r>
      <w:r w:rsidRPr="00EA67A0">
        <w:t xml:space="preserve">inappropriate practices </w:t>
      </w:r>
      <w:r>
        <w:t xml:space="preserve">are addressed to </w:t>
      </w:r>
      <w:r w:rsidR="00962CC3">
        <w:t xml:space="preserve">enhance the </w:t>
      </w:r>
      <w:r>
        <w:t>recovery of FEG payments.</w:t>
      </w:r>
      <w:r w:rsidR="00FF22C4">
        <w:t xml:space="preserve"> Claims on the scheme have increased dramatically and the Government believes that legislative reforms are required to ensure that employers take </w:t>
      </w:r>
      <w:r w:rsidR="00FF22C4" w:rsidRPr="00EA510E">
        <w:t>more responsibility for paying</w:t>
      </w:r>
      <w:r w:rsidR="00FF22C4">
        <w:t xml:space="preserve"> the entitlements of their employees.</w:t>
      </w:r>
    </w:p>
    <w:p w:rsidR="00637298" w:rsidRPr="00EA67A0" w:rsidRDefault="00FF22C4" w:rsidP="000C1B19">
      <w:pPr>
        <w:pStyle w:val="OutlineNumbered1"/>
        <w:numPr>
          <w:ilvl w:val="0"/>
          <w:numId w:val="0"/>
        </w:numPr>
      </w:pPr>
      <w:r>
        <w:t>The Government is seeking views on options for targeted law reform to address this issue.</w:t>
      </w:r>
    </w:p>
    <w:p w:rsidR="000C1B19" w:rsidRDefault="000C1B19" w:rsidP="000C1B19">
      <w:pPr>
        <w:pStyle w:val="Heading2"/>
      </w:pPr>
      <w:bookmarkStart w:id="18" w:name="_Toc306887372"/>
      <w:bookmarkStart w:id="19" w:name="_Toc432064636"/>
      <w:bookmarkStart w:id="20" w:name="_Toc481948280"/>
      <w:r>
        <w:t>2. The Fair Entitlements Guarantee scheme</w:t>
      </w:r>
      <w:bookmarkEnd w:id="20"/>
      <w:r>
        <w:t xml:space="preserve"> </w:t>
      </w:r>
    </w:p>
    <w:p w:rsidR="00637298" w:rsidRDefault="000C1B19" w:rsidP="005300C1">
      <w:pPr>
        <w:pStyle w:val="Heading3"/>
      </w:pPr>
      <w:bookmarkStart w:id="21" w:name="_Toc477939004"/>
      <w:bookmarkStart w:id="22" w:name="_Toc480975469"/>
      <w:bookmarkStart w:id="23" w:name="_Toc481070332"/>
      <w:bookmarkStart w:id="24" w:name="_Toc481948281"/>
      <w:r>
        <w:t xml:space="preserve">2.1 </w:t>
      </w:r>
      <w:r w:rsidR="00637298">
        <w:t xml:space="preserve">Background </w:t>
      </w:r>
      <w:r w:rsidR="006331B9">
        <w:t>to the F</w:t>
      </w:r>
      <w:r w:rsidR="00B32090">
        <w:t xml:space="preserve">EG </w:t>
      </w:r>
      <w:r w:rsidR="006331B9">
        <w:t>scheme</w:t>
      </w:r>
      <w:bookmarkEnd w:id="21"/>
      <w:bookmarkEnd w:id="22"/>
      <w:bookmarkEnd w:id="23"/>
      <w:bookmarkEnd w:id="24"/>
    </w:p>
    <w:p w:rsidR="009B7207" w:rsidRDefault="009B7207" w:rsidP="009B7207">
      <w:pPr>
        <w:pStyle w:val="OutlineNumbered1"/>
        <w:numPr>
          <w:ilvl w:val="0"/>
          <w:numId w:val="0"/>
        </w:numPr>
      </w:pPr>
      <w:r w:rsidRPr="00EA67A0">
        <w:t>The first government assistance program to protect employee entitlements was the Employee Entitlements Support Scheme (</w:t>
      </w:r>
      <w:proofErr w:type="spellStart"/>
      <w:r w:rsidRPr="00EA67A0">
        <w:t>EESS</w:t>
      </w:r>
      <w:proofErr w:type="spellEnd"/>
      <w:r w:rsidRPr="00EA67A0">
        <w:t>)</w:t>
      </w:r>
      <w:r>
        <w:t>, which was</w:t>
      </w:r>
      <w:r w:rsidRPr="00EA67A0">
        <w:t xml:space="preserve"> established in January 2000 to provide a national safety net for the basic protection of entitlements of employees who</w:t>
      </w:r>
      <w:r>
        <w:t>se</w:t>
      </w:r>
      <w:r w:rsidRPr="00EA67A0">
        <w:t xml:space="preserve"> employment was terminated beca</w:t>
      </w:r>
      <w:r w:rsidR="004241A4">
        <w:t>use of an employer’s insolvency.</w:t>
      </w:r>
      <w:r>
        <w:rPr>
          <w:rStyle w:val="FootnoteReference"/>
        </w:rPr>
        <w:footnoteReference w:id="4"/>
      </w:r>
      <w:r>
        <w:t xml:space="preserve"> </w:t>
      </w:r>
      <w:r w:rsidRPr="00EA67A0">
        <w:t xml:space="preserve"> </w:t>
      </w:r>
    </w:p>
    <w:p w:rsidR="009B7207" w:rsidRDefault="009B7207" w:rsidP="009B7207">
      <w:pPr>
        <w:pStyle w:val="OutlineNumbered1"/>
        <w:numPr>
          <w:ilvl w:val="0"/>
          <w:numId w:val="0"/>
        </w:numPr>
      </w:pPr>
      <w:r w:rsidRPr="00EA67A0">
        <w:t xml:space="preserve">The </w:t>
      </w:r>
      <w:proofErr w:type="spellStart"/>
      <w:r>
        <w:t>EESS</w:t>
      </w:r>
      <w:proofErr w:type="spellEnd"/>
      <w:r w:rsidRPr="00EA67A0">
        <w:t xml:space="preserve"> was implemented in response to a number of</w:t>
      </w:r>
      <w:r>
        <w:t xml:space="preserve"> significant</w:t>
      </w:r>
      <w:r w:rsidRPr="00EA67A0">
        <w:t xml:space="preserve"> corporate insolvencies which left employees with unpaid entitlements</w:t>
      </w:r>
      <w:r>
        <w:t>,</w:t>
      </w:r>
      <w:r w:rsidRPr="00EA67A0">
        <w:t xml:space="preserve"> </w:t>
      </w:r>
      <w:r>
        <w:t xml:space="preserve">and raised </w:t>
      </w:r>
      <w:r w:rsidRPr="00EA67A0">
        <w:t xml:space="preserve">public concern about </w:t>
      </w:r>
      <w:r>
        <w:t>the</w:t>
      </w:r>
      <w:r w:rsidRPr="00EA67A0">
        <w:t xml:space="preserve"> lack of existing protections for </w:t>
      </w:r>
      <w:r>
        <w:t xml:space="preserve">such </w:t>
      </w:r>
      <w:r w:rsidRPr="00EA67A0">
        <w:t>entitlements.</w:t>
      </w:r>
      <w:r>
        <w:rPr>
          <w:rStyle w:val="FootnoteReference"/>
        </w:rPr>
        <w:footnoteReference w:id="5"/>
      </w:r>
      <w:r w:rsidR="004241A4">
        <w:t xml:space="preserve"> </w:t>
      </w:r>
      <w:r>
        <w:t xml:space="preserve">Key features of the </w:t>
      </w:r>
      <w:proofErr w:type="spellStart"/>
      <w:r>
        <w:t>EESS</w:t>
      </w:r>
      <w:proofErr w:type="spellEnd"/>
      <w:r>
        <w:t xml:space="preserve"> </w:t>
      </w:r>
      <w:r w:rsidRPr="00EA67A0">
        <w:t xml:space="preserve">underpin </w:t>
      </w:r>
      <w:r>
        <w:t xml:space="preserve">all </w:t>
      </w:r>
      <w:r w:rsidRPr="00EA67A0">
        <w:t xml:space="preserve">successor </w:t>
      </w:r>
      <w:r>
        <w:t xml:space="preserve">federal government </w:t>
      </w:r>
      <w:r w:rsidRPr="00EA67A0">
        <w:t>employee entitlement schemes.</w:t>
      </w:r>
    </w:p>
    <w:p w:rsidR="009B7207" w:rsidRPr="00EA67A0" w:rsidRDefault="009B7207" w:rsidP="009B7207">
      <w:pPr>
        <w:pStyle w:val="OutlineNumbered1"/>
        <w:numPr>
          <w:ilvl w:val="0"/>
          <w:numId w:val="0"/>
        </w:numPr>
      </w:pPr>
      <w:r w:rsidRPr="00EA67A0">
        <w:t xml:space="preserve">In September 2001, </w:t>
      </w:r>
      <w:r>
        <w:t xml:space="preserve">the </w:t>
      </w:r>
      <w:proofErr w:type="spellStart"/>
      <w:r w:rsidRPr="00EA67A0">
        <w:t>EESS</w:t>
      </w:r>
      <w:proofErr w:type="spellEnd"/>
      <w:r w:rsidRPr="00EA67A0">
        <w:t xml:space="preserve"> was replaced by the General Employee Entitlements and Redundancy Scheme (</w:t>
      </w:r>
      <w:proofErr w:type="spellStart"/>
      <w:r w:rsidRPr="00EA67A0">
        <w:t>GEERS</w:t>
      </w:r>
      <w:proofErr w:type="spellEnd"/>
      <w:r w:rsidRPr="00EA67A0">
        <w:t>).</w:t>
      </w:r>
      <w:r>
        <w:rPr>
          <w:rStyle w:val="FootnoteReference"/>
        </w:rPr>
        <w:footnoteReference w:id="6"/>
      </w:r>
      <w:r w:rsidRPr="00EA67A0">
        <w:t xml:space="preserve"> </w:t>
      </w:r>
      <w:proofErr w:type="spellStart"/>
      <w:r w:rsidRPr="00EA67A0">
        <w:t>GEERS</w:t>
      </w:r>
      <w:proofErr w:type="spellEnd"/>
      <w:r w:rsidRPr="00EA67A0">
        <w:t xml:space="preserve"> was established to be fully funded by the</w:t>
      </w:r>
      <w:r>
        <w:t xml:space="preserve"> federal government </w:t>
      </w:r>
      <w:r w:rsidRPr="00EA67A0">
        <w:t xml:space="preserve">and signalled </w:t>
      </w:r>
      <w:r>
        <w:t>g</w:t>
      </w:r>
      <w:r w:rsidRPr="00EA67A0">
        <w:t xml:space="preserve">overnment acceptance that the </w:t>
      </w:r>
      <w:r>
        <w:t>taxpayer</w:t>
      </w:r>
      <w:r w:rsidR="005A0507">
        <w:t xml:space="preserve"> would ‘insure’ employees </w:t>
      </w:r>
      <w:r w:rsidR="00737161">
        <w:t>for</w:t>
      </w:r>
      <w:r w:rsidR="005A0507">
        <w:t xml:space="preserve"> their </w:t>
      </w:r>
      <w:r w:rsidR="00737161">
        <w:t xml:space="preserve">unpaid </w:t>
      </w:r>
      <w:r w:rsidR="005A0507">
        <w:t xml:space="preserve">employee entitlements </w:t>
      </w:r>
      <w:r w:rsidR="00095F29">
        <w:t xml:space="preserve">(including redundancy pay) </w:t>
      </w:r>
      <w:r w:rsidR="005A0507">
        <w:t xml:space="preserve">in the event of </w:t>
      </w:r>
      <w:r w:rsidR="00095F29">
        <w:t xml:space="preserve">their </w:t>
      </w:r>
      <w:r w:rsidR="005A0507">
        <w:t>employer’s insolvency</w:t>
      </w:r>
      <w:r w:rsidRPr="00EA67A0">
        <w:t xml:space="preserve">. </w:t>
      </w:r>
    </w:p>
    <w:p w:rsidR="009B7207" w:rsidRDefault="009B7207" w:rsidP="009B7207">
      <w:pPr>
        <w:pStyle w:val="OutlineNumbered1"/>
        <w:numPr>
          <w:ilvl w:val="0"/>
          <w:numId w:val="0"/>
        </w:numPr>
      </w:pPr>
      <w:proofErr w:type="spellStart"/>
      <w:r w:rsidRPr="00EA67A0">
        <w:lastRenderedPageBreak/>
        <w:t>GEERS</w:t>
      </w:r>
      <w:proofErr w:type="spellEnd"/>
      <w:r w:rsidRPr="00EA67A0">
        <w:t xml:space="preserve"> </w:t>
      </w:r>
      <w:r>
        <w:t xml:space="preserve">and the </w:t>
      </w:r>
      <w:proofErr w:type="spellStart"/>
      <w:r>
        <w:t>EESS</w:t>
      </w:r>
      <w:proofErr w:type="spellEnd"/>
      <w:r>
        <w:t xml:space="preserve"> </w:t>
      </w:r>
      <w:r w:rsidRPr="00EA67A0">
        <w:t xml:space="preserve">operated under administrative arrangements. </w:t>
      </w:r>
      <w:r>
        <w:t>Subsequently, government decided to enact a legislative employee entitlements scheme.</w:t>
      </w:r>
    </w:p>
    <w:p w:rsidR="009B7207" w:rsidRDefault="009B7207" w:rsidP="009B7207">
      <w:pPr>
        <w:pStyle w:val="OutlineNumbered1"/>
        <w:numPr>
          <w:ilvl w:val="0"/>
          <w:numId w:val="0"/>
        </w:numPr>
      </w:pPr>
      <w:r>
        <w:t>T</w:t>
      </w:r>
      <w:r w:rsidRPr="00EA67A0">
        <w:t xml:space="preserve">he arrangements </w:t>
      </w:r>
      <w:r>
        <w:t xml:space="preserve">for the federal government to legislatively protect certain employee entitlements </w:t>
      </w:r>
      <w:r w:rsidRPr="00EA67A0">
        <w:t xml:space="preserve">were enshrined </w:t>
      </w:r>
      <w:r>
        <w:t xml:space="preserve">in the </w:t>
      </w:r>
      <w:r w:rsidRPr="00EA67A0">
        <w:rPr>
          <w:i/>
        </w:rPr>
        <w:t>Fair Entitlements Guarantee Act 2012</w:t>
      </w:r>
      <w:r>
        <w:rPr>
          <w:i/>
        </w:rPr>
        <w:t xml:space="preserve"> </w:t>
      </w:r>
      <w:r>
        <w:t>(</w:t>
      </w:r>
      <w:proofErr w:type="spellStart"/>
      <w:r>
        <w:t>Cth</w:t>
      </w:r>
      <w:proofErr w:type="spellEnd"/>
      <w:r>
        <w:t>)</w:t>
      </w:r>
      <w:r>
        <w:rPr>
          <w:i/>
        </w:rPr>
        <w:t xml:space="preserve"> </w:t>
      </w:r>
      <w:r w:rsidRPr="00B243C7">
        <w:t>(FEG</w:t>
      </w:r>
      <w:r>
        <w:t> </w:t>
      </w:r>
      <w:r w:rsidRPr="00B243C7">
        <w:t>Act)</w:t>
      </w:r>
      <w:r>
        <w:t>,</w:t>
      </w:r>
      <w:r>
        <w:rPr>
          <w:rStyle w:val="FootnoteReference"/>
        </w:rPr>
        <w:footnoteReference w:id="7"/>
      </w:r>
      <w:r>
        <w:t xml:space="preserve"> with the operative provisions of that Act commencing on 5 December 2012.</w:t>
      </w:r>
      <w:r>
        <w:rPr>
          <w:rStyle w:val="FootnoteReference"/>
        </w:rPr>
        <w:footnoteReference w:id="8"/>
      </w:r>
    </w:p>
    <w:p w:rsidR="009B7207" w:rsidRDefault="009B7207" w:rsidP="009B7207">
      <w:pPr>
        <w:pStyle w:val="OutlineNumbered1"/>
        <w:numPr>
          <w:ilvl w:val="0"/>
          <w:numId w:val="0"/>
        </w:numPr>
      </w:pPr>
      <w:r w:rsidRPr="00EA67A0">
        <w:t xml:space="preserve">The </w:t>
      </w:r>
      <w:r>
        <w:t xml:space="preserve">key </w:t>
      </w:r>
      <w:r w:rsidRPr="00EA67A0">
        <w:t>principle un</w:t>
      </w:r>
      <w:r>
        <w:t xml:space="preserve">derpinning </w:t>
      </w:r>
      <w:r w:rsidRPr="00EA67A0">
        <w:t xml:space="preserve">the FEG </w:t>
      </w:r>
      <w:r>
        <w:t>s</w:t>
      </w:r>
      <w:r w:rsidRPr="00EA67A0">
        <w:t xml:space="preserve">cheme </w:t>
      </w:r>
      <w:r w:rsidR="00F961D7">
        <w:t xml:space="preserve">and its predecessor administrative schemes </w:t>
      </w:r>
      <w:r w:rsidR="00737161">
        <w:t>(</w:t>
      </w:r>
      <w:proofErr w:type="spellStart"/>
      <w:r w:rsidR="00737161">
        <w:t>GEERS</w:t>
      </w:r>
      <w:proofErr w:type="spellEnd"/>
      <w:r w:rsidR="00737161">
        <w:t xml:space="preserve"> and </w:t>
      </w:r>
      <w:proofErr w:type="spellStart"/>
      <w:r w:rsidR="00737161">
        <w:t>EESS</w:t>
      </w:r>
      <w:proofErr w:type="spellEnd"/>
      <w:r w:rsidR="00737161">
        <w:t xml:space="preserve">) </w:t>
      </w:r>
      <w:r w:rsidRPr="00EA67A0">
        <w:t xml:space="preserve">is that employers should be responsible for meeting employee entitlements. </w:t>
      </w:r>
      <w:r>
        <w:t xml:space="preserve">Accordingly the </w:t>
      </w:r>
      <w:r w:rsidRPr="00EA67A0">
        <w:t>FEG</w:t>
      </w:r>
      <w:r>
        <w:t xml:space="preserve"> scheme</w:t>
      </w:r>
      <w:r w:rsidRPr="00EA67A0">
        <w:t xml:space="preserve"> is designed to operate as a </w:t>
      </w:r>
      <w:r>
        <w:t xml:space="preserve">scheme of </w:t>
      </w:r>
      <w:r w:rsidRPr="00EA67A0">
        <w:t>last resort</w:t>
      </w:r>
      <w:r w:rsidR="00640402">
        <w:t>,</w:t>
      </w:r>
      <w:r w:rsidRPr="00EA67A0">
        <w:t xml:space="preserve"> where no alternative avenue exists for </w:t>
      </w:r>
      <w:r>
        <w:t xml:space="preserve">eligible </w:t>
      </w:r>
      <w:r w:rsidRPr="00EA67A0">
        <w:t>employees to be paid their accrued employment entitlements o</w:t>
      </w:r>
      <w:r>
        <w:t>r</w:t>
      </w:r>
      <w:r w:rsidRPr="00EA67A0">
        <w:t xml:space="preserve"> redundancy </w:t>
      </w:r>
      <w:r>
        <w:t xml:space="preserve">pay </w:t>
      </w:r>
      <w:r w:rsidRPr="00EA67A0">
        <w:t xml:space="preserve">due to </w:t>
      </w:r>
      <w:r>
        <w:t xml:space="preserve">the </w:t>
      </w:r>
      <w:r w:rsidRPr="00EA67A0">
        <w:t xml:space="preserve">insolvency of their employer. </w:t>
      </w:r>
    </w:p>
    <w:p w:rsidR="009B7207" w:rsidRDefault="009B7207" w:rsidP="009B7207">
      <w:pPr>
        <w:pStyle w:val="OutlineNumbered1"/>
        <w:numPr>
          <w:ilvl w:val="0"/>
          <w:numId w:val="0"/>
        </w:numPr>
      </w:pPr>
      <w:r>
        <w:t xml:space="preserve">The </w:t>
      </w:r>
      <w:r w:rsidRPr="00EA67A0">
        <w:t>FEG</w:t>
      </w:r>
      <w:r>
        <w:t xml:space="preserve"> scheme</w:t>
      </w:r>
      <w:r w:rsidRPr="00EA67A0">
        <w:t xml:space="preserve"> provides financial assistance </w:t>
      </w:r>
      <w:r>
        <w:t xml:space="preserve">(by way of an advance) </w:t>
      </w:r>
      <w:r w:rsidRPr="00EA67A0">
        <w:t xml:space="preserve">to cover five </w:t>
      </w:r>
      <w:r>
        <w:t xml:space="preserve">basic </w:t>
      </w:r>
      <w:r w:rsidRPr="00EA67A0">
        <w:t>employment en</w:t>
      </w:r>
      <w:r>
        <w:t xml:space="preserve">titlements for redundant employees being: </w:t>
      </w:r>
    </w:p>
    <w:p w:rsidR="009B7207" w:rsidRDefault="009B7207" w:rsidP="009B7207">
      <w:pPr>
        <w:pStyle w:val="OutlineNumbered1"/>
        <w:numPr>
          <w:ilvl w:val="0"/>
          <w:numId w:val="11"/>
        </w:numPr>
        <w:tabs>
          <w:tab w:val="left" w:pos="1134"/>
        </w:tabs>
        <w:spacing w:after="0" w:line="240" w:lineRule="auto"/>
      </w:pPr>
      <w:r w:rsidRPr="00EA67A0">
        <w:t>unpaid wages (up to 13 weeks)</w:t>
      </w:r>
      <w:r>
        <w:t>;</w:t>
      </w:r>
    </w:p>
    <w:p w:rsidR="009B7207" w:rsidRDefault="009B7207" w:rsidP="009B7207">
      <w:pPr>
        <w:pStyle w:val="OutlineNumbered1"/>
        <w:numPr>
          <w:ilvl w:val="0"/>
          <w:numId w:val="11"/>
        </w:numPr>
        <w:tabs>
          <w:tab w:val="left" w:pos="1134"/>
        </w:tabs>
        <w:spacing w:after="0" w:line="240" w:lineRule="auto"/>
      </w:pPr>
      <w:r w:rsidRPr="00EA67A0">
        <w:t>annual leave</w:t>
      </w:r>
      <w:r>
        <w:t>;</w:t>
      </w:r>
    </w:p>
    <w:p w:rsidR="009B7207" w:rsidRDefault="009B7207" w:rsidP="009B7207">
      <w:pPr>
        <w:pStyle w:val="OutlineNumbered1"/>
        <w:numPr>
          <w:ilvl w:val="0"/>
          <w:numId w:val="11"/>
        </w:numPr>
        <w:tabs>
          <w:tab w:val="left" w:pos="1134"/>
        </w:tabs>
        <w:spacing w:after="0" w:line="240" w:lineRule="auto"/>
      </w:pPr>
      <w:r w:rsidRPr="00EA67A0">
        <w:t>long service leave</w:t>
      </w:r>
      <w:r>
        <w:t>;</w:t>
      </w:r>
    </w:p>
    <w:p w:rsidR="009B7207" w:rsidRDefault="009B7207" w:rsidP="009B7207">
      <w:pPr>
        <w:pStyle w:val="OutlineNumbered1"/>
        <w:numPr>
          <w:ilvl w:val="0"/>
          <w:numId w:val="11"/>
        </w:numPr>
        <w:tabs>
          <w:tab w:val="left" w:pos="1134"/>
        </w:tabs>
        <w:spacing w:after="0" w:line="240" w:lineRule="auto"/>
      </w:pPr>
      <w:r w:rsidRPr="00EA67A0">
        <w:t xml:space="preserve">payment in lieu of notice (up to </w:t>
      </w:r>
      <w:r>
        <w:t>five </w:t>
      </w:r>
      <w:r w:rsidRPr="00EA67A0">
        <w:t>weeks)</w:t>
      </w:r>
      <w:r>
        <w:t>;</w:t>
      </w:r>
      <w:r w:rsidRPr="00EA67A0">
        <w:t xml:space="preserve"> </w:t>
      </w:r>
      <w:r>
        <w:t>and</w:t>
      </w:r>
    </w:p>
    <w:p w:rsidR="009B7207" w:rsidRDefault="009B7207" w:rsidP="009B7207">
      <w:pPr>
        <w:pStyle w:val="OutlineNumbered1"/>
        <w:numPr>
          <w:ilvl w:val="0"/>
          <w:numId w:val="11"/>
        </w:numPr>
        <w:tabs>
          <w:tab w:val="left" w:pos="1134"/>
        </w:tabs>
        <w:spacing w:after="0" w:line="240" w:lineRule="auto"/>
      </w:pPr>
      <w:proofErr w:type="gramStart"/>
      <w:r>
        <w:t>redundancy</w:t>
      </w:r>
      <w:proofErr w:type="gramEnd"/>
      <w:r>
        <w:t xml:space="preserve"> pay (up to four </w:t>
      </w:r>
      <w:r w:rsidRPr="00EA67A0">
        <w:t>weeks per full year of service).</w:t>
      </w:r>
      <w:r>
        <w:t xml:space="preserve"> </w:t>
      </w:r>
    </w:p>
    <w:p w:rsidR="009B7207" w:rsidRDefault="009B7207" w:rsidP="009B7207">
      <w:pPr>
        <w:pStyle w:val="OutlineNumbered1"/>
        <w:numPr>
          <w:ilvl w:val="0"/>
          <w:numId w:val="0"/>
        </w:numPr>
        <w:spacing w:after="0" w:line="240" w:lineRule="auto"/>
        <w:ind w:left="1287"/>
      </w:pPr>
    </w:p>
    <w:p w:rsidR="009B7207" w:rsidRPr="00EA67A0" w:rsidRDefault="009B7207" w:rsidP="009B7207">
      <w:pPr>
        <w:pStyle w:val="OutlineNumbered1"/>
        <w:numPr>
          <w:ilvl w:val="0"/>
          <w:numId w:val="0"/>
        </w:numPr>
      </w:pPr>
      <w:r>
        <w:t xml:space="preserve">The </w:t>
      </w:r>
      <w:r w:rsidRPr="00EA67A0">
        <w:t>FEG</w:t>
      </w:r>
      <w:r>
        <w:t xml:space="preserve"> Act imposes</w:t>
      </w:r>
      <w:r w:rsidRPr="00EA67A0">
        <w:t xml:space="preserve"> a range of eligibility conditions that a redundant worker must satisfy</w:t>
      </w:r>
      <w:r>
        <w:t xml:space="preserve"> in order</w:t>
      </w:r>
      <w:r w:rsidRPr="00EA67A0">
        <w:t xml:space="preserve"> to receive assistance. </w:t>
      </w:r>
      <w:r>
        <w:t>Consistent with these eligibility conditions, FEG assistance is only available for employees who are Australian citizens or permanent residents.</w:t>
      </w:r>
      <w:r w:rsidR="00B91313">
        <w:t xml:space="preserve"> </w:t>
      </w:r>
      <w:r>
        <w:t>FEG assistance is not available for contractors and cannot be sought by persons who are temporary visa holders. The scheme also has some payment thresholds.</w:t>
      </w:r>
      <w:r>
        <w:rPr>
          <w:rStyle w:val="FootnoteReference"/>
        </w:rPr>
        <w:footnoteReference w:id="9"/>
      </w:r>
    </w:p>
    <w:p w:rsidR="009B7207" w:rsidRPr="00EA67A0" w:rsidRDefault="009B7207" w:rsidP="009B7207">
      <w:pPr>
        <w:pStyle w:val="OutlineNumbered1"/>
        <w:numPr>
          <w:ilvl w:val="0"/>
          <w:numId w:val="0"/>
        </w:numPr>
        <w:tabs>
          <w:tab w:val="left" w:pos="426"/>
        </w:tabs>
      </w:pPr>
      <w:r w:rsidRPr="00EA67A0">
        <w:t xml:space="preserve">Once a </w:t>
      </w:r>
      <w:r>
        <w:t>payment is made to a redundant worker under the FEG scheme</w:t>
      </w:r>
      <w:r w:rsidRPr="00EA67A0">
        <w:t xml:space="preserve">, the </w:t>
      </w:r>
      <w:r>
        <w:t xml:space="preserve">Australian Government </w:t>
      </w:r>
      <w:r w:rsidR="00737161">
        <w:t>“</w:t>
      </w:r>
      <w:r w:rsidRPr="00EA67A0">
        <w:t>steps into the shoes</w:t>
      </w:r>
      <w:r w:rsidR="00737161">
        <w:t>”</w:t>
      </w:r>
      <w:r w:rsidRPr="00EA67A0">
        <w:t xml:space="preserve"> of the employee with standing to recover the </w:t>
      </w:r>
      <w:r>
        <w:t xml:space="preserve">amount of </w:t>
      </w:r>
      <w:r w:rsidRPr="00EA67A0">
        <w:t>FEG advance</w:t>
      </w:r>
      <w:r>
        <w:t>d</w:t>
      </w:r>
      <w:r w:rsidRPr="00EA67A0">
        <w:t xml:space="preserve"> through the insolvency process.</w:t>
      </w:r>
    </w:p>
    <w:p w:rsidR="009B7207" w:rsidRPr="00EA67A0" w:rsidRDefault="009B7207" w:rsidP="009B7207">
      <w:pPr>
        <w:pStyle w:val="OutlineNumbered1"/>
        <w:numPr>
          <w:ilvl w:val="0"/>
          <w:numId w:val="0"/>
        </w:numPr>
        <w:tabs>
          <w:tab w:val="left" w:pos="426"/>
        </w:tabs>
      </w:pPr>
      <w:r w:rsidRPr="00EA67A0">
        <w:t xml:space="preserve">As a safety net for the payment of employee entitlements, the costs of </w:t>
      </w:r>
      <w:r>
        <w:t xml:space="preserve">the </w:t>
      </w:r>
      <w:r w:rsidRPr="00EA67A0">
        <w:t>FEG</w:t>
      </w:r>
      <w:r>
        <w:t xml:space="preserve"> scheme</w:t>
      </w:r>
      <w:r w:rsidRPr="00EA67A0">
        <w:t xml:space="preserve"> are ultimately borne by taxpayers. This includes meeting costs </w:t>
      </w:r>
      <w:r>
        <w:t>associated with</w:t>
      </w:r>
      <w:r w:rsidRPr="00EA67A0">
        <w:t xml:space="preserve"> misuse of the scheme. </w:t>
      </w:r>
    </w:p>
    <w:p w:rsidR="004A7246" w:rsidRDefault="009B7207" w:rsidP="004A7246">
      <w:pPr>
        <w:pStyle w:val="OutlineNumbered1"/>
        <w:numPr>
          <w:ilvl w:val="0"/>
          <w:numId w:val="0"/>
        </w:numPr>
        <w:tabs>
          <w:tab w:val="left" w:pos="284"/>
          <w:tab w:val="left" w:pos="426"/>
        </w:tabs>
      </w:pPr>
      <w:r>
        <w:t>The existence of the FEG s</w:t>
      </w:r>
      <w:r w:rsidRPr="00EA67A0">
        <w:t xml:space="preserve">cheme presents a moral hazard </w:t>
      </w:r>
      <w:r w:rsidR="00F961D7">
        <w:t xml:space="preserve">as it </w:t>
      </w:r>
      <w:r w:rsidR="00737161">
        <w:t xml:space="preserve">enables </w:t>
      </w:r>
      <w:r w:rsidR="00737161" w:rsidRPr="00EA67A0">
        <w:t>certain</w:t>
      </w:r>
      <w:r>
        <w:t xml:space="preserve"> </w:t>
      </w:r>
      <w:r w:rsidRPr="00EA67A0">
        <w:t xml:space="preserve">employers </w:t>
      </w:r>
      <w:r w:rsidR="00F961D7">
        <w:t xml:space="preserve">to </w:t>
      </w:r>
      <w:r>
        <w:t>arrange t</w:t>
      </w:r>
      <w:r w:rsidRPr="00EA67A0">
        <w:t xml:space="preserve">heir affairs to </w:t>
      </w:r>
      <w:proofErr w:type="gramStart"/>
      <w:r>
        <w:t>prevent,</w:t>
      </w:r>
      <w:proofErr w:type="gramEnd"/>
      <w:r>
        <w:t xml:space="preserve"> </w:t>
      </w:r>
      <w:r w:rsidRPr="00EA67A0">
        <w:t xml:space="preserve">avoid or minimise paying </w:t>
      </w:r>
      <w:r>
        <w:t xml:space="preserve">their </w:t>
      </w:r>
      <w:r w:rsidRPr="00EA67A0">
        <w:t>employee entitlement</w:t>
      </w:r>
      <w:r>
        <w:t>s</w:t>
      </w:r>
      <w:r w:rsidRPr="00EA67A0">
        <w:t xml:space="preserve"> </w:t>
      </w:r>
      <w:r>
        <w:t xml:space="preserve">with </w:t>
      </w:r>
      <w:r w:rsidRPr="00EA67A0">
        <w:t xml:space="preserve">the knowledge that the government (and ultimately </w:t>
      </w:r>
      <w:r>
        <w:t xml:space="preserve">the </w:t>
      </w:r>
      <w:r w:rsidRPr="00EA67A0">
        <w:t>taxpayer) will pay some or all of</w:t>
      </w:r>
      <w:r>
        <w:t xml:space="preserve"> the </w:t>
      </w:r>
      <w:r w:rsidRPr="00EA67A0">
        <w:t>entitlements.</w:t>
      </w:r>
      <w:r w:rsidR="00F961D7">
        <w:t xml:space="preserve"> There is also some evidence indicating that unions</w:t>
      </w:r>
      <w:r w:rsidR="00737161">
        <w:t>,</w:t>
      </w:r>
      <w:r w:rsidR="00F961D7">
        <w:t xml:space="preserve"> during bargaining for enterprise agreement</w:t>
      </w:r>
      <w:r w:rsidR="008F70B9">
        <w:t>s</w:t>
      </w:r>
      <w:r w:rsidR="00F961D7">
        <w:t>, negotiate higher redundancy entitlements knowing that the FEG</w:t>
      </w:r>
      <w:r w:rsidR="009D5869">
        <w:t> </w:t>
      </w:r>
      <w:r w:rsidR="00F961D7">
        <w:t xml:space="preserve">scheme can cover </w:t>
      </w:r>
      <w:r w:rsidR="008F70B9">
        <w:t>this in the event of an employer’s insolvency.</w:t>
      </w:r>
      <w:bookmarkStart w:id="25" w:name="_Toc477939005"/>
      <w:bookmarkStart w:id="26" w:name="_Toc480975470"/>
    </w:p>
    <w:p w:rsidR="00637298" w:rsidRDefault="005B4032" w:rsidP="004A7246">
      <w:pPr>
        <w:pStyle w:val="Heading3"/>
      </w:pPr>
      <w:bookmarkStart w:id="27" w:name="_Toc481070333"/>
      <w:bookmarkStart w:id="28" w:name="_Toc481948282"/>
      <w:r>
        <w:t xml:space="preserve">2.2 </w:t>
      </w:r>
      <w:r w:rsidR="007348B5">
        <w:t>FEG scheme statistics</w:t>
      </w:r>
      <w:bookmarkEnd w:id="25"/>
      <w:bookmarkEnd w:id="26"/>
      <w:bookmarkEnd w:id="27"/>
      <w:bookmarkEnd w:id="28"/>
      <w:r w:rsidR="007348B5">
        <w:t xml:space="preserve"> </w:t>
      </w:r>
    </w:p>
    <w:p w:rsidR="009B7207" w:rsidRPr="00EA67A0" w:rsidRDefault="009B7207" w:rsidP="009B7207">
      <w:pPr>
        <w:pStyle w:val="OutlineNumbered1"/>
        <w:numPr>
          <w:ilvl w:val="0"/>
          <w:numId w:val="0"/>
        </w:numPr>
        <w:tabs>
          <w:tab w:val="left" w:pos="284"/>
          <w:tab w:val="left" w:pos="426"/>
        </w:tabs>
      </w:pPr>
      <w:r w:rsidRPr="00EA67A0">
        <w:t xml:space="preserve">Annual costs for the FEG </w:t>
      </w:r>
      <w:r>
        <w:t>s</w:t>
      </w:r>
      <w:r w:rsidRPr="00EA67A0">
        <w:t xml:space="preserve">cheme and its predecessor schemes have been trending </w:t>
      </w:r>
      <w:r>
        <w:t xml:space="preserve">strongly </w:t>
      </w:r>
      <w:r w:rsidRPr="00EA67A0">
        <w:t xml:space="preserve">upwards in recent years. </w:t>
      </w:r>
      <w:r>
        <w:t>I</w:t>
      </w:r>
      <w:r w:rsidRPr="00EA67A0">
        <w:t xml:space="preserve">n </w:t>
      </w:r>
      <w:r>
        <w:t xml:space="preserve">the </w:t>
      </w:r>
      <w:r w:rsidRPr="00EA67A0">
        <w:t>2007</w:t>
      </w:r>
      <w:r w:rsidRPr="00EA67A0">
        <w:noBreakHyphen/>
        <w:t>08</w:t>
      </w:r>
      <w:r>
        <w:t xml:space="preserve"> financial year</w:t>
      </w:r>
      <w:r w:rsidRPr="00EA67A0">
        <w:t xml:space="preserve">, the cost of total assistance paid under </w:t>
      </w:r>
      <w:r>
        <w:lastRenderedPageBreak/>
        <w:t xml:space="preserve">the </w:t>
      </w:r>
      <w:r w:rsidRPr="00EA67A0">
        <w:t xml:space="preserve">FEG </w:t>
      </w:r>
      <w:r>
        <w:t xml:space="preserve">scheme </w:t>
      </w:r>
      <w:r w:rsidRPr="00EA67A0">
        <w:t>and its predecessor schemes was $60.8 million</w:t>
      </w:r>
      <w:r>
        <w:t xml:space="preserve">, however </w:t>
      </w:r>
      <w:r w:rsidRPr="00EA67A0">
        <w:t xml:space="preserve">by </w:t>
      </w:r>
      <w:r>
        <w:t>the 2015</w:t>
      </w:r>
      <w:r>
        <w:noBreakHyphen/>
      </w:r>
      <w:r w:rsidRPr="00EA67A0">
        <w:t>16</w:t>
      </w:r>
      <w:r w:rsidR="009D5869">
        <w:t> </w:t>
      </w:r>
      <w:r>
        <w:t xml:space="preserve">financial </w:t>
      </w:r>
      <w:proofErr w:type="gramStart"/>
      <w:r>
        <w:t>year,</w:t>
      </w:r>
      <w:proofErr w:type="gramEnd"/>
      <w:r w:rsidRPr="00EA67A0">
        <w:t xml:space="preserve"> the annual cost</w:t>
      </w:r>
      <w:r>
        <w:t xml:space="preserve"> had risen </w:t>
      </w:r>
      <w:r w:rsidRPr="00EA67A0">
        <w:t>to $284.1 million.</w:t>
      </w:r>
      <w:r>
        <w:rPr>
          <w:rStyle w:val="FootnoteReference"/>
        </w:rPr>
        <w:footnoteReference w:id="10"/>
      </w:r>
    </w:p>
    <w:p w:rsidR="009B7207" w:rsidRDefault="009B7207" w:rsidP="009B7207">
      <w:pPr>
        <w:pStyle w:val="OutlineNumbered1"/>
        <w:numPr>
          <w:ilvl w:val="0"/>
          <w:numId w:val="0"/>
        </w:numPr>
        <w:tabs>
          <w:tab w:val="left" w:pos="284"/>
          <w:tab w:val="left" w:pos="426"/>
        </w:tabs>
      </w:pPr>
      <w:r w:rsidRPr="003760D2">
        <w:t xml:space="preserve">Contributing to the increasing cost of the FEG scheme is the growing number of cases and claimants in which FEG assistance is being paid, </w:t>
      </w:r>
      <w:r w:rsidR="00F7091A">
        <w:t xml:space="preserve">with demand </w:t>
      </w:r>
      <w:r>
        <w:t xml:space="preserve">having roughly </w:t>
      </w:r>
      <w:r w:rsidRPr="003760D2">
        <w:t>doubl</w:t>
      </w:r>
      <w:r>
        <w:t>ed since 2007</w:t>
      </w:r>
      <w:r>
        <w:noBreakHyphen/>
        <w:t xml:space="preserve">08. In this time, the </w:t>
      </w:r>
      <w:r w:rsidRPr="003760D2">
        <w:t>average number of claimants per insolvency has remained stable</w:t>
      </w:r>
      <w:r>
        <w:t>.</w:t>
      </w:r>
      <w:r>
        <w:rPr>
          <w:rStyle w:val="FootnoteReference"/>
        </w:rPr>
        <w:footnoteReference w:id="11"/>
      </w:r>
    </w:p>
    <w:p w:rsidR="009B7207" w:rsidRDefault="009B7207" w:rsidP="009B7207">
      <w:pPr>
        <w:pStyle w:val="OutlineNumbered1"/>
        <w:numPr>
          <w:ilvl w:val="0"/>
          <w:numId w:val="0"/>
        </w:numPr>
        <w:tabs>
          <w:tab w:val="left" w:pos="284"/>
          <w:tab w:val="left" w:pos="426"/>
        </w:tabs>
      </w:pPr>
      <w:r>
        <w:t>Historically FEG assistance has been paid to employees of insolvent entities across all industries in Australia. The c</w:t>
      </w:r>
      <w:r w:rsidRPr="000D0247">
        <w:t xml:space="preserve">onstruction, </w:t>
      </w:r>
      <w:r>
        <w:t>m</w:t>
      </w:r>
      <w:r w:rsidRPr="000D0247">
        <w:t xml:space="preserve">anufacturing, and </w:t>
      </w:r>
      <w:r>
        <w:t>r</w:t>
      </w:r>
      <w:r w:rsidRPr="000D0247">
        <w:t xml:space="preserve">etail industries </w:t>
      </w:r>
      <w:r>
        <w:t xml:space="preserve">are </w:t>
      </w:r>
      <w:r w:rsidRPr="000D0247">
        <w:t>the largest contributors to the</w:t>
      </w:r>
      <w:r>
        <w:t xml:space="preserve"> number of individuals claiming </w:t>
      </w:r>
      <w:r w:rsidRPr="000D0247">
        <w:t xml:space="preserve">FEG </w:t>
      </w:r>
      <w:r>
        <w:t>assistance, collectively totalling just under half of the total claims made per year.</w:t>
      </w:r>
      <w:r>
        <w:rPr>
          <w:rStyle w:val="FootnoteReference"/>
        </w:rPr>
        <w:footnoteReference w:id="12"/>
      </w:r>
      <w:r>
        <w:t xml:space="preserve"> FEG payments to employees made redundant in the construction and manufacturing industries are the two largest contributors to the costs of the FEG scheme each year, together comprising over a third of the costs per year.</w:t>
      </w:r>
      <w:r>
        <w:rPr>
          <w:rStyle w:val="FootnoteReference"/>
        </w:rPr>
        <w:footnoteReference w:id="13"/>
      </w:r>
    </w:p>
    <w:p w:rsidR="002C7C51" w:rsidRDefault="009B7207" w:rsidP="002C7C51">
      <w:pPr>
        <w:pStyle w:val="OutlineNumbered1"/>
        <w:numPr>
          <w:ilvl w:val="0"/>
          <w:numId w:val="0"/>
        </w:numPr>
        <w:tabs>
          <w:tab w:val="left" w:pos="284"/>
          <w:tab w:val="left" w:pos="426"/>
        </w:tabs>
      </w:pPr>
      <w:r>
        <w:t>R</w:t>
      </w:r>
      <w:r w:rsidRPr="008E3A22">
        <w:t xml:space="preserve">ecoveries of FEG </w:t>
      </w:r>
      <w:r>
        <w:t xml:space="preserve">assistance </w:t>
      </w:r>
      <w:r w:rsidRPr="008E3A22">
        <w:t xml:space="preserve">through the insolvency process have </w:t>
      </w:r>
      <w:r>
        <w:t>been historically very low averaging around</w:t>
      </w:r>
      <w:r w:rsidR="004C75A1">
        <w:t xml:space="preserve"> ten </w:t>
      </w:r>
      <w:r w:rsidRPr="008E3A22">
        <w:t>per</w:t>
      </w:r>
      <w:r>
        <w:t> </w:t>
      </w:r>
      <w:r w:rsidRPr="008E3A22">
        <w:t>cent of the FEG amounts advanced each year</w:t>
      </w:r>
      <w:r>
        <w:t>.</w:t>
      </w:r>
      <w:r>
        <w:rPr>
          <w:rStyle w:val="FootnoteReference"/>
        </w:rPr>
        <w:footnoteReference w:id="14"/>
      </w:r>
      <w:r>
        <w:t xml:space="preserve"> However, recoveries improved significantly in 2015</w:t>
      </w:r>
      <w:r>
        <w:noBreakHyphen/>
        <w:t>16 to around 19 per cent after the commencement of the two</w:t>
      </w:r>
      <w:r>
        <w:noBreakHyphen/>
        <w:t>year pilot Fair Entitlements Guarantee Recovery Program (FEG Recovery Program).</w:t>
      </w:r>
    </w:p>
    <w:p w:rsidR="002362BA" w:rsidRDefault="000C1B19" w:rsidP="000C1B19">
      <w:pPr>
        <w:pStyle w:val="Heading2"/>
      </w:pPr>
      <w:bookmarkStart w:id="29" w:name="_Toc481948283"/>
      <w:r>
        <w:lastRenderedPageBreak/>
        <w:t xml:space="preserve">3. </w:t>
      </w:r>
      <w:r w:rsidR="00AB04C7" w:rsidRPr="0009341E">
        <w:t>Sharp corporate practices</w:t>
      </w:r>
      <w:bookmarkEnd w:id="29"/>
      <w:r w:rsidR="00AB04C7">
        <w:t xml:space="preserve"> </w:t>
      </w:r>
    </w:p>
    <w:p w:rsidR="007348B5" w:rsidRDefault="000C1B19" w:rsidP="005300C1">
      <w:pPr>
        <w:pStyle w:val="Heading3"/>
        <w:ind w:left="567" w:hanging="567"/>
      </w:pPr>
      <w:bookmarkStart w:id="30" w:name="_Toc477939007"/>
      <w:bookmarkStart w:id="31" w:name="_Toc480975472"/>
      <w:bookmarkStart w:id="32" w:name="_Toc481070335"/>
      <w:bookmarkStart w:id="33" w:name="_Toc481948284"/>
      <w:r>
        <w:t>3.1 Cost drivers of the FEG scheme and evidence of inappropriate employer behaviours</w:t>
      </w:r>
      <w:bookmarkEnd w:id="30"/>
      <w:bookmarkEnd w:id="31"/>
      <w:bookmarkEnd w:id="32"/>
      <w:bookmarkEnd w:id="33"/>
      <w:r>
        <w:t xml:space="preserve"> </w:t>
      </w:r>
    </w:p>
    <w:p w:rsidR="009B7207" w:rsidRDefault="009B7207" w:rsidP="009B7207">
      <w:bookmarkStart w:id="34" w:name="_Toc477939008"/>
      <w:r>
        <w:t>A</w:t>
      </w:r>
      <w:r w:rsidRPr="005814C0">
        <w:t>gainst th</w:t>
      </w:r>
      <w:r>
        <w:t>e</w:t>
      </w:r>
      <w:r w:rsidRPr="005814C0">
        <w:t xml:space="preserve"> backdrop of </w:t>
      </w:r>
      <w:r>
        <w:t xml:space="preserve">increasing </w:t>
      </w:r>
      <w:r w:rsidRPr="005814C0">
        <w:t>costs</w:t>
      </w:r>
      <w:r>
        <w:t xml:space="preserve"> of the FEG scheme</w:t>
      </w:r>
      <w:r w:rsidRPr="005814C0">
        <w:t xml:space="preserve">, </w:t>
      </w:r>
      <w:r>
        <w:t>in the 2015</w:t>
      </w:r>
      <w:r>
        <w:noBreakHyphen/>
        <w:t>16 Budget the Australian Government agreed to a two</w:t>
      </w:r>
      <w:r>
        <w:noBreakHyphen/>
      </w:r>
      <w:r w:rsidRPr="005814C0">
        <w:t>year pilot of funding activities</w:t>
      </w:r>
      <w:r>
        <w:t xml:space="preserve"> to </w:t>
      </w:r>
      <w:r w:rsidRPr="000746FF">
        <w:t>strengthen the integrity and sustainability of the scheme</w:t>
      </w:r>
      <w:r>
        <w:t>.</w:t>
      </w:r>
      <w:r>
        <w:rPr>
          <w:rStyle w:val="FootnoteReference"/>
        </w:rPr>
        <w:footnoteReference w:id="15"/>
      </w:r>
    </w:p>
    <w:p w:rsidR="009B7207" w:rsidRDefault="009B7207" w:rsidP="009B7207">
      <w:r w:rsidRPr="005814C0">
        <w:t>Th</w:t>
      </w:r>
      <w:r w:rsidR="005A2CC0">
        <w:t>e</w:t>
      </w:r>
      <w:r w:rsidRPr="005814C0">
        <w:t xml:space="preserve"> </w:t>
      </w:r>
      <w:r>
        <w:t xml:space="preserve">pilot </w:t>
      </w:r>
      <w:r w:rsidRPr="005814C0">
        <w:t>FEG Recovery Program</w:t>
      </w:r>
      <w:r w:rsidR="00F7091A">
        <w:rPr>
          <w:rStyle w:val="FootnoteReference"/>
        </w:rPr>
        <w:footnoteReference w:id="16"/>
      </w:r>
      <w:r w:rsidRPr="005814C0">
        <w:t xml:space="preserve"> was successful, returning $22.8 million in its first year of operatio</w:t>
      </w:r>
      <w:r>
        <w:t>n. The success of the pilot resulted in the Australian Government agreeing to make the program ongoing and providing it with expanded funding from 1 January 2017.</w:t>
      </w:r>
      <w:r>
        <w:rPr>
          <w:rStyle w:val="FootnoteReference"/>
        </w:rPr>
        <w:footnoteReference w:id="17"/>
      </w:r>
    </w:p>
    <w:p w:rsidR="009B7207" w:rsidRDefault="009B7207" w:rsidP="009B7207">
      <w:r>
        <w:t xml:space="preserve">As part of the pilot FEG Recovery Program, work was undertaken to enhance </w:t>
      </w:r>
      <w:r w:rsidRPr="002C756B">
        <w:t>understand</w:t>
      </w:r>
      <w:r>
        <w:t>ing</w:t>
      </w:r>
      <w:r w:rsidRPr="002C756B">
        <w:t xml:space="preserve"> </w:t>
      </w:r>
      <w:r>
        <w:t xml:space="preserve">of the cost drivers of the FEG scheme. This work revealed evidence of an increasing trend of employers deliberately structuring their corporate arrangements to avoid or reduce paying employee entitlements in the event of insolvency, including certain employers (and their agents or other associated parties) adopting a range of </w:t>
      </w:r>
      <w:r w:rsidRPr="00541FD8">
        <w:t>sharp corporate practices</w:t>
      </w:r>
      <w:r>
        <w:t xml:space="preserve"> to achieve these ends. </w:t>
      </w:r>
    </w:p>
    <w:p w:rsidR="009B7207" w:rsidRDefault="009B7207" w:rsidP="009B7207">
      <w:r>
        <w:t xml:space="preserve">The use of such </w:t>
      </w:r>
      <w:r w:rsidRPr="00541FD8">
        <w:t>sharp corporate practices</w:t>
      </w:r>
      <w:r>
        <w:rPr>
          <w:i/>
        </w:rPr>
        <w:t xml:space="preserve"> </w:t>
      </w:r>
      <w:r>
        <w:t xml:space="preserve">can significantly impede, reduce or </w:t>
      </w:r>
      <w:proofErr w:type="gramStart"/>
      <w:r>
        <w:t>prevent,</w:t>
      </w:r>
      <w:proofErr w:type="gramEnd"/>
      <w:r>
        <w:t xml:space="preserve"> the recovery of FEG payments through the insolvency process.</w:t>
      </w:r>
    </w:p>
    <w:p w:rsidR="000C1B19" w:rsidRDefault="000C1B19" w:rsidP="005300C1">
      <w:pPr>
        <w:pStyle w:val="Heading3"/>
      </w:pPr>
      <w:bookmarkStart w:id="35" w:name="_Toc480975473"/>
      <w:bookmarkStart w:id="36" w:name="_Toc481070336"/>
      <w:bookmarkStart w:id="37" w:name="_Toc481948285"/>
      <w:r>
        <w:t xml:space="preserve">3.2 What are </w:t>
      </w:r>
      <w:r w:rsidR="00BB0A6A" w:rsidRPr="00541FD8">
        <w:t>sharp corporate practices</w:t>
      </w:r>
      <w:r w:rsidR="00BB0A6A">
        <w:t>?</w:t>
      </w:r>
      <w:bookmarkEnd w:id="34"/>
      <w:bookmarkEnd w:id="35"/>
      <w:bookmarkEnd w:id="36"/>
      <w:bookmarkEnd w:id="37"/>
      <w:r w:rsidR="00BB0A6A">
        <w:t xml:space="preserve"> </w:t>
      </w:r>
    </w:p>
    <w:p w:rsidR="009B7207" w:rsidRPr="00BB0A6A" w:rsidRDefault="009B7207" w:rsidP="009B7207">
      <w:r w:rsidRPr="00807D5B">
        <w:t>Sharp corporate practices</w:t>
      </w:r>
      <w:r w:rsidRPr="00F43A19">
        <w:t xml:space="preserve"> are </w:t>
      </w:r>
      <w:r>
        <w:t xml:space="preserve">approaches and techniques adopted </w:t>
      </w:r>
      <w:r w:rsidRPr="00F43A19">
        <w:t>by certain compan</w:t>
      </w:r>
      <w:r>
        <w:t>y representatives</w:t>
      </w:r>
      <w:r w:rsidRPr="00F43A19">
        <w:t xml:space="preserve">, </w:t>
      </w:r>
      <w:r>
        <w:t xml:space="preserve">company owners, </w:t>
      </w:r>
      <w:r w:rsidRPr="00F43A19">
        <w:t xml:space="preserve">or other parties </w:t>
      </w:r>
      <w:r>
        <w:t xml:space="preserve">who provide advice to or who are otherwise </w:t>
      </w:r>
      <w:r w:rsidRPr="00F43A19">
        <w:t>involved in corporate restructures</w:t>
      </w:r>
      <w:r>
        <w:t xml:space="preserve"> and</w:t>
      </w:r>
      <w:r w:rsidRPr="000F48AD">
        <w:t xml:space="preserve"> </w:t>
      </w:r>
      <w:r w:rsidRPr="00F43A19">
        <w:t>insolvencies</w:t>
      </w:r>
      <w:r>
        <w:t xml:space="preserve"> (such as insolvency advisors), that seek</w:t>
      </w:r>
      <w:r w:rsidRPr="00F43A19">
        <w:t xml:space="preserve"> </w:t>
      </w:r>
      <w:r>
        <w:t xml:space="preserve">to prevent, </w:t>
      </w:r>
      <w:r w:rsidRPr="00F43A19">
        <w:t xml:space="preserve">avoid </w:t>
      </w:r>
      <w:r>
        <w:t xml:space="preserve">or reduce obligations of the company to pay its creditors (including employees for their employee </w:t>
      </w:r>
      <w:r w:rsidRPr="00BB0A6A">
        <w:t xml:space="preserve">entitlements). </w:t>
      </w:r>
    </w:p>
    <w:p w:rsidR="009B7207" w:rsidRPr="00BB0A6A" w:rsidRDefault="009B7207" w:rsidP="009B7207">
      <w:r w:rsidRPr="00BB0A6A">
        <w:t>Some broad examples of these techniques include:</w:t>
      </w:r>
    </w:p>
    <w:p w:rsidR="009B7207" w:rsidRPr="00BB0A6A" w:rsidRDefault="009B7207" w:rsidP="009B7207">
      <w:pPr>
        <w:pStyle w:val="ListParagraph"/>
        <w:numPr>
          <w:ilvl w:val="0"/>
          <w:numId w:val="12"/>
        </w:numPr>
        <w:rPr>
          <w:rFonts w:ascii="Book Antiqua" w:hAnsi="Book Antiqua"/>
        </w:rPr>
      </w:pPr>
      <w:r>
        <w:rPr>
          <w:rFonts w:ascii="Book Antiqua" w:hAnsi="Book Antiqua"/>
        </w:rPr>
        <w:t xml:space="preserve">utilising a company structure and/or </w:t>
      </w:r>
      <w:r w:rsidRPr="00BB0A6A">
        <w:rPr>
          <w:rFonts w:ascii="Book Antiqua" w:hAnsi="Book Antiqua"/>
        </w:rPr>
        <w:t>utilising corporate group structures in ways that the employees are employed by an entity which does not appropriately provide for their employee entitlements</w:t>
      </w:r>
      <w:r>
        <w:rPr>
          <w:rFonts w:ascii="Book Antiqua" w:hAnsi="Book Antiqua"/>
        </w:rPr>
        <w:t xml:space="preserve"> </w:t>
      </w:r>
      <w:r w:rsidR="00DE4DF3">
        <w:rPr>
          <w:rFonts w:ascii="Book Antiqua" w:hAnsi="Book Antiqua"/>
        </w:rPr>
        <w:t xml:space="preserve">and </w:t>
      </w:r>
      <w:r>
        <w:rPr>
          <w:rFonts w:ascii="Book Antiqua" w:hAnsi="Book Antiqua"/>
        </w:rPr>
        <w:t>where in</w:t>
      </w:r>
      <w:r w:rsidRPr="00BB0A6A">
        <w:rPr>
          <w:rFonts w:ascii="Book Antiqua" w:hAnsi="Book Antiqua"/>
        </w:rPr>
        <w:t>sufficient realisable assets</w:t>
      </w:r>
      <w:r>
        <w:rPr>
          <w:rFonts w:ascii="Book Antiqua" w:hAnsi="Book Antiqua"/>
        </w:rPr>
        <w:t xml:space="preserve"> are</w:t>
      </w:r>
      <w:r w:rsidRPr="00BB0A6A">
        <w:rPr>
          <w:rFonts w:ascii="Book Antiqua" w:hAnsi="Book Antiqua"/>
        </w:rPr>
        <w:t xml:space="preserve"> available to offset liabilities owed to the employees if they are made redundant, or the assets of the entity </w:t>
      </w:r>
      <w:r>
        <w:rPr>
          <w:rFonts w:ascii="Book Antiqua" w:hAnsi="Book Antiqua"/>
        </w:rPr>
        <w:t>which employs the worker</w:t>
      </w:r>
      <w:r w:rsidR="00DE4DF3">
        <w:rPr>
          <w:rFonts w:ascii="Book Antiqua" w:hAnsi="Book Antiqua"/>
        </w:rPr>
        <w:t>s</w:t>
      </w:r>
      <w:r>
        <w:rPr>
          <w:rFonts w:ascii="Book Antiqua" w:hAnsi="Book Antiqua"/>
        </w:rPr>
        <w:t xml:space="preserve"> </w:t>
      </w:r>
      <w:r w:rsidRPr="00BB0A6A">
        <w:rPr>
          <w:rFonts w:ascii="Book Antiqua" w:hAnsi="Book Antiqua"/>
        </w:rPr>
        <w:t>are transferred to related entities prior to the employees being made redundant;</w:t>
      </w:r>
    </w:p>
    <w:p w:rsidR="009B7207" w:rsidRPr="00BB0A6A" w:rsidRDefault="009B7207" w:rsidP="009B7207">
      <w:pPr>
        <w:pStyle w:val="ListParagraph"/>
        <w:numPr>
          <w:ilvl w:val="0"/>
          <w:numId w:val="12"/>
        </w:numPr>
        <w:rPr>
          <w:rFonts w:ascii="Book Antiqua" w:hAnsi="Book Antiqua"/>
        </w:rPr>
      </w:pPr>
      <w:r w:rsidRPr="00BB0A6A">
        <w:rPr>
          <w:rFonts w:ascii="Book Antiqua" w:hAnsi="Book Antiqua"/>
        </w:rPr>
        <w:lastRenderedPageBreak/>
        <w:t xml:space="preserve">utilising </w:t>
      </w:r>
      <w:r>
        <w:rPr>
          <w:rFonts w:ascii="Book Antiqua" w:hAnsi="Book Antiqua"/>
        </w:rPr>
        <w:t xml:space="preserve">illegal </w:t>
      </w:r>
      <w:r w:rsidRPr="00BB0A6A">
        <w:rPr>
          <w:rFonts w:ascii="Book Antiqua" w:hAnsi="Book Antiqua"/>
        </w:rPr>
        <w:t xml:space="preserve">phoenix company </w:t>
      </w:r>
      <w:r>
        <w:rPr>
          <w:rFonts w:ascii="Book Antiqua" w:hAnsi="Book Antiqua"/>
        </w:rPr>
        <w:t xml:space="preserve">activities and </w:t>
      </w:r>
      <w:r w:rsidRPr="00BB0A6A">
        <w:rPr>
          <w:rFonts w:ascii="Book Antiqua" w:hAnsi="Book Antiqua"/>
        </w:rPr>
        <w:t xml:space="preserve">arrangements, including </w:t>
      </w:r>
      <w:r>
        <w:rPr>
          <w:rFonts w:ascii="Book Antiqua" w:hAnsi="Book Antiqua"/>
        </w:rPr>
        <w:t xml:space="preserve">transmissions of businesses and </w:t>
      </w:r>
      <w:r w:rsidRPr="00BB0A6A">
        <w:rPr>
          <w:rFonts w:ascii="Book Antiqua" w:hAnsi="Book Antiqua"/>
        </w:rPr>
        <w:t xml:space="preserve">transfers </w:t>
      </w:r>
      <w:r>
        <w:rPr>
          <w:rFonts w:ascii="Book Antiqua" w:hAnsi="Book Antiqua"/>
        </w:rPr>
        <w:t xml:space="preserve">of a company’s assets </w:t>
      </w:r>
      <w:r w:rsidR="00DE4DF3">
        <w:rPr>
          <w:rFonts w:ascii="Book Antiqua" w:hAnsi="Book Antiqua"/>
        </w:rPr>
        <w:t xml:space="preserve">for nominal or no value </w:t>
      </w:r>
      <w:r>
        <w:rPr>
          <w:rFonts w:ascii="Book Antiqua" w:hAnsi="Book Antiqua"/>
        </w:rPr>
        <w:t>to another company with a similar name, with the same directors or officers</w:t>
      </w:r>
      <w:r w:rsidR="00DE4DF3">
        <w:rPr>
          <w:rFonts w:ascii="Book Antiqua" w:hAnsi="Book Antiqua"/>
        </w:rPr>
        <w:t xml:space="preserve">, </w:t>
      </w:r>
      <w:r>
        <w:rPr>
          <w:rFonts w:ascii="Book Antiqua" w:hAnsi="Book Antiqua"/>
        </w:rPr>
        <w:t xml:space="preserve">before placing the company in liquidation </w:t>
      </w:r>
      <w:r w:rsidRPr="00BB0A6A">
        <w:rPr>
          <w:rFonts w:ascii="Book Antiqua" w:hAnsi="Book Antiqua"/>
        </w:rPr>
        <w:t xml:space="preserve">for the purpose of avoiding </w:t>
      </w:r>
      <w:r>
        <w:rPr>
          <w:rFonts w:ascii="Book Antiqua" w:hAnsi="Book Antiqua"/>
        </w:rPr>
        <w:t xml:space="preserve">debts to </w:t>
      </w:r>
      <w:r w:rsidRPr="00BB0A6A">
        <w:rPr>
          <w:rFonts w:ascii="Book Antiqua" w:hAnsi="Book Antiqua"/>
        </w:rPr>
        <w:t>company creditors including liabilities owed to employees;</w:t>
      </w:r>
    </w:p>
    <w:p w:rsidR="00BB0A6A" w:rsidRPr="00BB0A6A" w:rsidRDefault="009B7207" w:rsidP="009B7207">
      <w:pPr>
        <w:pStyle w:val="ListParagraph"/>
        <w:numPr>
          <w:ilvl w:val="0"/>
          <w:numId w:val="12"/>
        </w:numPr>
        <w:rPr>
          <w:rFonts w:ascii="Book Antiqua" w:hAnsi="Book Antiqua"/>
        </w:rPr>
      </w:pPr>
      <w:r w:rsidRPr="00BB0A6A">
        <w:rPr>
          <w:rFonts w:ascii="Book Antiqua" w:hAnsi="Book Antiqua"/>
        </w:rPr>
        <w:t xml:space="preserve">the adoption of deliberate practices by </w:t>
      </w:r>
      <w:r>
        <w:rPr>
          <w:rFonts w:ascii="Book Antiqua" w:hAnsi="Book Antiqua"/>
        </w:rPr>
        <w:t xml:space="preserve">certain </w:t>
      </w:r>
      <w:r w:rsidRPr="00BB0A6A">
        <w:rPr>
          <w:rFonts w:ascii="Book Antiqua" w:hAnsi="Book Antiqua"/>
        </w:rPr>
        <w:t xml:space="preserve">company directors, company officers, </w:t>
      </w:r>
      <w:r>
        <w:rPr>
          <w:rFonts w:ascii="Book Antiqua" w:hAnsi="Book Antiqua"/>
        </w:rPr>
        <w:t xml:space="preserve">and some advisers </w:t>
      </w:r>
      <w:r w:rsidRPr="00BB0A6A">
        <w:rPr>
          <w:rFonts w:ascii="Book Antiqua" w:hAnsi="Book Antiqua"/>
        </w:rPr>
        <w:t>in seeking to unfairly manage an insolvency</w:t>
      </w:r>
      <w:r w:rsidR="00BB0A6A" w:rsidRPr="00BB0A6A">
        <w:rPr>
          <w:rFonts w:ascii="Book Antiqua" w:hAnsi="Book Antiqua"/>
        </w:rPr>
        <w:t xml:space="preserve"> to the detriment of creditors (for example, </w:t>
      </w:r>
      <w:r w:rsidR="0044448C">
        <w:rPr>
          <w:rFonts w:ascii="Book Antiqua" w:hAnsi="Book Antiqua"/>
        </w:rPr>
        <w:t xml:space="preserve">by </w:t>
      </w:r>
      <w:r w:rsidR="00BB0A6A" w:rsidRPr="00BB0A6A">
        <w:rPr>
          <w:rFonts w:ascii="Book Antiqua" w:hAnsi="Book Antiqua"/>
        </w:rPr>
        <w:t>a director appointing a ‘friendly’ liquidator to wind</w:t>
      </w:r>
      <w:r w:rsidR="00BB0A6A" w:rsidRPr="00BB0A6A">
        <w:rPr>
          <w:rFonts w:ascii="Book Antiqua" w:hAnsi="Book Antiqua"/>
        </w:rPr>
        <w:noBreakHyphen/>
        <w:t xml:space="preserve">up a company, </w:t>
      </w:r>
      <w:r w:rsidR="004F4872">
        <w:rPr>
          <w:rFonts w:ascii="Book Antiqua" w:hAnsi="Book Antiqua"/>
        </w:rPr>
        <w:t xml:space="preserve">with the </w:t>
      </w:r>
      <w:r w:rsidR="00BB0A6A" w:rsidRPr="00BB0A6A">
        <w:rPr>
          <w:rFonts w:ascii="Book Antiqua" w:hAnsi="Book Antiqua"/>
        </w:rPr>
        <w:t xml:space="preserve">liquidator then </w:t>
      </w:r>
      <w:r w:rsidR="004F4872">
        <w:rPr>
          <w:rFonts w:ascii="Book Antiqua" w:hAnsi="Book Antiqua"/>
        </w:rPr>
        <w:t xml:space="preserve">not </w:t>
      </w:r>
      <w:r w:rsidR="00BB0A6A" w:rsidRPr="00BB0A6A">
        <w:rPr>
          <w:rFonts w:ascii="Book Antiqua" w:hAnsi="Book Antiqua"/>
        </w:rPr>
        <w:t>investigat</w:t>
      </w:r>
      <w:r w:rsidR="004F4872">
        <w:rPr>
          <w:rFonts w:ascii="Book Antiqua" w:hAnsi="Book Antiqua"/>
        </w:rPr>
        <w:t>ing</w:t>
      </w:r>
      <w:r w:rsidR="00BB0A6A" w:rsidRPr="00BB0A6A">
        <w:rPr>
          <w:rFonts w:ascii="Book Antiqua" w:hAnsi="Book Antiqua"/>
        </w:rPr>
        <w:t xml:space="preserve"> suspect transactions in the liquidation process); and</w:t>
      </w:r>
    </w:p>
    <w:p w:rsidR="00BB0A6A" w:rsidRPr="00BB0A6A" w:rsidRDefault="00BB0A6A" w:rsidP="005B4032">
      <w:pPr>
        <w:pStyle w:val="ListParagraph"/>
        <w:numPr>
          <w:ilvl w:val="0"/>
          <w:numId w:val="12"/>
        </w:numPr>
        <w:rPr>
          <w:rFonts w:ascii="Book Antiqua" w:hAnsi="Book Antiqua"/>
        </w:rPr>
      </w:pPr>
      <w:r w:rsidRPr="00BB0A6A">
        <w:rPr>
          <w:rFonts w:ascii="Book Antiqua" w:hAnsi="Book Antiqua"/>
        </w:rPr>
        <w:t>conduct of company receivers and company liquidators appointed by security agreement holders who</w:t>
      </w:r>
      <w:r w:rsidR="00F72859">
        <w:rPr>
          <w:rFonts w:ascii="Book Antiqua" w:hAnsi="Book Antiqua"/>
        </w:rPr>
        <w:t xml:space="preserve"> </w:t>
      </w:r>
      <w:r w:rsidRPr="00BB0A6A">
        <w:rPr>
          <w:rFonts w:ascii="Book Antiqua" w:hAnsi="Book Antiqua"/>
        </w:rPr>
        <w:t xml:space="preserve">do not comply with their obligations under the law to pay employee entitlements out of </w:t>
      </w:r>
      <w:r w:rsidR="004F4872">
        <w:rPr>
          <w:rFonts w:ascii="Book Antiqua" w:hAnsi="Book Antiqua"/>
        </w:rPr>
        <w:t xml:space="preserve">the proceeds of </w:t>
      </w:r>
      <w:r w:rsidRPr="00BB0A6A">
        <w:rPr>
          <w:rFonts w:ascii="Book Antiqua" w:hAnsi="Book Antiqua"/>
        </w:rPr>
        <w:t>circulating assets of the business</w:t>
      </w:r>
      <w:r w:rsidR="00497596">
        <w:rPr>
          <w:rFonts w:ascii="Book Antiqua" w:hAnsi="Book Antiqua"/>
        </w:rPr>
        <w:t xml:space="preserve"> (such as trade debtors)</w:t>
      </w:r>
      <w:r w:rsidR="004F4872">
        <w:rPr>
          <w:rFonts w:ascii="Book Antiqua" w:hAnsi="Book Antiqua"/>
        </w:rPr>
        <w:t>,</w:t>
      </w:r>
      <w:r w:rsidRPr="00BB0A6A">
        <w:rPr>
          <w:rFonts w:ascii="Book Antiqua" w:hAnsi="Book Antiqua"/>
        </w:rPr>
        <w:t xml:space="preserve"> but instead pay</w:t>
      </w:r>
      <w:r w:rsidR="003803E6">
        <w:rPr>
          <w:rFonts w:ascii="Book Antiqua" w:hAnsi="Book Antiqua"/>
        </w:rPr>
        <w:t xml:space="preserve"> </w:t>
      </w:r>
      <w:r w:rsidR="004F4872">
        <w:rPr>
          <w:rFonts w:ascii="Book Antiqua" w:hAnsi="Book Antiqua"/>
        </w:rPr>
        <w:t xml:space="preserve">those amounts </w:t>
      </w:r>
      <w:r w:rsidRPr="00BB0A6A">
        <w:rPr>
          <w:rFonts w:ascii="Book Antiqua" w:hAnsi="Book Antiqua"/>
        </w:rPr>
        <w:t>to their appointers.</w:t>
      </w:r>
    </w:p>
    <w:p w:rsidR="00BB0A6A" w:rsidRDefault="00BB0A6A" w:rsidP="005300C1">
      <w:pPr>
        <w:pStyle w:val="Heading3"/>
      </w:pPr>
      <w:bookmarkStart w:id="38" w:name="_Toc477939009"/>
      <w:bookmarkStart w:id="39" w:name="_Toc480975474"/>
      <w:bookmarkStart w:id="40" w:name="_Toc481070337"/>
      <w:bookmarkStart w:id="41" w:name="_Toc481948286"/>
      <w:r w:rsidRPr="00BB0A6A">
        <w:t>3.3</w:t>
      </w:r>
      <w:r>
        <w:rPr>
          <w:i/>
        </w:rPr>
        <w:t xml:space="preserve"> </w:t>
      </w:r>
      <w:r>
        <w:t>The impact on the FEG scheme</w:t>
      </w:r>
      <w:bookmarkEnd w:id="38"/>
      <w:bookmarkEnd w:id="39"/>
      <w:bookmarkEnd w:id="40"/>
      <w:bookmarkEnd w:id="41"/>
    </w:p>
    <w:p w:rsidR="009B7207" w:rsidRPr="006E4583" w:rsidRDefault="009B7207" w:rsidP="009B7207">
      <w:r>
        <w:t xml:space="preserve">While </w:t>
      </w:r>
      <w:r w:rsidR="00737161">
        <w:t xml:space="preserve">use of </w:t>
      </w:r>
      <w:r w:rsidR="00737161" w:rsidRPr="00541FD8">
        <w:t>s</w:t>
      </w:r>
      <w:r w:rsidR="00737161">
        <w:t>uch</w:t>
      </w:r>
      <w:r w:rsidR="00737161" w:rsidRPr="00541FD8">
        <w:t xml:space="preserve"> corporate practices</w:t>
      </w:r>
      <w:r w:rsidR="00737161">
        <w:t xml:space="preserve"> is</w:t>
      </w:r>
      <w:r>
        <w:t xml:space="preserve"> not always strictly illegal, </w:t>
      </w:r>
      <w:r w:rsidR="008821AB">
        <w:t xml:space="preserve">they place an unfair burden on taxpayers </w:t>
      </w:r>
      <w:r>
        <w:t xml:space="preserve">where those practices result in reliance on the FEG scheme. </w:t>
      </w:r>
      <w:r w:rsidRPr="00541FD8">
        <w:t>Sharp corporate practices</w:t>
      </w:r>
      <w:r>
        <w:t xml:space="preserve"> also impact other parties such as businesses (for example, suppliers of goods and services who were not paid, and competitors who may be at a financial disadvantage after paying their debts including the costs of funding their employee entitlements).</w:t>
      </w:r>
    </w:p>
    <w:p w:rsidR="009B7207" w:rsidRPr="00BB0A6A" w:rsidRDefault="009B7207" w:rsidP="009B7207">
      <w:r w:rsidRPr="00BB0A6A">
        <w:t xml:space="preserve">To assist in determining the impact of </w:t>
      </w:r>
      <w:r w:rsidRPr="00541FD8">
        <w:t>s</w:t>
      </w:r>
      <w:r w:rsidR="008F70B9">
        <w:t>uch</w:t>
      </w:r>
      <w:r w:rsidRPr="00541FD8">
        <w:t xml:space="preserve"> practices</w:t>
      </w:r>
      <w:r w:rsidRPr="00BB0A6A">
        <w:t xml:space="preserve"> on the FEG scheme, a large sample of FEG cases </w:t>
      </w:r>
      <w:r>
        <w:t>over a three year period</w:t>
      </w:r>
      <w:r>
        <w:rPr>
          <w:rStyle w:val="FootnoteReference"/>
        </w:rPr>
        <w:footnoteReference w:id="18"/>
      </w:r>
      <w:r w:rsidRPr="00BB0A6A">
        <w:t xml:space="preserve"> was reviewed to identify and determine the prevalence of a dozen </w:t>
      </w:r>
      <w:r w:rsidRPr="00541FD8">
        <w:t>sharp corporate practices</w:t>
      </w:r>
      <w:r>
        <w:t xml:space="preserve">, their fiscal </w:t>
      </w:r>
      <w:r w:rsidRPr="00BB0A6A">
        <w:t>impacts on the FEG scheme</w:t>
      </w:r>
      <w:r w:rsidR="00AA7F6B">
        <w:t>, and the effectiveness of currently available mechanisms to address them</w:t>
      </w:r>
      <w:r w:rsidRPr="00BB0A6A">
        <w:t xml:space="preserve">. </w:t>
      </w:r>
      <w:r>
        <w:t>The dozen practices were more s</w:t>
      </w:r>
      <w:r w:rsidRPr="00BB0A6A">
        <w:t xml:space="preserve">pecific instances of the four broad example practices outlined </w:t>
      </w:r>
      <w:r>
        <w:t>above.</w:t>
      </w:r>
    </w:p>
    <w:p w:rsidR="009B7207" w:rsidRPr="00BB0A6A" w:rsidRDefault="009B7207" w:rsidP="009B7207">
      <w:r w:rsidRPr="00BB0A6A">
        <w:t>Analysis of the sample found that approximately one in seven FEG cases had one or more sharp corporate practices present which had financial consequences for the scheme. Key findings were:</w:t>
      </w:r>
    </w:p>
    <w:p w:rsidR="009B7207" w:rsidRPr="00BB0A6A" w:rsidRDefault="009B7207" w:rsidP="009B7207">
      <w:pPr>
        <w:pStyle w:val="ListParagraph"/>
        <w:numPr>
          <w:ilvl w:val="0"/>
          <w:numId w:val="13"/>
        </w:numPr>
        <w:rPr>
          <w:rFonts w:ascii="Book Antiqua" w:hAnsi="Book Antiqua"/>
        </w:rPr>
      </w:pPr>
      <w:r w:rsidRPr="00BB0A6A">
        <w:rPr>
          <w:rFonts w:ascii="Book Antiqua" w:hAnsi="Book Antiqua"/>
        </w:rPr>
        <w:t xml:space="preserve">business restructuring resulting in the avoidance of the payment of employee entitlements is increasing costs to the FEG scheme; </w:t>
      </w:r>
    </w:p>
    <w:p w:rsidR="009B7207" w:rsidRPr="00BB0A6A" w:rsidRDefault="009B7207" w:rsidP="009B7207">
      <w:pPr>
        <w:pStyle w:val="ListParagraph"/>
        <w:numPr>
          <w:ilvl w:val="0"/>
          <w:numId w:val="13"/>
        </w:numPr>
        <w:rPr>
          <w:rFonts w:ascii="Book Antiqua" w:hAnsi="Book Antiqua"/>
        </w:rPr>
      </w:pPr>
      <w:r w:rsidRPr="00BB0A6A">
        <w:rPr>
          <w:rFonts w:ascii="Book Antiqua" w:hAnsi="Book Antiqua"/>
        </w:rPr>
        <w:t xml:space="preserve">the incidence of </w:t>
      </w:r>
      <w:r>
        <w:rPr>
          <w:rFonts w:ascii="Book Antiqua" w:hAnsi="Book Antiqua"/>
        </w:rPr>
        <w:t xml:space="preserve">illegal </w:t>
      </w:r>
      <w:r w:rsidRPr="00BB0A6A">
        <w:rPr>
          <w:rFonts w:ascii="Book Antiqua" w:hAnsi="Book Antiqua"/>
        </w:rPr>
        <w:t xml:space="preserve">phoenix company activity, and subsequent costs to the FEG scheme, </w:t>
      </w:r>
      <w:r>
        <w:rPr>
          <w:rFonts w:ascii="Book Antiqua" w:hAnsi="Book Antiqua"/>
        </w:rPr>
        <w:t xml:space="preserve">is </w:t>
      </w:r>
      <w:r w:rsidRPr="00BB0A6A">
        <w:rPr>
          <w:rFonts w:ascii="Book Antiqua" w:hAnsi="Book Antiqua"/>
        </w:rPr>
        <w:t xml:space="preserve">increasing; </w:t>
      </w:r>
    </w:p>
    <w:p w:rsidR="009B7207" w:rsidRPr="00BB0A6A" w:rsidRDefault="009B7207" w:rsidP="009B7207">
      <w:pPr>
        <w:pStyle w:val="ListParagraph"/>
        <w:numPr>
          <w:ilvl w:val="0"/>
          <w:numId w:val="13"/>
        </w:numPr>
        <w:rPr>
          <w:rFonts w:ascii="Book Antiqua" w:hAnsi="Book Antiqua"/>
        </w:rPr>
      </w:pPr>
      <w:r w:rsidRPr="00BB0A6A">
        <w:rPr>
          <w:rFonts w:ascii="Book Antiqua" w:hAnsi="Book Antiqua"/>
        </w:rPr>
        <w:t xml:space="preserve">a </w:t>
      </w:r>
      <w:r w:rsidR="00541FD8" w:rsidRPr="00807D5B">
        <w:rPr>
          <w:rFonts w:ascii="Book Antiqua" w:hAnsi="Book Antiqua"/>
        </w:rPr>
        <w:t>small but</w:t>
      </w:r>
      <w:r w:rsidR="009A356A" w:rsidRPr="00807D5B">
        <w:rPr>
          <w:rFonts w:ascii="Book Antiqua" w:hAnsi="Book Antiqua"/>
        </w:rPr>
        <w:t xml:space="preserve"> still</w:t>
      </w:r>
      <w:r w:rsidR="00541FD8" w:rsidRPr="00807D5B">
        <w:rPr>
          <w:rFonts w:ascii="Book Antiqua" w:hAnsi="Book Antiqua"/>
        </w:rPr>
        <w:t xml:space="preserve"> </w:t>
      </w:r>
      <w:r w:rsidRPr="00807D5B">
        <w:rPr>
          <w:rFonts w:ascii="Book Antiqua" w:hAnsi="Book Antiqua"/>
        </w:rPr>
        <w:t>significant</w:t>
      </w:r>
      <w:r w:rsidRPr="00BB0A6A">
        <w:rPr>
          <w:rFonts w:ascii="Book Antiqua" w:hAnsi="Book Antiqua"/>
        </w:rPr>
        <w:t xml:space="preserve"> percentage of company receivers and liquidators have not been complying with their legal obligations under sections 433 and 561 of the </w:t>
      </w:r>
      <w:r w:rsidRPr="00BB0A6A">
        <w:rPr>
          <w:rFonts w:ascii="Book Antiqua" w:hAnsi="Book Antiqua"/>
          <w:i/>
        </w:rPr>
        <w:t>Corporations Act 2001</w:t>
      </w:r>
      <w:r w:rsidRPr="00BB0A6A">
        <w:rPr>
          <w:rFonts w:ascii="Book Antiqua" w:hAnsi="Book Antiqua"/>
        </w:rPr>
        <w:t xml:space="preserve"> (Corporations Act) to pay amounts recovered from the proceeds of circulating security assets to employees (including FEG as a subrogated creditor), rather than their secured creditor; </w:t>
      </w:r>
    </w:p>
    <w:p w:rsidR="009B7207" w:rsidRPr="00BB0A6A" w:rsidRDefault="009B7207" w:rsidP="009B7207">
      <w:pPr>
        <w:pStyle w:val="ListParagraph"/>
        <w:numPr>
          <w:ilvl w:val="0"/>
          <w:numId w:val="13"/>
        </w:numPr>
        <w:rPr>
          <w:rFonts w:ascii="Book Antiqua" w:hAnsi="Book Antiqua"/>
        </w:rPr>
      </w:pPr>
      <w:r w:rsidRPr="00BB0A6A">
        <w:rPr>
          <w:rFonts w:ascii="Book Antiqua" w:hAnsi="Book Antiqua"/>
        </w:rPr>
        <w:lastRenderedPageBreak/>
        <w:t xml:space="preserve">provisions in Part </w:t>
      </w:r>
      <w:proofErr w:type="spellStart"/>
      <w:r w:rsidRPr="00BB0A6A">
        <w:rPr>
          <w:rFonts w:ascii="Book Antiqua" w:hAnsi="Book Antiqua"/>
        </w:rPr>
        <w:t>5.8A</w:t>
      </w:r>
      <w:proofErr w:type="spellEnd"/>
      <w:r w:rsidRPr="00BB0A6A">
        <w:rPr>
          <w:rFonts w:ascii="Book Antiqua" w:hAnsi="Book Antiqua"/>
        </w:rPr>
        <w:t xml:space="preserve"> of the Corporations Act, which </w:t>
      </w:r>
      <w:r>
        <w:rPr>
          <w:rFonts w:ascii="Book Antiqua" w:hAnsi="Book Antiqua"/>
        </w:rPr>
        <w:t xml:space="preserve">are intended to prevent business agreements and transactions </w:t>
      </w:r>
      <w:r w:rsidRPr="00BB0A6A">
        <w:rPr>
          <w:rFonts w:ascii="Book Antiqua" w:hAnsi="Book Antiqua"/>
        </w:rPr>
        <w:t xml:space="preserve">directed at </w:t>
      </w:r>
      <w:r>
        <w:rPr>
          <w:rFonts w:ascii="Book Antiqua" w:hAnsi="Book Antiqua"/>
        </w:rPr>
        <w:t xml:space="preserve">preventing the payment of, and </w:t>
      </w:r>
      <w:r w:rsidRPr="00BB0A6A">
        <w:rPr>
          <w:rFonts w:ascii="Book Antiqua" w:hAnsi="Book Antiqua"/>
        </w:rPr>
        <w:t>avoiding or reducing the payment of employee entitlements, are not effective; and</w:t>
      </w:r>
    </w:p>
    <w:p w:rsidR="00BB0A6A" w:rsidRDefault="009B7207" w:rsidP="009B7207">
      <w:pPr>
        <w:pStyle w:val="ListParagraph"/>
        <w:numPr>
          <w:ilvl w:val="0"/>
          <w:numId w:val="13"/>
        </w:numPr>
        <w:rPr>
          <w:rFonts w:ascii="Book Antiqua" w:hAnsi="Book Antiqua"/>
        </w:rPr>
      </w:pPr>
      <w:r w:rsidRPr="00BB0A6A">
        <w:rPr>
          <w:rFonts w:ascii="Book Antiqua" w:hAnsi="Book Antiqua"/>
        </w:rPr>
        <w:t xml:space="preserve">measures which could be used to ban company directors under the Corporations Act </w:t>
      </w:r>
      <w:r>
        <w:rPr>
          <w:rFonts w:ascii="Book Antiqua" w:hAnsi="Book Antiqua"/>
        </w:rPr>
        <w:t>could be better ta</w:t>
      </w:r>
      <w:r w:rsidRPr="00BB0A6A">
        <w:rPr>
          <w:rFonts w:ascii="Book Antiqua" w:hAnsi="Book Antiqua"/>
        </w:rPr>
        <w:t>ilored for the purposes of reducing the moral hazard associated with the FEG scheme</w:t>
      </w:r>
      <w:r>
        <w:rPr>
          <w:rFonts w:ascii="Book Antiqua" w:hAnsi="Book Antiqua"/>
        </w:rPr>
        <w:t xml:space="preserve">, </w:t>
      </w:r>
      <w:r w:rsidRPr="00BB0A6A">
        <w:rPr>
          <w:rFonts w:ascii="Book Antiqua" w:hAnsi="Book Antiqua"/>
        </w:rPr>
        <w:t xml:space="preserve">being that employers rely on </w:t>
      </w:r>
      <w:r>
        <w:rPr>
          <w:rFonts w:ascii="Book Antiqua" w:hAnsi="Book Antiqua"/>
        </w:rPr>
        <w:t xml:space="preserve">the scheme </w:t>
      </w:r>
      <w:r w:rsidRPr="00BB0A6A">
        <w:rPr>
          <w:rFonts w:ascii="Book Antiqua" w:hAnsi="Book Antiqua"/>
        </w:rPr>
        <w:t xml:space="preserve">knowing that </w:t>
      </w:r>
      <w:r w:rsidR="00BB0A6A" w:rsidRPr="00BB0A6A">
        <w:rPr>
          <w:rFonts w:ascii="Book Antiqua" w:hAnsi="Book Antiqua"/>
        </w:rPr>
        <w:t xml:space="preserve">government will pay </w:t>
      </w:r>
      <w:r w:rsidR="00323282">
        <w:rPr>
          <w:rFonts w:ascii="Book Antiqua" w:hAnsi="Book Antiqua"/>
        </w:rPr>
        <w:t>the majority of</w:t>
      </w:r>
      <w:r w:rsidR="00DD2574">
        <w:rPr>
          <w:rFonts w:ascii="Book Antiqua" w:hAnsi="Book Antiqua"/>
        </w:rPr>
        <w:t xml:space="preserve"> </w:t>
      </w:r>
      <w:r w:rsidR="0044448C">
        <w:rPr>
          <w:rFonts w:ascii="Book Antiqua" w:hAnsi="Book Antiqua"/>
        </w:rPr>
        <w:t xml:space="preserve">any outstanding </w:t>
      </w:r>
      <w:r w:rsidR="0047007C">
        <w:rPr>
          <w:rFonts w:ascii="Book Antiqua" w:hAnsi="Book Antiqua"/>
        </w:rPr>
        <w:t xml:space="preserve">employee </w:t>
      </w:r>
      <w:r w:rsidR="00BB0A6A" w:rsidRPr="00BB0A6A">
        <w:rPr>
          <w:rFonts w:ascii="Book Antiqua" w:hAnsi="Book Antiqua"/>
        </w:rPr>
        <w:t>entitlements if the employer cannot.</w:t>
      </w:r>
    </w:p>
    <w:p w:rsidR="000716DC" w:rsidRDefault="00CD55A5" w:rsidP="00E278A9">
      <w:r>
        <w:t xml:space="preserve">The analysis </w:t>
      </w:r>
      <w:r w:rsidR="00E278A9">
        <w:t xml:space="preserve">found that </w:t>
      </w:r>
      <w:r w:rsidR="00FC4AA0">
        <w:t xml:space="preserve">this </w:t>
      </w:r>
      <w:r w:rsidR="00E278A9">
        <w:t>c</w:t>
      </w:r>
      <w:r w:rsidR="000716DC" w:rsidRPr="00D12F70">
        <w:t xml:space="preserve">orporate misuse of </w:t>
      </w:r>
      <w:r w:rsidR="000716DC">
        <w:t xml:space="preserve">the </w:t>
      </w:r>
      <w:r w:rsidR="000716DC" w:rsidRPr="00D12F70">
        <w:t xml:space="preserve">FEG </w:t>
      </w:r>
      <w:r w:rsidR="000716DC">
        <w:t xml:space="preserve">scheme </w:t>
      </w:r>
      <w:r>
        <w:t>wa</w:t>
      </w:r>
      <w:r w:rsidR="000716DC">
        <w:t>s</w:t>
      </w:r>
      <w:r w:rsidR="000716DC" w:rsidRPr="0056705C">
        <w:t xml:space="preserve"> not isolated, </w:t>
      </w:r>
      <w:r w:rsidR="000716DC">
        <w:t xml:space="preserve">with the relevant </w:t>
      </w:r>
      <w:r w:rsidR="00D7622B" w:rsidRPr="00541FD8">
        <w:t>sharp corporate practices</w:t>
      </w:r>
      <w:r w:rsidR="00D7622B">
        <w:rPr>
          <w:i/>
        </w:rPr>
        <w:t xml:space="preserve"> </w:t>
      </w:r>
      <w:r w:rsidR="000716DC">
        <w:t xml:space="preserve">not being </w:t>
      </w:r>
      <w:r w:rsidR="000716DC" w:rsidRPr="0056705C">
        <w:t xml:space="preserve">quarantined to </w:t>
      </w:r>
      <w:r w:rsidR="000716DC">
        <w:t>select</w:t>
      </w:r>
      <w:r w:rsidR="000716DC" w:rsidRPr="0056705C">
        <w:t xml:space="preserve"> industries</w:t>
      </w:r>
      <w:r w:rsidR="000716DC">
        <w:t xml:space="preserve">. </w:t>
      </w:r>
    </w:p>
    <w:p w:rsidR="00E278A9" w:rsidRDefault="00D7622B" w:rsidP="00E278A9">
      <w:r w:rsidRPr="00541FD8">
        <w:t xml:space="preserve">The </w:t>
      </w:r>
      <w:r w:rsidR="00E278A9" w:rsidRPr="00541FD8">
        <w:t xml:space="preserve">costs of these behaviours were </w:t>
      </w:r>
      <w:r w:rsidRPr="00541FD8">
        <w:t xml:space="preserve">also </w:t>
      </w:r>
      <w:r w:rsidR="00E278A9" w:rsidRPr="00541FD8">
        <w:t>found to be significant. As an example</w:t>
      </w:r>
      <w:r w:rsidRPr="00541FD8">
        <w:t>,</w:t>
      </w:r>
      <w:r w:rsidR="00FC4AA0" w:rsidRPr="00541FD8">
        <w:t xml:space="preserve"> the cost imposed on the scheme in just a few select cases where there had been </w:t>
      </w:r>
      <w:r w:rsidR="00E278A9" w:rsidRPr="00541FD8">
        <w:t xml:space="preserve">arrangements designed to avoid the payment of employee entitlements through </w:t>
      </w:r>
      <w:r w:rsidRPr="00541FD8">
        <w:t xml:space="preserve">business </w:t>
      </w:r>
      <w:r w:rsidR="00E278A9" w:rsidRPr="00541FD8">
        <w:t>restructuring</w:t>
      </w:r>
      <w:r w:rsidR="00FC4AA0" w:rsidRPr="00541FD8">
        <w:t xml:space="preserve"> </w:t>
      </w:r>
      <w:r w:rsidR="0051667E" w:rsidRPr="00541FD8">
        <w:t xml:space="preserve">were in </w:t>
      </w:r>
      <w:r w:rsidR="00FC4AA0" w:rsidRPr="00541FD8">
        <w:t>excess of $10</w:t>
      </w:r>
      <w:r w:rsidR="00E278A9" w:rsidRPr="00541FD8">
        <w:t xml:space="preserve">0 million in </w:t>
      </w:r>
      <w:r w:rsidRPr="00541FD8">
        <w:t xml:space="preserve">just </w:t>
      </w:r>
      <w:r w:rsidR="00E278A9" w:rsidRPr="00541FD8">
        <w:t>the last few years.</w:t>
      </w:r>
      <w:r w:rsidR="00E278A9">
        <w:t xml:space="preserve"> </w:t>
      </w:r>
    </w:p>
    <w:p w:rsidR="00BB0A6A" w:rsidRDefault="00BB0A6A" w:rsidP="005300C1">
      <w:pPr>
        <w:pStyle w:val="Heading3"/>
      </w:pPr>
      <w:bookmarkStart w:id="42" w:name="_Toc477939010"/>
      <w:bookmarkStart w:id="43" w:name="_Toc480975475"/>
      <w:bookmarkStart w:id="44" w:name="_Toc481070338"/>
      <w:bookmarkStart w:id="45" w:name="_Toc481948287"/>
      <w:r>
        <w:t xml:space="preserve">3.4 </w:t>
      </w:r>
      <w:r w:rsidR="00122542">
        <w:t>The need for law reform</w:t>
      </w:r>
      <w:bookmarkEnd w:id="42"/>
      <w:bookmarkEnd w:id="43"/>
      <w:bookmarkEnd w:id="44"/>
      <w:bookmarkEnd w:id="45"/>
    </w:p>
    <w:p w:rsidR="009B7207" w:rsidRDefault="009B7207" w:rsidP="009B7207">
      <w:r w:rsidRPr="00F9207A">
        <w:t xml:space="preserve">To </w:t>
      </w:r>
      <w:r>
        <w:t xml:space="preserve">assist in mitigating </w:t>
      </w:r>
      <w:r w:rsidRPr="00F9207A">
        <w:t>the impacts of</w:t>
      </w:r>
      <w:r>
        <w:t xml:space="preserve"> </w:t>
      </w:r>
      <w:r w:rsidRPr="00807D5B">
        <w:t>sharp corporate practices</w:t>
      </w:r>
      <w:r>
        <w:t xml:space="preserve"> on the FEG scheme</w:t>
      </w:r>
      <w:r w:rsidRPr="00F9207A">
        <w:t xml:space="preserve">, </w:t>
      </w:r>
      <w:r>
        <w:t xml:space="preserve">a range of </w:t>
      </w:r>
      <w:r w:rsidRPr="00F9207A">
        <w:t>administrative actions and legal approaches</w:t>
      </w:r>
      <w:r>
        <w:t xml:space="preserve"> </w:t>
      </w:r>
      <w:r w:rsidR="00AA7F6B">
        <w:t xml:space="preserve">have been </w:t>
      </w:r>
      <w:r>
        <w:t>adopted by government departments and agencies. These approaches included funding recovery actions under the FEG Recovery Program, government departments</w:t>
      </w:r>
      <w:r w:rsidR="009A356A">
        <w:t>/</w:t>
      </w:r>
      <w:r>
        <w:t>agencies cooperating on cases of common interest, and relevant matters being pursued through the Australian Government’s Phoenix Taskforce and Serious Financial Crimes Taskforce to combat illegal phoenix activity.</w:t>
      </w:r>
      <w:r>
        <w:rPr>
          <w:rStyle w:val="FootnoteReference"/>
        </w:rPr>
        <w:footnoteReference w:id="19"/>
      </w:r>
    </w:p>
    <w:p w:rsidR="009B7207" w:rsidRPr="00BB0A6A" w:rsidRDefault="009B7207" w:rsidP="009B7207">
      <w:r>
        <w:t xml:space="preserve">While this will assist in mitigating </w:t>
      </w:r>
      <w:r w:rsidRPr="0056705C">
        <w:t xml:space="preserve">the impact of </w:t>
      </w:r>
      <w:r>
        <w:t xml:space="preserve">certain </w:t>
      </w:r>
      <w:r w:rsidRPr="00807D5B">
        <w:t>sharp corporate practices</w:t>
      </w:r>
      <w:r w:rsidRPr="0056705C">
        <w:t>,</w:t>
      </w:r>
      <w:r>
        <w:t xml:space="preserve"> the actions are largely targeted at illegal activit</w:t>
      </w:r>
      <w:r w:rsidR="008F70B9">
        <w:t>ies</w:t>
      </w:r>
      <w:r>
        <w:t xml:space="preserve"> </w:t>
      </w:r>
      <w:r w:rsidR="009A356A">
        <w:t xml:space="preserve">after they have occurred </w:t>
      </w:r>
      <w:r>
        <w:t xml:space="preserve">and will not address all of the </w:t>
      </w:r>
      <w:r w:rsidRPr="00807D5B">
        <w:t>sharp corporate practices</w:t>
      </w:r>
      <w:r>
        <w:t xml:space="preserve"> adopted by select corporate employers and their representatives. </w:t>
      </w:r>
    </w:p>
    <w:p w:rsidR="009B7207" w:rsidRPr="00BB0A6A" w:rsidRDefault="009B7207" w:rsidP="009B7207">
      <w:r w:rsidRPr="00BB0A6A">
        <w:t xml:space="preserve">In particular, the current law </w:t>
      </w:r>
      <w:r>
        <w:t xml:space="preserve">does not adequately </w:t>
      </w:r>
      <w:r w:rsidRPr="00BB0A6A">
        <w:t xml:space="preserve">mitigate the risks and costs </w:t>
      </w:r>
      <w:r>
        <w:t xml:space="preserve">imposed on </w:t>
      </w:r>
      <w:r w:rsidRPr="00BB0A6A">
        <w:t>the community and appropriately</w:t>
      </w:r>
      <w:r w:rsidR="009A356A">
        <w:t xml:space="preserve"> deter or</w:t>
      </w:r>
      <w:r w:rsidRPr="00BB0A6A">
        <w:t xml:space="preserve"> sanction the behaviour of: </w:t>
      </w:r>
    </w:p>
    <w:p w:rsidR="009B7207" w:rsidRPr="00BB0A6A" w:rsidRDefault="009B7207" w:rsidP="009B7207">
      <w:pPr>
        <w:pStyle w:val="ListParagraph"/>
        <w:numPr>
          <w:ilvl w:val="0"/>
          <w:numId w:val="14"/>
        </w:numPr>
        <w:rPr>
          <w:rFonts w:ascii="Book Antiqua" w:hAnsi="Book Antiqua"/>
        </w:rPr>
      </w:pPr>
      <w:r w:rsidRPr="00BB0A6A">
        <w:rPr>
          <w:rFonts w:ascii="Book Antiqua" w:hAnsi="Book Antiqua"/>
        </w:rPr>
        <w:t>those involved in arrangements which result in the intentional avoidance or reduction of the payment of employee entitlements, resulting in FEG being relied upon;</w:t>
      </w:r>
    </w:p>
    <w:p w:rsidR="009B7207" w:rsidRPr="00BB0A6A" w:rsidRDefault="009B7207" w:rsidP="009B7207">
      <w:pPr>
        <w:pStyle w:val="ListParagraph"/>
        <w:numPr>
          <w:ilvl w:val="0"/>
          <w:numId w:val="14"/>
        </w:numPr>
        <w:rPr>
          <w:rFonts w:ascii="Book Antiqua" w:hAnsi="Book Antiqua"/>
        </w:rPr>
      </w:pPr>
      <w:r w:rsidRPr="00BB0A6A">
        <w:rPr>
          <w:rFonts w:ascii="Book Antiqua" w:hAnsi="Book Antiqua"/>
        </w:rPr>
        <w:t xml:space="preserve">those who use a corporate group structure to avoid or reduce their exposure to </w:t>
      </w:r>
      <w:r>
        <w:rPr>
          <w:rFonts w:ascii="Book Antiqua" w:hAnsi="Book Antiqua"/>
        </w:rPr>
        <w:t>meet</w:t>
      </w:r>
      <w:r w:rsidRPr="00BB0A6A">
        <w:rPr>
          <w:rFonts w:ascii="Book Antiqua" w:hAnsi="Book Antiqua"/>
        </w:rPr>
        <w:t xml:space="preserve"> employee entitlement obligations where </w:t>
      </w:r>
      <w:r>
        <w:rPr>
          <w:rFonts w:ascii="Book Antiqua" w:hAnsi="Book Antiqua"/>
        </w:rPr>
        <w:t xml:space="preserve">as a consequence the FEG scheme is </w:t>
      </w:r>
      <w:r w:rsidRPr="00BB0A6A">
        <w:rPr>
          <w:rFonts w:ascii="Book Antiqua" w:hAnsi="Book Antiqua"/>
        </w:rPr>
        <w:t xml:space="preserve">relied </w:t>
      </w:r>
      <w:r>
        <w:rPr>
          <w:rFonts w:ascii="Book Antiqua" w:hAnsi="Book Antiqua"/>
        </w:rPr>
        <w:t>up</w:t>
      </w:r>
      <w:r w:rsidRPr="00BB0A6A">
        <w:rPr>
          <w:rFonts w:ascii="Book Antiqua" w:hAnsi="Book Antiqua"/>
        </w:rPr>
        <w:t>on; and</w:t>
      </w:r>
    </w:p>
    <w:p w:rsidR="009B7207" w:rsidRPr="00BB0A6A" w:rsidRDefault="009B7207" w:rsidP="009B7207">
      <w:pPr>
        <w:pStyle w:val="ListParagraph"/>
        <w:numPr>
          <w:ilvl w:val="0"/>
          <w:numId w:val="14"/>
        </w:numPr>
        <w:rPr>
          <w:rFonts w:ascii="Book Antiqua" w:hAnsi="Book Antiqua"/>
        </w:rPr>
      </w:pPr>
      <w:proofErr w:type="gramStart"/>
      <w:r w:rsidRPr="00BB0A6A">
        <w:rPr>
          <w:rFonts w:ascii="Book Antiqua" w:hAnsi="Book Antiqua"/>
        </w:rPr>
        <w:t>company</w:t>
      </w:r>
      <w:proofErr w:type="gramEnd"/>
      <w:r w:rsidRPr="00BB0A6A">
        <w:rPr>
          <w:rFonts w:ascii="Book Antiqua" w:hAnsi="Book Antiqua"/>
        </w:rPr>
        <w:t xml:space="preserve"> officers and directors who have a history of involvement in insolvencies, where FEG is repeatedly relied upon to pay part or all of the outstanding employee entitlements.</w:t>
      </w:r>
    </w:p>
    <w:p w:rsidR="009B7207" w:rsidRDefault="009B7207" w:rsidP="009B7207">
      <w:r w:rsidRPr="00BB0A6A">
        <w:t xml:space="preserve">To address these concerns, it is proposed that </w:t>
      </w:r>
      <w:r>
        <w:t xml:space="preserve">targeted </w:t>
      </w:r>
      <w:r w:rsidR="0097628A">
        <w:t>law reforms are made t</w:t>
      </w:r>
      <w:r w:rsidR="008F70B9">
        <w:t>hat will</w:t>
      </w:r>
      <w:r w:rsidR="0097628A">
        <w:t xml:space="preserve"> </w:t>
      </w:r>
      <w:r w:rsidR="00AA7F6B">
        <w:t>address</w:t>
      </w:r>
      <w:r w:rsidRPr="00BB0A6A">
        <w:t xml:space="preserve"> cor</w:t>
      </w:r>
      <w:r>
        <w:t>porate misuse of the FEG scheme</w:t>
      </w:r>
      <w:r w:rsidRPr="00BB0A6A">
        <w:t xml:space="preserve"> and improve the recovery of FEG payments.</w:t>
      </w:r>
    </w:p>
    <w:p w:rsidR="00BB0A6A" w:rsidRDefault="00BB0A6A" w:rsidP="00BB0A6A">
      <w:pPr>
        <w:pStyle w:val="Heading2"/>
      </w:pPr>
      <w:bookmarkStart w:id="46" w:name="_Toc481948288"/>
      <w:r>
        <w:lastRenderedPageBreak/>
        <w:t>4. Proposals for reform</w:t>
      </w:r>
      <w:bookmarkEnd w:id="46"/>
      <w:r>
        <w:t xml:space="preserve"> </w:t>
      </w:r>
    </w:p>
    <w:p w:rsidR="009B7207" w:rsidRDefault="009B7207" w:rsidP="009B7207">
      <w:r>
        <w:t>Without law reform, the Australian Government will not be able to appropriately address certain behaviours which are exerting financial pressure on the FEG scheme an</w:t>
      </w:r>
      <w:r w:rsidR="005B14C7">
        <w:t xml:space="preserve">d unfairly burdening taxpayers. </w:t>
      </w:r>
      <w:r>
        <w:t>Further, it will become increasingly difficult to maintain</w:t>
      </w:r>
      <w:r w:rsidRPr="0056705C">
        <w:t xml:space="preserve"> the integrity and fu</w:t>
      </w:r>
      <w:r>
        <w:t>ture sustainability of the scheme if the relevant practices were to become entrenched and more prevalent</w:t>
      </w:r>
      <w:r w:rsidRPr="0056705C">
        <w:t>.</w:t>
      </w:r>
      <w:r>
        <w:t xml:space="preserve"> </w:t>
      </w:r>
    </w:p>
    <w:p w:rsidR="009B7207" w:rsidRPr="006E4583" w:rsidRDefault="009B7207" w:rsidP="009B7207">
      <w:r w:rsidRPr="006E4583">
        <w:t>This noted</w:t>
      </w:r>
      <w:proofErr w:type="gramStart"/>
      <w:r w:rsidRPr="006E4583">
        <w:t>,</w:t>
      </w:r>
      <w:proofErr w:type="gramEnd"/>
      <w:r w:rsidRPr="006E4583">
        <w:t xml:space="preserve"> </w:t>
      </w:r>
      <w:r>
        <w:t>t</w:t>
      </w:r>
      <w:r w:rsidRPr="006E4583">
        <w:t>he majority of businesses</w:t>
      </w:r>
      <w:r w:rsidR="009A356A">
        <w:t xml:space="preserve"> do</w:t>
      </w:r>
      <w:r w:rsidRPr="006E4583">
        <w:t xml:space="preserve"> exercise appropriate behaviour</w:t>
      </w:r>
      <w:r>
        <w:t>s</w:t>
      </w:r>
      <w:r w:rsidRPr="006E4583">
        <w:t xml:space="preserve"> in providing for their employees’ entitlements.</w:t>
      </w:r>
      <w:r>
        <w:t xml:space="preserve"> The parties and entities which the potential law reform measures would impact, while not large in number, have a disproportionately large impact on the scheme. Market perceptions of the professional reputations of businesses and their company directors and officers are also impacted by their behaviours. </w:t>
      </w:r>
    </w:p>
    <w:p w:rsidR="009B7207" w:rsidRPr="006E4583" w:rsidRDefault="009E565A" w:rsidP="009B7207">
      <w:r>
        <w:t>The paper sets out a number of possible changes to the current law, which</w:t>
      </w:r>
      <w:r w:rsidR="005B14C7">
        <w:t xml:space="preserve"> </w:t>
      </w:r>
      <w:r w:rsidR="009B7207" w:rsidRPr="006E4583">
        <w:t>aim to:</w:t>
      </w:r>
    </w:p>
    <w:p w:rsidR="009B7207" w:rsidRPr="006E4583" w:rsidRDefault="009B7207" w:rsidP="009B7207">
      <w:pPr>
        <w:pStyle w:val="ListParagraph"/>
        <w:numPr>
          <w:ilvl w:val="0"/>
          <w:numId w:val="15"/>
        </w:numPr>
        <w:rPr>
          <w:rFonts w:ascii="Book Antiqua" w:hAnsi="Book Antiqua"/>
        </w:rPr>
      </w:pPr>
      <w:r>
        <w:rPr>
          <w:rFonts w:ascii="Book Antiqua" w:hAnsi="Book Antiqua"/>
        </w:rPr>
        <w:t xml:space="preserve">deter </w:t>
      </w:r>
      <w:r w:rsidRPr="006E4583">
        <w:rPr>
          <w:rFonts w:ascii="Book Antiqua" w:hAnsi="Book Antiqua"/>
        </w:rPr>
        <w:t xml:space="preserve">practices which </w:t>
      </w:r>
      <w:r>
        <w:rPr>
          <w:rFonts w:ascii="Book Antiqua" w:hAnsi="Book Antiqua"/>
        </w:rPr>
        <w:t xml:space="preserve">prevent, </w:t>
      </w:r>
      <w:r w:rsidRPr="006E4583">
        <w:rPr>
          <w:rFonts w:ascii="Book Antiqua" w:hAnsi="Book Antiqua"/>
        </w:rPr>
        <w:t xml:space="preserve">reduce or avoid the </w:t>
      </w:r>
      <w:r>
        <w:rPr>
          <w:rFonts w:ascii="Book Antiqua" w:hAnsi="Book Antiqua"/>
        </w:rPr>
        <w:t xml:space="preserve">proper </w:t>
      </w:r>
      <w:r w:rsidRPr="006E4583">
        <w:rPr>
          <w:rFonts w:ascii="Book Antiqua" w:hAnsi="Book Antiqua"/>
        </w:rPr>
        <w:t>payment of employee entitlements;</w:t>
      </w:r>
    </w:p>
    <w:p w:rsidR="009B7207" w:rsidRPr="006E4583" w:rsidRDefault="009B7207" w:rsidP="009B7207">
      <w:pPr>
        <w:pStyle w:val="ListParagraph"/>
        <w:numPr>
          <w:ilvl w:val="0"/>
          <w:numId w:val="15"/>
        </w:numPr>
        <w:rPr>
          <w:rFonts w:ascii="Book Antiqua" w:hAnsi="Book Antiqua"/>
        </w:rPr>
      </w:pPr>
      <w:r w:rsidRPr="006E4583">
        <w:rPr>
          <w:rFonts w:ascii="Book Antiqua" w:hAnsi="Book Antiqua"/>
        </w:rPr>
        <w:t>reduce improper reliance on the FEG scheme; and</w:t>
      </w:r>
    </w:p>
    <w:p w:rsidR="009B7207" w:rsidRPr="006E4583" w:rsidRDefault="009B7207" w:rsidP="009B7207">
      <w:pPr>
        <w:pStyle w:val="ListParagraph"/>
        <w:numPr>
          <w:ilvl w:val="0"/>
          <w:numId w:val="15"/>
        </w:numPr>
        <w:rPr>
          <w:rFonts w:ascii="Book Antiqua" w:hAnsi="Book Antiqua"/>
        </w:rPr>
      </w:pPr>
      <w:proofErr w:type="gramStart"/>
      <w:r w:rsidRPr="006E4583">
        <w:rPr>
          <w:rFonts w:ascii="Book Antiqua" w:hAnsi="Book Antiqua"/>
        </w:rPr>
        <w:t>increase</w:t>
      </w:r>
      <w:proofErr w:type="gramEnd"/>
      <w:r w:rsidRPr="006E4583">
        <w:rPr>
          <w:rFonts w:ascii="Book Antiqua" w:hAnsi="Book Antiqua"/>
        </w:rPr>
        <w:t xml:space="preserve"> the consequences for corporate wrongdoing.</w:t>
      </w:r>
    </w:p>
    <w:p w:rsidR="009E565A" w:rsidRDefault="009E565A" w:rsidP="009B7207">
      <w:r>
        <w:t>The paper asks for submissions on whether these changes should be adopted wholly or partly, or if other changes would be appropriate to rectify the issues identified at ‘3.4 </w:t>
      </w:r>
      <w:proofErr w:type="gramStart"/>
      <w:r>
        <w:t>The</w:t>
      </w:r>
      <w:proofErr w:type="gramEnd"/>
      <w:r>
        <w:t> need for law reform.’</w:t>
      </w:r>
    </w:p>
    <w:p w:rsidR="009B7207" w:rsidRDefault="009B7207" w:rsidP="009B7207">
      <w:r w:rsidRPr="006E4583">
        <w:t>Any amendments proposed to the law (including potential</w:t>
      </w:r>
      <w:r w:rsidRPr="00F954AC">
        <w:t xml:space="preserve"> changes to the Corporations Act) will </w:t>
      </w:r>
      <w:r w:rsidR="009E565A">
        <w:t>be largely tailored to mitigate the impact on the FEG scheme</w:t>
      </w:r>
      <w:r>
        <w:t>, and will be compl</w:t>
      </w:r>
      <w:r w:rsidR="008F70B9">
        <w:t>e</w:t>
      </w:r>
      <w:r w:rsidRPr="00F954AC">
        <w:t xml:space="preserve">mentary to and support other </w:t>
      </w:r>
      <w:r>
        <w:t xml:space="preserve">Australian </w:t>
      </w:r>
      <w:r w:rsidRPr="00F954AC">
        <w:t xml:space="preserve">Government processes, </w:t>
      </w:r>
      <w:r>
        <w:t>so as not to hinder the ability of company directors to manage their corporate affairs while striving for commercial success, and more broadly supporting innovation and business rescue.</w:t>
      </w:r>
      <w:r>
        <w:rPr>
          <w:rStyle w:val="FootnoteReference"/>
        </w:rPr>
        <w:footnoteReference w:id="20"/>
      </w:r>
    </w:p>
    <w:p w:rsidR="004854F7" w:rsidRDefault="004854F7">
      <w:pPr>
        <w:spacing w:after="0" w:line="240" w:lineRule="auto"/>
        <w:jc w:val="left"/>
      </w:pPr>
      <w:r>
        <w:br w:type="page"/>
      </w:r>
    </w:p>
    <w:p w:rsidR="006E4583" w:rsidRDefault="006E4583" w:rsidP="006E4583">
      <w:pPr>
        <w:pStyle w:val="Heading2"/>
      </w:pPr>
      <w:bookmarkStart w:id="47" w:name="_Toc481948289"/>
      <w:r>
        <w:lastRenderedPageBreak/>
        <w:t xml:space="preserve">5. Reform to Part </w:t>
      </w:r>
      <w:proofErr w:type="spellStart"/>
      <w:r>
        <w:t>5.8A</w:t>
      </w:r>
      <w:proofErr w:type="spellEnd"/>
      <w:r>
        <w:t xml:space="preserve"> of the Corporations Act</w:t>
      </w:r>
      <w:bookmarkEnd w:id="47"/>
      <w:r>
        <w:t xml:space="preserve"> </w:t>
      </w:r>
    </w:p>
    <w:p w:rsidR="009B7207" w:rsidRPr="006E4583" w:rsidRDefault="009B7207" w:rsidP="009B7207">
      <w:r>
        <w:t xml:space="preserve">The </w:t>
      </w:r>
      <w:r w:rsidRPr="006E4583">
        <w:t xml:space="preserve">provisions of Part </w:t>
      </w:r>
      <w:proofErr w:type="spellStart"/>
      <w:r w:rsidRPr="006E4583">
        <w:t>5.8A</w:t>
      </w:r>
      <w:proofErr w:type="spellEnd"/>
      <w:r w:rsidRPr="006E4583">
        <w:t xml:space="preserve"> of the Corporations Act</w:t>
      </w:r>
      <w:r w:rsidRPr="006E4583">
        <w:rPr>
          <w:i/>
        </w:rPr>
        <w:t xml:space="preserve"> </w:t>
      </w:r>
      <w:r w:rsidRPr="006E4583">
        <w:t xml:space="preserve">(the Part) were introduced into the </w:t>
      </w:r>
      <w:r>
        <w:t xml:space="preserve">law </w:t>
      </w:r>
      <w:r w:rsidRPr="006E4583">
        <w:t>in 2000</w:t>
      </w:r>
      <w:r w:rsidRPr="006E4583">
        <w:rPr>
          <w:rStyle w:val="FootnoteReference"/>
        </w:rPr>
        <w:footnoteReference w:id="21"/>
      </w:r>
      <w:r w:rsidRPr="006E4583">
        <w:t xml:space="preserve"> after a number of high profile insolvencies.</w:t>
      </w:r>
      <w:r>
        <w:rPr>
          <w:rStyle w:val="FootnoteReference"/>
        </w:rPr>
        <w:footnoteReference w:id="22"/>
      </w:r>
    </w:p>
    <w:p w:rsidR="009B7207" w:rsidRDefault="009B7207" w:rsidP="009B7207">
      <w:r>
        <w:t xml:space="preserve">The Part </w:t>
      </w:r>
      <w:r w:rsidRPr="007A3306">
        <w:t>protect</w:t>
      </w:r>
      <w:r>
        <w:t xml:space="preserve">s </w:t>
      </w:r>
      <w:r w:rsidRPr="007A3306">
        <w:t xml:space="preserve">employee entitlements </w:t>
      </w:r>
      <w:r>
        <w:t xml:space="preserve">that receive preferential payment on a winding up </w:t>
      </w:r>
      <w:r w:rsidRPr="007A3306">
        <w:t>from agreements and transactions that are entered into with the intention of defeating the recovery of those entitlements</w:t>
      </w:r>
      <w:r>
        <w:rPr>
          <w:rStyle w:val="FootnoteReference"/>
        </w:rPr>
        <w:footnoteReference w:id="23"/>
      </w:r>
      <w:r>
        <w:t xml:space="preserve"> by </w:t>
      </w:r>
    </w:p>
    <w:p w:rsidR="009B7207" w:rsidRPr="006E4583" w:rsidRDefault="009B7207" w:rsidP="009B7207">
      <w:pPr>
        <w:pStyle w:val="ListParagraph"/>
        <w:numPr>
          <w:ilvl w:val="0"/>
          <w:numId w:val="16"/>
        </w:numPr>
        <w:rPr>
          <w:rFonts w:ascii="Book Antiqua" w:hAnsi="Book Antiqua"/>
        </w:rPr>
      </w:pPr>
      <w:r w:rsidRPr="006E4583">
        <w:rPr>
          <w:rFonts w:ascii="Book Antiqua" w:hAnsi="Book Antiqua"/>
        </w:rPr>
        <w:t>making it a criminal offence for persons to intentionally enter into a</w:t>
      </w:r>
      <w:r>
        <w:rPr>
          <w:rFonts w:ascii="Book Antiqua" w:hAnsi="Book Antiqua"/>
        </w:rPr>
        <w:t xml:space="preserve"> relevant </w:t>
      </w:r>
      <w:r w:rsidRPr="006E4583">
        <w:rPr>
          <w:rFonts w:ascii="Book Antiqua" w:hAnsi="Book Antiqua"/>
        </w:rPr>
        <w:t>agreement or arrangement that prevents</w:t>
      </w:r>
      <w:r>
        <w:rPr>
          <w:rFonts w:ascii="Book Antiqua" w:hAnsi="Book Antiqua"/>
        </w:rPr>
        <w:t xml:space="preserve"> the payment of, or </w:t>
      </w:r>
      <w:r w:rsidRPr="006E4583">
        <w:rPr>
          <w:rFonts w:ascii="Book Antiqua" w:hAnsi="Book Antiqua"/>
        </w:rPr>
        <w:t xml:space="preserve">avoids or </w:t>
      </w:r>
      <w:r>
        <w:rPr>
          <w:rFonts w:ascii="Book Antiqua" w:hAnsi="Book Antiqua"/>
        </w:rPr>
        <w:t xml:space="preserve">significantly </w:t>
      </w:r>
      <w:r w:rsidRPr="006E4583">
        <w:rPr>
          <w:rFonts w:ascii="Book Antiqua" w:hAnsi="Book Antiqua"/>
        </w:rPr>
        <w:t>reduces some or all of a company’s employee entitlement liabilities;</w:t>
      </w:r>
      <w:r w:rsidRPr="006E4583">
        <w:rPr>
          <w:rStyle w:val="FootnoteReference"/>
          <w:rFonts w:ascii="Book Antiqua" w:hAnsi="Book Antiqua"/>
        </w:rPr>
        <w:footnoteReference w:id="24"/>
      </w:r>
      <w:r w:rsidRPr="006E4583">
        <w:rPr>
          <w:rFonts w:ascii="Book Antiqua" w:hAnsi="Book Antiqua"/>
        </w:rPr>
        <w:t xml:space="preserve"> and</w:t>
      </w:r>
    </w:p>
    <w:p w:rsidR="009B7207" w:rsidRPr="006E4583" w:rsidRDefault="009B7207" w:rsidP="009B7207">
      <w:pPr>
        <w:pStyle w:val="ListParagraph"/>
        <w:numPr>
          <w:ilvl w:val="0"/>
          <w:numId w:val="16"/>
        </w:numPr>
        <w:rPr>
          <w:rFonts w:ascii="Book Antiqua" w:hAnsi="Book Antiqua"/>
        </w:rPr>
      </w:pPr>
      <w:proofErr w:type="gramStart"/>
      <w:r w:rsidRPr="006E4583">
        <w:rPr>
          <w:rFonts w:ascii="Book Antiqua" w:hAnsi="Book Antiqua"/>
        </w:rPr>
        <w:t>allowing</w:t>
      </w:r>
      <w:proofErr w:type="gramEnd"/>
      <w:r w:rsidRPr="006E4583">
        <w:rPr>
          <w:rFonts w:ascii="Book Antiqua" w:hAnsi="Book Antiqua"/>
        </w:rPr>
        <w:t xml:space="preserve"> a civil action to be brought by the liquidator (or employees in </w:t>
      </w:r>
      <w:r>
        <w:rPr>
          <w:rFonts w:ascii="Book Antiqua" w:hAnsi="Book Antiqua"/>
        </w:rPr>
        <w:t>select</w:t>
      </w:r>
      <w:r w:rsidRPr="006E4583">
        <w:rPr>
          <w:rFonts w:ascii="Book Antiqua" w:hAnsi="Book Antiqua"/>
        </w:rPr>
        <w:t xml:space="preserve"> circumstances) to recover the loss or damage incurred by the avoidance of the employee entitlements.</w:t>
      </w:r>
      <w:r w:rsidRPr="006E4583">
        <w:rPr>
          <w:rStyle w:val="FootnoteReference"/>
          <w:rFonts w:ascii="Book Antiqua" w:hAnsi="Book Antiqua"/>
        </w:rPr>
        <w:footnoteReference w:id="25"/>
      </w:r>
    </w:p>
    <w:p w:rsidR="009B7207" w:rsidRPr="006E4583" w:rsidRDefault="009B7207" w:rsidP="009B7207">
      <w:r w:rsidRPr="006E4583">
        <w:t>Since being introduced into the Corporations Act, the</w:t>
      </w:r>
      <w:r>
        <w:t>re have been no successful criminal or civil court actions under the</w:t>
      </w:r>
      <w:r w:rsidRPr="006E4583">
        <w:t xml:space="preserve"> provisions in the Part.</w:t>
      </w:r>
      <w:r>
        <w:rPr>
          <w:rStyle w:val="FootnoteReference"/>
        </w:rPr>
        <w:footnoteReference w:id="26"/>
      </w:r>
      <w:r w:rsidRPr="006E4583">
        <w:t xml:space="preserve"> </w:t>
      </w:r>
    </w:p>
    <w:p w:rsidR="009B7207" w:rsidRPr="006E4583" w:rsidRDefault="009B7207" w:rsidP="009B7207">
      <w:r w:rsidRPr="006E4583">
        <w:t>Reasons for this may include that:</w:t>
      </w:r>
    </w:p>
    <w:p w:rsidR="009B7207" w:rsidRDefault="009B7207" w:rsidP="009B7207">
      <w:pPr>
        <w:pStyle w:val="ListParagraph"/>
        <w:numPr>
          <w:ilvl w:val="0"/>
          <w:numId w:val="17"/>
        </w:numPr>
        <w:rPr>
          <w:rFonts w:ascii="Book Antiqua" w:hAnsi="Book Antiqua"/>
        </w:rPr>
      </w:pPr>
      <w:r w:rsidRPr="008976E1">
        <w:rPr>
          <w:rFonts w:ascii="Book Antiqua" w:hAnsi="Book Antiqua"/>
        </w:rPr>
        <w:t xml:space="preserve">section </w:t>
      </w:r>
      <w:proofErr w:type="spellStart"/>
      <w:r w:rsidRPr="008976E1">
        <w:rPr>
          <w:rFonts w:ascii="Book Antiqua" w:hAnsi="Book Antiqua"/>
        </w:rPr>
        <w:t>596AB</w:t>
      </w:r>
      <w:proofErr w:type="spellEnd"/>
      <w:r w:rsidRPr="008976E1">
        <w:rPr>
          <w:rFonts w:ascii="Book Antiqua" w:hAnsi="Book Antiqua"/>
        </w:rPr>
        <w:t xml:space="preserve"> requires proof of a person’s actual, subjective intention to avoid some or all of the employee entitlements at the time that a </w:t>
      </w:r>
      <w:r>
        <w:rPr>
          <w:rFonts w:ascii="Book Antiqua" w:hAnsi="Book Antiqua"/>
        </w:rPr>
        <w:t>t</w:t>
      </w:r>
      <w:r w:rsidRPr="008976E1">
        <w:rPr>
          <w:rFonts w:ascii="Book Antiqua" w:hAnsi="Book Antiqua"/>
        </w:rPr>
        <w:t xml:space="preserve">ransaction occurred or </w:t>
      </w:r>
      <w:r>
        <w:rPr>
          <w:rFonts w:ascii="Book Antiqua" w:hAnsi="Book Antiqua"/>
        </w:rPr>
        <w:t xml:space="preserve">relevant agreement </w:t>
      </w:r>
      <w:r w:rsidRPr="008976E1">
        <w:rPr>
          <w:rFonts w:ascii="Book Antiqua" w:hAnsi="Book Antiqua"/>
        </w:rPr>
        <w:t>was entered into, w</w:t>
      </w:r>
      <w:r>
        <w:rPr>
          <w:rFonts w:ascii="Book Antiqua" w:hAnsi="Book Antiqua"/>
        </w:rPr>
        <w:t>hich is difficult to prove;</w:t>
      </w:r>
      <w:r>
        <w:rPr>
          <w:rStyle w:val="FootnoteReference"/>
          <w:rFonts w:ascii="Book Antiqua" w:hAnsi="Book Antiqua"/>
        </w:rPr>
        <w:footnoteReference w:id="27"/>
      </w:r>
    </w:p>
    <w:p w:rsidR="009B7207" w:rsidRPr="006E4583" w:rsidRDefault="009B7207" w:rsidP="009B7207">
      <w:pPr>
        <w:pStyle w:val="ListParagraph"/>
        <w:numPr>
          <w:ilvl w:val="0"/>
          <w:numId w:val="17"/>
        </w:numPr>
        <w:rPr>
          <w:rFonts w:ascii="Book Antiqua" w:hAnsi="Book Antiqua"/>
        </w:rPr>
      </w:pPr>
      <w:r w:rsidRPr="006E4583">
        <w:rPr>
          <w:rFonts w:ascii="Book Antiqua" w:hAnsi="Book Antiqua"/>
        </w:rPr>
        <w:t xml:space="preserve">the core provisions </w:t>
      </w:r>
      <w:r>
        <w:rPr>
          <w:rFonts w:ascii="Book Antiqua" w:hAnsi="Book Antiqua"/>
        </w:rPr>
        <w:t xml:space="preserve">of </w:t>
      </w:r>
      <w:r w:rsidR="00CA20D1">
        <w:rPr>
          <w:rFonts w:ascii="Book Antiqua" w:hAnsi="Book Antiqua"/>
        </w:rPr>
        <w:t>the Part (section</w:t>
      </w:r>
      <w:r w:rsidRPr="006E4583">
        <w:rPr>
          <w:rFonts w:ascii="Book Antiqua" w:hAnsi="Book Antiqua"/>
        </w:rPr>
        <w:t xml:space="preserve"> </w:t>
      </w:r>
      <w:proofErr w:type="spellStart"/>
      <w:r w:rsidRPr="006E4583">
        <w:rPr>
          <w:rFonts w:ascii="Book Antiqua" w:hAnsi="Book Antiqua"/>
        </w:rPr>
        <w:t>596AB</w:t>
      </w:r>
      <w:proofErr w:type="spellEnd"/>
      <w:r w:rsidRPr="006E4583">
        <w:rPr>
          <w:rFonts w:ascii="Book Antiqua" w:hAnsi="Book Antiqua"/>
        </w:rPr>
        <w:t xml:space="preserve"> and </w:t>
      </w:r>
      <w:r w:rsidR="00CA20D1">
        <w:rPr>
          <w:rFonts w:ascii="Book Antiqua" w:hAnsi="Book Antiqua"/>
        </w:rPr>
        <w:t xml:space="preserve">section </w:t>
      </w:r>
      <w:proofErr w:type="spellStart"/>
      <w:r w:rsidRPr="006E4583">
        <w:rPr>
          <w:rFonts w:ascii="Book Antiqua" w:hAnsi="Book Antiqua"/>
        </w:rPr>
        <w:t>596AC</w:t>
      </w:r>
      <w:proofErr w:type="spellEnd"/>
      <w:r w:rsidRPr="006E4583">
        <w:rPr>
          <w:rFonts w:ascii="Book Antiqua" w:hAnsi="Book Antiqua"/>
        </w:rPr>
        <w:t>) are awkwardly drafted;</w:t>
      </w:r>
      <w:r w:rsidRPr="006E4583">
        <w:rPr>
          <w:rStyle w:val="FootnoteReference"/>
          <w:rFonts w:ascii="Book Antiqua" w:hAnsi="Book Antiqua"/>
        </w:rPr>
        <w:footnoteReference w:id="28"/>
      </w:r>
      <w:r>
        <w:rPr>
          <w:rFonts w:ascii="Book Antiqua" w:hAnsi="Book Antiqua"/>
        </w:rPr>
        <w:t xml:space="preserve"> and</w:t>
      </w:r>
      <w:r w:rsidRPr="006E4583">
        <w:rPr>
          <w:rFonts w:ascii="Book Antiqua" w:hAnsi="Book Antiqua"/>
        </w:rPr>
        <w:t xml:space="preserve"> </w:t>
      </w:r>
    </w:p>
    <w:p w:rsidR="006E4583" w:rsidRPr="006E4583" w:rsidRDefault="009B7207" w:rsidP="009B7207">
      <w:pPr>
        <w:pStyle w:val="ListParagraph"/>
        <w:numPr>
          <w:ilvl w:val="0"/>
          <w:numId w:val="17"/>
        </w:numPr>
        <w:rPr>
          <w:rFonts w:ascii="Book Antiqua" w:hAnsi="Book Antiqua"/>
        </w:rPr>
      </w:pPr>
      <w:proofErr w:type="gramStart"/>
      <w:r>
        <w:rPr>
          <w:rFonts w:ascii="Book Antiqua" w:hAnsi="Book Antiqua"/>
        </w:rPr>
        <w:t>the</w:t>
      </w:r>
      <w:proofErr w:type="gramEnd"/>
      <w:r>
        <w:rPr>
          <w:rFonts w:ascii="Book Antiqua" w:hAnsi="Book Antiqua"/>
        </w:rPr>
        <w:t xml:space="preserve"> provisions of the Part (and the explanation in the accompanying explanatory memorandum)</w:t>
      </w:r>
      <w:r w:rsidRPr="006E4583">
        <w:rPr>
          <w:rStyle w:val="FootnoteReference"/>
          <w:rFonts w:ascii="Book Antiqua" w:hAnsi="Book Antiqua"/>
        </w:rPr>
        <w:footnoteReference w:id="29"/>
      </w:r>
      <w:r>
        <w:rPr>
          <w:rFonts w:ascii="Book Antiqua" w:hAnsi="Book Antiqua"/>
        </w:rPr>
        <w:t xml:space="preserve"> </w:t>
      </w:r>
      <w:r w:rsidRPr="006E4583">
        <w:rPr>
          <w:rFonts w:ascii="Book Antiqua" w:hAnsi="Book Antiqua"/>
        </w:rPr>
        <w:t>do not define</w:t>
      </w:r>
      <w:r>
        <w:rPr>
          <w:rFonts w:ascii="Book Antiqua" w:hAnsi="Book Antiqua"/>
        </w:rPr>
        <w:t xml:space="preserve"> with sufficient clarity</w:t>
      </w:r>
      <w:r w:rsidRPr="006E4583">
        <w:rPr>
          <w:rFonts w:ascii="Book Antiqua" w:hAnsi="Book Antiqua"/>
        </w:rPr>
        <w:t xml:space="preserve"> the </w:t>
      </w:r>
      <w:r>
        <w:rPr>
          <w:rFonts w:ascii="Book Antiqua" w:hAnsi="Book Antiqua"/>
        </w:rPr>
        <w:t>circumstances and scenarios in which the Part is anticipated to operate, as well as the persons to whom it may apply.</w:t>
      </w:r>
      <w:r w:rsidRPr="006E4583">
        <w:rPr>
          <w:rStyle w:val="FootnoteReference"/>
          <w:rFonts w:ascii="Book Antiqua" w:hAnsi="Book Antiqua"/>
        </w:rPr>
        <w:footnoteReference w:id="30"/>
      </w:r>
    </w:p>
    <w:p w:rsidR="006E4583" w:rsidRDefault="00BE3010" w:rsidP="006E4583">
      <w:r>
        <w:lastRenderedPageBreak/>
        <w:t xml:space="preserve">As such, </w:t>
      </w:r>
      <w:r w:rsidR="00930A16">
        <w:t xml:space="preserve">it seems </w:t>
      </w:r>
      <w:r w:rsidR="00701A45">
        <w:t xml:space="preserve">relevant parties such as liquidators and employees </w:t>
      </w:r>
      <w:r w:rsidR="00840F7D">
        <w:t xml:space="preserve">believe </w:t>
      </w:r>
      <w:r w:rsidR="00701A45">
        <w:t xml:space="preserve">the Part is too </w:t>
      </w:r>
      <w:r w:rsidR="006E4583">
        <w:t xml:space="preserve">difficult to utilise, which </w:t>
      </w:r>
      <w:r w:rsidR="00503D32">
        <w:t xml:space="preserve">is </w:t>
      </w:r>
      <w:r w:rsidR="006E4583">
        <w:t xml:space="preserve">borne out by the lack of </w:t>
      </w:r>
      <w:r w:rsidR="00503D32">
        <w:t xml:space="preserve">actions pursued </w:t>
      </w:r>
      <w:r w:rsidR="00840F7D">
        <w:t xml:space="preserve">under </w:t>
      </w:r>
      <w:r w:rsidR="000345C7">
        <w:t>it</w:t>
      </w:r>
      <w:r w:rsidR="006E4583">
        <w:t xml:space="preserve">. </w:t>
      </w:r>
    </w:p>
    <w:p w:rsidR="006E4583" w:rsidRDefault="00974692" w:rsidP="006E4583">
      <w:r>
        <w:t>Also, t</w:t>
      </w:r>
      <w:r w:rsidR="006E4583" w:rsidRPr="00B4026A">
        <w:t xml:space="preserve">he majority of academic commentary on the </w:t>
      </w:r>
      <w:r w:rsidR="006E4583">
        <w:t xml:space="preserve">Part argues that reform to improve </w:t>
      </w:r>
      <w:r w:rsidR="00840F7D">
        <w:t xml:space="preserve">its </w:t>
      </w:r>
      <w:r w:rsidR="006E4583">
        <w:t>operation is desirable</w:t>
      </w:r>
      <w:r w:rsidR="00503D32">
        <w:t xml:space="preserve"> and necessary</w:t>
      </w:r>
      <w:r w:rsidR="006E4583">
        <w:t>.</w:t>
      </w:r>
      <w:r w:rsidR="006E4583">
        <w:rPr>
          <w:rStyle w:val="FootnoteReference"/>
        </w:rPr>
        <w:footnoteReference w:id="31"/>
      </w:r>
      <w:r w:rsidR="006E4583" w:rsidRPr="00B4026A">
        <w:t xml:space="preserve"> </w:t>
      </w:r>
    </w:p>
    <w:p w:rsidR="006E4583" w:rsidRDefault="006E4583" w:rsidP="006E4583">
      <w:r>
        <w:t xml:space="preserve">This paper sets out potential reforms to strengthen the </w:t>
      </w:r>
      <w:r w:rsidRPr="00C2099D">
        <w:t xml:space="preserve">Part </w:t>
      </w:r>
      <w:r>
        <w:t>so that it becomes a</w:t>
      </w:r>
      <w:r w:rsidR="00840F7D">
        <w:t xml:space="preserve"> more </w:t>
      </w:r>
      <w:r>
        <w:t xml:space="preserve">effective deterrent to those who </w:t>
      </w:r>
      <w:r w:rsidR="00771C9E">
        <w:t>intend to misuse the system</w:t>
      </w:r>
      <w:r>
        <w:t xml:space="preserve">. </w:t>
      </w:r>
    </w:p>
    <w:p w:rsidR="006E4583" w:rsidRDefault="006E4583" w:rsidP="006E4583">
      <w:r>
        <w:t xml:space="preserve">Making the Part operate </w:t>
      </w:r>
      <w:r w:rsidR="00840F7D">
        <w:t xml:space="preserve">more </w:t>
      </w:r>
      <w:r>
        <w:t>effectively will help deter corporate misuse of the FEG scheme and improve the recovery of FEG payments.</w:t>
      </w:r>
    </w:p>
    <w:p w:rsidR="006E4583" w:rsidRDefault="006E4583" w:rsidP="005300C1">
      <w:pPr>
        <w:pStyle w:val="Heading3"/>
        <w:ind w:left="567" w:hanging="567"/>
      </w:pPr>
      <w:bookmarkStart w:id="48" w:name="_Toc477939013"/>
      <w:bookmarkStart w:id="49" w:name="_Toc480975478"/>
      <w:bookmarkStart w:id="50" w:name="_Toc481070341"/>
      <w:bookmarkStart w:id="51" w:name="_Toc481948290"/>
      <w:r>
        <w:t xml:space="preserve">5.1 Option 1: </w:t>
      </w:r>
      <w:r w:rsidR="003F0A71">
        <w:t>Extend</w:t>
      </w:r>
      <w:r>
        <w:t xml:space="preserve"> the fault element in section </w:t>
      </w:r>
      <w:proofErr w:type="spellStart"/>
      <w:r>
        <w:t>596AB</w:t>
      </w:r>
      <w:proofErr w:type="spellEnd"/>
      <w:r>
        <w:t xml:space="preserve"> to </w:t>
      </w:r>
      <w:r w:rsidR="003F0A71">
        <w:t xml:space="preserve">include </w:t>
      </w:r>
      <w:r>
        <w:t>recklessness</w:t>
      </w:r>
      <w:bookmarkEnd w:id="48"/>
      <w:r>
        <w:t xml:space="preserve"> </w:t>
      </w:r>
      <w:r w:rsidR="00541FD8">
        <w:t>and increase the maximum penalty</w:t>
      </w:r>
      <w:bookmarkEnd w:id="49"/>
      <w:bookmarkEnd w:id="50"/>
      <w:bookmarkEnd w:id="51"/>
    </w:p>
    <w:p w:rsidR="00575F06" w:rsidRDefault="00000E87" w:rsidP="00575F06">
      <w:r>
        <w:t>An</w:t>
      </w:r>
      <w:r w:rsidR="00575F06">
        <w:t xml:space="preserve"> option to enhance the operation of the Part is to </w:t>
      </w:r>
      <w:r w:rsidR="00541FD8">
        <w:t xml:space="preserve">extend </w:t>
      </w:r>
      <w:r w:rsidR="00575F06">
        <w:t>the fault element required to contravene subsection </w:t>
      </w:r>
      <w:proofErr w:type="spellStart"/>
      <w:r w:rsidR="00575F06">
        <w:t>596AB</w:t>
      </w:r>
      <w:proofErr w:type="spellEnd"/>
      <w:r w:rsidR="00575F06">
        <w:t xml:space="preserve">(1) from a person’s actual, subjective intention to </w:t>
      </w:r>
      <w:r w:rsidR="00541FD8">
        <w:t xml:space="preserve">also include </w:t>
      </w:r>
      <w:r w:rsidR="00575F06">
        <w:t>a person recklessly entering into an agreement or arrangement that prevented the recovery of, or avoided some or all of a company’s employee entitlement liabilities.</w:t>
      </w:r>
    </w:p>
    <w:p w:rsidR="00575F06" w:rsidRDefault="00575F06" w:rsidP="00575F06">
      <w:r>
        <w:t>Broadly, recklessness is a level of culpability where a person is aware of a substantial risk that a circumstance or result exists or will occur, and having regard to the circumstances known to them, it is unjustifiable for them to take that risk.</w:t>
      </w:r>
      <w:r>
        <w:rPr>
          <w:rStyle w:val="FootnoteReference"/>
        </w:rPr>
        <w:footnoteReference w:id="32"/>
      </w:r>
      <w:r>
        <w:t xml:space="preserve"> </w:t>
      </w:r>
    </w:p>
    <w:p w:rsidR="00575F06" w:rsidRDefault="00575F06" w:rsidP="00575F06">
      <w:r>
        <w:t>Adopting recklessness as the fault element for the criminal offence in section </w:t>
      </w:r>
      <w:proofErr w:type="spellStart"/>
      <w:r>
        <w:t>596AB</w:t>
      </w:r>
      <w:proofErr w:type="spellEnd"/>
      <w:r>
        <w:t xml:space="preserve"> should make it easier for the Australian Securities &amp; Investments Commission (</w:t>
      </w:r>
      <w:proofErr w:type="spellStart"/>
      <w:r>
        <w:t>ASIC</w:t>
      </w:r>
      <w:proofErr w:type="spellEnd"/>
      <w:r>
        <w:t>) to prosecute persons for contraventions of the section.</w:t>
      </w:r>
    </w:p>
    <w:p w:rsidR="006E4583" w:rsidRDefault="00575F06" w:rsidP="00575F06">
      <w:r>
        <w:t xml:space="preserve">Making such a change to section </w:t>
      </w:r>
      <w:proofErr w:type="spellStart"/>
      <w:r>
        <w:t>596AB</w:t>
      </w:r>
      <w:proofErr w:type="spellEnd"/>
      <w:r>
        <w:t xml:space="preserve"> should also enable liquidators and employees to more easily undertake civil recovery action</w:t>
      </w:r>
      <w:r w:rsidR="003E1948">
        <w:t xml:space="preserve">. This is because </w:t>
      </w:r>
      <w:r>
        <w:t xml:space="preserve">section </w:t>
      </w:r>
      <w:proofErr w:type="spellStart"/>
      <w:r>
        <w:t>596AC</w:t>
      </w:r>
      <w:proofErr w:type="spellEnd"/>
      <w:r>
        <w:t xml:space="preserve"> allows recovery for the loss or damage incurred by the avoidance of the employee entitlements from persons who contravene section </w:t>
      </w:r>
      <w:proofErr w:type="spellStart"/>
      <w:r>
        <w:t>596AB</w:t>
      </w:r>
      <w:proofErr w:type="spellEnd"/>
      <w:r w:rsidR="003D0CD8">
        <w:t xml:space="preserve"> </w:t>
      </w:r>
      <w:r>
        <w:t xml:space="preserve">but </w:t>
      </w:r>
      <w:r w:rsidR="003E1948">
        <w:t xml:space="preserve">only </w:t>
      </w:r>
      <w:r>
        <w:t>proved on the balance of probabilities.</w:t>
      </w:r>
      <w:r>
        <w:rPr>
          <w:rStyle w:val="FootnoteReference"/>
        </w:rPr>
        <w:footnoteReference w:id="33"/>
      </w:r>
      <w:r>
        <w:t xml:space="preserve"> This said, courts </w:t>
      </w:r>
      <w:r w:rsidR="006C6087">
        <w:t>would likely take into account ‘</w:t>
      </w:r>
      <w:r>
        <w:t>the gravity of the matter alleged</w:t>
      </w:r>
      <w:r w:rsidR="006C6087">
        <w:t>’</w:t>
      </w:r>
      <w:r>
        <w:rPr>
          <w:rStyle w:val="FootnoteReference"/>
        </w:rPr>
        <w:footnoteReference w:id="34"/>
      </w:r>
      <w:r>
        <w:t xml:space="preserve"> (being an allegation </w:t>
      </w:r>
      <w:r>
        <w:lastRenderedPageBreak/>
        <w:t xml:space="preserve">of criminal conduct in breach of section </w:t>
      </w:r>
      <w:proofErr w:type="spellStart"/>
      <w:r>
        <w:t>596AB</w:t>
      </w:r>
      <w:proofErr w:type="spellEnd"/>
      <w:r>
        <w:t>) such that a finding that a person breached section </w:t>
      </w:r>
      <w:proofErr w:type="spellStart"/>
      <w:r>
        <w:t>596AB</w:t>
      </w:r>
      <w:proofErr w:type="spellEnd"/>
      <w:r>
        <w:t xml:space="preserve"> on the balance of probabilities, would not likely be lightly made by </w:t>
      </w:r>
      <w:r w:rsidR="00F779E2">
        <w:t>a</w:t>
      </w:r>
      <w:r>
        <w:t xml:space="preserve"> court.</w:t>
      </w:r>
      <w:r>
        <w:rPr>
          <w:rStyle w:val="FootnoteReference"/>
        </w:rPr>
        <w:footnoteReference w:id="35"/>
      </w:r>
    </w:p>
    <w:p w:rsidR="000C3781" w:rsidRDefault="000C3781" w:rsidP="000C3781">
      <w:r>
        <w:t>Consideration should also be given to increasing the maximum penalties</w:t>
      </w:r>
      <w:r w:rsidR="00F779E2">
        <w:t xml:space="preserve"> for breaches of section </w:t>
      </w:r>
      <w:proofErr w:type="spellStart"/>
      <w:r w:rsidR="00F779E2">
        <w:t>596AB</w:t>
      </w:r>
      <w:proofErr w:type="spellEnd"/>
      <w:r w:rsidR="00F779E2">
        <w:t xml:space="preserve">. </w:t>
      </w:r>
      <w:r>
        <w:t>For example, the current penalty of 1</w:t>
      </w:r>
      <w:r w:rsidR="00921F04">
        <w:t>,000 penalty units or ten </w:t>
      </w:r>
      <w:r>
        <w:t xml:space="preserve">years imprisonment (subject to the </w:t>
      </w:r>
      <w:r w:rsidR="00921F04">
        <w:t>five</w:t>
      </w:r>
      <w:r>
        <w:t xml:space="preserve"> times multiplier for a corporation) could be replaced with a maximum penalty of 4,500 penalty units, or </w:t>
      </w:r>
      <w:r w:rsidR="00921F04">
        <w:t xml:space="preserve">three </w:t>
      </w:r>
      <w:r>
        <w:t xml:space="preserve">times the loss suffered or benefit gained, or </w:t>
      </w:r>
      <w:r w:rsidR="00921F04">
        <w:t>ten </w:t>
      </w:r>
      <w:r>
        <w:t xml:space="preserve">years imprisonment (subject to the </w:t>
      </w:r>
      <w:r w:rsidR="00921F04">
        <w:t>five</w:t>
      </w:r>
      <w:r>
        <w:t xml:space="preserve"> times multiplier for a corporation). </w:t>
      </w:r>
    </w:p>
    <w:p w:rsidR="006C6087" w:rsidRDefault="003E1948" w:rsidP="000C3781">
      <w:r>
        <w:t>Other changes may also be required to ensure the provision acts as a genuine disincentive to the avoidance of employee entitlements</w:t>
      </w:r>
      <w:r w:rsidR="00745E91">
        <w:t>.</w:t>
      </w:r>
    </w:p>
    <w:p w:rsidR="006E4583" w:rsidRDefault="00354D01" w:rsidP="005300C1">
      <w:pPr>
        <w:pStyle w:val="Heading3"/>
        <w:ind w:left="567" w:hanging="567"/>
      </w:pPr>
      <w:bookmarkStart w:id="52" w:name="_Toc477939014"/>
      <w:bookmarkStart w:id="53" w:name="_Toc480975479"/>
      <w:bookmarkStart w:id="54" w:name="_Toc481070342"/>
      <w:bookmarkStart w:id="55" w:name="_Toc481948291"/>
      <w:r>
        <w:t xml:space="preserve">5.2 Option 2: </w:t>
      </w:r>
      <w:r w:rsidR="000C3781">
        <w:t>Introduce a separate civil penalty provision with an objective test</w:t>
      </w:r>
      <w:bookmarkEnd w:id="52"/>
      <w:bookmarkEnd w:id="53"/>
      <w:bookmarkEnd w:id="54"/>
      <w:bookmarkEnd w:id="55"/>
    </w:p>
    <w:p w:rsidR="006E4583" w:rsidRDefault="00000E87" w:rsidP="006E4583">
      <w:r>
        <w:t>This option would</w:t>
      </w:r>
      <w:r w:rsidR="00B607D9">
        <w:t xml:space="preserve"> </w:t>
      </w:r>
      <w:r w:rsidR="000C3781">
        <w:t xml:space="preserve">create a </w:t>
      </w:r>
      <w:r w:rsidR="006E4583">
        <w:t xml:space="preserve">civil </w:t>
      </w:r>
      <w:r w:rsidR="000C3781">
        <w:t xml:space="preserve">penalty provision which is separate </w:t>
      </w:r>
      <w:r w:rsidR="006E4583">
        <w:t>from the criminal offence provision (section</w:t>
      </w:r>
      <w:r w:rsidR="00241089">
        <w:t> </w:t>
      </w:r>
      <w:proofErr w:type="spellStart"/>
      <w:r w:rsidR="006E4583">
        <w:t>596AB</w:t>
      </w:r>
      <w:proofErr w:type="spellEnd"/>
      <w:r w:rsidR="006E4583">
        <w:t>).</w:t>
      </w:r>
    </w:p>
    <w:p w:rsidR="000C3781" w:rsidRDefault="000C3781" w:rsidP="000C3781">
      <w:r>
        <w:t>A civil penalty is a punitive sanction imposed by a court applying civil court processes</w:t>
      </w:r>
      <w:r>
        <w:rPr>
          <w:vertAlign w:val="superscript"/>
        </w:rPr>
        <w:footnoteReference w:id="36"/>
      </w:r>
      <w:r>
        <w:t xml:space="preserve"> with the sanction often being financial in nature.</w:t>
      </w:r>
      <w:r>
        <w:rPr>
          <w:vertAlign w:val="superscript"/>
        </w:rPr>
        <w:footnoteReference w:id="37"/>
      </w:r>
      <w:r>
        <w:t xml:space="preserve"> Such penalties are founded on the notion of preventing or punishing public harm.</w:t>
      </w:r>
      <w:r>
        <w:rPr>
          <w:vertAlign w:val="superscript"/>
        </w:rPr>
        <w:footnoteReference w:id="38"/>
      </w:r>
    </w:p>
    <w:p w:rsidR="000C3781" w:rsidRDefault="000C3781" w:rsidP="000C3781">
      <w:r>
        <w:t>Civil penalty provisions within the Corporations Act allow courts to order individual defendants to pay penalties of up to $200,000 where there has been a breach of a relevant civil provision.</w:t>
      </w:r>
      <w:r>
        <w:rPr>
          <w:vertAlign w:val="superscript"/>
        </w:rPr>
        <w:footnoteReference w:id="39"/>
      </w:r>
      <w:r>
        <w:t xml:space="preserve"> Once a court decides a breach of a civil penalty provision has occurred, </w:t>
      </w:r>
      <w:proofErr w:type="spellStart"/>
      <w:r>
        <w:t>ASIC</w:t>
      </w:r>
      <w:proofErr w:type="spellEnd"/>
      <w:r>
        <w:t xml:space="preserve"> can apply to the court to seek disqualification orders of relevant persons from managing corporations for a period of time that the court considers appropriate.</w:t>
      </w:r>
      <w:r>
        <w:rPr>
          <w:vertAlign w:val="superscript"/>
        </w:rPr>
        <w:footnoteReference w:id="40"/>
      </w:r>
    </w:p>
    <w:p w:rsidR="000C3781" w:rsidRDefault="000C3781" w:rsidP="000C3781">
      <w:r>
        <w:t>A breach of the proposed civil penalty provision would give rise to a right to seek a compensation order and thus the existing compensation order under section </w:t>
      </w:r>
      <w:proofErr w:type="spellStart"/>
      <w:r>
        <w:t>596AC</w:t>
      </w:r>
      <w:proofErr w:type="spellEnd"/>
      <w:r>
        <w:t xml:space="preserve"> would be superfluous and could be repealed.</w:t>
      </w:r>
    </w:p>
    <w:p w:rsidR="000C3781" w:rsidRDefault="000C3781" w:rsidP="006E4583">
      <w:r>
        <w:t>The new civil penalty provision would be based on an objective test, for which two possible options are outlined below.  These are</w:t>
      </w:r>
    </w:p>
    <w:p w:rsidR="006E4583" w:rsidRPr="006E4583" w:rsidRDefault="006E4583" w:rsidP="00B607D9">
      <w:pPr>
        <w:pStyle w:val="ListParagraph"/>
        <w:numPr>
          <w:ilvl w:val="0"/>
          <w:numId w:val="18"/>
        </w:numPr>
        <w:jc w:val="both"/>
        <w:rPr>
          <w:rFonts w:ascii="Book Antiqua" w:hAnsi="Book Antiqua"/>
        </w:rPr>
      </w:pPr>
      <w:r w:rsidRPr="006E4583">
        <w:rPr>
          <w:rFonts w:ascii="Book Antiqua" w:hAnsi="Book Antiqua"/>
        </w:rPr>
        <w:t xml:space="preserve">a test based on what a reasonable person would have known or be expected to have known about the </w:t>
      </w:r>
      <w:r w:rsidR="007374F7">
        <w:rPr>
          <w:rFonts w:ascii="Book Antiqua" w:hAnsi="Book Antiqua"/>
        </w:rPr>
        <w:t xml:space="preserve">relevant agreement </w:t>
      </w:r>
      <w:r w:rsidRPr="006E4583">
        <w:rPr>
          <w:rFonts w:ascii="Book Antiqua" w:hAnsi="Book Antiqua"/>
        </w:rPr>
        <w:t xml:space="preserve">or transaction that occurred (Option </w:t>
      </w:r>
      <w:proofErr w:type="spellStart"/>
      <w:r w:rsidRPr="006E4583">
        <w:rPr>
          <w:rFonts w:ascii="Book Antiqua" w:hAnsi="Book Antiqua"/>
        </w:rPr>
        <w:t>2A</w:t>
      </w:r>
      <w:proofErr w:type="spellEnd"/>
      <w:r w:rsidRPr="006E4583">
        <w:rPr>
          <w:rFonts w:ascii="Book Antiqua" w:hAnsi="Book Antiqua"/>
        </w:rPr>
        <w:t>); and</w:t>
      </w:r>
    </w:p>
    <w:p w:rsidR="006E4583" w:rsidRPr="006E4583" w:rsidRDefault="006E4583" w:rsidP="00B607D9">
      <w:pPr>
        <w:pStyle w:val="ListParagraph"/>
        <w:numPr>
          <w:ilvl w:val="0"/>
          <w:numId w:val="18"/>
        </w:numPr>
        <w:jc w:val="both"/>
        <w:rPr>
          <w:rFonts w:ascii="Book Antiqua" w:hAnsi="Book Antiqua"/>
        </w:rPr>
      </w:pPr>
      <w:proofErr w:type="gramStart"/>
      <w:r w:rsidRPr="006E4583">
        <w:rPr>
          <w:rFonts w:ascii="Book Antiqua" w:hAnsi="Book Antiqua"/>
        </w:rPr>
        <w:lastRenderedPageBreak/>
        <w:t>a</w:t>
      </w:r>
      <w:proofErr w:type="gramEnd"/>
      <w:r w:rsidRPr="006E4583">
        <w:rPr>
          <w:rFonts w:ascii="Book Antiqua" w:hAnsi="Book Antiqua"/>
        </w:rPr>
        <w:t xml:space="preserve"> test based on an objective assessment of the</w:t>
      </w:r>
      <w:r w:rsidR="007374F7">
        <w:rPr>
          <w:rFonts w:ascii="Book Antiqua" w:hAnsi="Book Antiqua"/>
        </w:rPr>
        <w:t xml:space="preserve"> relevant agreement </w:t>
      </w:r>
      <w:r w:rsidRPr="006E4583">
        <w:rPr>
          <w:rFonts w:ascii="Book Antiqua" w:hAnsi="Book Antiqua"/>
        </w:rPr>
        <w:t>or transaction itself (Option </w:t>
      </w:r>
      <w:proofErr w:type="spellStart"/>
      <w:r w:rsidRPr="006E4583">
        <w:rPr>
          <w:rFonts w:ascii="Book Antiqua" w:hAnsi="Book Antiqua"/>
        </w:rPr>
        <w:t>2B</w:t>
      </w:r>
      <w:proofErr w:type="spellEnd"/>
      <w:r w:rsidRPr="006E4583">
        <w:rPr>
          <w:rFonts w:ascii="Book Antiqua" w:hAnsi="Book Antiqua"/>
        </w:rPr>
        <w:t>).</w:t>
      </w:r>
    </w:p>
    <w:p w:rsidR="006E4583" w:rsidRPr="00230737" w:rsidRDefault="006E4583" w:rsidP="005300C1">
      <w:pPr>
        <w:pStyle w:val="Heading3"/>
        <w:ind w:left="720" w:hanging="720"/>
      </w:pPr>
      <w:bookmarkStart w:id="56" w:name="_Toc477939015"/>
      <w:bookmarkStart w:id="57" w:name="_Toc480975480"/>
      <w:bookmarkStart w:id="58" w:name="_Toc481070343"/>
      <w:bookmarkStart w:id="59" w:name="_Toc481948292"/>
      <w:r w:rsidRPr="00230737">
        <w:t xml:space="preserve">5.2.1 Option </w:t>
      </w:r>
      <w:proofErr w:type="spellStart"/>
      <w:r w:rsidRPr="00230737">
        <w:t>2A</w:t>
      </w:r>
      <w:proofErr w:type="spellEnd"/>
      <w:r w:rsidRPr="00230737">
        <w:t xml:space="preserve">: </w:t>
      </w:r>
      <w:r w:rsidR="00354D01" w:rsidRPr="00230737">
        <w:t>T</w:t>
      </w:r>
      <w:r w:rsidR="00091EE6" w:rsidRPr="00230737">
        <w:t xml:space="preserve">est </w:t>
      </w:r>
      <w:r w:rsidRPr="00230737">
        <w:t>based on what a reasonable person would have known or be expected to have known</w:t>
      </w:r>
      <w:bookmarkEnd w:id="56"/>
      <w:bookmarkEnd w:id="57"/>
      <w:bookmarkEnd w:id="58"/>
      <w:bookmarkEnd w:id="59"/>
      <w:r w:rsidRPr="00230737">
        <w:t xml:space="preserve"> </w:t>
      </w:r>
    </w:p>
    <w:p w:rsidR="00FC1F02" w:rsidRDefault="00575F06" w:rsidP="006E4583">
      <w:r>
        <w:t xml:space="preserve">Under this option, section </w:t>
      </w:r>
      <w:proofErr w:type="spellStart"/>
      <w:r>
        <w:t>596AC</w:t>
      </w:r>
      <w:proofErr w:type="spellEnd"/>
      <w:r>
        <w:t xml:space="preserve"> would be amended so that a contravention would be based on what a reasonable person</w:t>
      </w:r>
      <w:r>
        <w:rPr>
          <w:rStyle w:val="FootnoteReference"/>
        </w:rPr>
        <w:footnoteReference w:id="41"/>
      </w:r>
      <w:r>
        <w:t xml:space="preserve"> would have known, or would be expected to have known, in the particular circumstances about the relevant agreements and transactions, which caused loss or damage to employees by the prevention of the payment, or the avoidance or reduction of employee entitlements.</w:t>
      </w:r>
    </w:p>
    <w:p w:rsidR="00575F06" w:rsidRDefault="00575F06" w:rsidP="00575F06">
      <w:r>
        <w:t>Such an amended section would require an assessment to be made about what a reasonable person would know or would be expected to have known in the actual circumstances of the case. This assessment would then be used to determine whether the relevant person would or ought to have known that the relevant agreements or transactions would cause the loss or damage that occurred to the employees.</w:t>
      </w:r>
    </w:p>
    <w:p w:rsidR="00575F06" w:rsidRDefault="00921F04" w:rsidP="00575F06">
      <w:r>
        <w:t>As an example, a</w:t>
      </w:r>
      <w:r w:rsidR="00575F06" w:rsidRPr="00807D5B">
        <w:t>ssume</w:t>
      </w:r>
      <w:r>
        <w:t xml:space="preserve"> </w:t>
      </w:r>
      <w:r w:rsidR="00575F06" w:rsidRPr="00807D5B">
        <w:t>a company director transfer</w:t>
      </w:r>
      <w:r>
        <w:t>red</w:t>
      </w:r>
      <w:r w:rsidR="00575F06" w:rsidRPr="00807D5B">
        <w:t xml:space="preserve"> almost all the company’s assets to a related entity as part of a restructure, a</w:t>
      </w:r>
      <w:r>
        <w:t>nd soon afterwards the company wa</w:t>
      </w:r>
      <w:r w:rsidR="00575F06" w:rsidRPr="00807D5B">
        <w:t>s put into liquidation with all the employees being made redundant and with no funds available to pay employee entitlements. If the value of the transferred assets would have been sufficient to pay most of the debts of the company, a reasonable person in such circumstances would either have to know or be reasonably expected to have known that such a transfer of assets would cause the loss or damage to the employees by reduction or avoidance of payments of employee entitlements.</w:t>
      </w:r>
    </w:p>
    <w:p w:rsidR="00575F06" w:rsidRDefault="00921F04" w:rsidP="00575F06">
      <w:r>
        <w:t xml:space="preserve">Reformed in this way, </w:t>
      </w:r>
      <w:r w:rsidR="00575F06">
        <w:t xml:space="preserve">section </w:t>
      </w:r>
      <w:proofErr w:type="spellStart"/>
      <w:r w:rsidR="00575F06">
        <w:t>596AC</w:t>
      </w:r>
      <w:proofErr w:type="spellEnd"/>
      <w:r w:rsidR="00575F06">
        <w:t xml:space="preserve"> would not only strengthen the Part but would also be grounded in and supported by long established common law principles.</w:t>
      </w:r>
    </w:p>
    <w:p w:rsidR="00575F06" w:rsidRDefault="003E1948" w:rsidP="00575F06">
      <w:r>
        <w:t xml:space="preserve">Such an </w:t>
      </w:r>
      <w:r w:rsidR="00575F06">
        <w:t xml:space="preserve">amendment </w:t>
      </w:r>
      <w:r>
        <w:t>would be likely to</w:t>
      </w:r>
      <w:r w:rsidR="00575F06">
        <w:t xml:space="preserve"> result in a broader capture of behaviour and operate as a more effective deterrent to reduce sub</w:t>
      </w:r>
      <w:r w:rsidR="00575F06">
        <w:noBreakHyphen/>
        <w:t>optimal corporate practices, so reducing the costs of and moral hazard associated with the FEG scheme.</w:t>
      </w:r>
    </w:p>
    <w:p w:rsidR="00575F06" w:rsidRDefault="00575F06" w:rsidP="00575F06">
      <w:bookmarkStart w:id="60" w:name="_Toc477939016"/>
      <w:r>
        <w:t>Amending the Part as outlined would require careful redrafting to avoid inadvertent or inappropriate impacts upon legitimate business operations, including the ability to genuinely restructure an otherwise viable business.</w:t>
      </w:r>
    </w:p>
    <w:p w:rsidR="00BB0A6A" w:rsidRPr="00230737" w:rsidRDefault="006E4583" w:rsidP="005300C1">
      <w:pPr>
        <w:pStyle w:val="Heading3"/>
        <w:ind w:left="720" w:hanging="720"/>
      </w:pPr>
      <w:bookmarkStart w:id="61" w:name="_Toc480975481"/>
      <w:bookmarkStart w:id="62" w:name="_Toc481070344"/>
      <w:bookmarkStart w:id="63" w:name="_Toc481948293"/>
      <w:r w:rsidRPr="00230737">
        <w:t xml:space="preserve">5.2.2 Option </w:t>
      </w:r>
      <w:proofErr w:type="spellStart"/>
      <w:r w:rsidRPr="00230737">
        <w:t>2B</w:t>
      </w:r>
      <w:proofErr w:type="spellEnd"/>
      <w:r w:rsidRPr="00230737">
        <w:t xml:space="preserve">: </w:t>
      </w:r>
      <w:r w:rsidR="00354D01" w:rsidRPr="00230737">
        <w:t>T</w:t>
      </w:r>
      <w:r w:rsidR="00091EE6" w:rsidRPr="00230737">
        <w:t>est based on o</w:t>
      </w:r>
      <w:r w:rsidRPr="00230737">
        <w:t xml:space="preserve">bjective assessment of the </w:t>
      </w:r>
      <w:r w:rsidR="00BD514C" w:rsidRPr="00230737">
        <w:t xml:space="preserve">agreement </w:t>
      </w:r>
      <w:r w:rsidRPr="00230737">
        <w:t>or transaction</w:t>
      </w:r>
      <w:bookmarkEnd w:id="60"/>
      <w:bookmarkEnd w:id="61"/>
      <w:bookmarkEnd w:id="62"/>
      <w:bookmarkEnd w:id="63"/>
    </w:p>
    <w:p w:rsidR="000C18AE" w:rsidRDefault="00575F06" w:rsidP="00575F06">
      <w:r>
        <w:t xml:space="preserve">Under this option, section </w:t>
      </w:r>
      <w:proofErr w:type="spellStart"/>
      <w:r>
        <w:t>596AC</w:t>
      </w:r>
      <w:proofErr w:type="spellEnd"/>
      <w:r>
        <w:t xml:space="preserve"> would be amended so that contravention of the section would be based on an objective assessment of the agreement or transaction which is claimed to have caused loss or damage to employees due to the prevention of the payment, or the avoidance or reduction of payments, of employee entitlements. </w:t>
      </w:r>
    </w:p>
    <w:p w:rsidR="000C18AE" w:rsidRDefault="00B74112" w:rsidP="000C18AE">
      <w:r>
        <w:lastRenderedPageBreak/>
        <w:t xml:space="preserve">The </w:t>
      </w:r>
      <w:r w:rsidR="000C18AE">
        <w:t>objective assessment would be required to be made of the actual agreement or transaction in the circumstances of the case to determine whether it was a reasonable transaction or agreement in those circumstances.</w:t>
      </w:r>
    </w:p>
    <w:p w:rsidR="00575F06" w:rsidRDefault="00575F06" w:rsidP="00575F06">
      <w:r>
        <w:t xml:space="preserve">Specific statutory guidelines may be introduced to assist a court in the </w:t>
      </w:r>
      <w:r w:rsidR="00B74112">
        <w:t xml:space="preserve">reasonableness </w:t>
      </w:r>
      <w:r>
        <w:t>assessment of the agreement or transaction, which could include consideration of factors such as:</w:t>
      </w:r>
    </w:p>
    <w:p w:rsidR="00575F06" w:rsidRDefault="00575F06" w:rsidP="00575F06">
      <w:pPr>
        <w:pStyle w:val="ListParagraph"/>
        <w:numPr>
          <w:ilvl w:val="0"/>
          <w:numId w:val="18"/>
        </w:numPr>
        <w:rPr>
          <w:rFonts w:ascii="Book Antiqua" w:hAnsi="Book Antiqua"/>
        </w:rPr>
      </w:pPr>
      <w:bookmarkStart w:id="64" w:name="_Toc477939017"/>
      <w:r w:rsidRPr="007A6ACB">
        <w:rPr>
          <w:rFonts w:ascii="Book Antiqua" w:hAnsi="Book Antiqua"/>
        </w:rPr>
        <w:t>the benefit or detriment to the company in entering the agreement or transaction</w:t>
      </w:r>
      <w:r>
        <w:rPr>
          <w:rFonts w:ascii="Book Antiqua" w:hAnsi="Book Antiqua"/>
        </w:rPr>
        <w:t>;</w:t>
      </w:r>
    </w:p>
    <w:p w:rsidR="00575F06" w:rsidRDefault="00575F06" w:rsidP="00575F06">
      <w:pPr>
        <w:pStyle w:val="ListParagraph"/>
        <w:numPr>
          <w:ilvl w:val="0"/>
          <w:numId w:val="18"/>
        </w:numPr>
        <w:rPr>
          <w:rFonts w:ascii="Book Antiqua" w:hAnsi="Book Antiqua"/>
        </w:rPr>
      </w:pPr>
      <w:r w:rsidRPr="007A6ACB">
        <w:rPr>
          <w:rFonts w:ascii="Book Antiqua" w:hAnsi="Book Antiqua"/>
        </w:rPr>
        <w:t xml:space="preserve">the </w:t>
      </w:r>
      <w:r>
        <w:rPr>
          <w:rFonts w:ascii="Book Antiqua" w:hAnsi="Book Antiqua"/>
        </w:rPr>
        <w:t xml:space="preserve">respective </w:t>
      </w:r>
      <w:r w:rsidRPr="007A6ACB">
        <w:rPr>
          <w:rFonts w:ascii="Book Antiqua" w:hAnsi="Book Antiqua"/>
        </w:rPr>
        <w:t>benefit or detriment to</w:t>
      </w:r>
      <w:r>
        <w:rPr>
          <w:rFonts w:ascii="Book Antiqua" w:hAnsi="Book Antiqua"/>
        </w:rPr>
        <w:t xml:space="preserve"> other parties of</w:t>
      </w:r>
      <w:r w:rsidRPr="007A6ACB">
        <w:rPr>
          <w:rFonts w:ascii="Book Antiqua" w:hAnsi="Book Antiqua"/>
        </w:rPr>
        <w:t xml:space="preserve"> the company entering the agreement or transaction</w:t>
      </w:r>
      <w:r>
        <w:rPr>
          <w:rFonts w:ascii="Book Antiqua" w:hAnsi="Book Antiqua"/>
        </w:rPr>
        <w:t>; and</w:t>
      </w:r>
    </w:p>
    <w:p w:rsidR="00575F06" w:rsidRDefault="00575F06" w:rsidP="00575F06">
      <w:pPr>
        <w:pStyle w:val="ListParagraph"/>
        <w:numPr>
          <w:ilvl w:val="0"/>
          <w:numId w:val="18"/>
        </w:numPr>
        <w:rPr>
          <w:rFonts w:ascii="Book Antiqua" w:hAnsi="Book Antiqua"/>
        </w:rPr>
      </w:pPr>
      <w:proofErr w:type="gramStart"/>
      <w:r>
        <w:rPr>
          <w:rFonts w:ascii="Book Antiqua" w:hAnsi="Book Antiqua"/>
        </w:rPr>
        <w:t>whether</w:t>
      </w:r>
      <w:proofErr w:type="gramEnd"/>
      <w:r>
        <w:rPr>
          <w:rFonts w:ascii="Book Antiqua" w:hAnsi="Book Antiqua"/>
        </w:rPr>
        <w:t xml:space="preserve"> the agreement or transaction was commercially reasonable including an assessment of any other legitimate purposes </w:t>
      </w:r>
      <w:r w:rsidR="00A84091">
        <w:rPr>
          <w:rFonts w:ascii="Book Antiqua" w:hAnsi="Book Antiqua"/>
        </w:rPr>
        <w:t xml:space="preserve">to </w:t>
      </w:r>
      <w:r>
        <w:rPr>
          <w:rFonts w:ascii="Book Antiqua" w:hAnsi="Book Antiqua"/>
        </w:rPr>
        <w:t>the business for entering into it.</w:t>
      </w:r>
    </w:p>
    <w:p w:rsidR="00575F06" w:rsidRDefault="00575F06" w:rsidP="00575F06">
      <w:r>
        <w:t>Ultimately, the decision as to the reasonableness of the agreement or transaction would be made on the balance of probabilities.</w:t>
      </w:r>
    </w:p>
    <w:p w:rsidR="00575F06" w:rsidRDefault="000C18AE" w:rsidP="00575F06">
      <w:r>
        <w:t xml:space="preserve">The advantage of this amendment is it would not require </w:t>
      </w:r>
      <w:r w:rsidR="00B74112">
        <w:t>determination or assessment of t</w:t>
      </w:r>
      <w:r>
        <w:t xml:space="preserve">he intent of the alleged perpetrator. </w:t>
      </w:r>
      <w:r w:rsidR="00575F06">
        <w:t>In a similar vein to Option </w:t>
      </w:r>
      <w:proofErr w:type="spellStart"/>
      <w:r w:rsidR="00575F06">
        <w:t>2A</w:t>
      </w:r>
      <w:proofErr w:type="spellEnd"/>
      <w:r w:rsidR="00575F06">
        <w:t>, such an amendment would strengthen the operation of section </w:t>
      </w:r>
      <w:proofErr w:type="spellStart"/>
      <w:r w:rsidR="00575F06">
        <w:t>596AC</w:t>
      </w:r>
      <w:proofErr w:type="spellEnd"/>
      <w:r w:rsidR="00575F06">
        <w:t xml:space="preserve"> with case law on what are reasonable agreements or transactions developing over time.</w:t>
      </w:r>
    </w:p>
    <w:p w:rsidR="006E4583" w:rsidRDefault="006E4583" w:rsidP="005300C1">
      <w:pPr>
        <w:pStyle w:val="Heading3"/>
      </w:pPr>
      <w:bookmarkStart w:id="65" w:name="_Toc480975482"/>
      <w:bookmarkStart w:id="66" w:name="_Toc481070345"/>
      <w:bookmarkStart w:id="67" w:name="_Toc481948294"/>
      <w:r>
        <w:t xml:space="preserve">5.3 Option 3: </w:t>
      </w:r>
      <w:r w:rsidR="00354D01">
        <w:t>E</w:t>
      </w:r>
      <w:r w:rsidR="002B5DD7">
        <w:t xml:space="preserve">xpand the </w:t>
      </w:r>
      <w:r w:rsidR="004E6AA4">
        <w:t xml:space="preserve">parties </w:t>
      </w:r>
      <w:r w:rsidR="002C2BE3">
        <w:t>who</w:t>
      </w:r>
      <w:r w:rsidR="00340E13">
        <w:t xml:space="preserve"> may </w:t>
      </w:r>
      <w:r w:rsidR="004E6AA4">
        <w:t xml:space="preserve">initiate </w:t>
      </w:r>
      <w:r w:rsidR="00340E13">
        <w:t>civil action</w:t>
      </w:r>
      <w:bookmarkEnd w:id="64"/>
      <w:bookmarkEnd w:id="65"/>
      <w:bookmarkEnd w:id="66"/>
      <w:bookmarkEnd w:id="67"/>
    </w:p>
    <w:p w:rsidR="00575F06" w:rsidRDefault="00E35011" w:rsidP="00E35011">
      <w:r>
        <w:t xml:space="preserve">The deterrent effect of the Part and the </w:t>
      </w:r>
      <w:r w:rsidR="00575F06">
        <w:t xml:space="preserve">effectiveness of section </w:t>
      </w:r>
      <w:proofErr w:type="spellStart"/>
      <w:r w:rsidR="00575F06">
        <w:t>596AC</w:t>
      </w:r>
      <w:proofErr w:type="spellEnd"/>
      <w:r w:rsidR="00575F06">
        <w:t xml:space="preserve"> could be increased by allowing a wider range of parties to initiate civil recovery actions under the section. </w:t>
      </w:r>
    </w:p>
    <w:p w:rsidR="00575F06" w:rsidRDefault="00575F06" w:rsidP="00575F06">
      <w:r>
        <w:t xml:space="preserve">Currently the liquidator of a company and former employees of the company in certain circumstances, have standing to bring civil actions under section </w:t>
      </w:r>
      <w:proofErr w:type="spellStart"/>
      <w:r>
        <w:t>596AC</w:t>
      </w:r>
      <w:proofErr w:type="spellEnd"/>
      <w:r>
        <w:t>.</w:t>
      </w:r>
      <w:r>
        <w:rPr>
          <w:rStyle w:val="FootnoteReference"/>
        </w:rPr>
        <w:footnoteReference w:id="42"/>
      </w:r>
      <w:r>
        <w:t xml:space="preserve"> </w:t>
      </w:r>
    </w:p>
    <w:p w:rsidR="00575F06" w:rsidRDefault="00575F06" w:rsidP="00575F06">
      <w:r>
        <w:t>To encourage greater use of the provision which would lead to enhanced recovery, the section could be amended so that</w:t>
      </w:r>
      <w:r w:rsidR="00000E87">
        <w:t xml:space="preserve"> the following entities could bring an action for suspected breach of section </w:t>
      </w:r>
      <w:proofErr w:type="spellStart"/>
      <w:r w:rsidR="00000E87">
        <w:t>596AC</w:t>
      </w:r>
      <w:proofErr w:type="spellEnd"/>
      <w:r w:rsidR="00000E87">
        <w:t xml:space="preserve"> as long as the liquidator did not intend to bring that action</w:t>
      </w:r>
      <w:r>
        <w:t>:</w:t>
      </w:r>
    </w:p>
    <w:p w:rsidR="00575F06" w:rsidRDefault="00575F06" w:rsidP="00575F06">
      <w:pPr>
        <w:pStyle w:val="ListParagraph"/>
        <w:numPr>
          <w:ilvl w:val="0"/>
          <w:numId w:val="19"/>
        </w:numPr>
        <w:rPr>
          <w:rFonts w:ascii="Book Antiqua" w:hAnsi="Book Antiqua"/>
        </w:rPr>
      </w:pPr>
      <w:r w:rsidRPr="00340E13">
        <w:rPr>
          <w:rFonts w:ascii="Book Antiqua" w:hAnsi="Book Antiqua"/>
        </w:rPr>
        <w:t>the Department of Emplo</w:t>
      </w:r>
      <w:r>
        <w:rPr>
          <w:rFonts w:ascii="Book Antiqua" w:hAnsi="Book Antiqua"/>
        </w:rPr>
        <w:t>yment, when FEG has been paid;</w:t>
      </w:r>
    </w:p>
    <w:p w:rsidR="00575F06" w:rsidRDefault="00575F06" w:rsidP="00575F06">
      <w:pPr>
        <w:pStyle w:val="ListParagraph"/>
        <w:numPr>
          <w:ilvl w:val="0"/>
          <w:numId w:val="19"/>
        </w:numPr>
        <w:rPr>
          <w:rFonts w:ascii="Book Antiqua" w:hAnsi="Book Antiqua"/>
        </w:rPr>
      </w:pPr>
      <w:r w:rsidRPr="00340E13">
        <w:rPr>
          <w:rFonts w:ascii="Book Antiqua" w:hAnsi="Book Antiqua"/>
        </w:rPr>
        <w:t>the Fair Work Ombudsman</w:t>
      </w:r>
      <w:r>
        <w:rPr>
          <w:rFonts w:ascii="Book Antiqua" w:hAnsi="Book Antiqua"/>
        </w:rPr>
        <w:t xml:space="preserve">, </w:t>
      </w:r>
      <w:r w:rsidRPr="00340E13">
        <w:rPr>
          <w:rFonts w:ascii="Book Antiqua" w:hAnsi="Book Antiqua"/>
        </w:rPr>
        <w:t xml:space="preserve">for matters which </w:t>
      </w:r>
      <w:r>
        <w:rPr>
          <w:rFonts w:ascii="Book Antiqua" w:hAnsi="Book Antiqua"/>
        </w:rPr>
        <w:t xml:space="preserve">were being investigated after which the </w:t>
      </w:r>
      <w:r w:rsidRPr="00340E13">
        <w:rPr>
          <w:rFonts w:ascii="Book Antiqua" w:hAnsi="Book Antiqua"/>
        </w:rPr>
        <w:t>employer was put into liquidation</w:t>
      </w:r>
      <w:r>
        <w:rPr>
          <w:rFonts w:ascii="Book Antiqua" w:hAnsi="Book Antiqua"/>
        </w:rPr>
        <w:t xml:space="preserve">; and </w:t>
      </w:r>
    </w:p>
    <w:p w:rsidR="00575F06" w:rsidRPr="00340E13" w:rsidRDefault="00575F06" w:rsidP="00575F06">
      <w:pPr>
        <w:pStyle w:val="ListParagraph"/>
        <w:numPr>
          <w:ilvl w:val="0"/>
          <w:numId w:val="19"/>
        </w:numPr>
        <w:rPr>
          <w:rFonts w:ascii="Book Antiqua" w:hAnsi="Book Antiqua"/>
        </w:rPr>
      </w:pPr>
      <w:proofErr w:type="gramStart"/>
      <w:r w:rsidRPr="00340E13">
        <w:rPr>
          <w:rFonts w:ascii="Book Antiqua" w:hAnsi="Book Antiqua"/>
        </w:rPr>
        <w:t>the</w:t>
      </w:r>
      <w:proofErr w:type="gramEnd"/>
      <w:r w:rsidRPr="00340E13">
        <w:rPr>
          <w:rFonts w:ascii="Book Antiqua" w:hAnsi="Book Antiqua"/>
        </w:rPr>
        <w:t xml:space="preserve"> Australian Taxation Office, where the reduced or avoided entitlements included superannuation guarantee</w:t>
      </w:r>
      <w:r>
        <w:rPr>
          <w:rFonts w:ascii="Book Antiqua" w:hAnsi="Book Antiqua"/>
        </w:rPr>
        <w:t xml:space="preserve"> amounts</w:t>
      </w:r>
      <w:r w:rsidR="001F2AF5">
        <w:rPr>
          <w:rFonts w:ascii="Book Antiqua" w:hAnsi="Book Antiqua"/>
        </w:rPr>
        <w:t>.</w:t>
      </w:r>
    </w:p>
    <w:p w:rsidR="006E4583" w:rsidRDefault="00354D01" w:rsidP="005300C1">
      <w:pPr>
        <w:pStyle w:val="Heading3"/>
      </w:pPr>
      <w:bookmarkStart w:id="68" w:name="_Toc477939018"/>
      <w:bookmarkStart w:id="69" w:name="_Toc480975483"/>
      <w:bookmarkStart w:id="70" w:name="_Toc481070346"/>
      <w:bookmarkStart w:id="71" w:name="_Toc481948295"/>
      <w:r>
        <w:t xml:space="preserve">5.4 Option 4: </w:t>
      </w:r>
      <w:r w:rsidR="00E35011">
        <w:t>Addressing other issues with the Part’s drafting</w:t>
      </w:r>
      <w:bookmarkEnd w:id="68"/>
      <w:bookmarkEnd w:id="69"/>
      <w:bookmarkEnd w:id="70"/>
      <w:bookmarkEnd w:id="71"/>
    </w:p>
    <w:p w:rsidR="00575F06" w:rsidRDefault="00575F06" w:rsidP="00575F06">
      <w:r>
        <w:t xml:space="preserve">It is anticipated that adoption of </w:t>
      </w:r>
      <w:r w:rsidR="004E6AA4">
        <w:t xml:space="preserve">some of the </w:t>
      </w:r>
      <w:r>
        <w:t>options mentioned above will strengthen the Part significantly. However making such amendments would not address all the issues identified with the Part, such as the lack of clarity</w:t>
      </w:r>
      <w:r w:rsidRPr="006E4583">
        <w:t xml:space="preserve"> </w:t>
      </w:r>
      <w:r>
        <w:t>regarding the circumstances and scenarios in which the Part is intended to operate, the persons it applies to,</w:t>
      </w:r>
      <w:r w:rsidR="004E6AA4">
        <w:rPr>
          <w:rStyle w:val="FootnoteReference"/>
        </w:rPr>
        <w:footnoteReference w:id="43"/>
      </w:r>
      <w:r>
        <w:t xml:space="preserve"> and the deterrent impact that an amended section </w:t>
      </w:r>
      <w:proofErr w:type="spellStart"/>
      <w:r>
        <w:t>596AB</w:t>
      </w:r>
      <w:proofErr w:type="spellEnd"/>
      <w:r>
        <w:t xml:space="preserve"> may have as a criminal offence.</w:t>
      </w:r>
    </w:p>
    <w:p w:rsidR="00575F06" w:rsidRDefault="00575F06" w:rsidP="00575F06">
      <w:r>
        <w:lastRenderedPageBreak/>
        <w:t xml:space="preserve">To address these </w:t>
      </w:r>
      <w:r w:rsidR="00E35011">
        <w:t xml:space="preserve">specific </w:t>
      </w:r>
      <w:r>
        <w:t xml:space="preserve">issues with the Part, it may be more appropriate to redraft </w:t>
      </w:r>
      <w:r w:rsidR="004E6AA4">
        <w:t xml:space="preserve">it </w:t>
      </w:r>
      <w:r>
        <w:t xml:space="preserve">using current understandings of compliance issues and </w:t>
      </w:r>
      <w:r w:rsidRPr="00E35011">
        <w:t>sharp corporate practices</w:t>
      </w:r>
      <w:r>
        <w:rPr>
          <w:i/>
        </w:rPr>
        <w:t xml:space="preserve"> </w:t>
      </w:r>
      <w:r>
        <w:t xml:space="preserve">to better tailor </w:t>
      </w:r>
      <w:r w:rsidR="004E6AA4">
        <w:t>the Part</w:t>
      </w:r>
      <w:r>
        <w:t xml:space="preserve">, to ensure it operates effectively. Redrafting the Part will also provide an opportunity to clarify that it does apply to specific scenarios such as illegal phoenix company activity and relevant transactions within corporate groups. </w:t>
      </w:r>
    </w:p>
    <w:p w:rsidR="00575F06" w:rsidRDefault="00575F06" w:rsidP="00575F06">
      <w:r>
        <w:t xml:space="preserve">In line with this approach, it would also be useful to expand the matters (currently being ‘relevant agreements’ and ‘transactions’) to which the Part applies, to ensure it achieves its aim to capture a </w:t>
      </w:r>
      <w:r w:rsidR="00A467E6">
        <w:t xml:space="preserve">wide </w:t>
      </w:r>
      <w:r>
        <w:t xml:space="preserve">range of potential behaviours which </w:t>
      </w:r>
      <w:r w:rsidR="004E6AA4">
        <w:t xml:space="preserve">can </w:t>
      </w:r>
      <w:r>
        <w:t xml:space="preserve">lead to the avoidance of employee entitlements. </w:t>
      </w:r>
    </w:p>
    <w:p w:rsidR="00575F06" w:rsidRDefault="00575F06" w:rsidP="00575F06">
      <w:r>
        <w:t>The definitions of ‘relevant agreements’ and ‘arrangements’ used in the Part are broadly defined</w:t>
      </w:r>
      <w:r>
        <w:rPr>
          <w:rStyle w:val="FootnoteReference"/>
        </w:rPr>
        <w:footnoteReference w:id="44"/>
      </w:r>
      <w:r>
        <w:t xml:space="preserve"> to include formal and informal arrangements, written or oral agreements, as well as understandings, even where they are part of a series or are a combination of these things.</w:t>
      </w:r>
      <w:r>
        <w:rPr>
          <w:rStyle w:val="FootnoteReference"/>
        </w:rPr>
        <w:footnoteReference w:id="45"/>
      </w:r>
      <w:r>
        <w:t xml:space="preserve">  </w:t>
      </w:r>
    </w:p>
    <w:p w:rsidR="00575F06" w:rsidRDefault="00575F06" w:rsidP="00575F06">
      <w:r>
        <w:t xml:space="preserve">However to ensure a rewritten Part comprehensively protects employee entitlements, and for the avoidance of doubt about the matters the Part applies to, the situations captured by the Part </w:t>
      </w:r>
      <w:r w:rsidR="003E1948">
        <w:t xml:space="preserve">could </w:t>
      </w:r>
      <w:r>
        <w:t>be expanded to ‘cover the field’.</w:t>
      </w:r>
    </w:p>
    <w:p w:rsidR="00575F06" w:rsidRDefault="00575F06" w:rsidP="00575F06">
      <w:r>
        <w:t xml:space="preserve">One approach </w:t>
      </w:r>
      <w:r w:rsidR="003E1948">
        <w:t xml:space="preserve">to achieve this </w:t>
      </w:r>
      <w:r>
        <w:t xml:space="preserve">would be to adopt a comprehensive definition of the matters </w:t>
      </w:r>
      <w:r w:rsidR="003E1948">
        <w:t xml:space="preserve">to </w:t>
      </w:r>
      <w:r>
        <w:t>which the Part applies</w:t>
      </w:r>
      <w:r w:rsidR="003E1948">
        <w:t xml:space="preserve">, </w:t>
      </w:r>
      <w:r>
        <w:t xml:space="preserve">similar to the definition of </w:t>
      </w:r>
      <w:r w:rsidRPr="000660F0">
        <w:t xml:space="preserve">‘scheme’ contained in section </w:t>
      </w:r>
      <w:proofErr w:type="spellStart"/>
      <w:r w:rsidRPr="000660F0">
        <w:t>177A</w:t>
      </w:r>
      <w:proofErr w:type="spellEnd"/>
      <w:r w:rsidRPr="000660F0">
        <w:t xml:space="preserve"> of the </w:t>
      </w:r>
      <w:r w:rsidRPr="000660F0">
        <w:rPr>
          <w:i/>
        </w:rPr>
        <w:t>Income Tax Assessment Act 1936</w:t>
      </w:r>
      <w:r w:rsidR="006877DB">
        <w:rPr>
          <w:i/>
        </w:rPr>
        <w:t xml:space="preserve"> </w:t>
      </w:r>
      <w:r w:rsidR="006877DB">
        <w:t>(</w:t>
      </w:r>
      <w:proofErr w:type="spellStart"/>
      <w:r w:rsidR="006877DB">
        <w:t>Cth</w:t>
      </w:r>
      <w:proofErr w:type="spellEnd"/>
      <w:r w:rsidR="006877DB">
        <w:t>)</w:t>
      </w:r>
      <w:r w:rsidR="003E1948">
        <w:t>.</w:t>
      </w:r>
      <w:r w:rsidRPr="000660F0">
        <w:rPr>
          <w:rStyle w:val="FootnoteReference"/>
        </w:rPr>
        <w:footnoteReference w:id="46"/>
      </w:r>
      <w:r w:rsidRPr="000660F0">
        <w:t xml:space="preserve"> </w:t>
      </w:r>
      <w:r w:rsidR="003E1948">
        <w:t xml:space="preserve">That section applies not only </w:t>
      </w:r>
      <w:r w:rsidRPr="000660F0">
        <w:t>to agreements, arrangements and understandings</w:t>
      </w:r>
      <w:r w:rsidR="003E1948">
        <w:t xml:space="preserve"> but </w:t>
      </w:r>
      <w:r w:rsidRPr="000660F0">
        <w:t>also to promises, plans, proposals, actions</w:t>
      </w:r>
      <w:r>
        <w:t>, undertakings and</w:t>
      </w:r>
      <w:r w:rsidRPr="000660F0">
        <w:t xml:space="preserve"> courses of conduct.</w:t>
      </w:r>
      <w:r>
        <w:t xml:space="preserve"> Alternatively, the current definitions of ‘relevant agreement’ or ‘transaction’ applying to the Part could be expanded to incorporate a widened range of circumstances.</w:t>
      </w:r>
    </w:p>
    <w:p w:rsidR="004450BB" w:rsidRDefault="004450BB" w:rsidP="00575F06"/>
    <w:p w:rsidR="00575F06" w:rsidRPr="006E4583" w:rsidRDefault="00575F06" w:rsidP="00575F06">
      <w:pPr>
        <w:pBdr>
          <w:top w:val="single" w:sz="4" w:space="1" w:color="auto"/>
          <w:left w:val="single" w:sz="4" w:space="4" w:color="auto"/>
          <w:bottom w:val="single" w:sz="4" w:space="1" w:color="auto"/>
          <w:right w:val="single" w:sz="4" w:space="4" w:color="auto"/>
        </w:pBdr>
        <w:rPr>
          <w:b/>
          <w:sz w:val="24"/>
          <w:szCs w:val="24"/>
        </w:rPr>
      </w:pPr>
      <w:r>
        <w:rPr>
          <w:b/>
          <w:sz w:val="24"/>
          <w:szCs w:val="24"/>
        </w:rPr>
        <w:t>QUESTIONS (</w:t>
      </w:r>
      <w:r w:rsidRPr="006E4583">
        <w:rPr>
          <w:b/>
          <w:sz w:val="24"/>
          <w:szCs w:val="24"/>
        </w:rPr>
        <w:t xml:space="preserve">REFORM OF PART </w:t>
      </w:r>
      <w:proofErr w:type="spellStart"/>
      <w:r w:rsidRPr="006E4583">
        <w:rPr>
          <w:b/>
          <w:sz w:val="24"/>
          <w:szCs w:val="24"/>
        </w:rPr>
        <w:t>5.8A</w:t>
      </w:r>
      <w:proofErr w:type="spellEnd"/>
      <w:r w:rsidR="003E1948">
        <w:rPr>
          <w:b/>
          <w:sz w:val="24"/>
          <w:szCs w:val="24"/>
        </w:rPr>
        <w:t xml:space="preserve"> OF THE CORPORATIONS ACT</w:t>
      </w:r>
      <w:r w:rsidRPr="006E4583">
        <w:rPr>
          <w:b/>
          <w:sz w:val="24"/>
          <w:szCs w:val="24"/>
        </w:rPr>
        <w:t>):</w:t>
      </w:r>
    </w:p>
    <w:p w:rsidR="00575F06" w:rsidRPr="003F3F8D" w:rsidRDefault="00575F06"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3F3F8D">
        <w:rPr>
          <w:rFonts w:ascii="Book Antiqua" w:hAnsi="Book Antiqua"/>
        </w:rPr>
        <w:t xml:space="preserve">Should Part </w:t>
      </w:r>
      <w:proofErr w:type="spellStart"/>
      <w:r w:rsidRPr="003F3F8D">
        <w:rPr>
          <w:rFonts w:ascii="Book Antiqua" w:hAnsi="Book Antiqua"/>
        </w:rPr>
        <w:t>5.8A</w:t>
      </w:r>
      <w:proofErr w:type="spellEnd"/>
      <w:r w:rsidRPr="003F3F8D">
        <w:rPr>
          <w:rFonts w:ascii="Book Antiqua" w:hAnsi="Book Antiqua"/>
        </w:rPr>
        <w:t xml:space="preserve"> be amended?</w:t>
      </w:r>
      <w:r>
        <w:rPr>
          <w:rFonts w:ascii="Book Antiqua" w:hAnsi="Book Antiqua"/>
        </w:rPr>
        <w:br/>
      </w:r>
    </w:p>
    <w:p w:rsidR="00575F06" w:rsidRPr="003F3F8D" w:rsidRDefault="00575F06"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3F3F8D">
        <w:rPr>
          <w:rFonts w:ascii="Book Antiqua" w:hAnsi="Book Antiqua"/>
        </w:rPr>
        <w:t xml:space="preserve">What are the benefits </w:t>
      </w:r>
      <w:r>
        <w:rPr>
          <w:rFonts w:ascii="Book Antiqua" w:hAnsi="Book Antiqua"/>
        </w:rPr>
        <w:t xml:space="preserve">and risks </w:t>
      </w:r>
      <w:r w:rsidRPr="003F3F8D">
        <w:rPr>
          <w:rFonts w:ascii="Book Antiqua" w:hAnsi="Book Antiqua"/>
        </w:rPr>
        <w:t xml:space="preserve">of the above options? </w:t>
      </w:r>
      <w:r w:rsidRPr="003F3F8D">
        <w:rPr>
          <w:rFonts w:ascii="Book Antiqua" w:hAnsi="Book Antiqua"/>
        </w:rPr>
        <w:br/>
      </w:r>
    </w:p>
    <w:p w:rsidR="00575F06" w:rsidRPr="00E35011" w:rsidRDefault="00E35011"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E35011">
        <w:rPr>
          <w:rFonts w:ascii="Book Antiqua" w:hAnsi="Book Antiqua"/>
        </w:rPr>
        <w:t>What are the specific drafting issues with the Part which should be addressed?</w:t>
      </w:r>
      <w:r w:rsidR="00575F06" w:rsidRPr="00E35011">
        <w:rPr>
          <w:rFonts w:ascii="Book Antiqua" w:hAnsi="Book Antiqua"/>
        </w:rPr>
        <w:br/>
      </w:r>
    </w:p>
    <w:p w:rsidR="00575F06" w:rsidRPr="006E4583" w:rsidRDefault="00575F06"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6E4583">
        <w:rPr>
          <w:rFonts w:ascii="Book Antiqua" w:hAnsi="Book Antiqua"/>
        </w:rPr>
        <w:t xml:space="preserve">Are there alternative approaches </w:t>
      </w:r>
      <w:r>
        <w:rPr>
          <w:rFonts w:ascii="Book Antiqua" w:hAnsi="Book Antiqua"/>
        </w:rPr>
        <w:t xml:space="preserve">that </w:t>
      </w:r>
      <w:r w:rsidRPr="006E4583">
        <w:rPr>
          <w:rFonts w:ascii="Book Antiqua" w:hAnsi="Book Antiqua"/>
        </w:rPr>
        <w:t xml:space="preserve">produce a genuine protection against the </w:t>
      </w:r>
      <w:r>
        <w:rPr>
          <w:rFonts w:ascii="Book Antiqua" w:hAnsi="Book Antiqua"/>
        </w:rPr>
        <w:t xml:space="preserve">avoidance, </w:t>
      </w:r>
      <w:r w:rsidRPr="006E4583">
        <w:rPr>
          <w:rFonts w:ascii="Book Antiqua" w:hAnsi="Book Antiqua"/>
        </w:rPr>
        <w:t xml:space="preserve">prevention </w:t>
      </w:r>
      <w:r>
        <w:rPr>
          <w:rFonts w:ascii="Book Antiqua" w:hAnsi="Book Antiqua"/>
        </w:rPr>
        <w:t xml:space="preserve">or reduction of </w:t>
      </w:r>
      <w:r w:rsidRPr="006E4583">
        <w:rPr>
          <w:rFonts w:ascii="Book Antiqua" w:hAnsi="Book Antiqua"/>
        </w:rPr>
        <w:t>payment of employee entitlements?  What are they?</w:t>
      </w:r>
    </w:p>
    <w:p w:rsidR="004854F7" w:rsidRPr="004A7246" w:rsidRDefault="004854F7" w:rsidP="004A7246">
      <w:r>
        <w:br w:type="page"/>
      </w:r>
    </w:p>
    <w:p w:rsidR="006E4583" w:rsidRDefault="006E4583" w:rsidP="005300C1">
      <w:pPr>
        <w:pStyle w:val="Heading2"/>
        <w:ind w:left="397" w:hanging="397"/>
      </w:pPr>
      <w:bookmarkStart w:id="72" w:name="_Toc481948296"/>
      <w:r>
        <w:lastRenderedPageBreak/>
        <w:t xml:space="preserve">6. </w:t>
      </w:r>
      <w:r w:rsidR="00AB37BE">
        <w:t xml:space="preserve">Preventing abuse of corporate group structures to avoid paying </w:t>
      </w:r>
      <w:r>
        <w:t>employee entitlements</w:t>
      </w:r>
      <w:bookmarkEnd w:id="72"/>
      <w:r>
        <w:t xml:space="preserve"> </w:t>
      </w:r>
    </w:p>
    <w:p w:rsidR="00575F06" w:rsidRDefault="00575F06" w:rsidP="00575F06">
      <w:r>
        <w:t xml:space="preserve">Many businesses operate using a group structure of several companies, with a parent company controlling the group, and each company in the group being a separate legal entity with limited liability. Such groups are often referred to as ‘company groups’ or ‘corporate groups’. </w:t>
      </w:r>
    </w:p>
    <w:p w:rsidR="00575F06" w:rsidRDefault="00575F06" w:rsidP="00575F06">
      <w:r>
        <w:t xml:space="preserve">Many medium to large enterprises operate through corporate group structures, with these groups contributing significantly to economic activity in Australia including through providing employment. Due to the scope of operation and size of many such entities, when such groups (or parts of them) collapse, they can have significant social and economic impacts. These impacts include claims on the FEG scheme that result in the provision of assistance to former group employees. </w:t>
      </w:r>
    </w:p>
    <w:p w:rsidR="00575F06" w:rsidRDefault="00575F06" w:rsidP="00575F06">
      <w:r w:rsidRPr="00564297">
        <w:t xml:space="preserve">In recent years, between five to ten per cent of </w:t>
      </w:r>
      <w:r w:rsidR="00A84091" w:rsidRPr="00564297">
        <w:t xml:space="preserve">FEG </w:t>
      </w:r>
      <w:r w:rsidRPr="00564297">
        <w:t xml:space="preserve">cases </w:t>
      </w:r>
      <w:r w:rsidR="00A84091" w:rsidRPr="00564297">
        <w:t xml:space="preserve">paid </w:t>
      </w:r>
      <w:r w:rsidRPr="00564297">
        <w:t xml:space="preserve">annually </w:t>
      </w:r>
      <w:r w:rsidR="00A84091" w:rsidRPr="00564297">
        <w:t>i</w:t>
      </w:r>
      <w:r w:rsidRPr="00564297">
        <w:t xml:space="preserve">nvolved companies which had previously formed part of a corporate group. </w:t>
      </w:r>
      <w:r w:rsidR="00A84091" w:rsidRPr="00564297">
        <w:t xml:space="preserve">Payments relating to </w:t>
      </w:r>
      <w:r w:rsidR="00564297" w:rsidRPr="00564297">
        <w:t xml:space="preserve">such entities (if you consider all insolvent entities of a group together) comprise a majority of higher cost FEG cases, where payments of $10 million or more were made. Such cases </w:t>
      </w:r>
      <w:r w:rsidR="008367D2">
        <w:t xml:space="preserve">can </w:t>
      </w:r>
      <w:r w:rsidRPr="00564297">
        <w:t xml:space="preserve">contribute substantially to the annual costs of the FEG scheme in the years (and after) </w:t>
      </w:r>
      <w:r w:rsidR="00564297" w:rsidRPr="00564297">
        <w:t xml:space="preserve">that </w:t>
      </w:r>
      <w:r w:rsidRPr="00564297">
        <w:t xml:space="preserve">the </w:t>
      </w:r>
      <w:r w:rsidR="008367D2">
        <w:t xml:space="preserve">insolvency of the </w:t>
      </w:r>
      <w:r w:rsidR="00564297" w:rsidRPr="00564297">
        <w:t xml:space="preserve">corporate group </w:t>
      </w:r>
      <w:r w:rsidR="008367D2">
        <w:t xml:space="preserve">entities </w:t>
      </w:r>
      <w:r w:rsidRPr="00564297">
        <w:t>occurred.</w:t>
      </w:r>
      <w:r>
        <w:t xml:space="preserve"> </w:t>
      </w:r>
    </w:p>
    <w:p w:rsidR="00575F06" w:rsidRDefault="00575F06" w:rsidP="00575F06">
      <w:r>
        <w:t>With corporate groups, there are few legal restrictions on the structure the group has to adopt to conduct the affairs of its business.</w:t>
      </w:r>
      <w:r>
        <w:rPr>
          <w:rStyle w:val="FootnoteReference"/>
        </w:rPr>
        <w:footnoteReference w:id="47"/>
      </w:r>
    </w:p>
    <w:p w:rsidR="00575F06" w:rsidRDefault="00575F06" w:rsidP="00575F06">
      <w:r>
        <w:t>Corporate groups can be organised in many ways including:</w:t>
      </w:r>
    </w:p>
    <w:p w:rsidR="00575F06" w:rsidRDefault="00575F06" w:rsidP="00575F06">
      <w:pPr>
        <w:pStyle w:val="ListParagraph"/>
        <w:numPr>
          <w:ilvl w:val="0"/>
          <w:numId w:val="19"/>
        </w:numPr>
        <w:rPr>
          <w:rFonts w:ascii="Book Antiqua" w:hAnsi="Book Antiqua"/>
        </w:rPr>
      </w:pPr>
      <w:r>
        <w:rPr>
          <w:rFonts w:ascii="Book Antiqua" w:hAnsi="Book Antiqua"/>
        </w:rPr>
        <w:t>v</w:t>
      </w:r>
      <w:r w:rsidRPr="00772D3E">
        <w:rPr>
          <w:rFonts w:ascii="Book Antiqua" w:hAnsi="Book Antiqua"/>
        </w:rPr>
        <w:t>ertically</w:t>
      </w:r>
      <w:r>
        <w:rPr>
          <w:rFonts w:ascii="Book Antiqua" w:hAnsi="Book Antiqua"/>
        </w:rPr>
        <w:t>, with d</w:t>
      </w:r>
      <w:r w:rsidRPr="00772D3E">
        <w:rPr>
          <w:rFonts w:ascii="Book Antiqua" w:hAnsi="Book Antiqua"/>
        </w:rPr>
        <w:t>ifferent companies in the group operating at different points in a production process</w:t>
      </w:r>
      <w:r>
        <w:rPr>
          <w:rFonts w:ascii="Book Antiqua" w:hAnsi="Book Antiqua"/>
        </w:rPr>
        <w:t>;</w:t>
      </w:r>
    </w:p>
    <w:p w:rsidR="00575F06" w:rsidRDefault="00575F06" w:rsidP="00575F06">
      <w:pPr>
        <w:pStyle w:val="ListParagraph"/>
        <w:numPr>
          <w:ilvl w:val="0"/>
          <w:numId w:val="19"/>
        </w:numPr>
        <w:rPr>
          <w:rFonts w:ascii="Book Antiqua" w:hAnsi="Book Antiqua"/>
        </w:rPr>
      </w:pPr>
      <w:r>
        <w:rPr>
          <w:rFonts w:ascii="Book Antiqua" w:hAnsi="Book Antiqua"/>
        </w:rPr>
        <w:t>on a location basis, with the business in each location (whether in a separate country, state or city) being operated by a separate company; or</w:t>
      </w:r>
    </w:p>
    <w:p w:rsidR="00575F06" w:rsidRDefault="00575F06" w:rsidP="00575F06">
      <w:pPr>
        <w:pStyle w:val="ListParagraph"/>
        <w:numPr>
          <w:ilvl w:val="0"/>
          <w:numId w:val="19"/>
        </w:numPr>
      </w:pPr>
      <w:proofErr w:type="gramStart"/>
      <w:r w:rsidRPr="00772D3E">
        <w:rPr>
          <w:rFonts w:ascii="Book Antiqua" w:hAnsi="Book Antiqua"/>
        </w:rPr>
        <w:t>on</w:t>
      </w:r>
      <w:proofErr w:type="gramEnd"/>
      <w:r w:rsidRPr="00772D3E">
        <w:rPr>
          <w:rFonts w:ascii="Book Antiqua" w:hAnsi="Book Antiqua"/>
        </w:rPr>
        <w:t xml:space="preserve"> a risk basis</w:t>
      </w:r>
      <w:r>
        <w:rPr>
          <w:rFonts w:ascii="Book Antiqua" w:hAnsi="Book Antiqua"/>
        </w:rPr>
        <w:t>, with different parts of a business segmented according to their risk profiles, with high risk ventures being operated by separate companies.</w:t>
      </w:r>
      <w:r w:rsidRPr="00340E13">
        <w:rPr>
          <w:rFonts w:ascii="Book Antiqua" w:hAnsi="Book Antiqua"/>
        </w:rPr>
        <w:t xml:space="preserve"> </w:t>
      </w:r>
    </w:p>
    <w:p w:rsidR="00575F06" w:rsidRDefault="00575F06" w:rsidP="00575F06">
      <w:r>
        <w:t xml:space="preserve">Further, it is a legitimate business practice for company groups to be structured so that employees and associated liabilities are held by one company while the assets of the group are held by other </w:t>
      </w:r>
      <w:r w:rsidR="008367D2">
        <w:t xml:space="preserve">group </w:t>
      </w:r>
      <w:r>
        <w:t>companies. This is a globally accepted business practice utilised as an effective strategy to quarantine risk.</w:t>
      </w:r>
    </w:p>
    <w:p w:rsidR="00575F06" w:rsidRPr="00564297" w:rsidRDefault="00575F06" w:rsidP="00575F06">
      <w:r>
        <w:t xml:space="preserve">While corporate groups can structure themselves in a multitude of ways, certain corporate groups may operate as a single entity where the resources of the group are deployed to meet all the obligations of all the entities in that group. </w:t>
      </w:r>
      <w:r w:rsidRPr="00564297">
        <w:t>Groups may operate in such a way because they have adopted a deed of cross</w:t>
      </w:r>
      <w:r w:rsidRPr="00564297">
        <w:noBreakHyphen/>
        <w:t>guarantee</w:t>
      </w:r>
      <w:r w:rsidR="007929E6" w:rsidRPr="00564297">
        <w:t>.</w:t>
      </w:r>
    </w:p>
    <w:p w:rsidR="00575F06" w:rsidRDefault="00575F06" w:rsidP="00575F06">
      <w:r w:rsidRPr="00564297">
        <w:t xml:space="preserve">When corporate groups </w:t>
      </w:r>
      <w:r w:rsidR="007929E6" w:rsidRPr="00564297">
        <w:t>have adopted a deed of cross-guarantee for example</w:t>
      </w:r>
      <w:r w:rsidRPr="00564297">
        <w:t>,</w:t>
      </w:r>
      <w:r w:rsidR="00BC70F6">
        <w:t xml:space="preserve"> the payment of employee entitlements should not be adversely affected by the fact that </w:t>
      </w:r>
      <w:r>
        <w:t>the group has adopted a structure where an employing entity has no assets available to pay employee entitlements in the event of insolvency, unless the whole group was to become insolvent.</w:t>
      </w:r>
    </w:p>
    <w:p w:rsidR="00575F06" w:rsidRDefault="00575F06" w:rsidP="00575F06">
      <w:r>
        <w:lastRenderedPageBreak/>
        <w:t xml:space="preserve">In corporate groups which do not operate as a single entity and </w:t>
      </w:r>
      <w:r w:rsidR="008367D2">
        <w:t xml:space="preserve">do utilise an employing entity, if </w:t>
      </w:r>
      <w:r>
        <w:t xml:space="preserve">certain group entities obtain economic benefits of </w:t>
      </w:r>
      <w:r w:rsidR="008367D2">
        <w:t xml:space="preserve">the </w:t>
      </w:r>
      <w:r>
        <w:t xml:space="preserve">employees’ work but are not charged the full-costs related to the employees (for example, by charging a rate to ensure the employing entity had sufficient resources to pay superannuation, and to provide for possible redundancies), insolvency can have the consequence of shifting cost to the FEG scheme. </w:t>
      </w:r>
    </w:p>
    <w:p w:rsidR="00575F06" w:rsidRDefault="00575F06" w:rsidP="00575F06">
      <w:r>
        <w:t>If the employing entity is placed into liquidation with no assets available to meet employee entitlements, there may be no legal ability to make any of the corporate group’</w:t>
      </w:r>
      <w:r w:rsidR="00564297">
        <w:t>s other companies (including tho</w:t>
      </w:r>
      <w:r>
        <w:t>s</w:t>
      </w:r>
      <w:r w:rsidR="00564297">
        <w:t>e</w:t>
      </w:r>
      <w:r>
        <w:t xml:space="preserve"> which hold the group’s assets) pay or otherwise contribute to the insolvent employing entity’s liabilities,</w:t>
      </w:r>
      <w:r>
        <w:rPr>
          <w:rStyle w:val="FootnoteReference"/>
        </w:rPr>
        <w:footnoteReference w:id="48"/>
      </w:r>
      <w:r>
        <w:t xml:space="preserve"> even if they have not paid for the full economic benefits they received. The unpaid employee entitlements will then be passed to the taxpayer b</w:t>
      </w:r>
      <w:r w:rsidR="00530BDD">
        <w:t>y</w:t>
      </w:r>
      <w:r>
        <w:t xml:space="preserve"> reason of FEG claims made by the redundant workers.</w:t>
      </w:r>
    </w:p>
    <w:p w:rsidR="00575F06" w:rsidRDefault="00575F06" w:rsidP="00575F06">
      <w:r>
        <w:t>Such an example demonstrates the vulnerability of the FEG scheme to the misuse of certain corporate group structures, where the group may be solvent and able to pay the employee entitlements</w:t>
      </w:r>
      <w:r w:rsidR="008367D2">
        <w:t>,</w:t>
      </w:r>
      <w:r>
        <w:t xml:space="preserve"> but chooses not to pay after not paying the value for the economic benefits of the </w:t>
      </w:r>
      <w:r w:rsidR="008367D2">
        <w:t xml:space="preserve">employees’ </w:t>
      </w:r>
      <w:r>
        <w:t>work received. In such cases, the taxpayer is effectively providing a subsidy t</w:t>
      </w:r>
      <w:r w:rsidRPr="00F749CA">
        <w:t xml:space="preserve">o </w:t>
      </w:r>
      <w:r>
        <w:t>the group to pay the former employees through FEG for costs the group should have paid</w:t>
      </w:r>
      <w:r w:rsidRPr="00F749CA">
        <w:t>.</w:t>
      </w:r>
    </w:p>
    <w:p w:rsidR="00575F06" w:rsidRDefault="00575F06" w:rsidP="00575F06">
      <w:r>
        <w:t xml:space="preserve">Of particular note, corporate groups which utilise employing entities which are subsequently liquidated resulting in FEG being called upon, </w:t>
      </w:r>
      <w:r w:rsidR="007321C0">
        <w:t xml:space="preserve">is </w:t>
      </w:r>
      <w:r w:rsidR="00A467E6">
        <w:t xml:space="preserve">currently </w:t>
      </w:r>
      <w:r>
        <w:t>a small issue in terms of the number of cases for the FEG scheme.</w:t>
      </w:r>
      <w:r w:rsidR="00E35011">
        <w:t xml:space="preserve"> </w:t>
      </w:r>
      <w:r>
        <w:t>How</w:t>
      </w:r>
      <w:r w:rsidR="00E35011">
        <w:t>ever, the cost impact to the FE</w:t>
      </w:r>
      <w:r>
        <w:t xml:space="preserve">G scheme of such cases </w:t>
      </w:r>
      <w:r w:rsidR="00E35011">
        <w:t>has been</w:t>
      </w:r>
      <w:r w:rsidR="00530BDD">
        <w:t>,</w:t>
      </w:r>
      <w:r w:rsidR="00E35011">
        <w:t xml:space="preserve"> and is likely to continue to be</w:t>
      </w:r>
      <w:r w:rsidR="007321C0">
        <w:t>,</w:t>
      </w:r>
      <w:r w:rsidR="00E35011">
        <w:t xml:space="preserve"> </w:t>
      </w:r>
      <w:r>
        <w:t xml:space="preserve">disproportionately large. </w:t>
      </w:r>
    </w:p>
    <w:p w:rsidR="00575F06" w:rsidRDefault="00575F06" w:rsidP="00575F06">
      <w:r>
        <w:t xml:space="preserve">While FEG continues to provide assistance in all corporate group </w:t>
      </w:r>
      <w:r w:rsidR="007321C0">
        <w:t>scenarios</w:t>
      </w:r>
      <w:r>
        <w:t xml:space="preserve"> without a capacity to recover in select circumstances, there is a risk that use of structures designed to transfer cost to the FEG scheme may become normalised, exposing the Australian Government and the taxpayer to very substantial payouts each year. With</w:t>
      </w:r>
      <w:r w:rsidR="009148EC">
        <w:t>out</w:t>
      </w:r>
      <w:r>
        <w:t xml:space="preserve"> reform, there will be little recourse for recovery of the FEG advances, even where the corporate group has received more benefits than it has paid for and where it could otherwise pay either in part or in full.</w:t>
      </w:r>
    </w:p>
    <w:p w:rsidR="00575F06" w:rsidRDefault="00575F06" w:rsidP="00575F06">
      <w:r>
        <w:t>Reform in this area is not intended to impact all corporate groups but instead is targeted at those groups which abuse the corporate veil to rely on the FEG scheme.</w:t>
      </w:r>
    </w:p>
    <w:p w:rsidR="006E4583" w:rsidRPr="006E4583" w:rsidRDefault="00354D01" w:rsidP="005300C1">
      <w:pPr>
        <w:pStyle w:val="Heading3"/>
        <w:ind w:left="567" w:hanging="567"/>
      </w:pPr>
      <w:bookmarkStart w:id="73" w:name="_Toc477939020"/>
      <w:bookmarkStart w:id="74" w:name="_Toc480975485"/>
      <w:bookmarkStart w:id="75" w:name="_Toc481070348"/>
      <w:bookmarkStart w:id="76" w:name="_Toc481948297"/>
      <w:r>
        <w:t>6.1 Option 5: C</w:t>
      </w:r>
      <w:r w:rsidR="006E4583" w:rsidRPr="006E4583">
        <w:t xml:space="preserve">orporate groups </w:t>
      </w:r>
      <w:r w:rsidR="007F3CAF">
        <w:t xml:space="preserve">to </w:t>
      </w:r>
      <w:r w:rsidR="006E4583" w:rsidRPr="006E4583">
        <w:t xml:space="preserve">provide a contribution </w:t>
      </w:r>
      <w:r w:rsidR="00CE50FC">
        <w:t xml:space="preserve">equivalent to any unpaid employee entitlements </w:t>
      </w:r>
      <w:r w:rsidR="006E4583" w:rsidRPr="006E4583">
        <w:t>in some limited circumstances</w:t>
      </w:r>
      <w:bookmarkEnd w:id="73"/>
      <w:bookmarkEnd w:id="74"/>
      <w:bookmarkEnd w:id="75"/>
      <w:bookmarkEnd w:id="76"/>
      <w:r w:rsidR="006E4583" w:rsidRPr="006E4583">
        <w:t xml:space="preserve"> </w:t>
      </w:r>
    </w:p>
    <w:p w:rsidR="00575F06" w:rsidRDefault="00575F06" w:rsidP="00575F06">
      <w:r>
        <w:t>A</w:t>
      </w:r>
      <w:r w:rsidR="007F3CAF">
        <w:t>n</w:t>
      </w:r>
      <w:r>
        <w:t xml:space="preserve"> option to reduce the vulnerability of FEG to corporate group structures would be to reform the law so that certain corporate groups would be required to pay a contribution equivalent to the unpaid employee entitlements of an insolvent group member where FEG has been paid to the redundant group employees.</w:t>
      </w:r>
    </w:p>
    <w:p w:rsidR="00575F06" w:rsidRDefault="00575F06" w:rsidP="00575F06">
      <w:r>
        <w:t>With such a reform, entities in a group structure would have a shared obligation to meet the unpaid employee entitlements of their related entity, in certain limited circumstances.</w:t>
      </w:r>
    </w:p>
    <w:p w:rsidR="00575F06" w:rsidRPr="006E4583" w:rsidRDefault="00575F06" w:rsidP="00575F06">
      <w:r>
        <w:t xml:space="preserve">There are models in other common </w:t>
      </w:r>
      <w:r w:rsidRPr="006E4583">
        <w:t>law jurisdictions which provide possible design models for such a reform. In New Zealand</w:t>
      </w:r>
      <w:r w:rsidRPr="006E4583">
        <w:rPr>
          <w:rStyle w:val="FootnoteReference"/>
        </w:rPr>
        <w:footnoteReference w:id="49"/>
      </w:r>
      <w:r w:rsidRPr="006E4583">
        <w:t xml:space="preserve"> and Ireland</w:t>
      </w:r>
      <w:r w:rsidRPr="006E4583">
        <w:rPr>
          <w:rStyle w:val="FootnoteReference"/>
        </w:rPr>
        <w:footnoteReference w:id="50"/>
      </w:r>
      <w:r w:rsidRPr="006E4583">
        <w:t xml:space="preserve"> the </w:t>
      </w:r>
      <w:r w:rsidRPr="00E35011">
        <w:t>contribution order</w:t>
      </w:r>
      <w:r w:rsidRPr="006E4583">
        <w:t xml:space="preserve"> is a feature of the </w:t>
      </w:r>
      <w:r w:rsidRPr="006E4583">
        <w:lastRenderedPageBreak/>
        <w:t xml:space="preserve">corporate law and allows debts of individual insolvent companies which </w:t>
      </w:r>
      <w:r w:rsidR="00894497">
        <w:t xml:space="preserve">formed </w:t>
      </w:r>
      <w:r w:rsidRPr="006E4583">
        <w:t xml:space="preserve">part of </w:t>
      </w:r>
      <w:r w:rsidR="00894497">
        <w:t xml:space="preserve">a corporate group </w:t>
      </w:r>
      <w:r w:rsidRPr="006E4583">
        <w:t>to be paid by the solvent entities in the group where certain conditions are met.</w:t>
      </w:r>
    </w:p>
    <w:p w:rsidR="00575F06" w:rsidRPr="006E4583" w:rsidRDefault="00575F06" w:rsidP="00575F06">
      <w:r w:rsidRPr="006E4583">
        <w:t>Unlike th</w:t>
      </w:r>
      <w:r>
        <w:t xml:space="preserve">is </w:t>
      </w:r>
      <w:r w:rsidR="00894497">
        <w:t xml:space="preserve">reform proposal </w:t>
      </w:r>
      <w:r>
        <w:t>(</w:t>
      </w:r>
      <w:r w:rsidRPr="006E4583">
        <w:t xml:space="preserve">which </w:t>
      </w:r>
      <w:r>
        <w:t xml:space="preserve">would be limited </w:t>
      </w:r>
      <w:r w:rsidRPr="006E4583">
        <w:t xml:space="preserve">to </w:t>
      </w:r>
      <w:r>
        <w:t xml:space="preserve">the amount of </w:t>
      </w:r>
      <w:r w:rsidRPr="006E4583">
        <w:t xml:space="preserve">unpaid employee entitlements where FEG has been </w:t>
      </w:r>
      <w:r>
        <w:t>relied on and where other conditions are met)</w:t>
      </w:r>
      <w:r w:rsidRPr="006E4583">
        <w:t xml:space="preserve">, </w:t>
      </w:r>
      <w:r w:rsidRPr="00E35011">
        <w:t>contribution orders</w:t>
      </w:r>
      <w:r w:rsidRPr="006E4583">
        <w:t xml:space="preserve"> used in New Zealand and Ireland apply to all outstanding debts of insolvent group members.</w:t>
      </w:r>
    </w:p>
    <w:p w:rsidR="00575F06" w:rsidRPr="006E4583" w:rsidRDefault="00575F06" w:rsidP="00575F06">
      <w:r w:rsidRPr="006E4583">
        <w:t xml:space="preserve">With </w:t>
      </w:r>
      <w:r w:rsidRPr="00E35011">
        <w:t>contribution orders</w:t>
      </w:r>
      <w:r w:rsidRPr="006E4583">
        <w:t xml:space="preserve">, an application can be made to a court by a liquidator, a creditor or a shareholder, </w:t>
      </w:r>
      <w:r>
        <w:t xml:space="preserve">for </w:t>
      </w:r>
      <w:r w:rsidRPr="006E4583">
        <w:t xml:space="preserve">an order </w:t>
      </w:r>
      <w:r>
        <w:t xml:space="preserve">against </w:t>
      </w:r>
      <w:r w:rsidRPr="006E4583">
        <w:t>solvent group members to contribute to the outstanding debts of an insolvent member where it is ‘just and equitable’ to do so.</w:t>
      </w:r>
      <w:r w:rsidRPr="006E4583">
        <w:rPr>
          <w:rStyle w:val="FootnoteReference"/>
        </w:rPr>
        <w:footnoteReference w:id="51"/>
      </w:r>
      <w:r w:rsidRPr="006E4583">
        <w:t xml:space="preserve"> </w:t>
      </w:r>
    </w:p>
    <w:p w:rsidR="00575F06" w:rsidRPr="006E4583" w:rsidRDefault="00575F06" w:rsidP="00575F06">
      <w:r w:rsidRPr="006E4583">
        <w:t xml:space="preserve">Some factors taken into account in determining whether it is ‘just and equitable’ to issue the </w:t>
      </w:r>
      <w:r w:rsidRPr="00E35011">
        <w:t>contribution order</w:t>
      </w:r>
      <w:r w:rsidRPr="006E4583">
        <w:t xml:space="preserve"> include the extent to which the related companies took part in the management of the now insolvent company, the extent to which entities of the group have obtained economic benefits from the insolvent entity, </w:t>
      </w:r>
      <w:r w:rsidR="00894497">
        <w:t xml:space="preserve">the </w:t>
      </w:r>
      <w:r w:rsidRPr="006E4583">
        <w:t>impact th</w:t>
      </w:r>
      <w:r w:rsidR="00894497">
        <w:t xml:space="preserve">e order </w:t>
      </w:r>
      <w:r w:rsidRPr="006E4583">
        <w:t>would have on the creditors of the contributing entities</w:t>
      </w:r>
      <w:r>
        <w:t>, and other matters as the court thinks fit</w:t>
      </w:r>
      <w:r w:rsidRPr="006E4583">
        <w:t>.</w:t>
      </w:r>
      <w:r w:rsidRPr="006E4583">
        <w:rPr>
          <w:rStyle w:val="FootnoteReference"/>
        </w:rPr>
        <w:footnoteReference w:id="52"/>
      </w:r>
    </w:p>
    <w:p w:rsidR="009148EC" w:rsidRDefault="00575F06" w:rsidP="00575F06">
      <w:r>
        <w:t xml:space="preserve">There is little common law on the operation </w:t>
      </w:r>
      <w:r w:rsidRPr="006E4583">
        <w:t xml:space="preserve">of </w:t>
      </w:r>
      <w:r w:rsidRPr="00E35011">
        <w:t>contribution orders</w:t>
      </w:r>
      <w:r w:rsidR="009148EC">
        <w:t xml:space="preserve"> </w:t>
      </w:r>
      <w:r>
        <w:t>in</w:t>
      </w:r>
      <w:r w:rsidRPr="006E4583">
        <w:t xml:space="preserve"> New Zealand (</w:t>
      </w:r>
      <w:r w:rsidR="003A0B64">
        <w:t xml:space="preserve">where it was </w:t>
      </w:r>
      <w:r>
        <w:t xml:space="preserve">introduced </w:t>
      </w:r>
      <w:r w:rsidRPr="006E4583">
        <w:t>in 1980)</w:t>
      </w:r>
      <w:r w:rsidRPr="006E4583">
        <w:rPr>
          <w:rStyle w:val="FootnoteReference"/>
        </w:rPr>
        <w:footnoteReference w:id="53"/>
      </w:r>
      <w:r w:rsidRPr="006E4583">
        <w:t xml:space="preserve"> and Ireland (</w:t>
      </w:r>
      <w:r>
        <w:t xml:space="preserve">introduced in </w:t>
      </w:r>
      <w:r w:rsidRPr="006E4583">
        <w:t>1990).</w:t>
      </w:r>
      <w:r w:rsidRPr="006E4583">
        <w:rPr>
          <w:rStyle w:val="FootnoteReference"/>
        </w:rPr>
        <w:footnoteReference w:id="54"/>
      </w:r>
      <w:r w:rsidRPr="006E4583">
        <w:t xml:space="preserve"> However </w:t>
      </w:r>
      <w:r>
        <w:t>r</w:t>
      </w:r>
      <w:r w:rsidRPr="006E4583">
        <w:t>ecent cases</w:t>
      </w:r>
      <w:r>
        <w:t xml:space="preserve"> in New Zealand have further defined what is </w:t>
      </w:r>
      <w:r w:rsidR="001F1C69">
        <w:t>‘</w:t>
      </w:r>
      <w:r w:rsidRPr="006E4583">
        <w:t xml:space="preserve">just and equitable’ </w:t>
      </w:r>
      <w:r>
        <w:t xml:space="preserve">by </w:t>
      </w:r>
      <w:r w:rsidR="00B00C8D">
        <w:t xml:space="preserve">the </w:t>
      </w:r>
      <w:r>
        <w:t>courts</w:t>
      </w:r>
      <w:r w:rsidR="009148EC">
        <w:t>:</w:t>
      </w:r>
    </w:p>
    <w:p w:rsidR="009148EC" w:rsidRPr="009148EC" w:rsidRDefault="00575F06" w:rsidP="009148EC">
      <w:pPr>
        <w:pStyle w:val="ListParagraph"/>
        <w:numPr>
          <w:ilvl w:val="0"/>
          <w:numId w:val="22"/>
        </w:numPr>
        <w:rPr>
          <w:rFonts w:ascii="Book Antiqua" w:hAnsi="Book Antiqua"/>
        </w:rPr>
      </w:pPr>
      <w:r w:rsidRPr="009148EC">
        <w:rPr>
          <w:rFonts w:ascii="Book Antiqua" w:hAnsi="Book Antiqua"/>
        </w:rPr>
        <w:t>undertaking a pragmatic examination of the actual commercial reality of the corporate group in question</w:t>
      </w:r>
      <w:r w:rsidR="009148EC" w:rsidRPr="009148EC">
        <w:rPr>
          <w:rFonts w:ascii="Book Antiqua" w:hAnsi="Book Antiqua"/>
        </w:rPr>
        <w:t>;</w:t>
      </w:r>
      <w:r w:rsidRPr="009148EC">
        <w:rPr>
          <w:rFonts w:ascii="Book Antiqua" w:hAnsi="Book Antiqua"/>
        </w:rPr>
        <w:t xml:space="preserve"> and</w:t>
      </w:r>
    </w:p>
    <w:p w:rsidR="00575F06" w:rsidRPr="009148EC" w:rsidRDefault="00575F06" w:rsidP="009148EC">
      <w:pPr>
        <w:pStyle w:val="ListParagraph"/>
        <w:numPr>
          <w:ilvl w:val="0"/>
          <w:numId w:val="22"/>
        </w:numPr>
        <w:rPr>
          <w:rFonts w:ascii="Book Antiqua" w:hAnsi="Book Antiqua"/>
        </w:rPr>
      </w:pPr>
      <w:proofErr w:type="gramStart"/>
      <w:r w:rsidRPr="009148EC">
        <w:rPr>
          <w:rFonts w:ascii="Book Antiqua" w:hAnsi="Book Antiqua"/>
        </w:rPr>
        <w:t>observing</w:t>
      </w:r>
      <w:proofErr w:type="gramEnd"/>
      <w:r w:rsidRPr="009148EC">
        <w:rPr>
          <w:rFonts w:ascii="Book Antiqua" w:hAnsi="Book Antiqua"/>
        </w:rPr>
        <w:t xml:space="preserve"> that a balance is required to be achieved between the policy considerations of the separate legal entity doctrine on the one hand, and avoiding the mischief which may result from an unyielding application of the doctrine on the other.</w:t>
      </w:r>
      <w:r w:rsidRPr="003A0B64">
        <w:rPr>
          <w:rStyle w:val="FootnoteReference"/>
          <w:rFonts w:ascii="Book Antiqua" w:eastAsia="Times New Roman" w:hAnsi="Book Antiqua" w:cs="Times New Roman"/>
          <w:color w:val="000000"/>
          <w:szCs w:val="20"/>
        </w:rPr>
        <w:footnoteReference w:id="55"/>
      </w:r>
    </w:p>
    <w:p w:rsidR="00575F06" w:rsidRPr="006E4583" w:rsidRDefault="00575F06" w:rsidP="00575F06">
      <w:pPr>
        <w:rPr>
          <w:i/>
        </w:rPr>
      </w:pPr>
      <w:r w:rsidRPr="006E4583">
        <w:t>Potential criteria for a court to consider if a</w:t>
      </w:r>
      <w:r>
        <w:t xml:space="preserve"> </w:t>
      </w:r>
      <w:r w:rsidRPr="00E35011">
        <w:t xml:space="preserve">contribution </w:t>
      </w:r>
      <w:r w:rsidRPr="009148EC">
        <w:t>order</w:t>
      </w:r>
      <w:r w:rsidRPr="006E4583">
        <w:rPr>
          <w:i/>
        </w:rPr>
        <w:t xml:space="preserve"> </w:t>
      </w:r>
      <w:r w:rsidRPr="006E4583">
        <w:t xml:space="preserve">for employee entitlements was to be </w:t>
      </w:r>
      <w:r w:rsidR="006D727E">
        <w:t xml:space="preserve">introduced into the law in Australia </w:t>
      </w:r>
      <w:r w:rsidRPr="006E4583">
        <w:t>could include:</w:t>
      </w:r>
    </w:p>
    <w:p w:rsidR="00575F06" w:rsidRPr="006E4583" w:rsidRDefault="00575F06" w:rsidP="00575F06">
      <w:pPr>
        <w:pStyle w:val="ListParagraph"/>
        <w:numPr>
          <w:ilvl w:val="0"/>
          <w:numId w:val="22"/>
        </w:numPr>
        <w:rPr>
          <w:rFonts w:ascii="Book Antiqua" w:hAnsi="Book Antiqua"/>
        </w:rPr>
      </w:pPr>
      <w:r w:rsidRPr="006E4583">
        <w:rPr>
          <w:rFonts w:ascii="Book Antiqua" w:hAnsi="Book Antiqua"/>
        </w:rPr>
        <w:t>the control and management relationship between entities in the group, and whether the insolvent entity had common directors and officers with the related group entities;</w:t>
      </w:r>
    </w:p>
    <w:p w:rsidR="00575F06" w:rsidRPr="00B00C8D" w:rsidRDefault="00B00C8D" w:rsidP="00575F06">
      <w:pPr>
        <w:pStyle w:val="ListParagraph"/>
        <w:numPr>
          <w:ilvl w:val="0"/>
          <w:numId w:val="22"/>
        </w:numPr>
        <w:rPr>
          <w:rFonts w:ascii="Book Antiqua" w:hAnsi="Book Antiqua"/>
        </w:rPr>
      </w:pPr>
      <w:r w:rsidRPr="00B00C8D">
        <w:rPr>
          <w:rFonts w:ascii="Book Antiqua" w:hAnsi="Book Antiqua"/>
        </w:rPr>
        <w:t xml:space="preserve">the extent to which entities of the group obtained economic benefits from the labour of the insolvent entity (including </w:t>
      </w:r>
      <w:r w:rsidR="00575F06" w:rsidRPr="00B00C8D">
        <w:rPr>
          <w:rFonts w:ascii="Book Antiqua" w:hAnsi="Book Antiqua"/>
        </w:rPr>
        <w:t>whether the insolvent entity had charged a full market rate to the other entities in the group for the use of the employees’ services</w:t>
      </w:r>
      <w:r>
        <w:rPr>
          <w:rFonts w:ascii="Book Antiqua" w:hAnsi="Book Antiqua"/>
        </w:rPr>
        <w:t>)</w:t>
      </w:r>
      <w:r w:rsidR="00575F06" w:rsidRPr="00B00C8D">
        <w:rPr>
          <w:rFonts w:ascii="Book Antiqua" w:hAnsi="Book Antiqua"/>
        </w:rPr>
        <w:t>;</w:t>
      </w:r>
    </w:p>
    <w:p w:rsidR="00575F06" w:rsidRPr="006E4583" w:rsidRDefault="00575F06" w:rsidP="00575F06">
      <w:pPr>
        <w:pStyle w:val="ListParagraph"/>
        <w:numPr>
          <w:ilvl w:val="0"/>
          <w:numId w:val="22"/>
        </w:numPr>
        <w:rPr>
          <w:rFonts w:ascii="Book Antiqua" w:hAnsi="Book Antiqua"/>
        </w:rPr>
      </w:pPr>
      <w:bookmarkStart w:id="77" w:name="_Toc477939021"/>
      <w:r>
        <w:rPr>
          <w:rFonts w:ascii="Book Antiqua" w:hAnsi="Book Antiqua"/>
        </w:rPr>
        <w:t xml:space="preserve">whether </w:t>
      </w:r>
      <w:r w:rsidRPr="006E4583">
        <w:rPr>
          <w:rFonts w:ascii="Book Antiqua" w:hAnsi="Book Antiqua"/>
        </w:rPr>
        <w:t xml:space="preserve">assets </w:t>
      </w:r>
      <w:r>
        <w:rPr>
          <w:rFonts w:ascii="Book Antiqua" w:hAnsi="Book Antiqua"/>
        </w:rPr>
        <w:t xml:space="preserve">had been transferred </w:t>
      </w:r>
      <w:r w:rsidRPr="006E4583">
        <w:rPr>
          <w:rFonts w:ascii="Book Antiqua" w:hAnsi="Book Antiqua"/>
        </w:rPr>
        <w:t>from the now insolvent entity to other</w:t>
      </w:r>
      <w:r>
        <w:rPr>
          <w:rFonts w:ascii="Book Antiqua" w:hAnsi="Book Antiqua"/>
        </w:rPr>
        <w:t xml:space="preserve"> entities</w:t>
      </w:r>
      <w:r w:rsidRPr="006E4583">
        <w:rPr>
          <w:rFonts w:ascii="Book Antiqua" w:hAnsi="Book Antiqua"/>
        </w:rPr>
        <w:t>;</w:t>
      </w:r>
    </w:p>
    <w:p w:rsidR="00575F06" w:rsidRDefault="00575F06" w:rsidP="00575F06">
      <w:pPr>
        <w:pStyle w:val="ListParagraph"/>
        <w:numPr>
          <w:ilvl w:val="0"/>
          <w:numId w:val="22"/>
        </w:numPr>
        <w:rPr>
          <w:rFonts w:ascii="Book Antiqua" w:hAnsi="Book Antiqua"/>
        </w:rPr>
      </w:pPr>
      <w:r>
        <w:rPr>
          <w:rFonts w:ascii="Book Antiqua" w:hAnsi="Book Antiqua"/>
        </w:rPr>
        <w:t xml:space="preserve">the efforts </w:t>
      </w:r>
      <w:r w:rsidRPr="006E4583">
        <w:rPr>
          <w:rFonts w:ascii="Book Antiqua" w:hAnsi="Book Antiqua"/>
        </w:rPr>
        <w:t xml:space="preserve">directors </w:t>
      </w:r>
      <w:r>
        <w:rPr>
          <w:rFonts w:ascii="Book Antiqua" w:hAnsi="Book Antiqua"/>
        </w:rPr>
        <w:t xml:space="preserve">and officers </w:t>
      </w:r>
      <w:r w:rsidRPr="006E4583">
        <w:rPr>
          <w:rFonts w:ascii="Book Antiqua" w:hAnsi="Book Antiqua"/>
        </w:rPr>
        <w:t xml:space="preserve">of the insolvent company had made to ensure the payment of the </w:t>
      </w:r>
      <w:r>
        <w:rPr>
          <w:rFonts w:ascii="Book Antiqua" w:hAnsi="Book Antiqua"/>
        </w:rPr>
        <w:t xml:space="preserve">outstanding </w:t>
      </w:r>
      <w:r w:rsidR="00B00C8D">
        <w:rPr>
          <w:rFonts w:ascii="Book Antiqua" w:hAnsi="Book Antiqua"/>
        </w:rPr>
        <w:t xml:space="preserve">employee </w:t>
      </w:r>
      <w:r w:rsidRPr="006E4583">
        <w:rPr>
          <w:rFonts w:ascii="Book Antiqua" w:hAnsi="Book Antiqua"/>
        </w:rPr>
        <w:t>entitlements</w:t>
      </w:r>
      <w:r>
        <w:rPr>
          <w:rFonts w:ascii="Book Antiqua" w:hAnsi="Book Antiqua"/>
        </w:rPr>
        <w:t>; and</w:t>
      </w:r>
    </w:p>
    <w:p w:rsidR="00575F06" w:rsidRPr="006E4583" w:rsidRDefault="00575F06" w:rsidP="00575F06">
      <w:pPr>
        <w:pStyle w:val="ListParagraph"/>
        <w:numPr>
          <w:ilvl w:val="0"/>
          <w:numId w:val="22"/>
        </w:numPr>
        <w:rPr>
          <w:rFonts w:ascii="Book Antiqua" w:hAnsi="Book Antiqua"/>
        </w:rPr>
      </w:pPr>
      <w:proofErr w:type="gramStart"/>
      <w:r>
        <w:rPr>
          <w:rFonts w:ascii="Book Antiqua" w:hAnsi="Book Antiqua"/>
        </w:rPr>
        <w:lastRenderedPageBreak/>
        <w:t>any</w:t>
      </w:r>
      <w:proofErr w:type="gramEnd"/>
      <w:r>
        <w:rPr>
          <w:rFonts w:ascii="Book Antiqua" w:hAnsi="Book Antiqua"/>
        </w:rPr>
        <w:t xml:space="preserve"> other matters the court thinks fit in each case</w:t>
      </w:r>
      <w:r w:rsidRPr="006E4583">
        <w:rPr>
          <w:rFonts w:ascii="Book Antiqua" w:hAnsi="Book Antiqua"/>
        </w:rPr>
        <w:t>.</w:t>
      </w:r>
    </w:p>
    <w:p w:rsidR="00575F06" w:rsidRPr="006E4583" w:rsidRDefault="00575F06" w:rsidP="00575F06">
      <w:r>
        <w:t xml:space="preserve">Any measure would need to be appropriately targeted </w:t>
      </w:r>
      <w:r w:rsidR="009148EC">
        <w:t xml:space="preserve">to </w:t>
      </w:r>
      <w:r>
        <w:t xml:space="preserve">offset the risk of adversely impacting or discouraging legitimate </w:t>
      </w:r>
      <w:r w:rsidRPr="006E4583">
        <w:t>commercial behaviour.</w:t>
      </w:r>
    </w:p>
    <w:p w:rsidR="00575F06" w:rsidRPr="006E4583" w:rsidRDefault="00575F06" w:rsidP="00575F06">
      <w:r w:rsidRPr="006E4583">
        <w:t>As an alternative to an employ</w:t>
      </w:r>
      <w:r>
        <w:t>ee</w:t>
      </w:r>
      <w:r w:rsidRPr="006E4583">
        <w:t xml:space="preserve"> entitlement specific </w:t>
      </w:r>
      <w:r w:rsidRPr="00E35011">
        <w:t>contribution order</w:t>
      </w:r>
      <w:r w:rsidRPr="006E4583">
        <w:t xml:space="preserve">, the current pooling of assets provisions (in Division 8 of the Corporations Act) could be modified to achieve a similar result. This could be </w:t>
      </w:r>
      <w:r>
        <w:t xml:space="preserve">accomplished </w:t>
      </w:r>
      <w:r w:rsidRPr="006E4583">
        <w:t xml:space="preserve">by expanding </w:t>
      </w:r>
      <w:r>
        <w:t xml:space="preserve">the scope of the existing </w:t>
      </w:r>
      <w:r w:rsidRPr="006E4583">
        <w:t xml:space="preserve">pooling </w:t>
      </w:r>
      <w:r>
        <w:t xml:space="preserve">provisions </w:t>
      </w:r>
      <w:r w:rsidRPr="006E4583">
        <w:t xml:space="preserve">to </w:t>
      </w:r>
      <w:r>
        <w:t xml:space="preserve">allow </w:t>
      </w:r>
      <w:r w:rsidRPr="006E4583">
        <w:t xml:space="preserve">solvent group entities </w:t>
      </w:r>
      <w:r>
        <w:t xml:space="preserve">to provide </w:t>
      </w:r>
      <w:r w:rsidRPr="006E4583">
        <w:t>for the outstanding employee entitlements of</w:t>
      </w:r>
      <w:r>
        <w:t xml:space="preserve"> the </w:t>
      </w:r>
      <w:r w:rsidRPr="006E4583">
        <w:t xml:space="preserve">insolvent entity in </w:t>
      </w:r>
      <w:r>
        <w:t xml:space="preserve">the corporate </w:t>
      </w:r>
      <w:r w:rsidRPr="006E4583">
        <w:t>group</w:t>
      </w:r>
      <w:r w:rsidR="00DE4164">
        <w:t>, where particular criteria are met</w:t>
      </w:r>
      <w:r w:rsidRPr="006E4583">
        <w:t xml:space="preserve">. </w:t>
      </w:r>
    </w:p>
    <w:p w:rsidR="00575F06" w:rsidRDefault="00575F06" w:rsidP="00575F06">
      <w:r>
        <w:t xml:space="preserve">Adopting either approach would need to balance maintaining the commercial focus of insolvency laws with recognising the vulnerability of employee creditors in the circumstances. </w:t>
      </w:r>
    </w:p>
    <w:p w:rsidR="00D8363B" w:rsidRDefault="00D8363B" w:rsidP="00575F06"/>
    <w:bookmarkEnd w:id="77"/>
    <w:p w:rsidR="00575F06" w:rsidRDefault="00575F06" w:rsidP="00575F06">
      <w:pPr>
        <w:pBdr>
          <w:top w:val="single" w:sz="4" w:space="1" w:color="auto"/>
          <w:left w:val="single" w:sz="4" w:space="4" w:color="auto"/>
          <w:bottom w:val="single" w:sz="4" w:space="1" w:color="auto"/>
          <w:right w:val="single" w:sz="4" w:space="4" w:color="auto"/>
        </w:pBdr>
        <w:rPr>
          <w:b/>
          <w:sz w:val="24"/>
          <w:szCs w:val="24"/>
        </w:rPr>
      </w:pPr>
      <w:r>
        <w:rPr>
          <w:b/>
          <w:sz w:val="24"/>
          <w:szCs w:val="24"/>
        </w:rPr>
        <w:t>QUESTIONS (CORPORATE GROUPS):</w:t>
      </w:r>
    </w:p>
    <w:p w:rsidR="00575F06" w:rsidRPr="005B4032" w:rsidRDefault="00575F06"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Pr>
          <w:rFonts w:ascii="Book Antiqua" w:hAnsi="Book Antiqua"/>
        </w:rPr>
        <w:t xml:space="preserve">What are the benefits and risks of </w:t>
      </w:r>
      <w:r w:rsidR="007F3CAF">
        <w:rPr>
          <w:rFonts w:ascii="Book Antiqua" w:hAnsi="Book Antiqua"/>
        </w:rPr>
        <w:t>the above option?</w:t>
      </w:r>
      <w:r w:rsidRPr="005B4032">
        <w:rPr>
          <w:rFonts w:ascii="Book Antiqua" w:hAnsi="Book Antiqua"/>
        </w:rPr>
        <w:br/>
      </w:r>
    </w:p>
    <w:p w:rsidR="00575F06" w:rsidRPr="005B4032" w:rsidRDefault="00575F06"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5B4032">
        <w:rPr>
          <w:rFonts w:ascii="Book Antiqua" w:hAnsi="Book Antiqua"/>
        </w:rPr>
        <w:t xml:space="preserve">What criteria should a court consider when deciding whether it is ‘just and equitable’ to order </w:t>
      </w:r>
      <w:r>
        <w:rPr>
          <w:rFonts w:ascii="Book Antiqua" w:hAnsi="Book Antiqua"/>
        </w:rPr>
        <w:t xml:space="preserve">solvent corporate </w:t>
      </w:r>
      <w:r w:rsidRPr="005B4032">
        <w:rPr>
          <w:rFonts w:ascii="Book Antiqua" w:hAnsi="Book Antiqua"/>
        </w:rPr>
        <w:t xml:space="preserve">group entities to make a contribution? Why? </w:t>
      </w:r>
      <w:r w:rsidRPr="005B4032">
        <w:rPr>
          <w:rFonts w:ascii="Book Antiqua" w:hAnsi="Book Antiqua"/>
        </w:rPr>
        <w:br/>
      </w:r>
    </w:p>
    <w:p w:rsidR="00575F06" w:rsidRPr="005B4032" w:rsidRDefault="00575F06" w:rsidP="00575F06">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5B4032">
        <w:rPr>
          <w:rFonts w:ascii="Book Antiqua" w:hAnsi="Book Antiqua"/>
        </w:rPr>
        <w:t>Are there alternative approaches available which would ensure employee entitlements are paid when corporate groups have the capacity to pay?  Please outline how these might work.</w:t>
      </w:r>
    </w:p>
    <w:p w:rsidR="005B0EE6" w:rsidRDefault="005B0EE6">
      <w:pPr>
        <w:spacing w:after="0" w:line="240" w:lineRule="auto"/>
        <w:jc w:val="left"/>
        <w:rPr>
          <w:rFonts w:ascii="Century Gothic" w:hAnsi="Century Gothic" w:cs="Arial"/>
          <w:b/>
          <w:bCs/>
          <w:iCs/>
          <w:smallCaps/>
          <w:color w:val="1F497D" w:themeColor="text2"/>
          <w:sz w:val="32"/>
          <w:szCs w:val="28"/>
        </w:rPr>
      </w:pPr>
      <w:r>
        <w:br w:type="page"/>
      </w:r>
    </w:p>
    <w:p w:rsidR="006E4583" w:rsidRDefault="00C75296" w:rsidP="005300C1">
      <w:pPr>
        <w:pStyle w:val="Heading2"/>
        <w:ind w:left="567" w:hanging="567"/>
      </w:pPr>
      <w:bookmarkStart w:id="78" w:name="_Toc481948298"/>
      <w:r>
        <w:lastRenderedPageBreak/>
        <w:t>7. S</w:t>
      </w:r>
      <w:r w:rsidR="006E4583">
        <w:t>anctioning directors and officers with a track record of involvement in insolvencies where FEG is relied upon</w:t>
      </w:r>
      <w:bookmarkEnd w:id="78"/>
      <w:r w:rsidR="006E4583">
        <w:t xml:space="preserve"> </w:t>
      </w:r>
    </w:p>
    <w:p w:rsidR="00575F06" w:rsidRDefault="00575F06" w:rsidP="00575F06">
      <w:bookmarkStart w:id="79" w:name="_Toc477939023"/>
      <w:r>
        <w:t xml:space="preserve">An examination of all cases in which FEG or </w:t>
      </w:r>
      <w:proofErr w:type="spellStart"/>
      <w:r>
        <w:t>GEERS</w:t>
      </w:r>
      <w:proofErr w:type="spellEnd"/>
      <w:r>
        <w:t xml:space="preserve"> assistance was provided since 1 July 2007 revealed that there are more than 1300 </w:t>
      </w:r>
      <w:r w:rsidR="00576DFC">
        <w:t xml:space="preserve">company </w:t>
      </w:r>
      <w:r>
        <w:t xml:space="preserve">directors </w:t>
      </w:r>
      <w:r w:rsidR="00576DFC">
        <w:t xml:space="preserve">who were directors </w:t>
      </w:r>
      <w:r>
        <w:t xml:space="preserve">of two or more companies which had redundant employees paid outstanding employee entitlements under FEG or </w:t>
      </w:r>
      <w:proofErr w:type="spellStart"/>
      <w:r>
        <w:t>GEERS</w:t>
      </w:r>
      <w:proofErr w:type="spellEnd"/>
      <w:r>
        <w:t>.</w:t>
      </w:r>
      <w:r w:rsidR="00576DFC">
        <w:t xml:space="preserve"> The majority of these </w:t>
      </w:r>
      <w:r w:rsidR="00B66EA7">
        <w:t xml:space="preserve">1300 </w:t>
      </w:r>
      <w:r w:rsidR="00576DFC">
        <w:t>directors serially managed companies which failed.</w:t>
      </w:r>
    </w:p>
    <w:p w:rsidR="00575F06" w:rsidRDefault="00575F06" w:rsidP="00575F06">
      <w:r>
        <w:t xml:space="preserve">The examination of the cases </w:t>
      </w:r>
      <w:r w:rsidR="00576DFC">
        <w:t xml:space="preserve">involving these directors </w:t>
      </w:r>
      <w:r>
        <w:t xml:space="preserve">revealed that recovery through the insolvency process of advances of FEG and </w:t>
      </w:r>
      <w:proofErr w:type="spellStart"/>
      <w:r>
        <w:t>GEERS</w:t>
      </w:r>
      <w:proofErr w:type="spellEnd"/>
      <w:r>
        <w:t xml:space="preserve"> was low, with around 72</w:t>
      </w:r>
      <w:r w:rsidR="00576DFC">
        <w:t xml:space="preserve"> per cent </w:t>
      </w:r>
      <w:r>
        <w:t>of cases providing no return of advances made, with the average return in the cases being about 12</w:t>
      </w:r>
      <w:r w:rsidR="00576DFC">
        <w:t> per cent</w:t>
      </w:r>
      <w:r>
        <w:t>.</w:t>
      </w:r>
    </w:p>
    <w:p w:rsidR="00575F06" w:rsidRDefault="00575F06" w:rsidP="00575F06">
      <w:r>
        <w:t>Of the more than 1300 directors</w:t>
      </w:r>
      <w:r w:rsidR="00576DFC">
        <w:t xml:space="preserve"> involved in multiple FEG cases</w:t>
      </w:r>
      <w:r>
        <w:t xml:space="preserve">, more than 950 </w:t>
      </w:r>
      <w:r w:rsidR="00B66EA7">
        <w:t xml:space="preserve">were </w:t>
      </w:r>
      <w:r>
        <w:t xml:space="preserve">involved </w:t>
      </w:r>
      <w:r w:rsidR="00B66EA7">
        <w:t xml:space="preserve">with </w:t>
      </w:r>
      <w:r>
        <w:t xml:space="preserve">one or more companies where FEG or </w:t>
      </w:r>
      <w:proofErr w:type="spellStart"/>
      <w:r>
        <w:t>GEERS</w:t>
      </w:r>
      <w:proofErr w:type="spellEnd"/>
      <w:r>
        <w:t xml:space="preserve"> was advanced </w:t>
      </w:r>
      <w:r w:rsidR="00576DFC">
        <w:t xml:space="preserve">and </w:t>
      </w:r>
      <w:r>
        <w:t xml:space="preserve">no return was obtained </w:t>
      </w:r>
      <w:r w:rsidR="00576DFC">
        <w:t>t</w:t>
      </w:r>
      <w:r w:rsidR="00B66EA7">
        <w:t xml:space="preserve">hrough the insolvency process. </w:t>
      </w:r>
      <w:r w:rsidR="00576DFC">
        <w:t>Further of the 950 directors, m</w:t>
      </w:r>
      <w:r>
        <w:t>ore than 600</w:t>
      </w:r>
      <w:r w:rsidR="00576DFC">
        <w:t> </w:t>
      </w:r>
      <w:r w:rsidR="00B66EA7">
        <w:t xml:space="preserve">of those directors </w:t>
      </w:r>
      <w:r w:rsidR="00576DFC">
        <w:t xml:space="preserve">were </w:t>
      </w:r>
      <w:r>
        <w:t xml:space="preserve">involved in two or more cases where FEG or </w:t>
      </w:r>
      <w:proofErr w:type="spellStart"/>
      <w:r>
        <w:t>GEERS</w:t>
      </w:r>
      <w:proofErr w:type="spellEnd"/>
      <w:r>
        <w:t xml:space="preserve"> </w:t>
      </w:r>
      <w:r w:rsidR="00576DFC">
        <w:t xml:space="preserve">was </w:t>
      </w:r>
      <w:r>
        <w:t>advance</w:t>
      </w:r>
      <w:r w:rsidR="00576DFC">
        <w:t>d and no return was realised in the i</w:t>
      </w:r>
      <w:r>
        <w:t>nsolvency process.</w:t>
      </w:r>
    </w:p>
    <w:p w:rsidR="00575F06" w:rsidRDefault="00B66EA7" w:rsidP="00575F06">
      <w:r>
        <w:t xml:space="preserve">In the FEG </w:t>
      </w:r>
      <w:r w:rsidR="00795245">
        <w:t xml:space="preserve">and </w:t>
      </w:r>
      <w:proofErr w:type="spellStart"/>
      <w:r w:rsidR="00795245">
        <w:t>GEERS</w:t>
      </w:r>
      <w:proofErr w:type="spellEnd"/>
      <w:r w:rsidR="00795245">
        <w:t xml:space="preserve"> </w:t>
      </w:r>
      <w:r w:rsidR="00575F06">
        <w:t>cases involving the</w:t>
      </w:r>
      <w:r w:rsidR="00576DFC">
        <w:t xml:space="preserve"> 1300 </w:t>
      </w:r>
      <w:r w:rsidR="00575F06">
        <w:t xml:space="preserve">directors, </w:t>
      </w:r>
      <w:r w:rsidR="00576DFC">
        <w:t xml:space="preserve">an examination of creditor reports </w:t>
      </w:r>
      <w:r>
        <w:t xml:space="preserve">and other documents </w:t>
      </w:r>
      <w:r w:rsidR="00576DFC">
        <w:t xml:space="preserve">revealed there were </w:t>
      </w:r>
      <w:r w:rsidR="009B0F2B">
        <w:t>claims of p</w:t>
      </w:r>
      <w:r w:rsidR="00576DFC">
        <w:t xml:space="preserve">otential breaches of the law </w:t>
      </w:r>
      <w:r w:rsidR="009B0F2B">
        <w:t>present in a substantial percentage of the</w:t>
      </w:r>
      <w:r>
        <w:t xml:space="preserve"> </w:t>
      </w:r>
      <w:r w:rsidR="009B0F2B">
        <w:t>cases</w:t>
      </w:r>
      <w:r>
        <w:t>, i</w:t>
      </w:r>
      <w:r w:rsidR="00575F06">
        <w:t>n addition to the non-payment of employee entitlement</w:t>
      </w:r>
      <w:r w:rsidR="00D27BAD">
        <w:t>s</w:t>
      </w:r>
      <w:r w:rsidR="00575F06">
        <w:t xml:space="preserve"> and the non-payment of superannuation</w:t>
      </w:r>
      <w:r>
        <w:t xml:space="preserve">. Potential breaches included </w:t>
      </w:r>
      <w:r w:rsidR="00575F06">
        <w:t>failure</w:t>
      </w:r>
      <w:r w:rsidR="00D27BAD">
        <w:t>s</w:t>
      </w:r>
      <w:r w:rsidR="00575F06">
        <w:t xml:space="preserve"> of directors to e</w:t>
      </w:r>
      <w:r>
        <w:t>nsure proper books and records we</w:t>
      </w:r>
      <w:r w:rsidR="00575F06">
        <w:t>re kept, and failure</w:t>
      </w:r>
      <w:r w:rsidR="00D27BAD">
        <w:t>s</w:t>
      </w:r>
      <w:r w:rsidR="00575F06">
        <w:t xml:space="preserve"> to comply with taxation law reporting and payment requirements.</w:t>
      </w:r>
    </w:p>
    <w:p w:rsidR="00575F06" w:rsidRDefault="00575F06" w:rsidP="00575F06">
      <w:r>
        <w:t xml:space="preserve">Under the Corporations Act, directors can be disqualified from managing corporations in certain circumstances outlined in </w:t>
      </w:r>
      <w:r w:rsidRPr="00625F7F">
        <w:t xml:space="preserve">Part </w:t>
      </w:r>
      <w:proofErr w:type="spellStart"/>
      <w:r w:rsidRPr="00625F7F">
        <w:t>2D.6</w:t>
      </w:r>
      <w:proofErr w:type="spellEnd"/>
      <w:r w:rsidRPr="00625F7F">
        <w:t xml:space="preserve"> of th</w:t>
      </w:r>
      <w:r>
        <w:t xml:space="preserve">at Act.  Disqualification of persons can occur automatically, by application to a </w:t>
      </w:r>
      <w:r w:rsidR="00B66EA7" w:rsidRPr="00B66EA7">
        <w:t>c</w:t>
      </w:r>
      <w:r w:rsidRPr="00B66EA7">
        <w:t>ourt</w:t>
      </w:r>
      <w:r>
        <w:t xml:space="preserve"> </w:t>
      </w:r>
      <w:r w:rsidR="00A026A6">
        <w:t xml:space="preserve">to order </w:t>
      </w:r>
      <w:r>
        <w:t>disqualif</w:t>
      </w:r>
      <w:r w:rsidR="00A026A6">
        <w:t xml:space="preserve">ication of </w:t>
      </w:r>
      <w:r>
        <w:t xml:space="preserve">a person, </w:t>
      </w:r>
      <w:r w:rsidRPr="00625F7F">
        <w:t xml:space="preserve">or by a determination </w:t>
      </w:r>
      <w:r>
        <w:t xml:space="preserve">of </w:t>
      </w:r>
      <w:proofErr w:type="spellStart"/>
      <w:r>
        <w:t>ASIC</w:t>
      </w:r>
      <w:proofErr w:type="spellEnd"/>
      <w:r w:rsidRPr="00625F7F">
        <w:t>.</w:t>
      </w:r>
    </w:p>
    <w:p w:rsidR="00A744CB" w:rsidRDefault="008F7CD0" w:rsidP="00A744CB">
      <w:pPr>
        <w:rPr>
          <w:i/>
        </w:rPr>
      </w:pPr>
      <w:r>
        <w:rPr>
          <w:i/>
        </w:rPr>
        <w:t>Disqualification by the c</w:t>
      </w:r>
      <w:r w:rsidR="00A744CB">
        <w:rPr>
          <w:i/>
        </w:rPr>
        <w:t xml:space="preserve">ourt or </w:t>
      </w:r>
      <w:proofErr w:type="spellStart"/>
      <w:r w:rsidR="00A744CB">
        <w:rPr>
          <w:i/>
        </w:rPr>
        <w:t>ASIC</w:t>
      </w:r>
      <w:proofErr w:type="spellEnd"/>
      <w:r w:rsidR="00A744CB">
        <w:rPr>
          <w:i/>
        </w:rPr>
        <w:t xml:space="preserve"> </w:t>
      </w:r>
    </w:p>
    <w:p w:rsidR="00A744CB" w:rsidRDefault="00A744CB" w:rsidP="00A744CB">
      <w:r>
        <w:t xml:space="preserve">Under </w:t>
      </w:r>
      <w:r w:rsidR="00A40774">
        <w:t xml:space="preserve">section </w:t>
      </w:r>
      <w:proofErr w:type="spellStart"/>
      <w:r w:rsidR="00A40774">
        <w:t>206F</w:t>
      </w:r>
      <w:proofErr w:type="spellEnd"/>
      <w:r w:rsidR="00A40774">
        <w:t xml:space="preserve"> of the Corporations Act</w:t>
      </w:r>
      <w:r>
        <w:t xml:space="preserve">, </w:t>
      </w:r>
      <w:proofErr w:type="spellStart"/>
      <w:r>
        <w:t>ASIC</w:t>
      </w:r>
      <w:proofErr w:type="spellEnd"/>
      <w:r>
        <w:t xml:space="preserve"> may consider a director disqualification order if a company director has been involved in two or more company liquidations within the last seven years, where it has sufficient evidence in relation to the legislative grounds for disqualification.</w:t>
      </w:r>
      <w:r>
        <w:rPr>
          <w:rStyle w:val="FootnoteReference"/>
        </w:rPr>
        <w:footnoteReference w:id="56"/>
      </w:r>
      <w:r>
        <w:t xml:space="preserve"> There is a similar </w:t>
      </w:r>
      <w:r w:rsidR="00A40774">
        <w:t>(</w:t>
      </w:r>
      <w:r>
        <w:t>but broader) power of disqualification given to the c</w:t>
      </w:r>
      <w:r w:rsidRPr="00A744CB">
        <w:t xml:space="preserve">ourts under section </w:t>
      </w:r>
      <w:proofErr w:type="spellStart"/>
      <w:r w:rsidRPr="00A744CB">
        <w:t>206D</w:t>
      </w:r>
      <w:proofErr w:type="spellEnd"/>
      <w:r w:rsidRPr="00A744CB">
        <w:t>.</w:t>
      </w:r>
      <w:r w:rsidRPr="00A744CB">
        <w:rPr>
          <w:rStyle w:val="FootnoteReference"/>
        </w:rPr>
        <w:footnoteReference w:id="57"/>
      </w:r>
    </w:p>
    <w:p w:rsidR="00A744CB" w:rsidRDefault="00A744CB" w:rsidP="00A744CB">
      <w:r>
        <w:t>A person may also</w:t>
      </w:r>
      <w:r w:rsidR="000F3C78">
        <w:t xml:space="preserve"> be disqualified by the c</w:t>
      </w:r>
      <w:r>
        <w:t xml:space="preserve">ourts from managing a corporation where: </w:t>
      </w:r>
    </w:p>
    <w:p w:rsidR="00A744CB" w:rsidRPr="008821AB" w:rsidRDefault="00A744CB" w:rsidP="008821AB">
      <w:pPr>
        <w:pStyle w:val="ListParagraph"/>
        <w:numPr>
          <w:ilvl w:val="0"/>
          <w:numId w:val="23"/>
        </w:numPr>
        <w:rPr>
          <w:rFonts w:ascii="Book Antiqua" w:hAnsi="Book Antiqua"/>
        </w:rPr>
      </w:pPr>
      <w:r w:rsidRPr="008821AB">
        <w:rPr>
          <w:rFonts w:ascii="Book Antiqua" w:hAnsi="Book Antiqua"/>
        </w:rPr>
        <w:t xml:space="preserve">the person has breached any Corporations Act civil penalty provision; </w:t>
      </w:r>
    </w:p>
    <w:p w:rsidR="00A744CB" w:rsidRPr="008821AB" w:rsidRDefault="00A744CB" w:rsidP="008821AB">
      <w:pPr>
        <w:pStyle w:val="ListParagraph"/>
        <w:numPr>
          <w:ilvl w:val="0"/>
          <w:numId w:val="23"/>
        </w:numPr>
        <w:rPr>
          <w:rFonts w:ascii="Book Antiqua" w:hAnsi="Book Antiqua"/>
        </w:rPr>
      </w:pPr>
      <w:r w:rsidRPr="008821AB">
        <w:rPr>
          <w:rFonts w:ascii="Book Antiqua" w:hAnsi="Book Antiqua"/>
        </w:rPr>
        <w:t>has at least twice been an officer of a body corporate that has contravened the Corporations Act</w:t>
      </w:r>
      <w:r w:rsidR="00A40774" w:rsidRPr="008821AB">
        <w:rPr>
          <w:rFonts w:ascii="Book Antiqua" w:hAnsi="Book Antiqua"/>
        </w:rPr>
        <w:t xml:space="preserve"> (section </w:t>
      </w:r>
      <w:proofErr w:type="spellStart"/>
      <w:r w:rsidR="00A40774" w:rsidRPr="008821AB">
        <w:rPr>
          <w:rFonts w:ascii="Book Antiqua" w:hAnsi="Book Antiqua"/>
        </w:rPr>
        <w:t>206E</w:t>
      </w:r>
      <w:proofErr w:type="spellEnd"/>
      <w:r w:rsidR="00A40774" w:rsidRPr="008821AB">
        <w:rPr>
          <w:rFonts w:ascii="Book Antiqua" w:hAnsi="Book Antiqua"/>
        </w:rPr>
        <w:t>)</w:t>
      </w:r>
      <w:r w:rsidRPr="008821AB">
        <w:rPr>
          <w:rFonts w:ascii="Book Antiqua" w:hAnsi="Book Antiqua"/>
        </w:rPr>
        <w:t>;  or</w:t>
      </w:r>
    </w:p>
    <w:p w:rsidR="00A744CB" w:rsidRPr="008821AB" w:rsidRDefault="00A744CB" w:rsidP="008821AB">
      <w:pPr>
        <w:pStyle w:val="ListParagraph"/>
        <w:numPr>
          <w:ilvl w:val="0"/>
          <w:numId w:val="23"/>
        </w:numPr>
        <w:rPr>
          <w:rFonts w:ascii="Book Antiqua" w:hAnsi="Book Antiqua"/>
        </w:rPr>
      </w:pPr>
      <w:proofErr w:type="gramStart"/>
      <w:r w:rsidRPr="008821AB">
        <w:rPr>
          <w:rFonts w:ascii="Book Antiqua" w:hAnsi="Book Antiqua"/>
        </w:rPr>
        <w:lastRenderedPageBreak/>
        <w:t>has</w:t>
      </w:r>
      <w:proofErr w:type="gramEnd"/>
      <w:r w:rsidRPr="008821AB">
        <w:rPr>
          <w:rFonts w:ascii="Book Antiqua" w:hAnsi="Book Antiqua"/>
        </w:rPr>
        <w:t xml:space="preserve"> at least twice breached the </w:t>
      </w:r>
      <w:r w:rsidR="000F3C78" w:rsidRPr="008821AB">
        <w:rPr>
          <w:rFonts w:ascii="Book Antiqua" w:hAnsi="Book Antiqua"/>
        </w:rPr>
        <w:t xml:space="preserve">Corporations </w:t>
      </w:r>
      <w:r w:rsidRPr="008821AB">
        <w:rPr>
          <w:rFonts w:ascii="Book Antiqua" w:hAnsi="Book Antiqua"/>
        </w:rPr>
        <w:t>Act themselves as an officer of a corporation.</w:t>
      </w:r>
    </w:p>
    <w:p w:rsidR="00A744CB" w:rsidRDefault="00A744CB" w:rsidP="00A744CB">
      <w:r>
        <w:t xml:space="preserve">Certain contraventions of the </w:t>
      </w:r>
      <w:r>
        <w:rPr>
          <w:i/>
        </w:rPr>
        <w:t>Competition and Consumer Act</w:t>
      </w:r>
      <w:r>
        <w:t xml:space="preserve"> </w:t>
      </w:r>
      <w:r>
        <w:rPr>
          <w:i/>
        </w:rPr>
        <w:t>2010</w:t>
      </w:r>
      <w:r w:rsidR="000F3C78">
        <w:rPr>
          <w:i/>
        </w:rPr>
        <w:t xml:space="preserve"> </w:t>
      </w:r>
      <w:r w:rsidR="000F3C78">
        <w:t>(</w:t>
      </w:r>
      <w:proofErr w:type="spellStart"/>
      <w:r w:rsidR="000F3C78">
        <w:t>Cth</w:t>
      </w:r>
      <w:proofErr w:type="spellEnd"/>
      <w:r w:rsidR="000F3C78">
        <w:t>)</w:t>
      </w:r>
      <w:r>
        <w:rPr>
          <w:i/>
        </w:rPr>
        <w:t xml:space="preserve"> </w:t>
      </w:r>
      <w:r>
        <w:t xml:space="preserve">and the </w:t>
      </w:r>
      <w:r>
        <w:rPr>
          <w:i/>
        </w:rPr>
        <w:t>Australian Securities and Investments</w:t>
      </w:r>
      <w:r w:rsidR="00CE50FC">
        <w:rPr>
          <w:i/>
        </w:rPr>
        <w:t xml:space="preserve"> Commission</w:t>
      </w:r>
      <w:r w:rsidR="000F3C78">
        <w:rPr>
          <w:i/>
        </w:rPr>
        <w:t xml:space="preserve"> Act 2001 </w:t>
      </w:r>
      <w:r w:rsidR="000F3C78">
        <w:t>(</w:t>
      </w:r>
      <w:proofErr w:type="spellStart"/>
      <w:r w:rsidR="000F3C78">
        <w:t>Cth</w:t>
      </w:r>
      <w:proofErr w:type="spellEnd"/>
      <w:r w:rsidR="000F3C78">
        <w:t>)</w:t>
      </w:r>
      <w:r w:rsidR="000F3C78">
        <w:rPr>
          <w:i/>
        </w:rPr>
        <w:t xml:space="preserve"> </w:t>
      </w:r>
      <w:r>
        <w:t>may also attract disqualification by the court. </w:t>
      </w:r>
    </w:p>
    <w:p w:rsidR="00A744CB" w:rsidRDefault="008F7CD0" w:rsidP="00A744CB">
      <w:pPr>
        <w:rPr>
          <w:i/>
        </w:rPr>
      </w:pPr>
      <w:r>
        <w:rPr>
          <w:i/>
        </w:rPr>
        <w:t>Automatic d</w:t>
      </w:r>
      <w:r w:rsidR="00A744CB">
        <w:rPr>
          <w:i/>
        </w:rPr>
        <w:t>isqualification</w:t>
      </w:r>
    </w:p>
    <w:p w:rsidR="00A744CB" w:rsidRDefault="00A744CB" w:rsidP="00A744CB">
      <w:r>
        <w:t xml:space="preserve">A person is automatically disqualified from managing a corporation if they have been convicted: </w:t>
      </w:r>
    </w:p>
    <w:p w:rsidR="00A744CB" w:rsidRPr="008821AB" w:rsidRDefault="00A744CB" w:rsidP="008821AB">
      <w:pPr>
        <w:pStyle w:val="ListParagraph"/>
        <w:numPr>
          <w:ilvl w:val="0"/>
          <w:numId w:val="18"/>
        </w:numPr>
        <w:jc w:val="both"/>
        <w:rPr>
          <w:rFonts w:ascii="Book Antiqua" w:hAnsi="Book Antiqua"/>
        </w:rPr>
      </w:pPr>
      <w:r w:rsidRPr="008821AB">
        <w:rPr>
          <w:rFonts w:ascii="Book Antiqua" w:hAnsi="Book Antiqua"/>
        </w:rPr>
        <w:t>of any indictable offence concerning a substantial part of the business of a corporation or significantly affect</w:t>
      </w:r>
      <w:r w:rsidR="00DE4164">
        <w:rPr>
          <w:rFonts w:ascii="Book Antiqua" w:hAnsi="Book Antiqua"/>
        </w:rPr>
        <w:t>ing</w:t>
      </w:r>
      <w:r w:rsidRPr="008821AB">
        <w:rPr>
          <w:rFonts w:ascii="Book Antiqua" w:hAnsi="Book Antiqua"/>
        </w:rPr>
        <w:t xml:space="preserve"> a corporation</w:t>
      </w:r>
      <w:r w:rsidR="00DE4164">
        <w:rPr>
          <w:rFonts w:ascii="Book Antiqua" w:hAnsi="Book Antiqua"/>
        </w:rPr>
        <w:t>’</w:t>
      </w:r>
      <w:r w:rsidRPr="008821AB">
        <w:rPr>
          <w:rFonts w:ascii="Book Antiqua" w:hAnsi="Book Antiqua"/>
        </w:rPr>
        <w:t>s financial position; or</w:t>
      </w:r>
    </w:p>
    <w:p w:rsidR="00A744CB" w:rsidRPr="008821AB" w:rsidRDefault="00DE4164" w:rsidP="008821AB">
      <w:pPr>
        <w:pStyle w:val="ListParagraph"/>
        <w:numPr>
          <w:ilvl w:val="0"/>
          <w:numId w:val="18"/>
        </w:numPr>
        <w:jc w:val="both"/>
        <w:rPr>
          <w:rFonts w:ascii="Book Antiqua" w:hAnsi="Book Antiqua"/>
        </w:rPr>
      </w:pPr>
      <w:r>
        <w:rPr>
          <w:rFonts w:ascii="Book Antiqua" w:hAnsi="Book Antiqua"/>
        </w:rPr>
        <w:t xml:space="preserve">of </w:t>
      </w:r>
      <w:r w:rsidR="00A744CB" w:rsidRPr="008821AB">
        <w:rPr>
          <w:rFonts w:ascii="Book Antiqua" w:hAnsi="Book Antiqua"/>
        </w:rPr>
        <w:t xml:space="preserve">any offence involving dishonesty that is punishable by at least three months imprisonment; or </w:t>
      </w:r>
    </w:p>
    <w:p w:rsidR="00A744CB" w:rsidRPr="008821AB" w:rsidRDefault="00DE4164" w:rsidP="008821AB">
      <w:pPr>
        <w:pStyle w:val="ListParagraph"/>
        <w:numPr>
          <w:ilvl w:val="0"/>
          <w:numId w:val="18"/>
        </w:numPr>
        <w:jc w:val="both"/>
        <w:rPr>
          <w:rFonts w:ascii="Book Antiqua" w:hAnsi="Book Antiqua"/>
        </w:rPr>
      </w:pPr>
      <w:r>
        <w:rPr>
          <w:rFonts w:ascii="Book Antiqua" w:hAnsi="Book Antiqua"/>
        </w:rPr>
        <w:t xml:space="preserve">under </w:t>
      </w:r>
      <w:r w:rsidR="00A744CB" w:rsidRPr="008821AB">
        <w:rPr>
          <w:rFonts w:ascii="Book Antiqua" w:hAnsi="Book Antiqua"/>
        </w:rPr>
        <w:t>a law of a foreign country punishable by at least 12 months imprisonment; or</w:t>
      </w:r>
    </w:p>
    <w:p w:rsidR="00A744CB" w:rsidRPr="008821AB" w:rsidRDefault="00DE4164" w:rsidP="008821AB">
      <w:pPr>
        <w:pStyle w:val="ListParagraph"/>
        <w:numPr>
          <w:ilvl w:val="0"/>
          <w:numId w:val="18"/>
        </w:numPr>
        <w:jc w:val="both"/>
        <w:rPr>
          <w:rFonts w:ascii="Book Antiqua" w:hAnsi="Book Antiqua"/>
        </w:rPr>
      </w:pPr>
      <w:proofErr w:type="gramStart"/>
      <w:r>
        <w:rPr>
          <w:rFonts w:ascii="Book Antiqua" w:hAnsi="Book Antiqua"/>
        </w:rPr>
        <w:t>of</w:t>
      </w:r>
      <w:proofErr w:type="gramEnd"/>
      <w:r>
        <w:rPr>
          <w:rFonts w:ascii="Book Antiqua" w:hAnsi="Book Antiqua"/>
        </w:rPr>
        <w:t xml:space="preserve"> </w:t>
      </w:r>
      <w:r w:rsidR="00A744CB" w:rsidRPr="008821AB">
        <w:rPr>
          <w:rFonts w:ascii="Book Antiqua" w:hAnsi="Book Antiqua"/>
        </w:rPr>
        <w:t xml:space="preserve">any offence under the Corporations Act punishable by at least 12 months imprisonment. </w:t>
      </w:r>
    </w:p>
    <w:p w:rsidR="00A744CB" w:rsidRDefault="00A744CB" w:rsidP="00A744CB">
      <w:r>
        <w:t>A person who is an insolvent under administration (e.g. bankrupt) is also automatically disqualified.</w:t>
      </w:r>
    </w:p>
    <w:p w:rsidR="00A026A6" w:rsidRPr="00090F40" w:rsidRDefault="00A40774" w:rsidP="00575F06">
      <w:pPr>
        <w:rPr>
          <w:i/>
        </w:rPr>
      </w:pPr>
      <w:r>
        <w:rPr>
          <w:i/>
        </w:rPr>
        <w:t xml:space="preserve">Mitigating impacts on the </w:t>
      </w:r>
      <w:r w:rsidR="00090F40">
        <w:rPr>
          <w:i/>
        </w:rPr>
        <w:t>FEG</w:t>
      </w:r>
      <w:r>
        <w:rPr>
          <w:i/>
        </w:rPr>
        <w:t xml:space="preserve"> scheme</w:t>
      </w:r>
    </w:p>
    <w:p w:rsidR="00575F06" w:rsidRDefault="00A40774" w:rsidP="00575F06">
      <w:r>
        <w:t xml:space="preserve">The </w:t>
      </w:r>
      <w:r w:rsidR="00575F06">
        <w:t xml:space="preserve">existing disqualification provisions are not tailored to specifically mitigate behaviours which impact the FEG scheme. </w:t>
      </w:r>
    </w:p>
    <w:p w:rsidR="00575F06" w:rsidRPr="00575F06" w:rsidRDefault="00575F06" w:rsidP="00575F06">
      <w:r>
        <w:t xml:space="preserve">Reform to </w:t>
      </w:r>
      <w:r w:rsidR="00DE4164">
        <w:t xml:space="preserve">this area of </w:t>
      </w:r>
      <w:r>
        <w:t xml:space="preserve">the law </w:t>
      </w:r>
      <w:r w:rsidR="00DE4164">
        <w:t xml:space="preserve">could </w:t>
      </w:r>
      <w:r>
        <w:t xml:space="preserve">help prevent serial insolvent company directors who </w:t>
      </w:r>
      <w:r w:rsidR="00D27BAD">
        <w:t xml:space="preserve">inappropriately </w:t>
      </w:r>
      <w:r>
        <w:t>rely on FEG from continuing to operate in the market.</w:t>
      </w:r>
    </w:p>
    <w:p w:rsidR="006E4583" w:rsidRDefault="00EC21DD" w:rsidP="005300C1">
      <w:pPr>
        <w:pStyle w:val="Heading3"/>
      </w:pPr>
      <w:bookmarkStart w:id="80" w:name="_Toc480975488"/>
      <w:bookmarkStart w:id="81" w:name="_Toc481070351"/>
      <w:bookmarkStart w:id="82" w:name="_Toc481948299"/>
      <w:r>
        <w:t xml:space="preserve">7.1 Option </w:t>
      </w:r>
      <w:r w:rsidR="008E7E1F">
        <w:t>6</w:t>
      </w:r>
      <w:r>
        <w:t>: S</w:t>
      </w:r>
      <w:r w:rsidR="006E4583">
        <w:t>pecific FEG sanction</w:t>
      </w:r>
      <w:r w:rsidR="000D6BD6">
        <w:t>s</w:t>
      </w:r>
      <w:r w:rsidR="006E4583">
        <w:t xml:space="preserve"> for directors in Part </w:t>
      </w:r>
      <w:proofErr w:type="spellStart"/>
      <w:r w:rsidR="006E4583">
        <w:t>2D.6</w:t>
      </w:r>
      <w:bookmarkEnd w:id="79"/>
      <w:bookmarkEnd w:id="80"/>
      <w:bookmarkEnd w:id="81"/>
      <w:bookmarkEnd w:id="82"/>
      <w:proofErr w:type="spellEnd"/>
    </w:p>
    <w:p w:rsidR="00E526C4" w:rsidRDefault="00E526C4" w:rsidP="00E526C4">
      <w:bookmarkStart w:id="83" w:name="_Toc477939024"/>
      <w:r>
        <w:t xml:space="preserve">Under this option, the current director disqualification powers of </w:t>
      </w:r>
      <w:proofErr w:type="spellStart"/>
      <w:r>
        <w:t>ASIC</w:t>
      </w:r>
      <w:proofErr w:type="spellEnd"/>
      <w:r>
        <w:t xml:space="preserve"> in section </w:t>
      </w:r>
      <w:proofErr w:type="spellStart"/>
      <w:r>
        <w:t>206F</w:t>
      </w:r>
      <w:proofErr w:type="spellEnd"/>
      <w:r>
        <w:t xml:space="preserve"> of the Co</w:t>
      </w:r>
      <w:r w:rsidR="00A40774">
        <w:t xml:space="preserve">rporations Act and of the court, including </w:t>
      </w:r>
      <w:r>
        <w:t xml:space="preserve">sections </w:t>
      </w:r>
      <w:proofErr w:type="spellStart"/>
      <w:r>
        <w:t>206D</w:t>
      </w:r>
      <w:proofErr w:type="spellEnd"/>
      <w:r>
        <w:t xml:space="preserve"> and </w:t>
      </w:r>
      <w:proofErr w:type="spellStart"/>
      <w:r>
        <w:t>206E</w:t>
      </w:r>
      <w:proofErr w:type="spellEnd"/>
      <w:r>
        <w:t xml:space="preserve"> of the Corporations Act</w:t>
      </w:r>
      <w:r w:rsidR="00A40774">
        <w:t>,</w:t>
      </w:r>
      <w:r>
        <w:t xml:space="preserve"> would be amended to allow disqualification of directors who otherwise engage in behaviour which repeatedly results in i</w:t>
      </w:r>
      <w:r w:rsidR="00B63463">
        <w:t xml:space="preserve">mproper </w:t>
      </w:r>
      <w:r>
        <w:t xml:space="preserve">reliance on the FEG scheme. </w:t>
      </w:r>
    </w:p>
    <w:p w:rsidR="00E526C4" w:rsidRDefault="00E526C4" w:rsidP="00E526C4">
      <w:r>
        <w:t>To ensure entrepreneurship and innovation is not hindered and alignment is maintained with the Australian Government’s improvements to insolvency laws under the National Innovation &amp; Science Agenda, the specific FEG sanction for directors would require:</w:t>
      </w:r>
    </w:p>
    <w:p w:rsidR="00E526C4" w:rsidRPr="005A3A94" w:rsidRDefault="00E526C4" w:rsidP="00E526C4">
      <w:pPr>
        <w:pStyle w:val="ListParagraph"/>
        <w:numPr>
          <w:ilvl w:val="0"/>
          <w:numId w:val="25"/>
        </w:numPr>
        <w:rPr>
          <w:rFonts w:ascii="Book Antiqua" w:hAnsi="Book Antiqua"/>
        </w:rPr>
      </w:pPr>
      <w:r w:rsidRPr="005A3A94">
        <w:rPr>
          <w:rFonts w:ascii="Book Antiqua" w:hAnsi="Book Antiqua"/>
        </w:rPr>
        <w:t xml:space="preserve">other contraventions of </w:t>
      </w:r>
      <w:r>
        <w:rPr>
          <w:rFonts w:ascii="Book Antiqua" w:hAnsi="Book Antiqua"/>
        </w:rPr>
        <w:t xml:space="preserve">the </w:t>
      </w:r>
      <w:r w:rsidRPr="005A3A94">
        <w:rPr>
          <w:rFonts w:ascii="Book Antiqua" w:hAnsi="Book Antiqua"/>
        </w:rPr>
        <w:t>Corporations Act or other laws be present as</w:t>
      </w:r>
      <w:r>
        <w:rPr>
          <w:rFonts w:ascii="Book Antiqua" w:hAnsi="Book Antiqua"/>
        </w:rPr>
        <w:t xml:space="preserve"> a pre</w:t>
      </w:r>
      <w:r>
        <w:rPr>
          <w:rFonts w:ascii="Book Antiqua" w:hAnsi="Book Antiqua"/>
        </w:rPr>
        <w:noBreakHyphen/>
      </w:r>
      <w:r w:rsidRPr="005A3A94">
        <w:rPr>
          <w:rFonts w:ascii="Book Antiqua" w:hAnsi="Book Antiqua"/>
        </w:rPr>
        <w:t xml:space="preserve">requisite for either the court or </w:t>
      </w:r>
      <w:proofErr w:type="spellStart"/>
      <w:r w:rsidRPr="005A3A94">
        <w:rPr>
          <w:rFonts w:ascii="Book Antiqua" w:hAnsi="Book Antiqua"/>
        </w:rPr>
        <w:t>ASIC</w:t>
      </w:r>
      <w:proofErr w:type="spellEnd"/>
      <w:r w:rsidRPr="005A3A94">
        <w:rPr>
          <w:rFonts w:ascii="Book Antiqua" w:hAnsi="Book Antiqua"/>
        </w:rPr>
        <w:t xml:space="preserve"> to disqualify the person (such as a failure to maintain proper company books of account or other records, or a failure to deliver such books and records when called upon, </w:t>
      </w:r>
      <w:r w:rsidR="00A40774">
        <w:rPr>
          <w:rFonts w:ascii="Book Antiqua" w:hAnsi="Book Antiqua"/>
        </w:rPr>
        <w:t xml:space="preserve">or failure to comply with employment laws, </w:t>
      </w:r>
      <w:r w:rsidRPr="005A3A94">
        <w:rPr>
          <w:rFonts w:ascii="Book Antiqua" w:hAnsi="Book Antiqua"/>
        </w:rPr>
        <w:t>or f</w:t>
      </w:r>
      <w:r w:rsidR="003D1017">
        <w:rPr>
          <w:rFonts w:ascii="Book Antiqua" w:hAnsi="Book Antiqua"/>
        </w:rPr>
        <w:t>ailures to comply with relevant payment</w:t>
      </w:r>
      <w:r w:rsidRPr="005A3A94">
        <w:rPr>
          <w:rFonts w:ascii="Book Antiqua" w:hAnsi="Book Antiqua"/>
        </w:rPr>
        <w:t xml:space="preserve"> and reporting obligations</w:t>
      </w:r>
      <w:r w:rsidR="003D1017">
        <w:rPr>
          <w:rFonts w:ascii="Book Antiqua" w:hAnsi="Book Antiqua"/>
        </w:rPr>
        <w:t xml:space="preserve"> under taxation laws</w:t>
      </w:r>
      <w:r w:rsidRPr="005A3A94">
        <w:rPr>
          <w:rFonts w:ascii="Book Antiqua" w:hAnsi="Book Antiqua"/>
        </w:rPr>
        <w:t xml:space="preserve">); </w:t>
      </w:r>
      <w:r w:rsidRPr="003738B5">
        <w:rPr>
          <w:rFonts w:ascii="Book Antiqua" w:hAnsi="Book Antiqua"/>
          <w:u w:val="single"/>
        </w:rPr>
        <w:t>and</w:t>
      </w:r>
    </w:p>
    <w:p w:rsidR="00E526C4" w:rsidRPr="005A3A94" w:rsidRDefault="00E526C4" w:rsidP="00E526C4">
      <w:pPr>
        <w:pStyle w:val="ListParagraph"/>
        <w:numPr>
          <w:ilvl w:val="0"/>
          <w:numId w:val="25"/>
        </w:numPr>
        <w:rPr>
          <w:rFonts w:ascii="Book Antiqua" w:hAnsi="Book Antiqua"/>
        </w:rPr>
      </w:pPr>
      <w:r w:rsidRPr="005A3A94">
        <w:rPr>
          <w:rFonts w:ascii="Book Antiqua" w:hAnsi="Book Antiqua"/>
        </w:rPr>
        <w:t xml:space="preserve">reliance on the FEG scheme two or more times to pay redundant workers their outstanding employee entitlements; </w:t>
      </w:r>
      <w:r w:rsidRPr="003738B5">
        <w:rPr>
          <w:rFonts w:ascii="Book Antiqua" w:hAnsi="Book Antiqua"/>
          <w:u w:val="single"/>
        </w:rPr>
        <w:t>and</w:t>
      </w:r>
    </w:p>
    <w:p w:rsidR="00E526C4" w:rsidRDefault="00E526C4" w:rsidP="00E526C4">
      <w:pPr>
        <w:pStyle w:val="ListParagraph"/>
        <w:numPr>
          <w:ilvl w:val="0"/>
          <w:numId w:val="25"/>
        </w:numPr>
        <w:rPr>
          <w:rFonts w:ascii="Book Antiqua" w:hAnsi="Book Antiqua"/>
        </w:rPr>
      </w:pPr>
      <w:proofErr w:type="gramStart"/>
      <w:r w:rsidRPr="005A3A94">
        <w:rPr>
          <w:rFonts w:ascii="Book Antiqua" w:hAnsi="Book Antiqua"/>
        </w:rPr>
        <w:lastRenderedPageBreak/>
        <w:t>in</w:t>
      </w:r>
      <w:proofErr w:type="gramEnd"/>
      <w:r w:rsidRPr="005A3A94">
        <w:rPr>
          <w:rFonts w:ascii="Book Antiqua" w:hAnsi="Book Antiqua"/>
        </w:rPr>
        <w:t xml:space="preserve"> each case of reliance on </w:t>
      </w:r>
      <w:r>
        <w:rPr>
          <w:rFonts w:ascii="Book Antiqua" w:hAnsi="Book Antiqua"/>
        </w:rPr>
        <w:t xml:space="preserve">the </w:t>
      </w:r>
      <w:r w:rsidRPr="005A3A94">
        <w:rPr>
          <w:rFonts w:ascii="Book Antiqua" w:hAnsi="Book Antiqua"/>
        </w:rPr>
        <w:t>FEG</w:t>
      </w:r>
      <w:r>
        <w:rPr>
          <w:rFonts w:ascii="Book Antiqua" w:hAnsi="Book Antiqua"/>
        </w:rPr>
        <w:t xml:space="preserve"> scheme</w:t>
      </w:r>
      <w:r w:rsidRPr="005A3A94">
        <w:rPr>
          <w:rFonts w:ascii="Book Antiqua" w:hAnsi="Book Antiqua"/>
        </w:rPr>
        <w:t xml:space="preserve">, </w:t>
      </w:r>
      <w:r w:rsidR="005C1851">
        <w:rPr>
          <w:rFonts w:ascii="Book Antiqua" w:hAnsi="Book Antiqua"/>
        </w:rPr>
        <w:t xml:space="preserve">minimal or </w:t>
      </w:r>
      <w:r w:rsidRPr="005A3A94">
        <w:rPr>
          <w:rFonts w:ascii="Book Antiqua" w:hAnsi="Book Antiqua"/>
        </w:rPr>
        <w:t xml:space="preserve">no return of the FEG advances </w:t>
      </w:r>
      <w:r>
        <w:rPr>
          <w:rFonts w:ascii="Book Antiqua" w:hAnsi="Book Antiqua"/>
        </w:rPr>
        <w:t>made b</w:t>
      </w:r>
      <w:r w:rsidRPr="005A3A94">
        <w:rPr>
          <w:rFonts w:ascii="Book Antiqua" w:hAnsi="Book Antiqua"/>
        </w:rPr>
        <w:t>eing</w:t>
      </w:r>
      <w:r>
        <w:rPr>
          <w:rFonts w:ascii="Book Antiqua" w:hAnsi="Book Antiqua"/>
        </w:rPr>
        <w:t xml:space="preserve"> able to be </w:t>
      </w:r>
      <w:r w:rsidRPr="005A3A94">
        <w:rPr>
          <w:rFonts w:ascii="Book Antiqua" w:hAnsi="Book Antiqua"/>
        </w:rPr>
        <w:t>recovered</w:t>
      </w:r>
      <w:r>
        <w:rPr>
          <w:rFonts w:ascii="Book Antiqua" w:hAnsi="Book Antiqua"/>
        </w:rPr>
        <w:t xml:space="preserve"> in </w:t>
      </w:r>
      <w:r w:rsidRPr="005A3A94">
        <w:rPr>
          <w:rFonts w:ascii="Book Antiqua" w:hAnsi="Book Antiqua"/>
        </w:rPr>
        <w:t>the insolvency process.</w:t>
      </w:r>
    </w:p>
    <w:p w:rsidR="009B0F2B" w:rsidRDefault="005C1851" w:rsidP="00A40774">
      <w:r>
        <w:t xml:space="preserve">As an anti-avoidance measure, </w:t>
      </w:r>
      <w:r w:rsidR="009B0F2B">
        <w:t xml:space="preserve">it may be appropriate to structure the third criteria </w:t>
      </w:r>
      <w:r w:rsidR="003D1017">
        <w:t xml:space="preserve">(no </w:t>
      </w:r>
      <w:r>
        <w:t xml:space="preserve">or minimal </w:t>
      </w:r>
      <w:r w:rsidR="003D1017">
        <w:t xml:space="preserve">return of FEG advances) </w:t>
      </w:r>
      <w:r w:rsidR="009B0F2B">
        <w:t xml:space="preserve">as an adjustable threshold. </w:t>
      </w:r>
    </w:p>
    <w:p w:rsidR="004652AF" w:rsidRDefault="00A40774" w:rsidP="00A40774">
      <w:r>
        <w:t xml:space="preserve">The </w:t>
      </w:r>
      <w:r w:rsidR="009B0F2B">
        <w:t xml:space="preserve">current provisions </w:t>
      </w:r>
      <w:r>
        <w:t xml:space="preserve">could </w:t>
      </w:r>
      <w:r w:rsidR="009B0F2B">
        <w:t xml:space="preserve">also </w:t>
      </w:r>
      <w:r>
        <w:t xml:space="preserve">be amended to extend automatic disqualification to convictions of company officers of employee entitlement related offences other than under the Corporations Act (for example, under the </w:t>
      </w:r>
      <w:r>
        <w:rPr>
          <w:i/>
        </w:rPr>
        <w:t>Fair Work Act 2009</w:t>
      </w:r>
      <w:r>
        <w:t>).</w:t>
      </w:r>
    </w:p>
    <w:p w:rsidR="004652AF" w:rsidRDefault="004652AF" w:rsidP="00A40774"/>
    <w:bookmarkEnd w:id="83"/>
    <w:p w:rsidR="006E4583" w:rsidRDefault="006E4583" w:rsidP="006E4583">
      <w:pPr>
        <w:pBdr>
          <w:top w:val="single" w:sz="4" w:space="1" w:color="auto"/>
          <w:left w:val="single" w:sz="4" w:space="4" w:color="auto"/>
          <w:bottom w:val="single" w:sz="4" w:space="1" w:color="auto"/>
          <w:right w:val="single" w:sz="4" w:space="4" w:color="auto"/>
        </w:pBdr>
        <w:rPr>
          <w:b/>
          <w:sz w:val="24"/>
          <w:szCs w:val="24"/>
        </w:rPr>
      </w:pPr>
      <w:r>
        <w:rPr>
          <w:b/>
          <w:sz w:val="24"/>
          <w:szCs w:val="24"/>
        </w:rPr>
        <w:t>QUESTIONS</w:t>
      </w:r>
      <w:r w:rsidR="009B0F2B">
        <w:rPr>
          <w:b/>
          <w:sz w:val="24"/>
          <w:szCs w:val="24"/>
        </w:rPr>
        <w:t xml:space="preserve"> (</w:t>
      </w:r>
      <w:r w:rsidR="00AA6C15">
        <w:rPr>
          <w:b/>
          <w:sz w:val="24"/>
          <w:szCs w:val="24"/>
        </w:rPr>
        <w:t>REFORMS TO DIRECTOR D</w:t>
      </w:r>
      <w:r w:rsidR="003C2BCD">
        <w:rPr>
          <w:b/>
          <w:sz w:val="24"/>
          <w:szCs w:val="24"/>
        </w:rPr>
        <w:t>ISQUALI</w:t>
      </w:r>
      <w:r w:rsidR="00AA6C15">
        <w:rPr>
          <w:b/>
          <w:sz w:val="24"/>
          <w:szCs w:val="24"/>
        </w:rPr>
        <w:t>FICATION</w:t>
      </w:r>
      <w:r w:rsidR="009B0F2B">
        <w:rPr>
          <w:b/>
          <w:sz w:val="24"/>
          <w:szCs w:val="24"/>
        </w:rPr>
        <w:t>):</w:t>
      </w:r>
    </w:p>
    <w:p w:rsidR="0019127D" w:rsidRDefault="006E4583" w:rsidP="005B4032">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6E4583">
        <w:rPr>
          <w:rFonts w:ascii="Book Antiqua" w:hAnsi="Book Antiqua"/>
        </w:rPr>
        <w:t>Wh</w:t>
      </w:r>
      <w:r w:rsidR="0075090F">
        <w:rPr>
          <w:rFonts w:ascii="Book Antiqua" w:hAnsi="Book Antiqua"/>
        </w:rPr>
        <w:t>at are the benefits and risks of the option outlined above?</w:t>
      </w:r>
      <w:r w:rsidR="0019127D">
        <w:rPr>
          <w:rFonts w:ascii="Book Antiqua" w:hAnsi="Book Antiqua"/>
        </w:rPr>
        <w:br/>
      </w:r>
    </w:p>
    <w:p w:rsidR="00124003" w:rsidRPr="0019127D" w:rsidRDefault="00662EED" w:rsidP="005B4032">
      <w:pPr>
        <w:pStyle w:val="ListParagraph"/>
        <w:numPr>
          <w:ilvl w:val="0"/>
          <w:numId w:val="21"/>
        </w:numPr>
        <w:pBdr>
          <w:top w:val="single" w:sz="4" w:space="1" w:color="auto"/>
          <w:left w:val="single" w:sz="4" w:space="4" w:color="auto"/>
          <w:bottom w:val="single" w:sz="4" w:space="1" w:color="auto"/>
          <w:right w:val="single" w:sz="4" w:space="4" w:color="auto"/>
        </w:pBdr>
        <w:rPr>
          <w:rFonts w:ascii="Book Antiqua" w:hAnsi="Book Antiqua"/>
        </w:rPr>
      </w:pPr>
      <w:r w:rsidRPr="0019127D">
        <w:rPr>
          <w:rFonts w:ascii="Book Antiqua" w:hAnsi="Book Antiqua"/>
        </w:rPr>
        <w:t xml:space="preserve">Are there alternative approaches </w:t>
      </w:r>
      <w:r>
        <w:rPr>
          <w:rFonts w:ascii="Book Antiqua" w:hAnsi="Book Antiqua"/>
        </w:rPr>
        <w:t xml:space="preserve">which would sanction those with a track record of involvement in insolvencies where FEG is relied upon? </w:t>
      </w:r>
      <w:r w:rsidRPr="0019127D">
        <w:rPr>
          <w:rFonts w:ascii="Book Antiqua" w:hAnsi="Book Antiqua"/>
        </w:rPr>
        <w:t>What are they?</w:t>
      </w:r>
      <w:r w:rsidR="00124003" w:rsidRPr="0019127D">
        <w:rPr>
          <w:rFonts w:ascii="Book Antiqua" w:hAnsi="Book Antiqua"/>
        </w:rPr>
        <w:br/>
      </w:r>
    </w:p>
    <w:p w:rsidR="000C5A5E" w:rsidRPr="004A7246" w:rsidRDefault="000C5A5E" w:rsidP="004A7246">
      <w:r>
        <w:br w:type="page"/>
      </w:r>
    </w:p>
    <w:p w:rsidR="006E4583" w:rsidRDefault="006E4583" w:rsidP="006E4583">
      <w:pPr>
        <w:pStyle w:val="Heading2"/>
      </w:pPr>
      <w:bookmarkStart w:id="84" w:name="_Toc481948300"/>
      <w:r>
        <w:lastRenderedPageBreak/>
        <w:t>8. Other related reforms</w:t>
      </w:r>
      <w:bookmarkEnd w:id="84"/>
      <w:r>
        <w:t xml:space="preserve"> </w:t>
      </w:r>
    </w:p>
    <w:p w:rsidR="00E526C4" w:rsidRPr="006E4583" w:rsidRDefault="00E526C4" w:rsidP="00E526C4">
      <w:pPr>
        <w:pStyle w:val="ListParagraph"/>
        <w:ind w:left="0"/>
        <w:rPr>
          <w:rFonts w:ascii="Book Antiqua" w:hAnsi="Book Antiqua"/>
        </w:rPr>
      </w:pPr>
      <w:bookmarkStart w:id="85" w:name="_Toc477939027"/>
      <w:r w:rsidRPr="00D83434">
        <w:rPr>
          <w:rFonts w:ascii="Book Antiqua" w:hAnsi="Book Antiqua"/>
        </w:rPr>
        <w:t xml:space="preserve">Some </w:t>
      </w:r>
      <w:r w:rsidR="00B41D56">
        <w:rPr>
          <w:rFonts w:ascii="Book Antiqua" w:hAnsi="Book Antiqua"/>
        </w:rPr>
        <w:t>other</w:t>
      </w:r>
      <w:r w:rsidRPr="00D83434">
        <w:rPr>
          <w:rFonts w:ascii="Book Antiqua" w:hAnsi="Book Antiqua"/>
        </w:rPr>
        <w:t xml:space="preserve"> reforms are also proposed </w:t>
      </w:r>
      <w:r w:rsidR="003C5688">
        <w:rPr>
          <w:rFonts w:ascii="Book Antiqua" w:hAnsi="Book Antiqua"/>
        </w:rPr>
        <w:t xml:space="preserve">to resolve </w:t>
      </w:r>
      <w:r w:rsidR="00B41D56">
        <w:rPr>
          <w:rFonts w:ascii="Book Antiqua" w:hAnsi="Book Antiqua"/>
        </w:rPr>
        <w:t xml:space="preserve">existing </w:t>
      </w:r>
      <w:r w:rsidRPr="00D83434">
        <w:rPr>
          <w:rFonts w:ascii="Book Antiqua" w:hAnsi="Book Antiqua"/>
        </w:rPr>
        <w:t xml:space="preserve">uncertainty </w:t>
      </w:r>
      <w:r w:rsidR="003C5688">
        <w:rPr>
          <w:rFonts w:ascii="Book Antiqua" w:hAnsi="Book Antiqua"/>
        </w:rPr>
        <w:t>in the law g</w:t>
      </w:r>
      <w:r w:rsidRPr="00D83434">
        <w:rPr>
          <w:rFonts w:ascii="Book Antiqua" w:hAnsi="Book Antiqua"/>
        </w:rPr>
        <w:t>overning the priority of creditors.</w:t>
      </w:r>
    </w:p>
    <w:p w:rsidR="006E4583" w:rsidRDefault="002C41A7" w:rsidP="003F21C1">
      <w:pPr>
        <w:pStyle w:val="Heading3"/>
        <w:ind w:left="567" w:hanging="567"/>
      </w:pPr>
      <w:bookmarkStart w:id="86" w:name="_Toc480975491"/>
      <w:bookmarkStart w:id="87" w:name="_Toc481070354"/>
      <w:bookmarkStart w:id="88" w:name="_Toc481948301"/>
      <w:r>
        <w:t xml:space="preserve">8.1 Option </w:t>
      </w:r>
      <w:r w:rsidR="008E7E1F">
        <w:t>7</w:t>
      </w:r>
      <w:r w:rsidR="006E4583">
        <w:t xml:space="preserve">: </w:t>
      </w:r>
      <w:r w:rsidR="003B27FE">
        <w:t xml:space="preserve">Reform </w:t>
      </w:r>
      <w:r w:rsidR="006E4583">
        <w:t xml:space="preserve">the </w:t>
      </w:r>
      <w:r w:rsidR="00C96FB2">
        <w:t xml:space="preserve">law regarding </w:t>
      </w:r>
      <w:r w:rsidR="003B27FE">
        <w:t>trust assets where an insolvent company is a corporate trustee</w:t>
      </w:r>
      <w:bookmarkEnd w:id="85"/>
      <w:bookmarkEnd w:id="86"/>
      <w:bookmarkEnd w:id="87"/>
      <w:bookmarkEnd w:id="88"/>
      <w:r w:rsidR="006E4583">
        <w:t xml:space="preserve"> </w:t>
      </w:r>
    </w:p>
    <w:p w:rsidR="003C5688" w:rsidRDefault="00DE4164" w:rsidP="003C5688">
      <w:r>
        <w:t xml:space="preserve">The </w:t>
      </w:r>
      <w:r w:rsidR="003C5688">
        <w:t xml:space="preserve">law </w:t>
      </w:r>
      <w:r>
        <w:t xml:space="preserve">could </w:t>
      </w:r>
      <w:r w:rsidR="003C5688">
        <w:t xml:space="preserve">be </w:t>
      </w:r>
      <w:r w:rsidR="00B41D56">
        <w:t xml:space="preserve">amended </w:t>
      </w:r>
      <w:r w:rsidR="003C5688">
        <w:t>to make it clear that the priorities under section 556</w:t>
      </w:r>
      <w:r w:rsidR="00BF06E1">
        <w:t xml:space="preserve"> in the Corporations </w:t>
      </w:r>
      <w:r w:rsidR="003C5688">
        <w:t xml:space="preserve">Act </w:t>
      </w:r>
      <w:r w:rsidR="00B63463">
        <w:t xml:space="preserve">(order of priorities for unsecured creditors) </w:t>
      </w:r>
      <w:r w:rsidR="003C5688">
        <w:t>apply when distributing the surplus from the realisation of the trust assets of a company which is a corporate trustee.</w:t>
      </w:r>
    </w:p>
    <w:p w:rsidR="00E526C4" w:rsidRDefault="00E526C4" w:rsidP="00E526C4">
      <w:r>
        <w:t>A divergence in recent judicial authority</w:t>
      </w:r>
      <w:r w:rsidRPr="00D018FD">
        <w:rPr>
          <w:rStyle w:val="FootnoteReference"/>
        </w:rPr>
        <w:footnoteReference w:id="58"/>
      </w:r>
      <w:r w:rsidRPr="00D018FD">
        <w:rPr>
          <w:rStyle w:val="FootnoteReference"/>
        </w:rPr>
        <w:t xml:space="preserve"> </w:t>
      </w:r>
      <w:r>
        <w:t xml:space="preserve">has led to uncertainty as to whether the ordinary rules governing the distribution of funds in </w:t>
      </w:r>
      <w:proofErr w:type="gramStart"/>
      <w:r>
        <w:t>a liquidation</w:t>
      </w:r>
      <w:proofErr w:type="gramEnd"/>
      <w:r>
        <w:t xml:space="preserve"> under section 556 apply to trust property in the liquidation of a company which is a corporate trustee. </w:t>
      </w:r>
    </w:p>
    <w:p w:rsidR="00E526C4" w:rsidRDefault="00E526C4" w:rsidP="00E526C4">
      <w:r>
        <w:t xml:space="preserve">In the cases where section 556 was found not to apply to the trust property (which may have been all of the assets in the liquidation), this has </w:t>
      </w:r>
      <w:r w:rsidR="00990D30">
        <w:t>r</w:t>
      </w:r>
      <w:r>
        <w:t>esult</w:t>
      </w:r>
      <w:r w:rsidR="00990D30">
        <w:t xml:space="preserve">ed in </w:t>
      </w:r>
      <w:r>
        <w:t xml:space="preserve">employee entitlements not </w:t>
      </w:r>
      <w:r w:rsidR="00990D30">
        <w:t xml:space="preserve">receiving </w:t>
      </w:r>
      <w:r>
        <w:t>their ordinary priority ahead of other unsecured trust creditors, thus reducing their eventual payment.</w:t>
      </w:r>
    </w:p>
    <w:p w:rsidR="005B4032" w:rsidRDefault="006E4583" w:rsidP="003F21C1">
      <w:pPr>
        <w:pStyle w:val="Heading3"/>
        <w:ind w:left="567" w:hanging="567"/>
        <w:rPr>
          <w:b w:val="0"/>
          <w:bCs w:val="0"/>
        </w:rPr>
      </w:pPr>
      <w:bookmarkStart w:id="89" w:name="_Toc477939028"/>
      <w:bookmarkStart w:id="90" w:name="_Toc480975492"/>
      <w:bookmarkStart w:id="91" w:name="_Toc481070355"/>
      <w:bookmarkStart w:id="92" w:name="_Toc481948302"/>
      <w:r>
        <w:t xml:space="preserve">8.2 Option </w:t>
      </w:r>
      <w:r w:rsidR="008E7E1F">
        <w:t>8</w:t>
      </w:r>
      <w:r w:rsidR="00FD0FE2">
        <w:t xml:space="preserve">: </w:t>
      </w:r>
      <w:r w:rsidR="00C71E04">
        <w:t xml:space="preserve">Clarify the priority of employee entitlements under </w:t>
      </w:r>
      <w:r>
        <w:t>sections 433 and 561 of the Corporations Act</w:t>
      </w:r>
      <w:bookmarkEnd w:id="89"/>
      <w:r>
        <w:t xml:space="preserve"> </w:t>
      </w:r>
      <w:r w:rsidR="00C71E04">
        <w:t>and align the sections</w:t>
      </w:r>
      <w:bookmarkEnd w:id="90"/>
      <w:bookmarkEnd w:id="91"/>
      <w:bookmarkEnd w:id="92"/>
    </w:p>
    <w:p w:rsidR="003C5688" w:rsidRDefault="00DE4164" w:rsidP="003C5688">
      <w:r>
        <w:t>S</w:t>
      </w:r>
      <w:r w:rsidR="003C5688">
        <w:t xml:space="preserve">ections 433 and 561 of the Corporations Act </w:t>
      </w:r>
      <w:r>
        <w:t xml:space="preserve">could </w:t>
      </w:r>
      <w:r w:rsidR="003C5688">
        <w:t xml:space="preserve">be amended to </w:t>
      </w:r>
      <w:r w:rsidR="00990D30">
        <w:t xml:space="preserve">align with </w:t>
      </w:r>
      <w:r>
        <w:t xml:space="preserve">their </w:t>
      </w:r>
      <w:r w:rsidR="00990D30">
        <w:t>policy objectives</w:t>
      </w:r>
      <w:r w:rsidR="003C5688">
        <w:t xml:space="preserve">, which </w:t>
      </w:r>
      <w:r w:rsidR="00473162">
        <w:t xml:space="preserve">are </w:t>
      </w:r>
      <w:r w:rsidR="003C5688">
        <w:t>that certain employee entitlements be paid ahead of the claims of the circulating security interest holder, and that the general costs of the receiver or liquidator do not have priority over either of these claims.</w:t>
      </w:r>
      <w:r w:rsidR="003C5688" w:rsidRPr="000A05FC">
        <w:rPr>
          <w:rStyle w:val="FootnoteReference"/>
        </w:rPr>
        <w:footnoteReference w:id="59"/>
      </w:r>
    </w:p>
    <w:p w:rsidR="00E526C4" w:rsidRDefault="00E526C4" w:rsidP="00E526C4">
      <w:r>
        <w:t xml:space="preserve">There is currently </w:t>
      </w:r>
      <w:r w:rsidR="00990D30">
        <w:t xml:space="preserve">uncertainty </w:t>
      </w:r>
      <w:r>
        <w:t>regarding the priority of employee entitlements over the claims of the security holder and the general remuneration, costs and expenses of a liquidator or receiver from the realisation of assets covered by a circulating security interest.</w:t>
      </w:r>
      <w:r w:rsidR="003C5688">
        <w:t xml:space="preserve"> The </w:t>
      </w:r>
      <w:r>
        <w:t xml:space="preserve">priority order </w:t>
      </w:r>
      <w:r w:rsidR="003C5688">
        <w:t xml:space="preserve">is </w:t>
      </w:r>
      <w:r>
        <w:t>governed by section 433 (for receiverships) and section 561 (for liquidations). This uncertainty is reflected in the case law</w:t>
      </w:r>
      <w:r w:rsidR="00990D30">
        <w:t xml:space="preserve"> (including recent cases)</w:t>
      </w:r>
      <w:r>
        <w:t xml:space="preserve"> on the provisions.</w:t>
      </w:r>
    </w:p>
    <w:p w:rsidR="00E526C4" w:rsidRDefault="00990D30" w:rsidP="00E526C4">
      <w:r>
        <w:t>Notwithstanding that t</w:t>
      </w:r>
      <w:r w:rsidR="00E526C4">
        <w:t xml:space="preserve">here are key differences between the two </w:t>
      </w:r>
      <w:proofErr w:type="gramStart"/>
      <w:r w:rsidR="00E526C4">
        <w:t>provisions</w:t>
      </w:r>
      <w:r w:rsidR="00655B91">
        <w:t>,</w:t>
      </w:r>
      <w:proofErr w:type="gramEnd"/>
      <w:r w:rsidR="00655B91">
        <w:t xml:space="preserve"> the policy </w:t>
      </w:r>
      <w:r w:rsidR="001F1C69">
        <w:t xml:space="preserve">intention underpinning </w:t>
      </w:r>
      <w:r w:rsidR="00655B91">
        <w:t xml:space="preserve">both provisions is </w:t>
      </w:r>
      <w:r w:rsidR="00E526C4">
        <w:t xml:space="preserve">to provide a priority for the repayment of employee entitlements. </w:t>
      </w:r>
    </w:p>
    <w:p w:rsidR="00E526C4" w:rsidRDefault="008369E9" w:rsidP="00B30057">
      <w:r>
        <w:t>As such, a</w:t>
      </w:r>
      <w:r w:rsidR="00E526C4" w:rsidRPr="00A846D8">
        <w:t xml:space="preserve">mendments </w:t>
      </w:r>
      <w:r>
        <w:t>are proposed to be</w:t>
      </w:r>
      <w:r w:rsidR="00E526C4">
        <w:t xml:space="preserve">tter </w:t>
      </w:r>
      <w:r w:rsidR="00E526C4" w:rsidRPr="00A846D8">
        <w:t xml:space="preserve">align the </w:t>
      </w:r>
      <w:r w:rsidR="00E526C4">
        <w:t xml:space="preserve">two </w:t>
      </w:r>
      <w:r w:rsidR="00E526C4" w:rsidRPr="00A846D8">
        <w:t>provisions</w:t>
      </w:r>
      <w:r w:rsidR="00E526C4">
        <w:t>.</w:t>
      </w:r>
      <w:r w:rsidR="00E526C4" w:rsidRPr="00A846D8">
        <w:t xml:space="preserve"> This alignment should include amending section 433 to remove the word </w:t>
      </w:r>
      <w:r w:rsidR="00473162">
        <w:t>‘</w:t>
      </w:r>
      <w:r w:rsidR="00E526C4" w:rsidRPr="00A846D8">
        <w:t>debenture</w:t>
      </w:r>
      <w:r w:rsidR="00473162">
        <w:t>’</w:t>
      </w:r>
      <w:r w:rsidR="00E526C4">
        <w:t xml:space="preserve"> which </w:t>
      </w:r>
      <w:r w:rsidR="00E526C4" w:rsidRPr="00A846D8">
        <w:t xml:space="preserve">should be replaced with another term which makes </w:t>
      </w:r>
      <w:r w:rsidR="00655B91">
        <w:t xml:space="preserve">it </w:t>
      </w:r>
      <w:r w:rsidR="00E526C4" w:rsidRPr="00A846D8">
        <w:t xml:space="preserve">clear </w:t>
      </w:r>
      <w:r w:rsidR="00655B91">
        <w:t xml:space="preserve">that </w:t>
      </w:r>
      <w:r w:rsidR="00E526C4" w:rsidRPr="00A846D8">
        <w:t xml:space="preserve">it is a reference to any debt owed by the </w:t>
      </w:r>
      <w:r w:rsidR="00E526C4" w:rsidRPr="00A846D8">
        <w:lastRenderedPageBreak/>
        <w:t>company</w:t>
      </w:r>
      <w:r w:rsidR="00E526C4">
        <w:t>,</w:t>
      </w:r>
      <w:r w:rsidR="00E526C4" w:rsidRPr="00A846D8">
        <w:t xml:space="preserve"> rather than the</w:t>
      </w:r>
      <w:r w:rsidR="00E526C4">
        <w:t xml:space="preserve"> </w:t>
      </w:r>
      <w:r w:rsidR="00DE4164">
        <w:t xml:space="preserve">more limited </w:t>
      </w:r>
      <w:r w:rsidR="00E526C4">
        <w:t>term</w:t>
      </w:r>
      <w:r w:rsidR="00E526C4" w:rsidRPr="00A846D8">
        <w:t xml:space="preserve"> </w:t>
      </w:r>
      <w:r w:rsidR="00E526C4">
        <w:t>‘</w:t>
      </w:r>
      <w:r w:rsidR="00E526C4" w:rsidRPr="00A846D8">
        <w:t>debentures</w:t>
      </w:r>
      <w:r w:rsidR="00E526C4">
        <w:t>’</w:t>
      </w:r>
      <w:r w:rsidR="00E526C4" w:rsidRPr="00A846D8">
        <w:t xml:space="preserve"> as defined in </w:t>
      </w:r>
      <w:r w:rsidR="00E526C4">
        <w:t xml:space="preserve">section 9 of the </w:t>
      </w:r>
      <w:r w:rsidR="00E526C4" w:rsidRPr="00A846D8">
        <w:t>Corporations Act.</w:t>
      </w:r>
    </w:p>
    <w:p w:rsidR="00B30057" w:rsidRDefault="00B30057" w:rsidP="00B30057">
      <w:bookmarkStart w:id="93" w:name="_GoBack"/>
      <w:bookmarkEnd w:id="93"/>
    </w:p>
    <w:p w:rsidR="006E4583" w:rsidRDefault="006E4583" w:rsidP="006E4583">
      <w:pPr>
        <w:pBdr>
          <w:top w:val="single" w:sz="4" w:space="1" w:color="auto"/>
          <w:left w:val="single" w:sz="4" w:space="4" w:color="auto"/>
          <w:bottom w:val="single" w:sz="4" w:space="1" w:color="auto"/>
          <w:right w:val="single" w:sz="4" w:space="4" w:color="auto"/>
        </w:pBdr>
        <w:rPr>
          <w:b/>
          <w:sz w:val="24"/>
          <w:szCs w:val="24"/>
        </w:rPr>
      </w:pPr>
      <w:r>
        <w:rPr>
          <w:b/>
          <w:sz w:val="24"/>
          <w:szCs w:val="24"/>
        </w:rPr>
        <w:t>QUESTIONS</w:t>
      </w:r>
      <w:r w:rsidR="009B0F2B">
        <w:rPr>
          <w:b/>
          <w:sz w:val="24"/>
          <w:szCs w:val="24"/>
        </w:rPr>
        <w:t xml:space="preserve"> (</w:t>
      </w:r>
      <w:r w:rsidR="009E0A1C">
        <w:rPr>
          <w:b/>
          <w:sz w:val="24"/>
          <w:szCs w:val="24"/>
        </w:rPr>
        <w:t>OTHER RELATED REFORMS</w:t>
      </w:r>
      <w:r w:rsidR="009B0F2B">
        <w:rPr>
          <w:b/>
          <w:sz w:val="24"/>
          <w:szCs w:val="24"/>
        </w:rPr>
        <w:t>):</w:t>
      </w:r>
    </w:p>
    <w:p w:rsidR="00557F5A" w:rsidRDefault="00BD3BB8" w:rsidP="00557F5A">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rPr>
          <w:rFonts w:ascii="Book Antiqua" w:hAnsi="Book Antiqua"/>
        </w:rPr>
      </w:pPr>
      <w:r>
        <w:rPr>
          <w:rFonts w:ascii="Book Antiqua" w:hAnsi="Book Antiqua"/>
        </w:rPr>
        <w:t>What are the benefits and risks of the above options?</w:t>
      </w:r>
      <w:r w:rsidDel="00BD3BB8">
        <w:rPr>
          <w:rFonts w:ascii="Book Antiqua" w:hAnsi="Book Antiqua"/>
        </w:rPr>
        <w:t xml:space="preserve"> </w:t>
      </w:r>
      <w:r w:rsidR="00557F5A">
        <w:rPr>
          <w:rFonts w:ascii="Book Antiqua" w:hAnsi="Book Antiqua"/>
        </w:rPr>
        <w:br/>
      </w:r>
    </w:p>
    <w:p w:rsidR="00B624EE" w:rsidRPr="00557F5A" w:rsidRDefault="00557F5A" w:rsidP="00B10979">
      <w:pPr>
        <w:pStyle w:val="ListParagraph"/>
        <w:numPr>
          <w:ilvl w:val="0"/>
          <w:numId w:val="21"/>
        </w:numPr>
        <w:pBdr>
          <w:top w:val="single" w:sz="4" w:space="1" w:color="auto"/>
          <w:left w:val="single" w:sz="4" w:space="4" w:color="auto"/>
          <w:bottom w:val="single" w:sz="4" w:space="1" w:color="auto"/>
          <w:right w:val="single" w:sz="4" w:space="4" w:color="auto"/>
        </w:pBdr>
        <w:spacing w:after="0" w:line="240" w:lineRule="auto"/>
        <w:jc w:val="both"/>
        <w:rPr>
          <w:rFonts w:ascii="Book Antiqua" w:hAnsi="Book Antiqua"/>
        </w:rPr>
      </w:pPr>
      <w:r w:rsidRPr="00557F5A">
        <w:rPr>
          <w:rFonts w:ascii="Book Antiqua" w:hAnsi="Book Antiqua"/>
        </w:rPr>
        <w:t xml:space="preserve">Are there other issues raised by the interactions of sections 433 and 561 which should also be addressed? </w:t>
      </w:r>
      <w:bookmarkEnd w:id="18"/>
      <w:bookmarkEnd w:id="19"/>
    </w:p>
    <w:sectPr w:rsidR="00B624EE" w:rsidRPr="00557F5A" w:rsidSect="00333389">
      <w:pgSz w:w="11906" w:h="16838" w:code="9"/>
      <w:pgMar w:top="1418" w:right="1418" w:bottom="1418" w:left="1418" w:header="709" w:footer="52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554" w:rsidRDefault="00166554">
      <w:pPr>
        <w:spacing w:after="0" w:line="240" w:lineRule="auto"/>
      </w:pPr>
      <w:r>
        <w:separator/>
      </w:r>
    </w:p>
  </w:endnote>
  <w:endnote w:type="continuationSeparator" w:id="0">
    <w:p w:rsidR="00166554" w:rsidRDefault="00166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xf30">
    <w:panose1 w:val="00000000000000000000"/>
    <w:charset w:val="00"/>
    <w:family w:val="auto"/>
    <w:notTrueType/>
    <w:pitch w:val="default"/>
    <w:sig w:usb0="00000003" w:usb1="00000000" w:usb2="00000000" w:usb3="00000000" w:csb0="00000001" w:csb1="00000000"/>
  </w:font>
  <w:font w:name="xf3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54" w:rsidRDefault="00166554">
    <w:pPr>
      <w:pStyle w:val="FooterEven"/>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166554" w:rsidRDefault="00166554">
    <w:pPr>
      <w:pStyle w:val="SecurityClassificationFooter"/>
    </w:pPr>
    <w:r>
      <w:fldChar w:fldCharType="begin"/>
    </w:r>
    <w:r>
      <w:instrText xml:space="preserve"> DOCPROPERTY SecurityClassification \* MERGEFORMAT </w:instrText>
    </w:r>
    <w:r>
      <w:fldChar w:fldCharType="separate"/>
    </w:r>
    <w:r w:rsidR="00B30057">
      <w:rPr>
        <w:b w:val="0"/>
        <w:bCs/>
        <w:lang w:val="en-US"/>
      </w:rPr>
      <w:t>Error! Unknown document property name.</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6160917"/>
      <w:docPartObj>
        <w:docPartGallery w:val="Page Numbers (Bottom of Page)"/>
        <w:docPartUnique/>
      </w:docPartObj>
    </w:sdtPr>
    <w:sdtEndPr>
      <w:rPr>
        <w:noProof/>
      </w:rPr>
    </w:sdtEndPr>
    <w:sdtContent>
      <w:p w:rsidR="00166554" w:rsidRDefault="00166554" w:rsidP="00F74E80">
        <w:pPr>
          <w:pStyle w:val="Footer"/>
          <w:jc w:val="center"/>
        </w:pPr>
        <w:r>
          <w:t xml:space="preserve">Page </w:t>
        </w:r>
        <w:r>
          <w:fldChar w:fldCharType="begin"/>
        </w:r>
        <w:r>
          <w:instrText xml:space="preserve"> PAGE   \* MERGEFORMAT </w:instrText>
        </w:r>
        <w:r>
          <w:fldChar w:fldCharType="separate"/>
        </w:r>
        <w:r w:rsidR="00B30057">
          <w:rPr>
            <w:noProof/>
          </w:rPr>
          <w:t>iii</w:t>
        </w:r>
        <w:r>
          <w:rPr>
            <w:noProof/>
          </w:rPr>
          <w:fldChar w:fldCharType="end"/>
        </w:r>
      </w:p>
    </w:sdtContent>
  </w:sdt>
  <w:p w:rsidR="00166554" w:rsidRPr="00B10979" w:rsidRDefault="00166554" w:rsidP="00B109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54" w:rsidRDefault="00166554">
    <w:pPr>
      <w:pStyle w:val="Footer"/>
      <w:jc w:val="right"/>
    </w:pPr>
  </w:p>
  <w:p w:rsidR="00166554" w:rsidRDefault="00166554">
    <w:pPr>
      <w:pStyle w:val="SecurityClassification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338382"/>
      <w:docPartObj>
        <w:docPartGallery w:val="Page Numbers (Bottom of Page)"/>
        <w:docPartUnique/>
      </w:docPartObj>
    </w:sdtPr>
    <w:sdtEndPr>
      <w:rPr>
        <w:noProof/>
      </w:rPr>
    </w:sdtEndPr>
    <w:sdtContent>
      <w:p w:rsidR="00166554" w:rsidRDefault="00166554" w:rsidP="004A7246">
        <w:pPr>
          <w:pStyle w:val="Footer"/>
          <w:jc w:val="center"/>
        </w:pPr>
        <w:r>
          <w:t xml:space="preserve">Page </w:t>
        </w:r>
        <w:r>
          <w:fldChar w:fldCharType="begin"/>
        </w:r>
        <w:r>
          <w:instrText xml:space="preserve"> PAGE   \* MERGEFORMAT </w:instrText>
        </w:r>
        <w:r>
          <w:fldChar w:fldCharType="separate"/>
        </w:r>
        <w:r w:rsidR="00B30057">
          <w:rPr>
            <w:noProof/>
          </w:rPr>
          <w:t>21</w:t>
        </w:r>
        <w:r>
          <w:rPr>
            <w:noProof/>
          </w:rPr>
          <w:fldChar w:fldCharType="end"/>
        </w:r>
      </w:p>
    </w:sdtContent>
  </w:sdt>
  <w:p w:rsidR="00166554" w:rsidRDefault="00166554"/>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453432"/>
      <w:docPartObj>
        <w:docPartGallery w:val="Page Numbers (Bottom of Page)"/>
        <w:docPartUnique/>
      </w:docPartObj>
    </w:sdtPr>
    <w:sdtEndPr>
      <w:rPr>
        <w:noProof/>
      </w:rPr>
    </w:sdtEndPr>
    <w:sdtContent>
      <w:p w:rsidR="00166554" w:rsidRDefault="00166554" w:rsidP="00BD19AD">
        <w:pPr>
          <w:pStyle w:val="Footer"/>
          <w:jc w:val="center"/>
        </w:pPr>
        <w:r>
          <w:t xml:space="preserve">Page </w:t>
        </w:r>
        <w:r>
          <w:fldChar w:fldCharType="begin"/>
        </w:r>
        <w:r>
          <w:instrText xml:space="preserve"> PAGE   \* MERGEFORMAT </w:instrText>
        </w:r>
        <w:r>
          <w:fldChar w:fldCharType="separate"/>
        </w:r>
        <w:r w:rsidR="00B30057">
          <w:rPr>
            <w:noProof/>
          </w:rPr>
          <w:t>1</w:t>
        </w:r>
        <w:r>
          <w:rPr>
            <w:noProof/>
          </w:rPr>
          <w:fldChar w:fldCharType="end"/>
        </w:r>
      </w:p>
    </w:sdtContent>
  </w:sdt>
  <w:p w:rsidR="00166554" w:rsidRPr="001643BD" w:rsidRDefault="00166554" w:rsidP="001643BD">
    <w:pPr>
      <w:pStyle w:val="Footer"/>
    </w:pPr>
  </w:p>
  <w:p w:rsidR="00166554" w:rsidRDefault="001665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554" w:rsidRDefault="00166554">
      <w:pPr>
        <w:spacing w:after="0" w:line="240" w:lineRule="auto"/>
      </w:pPr>
      <w:r>
        <w:separator/>
      </w:r>
    </w:p>
  </w:footnote>
  <w:footnote w:type="continuationSeparator" w:id="0">
    <w:p w:rsidR="00166554" w:rsidRDefault="00166554">
      <w:pPr>
        <w:spacing w:after="0" w:line="240" w:lineRule="auto"/>
      </w:pPr>
      <w:r>
        <w:continuationSeparator/>
      </w:r>
    </w:p>
  </w:footnote>
  <w:footnote w:id="1">
    <w:p w:rsidR="00166554" w:rsidRDefault="00166554" w:rsidP="00792FB9">
      <w:pPr>
        <w:pStyle w:val="FootnoteText"/>
        <w:spacing w:after="0" w:line="240" w:lineRule="auto"/>
        <w:ind w:left="142" w:hanging="142"/>
      </w:pPr>
      <w:r>
        <w:rPr>
          <w:rStyle w:val="FootnoteReference"/>
        </w:rPr>
        <w:footnoteRef/>
      </w:r>
      <w:r>
        <w:t xml:space="preserve"> </w:t>
      </w:r>
      <w:r w:rsidRPr="00602198">
        <w:t>The F</w:t>
      </w:r>
      <w:r>
        <w:t>EG</w:t>
      </w:r>
      <w:r w:rsidRPr="00602198">
        <w:t xml:space="preserve"> scheme is a legislative safety net that covers certain employee entitlements</w:t>
      </w:r>
      <w:r>
        <w:t>. Further information on the FEG scheme is available from</w:t>
      </w:r>
      <w:r w:rsidRPr="00B66F7E">
        <w:rPr>
          <w:szCs w:val="18"/>
        </w:rPr>
        <w:t xml:space="preserve"> </w:t>
      </w:r>
      <w:hyperlink r:id="rId1" w:history="1">
        <w:r w:rsidRPr="00B66F7E">
          <w:rPr>
            <w:color w:val="0000FF"/>
            <w:szCs w:val="18"/>
            <w:u w:val="single"/>
          </w:rPr>
          <w:t>https://www.employment.gov.au/fair-entitlements-guarantee-feg</w:t>
        </w:r>
      </w:hyperlink>
      <w:r>
        <w:t xml:space="preserve">. Additional background on the scheme is at ‘2. </w:t>
      </w:r>
      <w:proofErr w:type="gramStart"/>
      <w:r>
        <w:t>The Fair Entitlements Guarantee scheme’.</w:t>
      </w:r>
      <w:proofErr w:type="gramEnd"/>
    </w:p>
  </w:footnote>
  <w:footnote w:id="2">
    <w:p w:rsidR="00166554" w:rsidRDefault="00166554" w:rsidP="00792FB9">
      <w:pPr>
        <w:pStyle w:val="FootnoteText"/>
        <w:spacing w:after="0" w:line="240" w:lineRule="auto"/>
        <w:ind w:left="142" w:hanging="142"/>
      </w:pPr>
      <w:r>
        <w:rPr>
          <w:rStyle w:val="FootnoteReference"/>
        </w:rPr>
        <w:footnoteRef/>
      </w:r>
      <w:r>
        <w:t xml:space="preserve"> </w:t>
      </w:r>
      <w:r w:rsidRPr="004C75A1">
        <w:t>Sharp corporate practices</w:t>
      </w:r>
      <w:r w:rsidRPr="001B296E">
        <w:t xml:space="preserve"> are</w:t>
      </w:r>
      <w:r>
        <w:t xml:space="preserve"> a range of methods and approaches </w:t>
      </w:r>
      <w:r w:rsidRPr="001B296E">
        <w:t xml:space="preserve">adopted by certain company representatives, company owners or other parties involved in corporate restructures and insolvencies, which seek to </w:t>
      </w:r>
      <w:r>
        <w:t xml:space="preserve">prevent, </w:t>
      </w:r>
      <w:r w:rsidRPr="001B296E">
        <w:t>avoid or reduce</w:t>
      </w:r>
      <w:r>
        <w:t xml:space="preserve"> the payment of</w:t>
      </w:r>
      <w:r w:rsidRPr="001B296E">
        <w:t xml:space="preserve"> obligation</w:t>
      </w:r>
      <w:r>
        <w:t>s</w:t>
      </w:r>
      <w:r w:rsidRPr="001B296E">
        <w:t xml:space="preserve"> to creditors</w:t>
      </w:r>
      <w:r>
        <w:t xml:space="preserve">. Further information is at ‘3.2 What are </w:t>
      </w:r>
      <w:r w:rsidRPr="00461D5D">
        <w:t>sharp corporate practices</w:t>
      </w:r>
      <w:r>
        <w:t>?</w:t>
      </w:r>
      <w:proofErr w:type="gramStart"/>
      <w:r>
        <w:t>’.</w:t>
      </w:r>
      <w:proofErr w:type="gramEnd"/>
    </w:p>
  </w:footnote>
  <w:footnote w:id="3">
    <w:p w:rsidR="00166554" w:rsidRDefault="00166554" w:rsidP="00792FB9">
      <w:pPr>
        <w:pStyle w:val="FootnoteText"/>
        <w:spacing w:after="0" w:line="240" w:lineRule="auto"/>
        <w:ind w:left="142" w:hanging="142"/>
      </w:pPr>
      <w:r>
        <w:rPr>
          <w:rStyle w:val="FootnoteReference"/>
        </w:rPr>
        <w:footnoteRef/>
      </w:r>
      <w:r>
        <w:t xml:space="preserve"> See material at ‘3.4 </w:t>
      </w:r>
      <w:proofErr w:type="gramStart"/>
      <w:r>
        <w:t>The</w:t>
      </w:r>
      <w:proofErr w:type="gramEnd"/>
      <w:r>
        <w:t xml:space="preserve"> </w:t>
      </w:r>
      <w:r w:rsidRPr="00425F81">
        <w:t>need for law reform</w:t>
      </w:r>
      <w:r>
        <w:t>’.</w:t>
      </w:r>
    </w:p>
  </w:footnote>
  <w:footnote w:id="4">
    <w:p w:rsidR="00166554" w:rsidRDefault="00166554" w:rsidP="00792FB9">
      <w:pPr>
        <w:pStyle w:val="FootnoteText"/>
        <w:spacing w:after="0" w:line="240" w:lineRule="auto"/>
        <w:ind w:left="142" w:hanging="142"/>
      </w:pPr>
      <w:r>
        <w:rPr>
          <w:rStyle w:val="FootnoteReference"/>
        </w:rPr>
        <w:footnoteRef/>
      </w:r>
      <w:r>
        <w:t xml:space="preserve"> </w:t>
      </w:r>
      <w:r w:rsidRPr="00904FAB">
        <w:t>The Hon Peter Reith MP, ‘National scheme to protect employee entitlements’ (Media Release, 8 February 2000).</w:t>
      </w:r>
    </w:p>
  </w:footnote>
  <w:footnote w:id="5">
    <w:p w:rsidR="00166554" w:rsidRDefault="00166554" w:rsidP="00792FB9">
      <w:pPr>
        <w:pStyle w:val="FootnoteText"/>
        <w:spacing w:after="0" w:line="240" w:lineRule="auto"/>
        <w:ind w:left="142" w:hanging="142"/>
      </w:pPr>
      <w:r>
        <w:rPr>
          <w:rStyle w:val="FootnoteReference"/>
        </w:rPr>
        <w:footnoteRef/>
      </w:r>
      <w:r>
        <w:t xml:space="preserve"> Ibid</w:t>
      </w:r>
      <w:r w:rsidRPr="00904FAB">
        <w:t>.</w:t>
      </w:r>
    </w:p>
  </w:footnote>
  <w:footnote w:id="6">
    <w:p w:rsidR="00166554" w:rsidRDefault="00166554" w:rsidP="00792FB9">
      <w:pPr>
        <w:pStyle w:val="FootnoteText"/>
        <w:spacing w:after="0" w:line="240" w:lineRule="auto"/>
        <w:ind w:left="142" w:hanging="142"/>
      </w:pPr>
      <w:r>
        <w:rPr>
          <w:rStyle w:val="FootnoteReference"/>
        </w:rPr>
        <w:footnoteRef/>
      </w:r>
      <w:r>
        <w:t xml:space="preserve"> </w:t>
      </w:r>
      <w:r w:rsidRPr="00904FAB">
        <w:t>The Hon Tony Abbott MP, ‘Even Better Arrangements to Protect Employee Entitlements’ (Media Release, 20</w:t>
      </w:r>
      <w:r>
        <w:t> </w:t>
      </w:r>
      <w:r w:rsidRPr="00904FAB">
        <w:t>September 2001).</w:t>
      </w:r>
    </w:p>
  </w:footnote>
  <w:footnote w:id="7">
    <w:p w:rsidR="00166554" w:rsidRDefault="00166554" w:rsidP="00B91313">
      <w:pPr>
        <w:pStyle w:val="FootnoteText"/>
        <w:spacing w:after="0" w:line="240" w:lineRule="auto"/>
        <w:ind w:left="142" w:hanging="142"/>
        <w:jc w:val="left"/>
      </w:pPr>
      <w:r>
        <w:rPr>
          <w:rStyle w:val="FootnoteReference"/>
        </w:rPr>
        <w:footnoteRef/>
      </w:r>
      <w:r>
        <w:t xml:space="preserve"> The FEG Act received Royal Assent on 28 November 2012 (see </w:t>
      </w:r>
      <w:hyperlink r:id="rId2" w:history="1">
        <w:r w:rsidRPr="00B66F7E">
          <w:rPr>
            <w:color w:val="0000FF"/>
            <w:szCs w:val="18"/>
            <w:u w:val="single"/>
          </w:rPr>
          <w:t>https://www.legislation.gov.au/Details/C2012A00159</w:t>
        </w:r>
      </w:hyperlink>
      <w:r>
        <w:t>).</w:t>
      </w:r>
    </w:p>
  </w:footnote>
  <w:footnote w:id="8">
    <w:p w:rsidR="00166554" w:rsidRDefault="00166554" w:rsidP="00792FB9">
      <w:pPr>
        <w:pStyle w:val="FootnoteText"/>
        <w:spacing w:after="0" w:line="240" w:lineRule="auto"/>
        <w:ind w:left="142" w:hanging="142"/>
      </w:pPr>
      <w:r>
        <w:rPr>
          <w:rStyle w:val="FootnoteReference"/>
        </w:rPr>
        <w:footnoteRef/>
      </w:r>
      <w:r>
        <w:t xml:space="preserve"> Section 2 of the FEG Act outlines the commencement date of the various provisions of that Act.</w:t>
      </w:r>
    </w:p>
  </w:footnote>
  <w:footnote w:id="9">
    <w:p w:rsidR="00166554" w:rsidRDefault="00166554" w:rsidP="00792FB9">
      <w:pPr>
        <w:pStyle w:val="FootnoteText"/>
        <w:spacing w:after="0" w:line="240" w:lineRule="auto"/>
        <w:ind w:left="142" w:hanging="142"/>
      </w:pPr>
      <w:r>
        <w:rPr>
          <w:rStyle w:val="FootnoteReference"/>
        </w:rPr>
        <w:footnoteRef/>
      </w:r>
      <w:r>
        <w:t xml:space="preserve"> </w:t>
      </w:r>
      <w:r w:rsidRPr="00444531">
        <w:rPr>
          <w:szCs w:val="18"/>
        </w:rPr>
        <w:t xml:space="preserve">A maximum weekly wage is applied when calculating the FEG assistance payable to eligible redundant workers. The current indexed maximum weekly wage cap is $2451.00. Further information is available from </w:t>
      </w:r>
      <w:hyperlink r:id="rId3" w:history="1">
        <w:r w:rsidRPr="00444531">
          <w:rPr>
            <w:rFonts w:eastAsia="Calibri"/>
            <w:color w:val="0000FF"/>
            <w:szCs w:val="18"/>
            <w:u w:val="single"/>
            <w:lang w:eastAsia="en-US"/>
          </w:rPr>
          <w:t>https://docs.employment.gov.au/node/35951</w:t>
        </w:r>
      </w:hyperlink>
      <w:r>
        <w:rPr>
          <w:rFonts w:eastAsia="Calibri"/>
          <w:color w:val="auto"/>
          <w:szCs w:val="18"/>
          <w:lang w:eastAsia="en-US"/>
        </w:rPr>
        <w:t xml:space="preserve">. Also see </w:t>
      </w:r>
      <w:r w:rsidRPr="00444531">
        <w:rPr>
          <w:szCs w:val="18"/>
        </w:rPr>
        <w:t xml:space="preserve">sections 5, 26 </w:t>
      </w:r>
      <w:r>
        <w:rPr>
          <w:szCs w:val="18"/>
        </w:rPr>
        <w:t>and</w:t>
      </w:r>
      <w:r w:rsidRPr="00444531">
        <w:rPr>
          <w:szCs w:val="18"/>
        </w:rPr>
        <w:t xml:space="preserve"> 27 of the</w:t>
      </w:r>
      <w:r>
        <w:rPr>
          <w:szCs w:val="18"/>
        </w:rPr>
        <w:t xml:space="preserve"> FEG Act</w:t>
      </w:r>
      <w:r w:rsidRPr="00444531">
        <w:rPr>
          <w:szCs w:val="18"/>
        </w:rPr>
        <w:t>.</w:t>
      </w:r>
    </w:p>
  </w:footnote>
  <w:footnote w:id="10">
    <w:p w:rsidR="00166554" w:rsidRDefault="00166554" w:rsidP="00792FB9">
      <w:pPr>
        <w:pStyle w:val="FootnoteText"/>
        <w:spacing w:after="0" w:line="240" w:lineRule="auto"/>
        <w:ind w:left="142" w:hanging="142"/>
      </w:pPr>
      <w:r>
        <w:rPr>
          <w:rStyle w:val="FootnoteReference"/>
        </w:rPr>
        <w:footnoteRef/>
      </w:r>
      <w:r>
        <w:t xml:space="preserve"> The table outlines the cost of total payments made to redundant workers under government employee entitlement schemes (</w:t>
      </w:r>
      <w:proofErr w:type="spellStart"/>
      <w:r>
        <w:t>GEERS</w:t>
      </w:r>
      <w:proofErr w:type="spellEnd"/>
      <w:r>
        <w:t xml:space="preserve"> and FEG) since 2007-08. The table also details that the number of cases where government assistance has been provided has increased, producing a commensurate increase in the number of persons provided with assistance. The average number of persons paid per case however has remained reasonably stable, with just over eight persons paid per insolven</w:t>
      </w:r>
      <w:r w:rsidR="009D5869">
        <w:t>t employer</w:t>
      </w:r>
      <w:r>
        <w:t>.</w:t>
      </w:r>
    </w:p>
    <w:tbl>
      <w:tblPr>
        <w:tblStyle w:val="TableGrid1"/>
        <w:tblW w:w="3622" w:type="pct"/>
        <w:tblInd w:w="470" w:type="dxa"/>
        <w:tblLook w:val="04A0" w:firstRow="1" w:lastRow="0" w:firstColumn="1" w:lastColumn="0" w:noHBand="0" w:noVBand="1"/>
        <w:tblDescription w:val="See table contents for information"/>
      </w:tblPr>
      <w:tblGrid>
        <w:gridCol w:w="1681"/>
        <w:gridCol w:w="1682"/>
        <w:gridCol w:w="1682"/>
        <w:gridCol w:w="1682"/>
      </w:tblGrid>
      <w:tr w:rsidR="00166554" w:rsidRPr="007324AB" w:rsidTr="00381F87">
        <w:trPr>
          <w:trHeight w:val="227"/>
          <w:tblHeader/>
        </w:trPr>
        <w:tc>
          <w:tcPr>
            <w:tcW w:w="1249" w:type="pct"/>
          </w:tcPr>
          <w:p w:rsidR="00166554" w:rsidRPr="00940CE0" w:rsidRDefault="00166554" w:rsidP="009A356A">
            <w:pPr>
              <w:spacing w:after="0" w:line="240" w:lineRule="auto"/>
              <w:ind w:left="284" w:hanging="284"/>
              <w:jc w:val="center"/>
              <w:rPr>
                <w:rFonts w:cs="Calibri"/>
                <w:b/>
                <w:color w:val="auto"/>
                <w:sz w:val="18"/>
                <w:szCs w:val="18"/>
              </w:rPr>
            </w:pPr>
            <w:r w:rsidRPr="00940CE0">
              <w:rPr>
                <w:rFonts w:cs="Calibri"/>
                <w:b/>
                <w:color w:val="auto"/>
                <w:sz w:val="18"/>
                <w:szCs w:val="18"/>
              </w:rPr>
              <w:t>Financial year</w:t>
            </w:r>
          </w:p>
        </w:tc>
        <w:tc>
          <w:tcPr>
            <w:tcW w:w="1250" w:type="pct"/>
          </w:tcPr>
          <w:p w:rsidR="00166554" w:rsidRPr="00940CE0" w:rsidRDefault="00166554" w:rsidP="009A356A">
            <w:pPr>
              <w:spacing w:after="0" w:line="240" w:lineRule="auto"/>
              <w:ind w:left="284" w:hanging="284"/>
              <w:jc w:val="center"/>
              <w:rPr>
                <w:rFonts w:cs="Calibri"/>
                <w:b/>
                <w:color w:val="auto"/>
                <w:sz w:val="18"/>
                <w:szCs w:val="18"/>
              </w:rPr>
            </w:pPr>
            <w:r w:rsidRPr="00940CE0">
              <w:rPr>
                <w:rFonts w:cs="Calibri"/>
                <w:b/>
                <w:color w:val="auto"/>
                <w:sz w:val="18"/>
                <w:szCs w:val="18"/>
              </w:rPr>
              <w:t>Cases paid</w:t>
            </w:r>
          </w:p>
        </w:tc>
        <w:tc>
          <w:tcPr>
            <w:tcW w:w="1250" w:type="pct"/>
          </w:tcPr>
          <w:p w:rsidR="00166554" w:rsidRPr="00940CE0" w:rsidRDefault="00166554" w:rsidP="009A356A">
            <w:pPr>
              <w:spacing w:after="0" w:line="240" w:lineRule="auto"/>
              <w:ind w:left="284" w:hanging="284"/>
              <w:jc w:val="center"/>
              <w:rPr>
                <w:rFonts w:cs="Calibri"/>
                <w:b/>
                <w:color w:val="auto"/>
                <w:sz w:val="18"/>
                <w:szCs w:val="18"/>
              </w:rPr>
            </w:pPr>
            <w:r w:rsidRPr="00940CE0">
              <w:rPr>
                <w:rFonts w:cs="Calibri"/>
                <w:b/>
                <w:color w:val="auto"/>
                <w:sz w:val="18"/>
                <w:szCs w:val="18"/>
              </w:rPr>
              <w:t>Persons paid</w:t>
            </w:r>
          </w:p>
        </w:tc>
        <w:tc>
          <w:tcPr>
            <w:tcW w:w="1250" w:type="pct"/>
          </w:tcPr>
          <w:p w:rsidR="00166554" w:rsidRPr="00940CE0" w:rsidRDefault="00166554" w:rsidP="009A356A">
            <w:pPr>
              <w:spacing w:after="0" w:line="240" w:lineRule="auto"/>
              <w:ind w:left="284" w:hanging="284"/>
              <w:jc w:val="center"/>
              <w:rPr>
                <w:rFonts w:cs="Calibri"/>
                <w:b/>
                <w:color w:val="auto"/>
                <w:sz w:val="18"/>
                <w:szCs w:val="18"/>
              </w:rPr>
            </w:pPr>
            <w:r w:rsidRPr="00940CE0">
              <w:rPr>
                <w:rFonts w:cs="Calibri"/>
                <w:b/>
                <w:color w:val="auto"/>
                <w:sz w:val="18"/>
                <w:szCs w:val="18"/>
              </w:rPr>
              <w:t>Costs ($ millions)</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2007-08</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983</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7808</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60.8</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2008-09</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1346</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11027</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99.8</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2009-10</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1869</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15565</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154.1</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2010-11</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1623</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15413</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151.3</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2011-12</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1737</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13929</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195.5</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2012-13</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1755</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16019</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261.7</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2013-14</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1113</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11255</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197.2</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2014-15</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2060</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19074</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312.5</w:t>
            </w:r>
          </w:p>
        </w:tc>
      </w:tr>
      <w:tr w:rsidR="00166554" w:rsidRPr="007324AB" w:rsidTr="00381F87">
        <w:trPr>
          <w:trHeight w:val="227"/>
        </w:trPr>
        <w:tc>
          <w:tcPr>
            <w:tcW w:w="1249"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2015-16</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1746</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14341</w:t>
            </w:r>
          </w:p>
        </w:tc>
        <w:tc>
          <w:tcPr>
            <w:tcW w:w="1250" w:type="pct"/>
          </w:tcPr>
          <w:p w:rsidR="00166554" w:rsidRPr="007324AB" w:rsidRDefault="00166554" w:rsidP="009A356A">
            <w:pPr>
              <w:spacing w:after="0" w:line="240" w:lineRule="auto"/>
              <w:ind w:left="284" w:hanging="284"/>
              <w:jc w:val="center"/>
              <w:rPr>
                <w:rFonts w:cs="Calibri"/>
                <w:color w:val="auto"/>
                <w:sz w:val="18"/>
                <w:szCs w:val="18"/>
              </w:rPr>
            </w:pPr>
            <w:r w:rsidRPr="007324AB">
              <w:rPr>
                <w:rFonts w:cs="Calibri"/>
                <w:color w:val="auto"/>
                <w:sz w:val="18"/>
                <w:szCs w:val="18"/>
              </w:rPr>
              <w:t>284.1</w:t>
            </w:r>
          </w:p>
        </w:tc>
      </w:tr>
    </w:tbl>
    <w:p w:rsidR="00166554" w:rsidRDefault="00166554" w:rsidP="00792FB9">
      <w:pPr>
        <w:pStyle w:val="FootnoteText"/>
        <w:spacing w:after="0" w:line="240" w:lineRule="auto"/>
        <w:ind w:left="142" w:hanging="142"/>
      </w:pPr>
      <w:r w:rsidRPr="00BB5D95">
        <w:t>Data source: Department of Employment.</w:t>
      </w:r>
    </w:p>
  </w:footnote>
  <w:footnote w:id="11">
    <w:p w:rsidR="00166554" w:rsidRDefault="00166554" w:rsidP="00792FB9">
      <w:pPr>
        <w:pStyle w:val="FootnoteText"/>
        <w:spacing w:after="0" w:line="240" w:lineRule="auto"/>
        <w:ind w:left="142" w:hanging="142"/>
      </w:pPr>
      <w:r>
        <w:rPr>
          <w:rStyle w:val="FootnoteReference"/>
        </w:rPr>
        <w:footnoteRef/>
      </w:r>
      <w:r>
        <w:t xml:space="preserve"> For example in the 2007</w:t>
      </w:r>
      <w:r>
        <w:noBreakHyphen/>
      </w:r>
      <w:r w:rsidRPr="003760D2">
        <w:t>08 financial year, 7,808 workers across 983 insolvent entities were paid FEG assistance</w:t>
      </w:r>
      <w:r>
        <w:t xml:space="preserve">. This compares with </w:t>
      </w:r>
      <w:r w:rsidRPr="003760D2">
        <w:t xml:space="preserve">14,341 </w:t>
      </w:r>
      <w:r>
        <w:t xml:space="preserve">redundant </w:t>
      </w:r>
      <w:r w:rsidRPr="003760D2">
        <w:t xml:space="preserve">workers across 1,746 insolvent entities </w:t>
      </w:r>
      <w:r>
        <w:t>paid FEG assistance in 2015</w:t>
      </w:r>
      <w:r>
        <w:noBreakHyphen/>
      </w:r>
      <w:r w:rsidRPr="003760D2">
        <w:t>16</w:t>
      </w:r>
      <w:r>
        <w:t>.</w:t>
      </w:r>
    </w:p>
  </w:footnote>
  <w:footnote w:id="12">
    <w:p w:rsidR="00166554" w:rsidRDefault="00166554" w:rsidP="00792FB9">
      <w:pPr>
        <w:pStyle w:val="FootnoteText"/>
        <w:spacing w:after="0" w:line="240" w:lineRule="auto"/>
        <w:ind w:left="142" w:hanging="142"/>
      </w:pPr>
      <w:r>
        <w:rPr>
          <w:rStyle w:val="FootnoteReference"/>
        </w:rPr>
        <w:footnoteRef/>
      </w:r>
      <w:r>
        <w:t xml:space="preserve"> The c</w:t>
      </w:r>
      <w:r w:rsidRPr="000D0247">
        <w:t xml:space="preserve">onstruction, </w:t>
      </w:r>
      <w:r>
        <w:t>m</w:t>
      </w:r>
      <w:r w:rsidRPr="000D0247">
        <w:t xml:space="preserve">anufacturing, and </w:t>
      </w:r>
      <w:r>
        <w:t>r</w:t>
      </w:r>
      <w:r w:rsidRPr="000D0247">
        <w:t xml:space="preserve">etail industries </w:t>
      </w:r>
      <w:r>
        <w:t>comprise on average around 18 per cent, 17 per cent and 12 per cent of total claims made per year.</w:t>
      </w:r>
    </w:p>
  </w:footnote>
  <w:footnote w:id="13">
    <w:p w:rsidR="00166554" w:rsidRDefault="00166554" w:rsidP="00792FB9">
      <w:pPr>
        <w:pStyle w:val="FootnoteText"/>
        <w:spacing w:after="0" w:line="240" w:lineRule="auto"/>
        <w:ind w:left="142" w:hanging="142"/>
      </w:pPr>
      <w:r>
        <w:rPr>
          <w:rStyle w:val="FootnoteReference"/>
        </w:rPr>
        <w:footnoteRef/>
      </w:r>
      <w:r>
        <w:t xml:space="preserve"> P</w:t>
      </w:r>
      <w:r w:rsidRPr="006C334E">
        <w:t xml:space="preserve">ayments to </w:t>
      </w:r>
      <w:r>
        <w:t xml:space="preserve">redundant </w:t>
      </w:r>
      <w:r w:rsidRPr="006C334E">
        <w:t>employees in the construction and manufacturing industries compris</w:t>
      </w:r>
      <w:r>
        <w:t>e</w:t>
      </w:r>
      <w:r w:rsidRPr="006C334E">
        <w:t xml:space="preserve"> on average 22</w:t>
      </w:r>
      <w:r>
        <w:t> per </w:t>
      </w:r>
      <w:r w:rsidRPr="006C334E">
        <w:t>cent and 14</w:t>
      </w:r>
      <w:r>
        <w:t> </w:t>
      </w:r>
      <w:r w:rsidRPr="006C334E">
        <w:t>per</w:t>
      </w:r>
      <w:r>
        <w:t> </w:t>
      </w:r>
      <w:r w:rsidRPr="006C334E">
        <w:t>cent of total costs per year</w:t>
      </w:r>
      <w:r>
        <w:t>.</w:t>
      </w:r>
    </w:p>
  </w:footnote>
  <w:footnote w:id="14">
    <w:p w:rsidR="00166554" w:rsidRDefault="00166554" w:rsidP="00792FB9">
      <w:pPr>
        <w:pStyle w:val="FootnoteText"/>
        <w:spacing w:after="0" w:line="240" w:lineRule="auto"/>
        <w:ind w:left="142" w:hanging="142"/>
      </w:pPr>
      <w:r>
        <w:rPr>
          <w:rStyle w:val="FootnoteReference"/>
        </w:rPr>
        <w:footnoteRef/>
      </w:r>
      <w:r>
        <w:t xml:space="preserve"> The table outlines recoveries of payments of government assistance for employee entitlements (under </w:t>
      </w:r>
      <w:proofErr w:type="spellStart"/>
      <w:r>
        <w:t>GEERS</w:t>
      </w:r>
      <w:proofErr w:type="spellEnd"/>
      <w:r>
        <w:t xml:space="preserve"> and FEG) through the insolvency process since 2007</w:t>
      </w:r>
      <w:r>
        <w:noBreakHyphen/>
        <w:t>08.</w:t>
      </w:r>
    </w:p>
    <w:tbl>
      <w:tblPr>
        <w:tblStyle w:val="TableGrid2"/>
        <w:tblW w:w="0" w:type="auto"/>
        <w:tblInd w:w="527" w:type="dxa"/>
        <w:tblLook w:val="04A0" w:firstRow="1" w:lastRow="0" w:firstColumn="1" w:lastColumn="0" w:noHBand="0" w:noVBand="1"/>
        <w:tblDescription w:val="See table contents for information"/>
      </w:tblPr>
      <w:tblGrid>
        <w:gridCol w:w="1738"/>
        <w:gridCol w:w="1738"/>
        <w:gridCol w:w="1738"/>
        <w:gridCol w:w="1738"/>
      </w:tblGrid>
      <w:tr w:rsidR="00166554" w:rsidRPr="00940CE0" w:rsidTr="00381F87">
        <w:trPr>
          <w:cantSplit/>
          <w:trHeight w:val="284"/>
          <w:tblHeader/>
        </w:trPr>
        <w:tc>
          <w:tcPr>
            <w:tcW w:w="1738" w:type="dxa"/>
          </w:tcPr>
          <w:p w:rsidR="00166554" w:rsidRPr="00940CE0" w:rsidRDefault="00166554" w:rsidP="00807D5B">
            <w:pPr>
              <w:spacing w:after="0" w:line="240" w:lineRule="auto"/>
              <w:jc w:val="center"/>
              <w:rPr>
                <w:rFonts w:cs="Calibri"/>
                <w:b/>
                <w:color w:val="auto"/>
                <w:sz w:val="18"/>
                <w:szCs w:val="18"/>
              </w:rPr>
            </w:pPr>
            <w:r w:rsidRPr="00940CE0">
              <w:rPr>
                <w:rFonts w:cs="Calibri"/>
                <w:b/>
                <w:color w:val="auto"/>
                <w:sz w:val="18"/>
                <w:szCs w:val="18"/>
              </w:rPr>
              <w:t>Financial year</w:t>
            </w:r>
          </w:p>
        </w:tc>
        <w:tc>
          <w:tcPr>
            <w:tcW w:w="1738" w:type="dxa"/>
          </w:tcPr>
          <w:p w:rsidR="00166554" w:rsidRDefault="00166554" w:rsidP="00807D5B">
            <w:pPr>
              <w:spacing w:after="0" w:line="240" w:lineRule="auto"/>
              <w:jc w:val="center"/>
              <w:rPr>
                <w:rFonts w:cs="Calibri"/>
                <w:b/>
                <w:color w:val="auto"/>
                <w:sz w:val="18"/>
                <w:szCs w:val="18"/>
              </w:rPr>
            </w:pPr>
            <w:r>
              <w:rPr>
                <w:rFonts w:cs="Calibri"/>
                <w:b/>
                <w:color w:val="auto"/>
                <w:sz w:val="18"/>
                <w:szCs w:val="18"/>
              </w:rPr>
              <w:t>FEG/</w:t>
            </w:r>
            <w:proofErr w:type="spellStart"/>
            <w:r>
              <w:rPr>
                <w:rFonts w:cs="Calibri"/>
                <w:b/>
                <w:color w:val="auto"/>
                <w:sz w:val="18"/>
                <w:szCs w:val="18"/>
              </w:rPr>
              <w:t>GEERS</w:t>
            </w:r>
            <w:proofErr w:type="spellEnd"/>
            <w:r>
              <w:rPr>
                <w:rFonts w:cs="Calibri"/>
                <w:b/>
                <w:color w:val="auto"/>
                <w:sz w:val="18"/>
                <w:szCs w:val="18"/>
              </w:rPr>
              <w:t xml:space="preserve"> paid</w:t>
            </w:r>
          </w:p>
          <w:p w:rsidR="00166554" w:rsidRPr="00940CE0" w:rsidRDefault="00166554" w:rsidP="00807D5B">
            <w:pPr>
              <w:spacing w:after="0" w:line="240" w:lineRule="auto"/>
              <w:jc w:val="center"/>
              <w:rPr>
                <w:rFonts w:cs="Calibri"/>
                <w:b/>
                <w:color w:val="auto"/>
                <w:sz w:val="18"/>
                <w:szCs w:val="18"/>
              </w:rPr>
            </w:pPr>
            <w:r w:rsidRPr="00940CE0">
              <w:rPr>
                <w:rFonts w:cs="Calibri"/>
                <w:b/>
                <w:color w:val="auto"/>
                <w:sz w:val="18"/>
                <w:szCs w:val="18"/>
              </w:rPr>
              <w:t xml:space="preserve"> ($ million</w:t>
            </w:r>
            <w:r>
              <w:rPr>
                <w:rFonts w:cs="Calibri"/>
                <w:b/>
                <w:color w:val="auto"/>
                <w:sz w:val="18"/>
                <w:szCs w:val="18"/>
              </w:rPr>
              <w:t>s</w:t>
            </w:r>
            <w:r w:rsidRPr="00940CE0">
              <w:rPr>
                <w:rFonts w:cs="Calibri"/>
                <w:b/>
                <w:color w:val="auto"/>
                <w:sz w:val="18"/>
                <w:szCs w:val="18"/>
              </w:rPr>
              <w:t>)</w:t>
            </w:r>
          </w:p>
        </w:tc>
        <w:tc>
          <w:tcPr>
            <w:tcW w:w="1738" w:type="dxa"/>
          </w:tcPr>
          <w:p w:rsidR="00166554" w:rsidRDefault="00166554" w:rsidP="00807D5B">
            <w:pPr>
              <w:spacing w:after="0" w:line="240" w:lineRule="auto"/>
              <w:jc w:val="center"/>
              <w:rPr>
                <w:rFonts w:cs="Calibri"/>
                <w:b/>
                <w:color w:val="auto"/>
                <w:sz w:val="18"/>
                <w:szCs w:val="18"/>
              </w:rPr>
            </w:pPr>
            <w:r>
              <w:rPr>
                <w:rFonts w:cs="Calibri"/>
                <w:b/>
                <w:color w:val="auto"/>
                <w:sz w:val="18"/>
                <w:szCs w:val="18"/>
              </w:rPr>
              <w:t>FEG/</w:t>
            </w:r>
            <w:proofErr w:type="spellStart"/>
            <w:r>
              <w:rPr>
                <w:rFonts w:cs="Calibri"/>
                <w:b/>
                <w:color w:val="auto"/>
                <w:sz w:val="18"/>
                <w:szCs w:val="18"/>
              </w:rPr>
              <w:t>GEERS</w:t>
            </w:r>
            <w:proofErr w:type="spellEnd"/>
            <w:r>
              <w:rPr>
                <w:rFonts w:cs="Calibri"/>
                <w:b/>
                <w:color w:val="auto"/>
                <w:sz w:val="18"/>
                <w:szCs w:val="18"/>
              </w:rPr>
              <w:t xml:space="preserve"> recovered</w:t>
            </w:r>
          </w:p>
          <w:p w:rsidR="00166554" w:rsidRPr="00940CE0" w:rsidRDefault="00166554" w:rsidP="00807D5B">
            <w:pPr>
              <w:spacing w:after="0" w:line="240" w:lineRule="auto"/>
              <w:jc w:val="center"/>
              <w:rPr>
                <w:rFonts w:cs="Calibri"/>
                <w:b/>
                <w:color w:val="auto"/>
                <w:sz w:val="18"/>
                <w:szCs w:val="18"/>
              </w:rPr>
            </w:pPr>
            <w:r w:rsidRPr="00940CE0">
              <w:rPr>
                <w:rFonts w:cs="Calibri"/>
                <w:b/>
                <w:color w:val="auto"/>
                <w:sz w:val="18"/>
                <w:szCs w:val="18"/>
              </w:rPr>
              <w:t xml:space="preserve"> ($ million</w:t>
            </w:r>
            <w:r>
              <w:rPr>
                <w:rFonts w:cs="Calibri"/>
                <w:b/>
                <w:color w:val="auto"/>
                <w:sz w:val="18"/>
                <w:szCs w:val="18"/>
              </w:rPr>
              <w:t>s</w:t>
            </w:r>
            <w:r w:rsidRPr="00940CE0">
              <w:rPr>
                <w:rFonts w:cs="Calibri"/>
                <w:b/>
                <w:color w:val="auto"/>
                <w:sz w:val="18"/>
                <w:szCs w:val="18"/>
              </w:rPr>
              <w:t>, cash)</w:t>
            </w:r>
          </w:p>
        </w:tc>
        <w:tc>
          <w:tcPr>
            <w:tcW w:w="1738" w:type="dxa"/>
          </w:tcPr>
          <w:p w:rsidR="00166554" w:rsidRPr="00940CE0" w:rsidRDefault="00166554" w:rsidP="00807D5B">
            <w:pPr>
              <w:spacing w:after="0" w:line="240" w:lineRule="auto"/>
              <w:jc w:val="center"/>
              <w:rPr>
                <w:rFonts w:cs="Calibri"/>
                <w:b/>
                <w:color w:val="auto"/>
                <w:sz w:val="18"/>
                <w:szCs w:val="18"/>
              </w:rPr>
            </w:pPr>
            <w:r>
              <w:rPr>
                <w:rFonts w:cs="Calibri"/>
                <w:b/>
                <w:color w:val="auto"/>
                <w:sz w:val="18"/>
                <w:szCs w:val="18"/>
              </w:rPr>
              <w:t>Recovery as proportion of cost</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2007</w:t>
            </w:r>
            <w:r w:rsidRPr="00940CE0">
              <w:rPr>
                <w:rFonts w:cs="Calibri"/>
                <w:color w:val="auto"/>
                <w:sz w:val="18"/>
                <w:szCs w:val="18"/>
              </w:rPr>
              <w:noBreakHyphen/>
              <w:t>08</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60.8</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16.8</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27.6%</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2008</w:t>
            </w:r>
            <w:r w:rsidRPr="00940CE0">
              <w:rPr>
                <w:rFonts w:cs="Calibri"/>
                <w:color w:val="auto"/>
                <w:sz w:val="18"/>
                <w:szCs w:val="18"/>
              </w:rPr>
              <w:noBreakHyphen/>
              <w:t>09</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99.8</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9.1</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9.1%</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2009</w:t>
            </w:r>
            <w:r w:rsidRPr="00940CE0">
              <w:rPr>
                <w:rFonts w:cs="Calibri"/>
                <w:color w:val="auto"/>
                <w:sz w:val="18"/>
                <w:szCs w:val="18"/>
              </w:rPr>
              <w:noBreakHyphen/>
              <w:t>10</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154.1</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18.7</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12.2%</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2010-11</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151.3</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15.6</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10.3%</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2011-12</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195.5</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21.4</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10.9%</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2012-13</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261.7</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37.2</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14.2%</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2013-14</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197.2</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19.1</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9.7%</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2014-15</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312.5</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23.3</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7.5%</w:t>
            </w:r>
          </w:p>
        </w:tc>
      </w:tr>
      <w:tr w:rsidR="00166554" w:rsidRPr="00940CE0" w:rsidTr="00381F87">
        <w:trPr>
          <w:cantSplit/>
          <w:trHeight w:val="227"/>
        </w:trPr>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2015-16</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284.1</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54.4</w:t>
            </w:r>
          </w:p>
        </w:tc>
        <w:tc>
          <w:tcPr>
            <w:tcW w:w="1738" w:type="dxa"/>
          </w:tcPr>
          <w:p w:rsidR="00166554" w:rsidRPr="00940CE0" w:rsidRDefault="00166554" w:rsidP="00807D5B">
            <w:pPr>
              <w:spacing w:after="0" w:line="240" w:lineRule="auto"/>
              <w:jc w:val="center"/>
              <w:rPr>
                <w:rFonts w:cs="Calibri"/>
                <w:color w:val="auto"/>
                <w:sz w:val="18"/>
                <w:szCs w:val="18"/>
              </w:rPr>
            </w:pPr>
            <w:r w:rsidRPr="00940CE0">
              <w:rPr>
                <w:rFonts w:cs="Calibri"/>
                <w:color w:val="auto"/>
                <w:sz w:val="18"/>
                <w:szCs w:val="18"/>
              </w:rPr>
              <w:t>19.3%</w:t>
            </w:r>
          </w:p>
        </w:tc>
      </w:tr>
    </w:tbl>
    <w:p w:rsidR="00166554" w:rsidRDefault="00166554" w:rsidP="005A48AE">
      <w:pPr>
        <w:pStyle w:val="FootnoteText"/>
        <w:spacing w:after="0" w:line="240" w:lineRule="auto"/>
        <w:ind w:left="170" w:hanging="170"/>
      </w:pPr>
      <w:r w:rsidRPr="00BB5D95">
        <w:t>Data source: Department of Employment.</w:t>
      </w:r>
    </w:p>
  </w:footnote>
  <w:footnote w:id="15">
    <w:p w:rsidR="00166554" w:rsidRDefault="00166554" w:rsidP="00792FB9">
      <w:pPr>
        <w:pStyle w:val="FootnoteText"/>
        <w:spacing w:after="0" w:line="240" w:lineRule="auto"/>
        <w:ind w:left="142" w:hanging="142"/>
      </w:pPr>
      <w:r>
        <w:rPr>
          <w:rStyle w:val="FootnoteReference"/>
        </w:rPr>
        <w:footnoteRef/>
      </w:r>
      <w:r>
        <w:t xml:space="preserve"> Commonwealth of Australia (2015), </w:t>
      </w:r>
      <w:r>
        <w:rPr>
          <w:i/>
        </w:rPr>
        <w:t xml:space="preserve">2015-16 </w:t>
      </w:r>
      <w:proofErr w:type="gramStart"/>
      <w:r>
        <w:rPr>
          <w:i/>
        </w:rPr>
        <w:t>Budget</w:t>
      </w:r>
      <w:proofErr w:type="gramEnd"/>
      <w:r>
        <w:rPr>
          <w:i/>
        </w:rPr>
        <w:t xml:space="preserve">: Budget Measures, Budget </w:t>
      </w:r>
      <w:r w:rsidRPr="00F72859">
        <w:rPr>
          <w:i/>
        </w:rPr>
        <w:t>Paper No. 2</w:t>
      </w:r>
      <w:r w:rsidRPr="00970E93">
        <w:t>,</w:t>
      </w:r>
      <w:r>
        <w:t xml:space="preserve"> Canberra, page 82. </w:t>
      </w:r>
    </w:p>
  </w:footnote>
  <w:footnote w:id="16">
    <w:p w:rsidR="00166554" w:rsidRDefault="00166554" w:rsidP="00792FB9">
      <w:pPr>
        <w:pStyle w:val="FootnoteText"/>
        <w:spacing w:after="0" w:line="240" w:lineRule="auto"/>
        <w:ind w:left="142" w:hanging="142"/>
      </w:pPr>
      <w:r>
        <w:rPr>
          <w:rStyle w:val="FootnoteReference"/>
        </w:rPr>
        <w:footnoteRef/>
      </w:r>
      <w:r>
        <w:t xml:space="preserve"> </w:t>
      </w:r>
      <w:r w:rsidRPr="0014536D">
        <w:t>The</w:t>
      </w:r>
      <w:r>
        <w:t xml:space="preserve"> FEG Recovery Program enhanced recoveries of FEG advances through adopting </w:t>
      </w:r>
      <w:r w:rsidRPr="0014536D">
        <w:t>two distinct streams of recovery activity. In the first stream</w:t>
      </w:r>
      <w:r>
        <w:t xml:space="preserve"> of activity</w:t>
      </w:r>
      <w:r w:rsidRPr="0014536D">
        <w:t xml:space="preserve">, the Department </w:t>
      </w:r>
      <w:r>
        <w:t xml:space="preserve">of Employment </w:t>
      </w:r>
      <w:r w:rsidRPr="0014536D">
        <w:t>fund</w:t>
      </w:r>
      <w:r>
        <w:t>ed</w:t>
      </w:r>
      <w:r w:rsidRPr="0014536D">
        <w:t xml:space="preserve"> recovery actions </w:t>
      </w:r>
      <w:r>
        <w:t xml:space="preserve">of </w:t>
      </w:r>
      <w:r w:rsidRPr="00C0513E">
        <w:t xml:space="preserve">company liquidators </w:t>
      </w:r>
      <w:r>
        <w:t xml:space="preserve">and bankruptcy trustees </w:t>
      </w:r>
      <w:r w:rsidRPr="00C0513E">
        <w:t>to improve the return of FEG monies, wh</w:t>
      </w:r>
      <w:r>
        <w:t xml:space="preserve">ere the </w:t>
      </w:r>
      <w:r w:rsidRPr="00C0513E">
        <w:t>liquidator</w:t>
      </w:r>
      <w:r>
        <w:t xml:space="preserve">s and trustees </w:t>
      </w:r>
      <w:r w:rsidRPr="00C0513E">
        <w:t xml:space="preserve">would not otherwise have </w:t>
      </w:r>
      <w:r>
        <w:t xml:space="preserve">had </w:t>
      </w:r>
      <w:r w:rsidRPr="00C0513E">
        <w:t>the financial resources to pursue</w:t>
      </w:r>
      <w:r>
        <w:t xml:space="preserve"> those actions. In the second stream of activity, the </w:t>
      </w:r>
      <w:r w:rsidRPr="0014536D">
        <w:t xml:space="preserve">Department </w:t>
      </w:r>
      <w:r>
        <w:t xml:space="preserve">of Employment </w:t>
      </w:r>
      <w:r w:rsidRPr="0014536D">
        <w:t>fund</w:t>
      </w:r>
      <w:r>
        <w:t>ed</w:t>
      </w:r>
      <w:r w:rsidRPr="0014536D">
        <w:t xml:space="preserve"> actions </w:t>
      </w:r>
      <w:r>
        <w:t>on b</w:t>
      </w:r>
      <w:r w:rsidRPr="00C0513E">
        <w:t>ehalf of the</w:t>
      </w:r>
      <w:r>
        <w:t xml:space="preserve"> Commonwealth of Australia </w:t>
      </w:r>
      <w:r w:rsidRPr="00C0513E">
        <w:t>to recover FEG advances</w:t>
      </w:r>
      <w:r>
        <w:t xml:space="preserve">, mainly being actions </w:t>
      </w:r>
      <w:r w:rsidRPr="00C0513E">
        <w:t>for suspected breaches by company receivers and liquidators of sections</w:t>
      </w:r>
      <w:r>
        <w:t> </w:t>
      </w:r>
      <w:r w:rsidRPr="00C0513E">
        <w:t xml:space="preserve">433 and 561 of the </w:t>
      </w:r>
      <w:r w:rsidRPr="00DB1D86">
        <w:rPr>
          <w:i/>
        </w:rPr>
        <w:t>Corporations Act 2001</w:t>
      </w:r>
      <w:r w:rsidRPr="00C0513E">
        <w:t xml:space="preserve"> (</w:t>
      </w:r>
      <w:proofErr w:type="spellStart"/>
      <w:r w:rsidRPr="00C0513E">
        <w:t>Cth</w:t>
      </w:r>
      <w:proofErr w:type="spellEnd"/>
      <w:r w:rsidRPr="00C0513E">
        <w:t>)</w:t>
      </w:r>
      <w:r>
        <w:t>, which require those parties to provide for the payment of outstanding employee entitlements out of the proceeds of circulating assets of the business</w:t>
      </w:r>
      <w:r w:rsidRPr="00C0513E">
        <w:t>.</w:t>
      </w:r>
      <w:r>
        <w:t xml:space="preserve"> Further information about the FEG Recovery Program is available at </w:t>
      </w:r>
      <w:hyperlink r:id="rId4" w:history="1">
        <w:r w:rsidRPr="00B66F7E">
          <w:rPr>
            <w:color w:val="0000FF"/>
            <w:szCs w:val="18"/>
            <w:u w:val="single"/>
          </w:rPr>
          <w:t>https://www.employment.gov.au/feg-recovery-program</w:t>
        </w:r>
      </w:hyperlink>
      <w:r>
        <w:t>.</w:t>
      </w:r>
    </w:p>
  </w:footnote>
  <w:footnote w:id="17">
    <w:p w:rsidR="00166554" w:rsidRDefault="00166554" w:rsidP="00792FB9">
      <w:pPr>
        <w:pStyle w:val="FootnoteText"/>
        <w:spacing w:after="0" w:line="240" w:lineRule="auto"/>
        <w:ind w:left="142" w:hanging="142"/>
      </w:pPr>
      <w:r>
        <w:rPr>
          <w:rStyle w:val="FootnoteReference"/>
        </w:rPr>
        <w:footnoteRef/>
      </w:r>
      <w:r>
        <w:t xml:space="preserve"> </w:t>
      </w:r>
      <w:r w:rsidRPr="00AC1A7B">
        <w:t>Commonwealth of Australia (201</w:t>
      </w:r>
      <w:r>
        <w:t>6</w:t>
      </w:r>
      <w:r w:rsidRPr="00AC1A7B">
        <w:t xml:space="preserve">), </w:t>
      </w:r>
      <w:proofErr w:type="gramStart"/>
      <w:r w:rsidRPr="000F7C8D">
        <w:rPr>
          <w:i/>
        </w:rPr>
        <w:t>2016–17 Mid–Year Economic</w:t>
      </w:r>
      <w:proofErr w:type="gramEnd"/>
      <w:r w:rsidRPr="000F7C8D">
        <w:rPr>
          <w:i/>
        </w:rPr>
        <w:t xml:space="preserve"> and Fiscal Outlook</w:t>
      </w:r>
      <w:r w:rsidRPr="00AC1A7B">
        <w:t>, Canberra</w:t>
      </w:r>
      <w:r>
        <w:t xml:space="preserve">, page 106. </w:t>
      </w:r>
    </w:p>
  </w:footnote>
  <w:footnote w:id="18">
    <w:p w:rsidR="00166554" w:rsidRDefault="00166554" w:rsidP="00792FB9">
      <w:pPr>
        <w:pStyle w:val="FootnoteText"/>
        <w:spacing w:after="0" w:line="240" w:lineRule="auto"/>
        <w:ind w:left="142" w:hanging="142"/>
      </w:pPr>
      <w:r>
        <w:rPr>
          <w:rStyle w:val="FootnoteReference"/>
        </w:rPr>
        <w:footnoteRef/>
      </w:r>
      <w:r>
        <w:t xml:space="preserve"> Around 650 cases where companies went into liquidation in the period 1 January 2013 to 31 December 2015, (and which had not otherwise already been reviewed by the Department of Employment) were examined. The broad results from the sample have been re-affirmed in subsequent samples of cases for the same and different time periods in terms of impacts of </w:t>
      </w:r>
      <w:r w:rsidRPr="00541FD8">
        <w:t>sharp corporate practices</w:t>
      </w:r>
      <w:r>
        <w:rPr>
          <w:i/>
        </w:rPr>
        <w:t xml:space="preserve"> </w:t>
      </w:r>
      <w:r>
        <w:t>on the FEG scheme and predecessor employee entitlements schemes.</w:t>
      </w:r>
    </w:p>
  </w:footnote>
  <w:footnote w:id="19">
    <w:p w:rsidR="00166554" w:rsidRDefault="00166554" w:rsidP="00792FB9">
      <w:pPr>
        <w:pStyle w:val="FootnoteText"/>
        <w:spacing w:after="0" w:line="240" w:lineRule="auto"/>
        <w:ind w:left="142" w:hanging="142"/>
      </w:pPr>
      <w:r>
        <w:rPr>
          <w:rStyle w:val="FootnoteReference"/>
        </w:rPr>
        <w:footnoteRef/>
      </w:r>
      <w:r>
        <w:t xml:space="preserve"> Further information on the Phoenix Taskforce is available from: </w:t>
      </w:r>
      <w:hyperlink r:id="rId5" w:history="1">
        <w:r w:rsidRPr="00B66F7E">
          <w:rPr>
            <w:color w:val="0000FF"/>
            <w:szCs w:val="18"/>
            <w:u w:val="single"/>
          </w:rPr>
          <w:t>https://www.ato.gov.au/General/The-fight-against-tax-crime/Our-focus/Illegal-phoenix-activity/Phoenix-Taskforce/</w:t>
        </w:r>
      </w:hyperlink>
      <w:r w:rsidRPr="00B66F7E">
        <w:rPr>
          <w:szCs w:val="18"/>
        </w:rPr>
        <w:t>.</w:t>
      </w:r>
    </w:p>
  </w:footnote>
  <w:footnote w:id="20">
    <w:p w:rsidR="00166554" w:rsidRDefault="00166554" w:rsidP="00792FB9">
      <w:pPr>
        <w:pStyle w:val="FootnoteText"/>
        <w:spacing w:after="0" w:line="240" w:lineRule="auto"/>
        <w:ind w:left="142" w:hanging="142"/>
      </w:pPr>
      <w:r>
        <w:rPr>
          <w:rStyle w:val="FootnoteReference"/>
        </w:rPr>
        <w:footnoteRef/>
      </w:r>
      <w:r>
        <w:t xml:space="preserve"> See for example, the Australian Government’s National Innovation &amp; Science Agenda insolvency law reforms </w:t>
      </w:r>
      <w:r w:rsidRPr="00B66F7E">
        <w:rPr>
          <w:szCs w:val="18"/>
        </w:rPr>
        <w:t>(</w:t>
      </w:r>
      <w:hyperlink r:id="rId6" w:history="1">
        <w:r w:rsidRPr="00B66F7E">
          <w:rPr>
            <w:color w:val="0000FF"/>
            <w:szCs w:val="18"/>
            <w:u w:val="single"/>
          </w:rPr>
          <w:t>https://www.innovation.gov.au/page/insolvency-laws-reform</w:t>
        </w:r>
      </w:hyperlink>
      <w:r w:rsidRPr="00B66F7E">
        <w:rPr>
          <w:szCs w:val="18"/>
        </w:rPr>
        <w:t>).</w:t>
      </w:r>
    </w:p>
  </w:footnote>
  <w:footnote w:id="21">
    <w:p w:rsidR="00166554" w:rsidRDefault="00166554" w:rsidP="00792FB9">
      <w:pPr>
        <w:pStyle w:val="FootnoteText"/>
        <w:spacing w:after="0" w:line="240" w:lineRule="auto"/>
        <w:ind w:left="142" w:hanging="142"/>
      </w:pPr>
      <w:r>
        <w:rPr>
          <w:rStyle w:val="FootnoteReference"/>
        </w:rPr>
        <w:footnoteRef/>
      </w:r>
      <w:r>
        <w:rPr>
          <w:i/>
        </w:rPr>
        <w:t xml:space="preserve"> </w:t>
      </w:r>
      <w:proofErr w:type="gramStart"/>
      <w:r w:rsidRPr="001A5F50">
        <w:rPr>
          <w:i/>
        </w:rPr>
        <w:t>Corporations Law Amendment (Employee Entitlements) Act 2000</w:t>
      </w:r>
      <w:r>
        <w:t xml:space="preserve"> (</w:t>
      </w:r>
      <w:proofErr w:type="spellStart"/>
      <w:r>
        <w:t>Cth</w:t>
      </w:r>
      <w:proofErr w:type="spellEnd"/>
      <w:r>
        <w:t xml:space="preserve">), which amended the </w:t>
      </w:r>
      <w:r>
        <w:rPr>
          <w:i/>
        </w:rPr>
        <w:t xml:space="preserve">Corporations Act 1989 </w:t>
      </w:r>
      <w:r>
        <w:t>(</w:t>
      </w:r>
      <w:proofErr w:type="spellStart"/>
      <w:r>
        <w:t>Cth</w:t>
      </w:r>
      <w:proofErr w:type="spellEnd"/>
      <w:r>
        <w:t xml:space="preserve">) (the predecessor of the </w:t>
      </w:r>
      <w:r>
        <w:rPr>
          <w:i/>
        </w:rPr>
        <w:t xml:space="preserve">Corporations Act 2001 </w:t>
      </w:r>
      <w:r>
        <w:t>(</w:t>
      </w:r>
      <w:proofErr w:type="spellStart"/>
      <w:r>
        <w:t>Cth</w:t>
      </w:r>
      <w:proofErr w:type="spellEnd"/>
      <w:r>
        <w:t>)).</w:t>
      </w:r>
      <w:proofErr w:type="gramEnd"/>
      <w:r>
        <w:t xml:space="preserve"> The amending Act received Royal Assent on 30 June 2000 and began operation on that day (per section 2 of that Act).</w:t>
      </w:r>
    </w:p>
  </w:footnote>
  <w:footnote w:id="22">
    <w:p w:rsidR="00166554" w:rsidRPr="00A216D4" w:rsidRDefault="00166554" w:rsidP="00792FB9">
      <w:pPr>
        <w:pStyle w:val="FootnoteText"/>
        <w:spacing w:after="0" w:line="240" w:lineRule="auto"/>
        <w:ind w:left="142" w:hanging="142"/>
      </w:pPr>
      <w:r>
        <w:rPr>
          <w:rStyle w:val="FootnoteReference"/>
        </w:rPr>
        <w:footnoteRef/>
      </w:r>
      <w:r>
        <w:t xml:space="preserve"> Commonwealth, </w:t>
      </w:r>
      <w:r>
        <w:rPr>
          <w:i/>
        </w:rPr>
        <w:t>Parliamentary Debates</w:t>
      </w:r>
      <w:r>
        <w:t xml:space="preserve">, House of Representatives, 17 February 2000, 13723 (Joe Hockey, </w:t>
      </w:r>
      <w:r w:rsidRPr="00A216D4">
        <w:t>Minister for Financial Services and Regulation</w:t>
      </w:r>
      <w:r>
        <w:t>).</w:t>
      </w:r>
    </w:p>
  </w:footnote>
  <w:footnote w:id="23">
    <w:p w:rsidR="00166554" w:rsidRDefault="00166554" w:rsidP="00792FB9">
      <w:pPr>
        <w:pStyle w:val="FootnoteText"/>
        <w:spacing w:after="0" w:line="240" w:lineRule="auto"/>
        <w:ind w:left="142" w:hanging="142"/>
      </w:pPr>
      <w:r>
        <w:rPr>
          <w:rStyle w:val="FootnoteReference"/>
        </w:rPr>
        <w:footnoteRef/>
      </w:r>
      <w:r>
        <w:t xml:space="preserve"> </w:t>
      </w:r>
      <w:proofErr w:type="gramStart"/>
      <w:r>
        <w:rPr>
          <w:szCs w:val="18"/>
        </w:rPr>
        <w:t>Paragraph 14 of the explanatory m</w:t>
      </w:r>
      <w:r w:rsidRPr="00444531">
        <w:rPr>
          <w:szCs w:val="18"/>
        </w:rPr>
        <w:t>emorandum to the Corporations Law Amendment (Employee Entitlements) Bill 2000</w:t>
      </w:r>
      <w:r>
        <w:rPr>
          <w:szCs w:val="18"/>
        </w:rPr>
        <w:t xml:space="preserve"> (</w:t>
      </w:r>
      <w:proofErr w:type="spellStart"/>
      <w:r>
        <w:rPr>
          <w:szCs w:val="18"/>
        </w:rPr>
        <w:t>Cth</w:t>
      </w:r>
      <w:proofErr w:type="spellEnd"/>
      <w:r>
        <w:rPr>
          <w:szCs w:val="18"/>
        </w:rPr>
        <w:t>)</w:t>
      </w:r>
      <w:r w:rsidRPr="00444531">
        <w:rPr>
          <w:szCs w:val="18"/>
        </w:rPr>
        <w:t xml:space="preserve"> (see </w:t>
      </w:r>
      <w:hyperlink r:id="rId7" w:history="1">
        <w:r w:rsidRPr="00444531">
          <w:rPr>
            <w:rFonts w:eastAsia="Calibri"/>
            <w:color w:val="0000FF"/>
            <w:szCs w:val="18"/>
            <w:u w:val="single"/>
            <w:lang w:eastAsia="en-US"/>
          </w:rPr>
          <w:t>https://www.legislation.gov</w:t>
        </w:r>
        <w:r w:rsidRPr="00444531">
          <w:rPr>
            <w:rFonts w:eastAsia="Calibri"/>
            <w:color w:val="0000FF"/>
            <w:szCs w:val="18"/>
            <w:u w:val="single"/>
            <w:lang w:eastAsia="en-US"/>
          </w:rPr>
          <w:t>.</w:t>
        </w:r>
        <w:r w:rsidRPr="00444531">
          <w:rPr>
            <w:rFonts w:eastAsia="Calibri"/>
            <w:color w:val="0000FF"/>
            <w:szCs w:val="18"/>
            <w:u w:val="single"/>
            <w:lang w:eastAsia="en-US"/>
          </w:rPr>
          <w:t>au/Details/C2004B00639/</w:t>
        </w:r>
      </w:hyperlink>
      <w:r w:rsidRPr="00444531">
        <w:rPr>
          <w:rFonts w:eastAsia="Calibri"/>
          <w:color w:val="auto"/>
          <w:szCs w:val="18"/>
          <w:lang w:eastAsia="en-US"/>
        </w:rPr>
        <w:t>)</w:t>
      </w:r>
      <w:r>
        <w:rPr>
          <w:szCs w:val="18"/>
        </w:rPr>
        <w:t>.</w:t>
      </w:r>
      <w:proofErr w:type="gramEnd"/>
    </w:p>
  </w:footnote>
  <w:footnote w:id="24">
    <w:p w:rsidR="00166554" w:rsidRDefault="00166554" w:rsidP="00792FB9">
      <w:pPr>
        <w:pStyle w:val="FootnoteText"/>
        <w:spacing w:after="0" w:line="240" w:lineRule="auto"/>
        <w:ind w:left="142" w:hanging="142"/>
      </w:pPr>
      <w:r>
        <w:rPr>
          <w:rStyle w:val="FootnoteReference"/>
        </w:rPr>
        <w:footnoteRef/>
      </w:r>
      <w:r>
        <w:t xml:space="preserve"> </w:t>
      </w:r>
      <w:proofErr w:type="gramStart"/>
      <w:r>
        <w:t xml:space="preserve">Section </w:t>
      </w:r>
      <w:proofErr w:type="spellStart"/>
      <w:r>
        <w:t>596AB</w:t>
      </w:r>
      <w:proofErr w:type="spellEnd"/>
      <w:r>
        <w:t xml:space="preserve"> of the Part.</w:t>
      </w:r>
      <w:proofErr w:type="gramEnd"/>
    </w:p>
  </w:footnote>
  <w:footnote w:id="25">
    <w:p w:rsidR="00166554" w:rsidRDefault="00166554" w:rsidP="00792FB9">
      <w:pPr>
        <w:pStyle w:val="FootnoteText"/>
        <w:spacing w:after="0" w:line="240" w:lineRule="auto"/>
        <w:ind w:left="142" w:hanging="142"/>
      </w:pPr>
      <w:r>
        <w:rPr>
          <w:rStyle w:val="FootnoteReference"/>
        </w:rPr>
        <w:footnoteRef/>
      </w:r>
      <w:r>
        <w:t xml:space="preserve"> </w:t>
      </w:r>
      <w:proofErr w:type="gramStart"/>
      <w:r>
        <w:t xml:space="preserve">Section </w:t>
      </w:r>
      <w:proofErr w:type="spellStart"/>
      <w:r>
        <w:t>596AC</w:t>
      </w:r>
      <w:proofErr w:type="spellEnd"/>
      <w:r>
        <w:t xml:space="preserve"> of the Part.</w:t>
      </w:r>
      <w:proofErr w:type="gramEnd"/>
    </w:p>
  </w:footnote>
  <w:footnote w:id="26">
    <w:p w:rsidR="00166554" w:rsidRDefault="00166554" w:rsidP="00792FB9">
      <w:pPr>
        <w:pStyle w:val="FootnoteText"/>
        <w:spacing w:after="0" w:line="240" w:lineRule="auto"/>
        <w:ind w:left="142" w:hanging="142"/>
      </w:pPr>
      <w:r>
        <w:rPr>
          <w:rStyle w:val="FootnoteReference"/>
        </w:rPr>
        <w:footnoteRef/>
      </w:r>
      <w:r>
        <w:t xml:space="preserve"> In addition, see Helen Anderson, </w:t>
      </w:r>
      <w:r>
        <w:rPr>
          <w:i/>
        </w:rPr>
        <w:t xml:space="preserve">The protection of employee entitlements in </w:t>
      </w:r>
      <w:r w:rsidRPr="0060663E">
        <w:rPr>
          <w:i/>
        </w:rPr>
        <w:t>insolvency: An Australian perspective</w:t>
      </w:r>
      <w:r>
        <w:t>, Melbourne University Press (1</w:t>
      </w:r>
      <w:r w:rsidRPr="0060663E">
        <w:rPr>
          <w:vertAlign w:val="superscript"/>
        </w:rPr>
        <w:t>st</w:t>
      </w:r>
      <w:r>
        <w:t xml:space="preserve"> </w:t>
      </w:r>
      <w:proofErr w:type="spellStart"/>
      <w:proofErr w:type="gramStart"/>
      <w:r>
        <w:t>ed</w:t>
      </w:r>
      <w:proofErr w:type="spellEnd"/>
      <w:proofErr w:type="gramEnd"/>
      <w:r>
        <w:t>, 2014) 40 and 58 (footnote 77).</w:t>
      </w:r>
    </w:p>
  </w:footnote>
  <w:footnote w:id="27">
    <w:p w:rsidR="00166554" w:rsidRPr="00541FD8" w:rsidRDefault="00166554" w:rsidP="00792FB9">
      <w:pPr>
        <w:pStyle w:val="FootnoteText"/>
        <w:spacing w:after="0" w:line="240" w:lineRule="auto"/>
        <w:ind w:left="142" w:hanging="142"/>
        <w:rPr>
          <w:szCs w:val="18"/>
        </w:rPr>
      </w:pPr>
      <w:r w:rsidRPr="00541FD8">
        <w:rPr>
          <w:rStyle w:val="FootnoteReference"/>
        </w:rPr>
        <w:footnoteRef/>
      </w:r>
      <w:r w:rsidRPr="00541FD8">
        <w:t xml:space="preserve"> See Helen Anderson, </w:t>
      </w:r>
      <w:r w:rsidRPr="00541FD8">
        <w:rPr>
          <w:i/>
        </w:rPr>
        <w:t>The protection of employee entitlements in insolvency: An Australian perspective</w:t>
      </w:r>
      <w:r w:rsidRPr="00541FD8">
        <w:t>, Melbourne University Press (1</w:t>
      </w:r>
      <w:r w:rsidRPr="00541FD8">
        <w:rPr>
          <w:vertAlign w:val="superscript"/>
        </w:rPr>
        <w:t>st</w:t>
      </w:r>
      <w:r w:rsidRPr="00541FD8">
        <w:t xml:space="preserve"> </w:t>
      </w:r>
      <w:proofErr w:type="spellStart"/>
      <w:proofErr w:type="gramStart"/>
      <w:r w:rsidRPr="00541FD8">
        <w:t>ed</w:t>
      </w:r>
      <w:proofErr w:type="spellEnd"/>
      <w:proofErr w:type="gramEnd"/>
      <w:r w:rsidRPr="00541FD8">
        <w:t xml:space="preserve">, 2014) 40; and Scott Atkins et al, ‘Underwriting the downturn: Australia’s employee </w:t>
      </w:r>
      <w:r w:rsidRPr="00541FD8">
        <w:rPr>
          <w:szCs w:val="18"/>
        </w:rPr>
        <w:t>entitlements guarantee and moral hazard’ (2016)</w:t>
      </w:r>
      <w:r>
        <w:rPr>
          <w:szCs w:val="18"/>
        </w:rPr>
        <w:t xml:space="preserve"> Third Q</w:t>
      </w:r>
      <w:r w:rsidRPr="00541FD8">
        <w:rPr>
          <w:szCs w:val="18"/>
        </w:rPr>
        <w:t xml:space="preserve">uarter </w:t>
      </w:r>
      <w:proofErr w:type="spellStart"/>
      <w:r w:rsidRPr="00541FD8">
        <w:rPr>
          <w:i/>
          <w:szCs w:val="18"/>
        </w:rPr>
        <w:t>Insol</w:t>
      </w:r>
      <w:proofErr w:type="spellEnd"/>
      <w:r w:rsidRPr="00541FD8">
        <w:rPr>
          <w:i/>
          <w:szCs w:val="18"/>
        </w:rPr>
        <w:t xml:space="preserve"> World</w:t>
      </w:r>
      <w:r w:rsidRPr="00541FD8">
        <w:rPr>
          <w:szCs w:val="18"/>
        </w:rPr>
        <w:t>, 12-13.</w:t>
      </w:r>
    </w:p>
  </w:footnote>
  <w:footnote w:id="28">
    <w:p w:rsidR="00166554" w:rsidRPr="006A63EE" w:rsidRDefault="00166554" w:rsidP="00792FB9">
      <w:pPr>
        <w:pStyle w:val="FootnoteText"/>
        <w:spacing w:after="0" w:line="240" w:lineRule="auto"/>
        <w:ind w:left="142" w:hanging="142"/>
        <w:rPr>
          <w:szCs w:val="18"/>
        </w:rPr>
      </w:pPr>
      <w:r w:rsidRPr="006A63EE">
        <w:rPr>
          <w:rStyle w:val="FootnoteReference"/>
          <w:szCs w:val="18"/>
        </w:rPr>
        <w:footnoteRef/>
      </w:r>
      <w:r w:rsidRPr="006A63EE">
        <w:rPr>
          <w:szCs w:val="18"/>
        </w:rPr>
        <w:t xml:space="preserve"> As an example, subsection </w:t>
      </w:r>
      <w:proofErr w:type="spellStart"/>
      <w:proofErr w:type="gramStart"/>
      <w:r w:rsidRPr="006A63EE">
        <w:rPr>
          <w:szCs w:val="18"/>
        </w:rPr>
        <w:t>596AB</w:t>
      </w:r>
      <w:proofErr w:type="spellEnd"/>
      <w:r w:rsidRPr="006A63EE">
        <w:rPr>
          <w:szCs w:val="18"/>
        </w:rPr>
        <w:t>(</w:t>
      </w:r>
      <w:proofErr w:type="gramEnd"/>
      <w:r w:rsidRPr="006A63EE">
        <w:rPr>
          <w:szCs w:val="18"/>
        </w:rPr>
        <w:t xml:space="preserve">1) is drafted in the negative (‘A person </w:t>
      </w:r>
      <w:r w:rsidRPr="006A63EE">
        <w:rPr>
          <w:szCs w:val="18"/>
          <w:u w:val="single"/>
        </w:rPr>
        <w:t>must not</w:t>
      </w:r>
      <w:r w:rsidRPr="006A63EE">
        <w:rPr>
          <w:szCs w:val="18"/>
        </w:rPr>
        <w:t xml:space="preserve"> enter’) and does not utilise more commonly used approaches for differentiating between physical and fault elements for a criminal offence.</w:t>
      </w:r>
    </w:p>
  </w:footnote>
  <w:footnote w:id="29">
    <w:p w:rsidR="00166554" w:rsidRPr="006A63EE" w:rsidRDefault="00166554" w:rsidP="00792FB9">
      <w:pPr>
        <w:pStyle w:val="FootnoteText"/>
        <w:spacing w:after="0" w:line="240" w:lineRule="auto"/>
        <w:ind w:left="142" w:hanging="142"/>
        <w:jc w:val="left"/>
        <w:rPr>
          <w:szCs w:val="18"/>
        </w:rPr>
      </w:pPr>
      <w:r w:rsidRPr="006A63EE">
        <w:rPr>
          <w:rStyle w:val="FootnoteReference"/>
          <w:szCs w:val="18"/>
        </w:rPr>
        <w:footnoteRef/>
      </w:r>
      <w:r w:rsidRPr="006A63EE">
        <w:rPr>
          <w:szCs w:val="18"/>
        </w:rPr>
        <w:t xml:space="preserve"> See</w:t>
      </w:r>
      <w:r>
        <w:rPr>
          <w:szCs w:val="18"/>
        </w:rPr>
        <w:t xml:space="preserve"> for example, section </w:t>
      </w:r>
      <w:proofErr w:type="spellStart"/>
      <w:r>
        <w:rPr>
          <w:szCs w:val="18"/>
        </w:rPr>
        <w:t>596AA</w:t>
      </w:r>
      <w:proofErr w:type="spellEnd"/>
      <w:r>
        <w:rPr>
          <w:szCs w:val="18"/>
        </w:rPr>
        <w:t xml:space="preserve"> of the Part and paragraphs 14 to 37 of the e</w:t>
      </w:r>
      <w:r w:rsidRPr="006A63EE">
        <w:rPr>
          <w:szCs w:val="18"/>
        </w:rPr>
        <w:t xml:space="preserve">xplanatory </w:t>
      </w:r>
      <w:r>
        <w:rPr>
          <w:szCs w:val="18"/>
        </w:rPr>
        <w:t>m</w:t>
      </w:r>
      <w:r w:rsidRPr="006A63EE">
        <w:rPr>
          <w:szCs w:val="18"/>
        </w:rPr>
        <w:t>emorandum to the Corporations Law Amendment (Employee Entitlements) Bill 2000</w:t>
      </w:r>
      <w:r>
        <w:rPr>
          <w:szCs w:val="18"/>
        </w:rPr>
        <w:t xml:space="preserve"> (</w:t>
      </w:r>
      <w:proofErr w:type="spellStart"/>
      <w:r>
        <w:rPr>
          <w:szCs w:val="18"/>
        </w:rPr>
        <w:t>Cth</w:t>
      </w:r>
      <w:proofErr w:type="spellEnd"/>
      <w:r>
        <w:rPr>
          <w:szCs w:val="18"/>
        </w:rPr>
        <w:t>)</w:t>
      </w:r>
      <w:r w:rsidRPr="006A63EE">
        <w:rPr>
          <w:szCs w:val="18"/>
        </w:rPr>
        <w:t>.</w:t>
      </w:r>
    </w:p>
  </w:footnote>
  <w:footnote w:id="30">
    <w:p w:rsidR="00166554" w:rsidRDefault="00166554" w:rsidP="00792FB9">
      <w:pPr>
        <w:pStyle w:val="FootnoteText"/>
        <w:spacing w:after="0" w:line="240" w:lineRule="auto"/>
        <w:ind w:left="142" w:hanging="142"/>
      </w:pPr>
      <w:r>
        <w:rPr>
          <w:rStyle w:val="FootnoteReference"/>
        </w:rPr>
        <w:footnoteRef/>
      </w:r>
      <w:r>
        <w:t xml:space="preserve"> For example, it is not clear whether the Part was intended to operate in situations where there is an avoidance of employee entitlements due to phoenix company activity or was applicable to corporate group situations. It is also not clear what parties, including third parties such as insolvency advisers, the Part was intended to apply to.</w:t>
      </w:r>
    </w:p>
  </w:footnote>
  <w:footnote w:id="31">
    <w:p w:rsidR="00166554" w:rsidRPr="001A5F50" w:rsidRDefault="00166554" w:rsidP="00792FB9">
      <w:pPr>
        <w:pStyle w:val="FootnoteText"/>
        <w:spacing w:after="0" w:line="240" w:lineRule="auto"/>
        <w:ind w:left="142" w:hanging="142"/>
      </w:pPr>
      <w:r>
        <w:rPr>
          <w:rStyle w:val="FootnoteReference"/>
        </w:rPr>
        <w:footnoteRef/>
      </w:r>
      <w:r>
        <w:t xml:space="preserve"> See for example, </w:t>
      </w:r>
      <w:r w:rsidRPr="00235D6E">
        <w:rPr>
          <w:szCs w:val="18"/>
        </w:rPr>
        <w:t xml:space="preserve">Helen Anderson, </w:t>
      </w:r>
      <w:r w:rsidRPr="00235D6E">
        <w:rPr>
          <w:i/>
          <w:szCs w:val="18"/>
        </w:rPr>
        <w:t xml:space="preserve">The protection of employee entitlements in insolvency: An Australian perspective </w:t>
      </w:r>
      <w:r w:rsidRPr="00235D6E">
        <w:rPr>
          <w:szCs w:val="18"/>
        </w:rPr>
        <w:t xml:space="preserve">(Melbourne University Press, 2014), 167-171; </w:t>
      </w:r>
      <w:r>
        <w:rPr>
          <w:szCs w:val="18"/>
        </w:rPr>
        <w:t xml:space="preserve">and </w:t>
      </w:r>
      <w:r w:rsidRPr="00235D6E">
        <w:rPr>
          <w:rFonts w:cs="Arial"/>
          <w:color w:val="auto"/>
          <w:szCs w:val="18"/>
        </w:rPr>
        <w:t xml:space="preserve">Christopher </w:t>
      </w:r>
      <w:proofErr w:type="spellStart"/>
      <w:r w:rsidRPr="00235D6E">
        <w:rPr>
          <w:rFonts w:cs="Arial"/>
          <w:color w:val="auto"/>
          <w:szCs w:val="18"/>
        </w:rPr>
        <w:t>Symes</w:t>
      </w:r>
      <w:proofErr w:type="spellEnd"/>
      <w:r w:rsidRPr="00235D6E">
        <w:rPr>
          <w:rFonts w:cs="Arial"/>
          <w:color w:val="auto"/>
          <w:szCs w:val="18"/>
        </w:rPr>
        <w:t xml:space="preserve">, ‘Will there ever be a prosecution under Part </w:t>
      </w:r>
      <w:proofErr w:type="spellStart"/>
      <w:r w:rsidRPr="00235D6E">
        <w:rPr>
          <w:rFonts w:cs="Arial"/>
          <w:color w:val="auto"/>
          <w:szCs w:val="18"/>
        </w:rPr>
        <w:t>5.8A</w:t>
      </w:r>
      <w:proofErr w:type="spellEnd"/>
      <w:r w:rsidRPr="00235D6E">
        <w:rPr>
          <w:rFonts w:cs="Arial"/>
          <w:color w:val="auto"/>
          <w:szCs w:val="18"/>
        </w:rPr>
        <w:t xml:space="preserve">?’ </w:t>
      </w:r>
      <w:proofErr w:type="gramStart"/>
      <w:r w:rsidRPr="00235D6E">
        <w:rPr>
          <w:rFonts w:cs="Arial"/>
          <w:color w:val="auto"/>
          <w:szCs w:val="18"/>
        </w:rPr>
        <w:t xml:space="preserve">(2002) 3(1) </w:t>
      </w:r>
      <w:r w:rsidRPr="00235D6E">
        <w:rPr>
          <w:rFonts w:cs="Arial"/>
          <w:i/>
          <w:iCs/>
          <w:color w:val="auto"/>
          <w:szCs w:val="18"/>
        </w:rPr>
        <w:t>Insolvency Law</w:t>
      </w:r>
      <w:r>
        <w:rPr>
          <w:rFonts w:cs="Arial"/>
          <w:i/>
          <w:iCs/>
          <w:color w:val="auto"/>
          <w:szCs w:val="18"/>
        </w:rPr>
        <w:t xml:space="preserve"> </w:t>
      </w:r>
      <w:r w:rsidRPr="00235D6E">
        <w:rPr>
          <w:rFonts w:cs="Arial"/>
          <w:i/>
          <w:iCs/>
          <w:color w:val="auto"/>
          <w:szCs w:val="18"/>
        </w:rPr>
        <w:t xml:space="preserve">Bulletin </w:t>
      </w:r>
      <w:r w:rsidRPr="00235D6E">
        <w:rPr>
          <w:rFonts w:cs="Arial"/>
          <w:color w:val="auto"/>
          <w:szCs w:val="18"/>
        </w:rPr>
        <w:t>17</w:t>
      </w:r>
      <w:r>
        <w:rPr>
          <w:szCs w:val="18"/>
        </w:rPr>
        <w:t>.</w:t>
      </w:r>
      <w:proofErr w:type="gramEnd"/>
    </w:p>
  </w:footnote>
  <w:footnote w:id="32">
    <w:p w:rsidR="00166554" w:rsidRDefault="00166554" w:rsidP="00792FB9">
      <w:pPr>
        <w:pStyle w:val="FootnoteText"/>
        <w:spacing w:after="0" w:line="240" w:lineRule="auto"/>
        <w:ind w:left="142" w:hanging="142"/>
      </w:pPr>
      <w:r>
        <w:rPr>
          <w:rStyle w:val="FootnoteReference"/>
        </w:rPr>
        <w:footnoteRef/>
      </w:r>
      <w:r>
        <w:t xml:space="preserve"> In the schedule to the </w:t>
      </w:r>
      <w:r w:rsidRPr="00EC208F">
        <w:rPr>
          <w:i/>
        </w:rPr>
        <w:t xml:space="preserve">Criminal Code </w:t>
      </w:r>
      <w:r>
        <w:rPr>
          <w:i/>
        </w:rPr>
        <w:t xml:space="preserve">Act </w:t>
      </w:r>
      <w:r w:rsidRPr="00EC208F">
        <w:rPr>
          <w:i/>
        </w:rPr>
        <w:t>1995</w:t>
      </w:r>
      <w:r>
        <w:t xml:space="preserve"> (</w:t>
      </w:r>
      <w:proofErr w:type="spellStart"/>
      <w:r>
        <w:t>Cth</w:t>
      </w:r>
      <w:proofErr w:type="spellEnd"/>
      <w:r>
        <w:t xml:space="preserve">), ‘recklessness’ is defined in </w:t>
      </w:r>
      <w:r w:rsidRPr="00235D6E">
        <w:t xml:space="preserve">Division 5 </w:t>
      </w:r>
      <w:r>
        <w:t>‘</w:t>
      </w:r>
      <w:r w:rsidRPr="00235D6E">
        <w:t>Fault elements</w:t>
      </w:r>
      <w:r>
        <w:t xml:space="preserve">’ at subdivision 5.4: </w:t>
      </w:r>
    </w:p>
    <w:p w:rsidR="00166554" w:rsidRDefault="00166554" w:rsidP="0047072E">
      <w:pPr>
        <w:pStyle w:val="subsection"/>
        <w:numPr>
          <w:ilvl w:val="0"/>
          <w:numId w:val="28"/>
        </w:numPr>
        <w:spacing w:before="0"/>
        <w:ind w:hanging="357"/>
        <w:rPr>
          <w:rFonts w:ascii="Book Antiqua" w:hAnsi="Book Antiqua"/>
          <w:sz w:val="18"/>
          <w:szCs w:val="18"/>
        </w:rPr>
      </w:pPr>
      <w:r w:rsidRPr="00235D6E">
        <w:rPr>
          <w:rFonts w:ascii="Book Antiqua" w:hAnsi="Book Antiqua"/>
          <w:sz w:val="18"/>
          <w:szCs w:val="18"/>
        </w:rPr>
        <w:t>A person is reckless with respect to a circumstance if:</w:t>
      </w:r>
    </w:p>
    <w:p w:rsidR="00166554" w:rsidRPr="0047072E" w:rsidRDefault="00166554" w:rsidP="0047072E">
      <w:pPr>
        <w:pStyle w:val="subsection"/>
        <w:numPr>
          <w:ilvl w:val="1"/>
          <w:numId w:val="28"/>
        </w:numPr>
        <w:spacing w:before="0"/>
        <w:ind w:hanging="357"/>
        <w:rPr>
          <w:rFonts w:ascii="Book Antiqua" w:hAnsi="Book Antiqua"/>
          <w:sz w:val="18"/>
          <w:szCs w:val="18"/>
        </w:rPr>
      </w:pPr>
      <w:r w:rsidRPr="0047072E">
        <w:rPr>
          <w:rFonts w:ascii="Book Antiqua" w:hAnsi="Book Antiqua"/>
          <w:sz w:val="18"/>
          <w:szCs w:val="18"/>
        </w:rPr>
        <w:t>he or she is aware of a substantial risk that the circumstance exists or will exist; and</w:t>
      </w:r>
    </w:p>
    <w:p w:rsidR="00166554" w:rsidRDefault="00166554" w:rsidP="0047072E">
      <w:pPr>
        <w:pStyle w:val="subsection"/>
        <w:numPr>
          <w:ilvl w:val="1"/>
          <w:numId w:val="28"/>
        </w:numPr>
        <w:spacing w:before="0"/>
        <w:ind w:hanging="357"/>
        <w:rPr>
          <w:rFonts w:ascii="Book Antiqua" w:hAnsi="Book Antiqua"/>
          <w:sz w:val="18"/>
          <w:szCs w:val="18"/>
        </w:rPr>
      </w:pPr>
      <w:proofErr w:type="gramStart"/>
      <w:r w:rsidRPr="0047072E">
        <w:rPr>
          <w:rFonts w:ascii="Book Antiqua" w:hAnsi="Book Antiqua"/>
          <w:sz w:val="18"/>
          <w:szCs w:val="18"/>
        </w:rPr>
        <w:t>having</w:t>
      </w:r>
      <w:proofErr w:type="gramEnd"/>
      <w:r w:rsidRPr="0047072E">
        <w:rPr>
          <w:rFonts w:ascii="Book Antiqua" w:hAnsi="Book Antiqua"/>
          <w:sz w:val="18"/>
          <w:szCs w:val="18"/>
        </w:rPr>
        <w:t xml:space="preserve"> regard to the circumstances known to him or her, it is unjustifiable to take the risk.</w:t>
      </w:r>
    </w:p>
    <w:p w:rsidR="00166554" w:rsidRPr="0047072E" w:rsidRDefault="00166554" w:rsidP="0047072E">
      <w:pPr>
        <w:pStyle w:val="subsection"/>
        <w:numPr>
          <w:ilvl w:val="0"/>
          <w:numId w:val="28"/>
        </w:numPr>
        <w:spacing w:before="0"/>
        <w:ind w:hanging="357"/>
        <w:rPr>
          <w:rFonts w:ascii="Book Antiqua" w:hAnsi="Book Antiqua"/>
          <w:sz w:val="18"/>
          <w:szCs w:val="18"/>
        </w:rPr>
      </w:pPr>
      <w:r>
        <w:rPr>
          <w:rFonts w:ascii="Book Antiqua" w:hAnsi="Book Antiqua"/>
          <w:sz w:val="18"/>
          <w:szCs w:val="18"/>
        </w:rPr>
        <w:t xml:space="preserve"> </w:t>
      </w:r>
      <w:r w:rsidRPr="0047072E">
        <w:rPr>
          <w:rFonts w:ascii="Book Antiqua" w:hAnsi="Book Antiqua"/>
          <w:sz w:val="18"/>
          <w:szCs w:val="18"/>
        </w:rPr>
        <w:t>A person is reckless with respect to a result if:</w:t>
      </w:r>
    </w:p>
    <w:p w:rsidR="00166554" w:rsidRPr="0047072E" w:rsidRDefault="00166554" w:rsidP="0047072E">
      <w:pPr>
        <w:pStyle w:val="subsection"/>
        <w:numPr>
          <w:ilvl w:val="1"/>
          <w:numId w:val="28"/>
        </w:numPr>
        <w:spacing w:before="0"/>
        <w:ind w:hanging="357"/>
        <w:rPr>
          <w:rFonts w:ascii="Book Antiqua" w:hAnsi="Book Antiqua"/>
          <w:sz w:val="18"/>
          <w:szCs w:val="18"/>
        </w:rPr>
      </w:pPr>
      <w:r w:rsidRPr="0047072E">
        <w:rPr>
          <w:rFonts w:ascii="Book Antiqua" w:hAnsi="Book Antiqua"/>
          <w:sz w:val="18"/>
          <w:szCs w:val="18"/>
        </w:rPr>
        <w:t>he or she is aware of a substantial risk that the result will occur; and</w:t>
      </w:r>
    </w:p>
    <w:p w:rsidR="00166554" w:rsidRDefault="00166554" w:rsidP="0047072E">
      <w:pPr>
        <w:pStyle w:val="subsection"/>
        <w:numPr>
          <w:ilvl w:val="1"/>
          <w:numId w:val="28"/>
        </w:numPr>
        <w:spacing w:before="0"/>
        <w:ind w:hanging="357"/>
        <w:rPr>
          <w:rFonts w:ascii="Book Antiqua" w:hAnsi="Book Antiqua"/>
          <w:sz w:val="18"/>
          <w:szCs w:val="18"/>
        </w:rPr>
      </w:pPr>
      <w:proofErr w:type="gramStart"/>
      <w:r w:rsidRPr="0047072E">
        <w:rPr>
          <w:rFonts w:ascii="Book Antiqua" w:hAnsi="Book Antiqua"/>
          <w:sz w:val="18"/>
          <w:szCs w:val="18"/>
        </w:rPr>
        <w:t>having</w:t>
      </w:r>
      <w:proofErr w:type="gramEnd"/>
      <w:r w:rsidRPr="0047072E">
        <w:rPr>
          <w:rFonts w:ascii="Book Antiqua" w:hAnsi="Book Antiqua"/>
          <w:sz w:val="18"/>
          <w:szCs w:val="18"/>
        </w:rPr>
        <w:t xml:space="preserve"> regard to the circumstances known to him or her, it is unjustifiable to take the risk.</w:t>
      </w:r>
    </w:p>
    <w:p w:rsidR="00166554" w:rsidRDefault="00166554" w:rsidP="0047072E">
      <w:pPr>
        <w:pStyle w:val="subsection"/>
        <w:numPr>
          <w:ilvl w:val="0"/>
          <w:numId w:val="28"/>
        </w:numPr>
        <w:spacing w:before="0"/>
        <w:ind w:hanging="357"/>
        <w:rPr>
          <w:rFonts w:ascii="Book Antiqua" w:hAnsi="Book Antiqua"/>
          <w:sz w:val="18"/>
          <w:szCs w:val="18"/>
        </w:rPr>
      </w:pPr>
      <w:r w:rsidRPr="0047072E">
        <w:rPr>
          <w:rFonts w:ascii="Book Antiqua" w:hAnsi="Book Antiqua"/>
          <w:sz w:val="18"/>
          <w:szCs w:val="18"/>
        </w:rPr>
        <w:t>The question whether taking a risk is unjustifiable is one of fact.</w:t>
      </w:r>
    </w:p>
    <w:p w:rsidR="00166554" w:rsidRPr="0047072E" w:rsidRDefault="00166554" w:rsidP="0047072E">
      <w:pPr>
        <w:pStyle w:val="subsection"/>
        <w:numPr>
          <w:ilvl w:val="0"/>
          <w:numId w:val="28"/>
        </w:numPr>
        <w:spacing w:before="0"/>
        <w:ind w:hanging="357"/>
        <w:rPr>
          <w:rFonts w:ascii="Book Antiqua" w:hAnsi="Book Antiqua"/>
          <w:sz w:val="18"/>
          <w:szCs w:val="18"/>
        </w:rPr>
      </w:pPr>
      <w:r w:rsidRPr="0047072E">
        <w:rPr>
          <w:rFonts w:ascii="Book Antiqua" w:hAnsi="Book Antiqua"/>
          <w:sz w:val="18"/>
          <w:szCs w:val="18"/>
        </w:rPr>
        <w:t>If recklessness is a fault element for a physical element of an offence, proof of intention, knowledge   or recklessness will satisfy that fault element.</w:t>
      </w:r>
    </w:p>
  </w:footnote>
  <w:footnote w:id="33">
    <w:p w:rsidR="00166554" w:rsidRDefault="00166554" w:rsidP="00792FB9">
      <w:pPr>
        <w:pStyle w:val="FootnoteText"/>
        <w:spacing w:after="0" w:line="240" w:lineRule="auto"/>
        <w:ind w:left="142" w:hanging="142"/>
      </w:pPr>
      <w:r>
        <w:rPr>
          <w:rStyle w:val="FootnoteReference"/>
        </w:rPr>
        <w:footnoteRef/>
      </w:r>
      <w:r>
        <w:t xml:space="preserve"> As section </w:t>
      </w:r>
      <w:proofErr w:type="spellStart"/>
      <w:r>
        <w:t>596AC</w:t>
      </w:r>
      <w:proofErr w:type="spellEnd"/>
      <w:r>
        <w:t xml:space="preserve"> is not an offence provision, section 1332 of the Corporations Act applies such that “it is enough for a court to be satisfied of a breach of a provision on the balance of probabilities in proceedings other than for an offence” (per paragraph 25 of the explanatory memorandum to the Corporations Law Amendment (Employee Entitlements) Bill 2000).</w:t>
      </w:r>
    </w:p>
  </w:footnote>
  <w:footnote w:id="34">
    <w:p w:rsidR="00166554" w:rsidRPr="00AB5BBD" w:rsidRDefault="00166554" w:rsidP="00792FB9">
      <w:pPr>
        <w:pStyle w:val="FootnoteText"/>
        <w:spacing w:after="0" w:line="240" w:lineRule="auto"/>
        <w:ind w:left="142" w:hanging="142"/>
      </w:pPr>
      <w:r>
        <w:rPr>
          <w:rStyle w:val="FootnoteReference"/>
        </w:rPr>
        <w:footnoteRef/>
      </w:r>
      <w:r>
        <w:t xml:space="preserve"> Per paragraph 140(2</w:t>
      </w:r>
      <w:proofErr w:type="gramStart"/>
      <w:r>
        <w:t>)(</w:t>
      </w:r>
      <w:proofErr w:type="gramEnd"/>
      <w:r>
        <w:t xml:space="preserve">c) of the </w:t>
      </w:r>
      <w:r>
        <w:rPr>
          <w:i/>
        </w:rPr>
        <w:t xml:space="preserve">Evidence Act 1995 </w:t>
      </w:r>
      <w:r>
        <w:t>(</w:t>
      </w:r>
      <w:proofErr w:type="spellStart"/>
      <w:r>
        <w:t>Cth</w:t>
      </w:r>
      <w:proofErr w:type="spellEnd"/>
      <w:r>
        <w:t xml:space="preserve">). Also see Dixon J’s discussion in </w:t>
      </w:r>
      <w:proofErr w:type="spellStart"/>
      <w:r>
        <w:rPr>
          <w:i/>
        </w:rPr>
        <w:t>Briginshaw</w:t>
      </w:r>
      <w:proofErr w:type="spellEnd"/>
      <w:r>
        <w:rPr>
          <w:i/>
        </w:rPr>
        <w:t xml:space="preserve"> v </w:t>
      </w:r>
      <w:proofErr w:type="spellStart"/>
      <w:r>
        <w:rPr>
          <w:i/>
        </w:rPr>
        <w:t>Briginshaw</w:t>
      </w:r>
      <w:proofErr w:type="spellEnd"/>
      <w:r>
        <w:rPr>
          <w:i/>
        </w:rPr>
        <w:t xml:space="preserve"> </w:t>
      </w:r>
      <w:r>
        <w:t xml:space="preserve">(1938) 60 </w:t>
      </w:r>
      <w:proofErr w:type="spellStart"/>
      <w:r>
        <w:t>CLR</w:t>
      </w:r>
      <w:proofErr w:type="spellEnd"/>
      <w:r>
        <w:t xml:space="preserve"> 336 at 361-362 about considerations which courts may take into account when deciding if grave allegations have been proved on the balance of probabilities. </w:t>
      </w:r>
    </w:p>
  </w:footnote>
  <w:footnote w:id="35">
    <w:p w:rsidR="00166554" w:rsidRDefault="00166554" w:rsidP="00792FB9">
      <w:pPr>
        <w:pStyle w:val="FootnoteText"/>
        <w:spacing w:after="0" w:line="240" w:lineRule="auto"/>
        <w:ind w:left="142" w:hanging="142"/>
      </w:pPr>
      <w:r>
        <w:rPr>
          <w:rStyle w:val="FootnoteReference"/>
        </w:rPr>
        <w:footnoteRef/>
      </w:r>
      <w:r>
        <w:t xml:space="preserve"> For example see </w:t>
      </w:r>
      <w:r w:rsidRPr="001333F3">
        <w:rPr>
          <w:i/>
        </w:rPr>
        <w:t>Neat Holdings Pty Ltd v Karajan Holdings Pty Ltd</w:t>
      </w:r>
      <w:r w:rsidRPr="001333F3">
        <w:t xml:space="preserve"> [1992] HCA 66</w:t>
      </w:r>
      <w:r>
        <w:t>.</w:t>
      </w:r>
    </w:p>
  </w:footnote>
  <w:footnote w:id="36">
    <w:p w:rsidR="00166554" w:rsidRDefault="00166554" w:rsidP="00792FB9">
      <w:pPr>
        <w:pStyle w:val="FootnoteText"/>
        <w:spacing w:after="0" w:line="240" w:lineRule="auto"/>
        <w:ind w:left="142" w:hanging="142"/>
      </w:pPr>
      <w:r>
        <w:rPr>
          <w:rStyle w:val="FootnoteReference"/>
          <w:szCs w:val="18"/>
        </w:rPr>
        <w:footnoteRef/>
      </w:r>
      <w:r>
        <w:t xml:space="preserve"> </w:t>
      </w:r>
      <w:r>
        <w:rPr>
          <w:rFonts w:cs="TimesNewRoman"/>
          <w:szCs w:val="18"/>
        </w:rPr>
        <w:t xml:space="preserve">Australian Law Reform Commission, </w:t>
      </w:r>
      <w:r>
        <w:rPr>
          <w:rFonts w:cs="TimesNewRoman,Italic"/>
          <w:i/>
          <w:iCs/>
          <w:szCs w:val="18"/>
        </w:rPr>
        <w:t>Principled Regulation: Federal Civil and Administrative Penalties in Australia</w:t>
      </w:r>
      <w:r>
        <w:rPr>
          <w:rFonts w:cs="TimesNewRoman"/>
          <w:szCs w:val="18"/>
        </w:rPr>
        <w:t xml:space="preserve">, Report No 95 (2002) at page 72, </w:t>
      </w:r>
      <w:r>
        <w:rPr>
          <w:szCs w:val="18"/>
        </w:rPr>
        <w:t>[2.45].</w:t>
      </w:r>
    </w:p>
  </w:footnote>
  <w:footnote w:id="37">
    <w:p w:rsidR="00166554" w:rsidRDefault="00166554" w:rsidP="00792FB9">
      <w:pPr>
        <w:pStyle w:val="FootnoteText"/>
        <w:spacing w:after="0" w:line="240" w:lineRule="auto"/>
        <w:ind w:left="142" w:hanging="142"/>
      </w:pPr>
      <w:r>
        <w:rPr>
          <w:rStyle w:val="FootnoteReference"/>
          <w:szCs w:val="18"/>
        </w:rPr>
        <w:footnoteRef/>
      </w:r>
      <w:r>
        <w:t xml:space="preserve"> </w:t>
      </w:r>
      <w:r>
        <w:rPr>
          <w:rFonts w:cs="TimesNewRoman"/>
          <w:color w:val="auto"/>
          <w:szCs w:val="18"/>
        </w:rPr>
        <w:t xml:space="preserve">M </w:t>
      </w:r>
      <w:proofErr w:type="spellStart"/>
      <w:r>
        <w:rPr>
          <w:rFonts w:cs="TimesNewRoman"/>
          <w:color w:val="auto"/>
          <w:szCs w:val="18"/>
        </w:rPr>
        <w:t>Gillooly</w:t>
      </w:r>
      <w:proofErr w:type="spellEnd"/>
      <w:r>
        <w:rPr>
          <w:rFonts w:cs="TimesNewRoman"/>
          <w:color w:val="auto"/>
          <w:szCs w:val="18"/>
        </w:rPr>
        <w:t xml:space="preserve"> and N Wallace-Bruce, ‘Civil Penalties in Australian Legislation’ (1994) 13(2) </w:t>
      </w:r>
      <w:r>
        <w:rPr>
          <w:rFonts w:cs="TimesNewRoman,Italic"/>
          <w:i/>
          <w:iCs/>
          <w:color w:val="auto"/>
          <w:szCs w:val="18"/>
        </w:rPr>
        <w:t xml:space="preserve">University of Tasmania Law Review </w:t>
      </w:r>
      <w:r>
        <w:rPr>
          <w:rFonts w:cs="TimesNewRoman"/>
          <w:color w:val="auto"/>
          <w:szCs w:val="18"/>
        </w:rPr>
        <w:t>269, 269–270.</w:t>
      </w:r>
    </w:p>
  </w:footnote>
  <w:footnote w:id="38">
    <w:p w:rsidR="00166554" w:rsidRDefault="00166554" w:rsidP="00792FB9">
      <w:pPr>
        <w:pStyle w:val="FootnoteText"/>
        <w:spacing w:after="0" w:line="240" w:lineRule="auto"/>
        <w:ind w:left="142" w:hanging="142"/>
      </w:pPr>
      <w:r>
        <w:rPr>
          <w:rStyle w:val="FootnoteReference"/>
          <w:szCs w:val="18"/>
        </w:rPr>
        <w:footnoteRef/>
      </w:r>
      <w:r>
        <w:t xml:space="preserve"> </w:t>
      </w:r>
      <w:r>
        <w:rPr>
          <w:rFonts w:cs="TimesNewRoman"/>
          <w:szCs w:val="18"/>
        </w:rPr>
        <w:t xml:space="preserve">Australian Law Reform Commission, </w:t>
      </w:r>
      <w:r>
        <w:rPr>
          <w:rFonts w:cs="TimesNewRoman,Italic"/>
          <w:i/>
          <w:iCs/>
          <w:szCs w:val="18"/>
        </w:rPr>
        <w:t>Principled Regulation: Federal Civil and Administrative Penalties in Australia</w:t>
      </w:r>
      <w:r>
        <w:rPr>
          <w:rFonts w:cs="TimesNewRoman"/>
          <w:szCs w:val="18"/>
        </w:rPr>
        <w:t xml:space="preserve">, Report No 95 (2002) at page 73, </w:t>
      </w:r>
      <w:r>
        <w:rPr>
          <w:szCs w:val="18"/>
        </w:rPr>
        <w:t>[2.47].</w:t>
      </w:r>
    </w:p>
  </w:footnote>
  <w:footnote w:id="39">
    <w:p w:rsidR="00166554" w:rsidRDefault="00166554" w:rsidP="00792FB9">
      <w:pPr>
        <w:pStyle w:val="FootnoteText"/>
        <w:spacing w:after="0" w:line="240" w:lineRule="auto"/>
        <w:ind w:left="142" w:hanging="142"/>
      </w:pPr>
      <w:r>
        <w:rPr>
          <w:rStyle w:val="FootnoteReference"/>
          <w:szCs w:val="18"/>
        </w:rPr>
        <w:footnoteRef/>
      </w:r>
      <w:r>
        <w:t xml:space="preserve"> Subsection </w:t>
      </w:r>
      <w:proofErr w:type="spellStart"/>
      <w:proofErr w:type="gramStart"/>
      <w:r>
        <w:t>1317G</w:t>
      </w:r>
      <w:proofErr w:type="spellEnd"/>
      <w:r>
        <w:t>(</w:t>
      </w:r>
      <w:proofErr w:type="gramEnd"/>
      <w:r>
        <w:t>1) of the Corporations Act lists the provisions which are civil penalty provisions. Where there is breach of such a provision, a court may order a person to pay the Commonwealth a pecuniary penalty of up to $200,000 if:</w:t>
      </w:r>
    </w:p>
    <w:p w:rsidR="00166554" w:rsidRDefault="00166554" w:rsidP="007E2410">
      <w:pPr>
        <w:pStyle w:val="paragraph"/>
        <w:tabs>
          <w:tab w:val="clear" w:pos="1531"/>
          <w:tab w:val="left" w:pos="1418"/>
          <w:tab w:val="right" w:pos="1843"/>
        </w:tabs>
        <w:spacing w:before="0"/>
        <w:ind w:left="1134" w:hanging="283"/>
        <w:rPr>
          <w:rFonts w:ascii="Book Antiqua" w:hAnsi="Book Antiqua"/>
          <w:sz w:val="18"/>
          <w:szCs w:val="18"/>
        </w:rPr>
      </w:pPr>
      <w:r>
        <w:rPr>
          <w:rFonts w:ascii="Book Antiqua" w:hAnsi="Book Antiqua"/>
          <w:sz w:val="18"/>
          <w:szCs w:val="18"/>
        </w:rPr>
        <w:t>(a)</w:t>
      </w:r>
      <w:r>
        <w:rPr>
          <w:rFonts w:ascii="Book Antiqua" w:hAnsi="Book Antiqua"/>
          <w:sz w:val="18"/>
          <w:szCs w:val="18"/>
        </w:rPr>
        <w:tab/>
        <w:t>a declaration of contravention by the person has been made [by a court] under section </w:t>
      </w:r>
      <w:proofErr w:type="spellStart"/>
      <w:r>
        <w:rPr>
          <w:rFonts w:ascii="Book Antiqua" w:hAnsi="Book Antiqua"/>
          <w:sz w:val="18"/>
          <w:szCs w:val="18"/>
        </w:rPr>
        <w:t>1317E</w:t>
      </w:r>
      <w:proofErr w:type="spellEnd"/>
      <w:r>
        <w:rPr>
          <w:rFonts w:ascii="Book Antiqua" w:hAnsi="Book Antiqua"/>
          <w:sz w:val="18"/>
          <w:szCs w:val="18"/>
        </w:rPr>
        <w:t>; and</w:t>
      </w:r>
    </w:p>
    <w:p w:rsidR="00166554" w:rsidRDefault="00166554" w:rsidP="007E2410">
      <w:pPr>
        <w:pStyle w:val="paragraph"/>
        <w:tabs>
          <w:tab w:val="clear" w:pos="1531"/>
          <w:tab w:val="left" w:pos="851"/>
          <w:tab w:val="right" w:pos="1843"/>
        </w:tabs>
        <w:spacing w:before="0"/>
        <w:ind w:left="851" w:hanging="283"/>
        <w:rPr>
          <w:rFonts w:ascii="Book Antiqua" w:hAnsi="Book Antiqua"/>
          <w:sz w:val="18"/>
          <w:szCs w:val="18"/>
        </w:rPr>
      </w:pPr>
      <w:r>
        <w:rPr>
          <w:rFonts w:ascii="Book Antiqua" w:hAnsi="Book Antiqua"/>
          <w:sz w:val="18"/>
          <w:szCs w:val="18"/>
        </w:rPr>
        <w:tab/>
        <w:t xml:space="preserve">(aa) </w:t>
      </w:r>
      <w:r>
        <w:rPr>
          <w:rFonts w:ascii="Book Antiqua" w:hAnsi="Book Antiqua"/>
          <w:sz w:val="18"/>
          <w:szCs w:val="18"/>
        </w:rPr>
        <w:tab/>
        <w:t>the contravention is of a corporation/scheme civil penalty provision; and</w:t>
      </w:r>
    </w:p>
    <w:p w:rsidR="00166554" w:rsidRDefault="00166554" w:rsidP="007E2410">
      <w:pPr>
        <w:pStyle w:val="paragraph"/>
        <w:tabs>
          <w:tab w:val="left" w:pos="851"/>
          <w:tab w:val="left" w:pos="1134"/>
        </w:tabs>
        <w:spacing w:before="0"/>
        <w:ind w:left="709" w:firstLine="0"/>
        <w:rPr>
          <w:rFonts w:ascii="Book Antiqua" w:hAnsi="Book Antiqua"/>
          <w:sz w:val="18"/>
          <w:szCs w:val="18"/>
        </w:rPr>
      </w:pPr>
      <w:r>
        <w:rPr>
          <w:rFonts w:ascii="Book Antiqua" w:hAnsi="Book Antiqua"/>
          <w:sz w:val="18"/>
          <w:szCs w:val="18"/>
        </w:rPr>
        <w:tab/>
        <w:t>(b)</w:t>
      </w:r>
      <w:r>
        <w:rPr>
          <w:rFonts w:ascii="Book Antiqua" w:hAnsi="Book Antiqua"/>
          <w:sz w:val="18"/>
          <w:szCs w:val="18"/>
        </w:rPr>
        <w:tab/>
        <w:t>the contravention:</w:t>
      </w:r>
    </w:p>
    <w:p w:rsidR="00166554" w:rsidRDefault="00166554" w:rsidP="007E2410">
      <w:pPr>
        <w:pStyle w:val="paragraphsub"/>
        <w:tabs>
          <w:tab w:val="left" w:pos="1134"/>
          <w:tab w:val="right" w:pos="1276"/>
        </w:tabs>
        <w:spacing w:before="0"/>
        <w:ind w:left="1134" w:firstLine="0"/>
        <w:rPr>
          <w:rFonts w:ascii="Book Antiqua" w:hAnsi="Book Antiqua"/>
          <w:sz w:val="18"/>
          <w:szCs w:val="18"/>
        </w:rPr>
      </w:pPr>
      <w:r>
        <w:rPr>
          <w:rFonts w:ascii="Book Antiqua" w:hAnsi="Book Antiqua"/>
          <w:sz w:val="18"/>
          <w:szCs w:val="18"/>
        </w:rPr>
        <w:tab/>
        <w:t>(</w:t>
      </w:r>
      <w:proofErr w:type="spellStart"/>
      <w:r>
        <w:rPr>
          <w:rFonts w:ascii="Book Antiqua" w:hAnsi="Book Antiqua"/>
          <w:sz w:val="18"/>
          <w:szCs w:val="18"/>
        </w:rPr>
        <w:t>i</w:t>
      </w:r>
      <w:proofErr w:type="spellEnd"/>
      <w:r>
        <w:rPr>
          <w:rFonts w:ascii="Book Antiqua" w:hAnsi="Book Antiqua"/>
          <w:sz w:val="18"/>
          <w:szCs w:val="18"/>
        </w:rPr>
        <w:t xml:space="preserve">) </w:t>
      </w:r>
      <w:r>
        <w:rPr>
          <w:rFonts w:ascii="Book Antiqua" w:hAnsi="Book Antiqua"/>
          <w:sz w:val="18"/>
          <w:szCs w:val="18"/>
        </w:rPr>
        <w:tab/>
        <w:t>materially prejudices the interests of the corporation or scheme, or its members; or</w:t>
      </w:r>
    </w:p>
    <w:p w:rsidR="00166554" w:rsidRDefault="00166554" w:rsidP="007E2410">
      <w:pPr>
        <w:pStyle w:val="paragraphsub"/>
        <w:tabs>
          <w:tab w:val="left" w:pos="1134"/>
          <w:tab w:val="right" w:pos="1276"/>
        </w:tabs>
        <w:spacing w:before="0"/>
        <w:ind w:left="1134" w:firstLine="0"/>
        <w:rPr>
          <w:rFonts w:ascii="Book Antiqua" w:hAnsi="Book Antiqua"/>
          <w:sz w:val="18"/>
          <w:szCs w:val="18"/>
        </w:rPr>
      </w:pPr>
      <w:r>
        <w:rPr>
          <w:rFonts w:ascii="Book Antiqua" w:hAnsi="Book Antiqua"/>
          <w:sz w:val="18"/>
          <w:szCs w:val="18"/>
        </w:rPr>
        <w:tab/>
        <w:t>(ii)</w:t>
      </w:r>
      <w:r>
        <w:rPr>
          <w:rFonts w:ascii="Book Antiqua" w:hAnsi="Book Antiqua"/>
          <w:sz w:val="18"/>
          <w:szCs w:val="18"/>
        </w:rPr>
        <w:tab/>
        <w:t xml:space="preserve"> materially prejudices the corporation’s ability to pay its creditors; or</w:t>
      </w:r>
    </w:p>
    <w:p w:rsidR="00166554" w:rsidRDefault="00166554" w:rsidP="007E2410">
      <w:pPr>
        <w:pStyle w:val="paragraphsub"/>
        <w:tabs>
          <w:tab w:val="left" w:pos="1134"/>
          <w:tab w:val="right" w:pos="1276"/>
        </w:tabs>
        <w:spacing w:before="0"/>
        <w:ind w:left="1134" w:firstLine="0"/>
      </w:pPr>
      <w:r>
        <w:rPr>
          <w:rFonts w:ascii="Book Antiqua" w:hAnsi="Book Antiqua"/>
          <w:sz w:val="18"/>
          <w:szCs w:val="18"/>
        </w:rPr>
        <w:tab/>
        <w:t>(</w:t>
      </w:r>
      <w:proofErr w:type="gramStart"/>
      <w:r>
        <w:rPr>
          <w:rFonts w:ascii="Book Antiqua" w:hAnsi="Book Antiqua"/>
          <w:sz w:val="18"/>
          <w:szCs w:val="18"/>
        </w:rPr>
        <w:t>iii</w:t>
      </w:r>
      <w:proofErr w:type="gramEnd"/>
      <w:r>
        <w:rPr>
          <w:rFonts w:ascii="Book Antiqua" w:hAnsi="Book Antiqua"/>
          <w:sz w:val="18"/>
          <w:szCs w:val="18"/>
        </w:rPr>
        <w:t xml:space="preserve">) </w:t>
      </w:r>
      <w:r>
        <w:rPr>
          <w:rFonts w:ascii="Book Antiqua" w:hAnsi="Book Antiqua"/>
          <w:sz w:val="18"/>
          <w:szCs w:val="18"/>
        </w:rPr>
        <w:tab/>
        <w:t>is serious.</w:t>
      </w:r>
    </w:p>
  </w:footnote>
  <w:footnote w:id="40">
    <w:p w:rsidR="00166554" w:rsidRDefault="00166554" w:rsidP="00792FB9">
      <w:pPr>
        <w:pStyle w:val="FootnoteText"/>
        <w:spacing w:after="0" w:line="240" w:lineRule="auto"/>
        <w:ind w:left="142" w:hanging="142"/>
      </w:pPr>
      <w:r>
        <w:rPr>
          <w:rStyle w:val="FootnoteReference"/>
          <w:szCs w:val="18"/>
        </w:rPr>
        <w:footnoteRef/>
      </w:r>
      <w:r>
        <w:t xml:space="preserve"> </w:t>
      </w:r>
      <w:proofErr w:type="gramStart"/>
      <w:r>
        <w:t xml:space="preserve">Section </w:t>
      </w:r>
      <w:proofErr w:type="spellStart"/>
      <w:r>
        <w:t>206C</w:t>
      </w:r>
      <w:proofErr w:type="spellEnd"/>
      <w:r>
        <w:t xml:space="preserve"> of the Corporations Act.</w:t>
      </w:r>
      <w:proofErr w:type="gramEnd"/>
    </w:p>
  </w:footnote>
  <w:footnote w:id="41">
    <w:p w:rsidR="00166554" w:rsidRDefault="00166554" w:rsidP="00792FB9">
      <w:pPr>
        <w:pStyle w:val="FootnoteText"/>
        <w:spacing w:after="0" w:line="240" w:lineRule="auto"/>
        <w:ind w:left="142" w:hanging="142"/>
      </w:pPr>
      <w:r>
        <w:rPr>
          <w:rStyle w:val="FootnoteReference"/>
        </w:rPr>
        <w:footnoteRef/>
      </w:r>
      <w:r>
        <w:t xml:space="preserve"> A reasonable person is an ordinary and unremarkable but </w:t>
      </w:r>
      <w:r w:rsidRPr="0094521D">
        <w:t xml:space="preserve">reasonably educated and intelligent person, </w:t>
      </w:r>
      <w:r>
        <w:t>against whom t</w:t>
      </w:r>
      <w:r w:rsidRPr="0094521D">
        <w:t xml:space="preserve">he </w:t>
      </w:r>
      <w:r>
        <w:t xml:space="preserve">relevant </w:t>
      </w:r>
      <w:r w:rsidRPr="0094521D">
        <w:t xml:space="preserve">defendant's conduct </w:t>
      </w:r>
      <w:r>
        <w:t xml:space="preserve">is assessed. Classic examples of the concept are outlined in </w:t>
      </w:r>
      <w:proofErr w:type="spellStart"/>
      <w:r>
        <w:rPr>
          <w:i/>
        </w:rPr>
        <w:t>McQuire</w:t>
      </w:r>
      <w:proofErr w:type="spellEnd"/>
      <w:r>
        <w:rPr>
          <w:i/>
        </w:rPr>
        <w:t xml:space="preserve"> v Western Morning News </w:t>
      </w:r>
      <w:r>
        <w:t xml:space="preserve">[1903] 2 KB 100 (CA) at 109 (where Collins MR refers to a person on ‘the Clapham omnibus’) and </w:t>
      </w:r>
      <w:proofErr w:type="spellStart"/>
      <w:r w:rsidRPr="00EE022F">
        <w:rPr>
          <w:i/>
        </w:rPr>
        <w:t>Nomikos</w:t>
      </w:r>
      <w:proofErr w:type="spellEnd"/>
      <w:r w:rsidRPr="00EE022F">
        <w:rPr>
          <w:i/>
        </w:rPr>
        <w:t xml:space="preserve"> </w:t>
      </w:r>
      <w:proofErr w:type="spellStart"/>
      <w:r w:rsidRPr="00EE022F">
        <w:rPr>
          <w:i/>
        </w:rPr>
        <w:t>Papatonakis</w:t>
      </w:r>
      <w:proofErr w:type="spellEnd"/>
      <w:r w:rsidRPr="00EE022F">
        <w:rPr>
          <w:i/>
        </w:rPr>
        <w:t xml:space="preserve"> v Australian Telecommunications Commission </w:t>
      </w:r>
      <w:r w:rsidRPr="00EA4005">
        <w:t xml:space="preserve">(1985) 156 </w:t>
      </w:r>
      <w:proofErr w:type="spellStart"/>
      <w:r w:rsidRPr="00EA4005">
        <w:t>CLR</w:t>
      </w:r>
      <w:proofErr w:type="spellEnd"/>
      <w:r w:rsidRPr="00EA4005">
        <w:t xml:space="preserve"> 7 at 36</w:t>
      </w:r>
      <w:r>
        <w:t xml:space="preserve"> (where </w:t>
      </w:r>
      <w:r w:rsidRPr="00EA4005">
        <w:t>Deane J</w:t>
      </w:r>
      <w:r>
        <w:t xml:space="preserve"> refers to a person on the ‘Bondi tram’).</w:t>
      </w:r>
    </w:p>
  </w:footnote>
  <w:footnote w:id="42">
    <w:p w:rsidR="00166554" w:rsidRDefault="00166554" w:rsidP="00792FB9">
      <w:pPr>
        <w:pStyle w:val="FootnoteText"/>
        <w:spacing w:after="0" w:line="240" w:lineRule="auto"/>
        <w:ind w:left="142" w:hanging="142"/>
      </w:pPr>
      <w:r>
        <w:rPr>
          <w:rStyle w:val="FootnoteReference"/>
        </w:rPr>
        <w:footnoteRef/>
      </w:r>
      <w:r>
        <w:t xml:space="preserve"> Subsection </w:t>
      </w:r>
      <w:proofErr w:type="spellStart"/>
      <w:proofErr w:type="gramStart"/>
      <w:r>
        <w:t>596AC</w:t>
      </w:r>
      <w:proofErr w:type="spellEnd"/>
      <w:r>
        <w:t>(</w:t>
      </w:r>
      <w:proofErr w:type="gramEnd"/>
      <w:r>
        <w:t xml:space="preserve">2) of the Part specifies the liquidator’s right of recovery and subsection </w:t>
      </w:r>
      <w:proofErr w:type="spellStart"/>
      <w:r>
        <w:t>596AC</w:t>
      </w:r>
      <w:proofErr w:type="spellEnd"/>
      <w:r>
        <w:t xml:space="preserve">(3) of the Part outlines the employee’s right of recovery. </w:t>
      </w:r>
    </w:p>
  </w:footnote>
  <w:footnote w:id="43">
    <w:p w:rsidR="00166554" w:rsidRDefault="00166554" w:rsidP="00792FB9">
      <w:pPr>
        <w:pStyle w:val="FootnoteText"/>
        <w:spacing w:after="0"/>
        <w:ind w:left="142" w:hanging="142"/>
      </w:pPr>
      <w:r>
        <w:rPr>
          <w:rStyle w:val="FootnoteReference"/>
        </w:rPr>
        <w:footnoteRef/>
      </w:r>
      <w:r>
        <w:t xml:space="preserve"> See footnotes 29 and 30.</w:t>
      </w:r>
    </w:p>
  </w:footnote>
  <w:footnote w:id="44">
    <w:p w:rsidR="00166554" w:rsidRDefault="00166554" w:rsidP="00792FB9">
      <w:pPr>
        <w:pStyle w:val="FootnoteText"/>
        <w:spacing w:after="0" w:line="240" w:lineRule="auto"/>
        <w:ind w:left="142" w:hanging="142"/>
      </w:pPr>
      <w:r>
        <w:rPr>
          <w:rStyle w:val="FootnoteReference"/>
        </w:rPr>
        <w:footnoteRef/>
      </w:r>
      <w:r>
        <w:t xml:space="preserve"> The term ‘relevant agreement’ is defined in section 9 of the Corporations Act with the term having been interpreted by the courts broadly to include a significant range of arrangements and understandings: see for example, </w:t>
      </w:r>
      <w:r>
        <w:rPr>
          <w:i/>
        </w:rPr>
        <w:t xml:space="preserve">Re Cornwall Resource Corp NL </w:t>
      </w:r>
      <w:r>
        <w:t xml:space="preserve">(1997) 23 </w:t>
      </w:r>
      <w:proofErr w:type="spellStart"/>
      <w:r>
        <w:t>ACSR</w:t>
      </w:r>
      <w:proofErr w:type="spellEnd"/>
      <w:r>
        <w:t xml:space="preserve"> 571. </w:t>
      </w:r>
    </w:p>
  </w:footnote>
  <w:footnote w:id="45">
    <w:p w:rsidR="00166554" w:rsidRDefault="00166554" w:rsidP="00792FB9">
      <w:pPr>
        <w:pStyle w:val="FootnoteText"/>
        <w:spacing w:after="0" w:line="240" w:lineRule="auto"/>
        <w:ind w:left="142" w:hanging="142"/>
      </w:pPr>
      <w:r>
        <w:rPr>
          <w:rStyle w:val="FootnoteReference"/>
        </w:rPr>
        <w:footnoteRef/>
      </w:r>
      <w:r>
        <w:t xml:space="preserve"> Subsection </w:t>
      </w:r>
      <w:proofErr w:type="spellStart"/>
      <w:proofErr w:type="gramStart"/>
      <w:r>
        <w:t>596AB</w:t>
      </w:r>
      <w:proofErr w:type="spellEnd"/>
      <w:r>
        <w:t>(</w:t>
      </w:r>
      <w:proofErr w:type="gramEnd"/>
      <w:r>
        <w:t xml:space="preserve">3) of the Part further broadens the definition of ‘relevant agreement’ and ‘transaction’ for the Part’s purposes to include things such as a series or combinations of relevant agreements or transactions. </w:t>
      </w:r>
    </w:p>
  </w:footnote>
  <w:footnote w:id="46">
    <w:p w:rsidR="00166554" w:rsidRDefault="00166554" w:rsidP="00792FB9">
      <w:pPr>
        <w:pStyle w:val="FootnoteText"/>
        <w:spacing w:after="0" w:line="240" w:lineRule="auto"/>
        <w:ind w:left="142" w:hanging="142"/>
        <w:jc w:val="left"/>
      </w:pPr>
      <w:r>
        <w:rPr>
          <w:rStyle w:val="FootnoteReference"/>
        </w:rPr>
        <w:footnoteRef/>
      </w:r>
      <w:r>
        <w:t xml:space="preserve"> ‘Scheme’ is defined to mean:</w:t>
      </w:r>
    </w:p>
    <w:p w:rsidR="00166554" w:rsidRDefault="00166554" w:rsidP="009E0A1C">
      <w:pPr>
        <w:pStyle w:val="FootnoteText"/>
        <w:numPr>
          <w:ilvl w:val="0"/>
          <w:numId w:val="20"/>
        </w:numPr>
        <w:tabs>
          <w:tab w:val="clear" w:pos="284"/>
        </w:tabs>
        <w:spacing w:after="0" w:line="240" w:lineRule="auto"/>
        <w:jc w:val="left"/>
      </w:pPr>
      <w:r>
        <w:t xml:space="preserve">any agreement, arrangement, understanding, promise or undertaking, whether express or implied and whether or not enforceable, or intended to be enforceable, by legal proceedings; and </w:t>
      </w:r>
    </w:p>
    <w:p w:rsidR="00166554" w:rsidRDefault="00166554" w:rsidP="009E0A1C">
      <w:pPr>
        <w:pStyle w:val="FootnoteText"/>
        <w:numPr>
          <w:ilvl w:val="0"/>
          <w:numId w:val="20"/>
        </w:numPr>
        <w:tabs>
          <w:tab w:val="clear" w:pos="284"/>
        </w:tabs>
        <w:spacing w:after="0" w:line="240" w:lineRule="auto"/>
        <w:jc w:val="left"/>
      </w:pPr>
      <w:proofErr w:type="gramStart"/>
      <w:r>
        <w:t>any</w:t>
      </w:r>
      <w:proofErr w:type="gramEnd"/>
      <w:r>
        <w:t xml:space="preserve"> scheme, plan, proposal, action, course of action or course of conduct.</w:t>
      </w:r>
    </w:p>
  </w:footnote>
  <w:footnote w:id="47">
    <w:p w:rsidR="00166554" w:rsidRDefault="00166554" w:rsidP="00792FB9">
      <w:pPr>
        <w:pStyle w:val="FootnoteText"/>
        <w:spacing w:after="0" w:line="240" w:lineRule="auto"/>
        <w:ind w:left="142" w:hanging="142"/>
        <w:jc w:val="left"/>
      </w:pPr>
      <w:r>
        <w:rPr>
          <w:rStyle w:val="FootnoteReference"/>
        </w:rPr>
        <w:footnoteRef/>
      </w:r>
      <w:r>
        <w:t xml:space="preserve"> See </w:t>
      </w:r>
      <w:r w:rsidRPr="00F43A41">
        <w:t xml:space="preserve">Companies </w:t>
      </w:r>
      <w:r>
        <w:t>&amp; Securities Advisory Committee</w:t>
      </w:r>
      <w:r w:rsidRPr="002A3110">
        <w:rPr>
          <w:rFonts w:eastAsia="Calibri" w:cs="xf30"/>
          <w:color w:val="auto"/>
          <w:szCs w:val="18"/>
          <w:lang w:eastAsia="en-US"/>
        </w:rPr>
        <w:t xml:space="preserve">, </w:t>
      </w:r>
      <w:r w:rsidRPr="002A3110">
        <w:rPr>
          <w:rFonts w:eastAsia="Calibri" w:cs="xf31"/>
          <w:color w:val="auto"/>
          <w:szCs w:val="18"/>
          <w:lang w:eastAsia="en-US"/>
        </w:rPr>
        <w:t>Corporate Groups Final Report</w:t>
      </w:r>
      <w:r>
        <w:rPr>
          <w:rFonts w:eastAsia="Calibri" w:cs="xf30"/>
          <w:color w:val="auto"/>
          <w:szCs w:val="18"/>
          <w:lang w:eastAsia="en-US"/>
        </w:rPr>
        <w:t>, 2000</w:t>
      </w:r>
      <w:r w:rsidRPr="002A3110">
        <w:rPr>
          <w:rFonts w:eastAsia="Calibri" w:cs="xf30"/>
          <w:color w:val="auto"/>
          <w:szCs w:val="18"/>
          <w:lang w:eastAsia="en-US"/>
        </w:rPr>
        <w:t xml:space="preserve"> </w:t>
      </w:r>
      <w:r>
        <w:rPr>
          <w:rFonts w:eastAsia="Calibri" w:cs="xf30"/>
          <w:color w:val="auto"/>
          <w:szCs w:val="18"/>
          <w:lang w:eastAsia="en-US"/>
        </w:rPr>
        <w:t xml:space="preserve">at page </w:t>
      </w:r>
      <w:r w:rsidRPr="002A3110">
        <w:rPr>
          <w:rFonts w:eastAsia="Calibri" w:cs="xf30"/>
          <w:color w:val="auto"/>
          <w:szCs w:val="18"/>
          <w:lang w:eastAsia="en-US"/>
        </w:rPr>
        <w:t>2</w:t>
      </w:r>
      <w:r>
        <w:rPr>
          <w:rFonts w:eastAsia="Calibri" w:cs="xf30"/>
          <w:color w:val="auto"/>
          <w:szCs w:val="18"/>
          <w:lang w:eastAsia="en-US"/>
        </w:rPr>
        <w:t>,</w:t>
      </w:r>
      <w:r w:rsidRPr="002A3110">
        <w:rPr>
          <w:rFonts w:eastAsia="Calibri" w:cs="xf30"/>
          <w:color w:val="auto"/>
          <w:szCs w:val="18"/>
          <w:lang w:eastAsia="en-US"/>
        </w:rPr>
        <w:t xml:space="preserve"> [1.3]</w:t>
      </w:r>
      <w:r>
        <w:rPr>
          <w:rFonts w:eastAsia="Calibri" w:cs="xf30"/>
          <w:color w:val="auto"/>
          <w:szCs w:val="18"/>
          <w:lang w:eastAsia="en-US"/>
        </w:rPr>
        <w:t xml:space="preserve"> (</w:t>
      </w:r>
      <w:hyperlink r:id="rId8" w:history="1">
        <w:r w:rsidRPr="002A3110">
          <w:rPr>
            <w:rFonts w:eastAsia="Calibri" w:cs="xf30"/>
            <w:color w:val="0000FF"/>
            <w:szCs w:val="18"/>
            <w:u w:val="single"/>
            <w:lang w:eastAsia="en-US"/>
          </w:rPr>
          <w:t>http://www.camac.gov.au/camac/camac.nsf/byHeadline/PDFFinal+Reports+2000/$file/Corporate_Groups,_May_2000.pdf</w:t>
        </w:r>
      </w:hyperlink>
      <w:r>
        <w:rPr>
          <w:rFonts w:eastAsia="Calibri" w:cs="xf30"/>
          <w:color w:val="auto"/>
          <w:szCs w:val="18"/>
          <w:lang w:eastAsia="en-US"/>
        </w:rPr>
        <w:t>).</w:t>
      </w:r>
    </w:p>
  </w:footnote>
  <w:footnote w:id="48">
    <w:p w:rsidR="00166554" w:rsidRDefault="00166554" w:rsidP="00792FB9">
      <w:pPr>
        <w:pStyle w:val="FootnoteText"/>
        <w:spacing w:after="0" w:line="240" w:lineRule="auto"/>
        <w:ind w:left="142" w:hanging="142"/>
      </w:pPr>
      <w:r>
        <w:rPr>
          <w:rStyle w:val="FootnoteReference"/>
        </w:rPr>
        <w:footnoteRef/>
      </w:r>
      <w:r>
        <w:t xml:space="preserve"> Holding companies can be liable for the insolvent trading of subsidiaries under section </w:t>
      </w:r>
      <w:proofErr w:type="spellStart"/>
      <w:r>
        <w:t>588V</w:t>
      </w:r>
      <w:proofErr w:type="spellEnd"/>
      <w:r>
        <w:t xml:space="preserve"> of the Corporations Act. A range of provisions are also available to liquidators to void uncommercial transactions.  Further, compensation orders may be sought against entities that are accessories to a breach of duties owed to the employing entity.</w:t>
      </w:r>
    </w:p>
  </w:footnote>
  <w:footnote w:id="49">
    <w:p w:rsidR="00166554" w:rsidRDefault="00166554" w:rsidP="00792FB9">
      <w:pPr>
        <w:pStyle w:val="FootnoteText"/>
        <w:spacing w:after="0" w:line="240" w:lineRule="auto"/>
        <w:ind w:left="142" w:hanging="142"/>
      </w:pPr>
      <w:r>
        <w:rPr>
          <w:rStyle w:val="FootnoteReference"/>
        </w:rPr>
        <w:footnoteRef/>
      </w:r>
      <w:r>
        <w:t xml:space="preserve"> Sections 271, </w:t>
      </w:r>
      <w:proofErr w:type="spellStart"/>
      <w:r>
        <w:t>271A</w:t>
      </w:r>
      <w:proofErr w:type="spellEnd"/>
      <w:r>
        <w:t xml:space="preserve"> and 272 of the </w:t>
      </w:r>
      <w:r>
        <w:rPr>
          <w:i/>
        </w:rPr>
        <w:t xml:space="preserve">Companies Act 1993 </w:t>
      </w:r>
      <w:r>
        <w:t>(NZ).</w:t>
      </w:r>
    </w:p>
  </w:footnote>
  <w:footnote w:id="50">
    <w:p w:rsidR="00166554" w:rsidRDefault="00166554" w:rsidP="00792FB9">
      <w:pPr>
        <w:pStyle w:val="FootnoteText"/>
        <w:spacing w:after="0" w:line="240" w:lineRule="auto"/>
        <w:ind w:left="142" w:hanging="142"/>
        <w:jc w:val="left"/>
      </w:pPr>
      <w:r>
        <w:rPr>
          <w:rStyle w:val="FootnoteReference"/>
        </w:rPr>
        <w:footnoteRef/>
      </w:r>
      <w:r>
        <w:t xml:space="preserve"> </w:t>
      </w:r>
      <w:proofErr w:type="gramStart"/>
      <w:r>
        <w:t>S</w:t>
      </w:r>
      <w:r w:rsidRPr="0038773C">
        <w:rPr>
          <w:rFonts w:cstheme="minorHAnsi"/>
          <w:szCs w:val="18"/>
        </w:rPr>
        <w:t xml:space="preserve">ection 599 of the </w:t>
      </w:r>
      <w:r w:rsidRPr="00CF4E8B">
        <w:rPr>
          <w:rFonts w:cstheme="minorHAnsi"/>
          <w:szCs w:val="18"/>
        </w:rPr>
        <w:t>Companies Act 2014</w:t>
      </w:r>
      <w:r w:rsidRPr="0038773C">
        <w:rPr>
          <w:rFonts w:cstheme="minorHAnsi"/>
          <w:szCs w:val="18"/>
        </w:rPr>
        <w:t xml:space="preserve"> (</w:t>
      </w:r>
      <w:proofErr w:type="spellStart"/>
      <w:r w:rsidRPr="0038773C">
        <w:rPr>
          <w:rFonts w:cstheme="minorHAnsi"/>
          <w:szCs w:val="18"/>
        </w:rPr>
        <w:t>I</w:t>
      </w:r>
      <w:r>
        <w:rPr>
          <w:rFonts w:cstheme="minorHAnsi"/>
          <w:szCs w:val="18"/>
        </w:rPr>
        <w:t>rl</w:t>
      </w:r>
      <w:proofErr w:type="spellEnd"/>
      <w:r w:rsidRPr="0038773C">
        <w:rPr>
          <w:rFonts w:cstheme="minorHAnsi"/>
          <w:szCs w:val="18"/>
        </w:rPr>
        <w:t>)</w:t>
      </w:r>
      <w:r>
        <w:rPr>
          <w:rFonts w:cstheme="minorHAnsi"/>
          <w:szCs w:val="18"/>
        </w:rPr>
        <w:t>.</w:t>
      </w:r>
      <w:proofErr w:type="gramEnd"/>
      <w:r>
        <w:rPr>
          <w:rFonts w:cstheme="minorHAnsi"/>
          <w:szCs w:val="18"/>
        </w:rPr>
        <w:t xml:space="preserve"> See </w:t>
      </w:r>
      <w:hyperlink r:id="rId9" w:history="1">
        <w:r w:rsidRPr="0038773C">
          <w:rPr>
            <w:rFonts w:eastAsia="Calibri" w:cstheme="minorHAnsi"/>
            <w:color w:val="0000FF"/>
            <w:szCs w:val="18"/>
            <w:u w:val="single"/>
            <w:lang w:eastAsia="en-US"/>
          </w:rPr>
          <w:t>http://www.irishstatutebook.ie/eli/2014/act/38/enacted/en/print</w:t>
        </w:r>
      </w:hyperlink>
      <w:r w:rsidRPr="0038773C">
        <w:rPr>
          <w:rFonts w:cstheme="minorHAnsi"/>
          <w:szCs w:val="18"/>
        </w:rPr>
        <w:t>.</w:t>
      </w:r>
    </w:p>
  </w:footnote>
  <w:footnote w:id="51">
    <w:p w:rsidR="00166554" w:rsidRDefault="00166554" w:rsidP="00792FB9">
      <w:pPr>
        <w:pStyle w:val="FootnoteText"/>
        <w:spacing w:after="0" w:line="240" w:lineRule="auto"/>
        <w:ind w:left="142" w:hanging="142"/>
      </w:pPr>
      <w:r>
        <w:rPr>
          <w:rStyle w:val="FootnoteReference"/>
        </w:rPr>
        <w:footnoteRef/>
      </w:r>
      <w:r>
        <w:t xml:space="preserve"> Section 272 of the </w:t>
      </w:r>
      <w:r>
        <w:rPr>
          <w:i/>
        </w:rPr>
        <w:t xml:space="preserve">Companies Act 1993 </w:t>
      </w:r>
      <w:r>
        <w:t xml:space="preserve">(NZ) and subsection 599(4) of the </w:t>
      </w:r>
      <w:r w:rsidRPr="00CF4E8B">
        <w:t>Companies Act 2014</w:t>
      </w:r>
      <w:r>
        <w:t xml:space="preserve"> (</w:t>
      </w:r>
      <w:proofErr w:type="spellStart"/>
      <w:r>
        <w:t>Irl</w:t>
      </w:r>
      <w:proofErr w:type="spellEnd"/>
      <w:r>
        <w:t>).</w:t>
      </w:r>
    </w:p>
  </w:footnote>
  <w:footnote w:id="52">
    <w:p w:rsidR="00166554" w:rsidRDefault="00166554" w:rsidP="00792FB9">
      <w:pPr>
        <w:pStyle w:val="FootnoteText"/>
        <w:spacing w:after="0" w:line="240" w:lineRule="auto"/>
        <w:ind w:left="142" w:hanging="142"/>
        <w:jc w:val="left"/>
      </w:pPr>
      <w:r>
        <w:rPr>
          <w:rStyle w:val="FootnoteReference"/>
        </w:rPr>
        <w:footnoteRef/>
      </w:r>
      <w:r>
        <w:t xml:space="preserve"> Paragraphs 272(1</w:t>
      </w:r>
      <w:proofErr w:type="gramStart"/>
      <w:r>
        <w:t>)(</w:t>
      </w:r>
      <w:proofErr w:type="gramEnd"/>
      <w:r>
        <w:t xml:space="preserve">a) to (d) of the </w:t>
      </w:r>
      <w:r>
        <w:rPr>
          <w:i/>
        </w:rPr>
        <w:t xml:space="preserve">Companies Act 1993 </w:t>
      </w:r>
      <w:r>
        <w:t xml:space="preserve">(NZ); </w:t>
      </w:r>
      <w:r>
        <w:rPr>
          <w:i/>
        </w:rPr>
        <w:t xml:space="preserve">Re </w:t>
      </w:r>
      <w:proofErr w:type="spellStart"/>
      <w:r>
        <w:rPr>
          <w:i/>
        </w:rPr>
        <w:t>Dalhoff</w:t>
      </w:r>
      <w:proofErr w:type="spellEnd"/>
      <w:r>
        <w:rPr>
          <w:i/>
        </w:rPr>
        <w:t xml:space="preserve"> &amp; King </w:t>
      </w:r>
      <w:r>
        <w:t xml:space="preserve">(1991) 5 </w:t>
      </w:r>
      <w:proofErr w:type="spellStart"/>
      <w:r>
        <w:t>NZCLC</w:t>
      </w:r>
      <w:proofErr w:type="spellEnd"/>
      <w:r>
        <w:t xml:space="preserve"> 66,959; </w:t>
      </w:r>
      <w:r>
        <w:rPr>
          <w:i/>
        </w:rPr>
        <w:t xml:space="preserve">Lewis Holding Limited v Steel &amp; Tube Holdings Limited </w:t>
      </w:r>
      <w:r>
        <w:t xml:space="preserve">[2014] </w:t>
      </w:r>
      <w:proofErr w:type="spellStart"/>
      <w:r>
        <w:t>NZHC</w:t>
      </w:r>
      <w:proofErr w:type="spellEnd"/>
      <w:r>
        <w:t xml:space="preserve"> 3311.</w:t>
      </w:r>
    </w:p>
  </w:footnote>
  <w:footnote w:id="53">
    <w:p w:rsidR="00166554" w:rsidRPr="005831B5" w:rsidRDefault="00166554" w:rsidP="00792FB9">
      <w:pPr>
        <w:pStyle w:val="FootnoteText"/>
        <w:spacing w:after="0" w:line="240" w:lineRule="auto"/>
        <w:ind w:left="142" w:hanging="142"/>
      </w:pPr>
      <w:r>
        <w:rPr>
          <w:rStyle w:val="FootnoteReference"/>
        </w:rPr>
        <w:footnoteRef/>
      </w:r>
      <w:r>
        <w:t xml:space="preserve"> </w:t>
      </w:r>
      <w:proofErr w:type="gramStart"/>
      <w:r>
        <w:t xml:space="preserve">See former sections </w:t>
      </w:r>
      <w:proofErr w:type="spellStart"/>
      <w:r>
        <w:t>315A</w:t>
      </w:r>
      <w:proofErr w:type="spellEnd"/>
      <w:r>
        <w:t xml:space="preserve">, </w:t>
      </w:r>
      <w:proofErr w:type="spellStart"/>
      <w:r>
        <w:t>315B</w:t>
      </w:r>
      <w:proofErr w:type="spellEnd"/>
      <w:r>
        <w:t xml:space="preserve"> and </w:t>
      </w:r>
      <w:proofErr w:type="spellStart"/>
      <w:r>
        <w:t>315C</w:t>
      </w:r>
      <w:proofErr w:type="spellEnd"/>
      <w:r>
        <w:t xml:space="preserve"> of the </w:t>
      </w:r>
      <w:r>
        <w:rPr>
          <w:i/>
        </w:rPr>
        <w:t xml:space="preserve">Companies Act 1955 </w:t>
      </w:r>
      <w:r>
        <w:t>(NZ).</w:t>
      </w:r>
      <w:proofErr w:type="gramEnd"/>
      <w:r>
        <w:t xml:space="preserve"> These provisions were re-enacted in the </w:t>
      </w:r>
      <w:r>
        <w:rPr>
          <w:i/>
        </w:rPr>
        <w:t xml:space="preserve">Companies Act 1993 </w:t>
      </w:r>
      <w:r>
        <w:t xml:space="preserve">(NZ) as sections 271, </w:t>
      </w:r>
      <w:proofErr w:type="spellStart"/>
      <w:r>
        <w:t>271A</w:t>
      </w:r>
      <w:proofErr w:type="spellEnd"/>
      <w:r>
        <w:t xml:space="preserve"> and 272.</w:t>
      </w:r>
    </w:p>
  </w:footnote>
  <w:footnote w:id="54">
    <w:p w:rsidR="00166554" w:rsidRPr="0085553B" w:rsidRDefault="00166554" w:rsidP="00792FB9">
      <w:pPr>
        <w:pStyle w:val="FootnoteText"/>
        <w:spacing w:after="0" w:line="240" w:lineRule="auto"/>
        <w:ind w:left="142" w:hanging="142"/>
      </w:pPr>
      <w:r>
        <w:rPr>
          <w:rStyle w:val="FootnoteReference"/>
        </w:rPr>
        <w:footnoteRef/>
      </w:r>
      <w:r>
        <w:t xml:space="preserve"> </w:t>
      </w:r>
      <w:proofErr w:type="gramStart"/>
      <w:r>
        <w:t xml:space="preserve">See former section 140 of the </w:t>
      </w:r>
      <w:r w:rsidRPr="00894497">
        <w:t>Companies Act 1990</w:t>
      </w:r>
      <w:r>
        <w:rPr>
          <w:i/>
        </w:rPr>
        <w:t xml:space="preserve"> </w:t>
      </w:r>
      <w:r>
        <w:t>(</w:t>
      </w:r>
      <w:proofErr w:type="spellStart"/>
      <w:r>
        <w:t>Irl</w:t>
      </w:r>
      <w:proofErr w:type="spellEnd"/>
      <w:r>
        <w:t>) which began operation on 1 August 1991.</w:t>
      </w:r>
      <w:proofErr w:type="gramEnd"/>
      <w:r>
        <w:t xml:space="preserve">  The provision was re-enacted as section 599 of the Companies Act</w:t>
      </w:r>
      <w:r w:rsidRPr="00CF4E8B">
        <w:t xml:space="preserve"> 2014</w:t>
      </w:r>
      <w:r>
        <w:rPr>
          <w:i/>
        </w:rPr>
        <w:t xml:space="preserve"> </w:t>
      </w:r>
      <w:r>
        <w:t>(</w:t>
      </w:r>
      <w:proofErr w:type="spellStart"/>
      <w:r>
        <w:t>Irl</w:t>
      </w:r>
      <w:proofErr w:type="spellEnd"/>
      <w:r>
        <w:t>).</w:t>
      </w:r>
    </w:p>
  </w:footnote>
  <w:footnote w:id="55">
    <w:p w:rsidR="00166554" w:rsidRPr="00D37B66" w:rsidRDefault="00166554" w:rsidP="00792FB9">
      <w:pPr>
        <w:pStyle w:val="FootnoteText"/>
        <w:spacing w:after="0" w:line="240" w:lineRule="auto"/>
        <w:ind w:left="142" w:hanging="142"/>
      </w:pPr>
      <w:r>
        <w:rPr>
          <w:rStyle w:val="FootnoteReference"/>
        </w:rPr>
        <w:footnoteRef/>
      </w:r>
      <w:r>
        <w:t xml:space="preserve"> </w:t>
      </w:r>
      <w:proofErr w:type="gramStart"/>
      <w:r>
        <w:rPr>
          <w:i/>
        </w:rPr>
        <w:t xml:space="preserve">Steel &amp; Tube Holdings Limited v Lewis Holdings Limited </w:t>
      </w:r>
      <w:r>
        <w:t xml:space="preserve">[2016] </w:t>
      </w:r>
      <w:proofErr w:type="spellStart"/>
      <w:r>
        <w:t>NZCA</w:t>
      </w:r>
      <w:proofErr w:type="spellEnd"/>
      <w:r>
        <w:t xml:space="preserve"> 366.</w:t>
      </w:r>
      <w:proofErr w:type="gramEnd"/>
    </w:p>
  </w:footnote>
  <w:footnote w:id="56">
    <w:p w:rsidR="00166554" w:rsidRDefault="00166554" w:rsidP="00792FB9">
      <w:pPr>
        <w:pStyle w:val="FootnoteText"/>
        <w:spacing w:after="0" w:line="240" w:lineRule="auto"/>
        <w:ind w:left="142" w:hanging="142"/>
      </w:pPr>
      <w:r>
        <w:rPr>
          <w:rStyle w:val="FootnoteReference"/>
          <w:szCs w:val="18"/>
        </w:rPr>
        <w:footnoteRef/>
      </w:r>
      <w:r>
        <w:t xml:space="preserve"> See subsection </w:t>
      </w:r>
      <w:proofErr w:type="spellStart"/>
      <w:proofErr w:type="gramStart"/>
      <w:r>
        <w:t>206F</w:t>
      </w:r>
      <w:proofErr w:type="spellEnd"/>
      <w:r>
        <w:t>(</w:t>
      </w:r>
      <w:proofErr w:type="gramEnd"/>
      <w:r>
        <w:t xml:space="preserve">2) of the Corporations Act which states that </w:t>
      </w:r>
      <w:proofErr w:type="spellStart"/>
      <w:r>
        <w:t>ASIC</w:t>
      </w:r>
      <w:proofErr w:type="spellEnd"/>
      <w:r>
        <w:t xml:space="preserve"> must have regard for whether any of the corporations were related to one another; and may have regard to the person’s conduct in relation to the management, business or property of any corporation; and whether the disqualification would be in the public interest; and any other matters that </w:t>
      </w:r>
      <w:proofErr w:type="spellStart"/>
      <w:r>
        <w:t>ASIC</w:t>
      </w:r>
      <w:proofErr w:type="spellEnd"/>
      <w:r>
        <w:t xml:space="preserve"> considers appropriate. </w:t>
      </w:r>
    </w:p>
  </w:footnote>
  <w:footnote w:id="57">
    <w:p w:rsidR="00166554" w:rsidRDefault="00166554" w:rsidP="00792FB9">
      <w:pPr>
        <w:pStyle w:val="FootnoteText"/>
        <w:spacing w:after="0" w:line="240" w:lineRule="auto"/>
        <w:ind w:left="142" w:hanging="142"/>
      </w:pPr>
      <w:r>
        <w:rPr>
          <w:rStyle w:val="FootnoteReference"/>
          <w:szCs w:val="18"/>
        </w:rPr>
        <w:footnoteRef/>
      </w:r>
      <w:r>
        <w:t xml:space="preserve"> Under this section, the court must be satisfied that the manner in which the corporation was managed was wholly or partly responsible for the corporation failing and that the disqualification is justified. </w:t>
      </w:r>
    </w:p>
  </w:footnote>
  <w:footnote w:id="58">
    <w:p w:rsidR="00166554" w:rsidRDefault="00166554" w:rsidP="00792FB9">
      <w:pPr>
        <w:pStyle w:val="FootnoteText"/>
        <w:spacing w:after="0" w:line="240" w:lineRule="auto"/>
        <w:ind w:left="142" w:hanging="142"/>
      </w:pPr>
      <w:r>
        <w:rPr>
          <w:rStyle w:val="FootnoteReference"/>
        </w:rPr>
        <w:footnoteRef/>
      </w:r>
      <w:r>
        <w:t xml:space="preserve"> A recent decision of the New South Wales Supreme Court held that liabilities of a trustee managed company were incurred in the course of acting as a trustee, and so the trustee was entitled to be indemnified from the trust assets of the company. Due to this, the order of priorities under section 556 of the Corporations Act did not apply in respect of trust assets (</w:t>
      </w:r>
      <w:r w:rsidRPr="00A00711">
        <w:rPr>
          <w:i/>
        </w:rPr>
        <w:t>Independent Contractor Services (</w:t>
      </w:r>
      <w:proofErr w:type="spellStart"/>
      <w:r w:rsidRPr="00A00711">
        <w:rPr>
          <w:i/>
        </w:rPr>
        <w:t>Aust</w:t>
      </w:r>
      <w:proofErr w:type="spellEnd"/>
      <w:r w:rsidRPr="00A00711">
        <w:rPr>
          <w:i/>
        </w:rPr>
        <w:t xml:space="preserve">) Pty Limited </w:t>
      </w:r>
      <w:proofErr w:type="spellStart"/>
      <w:r w:rsidRPr="00A00711">
        <w:rPr>
          <w:i/>
        </w:rPr>
        <w:t>ACN</w:t>
      </w:r>
      <w:proofErr w:type="spellEnd"/>
      <w:r w:rsidRPr="00A00711">
        <w:rPr>
          <w:i/>
        </w:rPr>
        <w:t xml:space="preserve"> 119 186 971 (in liquidation) (No 2</w:t>
      </w:r>
      <w:r>
        <w:t xml:space="preserve">) [2016] </w:t>
      </w:r>
      <w:proofErr w:type="spellStart"/>
      <w:r>
        <w:t>NSWSC</w:t>
      </w:r>
      <w:proofErr w:type="spellEnd"/>
      <w:r>
        <w:t xml:space="preserve"> 106). In contrast to this, the Victorian Supreme Court made a determination that trust assets were property that belong to the trustee managed company, and that accordingly, they be dealt with pursuant to the priorities in section 556 (</w:t>
      </w:r>
      <w:r w:rsidRPr="00A00711">
        <w:rPr>
          <w:i/>
        </w:rPr>
        <w:t xml:space="preserve">Re </w:t>
      </w:r>
      <w:proofErr w:type="spellStart"/>
      <w:r w:rsidRPr="00A00711">
        <w:rPr>
          <w:i/>
        </w:rPr>
        <w:t>Pharmore</w:t>
      </w:r>
      <w:proofErr w:type="spellEnd"/>
      <w:r w:rsidRPr="00A00711">
        <w:rPr>
          <w:i/>
        </w:rPr>
        <w:t xml:space="preserve"> </w:t>
      </w:r>
      <w:r>
        <w:t xml:space="preserve">[2016] </w:t>
      </w:r>
      <w:proofErr w:type="spellStart"/>
      <w:r>
        <w:t>VSC</w:t>
      </w:r>
      <w:proofErr w:type="spellEnd"/>
      <w:r>
        <w:t xml:space="preserve">). In </w:t>
      </w:r>
      <w:r w:rsidRPr="00A00711">
        <w:rPr>
          <w:i/>
        </w:rPr>
        <w:t xml:space="preserve">Re Amerind Pty Ltd (receivers and managers </w:t>
      </w:r>
      <w:proofErr w:type="spellStart"/>
      <w:r w:rsidRPr="00A00711">
        <w:rPr>
          <w:i/>
        </w:rPr>
        <w:t>apptd</w:t>
      </w:r>
      <w:proofErr w:type="spellEnd"/>
      <w:r w:rsidRPr="00A00711">
        <w:rPr>
          <w:i/>
        </w:rPr>
        <w:t xml:space="preserve">) (in </w:t>
      </w:r>
      <w:proofErr w:type="spellStart"/>
      <w:r w:rsidRPr="00A00711">
        <w:rPr>
          <w:i/>
        </w:rPr>
        <w:t>liq</w:t>
      </w:r>
      <w:proofErr w:type="spellEnd"/>
      <w:r w:rsidRPr="00A00711">
        <w:rPr>
          <w:i/>
        </w:rPr>
        <w:t>)</w:t>
      </w:r>
      <w:r>
        <w:t xml:space="preserve"> [2016] </w:t>
      </w:r>
      <w:proofErr w:type="spellStart"/>
      <w:r>
        <w:t>VSC</w:t>
      </w:r>
      <w:proofErr w:type="spellEnd"/>
      <w:r>
        <w:t xml:space="preserve"> 127, Robson J of the Victorian Supreme Court followed the decision in </w:t>
      </w:r>
      <w:r w:rsidRPr="00A00711">
        <w:rPr>
          <w:i/>
        </w:rPr>
        <w:t>Independent Contractor Services</w:t>
      </w:r>
      <w:r>
        <w:t xml:space="preserve"> and held that section 433 did not apply.</w:t>
      </w:r>
    </w:p>
  </w:footnote>
  <w:footnote w:id="59">
    <w:p w:rsidR="00166554" w:rsidRDefault="00166554" w:rsidP="00792FB9">
      <w:pPr>
        <w:pStyle w:val="FootnoteText"/>
        <w:spacing w:after="0" w:line="240" w:lineRule="auto"/>
        <w:ind w:left="142" w:hanging="142"/>
      </w:pPr>
      <w:r>
        <w:rPr>
          <w:rStyle w:val="FootnoteReference"/>
        </w:rPr>
        <w:footnoteRef/>
      </w:r>
      <w:r>
        <w:t xml:space="preserve"> G</w:t>
      </w:r>
      <w:r w:rsidRPr="00A846D8">
        <w:t xml:space="preserve">eneral costs </w:t>
      </w:r>
      <w:r>
        <w:t xml:space="preserve">refers </w:t>
      </w:r>
      <w:r w:rsidRPr="00A846D8">
        <w:t xml:space="preserve">to costs other than </w:t>
      </w:r>
      <w:r>
        <w:t xml:space="preserve">those </w:t>
      </w:r>
      <w:r w:rsidRPr="00A846D8">
        <w:t>incurred associated with the realisation of the relevant assets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554" w:rsidRDefault="00166554">
    <w:pPr>
      <w:pStyle w:val="SecurityClassificationHeader"/>
    </w:pPr>
    <w:r>
      <w:fldChar w:fldCharType="begin"/>
    </w:r>
    <w:r>
      <w:instrText xml:space="preserve"> DOCPROPERTY SecurityClassification \* MERGEFORMAT </w:instrText>
    </w:r>
    <w:r>
      <w:fldChar w:fldCharType="separate"/>
    </w:r>
    <w:r w:rsidR="00B30057">
      <w:rPr>
        <w:b w:val="0"/>
        <w:bCs/>
        <w:lang w:val="en-US"/>
      </w:rPr>
      <w:t>Error! Unknown document property name.</w:t>
    </w:r>
    <w:r>
      <w:fldChar w:fldCharType="end"/>
    </w:r>
  </w:p>
  <w:p w:rsidR="00166554" w:rsidRDefault="00166554">
    <w:pPr>
      <w:pStyle w:val="HeaderEven"/>
    </w:pPr>
    <w:r>
      <w:t>Publication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80" w:rsidRDefault="00030C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C80" w:rsidRDefault="00030C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3055"/>
    <w:multiLevelType w:val="hybridMultilevel"/>
    <w:tmpl w:val="DE84F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1ED09FC"/>
    <w:multiLevelType w:val="hybridMultilevel"/>
    <w:tmpl w:val="5BBEF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8780A4B"/>
    <w:multiLevelType w:val="multilevel"/>
    <w:tmpl w:val="A6800B9E"/>
    <w:lvl w:ilvl="0">
      <w:start w:val="1"/>
      <w:numFmt w:val="decimal"/>
      <w:lvlRestart w:val="0"/>
      <w:pStyle w:val="OutlineNumbered1"/>
      <w:lvlText w:val="%1."/>
      <w:lvlJc w:val="left"/>
      <w:pPr>
        <w:tabs>
          <w:tab w:val="num" w:pos="567"/>
        </w:tabs>
        <w:ind w:left="567" w:hanging="567"/>
      </w:pPr>
      <w:rPr>
        <w:rFonts w:hint="default"/>
        <w:b w:val="0"/>
        <w:i w:val="0"/>
      </w:rPr>
    </w:lvl>
    <w:lvl w:ilvl="1">
      <w:start w:val="1"/>
      <w:numFmt w:val="decimal"/>
      <w:pStyle w:val="OutlineNumbered2"/>
      <w:lvlText w:val="%1.%2."/>
      <w:lvlJc w:val="left"/>
      <w:pPr>
        <w:tabs>
          <w:tab w:val="num" w:pos="1134"/>
        </w:tabs>
        <w:ind w:left="1134" w:hanging="567"/>
      </w:pPr>
      <w:rPr>
        <w:rFonts w:hint="default"/>
        <w:b w:val="0"/>
        <w:i w:val="0"/>
      </w:rPr>
    </w:lvl>
    <w:lvl w:ilvl="2">
      <w:start w:val="1"/>
      <w:numFmt w:val="decimal"/>
      <w:pStyle w:val="OutlineNumbered3"/>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nsid w:val="17C179B7"/>
    <w:multiLevelType w:val="hybridMultilevel"/>
    <w:tmpl w:val="6FE663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DC7ACA"/>
    <w:multiLevelType w:val="hybridMultilevel"/>
    <w:tmpl w:val="C73E11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6">
    <w:nsid w:val="1B944443"/>
    <w:multiLevelType w:val="hybridMultilevel"/>
    <w:tmpl w:val="241227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8F5EA7"/>
    <w:multiLevelType w:val="multilevel"/>
    <w:tmpl w:val="74A2E93E"/>
    <w:name w:val="Recommendation List"/>
    <w:lvl w:ilvl="0">
      <w:start w:val="1"/>
      <w:numFmt w:val="lowerLetter"/>
      <w:lvlRestart w:val="0"/>
      <w:pStyle w:val="RecommendationBullet"/>
      <w:lvlText w:val="(%1)"/>
      <w:lvlJc w:val="left"/>
      <w:pPr>
        <w:tabs>
          <w:tab w:val="num" w:pos="567"/>
        </w:tabs>
        <w:ind w:left="567" w:hanging="567"/>
      </w:pPr>
      <w:rPr>
        <w:rFonts w:ascii="Book Antiqua" w:hAnsi="Book Antiqua"/>
        <w:b w:val="0"/>
        <w:i w:val="0"/>
        <w:color w:val="000000"/>
        <w:sz w:val="22"/>
      </w:rPr>
    </w:lvl>
    <w:lvl w:ilvl="1">
      <w:start w:val="1"/>
      <w:numFmt w:val="lowerRoman"/>
      <w:pStyle w:val="RecommendationDash"/>
      <w:lvlText w:val="(%2)"/>
      <w:lvlJc w:val="left"/>
      <w:pPr>
        <w:tabs>
          <w:tab w:val="num" w:pos="1134"/>
        </w:tabs>
        <w:ind w:left="1134" w:hanging="567"/>
      </w:pPr>
      <w:rPr>
        <w:rFonts w:ascii="Book Antiqua" w:hAnsi="Book Antiqua"/>
        <w:b w:val="0"/>
        <w:i w:val="0"/>
        <w:color w:val="000000"/>
        <w:sz w:val="22"/>
      </w:rPr>
    </w:lvl>
    <w:lvl w:ilvl="2">
      <w:start w:val="1"/>
      <w:numFmt w:val="upperLetter"/>
      <w:pStyle w:val="RecommendationDoubleDot"/>
      <w:lvlText w:val="(%3)"/>
      <w:lvlJc w:val="left"/>
      <w:pPr>
        <w:tabs>
          <w:tab w:val="num" w:pos="1701"/>
        </w:tabs>
        <w:ind w:left="1701" w:hanging="567"/>
      </w:pPr>
      <w:rPr>
        <w:rFonts w:ascii="Book Antiqua" w:hAnsi="Book Antiqua"/>
        <w:b w:val="0"/>
        <w:i w:val="0"/>
        <w:color w:val="000000"/>
        <w:sz w:val="22"/>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8">
    <w:nsid w:val="20076E2D"/>
    <w:multiLevelType w:val="hybridMultilevel"/>
    <w:tmpl w:val="F45E78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56548E1"/>
    <w:multiLevelType w:val="multilevel"/>
    <w:tmpl w:val="1FA8B282"/>
    <w:name w:val="Recommendation Heading List"/>
    <w:lvl w:ilvl="0">
      <w:start w:val="1"/>
      <w:numFmt w:val="decimal"/>
      <w:lvlRestart w:val="0"/>
      <w:pStyle w:val="RecommendationHeading"/>
      <w:suff w:val="nothing"/>
      <w:lvlText w:val="Recommendation %1"/>
      <w:lvlJc w:val="left"/>
      <w:pPr>
        <w:ind w:left="0" w:firstLine="0"/>
      </w:pPr>
      <w:rPr>
        <w:rFonts w:ascii="Century Gothic" w:hAnsi="Century Gothic"/>
        <w:b/>
        <w:i w:val="0"/>
        <w:color w:val="000080"/>
        <w:sz w:val="22"/>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nsid w:val="27440C8B"/>
    <w:multiLevelType w:val="multilevel"/>
    <w:tmpl w:val="4440A37E"/>
    <w:name w:val="StandardBulletedList"/>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2D665DFA"/>
    <w:multiLevelType w:val="singleLevel"/>
    <w:tmpl w:val="7E8429CA"/>
    <w:name w:val="OneLevelAlphaParagraphList"/>
    <w:lvl w:ilvl="0">
      <w:start w:val="1"/>
      <w:numFmt w:val="lowerLetter"/>
      <w:lvlRestart w:val="0"/>
      <w:pStyle w:val="AlphaParagraph"/>
      <w:lvlText w:val="(%1)"/>
      <w:lvlJc w:val="left"/>
      <w:pPr>
        <w:tabs>
          <w:tab w:val="num" w:pos="567"/>
        </w:tabs>
        <w:ind w:left="567" w:hanging="567"/>
      </w:pPr>
      <w:rPr>
        <w:rFonts w:ascii="Book Antiqua" w:hAnsi="Book Antiqua"/>
        <w:b w:val="0"/>
        <w:i w:val="0"/>
        <w:sz w:val="20"/>
      </w:rPr>
    </w:lvl>
  </w:abstractNum>
  <w:abstractNum w:abstractNumId="12">
    <w:nsid w:val="2DF54350"/>
    <w:multiLevelType w:val="multilevel"/>
    <w:tmpl w:val="C4B00C94"/>
    <w:styleLink w:val="Outlinenumbering"/>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nsid w:val="3B125FC2"/>
    <w:multiLevelType w:val="singleLevel"/>
    <w:tmpl w:val="96F0F1D4"/>
    <w:name w:val="OptionHeadingList"/>
    <w:lvl w:ilvl="0">
      <w:start w:val="1"/>
      <w:numFmt w:val="decimal"/>
      <w:lvlRestart w:val="0"/>
      <w:suff w:val="nothing"/>
      <w:lvlText w:val="Option %1"/>
      <w:lvlJc w:val="left"/>
      <w:pPr>
        <w:ind w:left="0" w:firstLine="0"/>
      </w:pPr>
      <w:rPr>
        <w:rFonts w:ascii="Century Gothic" w:hAnsi="Century Gothic"/>
        <w:b/>
        <w:i w:val="0"/>
        <w:color w:val="000080"/>
        <w:sz w:val="22"/>
      </w:rPr>
    </w:lvl>
  </w:abstractNum>
  <w:abstractNum w:abstractNumId="14">
    <w:nsid w:val="3B2D6BFD"/>
    <w:multiLevelType w:val="hybridMultilevel"/>
    <w:tmpl w:val="A82E843C"/>
    <w:lvl w:ilvl="0" w:tplc="80440E9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3B667E5E"/>
    <w:multiLevelType w:val="hybridMultilevel"/>
    <w:tmpl w:val="6DC45C4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185A25"/>
    <w:multiLevelType w:val="hybridMultilevel"/>
    <w:tmpl w:val="016CD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453BF1"/>
    <w:multiLevelType w:val="hybridMultilevel"/>
    <w:tmpl w:val="B90CA5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19">
    <w:nsid w:val="4D4351E7"/>
    <w:multiLevelType w:val="hybridMultilevel"/>
    <w:tmpl w:val="C0865A8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4FC1806"/>
    <w:multiLevelType w:val="hybridMultilevel"/>
    <w:tmpl w:val="CC9C145A"/>
    <w:lvl w:ilvl="0" w:tplc="BC8273CA">
      <w:start w:val="1"/>
      <w:numFmt w:val="lowerRoman"/>
      <w:lvlText w:val="%1."/>
      <w:lvlJc w:val="right"/>
      <w:pPr>
        <w:ind w:left="112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8101827"/>
    <w:multiLevelType w:val="multilevel"/>
    <w:tmpl w:val="624A0496"/>
    <w:name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2">
    <w:nsid w:val="59C3533D"/>
    <w:multiLevelType w:val="hybridMultilevel"/>
    <w:tmpl w:val="2F4E0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E0A6F8D"/>
    <w:multiLevelType w:val="multilevel"/>
    <w:tmpl w:val="17E03816"/>
    <w:name w:val="RecommendationBulletedList_"/>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4">
    <w:nsid w:val="6B8F1A8B"/>
    <w:multiLevelType w:val="hybridMultilevel"/>
    <w:tmpl w:val="03BCC68A"/>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5">
    <w:nsid w:val="6C507FE0"/>
    <w:multiLevelType w:val="hybridMultilevel"/>
    <w:tmpl w:val="24820A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6CB353A2"/>
    <w:multiLevelType w:val="multilevel"/>
    <w:tmpl w:val="129E9092"/>
    <w:styleLink w:val="Optionboxheading"/>
    <w:lvl w:ilvl="0">
      <w:start w:val="1"/>
      <w:numFmt w:val="decimal"/>
      <w:lvlRestart w:val="0"/>
      <w:pStyle w:val="BoxHeading"/>
      <w:suff w:val="nothing"/>
      <w:lvlText w:val="Option %1"/>
      <w:lvlJc w:val="left"/>
      <w:pPr>
        <w:ind w:left="0" w:firstLine="0"/>
      </w:pPr>
      <w:rPr>
        <w:rFonts w:ascii="Century Gothic" w:hAnsi="Century Gothic" w:hint="default"/>
        <w:b/>
        <w:i w:val="0"/>
        <w:color w:val="00008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9C257CD"/>
    <w:multiLevelType w:val="hybridMultilevel"/>
    <w:tmpl w:val="D0783E8C"/>
    <w:lvl w:ilvl="0" w:tplc="76ECC538">
      <w:start w:val="1"/>
      <w:numFmt w:val="decimal"/>
      <w:lvlText w:val="(%1)"/>
      <w:lvlJc w:val="left"/>
      <w:pPr>
        <w:ind w:left="1170" w:hanging="360"/>
      </w:pPr>
      <w:rPr>
        <w:rFonts w:hint="default"/>
      </w:rPr>
    </w:lvl>
    <w:lvl w:ilvl="1" w:tplc="80440E9A">
      <w:start w:val="1"/>
      <w:numFmt w:val="lowerLetter"/>
      <w:lvlText w:val="(%2)"/>
      <w:lvlJc w:val="left"/>
      <w:pPr>
        <w:ind w:left="1890" w:hanging="360"/>
      </w:pPr>
      <w:rPr>
        <w:rFonts w:hint="default"/>
      </w:rPr>
    </w:lvl>
    <w:lvl w:ilvl="2" w:tplc="0C09001B" w:tentative="1">
      <w:start w:val="1"/>
      <w:numFmt w:val="lowerRoman"/>
      <w:lvlText w:val="%3."/>
      <w:lvlJc w:val="right"/>
      <w:pPr>
        <w:ind w:left="2610" w:hanging="180"/>
      </w:pPr>
    </w:lvl>
    <w:lvl w:ilvl="3" w:tplc="0C09000F" w:tentative="1">
      <w:start w:val="1"/>
      <w:numFmt w:val="decimal"/>
      <w:lvlText w:val="%4."/>
      <w:lvlJc w:val="left"/>
      <w:pPr>
        <w:ind w:left="3330" w:hanging="360"/>
      </w:pPr>
    </w:lvl>
    <w:lvl w:ilvl="4" w:tplc="0C090019" w:tentative="1">
      <w:start w:val="1"/>
      <w:numFmt w:val="lowerLetter"/>
      <w:lvlText w:val="%5."/>
      <w:lvlJc w:val="left"/>
      <w:pPr>
        <w:ind w:left="4050" w:hanging="360"/>
      </w:pPr>
    </w:lvl>
    <w:lvl w:ilvl="5" w:tplc="0C09001B" w:tentative="1">
      <w:start w:val="1"/>
      <w:numFmt w:val="lowerRoman"/>
      <w:lvlText w:val="%6."/>
      <w:lvlJc w:val="right"/>
      <w:pPr>
        <w:ind w:left="4770" w:hanging="180"/>
      </w:pPr>
    </w:lvl>
    <w:lvl w:ilvl="6" w:tplc="0C09000F" w:tentative="1">
      <w:start w:val="1"/>
      <w:numFmt w:val="decimal"/>
      <w:lvlText w:val="%7."/>
      <w:lvlJc w:val="left"/>
      <w:pPr>
        <w:ind w:left="5490" w:hanging="360"/>
      </w:pPr>
    </w:lvl>
    <w:lvl w:ilvl="7" w:tplc="0C090019" w:tentative="1">
      <w:start w:val="1"/>
      <w:numFmt w:val="lowerLetter"/>
      <w:lvlText w:val="%8."/>
      <w:lvlJc w:val="left"/>
      <w:pPr>
        <w:ind w:left="6210" w:hanging="360"/>
      </w:pPr>
    </w:lvl>
    <w:lvl w:ilvl="8" w:tplc="0C09001B" w:tentative="1">
      <w:start w:val="1"/>
      <w:numFmt w:val="lowerRoman"/>
      <w:lvlText w:val="%9."/>
      <w:lvlJc w:val="right"/>
      <w:pPr>
        <w:ind w:left="6930" w:hanging="180"/>
      </w:pPr>
    </w:lvl>
  </w:abstractNum>
  <w:abstractNum w:abstractNumId="28">
    <w:nsid w:val="7B5F3380"/>
    <w:multiLevelType w:val="hybridMultilevel"/>
    <w:tmpl w:val="E3C6B05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ED75422"/>
    <w:multiLevelType w:val="hybridMultilevel"/>
    <w:tmpl w:val="879A929C"/>
    <w:lvl w:ilvl="0" w:tplc="0C09001B">
      <w:start w:val="1"/>
      <w:numFmt w:val="lowerRoman"/>
      <w:lvlText w:val="%1."/>
      <w:lvlJc w:val="right"/>
      <w:pPr>
        <w:ind w:left="1125" w:hanging="360"/>
      </w:pPr>
    </w:lvl>
    <w:lvl w:ilvl="1" w:tplc="104A4432">
      <w:start w:val="1"/>
      <w:numFmt w:val="lowerRoman"/>
      <w:lvlText w:val="(%2)"/>
      <w:lvlJc w:val="left"/>
      <w:pPr>
        <w:ind w:left="2205" w:hanging="720"/>
      </w:pPr>
      <w:rPr>
        <w:rFonts w:hint="default"/>
      </w:rPr>
    </w:lvl>
    <w:lvl w:ilvl="2" w:tplc="0C09001B" w:tentative="1">
      <w:start w:val="1"/>
      <w:numFmt w:val="lowerRoman"/>
      <w:lvlText w:val="%3."/>
      <w:lvlJc w:val="right"/>
      <w:pPr>
        <w:ind w:left="2565" w:hanging="180"/>
      </w:pPr>
    </w:lvl>
    <w:lvl w:ilvl="3" w:tplc="0C09000F" w:tentative="1">
      <w:start w:val="1"/>
      <w:numFmt w:val="decimal"/>
      <w:lvlText w:val="%4."/>
      <w:lvlJc w:val="left"/>
      <w:pPr>
        <w:ind w:left="3285" w:hanging="360"/>
      </w:pPr>
    </w:lvl>
    <w:lvl w:ilvl="4" w:tplc="0C090019" w:tentative="1">
      <w:start w:val="1"/>
      <w:numFmt w:val="lowerLetter"/>
      <w:lvlText w:val="%5."/>
      <w:lvlJc w:val="left"/>
      <w:pPr>
        <w:ind w:left="4005" w:hanging="360"/>
      </w:pPr>
    </w:lvl>
    <w:lvl w:ilvl="5" w:tplc="0C09001B" w:tentative="1">
      <w:start w:val="1"/>
      <w:numFmt w:val="lowerRoman"/>
      <w:lvlText w:val="%6."/>
      <w:lvlJc w:val="right"/>
      <w:pPr>
        <w:ind w:left="4725" w:hanging="180"/>
      </w:pPr>
    </w:lvl>
    <w:lvl w:ilvl="6" w:tplc="0C09000F" w:tentative="1">
      <w:start w:val="1"/>
      <w:numFmt w:val="decimal"/>
      <w:lvlText w:val="%7."/>
      <w:lvlJc w:val="left"/>
      <w:pPr>
        <w:ind w:left="5445" w:hanging="360"/>
      </w:pPr>
    </w:lvl>
    <w:lvl w:ilvl="7" w:tplc="0C090019" w:tentative="1">
      <w:start w:val="1"/>
      <w:numFmt w:val="lowerLetter"/>
      <w:lvlText w:val="%8."/>
      <w:lvlJc w:val="left"/>
      <w:pPr>
        <w:ind w:left="6165" w:hanging="360"/>
      </w:pPr>
    </w:lvl>
    <w:lvl w:ilvl="8" w:tplc="0C09001B" w:tentative="1">
      <w:start w:val="1"/>
      <w:numFmt w:val="lowerRoman"/>
      <w:lvlText w:val="%9."/>
      <w:lvlJc w:val="right"/>
      <w:pPr>
        <w:ind w:left="6885" w:hanging="180"/>
      </w:pPr>
    </w:lvl>
  </w:abstractNum>
  <w:num w:numId="1">
    <w:abstractNumId w:val="10"/>
  </w:num>
  <w:num w:numId="2">
    <w:abstractNumId w:val="11"/>
  </w:num>
  <w:num w:numId="3">
    <w:abstractNumId w:val="18"/>
  </w:num>
  <w:num w:numId="4">
    <w:abstractNumId w:val="21"/>
  </w:num>
  <w:num w:numId="5">
    <w:abstractNumId w:val="5"/>
  </w:num>
  <w:num w:numId="6">
    <w:abstractNumId w:val="7"/>
  </w:num>
  <w:num w:numId="7">
    <w:abstractNumId w:val="9"/>
  </w:num>
  <w:num w:numId="8">
    <w:abstractNumId w:val="12"/>
  </w:num>
  <w:num w:numId="9">
    <w:abstractNumId w:val="26"/>
  </w:num>
  <w:num w:numId="10">
    <w:abstractNumId w:val="2"/>
  </w:num>
  <w:num w:numId="11">
    <w:abstractNumId w:val="0"/>
  </w:num>
  <w:num w:numId="12">
    <w:abstractNumId w:val="19"/>
  </w:num>
  <w:num w:numId="13">
    <w:abstractNumId w:val="15"/>
  </w:num>
  <w:num w:numId="14">
    <w:abstractNumId w:val="28"/>
  </w:num>
  <w:num w:numId="15">
    <w:abstractNumId w:val="29"/>
  </w:num>
  <w:num w:numId="16">
    <w:abstractNumId w:val="20"/>
  </w:num>
  <w:num w:numId="17">
    <w:abstractNumId w:val="3"/>
  </w:num>
  <w:num w:numId="18">
    <w:abstractNumId w:val="4"/>
  </w:num>
  <w:num w:numId="19">
    <w:abstractNumId w:val="24"/>
  </w:num>
  <w:num w:numId="20">
    <w:abstractNumId w:val="14"/>
  </w:num>
  <w:num w:numId="21">
    <w:abstractNumId w:val="25"/>
  </w:num>
  <w:num w:numId="22">
    <w:abstractNumId w:val="1"/>
  </w:num>
  <w:num w:numId="23">
    <w:abstractNumId w:val="22"/>
  </w:num>
  <w:num w:numId="24">
    <w:abstractNumId w:val="17"/>
  </w:num>
  <w:num w:numId="25">
    <w:abstractNumId w:val="16"/>
  </w:num>
  <w:num w:numId="26">
    <w:abstractNumId w:val="6"/>
  </w:num>
  <w:num w:numId="27">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ecurityClassificationInHeader" w:val="栜熉֩╀ЫӤင뺘牜Ɇ`Ѐ䘠˞䜀˞"/>
  </w:docVars>
  <w:rsids>
    <w:rsidRoot w:val="007F01AA"/>
    <w:rsid w:val="00000E87"/>
    <w:rsid w:val="00002FCF"/>
    <w:rsid w:val="00004D75"/>
    <w:rsid w:val="00012DC3"/>
    <w:rsid w:val="00020C3E"/>
    <w:rsid w:val="00025D76"/>
    <w:rsid w:val="00030C80"/>
    <w:rsid w:val="00033C7F"/>
    <w:rsid w:val="000345C7"/>
    <w:rsid w:val="000368D2"/>
    <w:rsid w:val="00052C5E"/>
    <w:rsid w:val="00062779"/>
    <w:rsid w:val="0006435C"/>
    <w:rsid w:val="00064ADE"/>
    <w:rsid w:val="000660F0"/>
    <w:rsid w:val="0007141D"/>
    <w:rsid w:val="00071596"/>
    <w:rsid w:val="000716DC"/>
    <w:rsid w:val="00073FD6"/>
    <w:rsid w:val="00081D63"/>
    <w:rsid w:val="00087308"/>
    <w:rsid w:val="00087E19"/>
    <w:rsid w:val="00090F40"/>
    <w:rsid w:val="00091EE6"/>
    <w:rsid w:val="0009341E"/>
    <w:rsid w:val="00095163"/>
    <w:rsid w:val="00095F29"/>
    <w:rsid w:val="000A11B7"/>
    <w:rsid w:val="000A5814"/>
    <w:rsid w:val="000A7BCF"/>
    <w:rsid w:val="000B14F6"/>
    <w:rsid w:val="000B4197"/>
    <w:rsid w:val="000C18AE"/>
    <w:rsid w:val="000C1B19"/>
    <w:rsid w:val="000C3781"/>
    <w:rsid w:val="000C5A5E"/>
    <w:rsid w:val="000D13E6"/>
    <w:rsid w:val="000D6BD6"/>
    <w:rsid w:val="000E09A8"/>
    <w:rsid w:val="000E3F53"/>
    <w:rsid w:val="000E568C"/>
    <w:rsid w:val="000E6B59"/>
    <w:rsid w:val="000F3C78"/>
    <w:rsid w:val="000F3EBC"/>
    <w:rsid w:val="0010274D"/>
    <w:rsid w:val="0010638B"/>
    <w:rsid w:val="001069DD"/>
    <w:rsid w:val="00111885"/>
    <w:rsid w:val="0011462E"/>
    <w:rsid w:val="001149F9"/>
    <w:rsid w:val="001211FE"/>
    <w:rsid w:val="00122542"/>
    <w:rsid w:val="00124003"/>
    <w:rsid w:val="001274A7"/>
    <w:rsid w:val="00130FC6"/>
    <w:rsid w:val="001343E8"/>
    <w:rsid w:val="00134C99"/>
    <w:rsid w:val="00134E3A"/>
    <w:rsid w:val="00135613"/>
    <w:rsid w:val="00135CA0"/>
    <w:rsid w:val="0013601C"/>
    <w:rsid w:val="00142EFF"/>
    <w:rsid w:val="0014536D"/>
    <w:rsid w:val="001503BB"/>
    <w:rsid w:val="0015301C"/>
    <w:rsid w:val="00153A5B"/>
    <w:rsid w:val="00153DAD"/>
    <w:rsid w:val="0015538A"/>
    <w:rsid w:val="00155530"/>
    <w:rsid w:val="00156040"/>
    <w:rsid w:val="001643BD"/>
    <w:rsid w:val="00166554"/>
    <w:rsid w:val="00171E5B"/>
    <w:rsid w:val="0018071D"/>
    <w:rsid w:val="001809FE"/>
    <w:rsid w:val="00187866"/>
    <w:rsid w:val="0019127D"/>
    <w:rsid w:val="001916C4"/>
    <w:rsid w:val="0019367E"/>
    <w:rsid w:val="00195060"/>
    <w:rsid w:val="00196E80"/>
    <w:rsid w:val="001A60F2"/>
    <w:rsid w:val="001A6B49"/>
    <w:rsid w:val="001A7646"/>
    <w:rsid w:val="001B17C1"/>
    <w:rsid w:val="001B6D87"/>
    <w:rsid w:val="001D5B6D"/>
    <w:rsid w:val="001D676E"/>
    <w:rsid w:val="001E1650"/>
    <w:rsid w:val="001E19CB"/>
    <w:rsid w:val="001E1F9E"/>
    <w:rsid w:val="001E43D3"/>
    <w:rsid w:val="001E5E74"/>
    <w:rsid w:val="001E7990"/>
    <w:rsid w:val="001F123F"/>
    <w:rsid w:val="001F1C69"/>
    <w:rsid w:val="001F2AF5"/>
    <w:rsid w:val="001F7856"/>
    <w:rsid w:val="0020775F"/>
    <w:rsid w:val="00230737"/>
    <w:rsid w:val="00233775"/>
    <w:rsid w:val="00233E0E"/>
    <w:rsid w:val="002361BD"/>
    <w:rsid w:val="002362BA"/>
    <w:rsid w:val="00237915"/>
    <w:rsid w:val="00240FBC"/>
    <w:rsid w:val="00241089"/>
    <w:rsid w:val="002427AF"/>
    <w:rsid w:val="002440AA"/>
    <w:rsid w:val="00245474"/>
    <w:rsid w:val="00247E89"/>
    <w:rsid w:val="00251B02"/>
    <w:rsid w:val="00255C75"/>
    <w:rsid w:val="0026148C"/>
    <w:rsid w:val="00267D10"/>
    <w:rsid w:val="00270D23"/>
    <w:rsid w:val="002759C1"/>
    <w:rsid w:val="00283BCF"/>
    <w:rsid w:val="00284A96"/>
    <w:rsid w:val="00286805"/>
    <w:rsid w:val="0029015F"/>
    <w:rsid w:val="00290FA4"/>
    <w:rsid w:val="00294519"/>
    <w:rsid w:val="0029574C"/>
    <w:rsid w:val="002A5E3E"/>
    <w:rsid w:val="002B0621"/>
    <w:rsid w:val="002B1D38"/>
    <w:rsid w:val="002B5DD7"/>
    <w:rsid w:val="002C1419"/>
    <w:rsid w:val="002C2462"/>
    <w:rsid w:val="002C2BE3"/>
    <w:rsid w:val="002C41A7"/>
    <w:rsid w:val="002C5964"/>
    <w:rsid w:val="002C7C51"/>
    <w:rsid w:val="002D4AAF"/>
    <w:rsid w:val="002D6AA6"/>
    <w:rsid w:val="002E0F39"/>
    <w:rsid w:val="002E4A5E"/>
    <w:rsid w:val="002E539D"/>
    <w:rsid w:val="002E72A3"/>
    <w:rsid w:val="002F11BC"/>
    <w:rsid w:val="002F1351"/>
    <w:rsid w:val="002F155D"/>
    <w:rsid w:val="002F37AD"/>
    <w:rsid w:val="002F4D04"/>
    <w:rsid w:val="002F51CB"/>
    <w:rsid w:val="002F5B04"/>
    <w:rsid w:val="002F6334"/>
    <w:rsid w:val="002F7D18"/>
    <w:rsid w:val="00302BB8"/>
    <w:rsid w:val="00310330"/>
    <w:rsid w:val="0031638D"/>
    <w:rsid w:val="003219D0"/>
    <w:rsid w:val="00323282"/>
    <w:rsid w:val="003234A5"/>
    <w:rsid w:val="00326660"/>
    <w:rsid w:val="00333389"/>
    <w:rsid w:val="00340E13"/>
    <w:rsid w:val="00343206"/>
    <w:rsid w:val="00343A44"/>
    <w:rsid w:val="00350811"/>
    <w:rsid w:val="00352FBD"/>
    <w:rsid w:val="00352FCF"/>
    <w:rsid w:val="00354D01"/>
    <w:rsid w:val="00357DDC"/>
    <w:rsid w:val="0036091F"/>
    <w:rsid w:val="0036670D"/>
    <w:rsid w:val="003738B5"/>
    <w:rsid w:val="00376BEC"/>
    <w:rsid w:val="003803E6"/>
    <w:rsid w:val="003806DC"/>
    <w:rsid w:val="0038163C"/>
    <w:rsid w:val="00381F87"/>
    <w:rsid w:val="003835AE"/>
    <w:rsid w:val="00383702"/>
    <w:rsid w:val="00385256"/>
    <w:rsid w:val="00386945"/>
    <w:rsid w:val="00394C88"/>
    <w:rsid w:val="003A0B64"/>
    <w:rsid w:val="003B27FE"/>
    <w:rsid w:val="003C2BCD"/>
    <w:rsid w:val="003C398A"/>
    <w:rsid w:val="003C5688"/>
    <w:rsid w:val="003C70D3"/>
    <w:rsid w:val="003D0CD8"/>
    <w:rsid w:val="003D1017"/>
    <w:rsid w:val="003D563B"/>
    <w:rsid w:val="003D5EDD"/>
    <w:rsid w:val="003E1948"/>
    <w:rsid w:val="003E4534"/>
    <w:rsid w:val="003E493D"/>
    <w:rsid w:val="003F0857"/>
    <w:rsid w:val="003F0A71"/>
    <w:rsid w:val="003F21C1"/>
    <w:rsid w:val="003F3F8D"/>
    <w:rsid w:val="00405162"/>
    <w:rsid w:val="0040620B"/>
    <w:rsid w:val="00411A5A"/>
    <w:rsid w:val="00412789"/>
    <w:rsid w:val="00416B11"/>
    <w:rsid w:val="004208FC"/>
    <w:rsid w:val="004241A4"/>
    <w:rsid w:val="0042687F"/>
    <w:rsid w:val="00430546"/>
    <w:rsid w:val="004365D6"/>
    <w:rsid w:val="00436C00"/>
    <w:rsid w:val="004376E6"/>
    <w:rsid w:val="0044448C"/>
    <w:rsid w:val="004450BB"/>
    <w:rsid w:val="00447234"/>
    <w:rsid w:val="00447B1C"/>
    <w:rsid w:val="004555D0"/>
    <w:rsid w:val="00456995"/>
    <w:rsid w:val="00461D5D"/>
    <w:rsid w:val="0046255B"/>
    <w:rsid w:val="00462D8E"/>
    <w:rsid w:val="004652AF"/>
    <w:rsid w:val="00466B31"/>
    <w:rsid w:val="0046709A"/>
    <w:rsid w:val="0047007C"/>
    <w:rsid w:val="0047072E"/>
    <w:rsid w:val="00473162"/>
    <w:rsid w:val="00483B24"/>
    <w:rsid w:val="004854F7"/>
    <w:rsid w:val="00490D30"/>
    <w:rsid w:val="00496908"/>
    <w:rsid w:val="00497596"/>
    <w:rsid w:val="004A4F9C"/>
    <w:rsid w:val="004A655F"/>
    <w:rsid w:val="004A7246"/>
    <w:rsid w:val="004B02B6"/>
    <w:rsid w:val="004B420F"/>
    <w:rsid w:val="004B4BD6"/>
    <w:rsid w:val="004B6D8A"/>
    <w:rsid w:val="004C75A1"/>
    <w:rsid w:val="004D0AA5"/>
    <w:rsid w:val="004D1CAB"/>
    <w:rsid w:val="004D47AE"/>
    <w:rsid w:val="004D6F52"/>
    <w:rsid w:val="004E0ACC"/>
    <w:rsid w:val="004E1F5E"/>
    <w:rsid w:val="004E2BCC"/>
    <w:rsid w:val="004E6A6C"/>
    <w:rsid w:val="004E6AA4"/>
    <w:rsid w:val="004F0A17"/>
    <w:rsid w:val="004F4872"/>
    <w:rsid w:val="004F5A48"/>
    <w:rsid w:val="004F751F"/>
    <w:rsid w:val="00500049"/>
    <w:rsid w:val="005039EE"/>
    <w:rsid w:val="00503D32"/>
    <w:rsid w:val="005065BD"/>
    <w:rsid w:val="005067EE"/>
    <w:rsid w:val="00511C87"/>
    <w:rsid w:val="0051575E"/>
    <w:rsid w:val="0051667E"/>
    <w:rsid w:val="00516C44"/>
    <w:rsid w:val="005172BB"/>
    <w:rsid w:val="00524094"/>
    <w:rsid w:val="00526274"/>
    <w:rsid w:val="005300C1"/>
    <w:rsid w:val="00530BDD"/>
    <w:rsid w:val="00537381"/>
    <w:rsid w:val="00541FD8"/>
    <w:rsid w:val="00550C29"/>
    <w:rsid w:val="00557F5A"/>
    <w:rsid w:val="00562DDC"/>
    <w:rsid w:val="00564297"/>
    <w:rsid w:val="00564334"/>
    <w:rsid w:val="0056559F"/>
    <w:rsid w:val="005740A4"/>
    <w:rsid w:val="005750C6"/>
    <w:rsid w:val="00575822"/>
    <w:rsid w:val="00575F06"/>
    <w:rsid w:val="00576DFC"/>
    <w:rsid w:val="00580906"/>
    <w:rsid w:val="00582361"/>
    <w:rsid w:val="005831B5"/>
    <w:rsid w:val="00583791"/>
    <w:rsid w:val="005A0507"/>
    <w:rsid w:val="005A067E"/>
    <w:rsid w:val="005A1513"/>
    <w:rsid w:val="005A2CC0"/>
    <w:rsid w:val="005A48AE"/>
    <w:rsid w:val="005A4CC7"/>
    <w:rsid w:val="005B0EE6"/>
    <w:rsid w:val="005B14C7"/>
    <w:rsid w:val="005B1CEB"/>
    <w:rsid w:val="005B27C5"/>
    <w:rsid w:val="005B36B1"/>
    <w:rsid w:val="005B4032"/>
    <w:rsid w:val="005B6827"/>
    <w:rsid w:val="005C08A5"/>
    <w:rsid w:val="005C1851"/>
    <w:rsid w:val="005C7394"/>
    <w:rsid w:val="005D38BD"/>
    <w:rsid w:val="005D3B7D"/>
    <w:rsid w:val="005E15D6"/>
    <w:rsid w:val="005E40A4"/>
    <w:rsid w:val="005F2962"/>
    <w:rsid w:val="005F5175"/>
    <w:rsid w:val="006037F2"/>
    <w:rsid w:val="0060663E"/>
    <w:rsid w:val="006111AB"/>
    <w:rsid w:val="006331B9"/>
    <w:rsid w:val="006347FD"/>
    <w:rsid w:val="00637298"/>
    <w:rsid w:val="00640402"/>
    <w:rsid w:val="00647A65"/>
    <w:rsid w:val="00647E79"/>
    <w:rsid w:val="00651ABE"/>
    <w:rsid w:val="00655B91"/>
    <w:rsid w:val="0065680D"/>
    <w:rsid w:val="0066179A"/>
    <w:rsid w:val="00662EED"/>
    <w:rsid w:val="00667449"/>
    <w:rsid w:val="00672E64"/>
    <w:rsid w:val="006815C6"/>
    <w:rsid w:val="0068266A"/>
    <w:rsid w:val="006877D9"/>
    <w:rsid w:val="006877DB"/>
    <w:rsid w:val="00694E91"/>
    <w:rsid w:val="00695972"/>
    <w:rsid w:val="00695B18"/>
    <w:rsid w:val="00695C23"/>
    <w:rsid w:val="006A1AC5"/>
    <w:rsid w:val="006A20F4"/>
    <w:rsid w:val="006A63EE"/>
    <w:rsid w:val="006A6873"/>
    <w:rsid w:val="006B348E"/>
    <w:rsid w:val="006B7722"/>
    <w:rsid w:val="006C116B"/>
    <w:rsid w:val="006C54C2"/>
    <w:rsid w:val="006C6087"/>
    <w:rsid w:val="006D727E"/>
    <w:rsid w:val="006E21C3"/>
    <w:rsid w:val="006E4583"/>
    <w:rsid w:val="006F182F"/>
    <w:rsid w:val="00701A45"/>
    <w:rsid w:val="007031C4"/>
    <w:rsid w:val="00707606"/>
    <w:rsid w:val="00707A8C"/>
    <w:rsid w:val="00712766"/>
    <w:rsid w:val="00717426"/>
    <w:rsid w:val="00723039"/>
    <w:rsid w:val="007309A5"/>
    <w:rsid w:val="007321C0"/>
    <w:rsid w:val="007324AB"/>
    <w:rsid w:val="00733204"/>
    <w:rsid w:val="007348B5"/>
    <w:rsid w:val="00735AF9"/>
    <w:rsid w:val="00737161"/>
    <w:rsid w:val="007374F7"/>
    <w:rsid w:val="00745E91"/>
    <w:rsid w:val="0075090F"/>
    <w:rsid w:val="0075483A"/>
    <w:rsid w:val="00755BF2"/>
    <w:rsid w:val="00756381"/>
    <w:rsid w:val="00757EC5"/>
    <w:rsid w:val="00760678"/>
    <w:rsid w:val="00762199"/>
    <w:rsid w:val="00763D9C"/>
    <w:rsid w:val="007658B2"/>
    <w:rsid w:val="00767AA8"/>
    <w:rsid w:val="00771C9E"/>
    <w:rsid w:val="00772D3E"/>
    <w:rsid w:val="007740FB"/>
    <w:rsid w:val="00781167"/>
    <w:rsid w:val="00787507"/>
    <w:rsid w:val="007929E6"/>
    <w:rsid w:val="00792FB9"/>
    <w:rsid w:val="00795245"/>
    <w:rsid w:val="007A3306"/>
    <w:rsid w:val="007A4C06"/>
    <w:rsid w:val="007A6ACB"/>
    <w:rsid w:val="007B3AC6"/>
    <w:rsid w:val="007B571C"/>
    <w:rsid w:val="007B6209"/>
    <w:rsid w:val="007B6EDA"/>
    <w:rsid w:val="007C30FA"/>
    <w:rsid w:val="007D1C01"/>
    <w:rsid w:val="007D43AE"/>
    <w:rsid w:val="007E2410"/>
    <w:rsid w:val="007E7969"/>
    <w:rsid w:val="007F01AA"/>
    <w:rsid w:val="007F3CAF"/>
    <w:rsid w:val="007F4B32"/>
    <w:rsid w:val="00800C86"/>
    <w:rsid w:val="008041DC"/>
    <w:rsid w:val="00807D5B"/>
    <w:rsid w:val="00812370"/>
    <w:rsid w:val="00813AC3"/>
    <w:rsid w:val="0082455D"/>
    <w:rsid w:val="00830984"/>
    <w:rsid w:val="00835C9B"/>
    <w:rsid w:val="008367D2"/>
    <w:rsid w:val="008369E9"/>
    <w:rsid w:val="00837F76"/>
    <w:rsid w:val="00840831"/>
    <w:rsid w:val="00840F7D"/>
    <w:rsid w:val="00841F0E"/>
    <w:rsid w:val="00842128"/>
    <w:rsid w:val="00847D16"/>
    <w:rsid w:val="0085553B"/>
    <w:rsid w:val="00861C7F"/>
    <w:rsid w:val="00867298"/>
    <w:rsid w:val="00872233"/>
    <w:rsid w:val="00874191"/>
    <w:rsid w:val="008821AB"/>
    <w:rsid w:val="00884099"/>
    <w:rsid w:val="00887155"/>
    <w:rsid w:val="00887918"/>
    <w:rsid w:val="00894497"/>
    <w:rsid w:val="008976E1"/>
    <w:rsid w:val="008A096C"/>
    <w:rsid w:val="008A13CB"/>
    <w:rsid w:val="008A2634"/>
    <w:rsid w:val="008A288E"/>
    <w:rsid w:val="008A4830"/>
    <w:rsid w:val="008A6CAD"/>
    <w:rsid w:val="008C0469"/>
    <w:rsid w:val="008C10C2"/>
    <w:rsid w:val="008C5337"/>
    <w:rsid w:val="008D3535"/>
    <w:rsid w:val="008D5436"/>
    <w:rsid w:val="008E7E1F"/>
    <w:rsid w:val="008F004D"/>
    <w:rsid w:val="008F70B9"/>
    <w:rsid w:val="008F7CD0"/>
    <w:rsid w:val="0090426F"/>
    <w:rsid w:val="00907918"/>
    <w:rsid w:val="00913478"/>
    <w:rsid w:val="009148EC"/>
    <w:rsid w:val="00917336"/>
    <w:rsid w:val="00921518"/>
    <w:rsid w:val="00921785"/>
    <w:rsid w:val="00921F04"/>
    <w:rsid w:val="009243FD"/>
    <w:rsid w:val="00927610"/>
    <w:rsid w:val="00930A16"/>
    <w:rsid w:val="00933836"/>
    <w:rsid w:val="00933FC1"/>
    <w:rsid w:val="00934381"/>
    <w:rsid w:val="00940CE0"/>
    <w:rsid w:val="0094521D"/>
    <w:rsid w:val="00946577"/>
    <w:rsid w:val="00946EEE"/>
    <w:rsid w:val="009503F9"/>
    <w:rsid w:val="0095508C"/>
    <w:rsid w:val="00960726"/>
    <w:rsid w:val="00961499"/>
    <w:rsid w:val="009627CE"/>
    <w:rsid w:val="00962CC3"/>
    <w:rsid w:val="009639FB"/>
    <w:rsid w:val="009677F1"/>
    <w:rsid w:val="00974692"/>
    <w:rsid w:val="0097628A"/>
    <w:rsid w:val="009822E5"/>
    <w:rsid w:val="009868AB"/>
    <w:rsid w:val="00987C9A"/>
    <w:rsid w:val="009901DB"/>
    <w:rsid w:val="00990D30"/>
    <w:rsid w:val="00990F18"/>
    <w:rsid w:val="0099469D"/>
    <w:rsid w:val="00995930"/>
    <w:rsid w:val="009A356A"/>
    <w:rsid w:val="009A4CB9"/>
    <w:rsid w:val="009A5173"/>
    <w:rsid w:val="009A7EE4"/>
    <w:rsid w:val="009B03CD"/>
    <w:rsid w:val="009B0F2B"/>
    <w:rsid w:val="009B6824"/>
    <w:rsid w:val="009B7207"/>
    <w:rsid w:val="009C1F87"/>
    <w:rsid w:val="009C4809"/>
    <w:rsid w:val="009D4F86"/>
    <w:rsid w:val="009D5869"/>
    <w:rsid w:val="009E0A1C"/>
    <w:rsid w:val="009E18D2"/>
    <w:rsid w:val="009E565A"/>
    <w:rsid w:val="009E694E"/>
    <w:rsid w:val="009F7DA2"/>
    <w:rsid w:val="00A00711"/>
    <w:rsid w:val="00A026A6"/>
    <w:rsid w:val="00A055E8"/>
    <w:rsid w:val="00A05E4E"/>
    <w:rsid w:val="00A06425"/>
    <w:rsid w:val="00A07C7D"/>
    <w:rsid w:val="00A204D2"/>
    <w:rsid w:val="00A216D4"/>
    <w:rsid w:val="00A237E1"/>
    <w:rsid w:val="00A23C6B"/>
    <w:rsid w:val="00A25411"/>
    <w:rsid w:val="00A26E81"/>
    <w:rsid w:val="00A27805"/>
    <w:rsid w:val="00A30F73"/>
    <w:rsid w:val="00A3412F"/>
    <w:rsid w:val="00A40774"/>
    <w:rsid w:val="00A42CBB"/>
    <w:rsid w:val="00A467E6"/>
    <w:rsid w:val="00A55CE2"/>
    <w:rsid w:val="00A60862"/>
    <w:rsid w:val="00A60B9E"/>
    <w:rsid w:val="00A64492"/>
    <w:rsid w:val="00A67B7D"/>
    <w:rsid w:val="00A70261"/>
    <w:rsid w:val="00A73816"/>
    <w:rsid w:val="00A744CB"/>
    <w:rsid w:val="00A81A3F"/>
    <w:rsid w:val="00A81D45"/>
    <w:rsid w:val="00A84091"/>
    <w:rsid w:val="00A846D8"/>
    <w:rsid w:val="00A87029"/>
    <w:rsid w:val="00A94B0C"/>
    <w:rsid w:val="00AA2D2B"/>
    <w:rsid w:val="00AA3FE7"/>
    <w:rsid w:val="00AA6C15"/>
    <w:rsid w:val="00AA7F6B"/>
    <w:rsid w:val="00AB04C7"/>
    <w:rsid w:val="00AB0C40"/>
    <w:rsid w:val="00AB37BE"/>
    <w:rsid w:val="00AB46E7"/>
    <w:rsid w:val="00AC1151"/>
    <w:rsid w:val="00AC1F61"/>
    <w:rsid w:val="00AC7972"/>
    <w:rsid w:val="00AD4362"/>
    <w:rsid w:val="00AE24A3"/>
    <w:rsid w:val="00AE434D"/>
    <w:rsid w:val="00AE4665"/>
    <w:rsid w:val="00AF1A4F"/>
    <w:rsid w:val="00B00232"/>
    <w:rsid w:val="00B00C8D"/>
    <w:rsid w:val="00B01E6E"/>
    <w:rsid w:val="00B10979"/>
    <w:rsid w:val="00B17327"/>
    <w:rsid w:val="00B21548"/>
    <w:rsid w:val="00B25728"/>
    <w:rsid w:val="00B30057"/>
    <w:rsid w:val="00B307AF"/>
    <w:rsid w:val="00B32090"/>
    <w:rsid w:val="00B35ED8"/>
    <w:rsid w:val="00B4143B"/>
    <w:rsid w:val="00B41D56"/>
    <w:rsid w:val="00B45470"/>
    <w:rsid w:val="00B4773D"/>
    <w:rsid w:val="00B51F8D"/>
    <w:rsid w:val="00B57F68"/>
    <w:rsid w:val="00B607D9"/>
    <w:rsid w:val="00B624EE"/>
    <w:rsid w:val="00B63463"/>
    <w:rsid w:val="00B64297"/>
    <w:rsid w:val="00B64382"/>
    <w:rsid w:val="00B65511"/>
    <w:rsid w:val="00B66EA7"/>
    <w:rsid w:val="00B66F7E"/>
    <w:rsid w:val="00B67964"/>
    <w:rsid w:val="00B74112"/>
    <w:rsid w:val="00B81C9E"/>
    <w:rsid w:val="00B81CA6"/>
    <w:rsid w:val="00B82096"/>
    <w:rsid w:val="00B91313"/>
    <w:rsid w:val="00BA090F"/>
    <w:rsid w:val="00BA2105"/>
    <w:rsid w:val="00BA5028"/>
    <w:rsid w:val="00BA543D"/>
    <w:rsid w:val="00BB0A6A"/>
    <w:rsid w:val="00BB1566"/>
    <w:rsid w:val="00BB5D17"/>
    <w:rsid w:val="00BB5D95"/>
    <w:rsid w:val="00BC0518"/>
    <w:rsid w:val="00BC3EA8"/>
    <w:rsid w:val="00BC4BEE"/>
    <w:rsid w:val="00BC70F6"/>
    <w:rsid w:val="00BD19AD"/>
    <w:rsid w:val="00BD3BB8"/>
    <w:rsid w:val="00BD514C"/>
    <w:rsid w:val="00BD652B"/>
    <w:rsid w:val="00BE3010"/>
    <w:rsid w:val="00BF06E1"/>
    <w:rsid w:val="00C04E69"/>
    <w:rsid w:val="00C0513E"/>
    <w:rsid w:val="00C07C07"/>
    <w:rsid w:val="00C1230E"/>
    <w:rsid w:val="00C12AEA"/>
    <w:rsid w:val="00C14426"/>
    <w:rsid w:val="00C14AC5"/>
    <w:rsid w:val="00C15584"/>
    <w:rsid w:val="00C15EB7"/>
    <w:rsid w:val="00C22630"/>
    <w:rsid w:val="00C26256"/>
    <w:rsid w:val="00C3057E"/>
    <w:rsid w:val="00C33677"/>
    <w:rsid w:val="00C3504C"/>
    <w:rsid w:val="00C439E2"/>
    <w:rsid w:val="00C443E3"/>
    <w:rsid w:val="00C505F4"/>
    <w:rsid w:val="00C52339"/>
    <w:rsid w:val="00C535C7"/>
    <w:rsid w:val="00C536D0"/>
    <w:rsid w:val="00C651DF"/>
    <w:rsid w:val="00C6698A"/>
    <w:rsid w:val="00C71E04"/>
    <w:rsid w:val="00C75296"/>
    <w:rsid w:val="00C76F10"/>
    <w:rsid w:val="00C8184C"/>
    <w:rsid w:val="00C81B07"/>
    <w:rsid w:val="00C83EFD"/>
    <w:rsid w:val="00C85D84"/>
    <w:rsid w:val="00C87132"/>
    <w:rsid w:val="00C94C6C"/>
    <w:rsid w:val="00C96FB2"/>
    <w:rsid w:val="00CA20D1"/>
    <w:rsid w:val="00CA3139"/>
    <w:rsid w:val="00CA601E"/>
    <w:rsid w:val="00CB4B70"/>
    <w:rsid w:val="00CB613C"/>
    <w:rsid w:val="00CB624D"/>
    <w:rsid w:val="00CC4363"/>
    <w:rsid w:val="00CC5039"/>
    <w:rsid w:val="00CC5BAF"/>
    <w:rsid w:val="00CC72B6"/>
    <w:rsid w:val="00CD16CD"/>
    <w:rsid w:val="00CD2E6D"/>
    <w:rsid w:val="00CD458F"/>
    <w:rsid w:val="00CD55A5"/>
    <w:rsid w:val="00CE0935"/>
    <w:rsid w:val="00CE1BEA"/>
    <w:rsid w:val="00CE1CD8"/>
    <w:rsid w:val="00CE50E1"/>
    <w:rsid w:val="00CE50FC"/>
    <w:rsid w:val="00CE71D0"/>
    <w:rsid w:val="00CE76FB"/>
    <w:rsid w:val="00CF4E8B"/>
    <w:rsid w:val="00CF6691"/>
    <w:rsid w:val="00CF6FEE"/>
    <w:rsid w:val="00CF71F4"/>
    <w:rsid w:val="00CF7C14"/>
    <w:rsid w:val="00D01654"/>
    <w:rsid w:val="00D018FD"/>
    <w:rsid w:val="00D03D6C"/>
    <w:rsid w:val="00D04D64"/>
    <w:rsid w:val="00D065B6"/>
    <w:rsid w:val="00D0665B"/>
    <w:rsid w:val="00D1216C"/>
    <w:rsid w:val="00D16258"/>
    <w:rsid w:val="00D20892"/>
    <w:rsid w:val="00D22DCA"/>
    <w:rsid w:val="00D24D55"/>
    <w:rsid w:val="00D24F50"/>
    <w:rsid w:val="00D27747"/>
    <w:rsid w:val="00D27BAD"/>
    <w:rsid w:val="00D31B98"/>
    <w:rsid w:val="00D333AC"/>
    <w:rsid w:val="00D36FF7"/>
    <w:rsid w:val="00D37B66"/>
    <w:rsid w:val="00D41104"/>
    <w:rsid w:val="00D47DF8"/>
    <w:rsid w:val="00D52C0C"/>
    <w:rsid w:val="00D5743E"/>
    <w:rsid w:val="00D623D0"/>
    <w:rsid w:val="00D63E84"/>
    <w:rsid w:val="00D66D0D"/>
    <w:rsid w:val="00D7270A"/>
    <w:rsid w:val="00D72E2E"/>
    <w:rsid w:val="00D7622B"/>
    <w:rsid w:val="00D77EAA"/>
    <w:rsid w:val="00D815BC"/>
    <w:rsid w:val="00D8161E"/>
    <w:rsid w:val="00D8363B"/>
    <w:rsid w:val="00D84511"/>
    <w:rsid w:val="00D95238"/>
    <w:rsid w:val="00DA10AF"/>
    <w:rsid w:val="00DA5F4B"/>
    <w:rsid w:val="00DA64BD"/>
    <w:rsid w:val="00DB1D86"/>
    <w:rsid w:val="00DB4475"/>
    <w:rsid w:val="00DB5E55"/>
    <w:rsid w:val="00DC0C29"/>
    <w:rsid w:val="00DC13C8"/>
    <w:rsid w:val="00DC1ED5"/>
    <w:rsid w:val="00DC4833"/>
    <w:rsid w:val="00DC6D57"/>
    <w:rsid w:val="00DC7FF8"/>
    <w:rsid w:val="00DD2574"/>
    <w:rsid w:val="00DD32B9"/>
    <w:rsid w:val="00DE3081"/>
    <w:rsid w:val="00DE4164"/>
    <w:rsid w:val="00DE4DF3"/>
    <w:rsid w:val="00DF6149"/>
    <w:rsid w:val="00E052C3"/>
    <w:rsid w:val="00E167A8"/>
    <w:rsid w:val="00E21C6B"/>
    <w:rsid w:val="00E21CBC"/>
    <w:rsid w:val="00E25BA4"/>
    <w:rsid w:val="00E278A9"/>
    <w:rsid w:val="00E34384"/>
    <w:rsid w:val="00E3449F"/>
    <w:rsid w:val="00E35011"/>
    <w:rsid w:val="00E51694"/>
    <w:rsid w:val="00E526C4"/>
    <w:rsid w:val="00E61FD3"/>
    <w:rsid w:val="00E720F4"/>
    <w:rsid w:val="00E74B2E"/>
    <w:rsid w:val="00E80A11"/>
    <w:rsid w:val="00E87053"/>
    <w:rsid w:val="00E935A6"/>
    <w:rsid w:val="00E9579A"/>
    <w:rsid w:val="00EA253B"/>
    <w:rsid w:val="00EA2931"/>
    <w:rsid w:val="00EA2B5E"/>
    <w:rsid w:val="00EA2CE1"/>
    <w:rsid w:val="00EA4005"/>
    <w:rsid w:val="00EA510E"/>
    <w:rsid w:val="00EA542E"/>
    <w:rsid w:val="00EB33CF"/>
    <w:rsid w:val="00EB7336"/>
    <w:rsid w:val="00EB7C4B"/>
    <w:rsid w:val="00EC00A9"/>
    <w:rsid w:val="00EC0E13"/>
    <w:rsid w:val="00EC208F"/>
    <w:rsid w:val="00EC21DD"/>
    <w:rsid w:val="00EC78BF"/>
    <w:rsid w:val="00EE022F"/>
    <w:rsid w:val="00EE5776"/>
    <w:rsid w:val="00EF0DAC"/>
    <w:rsid w:val="00EF10B1"/>
    <w:rsid w:val="00EF40A5"/>
    <w:rsid w:val="00EF5DA0"/>
    <w:rsid w:val="00EF6A20"/>
    <w:rsid w:val="00F00737"/>
    <w:rsid w:val="00F21092"/>
    <w:rsid w:val="00F239AC"/>
    <w:rsid w:val="00F30068"/>
    <w:rsid w:val="00F36382"/>
    <w:rsid w:val="00F36E87"/>
    <w:rsid w:val="00F42A2F"/>
    <w:rsid w:val="00F43A41"/>
    <w:rsid w:val="00F43ABF"/>
    <w:rsid w:val="00F4529C"/>
    <w:rsid w:val="00F479A2"/>
    <w:rsid w:val="00F47ACB"/>
    <w:rsid w:val="00F54D63"/>
    <w:rsid w:val="00F56BE1"/>
    <w:rsid w:val="00F57944"/>
    <w:rsid w:val="00F7091A"/>
    <w:rsid w:val="00F72067"/>
    <w:rsid w:val="00F727A1"/>
    <w:rsid w:val="00F72859"/>
    <w:rsid w:val="00F74E80"/>
    <w:rsid w:val="00F779E2"/>
    <w:rsid w:val="00F83A11"/>
    <w:rsid w:val="00F84643"/>
    <w:rsid w:val="00F84765"/>
    <w:rsid w:val="00F87DD2"/>
    <w:rsid w:val="00F9511A"/>
    <w:rsid w:val="00F95E37"/>
    <w:rsid w:val="00F960FB"/>
    <w:rsid w:val="00F961D7"/>
    <w:rsid w:val="00FA11C9"/>
    <w:rsid w:val="00FA3273"/>
    <w:rsid w:val="00FB181E"/>
    <w:rsid w:val="00FB5131"/>
    <w:rsid w:val="00FC1F02"/>
    <w:rsid w:val="00FC267C"/>
    <w:rsid w:val="00FC2B33"/>
    <w:rsid w:val="00FC4AA0"/>
    <w:rsid w:val="00FD073B"/>
    <w:rsid w:val="00FD0FE2"/>
    <w:rsid w:val="00FD2D37"/>
    <w:rsid w:val="00FD33D3"/>
    <w:rsid w:val="00FD3FBE"/>
    <w:rsid w:val="00FD6C3D"/>
    <w:rsid w:val="00FE0E76"/>
    <w:rsid w:val="00FE1949"/>
    <w:rsid w:val="00FE3D31"/>
    <w:rsid w:val="00FE3FB0"/>
    <w:rsid w:val="00FE59ED"/>
    <w:rsid w:val="00FF22C4"/>
    <w:rsid w:val="00FF2EDA"/>
    <w:rsid w:val="00FF32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basedOn w:val="Normal"/>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10"/>
      </w:numPr>
    </w:pPr>
  </w:style>
  <w:style w:type="paragraph" w:customStyle="1" w:styleId="OutlineNumbered2">
    <w:name w:val="Outline Numbered 2"/>
    <w:basedOn w:val="Normal"/>
    <w:rsid w:val="001E43D3"/>
    <w:pPr>
      <w:numPr>
        <w:ilvl w:val="1"/>
        <w:numId w:val="10"/>
      </w:numPr>
    </w:pPr>
  </w:style>
  <w:style w:type="paragraph" w:customStyle="1" w:styleId="OutlineNumbered3">
    <w:name w:val="Outline Numbered 3"/>
    <w:basedOn w:val="Normal"/>
    <w:rsid w:val="001E43D3"/>
    <w:pPr>
      <w:numPr>
        <w:ilvl w:val="2"/>
        <w:numId w:val="10"/>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9"/>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qFormat/>
    <w:rsid w:val="0056559F"/>
    <w:pPr>
      <w:tabs>
        <w:tab w:val="right" w:leader="dot" w:pos="9072"/>
      </w:tabs>
      <w:spacing w:before="180" w:after="60"/>
      <w:ind w:right="851"/>
    </w:pPr>
    <w:rPr>
      <w:b/>
      <w:sz w:val="24"/>
      <w:szCs w:val="22"/>
    </w:rPr>
  </w:style>
  <w:style w:type="paragraph" w:styleId="TOC2">
    <w:name w:val="toc 2"/>
    <w:basedOn w:val="HeadingBase"/>
    <w:next w:val="Normal"/>
    <w:uiPriority w:val="39"/>
    <w:qFormat/>
    <w:rsid w:val="0056559F"/>
    <w:pPr>
      <w:tabs>
        <w:tab w:val="right" w:leader="dot" w:pos="9072"/>
      </w:tabs>
      <w:spacing w:before="60"/>
      <w:ind w:right="851"/>
    </w:pPr>
    <w:rPr>
      <w:sz w:val="22"/>
    </w:rPr>
  </w:style>
  <w:style w:type="paragraph" w:styleId="TOC3">
    <w:name w:val="toc 3"/>
    <w:basedOn w:val="Normal"/>
    <w:next w:val="Normal"/>
    <w:uiPriority w:val="39"/>
    <w:qFormat/>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9"/>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NoSpacing">
    <w:name w:val="No Spacing"/>
    <w:uiPriority w:val="1"/>
    <w:qFormat/>
    <w:rsid w:val="007B6EDA"/>
    <w:pPr>
      <w:jc w:val="both"/>
    </w:pPr>
    <w:rPr>
      <w:rFonts w:ascii="Book Antiqua" w:hAnsi="Book Antiqua"/>
      <w:color w:val="000000"/>
      <w:sz w:val="22"/>
    </w:rPr>
  </w:style>
  <w:style w:type="paragraph" w:customStyle="1" w:styleId="Default">
    <w:name w:val="Default"/>
    <w:rsid w:val="00A64492"/>
    <w:pPr>
      <w:autoSpaceDE w:val="0"/>
      <w:autoSpaceDN w:val="0"/>
      <w:adjustRightInd w:val="0"/>
    </w:pPr>
    <w:rPr>
      <w:rFonts w:eastAsiaTheme="minorHAnsi"/>
      <w:color w:val="000000"/>
      <w:sz w:val="24"/>
      <w:szCs w:val="24"/>
      <w:lang w:eastAsia="en-US"/>
    </w:rPr>
  </w:style>
  <w:style w:type="character" w:customStyle="1" w:styleId="FootnoteTextChar">
    <w:name w:val="Footnote Text Char"/>
    <w:basedOn w:val="DefaultParagraphFont"/>
    <w:link w:val="FootnoteText"/>
    <w:uiPriority w:val="99"/>
    <w:rsid w:val="00D1216C"/>
    <w:rPr>
      <w:rFonts w:ascii="Book Antiqua" w:hAnsi="Book Antiqua"/>
      <w:color w:val="000000"/>
      <w:sz w:val="18"/>
    </w:rPr>
  </w:style>
  <w:style w:type="character" w:styleId="FootnoteReference">
    <w:name w:val="footnote reference"/>
    <w:basedOn w:val="DefaultParagraphFont"/>
    <w:uiPriority w:val="99"/>
    <w:semiHidden/>
    <w:unhideWhenUsed/>
    <w:rsid w:val="00D1216C"/>
    <w:rPr>
      <w:vertAlign w:val="superscript"/>
    </w:rPr>
  </w:style>
  <w:style w:type="paragraph" w:styleId="ListParagraph">
    <w:name w:val="List Paragraph"/>
    <w:basedOn w:val="Normal"/>
    <w:uiPriority w:val="34"/>
    <w:qFormat/>
    <w:rsid w:val="00637298"/>
    <w:pPr>
      <w:spacing w:after="200" w:line="276" w:lineRule="auto"/>
      <w:ind w:left="720"/>
      <w:contextualSpacing/>
      <w:jc w:val="left"/>
    </w:pPr>
    <w:rPr>
      <w:rFonts w:asciiTheme="minorHAnsi" w:eastAsiaTheme="minorEastAsia" w:hAnsiTheme="minorHAnsi" w:cstheme="minorBidi"/>
      <w:color w:val="auto"/>
      <w:szCs w:val="22"/>
    </w:rPr>
  </w:style>
  <w:style w:type="paragraph" w:styleId="TOCHeading">
    <w:name w:val="TOC Heading"/>
    <w:basedOn w:val="Heading1"/>
    <w:next w:val="Normal"/>
    <w:uiPriority w:val="39"/>
    <w:unhideWhenUsed/>
    <w:qFormat/>
    <w:rsid w:val="009F7DA2"/>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character" w:customStyle="1" w:styleId="FooterChar">
    <w:name w:val="Footer Char"/>
    <w:basedOn w:val="DefaultParagraphFont"/>
    <w:link w:val="Footer"/>
    <w:uiPriority w:val="99"/>
    <w:rsid w:val="007E7969"/>
    <w:rPr>
      <w:rFonts w:ascii="Century Gothic" w:hAnsi="Century Gothic"/>
      <w:color w:val="1F497D" w:themeColor="text2"/>
      <w:sz w:val="18"/>
    </w:rPr>
  </w:style>
  <w:style w:type="table" w:customStyle="1" w:styleId="TableGrid1">
    <w:name w:val="Table Grid1"/>
    <w:basedOn w:val="TableNormal"/>
    <w:next w:val="TableGrid"/>
    <w:rsid w:val="0073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4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Char">
    <w:name w:val="subsection Char"/>
    <w:aliases w:val="ss Char"/>
    <w:basedOn w:val="DefaultParagraphFont"/>
    <w:link w:val="subsection"/>
    <w:locked/>
    <w:rsid w:val="00EC208F"/>
    <w:rPr>
      <w:sz w:val="22"/>
    </w:rPr>
  </w:style>
  <w:style w:type="paragraph" w:customStyle="1" w:styleId="subsection">
    <w:name w:val="subsection"/>
    <w:aliases w:val="ss"/>
    <w:basedOn w:val="Normal"/>
    <w:link w:val="subsectionChar"/>
    <w:rsid w:val="00EC208F"/>
    <w:pPr>
      <w:tabs>
        <w:tab w:val="right" w:pos="1021"/>
      </w:tabs>
      <w:spacing w:before="180" w:after="0" w:line="240" w:lineRule="auto"/>
      <w:ind w:left="1134" w:hanging="1134"/>
      <w:jc w:val="left"/>
    </w:pPr>
    <w:rPr>
      <w:rFonts w:ascii="Times New Roman" w:hAnsi="Times New Roman"/>
      <w:color w:val="auto"/>
    </w:rPr>
  </w:style>
  <w:style w:type="character" w:customStyle="1" w:styleId="paragraphChar">
    <w:name w:val="paragraph Char"/>
    <w:aliases w:val="a Char"/>
    <w:basedOn w:val="DefaultParagraphFont"/>
    <w:link w:val="paragraph"/>
    <w:locked/>
    <w:rsid w:val="00EC208F"/>
    <w:rPr>
      <w:sz w:val="22"/>
    </w:rPr>
  </w:style>
  <w:style w:type="paragraph" w:customStyle="1" w:styleId="paragraph">
    <w:name w:val="paragraph"/>
    <w:aliases w:val="a"/>
    <w:basedOn w:val="Normal"/>
    <w:link w:val="paragraphChar"/>
    <w:rsid w:val="00EC208F"/>
    <w:pPr>
      <w:tabs>
        <w:tab w:val="right" w:pos="1531"/>
      </w:tabs>
      <w:spacing w:before="40" w:after="0" w:line="240" w:lineRule="auto"/>
      <w:ind w:left="1644" w:hanging="1644"/>
      <w:jc w:val="left"/>
    </w:pPr>
    <w:rPr>
      <w:rFonts w:ascii="Times New Roman" w:hAnsi="Times New Roman"/>
      <w:color w:val="auto"/>
    </w:rPr>
  </w:style>
  <w:style w:type="paragraph" w:customStyle="1" w:styleId="paragraphsub">
    <w:name w:val="paragraph(sub)"/>
    <w:aliases w:val="aa"/>
    <w:basedOn w:val="Normal"/>
    <w:rsid w:val="00AC1F61"/>
    <w:pPr>
      <w:tabs>
        <w:tab w:val="right" w:pos="1985"/>
      </w:tabs>
      <w:spacing w:before="40" w:after="0" w:line="240" w:lineRule="auto"/>
      <w:ind w:left="2098" w:hanging="2098"/>
      <w:jc w:val="left"/>
    </w:pPr>
    <w:rPr>
      <w:rFonts w:ascii="Times New Roman" w:hAnsi="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E69"/>
    <w:pPr>
      <w:spacing w:after="240" w:line="260" w:lineRule="exact"/>
      <w:jc w:val="both"/>
    </w:pPr>
    <w:rPr>
      <w:rFonts w:ascii="Book Antiqua" w:hAnsi="Book Antiqua"/>
      <w:color w:val="000000"/>
      <w:sz w:val="22"/>
    </w:rPr>
  </w:style>
  <w:style w:type="paragraph" w:styleId="Heading1">
    <w:name w:val="heading 1"/>
    <w:basedOn w:val="HeadingBase"/>
    <w:next w:val="OutlineNumbered1"/>
    <w:qFormat/>
    <w:rsid w:val="000A7BCF"/>
    <w:pPr>
      <w:spacing w:before="360" w:after="360"/>
      <w:outlineLvl w:val="0"/>
    </w:pPr>
    <w:rPr>
      <w:rFonts w:cs="Arial"/>
      <w:b/>
      <w:bCs/>
      <w:smallCaps/>
      <w:kern w:val="32"/>
      <w:sz w:val="36"/>
      <w:szCs w:val="36"/>
    </w:rPr>
  </w:style>
  <w:style w:type="paragraph" w:styleId="Heading2">
    <w:name w:val="heading 2"/>
    <w:basedOn w:val="HeadingBase"/>
    <w:next w:val="OutlineNumbered1"/>
    <w:qFormat/>
    <w:rsid w:val="005750C6"/>
    <w:pPr>
      <w:spacing w:before="300" w:after="180"/>
      <w:outlineLvl w:val="1"/>
    </w:pPr>
    <w:rPr>
      <w:rFonts w:cs="Arial"/>
      <w:b/>
      <w:bCs/>
      <w:iCs/>
      <w:smallCaps/>
      <w:sz w:val="32"/>
      <w:szCs w:val="28"/>
    </w:rPr>
  </w:style>
  <w:style w:type="paragraph" w:styleId="Heading3">
    <w:name w:val="heading 3"/>
    <w:basedOn w:val="HeadingBase"/>
    <w:next w:val="OutlineNumbered1"/>
    <w:qFormat/>
    <w:rsid w:val="000A7BCF"/>
    <w:pPr>
      <w:spacing w:before="120" w:after="240"/>
      <w:outlineLvl w:val="2"/>
    </w:pPr>
    <w:rPr>
      <w:rFonts w:cs="Arial"/>
      <w:b/>
      <w:bCs/>
      <w:sz w:val="26"/>
      <w:szCs w:val="26"/>
    </w:rPr>
  </w:style>
  <w:style w:type="paragraph" w:styleId="Heading4">
    <w:name w:val="heading 4"/>
    <w:basedOn w:val="HeadingBase"/>
    <w:next w:val="OutlineNumbered1"/>
    <w:qFormat/>
    <w:rsid w:val="000A7BCF"/>
    <w:pPr>
      <w:spacing w:after="240"/>
      <w:outlineLvl w:val="3"/>
    </w:pPr>
    <w:rPr>
      <w:b/>
      <w:bCs/>
      <w:sz w:val="22"/>
      <w:szCs w:val="22"/>
    </w:rPr>
  </w:style>
  <w:style w:type="paragraph" w:styleId="Heading5">
    <w:name w:val="heading 5"/>
    <w:basedOn w:val="HeadingBase"/>
    <w:next w:val="OutlineNumbered1"/>
    <w:qFormat/>
    <w:rsid w:val="000A7BCF"/>
    <w:pPr>
      <w:spacing w:after="120"/>
      <w:outlineLvl w:val="4"/>
    </w:pPr>
    <w:rPr>
      <w:b/>
      <w:bCs/>
      <w:iCs/>
    </w:rPr>
  </w:style>
  <w:style w:type="paragraph" w:styleId="Heading6">
    <w:name w:val="heading 6"/>
    <w:basedOn w:val="HeadingBase"/>
    <w:next w:val="OutlineNumbered1"/>
    <w:qFormat/>
    <w:rsid w:val="000A7BCF"/>
    <w:pPr>
      <w:spacing w:after="120"/>
      <w:outlineLvl w:val="5"/>
    </w:pPr>
    <w:rPr>
      <w:bCs/>
      <w:szCs w:val="22"/>
    </w:rPr>
  </w:style>
  <w:style w:type="paragraph" w:styleId="Heading7">
    <w:name w:val="heading 7"/>
    <w:basedOn w:val="HeadingBase"/>
    <w:next w:val="Normal"/>
    <w:qFormat/>
    <w:rsid w:val="000A7BCF"/>
    <w:pPr>
      <w:spacing w:after="120"/>
      <w:outlineLvl w:val="6"/>
    </w:pPr>
    <w:rPr>
      <w:szCs w:val="24"/>
    </w:rPr>
  </w:style>
  <w:style w:type="paragraph" w:styleId="Heading8">
    <w:name w:val="heading 8"/>
    <w:basedOn w:val="HeadingBase"/>
    <w:next w:val="Normal"/>
    <w:qFormat/>
    <w:rsid w:val="000A7BCF"/>
    <w:pPr>
      <w:spacing w:after="120"/>
      <w:outlineLvl w:val="7"/>
    </w:pPr>
    <w:rPr>
      <w:iCs/>
      <w:szCs w:val="24"/>
    </w:rPr>
  </w:style>
  <w:style w:type="paragraph" w:styleId="Heading9">
    <w:name w:val="heading 9"/>
    <w:basedOn w:val="HeadingBase"/>
    <w:next w:val="Normal"/>
    <w:qFormat/>
    <w:rsid w:val="000A7BCF"/>
    <w:pPr>
      <w:spacing w:after="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0A7BCF"/>
    <w:pPr>
      <w:spacing w:after="0"/>
    </w:pPr>
  </w:style>
  <w:style w:type="character" w:styleId="Hyperlink">
    <w:name w:val="Hyperlink"/>
    <w:basedOn w:val="DefaultParagraphFont"/>
    <w:uiPriority w:val="99"/>
    <w:rsid w:val="000A7BCF"/>
    <w:rPr>
      <w:color w:val="auto"/>
      <w:u w:val="none"/>
    </w:rPr>
  </w:style>
  <w:style w:type="character" w:customStyle="1" w:styleId="BoldandItalic">
    <w:name w:val="Bold and Italic"/>
    <w:basedOn w:val="DefaultParagraphFont"/>
    <w:rsid w:val="000A7BCF"/>
    <w:rPr>
      <w:rFonts w:ascii="Arial" w:hAnsi="Arial"/>
      <w:b/>
      <w:i/>
    </w:rPr>
  </w:style>
  <w:style w:type="table" w:styleId="TableGrid">
    <w:name w:val="Table Grid"/>
    <w:basedOn w:val="TableNormal"/>
    <w:rsid w:val="000A7BCF"/>
    <w:pPr>
      <w:spacing w:after="240" w:line="260" w:lineRule="exact"/>
      <w:jc w:val="both"/>
    </w:pPr>
    <w:tblPr/>
    <w:tcPr>
      <w:shd w:val="clear" w:color="auto" w:fill="E6E6E6"/>
    </w:tcPr>
  </w:style>
  <w:style w:type="character" w:styleId="PageNumber">
    <w:name w:val="page number"/>
    <w:basedOn w:val="DefaultParagraphFont"/>
    <w:rsid w:val="0056559F"/>
    <w:rPr>
      <w:rFonts w:ascii="Book Antiqua" w:hAnsi="Book Antiqua"/>
      <w:sz w:val="18"/>
    </w:rPr>
  </w:style>
  <w:style w:type="paragraph" w:styleId="FootnoteText">
    <w:name w:val="footnote text"/>
    <w:basedOn w:val="Normal"/>
    <w:link w:val="FootnoteTextChar"/>
    <w:uiPriority w:val="99"/>
    <w:rsid w:val="005039EE"/>
    <w:pPr>
      <w:tabs>
        <w:tab w:val="left" w:pos="284"/>
      </w:tabs>
      <w:ind w:left="284" w:hanging="284"/>
    </w:pPr>
    <w:rPr>
      <w:sz w:val="18"/>
    </w:rPr>
  </w:style>
  <w:style w:type="paragraph" w:customStyle="1" w:styleId="Bullet">
    <w:name w:val="Bullet"/>
    <w:basedOn w:val="Normal"/>
    <w:rsid w:val="000A7BCF"/>
    <w:pPr>
      <w:numPr>
        <w:numId w:val="1"/>
      </w:numPr>
    </w:pPr>
  </w:style>
  <w:style w:type="paragraph" w:customStyle="1" w:styleId="Dash">
    <w:name w:val="Dash"/>
    <w:basedOn w:val="Normal"/>
    <w:rsid w:val="000A7BCF"/>
    <w:pPr>
      <w:numPr>
        <w:ilvl w:val="1"/>
        <w:numId w:val="1"/>
      </w:numPr>
    </w:pPr>
  </w:style>
  <w:style w:type="paragraph" w:customStyle="1" w:styleId="DoubleDot">
    <w:name w:val="Double Dot"/>
    <w:basedOn w:val="Normal"/>
    <w:rsid w:val="000A7BCF"/>
    <w:pPr>
      <w:numPr>
        <w:ilvl w:val="2"/>
        <w:numId w:val="1"/>
      </w:numPr>
    </w:pPr>
  </w:style>
  <w:style w:type="paragraph" w:customStyle="1" w:styleId="OutlineNumbered1">
    <w:name w:val="Outline Numbered 1"/>
    <w:basedOn w:val="Normal"/>
    <w:rsid w:val="001E43D3"/>
    <w:pPr>
      <w:numPr>
        <w:numId w:val="10"/>
      </w:numPr>
    </w:pPr>
  </w:style>
  <w:style w:type="paragraph" w:customStyle="1" w:styleId="OutlineNumbered2">
    <w:name w:val="Outline Numbered 2"/>
    <w:basedOn w:val="Normal"/>
    <w:rsid w:val="001E43D3"/>
    <w:pPr>
      <w:numPr>
        <w:ilvl w:val="1"/>
        <w:numId w:val="10"/>
      </w:numPr>
    </w:pPr>
  </w:style>
  <w:style w:type="paragraph" w:customStyle="1" w:styleId="OutlineNumbered3">
    <w:name w:val="Outline Numbered 3"/>
    <w:basedOn w:val="Normal"/>
    <w:rsid w:val="001E43D3"/>
    <w:pPr>
      <w:numPr>
        <w:ilvl w:val="2"/>
        <w:numId w:val="10"/>
      </w:numPr>
    </w:pPr>
  </w:style>
  <w:style w:type="paragraph" w:customStyle="1" w:styleId="AlphaParagraph">
    <w:name w:val="Alpha Paragraph"/>
    <w:basedOn w:val="Normal"/>
    <w:rsid w:val="000A7BCF"/>
    <w:pPr>
      <w:numPr>
        <w:numId w:val="2"/>
      </w:numPr>
      <w:tabs>
        <w:tab w:val="clear" w:pos="567"/>
        <w:tab w:val="num" w:pos="283"/>
      </w:tabs>
      <w:ind w:left="283" w:hanging="283"/>
    </w:pPr>
  </w:style>
  <w:style w:type="paragraph" w:customStyle="1" w:styleId="HeadingBase">
    <w:name w:val="Heading Base"/>
    <w:next w:val="Normal"/>
    <w:rsid w:val="0056559F"/>
    <w:pPr>
      <w:keepNext/>
    </w:pPr>
    <w:rPr>
      <w:rFonts w:ascii="Century Gothic" w:hAnsi="Century Gothic"/>
      <w:color w:val="1F497D" w:themeColor="text2"/>
    </w:rPr>
  </w:style>
  <w:style w:type="paragraph" w:customStyle="1" w:styleId="AppendixHeading">
    <w:name w:val="Appendix Heading"/>
    <w:basedOn w:val="HeadingBase"/>
    <w:next w:val="Normal"/>
    <w:rsid w:val="000A7BCF"/>
    <w:pPr>
      <w:spacing w:before="720" w:after="360"/>
    </w:pPr>
    <w:rPr>
      <w:rFonts w:ascii="Arial Bold" w:hAnsi="Arial Bold"/>
      <w:b/>
      <w:smallCaps/>
      <w:sz w:val="36"/>
      <w:szCs w:val="36"/>
    </w:rPr>
  </w:style>
  <w:style w:type="character" w:customStyle="1" w:styleId="Bold">
    <w:name w:val="Bold"/>
    <w:basedOn w:val="DefaultParagraphFont"/>
    <w:rsid w:val="000A7BCF"/>
    <w:rPr>
      <w:b/>
    </w:rPr>
  </w:style>
  <w:style w:type="paragraph" w:customStyle="1" w:styleId="BoxHeading">
    <w:name w:val="Box Heading"/>
    <w:basedOn w:val="HeadingBase"/>
    <w:next w:val="BoxText"/>
    <w:rsid w:val="00CA601E"/>
    <w:pPr>
      <w:numPr>
        <w:numId w:val="9"/>
      </w:numPr>
      <w:spacing w:before="120" w:after="120"/>
    </w:pPr>
    <w:rPr>
      <w:b/>
      <w:sz w:val="22"/>
    </w:rPr>
  </w:style>
  <w:style w:type="paragraph" w:customStyle="1" w:styleId="BoxTextBase">
    <w:name w:val="Box Text Base"/>
    <w:basedOn w:val="Normal"/>
    <w:rsid w:val="000A7BCF"/>
    <w:pPr>
      <w:spacing w:line="240" w:lineRule="auto"/>
    </w:pPr>
    <w:rPr>
      <w:color w:val="000080"/>
    </w:rPr>
  </w:style>
  <w:style w:type="paragraph" w:customStyle="1" w:styleId="ChartandTableFootnoteAlpha">
    <w:name w:val="Chart and Table Footnote Alpha"/>
    <w:rsid w:val="000A7BCF"/>
    <w:pPr>
      <w:numPr>
        <w:numId w:val="3"/>
      </w:numPr>
      <w:jc w:val="both"/>
    </w:pPr>
    <w:rPr>
      <w:rFonts w:ascii="Arial" w:hAnsi="Arial"/>
      <w:color w:val="000000"/>
      <w:sz w:val="16"/>
      <w:szCs w:val="16"/>
    </w:rPr>
  </w:style>
  <w:style w:type="paragraph" w:customStyle="1" w:styleId="ChartGraphic">
    <w:name w:val="Chart Graphic"/>
    <w:basedOn w:val="HeadingBase"/>
    <w:rsid w:val="000A7BCF"/>
    <w:pPr>
      <w:jc w:val="center"/>
    </w:pPr>
  </w:style>
  <w:style w:type="paragraph" w:customStyle="1" w:styleId="ChartMainHeading">
    <w:name w:val="Chart Main Heading"/>
    <w:basedOn w:val="HeadingBase"/>
    <w:next w:val="ChartGraphic"/>
    <w:rsid w:val="000A7BCF"/>
    <w:pPr>
      <w:spacing w:after="20"/>
      <w:jc w:val="center"/>
    </w:pPr>
    <w:rPr>
      <w:b/>
      <w:sz w:val="22"/>
    </w:rPr>
  </w:style>
  <w:style w:type="paragraph" w:customStyle="1" w:styleId="ChartorTableNote">
    <w:name w:val="Chart or Table Note"/>
    <w:next w:val="Normal"/>
    <w:rsid w:val="000A7BCF"/>
    <w:pPr>
      <w:jc w:val="both"/>
    </w:pPr>
    <w:rPr>
      <w:rFonts w:ascii="Arial" w:hAnsi="Arial"/>
      <w:color w:val="000000"/>
      <w:sz w:val="16"/>
    </w:rPr>
  </w:style>
  <w:style w:type="paragraph" w:customStyle="1" w:styleId="ChartSecondHeading">
    <w:name w:val="Chart Second Heading"/>
    <w:basedOn w:val="HeadingBase"/>
    <w:next w:val="ChartGraphic"/>
    <w:rsid w:val="000A7BCF"/>
    <w:pPr>
      <w:spacing w:after="20"/>
      <w:jc w:val="center"/>
    </w:pPr>
  </w:style>
  <w:style w:type="paragraph" w:customStyle="1" w:styleId="Classification">
    <w:name w:val="Classification"/>
    <w:basedOn w:val="HeadingBase"/>
    <w:next w:val="Footer"/>
    <w:rsid w:val="000A7BCF"/>
    <w:pPr>
      <w:spacing w:after="120"/>
      <w:jc w:val="center"/>
    </w:pPr>
    <w:rPr>
      <w:b/>
      <w:smallCaps/>
    </w:rPr>
  </w:style>
  <w:style w:type="paragraph" w:styleId="Footer">
    <w:name w:val="footer"/>
    <w:basedOn w:val="HeadingBase"/>
    <w:link w:val="FooterChar"/>
    <w:uiPriority w:val="99"/>
    <w:rsid w:val="000A7BCF"/>
    <w:rPr>
      <w:sz w:val="18"/>
    </w:rPr>
  </w:style>
  <w:style w:type="paragraph" w:customStyle="1" w:styleId="ContentsHeading">
    <w:name w:val="Contents Heading"/>
    <w:basedOn w:val="HeadingBase"/>
    <w:next w:val="Normal"/>
    <w:rsid w:val="0056559F"/>
    <w:pPr>
      <w:spacing w:after="360"/>
      <w:jc w:val="center"/>
    </w:pPr>
    <w:rPr>
      <w:smallCaps/>
      <w:sz w:val="36"/>
      <w:szCs w:val="36"/>
    </w:rPr>
  </w:style>
  <w:style w:type="paragraph" w:customStyle="1" w:styleId="CoverTitleMain">
    <w:name w:val="Cover Title Main"/>
    <w:basedOn w:val="HeadingBase"/>
    <w:next w:val="Normal"/>
    <w:rsid w:val="000A7BCF"/>
    <w:pPr>
      <w:spacing w:after="480"/>
      <w:jc w:val="center"/>
    </w:pPr>
    <w:rPr>
      <w:b/>
      <w:sz w:val="48"/>
    </w:rPr>
  </w:style>
  <w:style w:type="paragraph" w:customStyle="1" w:styleId="CoverTitleSub">
    <w:name w:val="Cover Title Sub"/>
    <w:basedOn w:val="HeadingBase"/>
    <w:rsid w:val="000A7BCF"/>
    <w:pPr>
      <w:spacing w:after="360"/>
      <w:jc w:val="center"/>
    </w:pPr>
    <w:rPr>
      <w:sz w:val="36"/>
    </w:rPr>
  </w:style>
  <w:style w:type="paragraph" w:customStyle="1" w:styleId="FooterCentered">
    <w:name w:val="Footer Centered"/>
    <w:basedOn w:val="Footer"/>
    <w:rsid w:val="000A7BCF"/>
    <w:pPr>
      <w:jc w:val="center"/>
    </w:pPr>
    <w:rPr>
      <w:rFonts w:ascii="Book Antiqua" w:hAnsi="Book Antiqua"/>
      <w:sz w:val="22"/>
    </w:rPr>
  </w:style>
  <w:style w:type="paragraph" w:customStyle="1" w:styleId="FooterEven">
    <w:name w:val="Footer Even"/>
    <w:basedOn w:val="Footer"/>
    <w:rsid w:val="000A7BCF"/>
  </w:style>
  <w:style w:type="paragraph" w:customStyle="1" w:styleId="FooterOdd">
    <w:name w:val="Footer Odd"/>
    <w:basedOn w:val="Footer"/>
    <w:rsid w:val="000A7BCF"/>
    <w:pPr>
      <w:jc w:val="right"/>
    </w:pPr>
  </w:style>
  <w:style w:type="character" w:customStyle="1" w:styleId="FramedFooter">
    <w:name w:val="Framed Footer"/>
    <w:rsid w:val="000A7BCF"/>
    <w:rPr>
      <w:rFonts w:ascii="Arial" w:hAnsi="Arial"/>
      <w:sz w:val="18"/>
    </w:rPr>
  </w:style>
  <w:style w:type="character" w:customStyle="1" w:styleId="FramedHeader">
    <w:name w:val="Framed Header"/>
    <w:basedOn w:val="DefaultParagraphFont"/>
    <w:rsid w:val="000A7BCF"/>
    <w:rPr>
      <w:rFonts w:ascii="Arial" w:hAnsi="Arial"/>
      <w:dstrike w:val="0"/>
      <w:color w:val="auto"/>
      <w:sz w:val="18"/>
      <w:vertAlign w:val="baseline"/>
    </w:rPr>
  </w:style>
  <w:style w:type="paragraph" w:styleId="Header">
    <w:name w:val="header"/>
    <w:basedOn w:val="HeadingBase"/>
    <w:rsid w:val="000A7BCF"/>
    <w:rPr>
      <w:sz w:val="18"/>
    </w:rPr>
  </w:style>
  <w:style w:type="paragraph" w:customStyle="1" w:styleId="HeaderEven">
    <w:name w:val="Header Even"/>
    <w:basedOn w:val="Header"/>
    <w:rsid w:val="000A7BCF"/>
  </w:style>
  <w:style w:type="paragraph" w:customStyle="1" w:styleId="HeaderOdd">
    <w:name w:val="Header Odd"/>
    <w:basedOn w:val="Header"/>
    <w:rsid w:val="000A7BCF"/>
    <w:pPr>
      <w:jc w:val="right"/>
    </w:pPr>
  </w:style>
  <w:style w:type="paragraph" w:styleId="NormalIndent">
    <w:name w:val="Normal Indent"/>
    <w:basedOn w:val="Normal"/>
    <w:rsid w:val="000A7BCF"/>
    <w:pPr>
      <w:ind w:left="567"/>
    </w:pPr>
  </w:style>
  <w:style w:type="paragraph" w:customStyle="1" w:styleId="RecommendationHeading">
    <w:name w:val="Recommendation Heading"/>
    <w:basedOn w:val="HeadingBase"/>
    <w:next w:val="RecommendationText"/>
    <w:rsid w:val="000A7BCF"/>
    <w:pPr>
      <w:numPr>
        <w:numId w:val="7"/>
      </w:numPr>
      <w:spacing w:before="120" w:after="240"/>
    </w:pPr>
    <w:rPr>
      <w:b/>
      <w:sz w:val="22"/>
    </w:rPr>
  </w:style>
  <w:style w:type="paragraph" w:customStyle="1" w:styleId="RecommendationTextBase">
    <w:name w:val="Recommendation Text Base"/>
    <w:basedOn w:val="Normal"/>
    <w:rsid w:val="000A7BCF"/>
  </w:style>
  <w:style w:type="paragraph" w:customStyle="1" w:styleId="RecommendationText">
    <w:name w:val="Recommendation Text"/>
    <w:basedOn w:val="RecommendationTextBase"/>
    <w:rsid w:val="000A7BCF"/>
  </w:style>
  <w:style w:type="paragraph" w:customStyle="1" w:styleId="TableTextBase">
    <w:name w:val="Table Text Base"/>
    <w:rsid w:val="000A7BCF"/>
    <w:pPr>
      <w:spacing w:before="40" w:after="40"/>
    </w:pPr>
    <w:rPr>
      <w:rFonts w:ascii="Arial" w:hAnsi="Arial"/>
      <w:color w:val="000000"/>
      <w:sz w:val="16"/>
    </w:rPr>
  </w:style>
  <w:style w:type="paragraph" w:customStyle="1" w:styleId="TableColumnHeadingCentred">
    <w:name w:val="Table Column Heading Centred"/>
    <w:basedOn w:val="TableTextBase"/>
    <w:rsid w:val="000A7BCF"/>
    <w:pPr>
      <w:jc w:val="center"/>
    </w:pPr>
    <w:rPr>
      <w:b/>
    </w:rPr>
  </w:style>
  <w:style w:type="paragraph" w:customStyle="1" w:styleId="TableColumnHeadingLeft">
    <w:name w:val="Table Column Heading Left"/>
    <w:basedOn w:val="TableTextBase"/>
    <w:rsid w:val="000A7BCF"/>
    <w:rPr>
      <w:b/>
    </w:rPr>
  </w:style>
  <w:style w:type="paragraph" w:customStyle="1" w:styleId="TableColumnHeadingRight">
    <w:name w:val="Table Column Heading Right"/>
    <w:basedOn w:val="TableTextBase"/>
    <w:rsid w:val="000A7BCF"/>
    <w:pPr>
      <w:jc w:val="right"/>
    </w:pPr>
    <w:rPr>
      <w:b/>
    </w:rPr>
  </w:style>
  <w:style w:type="paragraph" w:customStyle="1" w:styleId="TableGraphic">
    <w:name w:val="Table Graphic"/>
    <w:basedOn w:val="HeadingBase"/>
    <w:next w:val="Normal"/>
    <w:rsid w:val="000A7BCF"/>
  </w:style>
  <w:style w:type="paragraph" w:customStyle="1" w:styleId="TableMainHeading">
    <w:name w:val="Table Main Heading"/>
    <w:basedOn w:val="HeadingBase"/>
    <w:next w:val="TableGraphic"/>
    <w:rsid w:val="000A7BCF"/>
    <w:pPr>
      <w:spacing w:after="20"/>
    </w:pPr>
    <w:rPr>
      <w:b/>
      <w:sz w:val="22"/>
    </w:rPr>
  </w:style>
  <w:style w:type="paragraph" w:customStyle="1" w:styleId="TableMainHeadingContd">
    <w:name w:val="Table Main Heading Contd"/>
    <w:basedOn w:val="HeadingBase"/>
    <w:next w:val="TableGraphic"/>
    <w:rsid w:val="000A7BCF"/>
    <w:pPr>
      <w:spacing w:after="20"/>
    </w:pPr>
    <w:rPr>
      <w:b/>
      <w:sz w:val="22"/>
    </w:rPr>
  </w:style>
  <w:style w:type="paragraph" w:customStyle="1" w:styleId="TableSecondHeading">
    <w:name w:val="Table Second Heading"/>
    <w:basedOn w:val="HeadingBase"/>
    <w:next w:val="TableGraphic"/>
    <w:rsid w:val="000A7BCF"/>
    <w:pPr>
      <w:spacing w:after="20"/>
    </w:pPr>
  </w:style>
  <w:style w:type="paragraph" w:customStyle="1" w:styleId="TableTextCentered">
    <w:name w:val="Table Text Centered"/>
    <w:basedOn w:val="TableTextBase"/>
    <w:rsid w:val="000A7BCF"/>
    <w:pPr>
      <w:jc w:val="center"/>
    </w:pPr>
  </w:style>
  <w:style w:type="paragraph" w:customStyle="1" w:styleId="TableTextIndented">
    <w:name w:val="Table Text Indented"/>
    <w:basedOn w:val="TableTextBase"/>
    <w:rsid w:val="000A7BCF"/>
    <w:pPr>
      <w:ind w:left="284"/>
    </w:pPr>
  </w:style>
  <w:style w:type="paragraph" w:customStyle="1" w:styleId="TableTextLeft">
    <w:name w:val="Table Text Left"/>
    <w:basedOn w:val="TableTextBase"/>
    <w:rsid w:val="000A7BCF"/>
  </w:style>
  <w:style w:type="paragraph" w:customStyle="1" w:styleId="TableTextRight">
    <w:name w:val="Table Text Right"/>
    <w:basedOn w:val="TableTextBase"/>
    <w:rsid w:val="000A7BCF"/>
    <w:pPr>
      <w:jc w:val="right"/>
    </w:pPr>
  </w:style>
  <w:style w:type="paragraph" w:styleId="TOC1">
    <w:name w:val="toc 1"/>
    <w:basedOn w:val="HeadingBase"/>
    <w:next w:val="Normal"/>
    <w:uiPriority w:val="39"/>
    <w:qFormat/>
    <w:rsid w:val="0056559F"/>
    <w:pPr>
      <w:tabs>
        <w:tab w:val="right" w:leader="dot" w:pos="9072"/>
      </w:tabs>
      <w:spacing w:before="180" w:after="60"/>
      <w:ind w:right="851"/>
    </w:pPr>
    <w:rPr>
      <w:b/>
      <w:sz w:val="24"/>
      <w:szCs w:val="22"/>
    </w:rPr>
  </w:style>
  <w:style w:type="paragraph" w:styleId="TOC2">
    <w:name w:val="toc 2"/>
    <w:basedOn w:val="HeadingBase"/>
    <w:next w:val="Normal"/>
    <w:uiPriority w:val="39"/>
    <w:qFormat/>
    <w:rsid w:val="0056559F"/>
    <w:pPr>
      <w:tabs>
        <w:tab w:val="right" w:leader="dot" w:pos="9072"/>
      </w:tabs>
      <w:spacing w:before="60"/>
      <w:ind w:right="851"/>
    </w:pPr>
    <w:rPr>
      <w:sz w:val="22"/>
    </w:rPr>
  </w:style>
  <w:style w:type="paragraph" w:styleId="TOC3">
    <w:name w:val="toc 3"/>
    <w:basedOn w:val="Normal"/>
    <w:next w:val="Normal"/>
    <w:uiPriority w:val="39"/>
    <w:qFormat/>
    <w:rsid w:val="00813AC3"/>
    <w:pPr>
      <w:tabs>
        <w:tab w:val="right" w:leader="dot" w:pos="9072"/>
      </w:tabs>
      <w:spacing w:before="40" w:after="0" w:line="240" w:lineRule="auto"/>
      <w:ind w:right="851"/>
    </w:pPr>
    <w:rPr>
      <w:rFonts w:ascii="Century Gothic" w:hAnsi="Century Gothic"/>
    </w:rPr>
  </w:style>
  <w:style w:type="paragraph" w:styleId="TOC4">
    <w:name w:val="toc 4"/>
    <w:basedOn w:val="Normal"/>
    <w:next w:val="Normal"/>
    <w:rsid w:val="000A7BCF"/>
    <w:pPr>
      <w:tabs>
        <w:tab w:val="right" w:leader="dot" w:pos="9072"/>
      </w:tabs>
      <w:spacing w:after="0" w:line="240" w:lineRule="auto"/>
      <w:ind w:left="284" w:right="851"/>
    </w:pPr>
  </w:style>
  <w:style w:type="character" w:customStyle="1" w:styleId="italic">
    <w:name w:val="italic"/>
    <w:basedOn w:val="DefaultParagraphFont"/>
    <w:rsid w:val="000A7BCF"/>
    <w:rPr>
      <w:i/>
    </w:rPr>
  </w:style>
  <w:style w:type="paragraph" w:customStyle="1" w:styleId="OneLevelNumberedParagraph">
    <w:name w:val="One Level Numbered Paragraph"/>
    <w:basedOn w:val="Normal"/>
    <w:rsid w:val="000A7BCF"/>
    <w:pPr>
      <w:numPr>
        <w:numId w:val="5"/>
      </w:numPr>
    </w:pPr>
  </w:style>
  <w:style w:type="paragraph" w:customStyle="1" w:styleId="BoxText">
    <w:name w:val="Box Text"/>
    <w:basedOn w:val="BoxTextBase"/>
    <w:rsid w:val="000A7BCF"/>
  </w:style>
  <w:style w:type="paragraph" w:customStyle="1" w:styleId="BoxBullet">
    <w:name w:val="Box Bullet"/>
    <w:basedOn w:val="BoxTextBase"/>
    <w:rsid w:val="000A7BCF"/>
    <w:pPr>
      <w:numPr>
        <w:numId w:val="4"/>
      </w:numPr>
    </w:pPr>
  </w:style>
  <w:style w:type="paragraph" w:customStyle="1" w:styleId="BoxDash">
    <w:name w:val="Box Dash"/>
    <w:basedOn w:val="BoxTextBase"/>
    <w:rsid w:val="000A7BCF"/>
    <w:pPr>
      <w:numPr>
        <w:ilvl w:val="1"/>
        <w:numId w:val="4"/>
      </w:numPr>
    </w:pPr>
  </w:style>
  <w:style w:type="paragraph" w:customStyle="1" w:styleId="BoxDoubleDot">
    <w:name w:val="Box Double Dot"/>
    <w:basedOn w:val="BoxTextBase"/>
    <w:rsid w:val="000A7BCF"/>
    <w:pPr>
      <w:numPr>
        <w:ilvl w:val="2"/>
        <w:numId w:val="4"/>
      </w:numPr>
    </w:pPr>
  </w:style>
  <w:style w:type="paragraph" w:customStyle="1" w:styleId="RecommendationBullet">
    <w:name w:val="Recommendation Bullet"/>
    <w:basedOn w:val="RecommendationTextBase"/>
    <w:rsid w:val="000A7BCF"/>
    <w:pPr>
      <w:numPr>
        <w:numId w:val="6"/>
      </w:numPr>
    </w:pPr>
  </w:style>
  <w:style w:type="paragraph" w:customStyle="1" w:styleId="RecommendationDash">
    <w:name w:val="Recommendation Dash"/>
    <w:basedOn w:val="RecommendationTextBase"/>
    <w:rsid w:val="000A7BCF"/>
    <w:pPr>
      <w:numPr>
        <w:ilvl w:val="1"/>
        <w:numId w:val="6"/>
      </w:numPr>
    </w:pPr>
  </w:style>
  <w:style w:type="paragraph" w:customStyle="1" w:styleId="RecommendationDoubleDot">
    <w:name w:val="Recommendation Double Dot"/>
    <w:basedOn w:val="RecommendationTextBase"/>
    <w:rsid w:val="000A7BCF"/>
    <w:pPr>
      <w:numPr>
        <w:ilvl w:val="2"/>
        <w:numId w:val="6"/>
      </w:numPr>
    </w:pPr>
  </w:style>
  <w:style w:type="character" w:styleId="FollowedHyperlink">
    <w:name w:val="FollowedHyperlink"/>
    <w:basedOn w:val="DefaultParagraphFont"/>
    <w:rsid w:val="000A7BCF"/>
    <w:rPr>
      <w:color w:val="auto"/>
      <w:u w:val="none"/>
    </w:rPr>
  </w:style>
  <w:style w:type="paragraph" w:customStyle="1" w:styleId="Disclaimer">
    <w:name w:val="Disclaimer"/>
    <w:basedOn w:val="HeadingBase"/>
    <w:rsid w:val="000A7BCF"/>
    <w:pPr>
      <w:spacing w:after="240"/>
    </w:pPr>
    <w:rPr>
      <w:b/>
      <w:sz w:val="22"/>
    </w:rPr>
  </w:style>
  <w:style w:type="paragraph" w:customStyle="1" w:styleId="SecurityClassificationHeader">
    <w:name w:val="Security Classification Header"/>
    <w:rsid w:val="000A7BCF"/>
    <w:pPr>
      <w:spacing w:after="240"/>
      <w:jc w:val="center"/>
    </w:pPr>
    <w:rPr>
      <w:rFonts w:ascii="Book Antiqua" w:hAnsi="Book Antiqua"/>
      <w:b/>
      <w:caps/>
      <w:color w:val="000080"/>
      <w:sz w:val="22"/>
    </w:rPr>
  </w:style>
  <w:style w:type="paragraph" w:customStyle="1" w:styleId="SecurityClassificationFooter">
    <w:name w:val="Security Classification Footer"/>
    <w:rsid w:val="000A7BCF"/>
    <w:pPr>
      <w:spacing w:before="240"/>
      <w:jc w:val="center"/>
    </w:pPr>
    <w:rPr>
      <w:rFonts w:ascii="Book Antiqua" w:hAnsi="Book Antiqua"/>
      <w:b/>
      <w:caps/>
      <w:color w:val="000080"/>
      <w:sz w:val="22"/>
    </w:rPr>
  </w:style>
  <w:style w:type="character" w:customStyle="1" w:styleId="EmailStyle84">
    <w:name w:val="EmailStyle84"/>
    <w:basedOn w:val="DefaultParagraphFont"/>
    <w:semiHidden/>
    <w:rsid w:val="000A7BCF"/>
    <w:rPr>
      <w:rFonts w:ascii="Arial" w:hAnsi="Arial" w:cs="Arial"/>
      <w:color w:val="auto"/>
      <w:sz w:val="20"/>
      <w:szCs w:val="20"/>
    </w:rPr>
  </w:style>
  <w:style w:type="character" w:customStyle="1" w:styleId="Italics">
    <w:name w:val="Italics"/>
    <w:basedOn w:val="DefaultParagraphFont"/>
    <w:rsid w:val="000A7BCF"/>
    <w:rPr>
      <w:i/>
    </w:rPr>
  </w:style>
  <w:style w:type="paragraph" w:customStyle="1" w:styleId="NotesHeading">
    <w:name w:val="Notes Heading"/>
    <w:basedOn w:val="ContentsHeading"/>
    <w:rsid w:val="000A7BCF"/>
    <w:pPr>
      <w:spacing w:before="240"/>
    </w:pPr>
  </w:style>
  <w:style w:type="paragraph" w:customStyle="1" w:styleId="BoxHeadingnonumber">
    <w:name w:val="Box Heading no number"/>
    <w:basedOn w:val="BoxHeading"/>
    <w:next w:val="BoxText"/>
    <w:qFormat/>
    <w:rsid w:val="00EA2B5E"/>
    <w:pPr>
      <w:numPr>
        <w:numId w:val="0"/>
      </w:numPr>
    </w:pPr>
  </w:style>
  <w:style w:type="paragraph" w:styleId="BalloonText">
    <w:name w:val="Balloon Text"/>
    <w:basedOn w:val="Normal"/>
    <w:link w:val="BalloonTextChar"/>
    <w:uiPriority w:val="99"/>
    <w:semiHidden/>
    <w:unhideWhenUsed/>
    <w:rsid w:val="00C76F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F10"/>
    <w:rPr>
      <w:rFonts w:ascii="Tahoma" w:hAnsi="Tahoma" w:cs="Tahoma"/>
      <w:color w:val="000000"/>
      <w:sz w:val="16"/>
      <w:szCs w:val="16"/>
    </w:rPr>
  </w:style>
  <w:style w:type="numbering" w:customStyle="1" w:styleId="Outlinenumbering">
    <w:name w:val="Outline numbering"/>
    <w:uiPriority w:val="99"/>
    <w:rsid w:val="001E43D3"/>
    <w:pPr>
      <w:numPr>
        <w:numId w:val="8"/>
      </w:numPr>
    </w:pPr>
  </w:style>
  <w:style w:type="numbering" w:customStyle="1" w:styleId="Optionboxheading">
    <w:name w:val="Option box heading"/>
    <w:uiPriority w:val="99"/>
    <w:rsid w:val="00CA601E"/>
    <w:pPr>
      <w:numPr>
        <w:numId w:val="9"/>
      </w:numPr>
    </w:pPr>
  </w:style>
  <w:style w:type="character" w:customStyle="1" w:styleId="A5">
    <w:name w:val="A5"/>
    <w:uiPriority w:val="99"/>
    <w:rsid w:val="0011462E"/>
    <w:rPr>
      <w:rFonts w:cs="Swiss 721 BT"/>
      <w:color w:val="000000"/>
      <w:sz w:val="20"/>
      <w:szCs w:val="20"/>
    </w:rPr>
  </w:style>
  <w:style w:type="paragraph" w:customStyle="1" w:styleId="Heading2NotNumbered">
    <w:name w:val="Heading 2 Not Numbered"/>
    <w:basedOn w:val="Heading2"/>
    <w:next w:val="Normal"/>
    <w:rsid w:val="005750C6"/>
  </w:style>
  <w:style w:type="character" w:customStyle="1" w:styleId="SingleParagraphChar">
    <w:name w:val="Single Paragraph Char"/>
    <w:basedOn w:val="DefaultParagraphFont"/>
    <w:link w:val="SingleParagraph"/>
    <w:rsid w:val="00F30068"/>
    <w:rPr>
      <w:rFonts w:ascii="Book Antiqua" w:hAnsi="Book Antiqua"/>
      <w:color w:val="000000"/>
      <w:sz w:val="22"/>
    </w:rPr>
  </w:style>
  <w:style w:type="paragraph" w:styleId="NoSpacing">
    <w:name w:val="No Spacing"/>
    <w:uiPriority w:val="1"/>
    <w:qFormat/>
    <w:rsid w:val="007B6EDA"/>
    <w:pPr>
      <w:jc w:val="both"/>
    </w:pPr>
    <w:rPr>
      <w:rFonts w:ascii="Book Antiqua" w:hAnsi="Book Antiqua"/>
      <w:color w:val="000000"/>
      <w:sz w:val="22"/>
    </w:rPr>
  </w:style>
  <w:style w:type="paragraph" w:customStyle="1" w:styleId="Default">
    <w:name w:val="Default"/>
    <w:rsid w:val="00A64492"/>
    <w:pPr>
      <w:autoSpaceDE w:val="0"/>
      <w:autoSpaceDN w:val="0"/>
      <w:adjustRightInd w:val="0"/>
    </w:pPr>
    <w:rPr>
      <w:rFonts w:eastAsiaTheme="minorHAnsi"/>
      <w:color w:val="000000"/>
      <w:sz w:val="24"/>
      <w:szCs w:val="24"/>
      <w:lang w:eastAsia="en-US"/>
    </w:rPr>
  </w:style>
  <w:style w:type="character" w:customStyle="1" w:styleId="FootnoteTextChar">
    <w:name w:val="Footnote Text Char"/>
    <w:basedOn w:val="DefaultParagraphFont"/>
    <w:link w:val="FootnoteText"/>
    <w:uiPriority w:val="99"/>
    <w:rsid w:val="00D1216C"/>
    <w:rPr>
      <w:rFonts w:ascii="Book Antiqua" w:hAnsi="Book Antiqua"/>
      <w:color w:val="000000"/>
      <w:sz w:val="18"/>
    </w:rPr>
  </w:style>
  <w:style w:type="character" w:styleId="FootnoteReference">
    <w:name w:val="footnote reference"/>
    <w:basedOn w:val="DefaultParagraphFont"/>
    <w:uiPriority w:val="99"/>
    <w:semiHidden/>
    <w:unhideWhenUsed/>
    <w:rsid w:val="00D1216C"/>
    <w:rPr>
      <w:vertAlign w:val="superscript"/>
    </w:rPr>
  </w:style>
  <w:style w:type="paragraph" w:styleId="ListParagraph">
    <w:name w:val="List Paragraph"/>
    <w:basedOn w:val="Normal"/>
    <w:uiPriority w:val="34"/>
    <w:qFormat/>
    <w:rsid w:val="00637298"/>
    <w:pPr>
      <w:spacing w:after="200" w:line="276" w:lineRule="auto"/>
      <w:ind w:left="720"/>
      <w:contextualSpacing/>
      <w:jc w:val="left"/>
    </w:pPr>
    <w:rPr>
      <w:rFonts w:asciiTheme="minorHAnsi" w:eastAsiaTheme="minorEastAsia" w:hAnsiTheme="minorHAnsi" w:cstheme="minorBidi"/>
      <w:color w:val="auto"/>
      <w:szCs w:val="22"/>
    </w:rPr>
  </w:style>
  <w:style w:type="paragraph" w:styleId="TOCHeading">
    <w:name w:val="TOC Heading"/>
    <w:basedOn w:val="Heading1"/>
    <w:next w:val="Normal"/>
    <w:uiPriority w:val="39"/>
    <w:unhideWhenUsed/>
    <w:qFormat/>
    <w:rsid w:val="009F7DA2"/>
    <w:pPr>
      <w:keepLines/>
      <w:spacing w:before="480" w:after="0" w:line="276" w:lineRule="auto"/>
      <w:outlineLvl w:val="9"/>
    </w:pPr>
    <w:rPr>
      <w:rFonts w:asciiTheme="majorHAnsi" w:eastAsiaTheme="majorEastAsia" w:hAnsiTheme="majorHAnsi" w:cstheme="majorBidi"/>
      <w:smallCaps w:val="0"/>
      <w:color w:val="365F91" w:themeColor="accent1" w:themeShade="BF"/>
      <w:kern w:val="0"/>
      <w:sz w:val="28"/>
      <w:szCs w:val="28"/>
      <w:lang w:val="en-US" w:eastAsia="ja-JP"/>
    </w:rPr>
  </w:style>
  <w:style w:type="character" w:customStyle="1" w:styleId="FooterChar">
    <w:name w:val="Footer Char"/>
    <w:basedOn w:val="DefaultParagraphFont"/>
    <w:link w:val="Footer"/>
    <w:uiPriority w:val="99"/>
    <w:rsid w:val="007E7969"/>
    <w:rPr>
      <w:rFonts w:ascii="Century Gothic" w:hAnsi="Century Gothic"/>
      <w:color w:val="1F497D" w:themeColor="text2"/>
      <w:sz w:val="18"/>
    </w:rPr>
  </w:style>
  <w:style w:type="table" w:customStyle="1" w:styleId="TableGrid1">
    <w:name w:val="Table Grid1"/>
    <w:basedOn w:val="TableNormal"/>
    <w:next w:val="TableGrid"/>
    <w:rsid w:val="007324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940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ectionChar">
    <w:name w:val="subsection Char"/>
    <w:aliases w:val="ss Char"/>
    <w:basedOn w:val="DefaultParagraphFont"/>
    <w:link w:val="subsection"/>
    <w:locked/>
    <w:rsid w:val="00EC208F"/>
    <w:rPr>
      <w:sz w:val="22"/>
    </w:rPr>
  </w:style>
  <w:style w:type="paragraph" w:customStyle="1" w:styleId="subsection">
    <w:name w:val="subsection"/>
    <w:aliases w:val="ss"/>
    <w:basedOn w:val="Normal"/>
    <w:link w:val="subsectionChar"/>
    <w:rsid w:val="00EC208F"/>
    <w:pPr>
      <w:tabs>
        <w:tab w:val="right" w:pos="1021"/>
      </w:tabs>
      <w:spacing w:before="180" w:after="0" w:line="240" w:lineRule="auto"/>
      <w:ind w:left="1134" w:hanging="1134"/>
      <w:jc w:val="left"/>
    </w:pPr>
    <w:rPr>
      <w:rFonts w:ascii="Times New Roman" w:hAnsi="Times New Roman"/>
      <w:color w:val="auto"/>
    </w:rPr>
  </w:style>
  <w:style w:type="character" w:customStyle="1" w:styleId="paragraphChar">
    <w:name w:val="paragraph Char"/>
    <w:aliases w:val="a Char"/>
    <w:basedOn w:val="DefaultParagraphFont"/>
    <w:link w:val="paragraph"/>
    <w:locked/>
    <w:rsid w:val="00EC208F"/>
    <w:rPr>
      <w:sz w:val="22"/>
    </w:rPr>
  </w:style>
  <w:style w:type="paragraph" w:customStyle="1" w:styleId="paragraph">
    <w:name w:val="paragraph"/>
    <w:aliases w:val="a"/>
    <w:basedOn w:val="Normal"/>
    <w:link w:val="paragraphChar"/>
    <w:rsid w:val="00EC208F"/>
    <w:pPr>
      <w:tabs>
        <w:tab w:val="right" w:pos="1531"/>
      </w:tabs>
      <w:spacing w:before="40" w:after="0" w:line="240" w:lineRule="auto"/>
      <w:ind w:left="1644" w:hanging="1644"/>
      <w:jc w:val="left"/>
    </w:pPr>
    <w:rPr>
      <w:rFonts w:ascii="Times New Roman" w:hAnsi="Times New Roman"/>
      <w:color w:val="auto"/>
    </w:rPr>
  </w:style>
  <w:style w:type="paragraph" w:customStyle="1" w:styleId="paragraphsub">
    <w:name w:val="paragraph(sub)"/>
    <w:aliases w:val="aa"/>
    <w:basedOn w:val="Normal"/>
    <w:rsid w:val="00AC1F61"/>
    <w:pPr>
      <w:tabs>
        <w:tab w:val="right" w:pos="1985"/>
      </w:tabs>
      <w:spacing w:before="40" w:after="0" w:line="240" w:lineRule="auto"/>
      <w:ind w:left="2098" w:hanging="2098"/>
      <w:jc w:val="left"/>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952">
      <w:bodyDiv w:val="1"/>
      <w:marLeft w:val="0"/>
      <w:marRight w:val="0"/>
      <w:marTop w:val="0"/>
      <w:marBottom w:val="0"/>
      <w:divBdr>
        <w:top w:val="none" w:sz="0" w:space="0" w:color="auto"/>
        <w:left w:val="none" w:sz="0" w:space="0" w:color="auto"/>
        <w:bottom w:val="none" w:sz="0" w:space="0" w:color="auto"/>
        <w:right w:val="none" w:sz="0" w:space="0" w:color="auto"/>
      </w:divBdr>
    </w:div>
    <w:div w:id="641276161">
      <w:bodyDiv w:val="1"/>
      <w:marLeft w:val="0"/>
      <w:marRight w:val="0"/>
      <w:marTop w:val="0"/>
      <w:marBottom w:val="0"/>
      <w:divBdr>
        <w:top w:val="none" w:sz="0" w:space="0" w:color="auto"/>
        <w:left w:val="none" w:sz="0" w:space="0" w:color="auto"/>
        <w:bottom w:val="none" w:sz="0" w:space="0" w:color="auto"/>
        <w:right w:val="none" w:sz="0" w:space="0" w:color="auto"/>
      </w:divBdr>
    </w:div>
    <w:div w:id="870267434">
      <w:bodyDiv w:val="1"/>
      <w:marLeft w:val="0"/>
      <w:marRight w:val="0"/>
      <w:marTop w:val="0"/>
      <w:marBottom w:val="0"/>
      <w:divBdr>
        <w:top w:val="none" w:sz="0" w:space="0" w:color="auto"/>
        <w:left w:val="none" w:sz="0" w:space="0" w:color="auto"/>
        <w:bottom w:val="none" w:sz="0" w:space="0" w:color="auto"/>
        <w:right w:val="none" w:sz="0" w:space="0" w:color="auto"/>
      </w:divBdr>
    </w:div>
    <w:div w:id="937056862">
      <w:bodyDiv w:val="1"/>
      <w:marLeft w:val="0"/>
      <w:marRight w:val="0"/>
      <w:marTop w:val="0"/>
      <w:marBottom w:val="0"/>
      <w:divBdr>
        <w:top w:val="none" w:sz="0" w:space="0" w:color="auto"/>
        <w:left w:val="none" w:sz="0" w:space="0" w:color="auto"/>
        <w:bottom w:val="none" w:sz="0" w:space="0" w:color="auto"/>
        <w:right w:val="none" w:sz="0" w:space="0" w:color="auto"/>
      </w:divBdr>
    </w:div>
    <w:div w:id="1118528905">
      <w:bodyDiv w:val="1"/>
      <w:marLeft w:val="0"/>
      <w:marRight w:val="0"/>
      <w:marTop w:val="0"/>
      <w:marBottom w:val="0"/>
      <w:divBdr>
        <w:top w:val="none" w:sz="0" w:space="0" w:color="auto"/>
        <w:left w:val="none" w:sz="0" w:space="0" w:color="auto"/>
        <w:bottom w:val="none" w:sz="0" w:space="0" w:color="auto"/>
        <w:right w:val="none" w:sz="0" w:space="0" w:color="auto"/>
      </w:divBdr>
    </w:div>
    <w:div w:id="1769345228">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hdphoto" Target="media/hdphoto2.wdp"/><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james.mason@treasury.gov.au" TargetMode="External"/><Relationship Id="rId25" Type="http://schemas.openxmlformats.org/officeDocument/2006/relationships/image" Target="media/image5.jpg"/><Relationship Id="rId2" Type="http://schemas.openxmlformats.org/officeDocument/2006/relationships/numbering" Target="numbering.xml"/><Relationship Id="rId16" Type="http://schemas.openxmlformats.org/officeDocument/2006/relationships/hyperlink" Target="mailto:ImprovingFEG@employment.gov.au"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4.tif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amac.gov.au/camac/camac.nsf/byHeadline/PDFFinal+Reports+2000/$file/Corporate_Groups,_May_2000.pdf" TargetMode="External"/><Relationship Id="rId3" Type="http://schemas.openxmlformats.org/officeDocument/2006/relationships/hyperlink" Target="https://docs.employment.gov.au/node/35951" TargetMode="External"/><Relationship Id="rId7" Type="http://schemas.openxmlformats.org/officeDocument/2006/relationships/hyperlink" Target="https://www.legislation.gov.au/Details/C2004B00639/" TargetMode="External"/><Relationship Id="rId2" Type="http://schemas.openxmlformats.org/officeDocument/2006/relationships/hyperlink" Target="https://www.legislation.gov.au/Details/C2012A00159" TargetMode="External"/><Relationship Id="rId1" Type="http://schemas.openxmlformats.org/officeDocument/2006/relationships/hyperlink" Target="https://www.employment.gov.au/fair-entitlements-guarantee-feg" TargetMode="External"/><Relationship Id="rId6" Type="http://schemas.openxmlformats.org/officeDocument/2006/relationships/hyperlink" Target="https://www.innovation.gov.au/page/insolvency-laws-reform" TargetMode="External"/><Relationship Id="rId5" Type="http://schemas.openxmlformats.org/officeDocument/2006/relationships/hyperlink" Target="https://www.ato.gov.au/General/The-fight-against-tax-crime/Our-focus/Illegal-phoenix-activity/Phoenix-Taskforce/" TargetMode="External"/><Relationship Id="rId4" Type="http://schemas.openxmlformats.org/officeDocument/2006/relationships/hyperlink" Target="https://www.employment.gov.au/feg-recovery-program" TargetMode="External"/><Relationship Id="rId9" Type="http://schemas.openxmlformats.org/officeDocument/2006/relationships/hyperlink" Target="http://www.irishstatutebook.ie/eli/2014/act/38/enacted/en/pr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F7361-F283-4CF5-9C78-97A5B1F8D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8064</Words>
  <Characters>44303</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2017-05-07T09:47:00Z</dcterms:created>
  <dcterms:modified xsi:type="dcterms:W3CDTF">2017-05-07T12:03:00Z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-631042998</vt:i4>
  </property>
  <property fmtid="{D5CDD505-2E9C-101B-9397-08002B2CF9AE}" pid="3" name="_NewReviewCycle">
    <vt:lpwstr/>
  </property>
</Properties>
</file>