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64CD5" w14:textId="2CACB969" w:rsidR="009268F0" w:rsidRPr="007052EA" w:rsidRDefault="00B51592" w:rsidP="007052EA">
      <w:pPr>
        <w:pStyle w:val="Heading1"/>
      </w:pPr>
      <w:bookmarkStart w:id="0" w:name="_GoBack"/>
      <w:bookmarkEnd w:id="0"/>
      <w:r>
        <w:br/>
      </w:r>
      <w:r w:rsidR="00031981">
        <w:t>superannuation – integrity of limited recourse borrowing arrangements</w:t>
      </w:r>
      <w:r w:rsidR="00DB4511">
        <w:t xml:space="preserve"> and minor and technical amendments</w:t>
      </w:r>
    </w:p>
    <w:p w14:paraId="7E7E55C0" w14:textId="77777777" w:rsidR="008F3A7B" w:rsidRPr="008F3A7B" w:rsidRDefault="002F4AEF" w:rsidP="008F3A7B">
      <w:pPr>
        <w:pStyle w:val="Heading2"/>
        <w:spacing w:after="480"/>
      </w:pPr>
      <w:r w:rsidRPr="002F4AEF">
        <w:t>SUMMARY OF CONSULTATION PROCESS</w:t>
      </w:r>
    </w:p>
    <w:p w14:paraId="5B4D73DF" w14:textId="6B98F0C2" w:rsidR="0033616B" w:rsidRDefault="00294D00" w:rsidP="007001D0">
      <w:r>
        <w:t xml:space="preserve">The Government </w:t>
      </w:r>
      <w:r w:rsidR="00A26599">
        <w:t xml:space="preserve">advised </w:t>
      </w:r>
      <w:r w:rsidR="00A26599" w:rsidRPr="00904AC6">
        <w:t xml:space="preserve">stakeholders via letter </w:t>
      </w:r>
      <w:r w:rsidRPr="00904AC6">
        <w:t xml:space="preserve">on </w:t>
      </w:r>
      <w:r w:rsidR="00A26599" w:rsidRPr="009E5D1F">
        <w:t>28 March 2017</w:t>
      </w:r>
      <w:r w:rsidRPr="009E5D1F">
        <w:t xml:space="preserve"> that it </w:t>
      </w:r>
      <w:r w:rsidR="0033616B">
        <w:t>would make</w:t>
      </w:r>
      <w:r w:rsidR="0033616B" w:rsidRPr="0033616B">
        <w:t xml:space="preserve"> changes to measures enacted through the </w:t>
      </w:r>
      <w:r w:rsidR="0033616B" w:rsidRPr="0078225B">
        <w:rPr>
          <w:i/>
        </w:rPr>
        <w:t>Treasury Laws Amendment (Fair and Sustainable Superannuation) Act 2016</w:t>
      </w:r>
      <w:r w:rsidR="0033616B" w:rsidRPr="0033616B">
        <w:t xml:space="preserve"> to support the integrity of the measures and ensure the law operates as intended.</w:t>
      </w:r>
    </w:p>
    <w:p w14:paraId="31E1D76A" w14:textId="3B729383" w:rsidR="009E17CF" w:rsidRPr="009E17CF" w:rsidRDefault="00DB4511" w:rsidP="009E17CF">
      <w:r>
        <w:t>These changes were</w:t>
      </w:r>
      <w:r w:rsidR="004273E1">
        <w:t xml:space="preserve"> included in</w:t>
      </w:r>
      <w:r w:rsidR="007052EA">
        <w:t xml:space="preserve"> </w:t>
      </w:r>
      <w:r w:rsidR="00031981">
        <w:t>Treasury Laws Amendment (2017 Measures No. 2) Bill 2017</w:t>
      </w:r>
      <w:r w:rsidR="006B1B2F">
        <w:t>,</w:t>
      </w:r>
      <w:r w:rsidR="004273E1">
        <w:t xml:space="preserve"> which was introduced into </w:t>
      </w:r>
      <w:r w:rsidR="004273E1" w:rsidRPr="009E17CF">
        <w:t xml:space="preserve">Parliament on </w:t>
      </w:r>
      <w:r w:rsidR="00EA132C" w:rsidRPr="00E44569">
        <w:t xml:space="preserve">25 May 2017. </w:t>
      </w:r>
    </w:p>
    <w:p w14:paraId="5327D28A" w14:textId="77777777" w:rsidR="001C5D63" w:rsidRPr="001C5D63" w:rsidRDefault="004144BC" w:rsidP="00F73908">
      <w:pPr>
        <w:pStyle w:val="Heading3"/>
      </w:pPr>
      <w:r>
        <w:t>Consultation p</w:t>
      </w:r>
      <w:r w:rsidR="001C5D63" w:rsidRPr="001C5D63">
        <w:t>rocess</w:t>
      </w:r>
    </w:p>
    <w:p w14:paraId="541B2692" w14:textId="36C555F4" w:rsidR="00DB4511" w:rsidRDefault="00DB4511" w:rsidP="00835974">
      <w:r>
        <w:t>Consultation on the minor and technical changes was conducted between 12 April 2017 and 24 April 2017. Sixteen submissions were received.</w:t>
      </w:r>
    </w:p>
    <w:p w14:paraId="177AEAF6" w14:textId="1DD80BEC" w:rsidR="009E5D1F" w:rsidRDefault="009E5D1F" w:rsidP="009E5D1F">
      <w:r>
        <w:t xml:space="preserve">Consultation on the </w:t>
      </w:r>
      <w:r w:rsidR="0078225B">
        <w:t>limited recourse borrowing arrangement (</w:t>
      </w:r>
      <w:r>
        <w:t>LRBA</w:t>
      </w:r>
      <w:r w:rsidR="0078225B">
        <w:t xml:space="preserve">) </w:t>
      </w:r>
      <w:r>
        <w:t>changes was conducted between 27 April 2017 and 3 May 2017. Seventeen submissions were received.</w:t>
      </w:r>
    </w:p>
    <w:p w14:paraId="40C1CFE5" w14:textId="52ADF932" w:rsidR="009E5D1F" w:rsidRDefault="009E5D1F" w:rsidP="009E5D1F">
      <w:r>
        <w:t>Submissions can be viewed on the Treasury website www.treasury.gov.au.</w:t>
      </w:r>
    </w:p>
    <w:p w14:paraId="1D9491BB" w14:textId="77777777" w:rsidR="001C5D63" w:rsidRPr="00294D00" w:rsidRDefault="006F17AD" w:rsidP="00F73908">
      <w:pPr>
        <w:pStyle w:val="Heading3"/>
      </w:pPr>
      <w:r>
        <w:t>Summary of key</w:t>
      </w:r>
      <w:r w:rsidR="004273E1" w:rsidRPr="00294D00">
        <w:t xml:space="preserve"> issues </w:t>
      </w:r>
    </w:p>
    <w:p w14:paraId="241A2D37" w14:textId="5D6795FD" w:rsidR="00C46839" w:rsidRPr="009E5D1F" w:rsidRDefault="00911D30" w:rsidP="005B4AC3">
      <w:pPr>
        <w:rPr>
          <w:i/>
        </w:rPr>
      </w:pPr>
      <w:r w:rsidRPr="009E5D1F">
        <w:rPr>
          <w:i/>
        </w:rPr>
        <w:t>LRBA Integrity Measures</w:t>
      </w:r>
    </w:p>
    <w:p w14:paraId="34C4D472" w14:textId="77777777" w:rsidR="00C46839" w:rsidRDefault="00C46839" w:rsidP="009E5D1F">
      <w:pPr>
        <w:pStyle w:val="Bullet"/>
        <w:numPr>
          <w:ilvl w:val="0"/>
          <w:numId w:val="3"/>
        </w:numPr>
        <w:spacing w:before="240" w:after="0"/>
      </w:pPr>
      <w:r>
        <w:t>The measures would have retrospective effect.</w:t>
      </w:r>
    </w:p>
    <w:p w14:paraId="7E16DDD2" w14:textId="544BCE29" w:rsidR="00C46839" w:rsidRDefault="00C46839" w:rsidP="009E5D1F">
      <w:pPr>
        <w:pStyle w:val="Dash"/>
        <w:numPr>
          <w:ilvl w:val="1"/>
          <w:numId w:val="3"/>
        </w:numPr>
        <w:spacing w:before="240" w:after="0"/>
      </w:pPr>
      <w:r>
        <w:t xml:space="preserve">Response </w:t>
      </w:r>
      <w:r w:rsidR="00E44569">
        <w:t>–</w:t>
      </w:r>
      <w:r>
        <w:t xml:space="preserve"> the</w:t>
      </w:r>
      <w:r w:rsidR="00E44569">
        <w:t xml:space="preserve"> </w:t>
      </w:r>
      <w:r>
        <w:t>measures will only apply to LRBAs entered into on or after 1 July 2017.</w:t>
      </w:r>
    </w:p>
    <w:p w14:paraId="4E48BB46" w14:textId="4704001C" w:rsidR="00C46839" w:rsidRDefault="00C46839" w:rsidP="009E5D1F">
      <w:pPr>
        <w:pStyle w:val="Dash"/>
        <w:numPr>
          <w:ilvl w:val="1"/>
          <w:numId w:val="3"/>
        </w:numPr>
        <w:spacing w:before="240" w:after="0"/>
      </w:pPr>
      <w:r>
        <w:t xml:space="preserve">However, </w:t>
      </w:r>
      <w:r w:rsidR="009E5D1F">
        <w:t xml:space="preserve">following stakeholder comments </w:t>
      </w:r>
      <w:r>
        <w:t xml:space="preserve">the </w:t>
      </w:r>
      <w:r w:rsidR="009E5D1F">
        <w:t>m</w:t>
      </w:r>
      <w:r>
        <w:t>easures</w:t>
      </w:r>
      <w:r w:rsidR="009E5D1F">
        <w:t xml:space="preserve"> will also</w:t>
      </w:r>
      <w:r w:rsidR="00986A30">
        <w:t xml:space="preserve"> not</w:t>
      </w:r>
      <w:r w:rsidR="009E5D1F">
        <w:t xml:space="preserve"> apply</w:t>
      </w:r>
      <w:r>
        <w:t xml:space="preserve"> to </w:t>
      </w:r>
      <w:r w:rsidR="007A39D7">
        <w:t xml:space="preserve">contracts entered into prior to 1 July 2017 </w:t>
      </w:r>
      <w:r w:rsidR="00986A30">
        <w:t>or to</w:t>
      </w:r>
      <w:r w:rsidR="007A39D7">
        <w:t xml:space="preserve"> the </w:t>
      </w:r>
      <w:r>
        <w:t>refinancing of</w:t>
      </w:r>
      <w:r w:rsidR="007A39D7">
        <w:t xml:space="preserve"> the outstanding balance of an</w:t>
      </w:r>
      <w:r>
        <w:t xml:space="preserve"> LRBA </w:t>
      </w:r>
      <w:r w:rsidR="009E5D1F">
        <w:t>in place before 1 July 2017.</w:t>
      </w:r>
    </w:p>
    <w:p w14:paraId="57453B2E" w14:textId="2F03920F" w:rsidR="00C46839" w:rsidRDefault="00C46839" w:rsidP="009E5D1F">
      <w:pPr>
        <w:pStyle w:val="Bullet"/>
        <w:numPr>
          <w:ilvl w:val="0"/>
          <w:numId w:val="3"/>
        </w:numPr>
        <w:spacing w:before="240" w:after="0"/>
      </w:pPr>
      <w:r>
        <w:t xml:space="preserve">The measures </w:t>
      </w:r>
      <w:r w:rsidR="0078225B">
        <w:t>would</w:t>
      </w:r>
      <w:r>
        <w:t xml:space="preserve"> impose substantial new administrative burdens on trustees. </w:t>
      </w:r>
    </w:p>
    <w:p w14:paraId="15FC29E2" w14:textId="4F8C9B17" w:rsidR="00C46839" w:rsidRDefault="00F74CDF" w:rsidP="009E5D1F">
      <w:pPr>
        <w:pStyle w:val="Dash"/>
        <w:numPr>
          <w:ilvl w:val="1"/>
          <w:numId w:val="3"/>
        </w:numPr>
        <w:spacing w:before="240" w:after="0"/>
      </w:pPr>
      <w:r>
        <w:t xml:space="preserve">Response </w:t>
      </w:r>
      <w:r w:rsidR="00E44569">
        <w:t>–</w:t>
      </w:r>
      <w:r>
        <w:t xml:space="preserve"> t</w:t>
      </w:r>
      <w:r w:rsidR="00C46839">
        <w:t>rustees</w:t>
      </w:r>
      <w:r w:rsidR="00E44569">
        <w:t xml:space="preserve"> </w:t>
      </w:r>
      <w:r w:rsidR="00C46839">
        <w:t xml:space="preserve">will be required to report LRBA repayments as part of general event based transfer balance cap reporting.  The ATO </w:t>
      </w:r>
      <w:r w:rsidR="009E5D1F">
        <w:t>is continuing to work</w:t>
      </w:r>
      <w:r w:rsidR="00C46839">
        <w:t xml:space="preserve"> with industry on the administrative arrangements for reporting</w:t>
      </w:r>
      <w:r w:rsidR="009E5D1F">
        <w:t>.</w:t>
      </w:r>
    </w:p>
    <w:p w14:paraId="682E24F0" w14:textId="6446E320" w:rsidR="00C46839" w:rsidRDefault="00C46839" w:rsidP="009E5D1F">
      <w:pPr>
        <w:pStyle w:val="Bullet"/>
        <w:keepNext/>
        <w:keepLines/>
        <w:numPr>
          <w:ilvl w:val="0"/>
          <w:numId w:val="3"/>
        </w:numPr>
        <w:spacing w:before="240" w:after="0"/>
      </w:pPr>
      <w:r>
        <w:lastRenderedPageBreak/>
        <w:t xml:space="preserve">The measures </w:t>
      </w:r>
      <w:r w:rsidR="0078225B">
        <w:t>would</w:t>
      </w:r>
      <w:r>
        <w:t xml:space="preserve"> effectively ban LRBAs.  </w:t>
      </w:r>
    </w:p>
    <w:p w14:paraId="75C1A890" w14:textId="2A2B0E1F" w:rsidR="00C46839" w:rsidRPr="00307561" w:rsidRDefault="00C46839" w:rsidP="009E5D1F">
      <w:pPr>
        <w:pStyle w:val="Dash"/>
        <w:keepNext/>
        <w:keepLines/>
        <w:spacing w:before="240" w:after="0"/>
        <w:rPr>
          <w:szCs w:val="24"/>
        </w:rPr>
      </w:pPr>
      <w:r>
        <w:t xml:space="preserve">Response </w:t>
      </w:r>
      <w:r w:rsidR="00E44569">
        <w:t>–</w:t>
      </w:r>
      <w:r>
        <w:t xml:space="preserve"> </w:t>
      </w:r>
      <w:r w:rsidRPr="00574288">
        <w:t>the</w:t>
      </w:r>
      <w:r w:rsidR="00E44569">
        <w:t xml:space="preserve"> </w:t>
      </w:r>
      <w:r w:rsidRPr="00574288">
        <w:t xml:space="preserve">measure does not prohibit the use of LRBAs by </w:t>
      </w:r>
      <w:r w:rsidR="0078225B">
        <w:t>self-managed superannuation funds (</w:t>
      </w:r>
      <w:r w:rsidRPr="00574288">
        <w:t>SMSF</w:t>
      </w:r>
      <w:r w:rsidR="0078225B">
        <w:t>)</w:t>
      </w:r>
      <w:r w:rsidRPr="00574288">
        <w:t xml:space="preserve">. </w:t>
      </w:r>
      <w:r w:rsidR="009E5D1F">
        <w:t xml:space="preserve">SMSFs will be able to continue to use LRBAs in a range of circumstances. </w:t>
      </w:r>
      <w:r w:rsidRPr="00574288">
        <w:t xml:space="preserve"> </w:t>
      </w:r>
    </w:p>
    <w:p w14:paraId="1A486BD7" w14:textId="3591D983" w:rsidR="00EA132C" w:rsidRDefault="00C46839" w:rsidP="009E17CF">
      <w:pPr>
        <w:pStyle w:val="Dash"/>
        <w:keepNext/>
        <w:keepLines/>
        <w:spacing w:before="240" w:after="0"/>
      </w:pPr>
      <w:r w:rsidRPr="00604F4E">
        <w:t>The ability of an SMSF to enter into an LRBA will only be affected where</w:t>
      </w:r>
      <w:r w:rsidRPr="00C42F08">
        <w:t xml:space="preserve"> the member has already reached their transfer balance cap </w:t>
      </w:r>
      <w:r w:rsidRPr="00574288">
        <w:t xml:space="preserve">and </w:t>
      </w:r>
      <w:r w:rsidR="009E5D1F">
        <w:t>wishes</w:t>
      </w:r>
      <w:r w:rsidRPr="00574288">
        <w:t xml:space="preserve"> to finance the LRBA through a transfer of accumulation funds to the pension phase</w:t>
      </w:r>
      <w:r w:rsidR="00EA132C">
        <w:t>.</w:t>
      </w:r>
    </w:p>
    <w:p w14:paraId="65155FAE" w14:textId="01DF27D6" w:rsidR="009E17CF" w:rsidRDefault="009E17CF" w:rsidP="00E44569">
      <w:pPr>
        <w:pStyle w:val="Bullet"/>
        <w:keepNext/>
        <w:keepLines/>
        <w:numPr>
          <w:ilvl w:val="1"/>
          <w:numId w:val="3"/>
        </w:numPr>
        <w:spacing w:before="240" w:after="0"/>
      </w:pPr>
      <w:r>
        <w:t>However, following stakeholder comments</w:t>
      </w:r>
      <w:r w:rsidR="0097704E">
        <w:t>,</w:t>
      </w:r>
      <w:r>
        <w:t xml:space="preserve"> </w:t>
      </w:r>
      <w:r w:rsidR="0079763D">
        <w:t>the Government will consult further on the measure to include a member’s share of an outstanding LRBA in their total superannuation balance,</w:t>
      </w:r>
      <w:r>
        <w:t xml:space="preserve"> </w:t>
      </w:r>
      <w:r w:rsidR="00D3239F">
        <w:t xml:space="preserve">alongside the non-arm’s length </w:t>
      </w:r>
      <w:r w:rsidR="003967C8">
        <w:t xml:space="preserve">income </w:t>
      </w:r>
      <w:r w:rsidR="00D3239F">
        <w:t>arrangements integrity measure that was announced in the 2017-18 Budget.</w:t>
      </w:r>
      <w:r>
        <w:rPr>
          <w:i/>
        </w:rPr>
        <w:t xml:space="preserve"> </w:t>
      </w:r>
      <w:r>
        <w:t xml:space="preserve"> </w:t>
      </w:r>
    </w:p>
    <w:p w14:paraId="011F85CB" w14:textId="77777777" w:rsidR="009E5D1F" w:rsidRDefault="009E5D1F">
      <w:pPr>
        <w:rPr>
          <w:b/>
        </w:rPr>
      </w:pPr>
    </w:p>
    <w:p w14:paraId="74766C6A" w14:textId="315C77DE" w:rsidR="006D62AB" w:rsidRPr="009E5D1F" w:rsidRDefault="00911D30">
      <w:pPr>
        <w:rPr>
          <w:i/>
        </w:rPr>
      </w:pPr>
      <w:r w:rsidRPr="009E5D1F">
        <w:rPr>
          <w:i/>
        </w:rPr>
        <w:t>Minor and technical amendments</w:t>
      </w:r>
    </w:p>
    <w:p w14:paraId="27F4BB72" w14:textId="764604A7" w:rsidR="006D62AB" w:rsidRDefault="006D62AB" w:rsidP="006D62AB">
      <w:pPr>
        <w:pStyle w:val="Bullet"/>
      </w:pPr>
      <w:r>
        <w:t>Transition to retirement income streams (TRIS) – concerns that the proposed change was complex, that it did not allow TRIS products to ‘morph’ into account based pensions and that there was no requirement for members to notify their superannuation provider when they satisfied a nil condition of release.</w:t>
      </w:r>
    </w:p>
    <w:p w14:paraId="319E4069" w14:textId="052B9E80" w:rsidR="006D62AB" w:rsidRDefault="006D62AB" w:rsidP="006D62AB">
      <w:pPr>
        <w:pStyle w:val="Dash"/>
      </w:pPr>
      <w:r>
        <w:t xml:space="preserve">Response – no change to allowing morphing because this would be inconsistent with the TRIS </w:t>
      </w:r>
      <w:r w:rsidR="001A0D1E">
        <w:t>framework</w:t>
      </w:r>
      <w:r>
        <w:t xml:space="preserve">; Bill was amended to require that members can obtain an earnings tax exemption when they notify their provider that they have satisfied a nil condition of release, or it will occur automatically when they reach </w:t>
      </w:r>
      <w:r w:rsidR="0078225B">
        <w:t xml:space="preserve">age </w:t>
      </w:r>
      <w:r>
        <w:t>65.</w:t>
      </w:r>
    </w:p>
    <w:p w14:paraId="3F097294" w14:textId="367578F1" w:rsidR="006D62AB" w:rsidRDefault="006D62AB" w:rsidP="006D62AB">
      <w:pPr>
        <w:pStyle w:val="Bullet"/>
      </w:pPr>
      <w:r>
        <w:t xml:space="preserve">Structured settlements – suggestions that the 2016 </w:t>
      </w:r>
      <w:r w:rsidR="00D77B7F">
        <w:t>S</w:t>
      </w:r>
      <w:r w:rsidR="001A0D1E">
        <w:t xml:space="preserve">uperannuation </w:t>
      </w:r>
      <w:r w:rsidR="00D77B7F">
        <w:t>R</w:t>
      </w:r>
      <w:r w:rsidR="001A0D1E">
        <w:t xml:space="preserve">eform </w:t>
      </w:r>
      <w:r w:rsidR="00D77B7F">
        <w:t>P</w:t>
      </w:r>
      <w:r w:rsidR="001A0D1E">
        <w:t>ackage</w:t>
      </w:r>
      <w:r>
        <w:t xml:space="preserve"> should be amended to ensure that existing structured settlements or personal injury holders are not taxed on earnings where they have more than $1.6 million in earnings.</w:t>
      </w:r>
    </w:p>
    <w:p w14:paraId="0E0E40AF" w14:textId="53AD8BA4" w:rsidR="006D62AB" w:rsidRDefault="006D62AB" w:rsidP="006D62AB">
      <w:pPr>
        <w:pStyle w:val="Dash"/>
      </w:pPr>
      <w:r>
        <w:t>Response –</w:t>
      </w:r>
      <w:r w:rsidR="00D77B7F">
        <w:t xml:space="preserve"> </w:t>
      </w:r>
      <w:r>
        <w:t>Bill was amended to provide a new</w:t>
      </w:r>
      <w:r w:rsidR="004528CF">
        <w:t xml:space="preserve"> transfer balance cap</w:t>
      </w:r>
      <w:r>
        <w:t xml:space="preserve"> debit for existing </w:t>
      </w:r>
      <w:proofErr w:type="gramStart"/>
      <w:r>
        <w:t>structured</w:t>
      </w:r>
      <w:proofErr w:type="gramEnd"/>
      <w:r>
        <w:t xml:space="preserve"> settlement or personal injury holders to ensure they do not breach the transfer balance cap.</w:t>
      </w:r>
    </w:p>
    <w:p w14:paraId="7B47D6F4" w14:textId="4B1B7E6A" w:rsidR="006D62AB" w:rsidRDefault="006D62AB" w:rsidP="0079763D">
      <w:pPr>
        <w:pStyle w:val="Bullet"/>
      </w:pPr>
      <w:r>
        <w:t xml:space="preserve">Capital gains tax relief – suggestions that the 2016 </w:t>
      </w:r>
      <w:r w:rsidR="00D77B7F">
        <w:t>S</w:t>
      </w:r>
      <w:r w:rsidR="001A0D1E">
        <w:t xml:space="preserve">uperannuation </w:t>
      </w:r>
      <w:r w:rsidR="00D77B7F">
        <w:t>R</w:t>
      </w:r>
      <w:r w:rsidR="001A0D1E">
        <w:t xml:space="preserve">eform </w:t>
      </w:r>
      <w:r w:rsidR="00D77B7F">
        <w:t>P</w:t>
      </w:r>
      <w:r w:rsidR="001A0D1E">
        <w:t>ackage</w:t>
      </w:r>
      <w:r>
        <w:t xml:space="preserve"> should be amended to ensure that pooled superannuation trusts can access the capital gains tax relief provisions.</w:t>
      </w:r>
    </w:p>
    <w:p w14:paraId="364FDB5E" w14:textId="621A6C83" w:rsidR="006D62AB" w:rsidRDefault="006D62AB" w:rsidP="006D62AB">
      <w:pPr>
        <w:pStyle w:val="Dash"/>
      </w:pPr>
      <w:r>
        <w:t>Response –</w:t>
      </w:r>
      <w:r w:rsidR="00D77B7F">
        <w:t xml:space="preserve"> </w:t>
      </w:r>
      <w:r>
        <w:t xml:space="preserve">Bill </w:t>
      </w:r>
      <w:r w:rsidR="0078225B">
        <w:t xml:space="preserve">was </w:t>
      </w:r>
      <w:r>
        <w:t>amended to ensure that pooled superannuation trusts can access the capital gains tax relief provisions.</w:t>
      </w:r>
    </w:p>
    <w:p w14:paraId="6FFDE0D9" w14:textId="535D0674" w:rsidR="006D62AB" w:rsidRDefault="006D62AB" w:rsidP="006D62AB">
      <w:pPr>
        <w:pStyle w:val="Bullet"/>
      </w:pPr>
      <w:r>
        <w:t xml:space="preserve">Death benefits – suggestions that proceeding with the proposal to bring forward the start date for the death benefit changes in the 2016 </w:t>
      </w:r>
      <w:r w:rsidR="00D77B7F">
        <w:t>S</w:t>
      </w:r>
      <w:r w:rsidR="001A0D1E">
        <w:t xml:space="preserve">uperannuation </w:t>
      </w:r>
      <w:r w:rsidR="00D77B7F">
        <w:t>R</w:t>
      </w:r>
      <w:r w:rsidR="001A0D1E">
        <w:t xml:space="preserve">eform </w:t>
      </w:r>
      <w:r w:rsidR="00D77B7F">
        <w:t>P</w:t>
      </w:r>
      <w:r w:rsidR="001A0D1E">
        <w:t>ackage</w:t>
      </w:r>
      <w:r>
        <w:t xml:space="preserve"> would disadvantage a number of members and would be impossible to administer for providers as they do not have appropriate systems in place.</w:t>
      </w:r>
    </w:p>
    <w:p w14:paraId="14669D3A" w14:textId="6FAC0837" w:rsidR="006D62AB" w:rsidRDefault="006D62AB" w:rsidP="006D62AB">
      <w:pPr>
        <w:pStyle w:val="Dash"/>
      </w:pPr>
      <w:r>
        <w:lastRenderedPageBreak/>
        <w:t>Response –</w:t>
      </w:r>
      <w:r w:rsidR="00D77B7F">
        <w:t xml:space="preserve"> </w:t>
      </w:r>
      <w:r>
        <w:t xml:space="preserve">Bill </w:t>
      </w:r>
      <w:r w:rsidR="0078225B">
        <w:t xml:space="preserve">was </w:t>
      </w:r>
      <w:r>
        <w:t>amended to not proceed with the proposal to bring forward the start date of the death benefit changes.</w:t>
      </w:r>
    </w:p>
    <w:p w14:paraId="448406FD" w14:textId="77777777" w:rsidR="00C72DCC" w:rsidRPr="00435AEF" w:rsidRDefault="00C72DCC" w:rsidP="00F73908">
      <w:pPr>
        <w:pStyle w:val="Heading3"/>
      </w:pPr>
      <w:r w:rsidRPr="00435AEF">
        <w:t>Feedback</w:t>
      </w:r>
    </w:p>
    <w:p w14:paraId="180CEE15" w14:textId="0C2011B2" w:rsidR="00F7731A" w:rsidRDefault="005A4B80" w:rsidP="000F58F3">
      <w:r>
        <w:t>F</w:t>
      </w:r>
      <w:r w:rsidR="00EC063B">
        <w:t xml:space="preserve">eedback </w:t>
      </w:r>
      <w:r>
        <w:t xml:space="preserve">on </w:t>
      </w:r>
      <w:r w:rsidR="00EC063B">
        <w:t>the consultation process</w:t>
      </w:r>
      <w:r>
        <w:t xml:space="preserve"> for this measure</w:t>
      </w:r>
      <w:r w:rsidR="0065681B">
        <w:t xml:space="preserve"> can be forwarded to </w:t>
      </w:r>
      <w:hyperlink r:id="rId8" w:history="1">
        <w:r w:rsidR="006B1B2F" w:rsidRPr="005523B7">
          <w:rPr>
            <w:rStyle w:val="Hyperlink"/>
          </w:rPr>
          <w:t>consultation@treasury.gov.au</w:t>
        </w:r>
      </w:hyperlink>
      <w:r w:rsidR="006B1B2F">
        <w:t xml:space="preserve"> </w:t>
      </w:r>
      <w:r w:rsidR="0044334B">
        <w:t xml:space="preserve">. </w:t>
      </w:r>
      <w:r w:rsidR="0065681B">
        <w:t xml:space="preserve">Alternatively, you can contact </w:t>
      </w:r>
      <w:r w:rsidR="00904AC6">
        <w:t xml:space="preserve">Michelle Dowdell </w:t>
      </w:r>
      <w:r w:rsidR="0065681B">
        <w:t xml:space="preserve">on </w:t>
      </w:r>
      <w:r w:rsidR="00904AC6">
        <w:t>+61 2 6263 </w:t>
      </w:r>
      <w:r w:rsidR="00904AC6" w:rsidRPr="00904AC6">
        <w:t>3071</w:t>
      </w:r>
      <w:r w:rsidR="009E5D1F">
        <w:t xml:space="preserve"> or Laura Johnson on </w:t>
      </w:r>
      <w:r w:rsidR="009E5D1F" w:rsidRPr="009E5D1F">
        <w:t>+61 2 6263 3551</w:t>
      </w:r>
      <w:r w:rsidR="009E5D1F">
        <w:t>.</w:t>
      </w:r>
    </w:p>
    <w:p w14:paraId="43164AC2" w14:textId="77777777" w:rsidR="00F7731A" w:rsidRDefault="0044334B" w:rsidP="000F58F3">
      <w:r>
        <w:t>Thank you to all participant</w:t>
      </w:r>
      <w:r w:rsidR="00696159">
        <w:t xml:space="preserve">s in the consultation process. </w:t>
      </w:r>
    </w:p>
    <w:p w14:paraId="493ED7FB" w14:textId="77777777" w:rsidR="00B92516" w:rsidRPr="00067E1D" w:rsidRDefault="00B92516" w:rsidP="007001D0"/>
    <w:sectPr w:rsidR="00B92516" w:rsidRPr="00067E1D" w:rsidSect="00E5418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193C0" w14:textId="77777777" w:rsidR="00487AD6" w:rsidRDefault="00487AD6">
      <w:r>
        <w:separator/>
      </w:r>
    </w:p>
  </w:endnote>
  <w:endnote w:type="continuationSeparator" w:id="0">
    <w:p w14:paraId="045E197A" w14:textId="77777777" w:rsidR="00487AD6" w:rsidRDefault="0048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FBD0B" w14:textId="77777777" w:rsidR="002519E6" w:rsidRDefault="0025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12D2A" w14:textId="77777777" w:rsidR="002519E6" w:rsidRDefault="00251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72DC" w14:textId="77777777" w:rsidR="002519E6" w:rsidRDefault="0025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4A6DA" w14:textId="77777777" w:rsidR="00487AD6" w:rsidRDefault="00487AD6">
      <w:r>
        <w:separator/>
      </w:r>
    </w:p>
  </w:footnote>
  <w:footnote w:type="continuationSeparator" w:id="0">
    <w:p w14:paraId="57F1D1FC" w14:textId="77777777" w:rsidR="00487AD6" w:rsidRDefault="00487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B35E" w14:textId="77777777" w:rsidR="00C6717E" w:rsidRDefault="002519E6">
    <w:pPr>
      <w:pStyle w:val="Header"/>
    </w:pPr>
    <w:r>
      <w:rPr>
        <w:noProof/>
      </w:rPr>
      <w:pict w14:anchorId="78230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A28ED" w14:textId="77777777" w:rsidR="00C6717E" w:rsidRDefault="00C6717E" w:rsidP="006C3478">
    <w:pPr>
      <w:pStyle w:val="FooterAddress"/>
    </w:pPr>
  </w:p>
  <w:p w14:paraId="1C20D215" w14:textId="77777777" w:rsidR="00C6717E" w:rsidRDefault="00F707D8" w:rsidP="006C3478">
    <w:pPr>
      <w:jc w:val="center"/>
    </w:pPr>
    <w:r>
      <w:rPr>
        <w:noProof/>
      </w:rPr>
      <w:drawing>
        <wp:inline distT="0" distB="0" distL="0" distR="0" wp14:anchorId="7320583F" wp14:editId="3AE65F33">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7A949" w14:textId="77777777" w:rsidR="00C6717E" w:rsidRDefault="002519E6">
    <w:pPr>
      <w:pStyle w:val="Header"/>
    </w:pPr>
    <w:r>
      <w:rPr>
        <w:noProof/>
      </w:rPr>
      <w:pict w14:anchorId="32DEF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176E2C"/>
    <w:multiLevelType w:val="multilevel"/>
    <w:tmpl w:val="BD9EFBF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B400F83"/>
    <w:multiLevelType w:val="multilevel"/>
    <w:tmpl w:val="F0EE9C22"/>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F2B5165"/>
    <w:multiLevelType w:val="hybridMultilevel"/>
    <w:tmpl w:val="CD7A8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29F1D87"/>
    <w:multiLevelType w:val="multilevel"/>
    <w:tmpl w:val="9C807B0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D6"/>
    <w:rsid w:val="0000717F"/>
    <w:rsid w:val="00013BA1"/>
    <w:rsid w:val="00014300"/>
    <w:rsid w:val="000150A1"/>
    <w:rsid w:val="0003198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4082"/>
    <w:rsid w:val="000C784D"/>
    <w:rsid w:val="000D2BCE"/>
    <w:rsid w:val="000D71B6"/>
    <w:rsid w:val="000E752F"/>
    <w:rsid w:val="000F3AC3"/>
    <w:rsid w:val="000F58F3"/>
    <w:rsid w:val="000F7250"/>
    <w:rsid w:val="0010374A"/>
    <w:rsid w:val="0011262E"/>
    <w:rsid w:val="00121EB0"/>
    <w:rsid w:val="00125111"/>
    <w:rsid w:val="001261D4"/>
    <w:rsid w:val="00127624"/>
    <w:rsid w:val="001307F9"/>
    <w:rsid w:val="00142EB8"/>
    <w:rsid w:val="0014413A"/>
    <w:rsid w:val="001444E7"/>
    <w:rsid w:val="00144EF0"/>
    <w:rsid w:val="00146907"/>
    <w:rsid w:val="00147496"/>
    <w:rsid w:val="0015170E"/>
    <w:rsid w:val="001521F8"/>
    <w:rsid w:val="00152F1C"/>
    <w:rsid w:val="00153B7D"/>
    <w:rsid w:val="0016017F"/>
    <w:rsid w:val="00166896"/>
    <w:rsid w:val="001674B6"/>
    <w:rsid w:val="00184D83"/>
    <w:rsid w:val="001860D7"/>
    <w:rsid w:val="001928ED"/>
    <w:rsid w:val="001939D9"/>
    <w:rsid w:val="001953C8"/>
    <w:rsid w:val="0019587A"/>
    <w:rsid w:val="001A0832"/>
    <w:rsid w:val="001A0D1E"/>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216C2"/>
    <w:rsid w:val="00221EEA"/>
    <w:rsid w:val="002230F5"/>
    <w:rsid w:val="00226AB9"/>
    <w:rsid w:val="002331B0"/>
    <w:rsid w:val="002403BE"/>
    <w:rsid w:val="00241915"/>
    <w:rsid w:val="0024777D"/>
    <w:rsid w:val="002519E6"/>
    <w:rsid w:val="0025317A"/>
    <w:rsid w:val="00256DDF"/>
    <w:rsid w:val="00264766"/>
    <w:rsid w:val="00271205"/>
    <w:rsid w:val="002723D3"/>
    <w:rsid w:val="00273048"/>
    <w:rsid w:val="00280815"/>
    <w:rsid w:val="00283D6D"/>
    <w:rsid w:val="00284332"/>
    <w:rsid w:val="00284A47"/>
    <w:rsid w:val="00286CA8"/>
    <w:rsid w:val="00290D00"/>
    <w:rsid w:val="00294D00"/>
    <w:rsid w:val="002A2015"/>
    <w:rsid w:val="002B10C8"/>
    <w:rsid w:val="002B3E42"/>
    <w:rsid w:val="002B778B"/>
    <w:rsid w:val="002B7CA2"/>
    <w:rsid w:val="002C3264"/>
    <w:rsid w:val="002C357B"/>
    <w:rsid w:val="002C672A"/>
    <w:rsid w:val="002C6DB3"/>
    <w:rsid w:val="002D3EBC"/>
    <w:rsid w:val="002D7A27"/>
    <w:rsid w:val="002E1F3D"/>
    <w:rsid w:val="002F3DBF"/>
    <w:rsid w:val="002F4AEF"/>
    <w:rsid w:val="0030221A"/>
    <w:rsid w:val="0030513B"/>
    <w:rsid w:val="00317178"/>
    <w:rsid w:val="00320C27"/>
    <w:rsid w:val="00332453"/>
    <w:rsid w:val="003353D0"/>
    <w:rsid w:val="0033616B"/>
    <w:rsid w:val="003409F8"/>
    <w:rsid w:val="003459E9"/>
    <w:rsid w:val="00353A5B"/>
    <w:rsid w:val="00355A78"/>
    <w:rsid w:val="0035634F"/>
    <w:rsid w:val="003605ED"/>
    <w:rsid w:val="00360797"/>
    <w:rsid w:val="003609E3"/>
    <w:rsid w:val="00364612"/>
    <w:rsid w:val="00364A88"/>
    <w:rsid w:val="00364D2B"/>
    <w:rsid w:val="003756E3"/>
    <w:rsid w:val="003758D2"/>
    <w:rsid w:val="00377484"/>
    <w:rsid w:val="00381663"/>
    <w:rsid w:val="003823E0"/>
    <w:rsid w:val="00396032"/>
    <w:rsid w:val="003967C8"/>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28CF"/>
    <w:rsid w:val="00457BC3"/>
    <w:rsid w:val="00462452"/>
    <w:rsid w:val="004663BE"/>
    <w:rsid w:val="004801C6"/>
    <w:rsid w:val="004820B4"/>
    <w:rsid w:val="00487AD6"/>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7C6"/>
    <w:rsid w:val="00595FA5"/>
    <w:rsid w:val="005973F7"/>
    <w:rsid w:val="005A21BA"/>
    <w:rsid w:val="005A4B80"/>
    <w:rsid w:val="005A7641"/>
    <w:rsid w:val="005B441A"/>
    <w:rsid w:val="005B4AC3"/>
    <w:rsid w:val="005B69B2"/>
    <w:rsid w:val="005C0475"/>
    <w:rsid w:val="005C0E91"/>
    <w:rsid w:val="005C3556"/>
    <w:rsid w:val="005C5CC1"/>
    <w:rsid w:val="005D243B"/>
    <w:rsid w:val="005D4B6D"/>
    <w:rsid w:val="005D6D69"/>
    <w:rsid w:val="005E05A7"/>
    <w:rsid w:val="005E3584"/>
    <w:rsid w:val="005E3FA8"/>
    <w:rsid w:val="005E612B"/>
    <w:rsid w:val="005E66D5"/>
    <w:rsid w:val="005F1B84"/>
    <w:rsid w:val="005F5915"/>
    <w:rsid w:val="006032DA"/>
    <w:rsid w:val="0060364F"/>
    <w:rsid w:val="00606AB6"/>
    <w:rsid w:val="00615E31"/>
    <w:rsid w:val="00617843"/>
    <w:rsid w:val="006221AC"/>
    <w:rsid w:val="006242B4"/>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86D5A"/>
    <w:rsid w:val="0069589E"/>
    <w:rsid w:val="00696159"/>
    <w:rsid w:val="006A0A12"/>
    <w:rsid w:val="006B1697"/>
    <w:rsid w:val="006B1B2F"/>
    <w:rsid w:val="006B2091"/>
    <w:rsid w:val="006B29EB"/>
    <w:rsid w:val="006B309E"/>
    <w:rsid w:val="006B5E38"/>
    <w:rsid w:val="006C3478"/>
    <w:rsid w:val="006D62AB"/>
    <w:rsid w:val="006E039F"/>
    <w:rsid w:val="006E03CB"/>
    <w:rsid w:val="006E266F"/>
    <w:rsid w:val="006E3228"/>
    <w:rsid w:val="006F016E"/>
    <w:rsid w:val="006F03B0"/>
    <w:rsid w:val="006F17AD"/>
    <w:rsid w:val="006F3EAC"/>
    <w:rsid w:val="007001D0"/>
    <w:rsid w:val="007033C9"/>
    <w:rsid w:val="007052EA"/>
    <w:rsid w:val="007114AF"/>
    <w:rsid w:val="00720D1E"/>
    <w:rsid w:val="007212F4"/>
    <w:rsid w:val="00727A40"/>
    <w:rsid w:val="007405F4"/>
    <w:rsid w:val="007408F0"/>
    <w:rsid w:val="00742785"/>
    <w:rsid w:val="00753B6F"/>
    <w:rsid w:val="007569CB"/>
    <w:rsid w:val="007576D9"/>
    <w:rsid w:val="0076650A"/>
    <w:rsid w:val="00766D6F"/>
    <w:rsid w:val="007673A9"/>
    <w:rsid w:val="007763AC"/>
    <w:rsid w:val="0077689E"/>
    <w:rsid w:val="0078225B"/>
    <w:rsid w:val="00782AF4"/>
    <w:rsid w:val="007929B6"/>
    <w:rsid w:val="0079763D"/>
    <w:rsid w:val="00797703"/>
    <w:rsid w:val="007A059C"/>
    <w:rsid w:val="007A377E"/>
    <w:rsid w:val="007A39D7"/>
    <w:rsid w:val="007A59C1"/>
    <w:rsid w:val="007B41BB"/>
    <w:rsid w:val="007B5214"/>
    <w:rsid w:val="007B5613"/>
    <w:rsid w:val="007D0936"/>
    <w:rsid w:val="007E3D27"/>
    <w:rsid w:val="007E59C2"/>
    <w:rsid w:val="007E699E"/>
    <w:rsid w:val="007F2ACC"/>
    <w:rsid w:val="007F2BA7"/>
    <w:rsid w:val="007F656B"/>
    <w:rsid w:val="007F6580"/>
    <w:rsid w:val="007F7CAB"/>
    <w:rsid w:val="0080001B"/>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6CC4"/>
    <w:rsid w:val="008636CE"/>
    <w:rsid w:val="00871006"/>
    <w:rsid w:val="0088712E"/>
    <w:rsid w:val="00891A52"/>
    <w:rsid w:val="00891C95"/>
    <w:rsid w:val="00894703"/>
    <w:rsid w:val="008A350E"/>
    <w:rsid w:val="008A38AC"/>
    <w:rsid w:val="008A561B"/>
    <w:rsid w:val="008B150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35A0"/>
    <w:rsid w:val="008F3A7B"/>
    <w:rsid w:val="008F6D50"/>
    <w:rsid w:val="008F7332"/>
    <w:rsid w:val="00901679"/>
    <w:rsid w:val="00902FCE"/>
    <w:rsid w:val="00903A03"/>
    <w:rsid w:val="00904AC6"/>
    <w:rsid w:val="00905FC5"/>
    <w:rsid w:val="009073C3"/>
    <w:rsid w:val="00910077"/>
    <w:rsid w:val="00911D30"/>
    <w:rsid w:val="0091264E"/>
    <w:rsid w:val="00914B0E"/>
    <w:rsid w:val="00915838"/>
    <w:rsid w:val="00924006"/>
    <w:rsid w:val="009268F0"/>
    <w:rsid w:val="00926F41"/>
    <w:rsid w:val="00942343"/>
    <w:rsid w:val="00944066"/>
    <w:rsid w:val="00950BFC"/>
    <w:rsid w:val="009522AE"/>
    <w:rsid w:val="009562D2"/>
    <w:rsid w:val="0096362F"/>
    <w:rsid w:val="00965AC7"/>
    <w:rsid w:val="00974400"/>
    <w:rsid w:val="00976987"/>
    <w:rsid w:val="0097704E"/>
    <w:rsid w:val="009814A8"/>
    <w:rsid w:val="00983E3D"/>
    <w:rsid w:val="00986825"/>
    <w:rsid w:val="00986A30"/>
    <w:rsid w:val="009944C2"/>
    <w:rsid w:val="00997BDF"/>
    <w:rsid w:val="009A0978"/>
    <w:rsid w:val="009A2431"/>
    <w:rsid w:val="009A2D62"/>
    <w:rsid w:val="009A3E25"/>
    <w:rsid w:val="009B0B79"/>
    <w:rsid w:val="009B52A9"/>
    <w:rsid w:val="009C3B82"/>
    <w:rsid w:val="009D3737"/>
    <w:rsid w:val="009D488C"/>
    <w:rsid w:val="009E17CF"/>
    <w:rsid w:val="009E1966"/>
    <w:rsid w:val="009E2398"/>
    <w:rsid w:val="009E4B71"/>
    <w:rsid w:val="009E5D1F"/>
    <w:rsid w:val="009F0D50"/>
    <w:rsid w:val="009F20D8"/>
    <w:rsid w:val="009F6DF6"/>
    <w:rsid w:val="00A01A0F"/>
    <w:rsid w:val="00A01DB0"/>
    <w:rsid w:val="00A02FA1"/>
    <w:rsid w:val="00A03B11"/>
    <w:rsid w:val="00A043CF"/>
    <w:rsid w:val="00A10A75"/>
    <w:rsid w:val="00A1695E"/>
    <w:rsid w:val="00A21D6F"/>
    <w:rsid w:val="00A26141"/>
    <w:rsid w:val="00A26599"/>
    <w:rsid w:val="00A275C9"/>
    <w:rsid w:val="00A31ADE"/>
    <w:rsid w:val="00A321BA"/>
    <w:rsid w:val="00A3393B"/>
    <w:rsid w:val="00A353A3"/>
    <w:rsid w:val="00A42560"/>
    <w:rsid w:val="00A4412B"/>
    <w:rsid w:val="00A45D9B"/>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5CC7"/>
    <w:rsid w:val="00AD6DE2"/>
    <w:rsid w:val="00AE1341"/>
    <w:rsid w:val="00AE4A54"/>
    <w:rsid w:val="00AF0EB2"/>
    <w:rsid w:val="00AF1412"/>
    <w:rsid w:val="00AF6E91"/>
    <w:rsid w:val="00B0089E"/>
    <w:rsid w:val="00B02EEC"/>
    <w:rsid w:val="00B116E7"/>
    <w:rsid w:val="00B11BB0"/>
    <w:rsid w:val="00B1515B"/>
    <w:rsid w:val="00B261E5"/>
    <w:rsid w:val="00B26AEF"/>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E0B2D"/>
    <w:rsid w:val="00BE0B82"/>
    <w:rsid w:val="00BE1B0A"/>
    <w:rsid w:val="00BE2A13"/>
    <w:rsid w:val="00BF1976"/>
    <w:rsid w:val="00BF2E83"/>
    <w:rsid w:val="00BF37C3"/>
    <w:rsid w:val="00C1452C"/>
    <w:rsid w:val="00C17DD8"/>
    <w:rsid w:val="00C241DA"/>
    <w:rsid w:val="00C26A08"/>
    <w:rsid w:val="00C325F2"/>
    <w:rsid w:val="00C32BC7"/>
    <w:rsid w:val="00C335BB"/>
    <w:rsid w:val="00C344A5"/>
    <w:rsid w:val="00C418B7"/>
    <w:rsid w:val="00C451EF"/>
    <w:rsid w:val="00C46839"/>
    <w:rsid w:val="00C50461"/>
    <w:rsid w:val="00C524F9"/>
    <w:rsid w:val="00C531C3"/>
    <w:rsid w:val="00C55C9B"/>
    <w:rsid w:val="00C5636D"/>
    <w:rsid w:val="00C57D07"/>
    <w:rsid w:val="00C61063"/>
    <w:rsid w:val="00C6717E"/>
    <w:rsid w:val="00C72DCC"/>
    <w:rsid w:val="00C84208"/>
    <w:rsid w:val="00C92B3C"/>
    <w:rsid w:val="00C9627F"/>
    <w:rsid w:val="00C972DD"/>
    <w:rsid w:val="00C97D59"/>
    <w:rsid w:val="00CA0432"/>
    <w:rsid w:val="00CA5796"/>
    <w:rsid w:val="00CB2E16"/>
    <w:rsid w:val="00CB4ABC"/>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06DF"/>
    <w:rsid w:val="00D218A5"/>
    <w:rsid w:val="00D22699"/>
    <w:rsid w:val="00D31D59"/>
    <w:rsid w:val="00D3239F"/>
    <w:rsid w:val="00D365E4"/>
    <w:rsid w:val="00D36AE7"/>
    <w:rsid w:val="00D36D2F"/>
    <w:rsid w:val="00D3725B"/>
    <w:rsid w:val="00D457AE"/>
    <w:rsid w:val="00D55EDF"/>
    <w:rsid w:val="00D56C01"/>
    <w:rsid w:val="00D56E6D"/>
    <w:rsid w:val="00D573F8"/>
    <w:rsid w:val="00D624EF"/>
    <w:rsid w:val="00D65FE6"/>
    <w:rsid w:val="00D7007A"/>
    <w:rsid w:val="00D71D07"/>
    <w:rsid w:val="00D72BEE"/>
    <w:rsid w:val="00D773BD"/>
    <w:rsid w:val="00D77B7F"/>
    <w:rsid w:val="00D91473"/>
    <w:rsid w:val="00D955B6"/>
    <w:rsid w:val="00DA5198"/>
    <w:rsid w:val="00DA6169"/>
    <w:rsid w:val="00DB4511"/>
    <w:rsid w:val="00DB4CAC"/>
    <w:rsid w:val="00DB72E0"/>
    <w:rsid w:val="00DC5205"/>
    <w:rsid w:val="00DC7EFF"/>
    <w:rsid w:val="00DD3D5C"/>
    <w:rsid w:val="00DD4FBF"/>
    <w:rsid w:val="00DD5234"/>
    <w:rsid w:val="00DE7271"/>
    <w:rsid w:val="00DF07AE"/>
    <w:rsid w:val="00E001A1"/>
    <w:rsid w:val="00E03308"/>
    <w:rsid w:val="00E1629B"/>
    <w:rsid w:val="00E17967"/>
    <w:rsid w:val="00E25FE5"/>
    <w:rsid w:val="00E26A3A"/>
    <w:rsid w:val="00E31D30"/>
    <w:rsid w:val="00E32548"/>
    <w:rsid w:val="00E35646"/>
    <w:rsid w:val="00E36500"/>
    <w:rsid w:val="00E40505"/>
    <w:rsid w:val="00E44444"/>
    <w:rsid w:val="00E44569"/>
    <w:rsid w:val="00E44867"/>
    <w:rsid w:val="00E45F70"/>
    <w:rsid w:val="00E509EB"/>
    <w:rsid w:val="00E54185"/>
    <w:rsid w:val="00E57D67"/>
    <w:rsid w:val="00E64171"/>
    <w:rsid w:val="00E64B82"/>
    <w:rsid w:val="00E6642C"/>
    <w:rsid w:val="00E71228"/>
    <w:rsid w:val="00E71941"/>
    <w:rsid w:val="00E7338E"/>
    <w:rsid w:val="00E73A7C"/>
    <w:rsid w:val="00E835DE"/>
    <w:rsid w:val="00E844D3"/>
    <w:rsid w:val="00E91176"/>
    <w:rsid w:val="00E925AB"/>
    <w:rsid w:val="00E9280C"/>
    <w:rsid w:val="00E92951"/>
    <w:rsid w:val="00E930E5"/>
    <w:rsid w:val="00E9703E"/>
    <w:rsid w:val="00EA132C"/>
    <w:rsid w:val="00EA5C28"/>
    <w:rsid w:val="00EB0B10"/>
    <w:rsid w:val="00EB5B73"/>
    <w:rsid w:val="00EC01AE"/>
    <w:rsid w:val="00EC063B"/>
    <w:rsid w:val="00EC5D7B"/>
    <w:rsid w:val="00EC65B7"/>
    <w:rsid w:val="00ED1CA2"/>
    <w:rsid w:val="00ED43FA"/>
    <w:rsid w:val="00ED5FEF"/>
    <w:rsid w:val="00ED65FB"/>
    <w:rsid w:val="00EE282C"/>
    <w:rsid w:val="00EE63E2"/>
    <w:rsid w:val="00EF338D"/>
    <w:rsid w:val="00F02250"/>
    <w:rsid w:val="00F055EF"/>
    <w:rsid w:val="00F0721C"/>
    <w:rsid w:val="00F16AE4"/>
    <w:rsid w:val="00F22D98"/>
    <w:rsid w:val="00F272B0"/>
    <w:rsid w:val="00F34D1F"/>
    <w:rsid w:val="00F41E2F"/>
    <w:rsid w:val="00F43AE4"/>
    <w:rsid w:val="00F4432C"/>
    <w:rsid w:val="00F44D70"/>
    <w:rsid w:val="00F523E7"/>
    <w:rsid w:val="00F5387B"/>
    <w:rsid w:val="00F548B8"/>
    <w:rsid w:val="00F62CA3"/>
    <w:rsid w:val="00F66D10"/>
    <w:rsid w:val="00F66FF3"/>
    <w:rsid w:val="00F707D8"/>
    <w:rsid w:val="00F71DEA"/>
    <w:rsid w:val="00F73908"/>
    <w:rsid w:val="00F74CDF"/>
    <w:rsid w:val="00F75C8A"/>
    <w:rsid w:val="00F76181"/>
    <w:rsid w:val="00F7731A"/>
    <w:rsid w:val="00F81BED"/>
    <w:rsid w:val="00F824F8"/>
    <w:rsid w:val="00F85056"/>
    <w:rsid w:val="00F92343"/>
    <w:rsid w:val="00F94655"/>
    <w:rsid w:val="00F94B5F"/>
    <w:rsid w:val="00F96209"/>
    <w:rsid w:val="00FA38AB"/>
    <w:rsid w:val="00FA62B2"/>
    <w:rsid w:val="00FA6C0D"/>
    <w:rsid w:val="00FA7724"/>
    <w:rsid w:val="00FB04A7"/>
    <w:rsid w:val="00FB1EB3"/>
    <w:rsid w:val="00FD06CB"/>
    <w:rsid w:val="00FD13B7"/>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BA9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link w:val="Heading2Char"/>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aliases w:val="Body,Bullet + line,b,b + line,b1,level 1"/>
    <w:basedOn w:val="Normal"/>
    <w:link w:val="BulletChar"/>
    <w:qFormat/>
    <w:rsid w:val="00843EEB"/>
    <w:pPr>
      <w:numPr>
        <w:numId w:val="1"/>
      </w:numPr>
    </w:pPr>
  </w:style>
  <w:style w:type="paragraph" w:customStyle="1" w:styleId="Dash">
    <w:name w:val="Dash"/>
    <w:basedOn w:val="Normal"/>
    <w:link w:val="DashChar"/>
    <w:qFormat/>
    <w:rsid w:val="00843EEB"/>
    <w:pPr>
      <w:numPr>
        <w:ilvl w:val="1"/>
        <w:numId w:val="1"/>
      </w:numPr>
    </w:pPr>
  </w:style>
  <w:style w:type="paragraph" w:customStyle="1" w:styleId="DoubleDot">
    <w:name w:val="Double Dot"/>
    <w:basedOn w:val="Normal"/>
    <w:link w:val="DoubleDotChar"/>
    <w:qFormat/>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styleId="CommentReference">
    <w:name w:val="annotation reference"/>
    <w:basedOn w:val="DefaultParagraphFont"/>
    <w:rsid w:val="006D62AB"/>
    <w:rPr>
      <w:sz w:val="16"/>
      <w:szCs w:val="16"/>
    </w:rPr>
  </w:style>
  <w:style w:type="paragraph" w:styleId="CommentText">
    <w:name w:val="annotation text"/>
    <w:basedOn w:val="Normal"/>
    <w:link w:val="CommentTextChar"/>
    <w:rsid w:val="006D62AB"/>
    <w:rPr>
      <w:sz w:val="20"/>
    </w:rPr>
  </w:style>
  <w:style w:type="character" w:customStyle="1" w:styleId="CommentTextChar">
    <w:name w:val="Comment Text Char"/>
    <w:basedOn w:val="DefaultParagraphFont"/>
    <w:link w:val="CommentText"/>
    <w:rsid w:val="006D62AB"/>
  </w:style>
  <w:style w:type="paragraph" w:styleId="CommentSubject">
    <w:name w:val="annotation subject"/>
    <w:basedOn w:val="CommentText"/>
    <w:next w:val="CommentText"/>
    <w:link w:val="CommentSubjectChar"/>
    <w:rsid w:val="006D62AB"/>
    <w:rPr>
      <w:b/>
      <w:bCs/>
    </w:rPr>
  </w:style>
  <w:style w:type="character" w:customStyle="1" w:styleId="CommentSubjectChar">
    <w:name w:val="Comment Subject Char"/>
    <w:basedOn w:val="CommentTextChar"/>
    <w:link w:val="CommentSubject"/>
    <w:rsid w:val="006D62AB"/>
    <w:rPr>
      <w:b/>
      <w:bCs/>
    </w:rPr>
  </w:style>
  <w:style w:type="character" w:customStyle="1" w:styleId="BulletChar">
    <w:name w:val="Bullet Char"/>
    <w:basedOn w:val="DefaultParagraphFont"/>
    <w:link w:val="Bullet"/>
    <w:rsid w:val="00C46839"/>
    <w:rPr>
      <w:sz w:val="24"/>
    </w:rPr>
  </w:style>
  <w:style w:type="character" w:customStyle="1" w:styleId="DashChar">
    <w:name w:val="Dash Char"/>
    <w:basedOn w:val="DefaultParagraphFont"/>
    <w:link w:val="Dash"/>
    <w:rsid w:val="00C46839"/>
    <w:rPr>
      <w:sz w:val="24"/>
    </w:rPr>
  </w:style>
  <w:style w:type="character" w:customStyle="1" w:styleId="DoubleDotChar">
    <w:name w:val="Double Dot Char"/>
    <w:basedOn w:val="DefaultParagraphFont"/>
    <w:link w:val="DoubleDot"/>
    <w:rsid w:val="00C46839"/>
    <w:rPr>
      <w:sz w:val="24"/>
    </w:rPr>
  </w:style>
  <w:style w:type="character" w:customStyle="1" w:styleId="Heading2Char">
    <w:name w:val="Heading 2 Char"/>
    <w:basedOn w:val="DefaultParagraphFont"/>
    <w:link w:val="Heading2"/>
    <w:rsid w:val="00C46839"/>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EBC"/>
    <w:pPr>
      <w:spacing w:after="240"/>
    </w:pPr>
    <w:rPr>
      <w:sz w:val="24"/>
    </w:rPr>
  </w:style>
  <w:style w:type="paragraph" w:styleId="Heading1">
    <w:name w:val="heading 1"/>
    <w:basedOn w:val="Heading2"/>
    <w:next w:val="Normal"/>
    <w:qFormat/>
    <w:rsid w:val="007052EA"/>
    <w:pPr>
      <w:outlineLvl w:val="0"/>
    </w:pPr>
    <w:rPr>
      <w:i/>
    </w:rPr>
  </w:style>
  <w:style w:type="paragraph" w:styleId="Heading2">
    <w:name w:val="heading 2"/>
    <w:basedOn w:val="Normal"/>
    <w:next w:val="Normal"/>
    <w:link w:val="Heading2Char"/>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aliases w:val="Body,Bullet + line,b,b + line,b1,level 1"/>
    <w:basedOn w:val="Normal"/>
    <w:link w:val="BulletChar"/>
    <w:qFormat/>
    <w:rsid w:val="00843EEB"/>
    <w:pPr>
      <w:numPr>
        <w:numId w:val="1"/>
      </w:numPr>
    </w:pPr>
  </w:style>
  <w:style w:type="paragraph" w:customStyle="1" w:styleId="Dash">
    <w:name w:val="Dash"/>
    <w:basedOn w:val="Normal"/>
    <w:link w:val="DashChar"/>
    <w:qFormat/>
    <w:rsid w:val="00843EEB"/>
    <w:pPr>
      <w:numPr>
        <w:ilvl w:val="1"/>
        <w:numId w:val="1"/>
      </w:numPr>
    </w:pPr>
  </w:style>
  <w:style w:type="paragraph" w:customStyle="1" w:styleId="DoubleDot">
    <w:name w:val="Double Dot"/>
    <w:basedOn w:val="Normal"/>
    <w:link w:val="DoubleDotChar"/>
    <w:qFormat/>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styleId="FollowedHyperlink">
    <w:name w:val="FollowedHyperlink"/>
    <w:basedOn w:val="DefaultParagraphFont"/>
    <w:rsid w:val="00D206DF"/>
    <w:rPr>
      <w:color w:val="800080" w:themeColor="followedHyperlink"/>
      <w:u w:val="single"/>
    </w:rPr>
  </w:style>
  <w:style w:type="character" w:styleId="CommentReference">
    <w:name w:val="annotation reference"/>
    <w:basedOn w:val="DefaultParagraphFont"/>
    <w:rsid w:val="006D62AB"/>
    <w:rPr>
      <w:sz w:val="16"/>
      <w:szCs w:val="16"/>
    </w:rPr>
  </w:style>
  <w:style w:type="paragraph" w:styleId="CommentText">
    <w:name w:val="annotation text"/>
    <w:basedOn w:val="Normal"/>
    <w:link w:val="CommentTextChar"/>
    <w:rsid w:val="006D62AB"/>
    <w:rPr>
      <w:sz w:val="20"/>
    </w:rPr>
  </w:style>
  <w:style w:type="character" w:customStyle="1" w:styleId="CommentTextChar">
    <w:name w:val="Comment Text Char"/>
    <w:basedOn w:val="DefaultParagraphFont"/>
    <w:link w:val="CommentText"/>
    <w:rsid w:val="006D62AB"/>
  </w:style>
  <w:style w:type="paragraph" w:styleId="CommentSubject">
    <w:name w:val="annotation subject"/>
    <w:basedOn w:val="CommentText"/>
    <w:next w:val="CommentText"/>
    <w:link w:val="CommentSubjectChar"/>
    <w:rsid w:val="006D62AB"/>
    <w:rPr>
      <w:b/>
      <w:bCs/>
    </w:rPr>
  </w:style>
  <w:style w:type="character" w:customStyle="1" w:styleId="CommentSubjectChar">
    <w:name w:val="Comment Subject Char"/>
    <w:basedOn w:val="CommentTextChar"/>
    <w:link w:val="CommentSubject"/>
    <w:rsid w:val="006D62AB"/>
    <w:rPr>
      <w:b/>
      <w:bCs/>
    </w:rPr>
  </w:style>
  <w:style w:type="character" w:customStyle="1" w:styleId="BulletChar">
    <w:name w:val="Bullet Char"/>
    <w:basedOn w:val="DefaultParagraphFont"/>
    <w:link w:val="Bullet"/>
    <w:rsid w:val="00C46839"/>
    <w:rPr>
      <w:sz w:val="24"/>
    </w:rPr>
  </w:style>
  <w:style w:type="character" w:customStyle="1" w:styleId="DashChar">
    <w:name w:val="Dash Char"/>
    <w:basedOn w:val="DefaultParagraphFont"/>
    <w:link w:val="Dash"/>
    <w:rsid w:val="00C46839"/>
    <w:rPr>
      <w:sz w:val="24"/>
    </w:rPr>
  </w:style>
  <w:style w:type="character" w:customStyle="1" w:styleId="DoubleDotChar">
    <w:name w:val="Double Dot Char"/>
    <w:basedOn w:val="DefaultParagraphFont"/>
    <w:link w:val="DoubleDot"/>
    <w:rsid w:val="00C46839"/>
    <w:rPr>
      <w:sz w:val="24"/>
    </w:rPr>
  </w:style>
  <w:style w:type="character" w:customStyle="1" w:styleId="Heading2Char">
    <w:name w:val="Heading 2 Char"/>
    <w:basedOn w:val="DefaultParagraphFont"/>
    <w:link w:val="Heading2"/>
    <w:rsid w:val="00C46839"/>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treasury.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4551</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Process</dc:title>
  <dc:subject/>
  <dc:creator/>
  <cp:keywords/>
  <cp:lastModifiedBy/>
  <cp:revision>1</cp:revision>
  <dcterms:created xsi:type="dcterms:W3CDTF">2017-05-30T03:32:00Z</dcterms:created>
  <dcterms:modified xsi:type="dcterms:W3CDTF">2017-05-30T03:32:00Z</dcterms:modified>
</cp:coreProperties>
</file>