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7E" w:rsidRDefault="00D24829">
      <w:pPr>
        <w:rPr>
          <w:b/>
        </w:rPr>
      </w:pPr>
      <w:bookmarkStart w:id="0" w:name="_GoBack"/>
      <w:bookmarkEnd w:id="0"/>
      <w:r>
        <w:rPr>
          <w:b/>
          <w:noProof/>
          <w:lang w:eastAsia="en-A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4688205</wp:posOffset>
            </wp:positionH>
            <wp:positionV relativeFrom="page">
              <wp:posOffset>149225</wp:posOffset>
            </wp:positionV>
            <wp:extent cx="1534160" cy="1146175"/>
            <wp:effectExtent l="0" t="0" r="8890" b="0"/>
            <wp:wrapSquare wrapText="bothSides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47E" w:rsidRDefault="00A0347E">
      <w:pPr>
        <w:rPr>
          <w:b/>
        </w:rPr>
      </w:pPr>
    </w:p>
    <w:p w:rsidR="00E434B3" w:rsidRDefault="00E434B3" w:rsidP="00E434B3">
      <w:pPr>
        <w:spacing w:after="0"/>
        <w:rPr>
          <w:rFonts w:cstheme="minorHAnsi"/>
          <w:color w:val="000000"/>
          <w:shd w:val="clear" w:color="auto" w:fill="F5F8FB"/>
        </w:rPr>
      </w:pPr>
      <w:r>
        <w:rPr>
          <w:rFonts w:cstheme="minorHAnsi"/>
          <w:color w:val="000000"/>
          <w:shd w:val="clear" w:color="auto" w:fill="F5F8FB"/>
        </w:rPr>
        <w:t>Manager</w:t>
      </w:r>
    </w:p>
    <w:p w:rsidR="00E434B3" w:rsidRDefault="00E434B3" w:rsidP="00E434B3">
      <w:pPr>
        <w:spacing w:after="0"/>
        <w:rPr>
          <w:rFonts w:cstheme="minorHAnsi"/>
          <w:color w:val="000000"/>
          <w:shd w:val="clear" w:color="auto" w:fill="F5F8FB"/>
        </w:rPr>
      </w:pPr>
      <w:r>
        <w:rPr>
          <w:rFonts w:cstheme="minorHAnsi"/>
          <w:color w:val="000000"/>
          <w:shd w:val="clear" w:color="auto" w:fill="F5F8FB"/>
        </w:rPr>
        <w:t>Melbourne Unit</w:t>
      </w:r>
    </w:p>
    <w:p w:rsidR="00E434B3" w:rsidRDefault="00E434B3" w:rsidP="00E434B3">
      <w:pPr>
        <w:spacing w:after="0"/>
        <w:rPr>
          <w:rFonts w:cstheme="minorHAnsi"/>
          <w:color w:val="000000"/>
          <w:shd w:val="clear" w:color="auto" w:fill="F5F8FB"/>
        </w:rPr>
      </w:pPr>
      <w:r>
        <w:rPr>
          <w:rFonts w:cstheme="minorHAnsi"/>
          <w:color w:val="000000"/>
          <w:shd w:val="clear" w:color="auto" w:fill="F5F8FB"/>
        </w:rPr>
        <w:t>Retirement Income Policy Division</w:t>
      </w:r>
    </w:p>
    <w:p w:rsidR="00E434B3" w:rsidRDefault="00E434B3" w:rsidP="00E434B3">
      <w:pPr>
        <w:spacing w:after="0"/>
        <w:rPr>
          <w:rFonts w:cstheme="minorHAnsi"/>
          <w:color w:val="000000"/>
          <w:shd w:val="clear" w:color="auto" w:fill="F5F8FB"/>
        </w:rPr>
      </w:pPr>
      <w:r>
        <w:rPr>
          <w:rFonts w:cstheme="minorHAnsi"/>
          <w:color w:val="000000"/>
          <w:shd w:val="clear" w:color="auto" w:fill="F5F8FB"/>
        </w:rPr>
        <w:t>The Treasury</w:t>
      </w:r>
    </w:p>
    <w:p w:rsidR="00E434B3" w:rsidRDefault="00E434B3" w:rsidP="00E434B3">
      <w:pPr>
        <w:spacing w:after="0"/>
        <w:rPr>
          <w:rFonts w:cstheme="minorHAnsi"/>
          <w:color w:val="000000"/>
          <w:shd w:val="clear" w:color="auto" w:fill="F5F8FB"/>
        </w:rPr>
      </w:pPr>
      <w:r>
        <w:rPr>
          <w:rFonts w:cstheme="minorHAnsi"/>
          <w:color w:val="000000"/>
          <w:shd w:val="clear" w:color="auto" w:fill="F5F8FB"/>
        </w:rPr>
        <w:t>Langton Crescent</w:t>
      </w:r>
    </w:p>
    <w:p w:rsidR="00E434B3" w:rsidRDefault="00E434B3">
      <w:pPr>
        <w:rPr>
          <w:rFonts w:cstheme="minorHAnsi"/>
          <w:color w:val="000000"/>
          <w:shd w:val="clear" w:color="auto" w:fill="F5F8FB"/>
        </w:rPr>
      </w:pPr>
      <w:r>
        <w:rPr>
          <w:rFonts w:cstheme="minorHAnsi"/>
          <w:color w:val="000000"/>
          <w:shd w:val="clear" w:color="auto" w:fill="F5F8FB"/>
        </w:rPr>
        <w:t>PARKES ACT 2600</w:t>
      </w:r>
    </w:p>
    <w:p w:rsidR="00E434B3" w:rsidRPr="00E434B3" w:rsidRDefault="00E434B3">
      <w:pPr>
        <w:rPr>
          <w:rFonts w:cstheme="minorHAnsi"/>
          <w:b/>
        </w:rPr>
      </w:pPr>
      <w:r>
        <w:rPr>
          <w:rFonts w:cstheme="minorHAnsi"/>
          <w:color w:val="000000"/>
          <w:shd w:val="clear" w:color="auto" w:fill="F5F8FB"/>
        </w:rPr>
        <w:t>3 May 2017</w:t>
      </w:r>
    </w:p>
    <w:p w:rsidR="00A0347E" w:rsidRDefault="00A0347E">
      <w:pPr>
        <w:rPr>
          <w:b/>
        </w:rPr>
      </w:pPr>
      <w:r w:rsidRPr="00A0347E">
        <w:rPr>
          <w:b/>
        </w:rPr>
        <w:t>TREASURY LAWS AMENDMENT (2017 MEASURES NO. 2) BILL 2017: LIMITED RECOURSE BORROWING ARRANGEMENTS</w:t>
      </w:r>
    </w:p>
    <w:p w:rsidR="00F87BA0" w:rsidRPr="00A0347E" w:rsidRDefault="00784639">
      <w:pPr>
        <w:rPr>
          <w:b/>
        </w:rPr>
      </w:pPr>
      <w:r w:rsidRPr="00A0347E">
        <w:rPr>
          <w:b/>
        </w:rPr>
        <w:t>Superannuation reform package amending provisions - limited recourse borrowing arrangements</w:t>
      </w:r>
    </w:p>
    <w:p w:rsidR="009D3D94" w:rsidRDefault="00A0347E">
      <w:r>
        <w:t>The SMSF Owners’ Alliance is an independent, not for profit advocate for the interests of one million Australians who are members/trustees of self-managed superannuation funds.</w:t>
      </w:r>
    </w:p>
    <w:p w:rsidR="009D3D94" w:rsidRDefault="00A0347E">
      <w:r>
        <w:t xml:space="preserve">It has </w:t>
      </w:r>
      <w:r w:rsidR="009D3D94">
        <w:t>become routine in our submissions to Treasury on changes to superannuation to start by noting the unreasonably short time allowed for comment on complex legislation. We have to</w:t>
      </w:r>
      <w:r w:rsidR="00784639">
        <w:t xml:space="preserve"> do so again as j</w:t>
      </w:r>
      <w:r w:rsidR="00AF2559">
        <w:t>ust four</w:t>
      </w:r>
      <w:r w:rsidR="009D3D94">
        <w:t xml:space="preserve"> working days have been allowed for comment on the proposed Bill</w:t>
      </w:r>
      <w:r w:rsidR="009D3D94" w:rsidRPr="008A33F9">
        <w:t>.</w:t>
      </w:r>
      <w:r w:rsidR="00574977" w:rsidRPr="008A33F9">
        <w:t xml:space="preserve"> It is not conducive to good policy making to allow such little time for comment on legislation</w:t>
      </w:r>
      <w:r w:rsidR="000D46DE">
        <w:t>.</w:t>
      </w:r>
      <w:r w:rsidR="00574977">
        <w:t xml:space="preserve"> </w:t>
      </w:r>
    </w:p>
    <w:p w:rsidR="009D3D94" w:rsidRDefault="009D3D94">
      <w:r>
        <w:t>Given the lack of time for us to analyse</w:t>
      </w:r>
      <w:r w:rsidR="00A0347E">
        <w:t xml:space="preserve"> the effect of the proposed legislation</w:t>
      </w:r>
      <w:r>
        <w:t xml:space="preserve"> and</w:t>
      </w:r>
      <w:r w:rsidR="000D46DE">
        <w:t xml:space="preserve"> seek expert advice, we must </w:t>
      </w:r>
      <w:r>
        <w:t>confine our comments to general points.</w:t>
      </w:r>
    </w:p>
    <w:p w:rsidR="000D46DE" w:rsidRDefault="000D46DE" w:rsidP="000D46DE">
      <w:r>
        <w:t>The Explanatory Memorandum says the Bill will ensure that where a fund has limited recourse b</w:t>
      </w:r>
      <w:r w:rsidR="007639F4">
        <w:t xml:space="preserve">orrowing arrangements in place </w:t>
      </w:r>
      <w:r>
        <w:t xml:space="preserve">the total value of its assets is properly accounted for in working out individual members’ total superannuation balances. </w:t>
      </w:r>
    </w:p>
    <w:p w:rsidR="000D46DE" w:rsidRDefault="007639F4" w:rsidP="000D46DE">
      <w:r>
        <w:t xml:space="preserve">It is unclear </w:t>
      </w:r>
      <w:r w:rsidR="000D46DE">
        <w:t>ho</w:t>
      </w:r>
      <w:r>
        <w:t xml:space="preserve">w this will be done. </w:t>
      </w:r>
    </w:p>
    <w:p w:rsidR="009D3D94" w:rsidRDefault="009D3D94">
      <w:r>
        <w:t>It seems the Bill is intended to prevent atte</w:t>
      </w:r>
      <w:r w:rsidR="00DF4235">
        <w:t xml:space="preserve">mpts by fund </w:t>
      </w:r>
      <w:r w:rsidR="00DF4235" w:rsidRPr="008A33F9">
        <w:t xml:space="preserve">members to </w:t>
      </w:r>
      <w:r w:rsidR="00574977" w:rsidRPr="008A33F9">
        <w:t xml:space="preserve">increase the value of their pension account and </w:t>
      </w:r>
      <w:r w:rsidR="00DF4235" w:rsidRPr="008A33F9">
        <w:t>circumvent t</w:t>
      </w:r>
      <w:r w:rsidRPr="008A33F9">
        <w:t>he total superannuation balance cap on non-concessional</w:t>
      </w:r>
      <w:r>
        <w:t xml:space="preserve"> contributions. </w:t>
      </w:r>
      <w:r w:rsidR="00A76B25">
        <w:t>However, i</w:t>
      </w:r>
      <w:r>
        <w:t>t is not known yet whether this wi</w:t>
      </w:r>
      <w:r w:rsidR="00DF4235">
        <w:t xml:space="preserve">ll be a real problem </w:t>
      </w:r>
      <w:r w:rsidR="00B84643">
        <w:t xml:space="preserve">and the Government has </w:t>
      </w:r>
      <w:r w:rsidR="000C2D7B">
        <w:t xml:space="preserve">not produced any </w:t>
      </w:r>
      <w:r w:rsidR="00B84643">
        <w:t xml:space="preserve">evidence of the need for it. </w:t>
      </w:r>
      <w:r w:rsidR="000C2D7B">
        <w:t xml:space="preserve"> This pre-emptive </w:t>
      </w:r>
      <w:r w:rsidR="00A0347E">
        <w:t>legislation will add anothe</w:t>
      </w:r>
      <w:r w:rsidR="000C2D7B">
        <w:t>r chapter to</w:t>
      </w:r>
      <w:r w:rsidR="00DE0302">
        <w:t xml:space="preserve"> the</w:t>
      </w:r>
      <w:r w:rsidR="000C2D7B">
        <w:t xml:space="preserve"> complex changes to superannuation that were made</w:t>
      </w:r>
      <w:r w:rsidR="00A0347E">
        <w:t xml:space="preserve"> at the end </w:t>
      </w:r>
      <w:r w:rsidR="000C2D7B">
        <w:t>of last year and have</w:t>
      </w:r>
      <w:r w:rsidR="00A0347E">
        <w:t xml:space="preserve"> yet to take effect.</w:t>
      </w:r>
    </w:p>
    <w:p w:rsidR="007639F4" w:rsidRDefault="00DE0302">
      <w:r>
        <w:t>One result</w:t>
      </w:r>
      <w:r w:rsidR="00B84643">
        <w:t xml:space="preserve"> of the Bill will be to make the rules for</w:t>
      </w:r>
      <w:r w:rsidR="00AB050C">
        <w:t xml:space="preserve"> self-managed funds more complicated</w:t>
      </w:r>
      <w:r w:rsidR="00B84643">
        <w:t xml:space="preserve"> than they already are and </w:t>
      </w:r>
      <w:r w:rsidR="00E87C3C">
        <w:t xml:space="preserve">increase </w:t>
      </w:r>
      <w:r w:rsidR="00B84643">
        <w:t xml:space="preserve">compliance </w:t>
      </w:r>
      <w:r w:rsidR="00E87C3C">
        <w:t xml:space="preserve">effort and cost </w:t>
      </w:r>
      <w:r w:rsidR="00AA131A">
        <w:t>for</w:t>
      </w:r>
      <w:r w:rsidR="00B84643">
        <w:t xml:space="preserve"> the funds that have borrowing arrangements.</w:t>
      </w:r>
      <w:r w:rsidR="00574977">
        <w:t xml:space="preserve"> </w:t>
      </w:r>
      <w:r w:rsidR="00574977" w:rsidRPr="008A33F9">
        <w:t>This will be particular</w:t>
      </w:r>
      <w:r w:rsidR="006A11F5">
        <w:t>ly</w:t>
      </w:r>
      <w:r w:rsidR="00574977" w:rsidRPr="008A33F9">
        <w:t xml:space="preserve"> problematic for funds with multiple members in different phases of superannuation and with multiple assets. </w:t>
      </w:r>
    </w:p>
    <w:p w:rsidR="00B84643" w:rsidRDefault="00B84643">
      <w:r>
        <w:t>It might be concluded that the Bill is designed to make borrowing so difficult</w:t>
      </w:r>
      <w:r w:rsidR="000C2D7B">
        <w:t xml:space="preserve"> for SMSFs </w:t>
      </w:r>
      <w:r>
        <w:t xml:space="preserve">that it will become untenable and effectively achieve a </w:t>
      </w:r>
      <w:r w:rsidR="008D034A">
        <w:t xml:space="preserve">back-door </w:t>
      </w:r>
      <w:r>
        <w:t>ban on this method of building fund assets.</w:t>
      </w:r>
    </w:p>
    <w:p w:rsidR="00B84643" w:rsidRDefault="00B84643">
      <w:r>
        <w:t>In 2015, in its response to the Financial System Inquiry, the Government did not accept a recommendation</w:t>
      </w:r>
      <w:r w:rsidR="000C2D7B">
        <w:t xml:space="preserve"> that borrowing </w:t>
      </w:r>
      <w:r w:rsidR="00CC5782">
        <w:t xml:space="preserve">by SMSFs </w:t>
      </w:r>
      <w:r w:rsidR="000C2D7B">
        <w:t>should be stopped</w:t>
      </w:r>
      <w:r>
        <w:t xml:space="preserve">. Instead, the Government said it would ask the Council of Financial Regulators and the ATO to monitor SMSF borrowing and report back in three years. Has this monitoring been carried out? </w:t>
      </w:r>
      <w:r w:rsidR="000C2D7B">
        <w:t xml:space="preserve">Have the regulators made any report to </w:t>
      </w:r>
      <w:r w:rsidR="000C2D7B">
        <w:lastRenderedPageBreak/>
        <w:t>the Government? If not, this legislation is premature</w:t>
      </w:r>
      <w:r w:rsidR="008D034A">
        <w:t xml:space="preserve"> and lacks justification</w:t>
      </w:r>
      <w:r w:rsidR="000C2D7B">
        <w:t>. If the regulators have made a report, it should be released so it can be seen whet</w:t>
      </w:r>
      <w:r w:rsidR="008D034A">
        <w:t>her the legislation is necessary</w:t>
      </w:r>
      <w:r w:rsidR="000C2D7B">
        <w:t>.</w:t>
      </w:r>
    </w:p>
    <w:p w:rsidR="00B84643" w:rsidRPr="00BD0FA2" w:rsidRDefault="00BD0FA2">
      <w:pPr>
        <w:rPr>
          <w:b/>
        </w:rPr>
      </w:pPr>
      <w:r w:rsidRPr="00BD0FA2">
        <w:rPr>
          <w:b/>
        </w:rPr>
        <w:t>Meaning of the Bill</w:t>
      </w:r>
    </w:p>
    <w:p w:rsidR="00DF4235" w:rsidRDefault="00A0347E">
      <w:r>
        <w:t>It appears the intent</w:t>
      </w:r>
      <w:r w:rsidR="00AF2559">
        <w:t xml:space="preserve"> of the B</w:t>
      </w:r>
      <w:r w:rsidR="00DE0302">
        <w:t>ill is to count borrowings as part of the assets of the fund and individual members’ accounts</w:t>
      </w:r>
      <w:r w:rsidR="00BD0FA2">
        <w:t xml:space="preserve">. </w:t>
      </w:r>
      <w:r w:rsidR="00DE0302">
        <w:t>The Explanatory Memorandum explains the purpose and workings of the Bill in a very com</w:t>
      </w:r>
      <w:r w:rsidR="00AB050C">
        <w:t xml:space="preserve">plex way that is hard to follow. </w:t>
      </w:r>
      <w:r w:rsidR="00AB050C" w:rsidRPr="008A33F9">
        <w:t>Even expert practitioners we have contacted in the past few days are still unsure of what the Bill means and what its practical effects will be.</w:t>
      </w:r>
      <w:r w:rsidR="00AB050C">
        <w:t xml:space="preserve"> </w:t>
      </w:r>
      <w:r w:rsidR="00DE0302">
        <w:t xml:space="preserve"> </w:t>
      </w:r>
      <w:r w:rsidR="00E87C3C">
        <w:t>In particular, th</w:t>
      </w:r>
      <w:r w:rsidR="00BD0FA2">
        <w:t>e wording of key s</w:t>
      </w:r>
      <w:r w:rsidR="000D41FE">
        <w:t>ection</w:t>
      </w:r>
      <w:r w:rsidR="00BD0FA2">
        <w:t>s</w:t>
      </w:r>
      <w:r w:rsidR="000D41FE">
        <w:t xml:space="preserve"> 1.24 </w:t>
      </w:r>
      <w:r w:rsidR="00BD0FA2">
        <w:t>and 1.25 of the Explanatory Memorandum should be reviewed to give a clearer explanation of how the Bill is intended to apply.</w:t>
      </w:r>
    </w:p>
    <w:p w:rsidR="00D24829" w:rsidRPr="00956C47" w:rsidRDefault="00956C47">
      <w:pPr>
        <w:rPr>
          <w:b/>
        </w:rPr>
      </w:pPr>
      <w:r>
        <w:rPr>
          <w:b/>
        </w:rPr>
        <w:t>Consequence of the legislation</w:t>
      </w:r>
    </w:p>
    <w:p w:rsidR="00833953" w:rsidRDefault="008D034A">
      <w:r>
        <w:t>S</w:t>
      </w:r>
      <w:r w:rsidR="00DF4235">
        <w:t xml:space="preserve">ome </w:t>
      </w:r>
      <w:r>
        <w:t xml:space="preserve">self-managed </w:t>
      </w:r>
      <w:r w:rsidR="009265CB">
        <w:t>funds may not be able to use limited recourse borrowing a</w:t>
      </w:r>
      <w:r w:rsidR="00833953">
        <w:t>rra</w:t>
      </w:r>
      <w:r w:rsidR="00D24829">
        <w:t xml:space="preserve">ngements if they </w:t>
      </w:r>
      <w:r w:rsidR="009265CB">
        <w:t xml:space="preserve">will be relying on </w:t>
      </w:r>
      <w:r w:rsidR="00833953">
        <w:t xml:space="preserve">non-concessional contributions to repay </w:t>
      </w:r>
      <w:r w:rsidR="00BD0FA2">
        <w:t xml:space="preserve">some or all of </w:t>
      </w:r>
      <w:r w:rsidR="007639F4">
        <w:t>the loan interest and capital because the gross value of the asset(s) will take them over the $1.6 million total superannuation balance and they will be unable to make further non-concessional contributions to service the debt.</w:t>
      </w:r>
    </w:p>
    <w:p w:rsidR="00833953" w:rsidRPr="00E87C3C" w:rsidRDefault="00DF4235">
      <w:pPr>
        <w:rPr>
          <w:rFonts w:ascii="Calibri" w:hAnsi="Calibri" w:cs="Calibri"/>
        </w:rPr>
      </w:pPr>
      <w:r w:rsidRPr="00E87C3C">
        <w:rPr>
          <w:rFonts w:ascii="Calibri" w:hAnsi="Calibri" w:cs="Calibri"/>
        </w:rPr>
        <w:t xml:space="preserve">For </w:t>
      </w:r>
      <w:r w:rsidR="00833953" w:rsidRPr="00E87C3C">
        <w:rPr>
          <w:rFonts w:ascii="Calibri" w:hAnsi="Calibri" w:cs="Calibri"/>
        </w:rPr>
        <w:t>example:</w:t>
      </w:r>
    </w:p>
    <w:p w:rsidR="00833953" w:rsidRPr="00E87C3C" w:rsidRDefault="00CC0650" w:rsidP="00AA131A">
      <w:pPr>
        <w:ind w:left="720"/>
        <w:rPr>
          <w:rFonts w:ascii="Calibri" w:hAnsi="Calibri" w:cs="Calibri"/>
          <w:color w:val="000000"/>
        </w:rPr>
      </w:pPr>
      <w:r w:rsidRPr="00E87C3C">
        <w:rPr>
          <w:rFonts w:ascii="Calibri" w:hAnsi="Calibri" w:cs="Calibri"/>
          <w:color w:val="000000"/>
        </w:rPr>
        <w:t xml:space="preserve">A member’s account has </w:t>
      </w:r>
      <w:r w:rsidR="00833953" w:rsidRPr="00E87C3C">
        <w:rPr>
          <w:rFonts w:ascii="Calibri" w:hAnsi="Calibri" w:cs="Calibri"/>
          <w:color w:val="000000"/>
        </w:rPr>
        <w:t xml:space="preserve">gross assets </w:t>
      </w:r>
      <w:r w:rsidRPr="00E87C3C">
        <w:rPr>
          <w:rFonts w:ascii="Calibri" w:hAnsi="Calibri" w:cs="Calibri"/>
          <w:color w:val="000000"/>
        </w:rPr>
        <w:t xml:space="preserve">of $2.5m of which $1.2m is covered by borrowing.  So the net value of the member’s </w:t>
      </w:r>
      <w:r w:rsidR="00DF4235" w:rsidRPr="00E87C3C">
        <w:rPr>
          <w:rFonts w:ascii="Calibri" w:hAnsi="Calibri" w:cs="Calibri"/>
          <w:color w:val="000000"/>
        </w:rPr>
        <w:t>account is</w:t>
      </w:r>
      <w:r w:rsidRPr="00E87C3C">
        <w:rPr>
          <w:rFonts w:ascii="Calibri" w:hAnsi="Calibri" w:cs="Calibri"/>
          <w:color w:val="000000"/>
        </w:rPr>
        <w:t xml:space="preserve"> $1.3m. </w:t>
      </w:r>
      <w:r w:rsidR="00DF4235" w:rsidRPr="00E87C3C">
        <w:rPr>
          <w:rFonts w:ascii="Calibri" w:hAnsi="Calibri" w:cs="Calibri"/>
          <w:color w:val="000000"/>
        </w:rPr>
        <w:t>At this level, under the existing legislation,</w:t>
      </w:r>
      <w:r w:rsidR="008D034A" w:rsidRPr="00E87C3C">
        <w:rPr>
          <w:rFonts w:ascii="Calibri" w:hAnsi="Calibri" w:cs="Calibri"/>
          <w:color w:val="000000"/>
        </w:rPr>
        <w:t xml:space="preserve"> an eligible</w:t>
      </w:r>
      <w:r w:rsidRPr="00E87C3C">
        <w:rPr>
          <w:rFonts w:ascii="Calibri" w:hAnsi="Calibri" w:cs="Calibri"/>
          <w:color w:val="000000"/>
        </w:rPr>
        <w:t xml:space="preserve"> member </w:t>
      </w:r>
      <w:r w:rsidR="008D034A" w:rsidRPr="00E87C3C">
        <w:rPr>
          <w:rFonts w:ascii="Calibri" w:hAnsi="Calibri" w:cs="Calibri"/>
          <w:color w:val="000000"/>
        </w:rPr>
        <w:t>would be able to make a $300k</w:t>
      </w:r>
      <w:r w:rsidR="00833953" w:rsidRPr="00E87C3C">
        <w:rPr>
          <w:rFonts w:ascii="Calibri" w:hAnsi="Calibri" w:cs="Calibri"/>
          <w:color w:val="000000"/>
        </w:rPr>
        <w:t xml:space="preserve"> non-concessional contribution fr</w:t>
      </w:r>
      <w:r w:rsidR="00E87C3C">
        <w:rPr>
          <w:rFonts w:ascii="Calibri" w:hAnsi="Calibri" w:cs="Calibri"/>
          <w:color w:val="000000"/>
        </w:rPr>
        <w:t>om 1 July 2017</w:t>
      </w:r>
      <w:r w:rsidR="00833953" w:rsidRPr="00E87C3C">
        <w:rPr>
          <w:rFonts w:ascii="Calibri" w:hAnsi="Calibri" w:cs="Calibri"/>
          <w:color w:val="000000"/>
        </w:rPr>
        <w:t xml:space="preserve">.  The fund might then use the </w:t>
      </w:r>
      <w:r w:rsidR="009265CB" w:rsidRPr="00E87C3C">
        <w:rPr>
          <w:rFonts w:ascii="Calibri" w:hAnsi="Calibri" w:cs="Calibri"/>
          <w:color w:val="000000"/>
        </w:rPr>
        <w:t xml:space="preserve">non-concessional </w:t>
      </w:r>
      <w:r w:rsidR="00833953" w:rsidRPr="00E87C3C">
        <w:rPr>
          <w:rFonts w:ascii="Calibri" w:hAnsi="Calibri" w:cs="Calibri"/>
          <w:color w:val="000000"/>
        </w:rPr>
        <w:t xml:space="preserve">contribution amount to repay some of the borrowing.  </w:t>
      </w:r>
    </w:p>
    <w:p w:rsidR="00833953" w:rsidRPr="00E87C3C" w:rsidRDefault="00833953" w:rsidP="00AA131A">
      <w:pPr>
        <w:ind w:left="720"/>
        <w:rPr>
          <w:rFonts w:ascii="Calibri" w:hAnsi="Calibri" w:cs="Calibri"/>
          <w:color w:val="000000"/>
        </w:rPr>
      </w:pPr>
      <w:r w:rsidRPr="00CF2B15">
        <w:rPr>
          <w:rFonts w:ascii="Calibri" w:hAnsi="Calibri" w:cs="Calibri"/>
          <w:color w:val="000000"/>
        </w:rPr>
        <w:t xml:space="preserve">However, </w:t>
      </w:r>
      <w:r w:rsidR="00CC0650" w:rsidRPr="00CF2B15">
        <w:rPr>
          <w:rFonts w:ascii="Calibri" w:hAnsi="Calibri" w:cs="Calibri"/>
          <w:color w:val="000000"/>
        </w:rPr>
        <w:t>under the proposed legislation</w:t>
      </w:r>
      <w:r w:rsidR="00DE0302">
        <w:rPr>
          <w:rFonts w:ascii="Calibri" w:hAnsi="Calibri" w:cs="Calibri"/>
          <w:color w:val="000000"/>
        </w:rPr>
        <w:t xml:space="preserve"> as we understand it</w:t>
      </w:r>
      <w:r w:rsidR="00CC0650" w:rsidRPr="00CF2B15">
        <w:rPr>
          <w:rFonts w:ascii="Calibri" w:hAnsi="Calibri" w:cs="Calibri"/>
          <w:color w:val="000000"/>
        </w:rPr>
        <w:t xml:space="preserve">, </w:t>
      </w:r>
      <w:r w:rsidR="009265CB" w:rsidRPr="00CF2B15">
        <w:rPr>
          <w:rFonts w:ascii="Calibri" w:hAnsi="Calibri" w:cs="Calibri"/>
          <w:color w:val="000000"/>
        </w:rPr>
        <w:t>the $1.2m would be</w:t>
      </w:r>
      <w:r w:rsidR="00CC0650" w:rsidRPr="00CF2B15">
        <w:rPr>
          <w:rFonts w:ascii="Calibri" w:hAnsi="Calibri" w:cs="Calibri"/>
          <w:color w:val="000000"/>
        </w:rPr>
        <w:t xml:space="preserve"> </w:t>
      </w:r>
      <w:r w:rsidR="009265CB" w:rsidRPr="00CF2B15">
        <w:rPr>
          <w:rFonts w:ascii="Calibri" w:hAnsi="Calibri" w:cs="Calibri"/>
          <w:color w:val="000000"/>
        </w:rPr>
        <w:t xml:space="preserve">a ‘credit’ </w:t>
      </w:r>
      <w:r w:rsidR="00CC0650" w:rsidRPr="00CF2B15">
        <w:rPr>
          <w:rFonts w:ascii="Calibri" w:hAnsi="Calibri" w:cs="Calibri"/>
          <w:color w:val="000000"/>
        </w:rPr>
        <w:t>back</w:t>
      </w:r>
      <w:r w:rsidRPr="00CF2B15">
        <w:rPr>
          <w:rFonts w:ascii="Calibri" w:hAnsi="Calibri" w:cs="Calibri"/>
          <w:color w:val="000000"/>
        </w:rPr>
        <w:t xml:space="preserve"> to the member’s account, and therefore they will be deemed to have a total superannuation balance </w:t>
      </w:r>
      <w:r w:rsidR="00784639" w:rsidRPr="00CF2B15">
        <w:rPr>
          <w:rFonts w:ascii="Calibri" w:hAnsi="Calibri" w:cs="Calibri"/>
          <w:color w:val="000000"/>
        </w:rPr>
        <w:t xml:space="preserve">of $2.5M, which then means </w:t>
      </w:r>
      <w:r w:rsidR="00DE0302">
        <w:rPr>
          <w:rFonts w:ascii="Calibri" w:hAnsi="Calibri" w:cs="Calibri"/>
          <w:color w:val="000000"/>
        </w:rPr>
        <w:t>they are not eligible</w:t>
      </w:r>
      <w:r w:rsidRPr="00CF2B15">
        <w:rPr>
          <w:rFonts w:ascii="Calibri" w:hAnsi="Calibri" w:cs="Calibri"/>
          <w:color w:val="000000"/>
        </w:rPr>
        <w:t xml:space="preserve"> to make </w:t>
      </w:r>
      <w:r w:rsidR="00DE0302">
        <w:rPr>
          <w:rFonts w:ascii="Calibri" w:hAnsi="Calibri" w:cs="Calibri"/>
          <w:color w:val="000000"/>
        </w:rPr>
        <w:t>any non-concessional</w:t>
      </w:r>
      <w:r w:rsidR="00CC0650" w:rsidRPr="00CF2B15">
        <w:rPr>
          <w:rFonts w:ascii="Calibri" w:hAnsi="Calibri" w:cs="Calibri"/>
          <w:color w:val="000000"/>
        </w:rPr>
        <w:t xml:space="preserve"> </w:t>
      </w:r>
      <w:r w:rsidR="00DE0302">
        <w:rPr>
          <w:rFonts w:ascii="Calibri" w:hAnsi="Calibri" w:cs="Calibri"/>
          <w:color w:val="000000"/>
        </w:rPr>
        <w:t>contributions as they are above the total superannuation balance cap.</w:t>
      </w:r>
    </w:p>
    <w:p w:rsidR="008D034A" w:rsidRDefault="009265CB" w:rsidP="00833953">
      <w:pPr>
        <w:rPr>
          <w:rFonts w:ascii="Calibri" w:hAnsi="Calibri" w:cs="Calibri"/>
          <w:color w:val="000000"/>
        </w:rPr>
      </w:pPr>
      <w:r w:rsidRPr="00E87C3C">
        <w:rPr>
          <w:rFonts w:ascii="Calibri" w:hAnsi="Calibri" w:cs="Calibri"/>
          <w:color w:val="000000"/>
        </w:rPr>
        <w:t>This may then affect the borrower’s capacity to repay the loan and render the investment uneconomic.</w:t>
      </w:r>
      <w:r w:rsidR="000C2D7B" w:rsidRPr="00E87C3C">
        <w:rPr>
          <w:rFonts w:ascii="Calibri" w:hAnsi="Calibri" w:cs="Calibri"/>
          <w:color w:val="000000"/>
        </w:rPr>
        <w:t xml:space="preserve"> Assets covered by</w:t>
      </w:r>
      <w:r w:rsidR="00CF2B15">
        <w:rPr>
          <w:rFonts w:ascii="Calibri" w:hAnsi="Calibri" w:cs="Calibri"/>
          <w:color w:val="000000"/>
        </w:rPr>
        <w:t xml:space="preserve"> borrowing may need to be sold.</w:t>
      </w:r>
    </w:p>
    <w:p w:rsidR="006A11F5" w:rsidRPr="00E87C3C" w:rsidRDefault="006A11F5" w:rsidP="0083395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It should be kept in mind that this result may be compounded and further complicated by a member’s total superannuation account being determined by reference to amounts held in other funds, which may not be front of mind to a trustee or a lender when a new limited recourse borrowing is entered into by a fund.</w:t>
      </w:r>
    </w:p>
    <w:p w:rsidR="009265CB" w:rsidRPr="00E87C3C" w:rsidRDefault="00784639" w:rsidP="00833953">
      <w:pPr>
        <w:rPr>
          <w:rFonts w:ascii="Calibri" w:hAnsi="Calibri" w:cs="Calibri"/>
          <w:color w:val="000000"/>
        </w:rPr>
      </w:pPr>
      <w:r w:rsidRPr="00E87C3C">
        <w:rPr>
          <w:rFonts w:ascii="Calibri" w:hAnsi="Calibri" w:cs="Calibri"/>
          <w:color w:val="000000"/>
        </w:rPr>
        <w:t>In effect, some self-managed funds will be denied the opportunity</w:t>
      </w:r>
      <w:r w:rsidR="00AA131A">
        <w:rPr>
          <w:rFonts w:ascii="Calibri" w:hAnsi="Calibri" w:cs="Calibri"/>
          <w:color w:val="000000"/>
        </w:rPr>
        <w:t xml:space="preserve"> </w:t>
      </w:r>
      <w:r w:rsidRPr="00E87C3C">
        <w:rPr>
          <w:rFonts w:ascii="Calibri" w:hAnsi="Calibri" w:cs="Calibri"/>
          <w:color w:val="000000"/>
        </w:rPr>
        <w:t xml:space="preserve">currently allowed to borrow in order to build their assets and generate an adequate retirement income stream. This is likely to </w:t>
      </w:r>
      <w:r w:rsidR="000C2D7B" w:rsidRPr="00E87C3C">
        <w:rPr>
          <w:rFonts w:ascii="Calibri" w:hAnsi="Calibri" w:cs="Calibri"/>
          <w:color w:val="000000"/>
        </w:rPr>
        <w:t xml:space="preserve">adversely </w:t>
      </w:r>
      <w:r w:rsidRPr="00E87C3C">
        <w:rPr>
          <w:rFonts w:ascii="Calibri" w:hAnsi="Calibri" w:cs="Calibri"/>
          <w:color w:val="000000"/>
        </w:rPr>
        <w:t>affect small business owners who may use their self-managed fund to invest in the property used by the business.</w:t>
      </w:r>
    </w:p>
    <w:p w:rsidR="000C2D7B" w:rsidRDefault="00A0347E" w:rsidP="00833953">
      <w:pPr>
        <w:rPr>
          <w:rFonts w:ascii="Calibri" w:hAnsi="Calibri" w:cs="Calibri"/>
          <w:color w:val="000000"/>
        </w:rPr>
      </w:pPr>
      <w:r w:rsidRPr="00E87C3C">
        <w:rPr>
          <w:rFonts w:ascii="Calibri" w:hAnsi="Calibri" w:cs="Calibri"/>
          <w:color w:val="000000"/>
        </w:rPr>
        <w:t>Under the application and transi</w:t>
      </w:r>
      <w:r w:rsidR="00AA131A">
        <w:rPr>
          <w:rFonts w:ascii="Calibri" w:hAnsi="Calibri" w:cs="Calibri"/>
          <w:color w:val="000000"/>
        </w:rPr>
        <w:t xml:space="preserve">tional provisions </w:t>
      </w:r>
      <w:r w:rsidRPr="00E87C3C">
        <w:rPr>
          <w:rFonts w:ascii="Calibri" w:hAnsi="Calibri" w:cs="Calibri"/>
          <w:color w:val="000000"/>
        </w:rPr>
        <w:t xml:space="preserve">the legislation </w:t>
      </w:r>
      <w:r w:rsidR="00784639" w:rsidRPr="00E87C3C">
        <w:rPr>
          <w:rFonts w:ascii="Calibri" w:hAnsi="Calibri" w:cs="Calibri"/>
          <w:color w:val="000000"/>
        </w:rPr>
        <w:t xml:space="preserve">will take effect from </w:t>
      </w:r>
      <w:r w:rsidRPr="00E87C3C">
        <w:rPr>
          <w:rFonts w:ascii="Calibri" w:hAnsi="Calibri" w:cs="Calibri"/>
          <w:color w:val="000000"/>
        </w:rPr>
        <w:t>th</w:t>
      </w:r>
      <w:r w:rsidR="00AA131A">
        <w:rPr>
          <w:rFonts w:ascii="Calibri" w:hAnsi="Calibri" w:cs="Calibri"/>
          <w:color w:val="000000"/>
        </w:rPr>
        <w:t xml:space="preserve">e beginning of the next quarter </w:t>
      </w:r>
      <w:r w:rsidR="00AB050C">
        <w:rPr>
          <w:rFonts w:ascii="Calibri" w:hAnsi="Calibri" w:cs="Calibri"/>
          <w:color w:val="000000"/>
        </w:rPr>
        <w:t xml:space="preserve">after the legislation is passed, most likely 1 July if the legislation is passed in the budget sittings. We trust </w:t>
      </w:r>
      <w:r w:rsidRPr="00E87C3C">
        <w:rPr>
          <w:rFonts w:ascii="Calibri" w:hAnsi="Calibri" w:cs="Calibri"/>
          <w:color w:val="000000"/>
        </w:rPr>
        <w:t xml:space="preserve">this </w:t>
      </w:r>
      <w:r w:rsidR="00784639" w:rsidRPr="00E87C3C">
        <w:rPr>
          <w:rFonts w:ascii="Calibri" w:hAnsi="Calibri" w:cs="Calibri"/>
          <w:color w:val="000000"/>
        </w:rPr>
        <w:t>means that it will not be retrospectively applied to funds that have existing borrowings.</w:t>
      </w:r>
      <w:r w:rsidR="000C2D7B" w:rsidRPr="00E87C3C">
        <w:rPr>
          <w:rFonts w:ascii="Calibri" w:hAnsi="Calibri" w:cs="Calibri"/>
          <w:color w:val="000000"/>
        </w:rPr>
        <w:t xml:space="preserve"> </w:t>
      </w:r>
      <w:r w:rsidR="00AB050C">
        <w:rPr>
          <w:rFonts w:ascii="Calibri" w:hAnsi="Calibri" w:cs="Calibri"/>
          <w:color w:val="000000"/>
        </w:rPr>
        <w:t>Specific a</w:t>
      </w:r>
      <w:r w:rsidR="000C2D7B" w:rsidRPr="00E87C3C">
        <w:rPr>
          <w:rFonts w:ascii="Calibri" w:hAnsi="Calibri" w:cs="Calibri"/>
          <w:color w:val="000000"/>
        </w:rPr>
        <w:t xml:space="preserve">ssurance on this point should be included in the Explanatory Memorandum. </w:t>
      </w:r>
      <w:r w:rsidR="00784639" w:rsidRPr="00E87C3C">
        <w:rPr>
          <w:rFonts w:ascii="Calibri" w:hAnsi="Calibri" w:cs="Calibri"/>
          <w:color w:val="000000"/>
        </w:rPr>
        <w:t xml:space="preserve"> Allowance should be made in the legislation so</w:t>
      </w:r>
      <w:r w:rsidR="008D034A" w:rsidRPr="00E87C3C">
        <w:rPr>
          <w:rFonts w:ascii="Calibri" w:hAnsi="Calibri" w:cs="Calibri"/>
          <w:color w:val="000000"/>
        </w:rPr>
        <w:t xml:space="preserve"> it does not disadvantage</w:t>
      </w:r>
      <w:r w:rsidR="00784639" w:rsidRPr="00E87C3C">
        <w:rPr>
          <w:rFonts w:ascii="Calibri" w:hAnsi="Calibri" w:cs="Calibri"/>
          <w:color w:val="000000"/>
        </w:rPr>
        <w:t xml:space="preserve"> self-managed funds that have entered contracts t</w:t>
      </w:r>
      <w:r w:rsidRPr="00E87C3C">
        <w:rPr>
          <w:rFonts w:ascii="Calibri" w:hAnsi="Calibri" w:cs="Calibri"/>
          <w:color w:val="000000"/>
        </w:rPr>
        <w:t xml:space="preserve">o purchase assets before the legislation takes effect </w:t>
      </w:r>
      <w:r w:rsidR="00784639" w:rsidRPr="00E87C3C">
        <w:rPr>
          <w:rFonts w:ascii="Calibri" w:hAnsi="Calibri" w:cs="Calibri"/>
          <w:color w:val="000000"/>
        </w:rPr>
        <w:t>with settlement to be</w:t>
      </w:r>
      <w:r w:rsidR="008D034A" w:rsidRPr="00E87C3C">
        <w:rPr>
          <w:rFonts w:ascii="Calibri" w:hAnsi="Calibri" w:cs="Calibri"/>
          <w:color w:val="000000"/>
        </w:rPr>
        <w:t xml:space="preserve"> made at a later date</w:t>
      </w:r>
      <w:r w:rsidR="00784639" w:rsidRPr="00E87C3C">
        <w:rPr>
          <w:rFonts w:ascii="Calibri" w:hAnsi="Calibri" w:cs="Calibri"/>
          <w:color w:val="000000"/>
        </w:rPr>
        <w:t>.</w:t>
      </w:r>
      <w:r w:rsidR="000C2D7B" w:rsidRPr="00E87C3C">
        <w:rPr>
          <w:rFonts w:ascii="Calibri" w:hAnsi="Calibri" w:cs="Calibri"/>
          <w:color w:val="000000"/>
        </w:rPr>
        <w:t xml:space="preserve"> Such allowance should include the re-financing</w:t>
      </w:r>
      <w:r w:rsidR="00DE0302">
        <w:rPr>
          <w:rFonts w:ascii="Calibri" w:hAnsi="Calibri" w:cs="Calibri"/>
          <w:color w:val="000000"/>
        </w:rPr>
        <w:t xml:space="preserve"> of </w:t>
      </w:r>
      <w:r w:rsidR="00DE0302">
        <w:rPr>
          <w:rFonts w:ascii="Calibri" w:hAnsi="Calibri" w:cs="Calibri"/>
          <w:color w:val="000000"/>
        </w:rPr>
        <w:lastRenderedPageBreak/>
        <w:t xml:space="preserve">borrowings as they fall due to avoid a retrospective impact on SMSFs that have entered </w:t>
      </w:r>
      <w:r w:rsidR="00AA131A">
        <w:rPr>
          <w:rFonts w:ascii="Calibri" w:hAnsi="Calibri" w:cs="Calibri"/>
          <w:color w:val="000000"/>
        </w:rPr>
        <w:t>borrowing arrangements.</w:t>
      </w:r>
    </w:p>
    <w:p w:rsidR="006A11F5" w:rsidRDefault="006A11F5" w:rsidP="0083395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It is also unclear how the proposed amendments will affect traditional instalment warrants for self-managed funds where underlying debt may not be as transparent as would be required in order to apply the new measures.</w:t>
      </w:r>
    </w:p>
    <w:p w:rsidR="00DF4F96" w:rsidRPr="00E87C3C" w:rsidRDefault="00DF4F96" w:rsidP="0083395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Law Council of Australia has prepared a more substantial submission drawing attention to problems inherent in the draft legislation and we support the Law Council’s comments.</w:t>
      </w:r>
    </w:p>
    <w:p w:rsidR="00AF2559" w:rsidRPr="00E87C3C" w:rsidRDefault="00A0347E">
      <w:pPr>
        <w:rPr>
          <w:rFonts w:ascii="Calibri" w:hAnsi="Calibri" w:cs="Calibri"/>
        </w:rPr>
      </w:pPr>
      <w:r w:rsidRPr="00E87C3C">
        <w:rPr>
          <w:rFonts w:ascii="Calibri" w:hAnsi="Calibri" w:cs="Calibri"/>
        </w:rPr>
        <w:t>Contact:</w:t>
      </w:r>
    </w:p>
    <w:p w:rsidR="00A0347E" w:rsidRPr="00E87C3C" w:rsidRDefault="00A0347E" w:rsidP="00DF4235">
      <w:pPr>
        <w:spacing w:after="0"/>
        <w:rPr>
          <w:rFonts w:ascii="Calibri" w:hAnsi="Calibri" w:cs="Calibri"/>
        </w:rPr>
      </w:pPr>
      <w:r w:rsidRPr="00E87C3C">
        <w:rPr>
          <w:rFonts w:ascii="Calibri" w:hAnsi="Calibri" w:cs="Calibri"/>
        </w:rPr>
        <w:t>Duncan Fairweather</w:t>
      </w:r>
    </w:p>
    <w:p w:rsidR="00A0347E" w:rsidRPr="00E87C3C" w:rsidRDefault="00A0347E" w:rsidP="00DF4235">
      <w:pPr>
        <w:spacing w:after="0"/>
        <w:rPr>
          <w:rFonts w:ascii="Calibri" w:hAnsi="Calibri" w:cs="Calibri"/>
        </w:rPr>
      </w:pPr>
      <w:r w:rsidRPr="00E87C3C">
        <w:rPr>
          <w:rFonts w:ascii="Calibri" w:hAnsi="Calibri" w:cs="Calibri"/>
        </w:rPr>
        <w:t>Executive Director</w:t>
      </w:r>
    </w:p>
    <w:p w:rsidR="00A0347E" w:rsidRPr="00E87C3C" w:rsidRDefault="00A0347E" w:rsidP="00DF4235">
      <w:pPr>
        <w:spacing w:after="0"/>
        <w:rPr>
          <w:rFonts w:ascii="Calibri" w:hAnsi="Calibri" w:cs="Calibri"/>
        </w:rPr>
      </w:pPr>
      <w:r w:rsidRPr="00E87C3C">
        <w:rPr>
          <w:rFonts w:ascii="Calibri" w:hAnsi="Calibri" w:cs="Calibri"/>
        </w:rPr>
        <w:t>SMSF Owners’ Alliance</w:t>
      </w:r>
    </w:p>
    <w:p w:rsidR="00A0347E" w:rsidRPr="00E87C3C" w:rsidRDefault="00A0347E">
      <w:pPr>
        <w:rPr>
          <w:rFonts w:ascii="Calibri" w:hAnsi="Calibri" w:cs="Calibri"/>
        </w:rPr>
      </w:pPr>
      <w:r w:rsidRPr="00E87C3C">
        <w:rPr>
          <w:rFonts w:ascii="Calibri" w:hAnsi="Calibri" w:cs="Calibri"/>
        </w:rPr>
        <w:t>dfairweather@smsfoa.org.au</w:t>
      </w:r>
    </w:p>
    <w:p w:rsidR="00B84643" w:rsidRPr="007639F4" w:rsidRDefault="00D24829">
      <w:pPr>
        <w:rPr>
          <w:rFonts w:ascii="Calibri" w:hAnsi="Calibri" w:cs="Calibri"/>
        </w:rPr>
      </w:pPr>
      <w:r w:rsidRPr="00E87C3C">
        <w:rPr>
          <w:rFonts w:ascii="Calibri" w:hAnsi="Calibri" w:cs="Calibri"/>
        </w:rPr>
        <w:t>3 May 2017</w:t>
      </w:r>
    </w:p>
    <w:sectPr w:rsidR="00B84643" w:rsidRPr="00763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97" w:rsidRDefault="003C3197" w:rsidP="003C3197">
      <w:pPr>
        <w:spacing w:after="0" w:line="240" w:lineRule="auto"/>
      </w:pPr>
      <w:r>
        <w:separator/>
      </w:r>
    </w:p>
  </w:endnote>
  <w:endnote w:type="continuationSeparator" w:id="0">
    <w:p w:rsidR="003C3197" w:rsidRDefault="003C3197" w:rsidP="003C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97" w:rsidRDefault="003C31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97" w:rsidRDefault="003C31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97" w:rsidRDefault="003C3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97" w:rsidRDefault="003C3197" w:rsidP="003C3197">
      <w:pPr>
        <w:spacing w:after="0" w:line="240" w:lineRule="auto"/>
      </w:pPr>
      <w:r>
        <w:separator/>
      </w:r>
    </w:p>
  </w:footnote>
  <w:footnote w:type="continuationSeparator" w:id="0">
    <w:p w:rsidR="003C3197" w:rsidRDefault="003C3197" w:rsidP="003C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97" w:rsidRDefault="003C3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97" w:rsidRDefault="003C31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97" w:rsidRDefault="003C3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56FB"/>
    <w:multiLevelType w:val="hybridMultilevel"/>
    <w:tmpl w:val="66AEB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94"/>
    <w:rsid w:val="000806CB"/>
    <w:rsid w:val="000C2D7B"/>
    <w:rsid w:val="000D41FE"/>
    <w:rsid w:val="000D46DE"/>
    <w:rsid w:val="003C3197"/>
    <w:rsid w:val="003E2675"/>
    <w:rsid w:val="00574977"/>
    <w:rsid w:val="006579C3"/>
    <w:rsid w:val="006A11F5"/>
    <w:rsid w:val="007639F4"/>
    <w:rsid w:val="00784639"/>
    <w:rsid w:val="00833953"/>
    <w:rsid w:val="008A33F9"/>
    <w:rsid w:val="008C205E"/>
    <w:rsid w:val="008D034A"/>
    <w:rsid w:val="009265CB"/>
    <w:rsid w:val="00956C47"/>
    <w:rsid w:val="00973911"/>
    <w:rsid w:val="009D3D94"/>
    <w:rsid w:val="00A0347E"/>
    <w:rsid w:val="00A76B25"/>
    <w:rsid w:val="00AA131A"/>
    <w:rsid w:val="00AB050C"/>
    <w:rsid w:val="00AC3EFA"/>
    <w:rsid w:val="00AF2559"/>
    <w:rsid w:val="00B84643"/>
    <w:rsid w:val="00BA01C3"/>
    <w:rsid w:val="00BD0FA2"/>
    <w:rsid w:val="00CC0650"/>
    <w:rsid w:val="00CC5782"/>
    <w:rsid w:val="00CF2B15"/>
    <w:rsid w:val="00D24829"/>
    <w:rsid w:val="00D91495"/>
    <w:rsid w:val="00DE0302"/>
    <w:rsid w:val="00DF4235"/>
    <w:rsid w:val="00DF4F96"/>
    <w:rsid w:val="00E434B3"/>
    <w:rsid w:val="00E87C3C"/>
    <w:rsid w:val="00E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643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B846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197"/>
  </w:style>
  <w:style w:type="paragraph" w:styleId="Footer">
    <w:name w:val="footer"/>
    <w:basedOn w:val="Normal"/>
    <w:link w:val="FooterChar"/>
    <w:uiPriority w:val="99"/>
    <w:unhideWhenUsed/>
    <w:rsid w:val="003C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643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B846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197"/>
  </w:style>
  <w:style w:type="paragraph" w:styleId="Footer">
    <w:name w:val="footer"/>
    <w:basedOn w:val="Normal"/>
    <w:link w:val="FooterChar"/>
    <w:uiPriority w:val="99"/>
    <w:unhideWhenUsed/>
    <w:rsid w:val="003C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2017-05-29T01:15:00Z</dcterms:created>
  <dcterms:modified xsi:type="dcterms:W3CDTF">2017-05-29T01:15:00Z</dcterms:modified>
</cp:coreProperties>
</file>