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C06D7" w14:textId="1041C034" w:rsidR="002B6BE3" w:rsidRDefault="002B6BE3" w:rsidP="002576C7">
      <w:pPr>
        <w:pStyle w:val="Baseparagraphcentred"/>
      </w:pPr>
      <w:bookmarkStart w:id="0" w:name="_GoBack"/>
      <w:bookmarkEnd w:id="0"/>
    </w:p>
    <w:p w14:paraId="3C5F2007" w14:textId="77777777" w:rsidR="002B6BE3" w:rsidRDefault="002B6BE3" w:rsidP="002576C7">
      <w:pPr>
        <w:pStyle w:val="Baseparagraphcentred"/>
      </w:pPr>
    </w:p>
    <w:p w14:paraId="5C6B7E13" w14:textId="77777777" w:rsidR="002B6BE3" w:rsidRDefault="002B6BE3" w:rsidP="002576C7">
      <w:pPr>
        <w:pStyle w:val="Baseparagraphcentred"/>
      </w:pPr>
    </w:p>
    <w:p w14:paraId="22D089FA" w14:textId="4B7EC6AA" w:rsidR="002B6BE3" w:rsidRDefault="00D62305" w:rsidP="002576C7">
      <w:pPr>
        <w:pStyle w:val="Baseparagraphcentred"/>
      </w:pPr>
      <w:r>
        <w:t>EXPOSURE DRAFT</w:t>
      </w:r>
    </w:p>
    <w:p w14:paraId="354A04F4" w14:textId="77777777" w:rsidR="002B6BE3" w:rsidRDefault="002B6BE3" w:rsidP="002576C7">
      <w:pPr>
        <w:pStyle w:val="Baseparagraphcentred"/>
      </w:pPr>
    </w:p>
    <w:p w14:paraId="73ACC2E7" w14:textId="77777777" w:rsidR="002B6BE3" w:rsidRDefault="002B6BE3" w:rsidP="002576C7">
      <w:pPr>
        <w:pStyle w:val="Baseparagraphcentred"/>
      </w:pPr>
    </w:p>
    <w:p w14:paraId="45BE15F3" w14:textId="77777777" w:rsidR="002B6BE3" w:rsidRDefault="002B6BE3" w:rsidP="002576C7">
      <w:pPr>
        <w:pStyle w:val="Baseparagraphcentred"/>
      </w:pPr>
    </w:p>
    <w:p w14:paraId="285CD2B0" w14:textId="2BF62F66" w:rsidR="002B6BE3" w:rsidRDefault="00D62305" w:rsidP="002576C7">
      <w:pPr>
        <w:pStyle w:val="BillName"/>
      </w:pPr>
      <w:r>
        <w:t>treasury laws Amendment (2017 measures no</w:t>
      </w:r>
      <w:r w:rsidR="00166B0C">
        <w:t>.</w:t>
      </w:r>
      <w:r>
        <w:t xml:space="preserve"> 2) </w:t>
      </w:r>
      <w:r w:rsidR="003205D1">
        <w:t xml:space="preserve">bill </w:t>
      </w:r>
      <w:r>
        <w:t>2017</w:t>
      </w:r>
    </w:p>
    <w:p w14:paraId="0C0B6163" w14:textId="77777777" w:rsidR="002B6BE3" w:rsidRDefault="002B6BE3" w:rsidP="002576C7">
      <w:pPr>
        <w:pStyle w:val="Baseparagraphcentred"/>
      </w:pPr>
    </w:p>
    <w:p w14:paraId="2BA3D654" w14:textId="77777777" w:rsidR="002B6BE3" w:rsidRDefault="002B6BE3" w:rsidP="002576C7">
      <w:pPr>
        <w:pStyle w:val="Baseparagraphcentred"/>
      </w:pPr>
    </w:p>
    <w:p w14:paraId="4762134E" w14:textId="77777777" w:rsidR="002B6BE3" w:rsidRDefault="002B6BE3" w:rsidP="002576C7">
      <w:pPr>
        <w:pStyle w:val="Baseparagraphcentred"/>
      </w:pPr>
    </w:p>
    <w:p w14:paraId="188B796B" w14:textId="77777777" w:rsidR="002B6BE3" w:rsidRDefault="002B6BE3" w:rsidP="002576C7">
      <w:pPr>
        <w:pStyle w:val="Baseparagraphcentred"/>
      </w:pPr>
    </w:p>
    <w:p w14:paraId="39BDCECB" w14:textId="77777777" w:rsidR="002B6BE3" w:rsidRDefault="002B6BE3" w:rsidP="002576C7">
      <w:pPr>
        <w:pStyle w:val="Baseparagraphcentred"/>
      </w:pPr>
      <w:r>
        <w:t>EXPLANATORY MEMORANDUM</w:t>
      </w:r>
    </w:p>
    <w:p w14:paraId="41B3222E" w14:textId="77777777" w:rsidR="002B6BE3" w:rsidRDefault="002B6BE3" w:rsidP="002576C7">
      <w:pPr>
        <w:pStyle w:val="Baseparagraphcentred"/>
      </w:pPr>
    </w:p>
    <w:p w14:paraId="10330FC9" w14:textId="77777777" w:rsidR="002B6BE3" w:rsidRDefault="002B6BE3" w:rsidP="002576C7">
      <w:pPr>
        <w:pStyle w:val="Baseparagraphcentred"/>
      </w:pPr>
    </w:p>
    <w:p w14:paraId="11F15A07" w14:textId="77777777" w:rsidR="002B6BE3" w:rsidRDefault="002B6BE3" w:rsidP="002576C7">
      <w:pPr>
        <w:pStyle w:val="Baseparagraphcentred"/>
      </w:pPr>
    </w:p>
    <w:p w14:paraId="68B136A1" w14:textId="1E508380" w:rsidR="002B6BE3" w:rsidRDefault="002B6BE3" w:rsidP="002576C7">
      <w:pPr>
        <w:pStyle w:val="Baseparagraphcentred"/>
      </w:pPr>
    </w:p>
    <w:p w14:paraId="7189A6B6" w14:textId="77777777" w:rsidR="002B6BE3" w:rsidRDefault="002B6BE3" w:rsidP="002576C7">
      <w:pPr>
        <w:sectPr w:rsidR="002B6BE3" w:rsidSect="0033433C">
          <w:headerReference w:type="even" r:id="rId14"/>
          <w:headerReference w:type="default" r:id="rId15"/>
          <w:footerReference w:type="even" r:id="rId16"/>
          <w:footerReference w:type="default" r:id="rId17"/>
          <w:headerReference w:type="first" r:id="rId18"/>
          <w:type w:val="oddPage"/>
          <w:pgSz w:w="11906" w:h="16838" w:code="9"/>
          <w:pgMar w:top="2466" w:right="2098" w:bottom="2466" w:left="2098" w:header="1559" w:footer="1899" w:gutter="0"/>
          <w:cols w:space="708"/>
          <w:titlePg/>
          <w:docGrid w:linePitch="360"/>
        </w:sectPr>
      </w:pPr>
    </w:p>
    <w:p w14:paraId="48CD875B" w14:textId="77777777" w:rsidR="002B6BE3" w:rsidRPr="003E0794" w:rsidRDefault="002B6BE3" w:rsidP="002576C7">
      <w:pPr>
        <w:pStyle w:val="TOCHeading"/>
      </w:pPr>
      <w:r w:rsidRPr="003E0794">
        <w:lastRenderedPageBreak/>
        <w:t>Table of contents</w:t>
      </w:r>
    </w:p>
    <w:p w14:paraId="766F4559" w14:textId="77777777" w:rsidR="002B6BE3" w:rsidRDefault="002B6BE3">
      <w:pPr>
        <w:pStyle w:val="TOC1"/>
        <w:rPr>
          <w:rFonts w:asciiTheme="minorHAnsi" w:eastAsiaTheme="minorEastAsia" w:hAnsiTheme="minorHAnsi" w:cstheme="minorBidi"/>
          <w:noProof/>
          <w:sz w:val="22"/>
          <w:szCs w:val="22"/>
        </w:rPr>
      </w:pPr>
      <w:r>
        <w:fldChar w:fldCharType="begin"/>
      </w:r>
      <w:r>
        <w:instrText xml:space="preserve"> TOC \t "Chapter Heading,1,Chapter heading subdocument,2" </w:instrText>
      </w:r>
      <w:r>
        <w:fldChar w:fldCharType="separate"/>
      </w:r>
      <w:r>
        <w:rPr>
          <w:noProof/>
        </w:rPr>
        <w:t>Chapter 1</w:t>
      </w:r>
      <w:r>
        <w:rPr>
          <w:rFonts w:asciiTheme="minorHAnsi" w:eastAsiaTheme="minorEastAsia" w:hAnsiTheme="minorHAnsi" w:cstheme="minorBidi"/>
          <w:noProof/>
          <w:sz w:val="22"/>
          <w:szCs w:val="22"/>
        </w:rPr>
        <w:tab/>
      </w:r>
      <w:r>
        <w:rPr>
          <w:noProof/>
        </w:rPr>
        <w:t>Income tax relief for transfers within a fund to a MySuper product</w:t>
      </w:r>
      <w:r>
        <w:rPr>
          <w:noProof/>
        </w:rPr>
        <w:tab/>
      </w:r>
      <w:r>
        <w:rPr>
          <w:noProof/>
        </w:rPr>
        <w:fldChar w:fldCharType="begin"/>
      </w:r>
      <w:r>
        <w:rPr>
          <w:noProof/>
        </w:rPr>
        <w:instrText xml:space="preserve"> PAGEREF _Toc479322071 \h </w:instrText>
      </w:r>
      <w:r>
        <w:rPr>
          <w:noProof/>
        </w:rPr>
      </w:r>
      <w:r>
        <w:rPr>
          <w:noProof/>
        </w:rPr>
        <w:fldChar w:fldCharType="separate"/>
      </w:r>
      <w:r w:rsidR="00166B0C">
        <w:rPr>
          <w:noProof/>
        </w:rPr>
        <w:t>5</w:t>
      </w:r>
      <w:r>
        <w:rPr>
          <w:noProof/>
        </w:rPr>
        <w:fldChar w:fldCharType="end"/>
      </w:r>
    </w:p>
    <w:p w14:paraId="0FCE95D6" w14:textId="77777777" w:rsidR="002B6BE3" w:rsidRDefault="002B6BE3" w:rsidP="002576C7">
      <w:pPr>
        <w:pStyle w:val="base-text-paragraphnonumbers"/>
      </w:pPr>
      <w:r>
        <w:rPr>
          <w:b/>
          <w:bCs/>
          <w:noProof/>
          <w:lang w:val="en-US"/>
        </w:rPr>
        <w:fldChar w:fldCharType="end"/>
      </w:r>
    </w:p>
    <w:p w14:paraId="0356FC2D" w14:textId="77777777" w:rsidR="002B6BE3" w:rsidRDefault="002B6BE3" w:rsidP="002576C7">
      <w:pPr>
        <w:pStyle w:val="Hiddentext"/>
      </w:pPr>
      <w:r>
        <w:t>Do not remove section break.</w:t>
      </w:r>
    </w:p>
    <w:p w14:paraId="3B14FE20" w14:textId="77777777" w:rsidR="002B6BE3" w:rsidRDefault="002B6BE3" w:rsidP="002576C7">
      <w:pPr>
        <w:pStyle w:val="base-text-paragraphnonumbers"/>
        <w:sectPr w:rsidR="002B6BE3" w:rsidSect="0033433C">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2466" w:right="2098" w:bottom="2466" w:left="2098" w:header="1559" w:footer="1899" w:gutter="0"/>
          <w:cols w:space="708"/>
          <w:titlePg/>
          <w:docGrid w:linePitch="360"/>
        </w:sectPr>
      </w:pPr>
    </w:p>
    <w:p w14:paraId="2F65D8CF" w14:textId="77777777" w:rsidR="002B6BE3" w:rsidRPr="00A03E30" w:rsidRDefault="002B6BE3" w:rsidP="002576C7"/>
    <w:p w14:paraId="282FF005" w14:textId="34A78944" w:rsidR="00493B2E" w:rsidRPr="00F51A71" w:rsidRDefault="00493B2E" w:rsidP="002750AE">
      <w:pPr>
        <w:pStyle w:val="ChapterHeading"/>
        <w:tabs>
          <w:tab w:val="clear" w:pos="1134"/>
          <w:tab w:val="num" w:pos="360"/>
        </w:tabs>
      </w:pPr>
      <w:r w:rsidRPr="00F51A71">
        <w:br/>
      </w:r>
      <w:bookmarkStart w:id="1" w:name="_Toc479322071"/>
      <w:r>
        <w:t>Income tax reli</w:t>
      </w:r>
      <w:r w:rsidR="008B153A">
        <w:t xml:space="preserve">ef for transfers within </w:t>
      </w:r>
      <w:r>
        <w:t>a fund</w:t>
      </w:r>
      <w:r w:rsidR="00CE732C">
        <w:t xml:space="preserve"> to a </w:t>
      </w:r>
      <w:proofErr w:type="spellStart"/>
      <w:r w:rsidR="00CE732C">
        <w:t>MySuper</w:t>
      </w:r>
      <w:proofErr w:type="spellEnd"/>
      <w:r w:rsidR="00CE732C">
        <w:t xml:space="preserve"> product</w:t>
      </w:r>
      <w:bookmarkEnd w:id="1"/>
    </w:p>
    <w:p w14:paraId="5217A7B6" w14:textId="77777777" w:rsidR="00493B2E" w:rsidRDefault="00493B2E" w:rsidP="00570968">
      <w:pPr>
        <w:pStyle w:val="Heading2"/>
      </w:pPr>
      <w:r>
        <w:t>Outline of chapter</w:t>
      </w:r>
    </w:p>
    <w:p w14:paraId="7089DE49" w14:textId="58B8F83E" w:rsidR="00493B2E" w:rsidRDefault="00CC0052" w:rsidP="001738B7">
      <w:pPr>
        <w:pStyle w:val="base-text-paragraph"/>
      </w:pPr>
      <w:r>
        <w:t xml:space="preserve">Schedule # to this exposure draft Bill amends the </w:t>
      </w:r>
      <w:r>
        <w:rPr>
          <w:i/>
        </w:rPr>
        <w:t xml:space="preserve">Income Tax Assessment Act 1997 </w:t>
      </w:r>
      <w:r>
        <w:t xml:space="preserve">(ITAA 1997) to provide </w:t>
      </w:r>
      <w:r w:rsidR="004602FF">
        <w:t xml:space="preserve">asset </w:t>
      </w:r>
      <w:r w:rsidR="002B2C74">
        <w:t>roll</w:t>
      </w:r>
      <w:r w:rsidR="002B2C74">
        <w:noBreakHyphen/>
        <w:t>over</w:t>
      </w:r>
      <w:r>
        <w:t xml:space="preserve"> relief for mandatory transfers </w:t>
      </w:r>
      <w:r w:rsidR="00C72356">
        <w:t>within a superannuation fund</w:t>
      </w:r>
      <w:r w:rsidR="00C72356" w:rsidRPr="001D7A81">
        <w:t xml:space="preserve"> </w:t>
      </w:r>
      <w:r w:rsidR="00C72356">
        <w:t xml:space="preserve">in the transition to a </w:t>
      </w:r>
      <w:proofErr w:type="spellStart"/>
      <w:r w:rsidR="00C72356">
        <w:t>MySuper</w:t>
      </w:r>
      <w:proofErr w:type="spellEnd"/>
      <w:r w:rsidR="00C72356">
        <w:t xml:space="preserve"> product</w:t>
      </w:r>
      <w:r>
        <w:t>.</w:t>
      </w:r>
    </w:p>
    <w:p w14:paraId="3E7373A1" w14:textId="15A5F4E3" w:rsidR="00CC0052" w:rsidRDefault="00CC0052" w:rsidP="001738B7">
      <w:pPr>
        <w:pStyle w:val="base-text-paragraph"/>
      </w:pPr>
      <w:r w:rsidRPr="00CC0052">
        <w:t>All legislative references in this explanatory memorandum are to the ITAA 1997 unless indicated otherwise</w:t>
      </w:r>
      <w:r>
        <w:t>.</w:t>
      </w:r>
    </w:p>
    <w:p w14:paraId="7421894F" w14:textId="79095ADB" w:rsidR="00493B2E" w:rsidRDefault="00493B2E" w:rsidP="00CE732C">
      <w:pPr>
        <w:pStyle w:val="Heading2"/>
        <w:tabs>
          <w:tab w:val="left" w:pos="5305"/>
        </w:tabs>
      </w:pPr>
      <w:r>
        <w:t>Context of amendments</w:t>
      </w:r>
    </w:p>
    <w:p w14:paraId="459D8007" w14:textId="4DA1EDC5" w:rsidR="00493B2E" w:rsidRDefault="00471E90" w:rsidP="001738B7">
      <w:pPr>
        <w:pStyle w:val="base-text-paragraph"/>
      </w:pPr>
      <w:proofErr w:type="spellStart"/>
      <w:r>
        <w:t>MySuper</w:t>
      </w:r>
      <w:proofErr w:type="spellEnd"/>
      <w:r>
        <w:t xml:space="preserve"> </w:t>
      </w:r>
      <w:r w:rsidR="00A2441B">
        <w:t xml:space="preserve">products were introduced </w:t>
      </w:r>
      <w:r>
        <w:t>to improve the experience of superannuation members that accept the default option offered by their employer, by placing them in products that are appropriate and ensure their financial interest</w:t>
      </w:r>
      <w:r w:rsidR="00E6297E">
        <w:t>s</w:t>
      </w:r>
      <w:r>
        <w:t xml:space="preserve"> are protected.</w:t>
      </w:r>
    </w:p>
    <w:p w14:paraId="707C4CE4" w14:textId="15854D94" w:rsidR="00471E90" w:rsidRDefault="001D7A81" w:rsidP="001738B7">
      <w:pPr>
        <w:pStyle w:val="base-text-paragraph"/>
      </w:pPr>
      <w:r>
        <w:t>The transition to</w:t>
      </w:r>
      <w:r w:rsidR="00027A7D">
        <w:t xml:space="preserve"> </w:t>
      </w:r>
      <w:proofErr w:type="spellStart"/>
      <w:r w:rsidR="00027A7D">
        <w:t>MySuper</w:t>
      </w:r>
      <w:proofErr w:type="spellEnd"/>
      <w:r w:rsidR="00027A7D">
        <w:t xml:space="preserve"> product</w:t>
      </w:r>
      <w:r>
        <w:t>s</w:t>
      </w:r>
      <w:r w:rsidR="004602FF">
        <w:t xml:space="preserve"> must be completed by 1 July </w:t>
      </w:r>
      <w:r w:rsidR="00027A7D">
        <w:t xml:space="preserve">2017. </w:t>
      </w:r>
    </w:p>
    <w:p w14:paraId="6C624B57" w14:textId="17087578" w:rsidR="00027A7D" w:rsidRDefault="002B2C74" w:rsidP="001738B7">
      <w:pPr>
        <w:pStyle w:val="base-text-paragraph"/>
      </w:pPr>
      <w:r>
        <w:t xml:space="preserve">As </w:t>
      </w:r>
      <w:r w:rsidR="001D7A81">
        <w:t>a transfer</w:t>
      </w:r>
      <w:r w:rsidR="00027A7D">
        <w:t xml:space="preserve"> </w:t>
      </w:r>
      <w:r w:rsidR="001D7A81">
        <w:t xml:space="preserve">of a </w:t>
      </w:r>
      <w:r w:rsidR="00D010B7">
        <w:t xml:space="preserve">default </w:t>
      </w:r>
      <w:r w:rsidR="001D7A81">
        <w:t xml:space="preserve">member’s account balance </w:t>
      </w:r>
      <w:r w:rsidR="00027A7D">
        <w:t xml:space="preserve">may create an income tax liability from </w:t>
      </w:r>
      <w:r w:rsidR="00FB2977">
        <w:t xml:space="preserve">the realisation of fund assets, </w:t>
      </w:r>
      <w:r w:rsidR="004602FF">
        <w:t>asset</w:t>
      </w:r>
      <w:r w:rsidR="00FB2977">
        <w:t xml:space="preserve"> roll</w:t>
      </w:r>
      <w:r w:rsidR="00FB2977">
        <w:noBreakHyphen/>
        <w:t xml:space="preserve">over relief is </w:t>
      </w:r>
      <w:r w:rsidR="00CC0052">
        <w:t xml:space="preserve">currently </w:t>
      </w:r>
      <w:r w:rsidR="00FB2977">
        <w:t xml:space="preserve">available </w:t>
      </w:r>
      <w:r>
        <w:t>for</w:t>
      </w:r>
      <w:r w:rsidR="00FB2977">
        <w:t xml:space="preserve"> such </w:t>
      </w:r>
      <w:r w:rsidR="00C72356">
        <w:t xml:space="preserve">a </w:t>
      </w:r>
      <w:r w:rsidR="00FB2977">
        <w:t>transf</w:t>
      </w:r>
      <w:r w:rsidR="001D7A81">
        <w:t>er</w:t>
      </w:r>
      <w:r w:rsidR="00FB2977">
        <w:t xml:space="preserve"> to a </w:t>
      </w:r>
      <w:proofErr w:type="spellStart"/>
      <w:r w:rsidR="00FB2977">
        <w:t>MySuper</w:t>
      </w:r>
      <w:proofErr w:type="spellEnd"/>
      <w:r w:rsidR="00FB2977">
        <w:t xml:space="preserve"> product in another superannuation fund to ensure that </w:t>
      </w:r>
      <w:r w:rsidR="001D7A81">
        <w:t>the</w:t>
      </w:r>
      <w:r w:rsidR="00FB2977">
        <w:t xml:space="preserve"> default member</w:t>
      </w:r>
      <w:r w:rsidR="003E19E0">
        <w:t>s</w:t>
      </w:r>
      <w:r w:rsidR="00FB2977">
        <w:t xml:space="preserve"> </w:t>
      </w:r>
      <w:r w:rsidR="003E19E0">
        <w:t>are</w:t>
      </w:r>
      <w:r w:rsidR="00FB2977">
        <w:t xml:space="preserve"> not </w:t>
      </w:r>
      <w:r>
        <w:t>disadvantaged</w:t>
      </w:r>
      <w:r w:rsidR="00FB2977">
        <w:t>.</w:t>
      </w:r>
    </w:p>
    <w:p w14:paraId="4CD3BD32" w14:textId="6D80D6F4" w:rsidR="00FB2977" w:rsidRDefault="00EC1CFB" w:rsidP="001738B7">
      <w:pPr>
        <w:pStyle w:val="base-text-paragraph"/>
      </w:pPr>
      <w:r>
        <w:t>Schedule # to this exposure draft Bill will extend the asset roll</w:t>
      </w:r>
      <w:r>
        <w:noBreakHyphen/>
        <w:t>over</w:t>
      </w:r>
      <w:r w:rsidR="00FB2977">
        <w:t xml:space="preserve"> relief to mandatory transfers to a </w:t>
      </w:r>
      <w:proofErr w:type="spellStart"/>
      <w:r w:rsidR="00FB2977">
        <w:t>MySuper</w:t>
      </w:r>
      <w:proofErr w:type="spellEnd"/>
      <w:r w:rsidR="00FB2977">
        <w:t xml:space="preserve"> product within </w:t>
      </w:r>
      <w:r w:rsidR="00CC0052">
        <w:t>a</w:t>
      </w:r>
      <w:r w:rsidR="00FB2977">
        <w:t xml:space="preserve"> superannuation fund.</w:t>
      </w:r>
      <w:r>
        <w:t xml:space="preserve"> This will ensure that default members of superannuation funds will not incur adverse and unintended consequences when their account balances are transferred to a </w:t>
      </w:r>
      <w:proofErr w:type="spellStart"/>
      <w:r>
        <w:t>MySuper</w:t>
      </w:r>
      <w:proofErr w:type="spellEnd"/>
      <w:r>
        <w:t xml:space="preserve"> product within the fund.</w:t>
      </w:r>
    </w:p>
    <w:p w14:paraId="46456EC6" w14:textId="77777777" w:rsidR="00493B2E" w:rsidRDefault="00493B2E" w:rsidP="00570968">
      <w:pPr>
        <w:pStyle w:val="Heading2"/>
      </w:pPr>
      <w:r>
        <w:lastRenderedPageBreak/>
        <w:t>Summary of new law</w:t>
      </w:r>
    </w:p>
    <w:p w14:paraId="60B018E7" w14:textId="607B245C" w:rsidR="00AB5CA3" w:rsidRDefault="00EC1CFB" w:rsidP="001738B7">
      <w:pPr>
        <w:pStyle w:val="base-text-paragraph"/>
      </w:pPr>
      <w:r>
        <w:t xml:space="preserve">Schedule # to this exposure draft Bill </w:t>
      </w:r>
      <w:r w:rsidR="00AB5CA3">
        <w:t xml:space="preserve">provides </w:t>
      </w:r>
      <w:r w:rsidR="004602FF">
        <w:t>asset</w:t>
      </w:r>
      <w:r w:rsidR="00DB0724">
        <w:t xml:space="preserve"> </w:t>
      </w:r>
      <w:r w:rsidR="00AB5CA3">
        <w:t>roll</w:t>
      </w:r>
      <w:r w:rsidR="00AB5CA3">
        <w:noBreakHyphen/>
        <w:t xml:space="preserve">over relief to ensure default members of superannuation funds are not adversely affected if their superannuation benefits are mandatorily transferred to a </w:t>
      </w:r>
      <w:proofErr w:type="spellStart"/>
      <w:r w:rsidR="00AB5CA3">
        <w:t>MySuper</w:t>
      </w:r>
      <w:proofErr w:type="spellEnd"/>
      <w:r w:rsidR="00AB5CA3">
        <w:t xml:space="preserve"> product within the same superannuation fund.</w:t>
      </w:r>
    </w:p>
    <w:p w14:paraId="70B780C9" w14:textId="765984F7" w:rsidR="00493B2E" w:rsidRDefault="00AB5CA3" w:rsidP="001738B7">
      <w:pPr>
        <w:pStyle w:val="base-text-paragraph"/>
      </w:pPr>
      <w:r>
        <w:t>The roll</w:t>
      </w:r>
      <w:r>
        <w:noBreakHyphen/>
        <w:t xml:space="preserve">over relief allows </w:t>
      </w:r>
      <w:r w:rsidR="00F025FB">
        <w:t>a</w:t>
      </w:r>
      <w:r w:rsidR="00D010B7">
        <w:t xml:space="preserve"> complying superannuation fund to defer an income tax liability for assets transferred to the </w:t>
      </w:r>
      <w:proofErr w:type="spellStart"/>
      <w:r w:rsidR="00D010B7">
        <w:t>MySuper</w:t>
      </w:r>
      <w:proofErr w:type="spellEnd"/>
      <w:r w:rsidR="00D010B7">
        <w:t xml:space="preserve"> product so that the liability will not arise until an ultimate disposal of the asset.</w:t>
      </w:r>
    </w:p>
    <w:p w14:paraId="3FA1D664" w14:textId="363C649C" w:rsidR="00D010B7" w:rsidRDefault="00D010B7" w:rsidP="001738B7">
      <w:pPr>
        <w:pStyle w:val="base-text-paragraph"/>
      </w:pPr>
      <w:r>
        <w:t>Where the superannuation fund invests in a life insurance company or a pooled superannuation trust (PST) to support its default members, the same relief is also provide</w:t>
      </w:r>
      <w:r w:rsidR="00F025FB">
        <w:t>d</w:t>
      </w:r>
      <w:r>
        <w:t xml:space="preserve"> to those entities.</w:t>
      </w:r>
    </w:p>
    <w:p w14:paraId="4547826D" w14:textId="0BB12624" w:rsidR="004602FF" w:rsidRPr="008F726E" w:rsidRDefault="004602FF" w:rsidP="001738B7">
      <w:pPr>
        <w:pStyle w:val="base-text-paragraph"/>
      </w:pPr>
      <w:r>
        <w:t xml:space="preserve">The relief is </w:t>
      </w:r>
      <w:r w:rsidR="00F025FB">
        <w:t xml:space="preserve">also </w:t>
      </w:r>
      <w:r>
        <w:t xml:space="preserve">available to the interposed entities that </w:t>
      </w:r>
      <w:r w:rsidR="00E82AEC">
        <w:t>transfer</w:t>
      </w:r>
      <w:r>
        <w:t xml:space="preserve"> the assets </w:t>
      </w:r>
      <w:r w:rsidR="00F025FB">
        <w:t>pursuant to</w:t>
      </w:r>
      <w:r>
        <w:t xml:space="preserve"> the mandatory transfer.</w:t>
      </w:r>
    </w:p>
    <w:p w14:paraId="4AD49D93" w14:textId="4D9D23D7" w:rsidR="00493B2E" w:rsidRDefault="00493B2E" w:rsidP="00570968">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493B2E" w:rsidRPr="004666B8" w14:paraId="766B6524" w14:textId="77777777" w:rsidTr="00637D3C">
        <w:tc>
          <w:tcPr>
            <w:tcW w:w="3275" w:type="dxa"/>
          </w:tcPr>
          <w:p w14:paraId="59ADE24C" w14:textId="77777777" w:rsidR="00493B2E" w:rsidRPr="004666B8" w:rsidRDefault="00493B2E" w:rsidP="00286426">
            <w:pPr>
              <w:pStyle w:val="tableheaderwithintable"/>
              <w:rPr>
                <w:lang w:val="en-US" w:eastAsia="en-US"/>
              </w:rPr>
            </w:pPr>
            <w:r w:rsidRPr="004666B8">
              <w:rPr>
                <w:lang w:val="en-US" w:eastAsia="en-US"/>
              </w:rPr>
              <w:t>New law</w:t>
            </w:r>
          </w:p>
        </w:tc>
        <w:tc>
          <w:tcPr>
            <w:tcW w:w="3276" w:type="dxa"/>
          </w:tcPr>
          <w:p w14:paraId="7ECF6BE6" w14:textId="77777777" w:rsidR="00493B2E" w:rsidRPr="004666B8" w:rsidRDefault="00493B2E" w:rsidP="00286426">
            <w:pPr>
              <w:pStyle w:val="tableheaderwithintable"/>
              <w:rPr>
                <w:lang w:val="en-US" w:eastAsia="en-US"/>
              </w:rPr>
            </w:pPr>
            <w:r w:rsidRPr="004666B8">
              <w:rPr>
                <w:lang w:val="en-US" w:eastAsia="en-US"/>
              </w:rPr>
              <w:t>Current law</w:t>
            </w:r>
          </w:p>
        </w:tc>
      </w:tr>
      <w:tr w:rsidR="00493B2E" w:rsidRPr="004666B8" w14:paraId="0378EE16" w14:textId="77777777" w:rsidTr="00637D3C">
        <w:tc>
          <w:tcPr>
            <w:tcW w:w="3275" w:type="dxa"/>
          </w:tcPr>
          <w:p w14:paraId="11140965" w14:textId="0694E29D" w:rsidR="00493B2E" w:rsidRPr="00DB0724" w:rsidRDefault="00C60533" w:rsidP="00F025FB">
            <w:pPr>
              <w:pStyle w:val="tabletext"/>
              <w:rPr>
                <w:highlight w:val="yellow"/>
                <w:lang w:val="en-US" w:eastAsia="en-US"/>
              </w:rPr>
            </w:pPr>
            <w:r>
              <w:rPr>
                <w:lang w:val="en-US" w:eastAsia="en-US"/>
              </w:rPr>
              <w:t>A</w:t>
            </w:r>
            <w:r w:rsidR="00DF0552">
              <w:rPr>
                <w:lang w:val="en-US" w:eastAsia="en-US"/>
              </w:rPr>
              <w:t xml:space="preserve"> trustee of a </w:t>
            </w:r>
            <w:r w:rsidR="00DF0552" w:rsidRPr="009F329F">
              <w:rPr>
                <w:lang w:val="en-US" w:eastAsia="en-US"/>
              </w:rPr>
              <w:t xml:space="preserve">complying superannuation fund, a life insurance company or a </w:t>
            </w:r>
            <w:r w:rsidR="00DF0552">
              <w:rPr>
                <w:lang w:val="en-US" w:eastAsia="en-US"/>
              </w:rPr>
              <w:t xml:space="preserve">trustee of a </w:t>
            </w:r>
            <w:r w:rsidR="00DF0552" w:rsidRPr="009F329F">
              <w:rPr>
                <w:lang w:val="en-US" w:eastAsia="en-US"/>
              </w:rPr>
              <w:t xml:space="preserve">PST </w:t>
            </w:r>
            <w:r w:rsidR="00DF0552">
              <w:rPr>
                <w:lang w:val="en-US" w:eastAsia="en-US"/>
              </w:rPr>
              <w:t>can choose an asset roll</w:t>
            </w:r>
            <w:r w:rsidR="00DF0552">
              <w:rPr>
                <w:lang w:val="en-US" w:eastAsia="en-US"/>
              </w:rPr>
              <w:noBreakHyphen/>
              <w:t xml:space="preserve">over to defer income tax consequences </w:t>
            </w:r>
            <w:r w:rsidR="00F025FB">
              <w:rPr>
                <w:lang w:val="en-US" w:eastAsia="en-US"/>
              </w:rPr>
              <w:t xml:space="preserve">from </w:t>
            </w:r>
            <w:r w:rsidR="00DF0552">
              <w:rPr>
                <w:lang w:val="en-US" w:eastAsia="en-US"/>
              </w:rPr>
              <w:t>a mandatory transfer</w:t>
            </w:r>
            <w:r w:rsidR="00DF0552" w:rsidRPr="009F329F">
              <w:rPr>
                <w:lang w:val="en-US" w:eastAsia="en-US"/>
              </w:rPr>
              <w:t xml:space="preserve"> </w:t>
            </w:r>
            <w:r w:rsidR="00DF0552">
              <w:rPr>
                <w:lang w:val="en-US" w:eastAsia="en-US"/>
              </w:rPr>
              <w:t xml:space="preserve">to </w:t>
            </w:r>
            <w:r w:rsidR="00DF0552" w:rsidRPr="009F329F">
              <w:rPr>
                <w:lang w:val="en-US" w:eastAsia="en-US"/>
              </w:rPr>
              <w:t xml:space="preserve">a </w:t>
            </w:r>
            <w:proofErr w:type="spellStart"/>
            <w:r w:rsidR="00DF0552" w:rsidRPr="009F329F">
              <w:rPr>
                <w:lang w:val="en-US" w:eastAsia="en-US"/>
              </w:rPr>
              <w:t>MySuper</w:t>
            </w:r>
            <w:proofErr w:type="spellEnd"/>
            <w:r w:rsidR="00DF0552" w:rsidRPr="009F329F">
              <w:rPr>
                <w:lang w:val="en-US" w:eastAsia="en-US"/>
              </w:rPr>
              <w:t xml:space="preserve"> product in another superannuation fund</w:t>
            </w:r>
            <w:r w:rsidR="00DF0552">
              <w:rPr>
                <w:lang w:val="en-US" w:eastAsia="en-US"/>
              </w:rPr>
              <w:t xml:space="preserve"> </w:t>
            </w:r>
            <w:r w:rsidR="00D010B7" w:rsidRPr="009F329F">
              <w:rPr>
                <w:lang w:val="en-US" w:eastAsia="en-US"/>
              </w:rPr>
              <w:t>or within the same superannuation fund.</w:t>
            </w:r>
          </w:p>
        </w:tc>
        <w:tc>
          <w:tcPr>
            <w:tcW w:w="3276" w:type="dxa"/>
          </w:tcPr>
          <w:p w14:paraId="48B93026" w14:textId="6FC31D25" w:rsidR="00493B2E" w:rsidRPr="00DB0724" w:rsidRDefault="00C60533" w:rsidP="00DF0552">
            <w:pPr>
              <w:pStyle w:val="tabletext"/>
              <w:rPr>
                <w:highlight w:val="yellow"/>
                <w:lang w:val="en-US" w:eastAsia="en-US"/>
              </w:rPr>
            </w:pPr>
            <w:r>
              <w:rPr>
                <w:lang w:val="en-US" w:eastAsia="en-US"/>
              </w:rPr>
              <w:t>A</w:t>
            </w:r>
            <w:r w:rsidR="00DF0552">
              <w:rPr>
                <w:lang w:val="en-US" w:eastAsia="en-US"/>
              </w:rPr>
              <w:t xml:space="preserve"> trustee of a </w:t>
            </w:r>
            <w:r w:rsidR="00DF0552" w:rsidRPr="009F329F">
              <w:rPr>
                <w:lang w:val="en-US" w:eastAsia="en-US"/>
              </w:rPr>
              <w:t xml:space="preserve">complying superannuation fund, a life insurance company or a </w:t>
            </w:r>
            <w:r w:rsidR="00DF0552">
              <w:rPr>
                <w:lang w:val="en-US" w:eastAsia="en-US"/>
              </w:rPr>
              <w:t xml:space="preserve">trustee of a </w:t>
            </w:r>
            <w:r w:rsidR="00DF0552" w:rsidRPr="009F329F">
              <w:rPr>
                <w:lang w:val="en-US" w:eastAsia="en-US"/>
              </w:rPr>
              <w:t xml:space="preserve">PST </w:t>
            </w:r>
            <w:r w:rsidR="00DF0552">
              <w:rPr>
                <w:lang w:val="en-US" w:eastAsia="en-US"/>
              </w:rPr>
              <w:t>can choose an asset roll</w:t>
            </w:r>
            <w:r w:rsidR="00DF0552">
              <w:rPr>
                <w:lang w:val="en-US" w:eastAsia="en-US"/>
              </w:rPr>
              <w:noBreakHyphen/>
              <w:t>over to defer income tax consequences from a mandatory transfer</w:t>
            </w:r>
            <w:r w:rsidR="00DF0552" w:rsidRPr="009F329F">
              <w:rPr>
                <w:lang w:val="en-US" w:eastAsia="en-US"/>
              </w:rPr>
              <w:t xml:space="preserve"> </w:t>
            </w:r>
            <w:r w:rsidR="00DF0552">
              <w:rPr>
                <w:lang w:val="en-US" w:eastAsia="en-US"/>
              </w:rPr>
              <w:t xml:space="preserve">to </w:t>
            </w:r>
            <w:r w:rsidR="00DF0552" w:rsidRPr="009F329F">
              <w:rPr>
                <w:lang w:val="en-US" w:eastAsia="en-US"/>
              </w:rPr>
              <w:t xml:space="preserve">a </w:t>
            </w:r>
            <w:proofErr w:type="spellStart"/>
            <w:r w:rsidR="00DF0552" w:rsidRPr="009F329F">
              <w:rPr>
                <w:lang w:val="en-US" w:eastAsia="en-US"/>
              </w:rPr>
              <w:t>MySuper</w:t>
            </w:r>
            <w:proofErr w:type="spellEnd"/>
            <w:r w:rsidR="00DF0552" w:rsidRPr="009F329F">
              <w:rPr>
                <w:lang w:val="en-US" w:eastAsia="en-US"/>
              </w:rPr>
              <w:t xml:space="preserve"> product in another superannuation fund.</w:t>
            </w:r>
          </w:p>
        </w:tc>
      </w:tr>
      <w:tr w:rsidR="00CE732C" w:rsidRPr="004666B8" w14:paraId="412BC9F6" w14:textId="77777777" w:rsidTr="00637D3C">
        <w:tc>
          <w:tcPr>
            <w:tcW w:w="3275" w:type="dxa"/>
          </w:tcPr>
          <w:p w14:paraId="14E4BC28" w14:textId="1A84F002" w:rsidR="00CE732C" w:rsidRDefault="00C60533" w:rsidP="00D76216">
            <w:pPr>
              <w:pStyle w:val="tabletext"/>
              <w:rPr>
                <w:lang w:val="en-US" w:eastAsia="en-US"/>
              </w:rPr>
            </w:pPr>
            <w:r>
              <w:rPr>
                <w:lang w:val="en-US" w:eastAsia="en-US"/>
              </w:rPr>
              <w:t>A</w:t>
            </w:r>
            <w:r w:rsidR="001C24C4">
              <w:rPr>
                <w:lang w:val="en-US" w:eastAsia="en-US"/>
              </w:rPr>
              <w:t xml:space="preserve"> trustee of a</w:t>
            </w:r>
            <w:r w:rsidR="00D76216">
              <w:rPr>
                <w:lang w:val="en-US" w:eastAsia="en-US"/>
              </w:rPr>
              <w:t xml:space="preserve"> </w:t>
            </w:r>
            <w:r w:rsidR="00DF0552">
              <w:rPr>
                <w:lang w:val="en-US" w:eastAsia="en-US"/>
              </w:rPr>
              <w:t>trust</w:t>
            </w:r>
            <w:r w:rsidR="001C24C4">
              <w:rPr>
                <w:lang w:val="en-US" w:eastAsia="en-US"/>
              </w:rPr>
              <w:t>, which is not a PST,</w:t>
            </w:r>
            <w:r w:rsidR="00DF0552" w:rsidRPr="009F329F">
              <w:rPr>
                <w:lang w:val="en-US" w:eastAsia="en-US"/>
              </w:rPr>
              <w:t xml:space="preserve"> </w:t>
            </w:r>
            <w:r w:rsidR="00DF0552">
              <w:rPr>
                <w:lang w:val="en-US" w:eastAsia="en-US"/>
              </w:rPr>
              <w:t>can choose an asset roll</w:t>
            </w:r>
            <w:r w:rsidR="00DF0552">
              <w:rPr>
                <w:lang w:val="en-US" w:eastAsia="en-US"/>
              </w:rPr>
              <w:noBreakHyphen/>
              <w:t>over to defer income tax consequences from a mandatory transfer</w:t>
            </w:r>
            <w:r w:rsidR="00DF0552" w:rsidRPr="009F329F">
              <w:rPr>
                <w:lang w:val="en-US" w:eastAsia="en-US"/>
              </w:rPr>
              <w:t xml:space="preserve"> </w:t>
            </w:r>
            <w:r w:rsidR="00DF0552">
              <w:rPr>
                <w:lang w:val="en-US" w:eastAsia="en-US"/>
              </w:rPr>
              <w:t xml:space="preserve">to </w:t>
            </w:r>
            <w:r w:rsidR="00DF0552" w:rsidRPr="009F329F">
              <w:rPr>
                <w:lang w:val="en-US" w:eastAsia="en-US"/>
              </w:rPr>
              <w:t xml:space="preserve">a </w:t>
            </w:r>
            <w:proofErr w:type="spellStart"/>
            <w:r w:rsidR="00DF0552" w:rsidRPr="009F329F">
              <w:rPr>
                <w:lang w:val="en-US" w:eastAsia="en-US"/>
              </w:rPr>
              <w:t>MySuper</w:t>
            </w:r>
            <w:proofErr w:type="spellEnd"/>
            <w:r w:rsidR="00DF0552" w:rsidRPr="009F329F">
              <w:rPr>
                <w:lang w:val="en-US" w:eastAsia="en-US"/>
              </w:rPr>
              <w:t xml:space="preserve"> within the same superannuation fund.</w:t>
            </w:r>
          </w:p>
        </w:tc>
        <w:tc>
          <w:tcPr>
            <w:tcW w:w="3276" w:type="dxa"/>
          </w:tcPr>
          <w:p w14:paraId="2612FAC9" w14:textId="3FA4457A" w:rsidR="00CE732C" w:rsidRPr="009F329F" w:rsidRDefault="00F025FB" w:rsidP="009F329F">
            <w:pPr>
              <w:pStyle w:val="tabletext"/>
              <w:rPr>
                <w:lang w:val="en-US" w:eastAsia="en-US"/>
              </w:rPr>
            </w:pPr>
            <w:r>
              <w:rPr>
                <w:lang w:val="en-US" w:eastAsia="en-US"/>
              </w:rPr>
              <w:t>No equivalent.</w:t>
            </w:r>
          </w:p>
        </w:tc>
      </w:tr>
    </w:tbl>
    <w:p w14:paraId="51527205" w14:textId="77777777" w:rsidR="00493B2E" w:rsidRDefault="00493B2E" w:rsidP="00570968">
      <w:pPr>
        <w:pStyle w:val="Heading2"/>
      </w:pPr>
      <w:r>
        <w:t>Detailed explanation of new law</w:t>
      </w:r>
    </w:p>
    <w:p w14:paraId="62ED1436" w14:textId="520F434E" w:rsidR="00493B2E" w:rsidRPr="005662E7" w:rsidRDefault="00FC06E1" w:rsidP="001738B7">
      <w:pPr>
        <w:pStyle w:val="base-text-paragraph"/>
        <w:rPr>
          <w:rStyle w:val="Referencingstyle"/>
          <w:b w:val="0"/>
          <w:i w:val="0"/>
          <w:sz w:val="22"/>
        </w:rPr>
      </w:pPr>
      <w:r>
        <w:t xml:space="preserve">The </w:t>
      </w:r>
      <w:r w:rsidR="00B3666F">
        <w:t xml:space="preserve">amendments </w:t>
      </w:r>
      <w:r w:rsidR="00E856E0">
        <w:t>ensure</w:t>
      </w:r>
      <w:r w:rsidR="00B3666F">
        <w:t xml:space="preserve"> an asset roll</w:t>
      </w:r>
      <w:r w:rsidR="00B3666F">
        <w:noBreakHyphen/>
        <w:t xml:space="preserve">over </w:t>
      </w:r>
      <w:r w:rsidR="00E856E0">
        <w:t>can</w:t>
      </w:r>
      <w:r w:rsidR="00B3666F">
        <w:t xml:space="preserve"> be chosen by </w:t>
      </w:r>
      <w:r w:rsidR="00D76216">
        <w:t xml:space="preserve">a </w:t>
      </w:r>
      <w:r w:rsidR="00B3666F">
        <w:t>transferring entity</w:t>
      </w:r>
      <w:r w:rsidR="005662E7">
        <w:t xml:space="preserve"> </w:t>
      </w:r>
      <w:r w:rsidR="00E856E0">
        <w:t>in relation to</w:t>
      </w:r>
      <w:r w:rsidR="005662E7">
        <w:t xml:space="preserve"> a transfer of a </w:t>
      </w:r>
      <w:r w:rsidR="00C21547">
        <w:t xml:space="preserve">complying </w:t>
      </w:r>
      <w:r w:rsidR="00E856E0">
        <w:t xml:space="preserve">superannuation fund </w:t>
      </w:r>
      <w:r w:rsidR="005662E7">
        <w:t xml:space="preserve">member’s accrued default amount to a </w:t>
      </w:r>
      <w:proofErr w:type="spellStart"/>
      <w:r w:rsidR="005662E7">
        <w:t>MySuper</w:t>
      </w:r>
      <w:proofErr w:type="spellEnd"/>
      <w:r w:rsidR="005662E7">
        <w:t xml:space="preserve"> </w:t>
      </w:r>
      <w:r w:rsidR="00301548">
        <w:t xml:space="preserve">product within the same superannuation fund, </w:t>
      </w:r>
      <w:r w:rsidR="005662E7">
        <w:t>if certain conditions are satisfied</w:t>
      </w:r>
      <w:r w:rsidR="00B3666F">
        <w:t xml:space="preserve">. </w:t>
      </w:r>
      <w:r w:rsidR="005662E7">
        <w:rPr>
          <w:rStyle w:val="Referencingstyle"/>
        </w:rPr>
        <w:t>[Schedule #, item</w:t>
      </w:r>
      <w:r w:rsidR="00301548">
        <w:rPr>
          <w:rStyle w:val="Referencingstyle"/>
        </w:rPr>
        <w:t>s</w:t>
      </w:r>
      <w:r w:rsidR="005662E7">
        <w:rPr>
          <w:rStyle w:val="Referencingstyle"/>
        </w:rPr>
        <w:t> </w:t>
      </w:r>
      <w:r w:rsidR="00E856E0">
        <w:rPr>
          <w:rStyle w:val="Referencingstyle"/>
        </w:rPr>
        <w:t>2</w:t>
      </w:r>
      <w:r w:rsidR="00301548">
        <w:rPr>
          <w:rStyle w:val="Referencingstyle"/>
        </w:rPr>
        <w:t xml:space="preserve"> and 6</w:t>
      </w:r>
      <w:r w:rsidR="00F44688">
        <w:rPr>
          <w:rStyle w:val="Referencingstyle"/>
        </w:rPr>
        <w:t>, sectio</w:t>
      </w:r>
      <w:r w:rsidR="005662E7">
        <w:rPr>
          <w:rStyle w:val="Referencingstyle"/>
        </w:rPr>
        <w:t>n 311</w:t>
      </w:r>
      <w:r w:rsidR="005662E7">
        <w:rPr>
          <w:rStyle w:val="Referencingstyle"/>
        </w:rPr>
        <w:noBreakHyphen/>
        <w:t>1</w:t>
      </w:r>
      <w:r w:rsidR="00D76216">
        <w:rPr>
          <w:rStyle w:val="Referencingstyle"/>
        </w:rPr>
        <w:t xml:space="preserve"> and subsection </w:t>
      </w:r>
      <w:r w:rsidR="00301548">
        <w:rPr>
          <w:rStyle w:val="Referencingstyle"/>
        </w:rPr>
        <w:t>311-12</w:t>
      </w:r>
      <w:r w:rsidR="00D76216">
        <w:rPr>
          <w:rStyle w:val="Referencingstyle"/>
        </w:rPr>
        <w:t>(1)</w:t>
      </w:r>
      <w:r w:rsidR="00F44688">
        <w:rPr>
          <w:rStyle w:val="Referencingstyle"/>
        </w:rPr>
        <w:t>]</w:t>
      </w:r>
    </w:p>
    <w:p w14:paraId="288BB85F" w14:textId="77777777" w:rsidR="00EC1CFB" w:rsidRDefault="00EC1CFB" w:rsidP="00D76216">
      <w:pPr>
        <w:pStyle w:val="base-text-paragraph"/>
      </w:pPr>
      <w:r>
        <w:lastRenderedPageBreak/>
        <w:t>The transferring entity can be:</w:t>
      </w:r>
    </w:p>
    <w:p w14:paraId="6681A84B" w14:textId="7349BCAF" w:rsidR="00EC1CFB" w:rsidRDefault="00EC1CFB" w:rsidP="00EC1CFB">
      <w:pPr>
        <w:pStyle w:val="dotpoint"/>
      </w:pPr>
      <w:r>
        <w:t>a trustee of a complying superannuation fund;</w:t>
      </w:r>
    </w:p>
    <w:p w14:paraId="4493306B" w14:textId="6ED8743E" w:rsidR="00EC1CFB" w:rsidRDefault="00EC1CFB" w:rsidP="00EC1CFB">
      <w:pPr>
        <w:pStyle w:val="dotpoint"/>
      </w:pPr>
      <w:r>
        <w:t>a life insurance company;</w:t>
      </w:r>
    </w:p>
    <w:p w14:paraId="12C78923" w14:textId="77777777" w:rsidR="00EC1CFB" w:rsidRDefault="00EC1CFB" w:rsidP="00EC1CFB">
      <w:pPr>
        <w:pStyle w:val="dotpoint"/>
      </w:pPr>
      <w:r>
        <w:t xml:space="preserve">a trustee of a PST; or </w:t>
      </w:r>
    </w:p>
    <w:p w14:paraId="70A7A7B8" w14:textId="0BE4C92D" w:rsidR="00EC1CFB" w:rsidRDefault="00EC1CFB" w:rsidP="00EC1CFB">
      <w:pPr>
        <w:pStyle w:val="dotpoint"/>
      </w:pPr>
      <w:proofErr w:type="gramStart"/>
      <w:r>
        <w:t>a</w:t>
      </w:r>
      <w:proofErr w:type="gramEnd"/>
      <w:r>
        <w:t xml:space="preserve"> trustee of an interposed trust.</w:t>
      </w:r>
    </w:p>
    <w:p w14:paraId="6306856F" w14:textId="175D9008" w:rsidR="00EC1CFB" w:rsidRDefault="00EC1CFB" w:rsidP="00EC1CFB">
      <w:pPr>
        <w:pStyle w:val="base-text-paragraphnonumbers"/>
      </w:pPr>
      <w:r>
        <w:rPr>
          <w:rStyle w:val="Referencingstyle"/>
        </w:rPr>
        <w:t xml:space="preserve">[Schedule #, item 6, </w:t>
      </w:r>
      <w:proofErr w:type="gramStart"/>
      <w:r>
        <w:rPr>
          <w:rStyle w:val="Referencingstyle"/>
        </w:rPr>
        <w:t>subsection</w:t>
      </w:r>
      <w:proofErr w:type="gramEnd"/>
      <w:r>
        <w:rPr>
          <w:rStyle w:val="Referencingstyle"/>
        </w:rPr>
        <w:t> 311-12(1)]</w:t>
      </w:r>
    </w:p>
    <w:p w14:paraId="2010781C" w14:textId="6D7528AE" w:rsidR="00880CD0" w:rsidRDefault="00880CD0" w:rsidP="00880CD0">
      <w:pPr>
        <w:pStyle w:val="base-text-paragraph"/>
      </w:pPr>
      <w:r>
        <w:t>In this regard, c</w:t>
      </w:r>
      <w:r w:rsidRPr="007A3853">
        <w:t>omplying superannuation funds, life i</w:t>
      </w:r>
      <w:r>
        <w:t>nsurance companies and PSTs may invest</w:t>
      </w:r>
      <w:r w:rsidRPr="007A3853">
        <w:t xml:space="preserve"> assets attributable to default members’ account balances </w:t>
      </w:r>
      <w:r>
        <w:t>in interposed trusts by acquiring</w:t>
      </w:r>
      <w:r w:rsidRPr="007A3853">
        <w:t xml:space="preserve"> units in </w:t>
      </w:r>
      <w:r>
        <w:t xml:space="preserve">those </w:t>
      </w:r>
      <w:r w:rsidRPr="007A3853">
        <w:t xml:space="preserve">trusts. </w:t>
      </w:r>
    </w:p>
    <w:p w14:paraId="32DC8704" w14:textId="77777777" w:rsidR="00880CD0" w:rsidRPr="007A3853" w:rsidRDefault="00880CD0" w:rsidP="00880CD0">
      <w:pPr>
        <w:pStyle w:val="base-text-paragraph"/>
      </w:pPr>
      <w:r>
        <w:t>In such cases, t</w:t>
      </w:r>
      <w:r w:rsidRPr="007A3853">
        <w:t xml:space="preserve">he transfer </w:t>
      </w:r>
      <w:r>
        <w:t xml:space="preserve">of accrued default amounts </w:t>
      </w:r>
      <w:r w:rsidRPr="007A3853">
        <w:t xml:space="preserve">to a </w:t>
      </w:r>
      <w:proofErr w:type="spellStart"/>
      <w:r w:rsidRPr="007A3853">
        <w:t>MySuper</w:t>
      </w:r>
      <w:proofErr w:type="spellEnd"/>
      <w:r w:rsidRPr="007A3853">
        <w:t xml:space="preserve"> product would involve:</w:t>
      </w:r>
    </w:p>
    <w:p w14:paraId="51346ACF" w14:textId="77777777" w:rsidR="00880CD0" w:rsidRPr="007A3853" w:rsidRDefault="00880CD0" w:rsidP="00880CD0">
      <w:pPr>
        <w:pStyle w:val="dotpoint"/>
      </w:pPr>
      <w:r w:rsidRPr="007A3853">
        <w:t xml:space="preserve">the complying superannuation fund, </w:t>
      </w:r>
      <w:r>
        <w:t xml:space="preserve">the </w:t>
      </w:r>
      <w:r w:rsidRPr="007A3853">
        <w:t xml:space="preserve">life insurance company or </w:t>
      </w:r>
      <w:r>
        <w:t xml:space="preserve">the </w:t>
      </w:r>
      <w:r w:rsidRPr="007A3853">
        <w:t>PST redeeming units in the interposed trust;</w:t>
      </w:r>
    </w:p>
    <w:p w14:paraId="62F2768A" w14:textId="77777777" w:rsidR="00880CD0" w:rsidRPr="007A3853" w:rsidRDefault="00880CD0" w:rsidP="00880CD0">
      <w:pPr>
        <w:pStyle w:val="dotpoint"/>
      </w:pPr>
      <w:r w:rsidRPr="007A3853">
        <w:t xml:space="preserve">the complying superannuation fund, the life insurance company or the PST </w:t>
      </w:r>
      <w:r>
        <w:t>applying for</w:t>
      </w:r>
      <w:r w:rsidRPr="007A3853">
        <w:t xml:space="preserve"> units in another trust</w:t>
      </w:r>
      <w:r>
        <w:t xml:space="preserve"> supporting the investments</w:t>
      </w:r>
      <w:r w:rsidRPr="007A3853">
        <w:t xml:space="preserve"> in respect of a </w:t>
      </w:r>
      <w:proofErr w:type="spellStart"/>
      <w:r w:rsidRPr="007A3853">
        <w:t>MySuper</w:t>
      </w:r>
      <w:proofErr w:type="spellEnd"/>
      <w:r w:rsidRPr="007A3853">
        <w:t xml:space="preserve"> product; and</w:t>
      </w:r>
    </w:p>
    <w:p w14:paraId="0ABA8931" w14:textId="09AB1D30" w:rsidR="00880CD0" w:rsidRPr="007A3853" w:rsidRDefault="00880CD0" w:rsidP="00880CD0">
      <w:pPr>
        <w:pStyle w:val="dotpoint"/>
      </w:pPr>
      <w:proofErr w:type="gramStart"/>
      <w:r w:rsidRPr="007A3853">
        <w:t>the</w:t>
      </w:r>
      <w:proofErr w:type="gramEnd"/>
      <w:r w:rsidRPr="007A3853">
        <w:t xml:space="preserve"> assets of the interposed trust attributable to the accrued default amount</w:t>
      </w:r>
      <w:r w:rsidR="003205D1">
        <w:t>s</w:t>
      </w:r>
      <w:r w:rsidRPr="007A3853">
        <w:t xml:space="preserve"> </w:t>
      </w:r>
      <w:r>
        <w:t>being</w:t>
      </w:r>
      <w:r w:rsidRPr="007A3853">
        <w:t xml:space="preserve"> transferred to the interposed trust supporting the </w:t>
      </w:r>
      <w:proofErr w:type="spellStart"/>
      <w:r w:rsidRPr="007A3853">
        <w:t>MySuper</w:t>
      </w:r>
      <w:proofErr w:type="spellEnd"/>
      <w:r w:rsidRPr="007A3853">
        <w:t xml:space="preserve"> product</w:t>
      </w:r>
      <w:r>
        <w:t xml:space="preserve"> as consideration for the application for the units in the interposed trust supporting the </w:t>
      </w:r>
      <w:proofErr w:type="spellStart"/>
      <w:r>
        <w:t>MySuper</w:t>
      </w:r>
      <w:proofErr w:type="spellEnd"/>
      <w:r>
        <w:t xml:space="preserve"> product</w:t>
      </w:r>
      <w:r w:rsidRPr="007A3853">
        <w:t>.</w:t>
      </w:r>
    </w:p>
    <w:p w14:paraId="312DD659" w14:textId="4BBF41E4" w:rsidR="00880CD0" w:rsidRPr="007A3853" w:rsidRDefault="00880CD0" w:rsidP="00880CD0">
      <w:pPr>
        <w:pStyle w:val="base-text-paragraph"/>
      </w:pPr>
      <w:r w:rsidRPr="007A3853">
        <w:t xml:space="preserve">The </w:t>
      </w:r>
      <w:r>
        <w:t>asset roll</w:t>
      </w:r>
      <w:r>
        <w:noBreakHyphen/>
        <w:t xml:space="preserve">over is being extended to </w:t>
      </w:r>
      <w:proofErr w:type="gramStart"/>
      <w:r>
        <w:t>interposed</w:t>
      </w:r>
      <w:proofErr w:type="gramEnd"/>
      <w:r>
        <w:t xml:space="preserve"> trusts because the </w:t>
      </w:r>
      <w:r w:rsidRPr="007A3853">
        <w:t xml:space="preserve">redemption and the transfer of assets </w:t>
      </w:r>
      <w:r>
        <w:t>between</w:t>
      </w:r>
      <w:r w:rsidRPr="007A3853">
        <w:t xml:space="preserve"> the interposed trusts are </w:t>
      </w:r>
      <w:r w:rsidR="003205D1">
        <w:t>capital gains tax (</w:t>
      </w:r>
      <w:r w:rsidRPr="007A3853">
        <w:t>CGT</w:t>
      </w:r>
      <w:r w:rsidR="003205D1">
        <w:t>)</w:t>
      </w:r>
      <w:r w:rsidRPr="007A3853">
        <w:t xml:space="preserve"> events </w:t>
      </w:r>
      <w:r>
        <w:t>that</w:t>
      </w:r>
      <w:r w:rsidRPr="007A3853">
        <w:t xml:space="preserve"> may give rise to the realisation of capital gains</w:t>
      </w:r>
      <w:r>
        <w:t xml:space="preserve"> or revenue gains</w:t>
      </w:r>
      <w:r w:rsidRPr="007A3853">
        <w:t>.</w:t>
      </w:r>
    </w:p>
    <w:p w14:paraId="06C329DF" w14:textId="473D6D8D" w:rsidR="00D76216" w:rsidRDefault="00D76216" w:rsidP="00D76216">
      <w:pPr>
        <w:pStyle w:val="base-text-paragraph"/>
      </w:pPr>
      <w:r>
        <w:t>An asset roll</w:t>
      </w:r>
      <w:r>
        <w:noBreakHyphen/>
        <w:t>over allows the transferring entity to defer income tax consequences pursuant to the transfer</w:t>
      </w:r>
      <w:r w:rsidR="00EC1CFB">
        <w:t>. This will</w:t>
      </w:r>
      <w:r>
        <w:t xml:space="preserve"> ensur</w:t>
      </w:r>
      <w:r w:rsidR="00EC1CFB">
        <w:t>e</w:t>
      </w:r>
      <w:r>
        <w:t xml:space="preserve"> that the members are not adversely affected by the transfer of </w:t>
      </w:r>
      <w:r w:rsidR="00EC1CFB">
        <w:t xml:space="preserve">assets supporting </w:t>
      </w:r>
      <w:r>
        <w:t>their superannuation benefits.</w:t>
      </w:r>
    </w:p>
    <w:p w14:paraId="3D040116" w14:textId="28621261" w:rsidR="00301548" w:rsidRDefault="00F005D6" w:rsidP="008F69D1">
      <w:pPr>
        <w:pStyle w:val="Heading3"/>
      </w:pPr>
      <w:r>
        <w:t>C</w:t>
      </w:r>
      <w:r w:rsidR="00301548">
        <w:t xml:space="preserve">onditions </w:t>
      </w:r>
      <w:r>
        <w:t>for asset roll</w:t>
      </w:r>
      <w:r>
        <w:noBreakHyphen/>
        <w:t>over</w:t>
      </w:r>
      <w:r w:rsidR="00FC2AD1">
        <w:t xml:space="preserve"> relief</w:t>
      </w:r>
    </w:p>
    <w:p w14:paraId="521414D3" w14:textId="7A9714B2" w:rsidR="009650A9" w:rsidRDefault="00FC2AD1" w:rsidP="005662E7">
      <w:pPr>
        <w:pStyle w:val="base-text-paragraph"/>
      </w:pPr>
      <w:r>
        <w:t>For a transferring entity to access the asset roll</w:t>
      </w:r>
      <w:r>
        <w:noBreakHyphen/>
        <w:t>over, it must satisfy four key conditions.</w:t>
      </w:r>
    </w:p>
    <w:p w14:paraId="5E7CF385" w14:textId="483642A8" w:rsidR="00FC2AD1" w:rsidRDefault="00FC2AD1" w:rsidP="008F69D1">
      <w:pPr>
        <w:pStyle w:val="Heading4"/>
      </w:pPr>
      <w:r>
        <w:lastRenderedPageBreak/>
        <w:t xml:space="preserve">Condition one – </w:t>
      </w:r>
      <w:r w:rsidR="008F69D1">
        <w:t>entit</w:t>
      </w:r>
      <w:r w:rsidR="00EC1CFB">
        <w:t>y’s assets must support interests in a fund</w:t>
      </w:r>
    </w:p>
    <w:p w14:paraId="75DCDCBB" w14:textId="1EFE5E84" w:rsidR="00BF6E9B" w:rsidRDefault="008F69D1" w:rsidP="005662E7">
      <w:pPr>
        <w:pStyle w:val="base-text-paragraph"/>
      </w:pPr>
      <w:r>
        <w:t xml:space="preserve">The transferring entity accessing the relief </w:t>
      </w:r>
      <w:r w:rsidR="00FD5F9C">
        <w:t xml:space="preserve">must </w:t>
      </w:r>
      <w:r w:rsidR="00BF6E9B">
        <w:t xml:space="preserve">either </w:t>
      </w:r>
      <w:r w:rsidR="008347FA">
        <w:t>hold the default members’ account balances</w:t>
      </w:r>
      <w:r w:rsidR="00BF6E9B">
        <w:t xml:space="preserve"> or be the entity </w:t>
      </w:r>
      <w:r w:rsidR="002359B8">
        <w:t xml:space="preserve">whose </w:t>
      </w:r>
      <w:r w:rsidR="00C21547">
        <w:t>assets</w:t>
      </w:r>
      <w:r w:rsidR="00BF6E9B">
        <w:t xml:space="preserve"> support the </w:t>
      </w:r>
      <w:r w:rsidR="00C21547">
        <w:t>default members’ account balances</w:t>
      </w:r>
      <w:r w:rsidR="008347FA">
        <w:t xml:space="preserve">. </w:t>
      </w:r>
    </w:p>
    <w:p w14:paraId="5F2F240B" w14:textId="544983EA" w:rsidR="008347FA" w:rsidRPr="008347FA" w:rsidRDefault="00B561CE" w:rsidP="005662E7">
      <w:pPr>
        <w:pStyle w:val="base-text-paragraph"/>
        <w:rPr>
          <w:rStyle w:val="Referencingstyle"/>
          <w:b w:val="0"/>
          <w:i w:val="0"/>
          <w:sz w:val="22"/>
        </w:rPr>
      </w:pPr>
      <w:r>
        <w:t>If t</w:t>
      </w:r>
      <w:r w:rsidR="00342F98">
        <w:t>he transferring entity</w:t>
      </w:r>
      <w:r w:rsidR="008347FA">
        <w:t xml:space="preserve"> </w:t>
      </w:r>
      <w:r>
        <w:t>is</w:t>
      </w:r>
      <w:r w:rsidR="008347FA">
        <w:t xml:space="preserve"> a trustee of the complying superannuation fund</w:t>
      </w:r>
      <w:r w:rsidR="00C21547">
        <w:t xml:space="preserve"> holding the default members’ account balances</w:t>
      </w:r>
      <w:r>
        <w:t>, the condition is satisfied if, just before the arrangement was made, the fun</w:t>
      </w:r>
      <w:r w:rsidR="003205D1">
        <w:t>d held any assets that are not</w:t>
      </w:r>
      <w:r>
        <w:t xml:space="preserve"> complying supe</w:t>
      </w:r>
      <w:r w:rsidR="003205D1">
        <w:t>rannuation life insurance policies</w:t>
      </w:r>
      <w:r>
        <w:t xml:space="preserve"> or units in a PST</w:t>
      </w:r>
      <w:r w:rsidR="008347FA">
        <w:t xml:space="preserve">. </w:t>
      </w:r>
      <w:r w:rsidR="008347FA">
        <w:rPr>
          <w:rStyle w:val="Referencingstyle"/>
        </w:rPr>
        <w:t>[Schedule #, item 6, paragraph 311</w:t>
      </w:r>
      <w:r w:rsidR="008347FA">
        <w:rPr>
          <w:rStyle w:val="Referencingstyle"/>
        </w:rPr>
        <w:noBreakHyphen/>
        <w:t>12(2)(a)]</w:t>
      </w:r>
    </w:p>
    <w:p w14:paraId="5C5A766B" w14:textId="57082A0A" w:rsidR="00880CD0" w:rsidRPr="00880CD0" w:rsidRDefault="00B561CE" w:rsidP="008347FA">
      <w:pPr>
        <w:pStyle w:val="base-text-paragraph"/>
        <w:rPr>
          <w:rStyle w:val="Referencingstyle"/>
          <w:b w:val="0"/>
          <w:i w:val="0"/>
          <w:sz w:val="22"/>
        </w:rPr>
      </w:pPr>
      <w:r>
        <w:t xml:space="preserve">If the transferring entity is </w:t>
      </w:r>
      <w:r w:rsidR="00880CD0">
        <w:t xml:space="preserve">a life insurance company, the condition is satisfied if, just before the arrangement was made, a complying superannuation life insurance policy issued by the entity was held by a complying superannuation fund. </w:t>
      </w:r>
      <w:r w:rsidR="00880CD0">
        <w:rPr>
          <w:rStyle w:val="Referencingstyle"/>
        </w:rPr>
        <w:t>[Schedule #, item 6, paragraph 311</w:t>
      </w:r>
      <w:r w:rsidR="00880CD0">
        <w:rPr>
          <w:rStyle w:val="Referencingstyle"/>
        </w:rPr>
        <w:noBreakHyphen/>
        <w:t>12(2)(b)]</w:t>
      </w:r>
    </w:p>
    <w:p w14:paraId="1CB97563" w14:textId="2166A1F2" w:rsidR="005A2006" w:rsidRPr="00A6786A" w:rsidRDefault="00880CD0" w:rsidP="008347FA">
      <w:pPr>
        <w:pStyle w:val="base-text-paragraph"/>
        <w:rPr>
          <w:rStyle w:val="Referencingstyle"/>
          <w:b w:val="0"/>
          <w:i w:val="0"/>
          <w:sz w:val="22"/>
        </w:rPr>
      </w:pPr>
      <w:r>
        <w:t>If the transferring entity is a PST, the condition is satisfied if, just before the arrangement was made, units in the PST were held by a complying superannuation fund</w:t>
      </w:r>
      <w:r w:rsidR="005A2006">
        <w:t xml:space="preserve">. </w:t>
      </w:r>
      <w:r w:rsidR="005A2006">
        <w:rPr>
          <w:rStyle w:val="Referencingstyle"/>
        </w:rPr>
        <w:t>[Schedule #, item 6, paragraph 311</w:t>
      </w:r>
      <w:r w:rsidR="005A2006">
        <w:rPr>
          <w:rStyle w:val="Referencingstyle"/>
        </w:rPr>
        <w:noBreakHyphen/>
        <w:t>12(c)]</w:t>
      </w:r>
    </w:p>
    <w:p w14:paraId="1305C461" w14:textId="0D856A2D" w:rsidR="00F53954" w:rsidRDefault="00880CD0" w:rsidP="008347FA">
      <w:pPr>
        <w:pStyle w:val="base-text-paragraph"/>
      </w:pPr>
      <w:r>
        <w:t>If the transferring entity is</w:t>
      </w:r>
      <w:r w:rsidR="00585A37">
        <w:t xml:space="preserve"> a</w:t>
      </w:r>
      <w:r w:rsidR="00A6786A">
        <w:t xml:space="preserve"> trustee of a</w:t>
      </w:r>
      <w:r w:rsidR="00585A37">
        <w:t>n interposed</w:t>
      </w:r>
      <w:r w:rsidR="00A6786A">
        <w:t xml:space="preserve"> </w:t>
      </w:r>
      <w:r w:rsidR="005A2006">
        <w:t>trust</w:t>
      </w:r>
      <w:r w:rsidR="00166B0C">
        <w:t xml:space="preserve"> that is not a PST</w:t>
      </w:r>
      <w:r>
        <w:t>, the condition is satisfied if, just before the arrangement was made,</w:t>
      </w:r>
      <w:r w:rsidR="00585A37">
        <w:t xml:space="preserve"> </w:t>
      </w:r>
      <w:r w:rsidR="00F53954">
        <w:t xml:space="preserve">all the </w:t>
      </w:r>
      <w:r w:rsidR="005A2006">
        <w:t xml:space="preserve">units </w:t>
      </w:r>
      <w:r>
        <w:t xml:space="preserve">in the trust </w:t>
      </w:r>
      <w:r w:rsidR="00A6786A">
        <w:t>were</w:t>
      </w:r>
      <w:r w:rsidR="005A2006">
        <w:t xml:space="preserve"> </w:t>
      </w:r>
      <w:r w:rsidR="00A6786A">
        <w:t>wholly owned</w:t>
      </w:r>
      <w:r w:rsidR="005A2006">
        <w:t xml:space="preserve"> </w:t>
      </w:r>
      <w:r w:rsidR="005B4967">
        <w:t xml:space="preserve">(directly or indirectly) </w:t>
      </w:r>
      <w:r w:rsidR="005A2006">
        <w:t>by</w:t>
      </w:r>
      <w:r w:rsidR="00F53954">
        <w:t>:</w:t>
      </w:r>
      <w:r w:rsidR="005A2006">
        <w:t xml:space="preserve"> </w:t>
      </w:r>
    </w:p>
    <w:p w14:paraId="0C9F4BF1" w14:textId="4EA82806" w:rsidR="00F53954" w:rsidRDefault="00A6786A" w:rsidP="00F53954">
      <w:pPr>
        <w:pStyle w:val="dotpoint"/>
      </w:pPr>
      <w:r>
        <w:t xml:space="preserve">the trustee of </w:t>
      </w:r>
      <w:r w:rsidR="00880CD0">
        <w:t xml:space="preserve">a </w:t>
      </w:r>
      <w:r>
        <w:t>complying superannuation fund</w:t>
      </w:r>
      <w:r w:rsidR="00F53954">
        <w:t>;</w:t>
      </w:r>
      <w:r>
        <w:t xml:space="preserve"> </w:t>
      </w:r>
    </w:p>
    <w:p w14:paraId="15271B92" w14:textId="77777777" w:rsidR="00F53954" w:rsidRDefault="00F53954" w:rsidP="00F53954">
      <w:pPr>
        <w:pStyle w:val="dotpoint"/>
      </w:pPr>
      <w:r>
        <w:t xml:space="preserve">a </w:t>
      </w:r>
      <w:r w:rsidR="00A6786A">
        <w:t xml:space="preserve">life insurance company </w:t>
      </w:r>
      <w:r>
        <w:t xml:space="preserve">that has issued a complying superannuation life insurance policy that, just before the arrangement was made, was held by a complying superannuation fund; </w:t>
      </w:r>
      <w:r w:rsidR="00A6786A">
        <w:t xml:space="preserve">or </w:t>
      </w:r>
    </w:p>
    <w:p w14:paraId="1164696F" w14:textId="3C0FB77A" w:rsidR="00F53954" w:rsidRDefault="00F53954" w:rsidP="00F53954">
      <w:pPr>
        <w:pStyle w:val="dotpoint"/>
      </w:pPr>
      <w:proofErr w:type="gramStart"/>
      <w:r>
        <w:t>a</w:t>
      </w:r>
      <w:proofErr w:type="gramEnd"/>
      <w:r>
        <w:t xml:space="preserve"> </w:t>
      </w:r>
      <w:r w:rsidR="00A6786A">
        <w:t xml:space="preserve">trustee of </w:t>
      </w:r>
      <w:r w:rsidR="00880CD0">
        <w:t xml:space="preserve">a </w:t>
      </w:r>
      <w:r w:rsidR="00A6786A">
        <w:t>PST</w:t>
      </w:r>
      <w:r>
        <w:t xml:space="preserve"> that has issued units that, just before the arrangement was made, were held by a complying superannuation fund</w:t>
      </w:r>
      <w:r w:rsidR="00A6786A">
        <w:t xml:space="preserve">. </w:t>
      </w:r>
    </w:p>
    <w:p w14:paraId="7985FE87" w14:textId="542D90C1" w:rsidR="005A2006" w:rsidRPr="00A6786A" w:rsidRDefault="00A6786A" w:rsidP="00F53954">
      <w:pPr>
        <w:pStyle w:val="base-text-paragraphnonumbers"/>
        <w:rPr>
          <w:rStyle w:val="Referencingstyle"/>
          <w:b w:val="0"/>
          <w:i w:val="0"/>
          <w:sz w:val="22"/>
        </w:rPr>
      </w:pPr>
      <w:r>
        <w:rPr>
          <w:rStyle w:val="Referencingstyle"/>
        </w:rPr>
        <w:t>[Schedule #, item 6, paragraph 311</w:t>
      </w:r>
      <w:r>
        <w:rPr>
          <w:rStyle w:val="Referencingstyle"/>
        </w:rPr>
        <w:noBreakHyphen/>
      </w:r>
      <w:proofErr w:type="gramStart"/>
      <w:r>
        <w:rPr>
          <w:rStyle w:val="Referencingstyle"/>
        </w:rPr>
        <w:t>12(</w:t>
      </w:r>
      <w:proofErr w:type="gramEnd"/>
      <w:r>
        <w:rPr>
          <w:rStyle w:val="Referencingstyle"/>
        </w:rPr>
        <w:t>2)(d)]</w:t>
      </w:r>
    </w:p>
    <w:p w14:paraId="16E422D5" w14:textId="2A9BC003" w:rsidR="00DC307F" w:rsidRDefault="00F53954" w:rsidP="00D96D59">
      <w:pPr>
        <w:pStyle w:val="Heading4"/>
      </w:pPr>
      <w:r>
        <w:t xml:space="preserve">Condition two </w:t>
      </w:r>
      <w:r w:rsidR="00D96D59">
        <w:t xml:space="preserve">– accrued default amount must be transferred </w:t>
      </w:r>
    </w:p>
    <w:p w14:paraId="49B77145" w14:textId="72BB1003" w:rsidR="00D96D59" w:rsidRDefault="00D96D59" w:rsidP="008347FA">
      <w:pPr>
        <w:pStyle w:val="base-text-paragraph"/>
      </w:pPr>
      <w:r>
        <w:t xml:space="preserve">In order for the transferring entity to access </w:t>
      </w:r>
      <w:r w:rsidR="00F53954">
        <w:t xml:space="preserve">asset </w:t>
      </w:r>
      <w:r>
        <w:t>roll</w:t>
      </w:r>
      <w:r>
        <w:noBreakHyphen/>
        <w:t xml:space="preserve">over relief, an accrued default </w:t>
      </w:r>
      <w:r w:rsidR="003205D1">
        <w:t>amount</w:t>
      </w:r>
      <w:r>
        <w:t xml:space="preserve"> must be compulsorily transferred to a </w:t>
      </w:r>
      <w:proofErr w:type="spellStart"/>
      <w:r>
        <w:t>MySuper</w:t>
      </w:r>
      <w:proofErr w:type="spellEnd"/>
      <w:r>
        <w:t xml:space="preserve"> product offered by the same fund.</w:t>
      </w:r>
    </w:p>
    <w:p w14:paraId="7D385F9F" w14:textId="17C4A23A" w:rsidR="00095BFD" w:rsidRPr="00095BFD" w:rsidRDefault="00D96D59" w:rsidP="008347FA">
      <w:pPr>
        <w:pStyle w:val="base-text-paragraph"/>
        <w:rPr>
          <w:rStyle w:val="Referencingstyle"/>
          <w:b w:val="0"/>
          <w:i w:val="0"/>
          <w:sz w:val="22"/>
        </w:rPr>
      </w:pPr>
      <w:r>
        <w:t xml:space="preserve">The fund is required to </w:t>
      </w:r>
      <w:r w:rsidR="004D6952">
        <w:t xml:space="preserve">make the </w:t>
      </w:r>
      <w:r w:rsidRPr="00095BFD">
        <w:t xml:space="preserve">transfer </w:t>
      </w:r>
      <w:r w:rsidR="00095BFD">
        <w:t xml:space="preserve">if </w:t>
      </w:r>
      <w:r w:rsidR="003205D1">
        <w:t>it</w:t>
      </w:r>
      <w:r w:rsidR="00095BFD">
        <w:t xml:space="preserve"> offers a </w:t>
      </w:r>
      <w:proofErr w:type="spellStart"/>
      <w:r w:rsidR="00095BFD">
        <w:t>MySuper</w:t>
      </w:r>
      <w:proofErr w:type="spellEnd"/>
      <w:r w:rsidR="00095BFD">
        <w:t xml:space="preserve"> product and its default members are eligible to hold the </w:t>
      </w:r>
      <w:proofErr w:type="spellStart"/>
      <w:r w:rsidR="00095BFD">
        <w:t>MySuper</w:t>
      </w:r>
      <w:proofErr w:type="spellEnd"/>
      <w:r w:rsidR="00095BFD">
        <w:t xml:space="preserve"> product </w:t>
      </w:r>
      <w:r w:rsidR="00095BFD">
        <w:lastRenderedPageBreak/>
        <w:t>(see paragraph </w:t>
      </w:r>
      <w:proofErr w:type="gramStart"/>
      <w:r w:rsidR="00095BFD">
        <w:t>29SAA(</w:t>
      </w:r>
      <w:proofErr w:type="gramEnd"/>
      <w:r w:rsidR="00095BFD">
        <w:t xml:space="preserve">1)(a) of the </w:t>
      </w:r>
      <w:r w:rsidR="00095BFD">
        <w:rPr>
          <w:i/>
        </w:rPr>
        <w:t>Superannuation Industry (Supervision) Act 1993</w:t>
      </w:r>
      <w:r w:rsidR="001E3F24">
        <w:t xml:space="preserve"> (SIS Act)</w:t>
      </w:r>
      <w:r w:rsidR="00095BFD">
        <w:t xml:space="preserve">). </w:t>
      </w:r>
      <w:r w:rsidR="00095BFD">
        <w:rPr>
          <w:rStyle w:val="Referencingstyle"/>
        </w:rPr>
        <w:t>[Schedule #, item 6, subsection 311</w:t>
      </w:r>
      <w:r w:rsidR="00095BFD">
        <w:rPr>
          <w:rStyle w:val="Referencingstyle"/>
        </w:rPr>
        <w:noBreakHyphen/>
        <w:t>12(3)]</w:t>
      </w:r>
    </w:p>
    <w:p w14:paraId="170C7A7E" w14:textId="51408A1C" w:rsidR="00D96D59" w:rsidRDefault="00095BFD" w:rsidP="00095BFD">
      <w:pPr>
        <w:pStyle w:val="base-text-paragraph"/>
      </w:pPr>
      <w:r>
        <w:t>An accrue</w:t>
      </w:r>
      <w:r w:rsidR="0069360E">
        <w:t>d default amount is broadly the entire</w:t>
      </w:r>
      <w:r>
        <w:t xml:space="preserve"> balance of a member’s account where an investment choice has not been exercised or if it is held in a default investment option of the fund.  </w:t>
      </w:r>
    </w:p>
    <w:p w14:paraId="4C12C090" w14:textId="3E44A582" w:rsidR="001E3F24" w:rsidRDefault="001E3F24" w:rsidP="00095BFD">
      <w:pPr>
        <w:pStyle w:val="base-text-paragraph"/>
      </w:pPr>
      <w:r>
        <w:t xml:space="preserve">Accrued default amounts must be transferred to a </w:t>
      </w:r>
      <w:proofErr w:type="spellStart"/>
      <w:r>
        <w:t>MySuper</w:t>
      </w:r>
      <w:proofErr w:type="spellEnd"/>
      <w:r>
        <w:t xml:space="preserve"> product by 1 July 2017 (see s</w:t>
      </w:r>
      <w:r w:rsidR="00631572">
        <w:t>ubsection </w:t>
      </w:r>
      <w:proofErr w:type="gramStart"/>
      <w:r>
        <w:t>29SAA</w:t>
      </w:r>
      <w:r w:rsidR="00631572">
        <w:t>(</w:t>
      </w:r>
      <w:proofErr w:type="gramEnd"/>
      <w:r w:rsidR="00631572">
        <w:t>1)</w:t>
      </w:r>
      <w:r>
        <w:t xml:space="preserve"> and </w:t>
      </w:r>
      <w:r w:rsidR="00631572">
        <w:t>section </w:t>
      </w:r>
      <w:r>
        <w:t>388 of the SIS Act).</w:t>
      </w:r>
    </w:p>
    <w:p w14:paraId="054F60C8" w14:textId="77503030" w:rsidR="0069360E" w:rsidRDefault="0069360E" w:rsidP="0069360E">
      <w:pPr>
        <w:pStyle w:val="Heading4"/>
      </w:pPr>
      <w:r>
        <w:t xml:space="preserve">Condition three – </w:t>
      </w:r>
      <w:r w:rsidR="003205D1">
        <w:t xml:space="preserve">investment structures of </w:t>
      </w:r>
      <w:r>
        <w:t xml:space="preserve">default product and </w:t>
      </w:r>
      <w:proofErr w:type="spellStart"/>
      <w:r>
        <w:t>MySuper</w:t>
      </w:r>
      <w:proofErr w:type="spellEnd"/>
      <w:r>
        <w:t xml:space="preserve"> product m</w:t>
      </w:r>
      <w:r w:rsidR="003205D1">
        <w:t>ust be substantially the same</w:t>
      </w:r>
    </w:p>
    <w:p w14:paraId="77761365" w14:textId="7D047F8C" w:rsidR="0069360E" w:rsidRPr="005B5753" w:rsidRDefault="00F53954" w:rsidP="00095BFD">
      <w:pPr>
        <w:pStyle w:val="base-text-paragraph"/>
        <w:rPr>
          <w:rStyle w:val="Referencingstyle"/>
          <w:b w:val="0"/>
          <w:i w:val="0"/>
          <w:sz w:val="22"/>
        </w:rPr>
      </w:pPr>
      <w:r>
        <w:t xml:space="preserve">In order for the transferring entity to access asset </w:t>
      </w:r>
      <w:r w:rsidR="0069360E">
        <w:t>roll</w:t>
      </w:r>
      <w:r w:rsidR="0069360E">
        <w:noBreakHyphen/>
        <w:t>over relief</w:t>
      </w:r>
      <w:r>
        <w:t>,</w:t>
      </w:r>
      <w:r w:rsidR="005B5753">
        <w:t xml:space="preserve"> the investment structure of the default product </w:t>
      </w:r>
      <w:r w:rsidR="00927705">
        <w:t>to</w:t>
      </w:r>
      <w:r w:rsidR="005B5753">
        <w:t xml:space="preserve"> which </w:t>
      </w:r>
      <w:r w:rsidR="00E6297E">
        <w:t xml:space="preserve">the </w:t>
      </w:r>
      <w:r w:rsidR="005B5753">
        <w:t xml:space="preserve">accrued default amount </w:t>
      </w:r>
      <w:r w:rsidR="00927705">
        <w:t>is</w:t>
      </w:r>
      <w:r w:rsidR="005B5753">
        <w:t xml:space="preserve"> attributable </w:t>
      </w:r>
      <w:r>
        <w:t xml:space="preserve">must be </w:t>
      </w:r>
      <w:r w:rsidR="005B5753">
        <w:t xml:space="preserve">substantially the same as the investment structure of the </w:t>
      </w:r>
      <w:proofErr w:type="spellStart"/>
      <w:r w:rsidR="005B5753">
        <w:t>MySuper</w:t>
      </w:r>
      <w:proofErr w:type="spellEnd"/>
      <w:r w:rsidR="005B5753">
        <w:t xml:space="preserve"> product that the amount is transferred</w:t>
      </w:r>
      <w:r w:rsidR="00927705">
        <w:t xml:space="preserve"> to</w:t>
      </w:r>
      <w:r w:rsidR="005B5753">
        <w:t xml:space="preserve">. </w:t>
      </w:r>
      <w:r w:rsidR="005B5753">
        <w:rPr>
          <w:rStyle w:val="Referencingstyle"/>
        </w:rPr>
        <w:t>[Schedule #, item 6, subsection 311</w:t>
      </w:r>
      <w:r w:rsidR="005B5753">
        <w:rPr>
          <w:rStyle w:val="Referencingstyle"/>
        </w:rPr>
        <w:noBreakHyphen/>
        <w:t>12(4)]</w:t>
      </w:r>
    </w:p>
    <w:p w14:paraId="5AC22C94" w14:textId="19FDE077" w:rsidR="005B5753" w:rsidRDefault="00810262" w:rsidP="005B5753">
      <w:pPr>
        <w:pStyle w:val="base-text-paragraph"/>
      </w:pPr>
      <w:r>
        <w:t>This</w:t>
      </w:r>
      <w:r w:rsidR="005B5753">
        <w:t xml:space="preserve"> condition requires the default product and the </w:t>
      </w:r>
      <w:proofErr w:type="spellStart"/>
      <w:r w:rsidR="005B5753">
        <w:t>MySuper</w:t>
      </w:r>
      <w:proofErr w:type="spellEnd"/>
      <w:r w:rsidR="005B5753">
        <w:t xml:space="preserve"> product to invest in the same type of entities. </w:t>
      </w:r>
      <w:r>
        <w:t>That is</w:t>
      </w:r>
      <w:r w:rsidR="00F53954">
        <w:t>:</w:t>
      </w:r>
    </w:p>
    <w:p w14:paraId="0DFE40E6" w14:textId="10926774" w:rsidR="00F23294" w:rsidRDefault="00F53954" w:rsidP="00810262">
      <w:pPr>
        <w:pStyle w:val="dotpoint"/>
      </w:pPr>
      <w:r>
        <w:t xml:space="preserve">if the accrued default amount was invested </w:t>
      </w:r>
      <w:r w:rsidR="00D62305">
        <w:t>in a life insurance company —</w:t>
      </w:r>
      <w:r w:rsidR="00F23294">
        <w:t xml:space="preserve"> the fund must invest in a life insurance company to support its </w:t>
      </w:r>
      <w:proofErr w:type="spellStart"/>
      <w:r w:rsidR="00F23294">
        <w:t>MySuper</w:t>
      </w:r>
      <w:proofErr w:type="spellEnd"/>
      <w:r w:rsidR="00F23294">
        <w:t xml:space="preserve"> product;</w:t>
      </w:r>
    </w:p>
    <w:p w14:paraId="6DC08015" w14:textId="7F9BCF4E" w:rsidR="00F23294" w:rsidRDefault="00F53954" w:rsidP="00810262">
      <w:pPr>
        <w:pStyle w:val="dotpoint"/>
      </w:pPr>
      <w:r>
        <w:t xml:space="preserve">if the accrued default amount was invested </w:t>
      </w:r>
      <w:r w:rsidR="00F23294">
        <w:t xml:space="preserve">in a PST </w:t>
      </w:r>
      <w:r w:rsidR="00D62305">
        <w:t>—</w:t>
      </w:r>
      <w:r w:rsidR="00F23294">
        <w:t xml:space="preserve"> the fund must invest in a PST to support its </w:t>
      </w:r>
      <w:proofErr w:type="spellStart"/>
      <w:r w:rsidR="00F23294">
        <w:t>MySuper</w:t>
      </w:r>
      <w:proofErr w:type="spellEnd"/>
      <w:r w:rsidR="00F23294">
        <w:t xml:space="preserve"> product; or</w:t>
      </w:r>
    </w:p>
    <w:p w14:paraId="3C35322C" w14:textId="66A070CA" w:rsidR="00860F24" w:rsidRDefault="00F53954" w:rsidP="00860F24">
      <w:pPr>
        <w:pStyle w:val="dotpoint"/>
      </w:pPr>
      <w:proofErr w:type="gramStart"/>
      <w:r>
        <w:t>if</w:t>
      </w:r>
      <w:proofErr w:type="gramEnd"/>
      <w:r>
        <w:t xml:space="preserve"> the accrued default amount was invested </w:t>
      </w:r>
      <w:r w:rsidR="00810262">
        <w:t>directly by the fun</w:t>
      </w:r>
      <w:r w:rsidR="00F23294">
        <w:t xml:space="preserve">d </w:t>
      </w:r>
      <w:r w:rsidR="00D62305">
        <w:t>—</w:t>
      </w:r>
      <w:r w:rsidR="00F23294">
        <w:t xml:space="preserve"> the fund must directly invest the transferred amounts to support its </w:t>
      </w:r>
      <w:proofErr w:type="spellStart"/>
      <w:r w:rsidR="00F23294">
        <w:t>MySuper</w:t>
      </w:r>
      <w:proofErr w:type="spellEnd"/>
      <w:r w:rsidR="00F23294">
        <w:t xml:space="preserve"> product without investing in a life insurance company or a PST.</w:t>
      </w:r>
    </w:p>
    <w:p w14:paraId="5FD28BB6" w14:textId="77777777" w:rsidR="00860F24" w:rsidRDefault="00860F24" w:rsidP="00860F24">
      <w:pPr>
        <w:pStyle w:val="ExampleHeading"/>
      </w:pPr>
    </w:p>
    <w:p w14:paraId="2B46BB21" w14:textId="36C11280" w:rsidR="00860F24" w:rsidRDefault="0057494D" w:rsidP="0057494D">
      <w:pPr>
        <w:pStyle w:val="exampletext"/>
      </w:pPr>
      <w:proofErr w:type="spellStart"/>
      <w:r>
        <w:t>Malama</w:t>
      </w:r>
      <w:proofErr w:type="spellEnd"/>
      <w:r>
        <w:t xml:space="preserve"> Super </w:t>
      </w:r>
      <w:r w:rsidR="00C90828">
        <w:t>holds</w:t>
      </w:r>
      <w:r>
        <w:t xml:space="preserve"> a complying superannuation life insurance policy </w:t>
      </w:r>
      <w:r w:rsidR="00C90828">
        <w:t>issued by</w:t>
      </w:r>
      <w:r>
        <w:t xml:space="preserve"> </w:t>
      </w:r>
      <w:r w:rsidR="00C90828">
        <w:t>Life Co</w:t>
      </w:r>
      <w:r>
        <w:t xml:space="preserve"> to support members in</w:t>
      </w:r>
      <w:r w:rsidR="00E96257">
        <w:t>vesting in</w:t>
      </w:r>
      <w:r>
        <w:t xml:space="preserve"> its default product.</w:t>
      </w:r>
      <w:r w:rsidR="00E71BEB">
        <w:t xml:space="preserve"> </w:t>
      </w:r>
      <w:r w:rsidR="00532697">
        <w:t xml:space="preserve">Life Co uses the premiums </w:t>
      </w:r>
      <w:r w:rsidR="00CB13F3">
        <w:t>received</w:t>
      </w:r>
      <w:r w:rsidR="006F330B">
        <w:t xml:space="preserve"> for</w:t>
      </w:r>
      <w:r w:rsidR="00532697">
        <w:t xml:space="preserve"> the life insurance policy to acquire </w:t>
      </w:r>
      <w:r w:rsidR="006F330B">
        <w:t>various assets</w:t>
      </w:r>
      <w:r w:rsidR="00227643">
        <w:t>.</w:t>
      </w:r>
    </w:p>
    <w:p w14:paraId="546C7C28" w14:textId="178BB5E0" w:rsidR="0057494D" w:rsidRDefault="0057494D" w:rsidP="0057494D">
      <w:pPr>
        <w:pStyle w:val="exampletext"/>
      </w:pPr>
      <w:r>
        <w:t xml:space="preserve">As a result of the </w:t>
      </w:r>
      <w:proofErr w:type="spellStart"/>
      <w:r>
        <w:t>MySuper</w:t>
      </w:r>
      <w:proofErr w:type="spellEnd"/>
      <w:r>
        <w:t xml:space="preserve"> reforms, </w:t>
      </w:r>
      <w:proofErr w:type="spellStart"/>
      <w:r>
        <w:t>Malama</w:t>
      </w:r>
      <w:proofErr w:type="spellEnd"/>
      <w:r>
        <w:t xml:space="preserve"> Super dec</w:t>
      </w:r>
      <w:r w:rsidR="003C6D5E">
        <w:t>ides</w:t>
      </w:r>
      <w:r w:rsidR="00C90828">
        <w:t xml:space="preserve"> to offer a </w:t>
      </w:r>
      <w:proofErr w:type="spellStart"/>
      <w:r w:rsidR="00C90828">
        <w:t>MySuper</w:t>
      </w:r>
      <w:proofErr w:type="spellEnd"/>
      <w:r w:rsidR="00C90828">
        <w:t xml:space="preserve"> product</w:t>
      </w:r>
      <w:r w:rsidR="003C6D5E">
        <w:t xml:space="preserve"> and determines that all members investing in its default product </w:t>
      </w:r>
      <w:r w:rsidR="008075E1">
        <w:t>are</w:t>
      </w:r>
      <w:r w:rsidR="003C6D5E">
        <w:t xml:space="preserve"> eligible to hold the </w:t>
      </w:r>
      <w:proofErr w:type="spellStart"/>
      <w:r w:rsidR="003C6D5E">
        <w:t>MySuper</w:t>
      </w:r>
      <w:proofErr w:type="spellEnd"/>
      <w:r w:rsidR="003C6D5E">
        <w:t xml:space="preserve"> product.</w:t>
      </w:r>
      <w:r w:rsidR="00E96257">
        <w:t xml:space="preserve"> </w:t>
      </w:r>
      <w:proofErr w:type="spellStart"/>
      <w:r w:rsidR="00E96257">
        <w:t>Malama</w:t>
      </w:r>
      <w:proofErr w:type="spellEnd"/>
      <w:r w:rsidR="00E96257">
        <w:t xml:space="preserve"> Super intends </w:t>
      </w:r>
      <w:r w:rsidR="008075E1">
        <w:t xml:space="preserve">to </w:t>
      </w:r>
      <w:r w:rsidR="00B07E68">
        <w:t xml:space="preserve">acquire units in Rock Trust (a PST) using </w:t>
      </w:r>
      <w:r w:rsidR="008075E1">
        <w:t xml:space="preserve">amounts in the </w:t>
      </w:r>
      <w:proofErr w:type="spellStart"/>
      <w:r w:rsidR="008075E1">
        <w:t>MySuper</w:t>
      </w:r>
      <w:proofErr w:type="spellEnd"/>
      <w:r w:rsidR="008075E1">
        <w:t xml:space="preserve"> product</w:t>
      </w:r>
      <w:r w:rsidR="00E96257">
        <w:t xml:space="preserve"> rather than acquire another life insurance policy.</w:t>
      </w:r>
    </w:p>
    <w:p w14:paraId="2B51C1CB" w14:textId="5BABD23F" w:rsidR="00C90828" w:rsidRDefault="00C90828" w:rsidP="0057494D">
      <w:pPr>
        <w:pStyle w:val="exampletext"/>
      </w:pPr>
      <w:r>
        <w:lastRenderedPageBreak/>
        <w:t xml:space="preserve">On 19 September 2016, </w:t>
      </w:r>
      <w:proofErr w:type="spellStart"/>
      <w:r>
        <w:t>Malama</w:t>
      </w:r>
      <w:proofErr w:type="spellEnd"/>
      <w:r>
        <w:t xml:space="preserve"> Super transfers the accrued default amounts of </w:t>
      </w:r>
      <w:r w:rsidR="00B07E68">
        <w:t xml:space="preserve">its </w:t>
      </w:r>
      <w:r w:rsidR="008075E1">
        <w:t xml:space="preserve">members to its </w:t>
      </w:r>
      <w:proofErr w:type="spellStart"/>
      <w:r w:rsidR="008075E1">
        <w:t>MySuper</w:t>
      </w:r>
      <w:proofErr w:type="spellEnd"/>
      <w:r w:rsidR="008075E1">
        <w:t xml:space="preserve"> product. </w:t>
      </w:r>
      <w:r w:rsidR="006F330B">
        <w:t>It is agreed that Life</w:t>
      </w:r>
      <w:r w:rsidR="00F53954">
        <w:t> </w:t>
      </w:r>
      <w:r w:rsidR="006F330B">
        <w:t xml:space="preserve">Co will transfer the assets supporting the life insurance policy to Rock Trust as consideration </w:t>
      </w:r>
      <w:r w:rsidR="00F715FA">
        <w:t xml:space="preserve">for the </w:t>
      </w:r>
      <w:r w:rsidR="00F005D6" w:rsidRPr="00F005D6">
        <w:t>redemption</w:t>
      </w:r>
      <w:r w:rsidR="00F715FA">
        <w:t xml:space="preserve"> of the life insurance policy. </w:t>
      </w:r>
      <w:r w:rsidR="00227643">
        <w:t xml:space="preserve"> </w:t>
      </w:r>
      <w:r w:rsidR="00532697">
        <w:t xml:space="preserve"> </w:t>
      </w:r>
    </w:p>
    <w:p w14:paraId="5B90F19D" w14:textId="5A5598A6" w:rsidR="008075E1" w:rsidRDefault="00532697" w:rsidP="0057494D">
      <w:pPr>
        <w:pStyle w:val="exampletext"/>
      </w:pPr>
      <w:r>
        <w:t xml:space="preserve">Life Co would </w:t>
      </w:r>
      <w:r w:rsidR="006F330B">
        <w:t xml:space="preserve">not be eligible </w:t>
      </w:r>
      <w:r w:rsidR="00F715FA">
        <w:t>for an asset roll</w:t>
      </w:r>
      <w:r w:rsidR="00F715FA">
        <w:noBreakHyphen/>
        <w:t xml:space="preserve">over for </w:t>
      </w:r>
      <w:r w:rsidR="00CB13F3">
        <w:t xml:space="preserve">the assets transferred to Rock Trust, as the investment structure of the default product and the </w:t>
      </w:r>
      <w:proofErr w:type="spellStart"/>
      <w:r w:rsidR="00CB13F3">
        <w:t>MySuper</w:t>
      </w:r>
      <w:proofErr w:type="spellEnd"/>
      <w:r w:rsidR="00CB13F3">
        <w:t xml:space="preserve"> product are not substantially the </w:t>
      </w:r>
      <w:proofErr w:type="gramStart"/>
      <w:r w:rsidR="00CB13F3">
        <w:t>same.</w:t>
      </w:r>
      <w:proofErr w:type="gramEnd"/>
      <w:r w:rsidR="00CB13F3">
        <w:t xml:space="preserve"> Life Co would be subject to the income tax consequences for the </w:t>
      </w:r>
      <w:r w:rsidR="0084597E">
        <w:t>transfer</w:t>
      </w:r>
      <w:r w:rsidR="00CB13F3">
        <w:t xml:space="preserve"> of those assets. </w:t>
      </w:r>
    </w:p>
    <w:p w14:paraId="2B709A7C" w14:textId="77777777" w:rsidR="00860F24" w:rsidRDefault="00860F24" w:rsidP="00860F24">
      <w:pPr>
        <w:pStyle w:val="base-text-paragraph"/>
      </w:pPr>
      <w:r>
        <w:t xml:space="preserve">The condition does not require the number of entities involved in the chain of investment to be the same. In transitioning to a </w:t>
      </w:r>
      <w:proofErr w:type="spellStart"/>
      <w:r>
        <w:t>MySuper</w:t>
      </w:r>
      <w:proofErr w:type="spellEnd"/>
      <w:r>
        <w:t xml:space="preserve"> product, the fund may consider the number of entities through which it invests and rationalise the number of interposed entities.</w:t>
      </w:r>
    </w:p>
    <w:p w14:paraId="449F8DB7" w14:textId="1C48AE81" w:rsidR="00767463" w:rsidRDefault="00860F24" w:rsidP="00860F24">
      <w:pPr>
        <w:pStyle w:val="base-text-paragraph"/>
      </w:pPr>
      <w:r>
        <w:t xml:space="preserve"> </w:t>
      </w:r>
      <w:r w:rsidR="00926475">
        <w:t xml:space="preserve">Although satisfying this condition does not require a </w:t>
      </w:r>
      <w:proofErr w:type="spellStart"/>
      <w:r w:rsidR="00926475">
        <w:t>MySuper</w:t>
      </w:r>
      <w:proofErr w:type="spellEnd"/>
      <w:r w:rsidR="00926475">
        <w:t xml:space="preserve"> product to replicate the investment structure of a default product</w:t>
      </w:r>
      <w:r w:rsidR="00767463">
        <w:t xml:space="preserve">, any difference between the investment structure of the default product and the </w:t>
      </w:r>
      <w:proofErr w:type="spellStart"/>
      <w:r w:rsidR="00767463">
        <w:t>MySuper</w:t>
      </w:r>
      <w:proofErr w:type="spellEnd"/>
      <w:r w:rsidR="00767463">
        <w:t xml:space="preserve"> product must be necessary to facilitate the mandatory tr</w:t>
      </w:r>
      <w:r w:rsidR="00927705">
        <w:t>ansfer of accrued default amount</w:t>
      </w:r>
      <w:r w:rsidR="00E6297E">
        <w:t>s</w:t>
      </w:r>
      <w:r w:rsidR="00927705">
        <w:t xml:space="preserve"> to the </w:t>
      </w:r>
      <w:proofErr w:type="spellStart"/>
      <w:r w:rsidR="00927705">
        <w:t>MySuper</w:t>
      </w:r>
      <w:proofErr w:type="spellEnd"/>
      <w:r w:rsidR="00927705">
        <w:t xml:space="preserve"> product</w:t>
      </w:r>
      <w:r w:rsidR="001275D9">
        <w:t>. For example</w:t>
      </w:r>
      <w:r w:rsidR="001275D9" w:rsidRPr="001275D9">
        <w:t xml:space="preserve">, </w:t>
      </w:r>
      <w:r w:rsidR="00926475" w:rsidRPr="001275D9">
        <w:t xml:space="preserve">the </w:t>
      </w:r>
      <w:r w:rsidR="003205D1">
        <w:t xml:space="preserve">condition will be satisfied if the </w:t>
      </w:r>
      <w:r w:rsidR="00926475" w:rsidRPr="001275D9">
        <w:t xml:space="preserve">difference in investment structure is </w:t>
      </w:r>
      <w:r w:rsidR="003205D1">
        <w:t xml:space="preserve">necessary </w:t>
      </w:r>
      <w:r w:rsidR="00926475" w:rsidRPr="001275D9">
        <w:t xml:space="preserve">for the product to satisfy the requirements to be a </w:t>
      </w:r>
      <w:proofErr w:type="spellStart"/>
      <w:r w:rsidR="00926475" w:rsidRPr="001275D9">
        <w:t>MySuper</w:t>
      </w:r>
      <w:proofErr w:type="spellEnd"/>
      <w:r w:rsidR="00926475" w:rsidRPr="001275D9">
        <w:t xml:space="preserve"> product</w:t>
      </w:r>
      <w:r w:rsidR="001275D9" w:rsidRPr="001275D9">
        <w:t xml:space="preserve"> under Part 2C of the SIS Act</w:t>
      </w:r>
      <w:r w:rsidR="00926475" w:rsidRPr="001275D9">
        <w:t>.</w:t>
      </w:r>
    </w:p>
    <w:p w14:paraId="4948DBA9" w14:textId="77777777" w:rsidR="00767463" w:rsidRDefault="00767463" w:rsidP="00767463">
      <w:pPr>
        <w:pStyle w:val="ExampleHeading"/>
      </w:pPr>
    </w:p>
    <w:p w14:paraId="6DD7B534" w14:textId="1A2BA151" w:rsidR="006F15D4" w:rsidRDefault="0084597E" w:rsidP="00631572">
      <w:pPr>
        <w:pStyle w:val="exampletext"/>
      </w:pPr>
      <w:proofErr w:type="spellStart"/>
      <w:r w:rsidRPr="0084597E">
        <w:t>Aumakua</w:t>
      </w:r>
      <w:proofErr w:type="spellEnd"/>
      <w:r>
        <w:t xml:space="preserve"> Super holds units in </w:t>
      </w:r>
      <w:r w:rsidR="006F15D4">
        <w:t>Michelangelo Trust</w:t>
      </w:r>
      <w:r>
        <w:t xml:space="preserve"> to support the members in</w:t>
      </w:r>
      <w:r w:rsidR="006F15D4">
        <w:t>vesting in</w:t>
      </w:r>
      <w:r>
        <w:t xml:space="preserve"> its default product.</w:t>
      </w:r>
      <w:r w:rsidR="006F15D4">
        <w:t xml:space="preserve"> </w:t>
      </w:r>
    </w:p>
    <w:p w14:paraId="0277BB96" w14:textId="668E8826" w:rsidR="00EA1346" w:rsidRDefault="006F15D4" w:rsidP="00631572">
      <w:pPr>
        <w:pStyle w:val="exampletext"/>
      </w:pPr>
      <w:r>
        <w:t>Mich</w:t>
      </w:r>
      <w:r w:rsidR="00A86CA1">
        <w:t>el</w:t>
      </w:r>
      <w:r>
        <w:t xml:space="preserve">angelo Trust </w:t>
      </w:r>
      <w:r w:rsidR="00AD3719">
        <w:t>holds</w:t>
      </w:r>
      <w:r>
        <w:t xml:space="preserve"> units in Donatello Trust</w:t>
      </w:r>
      <w:r w:rsidR="00EA1346">
        <w:t xml:space="preserve">, which </w:t>
      </w:r>
      <w:r w:rsidR="00AD3719">
        <w:t>holds</w:t>
      </w:r>
      <w:r w:rsidR="00EA1346">
        <w:t xml:space="preserve"> units in Raphael Trust. Raphael Trust indirectly holds a diversified portfolio of assets through Leonardo Trust. All those</w:t>
      </w:r>
      <w:r w:rsidR="00AD3719">
        <w:t xml:space="preserve"> trusts are wholly owned and are not PSTs</w:t>
      </w:r>
      <w:r w:rsidR="00F53954">
        <w:t>. Consequently</w:t>
      </w:r>
      <w:r w:rsidR="00AD3719">
        <w:t xml:space="preserve">, Leonardo Trust is indirectly wholly owned by </w:t>
      </w:r>
      <w:proofErr w:type="spellStart"/>
      <w:r w:rsidR="00AD3719">
        <w:t>Aumakua</w:t>
      </w:r>
      <w:proofErr w:type="spellEnd"/>
      <w:r w:rsidR="00AD3719">
        <w:t xml:space="preserve"> Super and the assets in the diversified portfolio are attributable to the acc</w:t>
      </w:r>
      <w:r w:rsidR="00662755">
        <w:t xml:space="preserve">rued default amounts of </w:t>
      </w:r>
      <w:proofErr w:type="spellStart"/>
      <w:r w:rsidR="00662755">
        <w:t>Aumakua</w:t>
      </w:r>
      <w:proofErr w:type="spellEnd"/>
      <w:r w:rsidR="00662755">
        <w:t> </w:t>
      </w:r>
      <w:r w:rsidR="00AD3719">
        <w:t>Super members.</w:t>
      </w:r>
    </w:p>
    <w:p w14:paraId="71077F77" w14:textId="77777777" w:rsidR="00AD3719" w:rsidRDefault="00EA1346" w:rsidP="00EA1346">
      <w:pPr>
        <w:pStyle w:val="exampletext"/>
      </w:pPr>
      <w:r>
        <w:t xml:space="preserve">As a result of the </w:t>
      </w:r>
      <w:proofErr w:type="spellStart"/>
      <w:r>
        <w:t>MySuper</w:t>
      </w:r>
      <w:proofErr w:type="spellEnd"/>
      <w:r>
        <w:t xml:space="preserve"> reforms, </w:t>
      </w:r>
      <w:proofErr w:type="spellStart"/>
      <w:r>
        <w:t>Aumakua</w:t>
      </w:r>
      <w:proofErr w:type="spellEnd"/>
      <w:r>
        <w:t xml:space="preserve"> Super decides to offer a </w:t>
      </w:r>
      <w:proofErr w:type="spellStart"/>
      <w:r>
        <w:t>MySuper</w:t>
      </w:r>
      <w:proofErr w:type="spellEnd"/>
      <w:r>
        <w:t xml:space="preserve"> product and determines that all members investing in its default product are eligible to hold the </w:t>
      </w:r>
      <w:proofErr w:type="spellStart"/>
      <w:r>
        <w:t>MySuper</w:t>
      </w:r>
      <w:proofErr w:type="spellEnd"/>
      <w:r>
        <w:t xml:space="preserve"> product. </w:t>
      </w:r>
    </w:p>
    <w:p w14:paraId="7551B400" w14:textId="3F3DEF71" w:rsidR="00EA1346" w:rsidRDefault="00AD3719" w:rsidP="00EA1346">
      <w:pPr>
        <w:pStyle w:val="exampletext"/>
      </w:pPr>
      <w:r>
        <w:t>In order to comply with t</w:t>
      </w:r>
      <w:r w:rsidR="00FA0F15">
        <w:t xml:space="preserve">he </w:t>
      </w:r>
      <w:proofErr w:type="spellStart"/>
      <w:r w:rsidR="00FA0F15">
        <w:t>MySuper</w:t>
      </w:r>
      <w:proofErr w:type="spellEnd"/>
      <w:r w:rsidR="00FA0F15">
        <w:t xml:space="preserve"> rules of ensuring a lower fee structure, </w:t>
      </w:r>
      <w:proofErr w:type="spellStart"/>
      <w:r w:rsidR="00FA0F15">
        <w:t>Aumakua</w:t>
      </w:r>
      <w:proofErr w:type="spellEnd"/>
      <w:r w:rsidR="00FA0F15">
        <w:t xml:space="preserve"> Super intends to acquire </w:t>
      </w:r>
      <w:r w:rsidR="00F35A22">
        <w:t xml:space="preserve">all </w:t>
      </w:r>
      <w:r w:rsidR="00FA0F15">
        <w:t>units in Zen Trust</w:t>
      </w:r>
      <w:r w:rsidR="003205D1">
        <w:t>. Zen Trust (which is not a PST) would</w:t>
      </w:r>
      <w:r w:rsidR="00FA0F15">
        <w:t xml:space="preserve"> </w:t>
      </w:r>
      <w:r w:rsidR="00A86CA1">
        <w:t>h</w:t>
      </w:r>
      <w:r w:rsidR="00F35A22">
        <w:t>old</w:t>
      </w:r>
      <w:r w:rsidR="00FA0F15">
        <w:t xml:space="preserve"> a diversified portfolio of assets, to support </w:t>
      </w:r>
      <w:r w:rsidR="00A86CA1">
        <w:t>the</w:t>
      </w:r>
      <w:r w:rsidR="00FA0F15">
        <w:t xml:space="preserve"> members investing in the </w:t>
      </w:r>
      <w:proofErr w:type="spellStart"/>
      <w:r w:rsidR="00FA0F15">
        <w:t>MySuper</w:t>
      </w:r>
      <w:proofErr w:type="spellEnd"/>
      <w:r w:rsidR="00FA0F15">
        <w:t xml:space="preserve"> product.</w:t>
      </w:r>
      <w:r w:rsidR="003205D1">
        <w:t xml:space="preserve"> </w:t>
      </w:r>
    </w:p>
    <w:p w14:paraId="04017E64" w14:textId="65541FD7" w:rsidR="00FA0F15" w:rsidRDefault="00FA0F15" w:rsidP="00FA0F15">
      <w:pPr>
        <w:pStyle w:val="exampletext"/>
      </w:pPr>
      <w:r>
        <w:t xml:space="preserve">On 27 September 2016, </w:t>
      </w:r>
      <w:proofErr w:type="spellStart"/>
      <w:r>
        <w:t>Aumakua</w:t>
      </w:r>
      <w:proofErr w:type="spellEnd"/>
      <w:r>
        <w:t xml:space="preserve"> Super transfers the accrued default amounts of its members to its </w:t>
      </w:r>
      <w:proofErr w:type="spellStart"/>
      <w:r>
        <w:t>MySuper</w:t>
      </w:r>
      <w:proofErr w:type="spellEnd"/>
      <w:r>
        <w:t xml:space="preserve"> product. It is agreed that </w:t>
      </w:r>
      <w:r>
        <w:lastRenderedPageBreak/>
        <w:t>Leonardo Trust will transfer the assets attributable to the accrued default amount</w:t>
      </w:r>
      <w:r w:rsidR="003205D1">
        <w:t>s</w:t>
      </w:r>
      <w:r>
        <w:t xml:space="preserve"> to Zen Trust, as consideration for the redemption of its units by </w:t>
      </w:r>
      <w:r w:rsidR="00A86CA1">
        <w:t xml:space="preserve">Raphael Trust prompted by </w:t>
      </w:r>
      <w:proofErr w:type="spellStart"/>
      <w:r w:rsidR="00A86CA1">
        <w:t>Aumakua</w:t>
      </w:r>
      <w:proofErr w:type="spellEnd"/>
      <w:r w:rsidR="00A86CA1">
        <w:t xml:space="preserve"> Super redeeming its unit</w:t>
      </w:r>
      <w:r w:rsidR="00E6297E">
        <w:t>s</w:t>
      </w:r>
      <w:r w:rsidR="00A86CA1">
        <w:t xml:space="preserve"> in Michelangelo Trust </w:t>
      </w:r>
      <w:r w:rsidR="00662755">
        <w:t>(</w:t>
      </w:r>
      <w:r w:rsidR="00A86CA1">
        <w:t xml:space="preserve">which triggered a flow on effect </w:t>
      </w:r>
      <w:r w:rsidR="00F35A22">
        <w:t>on</w:t>
      </w:r>
      <w:r w:rsidR="00A86CA1">
        <w:t xml:space="preserve"> Donatello Trust and Raphael Trust</w:t>
      </w:r>
      <w:r w:rsidR="00662755">
        <w:t>)</w:t>
      </w:r>
      <w:r w:rsidR="00A86CA1">
        <w:t>.</w:t>
      </w:r>
    </w:p>
    <w:p w14:paraId="485A6A44" w14:textId="5E666C19" w:rsidR="00FA0F15" w:rsidRDefault="00A86CA1" w:rsidP="00FA0F15">
      <w:pPr>
        <w:pStyle w:val="exampletext"/>
      </w:pPr>
      <w:r>
        <w:t>Leonardo Trust</w:t>
      </w:r>
      <w:r w:rsidR="00FA0F15">
        <w:t xml:space="preserve"> </w:t>
      </w:r>
      <w:r>
        <w:t>can choose</w:t>
      </w:r>
      <w:r w:rsidR="00FA0F15">
        <w:t xml:space="preserve"> an asset roll</w:t>
      </w:r>
      <w:r w:rsidR="00FA0F15">
        <w:noBreakHyphen/>
        <w:t xml:space="preserve">over for the assets transferred to </w:t>
      </w:r>
      <w:r>
        <w:t>Zen</w:t>
      </w:r>
      <w:r w:rsidR="00FA0F15">
        <w:t xml:space="preserve"> Trust, as the investment structure of the default product and the </w:t>
      </w:r>
      <w:proofErr w:type="spellStart"/>
      <w:r w:rsidR="00FA0F15">
        <w:t>MySuper</w:t>
      </w:r>
      <w:proofErr w:type="spellEnd"/>
      <w:r w:rsidR="00FA0F15">
        <w:t xml:space="preserve"> product are substantially the same</w:t>
      </w:r>
      <w:r>
        <w:t>, despite the reduction in the number of interposed trusts in the structure.</w:t>
      </w:r>
    </w:p>
    <w:p w14:paraId="53DC1B71" w14:textId="58CA560D" w:rsidR="00767463" w:rsidRPr="00804BFA" w:rsidRDefault="00662755" w:rsidP="00767463">
      <w:pPr>
        <w:pStyle w:val="base-text-paragraph"/>
      </w:pPr>
      <w:r>
        <w:t>Under</w:t>
      </w:r>
      <w:r w:rsidR="0031637C" w:rsidRPr="00804BFA">
        <w:t xml:space="preserve"> the </w:t>
      </w:r>
      <w:r>
        <w:t xml:space="preserve">substantially the same investment structure </w:t>
      </w:r>
      <w:r w:rsidR="0031637C" w:rsidRPr="00804BFA">
        <w:t>condition</w:t>
      </w:r>
      <w:r>
        <w:t>,</w:t>
      </w:r>
      <w:r w:rsidR="0031637C" w:rsidRPr="00804BFA">
        <w:t xml:space="preserve"> the proportion of investment in particular types of entities </w:t>
      </w:r>
      <w:r>
        <w:t>must</w:t>
      </w:r>
      <w:r w:rsidRPr="00804BFA">
        <w:t xml:space="preserve"> </w:t>
      </w:r>
      <w:r w:rsidR="0031637C" w:rsidRPr="00804BFA">
        <w:t>remain</w:t>
      </w:r>
      <w:r w:rsidR="003205D1">
        <w:t xml:space="preserve"> substantially</w:t>
      </w:r>
      <w:r w:rsidR="0031637C" w:rsidRPr="00804BFA">
        <w:t xml:space="preserve"> the same. That is, if a quarter of the accrued default amount was invested directly by the fund and the remaining portion is invested in a PST, to satisfy this condition a quarter of the amount transferred must be invested directly by the fund</w:t>
      </w:r>
      <w:r w:rsidR="00804BFA" w:rsidRPr="00804BFA">
        <w:t xml:space="preserve"> and the remaining amount must be invested in a PST.</w:t>
      </w:r>
      <w:r w:rsidR="00F005D6">
        <w:t xml:space="preserve"> </w:t>
      </w:r>
    </w:p>
    <w:p w14:paraId="42E1D4CC" w14:textId="183FD930" w:rsidR="00767463" w:rsidRDefault="00767463" w:rsidP="00767463">
      <w:pPr>
        <w:pStyle w:val="Heading4"/>
      </w:pPr>
      <w:r>
        <w:t xml:space="preserve">Condition four – </w:t>
      </w:r>
      <w:r w:rsidR="00631572">
        <w:t>account balances must be transferred within certain time period</w:t>
      </w:r>
    </w:p>
    <w:p w14:paraId="0CC45194" w14:textId="6A89F542" w:rsidR="00767463" w:rsidRPr="00631572" w:rsidRDefault="00767463" w:rsidP="00767463">
      <w:pPr>
        <w:pStyle w:val="base-text-paragraph"/>
        <w:rPr>
          <w:rStyle w:val="Referencingstyle"/>
          <w:b w:val="0"/>
          <w:i w:val="0"/>
          <w:sz w:val="22"/>
        </w:rPr>
      </w:pPr>
      <w:r>
        <w:t>The accrued default amounts must have been transferred between 29 June 2015 and 1 July 2017. These dates are consistent with the Government’s announcement for the extension of the roll</w:t>
      </w:r>
      <w:r>
        <w:noBreakHyphen/>
        <w:t xml:space="preserve">over relief to transfers within a fund and the deadline for </w:t>
      </w:r>
      <w:r w:rsidR="00631572">
        <w:t xml:space="preserve">the </w:t>
      </w:r>
      <w:r>
        <w:t xml:space="preserve">transfer of a default member’s accrued default amount to a </w:t>
      </w:r>
      <w:proofErr w:type="spellStart"/>
      <w:r>
        <w:t>MySuper</w:t>
      </w:r>
      <w:proofErr w:type="spellEnd"/>
      <w:r>
        <w:t xml:space="preserve"> product. </w:t>
      </w:r>
      <w:r>
        <w:rPr>
          <w:rStyle w:val="Referencingstyle"/>
        </w:rPr>
        <w:t>[Schedule #, item 6,</w:t>
      </w:r>
      <w:r w:rsidR="001E3F24">
        <w:rPr>
          <w:rStyle w:val="Referencingstyle"/>
        </w:rPr>
        <w:t xml:space="preserve"> subsection 311-12(5)]</w:t>
      </w:r>
    </w:p>
    <w:p w14:paraId="7804C86D" w14:textId="2B6BEA24" w:rsidR="00631572" w:rsidRDefault="00631572" w:rsidP="00631572">
      <w:pPr>
        <w:pStyle w:val="Heading3"/>
      </w:pPr>
      <w:r>
        <w:t>Choosing the asset roll</w:t>
      </w:r>
      <w:r>
        <w:noBreakHyphen/>
        <w:t>over</w:t>
      </w:r>
    </w:p>
    <w:p w14:paraId="41EFE689" w14:textId="5D15ED59" w:rsidR="00631572" w:rsidRPr="0092403D" w:rsidRDefault="005B4BC1" w:rsidP="0092403D">
      <w:pPr>
        <w:pStyle w:val="base-text-paragraph"/>
        <w:rPr>
          <w:rStyle w:val="Referencingstyle"/>
          <w:b w:val="0"/>
          <w:i w:val="0"/>
          <w:sz w:val="22"/>
        </w:rPr>
      </w:pPr>
      <w:r>
        <w:t>If a</w:t>
      </w:r>
      <w:r w:rsidR="00631572">
        <w:t xml:space="preserve"> </w:t>
      </w:r>
      <w:r w:rsidR="0092403D">
        <w:t>trustee of a complying superannuation fund, a life insurance company or a trustee of a trust</w:t>
      </w:r>
      <w:r w:rsidR="00631572">
        <w:t xml:space="preserve"> </w:t>
      </w:r>
      <w:r>
        <w:t xml:space="preserve">meets the four key conditions outlined above, they </w:t>
      </w:r>
      <w:r w:rsidR="00631572">
        <w:t>may ch</w:t>
      </w:r>
      <w:r w:rsidR="00926475">
        <w:t xml:space="preserve">oose a </w:t>
      </w:r>
      <w:r w:rsidR="00FF711C">
        <w:t>CGT</w:t>
      </w:r>
      <w:r w:rsidR="00926475">
        <w:t xml:space="preserve"> </w:t>
      </w:r>
      <w:r w:rsidR="00E65392">
        <w:t>and</w:t>
      </w:r>
      <w:r w:rsidR="00631572">
        <w:t xml:space="preserve"> revenue asset roll</w:t>
      </w:r>
      <w:r w:rsidR="00631572">
        <w:noBreakHyphen/>
        <w:t>over for each asset that i</w:t>
      </w:r>
      <w:r w:rsidR="0092403D">
        <w:t xml:space="preserve">s transferred to entities supporting a </w:t>
      </w:r>
      <w:proofErr w:type="spellStart"/>
      <w:r w:rsidR="0092403D">
        <w:t>MySuper</w:t>
      </w:r>
      <w:proofErr w:type="spellEnd"/>
      <w:r w:rsidR="0092403D">
        <w:t xml:space="preserve"> product</w:t>
      </w:r>
      <w:r w:rsidR="00631572">
        <w:t>.</w:t>
      </w:r>
      <w:r w:rsidR="0092403D">
        <w:t xml:space="preserve"> </w:t>
      </w:r>
      <w:r w:rsidR="0092403D">
        <w:rPr>
          <w:rStyle w:val="Referencingstyle"/>
        </w:rPr>
        <w:t>[Schedule #, item</w:t>
      </w:r>
      <w:r w:rsidR="00FF711C">
        <w:rPr>
          <w:rStyle w:val="Referencingstyle"/>
        </w:rPr>
        <w:t>s </w:t>
      </w:r>
      <w:r w:rsidR="0092403D">
        <w:rPr>
          <w:rStyle w:val="Referencingstyle"/>
        </w:rPr>
        <w:t>6</w:t>
      </w:r>
      <w:r w:rsidR="00FF711C">
        <w:rPr>
          <w:rStyle w:val="Referencingstyle"/>
        </w:rPr>
        <w:t xml:space="preserve"> and 15</w:t>
      </w:r>
      <w:r w:rsidR="0092403D">
        <w:rPr>
          <w:rStyle w:val="Referencingstyle"/>
        </w:rPr>
        <w:t>, subsection</w:t>
      </w:r>
      <w:r w:rsidR="00FF711C">
        <w:rPr>
          <w:rStyle w:val="Referencingstyle"/>
        </w:rPr>
        <w:t>s 311</w:t>
      </w:r>
      <w:r w:rsidR="00FF711C">
        <w:rPr>
          <w:rStyle w:val="Referencingstyle"/>
        </w:rPr>
        <w:noBreakHyphen/>
        <w:t>12(1) and 311</w:t>
      </w:r>
      <w:r w:rsidR="00FF711C">
        <w:rPr>
          <w:rStyle w:val="Referencingstyle"/>
        </w:rPr>
        <w:noBreakHyphen/>
        <w:t>42(1)</w:t>
      </w:r>
      <w:r w:rsidR="0092403D">
        <w:rPr>
          <w:rStyle w:val="Referencingstyle"/>
        </w:rPr>
        <w:t>]</w:t>
      </w:r>
    </w:p>
    <w:p w14:paraId="5E01FA6E" w14:textId="2D8059AF" w:rsidR="0092403D" w:rsidRDefault="005B4BC1" w:rsidP="0092403D">
      <w:pPr>
        <w:pStyle w:val="base-text-paragraph"/>
      </w:pPr>
      <w:r>
        <w:t>The choice is evidenced by the manner in which the transferring entity completes its income tax return for the income year in which the accrued default amounts are transferred (see section 311</w:t>
      </w:r>
      <w:r>
        <w:noBreakHyphen/>
        <w:t>60).</w:t>
      </w:r>
    </w:p>
    <w:p w14:paraId="136D1A65" w14:textId="68F3EE53" w:rsidR="005B4BC1" w:rsidRDefault="00AF2322" w:rsidP="005B4BC1">
      <w:pPr>
        <w:pStyle w:val="Heading4"/>
      </w:pPr>
      <w:r>
        <w:t>A</w:t>
      </w:r>
      <w:r w:rsidR="005B4BC1">
        <w:t xml:space="preserve">ssets </w:t>
      </w:r>
      <w:r>
        <w:t xml:space="preserve">eligible </w:t>
      </w:r>
      <w:r w:rsidR="005B4BC1">
        <w:t>for an asset roll</w:t>
      </w:r>
      <w:r w:rsidR="005B4BC1">
        <w:noBreakHyphen/>
        <w:t>over</w:t>
      </w:r>
    </w:p>
    <w:p w14:paraId="117BC08B" w14:textId="10505223" w:rsidR="00842AE7" w:rsidRDefault="00842AE7" w:rsidP="00842AE7">
      <w:pPr>
        <w:pStyle w:val="base-text-paragraph"/>
      </w:pPr>
      <w:r>
        <w:t>Whe</w:t>
      </w:r>
      <w:r w:rsidR="00D24E92">
        <w:t>re a trustee of a complying superannuation fund</w:t>
      </w:r>
      <w:r>
        <w:t xml:space="preserve"> transfers assets </w:t>
      </w:r>
      <w:r w:rsidR="00D24E92">
        <w:t xml:space="preserve">to a </w:t>
      </w:r>
      <w:proofErr w:type="spellStart"/>
      <w:r w:rsidR="00D24E92">
        <w:t>MySuper</w:t>
      </w:r>
      <w:proofErr w:type="spellEnd"/>
      <w:r w:rsidR="00D24E92">
        <w:t xml:space="preserve"> product within the fund</w:t>
      </w:r>
      <w:r>
        <w:t>, it can choose a roll</w:t>
      </w:r>
      <w:r>
        <w:noBreakHyphen/>
        <w:t xml:space="preserve">over for those assets </w:t>
      </w:r>
      <w:r w:rsidR="00AF2322">
        <w:t>that</w:t>
      </w:r>
      <w:r w:rsidR="00FF711C">
        <w:t>, just before the arrangement is made,</w:t>
      </w:r>
      <w:r>
        <w:t xml:space="preserve"> are reasonably attributable to the accrued default amount</w:t>
      </w:r>
      <w:r w:rsidR="00FF711C">
        <w:t>s</w:t>
      </w:r>
      <w:r>
        <w:t xml:space="preserve"> of </w:t>
      </w:r>
      <w:r w:rsidR="001E6C9E">
        <w:t>its</w:t>
      </w:r>
      <w:r>
        <w:t xml:space="preserve"> members. </w:t>
      </w:r>
      <w:r>
        <w:rPr>
          <w:rStyle w:val="Referencingstyle"/>
        </w:rPr>
        <w:t>[Schedule #, item 15, paragraph 311</w:t>
      </w:r>
      <w:r>
        <w:rPr>
          <w:rStyle w:val="Referencingstyle"/>
        </w:rPr>
        <w:noBreakHyphen/>
        <w:t>42(2)(a)]</w:t>
      </w:r>
    </w:p>
    <w:p w14:paraId="4BDD481E" w14:textId="64B646B3" w:rsidR="005B4BC1" w:rsidRPr="00842AE7" w:rsidRDefault="00AF2322" w:rsidP="005B4BC1">
      <w:pPr>
        <w:pStyle w:val="base-text-paragraph"/>
        <w:rPr>
          <w:rStyle w:val="Referencingstyle"/>
          <w:b w:val="0"/>
          <w:i w:val="0"/>
          <w:sz w:val="22"/>
        </w:rPr>
      </w:pPr>
      <w:r>
        <w:lastRenderedPageBreak/>
        <w:t>W</w:t>
      </w:r>
      <w:r w:rsidR="00842AE7">
        <w:t xml:space="preserve">here the </w:t>
      </w:r>
      <w:r w:rsidR="00D24E92">
        <w:t xml:space="preserve">transferring </w:t>
      </w:r>
      <w:r w:rsidR="00842AE7">
        <w:t xml:space="preserve">entity accessing the relief is a life </w:t>
      </w:r>
      <w:r w:rsidR="00E6297E">
        <w:t xml:space="preserve">insurance </w:t>
      </w:r>
      <w:r w:rsidR="00842AE7">
        <w:t xml:space="preserve">company or a </w:t>
      </w:r>
      <w:r w:rsidR="00D24E92">
        <w:t xml:space="preserve">trustee of a </w:t>
      </w:r>
      <w:r w:rsidR="00842AE7">
        <w:t>PST, the assets must</w:t>
      </w:r>
      <w:r w:rsidR="00FF711C">
        <w:t xml:space="preserve">, just before the arrangement is made, be reasonably attributable to the accrued default amounts </w:t>
      </w:r>
      <w:r w:rsidR="00166B0C">
        <w:t>of</w:t>
      </w:r>
      <w:r w:rsidR="00FF711C">
        <w:t xml:space="preserve"> the members and</w:t>
      </w:r>
      <w:r w:rsidR="00842AE7">
        <w:t xml:space="preserve"> be reflected in the value of the fund’s interest in the life insurance policy or the units in the PST. </w:t>
      </w:r>
      <w:r w:rsidR="00842AE7">
        <w:rPr>
          <w:rStyle w:val="Referencingstyle"/>
        </w:rPr>
        <w:t>[Schedule #, item 15, paragraphs 311</w:t>
      </w:r>
      <w:r w:rsidR="00842AE7">
        <w:rPr>
          <w:rStyle w:val="Referencingstyle"/>
        </w:rPr>
        <w:noBreakHyphen/>
        <w:t>42(2)(b) and (c)]</w:t>
      </w:r>
    </w:p>
    <w:p w14:paraId="17BAADAE" w14:textId="08412BCE" w:rsidR="001E6C9E" w:rsidRDefault="00D24E92" w:rsidP="001E6C9E">
      <w:pPr>
        <w:pStyle w:val="base-text-paragraph"/>
      </w:pPr>
      <w:r>
        <w:t>Where</w:t>
      </w:r>
      <w:r w:rsidR="00842AE7">
        <w:t xml:space="preserve"> a</w:t>
      </w:r>
      <w:r>
        <w:t xml:space="preserve"> transferring entity </w:t>
      </w:r>
      <w:r w:rsidRPr="00D24E92">
        <w:t>accessing the relief</w:t>
      </w:r>
      <w:r>
        <w:t xml:space="preserve"> is a trustee of an interposed trust</w:t>
      </w:r>
      <w:r w:rsidR="00FF711C">
        <w:t xml:space="preserve"> that is not a PST</w:t>
      </w:r>
      <w:r w:rsidR="001E6C9E">
        <w:t xml:space="preserve">, </w:t>
      </w:r>
      <w:r>
        <w:t>the assets must</w:t>
      </w:r>
      <w:r w:rsidR="00FF711C">
        <w:t>, just before the arrangement is made,</w:t>
      </w:r>
      <w:r>
        <w:t xml:space="preserve"> be reasonably attributable to the accrued default amount</w:t>
      </w:r>
      <w:r w:rsidR="00FF711C">
        <w:t>s</w:t>
      </w:r>
      <w:r>
        <w:t xml:space="preserve"> of the members and </w:t>
      </w:r>
      <w:r w:rsidR="001E6C9E">
        <w:t>the</w:t>
      </w:r>
      <w:r>
        <w:t xml:space="preserve"> units </w:t>
      </w:r>
      <w:r w:rsidR="001E6C9E">
        <w:t xml:space="preserve">in the interposed trust </w:t>
      </w:r>
      <w:r w:rsidR="00E6297E">
        <w:t>must be</w:t>
      </w:r>
      <w:r>
        <w:t xml:space="preserve"> wholly owned </w:t>
      </w:r>
      <w:r w:rsidR="005B4967">
        <w:t xml:space="preserve">(directly or indirectly) </w:t>
      </w:r>
      <w:r>
        <w:t>by</w:t>
      </w:r>
      <w:r w:rsidR="001E6C9E">
        <w:t>:</w:t>
      </w:r>
    </w:p>
    <w:p w14:paraId="298EE816" w14:textId="4B4BE550" w:rsidR="001E6C9E" w:rsidRDefault="005B4967" w:rsidP="001E6C9E">
      <w:pPr>
        <w:pStyle w:val="dotpoint"/>
      </w:pPr>
      <w:r>
        <w:t>a</w:t>
      </w:r>
      <w:r w:rsidR="00D24E92">
        <w:t xml:space="preserve"> trustee of </w:t>
      </w:r>
      <w:r>
        <w:t>a</w:t>
      </w:r>
      <w:r w:rsidR="00D24E92">
        <w:t xml:space="preserve"> complying superannuation fund</w:t>
      </w:r>
      <w:r w:rsidR="001E6C9E">
        <w:t xml:space="preserve"> that holds the </w:t>
      </w:r>
      <w:r>
        <w:t>accrued default amounts</w:t>
      </w:r>
      <w:r w:rsidR="001E6C9E">
        <w:t xml:space="preserve">; or </w:t>
      </w:r>
    </w:p>
    <w:p w14:paraId="385DD8FF" w14:textId="03F50A5C" w:rsidR="00842AE7" w:rsidRDefault="005B4967" w:rsidP="001E6C9E">
      <w:pPr>
        <w:pStyle w:val="dotpoint"/>
      </w:pPr>
      <w:proofErr w:type="gramStart"/>
      <w:r>
        <w:t>a</w:t>
      </w:r>
      <w:proofErr w:type="gramEnd"/>
      <w:r w:rsidR="00D24E92">
        <w:t xml:space="preserve"> life insurance company or </w:t>
      </w:r>
      <w:r>
        <w:t>a</w:t>
      </w:r>
      <w:r w:rsidR="00D24E92">
        <w:t xml:space="preserve"> trustee of </w:t>
      </w:r>
      <w:r>
        <w:t>a</w:t>
      </w:r>
      <w:r w:rsidR="00D24E92">
        <w:t xml:space="preserve"> PST</w:t>
      </w:r>
      <w:r w:rsidR="001E6C9E">
        <w:t xml:space="preserve"> in which the trustee of the complying superannuation fund invests </w:t>
      </w:r>
      <w:r>
        <w:t>the accrued default amounts</w:t>
      </w:r>
      <w:r w:rsidR="001E6C9E">
        <w:t xml:space="preserve"> to support its default members.</w:t>
      </w:r>
    </w:p>
    <w:p w14:paraId="10BC8B79" w14:textId="6CBC52D3" w:rsidR="001E6C9E" w:rsidRPr="005B4BC1" w:rsidRDefault="005B4967" w:rsidP="001E6C9E">
      <w:pPr>
        <w:pStyle w:val="base-text-paragraphnonumbers"/>
      </w:pPr>
      <w:r>
        <w:rPr>
          <w:rStyle w:val="Referencingstyle"/>
        </w:rPr>
        <w:t>[Schedule #, items 6 and 15, paragraphs 311</w:t>
      </w:r>
      <w:r>
        <w:rPr>
          <w:rStyle w:val="Referencingstyle"/>
        </w:rPr>
        <w:noBreakHyphen/>
      </w:r>
      <w:proofErr w:type="gramStart"/>
      <w:r>
        <w:rPr>
          <w:rStyle w:val="Referencingstyle"/>
        </w:rPr>
        <w:t>12(</w:t>
      </w:r>
      <w:proofErr w:type="gramEnd"/>
      <w:r>
        <w:rPr>
          <w:rStyle w:val="Referencingstyle"/>
        </w:rPr>
        <w:t>2)(d) and 311</w:t>
      </w:r>
      <w:r>
        <w:rPr>
          <w:rStyle w:val="Referencingstyle"/>
        </w:rPr>
        <w:noBreakHyphen/>
        <w:t>42(2)(d)]</w:t>
      </w:r>
    </w:p>
    <w:p w14:paraId="3AE47D87" w14:textId="5FA396A5" w:rsidR="00AF2322" w:rsidRDefault="001C06F7" w:rsidP="00AF2322">
      <w:pPr>
        <w:pStyle w:val="base-text-paragraph"/>
      </w:pPr>
      <w:r>
        <w:t>After</w:t>
      </w:r>
      <w:r w:rsidR="00AF2322">
        <w:t xml:space="preserve"> the transfer</w:t>
      </w:r>
      <w:r>
        <w:t xml:space="preserve"> is complete</w:t>
      </w:r>
      <w:r w:rsidR="00AF2322">
        <w:t>, the asset becomes an asset of the receiving entity.</w:t>
      </w:r>
    </w:p>
    <w:p w14:paraId="571E87B4" w14:textId="77867EB4" w:rsidR="0057198A" w:rsidRDefault="001C06F7" w:rsidP="00AF2322">
      <w:pPr>
        <w:pStyle w:val="base-text-paragraph"/>
      </w:pPr>
      <w:r>
        <w:t>For</w:t>
      </w:r>
      <w:r w:rsidR="00AF2322">
        <w:t xml:space="preserve"> </w:t>
      </w:r>
      <w:r w:rsidR="0057198A">
        <w:t>transfer</w:t>
      </w:r>
      <w:r w:rsidR="00AF2322">
        <w:t>s</w:t>
      </w:r>
      <w:r w:rsidR="0057198A">
        <w:t xml:space="preserve"> of accrued default amounts </w:t>
      </w:r>
      <w:r w:rsidR="00AF2322">
        <w:t xml:space="preserve">to a </w:t>
      </w:r>
      <w:proofErr w:type="spellStart"/>
      <w:r w:rsidR="00AF2322">
        <w:t>MySuper</w:t>
      </w:r>
      <w:proofErr w:type="spellEnd"/>
      <w:r w:rsidR="00AF2322">
        <w:t xml:space="preserve"> product within the same complying superannuation</w:t>
      </w:r>
      <w:r w:rsidR="0057198A">
        <w:t xml:space="preserve"> fund</w:t>
      </w:r>
      <w:r w:rsidR="00AF2322">
        <w:t>,</w:t>
      </w:r>
      <w:r w:rsidR="0057198A">
        <w:t xml:space="preserve"> </w:t>
      </w:r>
      <w:r w:rsidR="00AF2322">
        <w:t xml:space="preserve">a receiving entity </w:t>
      </w:r>
      <w:r w:rsidR="00662755">
        <w:t>must be</w:t>
      </w:r>
      <w:r w:rsidR="0057198A">
        <w:t>:</w:t>
      </w:r>
    </w:p>
    <w:p w14:paraId="4948E606" w14:textId="706A3DD1" w:rsidR="0057198A" w:rsidRDefault="0057198A" w:rsidP="0057198A">
      <w:pPr>
        <w:pStyle w:val="dotpoint"/>
      </w:pPr>
      <w:r>
        <w:t xml:space="preserve">a trustee of the </w:t>
      </w:r>
      <w:r w:rsidR="00662755">
        <w:t xml:space="preserve">complying superannuation </w:t>
      </w:r>
      <w:r>
        <w:t>fund;</w:t>
      </w:r>
    </w:p>
    <w:p w14:paraId="0CAD41A9" w14:textId="38EEF95D" w:rsidR="0057198A" w:rsidRDefault="0057198A" w:rsidP="0057198A">
      <w:pPr>
        <w:pStyle w:val="dotpoint"/>
      </w:pPr>
      <w:r>
        <w:t xml:space="preserve">a life insurance company whose complying superannuation life insurance policy </w:t>
      </w:r>
      <w:r w:rsidR="00AF2322">
        <w:t xml:space="preserve">is being held by the </w:t>
      </w:r>
      <w:r w:rsidR="00662755">
        <w:t xml:space="preserve">complying superannuation </w:t>
      </w:r>
      <w:r w:rsidR="00AF2322">
        <w:t>fund</w:t>
      </w:r>
      <w:r w:rsidR="001C06F7">
        <w:t xml:space="preserve"> </w:t>
      </w:r>
      <w:r w:rsidR="00F005D6">
        <w:t xml:space="preserve">just </w:t>
      </w:r>
      <w:r w:rsidR="001C06F7">
        <w:t>after the completion of the transfer</w:t>
      </w:r>
      <w:r>
        <w:t>;</w:t>
      </w:r>
    </w:p>
    <w:p w14:paraId="6DBC9CD3" w14:textId="473A398E" w:rsidR="0057198A" w:rsidRDefault="0057198A" w:rsidP="0057198A">
      <w:pPr>
        <w:pStyle w:val="dotpoint"/>
      </w:pPr>
      <w:r>
        <w:t xml:space="preserve">a trustee of a PST whose units </w:t>
      </w:r>
      <w:r w:rsidR="00AF2322">
        <w:t xml:space="preserve">are being held by </w:t>
      </w:r>
      <w:r>
        <w:t xml:space="preserve">the </w:t>
      </w:r>
      <w:r w:rsidR="00662755">
        <w:t xml:space="preserve">complying superannuation </w:t>
      </w:r>
      <w:r>
        <w:t xml:space="preserve">fund </w:t>
      </w:r>
      <w:r w:rsidR="00F005D6">
        <w:t xml:space="preserve">just </w:t>
      </w:r>
      <w:r w:rsidR="001C06F7">
        <w:t>after the completion of the transfer</w:t>
      </w:r>
      <w:r>
        <w:t>; or</w:t>
      </w:r>
    </w:p>
    <w:p w14:paraId="21D39986" w14:textId="4C0B257E" w:rsidR="0057198A" w:rsidRDefault="0057198A" w:rsidP="0057198A">
      <w:pPr>
        <w:pStyle w:val="dotpoint"/>
      </w:pPr>
      <w:proofErr w:type="gramStart"/>
      <w:r>
        <w:t>a</w:t>
      </w:r>
      <w:proofErr w:type="gramEnd"/>
      <w:r>
        <w:t xml:space="preserve"> </w:t>
      </w:r>
      <w:r w:rsidRPr="00AF2322">
        <w:t>trustee of a</w:t>
      </w:r>
      <w:r w:rsidR="00AF2322">
        <w:t xml:space="preserve"> interposed trusts whose units are wholly owned (directly or indirectly) by one of the entities listed above</w:t>
      </w:r>
      <w:r w:rsidR="001C06F7">
        <w:t xml:space="preserve"> </w:t>
      </w:r>
      <w:r w:rsidR="00662755">
        <w:t xml:space="preserve">just </w:t>
      </w:r>
      <w:r w:rsidR="001C06F7">
        <w:t>after the completion of the transfer</w:t>
      </w:r>
      <w:r w:rsidR="00AF2322">
        <w:t>.</w:t>
      </w:r>
      <w:r>
        <w:t xml:space="preserve">   </w:t>
      </w:r>
      <w:r w:rsidR="00AF2322">
        <w:t xml:space="preserve"> </w:t>
      </w:r>
    </w:p>
    <w:p w14:paraId="355841F9" w14:textId="15E7D0BD" w:rsidR="00AF2322" w:rsidRPr="00AF2322" w:rsidRDefault="00AF2322" w:rsidP="00AF2322">
      <w:pPr>
        <w:pStyle w:val="base-text-paragraphnonumbers"/>
        <w:rPr>
          <w:rStyle w:val="Referencingstyle"/>
        </w:rPr>
      </w:pPr>
      <w:r>
        <w:rPr>
          <w:rStyle w:val="Referencingstyle"/>
        </w:rPr>
        <w:t>[Schedule #, item 15, subsection 311</w:t>
      </w:r>
      <w:r>
        <w:rPr>
          <w:rStyle w:val="Referencingstyle"/>
        </w:rPr>
        <w:noBreakHyphen/>
      </w:r>
      <w:proofErr w:type="gramStart"/>
      <w:r>
        <w:rPr>
          <w:rStyle w:val="Referencingstyle"/>
        </w:rPr>
        <w:t>42(</w:t>
      </w:r>
      <w:proofErr w:type="gramEnd"/>
      <w:r>
        <w:rPr>
          <w:rStyle w:val="Referencingstyle"/>
        </w:rPr>
        <w:t>3)]</w:t>
      </w:r>
    </w:p>
    <w:p w14:paraId="5D6958CB" w14:textId="017F6B87" w:rsidR="005B4BC1" w:rsidRDefault="005B4BC1" w:rsidP="005B4BC1">
      <w:pPr>
        <w:pStyle w:val="Heading4"/>
      </w:pPr>
      <w:r>
        <w:lastRenderedPageBreak/>
        <w:t>Consequences of choosing asset roll</w:t>
      </w:r>
      <w:r>
        <w:noBreakHyphen/>
        <w:t>over for CGT assets</w:t>
      </w:r>
    </w:p>
    <w:p w14:paraId="7865BF6E" w14:textId="600AD670" w:rsidR="005B4BC1" w:rsidRDefault="005B4BC1" w:rsidP="005B4BC1">
      <w:pPr>
        <w:pStyle w:val="base-text-paragraph"/>
      </w:pPr>
      <w:r>
        <w:t>Section 295</w:t>
      </w:r>
      <w:r>
        <w:noBreakHyphen/>
        <w:t>85 makes the CGT regime the primary code for determining the tax consequences of the gains or losses generated on the realisation of certain assets owned by a complying superannuation fund or a PST. Section 320</w:t>
      </w:r>
      <w:r>
        <w:noBreakHyphen/>
        <w:t>45 provides for the same rules to apply for the complying superannuation assets of life insurance companies.</w:t>
      </w:r>
    </w:p>
    <w:p w14:paraId="54B19FBB" w14:textId="77777777" w:rsidR="0057198A" w:rsidRDefault="005B4BC1" w:rsidP="0057198A">
      <w:pPr>
        <w:pStyle w:val="base-text-paragraph"/>
      </w:pPr>
      <w:r>
        <w:t>If the asset roll</w:t>
      </w:r>
      <w:r>
        <w:noBreakHyphen/>
        <w:t>over is chosen by the transferring entity, it disregards any CGT consequences associated with the asset transfer</w:t>
      </w:r>
      <w:r w:rsidR="00842AE7">
        <w:t>. Also, the receiving entity is treated as having acquired the asset for the transferring entity’s cost base (and reduced cost base). This ensures that any CGT consequences are deferred until a later dealing with that</w:t>
      </w:r>
      <w:r w:rsidR="005B4967">
        <w:t xml:space="preserve"> asset by the receiving entity (see section 311</w:t>
      </w:r>
      <w:r w:rsidR="005B4967">
        <w:noBreakHyphen/>
        <w:t>45)</w:t>
      </w:r>
      <w:r w:rsidR="001F3ED2">
        <w:t>.</w:t>
      </w:r>
      <w:r w:rsidR="0057198A" w:rsidRPr="0057198A">
        <w:t xml:space="preserve"> </w:t>
      </w:r>
    </w:p>
    <w:p w14:paraId="7F9F5155" w14:textId="1D594717" w:rsidR="001F3ED2" w:rsidRDefault="001F3ED2" w:rsidP="001F3ED2">
      <w:pPr>
        <w:pStyle w:val="Heading4"/>
      </w:pPr>
      <w:r>
        <w:t>Consequences for choosing asset roll</w:t>
      </w:r>
      <w:r>
        <w:noBreakHyphen/>
        <w:t>over for revenue assets</w:t>
      </w:r>
    </w:p>
    <w:p w14:paraId="7A28D5DB" w14:textId="40EC9533" w:rsidR="001F3ED2" w:rsidRDefault="001F3ED2" w:rsidP="001F3ED2">
      <w:pPr>
        <w:pStyle w:val="base-text-paragraph"/>
      </w:pPr>
      <w:r>
        <w:t>A revenue asset is an asset for which a profit or loss on disposal would be taken into account in calculating assessable income</w:t>
      </w:r>
      <w:r w:rsidR="00FF711C">
        <w:t>,</w:t>
      </w:r>
      <w:r>
        <w:t xml:space="preserve"> other than a capital gains or capital loss</w:t>
      </w:r>
      <w:r w:rsidR="00FF711C">
        <w:t>,</w:t>
      </w:r>
      <w:r>
        <w:t xml:space="preserve"> and </w:t>
      </w:r>
      <w:r w:rsidR="00FF711C">
        <w:t>that</w:t>
      </w:r>
      <w:r>
        <w:t xml:space="preserve"> is not trading stock or a depreciating asset (see section 977</w:t>
      </w:r>
      <w:r>
        <w:noBreakHyphen/>
        <w:t>50).</w:t>
      </w:r>
    </w:p>
    <w:p w14:paraId="4383E4CF" w14:textId="7DB7C61C" w:rsidR="001F3ED2" w:rsidRDefault="001F3ED2" w:rsidP="001F3ED2">
      <w:pPr>
        <w:pStyle w:val="base-text-paragraph"/>
      </w:pPr>
      <w:r>
        <w:t>For revenue assets subject to the asset roll</w:t>
      </w:r>
      <w:r>
        <w:noBreakHyphen/>
        <w:t>over, the transferring entity is taken to have realised the asset for an amount that would result in it not making a profit or loss on that realisation. Furthermore, the receiving entity is taken to have acquired the revenue asset for that amount (see section 311</w:t>
      </w:r>
      <w:r>
        <w:noBreakHyphen/>
        <w:t>50).</w:t>
      </w:r>
    </w:p>
    <w:p w14:paraId="7B593409" w14:textId="77777777" w:rsidR="001F3ED2" w:rsidRDefault="001F3ED2" w:rsidP="001F3ED2">
      <w:pPr>
        <w:pStyle w:val="base-text-paragraph"/>
      </w:pPr>
      <w:r>
        <w:t>This ensures that any income tax consequences are deferred until a later dealing with that asset by the receiving entity.</w:t>
      </w:r>
    </w:p>
    <w:p w14:paraId="3C2D591F" w14:textId="77777777" w:rsidR="00493B2E" w:rsidRDefault="00493B2E" w:rsidP="00570968">
      <w:pPr>
        <w:pStyle w:val="Heading2"/>
      </w:pPr>
      <w:r>
        <w:t>Consequential amendments</w:t>
      </w:r>
    </w:p>
    <w:p w14:paraId="5C20481C" w14:textId="4F24903B" w:rsidR="00D13500" w:rsidRPr="008D2B26" w:rsidRDefault="001C5156" w:rsidP="001738B7">
      <w:pPr>
        <w:pStyle w:val="base-text-paragraph"/>
      </w:pPr>
      <w:r w:rsidRPr="008D2B26">
        <w:t>Th</w:t>
      </w:r>
      <w:r w:rsidR="00D13500" w:rsidRPr="008D2B26">
        <w:t>is measure inserts provisions in</w:t>
      </w:r>
      <w:r w:rsidRPr="008D2B26">
        <w:t>to</w:t>
      </w:r>
      <w:r w:rsidR="00383468">
        <w:t xml:space="preserve"> Division 311, so that the Division</w:t>
      </w:r>
      <w:r w:rsidRPr="008D2B26">
        <w:t xml:space="preserve"> </w:t>
      </w:r>
      <w:r w:rsidR="00D13500" w:rsidRPr="008D2B26">
        <w:t>governs</w:t>
      </w:r>
      <w:r w:rsidRPr="008D2B26">
        <w:t xml:space="preserve"> tax relief for </w:t>
      </w:r>
      <w:r w:rsidR="00621518">
        <w:t xml:space="preserve">mandatory </w:t>
      </w:r>
      <w:r w:rsidRPr="008D2B26">
        <w:t>transfer</w:t>
      </w:r>
      <w:r w:rsidR="00FF711C">
        <w:t>s</w:t>
      </w:r>
      <w:r w:rsidRPr="008D2B26">
        <w:t xml:space="preserve"> of amounts to a </w:t>
      </w:r>
      <w:proofErr w:type="spellStart"/>
      <w:r w:rsidRPr="008D2B26">
        <w:t>MySuper</w:t>
      </w:r>
      <w:proofErr w:type="spellEnd"/>
      <w:r w:rsidRPr="008D2B26">
        <w:t xml:space="preserve"> product, regardless of whether the </w:t>
      </w:r>
      <w:proofErr w:type="spellStart"/>
      <w:r w:rsidR="008D2B26" w:rsidRPr="008D2B26">
        <w:t>MySuper</w:t>
      </w:r>
      <w:proofErr w:type="spellEnd"/>
      <w:r w:rsidR="008D2B26" w:rsidRPr="008D2B26">
        <w:t xml:space="preserve"> product is provided by</w:t>
      </w:r>
      <w:r w:rsidRPr="008D2B26">
        <w:t xml:space="preserve"> another c</w:t>
      </w:r>
      <w:r w:rsidR="008D2B26" w:rsidRPr="008D2B26">
        <w:t>omplying superannuation fund or</w:t>
      </w:r>
      <w:r w:rsidRPr="008D2B26">
        <w:t xml:space="preserve"> the same fund. </w:t>
      </w:r>
    </w:p>
    <w:p w14:paraId="62D815E5" w14:textId="0043D1AC" w:rsidR="00D13500" w:rsidRPr="008D2B26" w:rsidRDefault="001C5156" w:rsidP="001738B7">
      <w:pPr>
        <w:pStyle w:val="base-text-paragraph"/>
      </w:pPr>
      <w:r w:rsidRPr="008D2B26">
        <w:t>Consequential amendments are made to various provisions in the Division</w:t>
      </w:r>
      <w:r w:rsidR="00D13500" w:rsidRPr="008D2B26">
        <w:t>:</w:t>
      </w:r>
    </w:p>
    <w:p w14:paraId="61FE9070" w14:textId="52722BB8" w:rsidR="00D13500" w:rsidRPr="008D2B26" w:rsidRDefault="00D13500" w:rsidP="00D13500">
      <w:pPr>
        <w:pStyle w:val="dotpoint"/>
      </w:pPr>
      <w:r w:rsidRPr="008D2B26">
        <w:t>to ensure that</w:t>
      </w:r>
      <w:r w:rsidR="001C5156" w:rsidRPr="008D2B26">
        <w:t xml:space="preserve"> </w:t>
      </w:r>
      <w:r w:rsidR="008D2B26" w:rsidRPr="008D2B26">
        <w:t xml:space="preserve">the provisions that </w:t>
      </w:r>
      <w:r w:rsidR="00383468">
        <w:t>are</w:t>
      </w:r>
      <w:r w:rsidR="008D2B26" w:rsidRPr="008D2B26">
        <w:t xml:space="preserve"> applicable </w:t>
      </w:r>
      <w:r w:rsidR="00383468">
        <w:t xml:space="preserve">to </w:t>
      </w:r>
      <w:r w:rsidR="008D2B26" w:rsidRPr="008D2B26">
        <w:t>transfer</w:t>
      </w:r>
      <w:r w:rsidR="00621518">
        <w:t>s</w:t>
      </w:r>
      <w:r w:rsidR="008D2B26" w:rsidRPr="008D2B26">
        <w:t xml:space="preserve"> within a fund</w:t>
      </w:r>
      <w:r w:rsidR="001C5156" w:rsidRPr="008D2B26">
        <w:t xml:space="preserve"> </w:t>
      </w:r>
      <w:r w:rsidR="00621518">
        <w:t>do</w:t>
      </w:r>
      <w:r w:rsidR="00383468">
        <w:t xml:space="preserve"> </w:t>
      </w:r>
      <w:r w:rsidR="001C5156" w:rsidRPr="008D2B26">
        <w:t>no</w:t>
      </w:r>
      <w:r w:rsidR="00383468">
        <w:t>t</w:t>
      </w:r>
      <w:r w:rsidR="001C5156" w:rsidRPr="008D2B26">
        <w:t xml:space="preserve"> </w:t>
      </w:r>
      <w:r w:rsidR="00621518">
        <w:t xml:space="preserve">continue to restrict </w:t>
      </w:r>
      <w:r w:rsidR="00166B0C">
        <w:t>their</w:t>
      </w:r>
      <w:r w:rsidR="00621518">
        <w:t xml:space="preserve"> application</w:t>
      </w:r>
      <w:r w:rsidR="00383468">
        <w:t xml:space="preserve"> </w:t>
      </w:r>
      <w:r w:rsidR="00621518">
        <w:t xml:space="preserve">to </w:t>
      </w:r>
      <w:r w:rsidR="001C5156" w:rsidRPr="008D2B26">
        <w:t>transfer</w:t>
      </w:r>
      <w:r w:rsidR="00621518">
        <w:t>s</w:t>
      </w:r>
      <w:r w:rsidR="001C5156" w:rsidRPr="008D2B26">
        <w:t xml:space="preserve"> to another fund</w:t>
      </w:r>
      <w:r w:rsidR="008D2B26" w:rsidRPr="008D2B26">
        <w:t>;</w:t>
      </w:r>
    </w:p>
    <w:p w14:paraId="52394BEF" w14:textId="6E4FC5C2" w:rsidR="002359B8" w:rsidRPr="008D2B26" w:rsidRDefault="00D13500" w:rsidP="00D13500">
      <w:pPr>
        <w:pStyle w:val="dotpoint"/>
      </w:pPr>
      <w:r w:rsidRPr="008D2B26">
        <w:lastRenderedPageBreak/>
        <w:t xml:space="preserve">to </w:t>
      </w:r>
      <w:r w:rsidR="00621518">
        <w:t>delineate the</w:t>
      </w:r>
      <w:r w:rsidRPr="008D2B26">
        <w:t xml:space="preserve"> provisions </w:t>
      </w:r>
      <w:r w:rsidR="00621518">
        <w:t xml:space="preserve">which </w:t>
      </w:r>
      <w:r w:rsidRPr="008D2B26">
        <w:t xml:space="preserve">apply to transfers to another fund and </w:t>
      </w:r>
      <w:r w:rsidR="008D2B26" w:rsidRPr="008D2B26">
        <w:t xml:space="preserve">those that </w:t>
      </w:r>
      <w:r w:rsidRPr="008D2B26">
        <w:t>apply to transfers within the same fund; and</w:t>
      </w:r>
    </w:p>
    <w:p w14:paraId="3E1639FF" w14:textId="1F3E7B4D" w:rsidR="00D13500" w:rsidRDefault="008D2B26" w:rsidP="00D13500">
      <w:pPr>
        <w:pStyle w:val="dotpoint"/>
      </w:pPr>
      <w:proofErr w:type="gramStart"/>
      <w:r w:rsidRPr="008D2B26">
        <w:t>to</w:t>
      </w:r>
      <w:proofErr w:type="gramEnd"/>
      <w:r w:rsidRPr="008D2B26">
        <w:t xml:space="preserve"> clarify the entity that makes the choice for tax relief and which provision the choice is made under.</w:t>
      </w:r>
    </w:p>
    <w:p w14:paraId="1A7BECF7" w14:textId="02C9447F" w:rsidR="008D2B26" w:rsidRPr="008D2B26" w:rsidRDefault="008D2B26" w:rsidP="008D2B26">
      <w:pPr>
        <w:pStyle w:val="base-text-paragraphnonumbers"/>
      </w:pPr>
      <w:r>
        <w:rPr>
          <w:rStyle w:val="Referencingstyle"/>
        </w:rPr>
        <w:t>[Schedule #, items 2 to 5</w:t>
      </w:r>
      <w:r w:rsidR="00DE0300">
        <w:rPr>
          <w:rStyle w:val="Referencingstyle"/>
        </w:rPr>
        <w:t>, </w:t>
      </w:r>
      <w:r w:rsidR="00662755">
        <w:rPr>
          <w:rStyle w:val="Referencingstyle"/>
        </w:rPr>
        <w:t>7</w:t>
      </w:r>
      <w:r w:rsidR="00DE0300">
        <w:rPr>
          <w:rStyle w:val="Referencingstyle"/>
        </w:rPr>
        <w:t xml:space="preserve"> to 14 and 16 to 18,</w:t>
      </w:r>
      <w:r w:rsidR="00D45713">
        <w:rPr>
          <w:rStyle w:val="Referencingstyle"/>
        </w:rPr>
        <w:t xml:space="preserve"> sections 311</w:t>
      </w:r>
      <w:r w:rsidR="00D45713">
        <w:rPr>
          <w:rStyle w:val="Referencingstyle"/>
        </w:rPr>
        <w:noBreakHyphen/>
        <w:t>1, 311</w:t>
      </w:r>
      <w:r w:rsidR="00D45713">
        <w:rPr>
          <w:rStyle w:val="Referencingstyle"/>
        </w:rPr>
        <w:noBreakHyphen/>
        <w:t>5 and </w:t>
      </w:r>
      <w:r>
        <w:rPr>
          <w:rStyle w:val="Referencingstyle"/>
        </w:rPr>
        <w:t>311</w:t>
      </w:r>
      <w:r>
        <w:rPr>
          <w:rStyle w:val="Referencingstyle"/>
        </w:rPr>
        <w:noBreakHyphen/>
        <w:t>10</w:t>
      </w:r>
      <w:r w:rsidR="00DE0300">
        <w:rPr>
          <w:rStyle w:val="Referencingstyle"/>
        </w:rPr>
        <w:t>, paragraph 311</w:t>
      </w:r>
      <w:r w:rsidR="00DE0300">
        <w:rPr>
          <w:rStyle w:val="Referencingstyle"/>
        </w:rPr>
        <w:noBreakHyphen/>
        <w:t>10(2)(c)</w:t>
      </w:r>
      <w:r w:rsidR="00662755">
        <w:rPr>
          <w:rStyle w:val="Referencingstyle"/>
        </w:rPr>
        <w:t>, section 311</w:t>
      </w:r>
      <w:r w:rsidR="00662755">
        <w:rPr>
          <w:rStyle w:val="Referencingstyle"/>
        </w:rPr>
        <w:noBreakHyphen/>
        <w:t>15, paragraph</w:t>
      </w:r>
      <w:r w:rsidR="00DE0300">
        <w:rPr>
          <w:rStyle w:val="Referencingstyle"/>
        </w:rPr>
        <w:t> 311</w:t>
      </w:r>
      <w:r w:rsidR="00DE0300">
        <w:rPr>
          <w:rStyle w:val="Referencingstyle"/>
        </w:rPr>
        <w:noBreakHyphen/>
        <w:t>20(4)(b), section</w:t>
      </w:r>
      <w:r w:rsidR="00D45713">
        <w:rPr>
          <w:rStyle w:val="Referencingstyle"/>
        </w:rPr>
        <w:t>s</w:t>
      </w:r>
      <w:r w:rsidR="00DE0300">
        <w:rPr>
          <w:rStyle w:val="Referencingstyle"/>
        </w:rPr>
        <w:t> 311</w:t>
      </w:r>
      <w:r w:rsidR="00DE0300">
        <w:rPr>
          <w:rStyle w:val="Referencingstyle"/>
        </w:rPr>
        <w:noBreakHyphen/>
        <w:t>40 and</w:t>
      </w:r>
      <w:r w:rsidR="00D45713">
        <w:rPr>
          <w:rStyle w:val="Referencingstyle"/>
        </w:rPr>
        <w:t> </w:t>
      </w:r>
      <w:r w:rsidR="00DE0300">
        <w:rPr>
          <w:rStyle w:val="Referencingstyle"/>
        </w:rPr>
        <w:t>311</w:t>
      </w:r>
      <w:r w:rsidR="00DE0300">
        <w:rPr>
          <w:rStyle w:val="Referencingstyle"/>
        </w:rPr>
        <w:noBreakHyphen/>
        <w:t>45, subsection 311</w:t>
      </w:r>
      <w:r w:rsidR="00DE0300">
        <w:rPr>
          <w:rStyle w:val="Referencingstyle"/>
        </w:rPr>
        <w:noBreakHyphen/>
        <w:t>50(1A) and section 311</w:t>
      </w:r>
      <w:r w:rsidR="00DE0300">
        <w:rPr>
          <w:rStyle w:val="Referencingstyle"/>
        </w:rPr>
        <w:noBreakHyphen/>
        <w:t>55]</w:t>
      </w:r>
    </w:p>
    <w:p w14:paraId="57477DF8" w14:textId="012B6209" w:rsidR="00383468" w:rsidRPr="008F726E" w:rsidRDefault="0082184A" w:rsidP="001738B7">
      <w:pPr>
        <w:pStyle w:val="base-text-paragraph"/>
      </w:pPr>
      <w:r>
        <w:t>Finally</w:t>
      </w:r>
      <w:r w:rsidR="00383468">
        <w:t xml:space="preserve">, </w:t>
      </w:r>
      <w:r>
        <w:t xml:space="preserve">although </w:t>
      </w:r>
      <w:r w:rsidR="00383468">
        <w:t>the ITAA 1997 contains references to ‘</w:t>
      </w:r>
      <w:proofErr w:type="spellStart"/>
      <w:r w:rsidR="00383468">
        <w:t>MySuper</w:t>
      </w:r>
      <w:proofErr w:type="spellEnd"/>
      <w:r w:rsidR="00383468">
        <w:t xml:space="preserve"> product’ the term is not defined in the ITAA 1997. This exposure draft Bill introduces the definition, which refers to the meaning </w:t>
      </w:r>
      <w:r>
        <w:t xml:space="preserve">of the term </w:t>
      </w:r>
      <w:r w:rsidR="00383468">
        <w:t>given in the SIS Act.  T</w:t>
      </w:r>
      <w:r>
        <w:t>hus, the</w:t>
      </w:r>
      <w:r w:rsidR="00383468">
        <w:t xml:space="preserve"> existing references to the term are amended to refer to the meaning as provided by the dictionary in the</w:t>
      </w:r>
      <w:r>
        <w:t xml:space="preserve"> ITAA </w:t>
      </w:r>
      <w:r w:rsidR="00383468">
        <w:t xml:space="preserve">1997. </w:t>
      </w:r>
      <w:r w:rsidR="00383468">
        <w:rPr>
          <w:rStyle w:val="Referencingstyle"/>
        </w:rPr>
        <w:t>[Schedule #, items 1, 3, and 19, item 7 in the table in subsection 40</w:t>
      </w:r>
      <w:r w:rsidR="00383468">
        <w:rPr>
          <w:rStyle w:val="Referencingstyle"/>
        </w:rPr>
        <w:noBreakHyphen/>
        <w:t>340(1), section 311</w:t>
      </w:r>
      <w:r w:rsidR="00383468">
        <w:rPr>
          <w:rStyle w:val="Referencingstyle"/>
        </w:rPr>
        <w:noBreakHyphen/>
        <w:t>5 and subsection 995</w:t>
      </w:r>
      <w:r w:rsidR="00383468">
        <w:rPr>
          <w:rStyle w:val="Referencingstyle"/>
        </w:rPr>
        <w:noBreakHyphen/>
        <w:t>1(1) (definition of ‘</w:t>
      </w:r>
      <w:proofErr w:type="spellStart"/>
      <w:r w:rsidR="00383468">
        <w:rPr>
          <w:rStyle w:val="Referencingstyle"/>
        </w:rPr>
        <w:t>MySuper</w:t>
      </w:r>
      <w:proofErr w:type="spellEnd"/>
      <w:r w:rsidR="00383468">
        <w:rPr>
          <w:rStyle w:val="Referencingstyle"/>
        </w:rPr>
        <w:t xml:space="preserve"> product’)]</w:t>
      </w:r>
    </w:p>
    <w:p w14:paraId="2C02CAB2" w14:textId="77777777" w:rsidR="00493B2E" w:rsidRDefault="00493B2E" w:rsidP="00570968">
      <w:pPr>
        <w:pStyle w:val="Heading2"/>
      </w:pPr>
      <w:r>
        <w:t>Application and transitional provisions</w:t>
      </w:r>
    </w:p>
    <w:p w14:paraId="580F8F4E" w14:textId="1F9A7BE3" w:rsidR="00CC407A" w:rsidRPr="0026170D" w:rsidRDefault="00CC407A" w:rsidP="001738B7">
      <w:pPr>
        <w:pStyle w:val="base-text-paragraph"/>
        <w:rPr>
          <w:rStyle w:val="Referencingstyle"/>
          <w:b w:val="0"/>
          <w:i w:val="0"/>
          <w:sz w:val="22"/>
        </w:rPr>
      </w:pPr>
      <w:r>
        <w:t xml:space="preserve">The new law applies to mandatory transfers of members’ </w:t>
      </w:r>
      <w:r w:rsidR="0026170D">
        <w:t xml:space="preserve">accrued </w:t>
      </w:r>
      <w:r>
        <w:t xml:space="preserve">default amounts occurring on or after 29 June 2015. </w:t>
      </w:r>
      <w:r>
        <w:rPr>
          <w:rStyle w:val="Referencingstyle"/>
        </w:rPr>
        <w:t xml:space="preserve">[Schedule #, item </w:t>
      </w:r>
      <w:r w:rsidR="0026170D">
        <w:rPr>
          <w:rStyle w:val="Referencingstyle"/>
        </w:rPr>
        <w:t>20</w:t>
      </w:r>
      <w:r>
        <w:rPr>
          <w:rStyle w:val="Referencingstyle"/>
        </w:rPr>
        <w:t>]</w:t>
      </w:r>
    </w:p>
    <w:p w14:paraId="3E79B5EC" w14:textId="5D336DEB" w:rsidR="0026170D" w:rsidRPr="008F726E" w:rsidRDefault="0026170D" w:rsidP="001738B7">
      <w:pPr>
        <w:pStyle w:val="base-text-paragraph"/>
      </w:pPr>
      <w:r>
        <w:t>In this regard, the new law is beneficial to</w:t>
      </w:r>
      <w:r w:rsidR="00662755">
        <w:t>, and has been sought by,</w:t>
      </w:r>
      <w:r>
        <w:t xml:space="preserve"> affected taxpayers as it provides roll</w:t>
      </w:r>
      <w:r>
        <w:noBreakHyphen/>
        <w:t xml:space="preserve">over relief for income tax consequences that may result from a mandatory transfer </w:t>
      </w:r>
      <w:r w:rsidR="00CE732C">
        <w:t xml:space="preserve">of a default member’s account balance </w:t>
      </w:r>
      <w:r>
        <w:t xml:space="preserve">to a </w:t>
      </w:r>
      <w:proofErr w:type="spellStart"/>
      <w:r>
        <w:t>MySuper</w:t>
      </w:r>
      <w:proofErr w:type="spellEnd"/>
      <w:r>
        <w:t xml:space="preserve"> product within </w:t>
      </w:r>
      <w:r w:rsidR="00CE732C">
        <w:t>the same</w:t>
      </w:r>
      <w:r>
        <w:t xml:space="preserve"> superannuation fund.</w:t>
      </w:r>
    </w:p>
    <w:p w14:paraId="25EF79DC" w14:textId="77777777" w:rsidR="00493B2E" w:rsidRDefault="00493B2E" w:rsidP="00570968">
      <w:pPr>
        <w:pStyle w:val="Hiddentext"/>
      </w:pPr>
      <w:r>
        <w:t>Do not remove section break.</w:t>
      </w:r>
    </w:p>
    <w:p w14:paraId="6F22C5C9" w14:textId="77777777" w:rsidR="00493B2E" w:rsidRDefault="00493B2E" w:rsidP="00570968">
      <w:pPr>
        <w:sectPr w:rsidR="00493B2E" w:rsidSect="00570968">
          <w:headerReference w:type="even" r:id="rId25"/>
          <w:headerReference w:type="default" r:id="rId26"/>
          <w:footerReference w:type="even" r:id="rId27"/>
          <w:footerReference w:type="default" r:id="rId28"/>
          <w:headerReference w:type="first" r:id="rId29"/>
          <w:footerReference w:type="first" r:id="rId30"/>
          <w:type w:val="oddPage"/>
          <w:pgSz w:w="11906" w:h="16838" w:code="9"/>
          <w:pgMar w:top="2466" w:right="2098" w:bottom="2466" w:left="2098" w:header="1559" w:footer="1899" w:gutter="0"/>
          <w:cols w:space="708"/>
          <w:titlePg/>
          <w:docGrid w:linePitch="360"/>
        </w:sectPr>
      </w:pPr>
    </w:p>
    <w:p w14:paraId="240AB133" w14:textId="77777777" w:rsidR="00D85BEA" w:rsidRPr="00200C32" w:rsidRDefault="00D85BEA" w:rsidP="00005CFC"/>
    <w:sectPr w:rsidR="00D85BEA" w:rsidRPr="00200C32" w:rsidSect="00821379">
      <w:headerReference w:type="even" r:id="rId31"/>
      <w:headerReference w:type="default" r:id="rId32"/>
      <w:footerReference w:type="even" r:id="rId33"/>
      <w:footerReference w:type="default" r:id="rId34"/>
      <w:footerReference w:type="first" r:id="rId35"/>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A5B90" w14:textId="77777777" w:rsidR="00493B2E" w:rsidRDefault="00493B2E">
      <w:r>
        <w:separator/>
      </w:r>
    </w:p>
  </w:endnote>
  <w:endnote w:type="continuationSeparator" w:id="0">
    <w:p w14:paraId="287E0116" w14:textId="77777777" w:rsidR="00493B2E" w:rsidRDefault="0049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BD069" w14:textId="77777777" w:rsidR="002B6BE3" w:rsidRDefault="002B6BE3" w:rsidP="0033433C">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0FBE6" w14:textId="77777777" w:rsidR="001D5436" w:rsidRDefault="001D5436" w:rsidP="005A76CC">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A999B" w14:textId="77777777" w:rsidR="001D5436" w:rsidRDefault="001D5436" w:rsidP="005A76CC">
    <w:pPr>
      <w:pStyle w:val="rightfooter"/>
    </w:pPr>
    <w:r>
      <w:fldChar w:fldCharType="begin"/>
    </w:r>
    <w:r>
      <w:instrText xml:space="preserve"> PAGE  \* Arabic  \* MERGEFORMAT </w:instrText>
    </w:r>
    <w:r>
      <w:fldChar w:fldCharType="separate"/>
    </w:r>
    <w:r w:rsidR="00992ED6">
      <w:rPr>
        <w:noProof/>
      </w:rPr>
      <w:t>15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3BE9B" w14:textId="77777777" w:rsidR="002B6BE3" w:rsidRDefault="002B6BE3"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54172" w14:textId="77777777" w:rsidR="002B6BE3" w:rsidRDefault="002B6BE3" w:rsidP="0033433C">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1C671" w14:textId="77777777" w:rsidR="002B6BE3" w:rsidRDefault="002B6BE3" w:rsidP="0033433C">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4A6D3" w14:textId="77777777" w:rsidR="002B6BE3" w:rsidRPr="00B2068E" w:rsidRDefault="002B6BE3" w:rsidP="0033433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2994E" w14:textId="77777777" w:rsidR="00493B2E" w:rsidRDefault="00493B2E" w:rsidP="00570968">
    <w:pPr>
      <w:pStyle w:val="leftfooter"/>
    </w:pPr>
    <w:r>
      <w:fldChar w:fldCharType="begin"/>
    </w:r>
    <w:r>
      <w:instrText xml:space="preserve"> PAGE   \* MERGEFORMAT </w:instrText>
    </w:r>
    <w:r>
      <w:fldChar w:fldCharType="separate"/>
    </w:r>
    <w:r w:rsidR="00992ED6">
      <w:rPr>
        <w:noProof/>
      </w:rPr>
      <w:t>14</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66F87" w14:textId="77777777" w:rsidR="00493B2E" w:rsidRDefault="00493B2E" w:rsidP="00570968">
    <w:pPr>
      <w:pStyle w:val="rightfooter"/>
    </w:pPr>
    <w:r>
      <w:fldChar w:fldCharType="begin"/>
    </w:r>
    <w:r>
      <w:instrText xml:space="preserve"> PAGE   \* MERGEFORMAT </w:instrText>
    </w:r>
    <w:r>
      <w:fldChar w:fldCharType="separate"/>
    </w:r>
    <w:r w:rsidR="00992ED6">
      <w:rPr>
        <w:noProof/>
      </w:rPr>
      <w:t>13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9F54D3" w14:textId="77777777" w:rsidR="00493B2E" w:rsidRDefault="00493B2E" w:rsidP="00570968">
    <w:pPr>
      <w:pStyle w:val="rightfooter"/>
    </w:pPr>
    <w:r>
      <w:fldChar w:fldCharType="begin"/>
    </w:r>
    <w:r>
      <w:instrText xml:space="preserve"> PAGE  \* Arabic  \* MERGEFORMAT </w:instrText>
    </w:r>
    <w:r>
      <w:fldChar w:fldCharType="separate"/>
    </w:r>
    <w:r w:rsidR="00992ED6">
      <w:rPr>
        <w:noProof/>
      </w:rPr>
      <w:t>5</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0D8368" w14:textId="77777777" w:rsidR="001D5436" w:rsidRDefault="001D5436" w:rsidP="005A76CC">
    <w:pPr>
      <w:pStyle w:val="leftfooter"/>
    </w:pP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CAAB3" w14:textId="77777777" w:rsidR="00493B2E" w:rsidRDefault="00493B2E">
      <w:r>
        <w:separator/>
      </w:r>
    </w:p>
  </w:footnote>
  <w:footnote w:type="continuationSeparator" w:id="0">
    <w:p w14:paraId="79EA4759" w14:textId="77777777" w:rsidR="00493B2E" w:rsidRDefault="00493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D4989" w14:textId="77777777" w:rsidR="002B6BE3" w:rsidRDefault="002B6BE3" w:rsidP="0033433C">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93C58" w14:textId="77777777" w:rsidR="001D5436" w:rsidRDefault="001D5436" w:rsidP="005A76CC">
    <w:pPr>
      <w:pStyle w:val="leftheader"/>
    </w:pPr>
    <w:r>
      <w:fldChar w:fldCharType="begin"/>
    </w:r>
    <w:r>
      <w:instrText xml:space="preserve"> macrobutton nomacro [Click here and insert the name of the Bill]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F1EEE" w14:textId="77777777" w:rsidR="001D5436" w:rsidRDefault="001D5436" w:rsidP="005A76CC">
    <w:pPr>
      <w:pStyle w:val="rightheader"/>
    </w:pPr>
    <w:r>
      <w:fldChar w:fldCharType="begin"/>
    </w:r>
    <w:r>
      <w:instrText xml:space="preserve"> macrobutton nomacro [Click here and enter the name of the Chapter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34F0F9" w14:textId="77777777" w:rsidR="002B6BE3" w:rsidRDefault="002B6BE3" w:rsidP="0033433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9411E" w14:textId="77777777" w:rsidR="002B6BE3" w:rsidRDefault="00992ED6">
    <w:pPr>
      <w:pStyle w:val="Header"/>
    </w:pPr>
    <w:r>
      <w:rPr>
        <w:noProof/>
      </w:rPr>
      <w:pict w14:anchorId="713B461A">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8673"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D3C19" w14:textId="77777777" w:rsidR="002B6BE3" w:rsidRDefault="002B6BE3" w:rsidP="0033433C">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C8C9B" w14:textId="77777777" w:rsidR="002B6BE3" w:rsidRDefault="002B6BE3" w:rsidP="0033433C">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7F64A" w14:textId="77777777" w:rsidR="002B6BE3" w:rsidRDefault="002B6BE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3B24A" w14:textId="7A4F71B7" w:rsidR="00493B2E" w:rsidRDefault="00DA541D" w:rsidP="00570968">
    <w:pPr>
      <w:pStyle w:val="leftheader"/>
    </w:pPr>
    <w:r>
      <w:t>Treasury Laws Amendment (2017 Measures No. 2)</w:t>
    </w:r>
    <w:r w:rsidR="004602FF">
      <w:t xml:space="preserve"> Bill</w:t>
    </w:r>
    <w:r>
      <w:t xml:space="preserve"> 2017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BDA0D" w14:textId="0BAF9A72" w:rsidR="00493B2E" w:rsidRDefault="00CE732C" w:rsidP="00570968">
    <w:pPr>
      <w:pStyle w:val="rightheader"/>
    </w:pPr>
    <w:r>
      <w:t xml:space="preserve">Income tax relief for transfers within a fund to a </w:t>
    </w:r>
    <w:proofErr w:type="spellStart"/>
    <w:r>
      <w:t>MySuper</w:t>
    </w:r>
    <w:proofErr w:type="spellEnd"/>
    <w:r>
      <w:t xml:space="preserve"> product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4F943" w14:textId="2A319D8B" w:rsidR="004602FF" w:rsidRDefault="004602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3FB3E18"/>
    <w:multiLevelType w:val="multilevel"/>
    <w:tmpl w:val="A316FE50"/>
    <w:numStyleLink w:val="ChapterList"/>
  </w:abstractNum>
  <w:abstractNum w:abstractNumId="22">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4281CEB"/>
    <w:multiLevelType w:val="multilevel"/>
    <w:tmpl w:val="A316FE50"/>
    <w:numStyleLink w:val="ChapterList"/>
  </w:abstractNum>
  <w:abstractNum w:abstractNumId="25">
    <w:nsid w:val="65DF6494"/>
    <w:multiLevelType w:val="multilevel"/>
    <w:tmpl w:val="A316FE50"/>
    <w:numStyleLink w:val="ChapterList"/>
  </w:abstractNum>
  <w:abstractNum w:abstractNumId="26">
    <w:nsid w:val="6D302C09"/>
    <w:multiLevelType w:val="multilevel"/>
    <w:tmpl w:val="A316FE50"/>
    <w:numStyleLink w:val="ChapterList"/>
  </w:abstractNum>
  <w:abstractNum w:abstractNumId="27">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7"/>
  </w:num>
  <w:num w:numId="17">
    <w:abstractNumId w:val="28"/>
  </w:num>
  <w:num w:numId="18">
    <w:abstractNumId w:val="10"/>
  </w:num>
  <w:num w:numId="19">
    <w:abstractNumId w:val="18"/>
  </w:num>
  <w:num w:numId="20">
    <w:abstractNumId w:val="22"/>
  </w:num>
  <w:num w:numId="21">
    <w:abstractNumId w:val="23"/>
  </w:num>
  <w:num w:numId="22">
    <w:abstractNumId w:val="13"/>
  </w:num>
  <w:num w:numId="23">
    <w:abstractNumId w:val="15"/>
  </w:num>
  <w:num w:numId="24">
    <w:abstractNumId w:val="26"/>
  </w:num>
  <w:num w:numId="25">
    <w:abstractNumId w:val="29"/>
  </w:num>
  <w:num w:numId="26">
    <w:abstractNumId w:val="24"/>
  </w:num>
  <w:num w:numId="27">
    <w:abstractNumId w:val="11"/>
  </w:num>
  <w:num w:numId="28">
    <w:abstractNumId w:val="21"/>
  </w:num>
  <w:num w:numId="29">
    <w:abstractNumId w:val="12"/>
  </w:num>
  <w:num w:numId="30">
    <w:abstractNumId w:val="25"/>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64"/>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8674"/>
    <o:shapelayout v:ext="edit">
      <o:idmap v:ext="edit" data="28"/>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B2E"/>
    <w:rsid w:val="0000020B"/>
    <w:rsid w:val="00005CFC"/>
    <w:rsid w:val="00012F66"/>
    <w:rsid w:val="00027A7D"/>
    <w:rsid w:val="000327A2"/>
    <w:rsid w:val="0003305A"/>
    <w:rsid w:val="00034BE8"/>
    <w:rsid w:val="00050170"/>
    <w:rsid w:val="0005600E"/>
    <w:rsid w:val="00060758"/>
    <w:rsid w:val="00067E1D"/>
    <w:rsid w:val="000705A5"/>
    <w:rsid w:val="000725C0"/>
    <w:rsid w:val="00075250"/>
    <w:rsid w:val="00076543"/>
    <w:rsid w:val="00076E86"/>
    <w:rsid w:val="000835C7"/>
    <w:rsid w:val="00085C5D"/>
    <w:rsid w:val="0009055D"/>
    <w:rsid w:val="00095BFD"/>
    <w:rsid w:val="000960B7"/>
    <w:rsid w:val="000A0AFD"/>
    <w:rsid w:val="000A2094"/>
    <w:rsid w:val="000A341E"/>
    <w:rsid w:val="000A5B26"/>
    <w:rsid w:val="000A6DBE"/>
    <w:rsid w:val="000B7FBA"/>
    <w:rsid w:val="000C06D9"/>
    <w:rsid w:val="000D54A6"/>
    <w:rsid w:val="000E089D"/>
    <w:rsid w:val="000E5B9A"/>
    <w:rsid w:val="001114E6"/>
    <w:rsid w:val="00113E19"/>
    <w:rsid w:val="00121EB0"/>
    <w:rsid w:val="00123D96"/>
    <w:rsid w:val="0012405D"/>
    <w:rsid w:val="00124E15"/>
    <w:rsid w:val="001275D9"/>
    <w:rsid w:val="00131E0C"/>
    <w:rsid w:val="0014197C"/>
    <w:rsid w:val="00147843"/>
    <w:rsid w:val="001557D8"/>
    <w:rsid w:val="00166B0C"/>
    <w:rsid w:val="00174A29"/>
    <w:rsid w:val="001757E2"/>
    <w:rsid w:val="001A7A18"/>
    <w:rsid w:val="001C06F7"/>
    <w:rsid w:val="001C24C4"/>
    <w:rsid w:val="001C5156"/>
    <w:rsid w:val="001D5436"/>
    <w:rsid w:val="001D7A81"/>
    <w:rsid w:val="001E3F24"/>
    <w:rsid w:val="001E6545"/>
    <w:rsid w:val="001E6C9E"/>
    <w:rsid w:val="001F3ED2"/>
    <w:rsid w:val="00200C32"/>
    <w:rsid w:val="00200E96"/>
    <w:rsid w:val="00201B36"/>
    <w:rsid w:val="00220D6C"/>
    <w:rsid w:val="00222D57"/>
    <w:rsid w:val="00227643"/>
    <w:rsid w:val="00231CBA"/>
    <w:rsid w:val="002359B8"/>
    <w:rsid w:val="00236A1C"/>
    <w:rsid w:val="00250154"/>
    <w:rsid w:val="00253E01"/>
    <w:rsid w:val="002576C7"/>
    <w:rsid w:val="0026170D"/>
    <w:rsid w:val="00266048"/>
    <w:rsid w:val="00267A58"/>
    <w:rsid w:val="00272FD3"/>
    <w:rsid w:val="002748EB"/>
    <w:rsid w:val="002857E2"/>
    <w:rsid w:val="002A4F1C"/>
    <w:rsid w:val="002A64A2"/>
    <w:rsid w:val="002B2C74"/>
    <w:rsid w:val="002B6BE3"/>
    <w:rsid w:val="002C43E8"/>
    <w:rsid w:val="002D2436"/>
    <w:rsid w:val="002D6555"/>
    <w:rsid w:val="002E3A4D"/>
    <w:rsid w:val="002E5FD3"/>
    <w:rsid w:val="002F2244"/>
    <w:rsid w:val="002F3991"/>
    <w:rsid w:val="002F75B0"/>
    <w:rsid w:val="00301548"/>
    <w:rsid w:val="0030256C"/>
    <w:rsid w:val="0031637C"/>
    <w:rsid w:val="00320374"/>
    <w:rsid w:val="003205D1"/>
    <w:rsid w:val="00325BF0"/>
    <w:rsid w:val="00342F98"/>
    <w:rsid w:val="00345CCB"/>
    <w:rsid w:val="00346BEB"/>
    <w:rsid w:val="003501C2"/>
    <w:rsid w:val="003505E3"/>
    <w:rsid w:val="0036787F"/>
    <w:rsid w:val="00370AE1"/>
    <w:rsid w:val="00370CF4"/>
    <w:rsid w:val="003719A4"/>
    <w:rsid w:val="00376FAF"/>
    <w:rsid w:val="00377CD4"/>
    <w:rsid w:val="00383468"/>
    <w:rsid w:val="00386A6F"/>
    <w:rsid w:val="00387BAB"/>
    <w:rsid w:val="00390E94"/>
    <w:rsid w:val="0039400F"/>
    <w:rsid w:val="003A311E"/>
    <w:rsid w:val="003A5A84"/>
    <w:rsid w:val="003A5D7E"/>
    <w:rsid w:val="003B2C77"/>
    <w:rsid w:val="003B550D"/>
    <w:rsid w:val="003C1301"/>
    <w:rsid w:val="003C5BA3"/>
    <w:rsid w:val="003C6D5E"/>
    <w:rsid w:val="003D6FD9"/>
    <w:rsid w:val="003D734D"/>
    <w:rsid w:val="003D7F02"/>
    <w:rsid w:val="003E0794"/>
    <w:rsid w:val="003E19E0"/>
    <w:rsid w:val="003E5EE9"/>
    <w:rsid w:val="003E68F7"/>
    <w:rsid w:val="003F096C"/>
    <w:rsid w:val="003F4BD0"/>
    <w:rsid w:val="00411C02"/>
    <w:rsid w:val="0043366C"/>
    <w:rsid w:val="00433B1D"/>
    <w:rsid w:val="00433FD9"/>
    <w:rsid w:val="00436054"/>
    <w:rsid w:val="00441D38"/>
    <w:rsid w:val="00442FB9"/>
    <w:rsid w:val="0044391B"/>
    <w:rsid w:val="00450635"/>
    <w:rsid w:val="00451BB3"/>
    <w:rsid w:val="00457BC3"/>
    <w:rsid w:val="00460019"/>
    <w:rsid w:val="004602FF"/>
    <w:rsid w:val="00465A34"/>
    <w:rsid w:val="00470181"/>
    <w:rsid w:val="004710EB"/>
    <w:rsid w:val="00471E90"/>
    <w:rsid w:val="00475D9F"/>
    <w:rsid w:val="00480C91"/>
    <w:rsid w:val="004836D2"/>
    <w:rsid w:val="00483A94"/>
    <w:rsid w:val="00493B2E"/>
    <w:rsid w:val="004B755A"/>
    <w:rsid w:val="004C1468"/>
    <w:rsid w:val="004D6952"/>
    <w:rsid w:val="004D6B85"/>
    <w:rsid w:val="004E161F"/>
    <w:rsid w:val="004E6082"/>
    <w:rsid w:val="00500C4E"/>
    <w:rsid w:val="00502551"/>
    <w:rsid w:val="00504D4A"/>
    <w:rsid w:val="005052B0"/>
    <w:rsid w:val="0050652E"/>
    <w:rsid w:val="00512130"/>
    <w:rsid w:val="00515E69"/>
    <w:rsid w:val="005177DF"/>
    <w:rsid w:val="00517B68"/>
    <w:rsid w:val="00523617"/>
    <w:rsid w:val="005255EA"/>
    <w:rsid w:val="00532697"/>
    <w:rsid w:val="005408E6"/>
    <w:rsid w:val="0054284D"/>
    <w:rsid w:val="00555D38"/>
    <w:rsid w:val="00560C14"/>
    <w:rsid w:val="005662E7"/>
    <w:rsid w:val="0057198A"/>
    <w:rsid w:val="0057494D"/>
    <w:rsid w:val="00580C19"/>
    <w:rsid w:val="00585A37"/>
    <w:rsid w:val="00585AFF"/>
    <w:rsid w:val="005A2006"/>
    <w:rsid w:val="005A5348"/>
    <w:rsid w:val="005A5BB3"/>
    <w:rsid w:val="005A76CC"/>
    <w:rsid w:val="005B22C7"/>
    <w:rsid w:val="005B4967"/>
    <w:rsid w:val="005B4BC1"/>
    <w:rsid w:val="005B546F"/>
    <w:rsid w:val="005B5753"/>
    <w:rsid w:val="005C0475"/>
    <w:rsid w:val="005C2B1A"/>
    <w:rsid w:val="005C6FB4"/>
    <w:rsid w:val="005D0F90"/>
    <w:rsid w:val="005E741D"/>
    <w:rsid w:val="005E77E1"/>
    <w:rsid w:val="0060211C"/>
    <w:rsid w:val="006071CA"/>
    <w:rsid w:val="006071E9"/>
    <w:rsid w:val="00621518"/>
    <w:rsid w:val="00621923"/>
    <w:rsid w:val="00631572"/>
    <w:rsid w:val="006412C3"/>
    <w:rsid w:val="00653DA2"/>
    <w:rsid w:val="00654355"/>
    <w:rsid w:val="00662755"/>
    <w:rsid w:val="006647E5"/>
    <w:rsid w:val="006655F9"/>
    <w:rsid w:val="006712FD"/>
    <w:rsid w:val="00676AC8"/>
    <w:rsid w:val="006857AE"/>
    <w:rsid w:val="006916A8"/>
    <w:rsid w:val="0069360E"/>
    <w:rsid w:val="006A4718"/>
    <w:rsid w:val="006C3CEB"/>
    <w:rsid w:val="006D4184"/>
    <w:rsid w:val="006D4CA4"/>
    <w:rsid w:val="006D737B"/>
    <w:rsid w:val="006E01A2"/>
    <w:rsid w:val="006E08FB"/>
    <w:rsid w:val="006E60FD"/>
    <w:rsid w:val="006F15D4"/>
    <w:rsid w:val="006F330B"/>
    <w:rsid w:val="006F7AFB"/>
    <w:rsid w:val="007001D0"/>
    <w:rsid w:val="00703C25"/>
    <w:rsid w:val="00707D39"/>
    <w:rsid w:val="00710171"/>
    <w:rsid w:val="007155B4"/>
    <w:rsid w:val="00725B4F"/>
    <w:rsid w:val="007329C5"/>
    <w:rsid w:val="00736240"/>
    <w:rsid w:val="007439D0"/>
    <w:rsid w:val="007454F8"/>
    <w:rsid w:val="00753239"/>
    <w:rsid w:val="00762AAE"/>
    <w:rsid w:val="00762D28"/>
    <w:rsid w:val="007652BC"/>
    <w:rsid w:val="00766B32"/>
    <w:rsid w:val="00767463"/>
    <w:rsid w:val="00774214"/>
    <w:rsid w:val="007871CD"/>
    <w:rsid w:val="00790795"/>
    <w:rsid w:val="00792ECD"/>
    <w:rsid w:val="00793F75"/>
    <w:rsid w:val="007966EF"/>
    <w:rsid w:val="007A1BCB"/>
    <w:rsid w:val="007A3853"/>
    <w:rsid w:val="007A4C99"/>
    <w:rsid w:val="007B09BD"/>
    <w:rsid w:val="007B188B"/>
    <w:rsid w:val="007B23EE"/>
    <w:rsid w:val="007C01A9"/>
    <w:rsid w:val="007D1821"/>
    <w:rsid w:val="007E25E0"/>
    <w:rsid w:val="007E3C31"/>
    <w:rsid w:val="007F5B1F"/>
    <w:rsid w:val="00804BFA"/>
    <w:rsid w:val="008075E1"/>
    <w:rsid w:val="00810262"/>
    <w:rsid w:val="00813210"/>
    <w:rsid w:val="008147F1"/>
    <w:rsid w:val="008210AE"/>
    <w:rsid w:val="008212B5"/>
    <w:rsid w:val="00821379"/>
    <w:rsid w:val="0082184A"/>
    <w:rsid w:val="00827930"/>
    <w:rsid w:val="00830A28"/>
    <w:rsid w:val="00832743"/>
    <w:rsid w:val="008347FA"/>
    <w:rsid w:val="00835001"/>
    <w:rsid w:val="00842AE7"/>
    <w:rsid w:val="00844687"/>
    <w:rsid w:val="0084597E"/>
    <w:rsid w:val="00855D57"/>
    <w:rsid w:val="00860F24"/>
    <w:rsid w:val="0086780E"/>
    <w:rsid w:val="00867F0F"/>
    <w:rsid w:val="008752F1"/>
    <w:rsid w:val="00880CD0"/>
    <w:rsid w:val="00885BE8"/>
    <w:rsid w:val="00890245"/>
    <w:rsid w:val="008923A4"/>
    <w:rsid w:val="008B0747"/>
    <w:rsid w:val="008B095D"/>
    <w:rsid w:val="008B153A"/>
    <w:rsid w:val="008B31CE"/>
    <w:rsid w:val="008B56B5"/>
    <w:rsid w:val="008C359D"/>
    <w:rsid w:val="008C51F4"/>
    <w:rsid w:val="008C68A9"/>
    <w:rsid w:val="008D0AE4"/>
    <w:rsid w:val="008D2B26"/>
    <w:rsid w:val="008D4C40"/>
    <w:rsid w:val="008D75E9"/>
    <w:rsid w:val="008F1A67"/>
    <w:rsid w:val="008F69D1"/>
    <w:rsid w:val="008F726E"/>
    <w:rsid w:val="00901ED2"/>
    <w:rsid w:val="009125BB"/>
    <w:rsid w:val="00915FA5"/>
    <w:rsid w:val="00917DED"/>
    <w:rsid w:val="00922787"/>
    <w:rsid w:val="0092403D"/>
    <w:rsid w:val="00926475"/>
    <w:rsid w:val="00926E36"/>
    <w:rsid w:val="00927705"/>
    <w:rsid w:val="00935C6B"/>
    <w:rsid w:val="00937B71"/>
    <w:rsid w:val="00940BFD"/>
    <w:rsid w:val="0095290C"/>
    <w:rsid w:val="009530DE"/>
    <w:rsid w:val="00953F17"/>
    <w:rsid w:val="009615B2"/>
    <w:rsid w:val="0096411E"/>
    <w:rsid w:val="009650A9"/>
    <w:rsid w:val="00967C25"/>
    <w:rsid w:val="00973550"/>
    <w:rsid w:val="009759C8"/>
    <w:rsid w:val="00992ED6"/>
    <w:rsid w:val="009973BE"/>
    <w:rsid w:val="009977B4"/>
    <w:rsid w:val="00997812"/>
    <w:rsid w:val="009A2B11"/>
    <w:rsid w:val="009A4908"/>
    <w:rsid w:val="009B0AB7"/>
    <w:rsid w:val="009B2AD6"/>
    <w:rsid w:val="009B3657"/>
    <w:rsid w:val="009C380E"/>
    <w:rsid w:val="009E5ACA"/>
    <w:rsid w:val="009E6C76"/>
    <w:rsid w:val="009F329F"/>
    <w:rsid w:val="00A01492"/>
    <w:rsid w:val="00A03E30"/>
    <w:rsid w:val="00A04A9F"/>
    <w:rsid w:val="00A07DDF"/>
    <w:rsid w:val="00A1128B"/>
    <w:rsid w:val="00A22C72"/>
    <w:rsid w:val="00A2441B"/>
    <w:rsid w:val="00A27B13"/>
    <w:rsid w:val="00A27B94"/>
    <w:rsid w:val="00A32143"/>
    <w:rsid w:val="00A332EA"/>
    <w:rsid w:val="00A37F77"/>
    <w:rsid w:val="00A44E9C"/>
    <w:rsid w:val="00A516CB"/>
    <w:rsid w:val="00A53EB2"/>
    <w:rsid w:val="00A54B08"/>
    <w:rsid w:val="00A54CD3"/>
    <w:rsid w:val="00A575AE"/>
    <w:rsid w:val="00A61078"/>
    <w:rsid w:val="00A65D09"/>
    <w:rsid w:val="00A6786A"/>
    <w:rsid w:val="00A722B0"/>
    <w:rsid w:val="00A834B8"/>
    <w:rsid w:val="00A86CA1"/>
    <w:rsid w:val="00A86F1A"/>
    <w:rsid w:val="00A9159F"/>
    <w:rsid w:val="00A9275F"/>
    <w:rsid w:val="00A93921"/>
    <w:rsid w:val="00A96322"/>
    <w:rsid w:val="00AA20C9"/>
    <w:rsid w:val="00AA2141"/>
    <w:rsid w:val="00AA50D8"/>
    <w:rsid w:val="00AA5524"/>
    <w:rsid w:val="00AA7B15"/>
    <w:rsid w:val="00AB5CA3"/>
    <w:rsid w:val="00AD1AAD"/>
    <w:rsid w:val="00AD3719"/>
    <w:rsid w:val="00AD4ABE"/>
    <w:rsid w:val="00AD687A"/>
    <w:rsid w:val="00AD6DC4"/>
    <w:rsid w:val="00AD6E17"/>
    <w:rsid w:val="00AE23F9"/>
    <w:rsid w:val="00AF0A9F"/>
    <w:rsid w:val="00AF0EB2"/>
    <w:rsid w:val="00AF2322"/>
    <w:rsid w:val="00AF3340"/>
    <w:rsid w:val="00B00C37"/>
    <w:rsid w:val="00B07898"/>
    <w:rsid w:val="00B07E68"/>
    <w:rsid w:val="00B206C1"/>
    <w:rsid w:val="00B31641"/>
    <w:rsid w:val="00B321BE"/>
    <w:rsid w:val="00B3403E"/>
    <w:rsid w:val="00B3666F"/>
    <w:rsid w:val="00B44CDE"/>
    <w:rsid w:val="00B561CE"/>
    <w:rsid w:val="00B6273D"/>
    <w:rsid w:val="00B64794"/>
    <w:rsid w:val="00B654ED"/>
    <w:rsid w:val="00B67600"/>
    <w:rsid w:val="00B725B1"/>
    <w:rsid w:val="00B7388C"/>
    <w:rsid w:val="00B7408F"/>
    <w:rsid w:val="00B75DB6"/>
    <w:rsid w:val="00B8138A"/>
    <w:rsid w:val="00B93631"/>
    <w:rsid w:val="00B94871"/>
    <w:rsid w:val="00B94FB4"/>
    <w:rsid w:val="00BA2235"/>
    <w:rsid w:val="00BA2903"/>
    <w:rsid w:val="00BA728F"/>
    <w:rsid w:val="00BC33C9"/>
    <w:rsid w:val="00BC3DB1"/>
    <w:rsid w:val="00BD4513"/>
    <w:rsid w:val="00BE681A"/>
    <w:rsid w:val="00BF1C59"/>
    <w:rsid w:val="00BF6E9B"/>
    <w:rsid w:val="00C03AF3"/>
    <w:rsid w:val="00C05595"/>
    <w:rsid w:val="00C125C9"/>
    <w:rsid w:val="00C1738A"/>
    <w:rsid w:val="00C21547"/>
    <w:rsid w:val="00C26CB0"/>
    <w:rsid w:val="00C27414"/>
    <w:rsid w:val="00C32240"/>
    <w:rsid w:val="00C44D85"/>
    <w:rsid w:val="00C55D39"/>
    <w:rsid w:val="00C60533"/>
    <w:rsid w:val="00C63848"/>
    <w:rsid w:val="00C643DF"/>
    <w:rsid w:val="00C72356"/>
    <w:rsid w:val="00C744BC"/>
    <w:rsid w:val="00C8648B"/>
    <w:rsid w:val="00C90828"/>
    <w:rsid w:val="00C947E7"/>
    <w:rsid w:val="00C978EF"/>
    <w:rsid w:val="00CA5F63"/>
    <w:rsid w:val="00CA7CDA"/>
    <w:rsid w:val="00CB007F"/>
    <w:rsid w:val="00CB13F3"/>
    <w:rsid w:val="00CB6473"/>
    <w:rsid w:val="00CC0052"/>
    <w:rsid w:val="00CC09C5"/>
    <w:rsid w:val="00CC407A"/>
    <w:rsid w:val="00CC5A10"/>
    <w:rsid w:val="00CD1FA8"/>
    <w:rsid w:val="00CE1CB4"/>
    <w:rsid w:val="00CE4136"/>
    <w:rsid w:val="00CE5590"/>
    <w:rsid w:val="00CE732C"/>
    <w:rsid w:val="00CF3913"/>
    <w:rsid w:val="00CF5226"/>
    <w:rsid w:val="00CF5EE9"/>
    <w:rsid w:val="00CF670E"/>
    <w:rsid w:val="00D010B7"/>
    <w:rsid w:val="00D01826"/>
    <w:rsid w:val="00D01E95"/>
    <w:rsid w:val="00D11D73"/>
    <w:rsid w:val="00D13500"/>
    <w:rsid w:val="00D15430"/>
    <w:rsid w:val="00D22699"/>
    <w:rsid w:val="00D24E92"/>
    <w:rsid w:val="00D363E1"/>
    <w:rsid w:val="00D372B4"/>
    <w:rsid w:val="00D4029F"/>
    <w:rsid w:val="00D45713"/>
    <w:rsid w:val="00D46587"/>
    <w:rsid w:val="00D522E9"/>
    <w:rsid w:val="00D62305"/>
    <w:rsid w:val="00D66F0C"/>
    <w:rsid w:val="00D67ADC"/>
    <w:rsid w:val="00D75FB3"/>
    <w:rsid w:val="00D76216"/>
    <w:rsid w:val="00D85B38"/>
    <w:rsid w:val="00D85BEA"/>
    <w:rsid w:val="00D90D9C"/>
    <w:rsid w:val="00D93657"/>
    <w:rsid w:val="00D96329"/>
    <w:rsid w:val="00D963F2"/>
    <w:rsid w:val="00D96D59"/>
    <w:rsid w:val="00DA541D"/>
    <w:rsid w:val="00DA72C6"/>
    <w:rsid w:val="00DB0724"/>
    <w:rsid w:val="00DB1F26"/>
    <w:rsid w:val="00DB36FF"/>
    <w:rsid w:val="00DB4106"/>
    <w:rsid w:val="00DC307F"/>
    <w:rsid w:val="00DD2EC4"/>
    <w:rsid w:val="00DD6306"/>
    <w:rsid w:val="00DE0300"/>
    <w:rsid w:val="00DE2E40"/>
    <w:rsid w:val="00DF0552"/>
    <w:rsid w:val="00E01A29"/>
    <w:rsid w:val="00E110EE"/>
    <w:rsid w:val="00E2061C"/>
    <w:rsid w:val="00E31B34"/>
    <w:rsid w:val="00E326AD"/>
    <w:rsid w:val="00E33716"/>
    <w:rsid w:val="00E428FF"/>
    <w:rsid w:val="00E47DF5"/>
    <w:rsid w:val="00E509B6"/>
    <w:rsid w:val="00E54185"/>
    <w:rsid w:val="00E6297E"/>
    <w:rsid w:val="00E62E8C"/>
    <w:rsid w:val="00E65392"/>
    <w:rsid w:val="00E71BEB"/>
    <w:rsid w:val="00E734CD"/>
    <w:rsid w:val="00E7365D"/>
    <w:rsid w:val="00E74BDE"/>
    <w:rsid w:val="00E80C57"/>
    <w:rsid w:val="00E82AEC"/>
    <w:rsid w:val="00E856E0"/>
    <w:rsid w:val="00E85785"/>
    <w:rsid w:val="00E87729"/>
    <w:rsid w:val="00E91A7C"/>
    <w:rsid w:val="00E96257"/>
    <w:rsid w:val="00EA1346"/>
    <w:rsid w:val="00EB07D7"/>
    <w:rsid w:val="00EC1CFB"/>
    <w:rsid w:val="00ED204D"/>
    <w:rsid w:val="00ED50A3"/>
    <w:rsid w:val="00EE7884"/>
    <w:rsid w:val="00EF521D"/>
    <w:rsid w:val="00EF789C"/>
    <w:rsid w:val="00F005D6"/>
    <w:rsid w:val="00F025FB"/>
    <w:rsid w:val="00F053A1"/>
    <w:rsid w:val="00F05754"/>
    <w:rsid w:val="00F14312"/>
    <w:rsid w:val="00F1601D"/>
    <w:rsid w:val="00F23294"/>
    <w:rsid w:val="00F35A22"/>
    <w:rsid w:val="00F44688"/>
    <w:rsid w:val="00F44A2E"/>
    <w:rsid w:val="00F51A71"/>
    <w:rsid w:val="00F53954"/>
    <w:rsid w:val="00F605D2"/>
    <w:rsid w:val="00F715FA"/>
    <w:rsid w:val="00F760FB"/>
    <w:rsid w:val="00F853D1"/>
    <w:rsid w:val="00F86732"/>
    <w:rsid w:val="00F87253"/>
    <w:rsid w:val="00F87F97"/>
    <w:rsid w:val="00F918CE"/>
    <w:rsid w:val="00F92FE2"/>
    <w:rsid w:val="00F95B90"/>
    <w:rsid w:val="00FA0F15"/>
    <w:rsid w:val="00FA129E"/>
    <w:rsid w:val="00FA3792"/>
    <w:rsid w:val="00FB2977"/>
    <w:rsid w:val="00FB53AE"/>
    <w:rsid w:val="00FC06E1"/>
    <w:rsid w:val="00FC1516"/>
    <w:rsid w:val="00FC2AD1"/>
    <w:rsid w:val="00FC604E"/>
    <w:rsid w:val="00FD4B5C"/>
    <w:rsid w:val="00FD5F9C"/>
    <w:rsid w:val="00FE2ED4"/>
    <w:rsid w:val="00FE3FB5"/>
    <w:rsid w:val="00FE4340"/>
    <w:rsid w:val="00FF0747"/>
    <w:rsid w:val="00FF71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14:docId w14:val="18AD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EC1CFB"/>
    <w:pPr>
      <w:spacing w:before="0" w:after="0"/>
    </w:pPr>
    <w:rPr>
      <w:rFonts w:ascii="Tahoma" w:hAnsi="Tahoma" w:cs="Tahoma"/>
      <w:sz w:val="16"/>
      <w:szCs w:val="16"/>
    </w:rPr>
  </w:style>
  <w:style w:type="character" w:customStyle="1" w:styleId="BalloonTextChar">
    <w:name w:val="Balloon Text Char"/>
    <w:basedOn w:val="DefaultParagraphFont"/>
    <w:link w:val="BalloonText"/>
    <w:rsid w:val="00EC1CFB"/>
    <w:rPr>
      <w:rFonts w:ascii="Tahoma" w:hAnsi="Tahoma" w:cs="Tahoma"/>
      <w:sz w:val="16"/>
      <w:szCs w:val="16"/>
    </w:rPr>
  </w:style>
  <w:style w:type="paragraph" w:styleId="Revision">
    <w:name w:val="Revision"/>
    <w:hidden/>
    <w:uiPriority w:val="99"/>
    <w:semiHidden/>
    <w:rsid w:val="007B09B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styleId="BalloonText">
    <w:name w:val="Balloon Text"/>
    <w:basedOn w:val="Normal"/>
    <w:link w:val="BalloonTextChar"/>
    <w:rsid w:val="00EC1CFB"/>
    <w:pPr>
      <w:spacing w:before="0" w:after="0"/>
    </w:pPr>
    <w:rPr>
      <w:rFonts w:ascii="Tahoma" w:hAnsi="Tahoma" w:cs="Tahoma"/>
      <w:sz w:val="16"/>
      <w:szCs w:val="16"/>
    </w:rPr>
  </w:style>
  <w:style w:type="character" w:customStyle="1" w:styleId="BalloonTextChar">
    <w:name w:val="Balloon Text Char"/>
    <w:basedOn w:val="DefaultParagraphFont"/>
    <w:link w:val="BalloonText"/>
    <w:rsid w:val="00EC1CFB"/>
    <w:rPr>
      <w:rFonts w:ascii="Tahoma" w:hAnsi="Tahoma" w:cs="Tahoma"/>
      <w:sz w:val="16"/>
      <w:szCs w:val="16"/>
    </w:rPr>
  </w:style>
  <w:style w:type="paragraph" w:styleId="Revision">
    <w:name w:val="Revision"/>
    <w:hidden/>
    <w:uiPriority w:val="99"/>
    <w:semiHidden/>
    <w:rsid w:val="007B09B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footer" Target="footer10.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header" Target="header1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1591" ma:contentTypeDescription="" ma:contentTypeScope="" ma:versionID="4b8454f30c122d8449572de6e834f1ba">
  <xsd:schema xmlns:xsd="http://www.w3.org/2001/XMLSchema" xmlns:xs="http://www.w3.org/2001/XMLSchema" xmlns:p="http://schemas.microsoft.com/office/2006/metadata/properties" xmlns:ns1="http://schemas.microsoft.com/sharepoint/v3" xmlns:ns2="9f7bc583-7cbe-45b9-a2bd-8bbb6543b37e" xmlns:ns3="687b78b0-2ddd-4441-8a8b-c9638c2a1939" xmlns:ns4="http://schemas.microsoft.com/sharepoint/v4" targetNamespace="http://schemas.microsoft.com/office/2006/metadata/properties" ma:root="true" ma:fieldsID="af120acbddca680254f5bb40ee17e241" ns1:_="" ns2:_="" ns3:_="" ns4:_="">
    <xsd:import namespace="http://schemas.microsoft.com/sharepoint/v3"/>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element ref="ns3:LMU_x0020_Number" minOccurs="0"/>
                <xsd:element ref="ns3:Status" minOccurs="0"/>
                <xsd:element ref="ns3:Number_x0020_version" minOccurs="0"/>
                <xsd:element ref="ns3:NAture_x0020_of_x0020_documents1" minOccurs="0"/>
                <xsd:element ref="ns3:Responsible_x0020_LDP_x0020_Officers1" minOccurs="0"/>
                <xsd:element ref="ns3:Parliamentary_x0020_ses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Responsible_x0020_LDP_x0020_Officers1" ma:index="22" nillable="true" ma:displayName="Responsible LDP Officers" ma:internalName="Responsible_x0020_LDP_x0020_Officers1">
      <xsd:complexType>
        <xsd:complexContent>
          <xsd:extension base="dms:MultiChoice">
            <xsd:sequence>
              <xsd:element name="Value" maxOccurs="unbounded" minOccurs="0" nillable="true">
                <xsd:simpleType>
                  <xsd:restriction base="dms:Choice">
                    <xsd:enumeration value="Amanda Zanardo"/>
                    <xsd:enumeration value="Amy Land-Pejoska"/>
                    <xsd:enumeration value="Amy Wang"/>
                    <xsd:enumeration value="Ashlea King"/>
                    <xsd:enumeration value="Ashley George"/>
                    <xsd:enumeration value="Caroline Walker"/>
                    <xsd:enumeration value="Danuta Vejvara"/>
                    <xsd:enumeration value="Di Phelan"/>
                    <xsd:enumeration value="Erica Lejins"/>
                    <xsd:enumeration value="Heidi Moses"/>
                    <xsd:enumeration value="Janelle Hanns"/>
                    <xsd:enumeration value="Jesse Murphy"/>
                    <xsd:enumeration value="Kerrie Warburton"/>
                    <xsd:enumeration value="Kevin Hogan"/>
                    <xsd:enumeration value="Laurel Beresford"/>
                    <xsd:enumeration value="Lea Osborne"/>
                    <xsd:enumeration value="Lorraine Bray"/>
                    <xsd:enumeration value="Lucy Harris"/>
                    <xsd:enumeration value="Michael Lim"/>
                    <xsd:enumeration value="Michelle Rak"/>
                    <xsd:enumeration value="Nicholas Kavass"/>
                    <xsd:enumeration value="Nik Wahi"/>
                    <xsd:enumeration value="Patrick Boyd"/>
                    <xsd:enumeration value="Phil Bignell"/>
                    <xsd:enumeration value="Philip Akroyd"/>
                    <xsd:enumeration value="Richard Murphy"/>
                    <xsd:enumeration value="Ronita Ram"/>
                    <xsd:enumeration value="Ruby Ting"/>
                    <xsd:enumeration value="Sharon Anderson"/>
                    <xsd:enumeration value="Simon Li"/>
                    <xsd:enumeration value="Simon Weiss"/>
                    <xsd:enumeration value="Sophia Konti"/>
                    <xsd:enumeration value="Sophie Bentwood"/>
                    <xsd:enumeration value="Sue Vroombout"/>
                    <xsd:enumeration value="Tara McLachlan"/>
                    <xsd:enumeration value="Taylor Black"/>
                    <xsd:enumeration value="Tom Reid"/>
                    <xsd:enumeration value="Tony Regan"/>
                    <xsd:enumeration value="Vhairi Cowie"/>
                    <xsd:enumeration value="Victoria Bennett"/>
                  </xsd:restriction>
                </xsd:simpleType>
              </xsd:element>
            </xsd:sequence>
          </xsd:extension>
        </xsd:complexContent>
      </xsd:complexType>
    </xsd:element>
    <xsd:element name="Parliamentary_x0020_session" ma:index="23"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enumeration value="43rd"/>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LMU_x0020_Number xmlns="687b78b0-2ddd-4441-8a8b-c9638c2a1939" xsi:nil="true"/>
    <Responsible_x0020_LDP_x0020_Officers1 xmlns="687b78b0-2ddd-4441-8a8b-c9638c2a1939">
      <Value>Amy Wang</Value>
    </Responsible_x0020_LDP_x0020_Officers1>
    <IconOverlay xmlns="http://schemas.microsoft.com/sharepoint/v4" xsi:nil="true"/>
    <Parliamentary_x0020_session xmlns="687b78b0-2ddd-4441-8a8b-c9638c2a1939">
      <Value>45th</Value>
    </Parliamentary_x0020_session>
    <Number_x0020_version xmlns="687b78b0-2ddd-4441-8a8b-c9638c2a1939" xsi:nil="true"/>
    <Status xmlns="687b78b0-2ddd-4441-8a8b-c9638c2a1939">
      <Value>Current</Value>
    </Status>
    <NAture_x0020_of_x0020_documents1 xmlns="687b78b0-2ddd-4441-8a8b-c9638c2a1939">
      <Value>Explanatory memorandum/statement</Value>
    </NAture_x0020_of_x0020_documents1>
    <TaxCatchAll xmlns="9f7bc583-7cbe-45b9-a2bd-8bbb6543b37e">
      <Value>7</Value>
    </TaxCatchAll>
    <_dlc_DocId xmlns="9f7bc583-7cbe-45b9-a2bd-8bbb6543b37e">2017RG-136-29941</_dlc_DocId>
    <_dlc_DocIdUrl xmlns="9f7bc583-7cbe-45b9-a2bd-8bbb6543b37e">
      <Url>http://tweb13/sites/rg/ldp/_layouts/15/DocIdRedir.aspx?ID=2017RG-136-29941</Url>
      <Description>2017RG-136-29941</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C2670-8AF4-4DDF-B8A5-8B7DF9B49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189C17-3C1F-4174-AB2B-D34D37ADEB47}">
  <ds:schemaRefs>
    <ds:schemaRef ds:uri="http://schemas.microsoft.com/sharepoint/events"/>
  </ds:schemaRefs>
</ds:datastoreItem>
</file>

<file path=customXml/itemProps3.xml><?xml version="1.0" encoding="utf-8"?>
<ds:datastoreItem xmlns:ds="http://schemas.openxmlformats.org/officeDocument/2006/customXml" ds:itemID="{0F9022A2-0DB2-45B9-9094-48B21F36D595}">
  <ds:schemaRefs>
    <ds:schemaRef ds:uri="office.server.policy"/>
  </ds:schemaRefs>
</ds:datastoreItem>
</file>

<file path=customXml/itemProps4.xml><?xml version="1.0" encoding="utf-8"?>
<ds:datastoreItem xmlns:ds="http://schemas.openxmlformats.org/officeDocument/2006/customXml" ds:itemID="{9B751CBD-9655-42D5-A487-21D05BAB690F}">
  <ds:schemaRefs>
    <ds:schemaRef ds:uri="http://schemas.microsoft.com/sharepoint/v3/contenttype/forms"/>
  </ds:schemaRefs>
</ds:datastoreItem>
</file>

<file path=customXml/itemProps5.xml><?xml version="1.0" encoding="utf-8"?>
<ds:datastoreItem xmlns:ds="http://schemas.openxmlformats.org/officeDocument/2006/customXml" ds:itemID="{9DB29329-5E58-48DC-8590-C12026FEBFAF}">
  <ds:schemaRefs>
    <ds:schemaRef ds:uri="http://schemas.microsoft.com/office/2006/documentManagement/types"/>
    <ds:schemaRef ds:uri="9f7bc583-7cbe-45b9-a2bd-8bbb6543b37e"/>
    <ds:schemaRef ds:uri="http://schemas.microsoft.com/office/2006/metadata/properties"/>
    <ds:schemaRef ds:uri="http://schemas.microsoft.com/office/infopath/2007/PartnerControls"/>
    <ds:schemaRef ds:uri="http://schemas.openxmlformats.org/package/2006/metadata/core-properties"/>
    <ds:schemaRef ds:uri="http://schemas.microsoft.com/sharepoint/v4"/>
    <ds:schemaRef ds:uri="http://purl.org/dc/terms/"/>
    <ds:schemaRef ds:uri="http://schemas.microsoft.com/sharepoint/v3"/>
    <ds:schemaRef ds:uri="http://purl.org/dc/elements/1.1/"/>
    <ds:schemaRef ds:uri="687b78b0-2ddd-4441-8a8b-c9638c2a1939"/>
    <ds:schemaRef ds:uri="http://www.w3.org/XML/1998/namespace"/>
    <ds:schemaRef ds:uri="http://purl.org/dc/dcmitype/"/>
  </ds:schemaRefs>
</ds:datastoreItem>
</file>

<file path=customXml/itemProps6.xml><?xml version="1.0" encoding="utf-8"?>
<ds:datastoreItem xmlns:ds="http://schemas.openxmlformats.org/officeDocument/2006/customXml" ds:itemID="{6D983654-C780-4A1C-8336-64989F9FB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0</TotalTime>
  <Pages>15</Pages>
  <Words>3182</Words>
  <Characters>16539</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19682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Amy</dc:creator>
  <cp:lastModifiedBy>Broderick, Steele</cp:lastModifiedBy>
  <cp:revision>2</cp:revision>
  <cp:lastPrinted>2017-04-07T01:48:00Z</cp:lastPrinted>
  <dcterms:created xsi:type="dcterms:W3CDTF">2017-04-07T05:17:00Z</dcterms:created>
  <dcterms:modified xsi:type="dcterms:W3CDTF">2017-04-07T05:17:00Z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0x01010036BB8DE7EC542E42A8B2E98CC20CB69700AD614E3FF758BD46BB6A91BF499E7E08</vt:lpwstr>
  </property>
  <property fmtid="{D5CDD505-2E9C-101B-9397-08002B2CF9AE}" pid="3" name="RecordPoint_ActiveItemUniqueId">
    <vt:lpwstr>{47d86a1a-dc34-42a4-946c-f63e544adc8c}</vt:lpwstr>
  </property>
  <property fmtid="{D5CDD505-2E9C-101B-9397-08002B2CF9AE}" pid="4" name="TSYRecordClass">
    <vt:lpwstr>7;#TSY RA-9236 - Retain as national archives|c6a225b4-6b93-473e-bcbb-6bc6ab25b623</vt:lpwstr>
  </property>
  <property fmtid="{D5CDD505-2E9C-101B-9397-08002B2CF9AE}" pid="5" name="RecordPoint_WorkflowType">
    <vt:lpwstr>ActiveSubmitStub</vt:lpwstr>
  </property>
  <property fmtid="{D5CDD505-2E9C-101B-9397-08002B2CF9AE}" pid="6" name="_dlc_DocIdItemGuid">
    <vt:lpwstr>45748e6d-44e4-4579-970b-181326c76b63</vt:lpwstr>
  </property>
  <property fmtid="{D5CDD505-2E9C-101B-9397-08002B2CF9AE}" pid="7" name="RecordPoint_ActiveItemSiteId">
    <vt:lpwstr>{5b52b9a5-e5b2-4521-8814-a1e24ca2869d}</vt:lpwstr>
  </property>
  <property fmtid="{D5CDD505-2E9C-101B-9397-08002B2CF9AE}" pid="8" name="RecordPoint_ActiveItemListId">
    <vt:lpwstr>{687b78b0-2ddd-4441-8a8b-c9638c2a1939}</vt:lpwstr>
  </property>
  <property fmtid="{D5CDD505-2E9C-101B-9397-08002B2CF9AE}" pid="9" name="RecordPoint_ActiveItemWebId">
    <vt:lpwstr>{09392e0d-4618-463d-b4d2-50a90b9447cf}</vt:lpwstr>
  </property>
  <property fmtid="{D5CDD505-2E9C-101B-9397-08002B2CF9AE}" pid="10" name="Order">
    <vt:r8>2968700</vt:r8>
  </property>
  <property fmtid="{D5CDD505-2E9C-101B-9397-08002B2CF9AE}" pid="11" name="RecordPoint_RecordNumberSubmitted">
    <vt:lpwstr>R0001251702</vt:lpwstr>
  </property>
  <property fmtid="{D5CDD505-2E9C-101B-9397-08002B2CF9AE}" pid="12" name="RecordPoint_SubmissionCompleted">
    <vt:lpwstr>2017-04-07T11:07:14.0354104+10:00</vt:lpwstr>
  </property>
  <property fmtid="{D5CDD505-2E9C-101B-9397-08002B2CF9AE}" pid="13" name="_AdHocReviewCycleID">
    <vt:i4>-18730236</vt:i4>
  </property>
  <property fmtid="{D5CDD505-2E9C-101B-9397-08002B2CF9AE}" pid="14" name="_NewReviewCycle">
    <vt:lpwstr/>
  </property>
  <property fmtid="{D5CDD505-2E9C-101B-9397-08002B2CF9AE}" pid="15" name="_EmailSubject">
    <vt:lpwstr>Release of exposure draft for MySuper intra-fund transfer tax relief - MS17-001110 [DLM=Sensitive:Legal]</vt:lpwstr>
  </property>
  <property fmtid="{D5CDD505-2E9C-101B-9397-08002B2CF9AE}" pid="16" name="_AuthorEmail">
    <vt:lpwstr>Steele.Broderick@treasury.gov.au</vt:lpwstr>
  </property>
  <property fmtid="{D5CDD505-2E9C-101B-9397-08002B2CF9AE}" pid="17" name="_AuthorEmailDisplayName">
    <vt:lpwstr>Broderick, Steele</vt:lpwstr>
  </property>
</Properties>
</file>