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AFC2C" w14:textId="77777777" w:rsidR="0056559F" w:rsidRPr="00B67713" w:rsidRDefault="008D3BA2" w:rsidP="00B67713">
      <w:pPr>
        <w:pStyle w:val="CoverTitleMain"/>
      </w:pPr>
      <w:bookmarkStart w:id="0" w:name="_GoBack"/>
      <w:bookmarkEnd w:id="0"/>
      <w:r w:rsidRPr="00B67713">
        <w:t>Stapled Structures</w:t>
      </w:r>
    </w:p>
    <w:p w14:paraId="19E12CCB" w14:textId="77777777" w:rsidR="00D36E6D" w:rsidRPr="00B67713" w:rsidRDefault="00F34A3D" w:rsidP="00B67713">
      <w:pPr>
        <w:pStyle w:val="CoverTitleSub"/>
      </w:pPr>
      <w:r w:rsidRPr="00B67713">
        <w:t xml:space="preserve">Consultation </w:t>
      </w:r>
      <w:r w:rsidR="0056559F" w:rsidRPr="00B67713">
        <w:t>Paper</w:t>
      </w:r>
    </w:p>
    <w:p w14:paraId="4659102E" w14:textId="016A778D" w:rsidR="0056559F" w:rsidRPr="00D36E6D" w:rsidRDefault="006C1081" w:rsidP="00B67713">
      <w:pPr>
        <w:pStyle w:val="CoverTitleSub"/>
      </w:pPr>
      <w:r w:rsidRPr="00D36E6D">
        <w:t>March 2017</w:t>
      </w:r>
    </w:p>
    <w:p w14:paraId="7FF3A733" w14:textId="77777777" w:rsidR="00B13DB9" w:rsidRDefault="00B13DB9" w:rsidP="00B67713">
      <w:pPr>
        <w:pStyle w:val="CoverTitleSub"/>
        <w:sectPr w:rsidR="00B13DB9" w:rsidSect="00D36E6D">
          <w:headerReference w:type="even" r:id="rId14"/>
          <w:headerReference w:type="default" r:id="rId15"/>
          <w:footerReference w:type="even" r:id="rId16"/>
          <w:footerReference w:type="default" r:id="rId17"/>
          <w:headerReference w:type="first" r:id="rId18"/>
          <w:pgSz w:w="11906" w:h="16838" w:code="9"/>
          <w:pgMar w:top="1418" w:right="1418" w:bottom="1418" w:left="1418" w:header="709" w:footer="709" w:gutter="0"/>
          <w:cols w:space="708"/>
          <w:vAlign w:val="center"/>
          <w:titlePg/>
          <w:docGrid w:linePitch="360"/>
        </w:sectPr>
      </w:pPr>
    </w:p>
    <w:p w14:paraId="5D0D0AE6" w14:textId="77777777" w:rsidR="00D444D5" w:rsidRDefault="00D444D5" w:rsidP="00D444D5">
      <w:pPr>
        <w:spacing w:line="240" w:lineRule="auto"/>
      </w:pPr>
      <w:r w:rsidRPr="00C41F0D">
        <w:lastRenderedPageBreak/>
        <w:t>© Commonwealth of Australia 201</w:t>
      </w:r>
      <w:r>
        <w:t>7</w:t>
      </w:r>
    </w:p>
    <w:p w14:paraId="411941C9" w14:textId="64330986" w:rsidR="003E6BB1" w:rsidRDefault="003E6BB1" w:rsidP="00D444D5">
      <w:pPr>
        <w:spacing w:line="240" w:lineRule="auto"/>
      </w:pPr>
      <w:r>
        <w:t xml:space="preserve">ISBN </w:t>
      </w:r>
      <w:r w:rsidRPr="003E6BB1">
        <w:t>978-1-925504-38-5</w:t>
      </w:r>
    </w:p>
    <w:p w14:paraId="5867FDBC" w14:textId="77777777" w:rsidR="00D444D5" w:rsidRPr="00DF17A9" w:rsidRDefault="00D444D5" w:rsidP="00D444D5">
      <w:pPr>
        <w:tabs>
          <w:tab w:val="left" w:pos="1650"/>
        </w:tabs>
        <w:spacing w:before="100" w:beforeAutospacing="1" w:after="100" w:afterAutospacing="1" w:line="240" w:lineRule="auto"/>
        <w:rPr>
          <w:sz w:val="24"/>
          <w:szCs w:val="24"/>
        </w:rPr>
      </w:pPr>
      <w:r w:rsidRPr="00DF17A9">
        <w:t>This publication is available for your use under a</w:t>
      </w:r>
      <w:r w:rsidRPr="00DF17A9">
        <w:rPr>
          <w:rFonts w:cs="Calibri"/>
          <w:sz w:val="24"/>
          <w:szCs w:val="24"/>
        </w:rPr>
        <w:t xml:space="preserve"> </w:t>
      </w:r>
      <w:hyperlink r:id="rId19" w:history="1">
        <w:r w:rsidRPr="00DF17A9">
          <w:rPr>
            <w:color w:val="auto"/>
          </w:rPr>
          <w:t>Creative Commons Attribution 3.0 Australia</w:t>
        </w:r>
      </w:hyperlink>
      <w:r w:rsidRPr="00DF17A9">
        <w:rPr>
          <w:rFonts w:cs="Calibri"/>
          <w:sz w:val="24"/>
          <w:szCs w:val="24"/>
        </w:rPr>
        <w:t xml:space="preserve"> </w:t>
      </w:r>
      <w:r w:rsidRPr="00DF17A9">
        <w:t>licence, with the exception of the Commonwealth Coat of Arms, the Treasury logo, photographs, images, signatures and where otherwise stated. The full licence terms are available from</w:t>
      </w:r>
      <w:r w:rsidRPr="00DF17A9">
        <w:rPr>
          <w:rFonts w:cs="Calibri"/>
          <w:sz w:val="24"/>
          <w:szCs w:val="24"/>
        </w:rPr>
        <w:t xml:space="preserve"> </w:t>
      </w:r>
      <w:hyperlink r:id="rId20" w:history="1">
        <w:r w:rsidRPr="00DF17A9">
          <w:rPr>
            <w:rStyle w:val="Hyperlink"/>
          </w:rPr>
          <w:t>http://creativecommons.org/licenses/by/3.0/au/legalcode</w:t>
        </w:r>
      </w:hyperlink>
      <w:r w:rsidRPr="00DF17A9">
        <w:rPr>
          <w:color w:val="auto"/>
        </w:rPr>
        <w:t>.</w:t>
      </w:r>
      <w:r w:rsidRPr="00DF17A9">
        <w:rPr>
          <w:sz w:val="24"/>
          <w:szCs w:val="24"/>
        </w:rPr>
        <w:t xml:space="preserve"> </w:t>
      </w:r>
    </w:p>
    <w:p w14:paraId="287DE985" w14:textId="77777777" w:rsidR="00D444D5" w:rsidRPr="00C41F0D" w:rsidRDefault="00D444D5" w:rsidP="00D444D5">
      <w:pPr>
        <w:tabs>
          <w:tab w:val="left" w:pos="1650"/>
        </w:tabs>
        <w:spacing w:before="100" w:beforeAutospacing="1" w:after="100" w:afterAutospacing="1" w:line="240" w:lineRule="auto"/>
        <w:rPr>
          <w:rFonts w:cs="Calibri"/>
          <w:sz w:val="24"/>
          <w:szCs w:val="24"/>
        </w:rPr>
      </w:pPr>
      <w:r w:rsidRPr="00C41F0D">
        <w:rPr>
          <w:rFonts w:cs="Calibri"/>
          <w:noProof/>
          <w:sz w:val="24"/>
          <w:szCs w:val="24"/>
        </w:rPr>
        <w:drawing>
          <wp:inline distT="0" distB="0" distL="0" distR="0" wp14:anchorId="5CE00955" wp14:editId="19D2E96F">
            <wp:extent cx="809625" cy="285750"/>
            <wp:effectExtent l="19050" t="0" r="9525" b="0"/>
            <wp:docPr id="4" name="Picture 4"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1744D17" w14:textId="77777777" w:rsidR="00D444D5" w:rsidRPr="002F0A4A" w:rsidRDefault="00D444D5" w:rsidP="00D444D5">
      <w:pPr>
        <w:spacing w:after="120" w:line="240" w:lineRule="auto"/>
      </w:pPr>
      <w:r w:rsidRPr="002F0A4A">
        <w:t xml:space="preserve">Use of Treasury material under a </w:t>
      </w:r>
      <w:hyperlink r:id="rId22" w:history="1">
        <w:r w:rsidRPr="002F0A4A">
          <w:rPr>
            <w:rStyle w:val="Hyperlink"/>
          </w:rPr>
          <w:t>Creative Commons Attribution 3.0 Australia</w:t>
        </w:r>
      </w:hyperlink>
      <w:r w:rsidRPr="002F0A4A">
        <w:t xml:space="preserve"> licence requires you to attribute the work (but not in any way that suggests that the Treasury endorses you or your use of the work). </w:t>
      </w:r>
    </w:p>
    <w:p w14:paraId="65BE208D" w14:textId="6304F4E9" w:rsidR="00D444D5" w:rsidRPr="00C41F0D" w:rsidRDefault="00D444D5" w:rsidP="00D444D5">
      <w:pPr>
        <w:spacing w:after="120" w:line="240" w:lineRule="auto"/>
        <w:rPr>
          <w:b/>
        </w:rPr>
      </w:pPr>
      <w:r w:rsidRPr="00C41F0D">
        <w:rPr>
          <w:b/>
        </w:rPr>
        <w:t xml:space="preserve">Treasury material used </w:t>
      </w:r>
      <w:r>
        <w:rPr>
          <w:b/>
        </w:rPr>
        <w:t>‘</w:t>
      </w:r>
      <w:r w:rsidRPr="00C41F0D">
        <w:rPr>
          <w:b/>
        </w:rPr>
        <w:t>as supplied</w:t>
      </w:r>
      <w:r>
        <w:rPr>
          <w:b/>
        </w:rPr>
        <w:t>’</w:t>
      </w:r>
    </w:p>
    <w:p w14:paraId="49F3C014" w14:textId="0DB6ABBF" w:rsidR="00D444D5" w:rsidRPr="00C41F0D" w:rsidRDefault="00D444D5" w:rsidP="00D444D5">
      <w:pPr>
        <w:spacing w:after="120" w:line="240" w:lineRule="auto"/>
      </w:pPr>
      <w:r w:rsidRPr="00C41F0D">
        <w:t>Provided you have not modified or transformed Treasury material in any way including, for example, by changing the Treasury text; calculating percentage changes; graphing or charting data; or deriving new statistics from published Treasury statistics</w:t>
      </w:r>
      <w:r>
        <w:t xml:space="preserve"> — </w:t>
      </w:r>
      <w:r w:rsidRPr="00C41F0D">
        <w:t xml:space="preserve">then Treasury prefers the following attribution: </w:t>
      </w:r>
    </w:p>
    <w:p w14:paraId="271C9210" w14:textId="77777777" w:rsidR="00D444D5" w:rsidRPr="00C41F0D" w:rsidRDefault="00D444D5" w:rsidP="00D36E6D">
      <w:pPr>
        <w:spacing w:line="240" w:lineRule="auto"/>
        <w:ind w:left="567"/>
      </w:pPr>
      <w:r w:rsidRPr="00C41F0D">
        <w:rPr>
          <w:i/>
        </w:rPr>
        <w:t xml:space="preserve">Source: The </w:t>
      </w:r>
      <w:r w:rsidRPr="00C41F0D">
        <w:rPr>
          <w:i/>
          <w:iCs/>
        </w:rPr>
        <w:t>Aus</w:t>
      </w:r>
      <w:r>
        <w:rPr>
          <w:i/>
          <w:iCs/>
        </w:rPr>
        <w:t>tralian Government the Treasury.</w:t>
      </w:r>
    </w:p>
    <w:p w14:paraId="0E1C3EA4" w14:textId="77777777" w:rsidR="00D444D5" w:rsidRPr="00C41F0D" w:rsidRDefault="00D444D5" w:rsidP="00D444D5">
      <w:pPr>
        <w:spacing w:after="120" w:line="240" w:lineRule="auto"/>
        <w:rPr>
          <w:b/>
        </w:rPr>
      </w:pPr>
      <w:r w:rsidRPr="00C41F0D">
        <w:rPr>
          <w:b/>
        </w:rPr>
        <w:t>Derivative material</w:t>
      </w:r>
    </w:p>
    <w:p w14:paraId="6C9BD059" w14:textId="77777777" w:rsidR="00D444D5" w:rsidRPr="00C41F0D" w:rsidRDefault="00D444D5" w:rsidP="00D444D5">
      <w:pPr>
        <w:spacing w:after="120" w:line="240" w:lineRule="auto"/>
      </w:pPr>
      <w:r w:rsidRPr="00C41F0D">
        <w:t xml:space="preserve">If you have modified or transformed Treasury material, or derived new material from those of the Treasury in any way, then Treasury prefers the following attribution: </w:t>
      </w:r>
    </w:p>
    <w:p w14:paraId="3094DE12" w14:textId="77777777" w:rsidR="00D444D5" w:rsidRPr="00C41F0D" w:rsidRDefault="00D444D5" w:rsidP="00D36E6D">
      <w:pPr>
        <w:spacing w:line="240" w:lineRule="auto"/>
        <w:ind w:left="567"/>
      </w:pPr>
      <w:r w:rsidRPr="00C41F0D">
        <w:rPr>
          <w:i/>
        </w:rPr>
        <w:t>Based on The Australian Government the Treasury data</w:t>
      </w:r>
      <w:r>
        <w:t>.</w:t>
      </w:r>
    </w:p>
    <w:p w14:paraId="5A18160E" w14:textId="77777777" w:rsidR="00D444D5" w:rsidRPr="00C41F0D" w:rsidRDefault="00D444D5" w:rsidP="00D444D5">
      <w:pPr>
        <w:spacing w:after="40" w:line="240" w:lineRule="auto"/>
        <w:rPr>
          <w:b/>
        </w:rPr>
      </w:pPr>
      <w:r w:rsidRPr="00C41F0D">
        <w:rPr>
          <w:b/>
        </w:rPr>
        <w:t>Use of the Coat of Arms</w:t>
      </w:r>
    </w:p>
    <w:p w14:paraId="6912F5CB" w14:textId="2F90E887" w:rsidR="00D444D5" w:rsidRPr="00C41F0D" w:rsidRDefault="00D444D5" w:rsidP="00D444D5">
      <w:pPr>
        <w:spacing w:line="240" w:lineRule="auto"/>
      </w:pPr>
      <w:r w:rsidRPr="00C41F0D">
        <w:t>The terms under which the Coat of Arms can be used are set out on the It</w:t>
      </w:r>
      <w:r>
        <w:t>’</w:t>
      </w:r>
      <w:r w:rsidRPr="00C41F0D">
        <w:t>s an Honour website (see</w:t>
      </w:r>
      <w:r>
        <w:t> </w:t>
      </w:r>
      <w:hyperlink r:id="rId23" w:history="1">
        <w:r w:rsidRPr="00D36E6D">
          <w:rPr>
            <w:rStyle w:val="Hyperlink"/>
          </w:rPr>
          <w:t>www.itsanhonour.gov.au</w:t>
        </w:r>
      </w:hyperlink>
      <w:r w:rsidRPr="00C41F0D">
        <w:t>)</w:t>
      </w:r>
      <w:r w:rsidR="00D36E6D">
        <w:t>.</w:t>
      </w:r>
    </w:p>
    <w:p w14:paraId="176C5D5E" w14:textId="77777777" w:rsidR="00D444D5" w:rsidRPr="00C41F0D" w:rsidRDefault="00D444D5" w:rsidP="00D444D5">
      <w:pPr>
        <w:spacing w:after="40" w:line="240" w:lineRule="auto"/>
        <w:rPr>
          <w:b/>
        </w:rPr>
      </w:pPr>
      <w:r w:rsidRPr="00C41F0D">
        <w:rPr>
          <w:b/>
        </w:rPr>
        <w:t>Other uses</w:t>
      </w:r>
    </w:p>
    <w:p w14:paraId="334692DA" w14:textId="77777777" w:rsidR="00D444D5" w:rsidRPr="00C41F0D" w:rsidRDefault="00D444D5" w:rsidP="00D444D5">
      <w:pPr>
        <w:spacing w:after="120" w:line="240" w:lineRule="auto"/>
      </w:pPr>
      <w:r w:rsidRPr="00C41F0D">
        <w:t>Enquiries regarding this licence and any other use of this document are welcome at:</w:t>
      </w:r>
    </w:p>
    <w:p w14:paraId="02B10A2D" w14:textId="7FA31CB2" w:rsidR="00D444D5" w:rsidRPr="002F0A4A" w:rsidRDefault="00D444D5" w:rsidP="00D36E6D">
      <w:pPr>
        <w:spacing w:after="120" w:line="240" w:lineRule="auto"/>
        <w:ind w:left="567"/>
        <w:jc w:val="left"/>
      </w:pPr>
      <w:r w:rsidRPr="00C41F0D">
        <w:t>Manager</w:t>
      </w:r>
      <w:r w:rsidRPr="00C41F0D">
        <w:br/>
        <w:t xml:space="preserve">Communications </w:t>
      </w:r>
      <w:r w:rsidRPr="00C41F0D">
        <w:br/>
        <w:t>The Treasury</w:t>
      </w:r>
      <w:r w:rsidRPr="00C41F0D">
        <w:br/>
        <w:t xml:space="preserve">Langton Crescent </w:t>
      </w:r>
      <w:r w:rsidRPr="00C41F0D">
        <w:br/>
        <w:t>Parkes ACT 2600</w:t>
      </w:r>
      <w:r w:rsidR="00D36E6D">
        <w:br/>
      </w:r>
      <w:r w:rsidRPr="002F0A4A">
        <w:t xml:space="preserve">Email: </w:t>
      </w:r>
      <w:hyperlink r:id="rId24" w:history="1">
        <w:r w:rsidRPr="002F0A4A">
          <w:rPr>
            <w:rStyle w:val="Hyperlink"/>
          </w:rPr>
          <w:t>medialiaison@treasury.gov.au</w:t>
        </w:r>
      </w:hyperlink>
    </w:p>
    <w:p w14:paraId="30FFBB81" w14:textId="77777777" w:rsidR="00B13DB9" w:rsidRDefault="00B13DB9" w:rsidP="00813AC3"/>
    <w:p w14:paraId="6C791B3C" w14:textId="77777777" w:rsidR="00D36E6D" w:rsidRDefault="00D36E6D" w:rsidP="00813AC3">
      <w:pPr>
        <w:sectPr w:rsidR="00D36E6D" w:rsidSect="0056559F">
          <w:headerReference w:type="first" r:id="rId25"/>
          <w:footerReference w:type="first" r:id="rId26"/>
          <w:pgSz w:w="11906" w:h="16838" w:code="9"/>
          <w:pgMar w:top="1418" w:right="1418" w:bottom="1418" w:left="1418" w:header="709" w:footer="709" w:gutter="0"/>
          <w:cols w:space="708"/>
          <w:titlePg/>
          <w:docGrid w:linePitch="360"/>
        </w:sectPr>
      </w:pPr>
    </w:p>
    <w:p w14:paraId="6548C853" w14:textId="77777777" w:rsidR="0056559F" w:rsidRPr="00983CA9" w:rsidRDefault="0056559F" w:rsidP="00983CA9">
      <w:pPr>
        <w:pStyle w:val="ContentsHeading"/>
      </w:pPr>
      <w:r w:rsidRPr="00983CA9">
        <w:lastRenderedPageBreak/>
        <w:t>Contents</w:t>
      </w:r>
    </w:p>
    <w:p w14:paraId="5FC650C6" w14:textId="77777777" w:rsidR="00AD4715" w:rsidRDefault="003778E0">
      <w:pPr>
        <w:pStyle w:val="TOC1"/>
        <w:rPr>
          <w:rFonts w:asciiTheme="minorHAnsi" w:eastAsiaTheme="minorEastAsia" w:hAnsiTheme="minorHAnsi" w:cstheme="minorBidi"/>
          <w:b w:val="0"/>
          <w:caps w:val="0"/>
          <w:noProof/>
          <w:color w:val="auto"/>
          <w:sz w:val="22"/>
        </w:rPr>
      </w:pPr>
      <w:r>
        <w:rPr>
          <w:b w:val="0"/>
          <w:color w:val="auto"/>
        </w:rPr>
        <w:fldChar w:fldCharType="begin"/>
      </w:r>
      <w:r>
        <w:rPr>
          <w:b w:val="0"/>
          <w:color w:val="auto"/>
        </w:rPr>
        <w:instrText xml:space="preserve"> TOC \o "1-2" \h \z \u </w:instrText>
      </w:r>
      <w:r>
        <w:rPr>
          <w:b w:val="0"/>
          <w:color w:val="auto"/>
        </w:rPr>
        <w:fldChar w:fldCharType="separate"/>
      </w:r>
      <w:hyperlink w:anchor="_Toc478139081" w:history="1">
        <w:r w:rsidR="00AD4715" w:rsidRPr="00124CD0">
          <w:rPr>
            <w:rStyle w:val="Hyperlink"/>
            <w:noProof/>
          </w:rPr>
          <w:t>Consultation Process</w:t>
        </w:r>
        <w:r w:rsidR="00AD4715">
          <w:rPr>
            <w:noProof/>
            <w:webHidden/>
          </w:rPr>
          <w:tab/>
        </w:r>
        <w:r w:rsidR="00AD4715">
          <w:rPr>
            <w:noProof/>
            <w:webHidden/>
          </w:rPr>
          <w:fldChar w:fldCharType="begin"/>
        </w:r>
        <w:r w:rsidR="00AD4715">
          <w:rPr>
            <w:noProof/>
            <w:webHidden/>
          </w:rPr>
          <w:instrText xml:space="preserve"> PAGEREF _Toc478139081 \h </w:instrText>
        </w:r>
        <w:r w:rsidR="00AD4715">
          <w:rPr>
            <w:noProof/>
            <w:webHidden/>
          </w:rPr>
        </w:r>
        <w:r w:rsidR="00AD4715">
          <w:rPr>
            <w:noProof/>
            <w:webHidden/>
          </w:rPr>
          <w:fldChar w:fldCharType="separate"/>
        </w:r>
        <w:r w:rsidR="00AD4715">
          <w:rPr>
            <w:noProof/>
            <w:webHidden/>
          </w:rPr>
          <w:t>v</w:t>
        </w:r>
        <w:r w:rsidR="00AD4715">
          <w:rPr>
            <w:noProof/>
            <w:webHidden/>
          </w:rPr>
          <w:fldChar w:fldCharType="end"/>
        </w:r>
      </w:hyperlink>
    </w:p>
    <w:p w14:paraId="56159DC9" w14:textId="77777777" w:rsidR="00AD4715" w:rsidRDefault="008B4D14">
      <w:pPr>
        <w:pStyle w:val="TOC2"/>
        <w:rPr>
          <w:rFonts w:asciiTheme="minorHAnsi" w:eastAsiaTheme="minorEastAsia" w:hAnsiTheme="minorHAnsi" w:cstheme="minorBidi"/>
          <w:noProof/>
          <w:color w:val="auto"/>
          <w:szCs w:val="22"/>
        </w:rPr>
      </w:pPr>
      <w:hyperlink w:anchor="_Toc478139082" w:history="1">
        <w:r w:rsidR="00AD4715" w:rsidRPr="00124CD0">
          <w:rPr>
            <w:rStyle w:val="Hyperlink"/>
            <w:noProof/>
          </w:rPr>
          <w:t>Request for feedback and comments</w:t>
        </w:r>
        <w:r w:rsidR="00AD4715">
          <w:rPr>
            <w:noProof/>
            <w:webHidden/>
          </w:rPr>
          <w:tab/>
        </w:r>
        <w:r w:rsidR="00AD4715">
          <w:rPr>
            <w:noProof/>
            <w:webHidden/>
          </w:rPr>
          <w:fldChar w:fldCharType="begin"/>
        </w:r>
        <w:r w:rsidR="00AD4715">
          <w:rPr>
            <w:noProof/>
            <w:webHidden/>
          </w:rPr>
          <w:instrText xml:space="preserve"> PAGEREF _Toc478139082 \h </w:instrText>
        </w:r>
        <w:r w:rsidR="00AD4715">
          <w:rPr>
            <w:noProof/>
            <w:webHidden/>
          </w:rPr>
        </w:r>
        <w:r w:rsidR="00AD4715">
          <w:rPr>
            <w:noProof/>
            <w:webHidden/>
          </w:rPr>
          <w:fldChar w:fldCharType="separate"/>
        </w:r>
        <w:r w:rsidR="00AD4715">
          <w:rPr>
            <w:noProof/>
            <w:webHidden/>
          </w:rPr>
          <w:t>v</w:t>
        </w:r>
        <w:r w:rsidR="00AD4715">
          <w:rPr>
            <w:noProof/>
            <w:webHidden/>
          </w:rPr>
          <w:fldChar w:fldCharType="end"/>
        </w:r>
      </w:hyperlink>
    </w:p>
    <w:p w14:paraId="16530A67" w14:textId="77777777" w:rsidR="00AD4715" w:rsidRDefault="008B4D14">
      <w:pPr>
        <w:pStyle w:val="TOC1"/>
        <w:rPr>
          <w:rFonts w:asciiTheme="minorHAnsi" w:eastAsiaTheme="minorEastAsia" w:hAnsiTheme="minorHAnsi" w:cstheme="minorBidi"/>
          <w:b w:val="0"/>
          <w:caps w:val="0"/>
          <w:noProof/>
          <w:color w:val="auto"/>
          <w:sz w:val="22"/>
        </w:rPr>
      </w:pPr>
      <w:hyperlink w:anchor="_Toc478139083" w:history="1">
        <w:r w:rsidR="00AD4715" w:rsidRPr="00124CD0">
          <w:rPr>
            <w:rStyle w:val="Hyperlink"/>
            <w:noProof/>
          </w:rPr>
          <w:t>Overview</w:t>
        </w:r>
        <w:r w:rsidR="00AD4715">
          <w:rPr>
            <w:noProof/>
            <w:webHidden/>
          </w:rPr>
          <w:tab/>
        </w:r>
        <w:r w:rsidR="00AD4715">
          <w:rPr>
            <w:noProof/>
            <w:webHidden/>
          </w:rPr>
          <w:fldChar w:fldCharType="begin"/>
        </w:r>
        <w:r w:rsidR="00AD4715">
          <w:rPr>
            <w:noProof/>
            <w:webHidden/>
          </w:rPr>
          <w:instrText xml:space="preserve"> PAGEREF _Toc478139083 \h </w:instrText>
        </w:r>
        <w:r w:rsidR="00AD4715">
          <w:rPr>
            <w:noProof/>
            <w:webHidden/>
          </w:rPr>
        </w:r>
        <w:r w:rsidR="00AD4715">
          <w:rPr>
            <w:noProof/>
            <w:webHidden/>
          </w:rPr>
          <w:fldChar w:fldCharType="separate"/>
        </w:r>
        <w:r w:rsidR="00AD4715">
          <w:rPr>
            <w:noProof/>
            <w:webHidden/>
          </w:rPr>
          <w:t>1</w:t>
        </w:r>
        <w:r w:rsidR="00AD4715">
          <w:rPr>
            <w:noProof/>
            <w:webHidden/>
          </w:rPr>
          <w:fldChar w:fldCharType="end"/>
        </w:r>
      </w:hyperlink>
    </w:p>
    <w:p w14:paraId="0AC2D7DB" w14:textId="77777777" w:rsidR="00AD4715" w:rsidRDefault="008B4D14">
      <w:pPr>
        <w:pStyle w:val="TOC2"/>
        <w:rPr>
          <w:rFonts w:asciiTheme="minorHAnsi" w:eastAsiaTheme="minorEastAsia" w:hAnsiTheme="minorHAnsi" w:cstheme="minorBidi"/>
          <w:noProof/>
          <w:color w:val="auto"/>
          <w:szCs w:val="22"/>
        </w:rPr>
      </w:pPr>
      <w:hyperlink w:anchor="_Toc478139084" w:history="1">
        <w:r w:rsidR="00AD4715" w:rsidRPr="00124CD0">
          <w:rPr>
            <w:rStyle w:val="Hyperlink"/>
            <w:noProof/>
          </w:rPr>
          <w:t>What this paper is about</w:t>
        </w:r>
        <w:r w:rsidR="00AD4715">
          <w:rPr>
            <w:noProof/>
            <w:webHidden/>
          </w:rPr>
          <w:tab/>
        </w:r>
        <w:r w:rsidR="00AD4715">
          <w:rPr>
            <w:noProof/>
            <w:webHidden/>
          </w:rPr>
          <w:fldChar w:fldCharType="begin"/>
        </w:r>
        <w:r w:rsidR="00AD4715">
          <w:rPr>
            <w:noProof/>
            <w:webHidden/>
          </w:rPr>
          <w:instrText xml:space="preserve"> PAGEREF _Toc478139084 \h </w:instrText>
        </w:r>
        <w:r w:rsidR="00AD4715">
          <w:rPr>
            <w:noProof/>
            <w:webHidden/>
          </w:rPr>
        </w:r>
        <w:r w:rsidR="00AD4715">
          <w:rPr>
            <w:noProof/>
            <w:webHidden/>
          </w:rPr>
          <w:fldChar w:fldCharType="separate"/>
        </w:r>
        <w:r w:rsidR="00AD4715">
          <w:rPr>
            <w:noProof/>
            <w:webHidden/>
          </w:rPr>
          <w:t>1</w:t>
        </w:r>
        <w:r w:rsidR="00AD4715">
          <w:rPr>
            <w:noProof/>
            <w:webHidden/>
          </w:rPr>
          <w:fldChar w:fldCharType="end"/>
        </w:r>
      </w:hyperlink>
    </w:p>
    <w:p w14:paraId="6FDF9624" w14:textId="77777777" w:rsidR="00AD4715" w:rsidRDefault="008B4D14">
      <w:pPr>
        <w:pStyle w:val="TOC2"/>
        <w:rPr>
          <w:rFonts w:asciiTheme="minorHAnsi" w:eastAsiaTheme="minorEastAsia" w:hAnsiTheme="minorHAnsi" w:cstheme="minorBidi"/>
          <w:noProof/>
          <w:color w:val="auto"/>
          <w:szCs w:val="22"/>
        </w:rPr>
      </w:pPr>
      <w:hyperlink w:anchor="_Toc478139085" w:history="1">
        <w:r w:rsidR="00AD4715" w:rsidRPr="00124CD0">
          <w:rPr>
            <w:rStyle w:val="Hyperlink"/>
            <w:noProof/>
          </w:rPr>
          <w:t>Paper outline</w:t>
        </w:r>
        <w:r w:rsidR="00AD4715">
          <w:rPr>
            <w:noProof/>
            <w:webHidden/>
          </w:rPr>
          <w:tab/>
        </w:r>
        <w:r w:rsidR="00AD4715">
          <w:rPr>
            <w:noProof/>
            <w:webHidden/>
          </w:rPr>
          <w:fldChar w:fldCharType="begin"/>
        </w:r>
        <w:r w:rsidR="00AD4715">
          <w:rPr>
            <w:noProof/>
            <w:webHidden/>
          </w:rPr>
          <w:instrText xml:space="preserve"> PAGEREF _Toc478139085 \h </w:instrText>
        </w:r>
        <w:r w:rsidR="00AD4715">
          <w:rPr>
            <w:noProof/>
            <w:webHidden/>
          </w:rPr>
        </w:r>
        <w:r w:rsidR="00AD4715">
          <w:rPr>
            <w:noProof/>
            <w:webHidden/>
          </w:rPr>
          <w:fldChar w:fldCharType="separate"/>
        </w:r>
        <w:r w:rsidR="00AD4715">
          <w:rPr>
            <w:noProof/>
            <w:webHidden/>
          </w:rPr>
          <w:t>2</w:t>
        </w:r>
        <w:r w:rsidR="00AD4715">
          <w:rPr>
            <w:noProof/>
            <w:webHidden/>
          </w:rPr>
          <w:fldChar w:fldCharType="end"/>
        </w:r>
      </w:hyperlink>
    </w:p>
    <w:p w14:paraId="6F8FDC03" w14:textId="77777777" w:rsidR="00AD4715" w:rsidRDefault="008B4D14">
      <w:pPr>
        <w:pStyle w:val="TOC1"/>
        <w:rPr>
          <w:rFonts w:asciiTheme="minorHAnsi" w:eastAsiaTheme="minorEastAsia" w:hAnsiTheme="minorHAnsi" w:cstheme="minorBidi"/>
          <w:b w:val="0"/>
          <w:caps w:val="0"/>
          <w:noProof/>
          <w:color w:val="auto"/>
          <w:sz w:val="22"/>
        </w:rPr>
      </w:pPr>
      <w:hyperlink w:anchor="_Toc478139086" w:history="1">
        <w:r w:rsidR="00AD4715" w:rsidRPr="00124CD0">
          <w:rPr>
            <w:rStyle w:val="Hyperlink"/>
            <w:noProof/>
          </w:rPr>
          <w:t>Background</w:t>
        </w:r>
        <w:r w:rsidR="00AD4715">
          <w:rPr>
            <w:noProof/>
            <w:webHidden/>
          </w:rPr>
          <w:tab/>
        </w:r>
        <w:r w:rsidR="00AD4715">
          <w:rPr>
            <w:noProof/>
            <w:webHidden/>
          </w:rPr>
          <w:fldChar w:fldCharType="begin"/>
        </w:r>
        <w:r w:rsidR="00AD4715">
          <w:rPr>
            <w:noProof/>
            <w:webHidden/>
          </w:rPr>
          <w:instrText xml:space="preserve"> PAGEREF _Toc478139086 \h </w:instrText>
        </w:r>
        <w:r w:rsidR="00AD4715">
          <w:rPr>
            <w:noProof/>
            <w:webHidden/>
          </w:rPr>
        </w:r>
        <w:r w:rsidR="00AD4715">
          <w:rPr>
            <w:noProof/>
            <w:webHidden/>
          </w:rPr>
          <w:fldChar w:fldCharType="separate"/>
        </w:r>
        <w:r w:rsidR="00AD4715">
          <w:rPr>
            <w:noProof/>
            <w:webHidden/>
          </w:rPr>
          <w:t>3</w:t>
        </w:r>
        <w:r w:rsidR="00AD4715">
          <w:rPr>
            <w:noProof/>
            <w:webHidden/>
          </w:rPr>
          <w:fldChar w:fldCharType="end"/>
        </w:r>
      </w:hyperlink>
    </w:p>
    <w:p w14:paraId="7CF83F5F" w14:textId="77777777" w:rsidR="00AD4715" w:rsidRDefault="008B4D14">
      <w:pPr>
        <w:pStyle w:val="TOC2"/>
        <w:rPr>
          <w:rFonts w:asciiTheme="minorHAnsi" w:eastAsiaTheme="minorEastAsia" w:hAnsiTheme="minorHAnsi" w:cstheme="minorBidi"/>
          <w:noProof/>
          <w:color w:val="auto"/>
          <w:szCs w:val="22"/>
        </w:rPr>
      </w:pPr>
      <w:hyperlink w:anchor="_Toc478139087" w:history="1">
        <w:r w:rsidR="00AD4715" w:rsidRPr="00124CD0">
          <w:rPr>
            <w:rStyle w:val="Hyperlink"/>
            <w:noProof/>
          </w:rPr>
          <w:t>Stapled structures</w:t>
        </w:r>
        <w:r w:rsidR="00AD4715">
          <w:rPr>
            <w:noProof/>
            <w:webHidden/>
          </w:rPr>
          <w:tab/>
        </w:r>
        <w:r w:rsidR="00AD4715">
          <w:rPr>
            <w:noProof/>
            <w:webHidden/>
          </w:rPr>
          <w:fldChar w:fldCharType="begin"/>
        </w:r>
        <w:r w:rsidR="00AD4715">
          <w:rPr>
            <w:noProof/>
            <w:webHidden/>
          </w:rPr>
          <w:instrText xml:space="preserve"> PAGEREF _Toc478139087 \h </w:instrText>
        </w:r>
        <w:r w:rsidR="00AD4715">
          <w:rPr>
            <w:noProof/>
            <w:webHidden/>
          </w:rPr>
        </w:r>
        <w:r w:rsidR="00AD4715">
          <w:rPr>
            <w:noProof/>
            <w:webHidden/>
          </w:rPr>
          <w:fldChar w:fldCharType="separate"/>
        </w:r>
        <w:r w:rsidR="00AD4715">
          <w:rPr>
            <w:noProof/>
            <w:webHidden/>
          </w:rPr>
          <w:t>3</w:t>
        </w:r>
        <w:r w:rsidR="00AD4715">
          <w:rPr>
            <w:noProof/>
            <w:webHidden/>
          </w:rPr>
          <w:fldChar w:fldCharType="end"/>
        </w:r>
      </w:hyperlink>
    </w:p>
    <w:p w14:paraId="5AA40916" w14:textId="77777777" w:rsidR="00AD4715" w:rsidRDefault="008B4D14">
      <w:pPr>
        <w:pStyle w:val="TOC2"/>
        <w:rPr>
          <w:rFonts w:asciiTheme="minorHAnsi" w:eastAsiaTheme="minorEastAsia" w:hAnsiTheme="minorHAnsi" w:cstheme="minorBidi"/>
          <w:noProof/>
          <w:color w:val="auto"/>
          <w:szCs w:val="22"/>
        </w:rPr>
      </w:pPr>
      <w:hyperlink w:anchor="_Toc478139088" w:history="1">
        <w:r w:rsidR="00AD4715" w:rsidRPr="00124CD0">
          <w:rPr>
            <w:rStyle w:val="Hyperlink"/>
            <w:rFonts w:eastAsiaTheme="majorEastAsia"/>
            <w:noProof/>
          </w:rPr>
          <w:t>History of stapled structures</w:t>
        </w:r>
        <w:r w:rsidR="00AD4715">
          <w:rPr>
            <w:noProof/>
            <w:webHidden/>
          </w:rPr>
          <w:tab/>
        </w:r>
        <w:r w:rsidR="00AD4715">
          <w:rPr>
            <w:noProof/>
            <w:webHidden/>
          </w:rPr>
          <w:fldChar w:fldCharType="begin"/>
        </w:r>
        <w:r w:rsidR="00AD4715">
          <w:rPr>
            <w:noProof/>
            <w:webHidden/>
          </w:rPr>
          <w:instrText xml:space="preserve"> PAGEREF _Toc478139088 \h </w:instrText>
        </w:r>
        <w:r w:rsidR="00AD4715">
          <w:rPr>
            <w:noProof/>
            <w:webHidden/>
          </w:rPr>
        </w:r>
        <w:r w:rsidR="00AD4715">
          <w:rPr>
            <w:noProof/>
            <w:webHidden/>
          </w:rPr>
          <w:fldChar w:fldCharType="separate"/>
        </w:r>
        <w:r w:rsidR="00AD4715">
          <w:rPr>
            <w:noProof/>
            <w:webHidden/>
          </w:rPr>
          <w:t>4</w:t>
        </w:r>
        <w:r w:rsidR="00AD4715">
          <w:rPr>
            <w:noProof/>
            <w:webHidden/>
          </w:rPr>
          <w:fldChar w:fldCharType="end"/>
        </w:r>
      </w:hyperlink>
    </w:p>
    <w:p w14:paraId="61FD6848" w14:textId="77777777" w:rsidR="00AD4715" w:rsidRDefault="008B4D14">
      <w:pPr>
        <w:pStyle w:val="TOC2"/>
        <w:rPr>
          <w:rFonts w:asciiTheme="minorHAnsi" w:eastAsiaTheme="minorEastAsia" w:hAnsiTheme="minorHAnsi" w:cstheme="minorBidi"/>
          <w:noProof/>
          <w:color w:val="auto"/>
          <w:szCs w:val="22"/>
        </w:rPr>
      </w:pPr>
      <w:hyperlink w:anchor="_Toc478139089" w:history="1">
        <w:r w:rsidR="00AD4715" w:rsidRPr="00124CD0">
          <w:rPr>
            <w:rStyle w:val="Hyperlink"/>
            <w:rFonts w:eastAsiaTheme="majorEastAsia"/>
            <w:noProof/>
          </w:rPr>
          <w:t>Importance of stapled structures</w:t>
        </w:r>
        <w:r w:rsidR="00AD4715">
          <w:rPr>
            <w:noProof/>
            <w:webHidden/>
          </w:rPr>
          <w:tab/>
        </w:r>
        <w:r w:rsidR="00AD4715">
          <w:rPr>
            <w:noProof/>
            <w:webHidden/>
          </w:rPr>
          <w:fldChar w:fldCharType="begin"/>
        </w:r>
        <w:r w:rsidR="00AD4715">
          <w:rPr>
            <w:noProof/>
            <w:webHidden/>
          </w:rPr>
          <w:instrText xml:space="preserve"> PAGEREF _Toc478139089 \h </w:instrText>
        </w:r>
        <w:r w:rsidR="00AD4715">
          <w:rPr>
            <w:noProof/>
            <w:webHidden/>
          </w:rPr>
        </w:r>
        <w:r w:rsidR="00AD4715">
          <w:rPr>
            <w:noProof/>
            <w:webHidden/>
          </w:rPr>
          <w:fldChar w:fldCharType="separate"/>
        </w:r>
        <w:r w:rsidR="00AD4715">
          <w:rPr>
            <w:noProof/>
            <w:webHidden/>
          </w:rPr>
          <w:t>4</w:t>
        </w:r>
        <w:r w:rsidR="00AD4715">
          <w:rPr>
            <w:noProof/>
            <w:webHidden/>
          </w:rPr>
          <w:fldChar w:fldCharType="end"/>
        </w:r>
      </w:hyperlink>
    </w:p>
    <w:p w14:paraId="51968372" w14:textId="77777777" w:rsidR="00AD4715" w:rsidRDefault="008B4D14">
      <w:pPr>
        <w:pStyle w:val="TOC2"/>
        <w:rPr>
          <w:rFonts w:asciiTheme="minorHAnsi" w:eastAsiaTheme="minorEastAsia" w:hAnsiTheme="minorHAnsi" w:cstheme="minorBidi"/>
          <w:noProof/>
          <w:color w:val="auto"/>
          <w:szCs w:val="22"/>
        </w:rPr>
      </w:pPr>
      <w:hyperlink w:anchor="_Toc478139090" w:history="1">
        <w:r w:rsidR="00AD4715" w:rsidRPr="00124CD0">
          <w:rPr>
            <w:rStyle w:val="Hyperlink"/>
            <w:noProof/>
          </w:rPr>
          <w:t>Use of staples in infrastructure in Australia</w:t>
        </w:r>
        <w:r w:rsidR="00AD4715">
          <w:rPr>
            <w:noProof/>
            <w:webHidden/>
          </w:rPr>
          <w:tab/>
        </w:r>
        <w:r w:rsidR="00AD4715">
          <w:rPr>
            <w:noProof/>
            <w:webHidden/>
          </w:rPr>
          <w:fldChar w:fldCharType="begin"/>
        </w:r>
        <w:r w:rsidR="00AD4715">
          <w:rPr>
            <w:noProof/>
            <w:webHidden/>
          </w:rPr>
          <w:instrText xml:space="preserve"> PAGEREF _Toc478139090 \h </w:instrText>
        </w:r>
        <w:r w:rsidR="00AD4715">
          <w:rPr>
            <w:noProof/>
            <w:webHidden/>
          </w:rPr>
        </w:r>
        <w:r w:rsidR="00AD4715">
          <w:rPr>
            <w:noProof/>
            <w:webHidden/>
          </w:rPr>
          <w:fldChar w:fldCharType="separate"/>
        </w:r>
        <w:r w:rsidR="00AD4715">
          <w:rPr>
            <w:noProof/>
            <w:webHidden/>
          </w:rPr>
          <w:t>5</w:t>
        </w:r>
        <w:r w:rsidR="00AD4715">
          <w:rPr>
            <w:noProof/>
            <w:webHidden/>
          </w:rPr>
          <w:fldChar w:fldCharType="end"/>
        </w:r>
      </w:hyperlink>
    </w:p>
    <w:p w14:paraId="163D9ED5" w14:textId="77777777" w:rsidR="00AD4715" w:rsidRDefault="008B4D14">
      <w:pPr>
        <w:pStyle w:val="TOC2"/>
        <w:rPr>
          <w:rFonts w:asciiTheme="minorHAnsi" w:eastAsiaTheme="minorEastAsia" w:hAnsiTheme="minorHAnsi" w:cstheme="minorBidi"/>
          <w:noProof/>
          <w:color w:val="auto"/>
          <w:szCs w:val="22"/>
        </w:rPr>
      </w:pPr>
      <w:hyperlink w:anchor="_Toc478139091" w:history="1">
        <w:r w:rsidR="00AD4715" w:rsidRPr="00124CD0">
          <w:rPr>
            <w:rStyle w:val="Hyperlink"/>
            <w:noProof/>
          </w:rPr>
          <w:t>Tax advantages of stapled structures</w:t>
        </w:r>
        <w:r w:rsidR="00AD4715">
          <w:rPr>
            <w:noProof/>
            <w:webHidden/>
          </w:rPr>
          <w:tab/>
        </w:r>
        <w:r w:rsidR="00AD4715">
          <w:rPr>
            <w:noProof/>
            <w:webHidden/>
          </w:rPr>
          <w:fldChar w:fldCharType="begin"/>
        </w:r>
        <w:r w:rsidR="00AD4715">
          <w:rPr>
            <w:noProof/>
            <w:webHidden/>
          </w:rPr>
          <w:instrText xml:space="preserve"> PAGEREF _Toc478139091 \h </w:instrText>
        </w:r>
        <w:r w:rsidR="00AD4715">
          <w:rPr>
            <w:noProof/>
            <w:webHidden/>
          </w:rPr>
        </w:r>
        <w:r w:rsidR="00AD4715">
          <w:rPr>
            <w:noProof/>
            <w:webHidden/>
          </w:rPr>
          <w:fldChar w:fldCharType="separate"/>
        </w:r>
        <w:r w:rsidR="00AD4715">
          <w:rPr>
            <w:noProof/>
            <w:webHidden/>
          </w:rPr>
          <w:t>5</w:t>
        </w:r>
        <w:r w:rsidR="00AD4715">
          <w:rPr>
            <w:noProof/>
            <w:webHidden/>
          </w:rPr>
          <w:fldChar w:fldCharType="end"/>
        </w:r>
      </w:hyperlink>
    </w:p>
    <w:p w14:paraId="550312DE" w14:textId="77777777" w:rsidR="00AD4715" w:rsidRDefault="008B4D14">
      <w:pPr>
        <w:pStyle w:val="TOC2"/>
        <w:rPr>
          <w:rFonts w:asciiTheme="minorHAnsi" w:eastAsiaTheme="minorEastAsia" w:hAnsiTheme="minorHAnsi" w:cstheme="minorBidi"/>
          <w:noProof/>
          <w:color w:val="auto"/>
          <w:szCs w:val="22"/>
        </w:rPr>
      </w:pPr>
      <w:hyperlink w:anchor="_Toc478139092" w:history="1">
        <w:r w:rsidR="00AD4715" w:rsidRPr="00124CD0">
          <w:rPr>
            <w:rStyle w:val="Hyperlink"/>
            <w:noProof/>
          </w:rPr>
          <w:t>Other commercial reasons for stapled structures</w:t>
        </w:r>
        <w:r w:rsidR="00AD4715">
          <w:rPr>
            <w:noProof/>
            <w:webHidden/>
          </w:rPr>
          <w:tab/>
        </w:r>
        <w:r w:rsidR="00AD4715">
          <w:rPr>
            <w:noProof/>
            <w:webHidden/>
          </w:rPr>
          <w:fldChar w:fldCharType="begin"/>
        </w:r>
        <w:r w:rsidR="00AD4715">
          <w:rPr>
            <w:noProof/>
            <w:webHidden/>
          </w:rPr>
          <w:instrText xml:space="preserve"> PAGEREF _Toc478139092 \h </w:instrText>
        </w:r>
        <w:r w:rsidR="00AD4715">
          <w:rPr>
            <w:noProof/>
            <w:webHidden/>
          </w:rPr>
        </w:r>
        <w:r w:rsidR="00AD4715">
          <w:rPr>
            <w:noProof/>
            <w:webHidden/>
          </w:rPr>
          <w:fldChar w:fldCharType="separate"/>
        </w:r>
        <w:r w:rsidR="00AD4715">
          <w:rPr>
            <w:noProof/>
            <w:webHidden/>
          </w:rPr>
          <w:t>6</w:t>
        </w:r>
        <w:r w:rsidR="00AD4715">
          <w:rPr>
            <w:noProof/>
            <w:webHidden/>
          </w:rPr>
          <w:fldChar w:fldCharType="end"/>
        </w:r>
      </w:hyperlink>
    </w:p>
    <w:p w14:paraId="71F79F0B" w14:textId="77777777" w:rsidR="00AD4715" w:rsidRDefault="008B4D14">
      <w:pPr>
        <w:pStyle w:val="TOC1"/>
        <w:rPr>
          <w:rFonts w:asciiTheme="minorHAnsi" w:eastAsiaTheme="minorEastAsia" w:hAnsiTheme="minorHAnsi" w:cstheme="minorBidi"/>
          <w:b w:val="0"/>
          <w:caps w:val="0"/>
          <w:noProof/>
          <w:color w:val="auto"/>
          <w:sz w:val="22"/>
        </w:rPr>
      </w:pPr>
      <w:hyperlink w:anchor="_Toc478139093" w:history="1">
        <w:r w:rsidR="00AD4715" w:rsidRPr="00124CD0">
          <w:rPr>
            <w:rStyle w:val="Hyperlink"/>
            <w:noProof/>
          </w:rPr>
          <w:t>Integrity risks</w:t>
        </w:r>
        <w:r w:rsidR="00AD4715">
          <w:rPr>
            <w:noProof/>
            <w:webHidden/>
          </w:rPr>
          <w:tab/>
        </w:r>
        <w:r w:rsidR="00AD4715">
          <w:rPr>
            <w:noProof/>
            <w:webHidden/>
          </w:rPr>
          <w:fldChar w:fldCharType="begin"/>
        </w:r>
        <w:r w:rsidR="00AD4715">
          <w:rPr>
            <w:noProof/>
            <w:webHidden/>
          </w:rPr>
          <w:instrText xml:space="preserve"> PAGEREF _Toc478139093 \h </w:instrText>
        </w:r>
        <w:r w:rsidR="00AD4715">
          <w:rPr>
            <w:noProof/>
            <w:webHidden/>
          </w:rPr>
        </w:r>
        <w:r w:rsidR="00AD4715">
          <w:rPr>
            <w:noProof/>
            <w:webHidden/>
          </w:rPr>
          <w:fldChar w:fldCharType="separate"/>
        </w:r>
        <w:r w:rsidR="00AD4715">
          <w:rPr>
            <w:noProof/>
            <w:webHidden/>
          </w:rPr>
          <w:t>7</w:t>
        </w:r>
        <w:r w:rsidR="00AD4715">
          <w:rPr>
            <w:noProof/>
            <w:webHidden/>
          </w:rPr>
          <w:fldChar w:fldCharType="end"/>
        </w:r>
      </w:hyperlink>
    </w:p>
    <w:p w14:paraId="439D6561" w14:textId="77777777" w:rsidR="00AD4715" w:rsidRDefault="008B4D14">
      <w:pPr>
        <w:pStyle w:val="TOC2"/>
        <w:rPr>
          <w:rFonts w:asciiTheme="minorHAnsi" w:eastAsiaTheme="minorEastAsia" w:hAnsiTheme="minorHAnsi" w:cstheme="minorBidi"/>
          <w:noProof/>
          <w:color w:val="auto"/>
          <w:szCs w:val="22"/>
        </w:rPr>
      </w:pPr>
      <w:hyperlink w:anchor="_Toc478139094" w:history="1">
        <w:r w:rsidR="00AD4715" w:rsidRPr="00124CD0">
          <w:rPr>
            <w:rStyle w:val="Hyperlink"/>
            <w:noProof/>
          </w:rPr>
          <w:t>Background</w:t>
        </w:r>
        <w:r w:rsidR="00AD4715">
          <w:rPr>
            <w:noProof/>
            <w:webHidden/>
          </w:rPr>
          <w:tab/>
        </w:r>
        <w:r w:rsidR="00AD4715">
          <w:rPr>
            <w:noProof/>
            <w:webHidden/>
          </w:rPr>
          <w:fldChar w:fldCharType="begin"/>
        </w:r>
        <w:r w:rsidR="00AD4715">
          <w:rPr>
            <w:noProof/>
            <w:webHidden/>
          </w:rPr>
          <w:instrText xml:space="preserve"> PAGEREF _Toc478139094 \h </w:instrText>
        </w:r>
        <w:r w:rsidR="00AD4715">
          <w:rPr>
            <w:noProof/>
            <w:webHidden/>
          </w:rPr>
        </w:r>
        <w:r w:rsidR="00AD4715">
          <w:rPr>
            <w:noProof/>
            <w:webHidden/>
          </w:rPr>
          <w:fldChar w:fldCharType="separate"/>
        </w:r>
        <w:r w:rsidR="00AD4715">
          <w:rPr>
            <w:noProof/>
            <w:webHidden/>
          </w:rPr>
          <w:t>7</w:t>
        </w:r>
        <w:r w:rsidR="00AD4715">
          <w:rPr>
            <w:noProof/>
            <w:webHidden/>
          </w:rPr>
          <w:fldChar w:fldCharType="end"/>
        </w:r>
      </w:hyperlink>
    </w:p>
    <w:p w14:paraId="084701CC" w14:textId="77777777" w:rsidR="00AD4715" w:rsidRDefault="008B4D14">
      <w:pPr>
        <w:pStyle w:val="TOC2"/>
        <w:rPr>
          <w:rFonts w:asciiTheme="minorHAnsi" w:eastAsiaTheme="minorEastAsia" w:hAnsiTheme="minorHAnsi" w:cstheme="minorBidi"/>
          <w:noProof/>
          <w:color w:val="auto"/>
          <w:szCs w:val="22"/>
        </w:rPr>
      </w:pPr>
      <w:hyperlink w:anchor="_Toc478139095" w:history="1">
        <w:r w:rsidR="00AD4715" w:rsidRPr="00124CD0">
          <w:rPr>
            <w:rStyle w:val="Hyperlink"/>
            <w:noProof/>
          </w:rPr>
          <w:t>Recent responses to integrity concerns</w:t>
        </w:r>
        <w:r w:rsidR="00AD4715">
          <w:rPr>
            <w:noProof/>
            <w:webHidden/>
          </w:rPr>
          <w:tab/>
        </w:r>
        <w:r w:rsidR="00AD4715">
          <w:rPr>
            <w:noProof/>
            <w:webHidden/>
          </w:rPr>
          <w:fldChar w:fldCharType="begin"/>
        </w:r>
        <w:r w:rsidR="00AD4715">
          <w:rPr>
            <w:noProof/>
            <w:webHidden/>
          </w:rPr>
          <w:instrText xml:space="preserve"> PAGEREF _Toc478139095 \h </w:instrText>
        </w:r>
        <w:r w:rsidR="00AD4715">
          <w:rPr>
            <w:noProof/>
            <w:webHidden/>
          </w:rPr>
        </w:r>
        <w:r w:rsidR="00AD4715">
          <w:rPr>
            <w:noProof/>
            <w:webHidden/>
          </w:rPr>
          <w:fldChar w:fldCharType="separate"/>
        </w:r>
        <w:r w:rsidR="00AD4715">
          <w:rPr>
            <w:noProof/>
            <w:webHidden/>
          </w:rPr>
          <w:t>7</w:t>
        </w:r>
        <w:r w:rsidR="00AD4715">
          <w:rPr>
            <w:noProof/>
            <w:webHidden/>
          </w:rPr>
          <w:fldChar w:fldCharType="end"/>
        </w:r>
      </w:hyperlink>
    </w:p>
    <w:p w14:paraId="271CB47F" w14:textId="77777777" w:rsidR="00AD4715" w:rsidRDefault="008B4D14">
      <w:pPr>
        <w:pStyle w:val="TOC2"/>
        <w:rPr>
          <w:rFonts w:asciiTheme="minorHAnsi" w:eastAsiaTheme="minorEastAsia" w:hAnsiTheme="minorHAnsi" w:cstheme="minorBidi"/>
          <w:noProof/>
          <w:color w:val="auto"/>
          <w:szCs w:val="22"/>
        </w:rPr>
      </w:pPr>
      <w:hyperlink w:anchor="_Toc478139096" w:history="1">
        <w:r w:rsidR="00AD4715" w:rsidRPr="00124CD0">
          <w:rPr>
            <w:rStyle w:val="Hyperlink"/>
            <w:noProof/>
          </w:rPr>
          <w:t>Difficulties under current tax settings</w:t>
        </w:r>
        <w:r w:rsidR="00AD4715">
          <w:rPr>
            <w:noProof/>
            <w:webHidden/>
          </w:rPr>
          <w:tab/>
        </w:r>
        <w:r w:rsidR="00AD4715">
          <w:rPr>
            <w:noProof/>
            <w:webHidden/>
          </w:rPr>
          <w:fldChar w:fldCharType="begin"/>
        </w:r>
        <w:r w:rsidR="00AD4715">
          <w:rPr>
            <w:noProof/>
            <w:webHidden/>
          </w:rPr>
          <w:instrText xml:space="preserve"> PAGEREF _Toc478139096 \h </w:instrText>
        </w:r>
        <w:r w:rsidR="00AD4715">
          <w:rPr>
            <w:noProof/>
            <w:webHidden/>
          </w:rPr>
        </w:r>
        <w:r w:rsidR="00AD4715">
          <w:rPr>
            <w:noProof/>
            <w:webHidden/>
          </w:rPr>
          <w:fldChar w:fldCharType="separate"/>
        </w:r>
        <w:r w:rsidR="00AD4715">
          <w:rPr>
            <w:noProof/>
            <w:webHidden/>
          </w:rPr>
          <w:t>7</w:t>
        </w:r>
        <w:r w:rsidR="00AD4715">
          <w:rPr>
            <w:noProof/>
            <w:webHidden/>
          </w:rPr>
          <w:fldChar w:fldCharType="end"/>
        </w:r>
      </w:hyperlink>
    </w:p>
    <w:p w14:paraId="13452742" w14:textId="77777777" w:rsidR="00AD4715" w:rsidRDefault="008B4D14">
      <w:pPr>
        <w:pStyle w:val="TOC1"/>
        <w:rPr>
          <w:rFonts w:asciiTheme="minorHAnsi" w:eastAsiaTheme="minorEastAsia" w:hAnsiTheme="minorHAnsi" w:cstheme="minorBidi"/>
          <w:b w:val="0"/>
          <w:caps w:val="0"/>
          <w:noProof/>
          <w:color w:val="auto"/>
          <w:sz w:val="22"/>
        </w:rPr>
      </w:pPr>
      <w:hyperlink w:anchor="_Toc478139097" w:history="1">
        <w:r w:rsidR="00AD4715" w:rsidRPr="00124CD0">
          <w:rPr>
            <w:rStyle w:val="Hyperlink"/>
            <w:rFonts w:eastAsiaTheme="majorEastAsia"/>
            <w:noProof/>
          </w:rPr>
          <w:t>International comparisons</w:t>
        </w:r>
        <w:r w:rsidR="00AD4715">
          <w:rPr>
            <w:noProof/>
            <w:webHidden/>
          </w:rPr>
          <w:tab/>
        </w:r>
        <w:r w:rsidR="00AD4715">
          <w:rPr>
            <w:noProof/>
            <w:webHidden/>
          </w:rPr>
          <w:fldChar w:fldCharType="begin"/>
        </w:r>
        <w:r w:rsidR="00AD4715">
          <w:rPr>
            <w:noProof/>
            <w:webHidden/>
          </w:rPr>
          <w:instrText xml:space="preserve"> PAGEREF _Toc478139097 \h </w:instrText>
        </w:r>
        <w:r w:rsidR="00AD4715">
          <w:rPr>
            <w:noProof/>
            <w:webHidden/>
          </w:rPr>
        </w:r>
        <w:r w:rsidR="00AD4715">
          <w:rPr>
            <w:noProof/>
            <w:webHidden/>
          </w:rPr>
          <w:fldChar w:fldCharType="separate"/>
        </w:r>
        <w:r w:rsidR="00AD4715">
          <w:rPr>
            <w:noProof/>
            <w:webHidden/>
          </w:rPr>
          <w:t>9</w:t>
        </w:r>
        <w:r w:rsidR="00AD4715">
          <w:rPr>
            <w:noProof/>
            <w:webHidden/>
          </w:rPr>
          <w:fldChar w:fldCharType="end"/>
        </w:r>
      </w:hyperlink>
    </w:p>
    <w:p w14:paraId="5EFFCE84" w14:textId="77777777" w:rsidR="00AD4715" w:rsidRDefault="008B4D14">
      <w:pPr>
        <w:pStyle w:val="TOC2"/>
        <w:rPr>
          <w:rFonts w:asciiTheme="minorHAnsi" w:eastAsiaTheme="minorEastAsia" w:hAnsiTheme="minorHAnsi" w:cstheme="minorBidi"/>
          <w:noProof/>
          <w:color w:val="auto"/>
          <w:szCs w:val="22"/>
        </w:rPr>
      </w:pPr>
      <w:hyperlink w:anchor="_Toc478139098" w:history="1">
        <w:r w:rsidR="00AD4715" w:rsidRPr="00124CD0">
          <w:rPr>
            <w:rStyle w:val="Hyperlink"/>
            <w:rFonts w:eastAsiaTheme="majorEastAsia"/>
            <w:noProof/>
          </w:rPr>
          <w:t>International approaches to stapled structures</w:t>
        </w:r>
        <w:r w:rsidR="00AD4715">
          <w:rPr>
            <w:noProof/>
            <w:webHidden/>
          </w:rPr>
          <w:tab/>
        </w:r>
        <w:r w:rsidR="00AD4715">
          <w:rPr>
            <w:noProof/>
            <w:webHidden/>
          </w:rPr>
          <w:fldChar w:fldCharType="begin"/>
        </w:r>
        <w:r w:rsidR="00AD4715">
          <w:rPr>
            <w:noProof/>
            <w:webHidden/>
          </w:rPr>
          <w:instrText xml:space="preserve"> PAGEREF _Toc478139098 \h </w:instrText>
        </w:r>
        <w:r w:rsidR="00AD4715">
          <w:rPr>
            <w:noProof/>
            <w:webHidden/>
          </w:rPr>
        </w:r>
        <w:r w:rsidR="00AD4715">
          <w:rPr>
            <w:noProof/>
            <w:webHidden/>
          </w:rPr>
          <w:fldChar w:fldCharType="separate"/>
        </w:r>
        <w:r w:rsidR="00AD4715">
          <w:rPr>
            <w:noProof/>
            <w:webHidden/>
          </w:rPr>
          <w:t>9</w:t>
        </w:r>
        <w:r w:rsidR="00AD4715">
          <w:rPr>
            <w:noProof/>
            <w:webHidden/>
          </w:rPr>
          <w:fldChar w:fldCharType="end"/>
        </w:r>
      </w:hyperlink>
    </w:p>
    <w:p w14:paraId="16A278FE" w14:textId="77777777" w:rsidR="00AD4715" w:rsidRDefault="008B4D14">
      <w:pPr>
        <w:pStyle w:val="TOC2"/>
        <w:rPr>
          <w:rFonts w:asciiTheme="minorHAnsi" w:eastAsiaTheme="minorEastAsia" w:hAnsiTheme="minorHAnsi" w:cstheme="minorBidi"/>
          <w:noProof/>
          <w:color w:val="auto"/>
          <w:szCs w:val="22"/>
        </w:rPr>
      </w:pPr>
      <w:hyperlink w:anchor="_Toc478139099" w:history="1">
        <w:r w:rsidR="00AD4715" w:rsidRPr="00124CD0">
          <w:rPr>
            <w:rStyle w:val="Hyperlink"/>
            <w:rFonts w:eastAsiaTheme="majorEastAsia"/>
            <w:noProof/>
          </w:rPr>
          <w:t>International comparisons for REIT regimes</w:t>
        </w:r>
        <w:r w:rsidR="00AD4715">
          <w:rPr>
            <w:noProof/>
            <w:webHidden/>
          </w:rPr>
          <w:tab/>
        </w:r>
        <w:r w:rsidR="00AD4715">
          <w:rPr>
            <w:noProof/>
            <w:webHidden/>
          </w:rPr>
          <w:fldChar w:fldCharType="begin"/>
        </w:r>
        <w:r w:rsidR="00AD4715">
          <w:rPr>
            <w:noProof/>
            <w:webHidden/>
          </w:rPr>
          <w:instrText xml:space="preserve"> PAGEREF _Toc478139099 \h </w:instrText>
        </w:r>
        <w:r w:rsidR="00AD4715">
          <w:rPr>
            <w:noProof/>
            <w:webHidden/>
          </w:rPr>
        </w:r>
        <w:r w:rsidR="00AD4715">
          <w:rPr>
            <w:noProof/>
            <w:webHidden/>
          </w:rPr>
          <w:fldChar w:fldCharType="separate"/>
        </w:r>
        <w:r w:rsidR="00AD4715">
          <w:rPr>
            <w:noProof/>
            <w:webHidden/>
          </w:rPr>
          <w:t>10</w:t>
        </w:r>
        <w:r w:rsidR="00AD4715">
          <w:rPr>
            <w:noProof/>
            <w:webHidden/>
          </w:rPr>
          <w:fldChar w:fldCharType="end"/>
        </w:r>
      </w:hyperlink>
    </w:p>
    <w:p w14:paraId="72087659" w14:textId="77777777" w:rsidR="00AD4715" w:rsidRDefault="008B4D14">
      <w:pPr>
        <w:pStyle w:val="TOC2"/>
        <w:rPr>
          <w:rFonts w:asciiTheme="minorHAnsi" w:eastAsiaTheme="minorEastAsia" w:hAnsiTheme="minorHAnsi" w:cstheme="minorBidi"/>
          <w:noProof/>
          <w:color w:val="auto"/>
          <w:szCs w:val="22"/>
        </w:rPr>
      </w:pPr>
      <w:hyperlink w:anchor="_Toc478139100" w:history="1">
        <w:r w:rsidR="00AD4715" w:rsidRPr="00124CD0">
          <w:rPr>
            <w:rStyle w:val="Hyperlink"/>
            <w:rFonts w:eastAsiaTheme="majorEastAsia"/>
            <w:noProof/>
          </w:rPr>
          <w:t>International treatment of infrastructure</w:t>
        </w:r>
        <w:r w:rsidR="00AD4715">
          <w:rPr>
            <w:noProof/>
            <w:webHidden/>
          </w:rPr>
          <w:tab/>
        </w:r>
        <w:r w:rsidR="00AD4715">
          <w:rPr>
            <w:noProof/>
            <w:webHidden/>
          </w:rPr>
          <w:fldChar w:fldCharType="begin"/>
        </w:r>
        <w:r w:rsidR="00AD4715">
          <w:rPr>
            <w:noProof/>
            <w:webHidden/>
          </w:rPr>
          <w:instrText xml:space="preserve"> PAGEREF _Toc478139100 \h </w:instrText>
        </w:r>
        <w:r w:rsidR="00AD4715">
          <w:rPr>
            <w:noProof/>
            <w:webHidden/>
          </w:rPr>
        </w:r>
        <w:r w:rsidR="00AD4715">
          <w:rPr>
            <w:noProof/>
            <w:webHidden/>
          </w:rPr>
          <w:fldChar w:fldCharType="separate"/>
        </w:r>
        <w:r w:rsidR="00AD4715">
          <w:rPr>
            <w:noProof/>
            <w:webHidden/>
          </w:rPr>
          <w:t>10</w:t>
        </w:r>
        <w:r w:rsidR="00AD4715">
          <w:rPr>
            <w:noProof/>
            <w:webHidden/>
          </w:rPr>
          <w:fldChar w:fldCharType="end"/>
        </w:r>
      </w:hyperlink>
    </w:p>
    <w:p w14:paraId="49B11883" w14:textId="77777777" w:rsidR="00AD4715" w:rsidRDefault="008B4D14">
      <w:pPr>
        <w:pStyle w:val="TOC1"/>
        <w:rPr>
          <w:rFonts w:asciiTheme="minorHAnsi" w:eastAsiaTheme="minorEastAsia" w:hAnsiTheme="minorHAnsi" w:cstheme="minorBidi"/>
          <w:b w:val="0"/>
          <w:caps w:val="0"/>
          <w:noProof/>
          <w:color w:val="auto"/>
          <w:sz w:val="22"/>
        </w:rPr>
      </w:pPr>
      <w:hyperlink w:anchor="_Toc478139101" w:history="1">
        <w:r w:rsidR="00AD4715" w:rsidRPr="00124CD0">
          <w:rPr>
            <w:rStyle w:val="Hyperlink"/>
            <w:noProof/>
          </w:rPr>
          <w:t>Policy considerations</w:t>
        </w:r>
        <w:r w:rsidR="00AD4715">
          <w:rPr>
            <w:noProof/>
            <w:webHidden/>
          </w:rPr>
          <w:tab/>
        </w:r>
        <w:r w:rsidR="00AD4715">
          <w:rPr>
            <w:noProof/>
            <w:webHidden/>
          </w:rPr>
          <w:fldChar w:fldCharType="begin"/>
        </w:r>
        <w:r w:rsidR="00AD4715">
          <w:rPr>
            <w:noProof/>
            <w:webHidden/>
          </w:rPr>
          <w:instrText xml:space="preserve"> PAGEREF _Toc478139101 \h </w:instrText>
        </w:r>
        <w:r w:rsidR="00AD4715">
          <w:rPr>
            <w:noProof/>
            <w:webHidden/>
          </w:rPr>
        </w:r>
        <w:r w:rsidR="00AD4715">
          <w:rPr>
            <w:noProof/>
            <w:webHidden/>
          </w:rPr>
          <w:fldChar w:fldCharType="separate"/>
        </w:r>
        <w:r w:rsidR="00AD4715">
          <w:rPr>
            <w:noProof/>
            <w:webHidden/>
          </w:rPr>
          <w:t>11</w:t>
        </w:r>
        <w:r w:rsidR="00AD4715">
          <w:rPr>
            <w:noProof/>
            <w:webHidden/>
          </w:rPr>
          <w:fldChar w:fldCharType="end"/>
        </w:r>
      </w:hyperlink>
    </w:p>
    <w:p w14:paraId="2A062DE3" w14:textId="77777777" w:rsidR="00AD4715" w:rsidRDefault="008B4D14">
      <w:pPr>
        <w:pStyle w:val="TOC2"/>
        <w:rPr>
          <w:rFonts w:asciiTheme="minorHAnsi" w:eastAsiaTheme="minorEastAsia" w:hAnsiTheme="minorHAnsi" w:cstheme="minorBidi"/>
          <w:noProof/>
          <w:color w:val="auto"/>
          <w:szCs w:val="22"/>
        </w:rPr>
      </w:pPr>
      <w:hyperlink w:anchor="_Toc478139102" w:history="1">
        <w:r w:rsidR="00AD4715" w:rsidRPr="00124CD0">
          <w:rPr>
            <w:rStyle w:val="Hyperlink"/>
            <w:rFonts w:eastAsiaTheme="majorEastAsia"/>
            <w:noProof/>
          </w:rPr>
          <w:t>Revenue considerations</w:t>
        </w:r>
        <w:r w:rsidR="00AD4715">
          <w:rPr>
            <w:noProof/>
            <w:webHidden/>
          </w:rPr>
          <w:tab/>
        </w:r>
        <w:r w:rsidR="00AD4715">
          <w:rPr>
            <w:noProof/>
            <w:webHidden/>
          </w:rPr>
          <w:fldChar w:fldCharType="begin"/>
        </w:r>
        <w:r w:rsidR="00AD4715">
          <w:rPr>
            <w:noProof/>
            <w:webHidden/>
          </w:rPr>
          <w:instrText xml:space="preserve"> PAGEREF _Toc478139102 \h </w:instrText>
        </w:r>
        <w:r w:rsidR="00AD4715">
          <w:rPr>
            <w:noProof/>
            <w:webHidden/>
          </w:rPr>
        </w:r>
        <w:r w:rsidR="00AD4715">
          <w:rPr>
            <w:noProof/>
            <w:webHidden/>
          </w:rPr>
          <w:fldChar w:fldCharType="separate"/>
        </w:r>
        <w:r w:rsidR="00AD4715">
          <w:rPr>
            <w:noProof/>
            <w:webHidden/>
          </w:rPr>
          <w:t>11</w:t>
        </w:r>
        <w:r w:rsidR="00AD4715">
          <w:rPr>
            <w:noProof/>
            <w:webHidden/>
          </w:rPr>
          <w:fldChar w:fldCharType="end"/>
        </w:r>
      </w:hyperlink>
    </w:p>
    <w:p w14:paraId="4A1B1E34" w14:textId="77777777" w:rsidR="00AD4715" w:rsidRDefault="008B4D14">
      <w:pPr>
        <w:pStyle w:val="TOC2"/>
        <w:rPr>
          <w:rFonts w:asciiTheme="minorHAnsi" w:eastAsiaTheme="minorEastAsia" w:hAnsiTheme="minorHAnsi" w:cstheme="minorBidi"/>
          <w:noProof/>
          <w:color w:val="auto"/>
          <w:szCs w:val="22"/>
        </w:rPr>
      </w:pPr>
      <w:hyperlink w:anchor="_Toc478139103" w:history="1">
        <w:r w:rsidR="00AD4715" w:rsidRPr="00124CD0">
          <w:rPr>
            <w:rStyle w:val="Hyperlink"/>
            <w:rFonts w:eastAsiaTheme="majorEastAsia"/>
            <w:noProof/>
          </w:rPr>
          <w:t>International competitiveness</w:t>
        </w:r>
        <w:r w:rsidR="00AD4715">
          <w:rPr>
            <w:noProof/>
            <w:webHidden/>
          </w:rPr>
          <w:tab/>
        </w:r>
        <w:r w:rsidR="00AD4715">
          <w:rPr>
            <w:noProof/>
            <w:webHidden/>
          </w:rPr>
          <w:fldChar w:fldCharType="begin"/>
        </w:r>
        <w:r w:rsidR="00AD4715">
          <w:rPr>
            <w:noProof/>
            <w:webHidden/>
          </w:rPr>
          <w:instrText xml:space="preserve"> PAGEREF _Toc478139103 \h </w:instrText>
        </w:r>
        <w:r w:rsidR="00AD4715">
          <w:rPr>
            <w:noProof/>
            <w:webHidden/>
          </w:rPr>
        </w:r>
        <w:r w:rsidR="00AD4715">
          <w:rPr>
            <w:noProof/>
            <w:webHidden/>
          </w:rPr>
          <w:fldChar w:fldCharType="separate"/>
        </w:r>
        <w:r w:rsidR="00AD4715">
          <w:rPr>
            <w:noProof/>
            <w:webHidden/>
          </w:rPr>
          <w:t>11</w:t>
        </w:r>
        <w:r w:rsidR="00AD4715">
          <w:rPr>
            <w:noProof/>
            <w:webHidden/>
          </w:rPr>
          <w:fldChar w:fldCharType="end"/>
        </w:r>
      </w:hyperlink>
    </w:p>
    <w:p w14:paraId="0D628856" w14:textId="77777777" w:rsidR="00AD4715" w:rsidRDefault="008B4D14">
      <w:pPr>
        <w:pStyle w:val="TOC2"/>
        <w:rPr>
          <w:rFonts w:asciiTheme="minorHAnsi" w:eastAsiaTheme="minorEastAsia" w:hAnsiTheme="minorHAnsi" w:cstheme="minorBidi"/>
          <w:noProof/>
          <w:color w:val="auto"/>
          <w:szCs w:val="22"/>
        </w:rPr>
      </w:pPr>
      <w:hyperlink w:anchor="_Toc478139104" w:history="1">
        <w:r w:rsidR="00AD4715" w:rsidRPr="00124CD0">
          <w:rPr>
            <w:rStyle w:val="Hyperlink"/>
            <w:rFonts w:eastAsiaTheme="majorEastAsia"/>
            <w:noProof/>
          </w:rPr>
          <w:t>Economic efficiency</w:t>
        </w:r>
        <w:r w:rsidR="00AD4715">
          <w:rPr>
            <w:noProof/>
            <w:webHidden/>
          </w:rPr>
          <w:tab/>
        </w:r>
        <w:r w:rsidR="00AD4715">
          <w:rPr>
            <w:noProof/>
            <w:webHidden/>
          </w:rPr>
          <w:fldChar w:fldCharType="begin"/>
        </w:r>
        <w:r w:rsidR="00AD4715">
          <w:rPr>
            <w:noProof/>
            <w:webHidden/>
          </w:rPr>
          <w:instrText xml:space="preserve"> PAGEREF _Toc478139104 \h </w:instrText>
        </w:r>
        <w:r w:rsidR="00AD4715">
          <w:rPr>
            <w:noProof/>
            <w:webHidden/>
          </w:rPr>
        </w:r>
        <w:r w:rsidR="00AD4715">
          <w:rPr>
            <w:noProof/>
            <w:webHidden/>
          </w:rPr>
          <w:fldChar w:fldCharType="separate"/>
        </w:r>
        <w:r w:rsidR="00AD4715">
          <w:rPr>
            <w:noProof/>
            <w:webHidden/>
          </w:rPr>
          <w:t>12</w:t>
        </w:r>
        <w:r w:rsidR="00AD4715">
          <w:rPr>
            <w:noProof/>
            <w:webHidden/>
          </w:rPr>
          <w:fldChar w:fldCharType="end"/>
        </w:r>
      </w:hyperlink>
    </w:p>
    <w:p w14:paraId="1814FDBF" w14:textId="77777777" w:rsidR="00AD4715" w:rsidRDefault="008B4D14">
      <w:pPr>
        <w:pStyle w:val="TOC2"/>
        <w:rPr>
          <w:rFonts w:asciiTheme="minorHAnsi" w:eastAsiaTheme="minorEastAsia" w:hAnsiTheme="minorHAnsi" w:cstheme="minorBidi"/>
          <w:noProof/>
          <w:color w:val="auto"/>
          <w:szCs w:val="22"/>
        </w:rPr>
      </w:pPr>
      <w:hyperlink w:anchor="_Toc478139105" w:history="1">
        <w:r w:rsidR="00AD4715" w:rsidRPr="00124CD0">
          <w:rPr>
            <w:rStyle w:val="Hyperlink"/>
            <w:rFonts w:eastAsiaTheme="majorEastAsia"/>
            <w:noProof/>
          </w:rPr>
          <w:t>Simplicity</w:t>
        </w:r>
        <w:r w:rsidR="00AD4715">
          <w:rPr>
            <w:noProof/>
            <w:webHidden/>
          </w:rPr>
          <w:tab/>
        </w:r>
        <w:r w:rsidR="00AD4715">
          <w:rPr>
            <w:noProof/>
            <w:webHidden/>
          </w:rPr>
          <w:fldChar w:fldCharType="begin"/>
        </w:r>
        <w:r w:rsidR="00AD4715">
          <w:rPr>
            <w:noProof/>
            <w:webHidden/>
          </w:rPr>
          <w:instrText xml:space="preserve"> PAGEREF _Toc478139105 \h </w:instrText>
        </w:r>
        <w:r w:rsidR="00AD4715">
          <w:rPr>
            <w:noProof/>
            <w:webHidden/>
          </w:rPr>
        </w:r>
        <w:r w:rsidR="00AD4715">
          <w:rPr>
            <w:noProof/>
            <w:webHidden/>
          </w:rPr>
          <w:fldChar w:fldCharType="separate"/>
        </w:r>
        <w:r w:rsidR="00AD4715">
          <w:rPr>
            <w:noProof/>
            <w:webHidden/>
          </w:rPr>
          <w:t>12</w:t>
        </w:r>
        <w:r w:rsidR="00AD4715">
          <w:rPr>
            <w:noProof/>
            <w:webHidden/>
          </w:rPr>
          <w:fldChar w:fldCharType="end"/>
        </w:r>
      </w:hyperlink>
    </w:p>
    <w:p w14:paraId="78574C32" w14:textId="77777777" w:rsidR="00AD4715" w:rsidRDefault="008B4D14">
      <w:pPr>
        <w:pStyle w:val="TOC2"/>
        <w:rPr>
          <w:rFonts w:asciiTheme="minorHAnsi" w:eastAsiaTheme="minorEastAsia" w:hAnsiTheme="minorHAnsi" w:cstheme="minorBidi"/>
          <w:noProof/>
          <w:color w:val="auto"/>
          <w:szCs w:val="22"/>
        </w:rPr>
      </w:pPr>
      <w:hyperlink w:anchor="_Toc478139106" w:history="1">
        <w:r w:rsidR="00AD4715" w:rsidRPr="00124CD0">
          <w:rPr>
            <w:rStyle w:val="Hyperlink"/>
            <w:rFonts w:eastAsiaTheme="majorEastAsia"/>
            <w:noProof/>
          </w:rPr>
          <w:t>Transparency</w:t>
        </w:r>
        <w:r w:rsidR="00AD4715">
          <w:rPr>
            <w:noProof/>
            <w:webHidden/>
          </w:rPr>
          <w:tab/>
        </w:r>
        <w:r w:rsidR="00AD4715">
          <w:rPr>
            <w:noProof/>
            <w:webHidden/>
          </w:rPr>
          <w:fldChar w:fldCharType="begin"/>
        </w:r>
        <w:r w:rsidR="00AD4715">
          <w:rPr>
            <w:noProof/>
            <w:webHidden/>
          </w:rPr>
          <w:instrText xml:space="preserve"> PAGEREF _Toc478139106 \h </w:instrText>
        </w:r>
        <w:r w:rsidR="00AD4715">
          <w:rPr>
            <w:noProof/>
            <w:webHidden/>
          </w:rPr>
        </w:r>
        <w:r w:rsidR="00AD4715">
          <w:rPr>
            <w:noProof/>
            <w:webHidden/>
          </w:rPr>
          <w:fldChar w:fldCharType="separate"/>
        </w:r>
        <w:r w:rsidR="00AD4715">
          <w:rPr>
            <w:noProof/>
            <w:webHidden/>
          </w:rPr>
          <w:t>13</w:t>
        </w:r>
        <w:r w:rsidR="00AD4715">
          <w:rPr>
            <w:noProof/>
            <w:webHidden/>
          </w:rPr>
          <w:fldChar w:fldCharType="end"/>
        </w:r>
      </w:hyperlink>
    </w:p>
    <w:p w14:paraId="481302C4" w14:textId="77777777" w:rsidR="00AD4715" w:rsidRDefault="008B4D14">
      <w:pPr>
        <w:pStyle w:val="TOC1"/>
        <w:rPr>
          <w:rFonts w:asciiTheme="minorHAnsi" w:eastAsiaTheme="minorEastAsia" w:hAnsiTheme="minorHAnsi" w:cstheme="minorBidi"/>
          <w:b w:val="0"/>
          <w:caps w:val="0"/>
          <w:noProof/>
          <w:color w:val="auto"/>
          <w:sz w:val="22"/>
        </w:rPr>
      </w:pPr>
      <w:hyperlink w:anchor="_Toc478139107" w:history="1">
        <w:r w:rsidR="00AD4715" w:rsidRPr="00124CD0">
          <w:rPr>
            <w:rStyle w:val="Hyperlink"/>
            <w:noProof/>
          </w:rPr>
          <w:t>Broad policy options</w:t>
        </w:r>
        <w:r w:rsidR="00AD4715">
          <w:rPr>
            <w:noProof/>
            <w:webHidden/>
          </w:rPr>
          <w:tab/>
        </w:r>
        <w:r w:rsidR="00AD4715">
          <w:rPr>
            <w:noProof/>
            <w:webHidden/>
          </w:rPr>
          <w:fldChar w:fldCharType="begin"/>
        </w:r>
        <w:r w:rsidR="00AD4715">
          <w:rPr>
            <w:noProof/>
            <w:webHidden/>
          </w:rPr>
          <w:instrText xml:space="preserve"> PAGEREF _Toc478139107 \h </w:instrText>
        </w:r>
        <w:r w:rsidR="00AD4715">
          <w:rPr>
            <w:noProof/>
            <w:webHidden/>
          </w:rPr>
        </w:r>
        <w:r w:rsidR="00AD4715">
          <w:rPr>
            <w:noProof/>
            <w:webHidden/>
          </w:rPr>
          <w:fldChar w:fldCharType="separate"/>
        </w:r>
        <w:r w:rsidR="00AD4715">
          <w:rPr>
            <w:noProof/>
            <w:webHidden/>
          </w:rPr>
          <w:t>14</w:t>
        </w:r>
        <w:r w:rsidR="00AD4715">
          <w:rPr>
            <w:noProof/>
            <w:webHidden/>
          </w:rPr>
          <w:fldChar w:fldCharType="end"/>
        </w:r>
      </w:hyperlink>
    </w:p>
    <w:p w14:paraId="1C5DE28F" w14:textId="77777777" w:rsidR="00AD4715" w:rsidRDefault="008B4D14">
      <w:pPr>
        <w:pStyle w:val="TOC2"/>
        <w:rPr>
          <w:rFonts w:asciiTheme="minorHAnsi" w:eastAsiaTheme="minorEastAsia" w:hAnsiTheme="minorHAnsi" w:cstheme="minorBidi"/>
          <w:noProof/>
          <w:color w:val="auto"/>
          <w:szCs w:val="22"/>
        </w:rPr>
      </w:pPr>
      <w:hyperlink w:anchor="_Toc478139108" w:history="1">
        <w:r w:rsidR="00AD4715" w:rsidRPr="00124CD0">
          <w:rPr>
            <w:rStyle w:val="Hyperlink"/>
            <w:noProof/>
          </w:rPr>
          <w:t>Dealings between stapled entities</w:t>
        </w:r>
        <w:r w:rsidR="00AD4715">
          <w:rPr>
            <w:noProof/>
            <w:webHidden/>
          </w:rPr>
          <w:tab/>
        </w:r>
        <w:r w:rsidR="00AD4715">
          <w:rPr>
            <w:noProof/>
            <w:webHidden/>
          </w:rPr>
          <w:fldChar w:fldCharType="begin"/>
        </w:r>
        <w:r w:rsidR="00AD4715">
          <w:rPr>
            <w:noProof/>
            <w:webHidden/>
          </w:rPr>
          <w:instrText xml:space="preserve"> PAGEREF _Toc478139108 \h </w:instrText>
        </w:r>
        <w:r w:rsidR="00AD4715">
          <w:rPr>
            <w:noProof/>
            <w:webHidden/>
          </w:rPr>
        </w:r>
        <w:r w:rsidR="00AD4715">
          <w:rPr>
            <w:noProof/>
            <w:webHidden/>
          </w:rPr>
          <w:fldChar w:fldCharType="separate"/>
        </w:r>
        <w:r w:rsidR="00AD4715">
          <w:rPr>
            <w:noProof/>
            <w:webHidden/>
          </w:rPr>
          <w:t>14</w:t>
        </w:r>
        <w:r w:rsidR="00AD4715">
          <w:rPr>
            <w:noProof/>
            <w:webHidden/>
          </w:rPr>
          <w:fldChar w:fldCharType="end"/>
        </w:r>
      </w:hyperlink>
    </w:p>
    <w:p w14:paraId="58C95B1E" w14:textId="77777777" w:rsidR="00AD4715" w:rsidRDefault="008B4D14">
      <w:pPr>
        <w:pStyle w:val="TOC2"/>
        <w:rPr>
          <w:rFonts w:asciiTheme="minorHAnsi" w:eastAsiaTheme="minorEastAsia" w:hAnsiTheme="minorHAnsi" w:cstheme="minorBidi"/>
          <w:noProof/>
          <w:color w:val="auto"/>
          <w:szCs w:val="22"/>
        </w:rPr>
      </w:pPr>
      <w:hyperlink w:anchor="_Toc478139109" w:history="1">
        <w:r w:rsidR="00AD4715" w:rsidRPr="00124CD0">
          <w:rPr>
            <w:rStyle w:val="Hyperlink"/>
            <w:noProof/>
          </w:rPr>
          <w:t>Excluded structures</w:t>
        </w:r>
        <w:r w:rsidR="00AD4715">
          <w:rPr>
            <w:noProof/>
            <w:webHidden/>
          </w:rPr>
          <w:tab/>
        </w:r>
        <w:r w:rsidR="00AD4715">
          <w:rPr>
            <w:noProof/>
            <w:webHidden/>
          </w:rPr>
          <w:fldChar w:fldCharType="begin"/>
        </w:r>
        <w:r w:rsidR="00AD4715">
          <w:rPr>
            <w:noProof/>
            <w:webHidden/>
          </w:rPr>
          <w:instrText xml:space="preserve"> PAGEREF _Toc478139109 \h </w:instrText>
        </w:r>
        <w:r w:rsidR="00AD4715">
          <w:rPr>
            <w:noProof/>
            <w:webHidden/>
          </w:rPr>
        </w:r>
        <w:r w:rsidR="00AD4715">
          <w:rPr>
            <w:noProof/>
            <w:webHidden/>
          </w:rPr>
          <w:fldChar w:fldCharType="separate"/>
        </w:r>
        <w:r w:rsidR="00AD4715">
          <w:rPr>
            <w:noProof/>
            <w:webHidden/>
          </w:rPr>
          <w:t>14</w:t>
        </w:r>
        <w:r w:rsidR="00AD4715">
          <w:rPr>
            <w:noProof/>
            <w:webHidden/>
          </w:rPr>
          <w:fldChar w:fldCharType="end"/>
        </w:r>
      </w:hyperlink>
    </w:p>
    <w:p w14:paraId="3FB97F91" w14:textId="77777777" w:rsidR="00AD4715" w:rsidRDefault="008B4D14">
      <w:pPr>
        <w:pStyle w:val="TOC2"/>
        <w:rPr>
          <w:rFonts w:asciiTheme="minorHAnsi" w:eastAsiaTheme="minorEastAsia" w:hAnsiTheme="minorHAnsi" w:cstheme="minorBidi"/>
          <w:noProof/>
          <w:color w:val="auto"/>
          <w:szCs w:val="22"/>
        </w:rPr>
      </w:pPr>
      <w:hyperlink w:anchor="_Toc478139110" w:history="1">
        <w:r w:rsidR="00AD4715" w:rsidRPr="00124CD0">
          <w:rPr>
            <w:rStyle w:val="Hyperlink"/>
            <w:noProof/>
          </w:rPr>
          <w:t>Specific REIT regime</w:t>
        </w:r>
        <w:r w:rsidR="00AD4715">
          <w:rPr>
            <w:noProof/>
            <w:webHidden/>
          </w:rPr>
          <w:tab/>
        </w:r>
        <w:r w:rsidR="00AD4715">
          <w:rPr>
            <w:noProof/>
            <w:webHidden/>
          </w:rPr>
          <w:fldChar w:fldCharType="begin"/>
        </w:r>
        <w:r w:rsidR="00AD4715">
          <w:rPr>
            <w:noProof/>
            <w:webHidden/>
          </w:rPr>
          <w:instrText xml:space="preserve"> PAGEREF _Toc478139110 \h </w:instrText>
        </w:r>
        <w:r w:rsidR="00AD4715">
          <w:rPr>
            <w:noProof/>
            <w:webHidden/>
          </w:rPr>
        </w:r>
        <w:r w:rsidR="00AD4715">
          <w:rPr>
            <w:noProof/>
            <w:webHidden/>
          </w:rPr>
          <w:fldChar w:fldCharType="separate"/>
        </w:r>
        <w:r w:rsidR="00AD4715">
          <w:rPr>
            <w:noProof/>
            <w:webHidden/>
          </w:rPr>
          <w:t>15</w:t>
        </w:r>
        <w:r w:rsidR="00AD4715">
          <w:rPr>
            <w:noProof/>
            <w:webHidden/>
          </w:rPr>
          <w:fldChar w:fldCharType="end"/>
        </w:r>
      </w:hyperlink>
    </w:p>
    <w:p w14:paraId="4A5FA635" w14:textId="77777777" w:rsidR="00AD4715" w:rsidRDefault="008B4D14">
      <w:pPr>
        <w:pStyle w:val="TOC2"/>
        <w:rPr>
          <w:rFonts w:asciiTheme="minorHAnsi" w:eastAsiaTheme="minorEastAsia" w:hAnsiTheme="minorHAnsi" w:cstheme="minorBidi"/>
          <w:noProof/>
          <w:color w:val="auto"/>
          <w:szCs w:val="22"/>
        </w:rPr>
      </w:pPr>
      <w:hyperlink w:anchor="_Toc478139111" w:history="1">
        <w:r w:rsidR="00AD4715" w:rsidRPr="00124CD0">
          <w:rPr>
            <w:rStyle w:val="Hyperlink"/>
            <w:noProof/>
          </w:rPr>
          <w:t>Other specific industry concessions</w:t>
        </w:r>
        <w:r w:rsidR="00AD4715">
          <w:rPr>
            <w:noProof/>
            <w:webHidden/>
          </w:rPr>
          <w:tab/>
        </w:r>
        <w:r w:rsidR="00AD4715">
          <w:rPr>
            <w:noProof/>
            <w:webHidden/>
          </w:rPr>
          <w:fldChar w:fldCharType="begin"/>
        </w:r>
        <w:r w:rsidR="00AD4715">
          <w:rPr>
            <w:noProof/>
            <w:webHidden/>
          </w:rPr>
          <w:instrText xml:space="preserve"> PAGEREF _Toc478139111 \h </w:instrText>
        </w:r>
        <w:r w:rsidR="00AD4715">
          <w:rPr>
            <w:noProof/>
            <w:webHidden/>
          </w:rPr>
        </w:r>
        <w:r w:rsidR="00AD4715">
          <w:rPr>
            <w:noProof/>
            <w:webHidden/>
          </w:rPr>
          <w:fldChar w:fldCharType="separate"/>
        </w:r>
        <w:r w:rsidR="00AD4715">
          <w:rPr>
            <w:noProof/>
            <w:webHidden/>
          </w:rPr>
          <w:t>16</w:t>
        </w:r>
        <w:r w:rsidR="00AD4715">
          <w:rPr>
            <w:noProof/>
            <w:webHidden/>
          </w:rPr>
          <w:fldChar w:fldCharType="end"/>
        </w:r>
      </w:hyperlink>
    </w:p>
    <w:p w14:paraId="52781280" w14:textId="77777777" w:rsidR="00AD4715" w:rsidRDefault="008B4D14">
      <w:pPr>
        <w:pStyle w:val="TOC1"/>
        <w:rPr>
          <w:rFonts w:asciiTheme="minorHAnsi" w:eastAsiaTheme="minorEastAsia" w:hAnsiTheme="minorHAnsi" w:cstheme="minorBidi"/>
          <w:b w:val="0"/>
          <w:caps w:val="0"/>
          <w:noProof/>
          <w:color w:val="auto"/>
          <w:sz w:val="22"/>
        </w:rPr>
      </w:pPr>
      <w:hyperlink w:anchor="_Toc478139112" w:history="1">
        <w:r w:rsidR="00AD4715" w:rsidRPr="00124CD0">
          <w:rPr>
            <w:rStyle w:val="Hyperlink"/>
            <w:noProof/>
          </w:rPr>
          <w:t>Impacts of policy options</w:t>
        </w:r>
        <w:r w:rsidR="00AD4715">
          <w:rPr>
            <w:noProof/>
            <w:webHidden/>
          </w:rPr>
          <w:tab/>
        </w:r>
        <w:r w:rsidR="00AD4715">
          <w:rPr>
            <w:noProof/>
            <w:webHidden/>
          </w:rPr>
          <w:fldChar w:fldCharType="begin"/>
        </w:r>
        <w:r w:rsidR="00AD4715">
          <w:rPr>
            <w:noProof/>
            <w:webHidden/>
          </w:rPr>
          <w:instrText xml:space="preserve"> PAGEREF _Toc478139112 \h </w:instrText>
        </w:r>
        <w:r w:rsidR="00AD4715">
          <w:rPr>
            <w:noProof/>
            <w:webHidden/>
          </w:rPr>
        </w:r>
        <w:r w:rsidR="00AD4715">
          <w:rPr>
            <w:noProof/>
            <w:webHidden/>
          </w:rPr>
          <w:fldChar w:fldCharType="separate"/>
        </w:r>
        <w:r w:rsidR="00AD4715">
          <w:rPr>
            <w:noProof/>
            <w:webHidden/>
          </w:rPr>
          <w:t>17</w:t>
        </w:r>
        <w:r w:rsidR="00AD4715">
          <w:rPr>
            <w:noProof/>
            <w:webHidden/>
          </w:rPr>
          <w:fldChar w:fldCharType="end"/>
        </w:r>
      </w:hyperlink>
    </w:p>
    <w:p w14:paraId="636A8AC5" w14:textId="77777777" w:rsidR="00AD4715" w:rsidRDefault="008B4D14">
      <w:pPr>
        <w:pStyle w:val="TOC2"/>
        <w:rPr>
          <w:rFonts w:asciiTheme="minorHAnsi" w:eastAsiaTheme="minorEastAsia" w:hAnsiTheme="minorHAnsi" w:cstheme="minorBidi"/>
          <w:noProof/>
          <w:color w:val="auto"/>
          <w:szCs w:val="22"/>
        </w:rPr>
      </w:pPr>
      <w:hyperlink w:anchor="_Toc478139113" w:history="1">
        <w:r w:rsidR="00AD4715" w:rsidRPr="00124CD0">
          <w:rPr>
            <w:rStyle w:val="Hyperlink"/>
            <w:noProof/>
          </w:rPr>
          <w:t>Tax revenue</w:t>
        </w:r>
        <w:r w:rsidR="00AD4715">
          <w:rPr>
            <w:noProof/>
            <w:webHidden/>
          </w:rPr>
          <w:tab/>
        </w:r>
        <w:r w:rsidR="00AD4715">
          <w:rPr>
            <w:noProof/>
            <w:webHidden/>
          </w:rPr>
          <w:fldChar w:fldCharType="begin"/>
        </w:r>
        <w:r w:rsidR="00AD4715">
          <w:rPr>
            <w:noProof/>
            <w:webHidden/>
          </w:rPr>
          <w:instrText xml:space="preserve"> PAGEREF _Toc478139113 \h </w:instrText>
        </w:r>
        <w:r w:rsidR="00AD4715">
          <w:rPr>
            <w:noProof/>
            <w:webHidden/>
          </w:rPr>
        </w:r>
        <w:r w:rsidR="00AD4715">
          <w:rPr>
            <w:noProof/>
            <w:webHidden/>
          </w:rPr>
          <w:fldChar w:fldCharType="separate"/>
        </w:r>
        <w:r w:rsidR="00AD4715">
          <w:rPr>
            <w:noProof/>
            <w:webHidden/>
          </w:rPr>
          <w:t>17</w:t>
        </w:r>
        <w:r w:rsidR="00AD4715">
          <w:rPr>
            <w:noProof/>
            <w:webHidden/>
          </w:rPr>
          <w:fldChar w:fldCharType="end"/>
        </w:r>
      </w:hyperlink>
    </w:p>
    <w:p w14:paraId="095A9258" w14:textId="77777777" w:rsidR="00AD4715" w:rsidRDefault="008B4D14">
      <w:pPr>
        <w:pStyle w:val="TOC2"/>
        <w:rPr>
          <w:rFonts w:asciiTheme="minorHAnsi" w:eastAsiaTheme="minorEastAsia" w:hAnsiTheme="minorHAnsi" w:cstheme="minorBidi"/>
          <w:noProof/>
          <w:color w:val="auto"/>
          <w:szCs w:val="22"/>
        </w:rPr>
      </w:pPr>
      <w:hyperlink w:anchor="_Toc478139114" w:history="1">
        <w:r w:rsidR="00AD4715" w:rsidRPr="00124CD0">
          <w:rPr>
            <w:rStyle w:val="Hyperlink"/>
            <w:noProof/>
          </w:rPr>
          <w:t>Investment</w:t>
        </w:r>
        <w:r w:rsidR="00AD4715">
          <w:rPr>
            <w:noProof/>
            <w:webHidden/>
          </w:rPr>
          <w:tab/>
        </w:r>
        <w:r w:rsidR="00AD4715">
          <w:rPr>
            <w:noProof/>
            <w:webHidden/>
          </w:rPr>
          <w:fldChar w:fldCharType="begin"/>
        </w:r>
        <w:r w:rsidR="00AD4715">
          <w:rPr>
            <w:noProof/>
            <w:webHidden/>
          </w:rPr>
          <w:instrText xml:space="preserve"> PAGEREF _Toc478139114 \h </w:instrText>
        </w:r>
        <w:r w:rsidR="00AD4715">
          <w:rPr>
            <w:noProof/>
            <w:webHidden/>
          </w:rPr>
        </w:r>
        <w:r w:rsidR="00AD4715">
          <w:rPr>
            <w:noProof/>
            <w:webHidden/>
          </w:rPr>
          <w:fldChar w:fldCharType="separate"/>
        </w:r>
        <w:r w:rsidR="00AD4715">
          <w:rPr>
            <w:noProof/>
            <w:webHidden/>
          </w:rPr>
          <w:t>17</w:t>
        </w:r>
        <w:r w:rsidR="00AD4715">
          <w:rPr>
            <w:noProof/>
            <w:webHidden/>
          </w:rPr>
          <w:fldChar w:fldCharType="end"/>
        </w:r>
      </w:hyperlink>
    </w:p>
    <w:p w14:paraId="72ACE739" w14:textId="77777777" w:rsidR="00AD4715" w:rsidRDefault="008B4D14">
      <w:pPr>
        <w:pStyle w:val="TOC1"/>
        <w:rPr>
          <w:rFonts w:asciiTheme="minorHAnsi" w:eastAsiaTheme="minorEastAsia" w:hAnsiTheme="minorHAnsi" w:cstheme="minorBidi"/>
          <w:b w:val="0"/>
          <w:caps w:val="0"/>
          <w:noProof/>
          <w:color w:val="auto"/>
          <w:sz w:val="22"/>
        </w:rPr>
      </w:pPr>
      <w:hyperlink w:anchor="_Toc478139115" w:history="1">
        <w:r w:rsidR="00AD4715" w:rsidRPr="00124CD0">
          <w:rPr>
            <w:rStyle w:val="Hyperlink"/>
            <w:noProof/>
          </w:rPr>
          <w:t>Implementation and Transitional Issues</w:t>
        </w:r>
        <w:r w:rsidR="00AD4715">
          <w:rPr>
            <w:noProof/>
            <w:webHidden/>
          </w:rPr>
          <w:tab/>
        </w:r>
        <w:r w:rsidR="00AD4715">
          <w:rPr>
            <w:noProof/>
            <w:webHidden/>
          </w:rPr>
          <w:fldChar w:fldCharType="begin"/>
        </w:r>
        <w:r w:rsidR="00AD4715">
          <w:rPr>
            <w:noProof/>
            <w:webHidden/>
          </w:rPr>
          <w:instrText xml:space="preserve"> PAGEREF _Toc478139115 \h </w:instrText>
        </w:r>
        <w:r w:rsidR="00AD4715">
          <w:rPr>
            <w:noProof/>
            <w:webHidden/>
          </w:rPr>
        </w:r>
        <w:r w:rsidR="00AD4715">
          <w:rPr>
            <w:noProof/>
            <w:webHidden/>
          </w:rPr>
          <w:fldChar w:fldCharType="separate"/>
        </w:r>
        <w:r w:rsidR="00AD4715">
          <w:rPr>
            <w:noProof/>
            <w:webHidden/>
          </w:rPr>
          <w:t>19</w:t>
        </w:r>
        <w:r w:rsidR="00AD4715">
          <w:rPr>
            <w:noProof/>
            <w:webHidden/>
          </w:rPr>
          <w:fldChar w:fldCharType="end"/>
        </w:r>
      </w:hyperlink>
    </w:p>
    <w:p w14:paraId="6E2F6AD1" w14:textId="77777777" w:rsidR="00AD4715" w:rsidRDefault="008B4D14">
      <w:pPr>
        <w:pStyle w:val="TOC1"/>
        <w:rPr>
          <w:rFonts w:asciiTheme="minorHAnsi" w:eastAsiaTheme="minorEastAsia" w:hAnsiTheme="minorHAnsi" w:cstheme="minorBidi"/>
          <w:b w:val="0"/>
          <w:caps w:val="0"/>
          <w:noProof/>
          <w:color w:val="auto"/>
          <w:sz w:val="22"/>
        </w:rPr>
      </w:pPr>
      <w:hyperlink w:anchor="_Toc478139116" w:history="1">
        <w:r w:rsidR="00AD4715" w:rsidRPr="00124CD0">
          <w:rPr>
            <w:rStyle w:val="Hyperlink"/>
            <w:noProof/>
          </w:rPr>
          <w:t>Appendix 1 - features of REIT regimes in selected jurisdictions</w:t>
        </w:r>
        <w:r w:rsidR="00AD4715">
          <w:rPr>
            <w:noProof/>
            <w:webHidden/>
          </w:rPr>
          <w:tab/>
        </w:r>
        <w:r w:rsidR="00AD4715">
          <w:rPr>
            <w:noProof/>
            <w:webHidden/>
          </w:rPr>
          <w:fldChar w:fldCharType="begin"/>
        </w:r>
        <w:r w:rsidR="00AD4715">
          <w:rPr>
            <w:noProof/>
            <w:webHidden/>
          </w:rPr>
          <w:instrText xml:space="preserve"> PAGEREF _Toc478139116 \h </w:instrText>
        </w:r>
        <w:r w:rsidR="00AD4715">
          <w:rPr>
            <w:noProof/>
            <w:webHidden/>
          </w:rPr>
        </w:r>
        <w:r w:rsidR="00AD4715">
          <w:rPr>
            <w:noProof/>
            <w:webHidden/>
          </w:rPr>
          <w:fldChar w:fldCharType="separate"/>
        </w:r>
        <w:r w:rsidR="00AD4715">
          <w:rPr>
            <w:noProof/>
            <w:webHidden/>
          </w:rPr>
          <w:t>20</w:t>
        </w:r>
        <w:r w:rsidR="00AD4715">
          <w:rPr>
            <w:noProof/>
            <w:webHidden/>
          </w:rPr>
          <w:fldChar w:fldCharType="end"/>
        </w:r>
      </w:hyperlink>
    </w:p>
    <w:p w14:paraId="1E0618D9" w14:textId="28664850" w:rsidR="00F30068" w:rsidRDefault="003778E0" w:rsidP="0056559F">
      <w:pPr>
        <w:sectPr w:rsidR="00F30068" w:rsidSect="00B13DB9">
          <w:footerReference w:type="first" r:id="rId27"/>
          <w:pgSz w:w="11906" w:h="16838" w:code="9"/>
          <w:pgMar w:top="1418" w:right="1418" w:bottom="1418" w:left="1418" w:header="709" w:footer="709" w:gutter="0"/>
          <w:pgNumType w:fmt="lowerRoman"/>
          <w:cols w:space="708"/>
          <w:titlePg/>
          <w:docGrid w:linePitch="360"/>
        </w:sectPr>
      </w:pPr>
      <w:r>
        <w:rPr>
          <w:rFonts w:ascii="Century Gothic" w:hAnsi="Century Gothic"/>
          <w:b/>
          <w:color w:val="auto"/>
          <w:sz w:val="24"/>
          <w:szCs w:val="22"/>
        </w:rPr>
        <w:fldChar w:fldCharType="end"/>
      </w:r>
    </w:p>
    <w:p w14:paraId="6AF40403" w14:textId="0D171678" w:rsidR="00F30068" w:rsidRPr="00D36E6D" w:rsidRDefault="00F30068" w:rsidP="004C5D21">
      <w:pPr>
        <w:pStyle w:val="Heading1"/>
      </w:pPr>
      <w:bookmarkStart w:id="1" w:name="_Toc477524646"/>
      <w:bookmarkStart w:id="2" w:name="_Toc477525153"/>
      <w:bookmarkStart w:id="3" w:name="_Toc477529842"/>
      <w:bookmarkStart w:id="4" w:name="_Toc477530053"/>
      <w:bookmarkStart w:id="5" w:name="_Toc477530107"/>
      <w:bookmarkStart w:id="6" w:name="_Toc477530218"/>
      <w:bookmarkStart w:id="7" w:name="_Toc477536430"/>
      <w:bookmarkStart w:id="8" w:name="_Toc477537799"/>
      <w:bookmarkStart w:id="9" w:name="_Toc478139081"/>
      <w:r w:rsidRPr="00D36E6D">
        <w:lastRenderedPageBreak/>
        <w:t>Consultation Process</w:t>
      </w:r>
      <w:bookmarkEnd w:id="1"/>
      <w:bookmarkEnd w:id="2"/>
      <w:bookmarkEnd w:id="3"/>
      <w:bookmarkEnd w:id="4"/>
      <w:bookmarkEnd w:id="5"/>
      <w:bookmarkEnd w:id="6"/>
      <w:bookmarkEnd w:id="7"/>
      <w:bookmarkEnd w:id="8"/>
      <w:bookmarkEnd w:id="9"/>
    </w:p>
    <w:p w14:paraId="2E4AD65C" w14:textId="77777777" w:rsidR="00F30068" w:rsidRPr="00D36E6D" w:rsidRDefault="00F30068" w:rsidP="00D36E6D">
      <w:pPr>
        <w:pStyle w:val="Heading2"/>
      </w:pPr>
      <w:bookmarkStart w:id="10" w:name="_Toc477524647"/>
      <w:bookmarkStart w:id="11" w:name="_Toc477525154"/>
      <w:bookmarkStart w:id="12" w:name="_Toc477529843"/>
      <w:bookmarkStart w:id="13" w:name="_Toc477530054"/>
      <w:bookmarkStart w:id="14" w:name="_Toc477530108"/>
      <w:bookmarkStart w:id="15" w:name="_Toc477530219"/>
      <w:bookmarkStart w:id="16" w:name="_Toc477536431"/>
      <w:bookmarkStart w:id="17" w:name="_Toc477537800"/>
      <w:bookmarkStart w:id="18" w:name="_Toc478139082"/>
      <w:r w:rsidRPr="00D36E6D">
        <w:t>Request for feedback and comments</w:t>
      </w:r>
      <w:bookmarkEnd w:id="10"/>
      <w:bookmarkEnd w:id="11"/>
      <w:bookmarkEnd w:id="12"/>
      <w:bookmarkEnd w:id="13"/>
      <w:bookmarkEnd w:id="14"/>
      <w:bookmarkEnd w:id="15"/>
      <w:bookmarkEnd w:id="16"/>
      <w:bookmarkEnd w:id="17"/>
      <w:bookmarkEnd w:id="18"/>
    </w:p>
    <w:p w14:paraId="06F7886F" w14:textId="77777777" w:rsidR="00A96EAC" w:rsidRPr="001307F3" w:rsidRDefault="00A96EAC" w:rsidP="008B4DB7">
      <w:pPr>
        <w:pStyle w:val="Heading3"/>
      </w:pPr>
      <w:r w:rsidRPr="001307F3">
        <w:t>Providing a confidential response</w:t>
      </w:r>
    </w:p>
    <w:p w14:paraId="6139B448" w14:textId="77777777" w:rsidR="00A96EAC" w:rsidRPr="001307F3" w:rsidRDefault="00A96EAC" w:rsidP="00A96EAC">
      <w:pPr>
        <w:rPr>
          <w:rFonts w:cs="Arial"/>
        </w:rPr>
      </w:pPr>
      <w:r w:rsidRPr="001307F3">
        <w:rPr>
          <w:rFonts w:cs="Arial"/>
        </w:rPr>
        <w:t>All information (including name and address details) contained in formal submissions will be made available to the public on the Australian Treasury website, unless it is indicated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in a separate document.</w:t>
      </w:r>
    </w:p>
    <w:p w14:paraId="7DC62391" w14:textId="3ED900C2" w:rsidR="00A96EAC" w:rsidRPr="001307F3" w:rsidRDefault="00A96EAC" w:rsidP="00A96EAC">
      <w:pPr>
        <w:rPr>
          <w:rFonts w:cs="Arial"/>
        </w:rPr>
      </w:pPr>
      <w:r w:rsidRPr="001307F3">
        <w:rPr>
          <w:rFonts w:cs="Arial"/>
        </w:rPr>
        <w:t xml:space="preserve">A request made under the </w:t>
      </w:r>
      <w:r w:rsidRPr="001307F3">
        <w:rPr>
          <w:rFonts w:cs="Arial"/>
          <w:i/>
        </w:rPr>
        <w:t>Freedom of Information Act 1982</w:t>
      </w:r>
      <w:r w:rsidRPr="001307F3">
        <w:rPr>
          <w:rFonts w:cs="Arial"/>
        </w:rPr>
        <w:t xml:space="preserve"> for a submission marked </w:t>
      </w:r>
      <w:r w:rsidR="00D444D5">
        <w:rPr>
          <w:rFonts w:cs="Arial"/>
        </w:rPr>
        <w:t>‘</w:t>
      </w:r>
      <w:r w:rsidRPr="001307F3">
        <w:rPr>
          <w:rFonts w:cs="Arial"/>
        </w:rPr>
        <w:t>confidential</w:t>
      </w:r>
      <w:r w:rsidR="00D444D5">
        <w:rPr>
          <w:rFonts w:cs="Arial"/>
        </w:rPr>
        <w:t>’</w:t>
      </w:r>
      <w:r w:rsidRPr="001307F3">
        <w:rPr>
          <w:rFonts w:cs="Arial"/>
        </w:rPr>
        <w:t xml:space="preserve"> to be made available will be determined in accordance with that Act.</w:t>
      </w:r>
    </w:p>
    <w:p w14:paraId="354F63B8" w14:textId="77777777" w:rsidR="00A96EAC" w:rsidRPr="00757E5C" w:rsidRDefault="00A96EAC" w:rsidP="008B4DB7">
      <w:pPr>
        <w:pStyle w:val="Heading3"/>
      </w:pPr>
      <w:r w:rsidRPr="00757E5C">
        <w:t xml:space="preserve">Next steps </w:t>
      </w:r>
    </w:p>
    <w:p w14:paraId="41B14EDA" w14:textId="6CC3F3C3" w:rsidR="00A96EAC" w:rsidRPr="00757E5C" w:rsidRDefault="00AD370B" w:rsidP="00A96EAC">
      <w:pPr>
        <w:rPr>
          <w:rFonts w:cs="Arial"/>
        </w:rPr>
      </w:pPr>
      <w:r w:rsidRPr="00757E5C">
        <w:rPr>
          <w:rFonts w:cs="Arial"/>
        </w:rPr>
        <w:t xml:space="preserve">The information obtained through this process </w:t>
      </w:r>
      <w:r w:rsidR="00D01B98" w:rsidRPr="00757E5C">
        <w:rPr>
          <w:rFonts w:cs="Arial"/>
        </w:rPr>
        <w:t>may</w:t>
      </w:r>
      <w:r w:rsidRPr="00757E5C">
        <w:rPr>
          <w:rFonts w:cs="Arial"/>
        </w:rPr>
        <w:t xml:space="preserve"> inform the Government</w:t>
      </w:r>
      <w:r w:rsidR="00D444D5">
        <w:rPr>
          <w:rFonts w:cs="Arial"/>
        </w:rPr>
        <w:t>’</w:t>
      </w:r>
      <w:r w:rsidRPr="00757E5C">
        <w:rPr>
          <w:rFonts w:cs="Arial"/>
        </w:rPr>
        <w:t xml:space="preserve">s future approach to </w:t>
      </w:r>
      <w:r w:rsidR="00D01B98" w:rsidRPr="00757E5C">
        <w:rPr>
          <w:rFonts w:cs="Arial"/>
        </w:rPr>
        <w:t>removing</w:t>
      </w:r>
      <w:r w:rsidRPr="00757E5C">
        <w:rPr>
          <w:rFonts w:cs="Arial"/>
        </w:rPr>
        <w:t xml:space="preserve"> tax distortions that may be identified from the use of stapled structures</w:t>
      </w:r>
      <w:r w:rsidR="00D01B98" w:rsidRPr="00757E5C">
        <w:rPr>
          <w:rFonts w:cs="Arial"/>
        </w:rPr>
        <w:t xml:space="preserve"> and re</w:t>
      </w:r>
      <w:r w:rsidR="00D444D5">
        <w:rPr>
          <w:rFonts w:cs="Arial"/>
        </w:rPr>
        <w:noBreakHyphen/>
      </w:r>
      <w:r w:rsidR="00D01B98" w:rsidRPr="00757E5C">
        <w:rPr>
          <w:rFonts w:cs="Arial"/>
        </w:rPr>
        <w:t>characterising trading income</w:t>
      </w:r>
      <w:r w:rsidRPr="00757E5C">
        <w:rPr>
          <w:rFonts w:cs="Arial"/>
        </w:rPr>
        <w:t xml:space="preserve">. </w:t>
      </w:r>
      <w:r w:rsidR="00A96EAC" w:rsidRPr="00757E5C">
        <w:rPr>
          <w:rFonts w:cs="Arial"/>
        </w:rPr>
        <w:t>Once the public consultation process is concluded, further targeted consultation may be necessary to clarify any issues or questions which arise from initial consultations.</w:t>
      </w:r>
    </w:p>
    <w:p w14:paraId="2934EA58" w14:textId="4160F4CA" w:rsidR="00F30068" w:rsidRPr="00D36E6D" w:rsidRDefault="00F30068" w:rsidP="00D36E6D">
      <w:pPr>
        <w:pStyle w:val="Heading4"/>
      </w:pPr>
      <w:r w:rsidRPr="00D36E6D">
        <w:t xml:space="preserve">Closing date for submissions: </w:t>
      </w:r>
      <w:r w:rsidR="00D91FDE" w:rsidRPr="00D36E6D">
        <w:t xml:space="preserve">Thursday, </w:t>
      </w:r>
      <w:r w:rsidR="00680C64" w:rsidRPr="00D36E6D">
        <w:t xml:space="preserve">20 </w:t>
      </w:r>
      <w:r w:rsidR="00D62BF4" w:rsidRPr="00D36E6D">
        <w:t>April 2017</w:t>
      </w:r>
    </w:p>
    <w:tbl>
      <w:tblPr>
        <w:tblW w:w="0" w:type="auto"/>
        <w:tblLook w:val="01E0" w:firstRow="1" w:lastRow="1" w:firstColumn="1" w:lastColumn="1" w:noHBand="0" w:noVBand="0"/>
      </w:tblPr>
      <w:tblGrid>
        <w:gridCol w:w="1526"/>
        <w:gridCol w:w="7760"/>
      </w:tblGrid>
      <w:tr w:rsidR="00F30068" w14:paraId="16E2EFF4" w14:textId="77777777" w:rsidTr="00C6593E">
        <w:tc>
          <w:tcPr>
            <w:tcW w:w="1526" w:type="dxa"/>
            <w:hideMark/>
          </w:tcPr>
          <w:p w14:paraId="6E0EF421" w14:textId="77777777" w:rsidR="00F30068" w:rsidRDefault="00F30068" w:rsidP="00D36E6D">
            <w:bookmarkStart w:id="19" w:name="OLE_LINK5" w:colFirst="0" w:colLast="0"/>
            <w:bookmarkStart w:id="20" w:name="OLE_LINK6" w:colFirst="0" w:colLast="0"/>
            <w:r>
              <w:t xml:space="preserve">Email: </w:t>
            </w:r>
          </w:p>
        </w:tc>
        <w:tc>
          <w:tcPr>
            <w:tcW w:w="7760" w:type="dxa"/>
            <w:hideMark/>
          </w:tcPr>
          <w:p w14:paraId="4EB87EBD" w14:textId="73461905" w:rsidR="00F30068" w:rsidRPr="00D36E6D" w:rsidRDefault="008B4D14" w:rsidP="00D36E6D">
            <w:pPr>
              <w:rPr>
                <w:rStyle w:val="Hyperlink"/>
              </w:rPr>
            </w:pPr>
            <w:hyperlink r:id="rId28" w:history="1">
              <w:r w:rsidR="00933A91" w:rsidRPr="00D36E6D">
                <w:rPr>
                  <w:rStyle w:val="Hyperlink"/>
                </w:rPr>
                <w:t>Stapledstructures@treasury.gov.au</w:t>
              </w:r>
            </w:hyperlink>
            <w:r w:rsidR="00933A91" w:rsidRPr="00D36E6D">
              <w:rPr>
                <w:rStyle w:val="Hyperlink"/>
              </w:rPr>
              <w:t xml:space="preserve">  </w:t>
            </w:r>
          </w:p>
        </w:tc>
      </w:tr>
      <w:bookmarkEnd w:id="19"/>
      <w:bookmarkEnd w:id="20"/>
      <w:tr w:rsidR="00F30068" w14:paraId="0B4E9A99" w14:textId="77777777" w:rsidTr="00C6593E">
        <w:tc>
          <w:tcPr>
            <w:tcW w:w="1526" w:type="dxa"/>
            <w:hideMark/>
          </w:tcPr>
          <w:p w14:paraId="1B1C2E92" w14:textId="77777777" w:rsidR="00F30068" w:rsidRDefault="00F30068" w:rsidP="00D36E6D">
            <w:r>
              <w:t>Mail:</w:t>
            </w:r>
          </w:p>
        </w:tc>
        <w:tc>
          <w:tcPr>
            <w:tcW w:w="7760" w:type="dxa"/>
            <w:hideMark/>
          </w:tcPr>
          <w:p w14:paraId="70C3317E" w14:textId="20C57B66" w:rsidR="00F30068" w:rsidRDefault="009F3467" w:rsidP="00D36E6D">
            <w:pPr>
              <w:jc w:val="left"/>
            </w:pPr>
            <w:r>
              <w:t>Division Head</w:t>
            </w:r>
            <w:r w:rsidR="00D36E6D">
              <w:br/>
            </w:r>
            <w:r w:rsidR="00911096">
              <w:t>Corporate and International Tax Division</w:t>
            </w:r>
            <w:r w:rsidR="00D36E6D">
              <w:br/>
            </w:r>
            <w:r w:rsidR="00F30068">
              <w:t>The Treasury</w:t>
            </w:r>
            <w:r w:rsidR="00D36E6D">
              <w:br/>
            </w:r>
            <w:r w:rsidR="00F30068">
              <w:t>Langton Crescent</w:t>
            </w:r>
            <w:r w:rsidR="00D36E6D">
              <w:br/>
            </w:r>
            <w:r w:rsidR="00F30068">
              <w:t>PARKES  ACT  2600</w:t>
            </w:r>
          </w:p>
        </w:tc>
      </w:tr>
      <w:tr w:rsidR="00F30068" w14:paraId="64A92938" w14:textId="77777777" w:rsidTr="00C6593E">
        <w:tc>
          <w:tcPr>
            <w:tcW w:w="1526" w:type="dxa"/>
            <w:hideMark/>
          </w:tcPr>
          <w:p w14:paraId="618DA1BE" w14:textId="77777777" w:rsidR="00F30068" w:rsidRDefault="00F30068" w:rsidP="00D36E6D">
            <w:r>
              <w:t>Enq</w:t>
            </w:r>
            <w:r>
              <w:rPr>
                <w:rStyle w:val="SingleParagraphChar"/>
                <w:rFonts w:cs="Arial"/>
              </w:rPr>
              <w:t>u</w:t>
            </w:r>
            <w:r>
              <w:t>iries:</w:t>
            </w:r>
          </w:p>
        </w:tc>
        <w:tc>
          <w:tcPr>
            <w:tcW w:w="7760" w:type="dxa"/>
            <w:hideMark/>
          </w:tcPr>
          <w:p w14:paraId="1182DEC7" w14:textId="3015BCEF" w:rsidR="00F30068" w:rsidRDefault="00F30068" w:rsidP="00D36E6D">
            <w:r>
              <w:t xml:space="preserve">Enquiries can be initially directed to </w:t>
            </w:r>
            <w:r w:rsidR="00EA1D2E">
              <w:t xml:space="preserve">Kathryn Davy or </w:t>
            </w:r>
            <w:r w:rsidR="00E07276">
              <w:t>Ruth Gabbitas</w:t>
            </w:r>
          </w:p>
        </w:tc>
      </w:tr>
      <w:tr w:rsidR="00F30068" w14:paraId="56E9578D" w14:textId="77777777" w:rsidTr="00C6593E">
        <w:tc>
          <w:tcPr>
            <w:tcW w:w="1526" w:type="dxa"/>
            <w:hideMark/>
          </w:tcPr>
          <w:p w14:paraId="489F3AA3" w14:textId="77777777" w:rsidR="00F30068" w:rsidRDefault="00F30068" w:rsidP="00D36E6D">
            <w:r>
              <w:t>Phone:</w:t>
            </w:r>
          </w:p>
        </w:tc>
        <w:tc>
          <w:tcPr>
            <w:tcW w:w="7760" w:type="dxa"/>
            <w:hideMark/>
          </w:tcPr>
          <w:p w14:paraId="1F994B45" w14:textId="4213CF64" w:rsidR="00F30068" w:rsidRDefault="00E07276" w:rsidP="00D36E6D">
            <w:r>
              <w:t>(</w:t>
            </w:r>
            <w:r w:rsidR="00F30068">
              <w:t>02</w:t>
            </w:r>
            <w:r>
              <w:t>)</w:t>
            </w:r>
            <w:r w:rsidR="00F30068">
              <w:t xml:space="preserve"> 6263 </w:t>
            </w:r>
            <w:r w:rsidR="00EA1D2E">
              <w:t xml:space="preserve">4266 or (02) 6263 </w:t>
            </w:r>
            <w:r>
              <w:t>4154</w:t>
            </w:r>
          </w:p>
        </w:tc>
      </w:tr>
    </w:tbl>
    <w:p w14:paraId="50D0B2FC" w14:textId="77777777" w:rsidR="0056559F" w:rsidRDefault="0056559F" w:rsidP="0056559F"/>
    <w:p w14:paraId="716F4390" w14:textId="77777777" w:rsidR="00F30068" w:rsidRDefault="00F30068" w:rsidP="0056559F"/>
    <w:p w14:paraId="547FD93B" w14:textId="77777777" w:rsidR="0056559F" w:rsidRPr="0056559F" w:rsidRDefault="0056559F" w:rsidP="0056559F">
      <w:pPr>
        <w:sectPr w:rsidR="0056559F" w:rsidRPr="0056559F" w:rsidSect="00B13DB9">
          <w:footerReference w:type="first" r:id="rId29"/>
          <w:pgSz w:w="11906" w:h="16838" w:code="9"/>
          <w:pgMar w:top="1418" w:right="1418" w:bottom="1418" w:left="1418" w:header="709" w:footer="709" w:gutter="0"/>
          <w:pgNumType w:fmt="lowerRoman"/>
          <w:cols w:space="708"/>
          <w:titlePg/>
          <w:docGrid w:linePitch="360"/>
        </w:sectPr>
      </w:pPr>
    </w:p>
    <w:p w14:paraId="47BD9841" w14:textId="0F11BB7B" w:rsidR="000A7BCF" w:rsidRPr="008D3BA2" w:rsidRDefault="008D3BA2" w:rsidP="004C5D21">
      <w:pPr>
        <w:pStyle w:val="Heading1"/>
      </w:pPr>
      <w:bookmarkStart w:id="21" w:name="_Toc477524648"/>
      <w:bookmarkStart w:id="22" w:name="_Toc477525155"/>
      <w:bookmarkStart w:id="23" w:name="_Toc477529844"/>
      <w:bookmarkStart w:id="24" w:name="_Toc477530055"/>
      <w:bookmarkStart w:id="25" w:name="_Toc477530109"/>
      <w:bookmarkStart w:id="26" w:name="_Toc477530220"/>
      <w:bookmarkStart w:id="27" w:name="_Toc477536432"/>
      <w:bookmarkStart w:id="28" w:name="_Toc477537801"/>
      <w:bookmarkStart w:id="29" w:name="_Toc478139083"/>
      <w:r>
        <w:t>Overview</w:t>
      </w:r>
      <w:bookmarkEnd w:id="21"/>
      <w:bookmarkEnd w:id="22"/>
      <w:bookmarkEnd w:id="23"/>
      <w:bookmarkEnd w:id="24"/>
      <w:bookmarkEnd w:id="25"/>
      <w:bookmarkEnd w:id="26"/>
      <w:bookmarkEnd w:id="27"/>
      <w:bookmarkEnd w:id="28"/>
      <w:bookmarkEnd w:id="29"/>
    </w:p>
    <w:p w14:paraId="4F86DE10" w14:textId="77777777" w:rsidR="000A7BCF" w:rsidRDefault="008D3BA2" w:rsidP="00D36E6D">
      <w:pPr>
        <w:pStyle w:val="Heading2"/>
      </w:pPr>
      <w:bookmarkStart w:id="30" w:name="_Toc477524649"/>
      <w:bookmarkStart w:id="31" w:name="_Toc477525156"/>
      <w:bookmarkStart w:id="32" w:name="_Toc477529845"/>
      <w:bookmarkStart w:id="33" w:name="_Toc477530056"/>
      <w:bookmarkStart w:id="34" w:name="_Toc477530110"/>
      <w:bookmarkStart w:id="35" w:name="_Toc477530221"/>
      <w:bookmarkStart w:id="36" w:name="_Toc477536433"/>
      <w:bookmarkStart w:id="37" w:name="_Toc477537802"/>
      <w:bookmarkStart w:id="38" w:name="_Toc478139084"/>
      <w:r>
        <w:t>What this paper is about</w:t>
      </w:r>
      <w:bookmarkEnd w:id="30"/>
      <w:bookmarkEnd w:id="31"/>
      <w:bookmarkEnd w:id="32"/>
      <w:bookmarkEnd w:id="33"/>
      <w:bookmarkEnd w:id="34"/>
      <w:bookmarkEnd w:id="35"/>
      <w:bookmarkEnd w:id="36"/>
      <w:bookmarkEnd w:id="37"/>
      <w:bookmarkEnd w:id="38"/>
    </w:p>
    <w:p w14:paraId="0401ED99" w14:textId="5D34E856" w:rsidR="008D3BA2" w:rsidRPr="00E37C80" w:rsidRDefault="008D3BA2" w:rsidP="008B4DB7">
      <w:pPr>
        <w:rPr>
          <w:b/>
        </w:rPr>
      </w:pPr>
      <w:r w:rsidRPr="00E37C80">
        <w:t xml:space="preserve">This consultation paper seeks stakeholder views on </w:t>
      </w:r>
      <w:r w:rsidR="009965B9">
        <w:t xml:space="preserve">potential </w:t>
      </w:r>
      <w:r w:rsidRPr="00E37C80">
        <w:t xml:space="preserve">policy </w:t>
      </w:r>
      <w:r w:rsidR="009965B9">
        <w:t>options</w:t>
      </w:r>
      <w:r w:rsidRPr="00E37C80">
        <w:t xml:space="preserve"> in relation to stapled structures</w:t>
      </w:r>
      <w:r w:rsidR="00CC2ECF">
        <w:t xml:space="preserve">, </w:t>
      </w:r>
      <w:r w:rsidR="00CC1088">
        <w:t xml:space="preserve">the </w:t>
      </w:r>
      <w:r w:rsidR="00CC2ECF">
        <w:t>taxation of real property investments</w:t>
      </w:r>
      <w:r w:rsidRPr="00E37C80">
        <w:t xml:space="preserve"> and the re</w:t>
      </w:r>
      <w:r w:rsidR="00D444D5">
        <w:noBreakHyphen/>
      </w:r>
      <w:r w:rsidRPr="00E37C80">
        <w:t>characterisation of trading income</w:t>
      </w:r>
      <w:r w:rsidR="006B06C9">
        <w:t>.</w:t>
      </w:r>
    </w:p>
    <w:p w14:paraId="5904BBA1" w14:textId="2B70BD1B" w:rsidR="008D3BA2" w:rsidRPr="00E37C80" w:rsidRDefault="008D3BA2" w:rsidP="008B4DB7">
      <w:pPr>
        <w:rPr>
          <w:b/>
        </w:rPr>
      </w:pPr>
      <w:r w:rsidRPr="00E37C80">
        <w:t>Australia</w:t>
      </w:r>
      <w:r w:rsidR="00D444D5">
        <w:t>’</w:t>
      </w:r>
      <w:r w:rsidRPr="00E37C80">
        <w:t>s general framework for the taxation of non</w:t>
      </w:r>
      <w:r w:rsidR="00D444D5">
        <w:noBreakHyphen/>
      </w:r>
      <w:r w:rsidRPr="00E37C80">
        <w:t>resident investment seeks to balance a desire to ensure that non</w:t>
      </w:r>
      <w:r w:rsidR="00D444D5">
        <w:noBreakHyphen/>
      </w:r>
      <w:r w:rsidRPr="00E37C80">
        <w:t>residents pay an appropriate amount of tax on Australian sourced income while not unduly affecting the cost and level of foreign investment in Australia.</w:t>
      </w:r>
    </w:p>
    <w:p w14:paraId="259F0068" w14:textId="0793553B" w:rsidR="008D3BA2" w:rsidRPr="00E37C80" w:rsidRDefault="008D3BA2" w:rsidP="008B4DB7">
      <w:pPr>
        <w:rPr>
          <w:b/>
        </w:rPr>
      </w:pPr>
      <w:r w:rsidRPr="00E37C80">
        <w:t>Over recent years</w:t>
      </w:r>
      <w:r w:rsidR="00911096">
        <w:t>,</w:t>
      </w:r>
      <w:r w:rsidRPr="00E37C80">
        <w:t xml:space="preserve"> there has been growth of arrangements to re</w:t>
      </w:r>
      <w:r w:rsidR="00D444D5">
        <w:noBreakHyphen/>
      </w:r>
      <w:r w:rsidRPr="00E37C80">
        <w:t xml:space="preserve">characterise trading income into more favourably taxed passive income which can have the effect of reducing the </w:t>
      </w:r>
      <w:r w:rsidR="00CC2ECF">
        <w:t xml:space="preserve">Australian </w:t>
      </w:r>
      <w:r w:rsidRPr="00E37C80">
        <w:t>tax applicable to that income in the hands of non</w:t>
      </w:r>
      <w:r w:rsidR="00D444D5">
        <w:noBreakHyphen/>
      </w:r>
      <w:r w:rsidRPr="00E37C80">
        <w:t xml:space="preserve">resident investors. </w:t>
      </w:r>
      <w:r w:rsidR="004E24CD">
        <w:t xml:space="preserve">The use of </w:t>
      </w:r>
      <w:r w:rsidRPr="00E37C80">
        <w:t xml:space="preserve">these arrangements, most commonly in the form of </w:t>
      </w:r>
      <w:r w:rsidR="00CC2ECF">
        <w:t xml:space="preserve">transactions within </w:t>
      </w:r>
      <w:r w:rsidRPr="00E37C80">
        <w:t xml:space="preserve">stapled structures, </w:t>
      </w:r>
      <w:r w:rsidR="003D62EF">
        <w:t>has</w:t>
      </w:r>
      <w:r w:rsidR="00AC605A">
        <w:t xml:space="preserve"> </w:t>
      </w:r>
      <w:r w:rsidR="00354668">
        <w:t xml:space="preserve">grown significantly and </w:t>
      </w:r>
      <w:r w:rsidR="00AC605A">
        <w:t>expanded</w:t>
      </w:r>
      <w:r w:rsidR="003D62EF">
        <w:t xml:space="preserve"> into new sectors</w:t>
      </w:r>
      <w:r w:rsidR="004E24CD">
        <w:t xml:space="preserve">, beyond their traditional use in the property </w:t>
      </w:r>
      <w:r w:rsidR="00911096">
        <w:t xml:space="preserve">and infrastructure </w:t>
      </w:r>
      <w:r w:rsidR="004E24CD">
        <w:t>sector</w:t>
      </w:r>
      <w:r w:rsidR="00911096">
        <w:t>s</w:t>
      </w:r>
      <w:r w:rsidR="003D62EF">
        <w:t xml:space="preserve">. Further, </w:t>
      </w:r>
      <w:r w:rsidR="00354668">
        <w:t>these structures</w:t>
      </w:r>
      <w:r w:rsidR="003D62EF">
        <w:t xml:space="preserve"> </w:t>
      </w:r>
      <w:r w:rsidR="00911096">
        <w:t>may provide a greater scope for trading income to be re</w:t>
      </w:r>
      <w:r w:rsidR="00D444D5">
        <w:noBreakHyphen/>
      </w:r>
      <w:r w:rsidR="00911096">
        <w:t xml:space="preserve">characterised </w:t>
      </w:r>
      <w:r w:rsidRPr="00E37C80">
        <w:t xml:space="preserve">than </w:t>
      </w:r>
      <w:r w:rsidR="00354668">
        <w:t xml:space="preserve">is possible in </w:t>
      </w:r>
      <w:r w:rsidRPr="00E37C80">
        <w:t>most other countries.</w:t>
      </w:r>
      <w:r>
        <w:t xml:space="preserve"> This may distort investment decisions and lead to reduced economic efficiency.</w:t>
      </w:r>
    </w:p>
    <w:p w14:paraId="5FDF655A" w14:textId="20968402" w:rsidR="008D3BA2" w:rsidRPr="00E37C80" w:rsidRDefault="008D3BA2" w:rsidP="008B4DB7">
      <w:pPr>
        <w:rPr>
          <w:b/>
        </w:rPr>
      </w:pPr>
      <w:r w:rsidRPr="00E37C80">
        <w:t>This consultation paper is not limited to specific integrity or compliance issues highlighted by the Australian Taxation Office (ATO)</w:t>
      </w:r>
      <w:r w:rsidR="006B06C9">
        <w:t>.</w:t>
      </w:r>
      <w:r w:rsidR="00EB4A40">
        <w:rPr>
          <w:rStyle w:val="FootnoteReference"/>
        </w:rPr>
        <w:footnoteReference w:id="2"/>
      </w:r>
      <w:r w:rsidRPr="00E37C80">
        <w:t xml:space="preserve"> Rather the Government seeks to </w:t>
      </w:r>
      <w:r w:rsidR="00911096">
        <w:t>undertake</w:t>
      </w:r>
      <w:r w:rsidR="00911096" w:rsidRPr="00E37C80">
        <w:t xml:space="preserve"> </w:t>
      </w:r>
      <w:r w:rsidRPr="00E37C80">
        <w:t xml:space="preserve">a holistic examination of the taxation of investment income </w:t>
      </w:r>
      <w:r w:rsidR="00911096">
        <w:t xml:space="preserve">derived using </w:t>
      </w:r>
      <w:r w:rsidR="00585EE5">
        <w:t>these structures</w:t>
      </w:r>
      <w:r w:rsidRPr="00E37C80">
        <w:t xml:space="preserve">, including the dichotomy between </w:t>
      </w:r>
      <w:r w:rsidR="006F0DD8">
        <w:t>trading</w:t>
      </w:r>
      <w:r w:rsidR="006F0DD8" w:rsidRPr="00E37C80">
        <w:t xml:space="preserve"> </w:t>
      </w:r>
      <w:r w:rsidRPr="00E37C80">
        <w:t>and passive income. We seek to better understand how Australia</w:t>
      </w:r>
      <w:r w:rsidR="00D444D5">
        <w:t>’</w:t>
      </w:r>
      <w:r w:rsidRPr="00E37C80">
        <w:t xml:space="preserve">s taxation regime may </w:t>
      </w:r>
      <w:r w:rsidR="00464157">
        <w:t xml:space="preserve">have </w:t>
      </w:r>
      <w:r w:rsidRPr="00E37C80">
        <w:t>contribute</w:t>
      </w:r>
      <w:r w:rsidR="00464157">
        <w:t>d</w:t>
      </w:r>
      <w:r w:rsidRPr="00E37C80">
        <w:t xml:space="preserve"> to the use of stapled structures</w:t>
      </w:r>
      <w:r w:rsidR="00911096">
        <w:t xml:space="preserve"> and other arrangements to re</w:t>
      </w:r>
      <w:r w:rsidR="00D444D5">
        <w:noBreakHyphen/>
      </w:r>
      <w:r w:rsidR="00911096">
        <w:t>characterise trading income</w:t>
      </w:r>
      <w:r w:rsidRPr="00E37C80">
        <w:t>, including a comparison to the relevant tax systems in other key countries</w:t>
      </w:r>
      <w:r w:rsidR="00D444D5">
        <w:t xml:space="preserve">. </w:t>
      </w:r>
    </w:p>
    <w:p w14:paraId="74F4B5EC" w14:textId="71C7F03B" w:rsidR="008D3BA2" w:rsidRDefault="008D3BA2" w:rsidP="008D3BA2">
      <w:pPr>
        <w:pStyle w:val="Bullet"/>
        <w:numPr>
          <w:ilvl w:val="0"/>
          <w:numId w:val="0"/>
        </w:numPr>
      </w:pPr>
      <w:r w:rsidRPr="00E37C80">
        <w:t xml:space="preserve">This consultation will be carried out with a view to examining policy options to </w:t>
      </w:r>
      <w:r w:rsidR="009637A9">
        <w:t>modernise Australia</w:t>
      </w:r>
      <w:r w:rsidR="00D444D5">
        <w:t>’</w:t>
      </w:r>
      <w:r w:rsidR="009637A9">
        <w:t xml:space="preserve">s taxation regime so as </w:t>
      </w:r>
      <w:r w:rsidRPr="00E37C80">
        <w:t xml:space="preserve">to </w:t>
      </w:r>
      <w:r w:rsidR="004C3F63">
        <w:t>remove</w:t>
      </w:r>
      <w:r w:rsidR="009637A9" w:rsidRPr="00E37C80">
        <w:t xml:space="preserve"> </w:t>
      </w:r>
      <w:r w:rsidRPr="00E37C80">
        <w:t xml:space="preserve">the tax distortions </w:t>
      </w:r>
      <w:r>
        <w:t xml:space="preserve">that may be identified </w:t>
      </w:r>
      <w:r w:rsidRPr="00E37C80">
        <w:t>from the use of stapled structures</w:t>
      </w:r>
      <w:r>
        <w:t>.</w:t>
      </w:r>
      <w:r w:rsidRPr="00E37C80">
        <w:t xml:space="preserve"> Administrative action alone would be inadequate to address these issues, and can lead to uncertainty for investors</w:t>
      </w:r>
      <w:r w:rsidR="00D444D5">
        <w:t xml:space="preserve">. </w:t>
      </w:r>
      <w:r w:rsidRPr="00E37C80">
        <w:t xml:space="preserve">Therefore, the Government is keen </w:t>
      </w:r>
      <w:r w:rsidR="00914D1A" w:rsidRPr="00E37C80">
        <w:t>to discuss policy options</w:t>
      </w:r>
      <w:r w:rsidR="00914D1A" w:rsidRPr="00E37C80" w:rsidDel="00914D1A">
        <w:t xml:space="preserve"> </w:t>
      </w:r>
      <w:r w:rsidR="00914D1A">
        <w:t>with</w:t>
      </w:r>
      <w:r w:rsidRPr="00E37C80">
        <w:t xml:space="preserve"> stakeholders, and develop a process for </w:t>
      </w:r>
      <w:r w:rsidR="008A3D20">
        <w:t>the</w:t>
      </w:r>
      <w:r w:rsidRPr="00E37C80">
        <w:t xml:space="preserve"> transition of existing arrangements to </w:t>
      </w:r>
      <w:r>
        <w:t>any modified</w:t>
      </w:r>
      <w:r w:rsidRPr="00E37C80">
        <w:t xml:space="preserve"> tax rules over an appropriate time period.</w:t>
      </w:r>
    </w:p>
    <w:p w14:paraId="6AF42707" w14:textId="03B6D626" w:rsidR="00972DD0" w:rsidRPr="00972DD0" w:rsidRDefault="00972DD0" w:rsidP="00972DD0">
      <w:pPr>
        <w:pStyle w:val="Bullet"/>
        <w:numPr>
          <w:ilvl w:val="0"/>
          <w:numId w:val="0"/>
        </w:numPr>
        <w:tabs>
          <w:tab w:val="left" w:pos="720"/>
        </w:tabs>
        <w:rPr>
          <w:szCs w:val="28"/>
        </w:rPr>
      </w:pPr>
      <w:r w:rsidRPr="00972DD0">
        <w:rPr>
          <w:szCs w:val="28"/>
        </w:rPr>
        <w:t xml:space="preserve">The Government is committed to ensuring that </w:t>
      </w:r>
      <w:r w:rsidR="00DA183E">
        <w:rPr>
          <w:szCs w:val="28"/>
        </w:rPr>
        <w:t xml:space="preserve">Australia is an internationally competitive location for </w:t>
      </w:r>
      <w:r w:rsidR="00DA183E" w:rsidRPr="00972DD0">
        <w:rPr>
          <w:szCs w:val="28"/>
        </w:rPr>
        <w:t xml:space="preserve">foreign investment </w:t>
      </w:r>
      <w:r w:rsidR="00DA183E">
        <w:rPr>
          <w:szCs w:val="28"/>
        </w:rPr>
        <w:t xml:space="preserve">— this is particularly important </w:t>
      </w:r>
      <w:r w:rsidRPr="00972DD0">
        <w:rPr>
          <w:szCs w:val="28"/>
        </w:rPr>
        <w:t>in an increasingly integrated global market. This consultation will examine policy options for specific sectors</w:t>
      </w:r>
      <w:r w:rsidR="00883395">
        <w:rPr>
          <w:szCs w:val="28"/>
        </w:rPr>
        <w:t>,</w:t>
      </w:r>
      <w:r w:rsidRPr="00972DD0">
        <w:rPr>
          <w:szCs w:val="28"/>
        </w:rPr>
        <w:t xml:space="preserve"> such as real estate investment trusts (REIT</w:t>
      </w:r>
      <w:r w:rsidR="00585EE5">
        <w:rPr>
          <w:szCs w:val="28"/>
        </w:rPr>
        <w:t>s</w:t>
      </w:r>
      <w:r w:rsidRPr="00972DD0">
        <w:rPr>
          <w:szCs w:val="28"/>
        </w:rPr>
        <w:t>)</w:t>
      </w:r>
      <w:r w:rsidR="00315D19">
        <w:rPr>
          <w:szCs w:val="28"/>
        </w:rPr>
        <w:t xml:space="preserve"> and</w:t>
      </w:r>
      <w:r w:rsidRPr="00972DD0">
        <w:rPr>
          <w:szCs w:val="28"/>
        </w:rPr>
        <w:t xml:space="preserve"> </w:t>
      </w:r>
      <w:r w:rsidR="00870643">
        <w:rPr>
          <w:szCs w:val="28"/>
        </w:rPr>
        <w:t xml:space="preserve">investment in </w:t>
      </w:r>
      <w:r w:rsidR="00F36C76">
        <w:rPr>
          <w:szCs w:val="28"/>
        </w:rPr>
        <w:t>critical</w:t>
      </w:r>
      <w:r w:rsidR="004B2639">
        <w:rPr>
          <w:szCs w:val="28"/>
        </w:rPr>
        <w:t xml:space="preserve"> </w:t>
      </w:r>
      <w:r w:rsidRPr="00972DD0">
        <w:rPr>
          <w:szCs w:val="28"/>
        </w:rPr>
        <w:t xml:space="preserve">infrastructure </w:t>
      </w:r>
      <w:r w:rsidR="00870643">
        <w:rPr>
          <w:szCs w:val="28"/>
        </w:rPr>
        <w:t>assets</w:t>
      </w:r>
      <w:r w:rsidR="00334B05">
        <w:rPr>
          <w:szCs w:val="28"/>
        </w:rPr>
        <w:t xml:space="preserve"> if the tax advantages for stapled entities are removed</w:t>
      </w:r>
      <w:r w:rsidR="00870643">
        <w:rPr>
          <w:szCs w:val="28"/>
        </w:rPr>
        <w:t xml:space="preserve">. </w:t>
      </w:r>
    </w:p>
    <w:p w14:paraId="338A20F8" w14:textId="77777777" w:rsidR="000A7BCF" w:rsidRDefault="00352FCF" w:rsidP="00C6593E">
      <w:pPr>
        <w:pStyle w:val="Heading2"/>
        <w:spacing w:before="0"/>
      </w:pPr>
      <w:bookmarkStart w:id="39" w:name="_Toc306887372"/>
      <w:bookmarkStart w:id="40" w:name="_Toc477524650"/>
      <w:bookmarkStart w:id="41" w:name="_Toc477525157"/>
      <w:bookmarkStart w:id="42" w:name="_Toc477529846"/>
      <w:bookmarkStart w:id="43" w:name="_Toc477530057"/>
      <w:bookmarkStart w:id="44" w:name="_Toc477530111"/>
      <w:bookmarkStart w:id="45" w:name="_Toc477530222"/>
      <w:bookmarkStart w:id="46" w:name="_Toc477536434"/>
      <w:bookmarkStart w:id="47" w:name="_Toc477537803"/>
      <w:bookmarkStart w:id="48" w:name="_Toc478139085"/>
      <w:r>
        <w:t>P</w:t>
      </w:r>
      <w:bookmarkEnd w:id="39"/>
      <w:r w:rsidR="008D3BA2">
        <w:t>aper outline</w:t>
      </w:r>
      <w:bookmarkEnd w:id="40"/>
      <w:bookmarkEnd w:id="41"/>
      <w:bookmarkEnd w:id="42"/>
      <w:bookmarkEnd w:id="43"/>
      <w:bookmarkEnd w:id="44"/>
      <w:bookmarkEnd w:id="45"/>
      <w:bookmarkEnd w:id="46"/>
      <w:bookmarkEnd w:id="47"/>
      <w:bookmarkEnd w:id="48"/>
    </w:p>
    <w:p w14:paraId="551F9373" w14:textId="0B2C77D3" w:rsidR="008D3BA2" w:rsidRDefault="008D3BA2" w:rsidP="008B4DB7">
      <w:pPr>
        <w:rPr>
          <w:b/>
        </w:rPr>
      </w:pPr>
      <w:r w:rsidRPr="00C6593E">
        <w:rPr>
          <w:b/>
          <w:color w:val="1F497D" w:themeColor="text2"/>
        </w:rPr>
        <w:t>Part 1 (Background)</w:t>
      </w:r>
      <w:r w:rsidR="00C6593E">
        <w:t>:</w:t>
      </w:r>
      <w:r w:rsidRPr="00C6593E">
        <w:t xml:space="preserve"> </w:t>
      </w:r>
      <w:r w:rsidRPr="009F714A">
        <w:t xml:space="preserve">briefly describes the history of stapled </w:t>
      </w:r>
      <w:r w:rsidR="00464157">
        <w:t xml:space="preserve">structures and the applicable </w:t>
      </w:r>
      <w:r w:rsidRPr="009F714A">
        <w:t>non</w:t>
      </w:r>
      <w:r w:rsidR="00D444D5">
        <w:noBreakHyphen/>
      </w:r>
      <w:r w:rsidRPr="009F714A">
        <w:t>resident withholding tax regime</w:t>
      </w:r>
      <w:r w:rsidR="00464157">
        <w:t>s</w:t>
      </w:r>
      <w:r w:rsidRPr="009F714A">
        <w:t>, provides some commentary on the sector and highlights past policy initiatives.</w:t>
      </w:r>
    </w:p>
    <w:p w14:paraId="376875F3" w14:textId="572615BD" w:rsidR="008D3BA2" w:rsidRPr="005532D4" w:rsidRDefault="008D3BA2" w:rsidP="008B4DB7">
      <w:r w:rsidRPr="00C6593E">
        <w:rPr>
          <w:b/>
          <w:color w:val="1F497D" w:themeColor="text2"/>
        </w:rPr>
        <w:t xml:space="preserve">Part </w:t>
      </w:r>
      <w:r w:rsidR="00883395" w:rsidRPr="00C6593E">
        <w:rPr>
          <w:b/>
          <w:color w:val="1F497D" w:themeColor="text2"/>
        </w:rPr>
        <w:t xml:space="preserve">2 </w:t>
      </w:r>
      <w:r w:rsidRPr="00C6593E">
        <w:rPr>
          <w:b/>
          <w:color w:val="1F497D" w:themeColor="text2"/>
        </w:rPr>
        <w:t>(</w:t>
      </w:r>
      <w:r w:rsidR="00B82B2B" w:rsidRPr="00C6593E">
        <w:rPr>
          <w:b/>
          <w:color w:val="1F497D" w:themeColor="text2"/>
        </w:rPr>
        <w:t xml:space="preserve">Integrity </w:t>
      </w:r>
      <w:r w:rsidR="00DC23B9" w:rsidRPr="00C6593E">
        <w:rPr>
          <w:b/>
          <w:color w:val="1F497D" w:themeColor="text2"/>
        </w:rPr>
        <w:t>R</w:t>
      </w:r>
      <w:r w:rsidR="00B82B2B" w:rsidRPr="00C6593E">
        <w:rPr>
          <w:b/>
          <w:color w:val="1F497D" w:themeColor="text2"/>
        </w:rPr>
        <w:t>isks</w:t>
      </w:r>
      <w:r w:rsidRPr="00C6593E">
        <w:rPr>
          <w:b/>
          <w:color w:val="1F497D" w:themeColor="text2"/>
        </w:rPr>
        <w:t>)</w:t>
      </w:r>
      <w:r w:rsidR="00C6593E" w:rsidRPr="00C6593E">
        <w:rPr>
          <w:b/>
          <w:color w:val="1F497D" w:themeColor="text2"/>
        </w:rPr>
        <w:t>:</w:t>
      </w:r>
      <w:r w:rsidR="00C6593E" w:rsidRPr="00C6593E">
        <w:rPr>
          <w:color w:val="1F497D" w:themeColor="text2"/>
        </w:rPr>
        <w:t xml:space="preserve"> </w:t>
      </w:r>
      <w:r w:rsidR="00883395">
        <w:t>outlines</w:t>
      </w:r>
      <w:r w:rsidR="00883395" w:rsidRPr="005532D4">
        <w:t xml:space="preserve"> </w:t>
      </w:r>
      <w:r w:rsidR="00883395">
        <w:t>the integrity issues that may arise from stapled structures and other arrangements to re</w:t>
      </w:r>
      <w:r w:rsidR="00D444D5">
        <w:noBreakHyphen/>
      </w:r>
      <w:r w:rsidR="00883395">
        <w:t xml:space="preserve">characterising trading income. </w:t>
      </w:r>
    </w:p>
    <w:p w14:paraId="3D81B695" w14:textId="6BFDDE71" w:rsidR="00883395" w:rsidRDefault="00883395" w:rsidP="008B4DB7">
      <w:pPr>
        <w:rPr>
          <w:i/>
        </w:rPr>
      </w:pPr>
      <w:r w:rsidRPr="00C6593E">
        <w:rPr>
          <w:b/>
          <w:color w:val="1F497D" w:themeColor="text2"/>
        </w:rPr>
        <w:t xml:space="preserve">Part 3 (International </w:t>
      </w:r>
      <w:r w:rsidR="00DC23B9" w:rsidRPr="00C6593E">
        <w:rPr>
          <w:b/>
          <w:color w:val="1F497D" w:themeColor="text2"/>
        </w:rPr>
        <w:t>C</w:t>
      </w:r>
      <w:r w:rsidRPr="00C6593E">
        <w:rPr>
          <w:b/>
          <w:color w:val="1F497D" w:themeColor="text2"/>
        </w:rPr>
        <w:t>omparisons</w:t>
      </w:r>
      <w:r w:rsidR="00C6593E">
        <w:rPr>
          <w:b/>
          <w:color w:val="1F497D" w:themeColor="text2"/>
        </w:rPr>
        <w:t>):</w:t>
      </w:r>
      <w:r>
        <w:t xml:space="preserve"> looks at international approaches taken to stapled structures, REITs and infrastructure.</w:t>
      </w:r>
    </w:p>
    <w:p w14:paraId="34463AA9" w14:textId="219E31DE" w:rsidR="008D3BA2" w:rsidRPr="005532D4" w:rsidRDefault="008D3BA2" w:rsidP="008B4DB7">
      <w:r w:rsidRPr="00C6593E">
        <w:rPr>
          <w:b/>
          <w:color w:val="1F497D" w:themeColor="text2"/>
        </w:rPr>
        <w:t>Part 4 (Policy considerations</w:t>
      </w:r>
      <w:r w:rsidR="00C6593E">
        <w:rPr>
          <w:b/>
          <w:color w:val="1F497D" w:themeColor="text2"/>
        </w:rPr>
        <w:t>):</w:t>
      </w:r>
      <w:r w:rsidRPr="005532D4">
        <w:t xml:space="preserve"> sets out the key </w:t>
      </w:r>
      <w:r w:rsidR="006044C9" w:rsidRPr="005532D4">
        <w:t xml:space="preserve">framework for considering the </w:t>
      </w:r>
      <w:r w:rsidRPr="005532D4">
        <w:t xml:space="preserve">policy </w:t>
      </w:r>
      <w:r w:rsidR="006044C9" w:rsidRPr="005532D4">
        <w:rPr>
          <w:szCs w:val="22"/>
        </w:rPr>
        <w:t>issues.</w:t>
      </w:r>
    </w:p>
    <w:p w14:paraId="054538A5" w14:textId="317BDB87" w:rsidR="008D3BA2" w:rsidRPr="005532D4" w:rsidRDefault="008D3BA2" w:rsidP="008B4DB7">
      <w:pPr>
        <w:rPr>
          <w:rFonts w:eastAsiaTheme="minorHAnsi"/>
          <w:lang w:eastAsia="en-US"/>
        </w:rPr>
      </w:pPr>
      <w:r w:rsidRPr="00C6593E">
        <w:rPr>
          <w:rFonts w:eastAsiaTheme="minorHAnsi"/>
          <w:b/>
          <w:color w:val="1F497D" w:themeColor="text2"/>
          <w:lang w:eastAsia="en-US"/>
        </w:rPr>
        <w:t>Part 5 (</w:t>
      </w:r>
      <w:r w:rsidR="00DC23B9" w:rsidRPr="00C6593E">
        <w:rPr>
          <w:rFonts w:eastAsiaTheme="minorHAnsi"/>
          <w:b/>
          <w:color w:val="1F497D" w:themeColor="text2"/>
          <w:lang w:eastAsia="en-US"/>
        </w:rPr>
        <w:t>Broad P</w:t>
      </w:r>
      <w:r w:rsidRPr="00C6593E">
        <w:rPr>
          <w:rFonts w:eastAsiaTheme="minorHAnsi"/>
          <w:b/>
          <w:color w:val="1F497D" w:themeColor="text2"/>
          <w:lang w:eastAsia="en-US"/>
        </w:rPr>
        <w:t xml:space="preserve">olicy </w:t>
      </w:r>
      <w:r w:rsidR="00DC23B9" w:rsidRPr="00C6593E">
        <w:rPr>
          <w:rFonts w:eastAsiaTheme="minorHAnsi"/>
          <w:b/>
          <w:color w:val="1F497D" w:themeColor="text2"/>
          <w:lang w:eastAsia="en-US"/>
        </w:rPr>
        <w:t>O</w:t>
      </w:r>
      <w:r w:rsidR="00883395" w:rsidRPr="00C6593E">
        <w:rPr>
          <w:rFonts w:eastAsiaTheme="minorHAnsi"/>
          <w:b/>
          <w:color w:val="1F497D" w:themeColor="text2"/>
          <w:lang w:eastAsia="en-US"/>
        </w:rPr>
        <w:t>ptions</w:t>
      </w:r>
      <w:r w:rsidRPr="00C6593E">
        <w:rPr>
          <w:rFonts w:eastAsiaTheme="minorHAnsi"/>
          <w:b/>
          <w:color w:val="1F497D" w:themeColor="text2"/>
          <w:lang w:eastAsia="en-US"/>
        </w:rPr>
        <w:t>)</w:t>
      </w:r>
      <w:r w:rsidR="00C6593E">
        <w:rPr>
          <w:rFonts w:eastAsiaTheme="minorHAnsi"/>
          <w:lang w:eastAsia="en-US"/>
        </w:rPr>
        <w:t>:</w:t>
      </w:r>
      <w:r w:rsidRPr="00C6593E">
        <w:rPr>
          <w:rFonts w:eastAsiaTheme="minorHAnsi"/>
          <w:lang w:eastAsia="en-US"/>
        </w:rPr>
        <w:t xml:space="preserve"> </w:t>
      </w:r>
      <w:r w:rsidRPr="005532D4">
        <w:rPr>
          <w:rFonts w:eastAsiaTheme="minorHAnsi"/>
          <w:lang w:eastAsia="en-US"/>
        </w:rPr>
        <w:t xml:space="preserve">sets out </w:t>
      </w:r>
      <w:r w:rsidR="00883395">
        <w:rPr>
          <w:rFonts w:eastAsiaTheme="minorHAnsi"/>
          <w:lang w:eastAsia="en-US"/>
        </w:rPr>
        <w:t>some broad policy options to address these problems that could be considered</w:t>
      </w:r>
      <w:r w:rsidRPr="005532D4">
        <w:rPr>
          <w:rFonts w:eastAsiaTheme="minorHAnsi"/>
          <w:lang w:eastAsia="en-US"/>
        </w:rPr>
        <w:t>.</w:t>
      </w:r>
    </w:p>
    <w:p w14:paraId="4B9ABDD9" w14:textId="20131DE1" w:rsidR="008D3BA2" w:rsidRPr="005532D4" w:rsidRDefault="008D3BA2" w:rsidP="008B4DB7">
      <w:pPr>
        <w:rPr>
          <w:rFonts w:eastAsiaTheme="minorHAnsi"/>
          <w:lang w:eastAsia="en-US"/>
        </w:rPr>
      </w:pPr>
      <w:r w:rsidRPr="00C6593E">
        <w:rPr>
          <w:rFonts w:eastAsiaTheme="minorHAnsi"/>
          <w:b/>
          <w:color w:val="1F497D" w:themeColor="text2"/>
          <w:lang w:eastAsia="en-US"/>
        </w:rPr>
        <w:t xml:space="preserve">Part 6 (Impacts </w:t>
      </w:r>
      <w:r w:rsidR="00883395" w:rsidRPr="00C6593E">
        <w:rPr>
          <w:rFonts w:eastAsiaTheme="minorHAnsi"/>
          <w:b/>
          <w:color w:val="1F497D" w:themeColor="text2"/>
          <w:lang w:eastAsia="en-US"/>
        </w:rPr>
        <w:t xml:space="preserve">of </w:t>
      </w:r>
      <w:r w:rsidR="00EE7E7B" w:rsidRPr="00C6593E">
        <w:rPr>
          <w:rFonts w:eastAsiaTheme="minorHAnsi"/>
          <w:b/>
          <w:color w:val="1F497D" w:themeColor="text2"/>
          <w:lang w:eastAsia="en-US"/>
        </w:rPr>
        <w:t>P</w:t>
      </w:r>
      <w:r w:rsidR="00883395" w:rsidRPr="00C6593E">
        <w:rPr>
          <w:rFonts w:eastAsiaTheme="minorHAnsi"/>
          <w:b/>
          <w:color w:val="1F497D" w:themeColor="text2"/>
          <w:lang w:eastAsia="en-US"/>
        </w:rPr>
        <w:t xml:space="preserve">olicy </w:t>
      </w:r>
      <w:r w:rsidR="00EE7E7B" w:rsidRPr="00C6593E">
        <w:rPr>
          <w:rFonts w:eastAsiaTheme="minorHAnsi"/>
          <w:b/>
          <w:color w:val="1F497D" w:themeColor="text2"/>
          <w:lang w:eastAsia="en-US"/>
        </w:rPr>
        <w:t>O</w:t>
      </w:r>
      <w:r w:rsidR="00883395" w:rsidRPr="00C6593E">
        <w:rPr>
          <w:rFonts w:eastAsiaTheme="minorHAnsi"/>
          <w:b/>
          <w:color w:val="1F497D" w:themeColor="text2"/>
          <w:lang w:eastAsia="en-US"/>
        </w:rPr>
        <w:t>ptions</w:t>
      </w:r>
      <w:r w:rsidRPr="00C6593E">
        <w:rPr>
          <w:rFonts w:eastAsiaTheme="minorHAnsi"/>
          <w:b/>
          <w:color w:val="1F497D" w:themeColor="text2"/>
          <w:lang w:eastAsia="en-US"/>
        </w:rPr>
        <w:t>)</w:t>
      </w:r>
      <w:r w:rsidR="00C6593E">
        <w:rPr>
          <w:rFonts w:eastAsiaTheme="minorHAnsi"/>
          <w:lang w:eastAsia="en-US"/>
        </w:rPr>
        <w:t>:</w:t>
      </w:r>
      <w:r w:rsidRPr="00C6593E">
        <w:rPr>
          <w:rFonts w:eastAsiaTheme="minorHAnsi"/>
          <w:lang w:eastAsia="en-US"/>
        </w:rPr>
        <w:t xml:space="preserve"> </w:t>
      </w:r>
      <w:r w:rsidRPr="005532D4">
        <w:rPr>
          <w:rFonts w:eastAsiaTheme="minorHAnsi"/>
          <w:lang w:eastAsia="en-US"/>
        </w:rPr>
        <w:t xml:space="preserve">sets out the potential impacts of </w:t>
      </w:r>
      <w:r w:rsidR="006044C9" w:rsidRPr="005532D4">
        <w:rPr>
          <w:rFonts w:eastAsiaTheme="minorHAnsi"/>
          <w:lang w:eastAsia="en-US"/>
        </w:rPr>
        <w:t>the proposed policy direction on the Australian economy.</w:t>
      </w:r>
    </w:p>
    <w:p w14:paraId="0A72189C" w14:textId="26EA37FD" w:rsidR="008D3BA2" w:rsidRPr="005532D4" w:rsidRDefault="008D3BA2" w:rsidP="008B4DB7">
      <w:pPr>
        <w:rPr>
          <w:rFonts w:eastAsiaTheme="minorHAnsi"/>
          <w:lang w:eastAsia="en-US"/>
        </w:rPr>
      </w:pPr>
      <w:r w:rsidRPr="00C6593E">
        <w:rPr>
          <w:rFonts w:eastAsiaTheme="minorHAnsi"/>
          <w:b/>
          <w:color w:val="1F497D" w:themeColor="text2"/>
          <w:lang w:eastAsia="en-US"/>
        </w:rPr>
        <w:t>Part 7 (</w:t>
      </w:r>
      <w:r w:rsidR="00883395" w:rsidRPr="00AD4715">
        <w:rPr>
          <w:rFonts w:eastAsiaTheme="minorHAnsi"/>
          <w:b/>
          <w:color w:val="1F497D" w:themeColor="text2"/>
          <w:lang w:eastAsia="en-US"/>
        </w:rPr>
        <w:t xml:space="preserve">Implementation and </w:t>
      </w:r>
      <w:r w:rsidR="00EE7E7B" w:rsidRPr="00AD4715">
        <w:rPr>
          <w:rFonts w:eastAsiaTheme="minorHAnsi"/>
          <w:b/>
          <w:color w:val="1F497D" w:themeColor="text2"/>
          <w:lang w:eastAsia="en-US"/>
        </w:rPr>
        <w:t>T</w:t>
      </w:r>
      <w:r w:rsidRPr="00AD4715">
        <w:rPr>
          <w:rFonts w:eastAsiaTheme="minorHAnsi"/>
          <w:b/>
          <w:color w:val="1F497D" w:themeColor="text2"/>
          <w:lang w:eastAsia="en-US"/>
        </w:rPr>
        <w:t xml:space="preserve">ransitional </w:t>
      </w:r>
      <w:r w:rsidR="00AD4715" w:rsidRPr="00AD4715">
        <w:rPr>
          <w:rFonts w:eastAsiaTheme="minorHAnsi"/>
          <w:b/>
          <w:color w:val="1F497D" w:themeColor="text2"/>
          <w:lang w:eastAsia="en-US"/>
        </w:rPr>
        <w:t>Issues</w:t>
      </w:r>
      <w:r w:rsidRPr="00C6593E">
        <w:rPr>
          <w:rFonts w:eastAsiaTheme="minorHAnsi"/>
          <w:b/>
          <w:color w:val="1F497D" w:themeColor="text2"/>
          <w:lang w:eastAsia="en-US"/>
        </w:rPr>
        <w:t>)</w:t>
      </w:r>
      <w:r w:rsidR="00C6593E">
        <w:rPr>
          <w:rFonts w:eastAsiaTheme="minorHAnsi"/>
          <w:lang w:eastAsia="en-US"/>
        </w:rPr>
        <w:t>:</w:t>
      </w:r>
      <w:r w:rsidRPr="00C6593E">
        <w:rPr>
          <w:rFonts w:eastAsiaTheme="minorHAnsi"/>
          <w:lang w:eastAsia="en-US"/>
        </w:rPr>
        <w:t xml:space="preserve"> </w:t>
      </w:r>
      <w:r w:rsidRPr="005532D4">
        <w:rPr>
          <w:rFonts w:eastAsiaTheme="minorHAnsi"/>
          <w:lang w:eastAsia="en-US"/>
        </w:rPr>
        <w:t xml:space="preserve">sets out </w:t>
      </w:r>
      <w:r w:rsidR="00883395">
        <w:rPr>
          <w:rFonts w:eastAsiaTheme="minorHAnsi"/>
          <w:lang w:eastAsia="en-US"/>
        </w:rPr>
        <w:t xml:space="preserve">how </w:t>
      </w:r>
      <w:r w:rsidR="00883395" w:rsidRPr="00883395">
        <w:rPr>
          <w:rFonts w:eastAsiaTheme="minorHAnsi"/>
          <w:lang w:eastAsia="en-US"/>
        </w:rPr>
        <w:t>stapled arrangements already in existence</w:t>
      </w:r>
      <w:r w:rsidR="00883395">
        <w:rPr>
          <w:rFonts w:eastAsiaTheme="minorHAnsi"/>
          <w:lang w:eastAsia="en-US"/>
        </w:rPr>
        <w:t xml:space="preserve"> could be treated.</w:t>
      </w:r>
    </w:p>
    <w:p w14:paraId="5BEDD518" w14:textId="77777777" w:rsidR="00D444D5" w:rsidRDefault="00D444D5">
      <w:pPr>
        <w:spacing w:after="0" w:line="240" w:lineRule="auto"/>
        <w:jc w:val="left"/>
        <w:sectPr w:rsidR="00D444D5" w:rsidSect="0056559F">
          <w:headerReference w:type="first" r:id="rId30"/>
          <w:footerReference w:type="first" r:id="rId31"/>
          <w:pgSz w:w="11906" w:h="16838" w:code="9"/>
          <w:pgMar w:top="1418" w:right="1418" w:bottom="1418" w:left="1418" w:header="709" w:footer="709" w:gutter="0"/>
          <w:pgNumType w:start="1"/>
          <w:cols w:space="708"/>
          <w:titlePg/>
          <w:docGrid w:linePitch="360"/>
        </w:sectPr>
      </w:pPr>
    </w:p>
    <w:p w14:paraId="5626C5ED" w14:textId="6867A240" w:rsidR="007031C4" w:rsidRPr="004C5D21" w:rsidRDefault="003778E0" w:rsidP="004C5D21">
      <w:pPr>
        <w:pStyle w:val="Heading1"/>
      </w:pPr>
      <w:bookmarkStart w:id="49" w:name="_Toc478139086"/>
      <w:r w:rsidRPr="004C5D21">
        <w:t>Background</w:t>
      </w:r>
      <w:bookmarkEnd w:id="49"/>
    </w:p>
    <w:p w14:paraId="28840A36" w14:textId="77777777" w:rsidR="005F525C" w:rsidRDefault="00E279CB" w:rsidP="006B06C9">
      <w:pPr>
        <w:pStyle w:val="Heading2"/>
      </w:pPr>
      <w:bookmarkStart w:id="50" w:name="_Toc477524652"/>
      <w:bookmarkStart w:id="51" w:name="_Toc477525159"/>
      <w:bookmarkStart w:id="52" w:name="_Toc477529848"/>
      <w:bookmarkStart w:id="53" w:name="_Toc477530059"/>
      <w:bookmarkStart w:id="54" w:name="_Toc477530113"/>
      <w:bookmarkStart w:id="55" w:name="_Toc477530224"/>
      <w:bookmarkStart w:id="56" w:name="_Toc477536436"/>
      <w:bookmarkStart w:id="57" w:name="_Toc477537805"/>
      <w:bookmarkStart w:id="58" w:name="_Toc478139087"/>
      <w:r>
        <w:t xml:space="preserve">Stapled </w:t>
      </w:r>
      <w:r w:rsidR="00CD3A78">
        <w:t>structures</w:t>
      </w:r>
      <w:bookmarkEnd w:id="50"/>
      <w:bookmarkEnd w:id="51"/>
      <w:bookmarkEnd w:id="52"/>
      <w:bookmarkEnd w:id="53"/>
      <w:bookmarkEnd w:id="54"/>
      <w:bookmarkEnd w:id="55"/>
      <w:bookmarkEnd w:id="56"/>
      <w:bookmarkEnd w:id="57"/>
      <w:bookmarkEnd w:id="58"/>
    </w:p>
    <w:p w14:paraId="6C888FC8" w14:textId="3E560F60" w:rsidR="00E056C0" w:rsidRDefault="00E056C0" w:rsidP="001D0393">
      <w:pPr>
        <w:rPr>
          <w:rFonts w:eastAsiaTheme="majorEastAsia"/>
        </w:rPr>
      </w:pPr>
      <w:r>
        <w:rPr>
          <w:rFonts w:eastAsiaTheme="majorEastAsia"/>
        </w:rPr>
        <w:t xml:space="preserve">Stapled </w:t>
      </w:r>
      <w:r w:rsidR="00464157">
        <w:rPr>
          <w:rFonts w:eastAsiaTheme="majorEastAsia"/>
        </w:rPr>
        <w:t xml:space="preserve">structures </w:t>
      </w:r>
      <w:r>
        <w:rPr>
          <w:rFonts w:eastAsiaTheme="majorEastAsia"/>
        </w:rPr>
        <w:t>are created when two or more securities are contractually bound together, such that they are not able to be bought or sold separately.</w:t>
      </w:r>
      <w:r w:rsidR="00585EE5">
        <w:rPr>
          <w:rFonts w:eastAsiaTheme="majorEastAsia"/>
        </w:rPr>
        <w:t xml:space="preserve"> Stapled </w:t>
      </w:r>
      <w:r w:rsidR="00464157">
        <w:rPr>
          <w:rFonts w:eastAsiaTheme="majorEastAsia"/>
        </w:rPr>
        <w:t>structures</w:t>
      </w:r>
      <w:r w:rsidR="00585EE5">
        <w:rPr>
          <w:rFonts w:eastAsiaTheme="majorEastAsia"/>
        </w:rPr>
        <w:t xml:space="preserve"> may be listed or unlisted.</w:t>
      </w:r>
    </w:p>
    <w:p w14:paraId="4E00E783" w14:textId="1805236F" w:rsidR="008B2067" w:rsidRDefault="003B6F8C" w:rsidP="001D0393">
      <w:pPr>
        <w:rPr>
          <w:rFonts w:eastAsiaTheme="majorEastAsia"/>
        </w:rPr>
      </w:pPr>
      <w:r>
        <w:rPr>
          <w:rFonts w:eastAsiaTheme="majorEastAsia"/>
        </w:rPr>
        <w:t>Stapled structures in their simplest form involve stapling together units in an asset</w:t>
      </w:r>
      <w:r w:rsidR="00D444D5">
        <w:rPr>
          <w:rFonts w:eastAsiaTheme="majorEastAsia"/>
        </w:rPr>
        <w:noBreakHyphen/>
      </w:r>
      <w:r>
        <w:rPr>
          <w:rFonts w:eastAsiaTheme="majorEastAsia"/>
        </w:rPr>
        <w:t>owning trust with shares in a trading company.</w:t>
      </w:r>
      <w:r w:rsidR="00082B89">
        <w:rPr>
          <w:rFonts w:eastAsiaTheme="majorEastAsia"/>
        </w:rPr>
        <w:t xml:space="preserve"> </w:t>
      </w:r>
      <w:r w:rsidR="008B2067">
        <w:rPr>
          <w:rFonts w:eastAsiaTheme="majorEastAsia"/>
        </w:rPr>
        <w:t xml:space="preserve">The core characteristics of a simple stapled structure are that: </w:t>
      </w:r>
    </w:p>
    <w:p w14:paraId="13BE702C" w14:textId="77777777" w:rsidR="00B06FB6" w:rsidRDefault="008B2067" w:rsidP="00C53159">
      <w:pPr>
        <w:pStyle w:val="Bullet"/>
        <w:rPr>
          <w:rFonts w:eastAsiaTheme="majorEastAsia"/>
        </w:rPr>
      </w:pPr>
      <w:r>
        <w:rPr>
          <w:rFonts w:eastAsiaTheme="majorEastAsia"/>
        </w:rPr>
        <w:t xml:space="preserve">investors own shares in the company and units in the trust, neither of which can be traded separately;   </w:t>
      </w:r>
    </w:p>
    <w:p w14:paraId="0BE20AD3" w14:textId="77777777" w:rsidR="008B2067" w:rsidRDefault="008B2067" w:rsidP="00C53159">
      <w:pPr>
        <w:pStyle w:val="Bullet"/>
        <w:rPr>
          <w:rFonts w:eastAsiaTheme="majorEastAsia"/>
        </w:rPr>
      </w:pPr>
      <w:r>
        <w:rPr>
          <w:rFonts w:eastAsiaTheme="majorEastAsia"/>
        </w:rPr>
        <w:t>the trust</w:t>
      </w:r>
      <w:r w:rsidR="00D6773D">
        <w:rPr>
          <w:rFonts w:eastAsiaTheme="majorEastAsia"/>
        </w:rPr>
        <w:t xml:space="preserve">, </w:t>
      </w:r>
      <w:r w:rsidR="00E342DC">
        <w:rPr>
          <w:rFonts w:eastAsiaTheme="majorEastAsia"/>
        </w:rPr>
        <w:t xml:space="preserve">frequently </w:t>
      </w:r>
      <w:r w:rsidR="00D6773D">
        <w:rPr>
          <w:rFonts w:eastAsiaTheme="majorEastAsia"/>
        </w:rPr>
        <w:t>set up as</w:t>
      </w:r>
      <w:r>
        <w:rPr>
          <w:rFonts w:eastAsiaTheme="majorEastAsia"/>
        </w:rPr>
        <w:t xml:space="preserve"> </w:t>
      </w:r>
      <w:r w:rsidR="00D6773D">
        <w:rPr>
          <w:rFonts w:eastAsiaTheme="majorEastAsia"/>
        </w:rPr>
        <w:t>a managed investment trust (MIT),</w:t>
      </w:r>
      <w:r>
        <w:rPr>
          <w:rFonts w:eastAsiaTheme="majorEastAsia"/>
        </w:rPr>
        <w:t xml:space="preserve"> typically holds the assets</w:t>
      </w:r>
      <w:r w:rsidR="00D6773D">
        <w:rPr>
          <w:rFonts w:eastAsiaTheme="majorEastAsia"/>
        </w:rPr>
        <w:t xml:space="preserve"> and receives rental or finance income</w:t>
      </w:r>
      <w:r>
        <w:rPr>
          <w:rFonts w:eastAsiaTheme="majorEastAsia"/>
        </w:rPr>
        <w:t xml:space="preserve">, while the company carries out </w:t>
      </w:r>
      <w:r w:rsidR="00D6773D">
        <w:rPr>
          <w:rFonts w:eastAsiaTheme="majorEastAsia"/>
        </w:rPr>
        <w:t xml:space="preserve">trading </w:t>
      </w:r>
      <w:r>
        <w:rPr>
          <w:rFonts w:eastAsiaTheme="majorEastAsia"/>
        </w:rPr>
        <w:t>operations;</w:t>
      </w:r>
      <w:r w:rsidR="009F21FE">
        <w:rPr>
          <w:rFonts w:eastAsiaTheme="majorEastAsia"/>
        </w:rPr>
        <w:t xml:space="preserve"> and</w:t>
      </w:r>
    </w:p>
    <w:p w14:paraId="79C5F506" w14:textId="77777777" w:rsidR="008B2067" w:rsidRDefault="009F21FE" w:rsidP="00C53159">
      <w:pPr>
        <w:pStyle w:val="Bullet"/>
        <w:rPr>
          <w:rFonts w:eastAsiaTheme="majorEastAsia"/>
        </w:rPr>
      </w:pPr>
      <w:r>
        <w:rPr>
          <w:rFonts w:eastAsiaTheme="majorEastAsia"/>
        </w:rPr>
        <w:t>t</w:t>
      </w:r>
      <w:r w:rsidR="00D6773D">
        <w:rPr>
          <w:rFonts w:eastAsiaTheme="majorEastAsia"/>
        </w:rPr>
        <w:t>ransactions may or may not take place between the stapled trust and company.</w:t>
      </w:r>
    </w:p>
    <w:p w14:paraId="3A55E61C" w14:textId="6A1B3FEF" w:rsidR="00D6773D" w:rsidRDefault="00585EE5" w:rsidP="001D0393">
      <w:pPr>
        <w:rPr>
          <w:rFonts w:eastAsiaTheme="majorEastAsia"/>
        </w:rPr>
      </w:pPr>
      <w:r>
        <w:rPr>
          <w:rFonts w:eastAsiaTheme="majorEastAsia"/>
        </w:rPr>
        <w:t>Stapled structures</w:t>
      </w:r>
      <w:r w:rsidR="00D6773D">
        <w:rPr>
          <w:rFonts w:eastAsiaTheme="majorEastAsia"/>
        </w:rPr>
        <w:t xml:space="preserve"> may also occur with three securities stapled together (triple staples) or with debt instruments stapled to equity instruments</w:t>
      </w:r>
      <w:r w:rsidR="00D444D5">
        <w:rPr>
          <w:rFonts w:eastAsiaTheme="majorEastAsia"/>
        </w:rPr>
        <w:t xml:space="preserve">. </w:t>
      </w:r>
      <w:r w:rsidR="00371AA8">
        <w:rPr>
          <w:rFonts w:eastAsiaTheme="majorEastAsia"/>
        </w:rPr>
        <w:t>Units in a non</w:t>
      </w:r>
      <w:r w:rsidR="00D444D5">
        <w:rPr>
          <w:rFonts w:eastAsiaTheme="majorEastAsia"/>
        </w:rPr>
        <w:noBreakHyphen/>
      </w:r>
      <w:r w:rsidR="00371AA8">
        <w:rPr>
          <w:rFonts w:eastAsiaTheme="majorEastAsia"/>
        </w:rPr>
        <w:t>passive unit trust (taxed like a company) may also be stapled with units in a flow</w:t>
      </w:r>
      <w:r w:rsidR="00D444D5">
        <w:rPr>
          <w:rFonts w:eastAsiaTheme="majorEastAsia"/>
        </w:rPr>
        <w:noBreakHyphen/>
      </w:r>
      <w:r w:rsidR="00371AA8">
        <w:rPr>
          <w:rFonts w:eastAsiaTheme="majorEastAsia"/>
        </w:rPr>
        <w:t>through unit trust</w:t>
      </w:r>
      <w:r w:rsidR="00D444D5">
        <w:rPr>
          <w:rFonts w:eastAsiaTheme="majorEastAsia"/>
        </w:rPr>
        <w:t xml:space="preserve">. </w:t>
      </w:r>
    </w:p>
    <w:p w14:paraId="0C698E7A" w14:textId="3E9DBD5D" w:rsidR="009F21FE" w:rsidRDefault="006D65D8" w:rsidP="009F21FE">
      <w:pPr>
        <w:rPr>
          <w:rFonts w:eastAsiaTheme="majorEastAsia"/>
        </w:rPr>
      </w:pPr>
      <w:r>
        <w:rPr>
          <w:rFonts w:eastAsiaTheme="majorEastAsia"/>
        </w:rPr>
        <w:t>S</w:t>
      </w:r>
      <w:r w:rsidR="009F21FE">
        <w:rPr>
          <w:rFonts w:eastAsiaTheme="majorEastAsia"/>
        </w:rPr>
        <w:t>tapled structures</w:t>
      </w:r>
      <w:r>
        <w:rPr>
          <w:rFonts w:eastAsiaTheme="majorEastAsia"/>
        </w:rPr>
        <w:t xml:space="preserve"> may take different legal forms</w:t>
      </w:r>
      <w:r w:rsidR="009F21FE">
        <w:rPr>
          <w:rFonts w:eastAsiaTheme="majorEastAsia"/>
        </w:rPr>
        <w:t xml:space="preserve">. Some may be </w:t>
      </w:r>
      <w:r w:rsidR="00371AA8">
        <w:rPr>
          <w:rFonts w:eastAsiaTheme="majorEastAsia"/>
        </w:rPr>
        <w:t xml:space="preserve">contractually </w:t>
      </w:r>
      <w:r w:rsidR="009F21FE" w:rsidRPr="00FF49ED">
        <w:rPr>
          <w:rFonts w:eastAsiaTheme="majorEastAsia"/>
        </w:rPr>
        <w:t xml:space="preserve">stapled </w:t>
      </w:r>
      <w:r w:rsidR="00371AA8">
        <w:rPr>
          <w:rFonts w:eastAsiaTheme="majorEastAsia"/>
        </w:rPr>
        <w:t xml:space="preserve">using a </w:t>
      </w:r>
      <w:r w:rsidR="009F21FE">
        <w:rPr>
          <w:rFonts w:eastAsiaTheme="majorEastAsia"/>
        </w:rPr>
        <w:t>stapling</w:t>
      </w:r>
      <w:r w:rsidR="00371AA8">
        <w:rPr>
          <w:rFonts w:eastAsiaTheme="majorEastAsia"/>
        </w:rPr>
        <w:t xml:space="preserve"> deed </w:t>
      </w:r>
      <w:r w:rsidR="009F21FE">
        <w:rPr>
          <w:rFonts w:eastAsiaTheme="majorEastAsia"/>
        </w:rPr>
        <w:t xml:space="preserve">(typically used </w:t>
      </w:r>
      <w:r w:rsidR="004E24CD">
        <w:rPr>
          <w:rFonts w:eastAsiaTheme="majorEastAsia"/>
        </w:rPr>
        <w:t>for</w:t>
      </w:r>
      <w:r w:rsidR="009F21FE">
        <w:rPr>
          <w:rFonts w:eastAsiaTheme="majorEastAsia"/>
        </w:rPr>
        <w:t xml:space="preserve"> listed </w:t>
      </w:r>
      <w:r w:rsidR="004E24CD">
        <w:rPr>
          <w:rFonts w:eastAsiaTheme="majorEastAsia"/>
        </w:rPr>
        <w:t>staples</w:t>
      </w:r>
      <w:r w:rsidR="009F21FE">
        <w:rPr>
          <w:rFonts w:eastAsiaTheme="majorEastAsia"/>
        </w:rPr>
        <w:t>)</w:t>
      </w:r>
      <w:r w:rsidR="00371AA8">
        <w:rPr>
          <w:rFonts w:eastAsiaTheme="majorEastAsia"/>
        </w:rPr>
        <w:t>,</w:t>
      </w:r>
      <w:r w:rsidR="009F21FE">
        <w:rPr>
          <w:rFonts w:eastAsiaTheme="majorEastAsia"/>
        </w:rPr>
        <w:t xml:space="preserve"> while others could be created through </w:t>
      </w:r>
      <w:r w:rsidR="00371AA8">
        <w:rPr>
          <w:rFonts w:eastAsiaTheme="majorEastAsia"/>
        </w:rPr>
        <w:t>other types of</w:t>
      </w:r>
      <w:r w:rsidR="009F21FE">
        <w:rPr>
          <w:rFonts w:eastAsiaTheme="majorEastAsia"/>
        </w:rPr>
        <w:t xml:space="preserve"> contractual arrangements ensuring investors only deal with the securities together or </w:t>
      </w:r>
      <w:r w:rsidR="00371AA8">
        <w:rPr>
          <w:rFonts w:eastAsiaTheme="majorEastAsia"/>
        </w:rPr>
        <w:t xml:space="preserve">are structurally stapled </w:t>
      </w:r>
      <w:r w:rsidR="009F21FE">
        <w:rPr>
          <w:rFonts w:eastAsiaTheme="majorEastAsia"/>
        </w:rPr>
        <w:t>through common ownership or control of a company and related trust</w:t>
      </w:r>
      <w:r w:rsidR="00D444D5">
        <w:rPr>
          <w:rFonts w:eastAsiaTheme="majorEastAsia"/>
        </w:rPr>
        <w:t xml:space="preserve">. </w:t>
      </w:r>
    </w:p>
    <w:p w14:paraId="4CA0B152" w14:textId="77777777" w:rsidR="00CD3A78" w:rsidRPr="006B06C9" w:rsidRDefault="00387274" w:rsidP="006B06C9">
      <w:pPr>
        <w:pStyle w:val="ChartMainHeading"/>
      </w:pPr>
      <w:r w:rsidRPr="006B06C9">
        <w:t>Figure 1: Stapled Entity</w:t>
      </w:r>
    </w:p>
    <w:p w14:paraId="55B3BDD5" w14:textId="77777777" w:rsidR="004C5D21" w:rsidRDefault="00B13DB9" w:rsidP="003F3A6B">
      <w:pPr>
        <w:pStyle w:val="ChartGraphic"/>
        <w:rPr>
          <w:rFonts w:eastAsiaTheme="majorEastAsia"/>
        </w:rPr>
      </w:pPr>
      <w:bookmarkStart w:id="59" w:name="_Toc477529850"/>
      <w:bookmarkStart w:id="60" w:name="_Toc477530061"/>
      <w:bookmarkStart w:id="61" w:name="_Toc477530115"/>
      <w:bookmarkStart w:id="62" w:name="_Toc477530226"/>
      <w:bookmarkStart w:id="63" w:name="_Toc477525161"/>
      <w:bookmarkStart w:id="64" w:name="_Toc477536438"/>
      <w:bookmarkStart w:id="65" w:name="_Toc477537807"/>
      <w:r>
        <w:rPr>
          <w:rFonts w:eastAsiaTheme="majorEastAsia"/>
          <w:noProof/>
        </w:rPr>
        <w:drawing>
          <wp:inline distT="0" distB="0" distL="0" distR="0" wp14:anchorId="12B6C757" wp14:editId="2CBB730A">
            <wp:extent cx="3348000" cy="3513453"/>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pled Entity.JPG"/>
                    <pic:cNvPicPr/>
                  </pic:nvPicPr>
                  <pic:blipFill rotWithShape="1">
                    <a:blip r:embed="rId32">
                      <a:extLst>
                        <a:ext uri="{28A0092B-C50C-407E-A947-70E740481C1C}">
                          <a14:useLocalDpi xmlns:a14="http://schemas.microsoft.com/office/drawing/2010/main" val="0"/>
                        </a:ext>
                      </a:extLst>
                    </a:blip>
                    <a:srcRect l="1673" t="1872" r="2234" b="1421"/>
                    <a:stretch/>
                  </pic:blipFill>
                  <pic:spPr bwMode="auto">
                    <a:xfrm>
                      <a:off x="0" y="0"/>
                      <a:ext cx="3348000" cy="3513453"/>
                    </a:xfrm>
                    <a:prstGeom prst="rect">
                      <a:avLst/>
                    </a:prstGeom>
                    <a:ln>
                      <a:noFill/>
                    </a:ln>
                    <a:extLst>
                      <a:ext uri="{53640926-AAD7-44D8-BBD7-CCE9431645EC}">
                        <a14:shadowObscured xmlns:a14="http://schemas.microsoft.com/office/drawing/2010/main"/>
                      </a:ext>
                    </a:extLst>
                  </pic:spPr>
                </pic:pic>
              </a:graphicData>
            </a:graphic>
          </wp:inline>
        </w:drawing>
      </w:r>
    </w:p>
    <w:p w14:paraId="21A20093" w14:textId="77777777" w:rsidR="004C5D21" w:rsidRPr="004C5D21" w:rsidRDefault="004C5D21">
      <w:pPr>
        <w:spacing w:after="0" w:line="240" w:lineRule="auto"/>
        <w:jc w:val="left"/>
        <w:rPr>
          <w:rFonts w:ascii="Century Gothic" w:eastAsiaTheme="majorEastAsia" w:hAnsi="Century Gothic"/>
          <w:color w:val="1F497D" w:themeColor="text2"/>
          <w:sz w:val="8"/>
          <w:szCs w:val="8"/>
        </w:rPr>
      </w:pPr>
      <w:r w:rsidRPr="004C5D21">
        <w:rPr>
          <w:rFonts w:eastAsiaTheme="majorEastAsia"/>
          <w:sz w:val="8"/>
          <w:szCs w:val="8"/>
        </w:rPr>
        <w:br w:type="page"/>
      </w:r>
    </w:p>
    <w:p w14:paraId="0C58EAC1" w14:textId="4BC11820" w:rsidR="008D3BA2" w:rsidRPr="00DE1644" w:rsidRDefault="00077C43" w:rsidP="00D36E6D">
      <w:pPr>
        <w:pStyle w:val="Heading2"/>
        <w:rPr>
          <w:rFonts w:eastAsiaTheme="majorEastAsia"/>
        </w:rPr>
      </w:pPr>
      <w:bookmarkStart w:id="66" w:name="_Toc478139088"/>
      <w:r>
        <w:rPr>
          <w:rFonts w:eastAsiaTheme="majorEastAsia"/>
        </w:rPr>
        <w:t>H</w:t>
      </w:r>
      <w:r w:rsidRPr="00DE1644">
        <w:rPr>
          <w:rFonts w:eastAsiaTheme="majorEastAsia"/>
        </w:rPr>
        <w:t>istory</w:t>
      </w:r>
      <w:r w:rsidR="008D3BA2" w:rsidRPr="00DE1644">
        <w:rPr>
          <w:rFonts w:eastAsiaTheme="majorEastAsia"/>
        </w:rPr>
        <w:t xml:space="preserve"> of stapled structures</w:t>
      </w:r>
      <w:bookmarkEnd w:id="59"/>
      <w:bookmarkEnd w:id="60"/>
      <w:bookmarkEnd w:id="61"/>
      <w:bookmarkEnd w:id="62"/>
      <w:bookmarkEnd w:id="63"/>
      <w:bookmarkEnd w:id="64"/>
      <w:bookmarkEnd w:id="65"/>
      <w:bookmarkEnd w:id="66"/>
    </w:p>
    <w:p w14:paraId="4A32B67E" w14:textId="70FDE9A6" w:rsidR="008D3BA2" w:rsidRDefault="008D3BA2" w:rsidP="008D3BA2">
      <w:r>
        <w:t>In the mid</w:t>
      </w:r>
      <w:r w:rsidR="00D444D5">
        <w:noBreakHyphen/>
      </w:r>
      <w:r>
        <w:t xml:space="preserve">1980s, there </w:t>
      </w:r>
      <w:r w:rsidR="00A03405">
        <w:t xml:space="preserve">were </w:t>
      </w:r>
      <w:r>
        <w:t>concern</w:t>
      </w:r>
      <w:r w:rsidR="00A03405">
        <w:t>s</w:t>
      </w:r>
      <w:r>
        <w:t xml:space="preserve"> about an accelerating trend for new trading businesses to be set up as public unit trusts. </w:t>
      </w:r>
      <w:r w:rsidR="00E279CB">
        <w:t>This</w:t>
      </w:r>
      <w:r>
        <w:t xml:space="preserve"> allowed trading businesses to avoid company taxation through the use of the flow</w:t>
      </w:r>
      <w:r w:rsidR="00D444D5">
        <w:noBreakHyphen/>
      </w:r>
      <w:r>
        <w:t>through trust, with income being taxed in the hands of the unit holders.</w:t>
      </w:r>
    </w:p>
    <w:p w14:paraId="168FEB73" w14:textId="0FAE939A" w:rsidR="00E279CB" w:rsidRDefault="00E279CB">
      <w:r>
        <w:t xml:space="preserve">In response to these concerns, </w:t>
      </w:r>
      <w:r w:rsidR="008D3BA2">
        <w:t xml:space="preserve">Division 6C </w:t>
      </w:r>
      <w:r>
        <w:t xml:space="preserve">of the </w:t>
      </w:r>
      <w:r w:rsidRPr="004E36B0">
        <w:rPr>
          <w:i/>
        </w:rPr>
        <w:t>Income Tax Assessment Act 1936</w:t>
      </w:r>
      <w:r>
        <w:t xml:space="preserve"> was enacted in </w:t>
      </w:r>
      <w:r w:rsidR="008D3BA2" w:rsidDel="00E279CB">
        <w:t>1985</w:t>
      </w:r>
      <w:r>
        <w:t>. Division 6C sought to</w:t>
      </w:r>
      <w:r w:rsidR="008D3BA2">
        <w:t xml:space="preserve"> tax public unit trusts as companies where the trust was conducting a trading business</w:t>
      </w:r>
      <w:r>
        <w:t xml:space="preserve"> (</w:t>
      </w:r>
      <w:r w:rsidR="008D3BA2">
        <w:t>broadly, any business that was deriving income other than rental or finance income</w:t>
      </w:r>
      <w:r>
        <w:t>)</w:t>
      </w:r>
      <w:r w:rsidR="008D3BA2">
        <w:t xml:space="preserve">. </w:t>
      </w:r>
      <w:r>
        <w:t>In effect, Division 6C ensured that the</w:t>
      </w:r>
      <w:r w:rsidR="00EC73A9">
        <w:t xml:space="preserve"> tax advantages </w:t>
      </w:r>
      <w:r>
        <w:t xml:space="preserve">conferred by trusts </w:t>
      </w:r>
      <w:r w:rsidR="00EC73A9">
        <w:t>would</w:t>
      </w:r>
      <w:r w:rsidR="007615A4" w:rsidDel="00EC73A9">
        <w:t xml:space="preserve"> </w:t>
      </w:r>
      <w:r w:rsidR="007615A4">
        <w:t xml:space="preserve">be limited to </w:t>
      </w:r>
      <w:r w:rsidR="006C0B70">
        <w:t xml:space="preserve">certain categories of </w:t>
      </w:r>
      <w:r w:rsidR="007615A4">
        <w:t>passive investment</w:t>
      </w:r>
      <w:r w:rsidR="00205ED1">
        <w:t>,</w:t>
      </w:r>
      <w:r w:rsidR="007615A4">
        <w:t xml:space="preserve"> such as invest</w:t>
      </w:r>
      <w:r w:rsidR="00EC73A9">
        <w:t>ments</w:t>
      </w:r>
      <w:r w:rsidR="007615A4">
        <w:t xml:space="preserve"> in property, equities or securities.</w:t>
      </w:r>
      <w:r w:rsidR="008D3BA2">
        <w:t xml:space="preserve"> </w:t>
      </w:r>
    </w:p>
    <w:p w14:paraId="2A484EEE" w14:textId="1A628F6D" w:rsidR="008D3BA2" w:rsidRDefault="00E279CB" w:rsidP="008D3BA2">
      <w:r>
        <w:t>Not long after the introduction of Division 6C, the first</w:t>
      </w:r>
      <w:r w:rsidR="008D3BA2">
        <w:t xml:space="preserve"> </w:t>
      </w:r>
      <w:r w:rsidR="00B1678B">
        <w:t>stapled structures</w:t>
      </w:r>
      <w:r>
        <w:t xml:space="preserve"> began to appear</w:t>
      </w:r>
      <w:r w:rsidR="008D3BA2">
        <w:t xml:space="preserve"> in </w:t>
      </w:r>
      <w:r>
        <w:t xml:space="preserve">the property sector, </w:t>
      </w:r>
      <w:r w:rsidR="008D3BA2">
        <w:t>involv</w:t>
      </w:r>
      <w:r>
        <w:t>ing</w:t>
      </w:r>
      <w:r w:rsidR="008D3BA2">
        <w:t xml:space="preserve"> a stapled trust deriving rental income from unrelated third</w:t>
      </w:r>
      <w:r w:rsidR="00D444D5">
        <w:noBreakHyphen/>
      </w:r>
      <w:r w:rsidR="008D3BA2">
        <w:t>party tenants, and a stapled company carrying on a trading business.</w:t>
      </w:r>
      <w:r w:rsidR="00393E01">
        <w:rPr>
          <w:rStyle w:val="FootnoteReference"/>
        </w:rPr>
        <w:footnoteReference w:id="3"/>
      </w:r>
      <w:r w:rsidR="008D3BA2">
        <w:t xml:space="preserve"> </w:t>
      </w:r>
    </w:p>
    <w:p w14:paraId="7258B3EC" w14:textId="439FE926" w:rsidR="008D3BA2" w:rsidRDefault="008D3BA2" w:rsidP="008D3BA2">
      <w:r>
        <w:t xml:space="preserve">Following the introduction of dividend imputation in 1987, </w:t>
      </w:r>
      <w:r w:rsidR="005A2BFE">
        <w:t>a key tax</w:t>
      </w:r>
      <w:r>
        <w:t xml:space="preserve"> advantage offered by these structures w</w:t>
      </w:r>
      <w:r w:rsidR="005A2BFE">
        <w:t>as</w:t>
      </w:r>
      <w:r>
        <w:t xml:space="preserve"> removed</w:t>
      </w:r>
      <w:r w:rsidR="00D444D5">
        <w:t xml:space="preserve"> — </w:t>
      </w:r>
      <w:r>
        <w:t>corporate profits were no longer subject to double taxation. The ability to flow</w:t>
      </w:r>
      <w:r w:rsidR="00D444D5">
        <w:noBreakHyphen/>
      </w:r>
      <w:r>
        <w:t xml:space="preserve">through accelerated depreciation deductions </w:t>
      </w:r>
      <w:r w:rsidR="00371AA8">
        <w:t xml:space="preserve">as tax deferred distributions </w:t>
      </w:r>
      <w:r>
        <w:t xml:space="preserve">became the primary tax benefit of these structures. </w:t>
      </w:r>
    </w:p>
    <w:p w14:paraId="4FFB5CB2" w14:textId="107C709F" w:rsidR="008D3BA2" w:rsidRDefault="008D3BA2" w:rsidP="008D3BA2">
      <w:r>
        <w:t>In the 1990s, privatisation activities increased, involving the sale by state governments of a range of assets, including ports and electricity assets, to private sector investors</w:t>
      </w:r>
      <w:r w:rsidR="00D444D5">
        <w:t xml:space="preserve">. </w:t>
      </w:r>
      <w:r w:rsidR="00E279CB">
        <w:t xml:space="preserve">The nature of these investments, often with an operating component, led to </w:t>
      </w:r>
      <w:r w:rsidR="002E499D">
        <w:t>further development of</w:t>
      </w:r>
      <w:r w:rsidR="00E279CB">
        <w:t xml:space="preserve"> </w:t>
      </w:r>
      <w:r w:rsidR="00EB4A40">
        <w:t>stapled arrangements</w:t>
      </w:r>
      <w:r w:rsidR="006C0B70">
        <w:t xml:space="preserve"> with cross staple transactions</w:t>
      </w:r>
      <w:r w:rsidR="00E279CB">
        <w:t xml:space="preserve"> (such as the operating company leasing the property assets from the stapled trust</w:t>
      </w:r>
      <w:r w:rsidR="00A45E43">
        <w:t xml:space="preserve"> or cross</w:t>
      </w:r>
      <w:r w:rsidR="00D444D5">
        <w:noBreakHyphen/>
      </w:r>
      <w:r w:rsidR="00A45E43">
        <w:t>staple financing transactions</w:t>
      </w:r>
      <w:r w:rsidR="00E279CB">
        <w:t>).</w:t>
      </w:r>
    </w:p>
    <w:p w14:paraId="791FEB28" w14:textId="298C197B" w:rsidR="009C7041" w:rsidRDefault="00F77723" w:rsidP="008D3BA2">
      <w:pPr>
        <w:rPr>
          <w:rFonts w:eastAsiaTheme="majorEastAsia"/>
        </w:rPr>
      </w:pPr>
      <w:r>
        <w:t>Since that time, the staple</w:t>
      </w:r>
      <w:r w:rsidR="00B440F5">
        <w:t>d security</w:t>
      </w:r>
      <w:r>
        <w:t xml:space="preserve"> market has </w:t>
      </w:r>
      <w:r w:rsidR="00D4254E">
        <w:t xml:space="preserve">grown </w:t>
      </w:r>
      <w:r w:rsidR="00F31F71">
        <w:t xml:space="preserve">significantly </w:t>
      </w:r>
      <w:r w:rsidR="00D4254E">
        <w:t xml:space="preserve">and </w:t>
      </w:r>
      <w:r>
        <w:t>developed beyond property and infrastructure, with an increasing range of stapled transactions</w:t>
      </w:r>
      <w:r w:rsidR="00D6773D">
        <w:t xml:space="preserve"> </w:t>
      </w:r>
      <w:r w:rsidR="00F31C1D">
        <w:t xml:space="preserve">being utilised </w:t>
      </w:r>
      <w:r w:rsidR="00C82C80">
        <w:t xml:space="preserve">in </w:t>
      </w:r>
      <w:r w:rsidR="006566BC">
        <w:t>different</w:t>
      </w:r>
      <w:r w:rsidR="00C82C80">
        <w:t xml:space="preserve"> </w:t>
      </w:r>
      <w:r w:rsidR="00D6773D">
        <w:t>industry sectors</w:t>
      </w:r>
      <w:r>
        <w:t xml:space="preserve">. </w:t>
      </w:r>
      <w:r w:rsidR="00C82C80">
        <w:rPr>
          <w:rFonts w:eastAsiaTheme="majorEastAsia"/>
        </w:rPr>
        <w:t xml:space="preserve">There were </w:t>
      </w:r>
      <w:r w:rsidR="00C82C80" w:rsidRPr="004B4724">
        <w:rPr>
          <w:rFonts w:eastAsiaTheme="majorEastAsia"/>
        </w:rPr>
        <w:t xml:space="preserve">six listed staples in </w:t>
      </w:r>
      <w:r w:rsidR="00E0280F" w:rsidRPr="004B4724">
        <w:rPr>
          <w:rFonts w:eastAsiaTheme="majorEastAsia"/>
        </w:rPr>
        <w:t>2000</w:t>
      </w:r>
      <w:r w:rsidR="00E0280F">
        <w:rPr>
          <w:rFonts w:eastAsiaTheme="majorEastAsia"/>
        </w:rPr>
        <w:t>;</w:t>
      </w:r>
      <w:r w:rsidR="00C82C80">
        <w:rPr>
          <w:rFonts w:eastAsiaTheme="majorEastAsia"/>
        </w:rPr>
        <w:t xml:space="preserve"> this has grown</w:t>
      </w:r>
      <w:r w:rsidR="00C82C80" w:rsidRPr="004B4724">
        <w:rPr>
          <w:rFonts w:eastAsiaTheme="majorEastAsia"/>
        </w:rPr>
        <w:t xml:space="preserve"> to over 60</w:t>
      </w:r>
      <w:r w:rsidR="00C82C80">
        <w:rPr>
          <w:rFonts w:eastAsiaTheme="majorEastAsia"/>
        </w:rPr>
        <w:t xml:space="preserve"> listed staples now</w:t>
      </w:r>
      <w:r w:rsidR="0023355B">
        <w:rPr>
          <w:rFonts w:eastAsiaTheme="majorEastAsia"/>
        </w:rPr>
        <w:t xml:space="preserve"> as well as a range of unlisted staples</w:t>
      </w:r>
      <w:r w:rsidR="00C82C80" w:rsidRPr="004B4724">
        <w:rPr>
          <w:rFonts w:eastAsiaTheme="majorEastAsia"/>
        </w:rPr>
        <w:t>.</w:t>
      </w:r>
    </w:p>
    <w:p w14:paraId="588D5D35" w14:textId="77777777" w:rsidR="009C7041" w:rsidRDefault="009C7041" w:rsidP="00D36E6D">
      <w:pPr>
        <w:pStyle w:val="Heading2"/>
        <w:rPr>
          <w:rFonts w:eastAsiaTheme="majorEastAsia"/>
        </w:rPr>
      </w:pPr>
      <w:bookmarkStart w:id="67" w:name="_Toc478139089"/>
      <w:r>
        <w:rPr>
          <w:rFonts w:eastAsiaTheme="majorEastAsia"/>
        </w:rPr>
        <w:t>Importance of stapled structures</w:t>
      </w:r>
      <w:bookmarkEnd w:id="67"/>
    </w:p>
    <w:p w14:paraId="423DA7E0" w14:textId="103D2A2D" w:rsidR="009C7041" w:rsidRPr="008D18CD" w:rsidRDefault="009C7041" w:rsidP="009C7041">
      <w:pPr>
        <w:rPr>
          <w:rFonts w:eastAsiaTheme="majorEastAsia"/>
        </w:rPr>
      </w:pPr>
      <w:r>
        <w:rPr>
          <w:rFonts w:eastAsiaTheme="majorEastAsia"/>
        </w:rPr>
        <w:t xml:space="preserve">The market capitalisation of </w:t>
      </w:r>
      <w:r w:rsidRPr="00E903DF">
        <w:rPr>
          <w:rFonts w:eastAsiaTheme="majorEastAsia"/>
        </w:rPr>
        <w:t xml:space="preserve">listed staples in the infrastructure and property sectors </w:t>
      </w:r>
      <w:r>
        <w:rPr>
          <w:rFonts w:eastAsiaTheme="majorEastAsia"/>
        </w:rPr>
        <w:t xml:space="preserve">has grown over recent years. </w:t>
      </w:r>
      <w:r w:rsidRPr="00E903DF">
        <w:rPr>
          <w:rFonts w:eastAsiaTheme="majorEastAsia"/>
        </w:rPr>
        <w:t xml:space="preserve">As at December 2016, </w:t>
      </w:r>
      <w:r>
        <w:rPr>
          <w:rFonts w:eastAsiaTheme="majorEastAsia"/>
        </w:rPr>
        <w:t>these</w:t>
      </w:r>
      <w:r w:rsidRPr="00E903DF">
        <w:rPr>
          <w:rFonts w:eastAsiaTheme="majorEastAsia"/>
        </w:rPr>
        <w:t xml:space="preserve"> listed staples accounted for approximately $</w:t>
      </w:r>
      <w:r w:rsidR="00101F8E">
        <w:rPr>
          <w:rFonts w:eastAsiaTheme="majorEastAsia"/>
        </w:rPr>
        <w:t>199</w:t>
      </w:r>
      <w:r w:rsidRPr="00E903DF">
        <w:rPr>
          <w:rFonts w:eastAsiaTheme="majorEastAsia"/>
        </w:rPr>
        <w:t xml:space="preserve"> billion of </w:t>
      </w:r>
      <w:r>
        <w:rPr>
          <w:rFonts w:eastAsiaTheme="majorEastAsia"/>
        </w:rPr>
        <w:t>Australian stock exchange (</w:t>
      </w:r>
      <w:r w:rsidRPr="00E903DF">
        <w:rPr>
          <w:rFonts w:eastAsiaTheme="majorEastAsia"/>
        </w:rPr>
        <w:t>ASX</w:t>
      </w:r>
      <w:r>
        <w:rPr>
          <w:rFonts w:eastAsiaTheme="majorEastAsia"/>
        </w:rPr>
        <w:t>)</w:t>
      </w:r>
      <w:r w:rsidRPr="00E903DF">
        <w:rPr>
          <w:rFonts w:eastAsiaTheme="majorEastAsia"/>
        </w:rPr>
        <w:t xml:space="preserve"> market capitalisation, which is approximately 10 per cent of total ASX market capitalisation</w:t>
      </w:r>
      <w:r>
        <w:rPr>
          <w:rFonts w:eastAsiaTheme="majorEastAsia"/>
        </w:rPr>
        <w:t>, up from around $149 billion two years earlier.</w:t>
      </w:r>
      <w:r w:rsidRPr="00E903DF">
        <w:rPr>
          <w:rFonts w:eastAsiaTheme="majorEastAsia"/>
        </w:rPr>
        <w:t xml:space="preserve"> Australian REITS and infrastructure funds, by value and number, are </w:t>
      </w:r>
      <w:r>
        <w:rPr>
          <w:rFonts w:eastAsiaTheme="majorEastAsia"/>
        </w:rPr>
        <w:t xml:space="preserve">largely </w:t>
      </w:r>
      <w:r w:rsidRPr="00E903DF">
        <w:rPr>
          <w:rFonts w:eastAsiaTheme="majorEastAsia"/>
        </w:rPr>
        <w:t xml:space="preserve">stapled. </w:t>
      </w:r>
      <w:r w:rsidRPr="004B4724">
        <w:rPr>
          <w:rFonts w:eastAsiaTheme="majorEastAsia"/>
        </w:rPr>
        <w:t>Stapled structures are used by almost 90 per cent of infrastructure funds</w:t>
      </w:r>
      <w:r>
        <w:rPr>
          <w:rFonts w:eastAsiaTheme="majorEastAsia"/>
        </w:rPr>
        <w:t>.</w:t>
      </w:r>
      <w:r w:rsidRPr="00E903DF">
        <w:rPr>
          <w:rFonts w:eastAsiaTheme="majorEastAsia"/>
        </w:rPr>
        <w:t xml:space="preserve"> There are also non</w:t>
      </w:r>
      <w:r w:rsidR="00D444D5">
        <w:rPr>
          <w:rFonts w:eastAsiaTheme="majorEastAsia"/>
        </w:rPr>
        <w:noBreakHyphen/>
      </w:r>
      <w:r w:rsidR="00835A88">
        <w:rPr>
          <w:rFonts w:eastAsiaTheme="majorEastAsia"/>
        </w:rPr>
        <w:t>listed staples in use.</w:t>
      </w:r>
    </w:p>
    <w:p w14:paraId="525E0C3F" w14:textId="2C502EE3" w:rsidR="009C7041" w:rsidRPr="00E903DF" w:rsidRDefault="009C7041" w:rsidP="009C7041">
      <w:pPr>
        <w:rPr>
          <w:rFonts w:eastAsiaTheme="majorEastAsia"/>
        </w:rPr>
      </w:pPr>
      <w:r>
        <w:rPr>
          <w:rFonts w:eastAsiaTheme="majorEastAsia"/>
        </w:rPr>
        <w:t xml:space="preserve">Privatisations </w:t>
      </w:r>
      <w:r w:rsidRPr="004B4724">
        <w:rPr>
          <w:rFonts w:eastAsiaTheme="majorEastAsia"/>
        </w:rPr>
        <w:t>of state and territory assets</w:t>
      </w:r>
      <w:r>
        <w:rPr>
          <w:rFonts w:eastAsiaTheme="majorEastAsia"/>
        </w:rPr>
        <w:t xml:space="preserve"> have grown significantly. In 2015</w:t>
      </w:r>
      <w:r w:rsidR="00D444D5">
        <w:rPr>
          <w:rFonts w:eastAsiaTheme="majorEastAsia"/>
        </w:rPr>
        <w:noBreakHyphen/>
      </w:r>
      <w:r>
        <w:rPr>
          <w:rFonts w:eastAsiaTheme="majorEastAsia"/>
        </w:rPr>
        <w:t xml:space="preserve">16, </w:t>
      </w:r>
      <w:r w:rsidRPr="004B4724">
        <w:rPr>
          <w:rFonts w:eastAsiaTheme="majorEastAsia"/>
        </w:rPr>
        <w:t>almost $60 billion</w:t>
      </w:r>
      <w:r>
        <w:rPr>
          <w:rFonts w:eastAsiaTheme="majorEastAsia"/>
        </w:rPr>
        <w:t xml:space="preserve"> in assets by value were privatised, well above the </w:t>
      </w:r>
      <w:r w:rsidRPr="004B4724">
        <w:rPr>
          <w:rFonts w:eastAsiaTheme="majorEastAsia"/>
        </w:rPr>
        <w:t>$20 billion</w:t>
      </w:r>
      <w:r>
        <w:rPr>
          <w:rFonts w:eastAsiaTheme="majorEastAsia"/>
        </w:rPr>
        <w:t xml:space="preserve"> privatised in 2014</w:t>
      </w:r>
      <w:r w:rsidR="00D444D5">
        <w:rPr>
          <w:rFonts w:eastAsiaTheme="majorEastAsia"/>
        </w:rPr>
        <w:noBreakHyphen/>
      </w:r>
      <w:r>
        <w:rPr>
          <w:rFonts w:eastAsiaTheme="majorEastAsia"/>
        </w:rPr>
        <w:t>15</w:t>
      </w:r>
      <w:r w:rsidR="00835A88">
        <w:rPr>
          <w:rFonts w:eastAsiaTheme="majorEastAsia"/>
        </w:rPr>
        <w:t>.</w:t>
      </w:r>
    </w:p>
    <w:p w14:paraId="6FFA9FE2" w14:textId="7CD490E4" w:rsidR="004C5D21" w:rsidRDefault="004C5D21" w:rsidP="004C5D21">
      <w:pPr>
        <w:rPr>
          <w:rFonts w:eastAsiaTheme="majorEastAsia"/>
        </w:rPr>
      </w:pPr>
      <w:r>
        <w:rPr>
          <w:rFonts w:eastAsiaTheme="majorEastAsia"/>
        </w:rPr>
        <w:br w:type="page"/>
      </w:r>
    </w:p>
    <w:p w14:paraId="7D08BED9" w14:textId="640D5ECC" w:rsidR="009C7041" w:rsidRDefault="009C7041" w:rsidP="009C7041">
      <w:pPr>
        <w:rPr>
          <w:rFonts w:eastAsiaTheme="majorEastAsia"/>
        </w:rPr>
      </w:pPr>
      <w:r w:rsidRPr="006D6A9C">
        <w:rPr>
          <w:rFonts w:eastAsiaTheme="majorEastAsia"/>
        </w:rPr>
        <w:t xml:space="preserve">Traditionally, staples were only used in the infrastructure and property trust sectors, however, their use has significantly expanded in recent years, including </w:t>
      </w:r>
      <w:r>
        <w:rPr>
          <w:rFonts w:eastAsiaTheme="majorEastAsia"/>
        </w:rPr>
        <w:t xml:space="preserve">to </w:t>
      </w:r>
      <w:r w:rsidRPr="006D6A9C">
        <w:rPr>
          <w:rFonts w:eastAsiaTheme="majorEastAsia"/>
        </w:rPr>
        <w:t>different industries,</w:t>
      </w:r>
      <w:r>
        <w:rPr>
          <w:rFonts w:eastAsiaTheme="majorEastAsia"/>
        </w:rPr>
        <w:t xml:space="preserve"> such as agriculture and mining,</w:t>
      </w:r>
      <w:r w:rsidRPr="006D6A9C">
        <w:rPr>
          <w:rFonts w:eastAsiaTheme="majorEastAsia"/>
        </w:rPr>
        <w:t xml:space="preserve"> and </w:t>
      </w:r>
      <w:r>
        <w:rPr>
          <w:rFonts w:eastAsiaTheme="majorEastAsia"/>
        </w:rPr>
        <w:t xml:space="preserve">this </w:t>
      </w:r>
      <w:r w:rsidRPr="006D6A9C">
        <w:rPr>
          <w:rFonts w:eastAsiaTheme="majorEastAsia"/>
        </w:rPr>
        <w:t>is likely to continue with further privatisations and foreign investment applications</w:t>
      </w:r>
      <w:r w:rsidR="00835A88">
        <w:rPr>
          <w:rFonts w:eastAsiaTheme="majorEastAsia"/>
        </w:rPr>
        <w:t>.</w:t>
      </w:r>
    </w:p>
    <w:p w14:paraId="3C0D36F5" w14:textId="7F6FDFDA" w:rsidR="006B06C9" w:rsidRDefault="00387274" w:rsidP="006B06C9">
      <w:pPr>
        <w:pStyle w:val="ChartMainHeading"/>
      </w:pPr>
      <w:r w:rsidRPr="00746597">
        <w:t>Figure 2</w:t>
      </w:r>
      <w:r w:rsidR="00C24223" w:rsidRPr="00746597">
        <w:t>:</w:t>
      </w:r>
      <w:r w:rsidR="00C24223" w:rsidRPr="00D917D4">
        <w:t xml:space="preserve"> </w:t>
      </w:r>
      <w:r w:rsidR="00C24223">
        <w:t xml:space="preserve">Proportion of listed </w:t>
      </w:r>
      <w:r w:rsidR="000645C3">
        <w:t>A</w:t>
      </w:r>
      <w:r w:rsidR="00D444D5">
        <w:noBreakHyphen/>
      </w:r>
      <w:r w:rsidR="006B06C9">
        <w:t xml:space="preserve">REITs </w:t>
      </w:r>
      <w:r w:rsidR="000645C3">
        <w:t xml:space="preserve">and Infrastructure </w:t>
      </w:r>
      <w:r w:rsidR="00C24223">
        <w:t>stapled entities</w:t>
      </w:r>
      <w:bookmarkStart w:id="68" w:name="_Toc477525162"/>
      <w:bookmarkStart w:id="69" w:name="_Toc477529851"/>
      <w:bookmarkStart w:id="70" w:name="_Toc477530062"/>
      <w:bookmarkStart w:id="71" w:name="_Toc477530116"/>
      <w:bookmarkStart w:id="72" w:name="_Toc477530227"/>
      <w:bookmarkStart w:id="73" w:name="_Toc477536439"/>
      <w:bookmarkStart w:id="74" w:name="_Toc477537808"/>
    </w:p>
    <w:tbl>
      <w:tblPr>
        <w:tblW w:w="9182" w:type="dxa"/>
        <w:tblCellMar>
          <w:left w:w="0" w:type="dxa"/>
          <w:right w:w="0" w:type="dxa"/>
        </w:tblCellMar>
        <w:tblLook w:val="04A0" w:firstRow="1" w:lastRow="0" w:firstColumn="1" w:lastColumn="0" w:noHBand="0" w:noVBand="1"/>
      </w:tblPr>
      <w:tblGrid>
        <w:gridCol w:w="4551"/>
        <w:gridCol w:w="4663"/>
      </w:tblGrid>
      <w:tr w:rsidR="006B06C9" w14:paraId="2FE2C8EC" w14:textId="77777777" w:rsidTr="00835A88">
        <w:tc>
          <w:tcPr>
            <w:tcW w:w="4535" w:type="dxa"/>
            <w:noWrap/>
          </w:tcPr>
          <w:p w14:paraId="05944F02" w14:textId="4D09DC50" w:rsidR="006B06C9" w:rsidRDefault="00835A88" w:rsidP="00C6593E">
            <w:pPr>
              <w:pStyle w:val="TableGraphic"/>
            </w:pPr>
            <w:r>
              <w:rPr>
                <w:noProof/>
              </w:rPr>
              <w:drawing>
                <wp:inline distT="0" distB="0" distL="0" distR="0" wp14:anchorId="563D0589" wp14:editId="014000A7">
                  <wp:extent cx="2844000" cy="2467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44000" cy="2467247"/>
                          </a:xfrm>
                          <a:prstGeom prst="rect">
                            <a:avLst/>
                          </a:prstGeom>
                          <a:noFill/>
                        </pic:spPr>
                      </pic:pic>
                    </a:graphicData>
                  </a:graphic>
                </wp:inline>
              </w:drawing>
            </w:r>
          </w:p>
        </w:tc>
        <w:tc>
          <w:tcPr>
            <w:tcW w:w="4647" w:type="dxa"/>
            <w:noWrap/>
          </w:tcPr>
          <w:p w14:paraId="25A7C2A4" w14:textId="1EF7857E" w:rsidR="006B06C9" w:rsidRDefault="00835A88" w:rsidP="00C6593E">
            <w:pPr>
              <w:pStyle w:val="TableGraphic"/>
              <w:jc w:val="right"/>
            </w:pPr>
            <w:r>
              <w:rPr>
                <w:noProof/>
              </w:rPr>
              <w:drawing>
                <wp:inline distT="0" distB="0" distL="0" distR="0" wp14:anchorId="1FD64E50" wp14:editId="5E648BCA">
                  <wp:extent cx="2736000" cy="2455200"/>
                  <wp:effectExtent l="0" t="0" r="7620" b="254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6000" cy="2455200"/>
                          </a:xfrm>
                          <a:prstGeom prst="rect">
                            <a:avLst/>
                          </a:prstGeom>
                          <a:noFill/>
                        </pic:spPr>
                      </pic:pic>
                    </a:graphicData>
                  </a:graphic>
                </wp:inline>
              </w:drawing>
            </w:r>
          </w:p>
        </w:tc>
      </w:tr>
    </w:tbl>
    <w:p w14:paraId="03B3E266" w14:textId="77777777" w:rsidR="00C24223" w:rsidRPr="006B06C9" w:rsidRDefault="00C24223" w:rsidP="004C5D21">
      <w:pPr>
        <w:pStyle w:val="ChartorTableNote"/>
        <w:spacing w:before="80"/>
        <w:rPr>
          <w:rFonts w:eastAsiaTheme="majorEastAsia"/>
        </w:rPr>
      </w:pPr>
      <w:r w:rsidRPr="006B06C9">
        <w:rPr>
          <w:rFonts w:eastAsiaTheme="majorEastAsia"/>
        </w:rPr>
        <w:t>MC = market capitalisation</w:t>
      </w:r>
    </w:p>
    <w:p w14:paraId="27011063" w14:textId="23D3BECC" w:rsidR="00C24223" w:rsidRPr="006B06C9" w:rsidRDefault="00C24223" w:rsidP="006B06C9">
      <w:pPr>
        <w:pStyle w:val="ChartorTableNote"/>
        <w:rPr>
          <w:rFonts w:eastAsiaTheme="majorEastAsia"/>
        </w:rPr>
      </w:pPr>
      <w:r w:rsidRPr="006B06C9">
        <w:t>Source: ASX Managed Funds Statistics</w:t>
      </w:r>
      <w:r w:rsidR="00746597" w:rsidRPr="006B06C9">
        <w:t>.</w:t>
      </w:r>
    </w:p>
    <w:p w14:paraId="7683BB6D" w14:textId="77777777" w:rsidR="00835A88" w:rsidRPr="00835A88" w:rsidRDefault="00835A88" w:rsidP="004C5D21">
      <w:pPr>
        <w:pStyle w:val="SingleParagraph"/>
      </w:pPr>
    </w:p>
    <w:p w14:paraId="6EDE7BAE" w14:textId="18C8EC2C" w:rsidR="00EE1F0B" w:rsidRDefault="00EE1F0B" w:rsidP="00D36E6D">
      <w:pPr>
        <w:pStyle w:val="Heading2"/>
      </w:pPr>
      <w:bookmarkStart w:id="75" w:name="_Toc478139090"/>
      <w:r w:rsidRPr="00EE1F0B">
        <w:t>Use of staples in infrastructure in Australia</w:t>
      </w:r>
      <w:bookmarkEnd w:id="75"/>
    </w:p>
    <w:p w14:paraId="683BBA9E" w14:textId="07216991" w:rsidR="00EE1F0B" w:rsidRPr="00EE1F0B" w:rsidRDefault="00EE1F0B" w:rsidP="003778E0">
      <w:pPr>
        <w:rPr>
          <w:b/>
          <w:bCs/>
        </w:rPr>
      </w:pPr>
      <w:r w:rsidRPr="00EE1F0B">
        <w:t xml:space="preserve">As discussed </w:t>
      </w:r>
      <w:r w:rsidR="0088580E">
        <w:t>below</w:t>
      </w:r>
      <w:r w:rsidRPr="00EE1F0B">
        <w:t xml:space="preserve">, stapled structures mean that investors can receive returns from the start of an investment even though </w:t>
      </w:r>
      <w:r w:rsidR="0073530B">
        <w:t xml:space="preserve">accounting and tax </w:t>
      </w:r>
      <w:r w:rsidRPr="00EE1F0B">
        <w:t>profits may not accrue until later. This is particular</w:t>
      </w:r>
      <w:r w:rsidR="003F2B82">
        <w:t>ly</w:t>
      </w:r>
      <w:r w:rsidRPr="00EE1F0B">
        <w:t xml:space="preserve"> important for infrastructure as projects typically have very long time periods before they generate profit</w:t>
      </w:r>
      <w:r w:rsidR="00835A88">
        <w:t>.</w:t>
      </w:r>
    </w:p>
    <w:p w14:paraId="56733BB4" w14:textId="3D8384C4" w:rsidR="00EE1F0B" w:rsidRDefault="00EE1F0B" w:rsidP="003778E0">
      <w:r w:rsidRPr="00EE1F0B">
        <w:t>Infrastructure assets that deliver regular returns may be especially attractive to pension funds which require long</w:t>
      </w:r>
      <w:r w:rsidR="00D444D5">
        <w:noBreakHyphen/>
      </w:r>
      <w:r w:rsidRPr="00EE1F0B">
        <w:t>term, inflation</w:t>
      </w:r>
      <w:r w:rsidR="00D444D5">
        <w:noBreakHyphen/>
      </w:r>
      <w:r w:rsidRPr="00EE1F0B">
        <w:t xml:space="preserve">linked cash flows to meet their pension liabilities. This means that stapled </w:t>
      </w:r>
      <w:r w:rsidRPr="00BF713B">
        <w:rPr>
          <w:color w:val="auto"/>
        </w:rPr>
        <w:t xml:space="preserve">infrastructure assets </w:t>
      </w:r>
      <w:r w:rsidR="00652BDC">
        <w:t>make</w:t>
      </w:r>
      <w:r w:rsidRPr="00EE1F0B">
        <w:t xml:space="preserve"> it easier to attract investment for infrastructure from other countries.</w:t>
      </w:r>
    </w:p>
    <w:p w14:paraId="1DC64F58" w14:textId="77777777" w:rsidR="006B33FE" w:rsidDel="00961F07" w:rsidRDefault="00F77723" w:rsidP="00D36E6D">
      <w:pPr>
        <w:pStyle w:val="Heading2"/>
        <w:rPr>
          <w:rFonts w:eastAsiaTheme="majorEastAsia"/>
        </w:rPr>
      </w:pPr>
      <w:bookmarkStart w:id="76" w:name="_Toc478139091"/>
      <w:r>
        <w:t>Tax advantages of stapled structures</w:t>
      </w:r>
      <w:bookmarkEnd w:id="68"/>
      <w:bookmarkEnd w:id="69"/>
      <w:bookmarkEnd w:id="70"/>
      <w:bookmarkEnd w:id="71"/>
      <w:bookmarkEnd w:id="72"/>
      <w:bookmarkEnd w:id="73"/>
      <w:bookmarkEnd w:id="74"/>
      <w:bookmarkEnd w:id="76"/>
    </w:p>
    <w:p w14:paraId="5BDEAC79" w14:textId="77777777" w:rsidR="00F77723" w:rsidRDefault="003B7469" w:rsidP="000B06D3">
      <w:r>
        <w:t xml:space="preserve">The use of a stapled structure can give rise to various tax advantages to investors </w:t>
      </w:r>
      <w:r w:rsidR="006D65D8">
        <w:t xml:space="preserve">compared to </w:t>
      </w:r>
      <w:r>
        <w:t>investing in the same type of business in a company structure</w:t>
      </w:r>
      <w:r w:rsidR="006B34C1">
        <w:t>.</w:t>
      </w:r>
    </w:p>
    <w:p w14:paraId="088B7F11" w14:textId="204C6D02" w:rsidR="008C5756" w:rsidRDefault="008C5756">
      <w:pPr>
        <w:pStyle w:val="Bullet"/>
      </w:pPr>
      <w:r>
        <w:t xml:space="preserve">Stapled structures enable investors in property or financial assets to earn additional </w:t>
      </w:r>
      <w:r w:rsidR="00F12205">
        <w:t xml:space="preserve">income </w:t>
      </w:r>
      <w:r>
        <w:t>from related operating activities</w:t>
      </w:r>
      <w:r w:rsidR="006B34C1">
        <w:t>,</w:t>
      </w:r>
      <w:r>
        <w:t xml:space="preserve"> such as management fees, property development or car park revenue</w:t>
      </w:r>
      <w:r w:rsidR="006B34C1">
        <w:t>,</w:t>
      </w:r>
      <w:r>
        <w:t xml:space="preserve"> in a separate company, without </w:t>
      </w:r>
      <w:r w:rsidR="00027F52">
        <w:t>jeopardising</w:t>
      </w:r>
      <w:r>
        <w:t xml:space="preserve"> the flow</w:t>
      </w:r>
      <w:r w:rsidR="00D444D5">
        <w:noBreakHyphen/>
      </w:r>
      <w:r w:rsidR="00027F52">
        <w:t>through tax status of the trust</w:t>
      </w:r>
      <w:r w:rsidR="00835A88">
        <w:t>.</w:t>
      </w:r>
    </w:p>
    <w:p w14:paraId="2076A5DF" w14:textId="77777777" w:rsidR="004C5D21" w:rsidRPr="004C5D21" w:rsidRDefault="004C5D21" w:rsidP="004C5D21"/>
    <w:p w14:paraId="0771B05D" w14:textId="77777777" w:rsidR="004C5D21" w:rsidRDefault="004C5D21">
      <w:pPr>
        <w:spacing w:after="0" w:line="240" w:lineRule="auto"/>
        <w:jc w:val="left"/>
      </w:pPr>
      <w:r>
        <w:br w:type="page"/>
      </w:r>
    </w:p>
    <w:p w14:paraId="6A96723C" w14:textId="02C62B24" w:rsidR="00A03405" w:rsidRPr="003E6BB1" w:rsidRDefault="00D36694" w:rsidP="003E6BB1">
      <w:pPr>
        <w:pStyle w:val="Bullet"/>
      </w:pPr>
      <w:r w:rsidRPr="003E6BB1">
        <w:t xml:space="preserve">The receipt of </w:t>
      </w:r>
      <w:r w:rsidR="00027F52" w:rsidRPr="003E6BB1">
        <w:t>tax deferred distributions (cash distributions that are not taxable income</w:t>
      </w:r>
      <w:r w:rsidR="00386983" w:rsidRPr="003E6BB1">
        <w:t xml:space="preserve"> because of </w:t>
      </w:r>
      <w:r w:rsidR="007217D5" w:rsidRPr="003E6BB1">
        <w:t xml:space="preserve">factors such as </w:t>
      </w:r>
      <w:r w:rsidR="00386983" w:rsidRPr="003E6BB1">
        <w:t>accelerated depreciation</w:t>
      </w:r>
      <w:r w:rsidR="00027F52" w:rsidRPr="003E6BB1">
        <w:t>)</w:t>
      </w:r>
      <w:r w:rsidR="006141C8" w:rsidRPr="003E6BB1">
        <w:t xml:space="preserve"> from the trust </w:t>
      </w:r>
      <w:r w:rsidR="00EB4A40" w:rsidRPr="003E6BB1">
        <w:t>in</w:t>
      </w:r>
      <w:r w:rsidR="006141C8" w:rsidRPr="003E6BB1">
        <w:t xml:space="preserve"> the stapled structure</w:t>
      </w:r>
      <w:r w:rsidR="00027F52" w:rsidRPr="003E6BB1">
        <w:t xml:space="preserve">, typically at the earlier stages of a property or infrastructure project. </w:t>
      </w:r>
      <w:r w:rsidR="00652BDC" w:rsidRPr="003E6BB1">
        <w:t>In contrast, property and infrastructure businesses held in companies may face restrictions on distributing cash to investors</w:t>
      </w:r>
      <w:r w:rsidR="00D444D5" w:rsidRPr="003E6BB1">
        <w:t xml:space="preserve">. </w:t>
      </w:r>
      <w:r w:rsidR="00027F52" w:rsidRPr="003E6BB1">
        <w:t xml:space="preserve">For some domestic investors, this may be a timing benefit only, as resultant cost base adjustments </w:t>
      </w:r>
      <w:r w:rsidR="00F12205" w:rsidRPr="003E6BB1">
        <w:t>mean the amount is factored into</w:t>
      </w:r>
      <w:r w:rsidR="00027F52" w:rsidRPr="003E6BB1">
        <w:t xml:space="preserve"> future capital gain</w:t>
      </w:r>
      <w:r w:rsidR="00F12205" w:rsidRPr="003E6BB1">
        <w:t>s</w:t>
      </w:r>
      <w:r w:rsidR="00027F52" w:rsidRPr="003E6BB1">
        <w:t xml:space="preserve"> or reduced capital loss</w:t>
      </w:r>
      <w:r w:rsidR="00F12205" w:rsidRPr="003E6BB1">
        <w:t>es</w:t>
      </w:r>
      <w:r w:rsidR="00D444D5" w:rsidRPr="003E6BB1">
        <w:t xml:space="preserve">. </w:t>
      </w:r>
      <w:r w:rsidR="00027F52" w:rsidRPr="003E6BB1">
        <w:t xml:space="preserve">However, </w:t>
      </w:r>
      <w:r w:rsidR="008E31ED" w:rsidRPr="003E6BB1">
        <w:t xml:space="preserve">the full value of </w:t>
      </w:r>
      <w:r w:rsidR="00027F52" w:rsidRPr="003E6BB1">
        <w:t xml:space="preserve">capital gains </w:t>
      </w:r>
      <w:r w:rsidR="008E31ED" w:rsidRPr="003E6BB1">
        <w:t xml:space="preserve">is not </w:t>
      </w:r>
      <w:r w:rsidR="003F2B82" w:rsidRPr="003E6BB1">
        <w:t xml:space="preserve">always </w:t>
      </w:r>
      <w:r w:rsidR="008E31ED" w:rsidRPr="003E6BB1">
        <w:t xml:space="preserve">taxed, </w:t>
      </w:r>
      <w:r w:rsidR="003F2B82" w:rsidRPr="003E6BB1">
        <w:t>as</w:t>
      </w:r>
      <w:r w:rsidR="008E31ED" w:rsidRPr="003E6BB1">
        <w:t xml:space="preserve"> </w:t>
      </w:r>
      <w:r w:rsidR="007217D5" w:rsidRPr="003E6BB1">
        <w:t xml:space="preserve">certain </w:t>
      </w:r>
      <w:r w:rsidR="00027F52" w:rsidRPr="003E6BB1">
        <w:t xml:space="preserve">resident investors </w:t>
      </w:r>
      <w:r w:rsidR="008E31ED" w:rsidRPr="003E6BB1">
        <w:t xml:space="preserve">may obtain a permanent benefit </w:t>
      </w:r>
      <w:r w:rsidR="00027F52" w:rsidRPr="003E6BB1">
        <w:t>or non</w:t>
      </w:r>
      <w:r w:rsidR="00D444D5" w:rsidRPr="003E6BB1">
        <w:noBreakHyphen/>
      </w:r>
      <w:r w:rsidR="00027F52" w:rsidRPr="003E6BB1">
        <w:t xml:space="preserve">residents </w:t>
      </w:r>
      <w:r w:rsidR="008E31ED" w:rsidRPr="003E6BB1">
        <w:t xml:space="preserve">an exemption </w:t>
      </w:r>
      <w:r w:rsidR="00835A88" w:rsidRPr="003E6BB1">
        <w:t>in some circumstances.</w:t>
      </w:r>
    </w:p>
    <w:p w14:paraId="28A95771" w14:textId="64EF0959" w:rsidR="00CF435C" w:rsidRPr="003E6BB1" w:rsidRDefault="00A03405" w:rsidP="003E6BB1">
      <w:pPr>
        <w:pStyle w:val="Bullet"/>
      </w:pPr>
      <w:r w:rsidRPr="003E6BB1">
        <w:t>Foreign investors can access concessional withholding tax rates on distributions under Australia</w:t>
      </w:r>
      <w:r w:rsidR="00D444D5" w:rsidRPr="003E6BB1">
        <w:t>’</w:t>
      </w:r>
      <w:r w:rsidRPr="003E6BB1">
        <w:t xml:space="preserve">s managed investment trust </w:t>
      </w:r>
      <w:r w:rsidR="00444CE6" w:rsidRPr="003E6BB1">
        <w:t xml:space="preserve">and royalty or interest withholding tax </w:t>
      </w:r>
      <w:r w:rsidRPr="003E6BB1">
        <w:t>rules</w:t>
      </w:r>
      <w:r w:rsidR="00D444D5" w:rsidRPr="003E6BB1">
        <w:t xml:space="preserve">. </w:t>
      </w:r>
      <w:r w:rsidRPr="003E6BB1">
        <w:t xml:space="preserve">Under these rules, taxable payments are </w:t>
      </w:r>
      <w:r w:rsidR="004F5835" w:rsidRPr="003E6BB1">
        <w:t xml:space="preserve">typically </w:t>
      </w:r>
      <w:r w:rsidRPr="003E6BB1">
        <w:t>subject to a final withholding rate of 15</w:t>
      </w:r>
      <w:r w:rsidR="00027F52" w:rsidRPr="003E6BB1">
        <w:t xml:space="preserve"> </w:t>
      </w:r>
      <w:r w:rsidR="00B30A33" w:rsidRPr="003E6BB1">
        <w:t>per cent</w:t>
      </w:r>
      <w:r w:rsidR="00EB4A40" w:rsidRPr="003E6BB1">
        <w:t xml:space="preserve"> or less</w:t>
      </w:r>
      <w:r w:rsidR="00D36694" w:rsidRPr="003E6BB1">
        <w:t>.</w:t>
      </w:r>
      <w:r w:rsidR="000D564F" w:rsidRPr="003E6BB1">
        <w:rPr>
          <w:rStyle w:val="FootnoteReference"/>
        </w:rPr>
        <w:footnoteReference w:id="4"/>
      </w:r>
    </w:p>
    <w:p w14:paraId="39D5CB0A" w14:textId="77777777" w:rsidR="00F77723" w:rsidRPr="00EF2130" w:rsidRDefault="000A20FA" w:rsidP="00D36E6D">
      <w:pPr>
        <w:pStyle w:val="Heading2"/>
      </w:pPr>
      <w:bookmarkStart w:id="77" w:name="_Toc477524655"/>
      <w:bookmarkStart w:id="78" w:name="_Toc477525163"/>
      <w:bookmarkStart w:id="79" w:name="_Toc477529852"/>
      <w:bookmarkStart w:id="80" w:name="_Toc477530063"/>
      <w:bookmarkStart w:id="81" w:name="_Toc477530117"/>
      <w:bookmarkStart w:id="82" w:name="_Toc477530228"/>
      <w:bookmarkStart w:id="83" w:name="_Toc477536440"/>
      <w:bookmarkStart w:id="84" w:name="_Toc477537809"/>
      <w:bookmarkStart w:id="85" w:name="_Toc478139092"/>
      <w:r w:rsidRPr="00BF713B">
        <w:t>Other c</w:t>
      </w:r>
      <w:r w:rsidR="00F77723" w:rsidRPr="00EF2130">
        <w:t>ommercial reasons for stapled structures</w:t>
      </w:r>
      <w:bookmarkEnd w:id="77"/>
      <w:bookmarkEnd w:id="78"/>
      <w:bookmarkEnd w:id="79"/>
      <w:bookmarkEnd w:id="80"/>
      <w:bookmarkEnd w:id="81"/>
      <w:bookmarkEnd w:id="82"/>
      <w:bookmarkEnd w:id="83"/>
      <w:bookmarkEnd w:id="84"/>
      <w:bookmarkEnd w:id="85"/>
    </w:p>
    <w:p w14:paraId="42A04A26" w14:textId="58611FE9" w:rsidR="00871166" w:rsidRDefault="00652BDC" w:rsidP="00871166">
      <w:r>
        <w:t>S</w:t>
      </w:r>
      <w:r w:rsidR="00871166">
        <w:t>ome have argued stapled structures may:</w:t>
      </w:r>
    </w:p>
    <w:p w14:paraId="1A497AAF" w14:textId="1E44B9C7" w:rsidR="00871166" w:rsidRDefault="00871166" w:rsidP="000B06D3">
      <w:pPr>
        <w:pStyle w:val="Bullet"/>
      </w:pPr>
      <w:r>
        <w:t>lower the cost of capital and increase levels of investment by potentially mak</w:t>
      </w:r>
      <w:r w:rsidR="00776E5C">
        <w:t>ing</w:t>
      </w:r>
      <w:r>
        <w:t xml:space="preserve"> it easier to attract </w:t>
      </w:r>
      <w:r w:rsidR="00D36694">
        <w:t xml:space="preserve">greater third party </w:t>
      </w:r>
      <w:r>
        <w:t xml:space="preserve">finance </w:t>
      </w:r>
      <w:r w:rsidR="00D36694">
        <w:t xml:space="preserve">(as finance for trust assets </w:t>
      </w:r>
      <w:r w:rsidR="00157D63">
        <w:t xml:space="preserve">may be </w:t>
      </w:r>
      <w:r w:rsidR="00D36694">
        <w:t>determined on a pre</w:t>
      </w:r>
      <w:r w:rsidR="00D444D5">
        <w:noBreakHyphen/>
      </w:r>
      <w:r w:rsidR="00D36694">
        <w:t>tax basis)</w:t>
      </w:r>
      <w:r>
        <w:t xml:space="preserve"> and by lowering the o</w:t>
      </w:r>
      <w:r w:rsidR="00835A88">
        <w:t>verall tax burden of investors;</w:t>
      </w:r>
    </w:p>
    <w:p w14:paraId="0FF44E1D" w14:textId="3AACA42D" w:rsidR="00871166" w:rsidRDefault="00871166" w:rsidP="000B06D3">
      <w:pPr>
        <w:pStyle w:val="Bullet"/>
      </w:pPr>
      <w:r>
        <w:t xml:space="preserve">generate efficiencies or </w:t>
      </w:r>
      <w:r w:rsidR="00776E5C">
        <w:t>deliver</w:t>
      </w:r>
      <w:r>
        <w:t xml:space="preserve"> synergies (shared expertise and knowledge) by horizontally </w:t>
      </w:r>
      <w:r w:rsidR="00835A88">
        <w:t>integrating several businesses;</w:t>
      </w:r>
    </w:p>
    <w:p w14:paraId="2A656D67" w14:textId="77777777" w:rsidR="00776E5C" w:rsidRDefault="00871166" w:rsidP="000B06D3">
      <w:pPr>
        <w:pStyle w:val="Bullet"/>
      </w:pPr>
      <w:r>
        <w:t>be preferred by investors who more highly value stapled securities than a similar unstapled structure</w:t>
      </w:r>
      <w:r w:rsidR="00776E5C">
        <w:t>; and</w:t>
      </w:r>
    </w:p>
    <w:p w14:paraId="1022CB1B" w14:textId="16AA427E" w:rsidR="00C65CE3" w:rsidRDefault="00CC0172" w:rsidP="000B06D3">
      <w:pPr>
        <w:pStyle w:val="Bullet"/>
      </w:pPr>
      <w:r>
        <w:t xml:space="preserve">obtain </w:t>
      </w:r>
      <w:r w:rsidR="00217D2B">
        <w:t xml:space="preserve">security </w:t>
      </w:r>
      <w:r>
        <w:t>price benefits from a higher market capitalisation. T</w:t>
      </w:r>
      <w:r w:rsidR="00871166">
        <w:t>he ASX market capitalisation is calculated as the total value of t</w:t>
      </w:r>
      <w:r w:rsidR="00835A88">
        <w:t>he stapled securities on issue.</w:t>
      </w:r>
    </w:p>
    <w:tbl>
      <w:tblPr>
        <w:tblW w:w="0" w:type="auto"/>
        <w:tblBorders>
          <w:top w:val="single" w:sz="2" w:space="0" w:color="28467D"/>
          <w:left w:val="single" w:sz="2" w:space="0" w:color="28467D"/>
          <w:bottom w:val="single" w:sz="2" w:space="0" w:color="28467D"/>
          <w:right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4C5D21" w14:paraId="01E0E345" w14:textId="77777777" w:rsidTr="004C5D21">
        <w:tc>
          <w:tcPr>
            <w:tcW w:w="9286" w:type="dxa"/>
            <w:shd w:val="clear" w:color="auto" w:fill="F2F2F2" w:themeFill="background1" w:themeFillShade="F2"/>
          </w:tcPr>
          <w:p w14:paraId="2387DDC2" w14:textId="77777777" w:rsidR="004C5D21" w:rsidRDefault="004C5D21" w:rsidP="004C5D21">
            <w:pPr>
              <w:pStyle w:val="BoxHeadingnonumber"/>
            </w:pPr>
            <w:r>
              <w:t>Questions</w:t>
            </w:r>
          </w:p>
          <w:p w14:paraId="43FC98CF" w14:textId="77777777" w:rsidR="004C5D21" w:rsidRPr="004C5D21" w:rsidRDefault="004C5D21" w:rsidP="004C5D21">
            <w:pPr>
              <w:pStyle w:val="BoxNumbering"/>
            </w:pPr>
            <w:r w:rsidRPr="004C5D21">
              <w:t>How important are the non</w:t>
            </w:r>
            <w:r w:rsidRPr="004C5D21">
              <w:noBreakHyphen/>
              <w:t>tax reasons for using stapled structures? Please explain your view.</w:t>
            </w:r>
          </w:p>
          <w:p w14:paraId="48BFD1D0" w14:textId="4C7F14F1" w:rsidR="004C5D21" w:rsidRDefault="004C5D21" w:rsidP="004C5D21">
            <w:pPr>
              <w:pStyle w:val="BoxNumbering"/>
            </w:pPr>
            <w:r w:rsidRPr="004C5D21">
              <w:t>What impact would the loss of an ability to make cash distributions at the early stages of a project have on the attractiveness of long</w:t>
            </w:r>
            <w:r w:rsidRPr="004C5D21">
              <w:noBreakHyphen/>
              <w:t>term infrastructure investment for investors? Are there alternative ways to address this problem, such as used in other countries?</w:t>
            </w:r>
          </w:p>
        </w:tc>
      </w:tr>
    </w:tbl>
    <w:p w14:paraId="0C4037D3" w14:textId="77777777" w:rsidR="004C5D21" w:rsidRPr="004C5D21" w:rsidRDefault="004C5D21" w:rsidP="004C5D21"/>
    <w:p w14:paraId="0C76AEA2" w14:textId="77777777" w:rsidR="00835A88" w:rsidRPr="004C5D21" w:rsidRDefault="00835A88" w:rsidP="004C5D21">
      <w:bookmarkStart w:id="86" w:name="_Toc477524656"/>
      <w:bookmarkStart w:id="87" w:name="_Toc477525164"/>
      <w:bookmarkStart w:id="88" w:name="_Toc477529853"/>
      <w:bookmarkStart w:id="89" w:name="_Toc477530064"/>
      <w:bookmarkStart w:id="90" w:name="_Toc477530118"/>
      <w:bookmarkStart w:id="91" w:name="_Toc477530229"/>
      <w:bookmarkStart w:id="92" w:name="_Toc477536441"/>
      <w:bookmarkStart w:id="93" w:name="_Toc477537810"/>
    </w:p>
    <w:p w14:paraId="690AE8C7" w14:textId="77777777" w:rsidR="00835A88" w:rsidRPr="004C5D21" w:rsidRDefault="00835A88" w:rsidP="004C5D21">
      <w:pPr>
        <w:sectPr w:rsidR="00835A88" w:rsidRPr="004C5D21" w:rsidSect="00B13DB9">
          <w:type w:val="oddPage"/>
          <w:pgSz w:w="11906" w:h="16838" w:code="9"/>
          <w:pgMar w:top="1418" w:right="1418" w:bottom="1418" w:left="1418" w:header="709" w:footer="709" w:gutter="0"/>
          <w:cols w:space="708"/>
          <w:titlePg/>
          <w:docGrid w:linePitch="360"/>
        </w:sectPr>
      </w:pPr>
    </w:p>
    <w:p w14:paraId="12221F07" w14:textId="1CC75D92" w:rsidR="008D3BA2" w:rsidRPr="00B82B2B" w:rsidRDefault="003778E0" w:rsidP="004C5D21">
      <w:pPr>
        <w:pStyle w:val="Heading1"/>
      </w:pPr>
      <w:bookmarkStart w:id="94" w:name="_Toc478139093"/>
      <w:r w:rsidRPr="0012428B">
        <w:t>Integ</w:t>
      </w:r>
      <w:r>
        <w:t>rity r</w:t>
      </w:r>
      <w:r w:rsidRPr="00B82B2B">
        <w:t>isks</w:t>
      </w:r>
      <w:bookmarkEnd w:id="86"/>
      <w:bookmarkEnd w:id="87"/>
      <w:bookmarkEnd w:id="88"/>
      <w:bookmarkEnd w:id="89"/>
      <w:bookmarkEnd w:id="90"/>
      <w:bookmarkEnd w:id="91"/>
      <w:bookmarkEnd w:id="92"/>
      <w:bookmarkEnd w:id="93"/>
      <w:bookmarkEnd w:id="94"/>
      <w:r w:rsidRPr="00B82B2B">
        <w:t xml:space="preserve"> </w:t>
      </w:r>
    </w:p>
    <w:p w14:paraId="420D0677" w14:textId="77777777" w:rsidR="001826DC" w:rsidRPr="00036927" w:rsidRDefault="001826DC" w:rsidP="004C5D21">
      <w:pPr>
        <w:pStyle w:val="Heading2"/>
        <w:spacing w:before="280" w:after="220"/>
      </w:pPr>
      <w:bookmarkStart w:id="95" w:name="_Toc477537811"/>
      <w:bookmarkStart w:id="96" w:name="_Toc478139094"/>
      <w:r>
        <w:t>Background</w:t>
      </w:r>
      <w:bookmarkEnd w:id="95"/>
      <w:bookmarkEnd w:id="96"/>
    </w:p>
    <w:p w14:paraId="08BDE28B" w14:textId="211BE7CD" w:rsidR="008D3BA2" w:rsidRPr="00982E8D" w:rsidRDefault="008D3BA2" w:rsidP="004C5D21">
      <w:pPr>
        <w:pStyle w:val="Bullet"/>
        <w:numPr>
          <w:ilvl w:val="0"/>
          <w:numId w:val="0"/>
        </w:numPr>
        <w:spacing w:after="200"/>
        <w:rPr>
          <w:b/>
          <w:szCs w:val="22"/>
        </w:rPr>
      </w:pPr>
      <w:r w:rsidRPr="00982E8D">
        <w:rPr>
          <w:szCs w:val="22"/>
        </w:rPr>
        <w:t xml:space="preserve">As noted above, the </w:t>
      </w:r>
      <w:r w:rsidR="00802538">
        <w:rPr>
          <w:szCs w:val="22"/>
        </w:rPr>
        <w:t xml:space="preserve">use of </w:t>
      </w:r>
      <w:r w:rsidRPr="00982E8D">
        <w:rPr>
          <w:szCs w:val="22"/>
        </w:rPr>
        <w:t xml:space="preserve">stapled </w:t>
      </w:r>
      <w:r w:rsidR="00802538">
        <w:rPr>
          <w:szCs w:val="22"/>
        </w:rPr>
        <w:t>structure</w:t>
      </w:r>
      <w:r w:rsidR="00F41BE6">
        <w:rPr>
          <w:szCs w:val="22"/>
        </w:rPr>
        <w:t>s</w:t>
      </w:r>
      <w:r w:rsidRPr="00982E8D">
        <w:rPr>
          <w:szCs w:val="22"/>
        </w:rPr>
        <w:t xml:space="preserve"> has evolved over time, both as a response to Australia</w:t>
      </w:r>
      <w:r w:rsidR="00D444D5">
        <w:rPr>
          <w:szCs w:val="22"/>
        </w:rPr>
        <w:t>’</w:t>
      </w:r>
      <w:r w:rsidRPr="00982E8D">
        <w:rPr>
          <w:szCs w:val="22"/>
        </w:rPr>
        <w:t>s restrictions around flow</w:t>
      </w:r>
      <w:r w:rsidR="00D444D5">
        <w:rPr>
          <w:szCs w:val="22"/>
        </w:rPr>
        <w:noBreakHyphen/>
      </w:r>
      <w:r w:rsidRPr="00982E8D">
        <w:rPr>
          <w:szCs w:val="22"/>
        </w:rPr>
        <w:t xml:space="preserve">through taxation for trusts and </w:t>
      </w:r>
      <w:r w:rsidR="00802538">
        <w:rPr>
          <w:szCs w:val="22"/>
        </w:rPr>
        <w:t xml:space="preserve">due </w:t>
      </w:r>
      <w:r w:rsidRPr="00982E8D">
        <w:rPr>
          <w:szCs w:val="22"/>
        </w:rPr>
        <w:t>to concessional withholding tax rates introduced for MITs in 2012</w:t>
      </w:r>
      <w:r w:rsidR="00C6593E">
        <w:rPr>
          <w:szCs w:val="22"/>
        </w:rPr>
        <w:t>.</w:t>
      </w:r>
    </w:p>
    <w:p w14:paraId="77A8A3C4" w14:textId="77777777" w:rsidR="001826DC" w:rsidRDefault="001826DC" w:rsidP="004C5D21">
      <w:pPr>
        <w:pStyle w:val="Heading2"/>
        <w:spacing w:before="280" w:after="220"/>
      </w:pPr>
      <w:bookmarkStart w:id="97" w:name="_Toc477537812"/>
      <w:bookmarkStart w:id="98" w:name="_Toc478139095"/>
      <w:r>
        <w:t>Recent responses to integrity concerns</w:t>
      </w:r>
      <w:bookmarkEnd w:id="97"/>
      <w:bookmarkEnd w:id="98"/>
    </w:p>
    <w:p w14:paraId="1B9F9C07" w14:textId="37495431" w:rsidR="000D564F" w:rsidRDefault="000D564F" w:rsidP="004C5D21">
      <w:pPr>
        <w:spacing w:after="200"/>
      </w:pPr>
      <w:r w:rsidRPr="00982E8D">
        <w:t xml:space="preserve">Concerns have been raised that there is a growing trend towards structures that involve the fragmentation of an integrated business in order to separate trading income and more concessionally taxed passive income into </w:t>
      </w:r>
      <w:r w:rsidR="001503F5">
        <w:t>different</w:t>
      </w:r>
      <w:r w:rsidR="001503F5" w:rsidRPr="00982E8D">
        <w:t xml:space="preserve"> </w:t>
      </w:r>
      <w:r w:rsidRPr="00982E8D">
        <w:t xml:space="preserve">entities. </w:t>
      </w:r>
      <w:r>
        <w:t>This may also include the conversion of trading income into passive income. It</w:t>
      </w:r>
      <w:r w:rsidRPr="00982E8D">
        <w:t xml:space="preserve"> has been identified as a growing trend not only for stapled securities, but also other structures (such as vertical structures or entities under common ownership)</w:t>
      </w:r>
      <w:r w:rsidR="00C6593E">
        <w:t>.</w:t>
      </w:r>
    </w:p>
    <w:p w14:paraId="55317BC1" w14:textId="4A0890E2" w:rsidR="001826DC" w:rsidRDefault="001826DC" w:rsidP="004C5D21">
      <w:pPr>
        <w:spacing w:after="200"/>
      </w:pPr>
      <w:r>
        <w:t>As part of the attribution MIT reforms enacted in 2016, an arm</w:t>
      </w:r>
      <w:r w:rsidR="00D444D5">
        <w:t>’</w:t>
      </w:r>
      <w:r>
        <w:t>s length rule was introduced</w:t>
      </w:r>
      <w:r w:rsidR="00AC10FF">
        <w:t xml:space="preserve"> to reduce the scope for stapled entities to artificially shift income </w:t>
      </w:r>
      <w:r w:rsidR="00604DB2">
        <w:t>between</w:t>
      </w:r>
      <w:r w:rsidR="00AC10FF">
        <w:t xml:space="preserve"> stapled entities. The rule </w:t>
      </w:r>
      <w:r>
        <w:t xml:space="preserve">can result in </w:t>
      </w:r>
      <w:r w:rsidR="00AC10FF">
        <w:t xml:space="preserve">tax at the corporate tax rate of </w:t>
      </w:r>
      <w:r>
        <w:t>30</w:t>
      </w:r>
      <w:r w:rsidR="00AA551F">
        <w:t xml:space="preserve"> per cent</w:t>
      </w:r>
      <w:r>
        <w:t xml:space="preserve"> on excess non</w:t>
      </w:r>
      <w:r w:rsidR="00D444D5">
        <w:noBreakHyphen/>
      </w:r>
      <w:r>
        <w:t>arm</w:t>
      </w:r>
      <w:r w:rsidR="00D444D5">
        <w:t>’</w:t>
      </w:r>
      <w:r>
        <w:t>s length income earned by a MIT. A two year transitional period was provided for existing arrangements. Although this rule went some way towards ensuring appropriate arm</w:t>
      </w:r>
      <w:r w:rsidR="00D444D5">
        <w:t>’</w:t>
      </w:r>
      <w:r>
        <w:t>s length pricing for cross staple transactions, there are limitations in its ability to deal with the broader integrity concerns around fragmentation of business structures</w:t>
      </w:r>
      <w:r w:rsidR="00D444D5">
        <w:t xml:space="preserve">. </w:t>
      </w:r>
      <w:r>
        <w:t xml:space="preserve"> </w:t>
      </w:r>
    </w:p>
    <w:p w14:paraId="66657254" w14:textId="797151E2" w:rsidR="008D3BA2" w:rsidRDefault="00E514CD" w:rsidP="004C5D21">
      <w:pPr>
        <w:spacing w:after="200"/>
      </w:pPr>
      <w:r>
        <w:t xml:space="preserve">In response to these </w:t>
      </w:r>
      <w:r w:rsidR="001826DC">
        <w:t xml:space="preserve">broader integrity </w:t>
      </w:r>
      <w:r>
        <w:t xml:space="preserve">concerns, the ATO released </w:t>
      </w:r>
      <w:r w:rsidR="00562FEA">
        <w:t xml:space="preserve">a </w:t>
      </w:r>
      <w:r>
        <w:t>Taxpayer Alert</w:t>
      </w:r>
      <w:r w:rsidR="00562FEA">
        <w:t>, TA</w:t>
      </w:r>
      <w:r w:rsidR="00C6593E">
        <w:t> </w:t>
      </w:r>
      <w:r>
        <w:t>2017/1</w:t>
      </w:r>
      <w:r w:rsidR="000178B8">
        <w:t> </w:t>
      </w:r>
      <w:r w:rsidR="00D444D5">
        <w:t>’</w:t>
      </w:r>
      <w:r>
        <w:rPr>
          <w:i/>
        </w:rPr>
        <w:t>Re</w:t>
      </w:r>
      <w:r w:rsidR="00D444D5">
        <w:rPr>
          <w:i/>
        </w:rPr>
        <w:noBreakHyphen/>
      </w:r>
      <w:r>
        <w:rPr>
          <w:i/>
        </w:rPr>
        <w:t xml:space="preserve">characterisation of </w:t>
      </w:r>
      <w:r w:rsidR="002B3E73">
        <w:rPr>
          <w:i/>
        </w:rPr>
        <w:t>I</w:t>
      </w:r>
      <w:r>
        <w:rPr>
          <w:i/>
        </w:rPr>
        <w:t xml:space="preserve">ncome from </w:t>
      </w:r>
      <w:r w:rsidR="002B3E73">
        <w:rPr>
          <w:i/>
        </w:rPr>
        <w:t>T</w:t>
      </w:r>
      <w:r>
        <w:rPr>
          <w:i/>
        </w:rPr>
        <w:t xml:space="preserve">rading </w:t>
      </w:r>
      <w:r w:rsidR="002B3E73">
        <w:rPr>
          <w:i/>
        </w:rPr>
        <w:t>B</w:t>
      </w:r>
      <w:r>
        <w:rPr>
          <w:i/>
        </w:rPr>
        <w:t>usinesses</w:t>
      </w:r>
      <w:r w:rsidR="00D444D5">
        <w:rPr>
          <w:i/>
        </w:rPr>
        <w:t>’</w:t>
      </w:r>
      <w:r w:rsidR="001826DC" w:rsidRPr="001826DC">
        <w:t xml:space="preserve"> </w:t>
      </w:r>
      <w:r w:rsidR="001826DC">
        <w:t>in early 2017</w:t>
      </w:r>
      <w:r>
        <w:rPr>
          <w:i/>
        </w:rPr>
        <w:t>.</w:t>
      </w:r>
      <w:r>
        <w:t xml:space="preserve"> </w:t>
      </w:r>
      <w:r w:rsidR="008D3BA2" w:rsidRPr="00982E8D">
        <w:t xml:space="preserve">The types of structured </w:t>
      </w:r>
      <w:r w:rsidR="00802538">
        <w:t>arrangements</w:t>
      </w:r>
      <w:r w:rsidR="008D3BA2" w:rsidRPr="00982E8D">
        <w:t xml:space="preserve"> identified by the ATO in their </w:t>
      </w:r>
      <w:r w:rsidR="002B3E73">
        <w:t>T</w:t>
      </w:r>
      <w:r w:rsidR="008D3BA2" w:rsidRPr="00982E8D">
        <w:t xml:space="preserve">axpayer </w:t>
      </w:r>
      <w:r w:rsidR="002B3E73">
        <w:t>A</w:t>
      </w:r>
      <w:r w:rsidR="008D3BA2" w:rsidRPr="00982E8D">
        <w:t>lert include finance, rental, royalty and synthetic equity staples</w:t>
      </w:r>
      <w:r w:rsidR="00D444D5">
        <w:t xml:space="preserve">. </w:t>
      </w:r>
      <w:r w:rsidR="008E1236">
        <w:t>Concerns have also been raised about passive income flows structured as cross</w:t>
      </w:r>
      <w:r w:rsidR="00D444D5">
        <w:noBreakHyphen/>
      </w:r>
      <w:r w:rsidR="008E1236">
        <w:t xml:space="preserve">staple transactions rather than direct </w:t>
      </w:r>
      <w:r w:rsidR="002A2E95">
        <w:t xml:space="preserve">offshore </w:t>
      </w:r>
      <w:r w:rsidR="008E1236">
        <w:t xml:space="preserve">transactions, which may have different transfer pricing or thin capitalisation outcomes. </w:t>
      </w:r>
    </w:p>
    <w:p w14:paraId="5CDFEAD6" w14:textId="77777777" w:rsidR="001826DC" w:rsidRPr="00982E8D" w:rsidRDefault="001826DC" w:rsidP="004C5D21">
      <w:pPr>
        <w:pStyle w:val="Heading2"/>
        <w:spacing w:before="280" w:after="220"/>
      </w:pPr>
      <w:bookmarkStart w:id="99" w:name="_Toc477537813"/>
      <w:bookmarkStart w:id="100" w:name="_Toc478139096"/>
      <w:r>
        <w:t>Difficulties under current tax settings</w:t>
      </w:r>
      <w:bookmarkEnd w:id="99"/>
      <w:bookmarkEnd w:id="100"/>
    </w:p>
    <w:p w14:paraId="15410A48" w14:textId="346F0D2A" w:rsidR="008D3BA2" w:rsidRPr="00982E8D" w:rsidRDefault="008D3BA2" w:rsidP="004C5D21">
      <w:pPr>
        <w:spacing w:after="200"/>
        <w:rPr>
          <w:b/>
        </w:rPr>
      </w:pPr>
      <w:r w:rsidRPr="00982E8D">
        <w:t xml:space="preserve">There is a wide spectrum of structures which </w:t>
      </w:r>
      <w:r w:rsidR="00802538">
        <w:t xml:space="preserve">separate </w:t>
      </w:r>
      <w:r w:rsidRPr="00982E8D">
        <w:t xml:space="preserve">trading and passive income flows, ranging from structures that fall well within the original policy intention of </w:t>
      </w:r>
      <w:r w:rsidR="00597C0C">
        <w:t>Division 6C and the MIT withholding rules</w:t>
      </w:r>
      <w:r w:rsidR="00AC10FF">
        <w:t>,</w:t>
      </w:r>
      <w:r w:rsidRPr="00982E8D">
        <w:t xml:space="preserve"> such as A</w:t>
      </w:r>
      <w:r w:rsidR="00D444D5">
        <w:noBreakHyphen/>
      </w:r>
      <w:r w:rsidRPr="00982E8D">
        <w:t xml:space="preserve">REIT staples that derive </w:t>
      </w:r>
      <w:r w:rsidR="00C22646">
        <w:t>largely all</w:t>
      </w:r>
      <w:r w:rsidRPr="00982E8D">
        <w:t xml:space="preserve"> of their income as rental from third party tenants; to highly structured fragmenting of trading businesses, which arguably go well beyond the original policy intention.</w:t>
      </w:r>
      <w:r w:rsidRPr="00982E8D" w:rsidDel="00597C0C">
        <w:t xml:space="preserve"> </w:t>
      </w:r>
      <w:r w:rsidRPr="00982E8D">
        <w:t>There are a number of industries within the middle of that spectrum which have an integrated or partially integrated mix of property and services income, such as student accommodation, aged care and certain infrastructure projects.</w:t>
      </w:r>
    </w:p>
    <w:p w14:paraId="7B342D44" w14:textId="121C98FD" w:rsidR="008D3BA2" w:rsidRDefault="008D3BA2" w:rsidP="004C5D21">
      <w:pPr>
        <w:spacing w:after="0"/>
        <w:rPr>
          <w:b/>
        </w:rPr>
      </w:pPr>
      <w:r w:rsidRPr="00982E8D">
        <w:t>There are a number of commercial reasons why an entity may choose to sell and lease back an asset to a third party, or carry on a trading business whilst renting premises or licencing an asset from a third party</w:t>
      </w:r>
      <w:r w:rsidR="00D444D5">
        <w:t xml:space="preserve">. </w:t>
      </w:r>
      <w:r w:rsidRPr="00982E8D">
        <w:t xml:space="preserve">However, when such a transaction occurs within a framework where the same owners continue to bear the </w:t>
      </w:r>
      <w:r w:rsidR="00CA28D9">
        <w:t xml:space="preserve">same </w:t>
      </w:r>
      <w:r w:rsidRPr="00982E8D">
        <w:t xml:space="preserve">economic risks and benefits from the fragmented business (either via a stapled structure or otherwise), this </w:t>
      </w:r>
      <w:r w:rsidR="00597C0C">
        <w:t>gives rise to</w:t>
      </w:r>
      <w:r w:rsidR="00597C0C" w:rsidRPr="00982E8D">
        <w:t xml:space="preserve"> </w:t>
      </w:r>
      <w:r w:rsidRPr="00982E8D">
        <w:t>a questi</w:t>
      </w:r>
      <w:r>
        <w:t xml:space="preserve">on as to the predominant </w:t>
      </w:r>
      <w:r w:rsidR="002B3E73">
        <w:t>driver of</w:t>
      </w:r>
      <w:r w:rsidRPr="00982E8D">
        <w:t xml:space="preserve"> the fragmentation. </w:t>
      </w:r>
    </w:p>
    <w:p w14:paraId="1BB983FD" w14:textId="0450D2DF" w:rsidR="008D3BA2" w:rsidRPr="00982E8D" w:rsidRDefault="008D3BA2" w:rsidP="008B4DB7">
      <w:pPr>
        <w:rPr>
          <w:b/>
        </w:rPr>
      </w:pPr>
      <w:r w:rsidRPr="00982E8D">
        <w:t>It can then become a fine distinction between businesses that are fragmented to ensure that Division</w:t>
      </w:r>
      <w:r w:rsidR="004C5D21">
        <w:t> </w:t>
      </w:r>
      <w:r w:rsidRPr="00982E8D">
        <w:t xml:space="preserve">6C is not triggered (for example, a property investment business with some peripheral operating activities) or fragmented predominately to </w:t>
      </w:r>
      <w:r w:rsidR="00C22646">
        <w:t>convert trading income into passive income</w:t>
      </w:r>
      <w:r w:rsidR="001503F5">
        <w:t>,</w:t>
      </w:r>
      <w:r w:rsidR="00C22646">
        <w:t xml:space="preserve"> to take </w:t>
      </w:r>
      <w:r w:rsidRPr="00982E8D">
        <w:t>advantage of the concessional tax treatment offered by the MIT regime or other advantageous tax outcomes</w:t>
      </w:r>
      <w:r w:rsidR="00D444D5">
        <w:t xml:space="preserve">. </w:t>
      </w:r>
    </w:p>
    <w:p w14:paraId="3709452C" w14:textId="6F3D9C81" w:rsidR="008D3BA2" w:rsidRDefault="008D3BA2" w:rsidP="008B4DB7">
      <w:r w:rsidRPr="00982E8D">
        <w:t>With the wide spectrum of structures and industries affected, difficulties can arise in identifying where the line should be drawn as to what should be considered acceptable or not acceptable within the current legislative framework</w:t>
      </w:r>
      <w:r w:rsidR="00D444D5">
        <w:t xml:space="preserve">. </w:t>
      </w:r>
      <w:r w:rsidR="001503F5">
        <w:t xml:space="preserve">This can create uncertainty from both the perspective of the tax </w:t>
      </w:r>
      <w:r w:rsidRPr="00982E8D">
        <w:t xml:space="preserve">administrator </w:t>
      </w:r>
      <w:r w:rsidR="001503F5">
        <w:t xml:space="preserve">and an </w:t>
      </w:r>
      <w:r w:rsidRPr="00982E8D">
        <w:t xml:space="preserve">investor </w:t>
      </w:r>
      <w:r>
        <w:t xml:space="preserve">in </w:t>
      </w:r>
      <w:r w:rsidRPr="00982E8D">
        <w:t>identify</w:t>
      </w:r>
      <w:r>
        <w:t>ing</w:t>
      </w:r>
      <w:r w:rsidRPr="00982E8D">
        <w:t xml:space="preserve"> which side of the line a particular transaction or structure may fall.</w:t>
      </w:r>
    </w:p>
    <w:p w14:paraId="79AF6EAA" w14:textId="2005DC85" w:rsidR="001503F5" w:rsidRPr="00982E8D" w:rsidRDefault="001503F5" w:rsidP="008B4DB7">
      <w:pPr>
        <w:rPr>
          <w:b/>
        </w:rPr>
      </w:pPr>
      <w:r>
        <w:t>To the extent some sectors avail themselves of structures to artificially re</w:t>
      </w:r>
      <w:r w:rsidR="00D444D5">
        <w:noBreakHyphen/>
      </w:r>
      <w:r>
        <w:t xml:space="preserve">characterise active trading income as a passive income flow to reduce their overall tax liability this can distort investment decisions and resource allocation across the economy. Similarly, </w:t>
      </w:r>
      <w:r w:rsidR="00003D39">
        <w:t>organisations</w:t>
      </w:r>
      <w:r>
        <w:t xml:space="preserve"> who take a more conservative approach can be at a cost disadvantage if their competitors within a sector take a more aggressive approach to structuring their tax affairs</w:t>
      </w:r>
      <w:r w:rsidR="00D444D5">
        <w:t xml:space="preserve">. </w:t>
      </w:r>
    </w:p>
    <w:p w14:paraId="5A356D1D" w14:textId="6BFC9EE1" w:rsidR="000D564F" w:rsidRDefault="004808A3" w:rsidP="008B4DB7">
      <w:r>
        <w:t>More broadly</w:t>
      </w:r>
      <w:r w:rsidR="004A33EA">
        <w:t>, the re</w:t>
      </w:r>
      <w:r w:rsidR="00D444D5">
        <w:noBreakHyphen/>
      </w:r>
      <w:r w:rsidR="004A33EA">
        <w:t>characterising of trading income into a lower taxed passive income flow reduces overall tax revenue and presents a risk to the integrity of the corporate tax base</w:t>
      </w:r>
      <w:r w:rsidR="00D444D5">
        <w:t xml:space="preserve">. </w:t>
      </w:r>
      <w:r w:rsidR="004A33EA">
        <w:t>This undermines the ability of the Government to fund its activities and deliver services to the community</w:t>
      </w:r>
      <w:r w:rsidR="00D444D5">
        <w:t xml:space="preserve">. </w:t>
      </w:r>
    </w:p>
    <w:p w14:paraId="4EA7C707" w14:textId="0A48DCFD" w:rsidR="008D3BA2" w:rsidRDefault="008D3BA2" w:rsidP="008B4DB7">
      <w:r w:rsidRPr="00982E8D">
        <w:t>For these reasons,</w:t>
      </w:r>
      <w:r w:rsidRPr="00982E8D" w:rsidDel="00A31192">
        <w:t xml:space="preserve"> </w:t>
      </w:r>
      <w:r w:rsidR="00A31192">
        <w:t>the Government</w:t>
      </w:r>
      <w:r w:rsidRPr="00982E8D">
        <w:t xml:space="preserve"> is revisit</w:t>
      </w:r>
      <w:r w:rsidR="006206C2">
        <w:t>ing</w:t>
      </w:r>
      <w:r w:rsidRPr="00982E8D">
        <w:t xml:space="preserve"> the underlying policy basis and settings around the taxation of REITs and other passive income investments on a more holistic basis in order to modernise the regimes,</w:t>
      </w:r>
      <w:r w:rsidR="001503F5">
        <w:t xml:space="preserve"> ensure Australia</w:t>
      </w:r>
      <w:r w:rsidR="00D444D5">
        <w:t>’</w:t>
      </w:r>
      <w:r w:rsidR="001503F5">
        <w:t>s tax settings to attract global c</w:t>
      </w:r>
      <w:r w:rsidR="004A33EA">
        <w:t>apital are appropriately target</w:t>
      </w:r>
      <w:r w:rsidR="001503F5">
        <w:t>ed</w:t>
      </w:r>
      <w:r w:rsidRPr="00982E8D">
        <w:t xml:space="preserve"> </w:t>
      </w:r>
      <w:r>
        <w:t xml:space="preserve">and </w:t>
      </w:r>
      <w:r w:rsidRPr="00982E8D">
        <w:t>provide greater certainty to investors seekin</w:t>
      </w:r>
      <w:r w:rsidR="00AD4715">
        <w:t>g to manage integrity concerns.</w:t>
      </w:r>
    </w:p>
    <w:p w14:paraId="2733D396" w14:textId="77777777" w:rsidR="00AD4715" w:rsidRPr="00AD4715" w:rsidRDefault="00AD4715" w:rsidP="00AD4715"/>
    <w:p w14:paraId="43C3DAF6" w14:textId="77777777" w:rsidR="00AD4715" w:rsidRPr="00AD4715" w:rsidRDefault="00AD4715" w:rsidP="00AD4715"/>
    <w:p w14:paraId="56638A77" w14:textId="77777777" w:rsidR="00AD4715" w:rsidRPr="00AD4715" w:rsidRDefault="00AD4715" w:rsidP="00AD4715">
      <w:pPr>
        <w:sectPr w:rsidR="00AD4715" w:rsidRPr="00AD4715" w:rsidSect="00835A88">
          <w:pgSz w:w="11906" w:h="16838" w:code="9"/>
          <w:pgMar w:top="1418" w:right="1418" w:bottom="1418" w:left="1418" w:header="709" w:footer="709" w:gutter="0"/>
          <w:cols w:space="708"/>
          <w:titlePg/>
          <w:docGrid w:linePitch="360"/>
        </w:sectPr>
      </w:pPr>
    </w:p>
    <w:p w14:paraId="158B3B0D" w14:textId="3FEC7F47" w:rsidR="00CD3A78" w:rsidRPr="00B82B2B" w:rsidRDefault="003778E0" w:rsidP="00AD4715">
      <w:pPr>
        <w:pStyle w:val="Heading1"/>
        <w:rPr>
          <w:rFonts w:eastAsiaTheme="majorEastAsia"/>
        </w:rPr>
      </w:pPr>
      <w:bookmarkStart w:id="101" w:name="_Toc477524657"/>
      <w:bookmarkStart w:id="102" w:name="_Toc477525165"/>
      <w:bookmarkStart w:id="103" w:name="_Toc477529854"/>
      <w:bookmarkStart w:id="104" w:name="_Toc477530065"/>
      <w:bookmarkStart w:id="105" w:name="_Toc477530119"/>
      <w:bookmarkStart w:id="106" w:name="_Toc477530230"/>
      <w:bookmarkStart w:id="107" w:name="_Toc477536442"/>
      <w:bookmarkStart w:id="108" w:name="_Toc477537814"/>
      <w:bookmarkStart w:id="109" w:name="_Toc478139097"/>
      <w:r>
        <w:rPr>
          <w:rFonts w:eastAsiaTheme="majorEastAsia"/>
        </w:rPr>
        <w:t>International c</w:t>
      </w:r>
      <w:r w:rsidRPr="00B82B2B">
        <w:rPr>
          <w:rFonts w:eastAsiaTheme="majorEastAsia"/>
        </w:rPr>
        <w:t>omparisons</w:t>
      </w:r>
      <w:bookmarkEnd w:id="101"/>
      <w:bookmarkEnd w:id="102"/>
      <w:bookmarkEnd w:id="103"/>
      <w:bookmarkEnd w:id="104"/>
      <w:bookmarkEnd w:id="105"/>
      <w:bookmarkEnd w:id="106"/>
      <w:bookmarkEnd w:id="107"/>
      <w:bookmarkEnd w:id="108"/>
      <w:bookmarkEnd w:id="109"/>
    </w:p>
    <w:p w14:paraId="19651D98" w14:textId="77777777" w:rsidR="008D3BA2" w:rsidRPr="0082669A" w:rsidRDefault="00CD3A78" w:rsidP="00AD4715">
      <w:pPr>
        <w:pStyle w:val="Heading2"/>
      </w:pPr>
      <w:bookmarkStart w:id="110" w:name="_Toc477524658"/>
      <w:bookmarkStart w:id="111" w:name="_Toc477525166"/>
      <w:bookmarkStart w:id="112" w:name="_Toc477529855"/>
      <w:bookmarkStart w:id="113" w:name="_Toc477530066"/>
      <w:bookmarkStart w:id="114" w:name="_Toc477530120"/>
      <w:bookmarkStart w:id="115" w:name="_Toc477530231"/>
      <w:bookmarkStart w:id="116" w:name="_Toc477536443"/>
      <w:bookmarkStart w:id="117" w:name="_Toc477537815"/>
      <w:bookmarkStart w:id="118" w:name="_Toc478139098"/>
      <w:r>
        <w:rPr>
          <w:rFonts w:eastAsiaTheme="majorEastAsia"/>
        </w:rPr>
        <w:t xml:space="preserve">International </w:t>
      </w:r>
      <w:r w:rsidR="00443E02">
        <w:rPr>
          <w:rFonts w:eastAsiaTheme="majorEastAsia"/>
        </w:rPr>
        <w:t>approaches</w:t>
      </w:r>
      <w:r w:rsidR="00437791">
        <w:rPr>
          <w:rFonts w:eastAsiaTheme="majorEastAsia"/>
        </w:rPr>
        <w:t xml:space="preserve"> to stapled structures</w:t>
      </w:r>
      <w:bookmarkEnd w:id="110"/>
      <w:bookmarkEnd w:id="111"/>
      <w:bookmarkEnd w:id="112"/>
      <w:bookmarkEnd w:id="113"/>
      <w:bookmarkEnd w:id="114"/>
      <w:bookmarkEnd w:id="115"/>
      <w:bookmarkEnd w:id="116"/>
      <w:bookmarkEnd w:id="117"/>
      <w:bookmarkEnd w:id="118"/>
    </w:p>
    <w:p w14:paraId="572D08B7" w14:textId="77777777" w:rsidR="008D3BA2" w:rsidRDefault="008D3BA2" w:rsidP="008D3BA2">
      <w:r>
        <w:t xml:space="preserve">With the exception of a few listed staples in Singapore and Hong Kong, the use of stapled structures </w:t>
      </w:r>
      <w:r w:rsidR="0041737D">
        <w:t>outside of Australia is uncommon</w:t>
      </w:r>
      <w:r>
        <w:t>.</w:t>
      </w:r>
    </w:p>
    <w:p w14:paraId="75B42CAB" w14:textId="77777777" w:rsidR="008D3BA2" w:rsidRDefault="008D3BA2" w:rsidP="008D3BA2">
      <w:r>
        <w:t xml:space="preserve">Several jurisdictions have rules that </w:t>
      </w:r>
      <w:r w:rsidR="00F40635">
        <w:t xml:space="preserve">remove the </w:t>
      </w:r>
      <w:r w:rsidR="0041737D">
        <w:t>tax advantages arising from</w:t>
      </w:r>
      <w:r>
        <w:t xml:space="preserve"> stapled structures.</w:t>
      </w:r>
    </w:p>
    <w:p w14:paraId="1C22944F" w14:textId="77777777" w:rsidR="008D3BA2" w:rsidRPr="0082669A" w:rsidRDefault="008D3BA2" w:rsidP="00AD4715">
      <w:pPr>
        <w:pStyle w:val="Heading3"/>
        <w:rPr>
          <w:rFonts w:eastAsiaTheme="majorEastAsia"/>
        </w:rPr>
      </w:pPr>
      <w:bookmarkStart w:id="119" w:name="_Toc477351598"/>
      <w:r w:rsidRPr="0082669A">
        <w:rPr>
          <w:rFonts w:eastAsiaTheme="majorEastAsia"/>
        </w:rPr>
        <w:t>United States</w:t>
      </w:r>
      <w:bookmarkEnd w:id="119"/>
    </w:p>
    <w:p w14:paraId="75A05BA9" w14:textId="77777777" w:rsidR="00443E02" w:rsidRDefault="008D3BA2" w:rsidP="008D3BA2">
      <w:r>
        <w:t xml:space="preserve">Due to growing concerns about the use of </w:t>
      </w:r>
      <w:r w:rsidR="00443E02">
        <w:t>stapled</w:t>
      </w:r>
      <w:r>
        <w:t xml:space="preserve"> structures to </w:t>
      </w:r>
      <w:r w:rsidR="00443E02">
        <w:t>avoid tax,</w:t>
      </w:r>
      <w:r>
        <w:t xml:space="preserve"> in 1984</w:t>
      </w:r>
      <w:r w:rsidR="00CF435C">
        <w:t>,</w:t>
      </w:r>
      <w:r>
        <w:t xml:space="preserve"> </w:t>
      </w:r>
      <w:r w:rsidR="00443E02">
        <w:t>the U</w:t>
      </w:r>
      <w:r w:rsidR="0041737D">
        <w:t xml:space="preserve">nited </w:t>
      </w:r>
      <w:r w:rsidR="00443E02">
        <w:t>S</w:t>
      </w:r>
      <w:r w:rsidR="0041737D">
        <w:t>tates</w:t>
      </w:r>
      <w:r w:rsidR="00443E02">
        <w:t xml:space="preserve"> </w:t>
      </w:r>
      <w:r>
        <w:t xml:space="preserve">enacted </w:t>
      </w:r>
      <w:r w:rsidR="00443E02">
        <w:t xml:space="preserve">laws which </w:t>
      </w:r>
      <w:r w:rsidR="00F40635">
        <w:t xml:space="preserve">removed </w:t>
      </w:r>
      <w:r w:rsidR="00443E02">
        <w:t xml:space="preserve">the tax advantages of stapled structures, </w:t>
      </w:r>
      <w:r w:rsidR="0041737D">
        <w:t xml:space="preserve">effectively </w:t>
      </w:r>
      <w:r w:rsidR="00443E02">
        <w:t>ending their use</w:t>
      </w:r>
      <w:r>
        <w:t xml:space="preserve">. </w:t>
      </w:r>
    </w:p>
    <w:p w14:paraId="23E94EBE" w14:textId="7921226D" w:rsidR="008D3BA2" w:rsidRDefault="00443E02" w:rsidP="008D3BA2">
      <w:r>
        <w:t xml:space="preserve">These laws deemed </w:t>
      </w:r>
      <w:r w:rsidR="004F42C6">
        <w:t xml:space="preserve">stapled REIT structures </w:t>
      </w:r>
      <w:r>
        <w:t xml:space="preserve">to be </w:t>
      </w:r>
      <w:r w:rsidR="004F42C6">
        <w:t>a single entity</w:t>
      </w:r>
      <w:r>
        <w:t xml:space="preserve"> </w:t>
      </w:r>
      <w:r w:rsidR="004F42C6">
        <w:t>(such that the trading activities of the stapled entity would disqualify the combined entity from having REIT tax status)</w:t>
      </w:r>
      <w:r w:rsidR="00D444D5">
        <w:t xml:space="preserve">. </w:t>
      </w:r>
      <w:r w:rsidR="006633DF">
        <w:t>However, REIT rules do allow for up to 25</w:t>
      </w:r>
      <w:r w:rsidR="002C080A">
        <w:t xml:space="preserve"> per cent</w:t>
      </w:r>
      <w:r w:rsidR="006633DF">
        <w:t xml:space="preserve"> of the value of assets</w:t>
      </w:r>
      <w:r w:rsidR="00450220">
        <w:t xml:space="preserve"> of the REIT to be in securities of a taxable REIT subsidiary</w:t>
      </w:r>
      <w:r w:rsidR="00D444D5">
        <w:t xml:space="preserve">. </w:t>
      </w:r>
    </w:p>
    <w:p w14:paraId="487E9B86" w14:textId="77777777" w:rsidR="008D3BA2" w:rsidRPr="0082669A" w:rsidRDefault="008D3BA2" w:rsidP="00AD4715">
      <w:pPr>
        <w:pStyle w:val="Heading3"/>
        <w:rPr>
          <w:rFonts w:eastAsiaTheme="majorEastAsia"/>
        </w:rPr>
      </w:pPr>
      <w:bookmarkStart w:id="120" w:name="_Toc477351599"/>
      <w:r w:rsidRPr="0082669A">
        <w:rPr>
          <w:rFonts w:eastAsiaTheme="majorEastAsia"/>
        </w:rPr>
        <w:t>United Kingdom</w:t>
      </w:r>
      <w:bookmarkEnd w:id="120"/>
    </w:p>
    <w:p w14:paraId="3C214EFA" w14:textId="4A5D3A71" w:rsidR="008D3BA2" w:rsidRDefault="008D3BA2" w:rsidP="008D3BA2">
      <w:r>
        <w:t>The United Kingdom</w:t>
      </w:r>
      <w:r w:rsidR="00D444D5">
        <w:t>’</w:t>
      </w:r>
      <w:r>
        <w:t xml:space="preserve">s REIT legislation includes provisions </w:t>
      </w:r>
      <w:r w:rsidR="007B34CD">
        <w:t xml:space="preserve">which in practice serve to </w:t>
      </w:r>
      <w:r>
        <w:t xml:space="preserve">restrict potential REITs from transacting with a </w:t>
      </w:r>
      <w:r w:rsidR="00D444D5">
        <w:t>‘</w:t>
      </w:r>
      <w:r>
        <w:t>group company</w:t>
      </w:r>
      <w:r w:rsidR="00D444D5">
        <w:t>’</w:t>
      </w:r>
      <w:r>
        <w:t>, which include, among other things, a stapled entity. Additionally, stapled entities are treated as a single entity for the purposes of the UK</w:t>
      </w:r>
      <w:r w:rsidR="00D444D5">
        <w:t>’</w:t>
      </w:r>
      <w:r>
        <w:t xml:space="preserve">s thin capitalisation provisions. </w:t>
      </w:r>
    </w:p>
    <w:p w14:paraId="64DFAADA" w14:textId="77777777" w:rsidR="008D3BA2" w:rsidRPr="0082669A" w:rsidRDefault="008D3BA2" w:rsidP="00AD4715">
      <w:pPr>
        <w:pStyle w:val="Heading3"/>
        <w:rPr>
          <w:rFonts w:eastAsiaTheme="majorEastAsia"/>
        </w:rPr>
      </w:pPr>
      <w:bookmarkStart w:id="121" w:name="_Toc477351600"/>
      <w:r w:rsidRPr="0082669A">
        <w:rPr>
          <w:rFonts w:eastAsiaTheme="majorEastAsia"/>
        </w:rPr>
        <w:t>Canada</w:t>
      </w:r>
      <w:bookmarkEnd w:id="121"/>
    </w:p>
    <w:p w14:paraId="73AA6BD2" w14:textId="13159D8C" w:rsidR="007A36AA" w:rsidRDefault="009D105A" w:rsidP="008D3BA2">
      <w:r>
        <w:t>Prior to 2006, there were few restrictions on the types of income that could be derived by income trusts. T</w:t>
      </w:r>
      <w:r w:rsidR="008D3BA2">
        <w:t xml:space="preserve">he Canadian Government became </w:t>
      </w:r>
      <w:r>
        <w:t xml:space="preserve">increasing </w:t>
      </w:r>
      <w:r w:rsidR="008D3BA2">
        <w:t xml:space="preserve">concerned about a growing trend toward </w:t>
      </w:r>
      <w:r>
        <w:t>the use of</w:t>
      </w:r>
      <w:r w:rsidR="00E056C0">
        <w:t xml:space="preserve"> </w:t>
      </w:r>
      <w:r>
        <w:t>income trusts when t</w:t>
      </w:r>
      <w:r w:rsidR="008D3BA2">
        <w:t>op Canadian companies</w:t>
      </w:r>
      <w:r>
        <w:t xml:space="preserve"> </w:t>
      </w:r>
      <w:r w:rsidR="007A36AA">
        <w:t>converted</w:t>
      </w:r>
      <w:r>
        <w:t xml:space="preserve"> or announcing an </w:t>
      </w:r>
      <w:r w:rsidR="008D3BA2">
        <w:t xml:space="preserve">intention to convert to </w:t>
      </w:r>
      <w:r>
        <w:t xml:space="preserve">an income </w:t>
      </w:r>
      <w:r w:rsidR="008D3BA2">
        <w:t>trust</w:t>
      </w:r>
      <w:r>
        <w:t xml:space="preserve"> structure</w:t>
      </w:r>
      <w:r w:rsidR="007A36AA">
        <w:t xml:space="preserve"> which allowed for more favourable tax treatment</w:t>
      </w:r>
      <w:r w:rsidR="00EB1573">
        <w:t xml:space="preserve"> due to their flow</w:t>
      </w:r>
      <w:r w:rsidR="00D444D5">
        <w:noBreakHyphen/>
      </w:r>
      <w:r w:rsidR="00EB1573">
        <w:t>through status</w:t>
      </w:r>
      <w:r w:rsidR="007A36AA">
        <w:t>.</w:t>
      </w:r>
      <w:r w:rsidR="009B6928" w:rsidRPr="009B6928">
        <w:rPr>
          <w:rStyle w:val="FootnoteReference"/>
        </w:rPr>
        <w:t xml:space="preserve"> </w:t>
      </w:r>
      <w:r w:rsidR="009B6928">
        <w:rPr>
          <w:rStyle w:val="FootnoteReference"/>
        </w:rPr>
        <w:footnoteReference w:id="5"/>
      </w:r>
      <w:r w:rsidR="004F6CC3">
        <w:t xml:space="preserve"> </w:t>
      </w:r>
    </w:p>
    <w:p w14:paraId="0ABC1056" w14:textId="1F2AE8E1" w:rsidR="008D3BA2" w:rsidRDefault="00061B91" w:rsidP="00EB1573">
      <w:r>
        <w:t xml:space="preserve">In response to this, the </w:t>
      </w:r>
      <w:r w:rsidR="00D444D5">
        <w:t>‘</w:t>
      </w:r>
      <w:r w:rsidR="008D3BA2">
        <w:t>specified investment flow</w:t>
      </w:r>
      <w:r w:rsidR="00D444D5">
        <w:noBreakHyphen/>
      </w:r>
      <w:r w:rsidR="008D3BA2">
        <w:t>through</w:t>
      </w:r>
      <w:r w:rsidR="00D444D5">
        <w:t>’</w:t>
      </w:r>
      <w:r w:rsidR="008D3BA2">
        <w:t xml:space="preserve"> (SIFT) legislation was enacted</w:t>
      </w:r>
      <w:r w:rsidR="007A36AA">
        <w:t xml:space="preserve"> in 2006</w:t>
      </w:r>
      <w:r w:rsidR="008D3BA2">
        <w:t>. The effect of the SIFT legislation</w:t>
      </w:r>
      <w:r w:rsidR="007A36AA">
        <w:t xml:space="preserve"> was to tax publicly</w:t>
      </w:r>
      <w:r w:rsidR="00D444D5">
        <w:noBreakHyphen/>
      </w:r>
      <w:r w:rsidR="007A36AA">
        <w:t>traded flow</w:t>
      </w:r>
      <w:r w:rsidR="00D444D5">
        <w:noBreakHyphen/>
      </w:r>
      <w:r w:rsidR="007A36AA">
        <w:t xml:space="preserve">through entities </w:t>
      </w:r>
      <w:r w:rsidR="00EB1573">
        <w:t xml:space="preserve">meeting certain conditions </w:t>
      </w:r>
      <w:r w:rsidR="007A36AA">
        <w:t xml:space="preserve">more like </w:t>
      </w:r>
      <w:r w:rsidR="00EB1573">
        <w:t>corporations, unless they qualified as a real estate investment trust.</w:t>
      </w:r>
    </w:p>
    <w:p w14:paraId="6BCB5A47" w14:textId="1E4D4553" w:rsidR="008D3BA2" w:rsidRDefault="008D3BA2" w:rsidP="008D3BA2">
      <w:r>
        <w:t xml:space="preserve">However, after the enactment of this legislation, a new type of structure emerged </w:t>
      </w:r>
      <w:r w:rsidR="00443E02">
        <w:t xml:space="preserve">similar to the </w:t>
      </w:r>
      <w:r>
        <w:t xml:space="preserve">stapled structures </w:t>
      </w:r>
      <w:r w:rsidR="00443E02">
        <w:t xml:space="preserve">described above. </w:t>
      </w:r>
      <w:r>
        <w:t xml:space="preserve">In response to this, </w:t>
      </w:r>
      <w:r w:rsidR="00443E02">
        <w:t>further amendments were made</w:t>
      </w:r>
      <w:r>
        <w:t xml:space="preserve"> </w:t>
      </w:r>
      <w:r w:rsidR="00EB1573">
        <w:t xml:space="preserve">in </w:t>
      </w:r>
      <w:r w:rsidR="002A2E95">
        <w:t>2013</w:t>
      </w:r>
      <w:r w:rsidR="00DC5BCA">
        <w:t xml:space="preserve"> (effective from Canada</w:t>
      </w:r>
      <w:r w:rsidR="00D444D5">
        <w:t>’</w:t>
      </w:r>
      <w:r w:rsidR="00DC5BCA">
        <w:t>s announcement in 2011)</w:t>
      </w:r>
      <w:r w:rsidR="002A2E95">
        <w:t xml:space="preserve"> </w:t>
      </w:r>
      <w:r w:rsidR="00CF6534">
        <w:t>to deny</w:t>
      </w:r>
      <w:r>
        <w:t xml:space="preserve"> deductions for payments made in certain circumstances between the members of stapled groups.</w:t>
      </w:r>
    </w:p>
    <w:p w14:paraId="735347FB" w14:textId="77777777" w:rsidR="008D3BA2" w:rsidRPr="0082669A" w:rsidRDefault="00CD3A78" w:rsidP="00D36E6D">
      <w:pPr>
        <w:pStyle w:val="Heading2"/>
        <w:rPr>
          <w:rFonts w:eastAsiaTheme="majorEastAsia"/>
        </w:rPr>
      </w:pPr>
      <w:bookmarkStart w:id="122" w:name="_Toc477524659"/>
      <w:bookmarkStart w:id="123" w:name="_Toc477525167"/>
      <w:bookmarkStart w:id="124" w:name="_Toc477529856"/>
      <w:bookmarkStart w:id="125" w:name="_Toc477530067"/>
      <w:bookmarkStart w:id="126" w:name="_Toc477530121"/>
      <w:bookmarkStart w:id="127" w:name="_Toc477530232"/>
      <w:bookmarkStart w:id="128" w:name="_Toc477536444"/>
      <w:bookmarkStart w:id="129" w:name="_Toc477537816"/>
      <w:bookmarkStart w:id="130" w:name="_Toc478139099"/>
      <w:r>
        <w:rPr>
          <w:rFonts w:eastAsiaTheme="majorEastAsia"/>
        </w:rPr>
        <w:t xml:space="preserve">International comparisons for </w:t>
      </w:r>
      <w:r w:rsidR="008D3BA2" w:rsidRPr="0082669A">
        <w:rPr>
          <w:rFonts w:eastAsiaTheme="majorEastAsia"/>
        </w:rPr>
        <w:t>REIT regimes</w:t>
      </w:r>
      <w:bookmarkEnd w:id="122"/>
      <w:bookmarkEnd w:id="123"/>
      <w:bookmarkEnd w:id="124"/>
      <w:bookmarkEnd w:id="125"/>
      <w:bookmarkEnd w:id="126"/>
      <w:bookmarkEnd w:id="127"/>
      <w:bookmarkEnd w:id="128"/>
      <w:bookmarkEnd w:id="129"/>
      <w:bookmarkEnd w:id="130"/>
      <w:r w:rsidR="008D3BA2" w:rsidRPr="0082669A">
        <w:rPr>
          <w:rFonts w:eastAsiaTheme="majorEastAsia"/>
        </w:rPr>
        <w:t xml:space="preserve"> </w:t>
      </w:r>
    </w:p>
    <w:p w14:paraId="5CFD617E" w14:textId="5F60328A" w:rsidR="00757565" w:rsidRPr="000B06D3" w:rsidRDefault="00757565" w:rsidP="00757565">
      <w:pPr>
        <w:rPr>
          <w:szCs w:val="22"/>
        </w:rPr>
      </w:pPr>
      <w:r w:rsidRPr="000B06D3">
        <w:rPr>
          <w:szCs w:val="22"/>
        </w:rPr>
        <w:t xml:space="preserve">Most </w:t>
      </w:r>
      <w:r w:rsidR="00796047">
        <w:rPr>
          <w:szCs w:val="22"/>
        </w:rPr>
        <w:t>comparable</w:t>
      </w:r>
      <w:r w:rsidRPr="000B06D3">
        <w:rPr>
          <w:szCs w:val="22"/>
        </w:rPr>
        <w:t xml:space="preserve"> jurisdictions contain some form of concessionary </w:t>
      </w:r>
      <w:r w:rsidR="00F31F71">
        <w:rPr>
          <w:szCs w:val="22"/>
        </w:rPr>
        <w:t xml:space="preserve">income </w:t>
      </w:r>
      <w:r w:rsidRPr="000B06D3">
        <w:rPr>
          <w:szCs w:val="22"/>
        </w:rPr>
        <w:t>taxation treatment for investment in real property. In many cases specific legislation applies to REITs to provide for</w:t>
      </w:r>
      <w:r w:rsidR="004C65A3">
        <w:rPr>
          <w:szCs w:val="22"/>
        </w:rPr>
        <w:t xml:space="preserve"> effective</w:t>
      </w:r>
      <w:r w:rsidRPr="000B06D3">
        <w:rPr>
          <w:szCs w:val="22"/>
        </w:rPr>
        <w:t xml:space="preserve"> flow</w:t>
      </w:r>
      <w:r w:rsidR="00D444D5">
        <w:rPr>
          <w:szCs w:val="22"/>
        </w:rPr>
        <w:noBreakHyphen/>
      </w:r>
      <w:r w:rsidRPr="000B06D3">
        <w:rPr>
          <w:szCs w:val="22"/>
        </w:rPr>
        <w:t xml:space="preserve">through taxation. Whilst there are many similarities in the way </w:t>
      </w:r>
      <w:r w:rsidR="004C65A3">
        <w:rPr>
          <w:szCs w:val="22"/>
        </w:rPr>
        <w:t>REITs</w:t>
      </w:r>
      <w:r w:rsidR="004C65A3" w:rsidRPr="000B06D3">
        <w:rPr>
          <w:szCs w:val="22"/>
        </w:rPr>
        <w:t xml:space="preserve"> </w:t>
      </w:r>
      <w:r w:rsidRPr="000B06D3">
        <w:rPr>
          <w:szCs w:val="22"/>
        </w:rPr>
        <w:t>are regulated and taxed</w:t>
      </w:r>
      <w:r w:rsidR="004C65A3">
        <w:rPr>
          <w:szCs w:val="22"/>
        </w:rPr>
        <w:t xml:space="preserve"> globally</w:t>
      </w:r>
      <w:r w:rsidRPr="000B06D3">
        <w:rPr>
          <w:szCs w:val="22"/>
        </w:rPr>
        <w:t>, there are also significant differences. REIT regulations typically govern the type of structure permitted, the types of assets that may be held, the percentage of income that must be derived from certain asset classes, minimum distribution requirements, gearing restrictions and specific withholding tax rates.</w:t>
      </w:r>
    </w:p>
    <w:p w14:paraId="7F91FB9B" w14:textId="44ADAEF0" w:rsidR="00757565" w:rsidRPr="000B06D3" w:rsidRDefault="00757565" w:rsidP="00757565">
      <w:pPr>
        <w:rPr>
          <w:szCs w:val="22"/>
        </w:rPr>
      </w:pPr>
      <w:r w:rsidRPr="000B06D3">
        <w:rPr>
          <w:szCs w:val="22"/>
        </w:rPr>
        <w:t xml:space="preserve">A basic summary of these features in selected overseas jurisdictions is contained in the table in Appendix </w:t>
      </w:r>
      <w:r w:rsidR="007E2010">
        <w:rPr>
          <w:szCs w:val="22"/>
        </w:rPr>
        <w:t>1</w:t>
      </w:r>
      <w:r w:rsidRPr="000B06D3">
        <w:rPr>
          <w:szCs w:val="22"/>
        </w:rPr>
        <w:t xml:space="preserve">. Key differences from the Australian system </w:t>
      </w:r>
      <w:r w:rsidR="006206C2">
        <w:rPr>
          <w:szCs w:val="22"/>
        </w:rPr>
        <w:t>are</w:t>
      </w:r>
      <w:r w:rsidRPr="000B06D3">
        <w:rPr>
          <w:szCs w:val="22"/>
        </w:rPr>
        <w:t xml:space="preserve"> the percentage of income that can </w:t>
      </w:r>
      <w:r w:rsidR="004661F9">
        <w:rPr>
          <w:szCs w:val="22"/>
        </w:rPr>
        <w:t>be derived</w:t>
      </w:r>
      <w:r w:rsidRPr="000B06D3">
        <w:rPr>
          <w:szCs w:val="22"/>
        </w:rPr>
        <w:t xml:space="preserve"> from non</w:t>
      </w:r>
      <w:r w:rsidR="00D444D5">
        <w:rPr>
          <w:szCs w:val="22"/>
        </w:rPr>
        <w:noBreakHyphen/>
      </w:r>
      <w:r w:rsidRPr="000B06D3">
        <w:rPr>
          <w:szCs w:val="22"/>
        </w:rPr>
        <w:t>rental activities and whether management and other non</w:t>
      </w:r>
      <w:r w:rsidR="00D444D5">
        <w:rPr>
          <w:szCs w:val="22"/>
        </w:rPr>
        <w:noBreakHyphen/>
      </w:r>
      <w:r w:rsidRPr="000B06D3">
        <w:rPr>
          <w:szCs w:val="22"/>
        </w:rPr>
        <w:t>rental activities can be conducted by the REIT or subsidiary entities. The</w:t>
      </w:r>
      <w:r w:rsidR="004C65A3">
        <w:rPr>
          <w:szCs w:val="22"/>
        </w:rPr>
        <w:t xml:space="preserve"> more restrictive thresholds in the Australian regime</w:t>
      </w:r>
      <w:r w:rsidRPr="000B06D3">
        <w:rPr>
          <w:szCs w:val="22"/>
        </w:rPr>
        <w:t xml:space="preserve"> </w:t>
      </w:r>
      <w:r w:rsidR="00CF435C">
        <w:rPr>
          <w:szCs w:val="22"/>
        </w:rPr>
        <w:t>may</w:t>
      </w:r>
      <w:r w:rsidR="004C65A3">
        <w:rPr>
          <w:szCs w:val="22"/>
        </w:rPr>
        <w:t xml:space="preserve"> </w:t>
      </w:r>
      <w:r w:rsidR="00EB0493">
        <w:rPr>
          <w:szCs w:val="22"/>
        </w:rPr>
        <w:t xml:space="preserve">have </w:t>
      </w:r>
      <w:r w:rsidR="004C65A3" w:rsidRPr="000B06D3">
        <w:rPr>
          <w:szCs w:val="22"/>
        </w:rPr>
        <w:t>contribut</w:t>
      </w:r>
      <w:r w:rsidR="004C65A3">
        <w:rPr>
          <w:szCs w:val="22"/>
        </w:rPr>
        <w:t>e</w:t>
      </w:r>
      <w:r w:rsidR="00EB0493">
        <w:rPr>
          <w:szCs w:val="22"/>
        </w:rPr>
        <w:t>d</w:t>
      </w:r>
      <w:r w:rsidR="004C65A3" w:rsidRPr="000B06D3">
        <w:rPr>
          <w:szCs w:val="22"/>
        </w:rPr>
        <w:t xml:space="preserve"> </w:t>
      </w:r>
      <w:r w:rsidRPr="000B06D3">
        <w:rPr>
          <w:szCs w:val="22"/>
        </w:rPr>
        <w:t xml:space="preserve">to the </w:t>
      </w:r>
      <w:r w:rsidR="00EB0493">
        <w:rPr>
          <w:szCs w:val="22"/>
        </w:rPr>
        <w:t xml:space="preserve">use </w:t>
      </w:r>
      <w:r w:rsidRPr="000B06D3">
        <w:rPr>
          <w:szCs w:val="22"/>
        </w:rPr>
        <w:t xml:space="preserve">of stapled structures in Australia in the property investment market to </w:t>
      </w:r>
      <w:r w:rsidR="004661F9">
        <w:rPr>
          <w:szCs w:val="22"/>
        </w:rPr>
        <w:t xml:space="preserve">prevent </w:t>
      </w:r>
      <w:r w:rsidRPr="000B06D3">
        <w:rPr>
          <w:szCs w:val="22"/>
        </w:rPr>
        <w:t>the application of Division 6C.</w:t>
      </w:r>
      <w:r w:rsidR="00DF6CA5">
        <w:rPr>
          <w:szCs w:val="22"/>
        </w:rPr>
        <w:t xml:space="preserve"> </w:t>
      </w:r>
    </w:p>
    <w:p w14:paraId="1E6E6B89" w14:textId="34694A08" w:rsidR="00915FBA" w:rsidRDefault="003E2607" w:rsidP="00D36E6D">
      <w:pPr>
        <w:pStyle w:val="Heading2"/>
        <w:rPr>
          <w:rFonts w:eastAsiaTheme="majorEastAsia"/>
        </w:rPr>
      </w:pPr>
      <w:bookmarkStart w:id="131" w:name="_Toc477524660"/>
      <w:bookmarkStart w:id="132" w:name="_Toc477525168"/>
      <w:bookmarkStart w:id="133" w:name="_Toc477529857"/>
      <w:bookmarkStart w:id="134" w:name="_Toc477530068"/>
      <w:bookmarkStart w:id="135" w:name="_Toc477530122"/>
      <w:bookmarkStart w:id="136" w:name="_Toc477530233"/>
      <w:bookmarkStart w:id="137" w:name="_Toc477536445"/>
      <w:bookmarkStart w:id="138" w:name="_Toc477537817"/>
      <w:bookmarkStart w:id="139" w:name="_Toc478139100"/>
      <w:r>
        <w:rPr>
          <w:rFonts w:eastAsiaTheme="majorEastAsia"/>
        </w:rPr>
        <w:t xml:space="preserve">International </w:t>
      </w:r>
      <w:r w:rsidR="00C23564">
        <w:rPr>
          <w:rFonts w:eastAsiaTheme="majorEastAsia"/>
        </w:rPr>
        <w:t>treatment of</w:t>
      </w:r>
      <w:r w:rsidR="00915FBA" w:rsidRPr="0082669A">
        <w:rPr>
          <w:rFonts w:eastAsiaTheme="majorEastAsia"/>
        </w:rPr>
        <w:t xml:space="preserve"> </w:t>
      </w:r>
      <w:bookmarkEnd w:id="131"/>
      <w:bookmarkEnd w:id="132"/>
      <w:r w:rsidR="00CD3A78">
        <w:rPr>
          <w:rFonts w:eastAsiaTheme="majorEastAsia"/>
        </w:rPr>
        <w:t>i</w:t>
      </w:r>
      <w:r w:rsidR="00915FBA" w:rsidRPr="0082669A">
        <w:rPr>
          <w:rFonts w:eastAsiaTheme="majorEastAsia"/>
        </w:rPr>
        <w:t>nfrastructure</w:t>
      </w:r>
      <w:bookmarkEnd w:id="133"/>
      <w:bookmarkEnd w:id="134"/>
      <w:bookmarkEnd w:id="135"/>
      <w:bookmarkEnd w:id="136"/>
      <w:bookmarkEnd w:id="137"/>
      <w:bookmarkEnd w:id="138"/>
      <w:bookmarkEnd w:id="139"/>
      <w:r w:rsidR="00915FBA" w:rsidRPr="0082669A">
        <w:rPr>
          <w:rFonts w:eastAsiaTheme="majorEastAsia"/>
        </w:rPr>
        <w:t xml:space="preserve"> </w:t>
      </w:r>
    </w:p>
    <w:p w14:paraId="0D2034C6" w14:textId="12455D9E" w:rsidR="007E3547" w:rsidRDefault="007E3547" w:rsidP="005532D4">
      <w:pPr>
        <w:pStyle w:val="OutlineNumbered1"/>
        <w:numPr>
          <w:ilvl w:val="0"/>
          <w:numId w:val="0"/>
        </w:numPr>
        <w:rPr>
          <w:rFonts w:eastAsiaTheme="majorEastAsia"/>
        </w:rPr>
      </w:pPr>
      <w:r>
        <w:rPr>
          <w:rFonts w:eastAsiaTheme="majorEastAsia"/>
        </w:rPr>
        <w:t>Whilst many comparable jurisdictions have</w:t>
      </w:r>
      <w:r w:rsidR="00443E02">
        <w:rPr>
          <w:rFonts w:eastAsiaTheme="majorEastAsia"/>
        </w:rPr>
        <w:t xml:space="preserve"> REIT regimes described above, specific infrastructure </w:t>
      </w:r>
      <w:r w:rsidR="004C65A3">
        <w:rPr>
          <w:rFonts w:eastAsiaTheme="majorEastAsia"/>
        </w:rPr>
        <w:t xml:space="preserve">taxation regimes or </w:t>
      </w:r>
      <w:r>
        <w:rPr>
          <w:rFonts w:eastAsiaTheme="majorEastAsia"/>
        </w:rPr>
        <w:t>concessions</w:t>
      </w:r>
      <w:r w:rsidR="004C65A3">
        <w:rPr>
          <w:rFonts w:eastAsiaTheme="majorEastAsia"/>
        </w:rPr>
        <w:t xml:space="preserve"> </w:t>
      </w:r>
      <w:r w:rsidR="004661F9">
        <w:rPr>
          <w:rFonts w:eastAsiaTheme="majorEastAsia"/>
        </w:rPr>
        <w:t>do not appear to be common</w:t>
      </w:r>
      <w:r>
        <w:rPr>
          <w:rFonts w:eastAsiaTheme="majorEastAsia"/>
        </w:rPr>
        <w:t>.</w:t>
      </w:r>
      <w:r w:rsidR="004661F9">
        <w:rPr>
          <w:rFonts w:eastAsiaTheme="majorEastAsia"/>
        </w:rPr>
        <w:t xml:space="preserve"> There is recognition of the highly geared nature of certain </w:t>
      </w:r>
      <w:r w:rsidR="00F36C76">
        <w:rPr>
          <w:rFonts w:eastAsiaTheme="majorEastAsia"/>
        </w:rPr>
        <w:t>critical</w:t>
      </w:r>
      <w:r w:rsidR="004661F9">
        <w:rPr>
          <w:rFonts w:eastAsiaTheme="majorEastAsia"/>
        </w:rPr>
        <w:t xml:space="preserve"> infrastructure projects in the OECD</w:t>
      </w:r>
      <w:r w:rsidR="00D444D5">
        <w:rPr>
          <w:rFonts w:eastAsiaTheme="majorEastAsia"/>
        </w:rPr>
        <w:t>’</w:t>
      </w:r>
      <w:r w:rsidR="004661F9">
        <w:rPr>
          <w:rFonts w:eastAsiaTheme="majorEastAsia"/>
        </w:rPr>
        <w:t>s work on thin capitalisation and in the United Kingdom</w:t>
      </w:r>
      <w:r w:rsidR="00D444D5">
        <w:rPr>
          <w:rFonts w:eastAsiaTheme="majorEastAsia"/>
        </w:rPr>
        <w:t>’</w:t>
      </w:r>
      <w:r w:rsidR="004661F9">
        <w:rPr>
          <w:rFonts w:eastAsiaTheme="majorEastAsia"/>
        </w:rPr>
        <w:t>s recently announced changes to their thin capitalisation rules</w:t>
      </w:r>
      <w:r w:rsidR="008203B9">
        <w:rPr>
          <w:rFonts w:eastAsiaTheme="majorEastAsia"/>
        </w:rPr>
        <w:t xml:space="preserve">. These, </w:t>
      </w:r>
      <w:r w:rsidR="004661F9">
        <w:rPr>
          <w:rFonts w:eastAsiaTheme="majorEastAsia"/>
        </w:rPr>
        <w:t xml:space="preserve">however, </w:t>
      </w:r>
      <w:r w:rsidR="00B224F0">
        <w:rPr>
          <w:rFonts w:eastAsiaTheme="majorEastAsia"/>
        </w:rPr>
        <w:t xml:space="preserve">also contain a </w:t>
      </w:r>
      <w:r w:rsidR="004661F9">
        <w:rPr>
          <w:rFonts w:eastAsiaTheme="majorEastAsia"/>
        </w:rPr>
        <w:t>number of restrictions.</w:t>
      </w:r>
      <w:r w:rsidR="004661F9">
        <w:rPr>
          <w:rStyle w:val="FootnoteReference"/>
          <w:rFonts w:eastAsiaTheme="majorEastAsia"/>
        </w:rPr>
        <w:footnoteReference w:id="6"/>
      </w:r>
    </w:p>
    <w:p w14:paraId="4E1ED79E" w14:textId="77777777" w:rsidR="00AF7CC4" w:rsidRDefault="007E3547" w:rsidP="00746597">
      <w:pPr>
        <w:pStyle w:val="OutlineNumbered1"/>
        <w:numPr>
          <w:ilvl w:val="0"/>
          <w:numId w:val="0"/>
        </w:numPr>
        <w:rPr>
          <w:rFonts w:eastAsiaTheme="majorEastAsia"/>
        </w:rPr>
      </w:pPr>
      <w:r>
        <w:rPr>
          <w:rFonts w:eastAsiaTheme="majorEastAsia"/>
        </w:rPr>
        <w:t xml:space="preserve">India offers </w:t>
      </w:r>
      <w:r w:rsidR="00443E02">
        <w:rPr>
          <w:rFonts w:eastAsiaTheme="majorEastAsia"/>
        </w:rPr>
        <w:t>investment</w:t>
      </w:r>
      <w:r>
        <w:rPr>
          <w:rFonts w:eastAsiaTheme="majorEastAsia"/>
        </w:rPr>
        <w:t xml:space="preserve"> incentives aimed at channelling capital into investments which establish new industries and encourage investment in infrastructure in undeveloped areas</w:t>
      </w:r>
      <w:r w:rsidR="00443E02">
        <w:rPr>
          <w:rFonts w:eastAsiaTheme="majorEastAsia"/>
        </w:rPr>
        <w:t xml:space="preserve">. </w:t>
      </w:r>
      <w:r>
        <w:rPr>
          <w:rFonts w:eastAsiaTheme="majorEastAsia"/>
        </w:rPr>
        <w:t>These incentives include</w:t>
      </w:r>
      <w:r w:rsidR="001731F0" w:rsidRPr="001731F0">
        <w:rPr>
          <w:rFonts w:eastAsiaTheme="majorEastAsia"/>
        </w:rPr>
        <w:t xml:space="preserve"> </w:t>
      </w:r>
      <w:r w:rsidR="001731F0">
        <w:rPr>
          <w:rFonts w:eastAsiaTheme="majorEastAsia"/>
        </w:rPr>
        <w:t xml:space="preserve">specific </w:t>
      </w:r>
      <w:r w:rsidR="00D444D5">
        <w:rPr>
          <w:rFonts w:eastAsiaTheme="majorEastAsia"/>
        </w:rPr>
        <w:t>‘</w:t>
      </w:r>
      <w:r w:rsidR="001731F0">
        <w:rPr>
          <w:rFonts w:eastAsiaTheme="majorEastAsia"/>
        </w:rPr>
        <w:t>infrastructure investment trusts</w:t>
      </w:r>
      <w:r w:rsidR="00D444D5">
        <w:rPr>
          <w:rFonts w:eastAsiaTheme="majorEastAsia"/>
        </w:rPr>
        <w:t>’</w:t>
      </w:r>
      <w:r w:rsidR="001731F0">
        <w:rPr>
          <w:rFonts w:eastAsiaTheme="majorEastAsia"/>
        </w:rPr>
        <w:t xml:space="preserve"> which provide flow</w:t>
      </w:r>
      <w:r w:rsidR="00D444D5">
        <w:rPr>
          <w:rFonts w:eastAsiaTheme="majorEastAsia"/>
        </w:rPr>
        <w:noBreakHyphen/>
      </w:r>
      <w:r w:rsidR="001731F0">
        <w:rPr>
          <w:rFonts w:eastAsiaTheme="majorEastAsia"/>
        </w:rPr>
        <w:t>through treatment and reduced withholding tax rates.</w:t>
      </w:r>
    </w:p>
    <w:tbl>
      <w:tblPr>
        <w:tblW w:w="0" w:type="auto"/>
        <w:tblBorders>
          <w:top w:val="single" w:sz="2" w:space="0" w:color="28467D"/>
          <w:left w:val="single" w:sz="2" w:space="0" w:color="28467D"/>
          <w:bottom w:val="single" w:sz="2" w:space="0" w:color="28467D"/>
          <w:right w:val="single" w:sz="2" w:space="0" w:color="28467D"/>
          <w:insideH w:val="single" w:sz="2" w:space="0" w:color="28467D"/>
          <w:insideV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AF7CC4" w14:paraId="6790F526" w14:textId="77777777" w:rsidTr="003E6BB1">
        <w:tc>
          <w:tcPr>
            <w:tcW w:w="9286" w:type="dxa"/>
            <w:shd w:val="clear" w:color="auto" w:fill="F2F2F2" w:themeFill="background1" w:themeFillShade="F2"/>
          </w:tcPr>
          <w:p w14:paraId="584C9FE1" w14:textId="77777777" w:rsidR="00AF7CC4" w:rsidRDefault="00AF7CC4" w:rsidP="00AF7CC4">
            <w:pPr>
              <w:pStyle w:val="BoxHeadingnonumber"/>
            </w:pPr>
            <w:r>
              <w:t>Questions</w:t>
            </w:r>
          </w:p>
          <w:p w14:paraId="0E9E5B79" w14:textId="77777777" w:rsidR="00AF7CC4" w:rsidRPr="0013001A" w:rsidRDefault="00AF7CC4" w:rsidP="00AF7CC4">
            <w:pPr>
              <w:pStyle w:val="BoxNumbering"/>
            </w:pPr>
            <w:r w:rsidRPr="0013001A">
              <w:t>Are there other countries where the use of stapled structures is common? If so, please provide details, including an outline of the tax rules applicable to stapled structures.</w:t>
            </w:r>
          </w:p>
          <w:p w14:paraId="649C9F1D" w14:textId="6C27F78A" w:rsidR="00AF7CC4" w:rsidRDefault="00AF7CC4" w:rsidP="00AF7CC4">
            <w:pPr>
              <w:pStyle w:val="BoxNumbering"/>
              <w:rPr>
                <w:rFonts w:eastAsiaTheme="majorEastAsia"/>
              </w:rPr>
            </w:pPr>
            <w:r w:rsidRPr="0013001A">
              <w:t>Are there other countries which provide specific tax concessions or a separate regime for infrastructure investments? If so, please provide details of the concessions or regimes.</w:t>
            </w:r>
          </w:p>
        </w:tc>
      </w:tr>
    </w:tbl>
    <w:p w14:paraId="191A54A9" w14:textId="77777777" w:rsidR="00915FBA" w:rsidRPr="00AF7CC4" w:rsidRDefault="00915FBA" w:rsidP="00AF7CC4"/>
    <w:p w14:paraId="4F3DE88F" w14:textId="35EDE847" w:rsidR="00835A88" w:rsidRPr="00AF7CC4" w:rsidRDefault="00835A88" w:rsidP="00AF7CC4"/>
    <w:p w14:paraId="496EACF4" w14:textId="77777777" w:rsidR="00835A88" w:rsidRPr="00AF7CC4" w:rsidRDefault="00835A88" w:rsidP="00AF7CC4">
      <w:pPr>
        <w:sectPr w:rsidR="00835A88" w:rsidRPr="00AF7CC4" w:rsidSect="00835A88">
          <w:pgSz w:w="11906" w:h="16838" w:code="9"/>
          <w:pgMar w:top="1418" w:right="1418" w:bottom="1418" w:left="1418" w:header="709" w:footer="709" w:gutter="0"/>
          <w:cols w:space="708"/>
          <w:titlePg/>
          <w:docGrid w:linePitch="360"/>
        </w:sectPr>
      </w:pPr>
    </w:p>
    <w:p w14:paraId="222EA5EC" w14:textId="01649B57" w:rsidR="00557A94" w:rsidRDefault="003778E0" w:rsidP="004C5D21">
      <w:pPr>
        <w:pStyle w:val="Heading1"/>
      </w:pPr>
      <w:bookmarkStart w:id="140" w:name="_Toc477525169"/>
      <w:bookmarkStart w:id="141" w:name="_Toc477529858"/>
      <w:bookmarkStart w:id="142" w:name="_Toc477530069"/>
      <w:bookmarkStart w:id="143" w:name="_Toc477530123"/>
      <w:bookmarkStart w:id="144" w:name="_Toc477530234"/>
      <w:bookmarkStart w:id="145" w:name="_Toc477536446"/>
      <w:bookmarkStart w:id="146" w:name="_Toc477537818"/>
      <w:bookmarkStart w:id="147" w:name="_Toc478139101"/>
      <w:bookmarkStart w:id="148" w:name="_Toc477524661"/>
      <w:r w:rsidRPr="00237462">
        <w:t>Pol</w:t>
      </w:r>
      <w:r>
        <w:t>icy considerations</w:t>
      </w:r>
      <w:bookmarkEnd w:id="140"/>
      <w:bookmarkEnd w:id="141"/>
      <w:bookmarkEnd w:id="142"/>
      <w:bookmarkEnd w:id="143"/>
      <w:bookmarkEnd w:id="144"/>
      <w:bookmarkEnd w:id="145"/>
      <w:bookmarkEnd w:id="146"/>
      <w:bookmarkEnd w:id="147"/>
      <w:r>
        <w:t xml:space="preserve"> </w:t>
      </w:r>
      <w:bookmarkEnd w:id="148"/>
    </w:p>
    <w:p w14:paraId="72A00FFF" w14:textId="77777777" w:rsidR="00915FBA" w:rsidRPr="00C04742" w:rsidRDefault="00915FBA" w:rsidP="008B4DB7">
      <w:pPr>
        <w:rPr>
          <w:b/>
        </w:rPr>
      </w:pPr>
      <w:r w:rsidRPr="00C04742">
        <w:t>Determining the appropriate tax settings that should apply to business and passive income raises a number of policy issues.</w:t>
      </w:r>
    </w:p>
    <w:p w14:paraId="01928B7F" w14:textId="77777777" w:rsidR="00915FBA" w:rsidRPr="004653D1" w:rsidRDefault="000A6232" w:rsidP="00D36E6D">
      <w:pPr>
        <w:pStyle w:val="Heading2"/>
        <w:rPr>
          <w:rFonts w:eastAsiaTheme="majorEastAsia"/>
        </w:rPr>
      </w:pPr>
      <w:bookmarkStart w:id="149" w:name="_Toc477524662"/>
      <w:bookmarkStart w:id="150" w:name="_Toc477525170"/>
      <w:bookmarkStart w:id="151" w:name="_Toc477529859"/>
      <w:bookmarkStart w:id="152" w:name="_Toc477530070"/>
      <w:bookmarkStart w:id="153" w:name="_Toc477530124"/>
      <w:bookmarkStart w:id="154" w:name="_Toc477530235"/>
      <w:bookmarkStart w:id="155" w:name="_Toc477536447"/>
      <w:bookmarkStart w:id="156" w:name="_Toc477537819"/>
      <w:bookmarkStart w:id="157" w:name="_Toc478139102"/>
      <w:r>
        <w:rPr>
          <w:rFonts w:eastAsiaTheme="majorEastAsia"/>
        </w:rPr>
        <w:t>Revenue</w:t>
      </w:r>
      <w:r w:rsidR="00915FBA" w:rsidRPr="004653D1">
        <w:rPr>
          <w:rFonts w:eastAsiaTheme="majorEastAsia"/>
        </w:rPr>
        <w:t xml:space="preserve"> considerations</w:t>
      </w:r>
      <w:bookmarkEnd w:id="149"/>
      <w:bookmarkEnd w:id="150"/>
      <w:bookmarkEnd w:id="151"/>
      <w:bookmarkEnd w:id="152"/>
      <w:bookmarkEnd w:id="153"/>
      <w:bookmarkEnd w:id="154"/>
      <w:bookmarkEnd w:id="155"/>
      <w:bookmarkEnd w:id="156"/>
      <w:bookmarkEnd w:id="157"/>
    </w:p>
    <w:p w14:paraId="6DFE4327" w14:textId="11C431B5" w:rsidR="000A6232" w:rsidRPr="00C04742" w:rsidRDefault="000A6232" w:rsidP="000A6232">
      <w:pPr>
        <w:rPr>
          <w:b/>
        </w:rPr>
      </w:pPr>
      <w:r w:rsidRPr="004653D1">
        <w:t>Australia</w:t>
      </w:r>
      <w:r w:rsidR="00D444D5">
        <w:t>’</w:t>
      </w:r>
      <w:r w:rsidRPr="004653D1">
        <w:t xml:space="preserve">s tax system raises the revenue required to fund </w:t>
      </w:r>
      <w:r>
        <w:t xml:space="preserve">Government activities and services to the community </w:t>
      </w:r>
      <w:r w:rsidRPr="004653D1">
        <w:t xml:space="preserve">such as </w:t>
      </w:r>
      <w:r>
        <w:t xml:space="preserve">defence, </w:t>
      </w:r>
      <w:r w:rsidRPr="004653D1">
        <w:t>education, health and welfare spending. The Australian tax system should raise revenue in a way that minimis</w:t>
      </w:r>
      <w:r>
        <w:t>es</w:t>
      </w:r>
      <w:r w:rsidRPr="004653D1">
        <w:t xml:space="preserve"> </w:t>
      </w:r>
      <w:r>
        <w:t xml:space="preserve">the overall </w:t>
      </w:r>
      <w:r w:rsidRPr="004653D1">
        <w:t>cost</w:t>
      </w:r>
      <w:r>
        <w:t xml:space="preserve"> to the </w:t>
      </w:r>
      <w:r w:rsidRPr="004653D1">
        <w:t xml:space="preserve">economy. </w:t>
      </w:r>
      <w:r>
        <w:t>In terms of corporate taxation, i</w:t>
      </w:r>
      <w:r w:rsidRPr="004653D1">
        <w:t xml:space="preserve">t is important that </w:t>
      </w:r>
      <w:r>
        <w:t xml:space="preserve">entities </w:t>
      </w:r>
      <w:r w:rsidRPr="004653D1">
        <w:t xml:space="preserve">pay </w:t>
      </w:r>
      <w:r>
        <w:t xml:space="preserve">the right </w:t>
      </w:r>
      <w:r w:rsidRPr="004653D1">
        <w:t>amount of tax in Australia when they do business in Australia.</w:t>
      </w:r>
    </w:p>
    <w:p w14:paraId="4E631BF7" w14:textId="0A1FC47C" w:rsidR="00915FBA" w:rsidRDefault="00915FBA" w:rsidP="00915FBA">
      <w:r w:rsidRPr="008F293A">
        <w:t>To the extent that trading income (generally taxed at the 30 per cent corporate rate) is being re</w:t>
      </w:r>
      <w:r w:rsidR="00D444D5">
        <w:noBreakHyphen/>
      </w:r>
      <w:r w:rsidRPr="008F293A">
        <w:t>characterised into more favourably taxed passive income (generally taxed at the rate of 15</w:t>
      </w:r>
      <w:r w:rsidR="00AF7CC4">
        <w:t> </w:t>
      </w:r>
      <w:r w:rsidRPr="008F293A">
        <w:t>per</w:t>
      </w:r>
      <w:r w:rsidR="00AF7CC4">
        <w:t> </w:t>
      </w:r>
      <w:r w:rsidRPr="008F293A">
        <w:t>cent or less for non</w:t>
      </w:r>
      <w:r w:rsidR="00D444D5">
        <w:noBreakHyphen/>
      </w:r>
      <w:r w:rsidRPr="008F293A">
        <w:t xml:space="preserve">resident investors), tax revenue will be lower than would have otherwise been the case. </w:t>
      </w:r>
    </w:p>
    <w:p w14:paraId="4B34AE38" w14:textId="3F04F7D8" w:rsidR="000A6232" w:rsidRDefault="000A6232" w:rsidP="000A6232">
      <w:bookmarkStart w:id="158" w:name="_Toc477524663"/>
      <w:bookmarkStart w:id="159" w:name="_Toc477525171"/>
      <w:bookmarkStart w:id="160" w:name="_Toc477529860"/>
      <w:bookmarkStart w:id="161" w:name="_Toc477530071"/>
      <w:bookmarkStart w:id="162" w:name="_Toc477530125"/>
      <w:bookmarkStart w:id="163" w:name="_Toc477530236"/>
      <w:bookmarkStart w:id="164" w:name="_Toc477536448"/>
      <w:bookmarkStart w:id="165" w:name="_Toc477537820"/>
      <w:r>
        <w:t>Australian resident investors effectively pay tax at their marginal tax rate through the personal income tax system on amounts distributed or attributed, regardless of whether it is received from a company or trust</w:t>
      </w:r>
      <w:r w:rsidR="00D444D5">
        <w:t xml:space="preserve">. </w:t>
      </w:r>
    </w:p>
    <w:p w14:paraId="3F0C6BDE" w14:textId="77777777" w:rsidR="00915FBA" w:rsidRPr="00C04742" w:rsidRDefault="00915FBA" w:rsidP="00D36E6D">
      <w:pPr>
        <w:pStyle w:val="Heading2"/>
        <w:rPr>
          <w:rFonts w:eastAsiaTheme="majorEastAsia"/>
        </w:rPr>
      </w:pPr>
      <w:bookmarkStart w:id="166" w:name="_Toc478139103"/>
      <w:r w:rsidRPr="004653D1">
        <w:rPr>
          <w:rFonts w:eastAsiaTheme="majorEastAsia"/>
        </w:rPr>
        <w:t>International competitiveness</w:t>
      </w:r>
      <w:bookmarkEnd w:id="158"/>
      <w:bookmarkEnd w:id="159"/>
      <w:bookmarkEnd w:id="160"/>
      <w:bookmarkEnd w:id="161"/>
      <w:bookmarkEnd w:id="162"/>
      <w:bookmarkEnd w:id="163"/>
      <w:bookmarkEnd w:id="164"/>
      <w:bookmarkEnd w:id="165"/>
      <w:bookmarkEnd w:id="166"/>
    </w:p>
    <w:p w14:paraId="5A92EF1A" w14:textId="3155F8C1" w:rsidR="00915FBA" w:rsidRPr="008F293A" w:rsidRDefault="00915FBA" w:rsidP="00915FBA">
      <w:pPr>
        <w:rPr>
          <w:b/>
        </w:rPr>
      </w:pPr>
      <w:r w:rsidRPr="008F293A">
        <w:t xml:space="preserve">Australia needs to be internationally competitive to attract and retain investment </w:t>
      </w:r>
      <w:r w:rsidR="009B3CD5">
        <w:t xml:space="preserve">given that </w:t>
      </w:r>
      <w:r w:rsidRPr="008F293A">
        <w:t xml:space="preserve">investors can choose the level of </w:t>
      </w:r>
      <w:r w:rsidR="001C04B0">
        <w:t xml:space="preserve">investment </w:t>
      </w:r>
      <w:r w:rsidRPr="008F293A">
        <w:t xml:space="preserve">and </w:t>
      </w:r>
      <w:r w:rsidR="001C04B0">
        <w:t>where</w:t>
      </w:r>
      <w:r w:rsidRPr="008F293A">
        <w:t xml:space="preserve"> to invest. Investment is important in a small capital</w:t>
      </w:r>
      <w:r w:rsidR="00D444D5">
        <w:noBreakHyphen/>
      </w:r>
      <w:r w:rsidRPr="008F293A">
        <w:t>importing country, such as Australia, as it increases productivity</w:t>
      </w:r>
      <w:r w:rsidR="00A51A22">
        <w:t xml:space="preserve">, </w:t>
      </w:r>
      <w:r w:rsidRPr="008F293A">
        <w:t>real wages</w:t>
      </w:r>
      <w:r w:rsidR="00CB3140">
        <w:t xml:space="preserve"> and living standards. </w:t>
      </w:r>
    </w:p>
    <w:p w14:paraId="51EB8EE9" w14:textId="77777777" w:rsidR="00915FBA" w:rsidRPr="008F293A" w:rsidRDefault="007E16B7" w:rsidP="004808A3">
      <w:pPr>
        <w:rPr>
          <w:b/>
        </w:rPr>
      </w:pPr>
      <w:r>
        <w:t>As well as tax settings,</w:t>
      </w:r>
      <w:r w:rsidR="00915FBA" w:rsidRPr="008F293A">
        <w:t xml:space="preserve"> international competitiveness of a country is determined by a range of factors, such as </w:t>
      </w:r>
      <w:r>
        <w:t>political stability</w:t>
      </w:r>
      <w:r w:rsidR="00915FBA" w:rsidRPr="008F293A">
        <w:t xml:space="preserve">, financial sector development, </w:t>
      </w:r>
      <w:r>
        <w:t xml:space="preserve">the quality of physical </w:t>
      </w:r>
      <w:r w:rsidR="00915FBA" w:rsidRPr="008F293A">
        <w:t>infrastructure</w:t>
      </w:r>
      <w:r>
        <w:t xml:space="preserve"> and</w:t>
      </w:r>
      <w:r w:rsidR="00915FBA" w:rsidRPr="008F293A">
        <w:t xml:space="preserve"> human capital. </w:t>
      </w:r>
    </w:p>
    <w:p w14:paraId="54D67203" w14:textId="670BC424" w:rsidR="00B156E1" w:rsidRPr="008F293A" w:rsidRDefault="007E16B7" w:rsidP="00B156E1">
      <w:pPr>
        <w:pStyle w:val="Bullet"/>
        <w:numPr>
          <w:ilvl w:val="0"/>
          <w:numId w:val="0"/>
        </w:numPr>
        <w:rPr>
          <w:b/>
        </w:rPr>
      </w:pPr>
      <w:r>
        <w:t>I</w:t>
      </w:r>
      <w:r w:rsidR="00B156E1">
        <w:t xml:space="preserve">t is generally accepted that </w:t>
      </w:r>
      <w:r>
        <w:t>having a competitive tax regime is critical in attracting mobile capital. Taxes</w:t>
      </w:r>
      <w:r w:rsidR="00B156E1" w:rsidRPr="008F293A">
        <w:t xml:space="preserve"> </w:t>
      </w:r>
      <w:r w:rsidR="00915FBA" w:rsidRPr="008F293A">
        <w:t>on income from inbound investment, such as the corporate tax rate and non</w:t>
      </w:r>
      <w:r w:rsidR="00D444D5">
        <w:noBreakHyphen/>
      </w:r>
      <w:r w:rsidR="00915FBA" w:rsidRPr="008F293A">
        <w:t xml:space="preserve">resident withholding rates, affect the cost of capital and investment decisions. </w:t>
      </w:r>
    </w:p>
    <w:p w14:paraId="41E0B01C" w14:textId="578968CB" w:rsidR="00656DF5" w:rsidRPr="003C0C31" w:rsidRDefault="004A6509" w:rsidP="00656DF5">
      <w:pPr>
        <w:rPr>
          <w:color w:val="auto"/>
        </w:rPr>
      </w:pPr>
      <w:r w:rsidRPr="003C0C31">
        <w:rPr>
          <w:color w:val="auto"/>
        </w:rPr>
        <w:t>Australia also shares taxing rights with other countries as part of international tax agreements to avoid double taxation or double non</w:t>
      </w:r>
      <w:r w:rsidR="00D444D5">
        <w:rPr>
          <w:color w:val="auto"/>
        </w:rPr>
        <w:noBreakHyphen/>
      </w:r>
      <w:r w:rsidRPr="003C0C31">
        <w:rPr>
          <w:color w:val="auto"/>
        </w:rPr>
        <w:t>taxation. As part of international tax norms, t</w:t>
      </w:r>
      <w:r w:rsidR="00656DF5" w:rsidRPr="003C0C31">
        <w:rPr>
          <w:color w:val="auto"/>
        </w:rPr>
        <w:t>ypically, active income, such as returns from running a business, is taxed in the country where the business activity takes place. Passive income, such as interest and dividends, is taxed primarily in the investor</w:t>
      </w:r>
      <w:r w:rsidR="00D444D5">
        <w:rPr>
          <w:color w:val="auto"/>
        </w:rPr>
        <w:t>’</w:t>
      </w:r>
      <w:r w:rsidR="00656DF5" w:rsidRPr="003C0C31">
        <w:rPr>
          <w:color w:val="auto"/>
        </w:rPr>
        <w:t>s country of residence</w:t>
      </w:r>
      <w:r w:rsidR="0035610F" w:rsidRPr="003C0C31">
        <w:rPr>
          <w:color w:val="auto"/>
        </w:rPr>
        <w:t>, although limited source country taxing rights apply to some categories of passive income</w:t>
      </w:r>
      <w:r w:rsidR="00656DF5" w:rsidRPr="003C0C31">
        <w:rPr>
          <w:color w:val="auto"/>
        </w:rPr>
        <w:t>.</w:t>
      </w:r>
      <w:r w:rsidR="009C2DDC" w:rsidRPr="003C0C31">
        <w:rPr>
          <w:color w:val="auto"/>
        </w:rPr>
        <w:t xml:space="preserve"> </w:t>
      </w:r>
    </w:p>
    <w:p w14:paraId="3F28D774" w14:textId="77777777" w:rsidR="00AF7CC4" w:rsidRDefault="00AF7CC4">
      <w:pPr>
        <w:spacing w:after="0" w:line="240" w:lineRule="auto"/>
        <w:jc w:val="left"/>
      </w:pPr>
      <w:r>
        <w:br w:type="page"/>
      </w:r>
    </w:p>
    <w:p w14:paraId="63D105E6" w14:textId="7FC18C1B" w:rsidR="009C2DDC" w:rsidRDefault="009B3CD5" w:rsidP="009C2DDC">
      <w:r>
        <w:t>In taxing non</w:t>
      </w:r>
      <w:r w:rsidR="00D444D5">
        <w:noBreakHyphen/>
      </w:r>
      <w:r>
        <w:t>residents, i</w:t>
      </w:r>
      <w:r w:rsidR="00915FBA" w:rsidRPr="008F293A">
        <w:t xml:space="preserve">t is generally considered appropriate to tax </w:t>
      </w:r>
      <w:r w:rsidR="00D444D5">
        <w:t>‘</w:t>
      </w:r>
      <w:r w:rsidR="00915FBA" w:rsidRPr="008F293A">
        <w:t>passive</w:t>
      </w:r>
      <w:r w:rsidR="00D444D5">
        <w:t>’</w:t>
      </w:r>
      <w:r w:rsidR="00915FBA" w:rsidRPr="008F293A">
        <w:t xml:space="preserve"> income</w:t>
      </w:r>
      <w:r w:rsidR="00656DF5">
        <w:t xml:space="preserve"> </w:t>
      </w:r>
      <w:r w:rsidR="00915FBA" w:rsidRPr="008F293A">
        <w:t xml:space="preserve">more lightly </w:t>
      </w:r>
      <w:r w:rsidR="00B156E1">
        <w:t xml:space="preserve">in the source country </w:t>
      </w:r>
      <w:r w:rsidR="00915FBA" w:rsidRPr="008F293A">
        <w:t xml:space="preserve">than </w:t>
      </w:r>
      <w:r w:rsidR="00D444D5">
        <w:t>‘</w:t>
      </w:r>
      <w:r w:rsidR="00915FBA" w:rsidRPr="008F293A">
        <w:t>active</w:t>
      </w:r>
      <w:r w:rsidR="00D444D5">
        <w:t>’</w:t>
      </w:r>
      <w:r w:rsidR="00915FBA" w:rsidRPr="008F293A">
        <w:t xml:space="preserve"> business income, as </w:t>
      </w:r>
      <w:r w:rsidR="00D444D5">
        <w:t>‘</w:t>
      </w:r>
      <w:r w:rsidR="00915FBA" w:rsidRPr="008F293A">
        <w:t>passive</w:t>
      </w:r>
      <w:r w:rsidR="00D444D5">
        <w:t>’</w:t>
      </w:r>
      <w:r w:rsidR="00915FBA" w:rsidRPr="008F293A">
        <w:t xml:space="preserve"> investments are more internationally mobile. </w:t>
      </w:r>
      <w:r w:rsidR="009C2DDC">
        <w:t>In Australia, this</w:t>
      </w:r>
      <w:r w:rsidR="009C2DDC" w:rsidDel="00D121B1">
        <w:t xml:space="preserve"> </w:t>
      </w:r>
      <w:r w:rsidR="009C2DDC">
        <w:t xml:space="preserve">is achieved through passive income being subject to reduced withholding tax rates </w:t>
      </w:r>
      <w:r w:rsidR="00A474D6" w:rsidRPr="00341F72">
        <w:t xml:space="preserve">through a managed investment trust </w:t>
      </w:r>
      <w:r w:rsidR="009C2DDC">
        <w:t>compared to active business income</w:t>
      </w:r>
      <w:r w:rsidR="00695525" w:rsidRPr="00341F72">
        <w:t>.</w:t>
      </w:r>
      <w:r w:rsidR="00695525">
        <w:t xml:space="preserve"> Business income</w:t>
      </w:r>
      <w:r w:rsidR="00781248">
        <w:t xml:space="preserve"> is generally taxed at the corporate tax rate, with franked dividends to non</w:t>
      </w:r>
      <w:r w:rsidR="00D444D5">
        <w:noBreakHyphen/>
      </w:r>
      <w:r w:rsidR="00781248">
        <w:t>residents not subject to withholding tax</w:t>
      </w:r>
      <w:r w:rsidR="00F14F26">
        <w:t xml:space="preserve"> as it has already been subject to the 30 per cent rate</w:t>
      </w:r>
      <w:r w:rsidR="009C2DDC">
        <w:t xml:space="preserve">. </w:t>
      </w:r>
    </w:p>
    <w:p w14:paraId="64DC3FB0" w14:textId="39BF79B9" w:rsidR="00656DF5" w:rsidRDefault="00656DF5" w:rsidP="00656DF5">
      <w:r>
        <w:t xml:space="preserve">The distinction between active and passive investment is an inherent feature of the international tax framework. </w:t>
      </w:r>
      <w:r w:rsidR="009C2DDC" w:rsidRPr="008F293A">
        <w:t>To be internationally competitive, Australia</w:t>
      </w:r>
      <w:r w:rsidR="00D444D5">
        <w:t>’</w:t>
      </w:r>
      <w:r w:rsidR="009C2DDC" w:rsidRPr="008F293A">
        <w:t>s overall approach needs to be broadly comparable with the approaches taken by our key international competitors.</w:t>
      </w:r>
    </w:p>
    <w:p w14:paraId="70843BCB" w14:textId="43FB10E8" w:rsidR="00ED24CE" w:rsidRDefault="00ED24CE" w:rsidP="00ED24CE">
      <w:pPr>
        <w:pStyle w:val="Bullet"/>
        <w:numPr>
          <w:ilvl w:val="0"/>
          <w:numId w:val="0"/>
        </w:numPr>
      </w:pPr>
      <w:r>
        <w:t>However, it is also important that there is integrity around the distinction between active and passive income to ensure that less mobile active income cannot be re</w:t>
      </w:r>
      <w:r w:rsidR="00D444D5">
        <w:noBreakHyphen/>
      </w:r>
      <w:r>
        <w:t xml:space="preserve">characterised to gain the tax advantages of passive income. </w:t>
      </w:r>
    </w:p>
    <w:p w14:paraId="1BF6DA6D" w14:textId="21860FD3" w:rsidR="00ED24CE" w:rsidRDefault="00915FBA" w:rsidP="00E26471">
      <w:pPr>
        <w:pStyle w:val="Bullet"/>
        <w:numPr>
          <w:ilvl w:val="0"/>
          <w:numId w:val="0"/>
        </w:numPr>
      </w:pPr>
      <w:r w:rsidRPr="008F293A">
        <w:t xml:space="preserve">Hence, it is important for Australia to be able to separately identify </w:t>
      </w:r>
      <w:r w:rsidR="00D444D5">
        <w:t>‘</w:t>
      </w:r>
      <w:r w:rsidRPr="008F293A">
        <w:t>passive</w:t>
      </w:r>
      <w:r w:rsidR="00D444D5">
        <w:t>’</w:t>
      </w:r>
      <w:r w:rsidRPr="008F293A">
        <w:t xml:space="preserve"> and </w:t>
      </w:r>
      <w:r w:rsidR="00D444D5">
        <w:t>‘</w:t>
      </w:r>
      <w:r w:rsidRPr="008F293A">
        <w:t>active</w:t>
      </w:r>
      <w:r w:rsidR="00D444D5">
        <w:t>’</w:t>
      </w:r>
      <w:r w:rsidRPr="008F293A">
        <w:t xml:space="preserve"> income, for the integrity </w:t>
      </w:r>
      <w:r w:rsidR="00C74D88">
        <w:t xml:space="preserve">of the corporate tax base </w:t>
      </w:r>
      <w:r w:rsidR="009C2DDC">
        <w:t xml:space="preserve">and </w:t>
      </w:r>
      <w:r w:rsidR="00C74D88">
        <w:t>the</w:t>
      </w:r>
      <w:r w:rsidR="009C2DDC">
        <w:t xml:space="preserve"> competitiveness </w:t>
      </w:r>
      <w:r w:rsidRPr="008F293A">
        <w:t>of our tax system.</w:t>
      </w:r>
    </w:p>
    <w:p w14:paraId="68264EDA" w14:textId="77777777" w:rsidR="007B4FEC" w:rsidRDefault="007B4FEC" w:rsidP="00D36E6D">
      <w:pPr>
        <w:pStyle w:val="Heading2"/>
        <w:rPr>
          <w:rFonts w:eastAsiaTheme="majorEastAsia"/>
        </w:rPr>
      </w:pPr>
      <w:bookmarkStart w:id="167" w:name="_Toc478139104"/>
      <w:r>
        <w:rPr>
          <w:rFonts w:eastAsiaTheme="majorEastAsia"/>
        </w:rPr>
        <w:t>Economic efficiency</w:t>
      </w:r>
      <w:bookmarkEnd w:id="167"/>
    </w:p>
    <w:p w14:paraId="20ABF76F" w14:textId="77777777" w:rsidR="007B4FEC" w:rsidRDefault="007B4FEC" w:rsidP="007B4FEC">
      <w:r>
        <w:t xml:space="preserve">To achieve efficient outcomes and drive economic growth, businesses should base their decisions on where their resources are most productive or receive the highest rate of return rather than where they obtain the best tax benefit. </w:t>
      </w:r>
      <w:r w:rsidR="00232668">
        <w:t xml:space="preserve">The tax system should not distort decisions about resource allocation across sectors or between firms within sectors. </w:t>
      </w:r>
    </w:p>
    <w:p w14:paraId="004028EE" w14:textId="68A01436" w:rsidR="00232668" w:rsidRDefault="00232668" w:rsidP="007B4FEC">
      <w:r>
        <w:t xml:space="preserve">Some </w:t>
      </w:r>
      <w:r w:rsidR="00130C50">
        <w:t>organisations</w:t>
      </w:r>
      <w:r>
        <w:t xml:space="preserve"> that do not re</w:t>
      </w:r>
      <w:r w:rsidR="00D444D5">
        <w:noBreakHyphen/>
      </w:r>
      <w:r>
        <w:t>characterise income will be at a competitive disadvantage</w:t>
      </w:r>
      <w:r w:rsidR="00F75221">
        <w:t xml:space="preserve"> compared to those that do. This means that businesses are not competing on a level playing field</w:t>
      </w:r>
      <w:r w:rsidR="00D444D5">
        <w:t xml:space="preserve"> — </w:t>
      </w:r>
      <w:r>
        <w:t>which has equity concerns.</w:t>
      </w:r>
    </w:p>
    <w:p w14:paraId="386EF081" w14:textId="77777777" w:rsidR="00232668" w:rsidRDefault="00232668" w:rsidP="007B4FEC">
      <w:r>
        <w:t xml:space="preserve">It is also important for there to be certainty to encourage investment. </w:t>
      </w:r>
      <w:r w:rsidRPr="00E37C80">
        <w:t>Administrative action alone can lead to uncertainty for investors</w:t>
      </w:r>
      <w:r w:rsidR="0035610F">
        <w:t>.</w:t>
      </w:r>
    </w:p>
    <w:p w14:paraId="7F81A747" w14:textId="2ADDE1F7" w:rsidR="00915FBA" w:rsidRPr="004653D1" w:rsidRDefault="00915FBA" w:rsidP="00D36E6D">
      <w:pPr>
        <w:pStyle w:val="Heading2"/>
        <w:rPr>
          <w:rFonts w:eastAsiaTheme="majorEastAsia"/>
        </w:rPr>
      </w:pPr>
      <w:bookmarkStart w:id="168" w:name="_Toc477524665"/>
      <w:bookmarkStart w:id="169" w:name="_Toc477525173"/>
      <w:bookmarkStart w:id="170" w:name="_Toc477529862"/>
      <w:bookmarkStart w:id="171" w:name="_Toc477530073"/>
      <w:bookmarkStart w:id="172" w:name="_Toc477530127"/>
      <w:bookmarkStart w:id="173" w:name="_Toc477530238"/>
      <w:bookmarkStart w:id="174" w:name="_Toc477536450"/>
      <w:bookmarkStart w:id="175" w:name="_Toc477537822"/>
      <w:bookmarkStart w:id="176" w:name="_Toc478139105"/>
      <w:r w:rsidRPr="004653D1">
        <w:rPr>
          <w:rFonts w:eastAsiaTheme="majorEastAsia"/>
        </w:rPr>
        <w:t>Simplicity</w:t>
      </w:r>
      <w:bookmarkEnd w:id="168"/>
      <w:bookmarkEnd w:id="169"/>
      <w:bookmarkEnd w:id="170"/>
      <w:bookmarkEnd w:id="171"/>
      <w:bookmarkEnd w:id="172"/>
      <w:bookmarkEnd w:id="173"/>
      <w:bookmarkEnd w:id="174"/>
      <w:bookmarkEnd w:id="175"/>
      <w:bookmarkEnd w:id="176"/>
    </w:p>
    <w:p w14:paraId="2BFB4D0C" w14:textId="77777777" w:rsidR="00915FBA" w:rsidRDefault="00915FBA" w:rsidP="00915FBA">
      <w:r>
        <w:t xml:space="preserve">The tax system should not impose unnecessary complexity and compliance costs. </w:t>
      </w:r>
    </w:p>
    <w:p w14:paraId="62C7A1BF" w14:textId="77777777" w:rsidR="00915FBA" w:rsidRDefault="00915FBA" w:rsidP="00915FBA">
      <w:r>
        <w:t>If the tax system drives decisions about how businesses structure themselves, given the opportunities to reduce or avoid tax, it diverts resources away from productive uses into unproductive tax planning.</w:t>
      </w:r>
    </w:p>
    <w:p w14:paraId="1F94F4CE" w14:textId="77777777" w:rsidR="00915FBA" w:rsidRDefault="00915FBA" w:rsidP="00915FBA">
      <w:r>
        <w:t xml:space="preserve">The use of complicated tax structures, such as staples, also imposes costs on investors that </w:t>
      </w:r>
      <w:r w:rsidR="00EA0913">
        <w:t>may</w:t>
      </w:r>
      <w:r>
        <w:t xml:space="preserve"> not fully understand the risks, fees or payments to managers</w:t>
      </w:r>
      <w:r w:rsidR="008D51F5">
        <w:t>.</w:t>
      </w:r>
    </w:p>
    <w:p w14:paraId="30804333" w14:textId="77777777" w:rsidR="00EC757F" w:rsidRDefault="00EC757F" w:rsidP="00EC757F">
      <w:r w:rsidRPr="00EC757F">
        <w:t xml:space="preserve">In addition, the cost of keeping records and managing their tax affairs for investors in stapled entities may be higher than for a single entity. While stapled securities trade as one investment, investors are </w:t>
      </w:r>
      <w:r w:rsidR="008D51F5">
        <w:t xml:space="preserve">generally </w:t>
      </w:r>
      <w:r w:rsidRPr="00EC757F">
        <w:t>treated as having separate assets for each of the stapled entities for income tax purposes.</w:t>
      </w:r>
      <w:r>
        <w:t xml:space="preserve"> </w:t>
      </w:r>
    </w:p>
    <w:p w14:paraId="439ED67E" w14:textId="77777777" w:rsidR="0009463B" w:rsidRPr="004653D1" w:rsidRDefault="0009463B" w:rsidP="00D36E6D">
      <w:pPr>
        <w:pStyle w:val="Heading2"/>
        <w:rPr>
          <w:rFonts w:eastAsiaTheme="majorEastAsia"/>
        </w:rPr>
      </w:pPr>
      <w:bookmarkStart w:id="177" w:name="_Toc478139106"/>
      <w:r>
        <w:rPr>
          <w:rFonts w:eastAsiaTheme="majorEastAsia"/>
        </w:rPr>
        <w:t>Transparency</w:t>
      </w:r>
      <w:bookmarkEnd w:id="177"/>
    </w:p>
    <w:p w14:paraId="3F9766E1" w14:textId="37C075C1" w:rsidR="00E26471" w:rsidRDefault="00E26471" w:rsidP="00E26471">
      <w:r>
        <w:t>Finally, it is important that any tax concessions that are available to particular investments are clear and transparent. This ensures that the Government and the public are aware of how the tax system is operating and can make informed decisions about the appropriateness and effectiveness of tax policy settings.</w:t>
      </w:r>
    </w:p>
    <w:tbl>
      <w:tblPr>
        <w:tblW w:w="0" w:type="auto"/>
        <w:tblBorders>
          <w:top w:val="single" w:sz="2" w:space="0" w:color="28467D"/>
          <w:left w:val="single" w:sz="2" w:space="0" w:color="28467D"/>
          <w:bottom w:val="single" w:sz="2" w:space="0" w:color="28467D"/>
          <w:right w:val="single" w:sz="2" w:space="0" w:color="28467D"/>
          <w:insideH w:val="single" w:sz="2" w:space="0" w:color="28467D"/>
          <w:insideV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AF7CC4" w14:paraId="3DA306E3" w14:textId="77777777" w:rsidTr="003E6BB1">
        <w:tc>
          <w:tcPr>
            <w:tcW w:w="9286" w:type="dxa"/>
            <w:shd w:val="clear" w:color="auto" w:fill="F2F2F2" w:themeFill="background1" w:themeFillShade="F2"/>
          </w:tcPr>
          <w:p w14:paraId="79216DEF" w14:textId="77777777" w:rsidR="00AF7CC4" w:rsidRDefault="00AF7CC4" w:rsidP="00AF7CC4">
            <w:pPr>
              <w:pStyle w:val="BoxHeadingnonumber"/>
            </w:pPr>
            <w:r>
              <w:t>Questions</w:t>
            </w:r>
          </w:p>
          <w:p w14:paraId="73EBF1AA" w14:textId="128352BA" w:rsidR="00AF7CC4" w:rsidRDefault="00AF7CC4" w:rsidP="00AF7CC4">
            <w:pPr>
              <w:pStyle w:val="BoxNumbering"/>
            </w:pPr>
            <w:r w:rsidRPr="00746597">
              <w:t>How</w:t>
            </w:r>
            <w:r w:rsidRPr="0013001A">
              <w:t xml:space="preserve"> important is tax in determining the international competitiveness of Australia as a foreign investment location for assets and activities typically placed in stapled structures?</w:t>
            </w:r>
          </w:p>
        </w:tc>
      </w:tr>
    </w:tbl>
    <w:p w14:paraId="0CD3DEDA" w14:textId="77777777" w:rsidR="00AF7CC4" w:rsidRPr="00AF7CC4" w:rsidRDefault="00AF7CC4" w:rsidP="00AF7CC4"/>
    <w:p w14:paraId="0B233F90" w14:textId="77777777" w:rsidR="00915FBA" w:rsidRPr="00AF7CC4" w:rsidRDefault="00915FBA" w:rsidP="00AF7CC4"/>
    <w:p w14:paraId="3473E35F" w14:textId="77777777" w:rsidR="00835A88" w:rsidRPr="00AF7CC4" w:rsidRDefault="00835A88" w:rsidP="00AF7CC4"/>
    <w:p w14:paraId="2A6AD0D0" w14:textId="77777777" w:rsidR="00835A88" w:rsidRPr="00AF7CC4" w:rsidRDefault="00835A88" w:rsidP="00AF7CC4">
      <w:pPr>
        <w:sectPr w:rsidR="00835A88" w:rsidRPr="00AF7CC4" w:rsidSect="003778E0">
          <w:pgSz w:w="11906" w:h="16838" w:code="9"/>
          <w:pgMar w:top="1418" w:right="1418" w:bottom="1418" w:left="1418" w:header="709" w:footer="709" w:gutter="0"/>
          <w:cols w:space="708"/>
          <w:titlePg/>
          <w:docGrid w:linePitch="360"/>
        </w:sectPr>
      </w:pPr>
    </w:p>
    <w:p w14:paraId="1C897E2E" w14:textId="159D49B5" w:rsidR="00915FBA" w:rsidRPr="00D435B0" w:rsidRDefault="003778E0" w:rsidP="004C5D21">
      <w:pPr>
        <w:pStyle w:val="Heading1"/>
        <w:rPr>
          <w:sz w:val="24"/>
          <w:szCs w:val="24"/>
        </w:rPr>
      </w:pPr>
      <w:bookmarkStart w:id="178" w:name="_Toc477525175"/>
      <w:bookmarkStart w:id="179" w:name="_Toc477529864"/>
      <w:bookmarkStart w:id="180" w:name="_Toc477530075"/>
      <w:bookmarkStart w:id="181" w:name="_Toc477530129"/>
      <w:bookmarkStart w:id="182" w:name="_Toc477530240"/>
      <w:bookmarkStart w:id="183" w:name="_Toc477536451"/>
      <w:bookmarkStart w:id="184" w:name="_Toc477537823"/>
      <w:bookmarkStart w:id="185" w:name="_Toc477524667"/>
      <w:bookmarkStart w:id="186" w:name="_Toc478139107"/>
      <w:r>
        <w:t xml:space="preserve">Broad policy </w:t>
      </w:r>
      <w:bookmarkEnd w:id="178"/>
      <w:bookmarkEnd w:id="179"/>
      <w:bookmarkEnd w:id="180"/>
      <w:bookmarkEnd w:id="181"/>
      <w:bookmarkEnd w:id="182"/>
      <w:bookmarkEnd w:id="183"/>
      <w:bookmarkEnd w:id="184"/>
      <w:r>
        <w:t>options</w:t>
      </w:r>
      <w:bookmarkEnd w:id="185"/>
      <w:bookmarkEnd w:id="186"/>
    </w:p>
    <w:p w14:paraId="61BA68D3" w14:textId="011C05E3" w:rsidR="00A621FF" w:rsidRDefault="00A621FF" w:rsidP="008B4DB7">
      <w:r>
        <w:t>The focus of this paper is to examine the tax and economic efficiency implications of staple</w:t>
      </w:r>
      <w:r w:rsidR="005C4C0B">
        <w:t>d structures. This section outlines broad</w:t>
      </w:r>
      <w:r>
        <w:t xml:space="preserve"> </w:t>
      </w:r>
      <w:r w:rsidRPr="00E37C80">
        <w:t>policy options</w:t>
      </w:r>
      <w:r w:rsidR="008A4B9F">
        <w:t xml:space="preserve"> </w:t>
      </w:r>
      <w:r w:rsidR="005C4C0B">
        <w:t xml:space="preserve">for consultation </w:t>
      </w:r>
      <w:r w:rsidRPr="00E37C80">
        <w:t xml:space="preserve">to </w:t>
      </w:r>
      <w:r w:rsidR="005C4C0B">
        <w:t>address</w:t>
      </w:r>
      <w:r w:rsidR="005C4C0B" w:rsidRPr="00E37C80">
        <w:t xml:space="preserve"> </w:t>
      </w:r>
      <w:r w:rsidRPr="00E37C80">
        <w:t xml:space="preserve">the </w:t>
      </w:r>
      <w:r w:rsidR="005C4C0B">
        <w:t>integrity risk to the corporate tax base</w:t>
      </w:r>
      <w:r w:rsidRPr="00E37C80">
        <w:t xml:space="preserve"> from the use of stapled structures</w:t>
      </w:r>
      <w:r w:rsidR="0013436D">
        <w:t>.</w:t>
      </w:r>
    </w:p>
    <w:p w14:paraId="475456BF" w14:textId="77777777" w:rsidR="00315D19" w:rsidRPr="000B06D3" w:rsidRDefault="003B0968" w:rsidP="00D36E6D">
      <w:pPr>
        <w:pStyle w:val="Heading2"/>
      </w:pPr>
      <w:bookmarkStart w:id="187" w:name="_Toc478139108"/>
      <w:r w:rsidRPr="000B06D3">
        <w:t xml:space="preserve">Dealings </w:t>
      </w:r>
      <w:r w:rsidR="00D437D0">
        <w:t>b</w:t>
      </w:r>
      <w:r w:rsidRPr="000B06D3">
        <w:t xml:space="preserve">etween </w:t>
      </w:r>
      <w:r w:rsidR="00D437D0">
        <w:t>s</w:t>
      </w:r>
      <w:r w:rsidRPr="000B06D3">
        <w:t xml:space="preserve">tapled </w:t>
      </w:r>
      <w:r w:rsidR="00D437D0">
        <w:t>e</w:t>
      </w:r>
      <w:r w:rsidRPr="000B06D3">
        <w:t>ntities</w:t>
      </w:r>
      <w:bookmarkEnd w:id="187"/>
    </w:p>
    <w:p w14:paraId="0990AD0A" w14:textId="77777777" w:rsidR="003B0968" w:rsidRPr="000B06D3" w:rsidRDefault="003B0968" w:rsidP="006652BD">
      <w:r w:rsidRPr="000B06D3">
        <w:t>The Gover</w:t>
      </w:r>
      <w:r w:rsidRPr="003B0968">
        <w:t xml:space="preserve">nment is considering measures </w:t>
      </w:r>
      <w:r>
        <w:t xml:space="preserve">which </w:t>
      </w:r>
      <w:r w:rsidR="005C4C0B">
        <w:t xml:space="preserve">remove </w:t>
      </w:r>
      <w:r w:rsidR="00D672B8">
        <w:t>the tax advantages of</w:t>
      </w:r>
      <w:r w:rsidRPr="000B06D3">
        <w:rPr>
          <w:color w:val="000000" w:themeColor="text1"/>
        </w:rPr>
        <w:t xml:space="preserve"> stapled arrangement</w:t>
      </w:r>
      <w:r w:rsidR="00D672B8">
        <w:rPr>
          <w:color w:val="000000" w:themeColor="text1"/>
        </w:rPr>
        <w:t>s</w:t>
      </w:r>
      <w:r w:rsidRPr="000B06D3">
        <w:rPr>
          <w:color w:val="000000" w:themeColor="text1"/>
        </w:rPr>
        <w:t>.</w:t>
      </w:r>
      <w:r w:rsidR="002125B0" w:rsidRPr="000B06D3">
        <w:rPr>
          <w:color w:val="000000" w:themeColor="text1"/>
        </w:rPr>
        <w:t xml:space="preserve"> Transition</w:t>
      </w:r>
      <w:r w:rsidR="009B6B35">
        <w:rPr>
          <w:color w:val="000000" w:themeColor="text1"/>
        </w:rPr>
        <w:t>al</w:t>
      </w:r>
      <w:r w:rsidR="002125B0" w:rsidRPr="000B06D3">
        <w:rPr>
          <w:color w:val="000000" w:themeColor="text1"/>
        </w:rPr>
        <w:t xml:space="preserve"> rules are considered in </w:t>
      </w:r>
      <w:r w:rsidR="009B6B35">
        <w:t>the next</w:t>
      </w:r>
      <w:r w:rsidR="002125B0">
        <w:t xml:space="preserve"> </w:t>
      </w:r>
      <w:r w:rsidR="009B6B35">
        <w:t>part of</w:t>
      </w:r>
      <w:r w:rsidR="002125B0">
        <w:t xml:space="preserve"> this paper.</w:t>
      </w:r>
    </w:p>
    <w:p w14:paraId="0E4B0F55" w14:textId="77777777" w:rsidR="00D672B8" w:rsidRDefault="00D437D0" w:rsidP="006652BD">
      <w:r>
        <w:t xml:space="preserve">Some options to </w:t>
      </w:r>
      <w:r w:rsidR="005C4C0B">
        <w:t xml:space="preserve">remove </w:t>
      </w:r>
      <w:r>
        <w:t>these tax advantages</w:t>
      </w:r>
      <w:r w:rsidR="00D672B8">
        <w:t xml:space="preserve"> could include:</w:t>
      </w:r>
    </w:p>
    <w:p w14:paraId="7097FA48" w14:textId="3B698656" w:rsidR="00D672B8" w:rsidRDefault="00D672B8" w:rsidP="00073A1E">
      <w:pPr>
        <w:pStyle w:val="Bullet"/>
      </w:pPr>
      <w:r>
        <w:t xml:space="preserve">Disallowing </w:t>
      </w:r>
      <w:r w:rsidR="009B6B35">
        <w:t xml:space="preserve">certain </w:t>
      </w:r>
      <w:r>
        <w:t xml:space="preserve">deductions for </w:t>
      </w:r>
      <w:r w:rsidR="00481CA2">
        <w:t>cross</w:t>
      </w:r>
      <w:r w:rsidR="00D444D5">
        <w:noBreakHyphen/>
      </w:r>
      <w:r w:rsidR="00481CA2">
        <w:t xml:space="preserve">staple </w:t>
      </w:r>
      <w:r>
        <w:t xml:space="preserve">payments </w:t>
      </w:r>
      <w:r w:rsidR="00DE24F6">
        <w:t>by companies</w:t>
      </w:r>
      <w:r w:rsidR="00DC5598">
        <w:t xml:space="preserve"> or Division 6C trusts</w:t>
      </w:r>
      <w:r w:rsidR="00DE24F6">
        <w:t xml:space="preserve"> </w:t>
      </w:r>
      <w:r w:rsidR="00481CA2">
        <w:t xml:space="preserve">(including </w:t>
      </w:r>
      <w:r w:rsidR="00D437D0">
        <w:t xml:space="preserve">rentals, </w:t>
      </w:r>
      <w:r>
        <w:t>interest</w:t>
      </w:r>
      <w:r w:rsidR="00DC5BCA">
        <w:t>,</w:t>
      </w:r>
      <w:r>
        <w:t xml:space="preserve"> royalties</w:t>
      </w:r>
      <w:r w:rsidR="00DC5BCA">
        <w:t xml:space="preserve"> and synthetic equity payments</w:t>
      </w:r>
      <w:r w:rsidR="00481CA2">
        <w:t>)</w:t>
      </w:r>
      <w:r>
        <w:t xml:space="preserve"> to </w:t>
      </w:r>
      <w:r w:rsidR="00481CA2">
        <w:t xml:space="preserve">Division 6 </w:t>
      </w:r>
      <w:r>
        <w:t xml:space="preserve">trusts </w:t>
      </w:r>
      <w:r w:rsidR="00D437D0">
        <w:t>(</w:t>
      </w:r>
      <w:r w:rsidR="00C83716">
        <w:t>potentially</w:t>
      </w:r>
      <w:r w:rsidR="00D437D0">
        <w:t xml:space="preserve"> treating the income as non</w:t>
      </w:r>
      <w:r w:rsidR="00D444D5">
        <w:noBreakHyphen/>
      </w:r>
      <w:r w:rsidR="00D437D0">
        <w:t>assessable non</w:t>
      </w:r>
      <w:r w:rsidR="00D444D5">
        <w:noBreakHyphen/>
      </w:r>
      <w:r w:rsidR="00D437D0">
        <w:t>exempt for the trust)</w:t>
      </w:r>
      <w:r>
        <w:t>;</w:t>
      </w:r>
    </w:p>
    <w:p w14:paraId="11698429" w14:textId="77777777" w:rsidR="00D672B8" w:rsidRDefault="00D672B8" w:rsidP="00073A1E">
      <w:pPr>
        <w:pStyle w:val="Bullet"/>
      </w:pPr>
      <w:r>
        <w:t>Taxing the recipient of such payments (either the trust</w:t>
      </w:r>
      <w:r w:rsidR="00D437D0">
        <w:t>ee</w:t>
      </w:r>
      <w:r>
        <w:t xml:space="preserve"> or foreign investors) at </w:t>
      </w:r>
      <w:r w:rsidR="00F30873">
        <w:t xml:space="preserve">a rate equivalent to </w:t>
      </w:r>
      <w:r>
        <w:t xml:space="preserve">the </w:t>
      </w:r>
      <w:r w:rsidR="00F30873">
        <w:t>Australian</w:t>
      </w:r>
      <w:r>
        <w:t xml:space="preserve"> company tax rate</w:t>
      </w:r>
      <w:r w:rsidR="00481CA2">
        <w:rPr>
          <w:rStyle w:val="FootnoteReference"/>
        </w:rPr>
        <w:footnoteReference w:id="7"/>
      </w:r>
      <w:r>
        <w:t>; or</w:t>
      </w:r>
    </w:p>
    <w:p w14:paraId="4BFCA26C" w14:textId="77777777" w:rsidR="00DC5BCA" w:rsidRPr="000B06D3" w:rsidRDefault="00D672B8" w:rsidP="00DC5BCA">
      <w:pPr>
        <w:pStyle w:val="Bullet"/>
      </w:pPr>
      <w:r>
        <w:t>Deeming stapled entities to be consolidated for tax purposes.</w:t>
      </w:r>
    </w:p>
    <w:p w14:paraId="35EFF7E8" w14:textId="47A3E3E0" w:rsidR="009567C8" w:rsidRDefault="00003D39" w:rsidP="006652BD">
      <w:pPr>
        <w:rPr>
          <w:b/>
        </w:rPr>
      </w:pPr>
      <w:r>
        <w:t>Some of t</w:t>
      </w:r>
      <w:r w:rsidR="009567C8">
        <w:t>hese options are similar to the approaches adopted by other countries that have addressed the tax advantages of staples, as outlined in the section above on International Comparisons.</w:t>
      </w:r>
    </w:p>
    <w:p w14:paraId="52063D9F" w14:textId="77777777" w:rsidR="00F82BD2" w:rsidRPr="00F82BD2" w:rsidRDefault="00F82BD2" w:rsidP="00D36E6D">
      <w:pPr>
        <w:pStyle w:val="Heading2"/>
      </w:pPr>
      <w:bookmarkStart w:id="188" w:name="_Toc478139109"/>
      <w:r w:rsidRPr="00F82BD2">
        <w:t>Excluded structures</w:t>
      </w:r>
      <w:bookmarkEnd w:id="188"/>
    </w:p>
    <w:p w14:paraId="5476DB65" w14:textId="65C3DCD8" w:rsidR="000F1A37" w:rsidRDefault="00A4150F" w:rsidP="000F1A37">
      <w:pPr>
        <w:rPr>
          <w:b/>
        </w:rPr>
      </w:pPr>
      <w:r>
        <w:t xml:space="preserve">It is important to </w:t>
      </w:r>
      <w:r w:rsidR="000F1A37">
        <w:t>determin</w:t>
      </w:r>
      <w:r>
        <w:t xml:space="preserve">e </w:t>
      </w:r>
      <w:r w:rsidR="000F1A37">
        <w:t xml:space="preserve">what types of stapled arrangements would be </w:t>
      </w:r>
      <w:r w:rsidR="000F0B9F">
        <w:t>affected by</w:t>
      </w:r>
      <w:r w:rsidR="000F1A37">
        <w:t xml:space="preserve"> </w:t>
      </w:r>
      <w:r w:rsidR="000F0B9F">
        <w:t>these</w:t>
      </w:r>
      <w:r w:rsidR="000F1A37">
        <w:t xml:space="preserve"> </w:t>
      </w:r>
      <w:r w:rsidR="0017127C">
        <w:t>options</w:t>
      </w:r>
      <w:r w:rsidR="000F1A37">
        <w:t xml:space="preserve"> (</w:t>
      </w:r>
      <w:r w:rsidR="00C6593E">
        <w:t>for example,</w:t>
      </w:r>
      <w:r w:rsidR="000F1A37">
        <w:t xml:space="preserve"> whether limited to contractual stapled structures or broadened to other types of common ownership).</w:t>
      </w:r>
    </w:p>
    <w:p w14:paraId="6ECB9B56" w14:textId="390A6F4D" w:rsidR="006652BD" w:rsidRDefault="000F1A37" w:rsidP="006652BD">
      <w:pPr>
        <w:rPr>
          <w:szCs w:val="22"/>
        </w:rPr>
      </w:pPr>
      <w:r>
        <w:t xml:space="preserve">If the above </w:t>
      </w:r>
      <w:r w:rsidR="0017127C">
        <w:t xml:space="preserve">options </w:t>
      </w:r>
      <w:r>
        <w:t>cover other types of common ownership, this would focus on</w:t>
      </w:r>
      <w:r w:rsidR="006A5EA9">
        <w:t xml:space="preserve"> </w:t>
      </w:r>
      <w:r w:rsidR="007C51CA">
        <w:t xml:space="preserve">dealings </w:t>
      </w:r>
      <w:r>
        <w:t>which</w:t>
      </w:r>
      <w:r w:rsidR="006A5EA9">
        <w:t>:</w:t>
      </w:r>
    </w:p>
    <w:p w14:paraId="141336CB" w14:textId="4B5A0C28" w:rsidR="006652BD" w:rsidRPr="006652BD" w:rsidRDefault="006A5EA9" w:rsidP="0053754E">
      <w:pPr>
        <w:pStyle w:val="Bullet"/>
        <w:rPr>
          <w:szCs w:val="22"/>
        </w:rPr>
      </w:pPr>
      <w:r>
        <w:t>give rise to interest or royalty income of non</w:t>
      </w:r>
      <w:r w:rsidR="00D444D5">
        <w:noBreakHyphen/>
      </w:r>
      <w:r>
        <w:t>residents</w:t>
      </w:r>
      <w:r w:rsidR="006652BD">
        <w:t>;</w:t>
      </w:r>
    </w:p>
    <w:p w14:paraId="4029C9A9" w14:textId="77777777" w:rsidR="007C51CA" w:rsidRPr="007C51CA" w:rsidRDefault="007C51CA" w:rsidP="007C51CA">
      <w:pPr>
        <w:pStyle w:val="Bullet"/>
        <w:rPr>
          <w:szCs w:val="22"/>
        </w:rPr>
      </w:pPr>
      <w:r>
        <w:t xml:space="preserve">facilitate </w:t>
      </w:r>
      <w:r w:rsidR="006A5EA9">
        <w:t xml:space="preserve">the application of the MIT </w:t>
      </w:r>
      <w:r w:rsidR="000F1A37">
        <w:t xml:space="preserve">withholding </w:t>
      </w:r>
      <w:r w:rsidR="006A5EA9">
        <w:t>rules; or</w:t>
      </w:r>
    </w:p>
    <w:p w14:paraId="1E2A2FEA" w14:textId="5664C8BE" w:rsidR="006A5EA9" w:rsidRPr="007C51CA" w:rsidRDefault="007C51CA" w:rsidP="007C51CA">
      <w:pPr>
        <w:pStyle w:val="Bullet"/>
        <w:rPr>
          <w:szCs w:val="22"/>
        </w:rPr>
      </w:pPr>
      <w:r>
        <w:t xml:space="preserve">ensure </w:t>
      </w:r>
      <w:r w:rsidR="006A5EA9">
        <w:t>the non</w:t>
      </w:r>
      <w:r w:rsidR="00D444D5">
        <w:noBreakHyphen/>
      </w:r>
      <w:r w:rsidR="006A5EA9">
        <w:t>application of Division 6C.</w:t>
      </w:r>
    </w:p>
    <w:p w14:paraId="537CDD7A" w14:textId="54A6E7EF" w:rsidR="00D145E8" w:rsidRDefault="00651E24" w:rsidP="006A5EA9">
      <w:r>
        <w:t xml:space="preserve">These </w:t>
      </w:r>
      <w:r w:rsidR="0017127C">
        <w:t xml:space="preserve">options </w:t>
      </w:r>
      <w:r>
        <w:t>are not intended to apply to small business or discretionary trust dealings.</w:t>
      </w:r>
    </w:p>
    <w:tbl>
      <w:tblPr>
        <w:tblW w:w="0" w:type="auto"/>
        <w:tblBorders>
          <w:top w:val="single" w:sz="2" w:space="0" w:color="28467D"/>
          <w:left w:val="single" w:sz="2" w:space="0" w:color="28467D"/>
          <w:bottom w:val="single" w:sz="2" w:space="0" w:color="28467D"/>
          <w:right w:val="single" w:sz="2" w:space="0" w:color="28467D"/>
          <w:insideH w:val="single" w:sz="2" w:space="0" w:color="28467D"/>
          <w:insideV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AF7CC4" w14:paraId="45ED1EFF" w14:textId="77777777" w:rsidTr="00C6593E">
        <w:tc>
          <w:tcPr>
            <w:tcW w:w="9286" w:type="dxa"/>
            <w:shd w:val="clear" w:color="auto" w:fill="F2F2F2" w:themeFill="background1" w:themeFillShade="F2"/>
          </w:tcPr>
          <w:p w14:paraId="556BB7F4" w14:textId="77777777" w:rsidR="00AF7CC4" w:rsidRPr="00702A6D" w:rsidRDefault="00AF7CC4" w:rsidP="00AF7CC4">
            <w:pPr>
              <w:pStyle w:val="BoxHeadingnonumber"/>
            </w:pPr>
            <w:r w:rsidRPr="00702A6D">
              <w:t>Questions</w:t>
            </w:r>
          </w:p>
          <w:p w14:paraId="207CF3A5" w14:textId="77777777" w:rsidR="00AF7CC4" w:rsidRPr="00702A6D" w:rsidRDefault="00AF7CC4" w:rsidP="00AF7CC4">
            <w:pPr>
              <w:pStyle w:val="BoxNumbering"/>
            </w:pPr>
            <w:r w:rsidRPr="00702A6D">
              <w:t xml:space="preserve">What would be an appropriate mechanism to </w:t>
            </w:r>
            <w:r>
              <w:t>remove</w:t>
            </w:r>
            <w:r w:rsidRPr="00702A6D">
              <w:t xml:space="preserve"> the tax advantages of stapled arrangements?</w:t>
            </w:r>
          </w:p>
          <w:p w14:paraId="749BB8E9" w14:textId="77777777" w:rsidR="00AF7CC4" w:rsidRPr="00702A6D" w:rsidRDefault="00AF7CC4" w:rsidP="00AF7CC4">
            <w:pPr>
              <w:pStyle w:val="BoxNumbering"/>
            </w:pPr>
            <w:r w:rsidRPr="00702A6D">
              <w:t>Are there any international models for removing such advantages that could work in the Australian context?</w:t>
            </w:r>
          </w:p>
          <w:p w14:paraId="19BB6A63" w14:textId="1511B6C9" w:rsidR="00AF7CC4" w:rsidRDefault="00AF7CC4" w:rsidP="00AF7CC4">
            <w:pPr>
              <w:pStyle w:val="BoxNumbering"/>
            </w:pPr>
            <w:r w:rsidRPr="00702A6D">
              <w:t>What types of structures or arrangements, if any, should be excluded?</w:t>
            </w:r>
          </w:p>
        </w:tc>
      </w:tr>
    </w:tbl>
    <w:p w14:paraId="689C70F9" w14:textId="77777777" w:rsidR="00AF7CC4" w:rsidRDefault="00AF7CC4" w:rsidP="00AF7CC4">
      <w:pPr>
        <w:pStyle w:val="SingleParagraph"/>
        <w:rPr>
          <w:color w:val="auto"/>
        </w:rPr>
      </w:pPr>
    </w:p>
    <w:p w14:paraId="3D20B248" w14:textId="77777777" w:rsidR="00F3581B" w:rsidRDefault="00F3581B" w:rsidP="00D36E6D">
      <w:pPr>
        <w:pStyle w:val="Heading2"/>
      </w:pPr>
      <w:bookmarkStart w:id="189" w:name="_Toc477524668"/>
      <w:bookmarkStart w:id="190" w:name="_Toc477525176"/>
      <w:bookmarkStart w:id="191" w:name="_Toc477529865"/>
      <w:bookmarkStart w:id="192" w:name="_Toc477530076"/>
      <w:bookmarkStart w:id="193" w:name="_Toc477530130"/>
      <w:bookmarkStart w:id="194" w:name="_Toc477530241"/>
      <w:bookmarkStart w:id="195" w:name="_Toc477536452"/>
      <w:bookmarkStart w:id="196" w:name="_Toc477537824"/>
      <w:bookmarkStart w:id="197" w:name="_Toc478139110"/>
      <w:r>
        <w:t>Specific REIT regime</w:t>
      </w:r>
      <w:bookmarkEnd w:id="189"/>
      <w:bookmarkEnd w:id="190"/>
      <w:bookmarkEnd w:id="191"/>
      <w:bookmarkEnd w:id="192"/>
      <w:bookmarkEnd w:id="193"/>
      <w:bookmarkEnd w:id="194"/>
      <w:bookmarkEnd w:id="195"/>
      <w:bookmarkEnd w:id="196"/>
      <w:bookmarkEnd w:id="197"/>
    </w:p>
    <w:p w14:paraId="2A644801" w14:textId="6B4571BC" w:rsidR="00767F63" w:rsidRDefault="009B7721" w:rsidP="008B4DB7">
      <w:r>
        <w:rPr>
          <w:szCs w:val="22"/>
        </w:rPr>
        <w:t xml:space="preserve">This paper previously noted that </w:t>
      </w:r>
      <w:r>
        <w:t>most jurisdictions contain some form of concessionary taxation treatment for investment in property</w:t>
      </w:r>
      <w:r w:rsidR="00D437D0">
        <w:t xml:space="preserve"> through specific REIT regimes</w:t>
      </w:r>
      <w:r>
        <w:t xml:space="preserve">. In many cases these regimes appear to be more generous </w:t>
      </w:r>
      <w:r w:rsidR="00D437D0">
        <w:t xml:space="preserve">in allowing </w:t>
      </w:r>
      <w:r w:rsidR="00E917F1">
        <w:t xml:space="preserve">a higher percentage of permitted trading income </w:t>
      </w:r>
      <w:r>
        <w:t>than the rules contained in Division 6C</w:t>
      </w:r>
      <w:r w:rsidR="00E917F1">
        <w:t xml:space="preserve"> (</w:t>
      </w:r>
      <w:r>
        <w:t xml:space="preserve">which </w:t>
      </w:r>
      <w:r w:rsidR="00E917F1">
        <w:t xml:space="preserve">currently </w:t>
      </w:r>
      <w:r>
        <w:t>permit</w:t>
      </w:r>
      <w:r w:rsidR="00E917F1">
        <w:t>s</w:t>
      </w:r>
      <w:r>
        <w:t xml:space="preserve"> </w:t>
      </w:r>
      <w:r w:rsidR="00E917F1">
        <w:t xml:space="preserve">only </w:t>
      </w:r>
      <w:r>
        <w:t>2</w:t>
      </w:r>
      <w:r w:rsidR="003F3A6B">
        <w:t> </w:t>
      </w:r>
      <w:r w:rsidR="00D437D0">
        <w:t>per</w:t>
      </w:r>
      <w:r w:rsidR="003F3A6B">
        <w:t> </w:t>
      </w:r>
      <w:r w:rsidR="00D437D0">
        <w:t>cent</w:t>
      </w:r>
      <w:r>
        <w:t xml:space="preserve"> of gross income of a publicly listed trust to be non</w:t>
      </w:r>
      <w:r w:rsidR="00D444D5">
        <w:noBreakHyphen/>
      </w:r>
      <w:r>
        <w:t xml:space="preserve">passive in nature if </w:t>
      </w:r>
      <w:r w:rsidR="00D444D5">
        <w:t>‘</w:t>
      </w:r>
      <w:r>
        <w:t>flow</w:t>
      </w:r>
      <w:r w:rsidR="00D444D5">
        <w:noBreakHyphen/>
      </w:r>
      <w:r>
        <w:t>through</w:t>
      </w:r>
      <w:r w:rsidR="00D444D5">
        <w:t>’</w:t>
      </w:r>
      <w:r>
        <w:t xml:space="preserve"> taxation is to be preserved</w:t>
      </w:r>
      <w:r w:rsidR="00E917F1">
        <w:t>)</w:t>
      </w:r>
      <w:r>
        <w:t>.</w:t>
      </w:r>
      <w:r w:rsidR="00E917F1">
        <w:t xml:space="preserve"> However, in contrast to Australia, most jurisdictions do not allow the benefits of stapled structures</w:t>
      </w:r>
      <w:r>
        <w:t>.</w:t>
      </w:r>
    </w:p>
    <w:p w14:paraId="642B0BA7" w14:textId="7503C80C" w:rsidR="00E917F1" w:rsidRDefault="009F4A08" w:rsidP="008B4DB7">
      <w:pPr>
        <w:rPr>
          <w:b/>
          <w:szCs w:val="22"/>
        </w:rPr>
      </w:pPr>
      <w:r>
        <w:t>It is consistent with Australia</w:t>
      </w:r>
      <w:r w:rsidR="00D444D5">
        <w:t>’</w:t>
      </w:r>
      <w:r>
        <w:t xml:space="preserve">s tax policy setting for </w:t>
      </w:r>
      <w:r w:rsidR="0002213A" w:rsidRPr="00982E8D">
        <w:rPr>
          <w:szCs w:val="22"/>
        </w:rPr>
        <w:t>REIT</w:t>
      </w:r>
      <w:r w:rsidR="0002213A">
        <w:rPr>
          <w:szCs w:val="22"/>
        </w:rPr>
        <w:t>s</w:t>
      </w:r>
      <w:r w:rsidR="0002213A" w:rsidRPr="00982E8D">
        <w:rPr>
          <w:szCs w:val="22"/>
        </w:rPr>
        <w:t xml:space="preserve"> that</w:t>
      </w:r>
      <w:r>
        <w:rPr>
          <w:szCs w:val="22"/>
        </w:rPr>
        <w:t xml:space="preserve"> derive</w:t>
      </w:r>
      <w:r w:rsidR="0002213A" w:rsidRPr="00982E8D">
        <w:rPr>
          <w:szCs w:val="22"/>
        </w:rPr>
        <w:t xml:space="preserve"> </w:t>
      </w:r>
      <w:r>
        <w:rPr>
          <w:szCs w:val="22"/>
        </w:rPr>
        <w:t>most</w:t>
      </w:r>
      <w:r w:rsidR="0002213A" w:rsidRPr="00982E8D">
        <w:rPr>
          <w:szCs w:val="22"/>
        </w:rPr>
        <w:t xml:space="preserve"> of their income as rental from third party tenants</w:t>
      </w:r>
      <w:r>
        <w:rPr>
          <w:szCs w:val="22"/>
        </w:rPr>
        <w:t xml:space="preserve"> </w:t>
      </w:r>
      <w:r w:rsidR="00652BDC">
        <w:rPr>
          <w:szCs w:val="22"/>
        </w:rPr>
        <w:t xml:space="preserve">to </w:t>
      </w:r>
      <w:r>
        <w:rPr>
          <w:szCs w:val="22"/>
        </w:rPr>
        <w:t>receive flow</w:t>
      </w:r>
      <w:r w:rsidR="00D444D5">
        <w:rPr>
          <w:szCs w:val="22"/>
        </w:rPr>
        <w:noBreakHyphen/>
      </w:r>
      <w:r>
        <w:rPr>
          <w:szCs w:val="22"/>
        </w:rPr>
        <w:t>through taxation treatment.</w:t>
      </w:r>
      <w:r w:rsidR="0002213A">
        <w:t xml:space="preserve"> </w:t>
      </w:r>
      <w:r w:rsidR="00E917F1">
        <w:t>If a</w:t>
      </w:r>
      <w:r w:rsidR="0017127C">
        <w:t>n option</w:t>
      </w:r>
      <w:r w:rsidR="00E917F1">
        <w:t xml:space="preserve"> to</w:t>
      </w:r>
      <w:r w:rsidR="00E917F1" w:rsidDel="005C4C0B">
        <w:t xml:space="preserve"> </w:t>
      </w:r>
      <w:r w:rsidR="005C4C0B">
        <w:t>remove</w:t>
      </w:r>
      <w:r w:rsidR="00E917F1">
        <w:t xml:space="preserve"> the tax advantages of stapled structures were to be introduced, current restrictions around the permitted levels of trading income in trust structures may need to be </w:t>
      </w:r>
      <w:r w:rsidR="00DE24F6">
        <w:t>considered</w:t>
      </w:r>
      <w:r w:rsidR="000F0B9F">
        <w:t xml:space="preserve"> </w:t>
      </w:r>
      <w:r w:rsidR="00E917F1">
        <w:t xml:space="preserve">to </w:t>
      </w:r>
      <w:r w:rsidR="000F0B9F">
        <w:t xml:space="preserve">ensure </w:t>
      </w:r>
      <w:r w:rsidR="00E917F1">
        <w:t>Australia</w:t>
      </w:r>
      <w:r w:rsidR="00D444D5">
        <w:t>’</w:t>
      </w:r>
      <w:r w:rsidR="00E917F1">
        <w:t xml:space="preserve">s </w:t>
      </w:r>
      <w:r w:rsidR="00990C69">
        <w:t xml:space="preserve">ability to attract </w:t>
      </w:r>
      <w:r w:rsidR="000F0B9F">
        <w:t xml:space="preserve">global real estate capital is </w:t>
      </w:r>
      <w:r w:rsidR="00E917F1">
        <w:t>international</w:t>
      </w:r>
      <w:r w:rsidR="000F0B9F">
        <w:t>ly</w:t>
      </w:r>
      <w:r w:rsidR="00E917F1">
        <w:t xml:space="preserve"> competitive</w:t>
      </w:r>
      <w:r w:rsidR="00D444D5">
        <w:t xml:space="preserve">. </w:t>
      </w:r>
    </w:p>
    <w:p w14:paraId="626AF5D5" w14:textId="77777777" w:rsidR="00F3581B" w:rsidRPr="009909FA" w:rsidRDefault="00F3581B" w:rsidP="003778E0">
      <w:pPr>
        <w:pStyle w:val="Heading3"/>
      </w:pPr>
      <w:r>
        <w:t>Board of Tax report</w:t>
      </w:r>
    </w:p>
    <w:p w14:paraId="3C65E95C" w14:textId="6319F8F4" w:rsidR="00915FBA" w:rsidRDefault="00F3581B" w:rsidP="00746597">
      <w:r>
        <w:t xml:space="preserve">As part of its 2009 report on </w:t>
      </w:r>
      <w:r w:rsidR="000F0B9F">
        <w:t>MITs</w:t>
      </w:r>
      <w:r>
        <w:t xml:space="preserve">, the Board of Tax </w:t>
      </w:r>
      <w:r w:rsidR="000F0B9F">
        <w:t xml:space="preserve">considered whether </w:t>
      </w:r>
      <w:r>
        <w:t>a separate taxing regime for REITs</w:t>
      </w:r>
      <w:r w:rsidR="000F0B9F">
        <w:t xml:space="preserve"> would be appropriate</w:t>
      </w:r>
      <w:r w:rsidR="00D444D5">
        <w:t xml:space="preserve">. </w:t>
      </w:r>
      <w:r w:rsidR="00F70465">
        <w:t>In recommending against a separate REIT regime, the Board noted that a separate REIT regime would add cost, complexity and administrative difficulties that would not be outweighed by the potential benefits.</w:t>
      </w:r>
    </w:p>
    <w:p w14:paraId="67DC8590" w14:textId="1244668B" w:rsidR="007D3A5C" w:rsidRDefault="007D3A5C" w:rsidP="00746597">
      <w:r>
        <w:t>In addition, the Board recommended a 10 per cent safe harbour</w:t>
      </w:r>
      <w:r w:rsidR="00202372">
        <w:t xml:space="preserve"> for income from non</w:t>
      </w:r>
      <w:r w:rsidR="00D444D5">
        <w:noBreakHyphen/>
      </w:r>
      <w:r w:rsidR="00202372">
        <w:t>eligible investment business to improve the international competitiveness of Australia</w:t>
      </w:r>
      <w:r w:rsidR="00D444D5">
        <w:t>’</w:t>
      </w:r>
      <w:r w:rsidR="00202372">
        <w:t>s REITs.</w:t>
      </w:r>
    </w:p>
    <w:tbl>
      <w:tblPr>
        <w:tblW w:w="0" w:type="auto"/>
        <w:tblBorders>
          <w:top w:val="single" w:sz="2" w:space="0" w:color="28467D"/>
          <w:left w:val="single" w:sz="2" w:space="0" w:color="28467D"/>
          <w:bottom w:val="single" w:sz="2" w:space="0" w:color="28467D"/>
          <w:right w:val="single" w:sz="2" w:space="0" w:color="28467D"/>
          <w:insideH w:val="single" w:sz="2" w:space="0" w:color="28467D"/>
          <w:insideV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AF7CC4" w14:paraId="3DE50782" w14:textId="77777777" w:rsidTr="00C6593E">
        <w:tc>
          <w:tcPr>
            <w:tcW w:w="9286" w:type="dxa"/>
            <w:shd w:val="clear" w:color="auto" w:fill="F2F2F2" w:themeFill="background1" w:themeFillShade="F2"/>
          </w:tcPr>
          <w:p w14:paraId="027AAA2E" w14:textId="77777777" w:rsidR="00AF7CC4" w:rsidRPr="00367C55" w:rsidRDefault="00AF7CC4" w:rsidP="00AF7CC4">
            <w:pPr>
              <w:pStyle w:val="BoxHeadingnonumber"/>
            </w:pPr>
            <w:r w:rsidRPr="00367C55">
              <w:t>Questions</w:t>
            </w:r>
          </w:p>
          <w:p w14:paraId="36DF5564" w14:textId="2CEDE9DC" w:rsidR="00AF7CC4" w:rsidRPr="00367C55" w:rsidRDefault="00AF7CC4" w:rsidP="00AF7CC4">
            <w:pPr>
              <w:pStyle w:val="BoxNumbering"/>
              <w:rPr>
                <w:b/>
              </w:rPr>
            </w:pPr>
            <w:r>
              <w:t xml:space="preserve">If </w:t>
            </w:r>
            <w:r w:rsidRPr="00702A6D">
              <w:t>the tax advantages of stapled arrangements</w:t>
            </w:r>
            <w:r w:rsidRPr="00367C55">
              <w:t xml:space="preserve"> </w:t>
            </w:r>
            <w:r>
              <w:t>are removed, d</w:t>
            </w:r>
            <w:r w:rsidRPr="00367C55">
              <w:t>oes Australia need a specific REIT regime to provide clarity for flow through tax treatment for real estate investments?</w:t>
            </w:r>
            <w:r>
              <w:t xml:space="preserve"> If so:</w:t>
            </w:r>
          </w:p>
          <w:p w14:paraId="570E8D95" w14:textId="77777777" w:rsidR="00AF7CC4" w:rsidRPr="00367C55" w:rsidRDefault="00AF7CC4" w:rsidP="00AF7CC4">
            <w:pPr>
              <w:pStyle w:val="BoxAlpha-Indent"/>
              <w:rPr>
                <w:b/>
              </w:rPr>
            </w:pPr>
            <w:r w:rsidRPr="00367C55">
              <w:t xml:space="preserve">What might be an appropriate measure and threshold for a designated maximum threshold for associated trading activities (e.g. percentage of profits, income or assets)? </w:t>
            </w:r>
          </w:p>
          <w:p w14:paraId="645A67DD" w14:textId="77777777" w:rsidR="00AF7CC4" w:rsidRPr="00702A6D" w:rsidRDefault="00AF7CC4" w:rsidP="00AF7CC4">
            <w:pPr>
              <w:pStyle w:val="BoxAlpha-Indent"/>
            </w:pPr>
            <w:r w:rsidRPr="00702A6D">
              <w:t xml:space="preserve">Are there any global </w:t>
            </w:r>
            <w:r>
              <w:t>‘</w:t>
            </w:r>
            <w:r w:rsidRPr="00702A6D">
              <w:t>best practice</w:t>
            </w:r>
            <w:r>
              <w:t>’</w:t>
            </w:r>
            <w:r w:rsidRPr="00702A6D">
              <w:t xml:space="preserve"> models for REIT regimes that should be considered?</w:t>
            </w:r>
          </w:p>
          <w:p w14:paraId="3519E7F9" w14:textId="356B9767" w:rsidR="00AF7CC4" w:rsidRDefault="00AF7CC4" w:rsidP="00AF7CC4">
            <w:pPr>
              <w:pStyle w:val="BoxNumbering"/>
            </w:pPr>
            <w:r w:rsidRPr="00702A6D">
              <w:t>If Australia did not introduce a specific REIT regime, what are some alternatives for providing greater clarity to taxpayers to distinguish between acceptable and non</w:t>
            </w:r>
            <w:r>
              <w:noBreakHyphen/>
            </w:r>
            <w:r w:rsidRPr="00702A6D">
              <w:t>acceptable fragmented structures with common economic owners?</w:t>
            </w:r>
          </w:p>
        </w:tc>
      </w:tr>
    </w:tbl>
    <w:p w14:paraId="0C0E0E39" w14:textId="77777777" w:rsidR="00AF7CC4" w:rsidRDefault="00AF7CC4" w:rsidP="00746597"/>
    <w:p w14:paraId="33D8B38A" w14:textId="77777777" w:rsidR="008C3938" w:rsidRDefault="00AE1E5E" w:rsidP="00D36E6D">
      <w:pPr>
        <w:pStyle w:val="Heading2"/>
      </w:pPr>
      <w:bookmarkStart w:id="198" w:name="_Toc477524669"/>
      <w:bookmarkStart w:id="199" w:name="_Toc477524886"/>
      <w:bookmarkStart w:id="200" w:name="_Toc477525177"/>
      <w:bookmarkStart w:id="201" w:name="_Toc477525258"/>
      <w:bookmarkStart w:id="202" w:name="_Toc477529866"/>
      <w:bookmarkStart w:id="203" w:name="_Toc477530077"/>
      <w:bookmarkStart w:id="204" w:name="_Toc477530131"/>
      <w:bookmarkStart w:id="205" w:name="_Toc477530242"/>
      <w:bookmarkStart w:id="206" w:name="_Toc477536453"/>
      <w:bookmarkStart w:id="207" w:name="_Toc477537825"/>
      <w:bookmarkStart w:id="208" w:name="_Toc478139111"/>
      <w:r>
        <w:t xml:space="preserve">Other </w:t>
      </w:r>
      <w:bookmarkEnd w:id="198"/>
      <w:bookmarkEnd w:id="199"/>
      <w:bookmarkEnd w:id="200"/>
      <w:bookmarkEnd w:id="201"/>
      <w:r>
        <w:t>s</w:t>
      </w:r>
      <w:r w:rsidR="008C3938">
        <w:t xml:space="preserve">pecific </w:t>
      </w:r>
      <w:r>
        <w:t>i</w:t>
      </w:r>
      <w:r w:rsidR="008C3938">
        <w:t>ndustr</w:t>
      </w:r>
      <w:r w:rsidR="00F30873">
        <w:t>y</w:t>
      </w:r>
      <w:r>
        <w:t xml:space="preserve"> concessions</w:t>
      </w:r>
      <w:bookmarkEnd w:id="202"/>
      <w:bookmarkEnd w:id="203"/>
      <w:bookmarkEnd w:id="204"/>
      <w:bookmarkEnd w:id="205"/>
      <w:bookmarkEnd w:id="206"/>
      <w:bookmarkEnd w:id="207"/>
      <w:bookmarkEnd w:id="208"/>
    </w:p>
    <w:p w14:paraId="1B6C72BA" w14:textId="565B8E12" w:rsidR="00915FBA" w:rsidRDefault="00444CC3" w:rsidP="008B4DB7">
      <w:r>
        <w:t xml:space="preserve">The Government acknowledges that if it determines </w:t>
      </w:r>
      <w:r w:rsidR="00CD2FC0">
        <w:t>tax law changes are appropriate to</w:t>
      </w:r>
      <w:r>
        <w:t xml:space="preserve"> </w:t>
      </w:r>
      <w:r w:rsidR="00CD2FC0">
        <w:t>effectively</w:t>
      </w:r>
      <w:r w:rsidR="00CD2FC0" w:rsidRPr="007020C1">
        <w:t xml:space="preserve"> </w:t>
      </w:r>
      <w:r w:rsidR="00763F17">
        <w:t>remove</w:t>
      </w:r>
      <w:r w:rsidR="00F30873">
        <w:t xml:space="preserve"> the tax advantages of</w:t>
      </w:r>
      <w:r w:rsidR="00CD2FC0" w:rsidRPr="007020C1">
        <w:t xml:space="preserve"> stapled arrangement</w:t>
      </w:r>
      <w:r w:rsidR="00075ED2">
        <w:t>s</w:t>
      </w:r>
      <w:r w:rsidR="00CD2FC0">
        <w:t xml:space="preserve">, some </w:t>
      </w:r>
      <w:r w:rsidR="00185E74">
        <w:t>arrangements</w:t>
      </w:r>
      <w:r w:rsidR="00CD2FC0">
        <w:t xml:space="preserve"> </w:t>
      </w:r>
      <w:r w:rsidR="00185E74">
        <w:t xml:space="preserve">in respect of </w:t>
      </w:r>
      <w:r w:rsidR="00DE260C">
        <w:t xml:space="preserve">critical </w:t>
      </w:r>
      <w:r w:rsidR="00185E74">
        <w:t xml:space="preserve">infrastructure </w:t>
      </w:r>
      <w:r w:rsidR="00CD2FC0">
        <w:t>may be especially adversely affected</w:t>
      </w:r>
      <w:r w:rsidR="00D444D5">
        <w:t xml:space="preserve">. </w:t>
      </w:r>
      <w:r w:rsidR="00185E74">
        <w:t xml:space="preserve">This may also deter future investment in </w:t>
      </w:r>
      <w:r w:rsidR="00F36C76">
        <w:t>critical</w:t>
      </w:r>
      <w:r w:rsidR="00185E74">
        <w:t xml:space="preserve"> infrastructure assets.</w:t>
      </w:r>
    </w:p>
    <w:p w14:paraId="26B3B299" w14:textId="1B6640C6" w:rsidR="0006231F" w:rsidRDefault="00DE260C" w:rsidP="008B4DB7">
      <w:r>
        <w:t xml:space="preserve">In this context, consideration could be given to other more targeted measures to support investment in critical infrastructure. For example, </w:t>
      </w:r>
      <w:r w:rsidR="007A1CA8">
        <w:t xml:space="preserve">Australia introduced certain tax loss concessions for infrastructure investments as part of </w:t>
      </w:r>
      <w:r w:rsidR="0006231F">
        <w:t>the 2011</w:t>
      </w:r>
      <w:r w:rsidR="00D444D5">
        <w:noBreakHyphen/>
      </w:r>
      <w:r w:rsidR="0006231F">
        <w:t xml:space="preserve">12 Budget </w:t>
      </w:r>
      <w:r w:rsidR="007A1CA8">
        <w:t>applicable to</w:t>
      </w:r>
      <w:r w:rsidR="0006231F">
        <w:t xml:space="preserve"> designated infrastructure projects</w:t>
      </w:r>
      <w:r w:rsidR="002930C6">
        <w:t xml:space="preserve"> </w:t>
      </w:r>
      <w:r w:rsidR="007A1CA8">
        <w:t>(determined by</w:t>
      </w:r>
      <w:r w:rsidR="0006231F">
        <w:t xml:space="preserve"> Infrastructure Australia</w:t>
      </w:r>
      <w:r w:rsidR="007A1CA8">
        <w:t>)</w:t>
      </w:r>
      <w:r w:rsidR="0006231F">
        <w:t xml:space="preserve">. </w:t>
      </w:r>
      <w:r w:rsidR="007A1CA8">
        <w:t xml:space="preserve">However, </w:t>
      </w:r>
      <w:r w:rsidR="00DA67E6">
        <w:t>v</w:t>
      </w:r>
      <w:r w:rsidR="0006231F">
        <w:t>ery limited use has been made of the tax loss incentive so far</w:t>
      </w:r>
      <w:r w:rsidR="00DA67E6">
        <w:t>.</w:t>
      </w:r>
    </w:p>
    <w:tbl>
      <w:tblPr>
        <w:tblW w:w="0" w:type="auto"/>
        <w:tblBorders>
          <w:top w:val="single" w:sz="2" w:space="0" w:color="28467D"/>
          <w:left w:val="single" w:sz="2" w:space="0" w:color="28467D"/>
          <w:bottom w:val="single" w:sz="2" w:space="0" w:color="28467D"/>
          <w:right w:val="single" w:sz="2" w:space="0" w:color="28467D"/>
          <w:insideH w:val="single" w:sz="2" w:space="0" w:color="28467D"/>
          <w:insideV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AF7CC4" w14:paraId="06B841B7" w14:textId="77777777" w:rsidTr="00C6593E">
        <w:tc>
          <w:tcPr>
            <w:tcW w:w="9286" w:type="dxa"/>
            <w:shd w:val="clear" w:color="auto" w:fill="F2F2F2" w:themeFill="background1" w:themeFillShade="F2"/>
          </w:tcPr>
          <w:p w14:paraId="478C5CAD" w14:textId="77777777" w:rsidR="00AF7CC4" w:rsidRPr="006720B0" w:rsidRDefault="00AF7CC4" w:rsidP="00AF7CC4">
            <w:pPr>
              <w:pStyle w:val="BoxHeadingnonumber"/>
            </w:pPr>
            <w:r w:rsidRPr="006720B0">
              <w:t>Questions</w:t>
            </w:r>
          </w:p>
          <w:p w14:paraId="6ECC3B87" w14:textId="664A9B78" w:rsidR="00AF7CC4" w:rsidRPr="00367C55" w:rsidRDefault="00AF7CC4" w:rsidP="00AF7CC4">
            <w:pPr>
              <w:pStyle w:val="BoxNumbering"/>
              <w:rPr>
                <w:b/>
              </w:rPr>
            </w:pPr>
            <w:r>
              <w:t>If</w:t>
            </w:r>
            <w:r w:rsidRPr="00A33CF7">
              <w:t xml:space="preserve"> the tax advantages of stapled arrangements</w:t>
            </w:r>
            <w:r w:rsidRPr="00367C55">
              <w:t xml:space="preserve"> </w:t>
            </w:r>
            <w:r>
              <w:t>are removed, d</w:t>
            </w:r>
            <w:r w:rsidRPr="00367C55">
              <w:t xml:space="preserve">oes Australia need </w:t>
            </w:r>
            <w:r>
              <w:t>specific concessions for critical infrastructure investment?</w:t>
            </w:r>
          </w:p>
          <w:p w14:paraId="40689210" w14:textId="2C148C5A" w:rsidR="00AF7CC4" w:rsidRDefault="00AF7CC4" w:rsidP="00AF7CC4">
            <w:pPr>
              <w:pStyle w:val="BoxNumbering"/>
            </w:pPr>
            <w:r>
              <w:t>If Australia does need such concessions for critical infrastructure investment, what should be the form of those concessions?</w:t>
            </w:r>
          </w:p>
        </w:tc>
      </w:tr>
    </w:tbl>
    <w:p w14:paraId="4F834152" w14:textId="77777777" w:rsidR="00AF7CC4" w:rsidRPr="00AF7CC4" w:rsidRDefault="00AF7CC4" w:rsidP="00AF7CC4"/>
    <w:p w14:paraId="2F82521E" w14:textId="77777777" w:rsidR="00835A88" w:rsidRPr="00AF7CC4" w:rsidRDefault="00835A88" w:rsidP="00AF7CC4">
      <w:bookmarkStart w:id="209" w:name="_Toc477529867"/>
      <w:bookmarkStart w:id="210" w:name="_Toc477536454"/>
      <w:bookmarkStart w:id="211" w:name="_Toc477537826"/>
      <w:bookmarkStart w:id="212" w:name="_Toc477530078"/>
      <w:bookmarkStart w:id="213" w:name="_Toc477530132"/>
      <w:bookmarkStart w:id="214" w:name="_Toc477530243"/>
      <w:bookmarkStart w:id="215" w:name="_Toc477524670"/>
      <w:bookmarkStart w:id="216" w:name="_Toc477525178"/>
    </w:p>
    <w:p w14:paraId="6DDD2B22" w14:textId="77777777" w:rsidR="00835A88" w:rsidRPr="00AF7CC4" w:rsidRDefault="00835A88" w:rsidP="00AF7CC4">
      <w:pPr>
        <w:sectPr w:rsidR="00835A88" w:rsidRPr="00AF7CC4" w:rsidSect="003778E0">
          <w:footerReference w:type="first" r:id="rId35"/>
          <w:pgSz w:w="11906" w:h="16838" w:code="9"/>
          <w:pgMar w:top="1418" w:right="1418" w:bottom="1418" w:left="1418" w:header="709" w:footer="709" w:gutter="0"/>
          <w:cols w:space="708"/>
          <w:titlePg/>
          <w:docGrid w:linePitch="360"/>
        </w:sectPr>
      </w:pPr>
    </w:p>
    <w:p w14:paraId="08C9BCFA" w14:textId="4B18476F" w:rsidR="00915FBA" w:rsidRPr="00180805" w:rsidRDefault="003778E0" w:rsidP="004C5D21">
      <w:pPr>
        <w:pStyle w:val="Heading1"/>
        <w:rPr>
          <w:sz w:val="24"/>
        </w:rPr>
      </w:pPr>
      <w:bookmarkStart w:id="217" w:name="_Toc478139112"/>
      <w:r w:rsidRPr="00180805">
        <w:t xml:space="preserve">Impacts </w:t>
      </w:r>
      <w:r>
        <w:t>o</w:t>
      </w:r>
      <w:r w:rsidRPr="00180805">
        <w:t xml:space="preserve">f </w:t>
      </w:r>
      <w:bookmarkEnd w:id="209"/>
      <w:bookmarkEnd w:id="210"/>
      <w:bookmarkEnd w:id="211"/>
      <w:bookmarkEnd w:id="212"/>
      <w:bookmarkEnd w:id="213"/>
      <w:bookmarkEnd w:id="214"/>
      <w:bookmarkEnd w:id="215"/>
      <w:bookmarkEnd w:id="216"/>
      <w:r>
        <w:t>policy options</w:t>
      </w:r>
      <w:bookmarkEnd w:id="217"/>
    </w:p>
    <w:p w14:paraId="3E638069" w14:textId="5E16A9F0" w:rsidR="00915FBA" w:rsidRDefault="006355FF" w:rsidP="0090212E">
      <w:r>
        <w:t xml:space="preserve">Given the tax system may be a factor in decisions about how to structure particular businesses, it will be important to consider what effect any </w:t>
      </w:r>
      <w:r w:rsidR="006505FD">
        <w:t xml:space="preserve">policy options </w:t>
      </w:r>
      <w:r>
        <w:t>to reduce the scope to re</w:t>
      </w:r>
      <w:r w:rsidR="00AF7CC4">
        <w:t>-</w:t>
      </w:r>
      <w:r>
        <w:t xml:space="preserve">characterise income will have on </w:t>
      </w:r>
      <w:r w:rsidR="00F226B5">
        <w:t xml:space="preserve">tax revenue and </w:t>
      </w:r>
      <w:r>
        <w:t>the Australian economy.</w:t>
      </w:r>
    </w:p>
    <w:p w14:paraId="0A4221D3" w14:textId="77777777" w:rsidR="00F54B71" w:rsidRDefault="00F54B71" w:rsidP="00D36E6D">
      <w:pPr>
        <w:pStyle w:val="Heading2"/>
      </w:pPr>
      <w:bookmarkStart w:id="218" w:name="_Toc478139113"/>
      <w:r>
        <w:t>Tax revenue</w:t>
      </w:r>
      <w:bookmarkEnd w:id="218"/>
    </w:p>
    <w:p w14:paraId="261861CA" w14:textId="6F303930" w:rsidR="008B2E7F" w:rsidRDefault="00F82C14" w:rsidP="0090212E">
      <w:r w:rsidRPr="00F82C14">
        <w:t xml:space="preserve">As </w:t>
      </w:r>
      <w:r w:rsidR="008B2E7F">
        <w:t xml:space="preserve">the </w:t>
      </w:r>
      <w:r w:rsidR="00262A4C">
        <w:t>policy options under consideration would</w:t>
      </w:r>
      <w:r w:rsidR="008B2E7F">
        <w:t xml:space="preserve"> reduce the scope to convert active business income into p</w:t>
      </w:r>
      <w:r w:rsidR="00C171D2">
        <w:t xml:space="preserve">assive income, </w:t>
      </w:r>
      <w:r w:rsidR="00DE260C">
        <w:t>they</w:t>
      </w:r>
      <w:r w:rsidR="00F226B5">
        <w:t xml:space="preserve"> sh</w:t>
      </w:r>
      <w:r w:rsidR="008B2E7F">
        <w:t>ould increase tax revenue</w:t>
      </w:r>
      <w:r w:rsidR="008F7097">
        <w:t xml:space="preserve"> and the </w:t>
      </w:r>
      <w:r w:rsidR="00E76C99">
        <w:t>capacity</w:t>
      </w:r>
      <w:r w:rsidR="008F7097">
        <w:t xml:space="preserve"> </w:t>
      </w:r>
      <w:r w:rsidR="00E76C99">
        <w:t>of</w:t>
      </w:r>
      <w:r w:rsidR="008F7097">
        <w:t xml:space="preserve"> the Government to fund </w:t>
      </w:r>
      <w:r w:rsidR="008F7097" w:rsidRPr="004653D1">
        <w:t>infrastructure and public services</w:t>
      </w:r>
      <w:r w:rsidR="008B2E7F">
        <w:t xml:space="preserve">. </w:t>
      </w:r>
      <w:r w:rsidR="00C42874">
        <w:t xml:space="preserve">In addition, any changes may increase public confidence in the integrity of the tax system by ensuring more taxpayers pay </w:t>
      </w:r>
      <w:r w:rsidR="00870077">
        <w:t>an appropriate</w:t>
      </w:r>
      <w:r w:rsidR="00C42874">
        <w:t xml:space="preserve"> amount of tax</w:t>
      </w:r>
      <w:r w:rsidR="00D444D5">
        <w:t xml:space="preserve">. </w:t>
      </w:r>
    </w:p>
    <w:p w14:paraId="106C3676" w14:textId="77777777" w:rsidR="00F54B71" w:rsidRDefault="00F54B71" w:rsidP="00D36E6D">
      <w:pPr>
        <w:pStyle w:val="Heading2"/>
      </w:pPr>
      <w:bookmarkStart w:id="219" w:name="_Toc478139114"/>
      <w:r>
        <w:t>Investment</w:t>
      </w:r>
      <w:bookmarkEnd w:id="219"/>
    </w:p>
    <w:p w14:paraId="22720990" w14:textId="6A72F95F" w:rsidR="00E76C99" w:rsidRDefault="00973407" w:rsidP="0090212E">
      <w:r>
        <w:t xml:space="preserve">Removing these tax advantages </w:t>
      </w:r>
      <w:r w:rsidR="00E76C99">
        <w:t xml:space="preserve">may increase the cost of capital </w:t>
      </w:r>
      <w:r>
        <w:t xml:space="preserve">for particular arrangements relying on the current tax advantage to improve the </w:t>
      </w:r>
      <w:r w:rsidR="00E76C99">
        <w:t>after</w:t>
      </w:r>
      <w:r w:rsidR="00D444D5">
        <w:noBreakHyphen/>
      </w:r>
      <w:r w:rsidR="00E76C99">
        <w:t xml:space="preserve">tax rate of return </w:t>
      </w:r>
      <w:r>
        <w:t xml:space="preserve">to </w:t>
      </w:r>
      <w:r w:rsidR="00E76C99">
        <w:t>investors.</w:t>
      </w:r>
    </w:p>
    <w:p w14:paraId="0BE591BD" w14:textId="1FF6802C" w:rsidR="008540D9" w:rsidRDefault="00924391" w:rsidP="0090212E">
      <w:r>
        <w:t xml:space="preserve">The </w:t>
      </w:r>
      <w:r w:rsidR="0017127C">
        <w:t>option</w:t>
      </w:r>
      <w:r>
        <w:t xml:space="preserve">s should </w:t>
      </w:r>
      <w:r w:rsidR="00973407">
        <w:t xml:space="preserve">however reduce distortions to investment decisions and </w:t>
      </w:r>
      <w:r>
        <w:t xml:space="preserve">improve competitive neutrality. Hence, </w:t>
      </w:r>
      <w:r w:rsidRPr="00924391">
        <w:t>entities</w:t>
      </w:r>
      <w:r w:rsidR="00973407">
        <w:t xml:space="preserve"> and sectors</w:t>
      </w:r>
      <w:r w:rsidR="00CF7908">
        <w:t xml:space="preserve"> which have not been </w:t>
      </w:r>
      <w:r w:rsidR="004430AB">
        <w:t>able to benefit from the</w:t>
      </w:r>
      <w:r w:rsidR="00AF7CC4">
        <w:br/>
      </w:r>
      <w:r w:rsidR="00CF7908">
        <w:t>re</w:t>
      </w:r>
      <w:r w:rsidR="00AF7CC4">
        <w:t>-</w:t>
      </w:r>
      <w:r w:rsidR="00CF7908">
        <w:t>characteris</w:t>
      </w:r>
      <w:r w:rsidR="004430AB">
        <w:t>at</w:t>
      </w:r>
      <w:r w:rsidR="00CF7908">
        <w:t>i</w:t>
      </w:r>
      <w:r w:rsidR="004430AB">
        <w:t>o</w:t>
      </w:r>
      <w:r w:rsidR="00CF7908">
        <w:t>n</w:t>
      </w:r>
      <w:r w:rsidR="004430AB">
        <w:t xml:space="preserve"> of active</w:t>
      </w:r>
      <w:r w:rsidR="00E24826">
        <w:t xml:space="preserve"> </w:t>
      </w:r>
      <w:r w:rsidR="00CF7908">
        <w:t xml:space="preserve">income, </w:t>
      </w:r>
      <w:r w:rsidRPr="00924391">
        <w:t xml:space="preserve">may be </w:t>
      </w:r>
      <w:r>
        <w:t>better able to compete</w:t>
      </w:r>
      <w:r w:rsidRPr="00924391">
        <w:t xml:space="preserve"> on price</w:t>
      </w:r>
      <w:r w:rsidR="00D70980">
        <w:t>.</w:t>
      </w:r>
      <w:r w:rsidRPr="00924391">
        <w:t xml:space="preserve"> </w:t>
      </w:r>
    </w:p>
    <w:p w14:paraId="44DCF812" w14:textId="5D26452C" w:rsidR="005C5486" w:rsidRDefault="005C5486" w:rsidP="0090212E">
      <w:r>
        <w:t>If these policy options reduce the use of structures, such as stapled entities, investors may make more informed investment decisions,</w:t>
      </w:r>
      <w:r w:rsidDel="003A6821">
        <w:t xml:space="preserve"> </w:t>
      </w:r>
      <w:r>
        <w:t>better understand fees or payments to managers and better price the associated risks. Establishment and ongoing compliance costs may also reduce with a simpler model</w:t>
      </w:r>
      <w:r w:rsidR="00D444D5">
        <w:t xml:space="preserve">. </w:t>
      </w:r>
    </w:p>
    <w:p w14:paraId="0114AA86" w14:textId="77777777" w:rsidR="00D40A69" w:rsidRDefault="00227F27" w:rsidP="0090212E">
      <w:r>
        <w:t>Depending on the options chosen, e</w:t>
      </w:r>
      <w:r w:rsidR="00D40A69">
        <w:t xml:space="preserve">ntities may incur some </w:t>
      </w:r>
      <w:r w:rsidR="00973407">
        <w:t xml:space="preserve">additional compliance </w:t>
      </w:r>
      <w:r w:rsidR="00D40A69">
        <w:t>cost</w:t>
      </w:r>
      <w:r w:rsidR="00973407">
        <w:t>s</w:t>
      </w:r>
      <w:r w:rsidR="00D40A69">
        <w:t>, such as legal fees, restructuring costs and stamp duties, in adjusting to any changes</w:t>
      </w:r>
      <w:r w:rsidR="00125A65">
        <w:t xml:space="preserve"> in the tax treatment of stapled arrangements</w:t>
      </w:r>
      <w:r w:rsidR="00D40A69">
        <w:t>. Transitional arrangements (discussed below) could provide existing entities with time to complete or restructure their current arrangements, such as loans, to minimise unnecessary commercial disruption and costs.</w:t>
      </w:r>
    </w:p>
    <w:p w14:paraId="43D178EE" w14:textId="0A192411" w:rsidR="00412626" w:rsidRDefault="00412626" w:rsidP="0090212E">
      <w:r>
        <w:t xml:space="preserve">The impact of these </w:t>
      </w:r>
      <w:r w:rsidR="00125A65">
        <w:t xml:space="preserve">policy options </w:t>
      </w:r>
      <w:r>
        <w:t xml:space="preserve">may differ </w:t>
      </w:r>
      <w:r w:rsidR="00E9019B">
        <w:t xml:space="preserve">between taxpayers and </w:t>
      </w:r>
      <w:r>
        <w:t>across sectors given the extent of income re</w:t>
      </w:r>
      <w:r w:rsidR="00D444D5">
        <w:noBreakHyphen/>
      </w:r>
      <w:r>
        <w:t>chara</w:t>
      </w:r>
      <w:r w:rsidR="001B3FEA">
        <w:t>c</w:t>
      </w:r>
      <w:r>
        <w:t xml:space="preserve">terisation occurring currently and </w:t>
      </w:r>
      <w:r w:rsidR="004430AB">
        <w:t xml:space="preserve">any </w:t>
      </w:r>
      <w:r w:rsidR="004D0132">
        <w:t xml:space="preserve">differences in </w:t>
      </w:r>
      <w:r w:rsidR="004430AB">
        <w:t>the</w:t>
      </w:r>
      <w:r w:rsidR="004D0132">
        <w:t xml:space="preserve"> </w:t>
      </w:r>
      <w:r>
        <w:t>sensitivity of investment to tax.</w:t>
      </w:r>
    </w:p>
    <w:p w14:paraId="56191777" w14:textId="45F4A6E9" w:rsidR="001B3FEA" w:rsidRDefault="001B3FEA" w:rsidP="00D40A69">
      <w:r>
        <w:t xml:space="preserve">In addition, if a specific REIT regime is provided then the impact on </w:t>
      </w:r>
      <w:r w:rsidR="009F0825">
        <w:t xml:space="preserve">this sector </w:t>
      </w:r>
      <w:r w:rsidR="00AF7CC4">
        <w:t>may be more limited.</w:t>
      </w:r>
    </w:p>
    <w:tbl>
      <w:tblPr>
        <w:tblW w:w="0" w:type="auto"/>
        <w:tblBorders>
          <w:top w:val="single" w:sz="2" w:space="0" w:color="28467D"/>
          <w:left w:val="single" w:sz="2" w:space="0" w:color="28467D"/>
          <w:bottom w:val="single" w:sz="2" w:space="0" w:color="28467D"/>
          <w:right w:val="single" w:sz="2" w:space="0" w:color="28467D"/>
          <w:insideH w:val="single" w:sz="2" w:space="0" w:color="28467D"/>
          <w:insideV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AF7CC4" w14:paraId="32EB171D" w14:textId="77777777" w:rsidTr="00C6593E">
        <w:tc>
          <w:tcPr>
            <w:tcW w:w="9286" w:type="dxa"/>
            <w:shd w:val="clear" w:color="auto" w:fill="F2F2F2" w:themeFill="background1" w:themeFillShade="F2"/>
          </w:tcPr>
          <w:p w14:paraId="437A0599" w14:textId="77777777" w:rsidR="00AF7CC4" w:rsidRDefault="00AF7CC4" w:rsidP="00AF7CC4">
            <w:pPr>
              <w:pStyle w:val="BoxHeadingnonumber"/>
            </w:pPr>
            <w:r>
              <w:t>Questions</w:t>
            </w:r>
          </w:p>
          <w:p w14:paraId="3B359E91" w14:textId="77777777" w:rsidR="00AF7CC4" w:rsidRPr="00702A6D" w:rsidRDefault="00AF7CC4" w:rsidP="00AF7CC4">
            <w:pPr>
              <w:pStyle w:val="BoxNumbering"/>
            </w:pPr>
            <w:r w:rsidRPr="00702A6D">
              <w:t>If tax laws are amended to</w:t>
            </w:r>
            <w:r w:rsidRPr="00702A6D">
              <w:rPr>
                <w:b/>
              </w:rPr>
              <w:t xml:space="preserve"> </w:t>
            </w:r>
            <w:r w:rsidRPr="00702A6D">
              <w:t>remove the tax advantages of stapled arrangement</w:t>
            </w:r>
            <w:r w:rsidRPr="00702A6D">
              <w:rPr>
                <w:b/>
              </w:rPr>
              <w:t>s</w:t>
            </w:r>
            <w:r>
              <w:t>,</w:t>
            </w:r>
            <w:r w:rsidRPr="00702A6D">
              <w:t xml:space="preserve"> what impact do you consider this would have on the Australian economy, including the cost of capital, level of investment and price of assets? Please include any supporting evidence.</w:t>
            </w:r>
          </w:p>
          <w:p w14:paraId="1310EE4E" w14:textId="77777777" w:rsidR="00AF7CC4" w:rsidRPr="00702A6D" w:rsidRDefault="00AF7CC4" w:rsidP="00AF7CC4">
            <w:pPr>
              <w:pStyle w:val="BoxNumbering"/>
              <w:rPr>
                <w:b/>
              </w:rPr>
            </w:pPr>
            <w:r w:rsidRPr="00702A6D">
              <w:t>To what extent would alternative measures, such as</w:t>
            </w:r>
            <w:r w:rsidRPr="00702A6D">
              <w:rPr>
                <w:b/>
              </w:rPr>
              <w:t xml:space="preserve"> </w:t>
            </w:r>
            <w:r w:rsidRPr="00F52703">
              <w:t>a higher percentage of trading business permitted to be carried out by Division 6 trusts ameliorate these impacts?</w:t>
            </w:r>
          </w:p>
          <w:p w14:paraId="0B92E0B5" w14:textId="77777777" w:rsidR="00AF7CC4" w:rsidRPr="00702A6D" w:rsidRDefault="00AF7CC4" w:rsidP="00AF7CC4">
            <w:pPr>
              <w:pStyle w:val="BoxNumbering"/>
              <w:rPr>
                <w:b/>
              </w:rPr>
            </w:pPr>
            <w:r w:rsidRPr="00702A6D">
              <w:t>Are there any specific sectoral impacts that should be considered?</w:t>
            </w:r>
          </w:p>
          <w:p w14:paraId="3F1C11FE" w14:textId="1CC34657" w:rsidR="00AF7CC4" w:rsidRDefault="00AF7CC4" w:rsidP="00AF7CC4">
            <w:pPr>
              <w:pStyle w:val="BoxNumbering"/>
            </w:pPr>
            <w:r w:rsidRPr="00702A6D">
              <w:t>Would the impact be different for new and existing investment and entities? If so, how?</w:t>
            </w:r>
          </w:p>
        </w:tc>
      </w:tr>
    </w:tbl>
    <w:p w14:paraId="700D369A" w14:textId="77777777" w:rsidR="00AF7CC4" w:rsidRPr="00AD4715" w:rsidRDefault="00AF7CC4" w:rsidP="00AD4715"/>
    <w:p w14:paraId="58230B94" w14:textId="77777777" w:rsidR="00AD4715" w:rsidRPr="00AD4715" w:rsidRDefault="00AD4715" w:rsidP="00AD4715"/>
    <w:p w14:paraId="4D9A2E28" w14:textId="77777777" w:rsidR="00AD4715" w:rsidRDefault="00AD4715" w:rsidP="00D36E6D">
      <w:pPr>
        <w:pStyle w:val="Heading2"/>
        <w:sectPr w:rsidR="00AD4715" w:rsidSect="003778E0">
          <w:footerReference w:type="first" r:id="rId36"/>
          <w:pgSz w:w="11906" w:h="16838" w:code="9"/>
          <w:pgMar w:top="1418" w:right="1418" w:bottom="1418" w:left="1418" w:header="709" w:footer="709" w:gutter="0"/>
          <w:cols w:space="708"/>
          <w:titlePg/>
          <w:docGrid w:linePitch="360"/>
        </w:sectPr>
      </w:pPr>
      <w:bookmarkStart w:id="220" w:name="_Toc477351615"/>
      <w:bookmarkStart w:id="221" w:name="_Toc477524671"/>
      <w:bookmarkStart w:id="222" w:name="_Toc477525179"/>
      <w:bookmarkStart w:id="223" w:name="_Toc477529868"/>
      <w:bookmarkStart w:id="224" w:name="_Toc477530079"/>
      <w:bookmarkStart w:id="225" w:name="_Toc477530133"/>
      <w:bookmarkStart w:id="226" w:name="_Toc477530244"/>
      <w:bookmarkStart w:id="227" w:name="_Toc477536455"/>
      <w:bookmarkStart w:id="228" w:name="_Toc477537827"/>
    </w:p>
    <w:p w14:paraId="05C16119" w14:textId="1DCC9C70" w:rsidR="00915FBA" w:rsidRPr="007163F4" w:rsidRDefault="00915FBA" w:rsidP="00AD4715">
      <w:pPr>
        <w:pStyle w:val="Heading1"/>
      </w:pPr>
      <w:bookmarkStart w:id="229" w:name="_Toc478139115"/>
      <w:r w:rsidRPr="007163F4">
        <w:t>Implementation and Transitional Issues</w:t>
      </w:r>
      <w:bookmarkEnd w:id="220"/>
      <w:bookmarkEnd w:id="221"/>
      <w:bookmarkEnd w:id="222"/>
      <w:bookmarkEnd w:id="223"/>
      <w:bookmarkEnd w:id="224"/>
      <w:bookmarkEnd w:id="225"/>
      <w:bookmarkEnd w:id="226"/>
      <w:bookmarkEnd w:id="227"/>
      <w:bookmarkEnd w:id="228"/>
      <w:bookmarkEnd w:id="229"/>
    </w:p>
    <w:p w14:paraId="66B6AFC8" w14:textId="77777777" w:rsidR="00784006" w:rsidRDefault="008B1CF2" w:rsidP="008B4DB7">
      <w:r>
        <w:t>W</w:t>
      </w:r>
      <w:r w:rsidR="007163F4" w:rsidRPr="007163F4">
        <w:t>here</w:t>
      </w:r>
      <w:r w:rsidR="007163F4">
        <w:t xml:space="preserve"> </w:t>
      </w:r>
      <w:r w:rsidR="007163F4" w:rsidRPr="007163F4">
        <w:t xml:space="preserve">modifications to tax laws are proposed to eliminate tax distortions arising from the use of staples, the treatment of stapled arrangements </w:t>
      </w:r>
      <w:r w:rsidR="00F10D82">
        <w:t xml:space="preserve">already </w:t>
      </w:r>
      <w:r w:rsidR="007163F4" w:rsidRPr="007163F4">
        <w:t xml:space="preserve">in existence must be considered. </w:t>
      </w:r>
    </w:p>
    <w:p w14:paraId="0982723D" w14:textId="21090818" w:rsidR="007163F4" w:rsidRPr="007163F4" w:rsidRDefault="007163F4" w:rsidP="0090212E">
      <w:r w:rsidRPr="007163F4">
        <w:t xml:space="preserve">Experience internationally strongly suggests that any permanent grandfathering of existing structures would encourage the </w:t>
      </w:r>
      <w:r w:rsidR="00F10D82">
        <w:t>inappropriate use of those grandfathered</w:t>
      </w:r>
      <w:r w:rsidRPr="007163F4">
        <w:t xml:space="preserve"> structures</w:t>
      </w:r>
      <w:r w:rsidR="00F10D82">
        <w:t xml:space="preserve"> to acquire new investments</w:t>
      </w:r>
      <w:r w:rsidRPr="007163F4">
        <w:t xml:space="preserve"> </w:t>
      </w:r>
      <w:r w:rsidR="00F10D82">
        <w:t>which would</w:t>
      </w:r>
      <w:r w:rsidR="00F10D82" w:rsidRPr="007163F4">
        <w:t xml:space="preserve"> </w:t>
      </w:r>
      <w:r w:rsidRPr="007163F4">
        <w:t xml:space="preserve">introduce significant </w:t>
      </w:r>
      <w:r w:rsidR="008B1CF2">
        <w:t xml:space="preserve">competitive </w:t>
      </w:r>
      <w:r w:rsidRPr="007163F4">
        <w:t xml:space="preserve">distortions into the market. It would create equity issues, as grandfathered structures would be at an advantage when undertaking new investment, assisted by tax advantages not available to new structures. </w:t>
      </w:r>
    </w:p>
    <w:p w14:paraId="6C6534D2" w14:textId="77777777" w:rsidR="007163F4" w:rsidRDefault="007163F4" w:rsidP="0090212E">
      <w:r w:rsidRPr="007163F4">
        <w:t>An alternative to grandfathering is to introduce transitional arrangements to bring all stapled arrangements under the new laws over an appropriate period of time.</w:t>
      </w:r>
      <w:r>
        <w:t xml:space="preserve"> </w:t>
      </w:r>
      <w:r w:rsidRPr="007163F4">
        <w:t>The enactment of the Canadian SIFT legislation was accompanied by a 5 year grace period</w:t>
      </w:r>
      <w:r w:rsidR="00A039E7">
        <w:t xml:space="preserve"> and rollover relief</w:t>
      </w:r>
      <w:r w:rsidRPr="007163F4">
        <w:t xml:space="preserve">, to allow stapled structures time to restructure their affairs. Further, the Canadian approach included rules under which the existing structures were prohibited from growing beyond a certain size. </w:t>
      </w:r>
    </w:p>
    <w:p w14:paraId="01A85201" w14:textId="437B6B31" w:rsidR="00651E24" w:rsidRDefault="00651E24" w:rsidP="0090212E">
      <w:r>
        <w:t>In Australia, when Division 6C was introduced, there was a 3 year transitiona</w:t>
      </w:r>
      <w:r w:rsidR="00211EA3">
        <w:t>l</w:t>
      </w:r>
      <w:r>
        <w:t xml:space="preserve"> period. Similarly, the arm</w:t>
      </w:r>
      <w:r w:rsidR="00D444D5">
        <w:t>’</w:t>
      </w:r>
      <w:r>
        <w:t>s length rules for MITs included a 2 year transitiona</w:t>
      </w:r>
      <w:r w:rsidR="00211EA3">
        <w:t>l</w:t>
      </w:r>
      <w:r>
        <w:t xml:space="preserve"> period.</w:t>
      </w:r>
    </w:p>
    <w:tbl>
      <w:tblPr>
        <w:tblW w:w="0" w:type="auto"/>
        <w:tblBorders>
          <w:top w:val="single" w:sz="2" w:space="0" w:color="28467D"/>
          <w:left w:val="single" w:sz="2" w:space="0" w:color="28467D"/>
          <w:bottom w:val="single" w:sz="2" w:space="0" w:color="28467D"/>
          <w:right w:val="single" w:sz="2" w:space="0" w:color="28467D"/>
          <w:insideH w:val="single" w:sz="2" w:space="0" w:color="28467D"/>
          <w:insideV w:val="single" w:sz="2" w:space="0" w:color="28467D"/>
        </w:tblBorders>
        <w:shd w:val="clear" w:color="auto" w:fill="F2F2F2" w:themeFill="background1" w:themeFillShade="F2"/>
        <w:tblCellMar>
          <w:left w:w="85" w:type="dxa"/>
          <w:right w:w="198" w:type="dxa"/>
        </w:tblCellMar>
        <w:tblLook w:val="04A0" w:firstRow="1" w:lastRow="0" w:firstColumn="1" w:lastColumn="0" w:noHBand="0" w:noVBand="1"/>
      </w:tblPr>
      <w:tblGrid>
        <w:gridCol w:w="9286"/>
      </w:tblGrid>
      <w:tr w:rsidR="00AF7CC4" w14:paraId="714D077F" w14:textId="77777777" w:rsidTr="00C6593E">
        <w:tc>
          <w:tcPr>
            <w:tcW w:w="9286" w:type="dxa"/>
            <w:shd w:val="clear" w:color="auto" w:fill="F2F2F2" w:themeFill="background1" w:themeFillShade="F2"/>
          </w:tcPr>
          <w:p w14:paraId="1575E668" w14:textId="77777777" w:rsidR="00AF7CC4" w:rsidRPr="005532D4" w:rsidRDefault="00AF7CC4" w:rsidP="00AF7CC4">
            <w:pPr>
              <w:pStyle w:val="BoxHeadingnonumber"/>
            </w:pPr>
            <w:r w:rsidRPr="005532D4">
              <w:t>Questions</w:t>
            </w:r>
          </w:p>
          <w:p w14:paraId="6714CF16" w14:textId="77777777" w:rsidR="00AF7CC4" w:rsidRPr="005532D4" w:rsidRDefault="00AF7CC4" w:rsidP="00AF7CC4">
            <w:pPr>
              <w:pStyle w:val="BoxNumbering"/>
            </w:pPr>
            <w:r w:rsidRPr="005532D4">
              <w:t xml:space="preserve">What is the typical </w:t>
            </w:r>
            <w:r>
              <w:t xml:space="preserve">term of </w:t>
            </w:r>
            <w:r w:rsidRPr="005532D4">
              <w:t xml:space="preserve">external </w:t>
            </w:r>
            <w:r>
              <w:t xml:space="preserve">third party </w:t>
            </w:r>
            <w:r w:rsidRPr="005532D4">
              <w:t>finance for stapled groups?</w:t>
            </w:r>
          </w:p>
          <w:p w14:paraId="24597EBF" w14:textId="77777777" w:rsidR="00AF7CC4" w:rsidRPr="005532D4" w:rsidRDefault="00AF7CC4" w:rsidP="00AF7CC4">
            <w:pPr>
              <w:pStyle w:val="BoxNumbering"/>
            </w:pPr>
            <w:r>
              <w:t>S</w:t>
            </w:r>
            <w:r w:rsidRPr="005532D4">
              <w:t>hould pre</w:t>
            </w:r>
            <w:r>
              <w:noBreakHyphen/>
            </w:r>
            <w:r w:rsidRPr="005532D4">
              <w:t xml:space="preserve">existing structures and instruments issued prior </w:t>
            </w:r>
            <w:r>
              <w:t xml:space="preserve">to any </w:t>
            </w:r>
            <w:r w:rsidRPr="005532D4">
              <w:t xml:space="preserve">new </w:t>
            </w:r>
            <w:r>
              <w:t xml:space="preserve">taxation </w:t>
            </w:r>
            <w:r w:rsidRPr="005532D4">
              <w:t xml:space="preserve">laws be grandfathered? </w:t>
            </w:r>
          </w:p>
          <w:p w14:paraId="1860339D" w14:textId="77777777" w:rsidR="00AF7CC4" w:rsidRDefault="00AF7CC4" w:rsidP="00AF7CC4">
            <w:pPr>
              <w:pStyle w:val="BoxNumbering"/>
            </w:pPr>
            <w:r w:rsidRPr="005532D4">
              <w:t>What is an appropriate transition period and transitional arrangements for existing staples?</w:t>
            </w:r>
          </w:p>
          <w:p w14:paraId="2E32E377" w14:textId="3DA8D9CA" w:rsidR="00AF7CC4" w:rsidRDefault="00AF7CC4" w:rsidP="00AF7CC4">
            <w:pPr>
              <w:pStyle w:val="BoxNumbering"/>
            </w:pPr>
            <w:r w:rsidRPr="005532D4">
              <w:t xml:space="preserve">What would be the types of compliance and other transaction costs (such as stamp duty) of undertaking such a restructure?  </w:t>
            </w:r>
            <w:r>
              <w:t>Sh</w:t>
            </w:r>
            <w:r w:rsidRPr="005532D4">
              <w:t xml:space="preserve">ould specific tax relief be </w:t>
            </w:r>
            <w:r>
              <w:t>provided</w:t>
            </w:r>
            <w:r w:rsidRPr="005532D4">
              <w:t xml:space="preserve"> to facilitate a restructure?</w:t>
            </w:r>
          </w:p>
        </w:tc>
      </w:tr>
    </w:tbl>
    <w:p w14:paraId="47DFD5A3" w14:textId="77777777" w:rsidR="00AF7CC4" w:rsidRPr="00AF7CC4" w:rsidRDefault="00AF7CC4" w:rsidP="00AF7CC4"/>
    <w:p w14:paraId="478F0263" w14:textId="77777777" w:rsidR="003F10F3" w:rsidRPr="00AF7CC4" w:rsidRDefault="003F10F3" w:rsidP="00AF7CC4"/>
    <w:p w14:paraId="545B6AB4" w14:textId="77777777" w:rsidR="003F10F3" w:rsidRPr="00AF7CC4" w:rsidRDefault="003F10F3" w:rsidP="00AF7CC4">
      <w:pPr>
        <w:sectPr w:rsidR="003F10F3" w:rsidRPr="00AF7CC4" w:rsidSect="003778E0">
          <w:pgSz w:w="11906" w:h="16838" w:code="9"/>
          <w:pgMar w:top="1418" w:right="1418" w:bottom="1418" w:left="1418" w:header="709" w:footer="709" w:gutter="0"/>
          <w:cols w:space="708"/>
          <w:titlePg/>
          <w:docGrid w:linePitch="360"/>
        </w:sectPr>
      </w:pPr>
    </w:p>
    <w:p w14:paraId="521953F5" w14:textId="3ACA7425" w:rsidR="003F10F3" w:rsidRPr="003F10F3" w:rsidRDefault="003F10F3" w:rsidP="004C5D21">
      <w:pPr>
        <w:pStyle w:val="Heading1"/>
      </w:pPr>
      <w:bookmarkStart w:id="230" w:name="_Toc478139116"/>
      <w:r w:rsidRPr="003F10F3">
        <w:t xml:space="preserve">Appendix </w:t>
      </w:r>
      <w:r w:rsidR="00A02053">
        <w:t>1</w:t>
      </w:r>
      <w:r w:rsidR="00D444D5">
        <w:t xml:space="preserve"> </w:t>
      </w:r>
      <w:r w:rsidR="00AF7CC4">
        <w:t>-</w:t>
      </w:r>
      <w:r w:rsidR="00D444D5">
        <w:t xml:space="preserve"> </w:t>
      </w:r>
      <w:r w:rsidRPr="003F10F3">
        <w:t>features of REIT regimes in selected jurisdictions</w:t>
      </w:r>
      <w:bookmarkEnd w:id="230"/>
    </w:p>
    <w:tbl>
      <w:tblPr>
        <w:tblW w:w="0" w:type="auto"/>
        <w:tblLayout w:type="fixed"/>
        <w:tblLook w:val="04A0" w:firstRow="1" w:lastRow="0" w:firstColumn="1" w:lastColumn="0" w:noHBand="0" w:noVBand="1"/>
      </w:tblPr>
      <w:tblGrid>
        <w:gridCol w:w="1134"/>
        <w:gridCol w:w="1560"/>
        <w:gridCol w:w="1984"/>
        <w:gridCol w:w="2126"/>
        <w:gridCol w:w="2268"/>
        <w:gridCol w:w="2410"/>
        <w:gridCol w:w="2584"/>
      </w:tblGrid>
      <w:tr w:rsidR="003F10F3" w:rsidRPr="00AF7CC4" w14:paraId="1EDBBB57" w14:textId="77777777" w:rsidTr="00983CA9">
        <w:tc>
          <w:tcPr>
            <w:tcW w:w="1134" w:type="dxa"/>
            <w:shd w:val="clear" w:color="auto" w:fill="1F497D" w:themeFill="text2"/>
          </w:tcPr>
          <w:p w14:paraId="30B6AC4E" w14:textId="77777777" w:rsidR="003F10F3" w:rsidRPr="00AF7CC4" w:rsidRDefault="003F10F3" w:rsidP="00AF7CC4">
            <w:pPr>
              <w:pStyle w:val="TableColumnHeadingLeft-White"/>
            </w:pPr>
            <w:r w:rsidRPr="00AF7CC4">
              <w:t>Country</w:t>
            </w:r>
          </w:p>
        </w:tc>
        <w:tc>
          <w:tcPr>
            <w:tcW w:w="1560" w:type="dxa"/>
            <w:shd w:val="clear" w:color="auto" w:fill="1F497D" w:themeFill="text2"/>
          </w:tcPr>
          <w:p w14:paraId="6AFCFF0E" w14:textId="77777777" w:rsidR="003F10F3" w:rsidRPr="00AF7CC4" w:rsidRDefault="003F10F3" w:rsidP="00AF7CC4">
            <w:pPr>
              <w:pStyle w:val="TableColumnHeadingLeft-White"/>
            </w:pPr>
            <w:r w:rsidRPr="00AF7CC4">
              <w:t>Structure</w:t>
            </w:r>
          </w:p>
        </w:tc>
        <w:tc>
          <w:tcPr>
            <w:tcW w:w="1984" w:type="dxa"/>
            <w:shd w:val="clear" w:color="auto" w:fill="1F497D" w:themeFill="text2"/>
          </w:tcPr>
          <w:p w14:paraId="06D1AA4F" w14:textId="77777777" w:rsidR="003F10F3" w:rsidRPr="00AF7CC4" w:rsidRDefault="003F10F3" w:rsidP="00AF7CC4">
            <w:pPr>
              <w:pStyle w:val="TableColumnHeadingLeft-White"/>
            </w:pPr>
            <w:r w:rsidRPr="00AF7CC4">
              <w:t>Activity restrictions</w:t>
            </w:r>
          </w:p>
        </w:tc>
        <w:tc>
          <w:tcPr>
            <w:tcW w:w="2126" w:type="dxa"/>
            <w:shd w:val="clear" w:color="auto" w:fill="1F497D" w:themeFill="text2"/>
          </w:tcPr>
          <w:p w14:paraId="347F53AB" w14:textId="77777777" w:rsidR="003F10F3" w:rsidRPr="00AF7CC4" w:rsidRDefault="003F10F3" w:rsidP="00AF7CC4">
            <w:pPr>
              <w:pStyle w:val="TableColumnHeadingLeft-White"/>
            </w:pPr>
            <w:r w:rsidRPr="00AF7CC4">
              <w:t>Asset requirement</w:t>
            </w:r>
          </w:p>
        </w:tc>
        <w:tc>
          <w:tcPr>
            <w:tcW w:w="2268" w:type="dxa"/>
            <w:shd w:val="clear" w:color="auto" w:fill="1F497D" w:themeFill="text2"/>
          </w:tcPr>
          <w:p w14:paraId="13B99F17" w14:textId="77777777" w:rsidR="003F10F3" w:rsidRPr="00AF7CC4" w:rsidRDefault="003F10F3" w:rsidP="00AF7CC4">
            <w:pPr>
              <w:pStyle w:val="TableColumnHeadingLeft-White"/>
            </w:pPr>
            <w:r w:rsidRPr="00AF7CC4">
              <w:t>Income requirement</w:t>
            </w:r>
          </w:p>
        </w:tc>
        <w:tc>
          <w:tcPr>
            <w:tcW w:w="2410" w:type="dxa"/>
            <w:shd w:val="clear" w:color="auto" w:fill="1F497D" w:themeFill="text2"/>
          </w:tcPr>
          <w:p w14:paraId="5318F245" w14:textId="77777777" w:rsidR="003F10F3" w:rsidRPr="00AF7CC4" w:rsidRDefault="003F10F3" w:rsidP="00AF7CC4">
            <w:pPr>
              <w:pStyle w:val="TableColumnHeadingLeft-White"/>
            </w:pPr>
            <w:r w:rsidRPr="00AF7CC4">
              <w:t>Distribution requirement</w:t>
            </w:r>
          </w:p>
        </w:tc>
        <w:tc>
          <w:tcPr>
            <w:tcW w:w="2584" w:type="dxa"/>
            <w:shd w:val="clear" w:color="auto" w:fill="1F497D" w:themeFill="text2"/>
          </w:tcPr>
          <w:p w14:paraId="7F1334C1" w14:textId="77777777" w:rsidR="003F10F3" w:rsidRPr="00AF7CC4" w:rsidRDefault="003F10F3" w:rsidP="00AF7CC4">
            <w:pPr>
              <w:pStyle w:val="TableColumnHeadingLeft-White"/>
            </w:pPr>
            <w:r w:rsidRPr="00AF7CC4">
              <w:t>Taxation</w:t>
            </w:r>
          </w:p>
        </w:tc>
      </w:tr>
      <w:tr w:rsidR="003F10F3" w14:paraId="32FF7B84" w14:textId="77777777" w:rsidTr="00983CA9">
        <w:tc>
          <w:tcPr>
            <w:tcW w:w="1134" w:type="dxa"/>
          </w:tcPr>
          <w:p w14:paraId="6EAEA962" w14:textId="77777777" w:rsidR="003F10F3" w:rsidRPr="00CC52E3" w:rsidRDefault="003F10F3" w:rsidP="00983CA9">
            <w:pPr>
              <w:pStyle w:val="TableTextLeft"/>
            </w:pPr>
            <w:r w:rsidRPr="00CC52E3">
              <w:t>USA</w:t>
            </w:r>
          </w:p>
        </w:tc>
        <w:tc>
          <w:tcPr>
            <w:tcW w:w="1560" w:type="dxa"/>
          </w:tcPr>
          <w:p w14:paraId="3DA4F7F5" w14:textId="661791F8" w:rsidR="003F10F3" w:rsidRPr="00AF7CC4" w:rsidRDefault="003F10F3" w:rsidP="00983CA9">
            <w:pPr>
              <w:pStyle w:val="TableTextLeft"/>
            </w:pPr>
            <w:r w:rsidRPr="00AF7CC4">
              <w:t>Companies, trusts or associations</w:t>
            </w:r>
            <w:r w:rsidR="00983CA9">
              <w:t>.</w:t>
            </w:r>
          </w:p>
          <w:p w14:paraId="7CC9464B" w14:textId="409D49A8" w:rsidR="003F10F3" w:rsidRPr="00AF7CC4" w:rsidRDefault="003F10F3" w:rsidP="00983CA9">
            <w:pPr>
              <w:pStyle w:val="TableTextLeft"/>
            </w:pPr>
            <w:r w:rsidRPr="00AF7CC4">
              <w:t>No listing requirement</w:t>
            </w:r>
            <w:r w:rsidR="00983CA9">
              <w:t>.</w:t>
            </w:r>
          </w:p>
          <w:p w14:paraId="509AB8B6" w14:textId="183BD376" w:rsidR="003F10F3" w:rsidRPr="00AF7CC4" w:rsidRDefault="003F10F3" w:rsidP="00983CA9">
            <w:pPr>
              <w:pStyle w:val="TableTextLeft"/>
            </w:pPr>
            <w:r w:rsidRPr="00AF7CC4">
              <w:t>100 or more persons</w:t>
            </w:r>
            <w:r w:rsidR="00983CA9">
              <w:t>.</w:t>
            </w:r>
          </w:p>
        </w:tc>
        <w:tc>
          <w:tcPr>
            <w:tcW w:w="1984" w:type="dxa"/>
          </w:tcPr>
          <w:p w14:paraId="5AACF58F" w14:textId="77777777" w:rsidR="003F10F3" w:rsidRPr="00AF7CC4" w:rsidRDefault="003F10F3" w:rsidP="00983CA9">
            <w:pPr>
              <w:pStyle w:val="TableTextLeft"/>
            </w:pPr>
            <w:r w:rsidRPr="00AF7CC4">
              <w:t>Real estate for rents</w:t>
            </w:r>
          </w:p>
          <w:p w14:paraId="385547D1" w14:textId="7C4B6D0E" w:rsidR="003F10F3" w:rsidRPr="00AF7CC4" w:rsidRDefault="003F10F3" w:rsidP="00983CA9">
            <w:pPr>
              <w:pStyle w:val="TableTextLeft"/>
            </w:pPr>
            <w:r w:rsidRPr="00AF7CC4">
              <w:t>Financial securities</w:t>
            </w:r>
            <w:r w:rsidR="00983CA9">
              <w:t>.</w:t>
            </w:r>
          </w:p>
        </w:tc>
        <w:tc>
          <w:tcPr>
            <w:tcW w:w="2126" w:type="dxa"/>
          </w:tcPr>
          <w:p w14:paraId="3AB0E0BD" w14:textId="5A9BE230" w:rsidR="003F10F3" w:rsidRPr="00AF7CC4" w:rsidRDefault="003F10F3" w:rsidP="00983CA9">
            <w:pPr>
              <w:pStyle w:val="TableTextLeft"/>
            </w:pPr>
            <w:r w:rsidRPr="00AF7CC4">
              <w:t xml:space="preserve">75% of </w:t>
            </w:r>
            <w:r w:rsidR="00AF3DA9" w:rsidRPr="00AF7CC4">
              <w:t xml:space="preserve">total </w:t>
            </w:r>
            <w:r w:rsidR="006C5FA1" w:rsidRPr="00AF7CC4">
              <w:t>value</w:t>
            </w:r>
            <w:r w:rsidR="00AF3DA9" w:rsidRPr="00AF7CC4">
              <w:t xml:space="preserve"> of assets</w:t>
            </w:r>
            <w:r w:rsidRPr="00AF7CC4">
              <w:t xml:space="preserve"> must be real estate assets and government securities</w:t>
            </w:r>
            <w:r w:rsidR="00983CA9">
              <w:t>.</w:t>
            </w:r>
          </w:p>
          <w:p w14:paraId="2EAA74E6" w14:textId="7916FB61" w:rsidR="006C5FA1" w:rsidRPr="00AF7CC4" w:rsidRDefault="006C5FA1" w:rsidP="00983CA9">
            <w:pPr>
              <w:pStyle w:val="TableTextLeft"/>
            </w:pPr>
            <w:r w:rsidRPr="00AF7CC4">
              <w:t>Up to 25% assets can be securities in taxable REIT subsidiaries (TRS)</w:t>
            </w:r>
            <w:r w:rsidR="00C772D4" w:rsidRPr="00AF7CC4">
              <w:t>, reducing to 20% from 2018</w:t>
            </w:r>
            <w:r w:rsidR="00983CA9">
              <w:t>.</w:t>
            </w:r>
          </w:p>
        </w:tc>
        <w:tc>
          <w:tcPr>
            <w:tcW w:w="2268" w:type="dxa"/>
          </w:tcPr>
          <w:p w14:paraId="5C5364E8" w14:textId="12E7FD0E" w:rsidR="003F10F3" w:rsidRPr="00AF7CC4" w:rsidRDefault="003F10F3" w:rsidP="00983CA9">
            <w:pPr>
              <w:pStyle w:val="TableTextLeft"/>
            </w:pPr>
            <w:r w:rsidRPr="00AF7CC4">
              <w:t>75% of gross taxable income must be from real estate related income</w:t>
            </w:r>
            <w:r w:rsidR="006C5FA1" w:rsidRPr="00AF7CC4">
              <w:t xml:space="preserve"> (including rent from TRS subject to conditions)</w:t>
            </w:r>
            <w:r w:rsidR="00983CA9">
              <w:t>.</w:t>
            </w:r>
          </w:p>
          <w:p w14:paraId="065311D2" w14:textId="3CBD0F4C" w:rsidR="003F10F3" w:rsidRPr="00AF7CC4" w:rsidRDefault="003F10F3" w:rsidP="00983CA9">
            <w:pPr>
              <w:pStyle w:val="TableTextLeft"/>
            </w:pPr>
            <w:r w:rsidRPr="00AF7CC4">
              <w:t>95% must be from that real property and other passive income</w:t>
            </w:r>
            <w:r w:rsidR="00983CA9">
              <w:t>.</w:t>
            </w:r>
          </w:p>
          <w:p w14:paraId="3BDF4A3B" w14:textId="0871D858" w:rsidR="006C5FA1" w:rsidRPr="00AF7CC4" w:rsidRDefault="006C5FA1" w:rsidP="00983CA9">
            <w:pPr>
              <w:pStyle w:val="TableTextLeft"/>
            </w:pPr>
            <w:r w:rsidRPr="00AF7CC4">
              <w:t>Exceptions for lodging and health care facilities</w:t>
            </w:r>
            <w:r w:rsidR="00983CA9">
              <w:t>.</w:t>
            </w:r>
          </w:p>
        </w:tc>
        <w:tc>
          <w:tcPr>
            <w:tcW w:w="2410" w:type="dxa"/>
          </w:tcPr>
          <w:p w14:paraId="002F81F8" w14:textId="5A786DAF" w:rsidR="003F10F3" w:rsidRPr="00AF7CC4" w:rsidRDefault="003F10F3" w:rsidP="00983CA9">
            <w:pPr>
              <w:pStyle w:val="TableTextLeft"/>
            </w:pPr>
            <w:r w:rsidRPr="00AF7CC4">
              <w:t>Must distribute 90% of ordinary taxable income each year</w:t>
            </w:r>
            <w:r w:rsidR="00983CA9">
              <w:t>.</w:t>
            </w:r>
          </w:p>
        </w:tc>
        <w:tc>
          <w:tcPr>
            <w:tcW w:w="2584" w:type="dxa"/>
          </w:tcPr>
          <w:p w14:paraId="3999B3FA" w14:textId="48C566B2" w:rsidR="003F10F3" w:rsidRPr="00AF7CC4" w:rsidRDefault="003F10F3" w:rsidP="00983CA9">
            <w:pPr>
              <w:pStyle w:val="TableTextLeft"/>
            </w:pPr>
            <w:r w:rsidRPr="00AF7CC4">
              <w:t>REIT</w:t>
            </w:r>
            <w:r w:rsidR="00D444D5" w:rsidRPr="00AF7CC4">
              <w:t xml:space="preserve"> — </w:t>
            </w:r>
            <w:r w:rsidRPr="00AF7CC4">
              <w:t>only taxed on undistributed income</w:t>
            </w:r>
            <w:r w:rsidR="00983CA9">
              <w:t>.</w:t>
            </w:r>
          </w:p>
          <w:p w14:paraId="589A5018" w14:textId="1707B391" w:rsidR="003F10F3" w:rsidRPr="00AF7CC4" w:rsidRDefault="003F10F3" w:rsidP="00983CA9">
            <w:pPr>
              <w:pStyle w:val="TableTextLeft"/>
            </w:pPr>
            <w:r w:rsidRPr="00AF7CC4">
              <w:t>Investors</w:t>
            </w:r>
            <w:r w:rsidR="00D444D5" w:rsidRPr="00AF7CC4">
              <w:t xml:space="preserve"> — </w:t>
            </w:r>
            <w:r w:rsidRPr="00AF7CC4">
              <w:t>residents</w:t>
            </w:r>
            <w:r w:rsidR="00D444D5" w:rsidRPr="00AF7CC4">
              <w:noBreakHyphen/>
            </w:r>
            <w:r w:rsidRPr="00AF7CC4">
              <w:t xml:space="preserve"> taxed </w:t>
            </w:r>
            <w:r w:rsidR="00B855F6" w:rsidRPr="00AF7CC4">
              <w:t>at normal rates</w:t>
            </w:r>
            <w:r w:rsidRPr="00AF7CC4">
              <w:t xml:space="preserve"> and non</w:t>
            </w:r>
            <w:r w:rsidR="00D444D5" w:rsidRPr="00AF7CC4">
              <w:noBreakHyphen/>
            </w:r>
            <w:r w:rsidRPr="00AF7CC4">
              <w:t>residents subject to</w:t>
            </w:r>
            <w:r w:rsidR="00C772D4" w:rsidRPr="00AF7CC4">
              <w:t xml:space="preserve"> 35% FIRPTA WHT on capital gain dividends and</w:t>
            </w:r>
            <w:r w:rsidRPr="00AF7CC4">
              <w:t xml:space="preserve"> 30%</w:t>
            </w:r>
            <w:r w:rsidR="00983CA9">
              <w:t> </w:t>
            </w:r>
            <w:r w:rsidRPr="00AF7CC4">
              <w:t xml:space="preserve">on </w:t>
            </w:r>
            <w:r w:rsidR="00C772D4" w:rsidRPr="00AF7CC4">
              <w:t xml:space="preserve">other </w:t>
            </w:r>
            <w:r w:rsidRPr="00AF7CC4">
              <w:t>dividends (DTAs may reduce the rate)</w:t>
            </w:r>
            <w:r w:rsidR="00983CA9">
              <w:t>.</w:t>
            </w:r>
          </w:p>
        </w:tc>
      </w:tr>
      <w:tr w:rsidR="003F10F3" w14:paraId="54D9783F" w14:textId="77777777" w:rsidTr="00983CA9">
        <w:tc>
          <w:tcPr>
            <w:tcW w:w="1134" w:type="dxa"/>
            <w:shd w:val="clear" w:color="auto" w:fill="F2F2F2" w:themeFill="background1" w:themeFillShade="F2"/>
          </w:tcPr>
          <w:p w14:paraId="0E3245C8" w14:textId="77777777" w:rsidR="003F10F3" w:rsidRPr="00CC52E3" w:rsidRDefault="003F10F3" w:rsidP="00983CA9">
            <w:pPr>
              <w:pStyle w:val="TableTextLeft"/>
            </w:pPr>
            <w:r w:rsidRPr="00CC52E3">
              <w:t>UK</w:t>
            </w:r>
          </w:p>
        </w:tc>
        <w:tc>
          <w:tcPr>
            <w:tcW w:w="1560" w:type="dxa"/>
            <w:shd w:val="clear" w:color="auto" w:fill="F2F2F2" w:themeFill="background1" w:themeFillShade="F2"/>
          </w:tcPr>
          <w:p w14:paraId="39ABC06E" w14:textId="6D36CF50" w:rsidR="003F10F3" w:rsidRPr="00983CA9" w:rsidRDefault="003F10F3" w:rsidP="00983CA9">
            <w:pPr>
              <w:pStyle w:val="TableTextLeft"/>
            </w:pPr>
            <w:r w:rsidRPr="00983CA9">
              <w:t>Company</w:t>
            </w:r>
            <w:r w:rsidR="00AF3DA9" w:rsidRPr="00983CA9">
              <w:t xml:space="preserve"> (or group of companies)</w:t>
            </w:r>
            <w:r w:rsidR="00983CA9" w:rsidRPr="00983CA9">
              <w:t>.</w:t>
            </w:r>
          </w:p>
          <w:p w14:paraId="0D020D56" w14:textId="5CC386EC" w:rsidR="003F10F3" w:rsidRPr="00983CA9" w:rsidRDefault="003F10F3" w:rsidP="00983CA9">
            <w:pPr>
              <w:pStyle w:val="TableTextLeft"/>
            </w:pPr>
            <w:r w:rsidRPr="00983CA9">
              <w:t>Listed and widely held</w:t>
            </w:r>
            <w:r w:rsidR="00983CA9" w:rsidRPr="00983CA9">
              <w:t>.</w:t>
            </w:r>
          </w:p>
          <w:p w14:paraId="22C659C3" w14:textId="4C9DBA9E" w:rsidR="00E23388" w:rsidRPr="00983CA9" w:rsidRDefault="00E23388" w:rsidP="00983CA9">
            <w:pPr>
              <w:pStyle w:val="TableTextLeft"/>
            </w:pPr>
            <w:r w:rsidRPr="00983CA9">
              <w:t xml:space="preserve">Penalties </w:t>
            </w:r>
            <w:r w:rsidR="00AF3DA9" w:rsidRPr="00983CA9">
              <w:t>if</w:t>
            </w:r>
            <w:r w:rsidRPr="00983CA9">
              <w:t xml:space="preserve"> corporate shareholder own</w:t>
            </w:r>
            <w:r w:rsidR="00AF3DA9" w:rsidRPr="00983CA9">
              <w:t>s</w:t>
            </w:r>
            <w:r w:rsidRPr="00983CA9">
              <w:t xml:space="preserve"> &gt;10%</w:t>
            </w:r>
            <w:r w:rsidR="00983CA9" w:rsidRPr="00983CA9">
              <w:t>.</w:t>
            </w:r>
          </w:p>
        </w:tc>
        <w:tc>
          <w:tcPr>
            <w:tcW w:w="1984" w:type="dxa"/>
            <w:shd w:val="clear" w:color="auto" w:fill="F2F2F2" w:themeFill="background1" w:themeFillShade="F2"/>
          </w:tcPr>
          <w:p w14:paraId="2E6E4630" w14:textId="09449967" w:rsidR="003F10F3" w:rsidRPr="00983CA9" w:rsidRDefault="003F10F3" w:rsidP="00983CA9">
            <w:pPr>
              <w:pStyle w:val="TableTextLeft"/>
            </w:pPr>
            <w:r w:rsidRPr="00983CA9">
              <w:t>Property rental activities (concessionally taxed)</w:t>
            </w:r>
            <w:r w:rsidR="00983CA9">
              <w:t>.</w:t>
            </w:r>
          </w:p>
          <w:p w14:paraId="578769B1" w14:textId="0785B8E9" w:rsidR="003F10F3" w:rsidRPr="00983CA9" w:rsidRDefault="003F10F3" w:rsidP="00983CA9">
            <w:pPr>
              <w:pStyle w:val="TableTextLeft"/>
            </w:pPr>
            <w:r w:rsidRPr="00983CA9">
              <w:t>Other activities attracting normal company tax</w:t>
            </w:r>
            <w:r w:rsidR="00983CA9" w:rsidRPr="00983CA9">
              <w:t>.</w:t>
            </w:r>
          </w:p>
        </w:tc>
        <w:tc>
          <w:tcPr>
            <w:tcW w:w="2126" w:type="dxa"/>
            <w:shd w:val="clear" w:color="auto" w:fill="F2F2F2" w:themeFill="background1" w:themeFillShade="F2"/>
          </w:tcPr>
          <w:p w14:paraId="00EE855E" w14:textId="77777777" w:rsidR="003F10F3" w:rsidRPr="00983CA9" w:rsidRDefault="003F10F3" w:rsidP="00983CA9">
            <w:pPr>
              <w:pStyle w:val="TableTextLeft"/>
            </w:pPr>
            <w:r w:rsidRPr="00983CA9">
              <w:t xml:space="preserve">75% of total value of </w:t>
            </w:r>
            <w:r w:rsidR="00AF3DA9" w:rsidRPr="00983CA9">
              <w:t xml:space="preserve">group </w:t>
            </w:r>
            <w:r w:rsidRPr="00983CA9">
              <w:t>assets must relate to the property rental business</w:t>
            </w:r>
          </w:p>
          <w:p w14:paraId="597F275C" w14:textId="723854D6" w:rsidR="003F10F3" w:rsidRPr="00983CA9" w:rsidRDefault="003F10F3" w:rsidP="00983CA9">
            <w:pPr>
              <w:pStyle w:val="TableTextLeft"/>
            </w:pPr>
            <w:r w:rsidRPr="00983CA9">
              <w:t>Must be more than 3</w:t>
            </w:r>
            <w:r w:rsidR="00983CA9">
              <w:t> </w:t>
            </w:r>
            <w:r w:rsidRPr="00983CA9">
              <w:t>properties</w:t>
            </w:r>
            <w:r w:rsidR="00AF3DA9" w:rsidRPr="00983CA9">
              <w:t xml:space="preserve"> with no single property &gt; 40% of portfolio</w:t>
            </w:r>
            <w:r w:rsidR="00983CA9" w:rsidRPr="00983CA9">
              <w:t>.</w:t>
            </w:r>
          </w:p>
        </w:tc>
        <w:tc>
          <w:tcPr>
            <w:tcW w:w="2268" w:type="dxa"/>
            <w:shd w:val="clear" w:color="auto" w:fill="F2F2F2" w:themeFill="background1" w:themeFillShade="F2"/>
          </w:tcPr>
          <w:p w14:paraId="7E15E7CF" w14:textId="48610D62" w:rsidR="003F10F3" w:rsidRPr="00983CA9" w:rsidRDefault="003F10F3" w:rsidP="00983CA9">
            <w:pPr>
              <w:pStyle w:val="TableTextLeft"/>
            </w:pPr>
            <w:r w:rsidRPr="00983CA9">
              <w:t xml:space="preserve">75% of </w:t>
            </w:r>
            <w:r w:rsidR="00AF3DA9" w:rsidRPr="00983CA9">
              <w:t xml:space="preserve">group </w:t>
            </w:r>
            <w:r w:rsidRPr="00983CA9">
              <w:t>profits must relate to the property rental business</w:t>
            </w:r>
            <w:r w:rsidR="00983CA9" w:rsidRPr="00983CA9">
              <w:t>.</w:t>
            </w:r>
          </w:p>
        </w:tc>
        <w:tc>
          <w:tcPr>
            <w:tcW w:w="2410" w:type="dxa"/>
            <w:shd w:val="clear" w:color="auto" w:fill="F2F2F2" w:themeFill="background1" w:themeFillShade="F2"/>
          </w:tcPr>
          <w:p w14:paraId="296AF161" w14:textId="20CDF44C" w:rsidR="003F10F3" w:rsidRPr="00983CA9" w:rsidRDefault="003F10F3" w:rsidP="00983CA9">
            <w:pPr>
              <w:pStyle w:val="TableTextLeft"/>
            </w:pPr>
            <w:r w:rsidRPr="00983CA9">
              <w:t>Must distribute 90% of rental profits</w:t>
            </w:r>
            <w:r w:rsidR="00983CA9" w:rsidRPr="00983CA9">
              <w:t>.</w:t>
            </w:r>
          </w:p>
        </w:tc>
        <w:tc>
          <w:tcPr>
            <w:tcW w:w="2584" w:type="dxa"/>
            <w:shd w:val="clear" w:color="auto" w:fill="F2F2F2" w:themeFill="background1" w:themeFillShade="F2"/>
          </w:tcPr>
          <w:p w14:paraId="06BACF6A" w14:textId="7A999272" w:rsidR="003F10F3" w:rsidRPr="00983CA9" w:rsidRDefault="003F10F3" w:rsidP="00983CA9">
            <w:pPr>
              <w:pStyle w:val="TableTextLeft"/>
            </w:pPr>
            <w:r w:rsidRPr="00983CA9">
              <w:t>REIT</w:t>
            </w:r>
            <w:r w:rsidR="00D444D5" w:rsidRPr="00983CA9">
              <w:t xml:space="preserve"> — </w:t>
            </w:r>
            <w:r w:rsidRPr="00983CA9">
              <w:t>scheduler approach</w:t>
            </w:r>
            <w:r w:rsidR="00D444D5" w:rsidRPr="00983CA9">
              <w:t xml:space="preserve"> — </w:t>
            </w:r>
            <w:r w:rsidRPr="00983CA9">
              <w:t>exempt on rental income</w:t>
            </w:r>
            <w:r w:rsidR="00E23388" w:rsidRPr="00983CA9">
              <w:t xml:space="preserve"> and capital gains</w:t>
            </w:r>
            <w:r w:rsidRPr="00983CA9">
              <w:t xml:space="preserve">, company tax applies to the </w:t>
            </w:r>
            <w:r w:rsidR="00D444D5" w:rsidRPr="00983CA9">
              <w:t>‘</w:t>
            </w:r>
            <w:r w:rsidRPr="00983CA9">
              <w:t>other activities</w:t>
            </w:r>
            <w:r w:rsidR="00D444D5" w:rsidRPr="00983CA9">
              <w:t>’</w:t>
            </w:r>
            <w:r w:rsidR="00983CA9" w:rsidRPr="00983CA9">
              <w:t>.</w:t>
            </w:r>
          </w:p>
          <w:p w14:paraId="47B3B953" w14:textId="38F7AECB" w:rsidR="003F10F3" w:rsidRPr="00983CA9" w:rsidRDefault="003F10F3" w:rsidP="00983CA9">
            <w:pPr>
              <w:pStyle w:val="TableTextLeft"/>
            </w:pPr>
            <w:r w:rsidRPr="00983CA9">
              <w:t>Shareholders</w:t>
            </w:r>
            <w:r w:rsidR="00D444D5" w:rsidRPr="00983CA9">
              <w:t xml:space="preserve"> — </w:t>
            </w:r>
            <w:r w:rsidRPr="00983CA9">
              <w:t xml:space="preserve">withholding tax of 20% to resident </w:t>
            </w:r>
            <w:r w:rsidR="00E23388" w:rsidRPr="00983CA9">
              <w:t xml:space="preserve">individuals </w:t>
            </w:r>
            <w:r w:rsidRPr="00983CA9">
              <w:t>or non</w:t>
            </w:r>
            <w:r w:rsidR="00D444D5" w:rsidRPr="00983CA9">
              <w:noBreakHyphen/>
            </w:r>
            <w:r w:rsidRPr="00983CA9">
              <w:t xml:space="preserve">residents if out of </w:t>
            </w:r>
            <w:r w:rsidR="00E23388" w:rsidRPr="00983CA9">
              <w:t xml:space="preserve">exempt </w:t>
            </w:r>
            <w:r w:rsidRPr="00983CA9">
              <w:t>rental income</w:t>
            </w:r>
            <w:r w:rsidR="00E23388" w:rsidRPr="00983CA9">
              <w:t xml:space="preserve"> or gains</w:t>
            </w:r>
            <w:r w:rsidRPr="00983CA9">
              <w:t xml:space="preserve"> (DTAs may reduce to 15%)</w:t>
            </w:r>
            <w:r w:rsidR="00983CA9" w:rsidRPr="00983CA9">
              <w:t>.</w:t>
            </w:r>
          </w:p>
        </w:tc>
      </w:tr>
    </w:tbl>
    <w:p w14:paraId="5AA29697" w14:textId="77777777" w:rsidR="00983CA9" w:rsidRDefault="00983CA9">
      <w:r>
        <w:rPr>
          <w:b/>
        </w:rPr>
        <w:br w:type="page"/>
      </w:r>
    </w:p>
    <w:tbl>
      <w:tblPr>
        <w:tblW w:w="0" w:type="auto"/>
        <w:tblLayout w:type="fixed"/>
        <w:tblLook w:val="04A0" w:firstRow="1" w:lastRow="0" w:firstColumn="1" w:lastColumn="0" w:noHBand="0" w:noVBand="1"/>
      </w:tblPr>
      <w:tblGrid>
        <w:gridCol w:w="1134"/>
        <w:gridCol w:w="1560"/>
        <w:gridCol w:w="1984"/>
        <w:gridCol w:w="2126"/>
        <w:gridCol w:w="2268"/>
        <w:gridCol w:w="2410"/>
        <w:gridCol w:w="2584"/>
      </w:tblGrid>
      <w:tr w:rsidR="00983CA9" w:rsidRPr="00AF7CC4" w14:paraId="5BB71050" w14:textId="77777777" w:rsidTr="00983CA9">
        <w:tc>
          <w:tcPr>
            <w:tcW w:w="1134" w:type="dxa"/>
            <w:shd w:val="clear" w:color="auto" w:fill="1F497D" w:themeFill="text2"/>
          </w:tcPr>
          <w:p w14:paraId="6EA6F9DD" w14:textId="46E1AC7A" w:rsidR="00983CA9" w:rsidRPr="00AF7CC4" w:rsidRDefault="00983CA9" w:rsidP="00983CA9">
            <w:pPr>
              <w:pStyle w:val="TableColumnHeadingLeft-White"/>
            </w:pPr>
            <w:r w:rsidRPr="00AF7CC4">
              <w:t>Country</w:t>
            </w:r>
          </w:p>
        </w:tc>
        <w:tc>
          <w:tcPr>
            <w:tcW w:w="1560" w:type="dxa"/>
            <w:shd w:val="clear" w:color="auto" w:fill="1F497D" w:themeFill="text2"/>
          </w:tcPr>
          <w:p w14:paraId="16CC7B37" w14:textId="77777777" w:rsidR="00983CA9" w:rsidRPr="00AF7CC4" w:rsidRDefault="00983CA9" w:rsidP="00983CA9">
            <w:pPr>
              <w:pStyle w:val="TableColumnHeadingLeft-White"/>
            </w:pPr>
            <w:r w:rsidRPr="00AF7CC4">
              <w:t>Structure</w:t>
            </w:r>
          </w:p>
        </w:tc>
        <w:tc>
          <w:tcPr>
            <w:tcW w:w="1984" w:type="dxa"/>
            <w:shd w:val="clear" w:color="auto" w:fill="1F497D" w:themeFill="text2"/>
          </w:tcPr>
          <w:p w14:paraId="3D9F9E0F" w14:textId="77777777" w:rsidR="00983CA9" w:rsidRPr="00AF7CC4" w:rsidRDefault="00983CA9" w:rsidP="00983CA9">
            <w:pPr>
              <w:pStyle w:val="TableColumnHeadingLeft-White"/>
            </w:pPr>
            <w:r w:rsidRPr="00AF7CC4">
              <w:t>Activity restrictions</w:t>
            </w:r>
          </w:p>
        </w:tc>
        <w:tc>
          <w:tcPr>
            <w:tcW w:w="2126" w:type="dxa"/>
            <w:shd w:val="clear" w:color="auto" w:fill="1F497D" w:themeFill="text2"/>
          </w:tcPr>
          <w:p w14:paraId="2F7F7E51" w14:textId="77777777" w:rsidR="00983CA9" w:rsidRPr="00AF7CC4" w:rsidRDefault="00983CA9" w:rsidP="00983CA9">
            <w:pPr>
              <w:pStyle w:val="TableColumnHeadingLeft-White"/>
            </w:pPr>
            <w:r w:rsidRPr="00AF7CC4">
              <w:t>Asset requirement</w:t>
            </w:r>
          </w:p>
        </w:tc>
        <w:tc>
          <w:tcPr>
            <w:tcW w:w="2268" w:type="dxa"/>
            <w:shd w:val="clear" w:color="auto" w:fill="1F497D" w:themeFill="text2"/>
          </w:tcPr>
          <w:p w14:paraId="491DAD3C" w14:textId="77777777" w:rsidR="00983CA9" w:rsidRPr="00AF7CC4" w:rsidRDefault="00983CA9" w:rsidP="00983CA9">
            <w:pPr>
              <w:pStyle w:val="TableColumnHeadingLeft-White"/>
            </w:pPr>
            <w:r w:rsidRPr="00AF7CC4">
              <w:t>Income requirement</w:t>
            </w:r>
          </w:p>
        </w:tc>
        <w:tc>
          <w:tcPr>
            <w:tcW w:w="2410" w:type="dxa"/>
            <w:shd w:val="clear" w:color="auto" w:fill="1F497D" w:themeFill="text2"/>
          </w:tcPr>
          <w:p w14:paraId="128BBF66" w14:textId="77777777" w:rsidR="00983CA9" w:rsidRPr="00AF7CC4" w:rsidRDefault="00983CA9" w:rsidP="00983CA9">
            <w:pPr>
              <w:pStyle w:val="TableColumnHeadingLeft-White"/>
            </w:pPr>
            <w:r w:rsidRPr="00AF7CC4">
              <w:t>Distribution requirement</w:t>
            </w:r>
          </w:p>
        </w:tc>
        <w:tc>
          <w:tcPr>
            <w:tcW w:w="2584" w:type="dxa"/>
            <w:shd w:val="clear" w:color="auto" w:fill="1F497D" w:themeFill="text2"/>
          </w:tcPr>
          <w:p w14:paraId="163A756A" w14:textId="77777777" w:rsidR="00983CA9" w:rsidRPr="00AF7CC4" w:rsidRDefault="00983CA9" w:rsidP="00983CA9">
            <w:pPr>
              <w:pStyle w:val="TableColumnHeadingLeft-White"/>
            </w:pPr>
            <w:r w:rsidRPr="00AF7CC4">
              <w:t>Taxation</w:t>
            </w:r>
          </w:p>
        </w:tc>
      </w:tr>
      <w:tr w:rsidR="003F10F3" w14:paraId="4FC7961E" w14:textId="77777777" w:rsidTr="00983CA9">
        <w:trPr>
          <w:trHeight w:val="2542"/>
        </w:trPr>
        <w:tc>
          <w:tcPr>
            <w:tcW w:w="1134" w:type="dxa"/>
          </w:tcPr>
          <w:p w14:paraId="35E6F396" w14:textId="77777777" w:rsidR="003F10F3" w:rsidRPr="00CC52E3" w:rsidRDefault="003F10F3" w:rsidP="00983CA9">
            <w:pPr>
              <w:pStyle w:val="TableTextLeft"/>
            </w:pPr>
            <w:r w:rsidRPr="00CC52E3">
              <w:t>Canada</w:t>
            </w:r>
          </w:p>
        </w:tc>
        <w:tc>
          <w:tcPr>
            <w:tcW w:w="1560" w:type="dxa"/>
          </w:tcPr>
          <w:p w14:paraId="781B8E24" w14:textId="5CBD969C" w:rsidR="003F10F3" w:rsidRPr="003C330C" w:rsidRDefault="003F10F3" w:rsidP="00983CA9">
            <w:pPr>
              <w:pStyle w:val="TableTextLeft"/>
            </w:pPr>
            <w:r w:rsidRPr="003C330C">
              <w:t>Mutual fund trust</w:t>
            </w:r>
            <w:r w:rsidR="00983CA9">
              <w:t>.</w:t>
            </w:r>
          </w:p>
          <w:p w14:paraId="5428F450" w14:textId="33F9EE72" w:rsidR="003F10F3" w:rsidRPr="003C330C" w:rsidRDefault="002A6EBD" w:rsidP="00983CA9">
            <w:pPr>
              <w:pStyle w:val="TableTextLeft"/>
            </w:pPr>
            <w:r>
              <w:t>L</w:t>
            </w:r>
            <w:r w:rsidR="003F10F3" w:rsidRPr="003C330C">
              <w:t>isted, at least 150</w:t>
            </w:r>
            <w:r w:rsidR="00983CA9">
              <w:t> </w:t>
            </w:r>
            <w:r w:rsidR="003F10F3" w:rsidRPr="003C330C">
              <w:t>unit holders</w:t>
            </w:r>
            <w:r w:rsidR="00983CA9">
              <w:t>.</w:t>
            </w:r>
          </w:p>
        </w:tc>
        <w:tc>
          <w:tcPr>
            <w:tcW w:w="1984" w:type="dxa"/>
          </w:tcPr>
          <w:p w14:paraId="423176DB" w14:textId="163D5AFE" w:rsidR="003F10F3" w:rsidRDefault="003F10F3" w:rsidP="00983CA9">
            <w:pPr>
              <w:pStyle w:val="TableTextLeft"/>
            </w:pPr>
            <w:r w:rsidRPr="003C330C">
              <w:t>Real or immovable property situated in Canada (excluding depreciable property except buildings)</w:t>
            </w:r>
            <w:r w:rsidR="00983CA9">
              <w:t>.</w:t>
            </w:r>
          </w:p>
          <w:p w14:paraId="7EA98892" w14:textId="79371216" w:rsidR="006C49DF" w:rsidRPr="003C330C" w:rsidRDefault="006C49DF" w:rsidP="00983CA9">
            <w:pPr>
              <w:pStyle w:val="TableTextLeft"/>
            </w:pPr>
            <w:r>
              <w:t xml:space="preserve">(Foreign </w:t>
            </w:r>
            <w:r w:rsidRPr="00CC52E3">
              <w:t>property</w:t>
            </w:r>
            <w:r>
              <w:t xml:space="preserve"> investment exempt from SIFT)</w:t>
            </w:r>
            <w:r w:rsidR="00983CA9">
              <w:t>.</w:t>
            </w:r>
          </w:p>
          <w:p w14:paraId="48E94126" w14:textId="310A3032" w:rsidR="003F10F3" w:rsidRPr="00073A1E" w:rsidRDefault="003F10F3" w:rsidP="00983CA9">
            <w:pPr>
              <w:pStyle w:val="TableTextLeft"/>
            </w:pPr>
            <w:r w:rsidRPr="003C330C">
              <w:t>Subsidiary entities, including internal management company</w:t>
            </w:r>
            <w:r w:rsidR="00983CA9">
              <w:t>.</w:t>
            </w:r>
          </w:p>
        </w:tc>
        <w:tc>
          <w:tcPr>
            <w:tcW w:w="2126" w:type="dxa"/>
          </w:tcPr>
          <w:p w14:paraId="37752F3D" w14:textId="06BAC43C" w:rsidR="003F10F3" w:rsidRDefault="003F10F3" w:rsidP="00983CA9">
            <w:pPr>
              <w:pStyle w:val="TableTextLeft"/>
            </w:pPr>
            <w:r w:rsidRPr="003C330C">
              <w:t>95% of total fair market value of assets must be Canadian real or moveable property o</w:t>
            </w:r>
            <w:r w:rsidR="00983CA9">
              <w:t>r certain financial instruments.</w:t>
            </w:r>
          </w:p>
          <w:p w14:paraId="25A2083C" w14:textId="4606F48F" w:rsidR="003A428C" w:rsidRDefault="002A6EBD" w:rsidP="00983CA9">
            <w:pPr>
              <w:pStyle w:val="TableTextLeft"/>
            </w:pPr>
            <w:r>
              <w:t>75% of REIT</w:t>
            </w:r>
            <w:r w:rsidR="00D444D5">
              <w:t>’</w:t>
            </w:r>
            <w:r>
              <w:t xml:space="preserve">s equity value must be real </w:t>
            </w:r>
            <w:r w:rsidR="003A428C">
              <w:t>property</w:t>
            </w:r>
            <w:r>
              <w:t xml:space="preserve"> and certain other assets</w:t>
            </w:r>
            <w:r w:rsidR="00983CA9">
              <w:t>.</w:t>
            </w:r>
          </w:p>
          <w:p w14:paraId="517280AA" w14:textId="78F04F54" w:rsidR="003F10F3" w:rsidRPr="003C330C" w:rsidRDefault="002A6EBD" w:rsidP="00983CA9">
            <w:pPr>
              <w:pStyle w:val="TableTextLeft"/>
              <w:rPr>
                <w:rFonts w:ascii="Book Antiqua" w:hAnsi="Book Antiqua"/>
              </w:rPr>
            </w:pPr>
            <w:r>
              <w:t>10% safe harbour for non</w:t>
            </w:r>
            <w:r w:rsidR="00D444D5">
              <w:noBreakHyphen/>
            </w:r>
            <w:r>
              <w:t>qualifying REIT property</w:t>
            </w:r>
            <w:r w:rsidR="00983CA9">
              <w:t>.</w:t>
            </w:r>
          </w:p>
        </w:tc>
        <w:tc>
          <w:tcPr>
            <w:tcW w:w="2268" w:type="dxa"/>
          </w:tcPr>
          <w:p w14:paraId="30BEE8E1" w14:textId="16B24B77" w:rsidR="003F10F3" w:rsidRPr="003C330C" w:rsidRDefault="003F10F3" w:rsidP="00983CA9">
            <w:pPr>
              <w:pStyle w:val="TableTextLeft"/>
            </w:pPr>
            <w:r w:rsidRPr="003C330C">
              <w:t xml:space="preserve">75% of REIT revenue must be attributable to rents </w:t>
            </w:r>
            <w:r w:rsidR="00B855F6">
              <w:t>or property capital gains</w:t>
            </w:r>
            <w:r w:rsidR="00983CA9">
              <w:t>.</w:t>
            </w:r>
          </w:p>
          <w:p w14:paraId="26F8C187" w14:textId="75E7A035" w:rsidR="003F10F3" w:rsidRPr="003C330C" w:rsidRDefault="003F10F3" w:rsidP="00983CA9">
            <w:pPr>
              <w:pStyle w:val="TableTextLeft"/>
            </w:pPr>
            <w:r w:rsidRPr="003C330C">
              <w:t>90% of gross REIT revenues must be from rent or other gains from property and other passive income</w:t>
            </w:r>
            <w:r w:rsidR="00983CA9">
              <w:t>.</w:t>
            </w:r>
          </w:p>
        </w:tc>
        <w:tc>
          <w:tcPr>
            <w:tcW w:w="2410" w:type="dxa"/>
          </w:tcPr>
          <w:p w14:paraId="30251DF4" w14:textId="5928F7C5" w:rsidR="003F10F3" w:rsidRPr="003C330C" w:rsidRDefault="003F10F3" w:rsidP="00983CA9">
            <w:pPr>
              <w:pStyle w:val="TableTextLeft"/>
            </w:pPr>
            <w:r w:rsidRPr="003C330C">
              <w:t>No minimum distribution (but to avoid tax at REIT level all of its income must be distributed)</w:t>
            </w:r>
            <w:r w:rsidR="00983CA9">
              <w:t>.</w:t>
            </w:r>
          </w:p>
        </w:tc>
        <w:tc>
          <w:tcPr>
            <w:tcW w:w="2584" w:type="dxa"/>
          </w:tcPr>
          <w:p w14:paraId="1AFADF2D" w14:textId="029ABCBA" w:rsidR="003F10F3" w:rsidRPr="003C330C" w:rsidRDefault="003F10F3" w:rsidP="00983CA9">
            <w:pPr>
              <w:pStyle w:val="TableTextLeft"/>
            </w:pPr>
            <w:r w:rsidRPr="003C330C">
              <w:t>REIT not taxed on distributed income</w:t>
            </w:r>
            <w:r w:rsidR="00983CA9">
              <w:t>.</w:t>
            </w:r>
          </w:p>
          <w:p w14:paraId="25508A68" w14:textId="3E2B182E" w:rsidR="003F10F3" w:rsidRPr="003C330C" w:rsidRDefault="003F10F3" w:rsidP="00983CA9">
            <w:pPr>
              <w:pStyle w:val="TableTextLeft"/>
            </w:pPr>
            <w:r w:rsidRPr="003C330C">
              <w:t>Residents</w:t>
            </w:r>
            <w:r w:rsidR="00D444D5">
              <w:t xml:space="preserve"> — </w:t>
            </w:r>
            <w:r w:rsidRPr="003C330C">
              <w:t>at normal rates</w:t>
            </w:r>
            <w:r w:rsidR="00983CA9">
              <w:t>.</w:t>
            </w:r>
          </w:p>
          <w:p w14:paraId="5FE42E0D" w14:textId="6A8135A9" w:rsidR="003F10F3" w:rsidRPr="003C330C" w:rsidRDefault="003F10F3" w:rsidP="00983CA9">
            <w:pPr>
              <w:pStyle w:val="TableTextLeft"/>
              <w:rPr>
                <w:rFonts w:ascii="Book Antiqua" w:hAnsi="Book Antiqua"/>
              </w:rPr>
            </w:pPr>
            <w:r w:rsidRPr="003C330C">
              <w:t>Non</w:t>
            </w:r>
            <w:r w:rsidR="00D444D5">
              <w:noBreakHyphen/>
            </w:r>
            <w:r w:rsidRPr="003C330C">
              <w:t>resident unit</w:t>
            </w:r>
            <w:r w:rsidR="00CC52E3">
              <w:t xml:space="preserve"> </w:t>
            </w:r>
            <w:r w:rsidRPr="003C330C">
              <w:t>holders</w:t>
            </w:r>
            <w:r w:rsidR="00D444D5">
              <w:t xml:space="preserve"> — </w:t>
            </w:r>
            <w:r w:rsidRPr="003C330C">
              <w:t>25%</w:t>
            </w:r>
            <w:r w:rsidR="00983CA9">
              <w:t> </w:t>
            </w:r>
            <w:r w:rsidR="00B855F6" w:rsidRPr="00D81B15">
              <w:t>withholding tax</w:t>
            </w:r>
            <w:r w:rsidR="00B855F6" w:rsidRPr="003C330C">
              <w:t xml:space="preserve"> </w:t>
            </w:r>
            <w:r w:rsidRPr="003C330C">
              <w:t>(</w:t>
            </w:r>
            <w:r w:rsidR="00B855F6">
              <w:t>DTAs may reduce to</w:t>
            </w:r>
            <w:r w:rsidRPr="003C330C">
              <w:t xml:space="preserve"> 15%</w:t>
            </w:r>
            <w:r w:rsidR="00983CA9">
              <w:t>).</w:t>
            </w:r>
          </w:p>
        </w:tc>
      </w:tr>
      <w:tr w:rsidR="003F10F3" w14:paraId="7DCC41B9" w14:textId="77777777" w:rsidTr="00983CA9">
        <w:tc>
          <w:tcPr>
            <w:tcW w:w="1134" w:type="dxa"/>
            <w:shd w:val="clear" w:color="auto" w:fill="F2F2F2" w:themeFill="background1" w:themeFillShade="F2"/>
          </w:tcPr>
          <w:p w14:paraId="36D6DE3B" w14:textId="77777777" w:rsidR="003F10F3" w:rsidRPr="00CC52E3" w:rsidRDefault="003F10F3" w:rsidP="00983CA9">
            <w:pPr>
              <w:pStyle w:val="TableTextLeft"/>
            </w:pPr>
            <w:r w:rsidRPr="00CC52E3">
              <w:t>Germany</w:t>
            </w:r>
          </w:p>
        </w:tc>
        <w:tc>
          <w:tcPr>
            <w:tcW w:w="1560" w:type="dxa"/>
            <w:shd w:val="clear" w:color="auto" w:fill="F2F2F2" w:themeFill="background1" w:themeFillShade="F2"/>
          </w:tcPr>
          <w:p w14:paraId="33A3DD04" w14:textId="56AA9D3F" w:rsidR="00983CA9" w:rsidRDefault="003F10F3" w:rsidP="00983CA9">
            <w:pPr>
              <w:pStyle w:val="TableTextLeft"/>
            </w:pPr>
            <w:r w:rsidRPr="00D81B15">
              <w:t>Company</w:t>
            </w:r>
            <w:r w:rsidR="00983CA9">
              <w:t>.</w:t>
            </w:r>
          </w:p>
          <w:p w14:paraId="7C910D55" w14:textId="3062BAF2" w:rsidR="003F10F3" w:rsidRPr="00D81B15" w:rsidRDefault="003F10F3" w:rsidP="00983CA9">
            <w:pPr>
              <w:pStyle w:val="TableTextLeft"/>
            </w:pPr>
            <w:r w:rsidRPr="00D81B15">
              <w:t>Listed</w:t>
            </w:r>
            <w:r w:rsidR="00983CA9">
              <w:t>.</w:t>
            </w:r>
          </w:p>
          <w:p w14:paraId="63B969A4" w14:textId="33550D07" w:rsidR="003F10F3" w:rsidRPr="00D81B15" w:rsidRDefault="003F10F3" w:rsidP="00983CA9">
            <w:pPr>
              <w:pStyle w:val="TableTextLeft"/>
            </w:pPr>
            <w:r w:rsidRPr="00D81B15">
              <w:t>At least 15% shares must be publicly listed, and no shareholder can hold more than 10%</w:t>
            </w:r>
            <w:r w:rsidR="00983CA9">
              <w:t>.</w:t>
            </w:r>
          </w:p>
        </w:tc>
        <w:tc>
          <w:tcPr>
            <w:tcW w:w="1984" w:type="dxa"/>
            <w:shd w:val="clear" w:color="auto" w:fill="F2F2F2" w:themeFill="background1" w:themeFillShade="F2"/>
          </w:tcPr>
          <w:p w14:paraId="5B16AAD8" w14:textId="61C1DC50" w:rsidR="003F10F3" w:rsidRPr="00D81B15" w:rsidRDefault="003F10F3" w:rsidP="00983CA9">
            <w:pPr>
              <w:pStyle w:val="TableTextLeft"/>
            </w:pPr>
            <w:r w:rsidRPr="00D81B15">
              <w:t>Real estate in Germany and abroad</w:t>
            </w:r>
            <w:r w:rsidR="00983CA9">
              <w:t>.</w:t>
            </w:r>
          </w:p>
          <w:p w14:paraId="47265A3E" w14:textId="35FAA9B4" w:rsidR="003F10F3" w:rsidRPr="003C330C" w:rsidRDefault="003F10F3" w:rsidP="00983CA9">
            <w:pPr>
              <w:pStyle w:val="TableTextLeft"/>
              <w:rPr>
                <w:rFonts w:ascii="Book Antiqua" w:hAnsi="Book Antiqua"/>
              </w:rPr>
            </w:pPr>
            <w:r w:rsidRPr="00D81B15">
              <w:t>Wholly owned service corporation</w:t>
            </w:r>
            <w:r w:rsidR="00983CA9">
              <w:t>.</w:t>
            </w:r>
          </w:p>
        </w:tc>
        <w:tc>
          <w:tcPr>
            <w:tcW w:w="2126" w:type="dxa"/>
            <w:shd w:val="clear" w:color="auto" w:fill="F2F2F2" w:themeFill="background1" w:themeFillShade="F2"/>
          </w:tcPr>
          <w:p w14:paraId="2560D1CB" w14:textId="476D1168" w:rsidR="003F10F3" w:rsidRPr="00D81B15" w:rsidRDefault="003F10F3" w:rsidP="00983CA9">
            <w:pPr>
              <w:pStyle w:val="TableTextLeft"/>
            </w:pPr>
            <w:r w:rsidRPr="00D81B15">
              <w:t>75% of assets must relate to real estate assets</w:t>
            </w:r>
            <w:r w:rsidR="00983CA9">
              <w:t>.</w:t>
            </w:r>
          </w:p>
          <w:p w14:paraId="0E5D2759" w14:textId="789E2FC0" w:rsidR="003F10F3" w:rsidRPr="00D81B15" w:rsidRDefault="003F10F3" w:rsidP="00983CA9">
            <w:pPr>
              <w:pStyle w:val="TableTextLeft"/>
            </w:pPr>
            <w:r w:rsidRPr="00D81B15">
              <w:t>Wholly owned service corporation assets must not exceed 20% of total assets</w:t>
            </w:r>
            <w:r w:rsidR="00983CA9">
              <w:t>.</w:t>
            </w:r>
          </w:p>
        </w:tc>
        <w:tc>
          <w:tcPr>
            <w:tcW w:w="2268" w:type="dxa"/>
            <w:shd w:val="clear" w:color="auto" w:fill="F2F2F2" w:themeFill="background1" w:themeFillShade="F2"/>
          </w:tcPr>
          <w:p w14:paraId="26BB4991" w14:textId="3EC596CD" w:rsidR="003F10F3" w:rsidRPr="00D81B15" w:rsidRDefault="003F10F3" w:rsidP="00983CA9">
            <w:pPr>
              <w:pStyle w:val="TableTextLeft"/>
            </w:pPr>
            <w:r w:rsidRPr="00D81B15">
              <w:t>75% of earnings must relate to real estate assets</w:t>
            </w:r>
            <w:r w:rsidR="00983CA9">
              <w:t>.</w:t>
            </w:r>
          </w:p>
          <w:p w14:paraId="7A01F70B" w14:textId="57039059" w:rsidR="003F10F3" w:rsidRPr="00D81B15" w:rsidRDefault="003F10F3" w:rsidP="00983CA9">
            <w:pPr>
              <w:pStyle w:val="TableTextLeft"/>
            </w:pPr>
            <w:r w:rsidRPr="00D81B15">
              <w:t>Wholly owned service corporation earnings must n</w:t>
            </w:r>
            <w:r w:rsidR="00983CA9">
              <w:t>ot exceed 20% of total earnings.</w:t>
            </w:r>
          </w:p>
        </w:tc>
        <w:tc>
          <w:tcPr>
            <w:tcW w:w="2410" w:type="dxa"/>
            <w:shd w:val="clear" w:color="auto" w:fill="F2F2F2" w:themeFill="background1" w:themeFillShade="F2"/>
          </w:tcPr>
          <w:p w14:paraId="386F6A1E" w14:textId="7475B9B1" w:rsidR="003F10F3" w:rsidRPr="00D81B15" w:rsidRDefault="003F10F3" w:rsidP="00983CA9">
            <w:pPr>
              <w:pStyle w:val="TableTextLeft"/>
            </w:pPr>
            <w:r w:rsidRPr="00D81B15">
              <w:t>Must distribute 90% of  profits</w:t>
            </w:r>
            <w:r w:rsidR="00983CA9">
              <w:t>.</w:t>
            </w:r>
          </w:p>
        </w:tc>
        <w:tc>
          <w:tcPr>
            <w:tcW w:w="2584" w:type="dxa"/>
            <w:shd w:val="clear" w:color="auto" w:fill="F2F2F2" w:themeFill="background1" w:themeFillShade="F2"/>
          </w:tcPr>
          <w:p w14:paraId="2546C3D0" w14:textId="489C3B9B" w:rsidR="003F10F3" w:rsidRPr="00D81B15" w:rsidRDefault="007648C4" w:rsidP="00983CA9">
            <w:pPr>
              <w:pStyle w:val="TableTextLeft"/>
            </w:pPr>
            <w:r>
              <w:t>G</w:t>
            </w:r>
            <w:r w:rsidR="00D444D5">
              <w:noBreakHyphen/>
            </w:r>
            <w:r w:rsidR="003F10F3" w:rsidRPr="00D81B15">
              <w:t>REIT company</w:t>
            </w:r>
            <w:r w:rsidR="00D444D5">
              <w:t xml:space="preserve"> — </w:t>
            </w:r>
            <w:r w:rsidR="003F10F3" w:rsidRPr="00D81B15">
              <w:t>exempt</w:t>
            </w:r>
            <w:r w:rsidR="00D444D5">
              <w:t xml:space="preserve">. </w:t>
            </w:r>
            <w:r>
              <w:t>G</w:t>
            </w:r>
            <w:r w:rsidR="00D444D5">
              <w:noBreakHyphen/>
            </w:r>
            <w:r>
              <w:t>REIT subsidiaries</w:t>
            </w:r>
            <w:r w:rsidR="00D444D5">
              <w:t xml:space="preserve"> — </w:t>
            </w:r>
            <w:r>
              <w:t xml:space="preserve">taxable. </w:t>
            </w:r>
          </w:p>
          <w:p w14:paraId="26D2BDE8" w14:textId="2209737D" w:rsidR="003F10F3" w:rsidRPr="00D81B15" w:rsidRDefault="003F10F3" w:rsidP="00983CA9">
            <w:pPr>
              <w:pStyle w:val="TableTextLeft"/>
            </w:pPr>
            <w:r w:rsidRPr="00D81B15">
              <w:t>26.4% withholding tax</w:t>
            </w:r>
            <w:r w:rsidR="007648C4">
              <w:t xml:space="preserve"> on dividends</w:t>
            </w:r>
            <w:r w:rsidRPr="00D81B15">
              <w:t xml:space="preserve"> (final tax for </w:t>
            </w:r>
            <w:r w:rsidR="007648C4">
              <w:t xml:space="preserve">resident </w:t>
            </w:r>
            <w:r w:rsidRPr="00D81B15">
              <w:t>individuals, corporate taxpayers claim a credit)</w:t>
            </w:r>
            <w:r w:rsidR="007648C4">
              <w:t>. (DTAs may reduce to 15% for non</w:t>
            </w:r>
            <w:r w:rsidR="00D444D5">
              <w:noBreakHyphen/>
            </w:r>
            <w:r w:rsidR="007648C4">
              <w:t>residents)</w:t>
            </w:r>
            <w:r w:rsidR="00983CA9">
              <w:t>.</w:t>
            </w:r>
          </w:p>
        </w:tc>
      </w:tr>
      <w:tr w:rsidR="003F10F3" w14:paraId="6F149B0A" w14:textId="77777777" w:rsidTr="00983CA9">
        <w:tc>
          <w:tcPr>
            <w:tcW w:w="1134" w:type="dxa"/>
          </w:tcPr>
          <w:p w14:paraId="20024B3F" w14:textId="77777777" w:rsidR="003F10F3" w:rsidRPr="00CC52E3" w:rsidRDefault="003F10F3" w:rsidP="00983CA9">
            <w:pPr>
              <w:pStyle w:val="TableTextLeft"/>
            </w:pPr>
            <w:r w:rsidRPr="00CC52E3">
              <w:t>Hong Kong</w:t>
            </w:r>
          </w:p>
        </w:tc>
        <w:tc>
          <w:tcPr>
            <w:tcW w:w="1560" w:type="dxa"/>
          </w:tcPr>
          <w:p w14:paraId="130D7F17" w14:textId="6A5F50BA" w:rsidR="003F10F3" w:rsidRPr="00B116DC" w:rsidRDefault="003F10F3" w:rsidP="00983CA9">
            <w:pPr>
              <w:pStyle w:val="TableTextLeft"/>
            </w:pPr>
            <w:r w:rsidRPr="00B116DC">
              <w:t>Unit Trusts</w:t>
            </w:r>
            <w:r w:rsidR="00983CA9">
              <w:t>.</w:t>
            </w:r>
          </w:p>
          <w:p w14:paraId="07D1489C" w14:textId="19D4A620" w:rsidR="003F10F3" w:rsidRPr="00B116DC" w:rsidRDefault="003F10F3" w:rsidP="00983CA9">
            <w:pPr>
              <w:pStyle w:val="TableTextLeft"/>
            </w:pPr>
            <w:r w:rsidRPr="00B116DC">
              <w:t>Listed</w:t>
            </w:r>
            <w:r w:rsidR="00983CA9">
              <w:t>.</w:t>
            </w:r>
          </w:p>
          <w:p w14:paraId="02DB4571" w14:textId="7F8D4F3A" w:rsidR="003F10F3" w:rsidRPr="00B116DC" w:rsidRDefault="003F10F3" w:rsidP="00983CA9">
            <w:pPr>
              <w:pStyle w:val="TableTextLeft"/>
            </w:pPr>
            <w:r w:rsidRPr="00B116DC">
              <w:t>No minimum investors</w:t>
            </w:r>
            <w:r w:rsidR="00983CA9">
              <w:t>.</w:t>
            </w:r>
          </w:p>
        </w:tc>
        <w:tc>
          <w:tcPr>
            <w:tcW w:w="1984" w:type="dxa"/>
          </w:tcPr>
          <w:p w14:paraId="3103BF71" w14:textId="6C86B38D" w:rsidR="003F10F3" w:rsidRPr="00B116DC" w:rsidRDefault="003F10F3" w:rsidP="00983CA9">
            <w:pPr>
              <w:pStyle w:val="TableTextLeft"/>
            </w:pPr>
            <w:r w:rsidRPr="00B116DC">
              <w:t>Real estate (not vacant land or property development)</w:t>
            </w:r>
            <w:r w:rsidR="00983CA9">
              <w:t>.</w:t>
            </w:r>
          </w:p>
          <w:p w14:paraId="1FBC087E" w14:textId="6AA10A70" w:rsidR="003F10F3" w:rsidRPr="003C330C" w:rsidRDefault="003F10F3" w:rsidP="00983CA9">
            <w:pPr>
              <w:pStyle w:val="TableTextLeft"/>
              <w:rPr>
                <w:rFonts w:ascii="Book Antiqua" w:hAnsi="Book Antiqua"/>
              </w:rPr>
            </w:pPr>
            <w:r w:rsidRPr="00B116DC">
              <w:t>Special purpose vehicles may be used for hotels, recreation parks, or serviced apartments</w:t>
            </w:r>
            <w:r w:rsidR="00983CA9">
              <w:t>.</w:t>
            </w:r>
          </w:p>
        </w:tc>
        <w:tc>
          <w:tcPr>
            <w:tcW w:w="2126" w:type="dxa"/>
          </w:tcPr>
          <w:p w14:paraId="5A4ED0E3" w14:textId="6F9613C1" w:rsidR="003F10F3" w:rsidRPr="003C330C" w:rsidRDefault="003F10F3" w:rsidP="00983CA9">
            <w:pPr>
              <w:pStyle w:val="TableTextLeft"/>
              <w:rPr>
                <w:rFonts w:ascii="Book Antiqua" w:hAnsi="Book Antiqua"/>
              </w:rPr>
            </w:pPr>
            <w:r w:rsidRPr="00B116DC">
              <w:t>75% of assets must be income generating properties</w:t>
            </w:r>
            <w:r w:rsidR="00983CA9">
              <w:t>.</w:t>
            </w:r>
          </w:p>
        </w:tc>
        <w:tc>
          <w:tcPr>
            <w:tcW w:w="2268" w:type="dxa"/>
          </w:tcPr>
          <w:p w14:paraId="1CB07340" w14:textId="77777777" w:rsidR="003F10F3" w:rsidRPr="003C330C" w:rsidRDefault="003F10F3" w:rsidP="00983CA9">
            <w:pPr>
              <w:pStyle w:val="TableTextLeft"/>
            </w:pPr>
          </w:p>
        </w:tc>
        <w:tc>
          <w:tcPr>
            <w:tcW w:w="2410" w:type="dxa"/>
          </w:tcPr>
          <w:p w14:paraId="38422F79" w14:textId="18AD5EA2" w:rsidR="003F10F3" w:rsidRPr="00B116DC" w:rsidRDefault="003F10F3" w:rsidP="00983CA9">
            <w:pPr>
              <w:pStyle w:val="TableTextLeft"/>
            </w:pPr>
            <w:r w:rsidRPr="00B116DC">
              <w:t>Must distribute 90% of audited annual net income after tax</w:t>
            </w:r>
            <w:r w:rsidR="00983CA9">
              <w:t>.</w:t>
            </w:r>
          </w:p>
        </w:tc>
        <w:tc>
          <w:tcPr>
            <w:tcW w:w="2584" w:type="dxa"/>
          </w:tcPr>
          <w:p w14:paraId="5E240AE6" w14:textId="76DC40B9" w:rsidR="003F10F3" w:rsidRPr="00B116DC" w:rsidRDefault="003F10F3" w:rsidP="00983CA9">
            <w:pPr>
              <w:pStyle w:val="TableTextLeft"/>
            </w:pPr>
            <w:r w:rsidRPr="00B116DC">
              <w:t>REIT</w:t>
            </w:r>
            <w:r w:rsidR="00D444D5">
              <w:t xml:space="preserve"> — </w:t>
            </w:r>
            <w:r w:rsidRPr="00B116DC">
              <w:t>exempt, except subject to property tax on rentals</w:t>
            </w:r>
            <w:r w:rsidR="00983CA9">
              <w:t>.</w:t>
            </w:r>
          </w:p>
          <w:p w14:paraId="7EF744BA" w14:textId="697F9DAB" w:rsidR="003F10F3" w:rsidRPr="003C330C" w:rsidRDefault="003F10F3" w:rsidP="00983CA9">
            <w:pPr>
              <w:pStyle w:val="TableTextLeft"/>
              <w:rPr>
                <w:rFonts w:ascii="Book Antiqua" w:hAnsi="Book Antiqua"/>
              </w:rPr>
            </w:pPr>
            <w:r w:rsidRPr="00B116DC">
              <w:t>Investors</w:t>
            </w:r>
            <w:r w:rsidR="00D444D5">
              <w:t xml:space="preserve"> — </w:t>
            </w:r>
            <w:r w:rsidRPr="00B116DC">
              <w:t>not subject to any Hong Kong tax</w:t>
            </w:r>
            <w:r w:rsidR="00983CA9">
              <w:t>.</w:t>
            </w:r>
          </w:p>
        </w:tc>
      </w:tr>
    </w:tbl>
    <w:p w14:paraId="73050C2C" w14:textId="77777777" w:rsidR="00983CA9" w:rsidRDefault="00983CA9">
      <w:r>
        <w:rPr>
          <w:b/>
        </w:rPr>
        <w:br w:type="page"/>
      </w:r>
    </w:p>
    <w:tbl>
      <w:tblPr>
        <w:tblW w:w="0" w:type="auto"/>
        <w:tblLayout w:type="fixed"/>
        <w:tblLook w:val="04A0" w:firstRow="1" w:lastRow="0" w:firstColumn="1" w:lastColumn="0" w:noHBand="0" w:noVBand="1"/>
      </w:tblPr>
      <w:tblGrid>
        <w:gridCol w:w="1134"/>
        <w:gridCol w:w="1560"/>
        <w:gridCol w:w="1984"/>
        <w:gridCol w:w="2126"/>
        <w:gridCol w:w="2268"/>
        <w:gridCol w:w="2410"/>
        <w:gridCol w:w="2584"/>
      </w:tblGrid>
      <w:tr w:rsidR="00983CA9" w:rsidRPr="00AF7CC4" w14:paraId="13D36F50" w14:textId="77777777" w:rsidTr="00983CA9">
        <w:tc>
          <w:tcPr>
            <w:tcW w:w="1134" w:type="dxa"/>
            <w:shd w:val="clear" w:color="auto" w:fill="1F497D" w:themeFill="text2"/>
          </w:tcPr>
          <w:p w14:paraId="2199B5EC" w14:textId="7A5A3DE2" w:rsidR="00983CA9" w:rsidRPr="00AF7CC4" w:rsidRDefault="00983CA9" w:rsidP="00983CA9">
            <w:pPr>
              <w:pStyle w:val="TableColumnHeadingLeft-White"/>
            </w:pPr>
            <w:r w:rsidRPr="00AF7CC4">
              <w:t>Country</w:t>
            </w:r>
          </w:p>
        </w:tc>
        <w:tc>
          <w:tcPr>
            <w:tcW w:w="1560" w:type="dxa"/>
            <w:shd w:val="clear" w:color="auto" w:fill="1F497D" w:themeFill="text2"/>
          </w:tcPr>
          <w:p w14:paraId="20E4F4E7" w14:textId="77777777" w:rsidR="00983CA9" w:rsidRPr="00AF7CC4" w:rsidRDefault="00983CA9" w:rsidP="00983CA9">
            <w:pPr>
              <w:pStyle w:val="TableColumnHeadingLeft-White"/>
            </w:pPr>
            <w:r w:rsidRPr="00AF7CC4">
              <w:t>Structure</w:t>
            </w:r>
          </w:p>
        </w:tc>
        <w:tc>
          <w:tcPr>
            <w:tcW w:w="1984" w:type="dxa"/>
            <w:shd w:val="clear" w:color="auto" w:fill="1F497D" w:themeFill="text2"/>
          </w:tcPr>
          <w:p w14:paraId="0A94176A" w14:textId="77777777" w:rsidR="00983CA9" w:rsidRPr="00AF7CC4" w:rsidRDefault="00983CA9" w:rsidP="00983CA9">
            <w:pPr>
              <w:pStyle w:val="TableColumnHeadingLeft-White"/>
            </w:pPr>
            <w:r w:rsidRPr="00AF7CC4">
              <w:t>Activity restrictions</w:t>
            </w:r>
          </w:p>
        </w:tc>
        <w:tc>
          <w:tcPr>
            <w:tcW w:w="2126" w:type="dxa"/>
            <w:shd w:val="clear" w:color="auto" w:fill="1F497D" w:themeFill="text2"/>
          </w:tcPr>
          <w:p w14:paraId="6E52FAA6" w14:textId="77777777" w:rsidR="00983CA9" w:rsidRPr="00AF7CC4" w:rsidRDefault="00983CA9" w:rsidP="00983CA9">
            <w:pPr>
              <w:pStyle w:val="TableColumnHeadingLeft-White"/>
            </w:pPr>
            <w:r w:rsidRPr="00AF7CC4">
              <w:t>Asset requirement</w:t>
            </w:r>
          </w:p>
        </w:tc>
        <w:tc>
          <w:tcPr>
            <w:tcW w:w="2268" w:type="dxa"/>
            <w:shd w:val="clear" w:color="auto" w:fill="1F497D" w:themeFill="text2"/>
          </w:tcPr>
          <w:p w14:paraId="0066948A" w14:textId="77777777" w:rsidR="00983CA9" w:rsidRPr="00AF7CC4" w:rsidRDefault="00983CA9" w:rsidP="00983CA9">
            <w:pPr>
              <w:pStyle w:val="TableColumnHeadingLeft-White"/>
            </w:pPr>
            <w:r w:rsidRPr="00AF7CC4">
              <w:t>Income requirement</w:t>
            </w:r>
          </w:p>
        </w:tc>
        <w:tc>
          <w:tcPr>
            <w:tcW w:w="2410" w:type="dxa"/>
            <w:shd w:val="clear" w:color="auto" w:fill="1F497D" w:themeFill="text2"/>
          </w:tcPr>
          <w:p w14:paraId="7A5D2AB3" w14:textId="77777777" w:rsidR="00983CA9" w:rsidRPr="00AF7CC4" w:rsidRDefault="00983CA9" w:rsidP="00983CA9">
            <w:pPr>
              <w:pStyle w:val="TableColumnHeadingLeft-White"/>
            </w:pPr>
            <w:r w:rsidRPr="00AF7CC4">
              <w:t>Distribution requirement</w:t>
            </w:r>
          </w:p>
        </w:tc>
        <w:tc>
          <w:tcPr>
            <w:tcW w:w="2584" w:type="dxa"/>
            <w:shd w:val="clear" w:color="auto" w:fill="1F497D" w:themeFill="text2"/>
          </w:tcPr>
          <w:p w14:paraId="633C1A8D" w14:textId="77777777" w:rsidR="00983CA9" w:rsidRPr="00AF7CC4" w:rsidRDefault="00983CA9" w:rsidP="00983CA9">
            <w:pPr>
              <w:pStyle w:val="TableColumnHeadingLeft-White"/>
            </w:pPr>
            <w:r w:rsidRPr="00AF7CC4">
              <w:t>Taxation</w:t>
            </w:r>
          </w:p>
        </w:tc>
      </w:tr>
      <w:tr w:rsidR="003F10F3" w14:paraId="0F5D7E7B" w14:textId="77777777" w:rsidTr="00983CA9">
        <w:tc>
          <w:tcPr>
            <w:tcW w:w="1134" w:type="dxa"/>
            <w:tcBorders>
              <w:bottom w:val="single" w:sz="2" w:space="0" w:color="28467D"/>
            </w:tcBorders>
          </w:tcPr>
          <w:p w14:paraId="048CB810" w14:textId="77777777" w:rsidR="003F10F3" w:rsidRPr="00CC52E3" w:rsidRDefault="003F10F3" w:rsidP="00983CA9">
            <w:pPr>
              <w:pStyle w:val="TableTextLeft"/>
            </w:pPr>
            <w:r w:rsidRPr="00CC52E3">
              <w:t>Singapore</w:t>
            </w:r>
          </w:p>
        </w:tc>
        <w:tc>
          <w:tcPr>
            <w:tcW w:w="1560" w:type="dxa"/>
            <w:tcBorders>
              <w:bottom w:val="single" w:sz="2" w:space="0" w:color="28467D"/>
            </w:tcBorders>
          </w:tcPr>
          <w:p w14:paraId="257DE0CE" w14:textId="5FDE4DFD" w:rsidR="003F10F3" w:rsidRPr="00B116DC" w:rsidRDefault="003F10F3" w:rsidP="00983CA9">
            <w:pPr>
              <w:pStyle w:val="TableTextLeft"/>
            </w:pPr>
            <w:r w:rsidRPr="00B116DC">
              <w:t>Unit Trusts</w:t>
            </w:r>
            <w:r w:rsidR="00983CA9">
              <w:t>.</w:t>
            </w:r>
          </w:p>
          <w:p w14:paraId="69261201" w14:textId="440D0EBB" w:rsidR="003F10F3" w:rsidRPr="00B116DC" w:rsidRDefault="003F10F3" w:rsidP="00983CA9">
            <w:pPr>
              <w:pStyle w:val="TableTextLeft"/>
            </w:pPr>
            <w:r w:rsidRPr="00B116DC">
              <w:t>Listed</w:t>
            </w:r>
            <w:r w:rsidR="00983CA9">
              <w:t>.</w:t>
            </w:r>
          </w:p>
          <w:p w14:paraId="748DA207" w14:textId="7823122F" w:rsidR="003F10F3" w:rsidRPr="00B116DC" w:rsidRDefault="003F10F3" w:rsidP="00983CA9">
            <w:pPr>
              <w:pStyle w:val="TableTextLeft"/>
            </w:pPr>
            <w:r w:rsidRPr="00B116DC">
              <w:t>25% units must be held by a minimum of 500 public unit</w:t>
            </w:r>
            <w:r w:rsidR="00CC52E3">
              <w:t xml:space="preserve"> </w:t>
            </w:r>
            <w:r w:rsidR="00983CA9">
              <w:t>holders.</w:t>
            </w:r>
          </w:p>
        </w:tc>
        <w:tc>
          <w:tcPr>
            <w:tcW w:w="1984" w:type="dxa"/>
            <w:tcBorders>
              <w:bottom w:val="single" w:sz="2" w:space="0" w:color="28467D"/>
            </w:tcBorders>
          </w:tcPr>
          <w:p w14:paraId="788DD56F" w14:textId="747D7ECC" w:rsidR="003F10F3" w:rsidRPr="00B116DC" w:rsidRDefault="003F10F3" w:rsidP="00983CA9">
            <w:pPr>
              <w:pStyle w:val="TableTextLeft"/>
            </w:pPr>
            <w:r w:rsidRPr="00B116DC">
              <w:t>Real estate (not vacant land</w:t>
            </w:r>
            <w:r w:rsidR="009272E2">
              <w:t xml:space="preserve"> or property development</w:t>
            </w:r>
            <w:r w:rsidRPr="00B116DC">
              <w:t>)</w:t>
            </w:r>
            <w:r w:rsidR="00983CA9">
              <w:t>.</w:t>
            </w:r>
          </w:p>
          <w:p w14:paraId="7441FCEE" w14:textId="27A0EAEC" w:rsidR="003F10F3" w:rsidRPr="00B116DC" w:rsidRDefault="003F10F3" w:rsidP="00983CA9">
            <w:pPr>
              <w:pStyle w:val="TableTextLeft"/>
            </w:pPr>
            <w:r w:rsidRPr="00B116DC">
              <w:t>Limited financial securities</w:t>
            </w:r>
            <w:r w:rsidR="00983CA9">
              <w:t>.</w:t>
            </w:r>
          </w:p>
        </w:tc>
        <w:tc>
          <w:tcPr>
            <w:tcW w:w="2126" w:type="dxa"/>
            <w:tcBorders>
              <w:bottom w:val="single" w:sz="2" w:space="0" w:color="28467D"/>
            </w:tcBorders>
          </w:tcPr>
          <w:p w14:paraId="36CB7670" w14:textId="49F9381E" w:rsidR="003F10F3" w:rsidRPr="003C330C" w:rsidRDefault="003F10F3" w:rsidP="00983CA9">
            <w:pPr>
              <w:pStyle w:val="TableTextLeft"/>
              <w:rPr>
                <w:rFonts w:ascii="Book Antiqua" w:hAnsi="Book Antiqua"/>
              </w:rPr>
            </w:pPr>
            <w:r w:rsidRPr="00B116DC">
              <w:t>75% of assets must be income producing real estate</w:t>
            </w:r>
            <w:r w:rsidR="00983CA9">
              <w:t>.</w:t>
            </w:r>
          </w:p>
        </w:tc>
        <w:tc>
          <w:tcPr>
            <w:tcW w:w="2268" w:type="dxa"/>
            <w:tcBorders>
              <w:bottom w:val="single" w:sz="2" w:space="0" w:color="28467D"/>
            </w:tcBorders>
          </w:tcPr>
          <w:p w14:paraId="368B7D28" w14:textId="77777777" w:rsidR="003F10F3" w:rsidRPr="00B116DC" w:rsidRDefault="003F10F3" w:rsidP="00983CA9">
            <w:pPr>
              <w:pStyle w:val="TableTextLeft"/>
            </w:pPr>
            <w:r w:rsidRPr="00B116DC">
              <w:t>No more than 10% of revenue can be from sources other than rent and passive income from financial securities.</w:t>
            </w:r>
          </w:p>
        </w:tc>
        <w:tc>
          <w:tcPr>
            <w:tcW w:w="2410" w:type="dxa"/>
            <w:tcBorders>
              <w:bottom w:val="single" w:sz="2" w:space="0" w:color="28467D"/>
            </w:tcBorders>
          </w:tcPr>
          <w:p w14:paraId="204D3289" w14:textId="2C385485" w:rsidR="003F10F3" w:rsidRPr="00B116DC" w:rsidRDefault="003F10F3" w:rsidP="00983CA9">
            <w:pPr>
              <w:pStyle w:val="TableTextLeft"/>
            </w:pPr>
            <w:r w:rsidRPr="00B116DC">
              <w:t>Must distribute 90% of taxable income to be tax transparent</w:t>
            </w:r>
            <w:r w:rsidR="00983CA9">
              <w:t>.</w:t>
            </w:r>
          </w:p>
        </w:tc>
        <w:tc>
          <w:tcPr>
            <w:tcW w:w="2584" w:type="dxa"/>
            <w:tcBorders>
              <w:bottom w:val="single" w:sz="2" w:space="0" w:color="28467D"/>
            </w:tcBorders>
          </w:tcPr>
          <w:p w14:paraId="4C9884CA" w14:textId="2F29D5E8" w:rsidR="003F10F3" w:rsidRPr="00B116DC" w:rsidRDefault="003F10F3" w:rsidP="00983CA9">
            <w:pPr>
              <w:pStyle w:val="TableTextLeft"/>
            </w:pPr>
            <w:r w:rsidRPr="00B116DC">
              <w:t>Undistributed income</w:t>
            </w:r>
            <w:r w:rsidR="00D444D5">
              <w:t xml:space="preserve"> — </w:t>
            </w:r>
            <w:r w:rsidR="009272E2">
              <w:t xml:space="preserve">trustee </w:t>
            </w:r>
            <w:r w:rsidRPr="00B116DC">
              <w:t>taxed at corporate tax rate (currently 17%)</w:t>
            </w:r>
            <w:r w:rsidR="00983CA9">
              <w:t>.</w:t>
            </w:r>
          </w:p>
          <w:p w14:paraId="122B1D1E" w14:textId="015C1FC0" w:rsidR="003F10F3" w:rsidRPr="00B116DC" w:rsidRDefault="003F10F3" w:rsidP="00983CA9">
            <w:pPr>
              <w:pStyle w:val="TableTextLeft"/>
            </w:pPr>
            <w:r w:rsidRPr="00B116DC">
              <w:t>Distributed to corporate</w:t>
            </w:r>
            <w:r w:rsidR="00D444D5">
              <w:t xml:space="preserve"> — </w:t>
            </w:r>
            <w:r w:rsidRPr="00B116DC">
              <w:t>at cor</w:t>
            </w:r>
            <w:r w:rsidR="00983CA9">
              <w:t>porate tax rate (currently 17%).</w:t>
            </w:r>
          </w:p>
          <w:p w14:paraId="1B08B24F" w14:textId="463AADB1" w:rsidR="003F10F3" w:rsidRPr="00B116DC" w:rsidRDefault="003F10F3" w:rsidP="00983CA9">
            <w:pPr>
              <w:pStyle w:val="TableTextLeft"/>
            </w:pPr>
            <w:r w:rsidRPr="00B116DC">
              <w:t>Distributed to individuals generally tax</w:t>
            </w:r>
            <w:r w:rsidR="00D444D5">
              <w:noBreakHyphen/>
            </w:r>
            <w:r w:rsidRPr="00B116DC">
              <w:t>exempt</w:t>
            </w:r>
            <w:r w:rsidR="00983CA9">
              <w:t>.</w:t>
            </w:r>
          </w:p>
          <w:p w14:paraId="37AD5332" w14:textId="76113D9B" w:rsidR="003F10F3" w:rsidRPr="00B116DC" w:rsidRDefault="003F10F3" w:rsidP="00983CA9">
            <w:pPr>
              <w:pStyle w:val="TableTextLeft"/>
            </w:pPr>
            <w:r w:rsidRPr="00B116DC">
              <w:t>Withholding tax for non</w:t>
            </w:r>
            <w:r w:rsidR="00D444D5">
              <w:noBreakHyphen/>
            </w:r>
            <w:r w:rsidRPr="00B116DC">
              <w:t>residents</w:t>
            </w:r>
            <w:r w:rsidR="00D444D5">
              <w:t xml:space="preserve"> — </w:t>
            </w:r>
            <w:r w:rsidRPr="00B116DC">
              <w:t>10% to non</w:t>
            </w:r>
            <w:r w:rsidR="00D444D5">
              <w:noBreakHyphen/>
            </w:r>
            <w:r w:rsidRPr="00B116DC">
              <w:t>individuals, 17% to others</w:t>
            </w:r>
            <w:r w:rsidR="00983CA9">
              <w:t>.</w:t>
            </w:r>
          </w:p>
        </w:tc>
      </w:tr>
    </w:tbl>
    <w:p w14:paraId="10C9FBF2" w14:textId="77777777" w:rsidR="003F10F3" w:rsidRDefault="003F10F3" w:rsidP="00915FBA">
      <w:pPr>
        <w:pStyle w:val="Bullet"/>
        <w:numPr>
          <w:ilvl w:val="0"/>
          <w:numId w:val="0"/>
        </w:numPr>
        <w:spacing w:after="200" w:line="276" w:lineRule="auto"/>
        <w:ind w:left="283" w:hanging="283"/>
        <w:jc w:val="left"/>
      </w:pPr>
    </w:p>
    <w:p w14:paraId="2FD31C6D" w14:textId="77777777" w:rsidR="003F10F3" w:rsidRDefault="003F10F3" w:rsidP="00E21221"/>
    <w:p w14:paraId="525DF0BF" w14:textId="77777777" w:rsidR="003F3A6B" w:rsidRDefault="003F3A6B" w:rsidP="00E21221">
      <w:pPr>
        <w:sectPr w:rsidR="003F3A6B" w:rsidSect="003778E0">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1418" w:right="1418" w:bottom="1418" w:left="1418" w:header="709" w:footer="709" w:gutter="0"/>
          <w:cols w:space="708"/>
          <w:titlePg/>
          <w:docGrid w:linePitch="360"/>
        </w:sectPr>
      </w:pPr>
    </w:p>
    <w:p w14:paraId="50F64D33" w14:textId="77777777" w:rsidR="00915FBA" w:rsidRDefault="00915FBA" w:rsidP="003F3A6B">
      <w:pPr>
        <w:pStyle w:val="Bullet"/>
        <w:numPr>
          <w:ilvl w:val="0"/>
          <w:numId w:val="0"/>
        </w:numPr>
        <w:spacing w:after="200" w:line="276" w:lineRule="auto"/>
        <w:ind w:left="283" w:hanging="283"/>
        <w:jc w:val="left"/>
      </w:pPr>
    </w:p>
    <w:sectPr w:rsidR="00915FBA" w:rsidSect="003778E0">
      <w:headerReference w:type="first" r:id="rId43"/>
      <w:footerReference w:type="first" r:id="rId4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AB3FB" w14:textId="77777777" w:rsidR="00983CA9" w:rsidRDefault="00983CA9">
      <w:pPr>
        <w:spacing w:after="0" w:line="240" w:lineRule="auto"/>
      </w:pPr>
      <w:r>
        <w:separator/>
      </w:r>
    </w:p>
  </w:endnote>
  <w:endnote w:type="continuationSeparator" w:id="0">
    <w:p w14:paraId="79C060E5" w14:textId="77777777" w:rsidR="00983CA9" w:rsidRDefault="00983CA9">
      <w:pPr>
        <w:spacing w:after="0" w:line="240" w:lineRule="auto"/>
      </w:pPr>
      <w:r>
        <w:continuationSeparator/>
      </w:r>
    </w:p>
  </w:endnote>
  <w:endnote w:type="continuationNotice" w:id="1">
    <w:p w14:paraId="3FC226ED" w14:textId="77777777" w:rsidR="00983CA9" w:rsidRDefault="00983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B4568" w14:textId="40ED54EB" w:rsidR="00983CA9" w:rsidRPr="00983CA9" w:rsidRDefault="00983CA9" w:rsidP="00983CA9">
    <w:pPr>
      <w:pStyle w:val="HeaderEven"/>
    </w:pPr>
    <w:r w:rsidRPr="00983CA9">
      <w:t xml:space="preserve">Page </w:t>
    </w:r>
    <w:r w:rsidRPr="00983CA9">
      <w:fldChar w:fldCharType="begin"/>
    </w:r>
    <w:r w:rsidRPr="00983CA9">
      <w:instrText xml:space="preserve"> PAGE   \* MERGEFORMAT </w:instrText>
    </w:r>
    <w:r w:rsidRPr="00983CA9">
      <w:fldChar w:fldCharType="separate"/>
    </w:r>
    <w:r w:rsidR="008B4D14">
      <w:rPr>
        <w:noProof/>
      </w:rPr>
      <w:t>18</w:t>
    </w:r>
    <w:r w:rsidRPr="00983CA9">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29600" w14:textId="3E2AFB18" w:rsidR="00983CA9" w:rsidRPr="00103692" w:rsidRDefault="00A46C95" w:rsidP="00A46C95">
    <w:pPr>
      <w:pStyle w:val="HeaderOdd"/>
    </w:pPr>
    <w:r w:rsidRPr="00983CA9">
      <w:t xml:space="preserve">Page </w:t>
    </w:r>
    <w:r w:rsidRPr="00983CA9">
      <w:fldChar w:fldCharType="begin"/>
    </w:r>
    <w:r w:rsidRPr="00983CA9">
      <w:instrText xml:space="preserve"> PAGE   \* MERGEFORMAT </w:instrText>
    </w:r>
    <w:r w:rsidRPr="00983CA9">
      <w:fldChar w:fldCharType="separate"/>
    </w:r>
    <w:r w:rsidR="008B4D14">
      <w:rPr>
        <w:noProof/>
      </w:rPr>
      <w:t>21</w:t>
    </w:r>
    <w:r w:rsidRPr="00983CA9">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D482A" w14:textId="22FAD953" w:rsidR="00983CA9" w:rsidRPr="00A46C95" w:rsidRDefault="00A46C95" w:rsidP="004C4020">
    <w:pPr>
      <w:pStyle w:val="HeaderEven"/>
      <w:rPr>
        <w:rStyle w:val="PageNumber"/>
        <w:rFonts w:ascii="Arial" w:hAnsi="Arial"/>
      </w:rPr>
    </w:pPr>
    <w:r w:rsidRPr="00983CA9">
      <w:t xml:space="preserve">Page </w:t>
    </w:r>
    <w:r w:rsidRPr="00983CA9">
      <w:fldChar w:fldCharType="begin"/>
    </w:r>
    <w:r w:rsidRPr="00983CA9">
      <w:instrText xml:space="preserve"> PAGE   \* MERGEFORMAT </w:instrText>
    </w:r>
    <w:r w:rsidRPr="00983CA9">
      <w:fldChar w:fldCharType="separate"/>
    </w:r>
    <w:r w:rsidR="008B4D14">
      <w:rPr>
        <w:noProof/>
      </w:rPr>
      <w:t>20</w:t>
    </w:r>
    <w:r w:rsidRPr="00983CA9">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83887" w14:textId="2E5AC99B" w:rsidR="00983CA9" w:rsidRPr="00A46C95" w:rsidRDefault="00A46C95" w:rsidP="004C4020">
    <w:pPr>
      <w:pStyle w:val="HeaderOdd"/>
      <w:rPr>
        <w:rStyle w:val="PageNumber"/>
        <w:rFonts w:ascii="Arial" w:hAnsi="Arial"/>
      </w:rPr>
    </w:pPr>
    <w:r w:rsidRPr="00983CA9">
      <w:t xml:space="preserve">Page </w:t>
    </w:r>
    <w:r w:rsidRPr="00983CA9">
      <w:fldChar w:fldCharType="begin"/>
    </w:r>
    <w:r w:rsidRPr="00983CA9">
      <w:instrText xml:space="preserve"> PAGE   \* MERGEFORMAT </w:instrText>
    </w:r>
    <w:r w:rsidRPr="00983CA9">
      <w:fldChar w:fldCharType="separate"/>
    </w:r>
    <w:r w:rsidR="008B4D14">
      <w:rPr>
        <w:noProof/>
      </w:rPr>
      <w:t>23</w:t>
    </w:r>
    <w:r w:rsidRPr="00983C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54284" w14:textId="6D8FFAE9" w:rsidR="00983CA9" w:rsidRPr="00983CA9" w:rsidRDefault="00983CA9" w:rsidP="00983CA9">
    <w:pPr>
      <w:pStyle w:val="FooterOdd"/>
    </w:pPr>
    <w:r w:rsidRPr="00983CA9">
      <w:rPr>
        <w:rStyle w:val="PageNumber"/>
        <w:rFonts w:ascii="Arial" w:hAnsi="Arial"/>
      </w:rPr>
      <w:t xml:space="preserve">Page </w:t>
    </w:r>
    <w:r w:rsidRPr="00983CA9">
      <w:rPr>
        <w:rStyle w:val="PageNumber"/>
        <w:rFonts w:ascii="Arial" w:hAnsi="Arial"/>
      </w:rPr>
      <w:fldChar w:fldCharType="begin"/>
    </w:r>
    <w:r w:rsidRPr="00983CA9">
      <w:rPr>
        <w:rStyle w:val="PageNumber"/>
        <w:rFonts w:ascii="Arial" w:hAnsi="Arial"/>
      </w:rPr>
      <w:instrText xml:space="preserve"> PAGE   \* MERGEFORMAT </w:instrText>
    </w:r>
    <w:r w:rsidRPr="00983CA9">
      <w:rPr>
        <w:rStyle w:val="PageNumber"/>
        <w:rFonts w:ascii="Arial" w:hAnsi="Arial"/>
      </w:rPr>
      <w:fldChar w:fldCharType="separate"/>
    </w:r>
    <w:r w:rsidR="008B4D14">
      <w:rPr>
        <w:rStyle w:val="PageNumber"/>
        <w:rFonts w:ascii="Arial" w:hAnsi="Arial"/>
        <w:noProof/>
      </w:rPr>
      <w:t>15</w:t>
    </w:r>
    <w:r w:rsidRPr="00983CA9">
      <w:rPr>
        <w:rStyle w:val="PageNumbe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7965" w14:textId="77777777" w:rsidR="00983CA9" w:rsidRPr="00B13DB9" w:rsidRDefault="00983CA9" w:rsidP="00B13D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F9957" w14:textId="3C7BB94B" w:rsidR="00983CA9" w:rsidRPr="00B13DB9" w:rsidRDefault="00983CA9" w:rsidP="00B13DB9">
    <w:pPr>
      <w:pStyle w:val="FooterOdd"/>
    </w:pPr>
    <w:r w:rsidRPr="00853B1C">
      <w:t xml:space="preserve">Page </w:t>
    </w:r>
    <w:r w:rsidRPr="00CE25B6">
      <w:rPr>
        <w:rStyle w:val="PageNumber"/>
        <w:rFonts w:ascii="Century Gothic" w:hAnsi="Century Gothic"/>
      </w:rPr>
      <w:fldChar w:fldCharType="begin"/>
    </w:r>
    <w:r w:rsidRPr="00CE25B6">
      <w:rPr>
        <w:rStyle w:val="PageNumber"/>
        <w:rFonts w:ascii="Century Gothic" w:hAnsi="Century Gothic"/>
      </w:rPr>
      <w:instrText xml:space="preserve"> PAGE </w:instrText>
    </w:r>
    <w:r w:rsidRPr="00CE25B6">
      <w:rPr>
        <w:rStyle w:val="PageNumber"/>
        <w:rFonts w:ascii="Century Gothic" w:hAnsi="Century Gothic"/>
      </w:rPr>
      <w:fldChar w:fldCharType="separate"/>
    </w:r>
    <w:r w:rsidR="008B4D14">
      <w:rPr>
        <w:rStyle w:val="PageNumber"/>
        <w:rFonts w:ascii="Century Gothic" w:hAnsi="Century Gothic"/>
        <w:noProof/>
      </w:rPr>
      <w:t>iii</w:t>
    </w:r>
    <w:r w:rsidRPr="00CE25B6">
      <w:rPr>
        <w:rStyle w:val="PageNumber"/>
        <w:rFonts w:ascii="Century Gothic" w:hAnsi="Century Gothic"/>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FE92" w14:textId="77777777" w:rsidR="00C90C5D" w:rsidRPr="00C90C5D" w:rsidRDefault="00C90C5D" w:rsidP="00C90C5D">
    <w:pPr>
      <w:pStyle w:val="FooterEven"/>
    </w:pPr>
    <w:r w:rsidRPr="00C90C5D">
      <w:t xml:space="preserve">Page </w:t>
    </w:r>
    <w:r w:rsidRPr="00C90C5D">
      <w:rPr>
        <w:rStyle w:val="PageNumber"/>
        <w:rFonts w:ascii="Arial" w:hAnsi="Arial"/>
      </w:rPr>
      <w:fldChar w:fldCharType="begin"/>
    </w:r>
    <w:r w:rsidRPr="00C90C5D">
      <w:rPr>
        <w:rStyle w:val="PageNumber"/>
        <w:rFonts w:ascii="Arial" w:hAnsi="Arial"/>
      </w:rPr>
      <w:instrText xml:space="preserve"> PAGE </w:instrText>
    </w:r>
    <w:r w:rsidRPr="00C90C5D">
      <w:rPr>
        <w:rStyle w:val="PageNumber"/>
        <w:rFonts w:ascii="Arial" w:hAnsi="Arial"/>
      </w:rPr>
      <w:fldChar w:fldCharType="separate"/>
    </w:r>
    <w:r w:rsidR="008B4D14">
      <w:rPr>
        <w:rStyle w:val="PageNumber"/>
        <w:rFonts w:ascii="Arial" w:hAnsi="Arial"/>
        <w:noProof/>
      </w:rPr>
      <w:t>iv</w:t>
    </w:r>
    <w:r w:rsidRPr="00C90C5D">
      <w:rPr>
        <w:rStyle w:val="PageNumber"/>
        <w:rFonts w:ascii="Arial" w:hAnsi="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EFDB" w14:textId="66271DD7" w:rsidR="00983CA9" w:rsidRPr="00983CA9" w:rsidRDefault="00983CA9" w:rsidP="00983CA9">
    <w:pPr>
      <w:pStyle w:val="FooterOdd"/>
      <w:rPr>
        <w:rStyle w:val="PageNumber"/>
        <w:rFonts w:ascii="Arial" w:hAnsi="Arial"/>
      </w:rPr>
    </w:pPr>
    <w:r w:rsidRPr="00983CA9">
      <w:rPr>
        <w:rStyle w:val="PageNumber"/>
        <w:rFonts w:ascii="Arial" w:hAnsi="Arial"/>
      </w:rPr>
      <w:t xml:space="preserve">Page </w:t>
    </w:r>
    <w:r w:rsidRPr="00983CA9">
      <w:rPr>
        <w:rStyle w:val="PageNumber"/>
        <w:rFonts w:ascii="Arial" w:hAnsi="Arial"/>
      </w:rPr>
      <w:fldChar w:fldCharType="begin"/>
    </w:r>
    <w:r w:rsidRPr="00983CA9">
      <w:rPr>
        <w:rStyle w:val="PageNumber"/>
        <w:rFonts w:ascii="Arial" w:hAnsi="Arial"/>
      </w:rPr>
      <w:instrText xml:space="preserve"> PAGE   \* MERGEFORMAT </w:instrText>
    </w:r>
    <w:r w:rsidRPr="00983CA9">
      <w:rPr>
        <w:rStyle w:val="PageNumber"/>
        <w:rFonts w:ascii="Arial" w:hAnsi="Arial"/>
      </w:rPr>
      <w:fldChar w:fldCharType="separate"/>
    </w:r>
    <w:r w:rsidR="008B4D14">
      <w:rPr>
        <w:rStyle w:val="PageNumber"/>
        <w:rFonts w:ascii="Arial" w:hAnsi="Arial"/>
        <w:noProof/>
      </w:rPr>
      <w:t>11</w:t>
    </w:r>
    <w:r w:rsidRPr="00983CA9">
      <w:rPr>
        <w:rStyle w:val="PageNumber"/>
        <w:rFonts w:ascii="Arial" w:hAnsi="Aria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029C" w14:textId="77777777" w:rsidR="00C90C5D" w:rsidRPr="00983CA9" w:rsidRDefault="00C90C5D" w:rsidP="00C90C5D">
    <w:pPr>
      <w:pStyle w:val="FooterEven"/>
      <w:rPr>
        <w:rStyle w:val="PageNumber"/>
        <w:rFonts w:ascii="Arial" w:hAnsi="Arial"/>
      </w:rPr>
    </w:pPr>
    <w:r w:rsidRPr="00983CA9">
      <w:rPr>
        <w:rStyle w:val="PageNumber"/>
        <w:rFonts w:ascii="Arial" w:hAnsi="Arial"/>
      </w:rPr>
      <w:t xml:space="preserve">Page </w:t>
    </w:r>
    <w:r w:rsidRPr="00983CA9">
      <w:rPr>
        <w:rStyle w:val="PageNumber"/>
        <w:rFonts w:ascii="Arial" w:hAnsi="Arial"/>
      </w:rPr>
      <w:fldChar w:fldCharType="begin"/>
    </w:r>
    <w:r w:rsidRPr="00983CA9">
      <w:rPr>
        <w:rStyle w:val="PageNumber"/>
        <w:rFonts w:ascii="Arial" w:hAnsi="Arial"/>
      </w:rPr>
      <w:instrText xml:space="preserve"> PAGE   \* MERGEFORMAT </w:instrText>
    </w:r>
    <w:r w:rsidRPr="00983CA9">
      <w:rPr>
        <w:rStyle w:val="PageNumber"/>
        <w:rFonts w:ascii="Arial" w:hAnsi="Arial"/>
      </w:rPr>
      <w:fldChar w:fldCharType="separate"/>
    </w:r>
    <w:r w:rsidR="008B4D14">
      <w:rPr>
        <w:rStyle w:val="PageNumber"/>
        <w:rFonts w:ascii="Arial" w:hAnsi="Arial"/>
        <w:noProof/>
      </w:rPr>
      <w:t>14</w:t>
    </w:r>
    <w:r w:rsidRPr="00983CA9">
      <w:rPr>
        <w:rStyle w:val="PageNumber"/>
        <w:rFonts w:ascii="Arial" w:hAnsi="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7B9D" w14:textId="77777777" w:rsidR="00C90C5D" w:rsidRPr="00983CA9" w:rsidRDefault="00C90C5D" w:rsidP="00C90C5D">
    <w:pPr>
      <w:pStyle w:val="FooterOdd"/>
      <w:rPr>
        <w:rStyle w:val="PageNumber"/>
        <w:rFonts w:ascii="Arial" w:hAnsi="Arial"/>
      </w:rPr>
    </w:pPr>
    <w:r w:rsidRPr="00983CA9">
      <w:rPr>
        <w:rStyle w:val="PageNumber"/>
        <w:rFonts w:ascii="Arial" w:hAnsi="Arial"/>
      </w:rPr>
      <w:t xml:space="preserve">Page </w:t>
    </w:r>
    <w:r w:rsidRPr="00983CA9">
      <w:rPr>
        <w:rStyle w:val="PageNumber"/>
        <w:rFonts w:ascii="Arial" w:hAnsi="Arial"/>
      </w:rPr>
      <w:fldChar w:fldCharType="begin"/>
    </w:r>
    <w:r w:rsidRPr="00983CA9">
      <w:rPr>
        <w:rStyle w:val="PageNumber"/>
        <w:rFonts w:ascii="Arial" w:hAnsi="Arial"/>
      </w:rPr>
      <w:instrText xml:space="preserve"> PAGE   \* MERGEFORMAT </w:instrText>
    </w:r>
    <w:r w:rsidRPr="00983CA9">
      <w:rPr>
        <w:rStyle w:val="PageNumber"/>
        <w:rFonts w:ascii="Arial" w:hAnsi="Arial"/>
      </w:rPr>
      <w:fldChar w:fldCharType="separate"/>
    </w:r>
    <w:r w:rsidR="008B4D14">
      <w:rPr>
        <w:rStyle w:val="PageNumber"/>
        <w:rFonts w:ascii="Arial" w:hAnsi="Arial"/>
        <w:noProof/>
      </w:rPr>
      <w:t>19</w:t>
    </w:r>
    <w:r w:rsidRPr="00983CA9">
      <w:rPr>
        <w:rStyle w:val="PageNumber"/>
        <w:rFonts w:ascii="Arial" w:hAnsi="Aria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B295E" w14:textId="79512D5C" w:rsidR="00983CA9" w:rsidRPr="00103692" w:rsidRDefault="00A46C95" w:rsidP="00A46C95">
    <w:pPr>
      <w:pStyle w:val="HeaderEven"/>
    </w:pPr>
    <w:r w:rsidRPr="00983CA9">
      <w:t xml:space="preserve">Page </w:t>
    </w:r>
    <w:r w:rsidRPr="00983CA9">
      <w:fldChar w:fldCharType="begin"/>
    </w:r>
    <w:r w:rsidRPr="00983CA9">
      <w:instrText xml:space="preserve"> PAGE   \* MERGEFORMAT </w:instrText>
    </w:r>
    <w:r w:rsidRPr="00983CA9">
      <w:fldChar w:fldCharType="separate"/>
    </w:r>
    <w:r w:rsidR="008B4D14">
      <w:rPr>
        <w:noProof/>
      </w:rPr>
      <w:t>22</w:t>
    </w:r>
    <w:r w:rsidRPr="00983C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24994" w14:textId="77777777" w:rsidR="00983CA9" w:rsidRDefault="00983CA9">
      <w:pPr>
        <w:spacing w:after="0" w:line="240" w:lineRule="auto"/>
      </w:pPr>
      <w:r>
        <w:separator/>
      </w:r>
    </w:p>
  </w:footnote>
  <w:footnote w:type="continuationSeparator" w:id="0">
    <w:p w14:paraId="6A410E5F" w14:textId="77777777" w:rsidR="00983CA9" w:rsidRDefault="00983CA9">
      <w:pPr>
        <w:spacing w:after="0" w:line="240" w:lineRule="auto"/>
      </w:pPr>
      <w:r>
        <w:continuationSeparator/>
      </w:r>
    </w:p>
  </w:footnote>
  <w:footnote w:type="continuationNotice" w:id="1">
    <w:p w14:paraId="63C11AC6" w14:textId="77777777" w:rsidR="00983CA9" w:rsidRDefault="00983CA9">
      <w:pPr>
        <w:spacing w:after="0" w:line="240" w:lineRule="auto"/>
      </w:pPr>
    </w:p>
  </w:footnote>
  <w:footnote w:id="2">
    <w:p w14:paraId="25F658D7" w14:textId="0401F9F4" w:rsidR="00983CA9" w:rsidRDefault="00983CA9">
      <w:pPr>
        <w:pStyle w:val="FootnoteText"/>
      </w:pPr>
      <w:r w:rsidRPr="00746597">
        <w:rPr>
          <w:rStyle w:val="FootnoteReference"/>
          <w:vertAlign w:val="baseline"/>
        </w:rPr>
        <w:footnoteRef/>
      </w:r>
      <w:r>
        <w:t xml:space="preserve"> </w:t>
      </w:r>
      <w:r>
        <w:tab/>
        <w:t xml:space="preserve">See Taxpayer Alert TA 2017/1 and the ATO’s draft guidance in the document entitled </w:t>
      </w:r>
      <w:r>
        <w:rPr>
          <w:i/>
        </w:rPr>
        <w:t>“</w:t>
      </w:r>
      <w:r w:rsidRPr="006004CA">
        <w:rPr>
          <w:i/>
        </w:rPr>
        <w:t>Privatisation and Infrastructure</w:t>
      </w:r>
      <w:r>
        <w:rPr>
          <w:i/>
        </w:rPr>
        <w:t xml:space="preserve"> — </w:t>
      </w:r>
      <w:r w:rsidRPr="006004CA">
        <w:rPr>
          <w:i/>
        </w:rPr>
        <w:t>Australian Federal Tax Framework</w:t>
      </w:r>
      <w:r>
        <w:rPr>
          <w:i/>
        </w:rPr>
        <w:t>”</w:t>
      </w:r>
      <w:r>
        <w:t>, released on 31 January 2017.</w:t>
      </w:r>
    </w:p>
  </w:footnote>
  <w:footnote w:id="3">
    <w:p w14:paraId="76BAE633" w14:textId="3EA903E4" w:rsidR="00983CA9" w:rsidRDefault="00983CA9">
      <w:pPr>
        <w:pStyle w:val="FootnoteText"/>
      </w:pPr>
      <w:r w:rsidRPr="00746597">
        <w:rPr>
          <w:rStyle w:val="FootnoteReference"/>
          <w:vertAlign w:val="baseline"/>
        </w:rPr>
        <w:footnoteRef/>
      </w:r>
      <w:r w:rsidRPr="00746597">
        <w:t xml:space="preserve"> </w:t>
      </w:r>
      <w:r>
        <w:tab/>
      </w:r>
      <w:r w:rsidRPr="00393E01">
        <w:t>The first stapled security in Australia was Stockland Group, following a restructure of their operations in 1988</w:t>
      </w:r>
      <w:r>
        <w:t xml:space="preserve">. </w:t>
      </w:r>
    </w:p>
  </w:footnote>
  <w:footnote w:id="4">
    <w:p w14:paraId="7B1E3845" w14:textId="511F7AB3" w:rsidR="00983CA9" w:rsidRDefault="00983CA9">
      <w:pPr>
        <w:pStyle w:val="FootnoteText"/>
      </w:pPr>
      <w:r w:rsidRPr="00746597">
        <w:rPr>
          <w:rStyle w:val="FootnoteReference"/>
          <w:vertAlign w:val="baseline"/>
        </w:rPr>
        <w:footnoteRef/>
      </w:r>
      <w:r>
        <w:t xml:space="preserve"> </w:t>
      </w:r>
      <w:r>
        <w:tab/>
        <w:t>In the case of a managed investment trust fund payment — if the fund payment is made to an entity that is not resident in an information exchange country the withholding rate is 30%</w:t>
      </w:r>
      <w:r w:rsidR="003E6BB1">
        <w:t>.</w:t>
      </w:r>
    </w:p>
  </w:footnote>
  <w:footnote w:id="5">
    <w:p w14:paraId="5161B81C" w14:textId="778445DC" w:rsidR="00983CA9" w:rsidRDefault="00983CA9" w:rsidP="009B6928">
      <w:pPr>
        <w:pStyle w:val="FootnoteText"/>
      </w:pPr>
      <w:r w:rsidRPr="00746597">
        <w:rPr>
          <w:rStyle w:val="FootnoteReference"/>
          <w:vertAlign w:val="baseline"/>
        </w:rPr>
        <w:footnoteRef/>
      </w:r>
      <w:r w:rsidRPr="00746597">
        <w:t xml:space="preserve"> </w:t>
      </w:r>
      <w:r>
        <w:tab/>
        <w:t>Department of Finance Canada release 2003</w:t>
      </w:r>
      <w:r>
        <w:noBreakHyphen/>
        <w:t>061 — Canada’s New Government Announces Tax Fairness Plan.</w:t>
      </w:r>
    </w:p>
  </w:footnote>
  <w:footnote w:id="6">
    <w:p w14:paraId="2CE0EC8E" w14:textId="0A568F42" w:rsidR="00983CA9" w:rsidRDefault="00983CA9" w:rsidP="00746597">
      <w:pPr>
        <w:pStyle w:val="FootnoteText"/>
      </w:pPr>
      <w:r w:rsidRPr="00746597">
        <w:rPr>
          <w:rStyle w:val="FootnoteReference"/>
          <w:vertAlign w:val="baseline"/>
        </w:rPr>
        <w:footnoteRef/>
      </w:r>
      <w:r>
        <w:t xml:space="preserve"> </w:t>
      </w:r>
      <w:r>
        <w:tab/>
        <w:t>‘</w:t>
      </w:r>
      <w:r w:rsidRPr="000D173B">
        <w:t>Limiting Base Erosion Involving Interest Deductions and Other Financial Payments, Action 4</w:t>
      </w:r>
      <w:r>
        <w:t xml:space="preserve"> — </w:t>
      </w:r>
      <w:r w:rsidRPr="000D173B">
        <w:t xml:space="preserve">2016 </w:t>
      </w:r>
      <w:r w:rsidRPr="00746597">
        <w:t>Update</w:t>
      </w:r>
      <w:r>
        <w:t>’, OECD, 22 December 2016 and HM Revenue and Customs draft Finance Bill 2017 contains the Corporate Interest Restriction provisions in Schedule 1.</w:t>
      </w:r>
    </w:p>
  </w:footnote>
  <w:footnote w:id="7">
    <w:p w14:paraId="4BDFCA05" w14:textId="0E6E93B4" w:rsidR="00983CA9" w:rsidRDefault="00983CA9">
      <w:pPr>
        <w:pStyle w:val="FootnoteText"/>
      </w:pPr>
      <w:r w:rsidRPr="00746597">
        <w:rPr>
          <w:rStyle w:val="FootnoteReference"/>
          <w:vertAlign w:val="baseline"/>
        </w:rPr>
        <w:footnoteRef/>
      </w:r>
      <w:r>
        <w:t xml:space="preserve"> </w:t>
      </w:r>
      <w:r>
        <w:tab/>
        <w:t>Subject to double tax treaty considerations</w:t>
      </w:r>
      <w:r w:rsidR="003E6BB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84A3" w14:textId="6D563FC7" w:rsidR="00983CA9" w:rsidRPr="00983CA9" w:rsidRDefault="00983CA9" w:rsidP="00983CA9">
    <w:pPr>
      <w:pStyle w:val="HeaderEven"/>
    </w:pPr>
    <w:r w:rsidRPr="00983CA9">
      <w:t>Stapled Structures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C74CC" w14:textId="01375917" w:rsidR="00983CA9" w:rsidRPr="00983CA9" w:rsidRDefault="008B4D14" w:rsidP="00983CA9">
    <w:pPr>
      <w:pStyle w:val="HeaderOdd"/>
    </w:pPr>
    <w:r>
      <w:fldChar w:fldCharType="begin"/>
    </w:r>
    <w:r>
      <w:instrText xml:space="preserve"> STYLEREF  "Heading 1"  \* MERGEFORMAT </w:instrText>
    </w:r>
    <w:r>
      <w:fldChar w:fldCharType="separate"/>
    </w:r>
    <w:r>
      <w:rPr>
        <w:noProof/>
      </w:rPr>
      <w:t>Broad policy options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15A5" w14:textId="3B1217F0" w:rsidR="00983CA9" w:rsidRDefault="00983CA9" w:rsidP="00D36E6D">
    <w:pPr>
      <w:pStyle w:val="ChartGraphic"/>
    </w:pPr>
    <w:r>
      <w:rPr>
        <w:noProof/>
      </w:rPr>
      <w:drawing>
        <wp:inline distT="0" distB="0" distL="0" distR="0" wp14:anchorId="402D2728" wp14:editId="1F4402A0">
          <wp:extent cx="2023654" cy="1016169"/>
          <wp:effectExtent l="0" t="0" r="0" b="0"/>
          <wp:docPr id="1" name="Picture 1" descr="Australian Goverment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124" cy="101389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9B4C" w14:textId="1A6B5AC3" w:rsidR="00983CA9" w:rsidRDefault="00983CA9" w:rsidP="00D36E6D">
    <w:pPr>
      <w:pStyle w:val="ChartGraphi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B5BA8" w14:textId="77777777" w:rsidR="00983CA9" w:rsidRDefault="00983C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E449A" w14:textId="7E1F311F" w:rsidR="00983CA9" w:rsidRDefault="00A46C95" w:rsidP="00A46C95">
    <w:pPr>
      <w:pStyle w:val="HeaderEven"/>
    </w:pPr>
    <w:r>
      <w:t>Stapled Structures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287A" w14:textId="3DE228A7" w:rsidR="00983CA9" w:rsidRPr="00A46C95" w:rsidRDefault="00A46C95" w:rsidP="00A46C95">
    <w:pPr>
      <w:pStyle w:val="HeaderOdd"/>
    </w:pPr>
    <w:r w:rsidRPr="003F10F3">
      <w:t xml:space="preserve">Appendix </w:t>
    </w:r>
    <w:r>
      <w:t>1 - F</w:t>
    </w:r>
    <w:r w:rsidRPr="003F10F3">
      <w:t>eatures of REIT regimes in selected jurisdictions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71C88" w14:textId="77777777" w:rsidR="00983CA9" w:rsidRDefault="00983CA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CE3F" w14:textId="23AA3415" w:rsidR="00983CA9" w:rsidRDefault="00A46C95" w:rsidP="004C4020">
    <w:pPr>
      <w:pStyle w:val="HeaderOdd"/>
    </w:pPr>
    <w:r>
      <w:t>Stapled Structures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74A9"/>
    <w:multiLevelType w:val="hybridMultilevel"/>
    <w:tmpl w:val="E3CEDD50"/>
    <w:lvl w:ilvl="0" w:tplc="C0B44DC2">
      <w:start w:val="1"/>
      <w:numFmt w:val="decimal"/>
      <w:pStyle w:val="BoxNumbering"/>
      <w:lvlText w:val="%1."/>
      <w:lvlJc w:val="left"/>
      <w:pPr>
        <w:tabs>
          <w:tab w:val="num" w:pos="397"/>
        </w:tabs>
        <w:ind w:left="397" w:hanging="397"/>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C81A55"/>
    <w:multiLevelType w:val="hybridMultilevel"/>
    <w:tmpl w:val="9F98F5D0"/>
    <w:lvl w:ilvl="0" w:tplc="350EDEB0">
      <w:start w:val="1"/>
      <w:numFmt w:val="lowerLetter"/>
      <w:pStyle w:val="BoxAlpha-Indent"/>
      <w:lvlText w:val="%1."/>
      <w:lvlJc w:val="left"/>
      <w:pPr>
        <w:tabs>
          <w:tab w:val="num" w:pos="794"/>
        </w:tabs>
        <w:ind w:left="794" w:hanging="397"/>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27440C8B"/>
    <w:multiLevelType w:val="multilevel"/>
    <w:tmpl w:val="8170209E"/>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7">
    <w:nsid w:val="2DF54350"/>
    <w:multiLevelType w:val="multilevel"/>
    <w:tmpl w:val="A6800B9E"/>
    <w:styleLink w:val="Outlinenumbering"/>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9">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0">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63475CEF"/>
    <w:multiLevelType w:val="hybridMultilevel"/>
    <w:tmpl w:val="40487EC4"/>
    <w:lvl w:ilvl="0" w:tplc="861C4342">
      <w:start w:val="1"/>
      <w:numFmt w:val="decimal"/>
      <w:pStyle w:val="RecommendationQuestionNumbering"/>
      <w:lvlText w:val="Q%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EBF275E"/>
    <w:multiLevelType w:val="multilevel"/>
    <w:tmpl w:val="A6800B9E"/>
    <w:numStyleLink w:val="Outlinenumbering"/>
  </w:abstractNum>
  <w:num w:numId="1">
    <w:abstractNumId w:val="5"/>
  </w:num>
  <w:num w:numId="2">
    <w:abstractNumId w:val="6"/>
  </w:num>
  <w:num w:numId="3">
    <w:abstractNumId w:val="9"/>
  </w:num>
  <w:num w:numId="4">
    <w:abstractNumId w:val="10"/>
  </w:num>
  <w:num w:numId="5">
    <w:abstractNumId w:val="2"/>
  </w:num>
  <w:num w:numId="6">
    <w:abstractNumId w:val="3"/>
  </w:num>
  <w:num w:numId="7">
    <w:abstractNumId w:val="4"/>
  </w:num>
  <w:num w:numId="8">
    <w:abstractNumId w:val="7"/>
  </w:num>
  <w:num w:numId="9">
    <w:abstractNumId w:val="14"/>
  </w:num>
  <w:num w:numId="10">
    <w:abstractNumId w:val="13"/>
    <w:lvlOverride w:ilvl="0">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Override>
  </w:num>
  <w:num w:numId="11">
    <w:abstractNumId w:val="12"/>
  </w:num>
  <w:num w:numId="12">
    <w:abstractNumId w:val="0"/>
  </w:num>
  <w:num w:numId="13">
    <w:abstractNumId w:val="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栜熉֩╀ЫӤင뺘牜Ɇ`Ѐ䘠˞䜀˞"/>
  </w:docVars>
  <w:rsids>
    <w:rsidRoot w:val="008D3BA2"/>
    <w:rsid w:val="000002D0"/>
    <w:rsid w:val="000011FD"/>
    <w:rsid w:val="00003CA5"/>
    <w:rsid w:val="00003D39"/>
    <w:rsid w:val="00005673"/>
    <w:rsid w:val="000064B7"/>
    <w:rsid w:val="00006B16"/>
    <w:rsid w:val="00010076"/>
    <w:rsid w:val="00011CF2"/>
    <w:rsid w:val="0001248F"/>
    <w:rsid w:val="00012659"/>
    <w:rsid w:val="000129A0"/>
    <w:rsid w:val="00012F2A"/>
    <w:rsid w:val="0001463F"/>
    <w:rsid w:val="000150BE"/>
    <w:rsid w:val="000161EA"/>
    <w:rsid w:val="00016740"/>
    <w:rsid w:val="000174ED"/>
    <w:rsid w:val="000178B8"/>
    <w:rsid w:val="00017C6C"/>
    <w:rsid w:val="0002005B"/>
    <w:rsid w:val="00020DE6"/>
    <w:rsid w:val="00020ED8"/>
    <w:rsid w:val="00021BB9"/>
    <w:rsid w:val="0002213A"/>
    <w:rsid w:val="00022582"/>
    <w:rsid w:val="000233EE"/>
    <w:rsid w:val="00024E0C"/>
    <w:rsid w:val="000273C3"/>
    <w:rsid w:val="00027F52"/>
    <w:rsid w:val="0003151B"/>
    <w:rsid w:val="00032DEF"/>
    <w:rsid w:val="000331E0"/>
    <w:rsid w:val="00034DE0"/>
    <w:rsid w:val="00035F4D"/>
    <w:rsid w:val="00036927"/>
    <w:rsid w:val="00037552"/>
    <w:rsid w:val="00040126"/>
    <w:rsid w:val="00040C72"/>
    <w:rsid w:val="00043519"/>
    <w:rsid w:val="00043AAF"/>
    <w:rsid w:val="00044301"/>
    <w:rsid w:val="000443DE"/>
    <w:rsid w:val="00046DD9"/>
    <w:rsid w:val="000508FF"/>
    <w:rsid w:val="00050B3E"/>
    <w:rsid w:val="0005219F"/>
    <w:rsid w:val="00052C5E"/>
    <w:rsid w:val="00052CDD"/>
    <w:rsid w:val="0005666A"/>
    <w:rsid w:val="000567B8"/>
    <w:rsid w:val="00056BAF"/>
    <w:rsid w:val="000609B8"/>
    <w:rsid w:val="00061B91"/>
    <w:rsid w:val="0006231F"/>
    <w:rsid w:val="000645C3"/>
    <w:rsid w:val="00064B0A"/>
    <w:rsid w:val="0006590D"/>
    <w:rsid w:val="00065B08"/>
    <w:rsid w:val="000662EB"/>
    <w:rsid w:val="00066402"/>
    <w:rsid w:val="000674E4"/>
    <w:rsid w:val="00070CBA"/>
    <w:rsid w:val="0007178D"/>
    <w:rsid w:val="0007189D"/>
    <w:rsid w:val="00071A23"/>
    <w:rsid w:val="000721C0"/>
    <w:rsid w:val="00072A11"/>
    <w:rsid w:val="00073A1E"/>
    <w:rsid w:val="00073BDF"/>
    <w:rsid w:val="00074634"/>
    <w:rsid w:val="00075ED2"/>
    <w:rsid w:val="00077C43"/>
    <w:rsid w:val="000801DB"/>
    <w:rsid w:val="00080BBA"/>
    <w:rsid w:val="000819E1"/>
    <w:rsid w:val="00081ABF"/>
    <w:rsid w:val="00082B89"/>
    <w:rsid w:val="00083201"/>
    <w:rsid w:val="0008367F"/>
    <w:rsid w:val="00085265"/>
    <w:rsid w:val="00086480"/>
    <w:rsid w:val="00086678"/>
    <w:rsid w:val="000905AD"/>
    <w:rsid w:val="00091426"/>
    <w:rsid w:val="0009301E"/>
    <w:rsid w:val="0009463B"/>
    <w:rsid w:val="000965B7"/>
    <w:rsid w:val="000A00CA"/>
    <w:rsid w:val="000A20FA"/>
    <w:rsid w:val="000A34D8"/>
    <w:rsid w:val="000A3593"/>
    <w:rsid w:val="000A35DE"/>
    <w:rsid w:val="000A36A5"/>
    <w:rsid w:val="000A3765"/>
    <w:rsid w:val="000A5814"/>
    <w:rsid w:val="000A6232"/>
    <w:rsid w:val="000A64B7"/>
    <w:rsid w:val="000A69FE"/>
    <w:rsid w:val="000A7BCF"/>
    <w:rsid w:val="000A7DCD"/>
    <w:rsid w:val="000B06D3"/>
    <w:rsid w:val="000B272F"/>
    <w:rsid w:val="000B3E93"/>
    <w:rsid w:val="000B57C9"/>
    <w:rsid w:val="000B60EC"/>
    <w:rsid w:val="000B6E98"/>
    <w:rsid w:val="000B79D7"/>
    <w:rsid w:val="000C0BA7"/>
    <w:rsid w:val="000C2054"/>
    <w:rsid w:val="000C2074"/>
    <w:rsid w:val="000C2CA4"/>
    <w:rsid w:val="000C3593"/>
    <w:rsid w:val="000C3D66"/>
    <w:rsid w:val="000C4D65"/>
    <w:rsid w:val="000C6831"/>
    <w:rsid w:val="000C7595"/>
    <w:rsid w:val="000D0F78"/>
    <w:rsid w:val="000D13E6"/>
    <w:rsid w:val="000D173B"/>
    <w:rsid w:val="000D1D89"/>
    <w:rsid w:val="000D24B7"/>
    <w:rsid w:val="000D564F"/>
    <w:rsid w:val="000D649D"/>
    <w:rsid w:val="000D71F2"/>
    <w:rsid w:val="000D7544"/>
    <w:rsid w:val="000E082B"/>
    <w:rsid w:val="000E1363"/>
    <w:rsid w:val="000E1694"/>
    <w:rsid w:val="000E1715"/>
    <w:rsid w:val="000E18CF"/>
    <w:rsid w:val="000E34F2"/>
    <w:rsid w:val="000E45BF"/>
    <w:rsid w:val="000E58D5"/>
    <w:rsid w:val="000E687C"/>
    <w:rsid w:val="000F0B9F"/>
    <w:rsid w:val="000F0CCD"/>
    <w:rsid w:val="000F0D38"/>
    <w:rsid w:val="000F1A37"/>
    <w:rsid w:val="000F1D13"/>
    <w:rsid w:val="000F2D48"/>
    <w:rsid w:val="000F4F42"/>
    <w:rsid w:val="000F6EF9"/>
    <w:rsid w:val="000F714B"/>
    <w:rsid w:val="000F7422"/>
    <w:rsid w:val="00100F51"/>
    <w:rsid w:val="0010186A"/>
    <w:rsid w:val="00101F8E"/>
    <w:rsid w:val="0010258C"/>
    <w:rsid w:val="00102680"/>
    <w:rsid w:val="001026E6"/>
    <w:rsid w:val="00103692"/>
    <w:rsid w:val="00103FEE"/>
    <w:rsid w:val="0010481A"/>
    <w:rsid w:val="001055DC"/>
    <w:rsid w:val="00105791"/>
    <w:rsid w:val="00105E62"/>
    <w:rsid w:val="00105FD5"/>
    <w:rsid w:val="00107399"/>
    <w:rsid w:val="0011082C"/>
    <w:rsid w:val="0011462E"/>
    <w:rsid w:val="0011520D"/>
    <w:rsid w:val="00115CAE"/>
    <w:rsid w:val="001166FE"/>
    <w:rsid w:val="00117EE2"/>
    <w:rsid w:val="00120D81"/>
    <w:rsid w:val="00121120"/>
    <w:rsid w:val="0012252A"/>
    <w:rsid w:val="00123524"/>
    <w:rsid w:val="00123593"/>
    <w:rsid w:val="0012428B"/>
    <w:rsid w:val="00124F47"/>
    <w:rsid w:val="001257F7"/>
    <w:rsid w:val="00125A65"/>
    <w:rsid w:val="001268EC"/>
    <w:rsid w:val="0013001A"/>
    <w:rsid w:val="001307F3"/>
    <w:rsid w:val="00130C50"/>
    <w:rsid w:val="00131F9D"/>
    <w:rsid w:val="00133DD3"/>
    <w:rsid w:val="0013436D"/>
    <w:rsid w:val="00134688"/>
    <w:rsid w:val="00134FCA"/>
    <w:rsid w:val="0013541D"/>
    <w:rsid w:val="00136EF6"/>
    <w:rsid w:val="00137E00"/>
    <w:rsid w:val="00137E3D"/>
    <w:rsid w:val="00141240"/>
    <w:rsid w:val="00142441"/>
    <w:rsid w:val="00143F35"/>
    <w:rsid w:val="0014471A"/>
    <w:rsid w:val="00144C85"/>
    <w:rsid w:val="00150208"/>
    <w:rsid w:val="001503F5"/>
    <w:rsid w:val="00150AA6"/>
    <w:rsid w:val="00151693"/>
    <w:rsid w:val="001528E0"/>
    <w:rsid w:val="00152D27"/>
    <w:rsid w:val="00153A1A"/>
    <w:rsid w:val="00153F62"/>
    <w:rsid w:val="00154B1E"/>
    <w:rsid w:val="00156249"/>
    <w:rsid w:val="00156658"/>
    <w:rsid w:val="001568A9"/>
    <w:rsid w:val="00157D63"/>
    <w:rsid w:val="001619AB"/>
    <w:rsid w:val="0016232F"/>
    <w:rsid w:val="001630F3"/>
    <w:rsid w:val="00163610"/>
    <w:rsid w:val="00163973"/>
    <w:rsid w:val="00165870"/>
    <w:rsid w:val="001663BA"/>
    <w:rsid w:val="00167184"/>
    <w:rsid w:val="0017127C"/>
    <w:rsid w:val="001731F0"/>
    <w:rsid w:val="00173476"/>
    <w:rsid w:val="001739B3"/>
    <w:rsid w:val="00173FEF"/>
    <w:rsid w:val="00176824"/>
    <w:rsid w:val="00177FD2"/>
    <w:rsid w:val="00181362"/>
    <w:rsid w:val="00181E1F"/>
    <w:rsid w:val="001826DC"/>
    <w:rsid w:val="001835A8"/>
    <w:rsid w:val="00184E40"/>
    <w:rsid w:val="00185E74"/>
    <w:rsid w:val="001879D4"/>
    <w:rsid w:val="001904E6"/>
    <w:rsid w:val="00195BA2"/>
    <w:rsid w:val="00196878"/>
    <w:rsid w:val="001A0B5A"/>
    <w:rsid w:val="001A1339"/>
    <w:rsid w:val="001A31E2"/>
    <w:rsid w:val="001A42F3"/>
    <w:rsid w:val="001A5C21"/>
    <w:rsid w:val="001A6EDD"/>
    <w:rsid w:val="001A7B75"/>
    <w:rsid w:val="001B0CBB"/>
    <w:rsid w:val="001B2C97"/>
    <w:rsid w:val="001B3FEA"/>
    <w:rsid w:val="001B554E"/>
    <w:rsid w:val="001B6FD5"/>
    <w:rsid w:val="001B7648"/>
    <w:rsid w:val="001C029C"/>
    <w:rsid w:val="001C04B0"/>
    <w:rsid w:val="001C089E"/>
    <w:rsid w:val="001C12A0"/>
    <w:rsid w:val="001C2093"/>
    <w:rsid w:val="001C42E0"/>
    <w:rsid w:val="001C4426"/>
    <w:rsid w:val="001C4D0C"/>
    <w:rsid w:val="001D0393"/>
    <w:rsid w:val="001D0B0E"/>
    <w:rsid w:val="001D491C"/>
    <w:rsid w:val="001D5789"/>
    <w:rsid w:val="001D5B01"/>
    <w:rsid w:val="001D5CE5"/>
    <w:rsid w:val="001D6B6B"/>
    <w:rsid w:val="001D759C"/>
    <w:rsid w:val="001D7EDB"/>
    <w:rsid w:val="001E2003"/>
    <w:rsid w:val="001E2B40"/>
    <w:rsid w:val="001E3B58"/>
    <w:rsid w:val="001E43D3"/>
    <w:rsid w:val="001E4DFA"/>
    <w:rsid w:val="001E6FC7"/>
    <w:rsid w:val="001E755B"/>
    <w:rsid w:val="001F0754"/>
    <w:rsid w:val="001F2227"/>
    <w:rsid w:val="001F43CE"/>
    <w:rsid w:val="001F4414"/>
    <w:rsid w:val="001F4ABA"/>
    <w:rsid w:val="001F4ED0"/>
    <w:rsid w:val="001F7B33"/>
    <w:rsid w:val="001F7D4A"/>
    <w:rsid w:val="002015AB"/>
    <w:rsid w:val="00201E23"/>
    <w:rsid w:val="00201E75"/>
    <w:rsid w:val="00202372"/>
    <w:rsid w:val="00205C17"/>
    <w:rsid w:val="00205CF8"/>
    <w:rsid w:val="00205ED1"/>
    <w:rsid w:val="0020662F"/>
    <w:rsid w:val="002104D3"/>
    <w:rsid w:val="002104FB"/>
    <w:rsid w:val="00210574"/>
    <w:rsid w:val="00210C82"/>
    <w:rsid w:val="0021114E"/>
    <w:rsid w:val="00211896"/>
    <w:rsid w:val="00211EA3"/>
    <w:rsid w:val="002125B0"/>
    <w:rsid w:val="00213282"/>
    <w:rsid w:val="00216D90"/>
    <w:rsid w:val="00216E0E"/>
    <w:rsid w:val="00217D2B"/>
    <w:rsid w:val="00227664"/>
    <w:rsid w:val="002277A0"/>
    <w:rsid w:val="00227C5C"/>
    <w:rsid w:val="00227DAF"/>
    <w:rsid w:val="00227F27"/>
    <w:rsid w:val="00231729"/>
    <w:rsid w:val="00231AB3"/>
    <w:rsid w:val="0023264C"/>
    <w:rsid w:val="00232668"/>
    <w:rsid w:val="0023290C"/>
    <w:rsid w:val="00232D25"/>
    <w:rsid w:val="0023355B"/>
    <w:rsid w:val="00233E0E"/>
    <w:rsid w:val="002351F7"/>
    <w:rsid w:val="00235667"/>
    <w:rsid w:val="00235862"/>
    <w:rsid w:val="002406BC"/>
    <w:rsid w:val="00242BAA"/>
    <w:rsid w:val="00246060"/>
    <w:rsid w:val="00246B8D"/>
    <w:rsid w:val="0024782D"/>
    <w:rsid w:val="0025026C"/>
    <w:rsid w:val="002511E2"/>
    <w:rsid w:val="00253EB2"/>
    <w:rsid w:val="00254348"/>
    <w:rsid w:val="002545E5"/>
    <w:rsid w:val="00255C71"/>
    <w:rsid w:val="0025754C"/>
    <w:rsid w:val="00261210"/>
    <w:rsid w:val="0026207C"/>
    <w:rsid w:val="00262A4C"/>
    <w:rsid w:val="00262C1D"/>
    <w:rsid w:val="00262E7D"/>
    <w:rsid w:val="0026458C"/>
    <w:rsid w:val="0026513E"/>
    <w:rsid w:val="002662E6"/>
    <w:rsid w:val="002669AA"/>
    <w:rsid w:val="00266B04"/>
    <w:rsid w:val="002708D7"/>
    <w:rsid w:val="00272514"/>
    <w:rsid w:val="00272636"/>
    <w:rsid w:val="00273A9A"/>
    <w:rsid w:val="002754BF"/>
    <w:rsid w:val="002768D3"/>
    <w:rsid w:val="00276F91"/>
    <w:rsid w:val="002807A2"/>
    <w:rsid w:val="002819A8"/>
    <w:rsid w:val="00281F5A"/>
    <w:rsid w:val="002836EE"/>
    <w:rsid w:val="00286142"/>
    <w:rsid w:val="00287DE2"/>
    <w:rsid w:val="00290678"/>
    <w:rsid w:val="0029206D"/>
    <w:rsid w:val="002930C6"/>
    <w:rsid w:val="00294387"/>
    <w:rsid w:val="00295099"/>
    <w:rsid w:val="00295C0E"/>
    <w:rsid w:val="002A2D16"/>
    <w:rsid w:val="002A2E95"/>
    <w:rsid w:val="002A4990"/>
    <w:rsid w:val="002A4E0E"/>
    <w:rsid w:val="002A5069"/>
    <w:rsid w:val="002A5120"/>
    <w:rsid w:val="002A6EBD"/>
    <w:rsid w:val="002B0274"/>
    <w:rsid w:val="002B055B"/>
    <w:rsid w:val="002B0F51"/>
    <w:rsid w:val="002B1DA5"/>
    <w:rsid w:val="002B32F1"/>
    <w:rsid w:val="002B3E73"/>
    <w:rsid w:val="002B650E"/>
    <w:rsid w:val="002C01C0"/>
    <w:rsid w:val="002C080A"/>
    <w:rsid w:val="002C3680"/>
    <w:rsid w:val="002C5163"/>
    <w:rsid w:val="002C6519"/>
    <w:rsid w:val="002D12F4"/>
    <w:rsid w:val="002D32B5"/>
    <w:rsid w:val="002D5252"/>
    <w:rsid w:val="002D5E1F"/>
    <w:rsid w:val="002D629C"/>
    <w:rsid w:val="002D6BB3"/>
    <w:rsid w:val="002E00EE"/>
    <w:rsid w:val="002E1ED3"/>
    <w:rsid w:val="002E38B1"/>
    <w:rsid w:val="002E4515"/>
    <w:rsid w:val="002E499D"/>
    <w:rsid w:val="002E5910"/>
    <w:rsid w:val="002E72FA"/>
    <w:rsid w:val="002F1351"/>
    <w:rsid w:val="002F2A7D"/>
    <w:rsid w:val="002F2C5F"/>
    <w:rsid w:val="002F4A98"/>
    <w:rsid w:val="003025EC"/>
    <w:rsid w:val="00302630"/>
    <w:rsid w:val="00303277"/>
    <w:rsid w:val="00303E61"/>
    <w:rsid w:val="003041FD"/>
    <w:rsid w:val="003044D6"/>
    <w:rsid w:val="00304605"/>
    <w:rsid w:val="003066F3"/>
    <w:rsid w:val="003075CD"/>
    <w:rsid w:val="00307F0E"/>
    <w:rsid w:val="0031002C"/>
    <w:rsid w:val="00312EDF"/>
    <w:rsid w:val="003131CC"/>
    <w:rsid w:val="00315474"/>
    <w:rsid w:val="00315D19"/>
    <w:rsid w:val="0031622B"/>
    <w:rsid w:val="00321077"/>
    <w:rsid w:val="0032272E"/>
    <w:rsid w:val="003229C7"/>
    <w:rsid w:val="00323515"/>
    <w:rsid w:val="00323714"/>
    <w:rsid w:val="00323DAE"/>
    <w:rsid w:val="00324A7C"/>
    <w:rsid w:val="00327A2C"/>
    <w:rsid w:val="0033130A"/>
    <w:rsid w:val="003324A1"/>
    <w:rsid w:val="003328FC"/>
    <w:rsid w:val="0033397A"/>
    <w:rsid w:val="003345CA"/>
    <w:rsid w:val="00334821"/>
    <w:rsid w:val="00334B05"/>
    <w:rsid w:val="00335C68"/>
    <w:rsid w:val="003364FA"/>
    <w:rsid w:val="00337443"/>
    <w:rsid w:val="00337A02"/>
    <w:rsid w:val="00340B55"/>
    <w:rsid w:val="00341F72"/>
    <w:rsid w:val="003420D1"/>
    <w:rsid w:val="00342FB8"/>
    <w:rsid w:val="003430A7"/>
    <w:rsid w:val="0034463D"/>
    <w:rsid w:val="0034571E"/>
    <w:rsid w:val="00351AF2"/>
    <w:rsid w:val="00352497"/>
    <w:rsid w:val="00352FBD"/>
    <w:rsid w:val="00352FCF"/>
    <w:rsid w:val="00353888"/>
    <w:rsid w:val="00354287"/>
    <w:rsid w:val="00354668"/>
    <w:rsid w:val="0035610F"/>
    <w:rsid w:val="00356936"/>
    <w:rsid w:val="00357135"/>
    <w:rsid w:val="00357F2C"/>
    <w:rsid w:val="00360278"/>
    <w:rsid w:val="0036082C"/>
    <w:rsid w:val="003615FA"/>
    <w:rsid w:val="00364442"/>
    <w:rsid w:val="003648B1"/>
    <w:rsid w:val="0036506C"/>
    <w:rsid w:val="003656AB"/>
    <w:rsid w:val="00366948"/>
    <w:rsid w:val="003669DC"/>
    <w:rsid w:val="003670A2"/>
    <w:rsid w:val="00367C55"/>
    <w:rsid w:val="00370731"/>
    <w:rsid w:val="00371AA8"/>
    <w:rsid w:val="00372DBC"/>
    <w:rsid w:val="003734A9"/>
    <w:rsid w:val="003752E5"/>
    <w:rsid w:val="003778E0"/>
    <w:rsid w:val="00380702"/>
    <w:rsid w:val="00381C0A"/>
    <w:rsid w:val="003827E0"/>
    <w:rsid w:val="0038339D"/>
    <w:rsid w:val="003859C3"/>
    <w:rsid w:val="00386983"/>
    <w:rsid w:val="00387274"/>
    <w:rsid w:val="003912E5"/>
    <w:rsid w:val="00393E01"/>
    <w:rsid w:val="0039441B"/>
    <w:rsid w:val="00395A62"/>
    <w:rsid w:val="00395C9D"/>
    <w:rsid w:val="003A007E"/>
    <w:rsid w:val="003A428C"/>
    <w:rsid w:val="003A6344"/>
    <w:rsid w:val="003A6821"/>
    <w:rsid w:val="003A6AA8"/>
    <w:rsid w:val="003B0968"/>
    <w:rsid w:val="003B1FA8"/>
    <w:rsid w:val="003B233E"/>
    <w:rsid w:val="003B24DA"/>
    <w:rsid w:val="003B292F"/>
    <w:rsid w:val="003B2B42"/>
    <w:rsid w:val="003B31BD"/>
    <w:rsid w:val="003B36EF"/>
    <w:rsid w:val="003B41D4"/>
    <w:rsid w:val="003B6F8C"/>
    <w:rsid w:val="003B7106"/>
    <w:rsid w:val="003B7469"/>
    <w:rsid w:val="003C00DA"/>
    <w:rsid w:val="003C0C31"/>
    <w:rsid w:val="003C0EA7"/>
    <w:rsid w:val="003C2988"/>
    <w:rsid w:val="003C2CEC"/>
    <w:rsid w:val="003C330C"/>
    <w:rsid w:val="003C340F"/>
    <w:rsid w:val="003C3B7A"/>
    <w:rsid w:val="003C42CA"/>
    <w:rsid w:val="003C4A5F"/>
    <w:rsid w:val="003C7F61"/>
    <w:rsid w:val="003D0410"/>
    <w:rsid w:val="003D1659"/>
    <w:rsid w:val="003D197A"/>
    <w:rsid w:val="003D374D"/>
    <w:rsid w:val="003D45DA"/>
    <w:rsid w:val="003D4BC1"/>
    <w:rsid w:val="003D5337"/>
    <w:rsid w:val="003D534B"/>
    <w:rsid w:val="003D563F"/>
    <w:rsid w:val="003D62EF"/>
    <w:rsid w:val="003E0AAB"/>
    <w:rsid w:val="003E2607"/>
    <w:rsid w:val="003E3071"/>
    <w:rsid w:val="003E6511"/>
    <w:rsid w:val="003E6BB1"/>
    <w:rsid w:val="003F0436"/>
    <w:rsid w:val="003F06E6"/>
    <w:rsid w:val="003F088A"/>
    <w:rsid w:val="003F10F3"/>
    <w:rsid w:val="003F2B82"/>
    <w:rsid w:val="003F3174"/>
    <w:rsid w:val="003F35AC"/>
    <w:rsid w:val="003F3A6B"/>
    <w:rsid w:val="003F450E"/>
    <w:rsid w:val="003F4A1B"/>
    <w:rsid w:val="003F5306"/>
    <w:rsid w:val="004009F8"/>
    <w:rsid w:val="00400B95"/>
    <w:rsid w:val="004033B2"/>
    <w:rsid w:val="004035C4"/>
    <w:rsid w:val="0040391F"/>
    <w:rsid w:val="00403C13"/>
    <w:rsid w:val="004070C2"/>
    <w:rsid w:val="004108C4"/>
    <w:rsid w:val="00411504"/>
    <w:rsid w:val="0041229E"/>
    <w:rsid w:val="00412358"/>
    <w:rsid w:val="00412626"/>
    <w:rsid w:val="0041347E"/>
    <w:rsid w:val="004163EF"/>
    <w:rsid w:val="00416B11"/>
    <w:rsid w:val="00416C03"/>
    <w:rsid w:val="0041737D"/>
    <w:rsid w:val="004175FF"/>
    <w:rsid w:val="004212DD"/>
    <w:rsid w:val="00421D13"/>
    <w:rsid w:val="00423D17"/>
    <w:rsid w:val="004249E8"/>
    <w:rsid w:val="00424C56"/>
    <w:rsid w:val="00425320"/>
    <w:rsid w:val="004265A2"/>
    <w:rsid w:val="00426E1F"/>
    <w:rsid w:val="0043135E"/>
    <w:rsid w:val="004325BB"/>
    <w:rsid w:val="00434D0D"/>
    <w:rsid w:val="004365D6"/>
    <w:rsid w:val="00436714"/>
    <w:rsid w:val="004376E6"/>
    <w:rsid w:val="00437791"/>
    <w:rsid w:val="00440315"/>
    <w:rsid w:val="004430AB"/>
    <w:rsid w:val="00443E02"/>
    <w:rsid w:val="004444C0"/>
    <w:rsid w:val="00444CC3"/>
    <w:rsid w:val="00444CE6"/>
    <w:rsid w:val="004455CA"/>
    <w:rsid w:val="00445979"/>
    <w:rsid w:val="0044713C"/>
    <w:rsid w:val="00447234"/>
    <w:rsid w:val="00447683"/>
    <w:rsid w:val="004476AF"/>
    <w:rsid w:val="00450220"/>
    <w:rsid w:val="00451682"/>
    <w:rsid w:val="00451966"/>
    <w:rsid w:val="0045428D"/>
    <w:rsid w:val="004555D0"/>
    <w:rsid w:val="00455E66"/>
    <w:rsid w:val="00456664"/>
    <w:rsid w:val="00460B75"/>
    <w:rsid w:val="0046165F"/>
    <w:rsid w:val="00463AD6"/>
    <w:rsid w:val="00463C3A"/>
    <w:rsid w:val="00464157"/>
    <w:rsid w:val="00464967"/>
    <w:rsid w:val="004661F9"/>
    <w:rsid w:val="00466B31"/>
    <w:rsid w:val="00467671"/>
    <w:rsid w:val="00467798"/>
    <w:rsid w:val="00467835"/>
    <w:rsid w:val="00467C6D"/>
    <w:rsid w:val="0047032A"/>
    <w:rsid w:val="004706C7"/>
    <w:rsid w:val="00474FD2"/>
    <w:rsid w:val="004808A3"/>
    <w:rsid w:val="00480DE3"/>
    <w:rsid w:val="0048175C"/>
    <w:rsid w:val="00481CA2"/>
    <w:rsid w:val="00481F97"/>
    <w:rsid w:val="0048294D"/>
    <w:rsid w:val="00482B81"/>
    <w:rsid w:val="00482FEF"/>
    <w:rsid w:val="00483AF9"/>
    <w:rsid w:val="004849ED"/>
    <w:rsid w:val="00484E5F"/>
    <w:rsid w:val="00485EC2"/>
    <w:rsid w:val="00486C58"/>
    <w:rsid w:val="00487E14"/>
    <w:rsid w:val="004903B3"/>
    <w:rsid w:val="004916AE"/>
    <w:rsid w:val="004945B0"/>
    <w:rsid w:val="004958D9"/>
    <w:rsid w:val="00495AFA"/>
    <w:rsid w:val="00496CA3"/>
    <w:rsid w:val="00496D55"/>
    <w:rsid w:val="004978B0"/>
    <w:rsid w:val="004A1B10"/>
    <w:rsid w:val="004A21AA"/>
    <w:rsid w:val="004A33EA"/>
    <w:rsid w:val="004A45D9"/>
    <w:rsid w:val="004A4CF0"/>
    <w:rsid w:val="004A6509"/>
    <w:rsid w:val="004A65EF"/>
    <w:rsid w:val="004A6670"/>
    <w:rsid w:val="004A6AD2"/>
    <w:rsid w:val="004A75D5"/>
    <w:rsid w:val="004A7C0A"/>
    <w:rsid w:val="004B1C66"/>
    <w:rsid w:val="004B2639"/>
    <w:rsid w:val="004B3B1A"/>
    <w:rsid w:val="004B3C55"/>
    <w:rsid w:val="004B4724"/>
    <w:rsid w:val="004B4D2F"/>
    <w:rsid w:val="004B5D91"/>
    <w:rsid w:val="004B7A56"/>
    <w:rsid w:val="004C2373"/>
    <w:rsid w:val="004C3F63"/>
    <w:rsid w:val="004C4020"/>
    <w:rsid w:val="004C5CDB"/>
    <w:rsid w:val="004C5D21"/>
    <w:rsid w:val="004C64AE"/>
    <w:rsid w:val="004C65A3"/>
    <w:rsid w:val="004D0132"/>
    <w:rsid w:val="004D118F"/>
    <w:rsid w:val="004D1638"/>
    <w:rsid w:val="004D2152"/>
    <w:rsid w:val="004D25A3"/>
    <w:rsid w:val="004D3E3F"/>
    <w:rsid w:val="004D46BF"/>
    <w:rsid w:val="004E24CD"/>
    <w:rsid w:val="004E29EB"/>
    <w:rsid w:val="004E3119"/>
    <w:rsid w:val="004E36B0"/>
    <w:rsid w:val="004E3B25"/>
    <w:rsid w:val="004E6433"/>
    <w:rsid w:val="004F0EFF"/>
    <w:rsid w:val="004F227D"/>
    <w:rsid w:val="004F42C6"/>
    <w:rsid w:val="004F53CF"/>
    <w:rsid w:val="004F5835"/>
    <w:rsid w:val="004F6CC3"/>
    <w:rsid w:val="004F7023"/>
    <w:rsid w:val="004F720B"/>
    <w:rsid w:val="00500966"/>
    <w:rsid w:val="005039EE"/>
    <w:rsid w:val="0050407A"/>
    <w:rsid w:val="005057A1"/>
    <w:rsid w:val="0050718B"/>
    <w:rsid w:val="00507AE8"/>
    <w:rsid w:val="005100E6"/>
    <w:rsid w:val="00510B74"/>
    <w:rsid w:val="00511315"/>
    <w:rsid w:val="0051179F"/>
    <w:rsid w:val="00512004"/>
    <w:rsid w:val="0051327E"/>
    <w:rsid w:val="00514185"/>
    <w:rsid w:val="00514BE7"/>
    <w:rsid w:val="0051566C"/>
    <w:rsid w:val="00515994"/>
    <w:rsid w:val="00515A07"/>
    <w:rsid w:val="00515A93"/>
    <w:rsid w:val="0051617F"/>
    <w:rsid w:val="005167C3"/>
    <w:rsid w:val="00517E41"/>
    <w:rsid w:val="00520EA6"/>
    <w:rsid w:val="00521203"/>
    <w:rsid w:val="00523904"/>
    <w:rsid w:val="00523F2C"/>
    <w:rsid w:val="00530172"/>
    <w:rsid w:val="005307EF"/>
    <w:rsid w:val="005324FE"/>
    <w:rsid w:val="00535761"/>
    <w:rsid w:val="00535CE5"/>
    <w:rsid w:val="00536721"/>
    <w:rsid w:val="00536F4D"/>
    <w:rsid w:val="0053754E"/>
    <w:rsid w:val="00537E6C"/>
    <w:rsid w:val="00541658"/>
    <w:rsid w:val="005447B8"/>
    <w:rsid w:val="00544F5B"/>
    <w:rsid w:val="005452E7"/>
    <w:rsid w:val="005459E1"/>
    <w:rsid w:val="005466FE"/>
    <w:rsid w:val="005470F2"/>
    <w:rsid w:val="005500E4"/>
    <w:rsid w:val="00550C41"/>
    <w:rsid w:val="0055211F"/>
    <w:rsid w:val="00552534"/>
    <w:rsid w:val="005525DA"/>
    <w:rsid w:val="005532D4"/>
    <w:rsid w:val="005538A7"/>
    <w:rsid w:val="00554CB3"/>
    <w:rsid w:val="005578FA"/>
    <w:rsid w:val="00557A94"/>
    <w:rsid w:val="005603A8"/>
    <w:rsid w:val="00560B38"/>
    <w:rsid w:val="00561231"/>
    <w:rsid w:val="00562FEA"/>
    <w:rsid w:val="00563758"/>
    <w:rsid w:val="005643AC"/>
    <w:rsid w:val="0056559F"/>
    <w:rsid w:val="00566B98"/>
    <w:rsid w:val="00566C15"/>
    <w:rsid w:val="00567258"/>
    <w:rsid w:val="00567379"/>
    <w:rsid w:val="00567433"/>
    <w:rsid w:val="00570242"/>
    <w:rsid w:val="005708CF"/>
    <w:rsid w:val="005749CB"/>
    <w:rsid w:val="005750C6"/>
    <w:rsid w:val="00575660"/>
    <w:rsid w:val="00575D1C"/>
    <w:rsid w:val="00576636"/>
    <w:rsid w:val="0058129D"/>
    <w:rsid w:val="00581854"/>
    <w:rsid w:val="00582EC2"/>
    <w:rsid w:val="00583AF7"/>
    <w:rsid w:val="00585EE5"/>
    <w:rsid w:val="00586EF2"/>
    <w:rsid w:val="00586F6C"/>
    <w:rsid w:val="00591420"/>
    <w:rsid w:val="00591AD4"/>
    <w:rsid w:val="005922D8"/>
    <w:rsid w:val="0059339B"/>
    <w:rsid w:val="00595065"/>
    <w:rsid w:val="005966AB"/>
    <w:rsid w:val="00596D9A"/>
    <w:rsid w:val="00597C0C"/>
    <w:rsid w:val="005A0BB4"/>
    <w:rsid w:val="005A0BEC"/>
    <w:rsid w:val="005A2385"/>
    <w:rsid w:val="005A2BFE"/>
    <w:rsid w:val="005A39D4"/>
    <w:rsid w:val="005A61CC"/>
    <w:rsid w:val="005A6832"/>
    <w:rsid w:val="005A721F"/>
    <w:rsid w:val="005B0179"/>
    <w:rsid w:val="005B27C5"/>
    <w:rsid w:val="005B2880"/>
    <w:rsid w:val="005B3D4B"/>
    <w:rsid w:val="005B5300"/>
    <w:rsid w:val="005B5959"/>
    <w:rsid w:val="005C2947"/>
    <w:rsid w:val="005C2972"/>
    <w:rsid w:val="005C4C0B"/>
    <w:rsid w:val="005C4D5B"/>
    <w:rsid w:val="005C4FAF"/>
    <w:rsid w:val="005C5036"/>
    <w:rsid w:val="005C5486"/>
    <w:rsid w:val="005C7642"/>
    <w:rsid w:val="005D0980"/>
    <w:rsid w:val="005D6375"/>
    <w:rsid w:val="005D6669"/>
    <w:rsid w:val="005E07C6"/>
    <w:rsid w:val="005E09C7"/>
    <w:rsid w:val="005E0AC6"/>
    <w:rsid w:val="005E1A8A"/>
    <w:rsid w:val="005E1F9F"/>
    <w:rsid w:val="005E2396"/>
    <w:rsid w:val="005E2E03"/>
    <w:rsid w:val="005E3611"/>
    <w:rsid w:val="005E4066"/>
    <w:rsid w:val="005E4508"/>
    <w:rsid w:val="005E5D8F"/>
    <w:rsid w:val="005E6580"/>
    <w:rsid w:val="005E7533"/>
    <w:rsid w:val="005F0A8D"/>
    <w:rsid w:val="005F1235"/>
    <w:rsid w:val="005F1859"/>
    <w:rsid w:val="005F442D"/>
    <w:rsid w:val="005F525C"/>
    <w:rsid w:val="005F67F2"/>
    <w:rsid w:val="005F681B"/>
    <w:rsid w:val="005F6DB6"/>
    <w:rsid w:val="005F7587"/>
    <w:rsid w:val="00601A8A"/>
    <w:rsid w:val="00603C47"/>
    <w:rsid w:val="006044C9"/>
    <w:rsid w:val="00604DB2"/>
    <w:rsid w:val="00606BF6"/>
    <w:rsid w:val="00606EAC"/>
    <w:rsid w:val="006104DC"/>
    <w:rsid w:val="00613554"/>
    <w:rsid w:val="00613B38"/>
    <w:rsid w:val="006141C8"/>
    <w:rsid w:val="00616D0E"/>
    <w:rsid w:val="00620314"/>
    <w:rsid w:val="006206C2"/>
    <w:rsid w:val="006208E6"/>
    <w:rsid w:val="00622BB9"/>
    <w:rsid w:val="006249D8"/>
    <w:rsid w:val="0063106B"/>
    <w:rsid w:val="0063531B"/>
    <w:rsid w:val="006355FF"/>
    <w:rsid w:val="006456F1"/>
    <w:rsid w:val="006505FD"/>
    <w:rsid w:val="00651E24"/>
    <w:rsid w:val="006521A9"/>
    <w:rsid w:val="00652BDC"/>
    <w:rsid w:val="0065303B"/>
    <w:rsid w:val="0065364D"/>
    <w:rsid w:val="00653C69"/>
    <w:rsid w:val="00654D72"/>
    <w:rsid w:val="00655514"/>
    <w:rsid w:val="00655CA9"/>
    <w:rsid w:val="006566BC"/>
    <w:rsid w:val="00656DF5"/>
    <w:rsid w:val="00660FC7"/>
    <w:rsid w:val="00661453"/>
    <w:rsid w:val="006619D7"/>
    <w:rsid w:val="00662221"/>
    <w:rsid w:val="00662C17"/>
    <w:rsid w:val="00662C57"/>
    <w:rsid w:val="006633DF"/>
    <w:rsid w:val="00663828"/>
    <w:rsid w:val="00663CE4"/>
    <w:rsid w:val="00664C1D"/>
    <w:rsid w:val="006652BD"/>
    <w:rsid w:val="00666920"/>
    <w:rsid w:val="00667F4B"/>
    <w:rsid w:val="00670674"/>
    <w:rsid w:val="00670725"/>
    <w:rsid w:val="006720B0"/>
    <w:rsid w:val="0067270D"/>
    <w:rsid w:val="0067334E"/>
    <w:rsid w:val="00673698"/>
    <w:rsid w:val="00673779"/>
    <w:rsid w:val="00673A50"/>
    <w:rsid w:val="00674F7B"/>
    <w:rsid w:val="006757A0"/>
    <w:rsid w:val="00676F04"/>
    <w:rsid w:val="00680C64"/>
    <w:rsid w:val="00680D7F"/>
    <w:rsid w:val="006815AA"/>
    <w:rsid w:val="006828C6"/>
    <w:rsid w:val="00684EE0"/>
    <w:rsid w:val="00685000"/>
    <w:rsid w:val="00686446"/>
    <w:rsid w:val="00686601"/>
    <w:rsid w:val="00686696"/>
    <w:rsid w:val="006866BD"/>
    <w:rsid w:val="00692755"/>
    <w:rsid w:val="00692AAF"/>
    <w:rsid w:val="00692DF0"/>
    <w:rsid w:val="0069322D"/>
    <w:rsid w:val="00693661"/>
    <w:rsid w:val="006942E9"/>
    <w:rsid w:val="00694E91"/>
    <w:rsid w:val="00695525"/>
    <w:rsid w:val="00695ED8"/>
    <w:rsid w:val="006A037D"/>
    <w:rsid w:val="006A1024"/>
    <w:rsid w:val="006A229F"/>
    <w:rsid w:val="006A24EF"/>
    <w:rsid w:val="006A5486"/>
    <w:rsid w:val="006A5C65"/>
    <w:rsid w:val="006A5EA9"/>
    <w:rsid w:val="006A6EA6"/>
    <w:rsid w:val="006A779E"/>
    <w:rsid w:val="006B06C9"/>
    <w:rsid w:val="006B1425"/>
    <w:rsid w:val="006B1434"/>
    <w:rsid w:val="006B33FE"/>
    <w:rsid w:val="006B34C1"/>
    <w:rsid w:val="006B58E9"/>
    <w:rsid w:val="006B7AFB"/>
    <w:rsid w:val="006C06A6"/>
    <w:rsid w:val="006C0B70"/>
    <w:rsid w:val="006C1081"/>
    <w:rsid w:val="006C4537"/>
    <w:rsid w:val="006C49DF"/>
    <w:rsid w:val="006C5FA1"/>
    <w:rsid w:val="006C60E1"/>
    <w:rsid w:val="006C73B1"/>
    <w:rsid w:val="006C7887"/>
    <w:rsid w:val="006C7B6C"/>
    <w:rsid w:val="006D0082"/>
    <w:rsid w:val="006D1BC7"/>
    <w:rsid w:val="006D1BD5"/>
    <w:rsid w:val="006D22D5"/>
    <w:rsid w:val="006D30E1"/>
    <w:rsid w:val="006D509B"/>
    <w:rsid w:val="006D62EF"/>
    <w:rsid w:val="006D65D8"/>
    <w:rsid w:val="006D6A9C"/>
    <w:rsid w:val="006E078D"/>
    <w:rsid w:val="006E0D6F"/>
    <w:rsid w:val="006E1A33"/>
    <w:rsid w:val="006E1AF5"/>
    <w:rsid w:val="006E1D4E"/>
    <w:rsid w:val="006E2ADB"/>
    <w:rsid w:val="006E38C1"/>
    <w:rsid w:val="006E3D82"/>
    <w:rsid w:val="006E42EA"/>
    <w:rsid w:val="006E43CE"/>
    <w:rsid w:val="006E4C3B"/>
    <w:rsid w:val="006E54CB"/>
    <w:rsid w:val="006E6759"/>
    <w:rsid w:val="006F0DD8"/>
    <w:rsid w:val="006F1347"/>
    <w:rsid w:val="006F18B7"/>
    <w:rsid w:val="006F1CC2"/>
    <w:rsid w:val="006F294F"/>
    <w:rsid w:val="006F31EE"/>
    <w:rsid w:val="006F341F"/>
    <w:rsid w:val="006F440C"/>
    <w:rsid w:val="006F60F9"/>
    <w:rsid w:val="00700BED"/>
    <w:rsid w:val="00701150"/>
    <w:rsid w:val="00702A6D"/>
    <w:rsid w:val="007031C4"/>
    <w:rsid w:val="007041DC"/>
    <w:rsid w:val="00707606"/>
    <w:rsid w:val="00707A8C"/>
    <w:rsid w:val="007103EC"/>
    <w:rsid w:val="007117FD"/>
    <w:rsid w:val="00712541"/>
    <w:rsid w:val="007163F4"/>
    <w:rsid w:val="007169ED"/>
    <w:rsid w:val="00717426"/>
    <w:rsid w:val="007217D5"/>
    <w:rsid w:val="00722F8D"/>
    <w:rsid w:val="0072330B"/>
    <w:rsid w:val="0072396B"/>
    <w:rsid w:val="00724FDE"/>
    <w:rsid w:val="0072530E"/>
    <w:rsid w:val="00725818"/>
    <w:rsid w:val="007277CA"/>
    <w:rsid w:val="00727AFC"/>
    <w:rsid w:val="00731470"/>
    <w:rsid w:val="007315ED"/>
    <w:rsid w:val="00732C6E"/>
    <w:rsid w:val="0073530B"/>
    <w:rsid w:val="0073692D"/>
    <w:rsid w:val="0074171B"/>
    <w:rsid w:val="00742CDF"/>
    <w:rsid w:val="00742E1A"/>
    <w:rsid w:val="00745FFB"/>
    <w:rsid w:val="00746597"/>
    <w:rsid w:val="00751F1E"/>
    <w:rsid w:val="00752FB5"/>
    <w:rsid w:val="00753042"/>
    <w:rsid w:val="00753CBE"/>
    <w:rsid w:val="007562B5"/>
    <w:rsid w:val="00756381"/>
    <w:rsid w:val="00757565"/>
    <w:rsid w:val="00757E5C"/>
    <w:rsid w:val="007615A4"/>
    <w:rsid w:val="00763F17"/>
    <w:rsid w:val="007648C4"/>
    <w:rsid w:val="00765975"/>
    <w:rsid w:val="00767F63"/>
    <w:rsid w:val="00770E6C"/>
    <w:rsid w:val="00772985"/>
    <w:rsid w:val="00773C5C"/>
    <w:rsid w:val="00776E5C"/>
    <w:rsid w:val="007778DF"/>
    <w:rsid w:val="00777F7E"/>
    <w:rsid w:val="0078107C"/>
    <w:rsid w:val="00781248"/>
    <w:rsid w:val="007818B4"/>
    <w:rsid w:val="0078198E"/>
    <w:rsid w:val="00782A60"/>
    <w:rsid w:val="00784006"/>
    <w:rsid w:val="00784112"/>
    <w:rsid w:val="0078490E"/>
    <w:rsid w:val="00786A10"/>
    <w:rsid w:val="00787501"/>
    <w:rsid w:val="0079174E"/>
    <w:rsid w:val="00791AEB"/>
    <w:rsid w:val="007930E9"/>
    <w:rsid w:val="007947A0"/>
    <w:rsid w:val="0079588B"/>
    <w:rsid w:val="00796047"/>
    <w:rsid w:val="007A0D61"/>
    <w:rsid w:val="007A1CA8"/>
    <w:rsid w:val="007A1F9E"/>
    <w:rsid w:val="007A2DA5"/>
    <w:rsid w:val="007A36AA"/>
    <w:rsid w:val="007A458A"/>
    <w:rsid w:val="007A52EA"/>
    <w:rsid w:val="007A58B7"/>
    <w:rsid w:val="007B0EDB"/>
    <w:rsid w:val="007B2F59"/>
    <w:rsid w:val="007B34CD"/>
    <w:rsid w:val="007B3607"/>
    <w:rsid w:val="007B4FEC"/>
    <w:rsid w:val="007B6FE8"/>
    <w:rsid w:val="007C1CE6"/>
    <w:rsid w:val="007C2DB0"/>
    <w:rsid w:val="007C34C2"/>
    <w:rsid w:val="007C3CC3"/>
    <w:rsid w:val="007C51CA"/>
    <w:rsid w:val="007C545F"/>
    <w:rsid w:val="007C622F"/>
    <w:rsid w:val="007C687D"/>
    <w:rsid w:val="007C6C5B"/>
    <w:rsid w:val="007C72CD"/>
    <w:rsid w:val="007C7ABC"/>
    <w:rsid w:val="007D07C2"/>
    <w:rsid w:val="007D0F3E"/>
    <w:rsid w:val="007D0FF1"/>
    <w:rsid w:val="007D36D3"/>
    <w:rsid w:val="007D3A5C"/>
    <w:rsid w:val="007D3ACD"/>
    <w:rsid w:val="007D6E63"/>
    <w:rsid w:val="007D77D4"/>
    <w:rsid w:val="007E03AD"/>
    <w:rsid w:val="007E08A9"/>
    <w:rsid w:val="007E16B7"/>
    <w:rsid w:val="007E1BB7"/>
    <w:rsid w:val="007E2010"/>
    <w:rsid w:val="007E2069"/>
    <w:rsid w:val="007E3500"/>
    <w:rsid w:val="007E3547"/>
    <w:rsid w:val="007E368D"/>
    <w:rsid w:val="007E50A1"/>
    <w:rsid w:val="007E564D"/>
    <w:rsid w:val="007E603B"/>
    <w:rsid w:val="007E6897"/>
    <w:rsid w:val="007F2D83"/>
    <w:rsid w:val="007F2DDB"/>
    <w:rsid w:val="007F5083"/>
    <w:rsid w:val="007F6212"/>
    <w:rsid w:val="008016B3"/>
    <w:rsid w:val="00802538"/>
    <w:rsid w:val="00802AAC"/>
    <w:rsid w:val="008038B9"/>
    <w:rsid w:val="00805D3E"/>
    <w:rsid w:val="00806FA1"/>
    <w:rsid w:val="00806FC6"/>
    <w:rsid w:val="00807863"/>
    <w:rsid w:val="008079FE"/>
    <w:rsid w:val="00811EA7"/>
    <w:rsid w:val="00812514"/>
    <w:rsid w:val="00813AC3"/>
    <w:rsid w:val="00814767"/>
    <w:rsid w:val="00815E1C"/>
    <w:rsid w:val="008178FD"/>
    <w:rsid w:val="008203B9"/>
    <w:rsid w:val="00821380"/>
    <w:rsid w:val="00821AC6"/>
    <w:rsid w:val="008228B9"/>
    <w:rsid w:val="008250F3"/>
    <w:rsid w:val="00825775"/>
    <w:rsid w:val="0082582E"/>
    <w:rsid w:val="008267CE"/>
    <w:rsid w:val="00827CCD"/>
    <w:rsid w:val="008305D6"/>
    <w:rsid w:val="00831610"/>
    <w:rsid w:val="0083209B"/>
    <w:rsid w:val="008333C7"/>
    <w:rsid w:val="008351DF"/>
    <w:rsid w:val="00835A88"/>
    <w:rsid w:val="00836AEF"/>
    <w:rsid w:val="008374B4"/>
    <w:rsid w:val="00841F0E"/>
    <w:rsid w:val="00842A2E"/>
    <w:rsid w:val="00842E9C"/>
    <w:rsid w:val="008435F7"/>
    <w:rsid w:val="00843735"/>
    <w:rsid w:val="00843994"/>
    <w:rsid w:val="00844E6A"/>
    <w:rsid w:val="0084634D"/>
    <w:rsid w:val="00852836"/>
    <w:rsid w:val="00852964"/>
    <w:rsid w:val="00852DE1"/>
    <w:rsid w:val="008540D9"/>
    <w:rsid w:val="008548C9"/>
    <w:rsid w:val="00854983"/>
    <w:rsid w:val="008623F2"/>
    <w:rsid w:val="00862DB3"/>
    <w:rsid w:val="00863765"/>
    <w:rsid w:val="00867E4B"/>
    <w:rsid w:val="00870077"/>
    <w:rsid w:val="00870643"/>
    <w:rsid w:val="00871166"/>
    <w:rsid w:val="0087295E"/>
    <w:rsid w:val="00874514"/>
    <w:rsid w:val="00880273"/>
    <w:rsid w:val="0088037F"/>
    <w:rsid w:val="008806B7"/>
    <w:rsid w:val="00881784"/>
    <w:rsid w:val="008827D1"/>
    <w:rsid w:val="00883395"/>
    <w:rsid w:val="008843C0"/>
    <w:rsid w:val="00885176"/>
    <w:rsid w:val="0088580E"/>
    <w:rsid w:val="00886847"/>
    <w:rsid w:val="0089046B"/>
    <w:rsid w:val="008920D6"/>
    <w:rsid w:val="00893886"/>
    <w:rsid w:val="008940E5"/>
    <w:rsid w:val="008941C8"/>
    <w:rsid w:val="00895568"/>
    <w:rsid w:val="00896781"/>
    <w:rsid w:val="008A0862"/>
    <w:rsid w:val="008A0E0D"/>
    <w:rsid w:val="008A2F19"/>
    <w:rsid w:val="008A3D20"/>
    <w:rsid w:val="008A4B9F"/>
    <w:rsid w:val="008A4F43"/>
    <w:rsid w:val="008A65D8"/>
    <w:rsid w:val="008A6614"/>
    <w:rsid w:val="008A73E5"/>
    <w:rsid w:val="008A789D"/>
    <w:rsid w:val="008B1CF2"/>
    <w:rsid w:val="008B2067"/>
    <w:rsid w:val="008B213A"/>
    <w:rsid w:val="008B2E7F"/>
    <w:rsid w:val="008B347D"/>
    <w:rsid w:val="008B4D14"/>
    <w:rsid w:val="008B4DB7"/>
    <w:rsid w:val="008B4E3C"/>
    <w:rsid w:val="008B5B81"/>
    <w:rsid w:val="008B605D"/>
    <w:rsid w:val="008B610E"/>
    <w:rsid w:val="008B6AF5"/>
    <w:rsid w:val="008B7CFC"/>
    <w:rsid w:val="008C1195"/>
    <w:rsid w:val="008C279B"/>
    <w:rsid w:val="008C3938"/>
    <w:rsid w:val="008C4ADC"/>
    <w:rsid w:val="008C4DF8"/>
    <w:rsid w:val="008C5756"/>
    <w:rsid w:val="008C62E6"/>
    <w:rsid w:val="008C7D71"/>
    <w:rsid w:val="008D0D14"/>
    <w:rsid w:val="008D10FE"/>
    <w:rsid w:val="008D18CD"/>
    <w:rsid w:val="008D2C37"/>
    <w:rsid w:val="008D3BA2"/>
    <w:rsid w:val="008D4018"/>
    <w:rsid w:val="008D4EE0"/>
    <w:rsid w:val="008D51F5"/>
    <w:rsid w:val="008D7058"/>
    <w:rsid w:val="008E0DB7"/>
    <w:rsid w:val="008E1236"/>
    <w:rsid w:val="008E1280"/>
    <w:rsid w:val="008E1671"/>
    <w:rsid w:val="008E31ED"/>
    <w:rsid w:val="008E3A7B"/>
    <w:rsid w:val="008E4268"/>
    <w:rsid w:val="008E5837"/>
    <w:rsid w:val="008E58D7"/>
    <w:rsid w:val="008E6330"/>
    <w:rsid w:val="008E7CAC"/>
    <w:rsid w:val="008E7CB6"/>
    <w:rsid w:val="008F00F5"/>
    <w:rsid w:val="008F27F8"/>
    <w:rsid w:val="008F3204"/>
    <w:rsid w:val="008F3E72"/>
    <w:rsid w:val="008F50A5"/>
    <w:rsid w:val="008F5340"/>
    <w:rsid w:val="008F56CD"/>
    <w:rsid w:val="008F6B5E"/>
    <w:rsid w:val="008F6E63"/>
    <w:rsid w:val="008F7097"/>
    <w:rsid w:val="008F7875"/>
    <w:rsid w:val="008F7B2B"/>
    <w:rsid w:val="00901239"/>
    <w:rsid w:val="0090212E"/>
    <w:rsid w:val="0090287C"/>
    <w:rsid w:val="00905AF7"/>
    <w:rsid w:val="00906FA3"/>
    <w:rsid w:val="00911049"/>
    <w:rsid w:val="00911096"/>
    <w:rsid w:val="00911272"/>
    <w:rsid w:val="00912222"/>
    <w:rsid w:val="009131B4"/>
    <w:rsid w:val="00914481"/>
    <w:rsid w:val="00914D1A"/>
    <w:rsid w:val="00914E13"/>
    <w:rsid w:val="00915981"/>
    <w:rsid w:val="00915FBA"/>
    <w:rsid w:val="00923530"/>
    <w:rsid w:val="00923DC1"/>
    <w:rsid w:val="00924391"/>
    <w:rsid w:val="0092641E"/>
    <w:rsid w:val="00926C7F"/>
    <w:rsid w:val="00926CC7"/>
    <w:rsid w:val="0092723A"/>
    <w:rsid w:val="009272B3"/>
    <w:rsid w:val="009272E2"/>
    <w:rsid w:val="00930672"/>
    <w:rsid w:val="0093103A"/>
    <w:rsid w:val="00931070"/>
    <w:rsid w:val="00931838"/>
    <w:rsid w:val="00933A91"/>
    <w:rsid w:val="009358BA"/>
    <w:rsid w:val="00936781"/>
    <w:rsid w:val="00941E88"/>
    <w:rsid w:val="0094210B"/>
    <w:rsid w:val="00943DB9"/>
    <w:rsid w:val="009442D8"/>
    <w:rsid w:val="009445B0"/>
    <w:rsid w:val="00944FFF"/>
    <w:rsid w:val="00946577"/>
    <w:rsid w:val="0095127A"/>
    <w:rsid w:val="00951BF6"/>
    <w:rsid w:val="009534A7"/>
    <w:rsid w:val="009544E6"/>
    <w:rsid w:val="009567C8"/>
    <w:rsid w:val="00961785"/>
    <w:rsid w:val="00961B9D"/>
    <w:rsid w:val="00961BBD"/>
    <w:rsid w:val="00961F07"/>
    <w:rsid w:val="00962758"/>
    <w:rsid w:val="00962CDF"/>
    <w:rsid w:val="009637A9"/>
    <w:rsid w:val="009655CB"/>
    <w:rsid w:val="0096793E"/>
    <w:rsid w:val="00967D1F"/>
    <w:rsid w:val="0097107F"/>
    <w:rsid w:val="00971A97"/>
    <w:rsid w:val="00972DD0"/>
    <w:rsid w:val="00973407"/>
    <w:rsid w:val="009758F5"/>
    <w:rsid w:val="00977D83"/>
    <w:rsid w:val="00980085"/>
    <w:rsid w:val="00980AD1"/>
    <w:rsid w:val="00980C53"/>
    <w:rsid w:val="00983CA9"/>
    <w:rsid w:val="00985748"/>
    <w:rsid w:val="00986905"/>
    <w:rsid w:val="009903FD"/>
    <w:rsid w:val="00990C69"/>
    <w:rsid w:val="00991080"/>
    <w:rsid w:val="00991E85"/>
    <w:rsid w:val="009936DC"/>
    <w:rsid w:val="00995D25"/>
    <w:rsid w:val="009965B9"/>
    <w:rsid w:val="0099663C"/>
    <w:rsid w:val="00997CAE"/>
    <w:rsid w:val="009A1207"/>
    <w:rsid w:val="009A128B"/>
    <w:rsid w:val="009A3215"/>
    <w:rsid w:val="009A4B6F"/>
    <w:rsid w:val="009A4CB9"/>
    <w:rsid w:val="009A5159"/>
    <w:rsid w:val="009A56D6"/>
    <w:rsid w:val="009A59F0"/>
    <w:rsid w:val="009A5AF6"/>
    <w:rsid w:val="009A5B3C"/>
    <w:rsid w:val="009A63B0"/>
    <w:rsid w:val="009A6C07"/>
    <w:rsid w:val="009A6C54"/>
    <w:rsid w:val="009A6D66"/>
    <w:rsid w:val="009A719E"/>
    <w:rsid w:val="009A74DE"/>
    <w:rsid w:val="009B1E9C"/>
    <w:rsid w:val="009B24FD"/>
    <w:rsid w:val="009B38F7"/>
    <w:rsid w:val="009B3CD5"/>
    <w:rsid w:val="009B5579"/>
    <w:rsid w:val="009B5936"/>
    <w:rsid w:val="009B6928"/>
    <w:rsid w:val="009B6B35"/>
    <w:rsid w:val="009B7721"/>
    <w:rsid w:val="009B7E5C"/>
    <w:rsid w:val="009C0278"/>
    <w:rsid w:val="009C0D2E"/>
    <w:rsid w:val="009C2041"/>
    <w:rsid w:val="009C2DDC"/>
    <w:rsid w:val="009C3E17"/>
    <w:rsid w:val="009C45E3"/>
    <w:rsid w:val="009C5582"/>
    <w:rsid w:val="009C5998"/>
    <w:rsid w:val="009C7041"/>
    <w:rsid w:val="009D105A"/>
    <w:rsid w:val="009D2227"/>
    <w:rsid w:val="009D2893"/>
    <w:rsid w:val="009D47FA"/>
    <w:rsid w:val="009D5AFC"/>
    <w:rsid w:val="009E04BA"/>
    <w:rsid w:val="009E0DB5"/>
    <w:rsid w:val="009E22AA"/>
    <w:rsid w:val="009E26B2"/>
    <w:rsid w:val="009E41BC"/>
    <w:rsid w:val="009E528E"/>
    <w:rsid w:val="009E6763"/>
    <w:rsid w:val="009E7270"/>
    <w:rsid w:val="009F0825"/>
    <w:rsid w:val="009F21FE"/>
    <w:rsid w:val="009F3467"/>
    <w:rsid w:val="009F45E2"/>
    <w:rsid w:val="009F4A08"/>
    <w:rsid w:val="009F4ED8"/>
    <w:rsid w:val="009F5A05"/>
    <w:rsid w:val="009F6125"/>
    <w:rsid w:val="009F7CBC"/>
    <w:rsid w:val="00A000C8"/>
    <w:rsid w:val="00A01A6C"/>
    <w:rsid w:val="00A02053"/>
    <w:rsid w:val="00A03405"/>
    <w:rsid w:val="00A039E7"/>
    <w:rsid w:val="00A05270"/>
    <w:rsid w:val="00A05F66"/>
    <w:rsid w:val="00A05FDB"/>
    <w:rsid w:val="00A061C3"/>
    <w:rsid w:val="00A1145E"/>
    <w:rsid w:val="00A13813"/>
    <w:rsid w:val="00A1396A"/>
    <w:rsid w:val="00A14162"/>
    <w:rsid w:val="00A145F0"/>
    <w:rsid w:val="00A15FB3"/>
    <w:rsid w:val="00A1679F"/>
    <w:rsid w:val="00A16D16"/>
    <w:rsid w:val="00A20A78"/>
    <w:rsid w:val="00A21CC0"/>
    <w:rsid w:val="00A225B1"/>
    <w:rsid w:val="00A25B18"/>
    <w:rsid w:val="00A25E31"/>
    <w:rsid w:val="00A265D9"/>
    <w:rsid w:val="00A2734A"/>
    <w:rsid w:val="00A30425"/>
    <w:rsid w:val="00A3079E"/>
    <w:rsid w:val="00A309DA"/>
    <w:rsid w:val="00A31192"/>
    <w:rsid w:val="00A31422"/>
    <w:rsid w:val="00A31F65"/>
    <w:rsid w:val="00A324A4"/>
    <w:rsid w:val="00A3353D"/>
    <w:rsid w:val="00A33CF7"/>
    <w:rsid w:val="00A34049"/>
    <w:rsid w:val="00A35CEC"/>
    <w:rsid w:val="00A37D19"/>
    <w:rsid w:val="00A400E2"/>
    <w:rsid w:val="00A40642"/>
    <w:rsid w:val="00A40FAA"/>
    <w:rsid w:val="00A41276"/>
    <w:rsid w:val="00A4150F"/>
    <w:rsid w:val="00A4241E"/>
    <w:rsid w:val="00A4269A"/>
    <w:rsid w:val="00A436C5"/>
    <w:rsid w:val="00A45E43"/>
    <w:rsid w:val="00A45E5D"/>
    <w:rsid w:val="00A46C95"/>
    <w:rsid w:val="00A472B5"/>
    <w:rsid w:val="00A474D6"/>
    <w:rsid w:val="00A50147"/>
    <w:rsid w:val="00A50D79"/>
    <w:rsid w:val="00A512A5"/>
    <w:rsid w:val="00A51A22"/>
    <w:rsid w:val="00A528B5"/>
    <w:rsid w:val="00A52DB3"/>
    <w:rsid w:val="00A60875"/>
    <w:rsid w:val="00A60F05"/>
    <w:rsid w:val="00A60F87"/>
    <w:rsid w:val="00A61402"/>
    <w:rsid w:val="00A61E5D"/>
    <w:rsid w:val="00A62088"/>
    <w:rsid w:val="00A621FF"/>
    <w:rsid w:val="00A625E3"/>
    <w:rsid w:val="00A632C5"/>
    <w:rsid w:val="00A650BB"/>
    <w:rsid w:val="00A6616D"/>
    <w:rsid w:val="00A70468"/>
    <w:rsid w:val="00A70F19"/>
    <w:rsid w:val="00A716C9"/>
    <w:rsid w:val="00A71F49"/>
    <w:rsid w:val="00A725A7"/>
    <w:rsid w:val="00A73664"/>
    <w:rsid w:val="00A737EC"/>
    <w:rsid w:val="00A76EEA"/>
    <w:rsid w:val="00A8138B"/>
    <w:rsid w:val="00A83BA8"/>
    <w:rsid w:val="00A843A8"/>
    <w:rsid w:val="00A85CB2"/>
    <w:rsid w:val="00A87068"/>
    <w:rsid w:val="00A90A86"/>
    <w:rsid w:val="00A911E2"/>
    <w:rsid w:val="00A91C7F"/>
    <w:rsid w:val="00A95C24"/>
    <w:rsid w:val="00A95C79"/>
    <w:rsid w:val="00A962B8"/>
    <w:rsid w:val="00A96436"/>
    <w:rsid w:val="00A96EAC"/>
    <w:rsid w:val="00A97116"/>
    <w:rsid w:val="00AA0C6D"/>
    <w:rsid w:val="00AA0D4F"/>
    <w:rsid w:val="00AA1A20"/>
    <w:rsid w:val="00AA2415"/>
    <w:rsid w:val="00AA2CCC"/>
    <w:rsid w:val="00AA2D82"/>
    <w:rsid w:val="00AA551F"/>
    <w:rsid w:val="00AA5A28"/>
    <w:rsid w:val="00AA5E71"/>
    <w:rsid w:val="00AA73E2"/>
    <w:rsid w:val="00AA74C5"/>
    <w:rsid w:val="00AB01B8"/>
    <w:rsid w:val="00AB07BF"/>
    <w:rsid w:val="00AB15BD"/>
    <w:rsid w:val="00AB1D26"/>
    <w:rsid w:val="00AB2D39"/>
    <w:rsid w:val="00AB4451"/>
    <w:rsid w:val="00AB67E2"/>
    <w:rsid w:val="00AB7649"/>
    <w:rsid w:val="00AC09C8"/>
    <w:rsid w:val="00AC0D7B"/>
    <w:rsid w:val="00AC10C8"/>
    <w:rsid w:val="00AC10FF"/>
    <w:rsid w:val="00AC1E0E"/>
    <w:rsid w:val="00AC3B5F"/>
    <w:rsid w:val="00AC3E29"/>
    <w:rsid w:val="00AC49A5"/>
    <w:rsid w:val="00AC605A"/>
    <w:rsid w:val="00AC76BB"/>
    <w:rsid w:val="00AD0195"/>
    <w:rsid w:val="00AD0403"/>
    <w:rsid w:val="00AD2850"/>
    <w:rsid w:val="00AD28AE"/>
    <w:rsid w:val="00AD370B"/>
    <w:rsid w:val="00AD38E1"/>
    <w:rsid w:val="00AD4715"/>
    <w:rsid w:val="00AD4A4F"/>
    <w:rsid w:val="00AD724B"/>
    <w:rsid w:val="00AE03E5"/>
    <w:rsid w:val="00AE151A"/>
    <w:rsid w:val="00AE1E5E"/>
    <w:rsid w:val="00AE1F3D"/>
    <w:rsid w:val="00AE312B"/>
    <w:rsid w:val="00AE3585"/>
    <w:rsid w:val="00AE43FB"/>
    <w:rsid w:val="00AE7E26"/>
    <w:rsid w:val="00AE7EFF"/>
    <w:rsid w:val="00AE7FA8"/>
    <w:rsid w:val="00AF0551"/>
    <w:rsid w:val="00AF1479"/>
    <w:rsid w:val="00AF2CF3"/>
    <w:rsid w:val="00AF399E"/>
    <w:rsid w:val="00AF3DA9"/>
    <w:rsid w:val="00AF5208"/>
    <w:rsid w:val="00AF6263"/>
    <w:rsid w:val="00AF751B"/>
    <w:rsid w:val="00AF7B61"/>
    <w:rsid w:val="00AF7CC4"/>
    <w:rsid w:val="00B01127"/>
    <w:rsid w:val="00B01ED9"/>
    <w:rsid w:val="00B0253E"/>
    <w:rsid w:val="00B038DA"/>
    <w:rsid w:val="00B05D1F"/>
    <w:rsid w:val="00B06FB6"/>
    <w:rsid w:val="00B10F68"/>
    <w:rsid w:val="00B11496"/>
    <w:rsid w:val="00B116DC"/>
    <w:rsid w:val="00B11C84"/>
    <w:rsid w:val="00B1206B"/>
    <w:rsid w:val="00B1332C"/>
    <w:rsid w:val="00B13D60"/>
    <w:rsid w:val="00B13DB9"/>
    <w:rsid w:val="00B14020"/>
    <w:rsid w:val="00B1478B"/>
    <w:rsid w:val="00B156E1"/>
    <w:rsid w:val="00B1678B"/>
    <w:rsid w:val="00B16B0A"/>
    <w:rsid w:val="00B16B0C"/>
    <w:rsid w:val="00B21118"/>
    <w:rsid w:val="00B21274"/>
    <w:rsid w:val="00B2151C"/>
    <w:rsid w:val="00B224F0"/>
    <w:rsid w:val="00B23E39"/>
    <w:rsid w:val="00B24B5C"/>
    <w:rsid w:val="00B2671D"/>
    <w:rsid w:val="00B30A33"/>
    <w:rsid w:val="00B30A91"/>
    <w:rsid w:val="00B31E46"/>
    <w:rsid w:val="00B34588"/>
    <w:rsid w:val="00B34E05"/>
    <w:rsid w:val="00B36621"/>
    <w:rsid w:val="00B372BE"/>
    <w:rsid w:val="00B4075C"/>
    <w:rsid w:val="00B40BA7"/>
    <w:rsid w:val="00B42530"/>
    <w:rsid w:val="00B43220"/>
    <w:rsid w:val="00B440F5"/>
    <w:rsid w:val="00B45536"/>
    <w:rsid w:val="00B4747B"/>
    <w:rsid w:val="00B4773D"/>
    <w:rsid w:val="00B50EA1"/>
    <w:rsid w:val="00B519A4"/>
    <w:rsid w:val="00B521BB"/>
    <w:rsid w:val="00B52511"/>
    <w:rsid w:val="00B55775"/>
    <w:rsid w:val="00B5615B"/>
    <w:rsid w:val="00B57EDB"/>
    <w:rsid w:val="00B60531"/>
    <w:rsid w:val="00B63424"/>
    <w:rsid w:val="00B64C1E"/>
    <w:rsid w:val="00B656AA"/>
    <w:rsid w:val="00B66D54"/>
    <w:rsid w:val="00B675B0"/>
    <w:rsid w:val="00B67713"/>
    <w:rsid w:val="00B67DA7"/>
    <w:rsid w:val="00B67EDE"/>
    <w:rsid w:val="00B67F74"/>
    <w:rsid w:val="00B7007E"/>
    <w:rsid w:val="00B712DB"/>
    <w:rsid w:val="00B722AA"/>
    <w:rsid w:val="00B733C6"/>
    <w:rsid w:val="00B73AFB"/>
    <w:rsid w:val="00B745C7"/>
    <w:rsid w:val="00B74A06"/>
    <w:rsid w:val="00B74D1E"/>
    <w:rsid w:val="00B77635"/>
    <w:rsid w:val="00B813BC"/>
    <w:rsid w:val="00B81D08"/>
    <w:rsid w:val="00B8283A"/>
    <w:rsid w:val="00B82B2B"/>
    <w:rsid w:val="00B844BF"/>
    <w:rsid w:val="00B855F6"/>
    <w:rsid w:val="00B85E00"/>
    <w:rsid w:val="00B907D3"/>
    <w:rsid w:val="00B91059"/>
    <w:rsid w:val="00B9138B"/>
    <w:rsid w:val="00B933CB"/>
    <w:rsid w:val="00B950CD"/>
    <w:rsid w:val="00B96B72"/>
    <w:rsid w:val="00BA0234"/>
    <w:rsid w:val="00BA06F6"/>
    <w:rsid w:val="00BA0762"/>
    <w:rsid w:val="00BA0B39"/>
    <w:rsid w:val="00BA1899"/>
    <w:rsid w:val="00BA5A87"/>
    <w:rsid w:val="00BA77DF"/>
    <w:rsid w:val="00BB2728"/>
    <w:rsid w:val="00BB3BF7"/>
    <w:rsid w:val="00BB491E"/>
    <w:rsid w:val="00BB6645"/>
    <w:rsid w:val="00BC0232"/>
    <w:rsid w:val="00BC1A95"/>
    <w:rsid w:val="00BC2344"/>
    <w:rsid w:val="00BC3230"/>
    <w:rsid w:val="00BC3AFA"/>
    <w:rsid w:val="00BC4EA7"/>
    <w:rsid w:val="00BD0150"/>
    <w:rsid w:val="00BD1D97"/>
    <w:rsid w:val="00BD3C3B"/>
    <w:rsid w:val="00BD4597"/>
    <w:rsid w:val="00BD6DA9"/>
    <w:rsid w:val="00BD6F69"/>
    <w:rsid w:val="00BD6FE4"/>
    <w:rsid w:val="00BE0FFC"/>
    <w:rsid w:val="00BE1E4B"/>
    <w:rsid w:val="00BE1FDC"/>
    <w:rsid w:val="00BE357F"/>
    <w:rsid w:val="00BE3D12"/>
    <w:rsid w:val="00BE3D3A"/>
    <w:rsid w:val="00BE4D82"/>
    <w:rsid w:val="00BE4FB1"/>
    <w:rsid w:val="00BE5D4F"/>
    <w:rsid w:val="00BF24F1"/>
    <w:rsid w:val="00BF5CF4"/>
    <w:rsid w:val="00BF63AB"/>
    <w:rsid w:val="00BF713B"/>
    <w:rsid w:val="00BF7893"/>
    <w:rsid w:val="00BF7C52"/>
    <w:rsid w:val="00C0125D"/>
    <w:rsid w:val="00C025CF"/>
    <w:rsid w:val="00C030F2"/>
    <w:rsid w:val="00C0440C"/>
    <w:rsid w:val="00C04E69"/>
    <w:rsid w:val="00C06B56"/>
    <w:rsid w:val="00C075FF"/>
    <w:rsid w:val="00C0790C"/>
    <w:rsid w:val="00C100A5"/>
    <w:rsid w:val="00C10F06"/>
    <w:rsid w:val="00C112CA"/>
    <w:rsid w:val="00C12847"/>
    <w:rsid w:val="00C14AC5"/>
    <w:rsid w:val="00C171D2"/>
    <w:rsid w:val="00C17E81"/>
    <w:rsid w:val="00C20C78"/>
    <w:rsid w:val="00C22646"/>
    <w:rsid w:val="00C23564"/>
    <w:rsid w:val="00C23D60"/>
    <w:rsid w:val="00C24223"/>
    <w:rsid w:val="00C24EF2"/>
    <w:rsid w:val="00C252BF"/>
    <w:rsid w:val="00C26F34"/>
    <w:rsid w:val="00C31842"/>
    <w:rsid w:val="00C31F18"/>
    <w:rsid w:val="00C33C0C"/>
    <w:rsid w:val="00C340BF"/>
    <w:rsid w:val="00C3426E"/>
    <w:rsid w:val="00C34E5B"/>
    <w:rsid w:val="00C35D25"/>
    <w:rsid w:val="00C3717C"/>
    <w:rsid w:val="00C40E04"/>
    <w:rsid w:val="00C41C5E"/>
    <w:rsid w:val="00C42874"/>
    <w:rsid w:val="00C431D0"/>
    <w:rsid w:val="00C44E5B"/>
    <w:rsid w:val="00C45B06"/>
    <w:rsid w:val="00C47A00"/>
    <w:rsid w:val="00C5025E"/>
    <w:rsid w:val="00C505F4"/>
    <w:rsid w:val="00C51F83"/>
    <w:rsid w:val="00C52339"/>
    <w:rsid w:val="00C524CB"/>
    <w:rsid w:val="00C53159"/>
    <w:rsid w:val="00C54D0F"/>
    <w:rsid w:val="00C559C5"/>
    <w:rsid w:val="00C55DE7"/>
    <w:rsid w:val="00C612B9"/>
    <w:rsid w:val="00C613D7"/>
    <w:rsid w:val="00C644D5"/>
    <w:rsid w:val="00C651DF"/>
    <w:rsid w:val="00C656A0"/>
    <w:rsid w:val="00C6593E"/>
    <w:rsid w:val="00C65A78"/>
    <w:rsid w:val="00C65CE3"/>
    <w:rsid w:val="00C66CA3"/>
    <w:rsid w:val="00C66D0D"/>
    <w:rsid w:val="00C6796C"/>
    <w:rsid w:val="00C67B8C"/>
    <w:rsid w:val="00C703B8"/>
    <w:rsid w:val="00C7248C"/>
    <w:rsid w:val="00C7345F"/>
    <w:rsid w:val="00C74D88"/>
    <w:rsid w:val="00C76467"/>
    <w:rsid w:val="00C76F10"/>
    <w:rsid w:val="00C772D4"/>
    <w:rsid w:val="00C803E7"/>
    <w:rsid w:val="00C80798"/>
    <w:rsid w:val="00C82C80"/>
    <w:rsid w:val="00C83592"/>
    <w:rsid w:val="00C83716"/>
    <w:rsid w:val="00C8704D"/>
    <w:rsid w:val="00C90460"/>
    <w:rsid w:val="00C90A2D"/>
    <w:rsid w:val="00C90C5D"/>
    <w:rsid w:val="00C90EF1"/>
    <w:rsid w:val="00C926AF"/>
    <w:rsid w:val="00C92DCB"/>
    <w:rsid w:val="00C93338"/>
    <w:rsid w:val="00C9347B"/>
    <w:rsid w:val="00C93940"/>
    <w:rsid w:val="00C95261"/>
    <w:rsid w:val="00C954F8"/>
    <w:rsid w:val="00C95B6F"/>
    <w:rsid w:val="00C95DBD"/>
    <w:rsid w:val="00C9669C"/>
    <w:rsid w:val="00C96FA6"/>
    <w:rsid w:val="00C97FB0"/>
    <w:rsid w:val="00CA14D8"/>
    <w:rsid w:val="00CA28D9"/>
    <w:rsid w:val="00CA2A93"/>
    <w:rsid w:val="00CA2C0B"/>
    <w:rsid w:val="00CA2D43"/>
    <w:rsid w:val="00CA500A"/>
    <w:rsid w:val="00CA601E"/>
    <w:rsid w:val="00CA7A86"/>
    <w:rsid w:val="00CB1A96"/>
    <w:rsid w:val="00CB3140"/>
    <w:rsid w:val="00CB3B2C"/>
    <w:rsid w:val="00CB44A1"/>
    <w:rsid w:val="00CB64C1"/>
    <w:rsid w:val="00CC0172"/>
    <w:rsid w:val="00CC1088"/>
    <w:rsid w:val="00CC18AB"/>
    <w:rsid w:val="00CC2522"/>
    <w:rsid w:val="00CC2884"/>
    <w:rsid w:val="00CC2ECF"/>
    <w:rsid w:val="00CC3ACD"/>
    <w:rsid w:val="00CC3CE2"/>
    <w:rsid w:val="00CC4F91"/>
    <w:rsid w:val="00CC52E3"/>
    <w:rsid w:val="00CC551B"/>
    <w:rsid w:val="00CC6174"/>
    <w:rsid w:val="00CD012F"/>
    <w:rsid w:val="00CD2FC0"/>
    <w:rsid w:val="00CD3086"/>
    <w:rsid w:val="00CD3A78"/>
    <w:rsid w:val="00CD4D9E"/>
    <w:rsid w:val="00CD6B36"/>
    <w:rsid w:val="00CD70CD"/>
    <w:rsid w:val="00CD7966"/>
    <w:rsid w:val="00CE38E0"/>
    <w:rsid w:val="00CE3A1F"/>
    <w:rsid w:val="00CE4FB9"/>
    <w:rsid w:val="00CE6177"/>
    <w:rsid w:val="00CE76FB"/>
    <w:rsid w:val="00CF0D41"/>
    <w:rsid w:val="00CF22B9"/>
    <w:rsid w:val="00CF2B4A"/>
    <w:rsid w:val="00CF2DFA"/>
    <w:rsid w:val="00CF3237"/>
    <w:rsid w:val="00CF41D6"/>
    <w:rsid w:val="00CF435C"/>
    <w:rsid w:val="00CF6534"/>
    <w:rsid w:val="00CF6847"/>
    <w:rsid w:val="00CF69E4"/>
    <w:rsid w:val="00CF7908"/>
    <w:rsid w:val="00D006CB"/>
    <w:rsid w:val="00D01839"/>
    <w:rsid w:val="00D01B98"/>
    <w:rsid w:val="00D02C8D"/>
    <w:rsid w:val="00D040D9"/>
    <w:rsid w:val="00D05610"/>
    <w:rsid w:val="00D05C71"/>
    <w:rsid w:val="00D06CFE"/>
    <w:rsid w:val="00D120CD"/>
    <w:rsid w:val="00D121B1"/>
    <w:rsid w:val="00D12D5D"/>
    <w:rsid w:val="00D13008"/>
    <w:rsid w:val="00D13B56"/>
    <w:rsid w:val="00D13C89"/>
    <w:rsid w:val="00D145E8"/>
    <w:rsid w:val="00D15865"/>
    <w:rsid w:val="00D1686D"/>
    <w:rsid w:val="00D17AA0"/>
    <w:rsid w:val="00D2008E"/>
    <w:rsid w:val="00D217E9"/>
    <w:rsid w:val="00D21882"/>
    <w:rsid w:val="00D22218"/>
    <w:rsid w:val="00D22A45"/>
    <w:rsid w:val="00D24280"/>
    <w:rsid w:val="00D2685B"/>
    <w:rsid w:val="00D3013F"/>
    <w:rsid w:val="00D311B9"/>
    <w:rsid w:val="00D318D9"/>
    <w:rsid w:val="00D36694"/>
    <w:rsid w:val="00D36814"/>
    <w:rsid w:val="00D36E6D"/>
    <w:rsid w:val="00D376BF"/>
    <w:rsid w:val="00D406B9"/>
    <w:rsid w:val="00D40A69"/>
    <w:rsid w:val="00D4254E"/>
    <w:rsid w:val="00D42F37"/>
    <w:rsid w:val="00D435B0"/>
    <w:rsid w:val="00D437D0"/>
    <w:rsid w:val="00D444D5"/>
    <w:rsid w:val="00D47372"/>
    <w:rsid w:val="00D47D24"/>
    <w:rsid w:val="00D47D4F"/>
    <w:rsid w:val="00D52C0C"/>
    <w:rsid w:val="00D53918"/>
    <w:rsid w:val="00D539E6"/>
    <w:rsid w:val="00D55730"/>
    <w:rsid w:val="00D56216"/>
    <w:rsid w:val="00D56B27"/>
    <w:rsid w:val="00D60D03"/>
    <w:rsid w:val="00D6294A"/>
    <w:rsid w:val="00D62A55"/>
    <w:rsid w:val="00D62BF4"/>
    <w:rsid w:val="00D637E8"/>
    <w:rsid w:val="00D63EC6"/>
    <w:rsid w:val="00D6680F"/>
    <w:rsid w:val="00D66C99"/>
    <w:rsid w:val="00D671B6"/>
    <w:rsid w:val="00D672B8"/>
    <w:rsid w:val="00D6773D"/>
    <w:rsid w:val="00D70980"/>
    <w:rsid w:val="00D720E1"/>
    <w:rsid w:val="00D726D1"/>
    <w:rsid w:val="00D72915"/>
    <w:rsid w:val="00D72FD1"/>
    <w:rsid w:val="00D74833"/>
    <w:rsid w:val="00D74FF2"/>
    <w:rsid w:val="00D76B06"/>
    <w:rsid w:val="00D80E37"/>
    <w:rsid w:val="00D81B15"/>
    <w:rsid w:val="00D8475A"/>
    <w:rsid w:val="00D85761"/>
    <w:rsid w:val="00D85C8A"/>
    <w:rsid w:val="00D90396"/>
    <w:rsid w:val="00D90B42"/>
    <w:rsid w:val="00D90B44"/>
    <w:rsid w:val="00D91F3E"/>
    <w:rsid w:val="00D91FDE"/>
    <w:rsid w:val="00D929F8"/>
    <w:rsid w:val="00D93A89"/>
    <w:rsid w:val="00D94349"/>
    <w:rsid w:val="00D94B3D"/>
    <w:rsid w:val="00D954A9"/>
    <w:rsid w:val="00D97037"/>
    <w:rsid w:val="00D975A4"/>
    <w:rsid w:val="00D97683"/>
    <w:rsid w:val="00DA1338"/>
    <w:rsid w:val="00DA183E"/>
    <w:rsid w:val="00DA1C63"/>
    <w:rsid w:val="00DA288D"/>
    <w:rsid w:val="00DA2E02"/>
    <w:rsid w:val="00DA67E6"/>
    <w:rsid w:val="00DA7DEE"/>
    <w:rsid w:val="00DB1F07"/>
    <w:rsid w:val="00DB35AC"/>
    <w:rsid w:val="00DB5034"/>
    <w:rsid w:val="00DC0283"/>
    <w:rsid w:val="00DC04B3"/>
    <w:rsid w:val="00DC06A7"/>
    <w:rsid w:val="00DC06B1"/>
    <w:rsid w:val="00DC110A"/>
    <w:rsid w:val="00DC23B9"/>
    <w:rsid w:val="00DC27BC"/>
    <w:rsid w:val="00DC29AE"/>
    <w:rsid w:val="00DC2CDF"/>
    <w:rsid w:val="00DC4526"/>
    <w:rsid w:val="00DC496C"/>
    <w:rsid w:val="00DC5420"/>
    <w:rsid w:val="00DC5598"/>
    <w:rsid w:val="00DC5BCA"/>
    <w:rsid w:val="00DC5EE5"/>
    <w:rsid w:val="00DC6566"/>
    <w:rsid w:val="00DC7E62"/>
    <w:rsid w:val="00DD078A"/>
    <w:rsid w:val="00DD22CE"/>
    <w:rsid w:val="00DD67B2"/>
    <w:rsid w:val="00DD6DBD"/>
    <w:rsid w:val="00DD7507"/>
    <w:rsid w:val="00DD79F2"/>
    <w:rsid w:val="00DD7CD2"/>
    <w:rsid w:val="00DE1D90"/>
    <w:rsid w:val="00DE24F6"/>
    <w:rsid w:val="00DE260C"/>
    <w:rsid w:val="00DE3EC1"/>
    <w:rsid w:val="00DE4128"/>
    <w:rsid w:val="00DF0368"/>
    <w:rsid w:val="00DF0E36"/>
    <w:rsid w:val="00DF12E2"/>
    <w:rsid w:val="00DF4F33"/>
    <w:rsid w:val="00DF4FAF"/>
    <w:rsid w:val="00DF558B"/>
    <w:rsid w:val="00DF6989"/>
    <w:rsid w:val="00DF6CA5"/>
    <w:rsid w:val="00DF7367"/>
    <w:rsid w:val="00E0280F"/>
    <w:rsid w:val="00E0333D"/>
    <w:rsid w:val="00E03506"/>
    <w:rsid w:val="00E03620"/>
    <w:rsid w:val="00E0445A"/>
    <w:rsid w:val="00E05176"/>
    <w:rsid w:val="00E055E0"/>
    <w:rsid w:val="00E056C0"/>
    <w:rsid w:val="00E05F54"/>
    <w:rsid w:val="00E06374"/>
    <w:rsid w:val="00E067B3"/>
    <w:rsid w:val="00E07276"/>
    <w:rsid w:val="00E10777"/>
    <w:rsid w:val="00E1190C"/>
    <w:rsid w:val="00E11E52"/>
    <w:rsid w:val="00E120DC"/>
    <w:rsid w:val="00E123F7"/>
    <w:rsid w:val="00E15909"/>
    <w:rsid w:val="00E161FB"/>
    <w:rsid w:val="00E164CE"/>
    <w:rsid w:val="00E16C3D"/>
    <w:rsid w:val="00E16E1E"/>
    <w:rsid w:val="00E17A39"/>
    <w:rsid w:val="00E21221"/>
    <w:rsid w:val="00E21402"/>
    <w:rsid w:val="00E21B4B"/>
    <w:rsid w:val="00E23388"/>
    <w:rsid w:val="00E244B7"/>
    <w:rsid w:val="00E24765"/>
    <w:rsid w:val="00E24826"/>
    <w:rsid w:val="00E24DE7"/>
    <w:rsid w:val="00E256DE"/>
    <w:rsid w:val="00E25AEF"/>
    <w:rsid w:val="00E26471"/>
    <w:rsid w:val="00E2649A"/>
    <w:rsid w:val="00E277FA"/>
    <w:rsid w:val="00E279CB"/>
    <w:rsid w:val="00E27BC9"/>
    <w:rsid w:val="00E30209"/>
    <w:rsid w:val="00E31F7B"/>
    <w:rsid w:val="00E341B1"/>
    <w:rsid w:val="00E342DC"/>
    <w:rsid w:val="00E34DB2"/>
    <w:rsid w:val="00E36624"/>
    <w:rsid w:val="00E36DA7"/>
    <w:rsid w:val="00E400D7"/>
    <w:rsid w:val="00E41FB3"/>
    <w:rsid w:val="00E4383B"/>
    <w:rsid w:val="00E443F1"/>
    <w:rsid w:val="00E447C4"/>
    <w:rsid w:val="00E44F00"/>
    <w:rsid w:val="00E46C5C"/>
    <w:rsid w:val="00E47A9E"/>
    <w:rsid w:val="00E508F8"/>
    <w:rsid w:val="00E514CD"/>
    <w:rsid w:val="00E51CC7"/>
    <w:rsid w:val="00E544A7"/>
    <w:rsid w:val="00E5619E"/>
    <w:rsid w:val="00E5712D"/>
    <w:rsid w:val="00E57CF6"/>
    <w:rsid w:val="00E57F6D"/>
    <w:rsid w:val="00E60CB1"/>
    <w:rsid w:val="00E60D14"/>
    <w:rsid w:val="00E61A97"/>
    <w:rsid w:val="00E62640"/>
    <w:rsid w:val="00E6383F"/>
    <w:rsid w:val="00E64D51"/>
    <w:rsid w:val="00E66155"/>
    <w:rsid w:val="00E66711"/>
    <w:rsid w:val="00E7175C"/>
    <w:rsid w:val="00E717B7"/>
    <w:rsid w:val="00E72322"/>
    <w:rsid w:val="00E72972"/>
    <w:rsid w:val="00E74C5B"/>
    <w:rsid w:val="00E7533F"/>
    <w:rsid w:val="00E76640"/>
    <w:rsid w:val="00E76C99"/>
    <w:rsid w:val="00E81366"/>
    <w:rsid w:val="00E816C2"/>
    <w:rsid w:val="00E831C5"/>
    <w:rsid w:val="00E83D76"/>
    <w:rsid w:val="00E84B8F"/>
    <w:rsid w:val="00E85ECD"/>
    <w:rsid w:val="00E87043"/>
    <w:rsid w:val="00E87A6A"/>
    <w:rsid w:val="00E87E6C"/>
    <w:rsid w:val="00E9019B"/>
    <w:rsid w:val="00E903DF"/>
    <w:rsid w:val="00E917F1"/>
    <w:rsid w:val="00E9313F"/>
    <w:rsid w:val="00E933B8"/>
    <w:rsid w:val="00E93647"/>
    <w:rsid w:val="00E94F79"/>
    <w:rsid w:val="00E96D8D"/>
    <w:rsid w:val="00E96F53"/>
    <w:rsid w:val="00EA0913"/>
    <w:rsid w:val="00EA1183"/>
    <w:rsid w:val="00EA1491"/>
    <w:rsid w:val="00EA151F"/>
    <w:rsid w:val="00EA1D2E"/>
    <w:rsid w:val="00EA2900"/>
    <w:rsid w:val="00EA2B5E"/>
    <w:rsid w:val="00EA520D"/>
    <w:rsid w:val="00EA542E"/>
    <w:rsid w:val="00EA59AF"/>
    <w:rsid w:val="00EA6FF3"/>
    <w:rsid w:val="00EB0493"/>
    <w:rsid w:val="00EB0A27"/>
    <w:rsid w:val="00EB1573"/>
    <w:rsid w:val="00EB1C56"/>
    <w:rsid w:val="00EB4016"/>
    <w:rsid w:val="00EB4A40"/>
    <w:rsid w:val="00EB5DC6"/>
    <w:rsid w:val="00EB7FF8"/>
    <w:rsid w:val="00EC0557"/>
    <w:rsid w:val="00EC0C73"/>
    <w:rsid w:val="00EC0FEF"/>
    <w:rsid w:val="00EC46DA"/>
    <w:rsid w:val="00EC675A"/>
    <w:rsid w:val="00EC73A9"/>
    <w:rsid w:val="00EC757F"/>
    <w:rsid w:val="00ED0FED"/>
    <w:rsid w:val="00ED116E"/>
    <w:rsid w:val="00ED2120"/>
    <w:rsid w:val="00ED24CE"/>
    <w:rsid w:val="00ED380B"/>
    <w:rsid w:val="00ED533E"/>
    <w:rsid w:val="00EE041A"/>
    <w:rsid w:val="00EE12D1"/>
    <w:rsid w:val="00EE1F0B"/>
    <w:rsid w:val="00EE2EF9"/>
    <w:rsid w:val="00EE435D"/>
    <w:rsid w:val="00EE4A83"/>
    <w:rsid w:val="00EE5DB0"/>
    <w:rsid w:val="00EE6078"/>
    <w:rsid w:val="00EE6DBA"/>
    <w:rsid w:val="00EE7E7B"/>
    <w:rsid w:val="00EF1E38"/>
    <w:rsid w:val="00EF2130"/>
    <w:rsid w:val="00EF22C4"/>
    <w:rsid w:val="00EF263F"/>
    <w:rsid w:val="00EF2C8A"/>
    <w:rsid w:val="00EF478C"/>
    <w:rsid w:val="00EF5867"/>
    <w:rsid w:val="00EF7430"/>
    <w:rsid w:val="00EF7627"/>
    <w:rsid w:val="00F00917"/>
    <w:rsid w:val="00F01827"/>
    <w:rsid w:val="00F03495"/>
    <w:rsid w:val="00F0401E"/>
    <w:rsid w:val="00F066A9"/>
    <w:rsid w:val="00F0725B"/>
    <w:rsid w:val="00F10D82"/>
    <w:rsid w:val="00F10DCB"/>
    <w:rsid w:val="00F11F0A"/>
    <w:rsid w:val="00F12205"/>
    <w:rsid w:val="00F14556"/>
    <w:rsid w:val="00F14847"/>
    <w:rsid w:val="00F14F26"/>
    <w:rsid w:val="00F15C0A"/>
    <w:rsid w:val="00F20C4D"/>
    <w:rsid w:val="00F21092"/>
    <w:rsid w:val="00F21E49"/>
    <w:rsid w:val="00F22356"/>
    <w:rsid w:val="00F226B5"/>
    <w:rsid w:val="00F24B8D"/>
    <w:rsid w:val="00F255F3"/>
    <w:rsid w:val="00F256DD"/>
    <w:rsid w:val="00F26B32"/>
    <w:rsid w:val="00F26B44"/>
    <w:rsid w:val="00F30068"/>
    <w:rsid w:val="00F30873"/>
    <w:rsid w:val="00F31C1D"/>
    <w:rsid w:val="00F31CC2"/>
    <w:rsid w:val="00F31F71"/>
    <w:rsid w:val="00F3259F"/>
    <w:rsid w:val="00F32A4F"/>
    <w:rsid w:val="00F32C47"/>
    <w:rsid w:val="00F34A3D"/>
    <w:rsid w:val="00F3581B"/>
    <w:rsid w:val="00F36C76"/>
    <w:rsid w:val="00F37C85"/>
    <w:rsid w:val="00F401DF"/>
    <w:rsid w:val="00F40635"/>
    <w:rsid w:val="00F4122B"/>
    <w:rsid w:val="00F41BE6"/>
    <w:rsid w:val="00F41D5B"/>
    <w:rsid w:val="00F4337C"/>
    <w:rsid w:val="00F43CF7"/>
    <w:rsid w:val="00F44678"/>
    <w:rsid w:val="00F4508F"/>
    <w:rsid w:val="00F46868"/>
    <w:rsid w:val="00F47022"/>
    <w:rsid w:val="00F4723B"/>
    <w:rsid w:val="00F47C93"/>
    <w:rsid w:val="00F47D06"/>
    <w:rsid w:val="00F503A1"/>
    <w:rsid w:val="00F50B82"/>
    <w:rsid w:val="00F524A9"/>
    <w:rsid w:val="00F52703"/>
    <w:rsid w:val="00F52823"/>
    <w:rsid w:val="00F531D0"/>
    <w:rsid w:val="00F54B71"/>
    <w:rsid w:val="00F55A02"/>
    <w:rsid w:val="00F56447"/>
    <w:rsid w:val="00F61096"/>
    <w:rsid w:val="00F617A8"/>
    <w:rsid w:val="00F618DC"/>
    <w:rsid w:val="00F6205D"/>
    <w:rsid w:val="00F63DC0"/>
    <w:rsid w:val="00F6430D"/>
    <w:rsid w:val="00F649EE"/>
    <w:rsid w:val="00F64C84"/>
    <w:rsid w:val="00F64E6C"/>
    <w:rsid w:val="00F65899"/>
    <w:rsid w:val="00F66194"/>
    <w:rsid w:val="00F66BCF"/>
    <w:rsid w:val="00F67EB1"/>
    <w:rsid w:val="00F70465"/>
    <w:rsid w:val="00F7127A"/>
    <w:rsid w:val="00F71C93"/>
    <w:rsid w:val="00F75221"/>
    <w:rsid w:val="00F75793"/>
    <w:rsid w:val="00F77723"/>
    <w:rsid w:val="00F8055E"/>
    <w:rsid w:val="00F82BD2"/>
    <w:rsid w:val="00F82C14"/>
    <w:rsid w:val="00F843FD"/>
    <w:rsid w:val="00F87161"/>
    <w:rsid w:val="00F906C1"/>
    <w:rsid w:val="00F911E2"/>
    <w:rsid w:val="00F91755"/>
    <w:rsid w:val="00F93989"/>
    <w:rsid w:val="00F9749A"/>
    <w:rsid w:val="00F975D6"/>
    <w:rsid w:val="00F97DD3"/>
    <w:rsid w:val="00FA1F82"/>
    <w:rsid w:val="00FA2AF9"/>
    <w:rsid w:val="00FA44C5"/>
    <w:rsid w:val="00FA454A"/>
    <w:rsid w:val="00FA4A49"/>
    <w:rsid w:val="00FA711E"/>
    <w:rsid w:val="00FA7C9E"/>
    <w:rsid w:val="00FA7DD2"/>
    <w:rsid w:val="00FB1BC5"/>
    <w:rsid w:val="00FB2454"/>
    <w:rsid w:val="00FB36B1"/>
    <w:rsid w:val="00FB3D44"/>
    <w:rsid w:val="00FB4F1D"/>
    <w:rsid w:val="00FB5131"/>
    <w:rsid w:val="00FB5A24"/>
    <w:rsid w:val="00FB5CA8"/>
    <w:rsid w:val="00FB61A8"/>
    <w:rsid w:val="00FB66D9"/>
    <w:rsid w:val="00FC0F33"/>
    <w:rsid w:val="00FC0F90"/>
    <w:rsid w:val="00FC2CDA"/>
    <w:rsid w:val="00FC4514"/>
    <w:rsid w:val="00FC466E"/>
    <w:rsid w:val="00FC58B8"/>
    <w:rsid w:val="00FC5C98"/>
    <w:rsid w:val="00FC5D03"/>
    <w:rsid w:val="00FC696D"/>
    <w:rsid w:val="00FC72AC"/>
    <w:rsid w:val="00FD1696"/>
    <w:rsid w:val="00FD1F7D"/>
    <w:rsid w:val="00FD24C3"/>
    <w:rsid w:val="00FD29C6"/>
    <w:rsid w:val="00FD2B8A"/>
    <w:rsid w:val="00FD3027"/>
    <w:rsid w:val="00FD3438"/>
    <w:rsid w:val="00FE053B"/>
    <w:rsid w:val="00FE0CCD"/>
    <w:rsid w:val="00FE1949"/>
    <w:rsid w:val="00FE25E5"/>
    <w:rsid w:val="00FE47B1"/>
    <w:rsid w:val="00FE5505"/>
    <w:rsid w:val="00FE64BB"/>
    <w:rsid w:val="00FF0F3B"/>
    <w:rsid w:val="00FF2442"/>
    <w:rsid w:val="00FF2EDA"/>
    <w:rsid w:val="00FF32DC"/>
    <w:rsid w:val="00FF4336"/>
    <w:rsid w:val="00FF49ED"/>
    <w:rsid w:val="00FF5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BB2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6D"/>
    <w:pPr>
      <w:spacing w:after="240" w:line="280" w:lineRule="exact"/>
      <w:jc w:val="both"/>
    </w:pPr>
    <w:rPr>
      <w:rFonts w:ascii="Calibri" w:hAnsi="Calibri"/>
      <w:color w:val="000000"/>
      <w:sz w:val="22"/>
    </w:rPr>
  </w:style>
  <w:style w:type="paragraph" w:styleId="Heading1">
    <w:name w:val="heading 1"/>
    <w:basedOn w:val="HeadingBase"/>
    <w:next w:val="OutlineNumbered1"/>
    <w:link w:val="Heading1Char"/>
    <w:qFormat/>
    <w:rsid w:val="004C5D21"/>
    <w:pPr>
      <w:pBdr>
        <w:bottom w:val="single" w:sz="6" w:space="13" w:color="28467D"/>
      </w:pBdr>
      <w:spacing w:after="400"/>
      <w:outlineLvl w:val="0"/>
    </w:pPr>
    <w:rPr>
      <w:rFonts w:ascii="Calibri" w:hAnsi="Calibri" w:cs="Arial"/>
      <w:b/>
      <w:bCs/>
      <w:caps/>
      <w:kern w:val="32"/>
      <w:sz w:val="40"/>
      <w:szCs w:val="36"/>
    </w:rPr>
  </w:style>
  <w:style w:type="paragraph" w:styleId="Heading2">
    <w:name w:val="heading 2"/>
    <w:basedOn w:val="HeadingBase"/>
    <w:next w:val="OutlineNumbered1"/>
    <w:link w:val="Heading2Char"/>
    <w:qFormat/>
    <w:rsid w:val="00D36E6D"/>
    <w:pPr>
      <w:spacing w:before="300" w:after="240"/>
      <w:outlineLvl w:val="1"/>
    </w:pPr>
    <w:rPr>
      <w:rFonts w:ascii="Calibri" w:hAnsi="Calibri" w:cs="Arial"/>
      <w:b/>
      <w:bCs/>
      <w:iCs/>
      <w:caps/>
      <w:sz w:val="32"/>
      <w:szCs w:val="28"/>
    </w:rPr>
  </w:style>
  <w:style w:type="paragraph" w:styleId="Heading3">
    <w:name w:val="heading 3"/>
    <w:basedOn w:val="HeadingBase"/>
    <w:next w:val="OutlineNumbered1"/>
    <w:qFormat/>
    <w:rsid w:val="00D36E6D"/>
    <w:pPr>
      <w:spacing w:before="120" w:after="240"/>
      <w:outlineLvl w:val="2"/>
    </w:pPr>
    <w:rPr>
      <w:rFonts w:ascii="Calibri" w:hAnsi="Calibri" w:cs="Arial"/>
      <w:b/>
      <w:bCs/>
      <w:sz w:val="28"/>
      <w:szCs w:val="26"/>
    </w:rPr>
  </w:style>
  <w:style w:type="paragraph" w:styleId="Heading4">
    <w:name w:val="heading 4"/>
    <w:basedOn w:val="HeadingBase"/>
    <w:next w:val="OutlineNumbered1"/>
    <w:qFormat/>
    <w:rsid w:val="003E6BB1"/>
    <w:pPr>
      <w:spacing w:after="240"/>
      <w:outlineLvl w:val="3"/>
    </w:pPr>
    <w:rPr>
      <w:rFonts w:ascii="Calibri" w:hAnsi="Calibri" w:cs="Calibri"/>
      <w:b/>
      <w:caps/>
      <w:sz w:val="26"/>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D36E6D"/>
    <w:rPr>
      <w:b/>
      <w:color w:val="1F497D" w:themeColor="text2"/>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uiPriority w:val="59"/>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link w:val="FootnoteTextChar"/>
    <w:uiPriority w:val="99"/>
    <w:rsid w:val="003E6BB1"/>
    <w:pPr>
      <w:tabs>
        <w:tab w:val="left" w:pos="284"/>
      </w:tabs>
      <w:spacing w:after="0" w:line="240" w:lineRule="auto"/>
      <w:ind w:left="284" w:hanging="284"/>
    </w:pPr>
    <w:rPr>
      <w:sz w:val="18"/>
    </w:rPr>
  </w:style>
  <w:style w:type="paragraph" w:customStyle="1" w:styleId="Bullet">
    <w:name w:val="Bullet"/>
    <w:aliases w:val="b,b + line,b1,Body,level 1,Bullet + line"/>
    <w:basedOn w:val="Normal"/>
    <w:link w:val="BulletChar"/>
    <w:qFormat/>
    <w:rsid w:val="004C5D21"/>
    <w:pPr>
      <w:numPr>
        <w:numId w:val="1"/>
      </w:numPr>
      <w:tabs>
        <w:tab w:val="clear" w:pos="520"/>
        <w:tab w:val="num" w:pos="397"/>
      </w:tabs>
      <w:ind w:left="397" w:hanging="397"/>
    </w:pPr>
  </w:style>
  <w:style w:type="paragraph" w:customStyle="1" w:styleId="Dash">
    <w:name w:val="Dash"/>
    <w:basedOn w:val="Normal"/>
    <w:rsid w:val="000A7BCF"/>
    <w:pPr>
      <w:numPr>
        <w:ilvl w:val="1"/>
        <w:numId w:val="1"/>
      </w:numPr>
    </w:pPr>
  </w:style>
  <w:style w:type="paragraph" w:customStyle="1" w:styleId="DoubleDot">
    <w:name w:val="Double Dot"/>
    <w:basedOn w:val="Normal"/>
    <w:rsid w:val="000A7BCF"/>
    <w:pPr>
      <w:numPr>
        <w:ilvl w:val="2"/>
        <w:numId w:val="1"/>
      </w:numPr>
    </w:pPr>
  </w:style>
  <w:style w:type="paragraph" w:customStyle="1" w:styleId="OutlineNumbered1">
    <w:name w:val="Outline Numbered 1"/>
    <w:basedOn w:val="Normal"/>
    <w:rsid w:val="001E43D3"/>
    <w:pPr>
      <w:numPr>
        <w:numId w:val="9"/>
      </w:numPr>
    </w:pPr>
  </w:style>
  <w:style w:type="paragraph" w:customStyle="1" w:styleId="OutlineNumbered2">
    <w:name w:val="Outline Numbered 2"/>
    <w:basedOn w:val="Normal"/>
    <w:rsid w:val="001E43D3"/>
    <w:pPr>
      <w:numPr>
        <w:ilvl w:val="1"/>
        <w:numId w:val="9"/>
      </w:numPr>
    </w:pPr>
  </w:style>
  <w:style w:type="paragraph" w:customStyle="1" w:styleId="OutlineNumbered3">
    <w:name w:val="Outline Numbered 3"/>
    <w:basedOn w:val="Normal"/>
    <w:rsid w:val="001E43D3"/>
    <w:pPr>
      <w:numPr>
        <w:ilvl w:val="2"/>
        <w:numId w:val="9"/>
      </w:numPr>
    </w:pPr>
  </w:style>
  <w:style w:type="paragraph" w:customStyle="1" w:styleId="AlphaParagraph">
    <w:name w:val="Alpha Paragraph"/>
    <w:basedOn w:val="Normal"/>
    <w:rsid w:val="000A7BCF"/>
    <w:pPr>
      <w:numPr>
        <w:numId w:val="2"/>
      </w:numPr>
      <w:tabs>
        <w:tab w:val="clear" w:pos="567"/>
        <w:tab w:val="num" w:pos="283"/>
      </w:tabs>
      <w:ind w:left="283" w:hanging="283"/>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10"/>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3"/>
      </w:numPr>
      <w:jc w:val="both"/>
    </w:pPr>
    <w:rPr>
      <w:rFonts w:ascii="Arial" w:hAnsi="Arial"/>
      <w:color w:val="000000"/>
      <w:sz w:val="16"/>
      <w:szCs w:val="16"/>
    </w:rPr>
  </w:style>
  <w:style w:type="paragraph" w:customStyle="1" w:styleId="ChartGraphic">
    <w:name w:val="Chart Graphic"/>
    <w:basedOn w:val="HeadingBase"/>
    <w:rsid w:val="000A7BCF"/>
    <w:pPr>
      <w:jc w:val="center"/>
    </w:pPr>
  </w:style>
  <w:style w:type="paragraph" w:customStyle="1" w:styleId="ChartMainHeading">
    <w:name w:val="Chart Main Heading"/>
    <w:basedOn w:val="HeadingBase"/>
    <w:next w:val="ChartGraphic"/>
    <w:rsid w:val="006B06C9"/>
    <w:pPr>
      <w:spacing w:after="120"/>
      <w:jc w:val="center"/>
    </w:pPr>
    <w:rPr>
      <w:rFonts w:ascii="Calibri" w:eastAsiaTheme="majorEastAsia" w:hAnsi="Calibri"/>
      <w:b/>
      <w:caps/>
      <w:sz w:val="24"/>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link w:val="FooterChar"/>
    <w:rsid w:val="000A7BCF"/>
    <w:rPr>
      <w:sz w:val="18"/>
    </w:rPr>
  </w:style>
  <w:style w:type="paragraph" w:customStyle="1" w:styleId="ContentsHeading">
    <w:name w:val="Contents Heading"/>
    <w:basedOn w:val="Heading1"/>
    <w:next w:val="Normal"/>
    <w:rsid w:val="00C6593E"/>
    <w:pPr>
      <w:outlineLvl w:val="9"/>
    </w:pPr>
  </w:style>
  <w:style w:type="paragraph" w:customStyle="1" w:styleId="CoverTitleMain">
    <w:name w:val="Cover Title Main"/>
    <w:basedOn w:val="HeadingBase"/>
    <w:next w:val="Normal"/>
    <w:rsid w:val="00B67713"/>
    <w:pPr>
      <w:pBdr>
        <w:bottom w:val="single" w:sz="8" w:space="18" w:color="28467D"/>
      </w:pBdr>
      <w:spacing w:after="480"/>
      <w:jc w:val="center"/>
    </w:pPr>
    <w:rPr>
      <w:rFonts w:ascii="Calibri" w:hAnsi="Calibri"/>
      <w:b/>
      <w:caps/>
      <w:sz w:val="62"/>
      <w:szCs w:val="62"/>
    </w:rPr>
  </w:style>
  <w:style w:type="paragraph" w:customStyle="1" w:styleId="CoverTitleSub">
    <w:name w:val="Cover Title Sub"/>
    <w:basedOn w:val="HeadingBase"/>
    <w:rsid w:val="00B67713"/>
    <w:pPr>
      <w:spacing w:after="120"/>
      <w:jc w:val="right"/>
    </w:pPr>
    <w:rPr>
      <w:rFonts w:ascii="Calibri" w:hAnsi="Calibri"/>
      <w:caps/>
      <w:sz w:val="44"/>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C90C5D"/>
    <w:rPr>
      <w:rFonts w:ascii="Arial" w:hAnsi="Arial"/>
    </w:rPr>
  </w:style>
  <w:style w:type="paragraph" w:customStyle="1" w:styleId="FooterOdd">
    <w:name w:val="Footer Odd"/>
    <w:basedOn w:val="Footer"/>
    <w:rsid w:val="00983CA9"/>
    <w:pPr>
      <w:jc w:val="right"/>
    </w:pPr>
    <w:rPr>
      <w:rFonts w:ascii="Arial" w:hAnsi="Arial"/>
    </w:r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983CA9"/>
    <w:rPr>
      <w:rFonts w:ascii="Arial" w:hAnsi="Arial"/>
    </w:rPr>
  </w:style>
  <w:style w:type="paragraph" w:customStyle="1" w:styleId="HeaderOdd">
    <w:name w:val="Header Odd"/>
    <w:basedOn w:val="Header"/>
    <w:rsid w:val="00983CA9"/>
    <w:pPr>
      <w:jc w:val="right"/>
    </w:pPr>
    <w:rPr>
      <w:rFonts w:ascii="Arial" w:hAnsi="Arial"/>
    </w:r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7"/>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0A7BCF"/>
    <w:pPr>
      <w:jc w:val="center"/>
    </w:pPr>
    <w:rPr>
      <w:b/>
    </w:rPr>
  </w:style>
  <w:style w:type="paragraph" w:customStyle="1" w:styleId="TableColumnHeadingLeft">
    <w:name w:val="Table Column Heading Left"/>
    <w:basedOn w:val="TableTextBase"/>
    <w:rsid w:val="000A7BCF"/>
    <w:rPr>
      <w:b/>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0A7BCF"/>
    <w:pPr>
      <w:jc w:val="center"/>
    </w:p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983CA9"/>
    <w:pPr>
      <w:spacing w:line="260" w:lineRule="exact"/>
    </w:pPr>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AD4715"/>
    <w:pPr>
      <w:tabs>
        <w:tab w:val="right" w:leader="dot" w:pos="9072"/>
      </w:tabs>
      <w:spacing w:before="120" w:after="60"/>
      <w:ind w:right="851"/>
    </w:pPr>
    <w:rPr>
      <w:rFonts w:ascii="Calibri" w:hAnsi="Calibri"/>
      <w:b/>
      <w:caps/>
      <w:sz w:val="24"/>
      <w:szCs w:val="22"/>
    </w:rPr>
  </w:style>
  <w:style w:type="paragraph" w:styleId="TOC2">
    <w:name w:val="toc 2"/>
    <w:basedOn w:val="HeadingBase"/>
    <w:next w:val="Normal"/>
    <w:uiPriority w:val="39"/>
    <w:rsid w:val="00983CA9"/>
    <w:pPr>
      <w:tabs>
        <w:tab w:val="right" w:leader="dot" w:pos="9072"/>
      </w:tabs>
      <w:spacing w:before="60"/>
      <w:ind w:left="170" w:right="851"/>
    </w:pPr>
    <w:rPr>
      <w:rFonts w:ascii="Calibri" w:hAnsi="Calibri"/>
      <w:sz w:val="22"/>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0A7BCF"/>
    <w:pPr>
      <w:numPr>
        <w:numId w:val="5"/>
      </w:numPr>
    </w:pPr>
  </w:style>
  <w:style w:type="paragraph" w:customStyle="1" w:styleId="BoxText">
    <w:name w:val="Box Text"/>
    <w:basedOn w:val="BoxTextBase"/>
    <w:rsid w:val="004C5D21"/>
    <w:pPr>
      <w:spacing w:before="120" w:after="120" w:line="280" w:lineRule="exact"/>
    </w:pPr>
    <w:rPr>
      <w:color w:val="auto"/>
    </w:rPr>
  </w:style>
  <w:style w:type="paragraph" w:customStyle="1" w:styleId="BoxBullet">
    <w:name w:val="Box Bullet"/>
    <w:basedOn w:val="BoxTextBase"/>
    <w:rsid w:val="000A7BCF"/>
    <w:pPr>
      <w:numPr>
        <w:numId w:val="4"/>
      </w:numPr>
    </w:pPr>
  </w:style>
  <w:style w:type="paragraph" w:customStyle="1" w:styleId="BoxDash">
    <w:name w:val="Box Dash"/>
    <w:basedOn w:val="BoxTextBase"/>
    <w:rsid w:val="000A7BCF"/>
    <w:pPr>
      <w:numPr>
        <w:ilvl w:val="1"/>
        <w:numId w:val="4"/>
      </w:numPr>
    </w:pPr>
  </w:style>
  <w:style w:type="paragraph" w:customStyle="1" w:styleId="BoxDoubleDot">
    <w:name w:val="Box Double Dot"/>
    <w:basedOn w:val="BoxTextBase"/>
    <w:rsid w:val="000A7BCF"/>
    <w:pPr>
      <w:numPr>
        <w:ilvl w:val="2"/>
        <w:numId w:val="4"/>
      </w:numPr>
    </w:pPr>
  </w:style>
  <w:style w:type="paragraph" w:customStyle="1" w:styleId="RecommendationBullet">
    <w:name w:val="Recommendation Bullet"/>
    <w:basedOn w:val="RecommendationTextBase"/>
    <w:rsid w:val="000A7BCF"/>
    <w:pPr>
      <w:numPr>
        <w:numId w:val="6"/>
      </w:numPr>
    </w:pPr>
  </w:style>
  <w:style w:type="paragraph" w:customStyle="1" w:styleId="RecommendationDash">
    <w:name w:val="Recommendation Dash"/>
    <w:basedOn w:val="RecommendationTextBase"/>
    <w:rsid w:val="000A7BCF"/>
    <w:pPr>
      <w:numPr>
        <w:ilvl w:val="1"/>
        <w:numId w:val="6"/>
      </w:numPr>
    </w:pPr>
  </w:style>
  <w:style w:type="paragraph" w:customStyle="1" w:styleId="RecommendationDoubleDot">
    <w:name w:val="Recommendation Double Dot"/>
    <w:basedOn w:val="RecommendationTextBase"/>
    <w:rsid w:val="000A7BCF"/>
    <w:pPr>
      <w:numPr>
        <w:ilvl w:val="2"/>
        <w:numId w:val="6"/>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4C5D21"/>
    <w:pPr>
      <w:numPr>
        <w:numId w:val="0"/>
      </w:numPr>
    </w:pPr>
    <w:rPr>
      <w:rFonts w:ascii="Calibri" w:hAnsi="Calibri"/>
      <w:caps/>
      <w:sz w:val="24"/>
    </w:r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pPr>
      <w:numPr>
        <w:numId w:val="8"/>
      </w:numPr>
    </w:pPr>
  </w:style>
  <w:style w:type="numbering" w:customStyle="1" w:styleId="Optionboxheading">
    <w:name w:val="Option box heading"/>
    <w:uiPriority w:val="99"/>
    <w:rsid w:val="00CA601E"/>
    <w:pPr>
      <w:numPr>
        <w:numId w:val="14"/>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character" w:customStyle="1" w:styleId="BulletChar">
    <w:name w:val="Bullet Char"/>
    <w:aliases w:val="b + line Char Char,b Char,b Char Char,b1 Char,b + line Char,Body Char,level 1 Char,Bulleted Para Char,Bullets Char,FooterText Char,L Char,List Paragraph Char,List Paragraph1 Char,List Paragraph11 Char,List Paragraph2 Char,Number Char"/>
    <w:basedOn w:val="DefaultParagraphFont"/>
    <w:link w:val="Bullet"/>
    <w:qFormat/>
    <w:rsid w:val="004C5D21"/>
    <w:rPr>
      <w:rFonts w:ascii="Calibri" w:hAnsi="Calibri"/>
      <w:color w:val="000000"/>
      <w:sz w:val="22"/>
    </w:rPr>
  </w:style>
  <w:style w:type="paragraph" w:styleId="ListParagraph">
    <w:name w:val="List Paragraph"/>
    <w:basedOn w:val="Normal"/>
    <w:uiPriority w:val="34"/>
    <w:qFormat/>
    <w:rsid w:val="008D3BA2"/>
    <w:pPr>
      <w:spacing w:after="200" w:line="276" w:lineRule="auto"/>
      <w:ind w:left="720"/>
      <w:contextualSpacing/>
      <w:jc w:val="left"/>
    </w:pPr>
    <w:rPr>
      <w:rFonts w:asciiTheme="minorHAnsi" w:eastAsiaTheme="minorHAnsi" w:hAnsiTheme="minorHAnsi" w:cstheme="minorBidi"/>
      <w:color w:val="auto"/>
      <w:szCs w:val="22"/>
      <w:lang w:eastAsia="en-US"/>
    </w:rPr>
  </w:style>
  <w:style w:type="character" w:styleId="CommentReference">
    <w:name w:val="annotation reference"/>
    <w:basedOn w:val="DefaultParagraphFont"/>
    <w:uiPriority w:val="99"/>
    <w:semiHidden/>
    <w:unhideWhenUsed/>
    <w:rsid w:val="008D3BA2"/>
    <w:rPr>
      <w:sz w:val="16"/>
      <w:szCs w:val="16"/>
    </w:rPr>
  </w:style>
  <w:style w:type="paragraph" w:styleId="CommentText">
    <w:name w:val="annotation text"/>
    <w:basedOn w:val="Normal"/>
    <w:link w:val="CommentTextChar"/>
    <w:uiPriority w:val="99"/>
    <w:semiHidden/>
    <w:unhideWhenUsed/>
    <w:rsid w:val="008D3BA2"/>
    <w:pPr>
      <w:spacing w:after="200" w:line="240" w:lineRule="auto"/>
      <w:jc w:val="left"/>
    </w:pPr>
    <w:rPr>
      <w:rFonts w:asciiTheme="minorHAnsi" w:eastAsiaTheme="minorHAnsi" w:hAnsiTheme="minorHAnsi" w:cstheme="minorBidi"/>
      <w:color w:val="auto"/>
      <w:sz w:val="20"/>
      <w:lang w:eastAsia="en-US"/>
    </w:rPr>
  </w:style>
  <w:style w:type="character" w:customStyle="1" w:styleId="CommentTextChar">
    <w:name w:val="Comment Text Char"/>
    <w:basedOn w:val="DefaultParagraphFont"/>
    <w:link w:val="CommentText"/>
    <w:uiPriority w:val="99"/>
    <w:semiHidden/>
    <w:rsid w:val="008D3BA2"/>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3E6BB1"/>
    <w:rPr>
      <w:rFonts w:ascii="Calibri" w:hAnsi="Calibri"/>
      <w:color w:val="000000"/>
      <w:sz w:val="18"/>
    </w:rPr>
  </w:style>
  <w:style w:type="character" w:styleId="FootnoteReference">
    <w:name w:val="footnote reference"/>
    <w:basedOn w:val="DefaultParagraphFont"/>
    <w:uiPriority w:val="99"/>
    <w:unhideWhenUsed/>
    <w:rsid w:val="008D3BA2"/>
    <w:rPr>
      <w:vertAlign w:val="superscript"/>
    </w:rPr>
  </w:style>
  <w:style w:type="paragraph" w:customStyle="1" w:styleId="RecommendationQuestionNumbering">
    <w:name w:val="Recommendation Question Numbering"/>
    <w:basedOn w:val="Normal"/>
    <w:qFormat/>
    <w:rsid w:val="00915FBA"/>
    <w:pPr>
      <w:numPr>
        <w:numId w:val="11"/>
      </w:numPr>
      <w:tabs>
        <w:tab w:val="left" w:pos="567"/>
      </w:tabs>
      <w:spacing w:after="180" w:line="300" w:lineRule="exact"/>
      <w:ind w:right="170"/>
    </w:pPr>
    <w:rPr>
      <w:color w:val="000080"/>
    </w:rPr>
  </w:style>
  <w:style w:type="paragraph" w:styleId="CommentSubject">
    <w:name w:val="annotation subject"/>
    <w:basedOn w:val="CommentText"/>
    <w:next w:val="CommentText"/>
    <w:link w:val="CommentSubjectChar"/>
    <w:uiPriority w:val="99"/>
    <w:semiHidden/>
    <w:unhideWhenUsed/>
    <w:rsid w:val="00C80798"/>
    <w:pPr>
      <w:spacing w:after="240"/>
      <w:jc w:val="both"/>
    </w:pPr>
    <w:rPr>
      <w:rFonts w:ascii="Book Antiqua" w:eastAsia="Times New Roman" w:hAnsi="Book Antiqua" w:cs="Times New Roman"/>
      <w:b/>
      <w:bCs/>
      <w:color w:val="000000"/>
      <w:lang w:eastAsia="en-AU"/>
    </w:rPr>
  </w:style>
  <w:style w:type="character" w:customStyle="1" w:styleId="CommentSubjectChar">
    <w:name w:val="Comment Subject Char"/>
    <w:basedOn w:val="CommentTextChar"/>
    <w:link w:val="CommentSubject"/>
    <w:uiPriority w:val="99"/>
    <w:semiHidden/>
    <w:rsid w:val="00C80798"/>
    <w:rPr>
      <w:rFonts w:ascii="Book Antiqua" w:eastAsiaTheme="minorHAnsi" w:hAnsi="Book Antiqua" w:cstheme="minorBidi"/>
      <w:b/>
      <w:bCs/>
      <w:color w:val="000000"/>
      <w:lang w:eastAsia="en-US"/>
    </w:rPr>
  </w:style>
  <w:style w:type="character" w:customStyle="1" w:styleId="FooterChar">
    <w:name w:val="Footer Char"/>
    <w:basedOn w:val="DefaultParagraphFont"/>
    <w:link w:val="Footer"/>
    <w:uiPriority w:val="99"/>
    <w:rsid w:val="002545E5"/>
    <w:rPr>
      <w:rFonts w:ascii="Century Gothic" w:hAnsi="Century Gothic"/>
      <w:color w:val="1F497D" w:themeColor="text2"/>
      <w:sz w:val="18"/>
    </w:rPr>
  </w:style>
  <w:style w:type="character" w:customStyle="1" w:styleId="Heading2Char">
    <w:name w:val="Heading 2 Char"/>
    <w:basedOn w:val="DefaultParagraphFont"/>
    <w:link w:val="Heading2"/>
    <w:rsid w:val="00D36E6D"/>
    <w:rPr>
      <w:rFonts w:ascii="Calibri" w:hAnsi="Calibri" w:cs="Arial"/>
      <w:b/>
      <w:bCs/>
      <w:iCs/>
      <w:caps/>
      <w:color w:val="1F497D" w:themeColor="text2"/>
      <w:sz w:val="32"/>
      <w:szCs w:val="28"/>
    </w:rPr>
  </w:style>
  <w:style w:type="paragraph" w:styleId="Revision">
    <w:name w:val="Revision"/>
    <w:hidden/>
    <w:uiPriority w:val="99"/>
    <w:semiHidden/>
    <w:rsid w:val="00CC2884"/>
    <w:rPr>
      <w:rFonts w:ascii="Book Antiqua" w:hAnsi="Book Antiqua"/>
      <w:color w:val="000000"/>
      <w:sz w:val="22"/>
    </w:rPr>
  </w:style>
  <w:style w:type="paragraph" w:styleId="EndnoteText">
    <w:name w:val="endnote text"/>
    <w:basedOn w:val="Normal"/>
    <w:link w:val="EndnoteTextChar"/>
    <w:uiPriority w:val="99"/>
    <w:semiHidden/>
    <w:unhideWhenUsed/>
    <w:rsid w:val="00DD078A"/>
    <w:pPr>
      <w:spacing w:after="0" w:line="240" w:lineRule="auto"/>
    </w:pPr>
    <w:rPr>
      <w:sz w:val="20"/>
    </w:rPr>
  </w:style>
  <w:style w:type="character" w:customStyle="1" w:styleId="EndnoteTextChar">
    <w:name w:val="Endnote Text Char"/>
    <w:basedOn w:val="DefaultParagraphFont"/>
    <w:link w:val="EndnoteText"/>
    <w:uiPriority w:val="99"/>
    <w:semiHidden/>
    <w:rsid w:val="00DD078A"/>
    <w:rPr>
      <w:rFonts w:ascii="Book Antiqua" w:hAnsi="Book Antiqua"/>
      <w:color w:val="000000"/>
    </w:rPr>
  </w:style>
  <w:style w:type="character" w:styleId="EndnoteReference">
    <w:name w:val="endnote reference"/>
    <w:basedOn w:val="DefaultParagraphFont"/>
    <w:uiPriority w:val="99"/>
    <w:semiHidden/>
    <w:unhideWhenUsed/>
    <w:rsid w:val="00DD078A"/>
    <w:rPr>
      <w:vertAlign w:val="superscript"/>
    </w:rPr>
  </w:style>
  <w:style w:type="table" w:customStyle="1" w:styleId="TableGrid1">
    <w:name w:val="Table Grid1"/>
    <w:basedOn w:val="TableNormal"/>
    <w:next w:val="TableGrid"/>
    <w:uiPriority w:val="59"/>
    <w:rsid w:val="006D0082"/>
    <w:pPr>
      <w:spacing w:after="240" w:line="260" w:lineRule="exact"/>
      <w:jc w:val="both"/>
    </w:pPr>
    <w:tblPr/>
    <w:tcPr>
      <w:shd w:val="clear" w:color="auto" w:fill="E6E6E6"/>
    </w:tcPr>
  </w:style>
  <w:style w:type="paragraph" w:styleId="NormalWeb">
    <w:name w:val="Normal (Web)"/>
    <w:basedOn w:val="Normal"/>
    <w:uiPriority w:val="99"/>
    <w:semiHidden/>
    <w:unhideWhenUsed/>
    <w:rsid w:val="00D444D5"/>
    <w:rPr>
      <w:rFonts w:ascii="Times New Roman" w:hAnsi="Times New Roman"/>
      <w:sz w:val="24"/>
      <w:szCs w:val="24"/>
    </w:rPr>
  </w:style>
  <w:style w:type="character" w:customStyle="1" w:styleId="Heading1Char">
    <w:name w:val="Heading 1 Char"/>
    <w:basedOn w:val="DefaultParagraphFont"/>
    <w:link w:val="Heading1"/>
    <w:rsid w:val="004C5D21"/>
    <w:rPr>
      <w:rFonts w:ascii="Calibri" w:hAnsi="Calibri" w:cs="Arial"/>
      <w:b/>
      <w:bCs/>
      <w:caps/>
      <w:color w:val="1F497D" w:themeColor="text2"/>
      <w:kern w:val="32"/>
      <w:sz w:val="40"/>
      <w:szCs w:val="36"/>
    </w:rPr>
  </w:style>
  <w:style w:type="paragraph" w:customStyle="1" w:styleId="BoxNumbering">
    <w:name w:val="Box Numbering"/>
    <w:basedOn w:val="BoxText"/>
    <w:rsid w:val="00C6593E"/>
    <w:pPr>
      <w:numPr>
        <w:numId w:val="12"/>
      </w:numPr>
      <w:tabs>
        <w:tab w:val="clear" w:pos="397"/>
        <w:tab w:val="left" w:pos="425"/>
      </w:tabs>
      <w:ind w:left="425" w:hanging="425"/>
    </w:pPr>
  </w:style>
  <w:style w:type="paragraph" w:customStyle="1" w:styleId="BoxAlpha-Indent">
    <w:name w:val="Box Alpha - Indent"/>
    <w:basedOn w:val="BoxNumbering"/>
    <w:rsid w:val="00C6593E"/>
    <w:pPr>
      <w:numPr>
        <w:numId w:val="13"/>
      </w:numPr>
      <w:tabs>
        <w:tab w:val="clear" w:pos="425"/>
        <w:tab w:val="clear" w:pos="794"/>
        <w:tab w:val="left" w:pos="851"/>
      </w:tabs>
      <w:ind w:left="850" w:hanging="425"/>
    </w:pPr>
  </w:style>
  <w:style w:type="paragraph" w:customStyle="1" w:styleId="TableColumnHeadingLeft-White">
    <w:name w:val="Table Column Heading Left - White"/>
    <w:basedOn w:val="TableColumnHeadingLeft"/>
    <w:rsid w:val="00983CA9"/>
    <w:pPr>
      <w:spacing w:before="80" w:after="80"/>
      <w:jc w:val="both"/>
    </w:pPr>
    <w:rPr>
      <w:color w:val="FFFFFF" w:themeColor="background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6D"/>
    <w:pPr>
      <w:spacing w:after="240" w:line="280" w:lineRule="exact"/>
      <w:jc w:val="both"/>
    </w:pPr>
    <w:rPr>
      <w:rFonts w:ascii="Calibri" w:hAnsi="Calibri"/>
      <w:color w:val="000000"/>
      <w:sz w:val="22"/>
    </w:rPr>
  </w:style>
  <w:style w:type="paragraph" w:styleId="Heading1">
    <w:name w:val="heading 1"/>
    <w:basedOn w:val="HeadingBase"/>
    <w:next w:val="OutlineNumbered1"/>
    <w:link w:val="Heading1Char"/>
    <w:qFormat/>
    <w:rsid w:val="004C5D21"/>
    <w:pPr>
      <w:pBdr>
        <w:bottom w:val="single" w:sz="6" w:space="13" w:color="28467D"/>
      </w:pBdr>
      <w:spacing w:after="400"/>
      <w:outlineLvl w:val="0"/>
    </w:pPr>
    <w:rPr>
      <w:rFonts w:ascii="Calibri" w:hAnsi="Calibri" w:cs="Arial"/>
      <w:b/>
      <w:bCs/>
      <w:caps/>
      <w:kern w:val="32"/>
      <w:sz w:val="40"/>
      <w:szCs w:val="36"/>
    </w:rPr>
  </w:style>
  <w:style w:type="paragraph" w:styleId="Heading2">
    <w:name w:val="heading 2"/>
    <w:basedOn w:val="HeadingBase"/>
    <w:next w:val="OutlineNumbered1"/>
    <w:link w:val="Heading2Char"/>
    <w:qFormat/>
    <w:rsid w:val="00D36E6D"/>
    <w:pPr>
      <w:spacing w:before="300" w:after="240"/>
      <w:outlineLvl w:val="1"/>
    </w:pPr>
    <w:rPr>
      <w:rFonts w:ascii="Calibri" w:hAnsi="Calibri" w:cs="Arial"/>
      <w:b/>
      <w:bCs/>
      <w:iCs/>
      <w:caps/>
      <w:sz w:val="32"/>
      <w:szCs w:val="28"/>
    </w:rPr>
  </w:style>
  <w:style w:type="paragraph" w:styleId="Heading3">
    <w:name w:val="heading 3"/>
    <w:basedOn w:val="HeadingBase"/>
    <w:next w:val="OutlineNumbered1"/>
    <w:qFormat/>
    <w:rsid w:val="00D36E6D"/>
    <w:pPr>
      <w:spacing w:before="120" w:after="240"/>
      <w:outlineLvl w:val="2"/>
    </w:pPr>
    <w:rPr>
      <w:rFonts w:ascii="Calibri" w:hAnsi="Calibri" w:cs="Arial"/>
      <w:b/>
      <w:bCs/>
      <w:sz w:val="28"/>
      <w:szCs w:val="26"/>
    </w:rPr>
  </w:style>
  <w:style w:type="paragraph" w:styleId="Heading4">
    <w:name w:val="heading 4"/>
    <w:basedOn w:val="HeadingBase"/>
    <w:next w:val="OutlineNumbered1"/>
    <w:qFormat/>
    <w:rsid w:val="003E6BB1"/>
    <w:pPr>
      <w:spacing w:after="240"/>
      <w:outlineLvl w:val="3"/>
    </w:pPr>
    <w:rPr>
      <w:rFonts w:ascii="Calibri" w:hAnsi="Calibri" w:cs="Calibri"/>
      <w:b/>
      <w:caps/>
      <w:sz w:val="26"/>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D36E6D"/>
    <w:rPr>
      <w:b/>
      <w:color w:val="1F497D" w:themeColor="text2"/>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uiPriority w:val="59"/>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link w:val="FootnoteTextChar"/>
    <w:uiPriority w:val="99"/>
    <w:rsid w:val="003E6BB1"/>
    <w:pPr>
      <w:tabs>
        <w:tab w:val="left" w:pos="284"/>
      </w:tabs>
      <w:spacing w:after="0" w:line="240" w:lineRule="auto"/>
      <w:ind w:left="284" w:hanging="284"/>
    </w:pPr>
    <w:rPr>
      <w:sz w:val="18"/>
    </w:rPr>
  </w:style>
  <w:style w:type="paragraph" w:customStyle="1" w:styleId="Bullet">
    <w:name w:val="Bullet"/>
    <w:aliases w:val="b,b + line,b1,Body,level 1,Bullet + line"/>
    <w:basedOn w:val="Normal"/>
    <w:link w:val="BulletChar"/>
    <w:qFormat/>
    <w:rsid w:val="004C5D21"/>
    <w:pPr>
      <w:numPr>
        <w:numId w:val="1"/>
      </w:numPr>
      <w:tabs>
        <w:tab w:val="clear" w:pos="520"/>
        <w:tab w:val="num" w:pos="397"/>
      </w:tabs>
      <w:ind w:left="397" w:hanging="397"/>
    </w:pPr>
  </w:style>
  <w:style w:type="paragraph" w:customStyle="1" w:styleId="Dash">
    <w:name w:val="Dash"/>
    <w:basedOn w:val="Normal"/>
    <w:rsid w:val="000A7BCF"/>
    <w:pPr>
      <w:numPr>
        <w:ilvl w:val="1"/>
        <w:numId w:val="1"/>
      </w:numPr>
    </w:pPr>
  </w:style>
  <w:style w:type="paragraph" w:customStyle="1" w:styleId="DoubleDot">
    <w:name w:val="Double Dot"/>
    <w:basedOn w:val="Normal"/>
    <w:rsid w:val="000A7BCF"/>
    <w:pPr>
      <w:numPr>
        <w:ilvl w:val="2"/>
        <w:numId w:val="1"/>
      </w:numPr>
    </w:pPr>
  </w:style>
  <w:style w:type="paragraph" w:customStyle="1" w:styleId="OutlineNumbered1">
    <w:name w:val="Outline Numbered 1"/>
    <w:basedOn w:val="Normal"/>
    <w:rsid w:val="001E43D3"/>
    <w:pPr>
      <w:numPr>
        <w:numId w:val="9"/>
      </w:numPr>
    </w:pPr>
  </w:style>
  <w:style w:type="paragraph" w:customStyle="1" w:styleId="OutlineNumbered2">
    <w:name w:val="Outline Numbered 2"/>
    <w:basedOn w:val="Normal"/>
    <w:rsid w:val="001E43D3"/>
    <w:pPr>
      <w:numPr>
        <w:ilvl w:val="1"/>
        <w:numId w:val="9"/>
      </w:numPr>
    </w:pPr>
  </w:style>
  <w:style w:type="paragraph" w:customStyle="1" w:styleId="OutlineNumbered3">
    <w:name w:val="Outline Numbered 3"/>
    <w:basedOn w:val="Normal"/>
    <w:rsid w:val="001E43D3"/>
    <w:pPr>
      <w:numPr>
        <w:ilvl w:val="2"/>
        <w:numId w:val="9"/>
      </w:numPr>
    </w:pPr>
  </w:style>
  <w:style w:type="paragraph" w:customStyle="1" w:styleId="AlphaParagraph">
    <w:name w:val="Alpha Paragraph"/>
    <w:basedOn w:val="Normal"/>
    <w:rsid w:val="000A7BCF"/>
    <w:pPr>
      <w:numPr>
        <w:numId w:val="2"/>
      </w:numPr>
      <w:tabs>
        <w:tab w:val="clear" w:pos="567"/>
        <w:tab w:val="num" w:pos="283"/>
      </w:tabs>
      <w:ind w:left="283" w:hanging="283"/>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10"/>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3"/>
      </w:numPr>
      <w:jc w:val="both"/>
    </w:pPr>
    <w:rPr>
      <w:rFonts w:ascii="Arial" w:hAnsi="Arial"/>
      <w:color w:val="000000"/>
      <w:sz w:val="16"/>
      <w:szCs w:val="16"/>
    </w:rPr>
  </w:style>
  <w:style w:type="paragraph" w:customStyle="1" w:styleId="ChartGraphic">
    <w:name w:val="Chart Graphic"/>
    <w:basedOn w:val="HeadingBase"/>
    <w:rsid w:val="000A7BCF"/>
    <w:pPr>
      <w:jc w:val="center"/>
    </w:pPr>
  </w:style>
  <w:style w:type="paragraph" w:customStyle="1" w:styleId="ChartMainHeading">
    <w:name w:val="Chart Main Heading"/>
    <w:basedOn w:val="HeadingBase"/>
    <w:next w:val="ChartGraphic"/>
    <w:rsid w:val="006B06C9"/>
    <w:pPr>
      <w:spacing w:after="120"/>
      <w:jc w:val="center"/>
    </w:pPr>
    <w:rPr>
      <w:rFonts w:ascii="Calibri" w:eastAsiaTheme="majorEastAsia" w:hAnsi="Calibri"/>
      <w:b/>
      <w:caps/>
      <w:sz w:val="24"/>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link w:val="FooterChar"/>
    <w:rsid w:val="000A7BCF"/>
    <w:rPr>
      <w:sz w:val="18"/>
    </w:rPr>
  </w:style>
  <w:style w:type="paragraph" w:customStyle="1" w:styleId="ContentsHeading">
    <w:name w:val="Contents Heading"/>
    <w:basedOn w:val="Heading1"/>
    <w:next w:val="Normal"/>
    <w:rsid w:val="00C6593E"/>
    <w:pPr>
      <w:outlineLvl w:val="9"/>
    </w:pPr>
  </w:style>
  <w:style w:type="paragraph" w:customStyle="1" w:styleId="CoverTitleMain">
    <w:name w:val="Cover Title Main"/>
    <w:basedOn w:val="HeadingBase"/>
    <w:next w:val="Normal"/>
    <w:rsid w:val="00B67713"/>
    <w:pPr>
      <w:pBdr>
        <w:bottom w:val="single" w:sz="8" w:space="18" w:color="28467D"/>
      </w:pBdr>
      <w:spacing w:after="480"/>
      <w:jc w:val="center"/>
    </w:pPr>
    <w:rPr>
      <w:rFonts w:ascii="Calibri" w:hAnsi="Calibri"/>
      <w:b/>
      <w:caps/>
      <w:sz w:val="62"/>
      <w:szCs w:val="62"/>
    </w:rPr>
  </w:style>
  <w:style w:type="paragraph" w:customStyle="1" w:styleId="CoverTitleSub">
    <w:name w:val="Cover Title Sub"/>
    <w:basedOn w:val="HeadingBase"/>
    <w:rsid w:val="00B67713"/>
    <w:pPr>
      <w:spacing w:after="120"/>
      <w:jc w:val="right"/>
    </w:pPr>
    <w:rPr>
      <w:rFonts w:ascii="Calibri" w:hAnsi="Calibri"/>
      <w:caps/>
      <w:sz w:val="44"/>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C90C5D"/>
    <w:rPr>
      <w:rFonts w:ascii="Arial" w:hAnsi="Arial"/>
    </w:rPr>
  </w:style>
  <w:style w:type="paragraph" w:customStyle="1" w:styleId="FooterOdd">
    <w:name w:val="Footer Odd"/>
    <w:basedOn w:val="Footer"/>
    <w:rsid w:val="00983CA9"/>
    <w:pPr>
      <w:jc w:val="right"/>
    </w:pPr>
    <w:rPr>
      <w:rFonts w:ascii="Arial" w:hAnsi="Arial"/>
    </w:r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983CA9"/>
    <w:rPr>
      <w:rFonts w:ascii="Arial" w:hAnsi="Arial"/>
    </w:rPr>
  </w:style>
  <w:style w:type="paragraph" w:customStyle="1" w:styleId="HeaderOdd">
    <w:name w:val="Header Odd"/>
    <w:basedOn w:val="Header"/>
    <w:rsid w:val="00983CA9"/>
    <w:pPr>
      <w:jc w:val="right"/>
    </w:pPr>
    <w:rPr>
      <w:rFonts w:ascii="Arial" w:hAnsi="Arial"/>
    </w:r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7"/>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0A7BCF"/>
    <w:pPr>
      <w:jc w:val="center"/>
    </w:pPr>
    <w:rPr>
      <w:b/>
    </w:rPr>
  </w:style>
  <w:style w:type="paragraph" w:customStyle="1" w:styleId="TableColumnHeadingLeft">
    <w:name w:val="Table Column Heading Left"/>
    <w:basedOn w:val="TableTextBase"/>
    <w:rsid w:val="000A7BCF"/>
    <w:rPr>
      <w:b/>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0A7BCF"/>
    <w:pPr>
      <w:jc w:val="center"/>
    </w:p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983CA9"/>
    <w:pPr>
      <w:spacing w:line="260" w:lineRule="exact"/>
    </w:pPr>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AD4715"/>
    <w:pPr>
      <w:tabs>
        <w:tab w:val="right" w:leader="dot" w:pos="9072"/>
      </w:tabs>
      <w:spacing w:before="120" w:after="60"/>
      <w:ind w:right="851"/>
    </w:pPr>
    <w:rPr>
      <w:rFonts w:ascii="Calibri" w:hAnsi="Calibri"/>
      <w:b/>
      <w:caps/>
      <w:sz w:val="24"/>
      <w:szCs w:val="22"/>
    </w:rPr>
  </w:style>
  <w:style w:type="paragraph" w:styleId="TOC2">
    <w:name w:val="toc 2"/>
    <w:basedOn w:val="HeadingBase"/>
    <w:next w:val="Normal"/>
    <w:uiPriority w:val="39"/>
    <w:rsid w:val="00983CA9"/>
    <w:pPr>
      <w:tabs>
        <w:tab w:val="right" w:leader="dot" w:pos="9072"/>
      </w:tabs>
      <w:spacing w:before="60"/>
      <w:ind w:left="170" w:right="851"/>
    </w:pPr>
    <w:rPr>
      <w:rFonts w:ascii="Calibri" w:hAnsi="Calibri"/>
      <w:sz w:val="22"/>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0A7BCF"/>
    <w:pPr>
      <w:numPr>
        <w:numId w:val="5"/>
      </w:numPr>
    </w:pPr>
  </w:style>
  <w:style w:type="paragraph" w:customStyle="1" w:styleId="BoxText">
    <w:name w:val="Box Text"/>
    <w:basedOn w:val="BoxTextBase"/>
    <w:rsid w:val="004C5D21"/>
    <w:pPr>
      <w:spacing w:before="120" w:after="120" w:line="280" w:lineRule="exact"/>
    </w:pPr>
    <w:rPr>
      <w:color w:val="auto"/>
    </w:rPr>
  </w:style>
  <w:style w:type="paragraph" w:customStyle="1" w:styleId="BoxBullet">
    <w:name w:val="Box Bullet"/>
    <w:basedOn w:val="BoxTextBase"/>
    <w:rsid w:val="000A7BCF"/>
    <w:pPr>
      <w:numPr>
        <w:numId w:val="4"/>
      </w:numPr>
    </w:pPr>
  </w:style>
  <w:style w:type="paragraph" w:customStyle="1" w:styleId="BoxDash">
    <w:name w:val="Box Dash"/>
    <w:basedOn w:val="BoxTextBase"/>
    <w:rsid w:val="000A7BCF"/>
    <w:pPr>
      <w:numPr>
        <w:ilvl w:val="1"/>
        <w:numId w:val="4"/>
      </w:numPr>
    </w:pPr>
  </w:style>
  <w:style w:type="paragraph" w:customStyle="1" w:styleId="BoxDoubleDot">
    <w:name w:val="Box Double Dot"/>
    <w:basedOn w:val="BoxTextBase"/>
    <w:rsid w:val="000A7BCF"/>
    <w:pPr>
      <w:numPr>
        <w:ilvl w:val="2"/>
        <w:numId w:val="4"/>
      </w:numPr>
    </w:pPr>
  </w:style>
  <w:style w:type="paragraph" w:customStyle="1" w:styleId="RecommendationBullet">
    <w:name w:val="Recommendation Bullet"/>
    <w:basedOn w:val="RecommendationTextBase"/>
    <w:rsid w:val="000A7BCF"/>
    <w:pPr>
      <w:numPr>
        <w:numId w:val="6"/>
      </w:numPr>
    </w:pPr>
  </w:style>
  <w:style w:type="paragraph" w:customStyle="1" w:styleId="RecommendationDash">
    <w:name w:val="Recommendation Dash"/>
    <w:basedOn w:val="RecommendationTextBase"/>
    <w:rsid w:val="000A7BCF"/>
    <w:pPr>
      <w:numPr>
        <w:ilvl w:val="1"/>
        <w:numId w:val="6"/>
      </w:numPr>
    </w:pPr>
  </w:style>
  <w:style w:type="paragraph" w:customStyle="1" w:styleId="RecommendationDoubleDot">
    <w:name w:val="Recommendation Double Dot"/>
    <w:basedOn w:val="RecommendationTextBase"/>
    <w:rsid w:val="000A7BCF"/>
    <w:pPr>
      <w:numPr>
        <w:ilvl w:val="2"/>
        <w:numId w:val="6"/>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4C5D21"/>
    <w:pPr>
      <w:numPr>
        <w:numId w:val="0"/>
      </w:numPr>
    </w:pPr>
    <w:rPr>
      <w:rFonts w:ascii="Calibri" w:hAnsi="Calibri"/>
      <w:caps/>
      <w:sz w:val="24"/>
    </w:r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pPr>
      <w:numPr>
        <w:numId w:val="8"/>
      </w:numPr>
    </w:pPr>
  </w:style>
  <w:style w:type="numbering" w:customStyle="1" w:styleId="Optionboxheading">
    <w:name w:val="Option box heading"/>
    <w:uiPriority w:val="99"/>
    <w:rsid w:val="00CA601E"/>
    <w:pPr>
      <w:numPr>
        <w:numId w:val="14"/>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character" w:customStyle="1" w:styleId="BulletChar">
    <w:name w:val="Bullet Char"/>
    <w:aliases w:val="b + line Char Char,b Char,b Char Char,b1 Char,b + line Char,Body Char,level 1 Char,Bulleted Para Char,Bullets Char,FooterText Char,L Char,List Paragraph Char,List Paragraph1 Char,List Paragraph11 Char,List Paragraph2 Char,Number Char"/>
    <w:basedOn w:val="DefaultParagraphFont"/>
    <w:link w:val="Bullet"/>
    <w:qFormat/>
    <w:rsid w:val="004C5D21"/>
    <w:rPr>
      <w:rFonts w:ascii="Calibri" w:hAnsi="Calibri"/>
      <w:color w:val="000000"/>
      <w:sz w:val="22"/>
    </w:rPr>
  </w:style>
  <w:style w:type="paragraph" w:styleId="ListParagraph">
    <w:name w:val="List Paragraph"/>
    <w:basedOn w:val="Normal"/>
    <w:uiPriority w:val="34"/>
    <w:qFormat/>
    <w:rsid w:val="008D3BA2"/>
    <w:pPr>
      <w:spacing w:after="200" w:line="276" w:lineRule="auto"/>
      <w:ind w:left="720"/>
      <w:contextualSpacing/>
      <w:jc w:val="left"/>
    </w:pPr>
    <w:rPr>
      <w:rFonts w:asciiTheme="minorHAnsi" w:eastAsiaTheme="minorHAnsi" w:hAnsiTheme="minorHAnsi" w:cstheme="minorBidi"/>
      <w:color w:val="auto"/>
      <w:szCs w:val="22"/>
      <w:lang w:eastAsia="en-US"/>
    </w:rPr>
  </w:style>
  <w:style w:type="character" w:styleId="CommentReference">
    <w:name w:val="annotation reference"/>
    <w:basedOn w:val="DefaultParagraphFont"/>
    <w:uiPriority w:val="99"/>
    <w:semiHidden/>
    <w:unhideWhenUsed/>
    <w:rsid w:val="008D3BA2"/>
    <w:rPr>
      <w:sz w:val="16"/>
      <w:szCs w:val="16"/>
    </w:rPr>
  </w:style>
  <w:style w:type="paragraph" w:styleId="CommentText">
    <w:name w:val="annotation text"/>
    <w:basedOn w:val="Normal"/>
    <w:link w:val="CommentTextChar"/>
    <w:uiPriority w:val="99"/>
    <w:semiHidden/>
    <w:unhideWhenUsed/>
    <w:rsid w:val="008D3BA2"/>
    <w:pPr>
      <w:spacing w:after="200" w:line="240" w:lineRule="auto"/>
      <w:jc w:val="left"/>
    </w:pPr>
    <w:rPr>
      <w:rFonts w:asciiTheme="minorHAnsi" w:eastAsiaTheme="minorHAnsi" w:hAnsiTheme="minorHAnsi" w:cstheme="minorBidi"/>
      <w:color w:val="auto"/>
      <w:sz w:val="20"/>
      <w:lang w:eastAsia="en-US"/>
    </w:rPr>
  </w:style>
  <w:style w:type="character" w:customStyle="1" w:styleId="CommentTextChar">
    <w:name w:val="Comment Text Char"/>
    <w:basedOn w:val="DefaultParagraphFont"/>
    <w:link w:val="CommentText"/>
    <w:uiPriority w:val="99"/>
    <w:semiHidden/>
    <w:rsid w:val="008D3BA2"/>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3E6BB1"/>
    <w:rPr>
      <w:rFonts w:ascii="Calibri" w:hAnsi="Calibri"/>
      <w:color w:val="000000"/>
      <w:sz w:val="18"/>
    </w:rPr>
  </w:style>
  <w:style w:type="character" w:styleId="FootnoteReference">
    <w:name w:val="footnote reference"/>
    <w:basedOn w:val="DefaultParagraphFont"/>
    <w:uiPriority w:val="99"/>
    <w:unhideWhenUsed/>
    <w:rsid w:val="008D3BA2"/>
    <w:rPr>
      <w:vertAlign w:val="superscript"/>
    </w:rPr>
  </w:style>
  <w:style w:type="paragraph" w:customStyle="1" w:styleId="RecommendationQuestionNumbering">
    <w:name w:val="Recommendation Question Numbering"/>
    <w:basedOn w:val="Normal"/>
    <w:qFormat/>
    <w:rsid w:val="00915FBA"/>
    <w:pPr>
      <w:numPr>
        <w:numId w:val="11"/>
      </w:numPr>
      <w:tabs>
        <w:tab w:val="left" w:pos="567"/>
      </w:tabs>
      <w:spacing w:after="180" w:line="300" w:lineRule="exact"/>
      <w:ind w:right="170"/>
    </w:pPr>
    <w:rPr>
      <w:color w:val="000080"/>
    </w:rPr>
  </w:style>
  <w:style w:type="paragraph" w:styleId="CommentSubject">
    <w:name w:val="annotation subject"/>
    <w:basedOn w:val="CommentText"/>
    <w:next w:val="CommentText"/>
    <w:link w:val="CommentSubjectChar"/>
    <w:uiPriority w:val="99"/>
    <w:semiHidden/>
    <w:unhideWhenUsed/>
    <w:rsid w:val="00C80798"/>
    <w:pPr>
      <w:spacing w:after="240"/>
      <w:jc w:val="both"/>
    </w:pPr>
    <w:rPr>
      <w:rFonts w:ascii="Book Antiqua" w:eastAsia="Times New Roman" w:hAnsi="Book Antiqua" w:cs="Times New Roman"/>
      <w:b/>
      <w:bCs/>
      <w:color w:val="000000"/>
      <w:lang w:eastAsia="en-AU"/>
    </w:rPr>
  </w:style>
  <w:style w:type="character" w:customStyle="1" w:styleId="CommentSubjectChar">
    <w:name w:val="Comment Subject Char"/>
    <w:basedOn w:val="CommentTextChar"/>
    <w:link w:val="CommentSubject"/>
    <w:uiPriority w:val="99"/>
    <w:semiHidden/>
    <w:rsid w:val="00C80798"/>
    <w:rPr>
      <w:rFonts w:ascii="Book Antiqua" w:eastAsiaTheme="minorHAnsi" w:hAnsi="Book Antiqua" w:cstheme="minorBidi"/>
      <w:b/>
      <w:bCs/>
      <w:color w:val="000000"/>
      <w:lang w:eastAsia="en-US"/>
    </w:rPr>
  </w:style>
  <w:style w:type="character" w:customStyle="1" w:styleId="FooterChar">
    <w:name w:val="Footer Char"/>
    <w:basedOn w:val="DefaultParagraphFont"/>
    <w:link w:val="Footer"/>
    <w:uiPriority w:val="99"/>
    <w:rsid w:val="002545E5"/>
    <w:rPr>
      <w:rFonts w:ascii="Century Gothic" w:hAnsi="Century Gothic"/>
      <w:color w:val="1F497D" w:themeColor="text2"/>
      <w:sz w:val="18"/>
    </w:rPr>
  </w:style>
  <w:style w:type="character" w:customStyle="1" w:styleId="Heading2Char">
    <w:name w:val="Heading 2 Char"/>
    <w:basedOn w:val="DefaultParagraphFont"/>
    <w:link w:val="Heading2"/>
    <w:rsid w:val="00D36E6D"/>
    <w:rPr>
      <w:rFonts w:ascii="Calibri" w:hAnsi="Calibri" w:cs="Arial"/>
      <w:b/>
      <w:bCs/>
      <w:iCs/>
      <w:caps/>
      <w:color w:val="1F497D" w:themeColor="text2"/>
      <w:sz w:val="32"/>
      <w:szCs w:val="28"/>
    </w:rPr>
  </w:style>
  <w:style w:type="paragraph" w:styleId="Revision">
    <w:name w:val="Revision"/>
    <w:hidden/>
    <w:uiPriority w:val="99"/>
    <w:semiHidden/>
    <w:rsid w:val="00CC2884"/>
    <w:rPr>
      <w:rFonts w:ascii="Book Antiqua" w:hAnsi="Book Antiqua"/>
      <w:color w:val="000000"/>
      <w:sz w:val="22"/>
    </w:rPr>
  </w:style>
  <w:style w:type="paragraph" w:styleId="EndnoteText">
    <w:name w:val="endnote text"/>
    <w:basedOn w:val="Normal"/>
    <w:link w:val="EndnoteTextChar"/>
    <w:uiPriority w:val="99"/>
    <w:semiHidden/>
    <w:unhideWhenUsed/>
    <w:rsid w:val="00DD078A"/>
    <w:pPr>
      <w:spacing w:after="0" w:line="240" w:lineRule="auto"/>
    </w:pPr>
    <w:rPr>
      <w:sz w:val="20"/>
    </w:rPr>
  </w:style>
  <w:style w:type="character" w:customStyle="1" w:styleId="EndnoteTextChar">
    <w:name w:val="Endnote Text Char"/>
    <w:basedOn w:val="DefaultParagraphFont"/>
    <w:link w:val="EndnoteText"/>
    <w:uiPriority w:val="99"/>
    <w:semiHidden/>
    <w:rsid w:val="00DD078A"/>
    <w:rPr>
      <w:rFonts w:ascii="Book Antiqua" w:hAnsi="Book Antiqua"/>
      <w:color w:val="000000"/>
    </w:rPr>
  </w:style>
  <w:style w:type="character" w:styleId="EndnoteReference">
    <w:name w:val="endnote reference"/>
    <w:basedOn w:val="DefaultParagraphFont"/>
    <w:uiPriority w:val="99"/>
    <w:semiHidden/>
    <w:unhideWhenUsed/>
    <w:rsid w:val="00DD078A"/>
    <w:rPr>
      <w:vertAlign w:val="superscript"/>
    </w:rPr>
  </w:style>
  <w:style w:type="table" w:customStyle="1" w:styleId="TableGrid1">
    <w:name w:val="Table Grid1"/>
    <w:basedOn w:val="TableNormal"/>
    <w:next w:val="TableGrid"/>
    <w:uiPriority w:val="59"/>
    <w:rsid w:val="006D0082"/>
    <w:pPr>
      <w:spacing w:after="240" w:line="260" w:lineRule="exact"/>
      <w:jc w:val="both"/>
    </w:pPr>
    <w:tblPr/>
    <w:tcPr>
      <w:shd w:val="clear" w:color="auto" w:fill="E6E6E6"/>
    </w:tcPr>
  </w:style>
  <w:style w:type="paragraph" w:styleId="NormalWeb">
    <w:name w:val="Normal (Web)"/>
    <w:basedOn w:val="Normal"/>
    <w:uiPriority w:val="99"/>
    <w:semiHidden/>
    <w:unhideWhenUsed/>
    <w:rsid w:val="00D444D5"/>
    <w:rPr>
      <w:rFonts w:ascii="Times New Roman" w:hAnsi="Times New Roman"/>
      <w:sz w:val="24"/>
      <w:szCs w:val="24"/>
    </w:rPr>
  </w:style>
  <w:style w:type="character" w:customStyle="1" w:styleId="Heading1Char">
    <w:name w:val="Heading 1 Char"/>
    <w:basedOn w:val="DefaultParagraphFont"/>
    <w:link w:val="Heading1"/>
    <w:rsid w:val="004C5D21"/>
    <w:rPr>
      <w:rFonts w:ascii="Calibri" w:hAnsi="Calibri" w:cs="Arial"/>
      <w:b/>
      <w:bCs/>
      <w:caps/>
      <w:color w:val="1F497D" w:themeColor="text2"/>
      <w:kern w:val="32"/>
      <w:sz w:val="40"/>
      <w:szCs w:val="36"/>
    </w:rPr>
  </w:style>
  <w:style w:type="paragraph" w:customStyle="1" w:styleId="BoxNumbering">
    <w:name w:val="Box Numbering"/>
    <w:basedOn w:val="BoxText"/>
    <w:rsid w:val="00C6593E"/>
    <w:pPr>
      <w:numPr>
        <w:numId w:val="12"/>
      </w:numPr>
      <w:tabs>
        <w:tab w:val="clear" w:pos="397"/>
        <w:tab w:val="left" w:pos="425"/>
      </w:tabs>
      <w:ind w:left="425" w:hanging="425"/>
    </w:pPr>
  </w:style>
  <w:style w:type="paragraph" w:customStyle="1" w:styleId="BoxAlpha-Indent">
    <w:name w:val="Box Alpha - Indent"/>
    <w:basedOn w:val="BoxNumbering"/>
    <w:rsid w:val="00C6593E"/>
    <w:pPr>
      <w:numPr>
        <w:numId w:val="13"/>
      </w:numPr>
      <w:tabs>
        <w:tab w:val="clear" w:pos="425"/>
        <w:tab w:val="clear" w:pos="794"/>
        <w:tab w:val="left" w:pos="851"/>
      </w:tabs>
      <w:ind w:left="850" w:hanging="425"/>
    </w:pPr>
  </w:style>
  <w:style w:type="paragraph" w:customStyle="1" w:styleId="TableColumnHeadingLeft-White">
    <w:name w:val="Table Column Heading Left - White"/>
    <w:basedOn w:val="TableColumnHeadingLeft"/>
    <w:rsid w:val="00983CA9"/>
    <w:pPr>
      <w:spacing w:before="80" w:after="80"/>
      <w:jc w:val="both"/>
    </w:pPr>
    <w:rPr>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021">
      <w:bodyDiv w:val="1"/>
      <w:marLeft w:val="0"/>
      <w:marRight w:val="0"/>
      <w:marTop w:val="0"/>
      <w:marBottom w:val="0"/>
      <w:divBdr>
        <w:top w:val="none" w:sz="0" w:space="0" w:color="auto"/>
        <w:left w:val="none" w:sz="0" w:space="0" w:color="auto"/>
        <w:bottom w:val="none" w:sz="0" w:space="0" w:color="auto"/>
        <w:right w:val="none" w:sz="0" w:space="0" w:color="auto"/>
      </w:divBdr>
    </w:div>
    <w:div w:id="83654597">
      <w:bodyDiv w:val="1"/>
      <w:marLeft w:val="0"/>
      <w:marRight w:val="0"/>
      <w:marTop w:val="0"/>
      <w:marBottom w:val="0"/>
      <w:divBdr>
        <w:top w:val="none" w:sz="0" w:space="0" w:color="auto"/>
        <w:left w:val="none" w:sz="0" w:space="0" w:color="auto"/>
        <w:bottom w:val="none" w:sz="0" w:space="0" w:color="auto"/>
        <w:right w:val="none" w:sz="0" w:space="0" w:color="auto"/>
      </w:divBdr>
    </w:div>
    <w:div w:id="99421974">
      <w:bodyDiv w:val="1"/>
      <w:marLeft w:val="0"/>
      <w:marRight w:val="0"/>
      <w:marTop w:val="0"/>
      <w:marBottom w:val="0"/>
      <w:divBdr>
        <w:top w:val="none" w:sz="0" w:space="0" w:color="auto"/>
        <w:left w:val="none" w:sz="0" w:space="0" w:color="auto"/>
        <w:bottom w:val="none" w:sz="0" w:space="0" w:color="auto"/>
        <w:right w:val="none" w:sz="0" w:space="0" w:color="auto"/>
      </w:divBdr>
    </w:div>
    <w:div w:id="122895224">
      <w:bodyDiv w:val="1"/>
      <w:marLeft w:val="0"/>
      <w:marRight w:val="0"/>
      <w:marTop w:val="0"/>
      <w:marBottom w:val="0"/>
      <w:divBdr>
        <w:top w:val="none" w:sz="0" w:space="0" w:color="auto"/>
        <w:left w:val="none" w:sz="0" w:space="0" w:color="auto"/>
        <w:bottom w:val="none" w:sz="0" w:space="0" w:color="auto"/>
        <w:right w:val="none" w:sz="0" w:space="0" w:color="auto"/>
      </w:divBdr>
    </w:div>
    <w:div w:id="145516549">
      <w:bodyDiv w:val="1"/>
      <w:marLeft w:val="0"/>
      <w:marRight w:val="0"/>
      <w:marTop w:val="0"/>
      <w:marBottom w:val="0"/>
      <w:divBdr>
        <w:top w:val="none" w:sz="0" w:space="0" w:color="auto"/>
        <w:left w:val="none" w:sz="0" w:space="0" w:color="auto"/>
        <w:bottom w:val="none" w:sz="0" w:space="0" w:color="auto"/>
        <w:right w:val="none" w:sz="0" w:space="0" w:color="auto"/>
      </w:divBdr>
    </w:div>
    <w:div w:id="249169314">
      <w:bodyDiv w:val="1"/>
      <w:marLeft w:val="0"/>
      <w:marRight w:val="0"/>
      <w:marTop w:val="0"/>
      <w:marBottom w:val="0"/>
      <w:divBdr>
        <w:top w:val="none" w:sz="0" w:space="0" w:color="auto"/>
        <w:left w:val="none" w:sz="0" w:space="0" w:color="auto"/>
        <w:bottom w:val="none" w:sz="0" w:space="0" w:color="auto"/>
        <w:right w:val="none" w:sz="0" w:space="0" w:color="auto"/>
      </w:divBdr>
    </w:div>
    <w:div w:id="302392244">
      <w:bodyDiv w:val="1"/>
      <w:marLeft w:val="0"/>
      <w:marRight w:val="0"/>
      <w:marTop w:val="0"/>
      <w:marBottom w:val="0"/>
      <w:divBdr>
        <w:top w:val="none" w:sz="0" w:space="0" w:color="auto"/>
        <w:left w:val="none" w:sz="0" w:space="0" w:color="auto"/>
        <w:bottom w:val="none" w:sz="0" w:space="0" w:color="auto"/>
        <w:right w:val="none" w:sz="0" w:space="0" w:color="auto"/>
      </w:divBdr>
    </w:div>
    <w:div w:id="372311552">
      <w:bodyDiv w:val="1"/>
      <w:marLeft w:val="0"/>
      <w:marRight w:val="0"/>
      <w:marTop w:val="0"/>
      <w:marBottom w:val="0"/>
      <w:divBdr>
        <w:top w:val="none" w:sz="0" w:space="0" w:color="auto"/>
        <w:left w:val="none" w:sz="0" w:space="0" w:color="auto"/>
        <w:bottom w:val="none" w:sz="0" w:space="0" w:color="auto"/>
        <w:right w:val="none" w:sz="0" w:space="0" w:color="auto"/>
      </w:divBdr>
    </w:div>
    <w:div w:id="623079104">
      <w:bodyDiv w:val="1"/>
      <w:marLeft w:val="0"/>
      <w:marRight w:val="0"/>
      <w:marTop w:val="0"/>
      <w:marBottom w:val="0"/>
      <w:divBdr>
        <w:top w:val="none" w:sz="0" w:space="0" w:color="auto"/>
        <w:left w:val="none" w:sz="0" w:space="0" w:color="auto"/>
        <w:bottom w:val="none" w:sz="0" w:space="0" w:color="auto"/>
        <w:right w:val="none" w:sz="0" w:space="0" w:color="auto"/>
      </w:divBdr>
    </w:div>
    <w:div w:id="713192310">
      <w:bodyDiv w:val="1"/>
      <w:marLeft w:val="0"/>
      <w:marRight w:val="0"/>
      <w:marTop w:val="0"/>
      <w:marBottom w:val="0"/>
      <w:divBdr>
        <w:top w:val="none" w:sz="0" w:space="0" w:color="auto"/>
        <w:left w:val="none" w:sz="0" w:space="0" w:color="auto"/>
        <w:bottom w:val="none" w:sz="0" w:space="0" w:color="auto"/>
        <w:right w:val="none" w:sz="0" w:space="0" w:color="auto"/>
      </w:divBdr>
    </w:div>
    <w:div w:id="797070095">
      <w:bodyDiv w:val="1"/>
      <w:marLeft w:val="0"/>
      <w:marRight w:val="0"/>
      <w:marTop w:val="0"/>
      <w:marBottom w:val="0"/>
      <w:divBdr>
        <w:top w:val="none" w:sz="0" w:space="0" w:color="auto"/>
        <w:left w:val="none" w:sz="0" w:space="0" w:color="auto"/>
        <w:bottom w:val="none" w:sz="0" w:space="0" w:color="auto"/>
        <w:right w:val="none" w:sz="0" w:space="0" w:color="auto"/>
      </w:divBdr>
    </w:div>
    <w:div w:id="928389380">
      <w:bodyDiv w:val="1"/>
      <w:marLeft w:val="0"/>
      <w:marRight w:val="0"/>
      <w:marTop w:val="0"/>
      <w:marBottom w:val="0"/>
      <w:divBdr>
        <w:top w:val="none" w:sz="0" w:space="0" w:color="auto"/>
        <w:left w:val="none" w:sz="0" w:space="0" w:color="auto"/>
        <w:bottom w:val="none" w:sz="0" w:space="0" w:color="auto"/>
        <w:right w:val="none" w:sz="0" w:space="0" w:color="auto"/>
      </w:divBdr>
    </w:div>
    <w:div w:id="987782127">
      <w:bodyDiv w:val="1"/>
      <w:marLeft w:val="0"/>
      <w:marRight w:val="0"/>
      <w:marTop w:val="0"/>
      <w:marBottom w:val="0"/>
      <w:divBdr>
        <w:top w:val="none" w:sz="0" w:space="0" w:color="auto"/>
        <w:left w:val="none" w:sz="0" w:space="0" w:color="auto"/>
        <w:bottom w:val="none" w:sz="0" w:space="0" w:color="auto"/>
        <w:right w:val="none" w:sz="0" w:space="0" w:color="auto"/>
      </w:divBdr>
    </w:div>
    <w:div w:id="1028528719">
      <w:bodyDiv w:val="1"/>
      <w:marLeft w:val="0"/>
      <w:marRight w:val="0"/>
      <w:marTop w:val="0"/>
      <w:marBottom w:val="0"/>
      <w:divBdr>
        <w:top w:val="none" w:sz="0" w:space="0" w:color="auto"/>
        <w:left w:val="none" w:sz="0" w:space="0" w:color="auto"/>
        <w:bottom w:val="none" w:sz="0" w:space="0" w:color="auto"/>
        <w:right w:val="none" w:sz="0" w:space="0" w:color="auto"/>
      </w:divBdr>
    </w:div>
    <w:div w:id="1108811041">
      <w:bodyDiv w:val="1"/>
      <w:marLeft w:val="0"/>
      <w:marRight w:val="0"/>
      <w:marTop w:val="0"/>
      <w:marBottom w:val="0"/>
      <w:divBdr>
        <w:top w:val="none" w:sz="0" w:space="0" w:color="auto"/>
        <w:left w:val="none" w:sz="0" w:space="0" w:color="auto"/>
        <w:bottom w:val="none" w:sz="0" w:space="0" w:color="auto"/>
        <w:right w:val="none" w:sz="0" w:space="0" w:color="auto"/>
      </w:divBdr>
    </w:div>
    <w:div w:id="1118330183">
      <w:bodyDiv w:val="1"/>
      <w:marLeft w:val="0"/>
      <w:marRight w:val="0"/>
      <w:marTop w:val="0"/>
      <w:marBottom w:val="0"/>
      <w:divBdr>
        <w:top w:val="none" w:sz="0" w:space="0" w:color="auto"/>
        <w:left w:val="none" w:sz="0" w:space="0" w:color="auto"/>
        <w:bottom w:val="none" w:sz="0" w:space="0" w:color="auto"/>
        <w:right w:val="none" w:sz="0" w:space="0" w:color="auto"/>
      </w:divBdr>
    </w:div>
    <w:div w:id="1277518943">
      <w:bodyDiv w:val="1"/>
      <w:marLeft w:val="0"/>
      <w:marRight w:val="0"/>
      <w:marTop w:val="0"/>
      <w:marBottom w:val="0"/>
      <w:divBdr>
        <w:top w:val="none" w:sz="0" w:space="0" w:color="auto"/>
        <w:left w:val="none" w:sz="0" w:space="0" w:color="auto"/>
        <w:bottom w:val="none" w:sz="0" w:space="0" w:color="auto"/>
        <w:right w:val="none" w:sz="0" w:space="0" w:color="auto"/>
      </w:divBdr>
    </w:div>
    <w:div w:id="1375618582">
      <w:bodyDiv w:val="1"/>
      <w:marLeft w:val="0"/>
      <w:marRight w:val="0"/>
      <w:marTop w:val="0"/>
      <w:marBottom w:val="0"/>
      <w:divBdr>
        <w:top w:val="none" w:sz="0" w:space="0" w:color="auto"/>
        <w:left w:val="none" w:sz="0" w:space="0" w:color="auto"/>
        <w:bottom w:val="none" w:sz="0" w:space="0" w:color="auto"/>
        <w:right w:val="none" w:sz="0" w:space="0" w:color="auto"/>
      </w:divBdr>
    </w:div>
    <w:div w:id="1391656987">
      <w:bodyDiv w:val="1"/>
      <w:marLeft w:val="0"/>
      <w:marRight w:val="0"/>
      <w:marTop w:val="0"/>
      <w:marBottom w:val="0"/>
      <w:divBdr>
        <w:top w:val="none" w:sz="0" w:space="0" w:color="auto"/>
        <w:left w:val="none" w:sz="0" w:space="0" w:color="auto"/>
        <w:bottom w:val="none" w:sz="0" w:space="0" w:color="auto"/>
        <w:right w:val="none" w:sz="0" w:space="0" w:color="auto"/>
      </w:divBdr>
    </w:div>
    <w:div w:id="1462260773">
      <w:bodyDiv w:val="1"/>
      <w:marLeft w:val="0"/>
      <w:marRight w:val="0"/>
      <w:marTop w:val="0"/>
      <w:marBottom w:val="0"/>
      <w:divBdr>
        <w:top w:val="none" w:sz="0" w:space="0" w:color="auto"/>
        <w:left w:val="none" w:sz="0" w:space="0" w:color="auto"/>
        <w:bottom w:val="none" w:sz="0" w:space="0" w:color="auto"/>
        <w:right w:val="none" w:sz="0" w:space="0" w:color="auto"/>
      </w:divBdr>
    </w:div>
    <w:div w:id="1467162204">
      <w:bodyDiv w:val="1"/>
      <w:marLeft w:val="0"/>
      <w:marRight w:val="0"/>
      <w:marTop w:val="0"/>
      <w:marBottom w:val="0"/>
      <w:divBdr>
        <w:top w:val="none" w:sz="0" w:space="0" w:color="auto"/>
        <w:left w:val="none" w:sz="0" w:space="0" w:color="auto"/>
        <w:bottom w:val="none" w:sz="0" w:space="0" w:color="auto"/>
        <w:right w:val="none" w:sz="0" w:space="0" w:color="auto"/>
      </w:divBdr>
    </w:div>
    <w:div w:id="1613976953">
      <w:bodyDiv w:val="1"/>
      <w:marLeft w:val="0"/>
      <w:marRight w:val="0"/>
      <w:marTop w:val="0"/>
      <w:marBottom w:val="0"/>
      <w:divBdr>
        <w:top w:val="none" w:sz="0" w:space="0" w:color="auto"/>
        <w:left w:val="none" w:sz="0" w:space="0" w:color="auto"/>
        <w:bottom w:val="none" w:sz="0" w:space="0" w:color="auto"/>
        <w:right w:val="none" w:sz="0" w:space="0" w:color="auto"/>
      </w:divBdr>
    </w:div>
    <w:div w:id="1658145546">
      <w:bodyDiv w:val="1"/>
      <w:marLeft w:val="0"/>
      <w:marRight w:val="0"/>
      <w:marTop w:val="0"/>
      <w:marBottom w:val="0"/>
      <w:divBdr>
        <w:top w:val="none" w:sz="0" w:space="0" w:color="auto"/>
        <w:left w:val="none" w:sz="0" w:space="0" w:color="auto"/>
        <w:bottom w:val="none" w:sz="0" w:space="0" w:color="auto"/>
        <w:right w:val="none" w:sz="0" w:space="0" w:color="auto"/>
      </w:divBdr>
    </w:div>
    <w:div w:id="1693262303">
      <w:bodyDiv w:val="1"/>
      <w:marLeft w:val="0"/>
      <w:marRight w:val="0"/>
      <w:marTop w:val="0"/>
      <w:marBottom w:val="0"/>
      <w:divBdr>
        <w:top w:val="none" w:sz="0" w:space="0" w:color="auto"/>
        <w:left w:val="none" w:sz="0" w:space="0" w:color="auto"/>
        <w:bottom w:val="none" w:sz="0" w:space="0" w:color="auto"/>
        <w:right w:val="none" w:sz="0" w:space="0" w:color="auto"/>
      </w:divBdr>
    </w:div>
    <w:div w:id="1694917211">
      <w:bodyDiv w:val="1"/>
      <w:marLeft w:val="0"/>
      <w:marRight w:val="0"/>
      <w:marTop w:val="0"/>
      <w:marBottom w:val="0"/>
      <w:divBdr>
        <w:top w:val="none" w:sz="0" w:space="0" w:color="auto"/>
        <w:left w:val="none" w:sz="0" w:space="0" w:color="auto"/>
        <w:bottom w:val="none" w:sz="0" w:space="0" w:color="auto"/>
        <w:right w:val="none" w:sz="0" w:space="0" w:color="auto"/>
      </w:divBdr>
    </w:div>
    <w:div w:id="1739400639">
      <w:bodyDiv w:val="1"/>
      <w:marLeft w:val="0"/>
      <w:marRight w:val="0"/>
      <w:marTop w:val="0"/>
      <w:marBottom w:val="0"/>
      <w:divBdr>
        <w:top w:val="none" w:sz="0" w:space="0" w:color="auto"/>
        <w:left w:val="none" w:sz="0" w:space="0" w:color="auto"/>
        <w:bottom w:val="none" w:sz="0" w:space="0" w:color="auto"/>
        <w:right w:val="none" w:sz="0" w:space="0" w:color="auto"/>
      </w:divBdr>
    </w:div>
    <w:div w:id="179012437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3.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image" Target="media/image5.png"/><Relationship Id="rId42"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4.png"/><Relationship Id="rId38" Type="http://schemas.openxmlformats.org/officeDocument/2006/relationships/header" Target="header7.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legalcode" TargetMode="External"/><Relationship Id="rId29" Type="http://schemas.openxmlformats.org/officeDocument/2006/relationships/footer" Target="footer5.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edialiaison@treasury.gov.au" TargetMode="External"/><Relationship Id="rId32" Type="http://schemas.openxmlformats.org/officeDocument/2006/relationships/image" Target="media/image3.JPG"/><Relationship Id="rId37" Type="http://schemas.openxmlformats.org/officeDocument/2006/relationships/header" Target="header6.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tsanhonour.gov.au" TargetMode="External"/><Relationship Id="rId28" Type="http://schemas.openxmlformats.org/officeDocument/2006/relationships/hyperlink" Target="mailto:Stapledstructures@treasury.gov.au" TargetMode="External"/><Relationship Id="rId36"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oter" Target="footer6.xml"/><Relationship Id="rId44" Type="http://schemas.openxmlformats.org/officeDocument/2006/relationships/footer" Target="footer1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creativecommons.org/licenses/by/3.0/au/deed.en"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2017CSSG-1551-543</_dlc_DocId>
    <_dlc_DocIdUrl xmlns="eb47d8b7-fefc-4923-b53c-9685ba6b7210">
      <Url>http://tweb/sites/cssg/ped/pu/pt/_layouts/15/DocIdRedir.aspx?ID=2017CSSG-1551-543</Url>
      <Description>2017CSSG-1551-543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1253" ma:contentTypeDescription="" ma:contentTypeScope="" ma:versionID="826f32b4a4c02e5af13b880a6e37fdbb">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2C23-0FC1-4D99-95E1-CFE3395026F7}">
  <ds:schemaRefs>
    <ds:schemaRef ds:uri="http://schemas.microsoft.com/sharepoint/v3/contenttype/forms"/>
  </ds:schemaRefs>
</ds:datastoreItem>
</file>

<file path=customXml/itemProps2.xml><?xml version="1.0" encoding="utf-8"?>
<ds:datastoreItem xmlns:ds="http://schemas.openxmlformats.org/officeDocument/2006/customXml" ds:itemID="{CB56927D-7F4B-4846-8AA5-19A9043651D3}">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sharepoint/v3"/>
    <ds:schemaRef ds:uri="http://schemas.microsoft.com/sharepoint/v4"/>
    <ds:schemaRef ds:uri="eb47d8b7-fefc-4923-b53c-9685ba6b7210"/>
    <ds:schemaRef ds:uri="http://purl.org/dc/terms/"/>
  </ds:schemaRefs>
</ds:datastoreItem>
</file>

<file path=customXml/itemProps3.xml><?xml version="1.0" encoding="utf-8"?>
<ds:datastoreItem xmlns:ds="http://schemas.openxmlformats.org/officeDocument/2006/customXml" ds:itemID="{A40108AC-E02A-4338-8F64-BA339E9AF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6D736-51F9-4ABA-9E38-F5590EF256A8}">
  <ds:schemaRefs>
    <ds:schemaRef ds:uri="http://schemas.microsoft.com/sharepoint/events"/>
  </ds:schemaRefs>
</ds:datastoreItem>
</file>

<file path=customXml/itemProps5.xml><?xml version="1.0" encoding="utf-8"?>
<ds:datastoreItem xmlns:ds="http://schemas.openxmlformats.org/officeDocument/2006/customXml" ds:itemID="{2138F039-2DCF-4B6B-AB47-BC879CAC58F6}">
  <ds:schemaRefs>
    <ds:schemaRef ds:uri="office.server.policy"/>
  </ds:schemaRefs>
</ds:datastoreItem>
</file>

<file path=customXml/itemProps6.xml><?xml version="1.0" encoding="utf-8"?>
<ds:datastoreItem xmlns:ds="http://schemas.openxmlformats.org/officeDocument/2006/customXml" ds:itemID="{052CCE99-A283-45C3-A006-A4CCDC63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2</TotalTime>
  <Pages>27</Pages>
  <Words>7280</Words>
  <Characters>41502</Characters>
  <Application>Microsoft Office Word</Application>
  <DocSecurity>0</DocSecurity>
  <Lines>922</Lines>
  <Paragraphs>439</Paragraphs>
  <ScaleCrop>false</ScaleCrop>
  <HeadingPairs>
    <vt:vector size="2" baseType="variant">
      <vt:variant>
        <vt:lpstr>Title</vt:lpstr>
      </vt:variant>
      <vt:variant>
        <vt:i4>1</vt:i4>
      </vt:variant>
    </vt:vector>
  </HeadingPairs>
  <TitlesOfParts>
    <vt:vector size="1" baseType="lpstr">
      <vt:lpstr>Stapled Structures - Consultation Paper - March 2017</vt:lpstr>
    </vt:vector>
  </TitlesOfParts>
  <Company>The Treasury</Company>
  <LinksUpToDate>false</LinksUpToDate>
  <CharactersWithSpaces>48343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Stapled Structures - Consultation Paper - March 2017</dc:title>
  <dc:subject/>
  <dc:creator>The Treasury</dc:creator>
  <cp:lastModifiedBy>Hill, Christine</cp:lastModifiedBy>
  <cp:revision>4</cp:revision>
  <cp:lastPrinted>2017-03-23T22:19:00Z</cp:lastPrinted>
  <dcterms:created xsi:type="dcterms:W3CDTF">2017-03-24T06:16:00Z</dcterms:created>
  <dcterms:modified xsi:type="dcterms:W3CDTF">2017-03-24T06:32:00Z</dcterms:modified>
</cp:coreProperties>
</file>