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909F8" w14:textId="16D0F8A3" w:rsidR="0056559F" w:rsidRPr="00CE25B6" w:rsidRDefault="00F144C1" w:rsidP="00304A45">
      <w:pPr>
        <w:pStyle w:val="CoverTitleMain"/>
      </w:pPr>
      <w:bookmarkStart w:id="0" w:name="_GoBack"/>
      <w:bookmarkEnd w:id="0"/>
      <w:r w:rsidRPr="00CE25B6">
        <w:t xml:space="preserve">Increasing </w:t>
      </w:r>
      <w:r w:rsidR="001E4670" w:rsidRPr="00CE25B6">
        <w:t>Transparency of</w:t>
      </w:r>
      <w:r w:rsidR="00F573DA" w:rsidRPr="00CE25B6">
        <w:t xml:space="preserve"> the</w:t>
      </w:r>
      <w:r w:rsidR="001E4670" w:rsidRPr="00CE25B6">
        <w:t xml:space="preserve"> Be</w:t>
      </w:r>
      <w:r w:rsidR="002D4154" w:rsidRPr="00CE25B6">
        <w:t>neficial Ownership of Companies</w:t>
      </w:r>
      <w:r w:rsidR="009F2B33" w:rsidRPr="00CE25B6">
        <w:t xml:space="preserve"> </w:t>
      </w:r>
    </w:p>
    <w:p w14:paraId="5AABE9C6" w14:textId="77777777" w:rsidR="00304A45" w:rsidRPr="00304A45" w:rsidRDefault="00E40B59">
      <w:pPr>
        <w:pStyle w:val="CoverTitleSub"/>
      </w:pPr>
      <w:r w:rsidRPr="00CE25B6">
        <w:t xml:space="preserve">Consultation </w:t>
      </w:r>
      <w:r w:rsidR="0056559F" w:rsidRPr="00CE25B6">
        <w:t>Paper</w:t>
      </w:r>
    </w:p>
    <w:p w14:paraId="47E23D72" w14:textId="0F72D7C2" w:rsidR="0056559F" w:rsidRPr="00CE25B6" w:rsidRDefault="00414DA0" w:rsidP="00CE25B6">
      <w:pPr>
        <w:pStyle w:val="CoverTitleSub"/>
      </w:pPr>
      <w:r>
        <w:t>February</w:t>
      </w:r>
      <w:r w:rsidR="0001485C">
        <w:t xml:space="preserve"> </w:t>
      </w:r>
      <w:r w:rsidR="00544D77" w:rsidRPr="00CE25B6">
        <w:t>2017</w:t>
      </w:r>
    </w:p>
    <w:p w14:paraId="4D5C2537" w14:textId="77777777" w:rsidR="00CE25B6" w:rsidRPr="00CE25B6" w:rsidRDefault="00CE25B6" w:rsidP="00CE25B6">
      <w:pPr>
        <w:pStyle w:val="CoverTitleSub"/>
        <w:sectPr w:rsidR="00CE25B6" w:rsidRPr="00CE25B6" w:rsidSect="00CE25B6">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vAlign w:val="center"/>
          <w:titlePg/>
          <w:docGrid w:linePitch="360"/>
        </w:sectPr>
      </w:pPr>
    </w:p>
    <w:p w14:paraId="479387CE" w14:textId="77777777" w:rsidR="00257B1D" w:rsidRDefault="00257B1D" w:rsidP="00257B1D">
      <w:pPr>
        <w:spacing w:line="240" w:lineRule="auto"/>
        <w:rPr>
          <w:rFonts w:ascii="Calibri" w:hAnsi="Calibri"/>
        </w:rPr>
      </w:pPr>
      <w:r w:rsidRPr="00C41F0D">
        <w:rPr>
          <w:rFonts w:ascii="Calibri" w:hAnsi="Calibri"/>
        </w:rPr>
        <w:lastRenderedPageBreak/>
        <w:t>© Commonwealth of Australia 201</w:t>
      </w:r>
      <w:r>
        <w:rPr>
          <w:rFonts w:ascii="Calibri" w:hAnsi="Calibri"/>
        </w:rPr>
        <w:t>6</w:t>
      </w:r>
    </w:p>
    <w:p w14:paraId="01CDB5AB" w14:textId="7424CFBA" w:rsidR="00257B1D" w:rsidRPr="00C41F0D" w:rsidRDefault="00257B1D" w:rsidP="00257B1D">
      <w:pPr>
        <w:spacing w:line="240" w:lineRule="auto"/>
        <w:rPr>
          <w:rFonts w:ascii="Calibri" w:hAnsi="Calibri"/>
        </w:rPr>
      </w:pPr>
      <w:r w:rsidRPr="00F67874">
        <w:rPr>
          <w:rFonts w:ascii="Calibri" w:hAnsi="Calibri"/>
        </w:rPr>
        <w:t xml:space="preserve">ISBN </w:t>
      </w:r>
      <w:r w:rsidR="00F67874" w:rsidRPr="00F67874">
        <w:rPr>
          <w:rFonts w:ascii="Calibri" w:hAnsi="Calibri"/>
        </w:rPr>
        <w:t>978-1-925504-20-0</w:t>
      </w:r>
    </w:p>
    <w:p w14:paraId="4BBF0DB4" w14:textId="77777777" w:rsidR="00257B1D" w:rsidRPr="00DF17A9" w:rsidRDefault="00257B1D" w:rsidP="000B0AE9">
      <w:pPr>
        <w:tabs>
          <w:tab w:val="left" w:pos="1650"/>
        </w:tabs>
        <w:spacing w:before="100" w:beforeAutospacing="1" w:after="100" w:afterAutospacing="1" w:line="240" w:lineRule="auto"/>
        <w:rPr>
          <w:rFonts w:ascii="Calibri" w:hAnsi="Calibri"/>
          <w:sz w:val="24"/>
          <w:szCs w:val="24"/>
        </w:rPr>
      </w:pPr>
      <w:r w:rsidRPr="00DF17A9">
        <w:rPr>
          <w:rFonts w:ascii="Calibri" w:hAnsi="Calibri"/>
        </w:rPr>
        <w:t>This publication is available for your use under a</w:t>
      </w:r>
      <w:r w:rsidRPr="00DF17A9">
        <w:rPr>
          <w:rFonts w:ascii="Calibri" w:hAnsi="Calibri" w:cs="Calibri"/>
          <w:sz w:val="24"/>
          <w:szCs w:val="24"/>
        </w:rPr>
        <w:t xml:space="preserve"> </w:t>
      </w:r>
      <w:hyperlink r:id="rId14" w:history="1">
        <w:r w:rsidRPr="00DF17A9">
          <w:rPr>
            <w:rFonts w:ascii="Calibri" w:hAnsi="Calibri"/>
            <w:color w:val="auto"/>
          </w:rPr>
          <w:t>Creative Commons Attribution 3.0 Australia</w:t>
        </w:r>
      </w:hyperlink>
      <w:r w:rsidRPr="00DF17A9">
        <w:rPr>
          <w:rFonts w:ascii="Calibri" w:hAnsi="Calibri" w:cs="Calibri"/>
          <w:sz w:val="24"/>
          <w:szCs w:val="24"/>
        </w:rPr>
        <w:t xml:space="preserve"> </w:t>
      </w:r>
      <w:r w:rsidRPr="00DF17A9">
        <w:rPr>
          <w:rFonts w:ascii="Calibri" w:hAnsi="Calibri"/>
        </w:rPr>
        <w:t>licence, with the exception of the Commonwealth Coat of Arms, the Treasury logo, photographs, images, signatures and where otherwise stated. The full licence terms are available from</w:t>
      </w:r>
      <w:r w:rsidRPr="00DF17A9">
        <w:rPr>
          <w:rFonts w:ascii="Calibri" w:hAnsi="Calibri" w:cs="Calibri"/>
          <w:sz w:val="24"/>
          <w:szCs w:val="24"/>
        </w:rPr>
        <w:t xml:space="preserve"> </w:t>
      </w:r>
      <w:hyperlink r:id="rId15" w:history="1">
        <w:r w:rsidRPr="00DF17A9">
          <w:rPr>
            <w:rStyle w:val="Hyperlink"/>
            <w:rFonts w:ascii="Calibri" w:hAnsi="Calibri"/>
          </w:rPr>
          <w:t>http://creativecommons.org/licenses/by/3.0/au/legalcode</w:t>
        </w:r>
      </w:hyperlink>
      <w:r w:rsidRPr="00DF17A9">
        <w:rPr>
          <w:rFonts w:ascii="Calibri" w:hAnsi="Calibri"/>
          <w:color w:val="auto"/>
        </w:rPr>
        <w:t>.</w:t>
      </w:r>
      <w:r w:rsidRPr="00DF17A9">
        <w:rPr>
          <w:rFonts w:ascii="Calibri" w:hAnsi="Calibri"/>
          <w:sz w:val="24"/>
          <w:szCs w:val="24"/>
        </w:rPr>
        <w:t xml:space="preserve"> </w:t>
      </w:r>
    </w:p>
    <w:p w14:paraId="7B7D8F27" w14:textId="77777777" w:rsidR="00257B1D" w:rsidRPr="00C41F0D" w:rsidRDefault="00257B1D" w:rsidP="00257B1D">
      <w:pPr>
        <w:tabs>
          <w:tab w:val="left" w:pos="1650"/>
        </w:tabs>
        <w:spacing w:before="100" w:beforeAutospacing="1" w:after="100" w:afterAutospacing="1" w:line="240" w:lineRule="auto"/>
        <w:rPr>
          <w:rFonts w:ascii="Calibri" w:hAnsi="Calibri" w:cs="Calibri"/>
          <w:sz w:val="24"/>
          <w:szCs w:val="24"/>
        </w:rPr>
      </w:pPr>
      <w:r w:rsidRPr="00C41F0D">
        <w:rPr>
          <w:rFonts w:ascii="Calibri" w:hAnsi="Calibri" w:cs="Calibri"/>
          <w:noProof/>
          <w:sz w:val="24"/>
          <w:szCs w:val="24"/>
        </w:rPr>
        <w:drawing>
          <wp:inline distT="0" distB="0" distL="0" distR="0" wp14:anchorId="4A78D420" wp14:editId="186E9F47">
            <wp:extent cx="809625" cy="285750"/>
            <wp:effectExtent l="19050" t="0" r="9525" b="0"/>
            <wp:docPr id="4" name="Picture 4"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AE9B711" w14:textId="77777777" w:rsidR="00257B1D" w:rsidRPr="002F0A4A" w:rsidRDefault="00257B1D" w:rsidP="002F0A4A">
      <w:pPr>
        <w:spacing w:after="120" w:line="240" w:lineRule="auto"/>
        <w:rPr>
          <w:rFonts w:ascii="Calibri" w:hAnsi="Calibri"/>
        </w:rPr>
      </w:pPr>
      <w:r w:rsidRPr="002F0A4A">
        <w:rPr>
          <w:rFonts w:ascii="Calibri" w:hAnsi="Calibri"/>
        </w:rPr>
        <w:t xml:space="preserve">Use of Treasury material under a </w:t>
      </w:r>
      <w:hyperlink r:id="rId17" w:history="1">
        <w:r w:rsidRPr="002F0A4A">
          <w:rPr>
            <w:rStyle w:val="Hyperlink"/>
            <w:rFonts w:ascii="Calibri" w:hAnsi="Calibri"/>
          </w:rPr>
          <w:t>Creative Commons Attribution 3.0 Australia</w:t>
        </w:r>
      </w:hyperlink>
      <w:r w:rsidRPr="002F0A4A">
        <w:rPr>
          <w:rFonts w:ascii="Calibri" w:hAnsi="Calibri"/>
        </w:rPr>
        <w:t xml:space="preserve"> licence requires you to attribute the work (but not in any way that suggests that the Treasury endorses you or your use of the work). </w:t>
      </w:r>
    </w:p>
    <w:p w14:paraId="1320D03C" w14:textId="77777777" w:rsidR="00257B1D" w:rsidRPr="00C41F0D" w:rsidRDefault="00257B1D" w:rsidP="00257B1D">
      <w:pPr>
        <w:spacing w:after="120" w:line="240" w:lineRule="auto"/>
        <w:rPr>
          <w:rFonts w:ascii="Calibri" w:hAnsi="Calibri"/>
          <w:b/>
        </w:rPr>
      </w:pPr>
      <w:r w:rsidRPr="00C41F0D">
        <w:rPr>
          <w:rFonts w:ascii="Calibri" w:hAnsi="Calibri"/>
          <w:b/>
        </w:rPr>
        <w:t>Treasury material used 'as supplied'</w:t>
      </w:r>
    </w:p>
    <w:p w14:paraId="6CE14517" w14:textId="77777777" w:rsidR="00257B1D" w:rsidRPr="00C41F0D" w:rsidRDefault="00257B1D" w:rsidP="00257B1D">
      <w:pPr>
        <w:spacing w:after="120" w:line="240" w:lineRule="auto"/>
        <w:rPr>
          <w:rFonts w:ascii="Calibri" w:hAnsi="Calibri"/>
        </w:rPr>
      </w:pPr>
      <w:r w:rsidRPr="00C41F0D">
        <w:rPr>
          <w:rFonts w:ascii="Calibri" w:hAnsi="Calibri"/>
        </w:rPr>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19248582" w14:textId="77777777" w:rsidR="00257B1D" w:rsidRPr="00C41F0D" w:rsidRDefault="00257B1D" w:rsidP="00257B1D">
      <w:pPr>
        <w:spacing w:line="240" w:lineRule="auto"/>
        <w:ind w:firstLine="720"/>
        <w:rPr>
          <w:rFonts w:ascii="Calibri" w:hAnsi="Calibri"/>
        </w:rPr>
      </w:pPr>
      <w:r w:rsidRPr="00C41F0D">
        <w:rPr>
          <w:rFonts w:ascii="Calibri" w:hAnsi="Calibri"/>
          <w:i/>
        </w:rPr>
        <w:t xml:space="preserve">Source: The </w:t>
      </w:r>
      <w:r w:rsidRPr="00C41F0D">
        <w:rPr>
          <w:rFonts w:ascii="Calibri" w:hAnsi="Calibri"/>
          <w:i/>
          <w:iCs/>
        </w:rPr>
        <w:t>Aus</w:t>
      </w:r>
      <w:r>
        <w:rPr>
          <w:rFonts w:ascii="Calibri" w:hAnsi="Calibri"/>
          <w:i/>
          <w:iCs/>
        </w:rPr>
        <w:t>tralian Government the Treasury.</w:t>
      </w:r>
    </w:p>
    <w:p w14:paraId="29229356" w14:textId="77777777" w:rsidR="00257B1D" w:rsidRPr="00C41F0D" w:rsidRDefault="00257B1D" w:rsidP="00257B1D">
      <w:pPr>
        <w:spacing w:after="120" w:line="240" w:lineRule="auto"/>
        <w:rPr>
          <w:rFonts w:ascii="Calibri" w:hAnsi="Calibri"/>
          <w:b/>
        </w:rPr>
      </w:pPr>
      <w:r w:rsidRPr="00C41F0D">
        <w:rPr>
          <w:rFonts w:ascii="Calibri" w:hAnsi="Calibri"/>
          <w:b/>
        </w:rPr>
        <w:t>Derivative material</w:t>
      </w:r>
    </w:p>
    <w:p w14:paraId="2E7B0C2E" w14:textId="77777777" w:rsidR="00257B1D" w:rsidRPr="00C41F0D" w:rsidRDefault="00257B1D" w:rsidP="00257B1D">
      <w:pPr>
        <w:spacing w:after="120" w:line="240" w:lineRule="auto"/>
        <w:rPr>
          <w:rFonts w:ascii="Calibri" w:hAnsi="Calibri"/>
        </w:rPr>
      </w:pPr>
      <w:r w:rsidRPr="00C41F0D">
        <w:rPr>
          <w:rFonts w:ascii="Calibri" w:hAnsi="Calibri"/>
        </w:rPr>
        <w:t xml:space="preserve">If you have modified or transformed Treasury material, or derived new material from those of the Treasury in any way, then Treasury prefers the following attribution: </w:t>
      </w:r>
    </w:p>
    <w:p w14:paraId="418F148E" w14:textId="77777777" w:rsidR="00257B1D" w:rsidRPr="00C41F0D" w:rsidRDefault="00257B1D" w:rsidP="00257B1D">
      <w:pPr>
        <w:spacing w:line="240" w:lineRule="auto"/>
        <w:ind w:firstLine="720"/>
        <w:rPr>
          <w:rFonts w:ascii="Calibri" w:hAnsi="Calibri"/>
        </w:rPr>
      </w:pPr>
      <w:r w:rsidRPr="00C41F0D">
        <w:rPr>
          <w:rFonts w:ascii="Calibri" w:hAnsi="Calibri"/>
          <w:i/>
        </w:rPr>
        <w:t>Based on The Australian Government the Treasury data</w:t>
      </w:r>
      <w:r>
        <w:rPr>
          <w:rFonts w:ascii="Calibri" w:hAnsi="Calibri"/>
        </w:rPr>
        <w:t>.</w:t>
      </w:r>
    </w:p>
    <w:p w14:paraId="29146F3E" w14:textId="77777777" w:rsidR="00257B1D" w:rsidRPr="00C41F0D" w:rsidRDefault="00257B1D" w:rsidP="00257B1D">
      <w:pPr>
        <w:spacing w:after="40" w:line="240" w:lineRule="auto"/>
        <w:rPr>
          <w:rFonts w:ascii="Calibri" w:hAnsi="Calibri"/>
          <w:b/>
        </w:rPr>
      </w:pPr>
      <w:r w:rsidRPr="00C41F0D">
        <w:rPr>
          <w:rFonts w:ascii="Calibri" w:hAnsi="Calibri"/>
          <w:b/>
        </w:rPr>
        <w:t>Use of the Coat of Arms</w:t>
      </w:r>
    </w:p>
    <w:p w14:paraId="0FFC6755" w14:textId="77777777" w:rsidR="00257B1D" w:rsidRPr="00C41F0D" w:rsidRDefault="00257B1D" w:rsidP="00257B1D">
      <w:pPr>
        <w:spacing w:line="240" w:lineRule="auto"/>
        <w:rPr>
          <w:rFonts w:ascii="Calibri" w:hAnsi="Calibri"/>
        </w:rPr>
      </w:pPr>
      <w:r w:rsidRPr="00C41F0D">
        <w:rPr>
          <w:rFonts w:ascii="Calibri" w:hAnsi="Calibri"/>
        </w:rPr>
        <w:t>The terms under which the Coat of Arms can be used are set out on the It’s an Honour website (see</w:t>
      </w:r>
      <w:r>
        <w:rPr>
          <w:rFonts w:ascii="Calibri" w:hAnsi="Calibri"/>
        </w:rPr>
        <w:t> </w:t>
      </w:r>
      <w:hyperlink r:id="rId18" w:history="1">
        <w:r w:rsidRPr="00DF17A9">
          <w:rPr>
            <w:rStyle w:val="Hyperlink"/>
            <w:rFonts w:ascii="Calibri" w:hAnsi="Calibri"/>
          </w:rPr>
          <w:t>www.itsanhonour.gov.au</w:t>
        </w:r>
      </w:hyperlink>
      <w:r w:rsidRPr="00C41F0D">
        <w:rPr>
          <w:rFonts w:ascii="Calibri" w:hAnsi="Calibri"/>
        </w:rPr>
        <w:t>)</w:t>
      </w:r>
    </w:p>
    <w:p w14:paraId="6114D822" w14:textId="77777777" w:rsidR="00257B1D" w:rsidRPr="00C41F0D" w:rsidRDefault="00257B1D" w:rsidP="00257B1D">
      <w:pPr>
        <w:spacing w:after="40" w:line="240" w:lineRule="auto"/>
        <w:rPr>
          <w:rFonts w:ascii="Calibri" w:hAnsi="Calibri"/>
          <w:b/>
        </w:rPr>
      </w:pPr>
      <w:r w:rsidRPr="00C41F0D">
        <w:rPr>
          <w:rFonts w:ascii="Calibri" w:hAnsi="Calibri"/>
          <w:b/>
        </w:rPr>
        <w:t>Other uses</w:t>
      </w:r>
    </w:p>
    <w:p w14:paraId="77B4694A" w14:textId="77777777" w:rsidR="00257B1D" w:rsidRPr="00C41F0D" w:rsidRDefault="00257B1D" w:rsidP="00257B1D">
      <w:pPr>
        <w:spacing w:after="120" w:line="240" w:lineRule="auto"/>
        <w:rPr>
          <w:rFonts w:ascii="Calibri" w:hAnsi="Calibri"/>
        </w:rPr>
      </w:pPr>
      <w:r w:rsidRPr="00C41F0D">
        <w:rPr>
          <w:rFonts w:ascii="Calibri" w:hAnsi="Calibri"/>
        </w:rPr>
        <w:t>Enquiries regarding this licence and any other use of this document are welcome at:</w:t>
      </w:r>
    </w:p>
    <w:p w14:paraId="5F382D06" w14:textId="77777777" w:rsidR="00257B1D" w:rsidRPr="00C41F0D" w:rsidRDefault="00257B1D" w:rsidP="00257B1D">
      <w:pPr>
        <w:spacing w:after="120" w:line="240" w:lineRule="auto"/>
        <w:ind w:left="720"/>
        <w:jc w:val="left"/>
        <w:rPr>
          <w:rFonts w:ascii="Calibri" w:hAnsi="Calibri"/>
        </w:rPr>
      </w:pPr>
      <w:r w:rsidRPr="00C41F0D">
        <w:rPr>
          <w:rFonts w:ascii="Calibri" w:hAnsi="Calibri"/>
        </w:rPr>
        <w:t>Manager</w:t>
      </w:r>
      <w:r w:rsidRPr="00C41F0D">
        <w:rPr>
          <w:rFonts w:ascii="Calibri" w:hAnsi="Calibri"/>
        </w:rPr>
        <w:br/>
        <w:t xml:space="preserve">Communications </w:t>
      </w:r>
      <w:r w:rsidRPr="00C41F0D">
        <w:rPr>
          <w:rFonts w:ascii="Calibri" w:hAnsi="Calibri"/>
        </w:rPr>
        <w:br/>
        <w:t>The Treasury</w:t>
      </w:r>
      <w:r w:rsidRPr="00C41F0D">
        <w:rPr>
          <w:rFonts w:ascii="Calibri" w:hAnsi="Calibri"/>
        </w:rPr>
        <w:br/>
        <w:t xml:space="preserve">Langton Crescent </w:t>
      </w:r>
      <w:r w:rsidRPr="00C41F0D">
        <w:rPr>
          <w:rFonts w:ascii="Calibri" w:hAnsi="Calibri"/>
        </w:rPr>
        <w:br/>
        <w:t>Parkes ACT 2600</w:t>
      </w:r>
    </w:p>
    <w:p w14:paraId="38EF93E1" w14:textId="25C91FAB" w:rsidR="00257B1D" w:rsidRPr="002F0A4A" w:rsidRDefault="00257B1D">
      <w:pPr>
        <w:spacing w:line="270" w:lineRule="exact"/>
        <w:rPr>
          <w:rFonts w:ascii="Calibri" w:hAnsi="Calibri"/>
        </w:rPr>
      </w:pPr>
      <w:r w:rsidRPr="002F0A4A">
        <w:rPr>
          <w:rFonts w:ascii="Calibri" w:hAnsi="Calibri"/>
        </w:rPr>
        <w:tab/>
        <w:t xml:space="preserve">Email: </w:t>
      </w:r>
      <w:hyperlink r:id="rId19" w:history="1">
        <w:r w:rsidRPr="002F0A4A">
          <w:rPr>
            <w:rStyle w:val="Hyperlink"/>
            <w:rFonts w:ascii="Calibri" w:hAnsi="Calibri"/>
          </w:rPr>
          <w:t>medialiaison@treasury.gov.au</w:t>
        </w:r>
      </w:hyperlink>
    </w:p>
    <w:p w14:paraId="24D07BF7" w14:textId="77777777" w:rsidR="00257B1D" w:rsidRDefault="00257B1D">
      <w:pPr>
        <w:spacing w:line="270" w:lineRule="exact"/>
      </w:pPr>
    </w:p>
    <w:p w14:paraId="6D3082E7" w14:textId="77777777" w:rsidR="00257B1D" w:rsidRDefault="00257B1D">
      <w:pPr>
        <w:spacing w:line="270" w:lineRule="exact"/>
      </w:pPr>
    </w:p>
    <w:p w14:paraId="791ABF64" w14:textId="77777777" w:rsidR="00CE25B6" w:rsidRPr="00CE25B6" w:rsidRDefault="00CE25B6" w:rsidP="00CE25B6">
      <w:pPr>
        <w:sectPr w:rsidR="00CE25B6" w:rsidRPr="00CE25B6" w:rsidSect="00257B1D">
          <w:headerReference w:type="first" r:id="rId20"/>
          <w:pgSz w:w="11906" w:h="16838" w:code="9"/>
          <w:pgMar w:top="1418" w:right="1418" w:bottom="1418" w:left="1418" w:header="709" w:footer="709" w:gutter="0"/>
          <w:cols w:space="708"/>
          <w:titlePg/>
          <w:docGrid w:linePitch="360"/>
        </w:sectPr>
      </w:pPr>
    </w:p>
    <w:p w14:paraId="26FB34A5" w14:textId="77777777" w:rsidR="00257B1D" w:rsidRPr="00CE25B6" w:rsidRDefault="0056559F" w:rsidP="00CE25B6">
      <w:pPr>
        <w:pStyle w:val="Heading1-NoTOC"/>
      </w:pPr>
      <w:r w:rsidRPr="00CE25B6">
        <w:lastRenderedPageBreak/>
        <w:t>Contents</w:t>
      </w:r>
    </w:p>
    <w:p w14:paraId="2EE95625" w14:textId="77777777" w:rsidR="003B1B3E" w:rsidRDefault="00257B1D">
      <w:pPr>
        <w:pStyle w:val="TOC1"/>
        <w:rPr>
          <w:rFonts w:asciiTheme="minorHAnsi" w:eastAsiaTheme="minorEastAsia" w:hAnsiTheme="minorHAnsi" w:cstheme="minorBidi"/>
          <w:b w:val="0"/>
          <w:color w:val="auto"/>
        </w:rPr>
      </w:pPr>
      <w:r>
        <w:rPr>
          <w:sz w:val="23"/>
        </w:rPr>
        <w:fldChar w:fldCharType="begin"/>
      </w:r>
      <w:r>
        <w:instrText xml:space="preserve"> TOC \o "1-2" \h \z \u </w:instrText>
      </w:r>
      <w:r>
        <w:rPr>
          <w:sz w:val="23"/>
        </w:rPr>
        <w:fldChar w:fldCharType="separate"/>
      </w:r>
      <w:hyperlink w:anchor="_Toc474414898" w:history="1">
        <w:r w:rsidR="003B1B3E" w:rsidRPr="00FF25CD">
          <w:rPr>
            <w:rStyle w:val="Hyperlink"/>
          </w:rPr>
          <w:t>Consultation Process</w:t>
        </w:r>
        <w:r w:rsidR="003B1B3E">
          <w:rPr>
            <w:webHidden/>
          </w:rPr>
          <w:tab/>
        </w:r>
        <w:r w:rsidR="003B1B3E">
          <w:rPr>
            <w:webHidden/>
          </w:rPr>
          <w:fldChar w:fldCharType="begin"/>
        </w:r>
        <w:r w:rsidR="003B1B3E">
          <w:rPr>
            <w:webHidden/>
          </w:rPr>
          <w:instrText xml:space="preserve"> PAGEREF _Toc474414898 \h </w:instrText>
        </w:r>
        <w:r w:rsidR="003B1B3E">
          <w:rPr>
            <w:webHidden/>
          </w:rPr>
        </w:r>
        <w:r w:rsidR="003B1B3E">
          <w:rPr>
            <w:webHidden/>
          </w:rPr>
          <w:fldChar w:fldCharType="separate"/>
        </w:r>
        <w:r w:rsidR="003B1B3E">
          <w:rPr>
            <w:webHidden/>
          </w:rPr>
          <w:t>iv</w:t>
        </w:r>
        <w:r w:rsidR="003B1B3E">
          <w:rPr>
            <w:webHidden/>
          </w:rPr>
          <w:fldChar w:fldCharType="end"/>
        </w:r>
      </w:hyperlink>
    </w:p>
    <w:p w14:paraId="489A9605" w14:textId="77777777" w:rsidR="003B1B3E" w:rsidRDefault="0009357A">
      <w:pPr>
        <w:pStyle w:val="TOC1"/>
        <w:rPr>
          <w:rFonts w:asciiTheme="minorHAnsi" w:eastAsiaTheme="minorEastAsia" w:hAnsiTheme="minorHAnsi" w:cstheme="minorBidi"/>
          <w:b w:val="0"/>
          <w:color w:val="auto"/>
        </w:rPr>
      </w:pPr>
      <w:hyperlink w:anchor="_Toc474414899" w:history="1">
        <w:r w:rsidR="003B1B3E" w:rsidRPr="00FF25CD">
          <w:rPr>
            <w:rStyle w:val="Hyperlink"/>
          </w:rPr>
          <w:t>Foreword</w:t>
        </w:r>
        <w:r w:rsidR="003B1B3E">
          <w:rPr>
            <w:webHidden/>
          </w:rPr>
          <w:tab/>
        </w:r>
        <w:r w:rsidR="003B1B3E">
          <w:rPr>
            <w:webHidden/>
          </w:rPr>
          <w:fldChar w:fldCharType="begin"/>
        </w:r>
        <w:r w:rsidR="003B1B3E">
          <w:rPr>
            <w:webHidden/>
          </w:rPr>
          <w:instrText xml:space="preserve"> PAGEREF _Toc474414899 \h </w:instrText>
        </w:r>
        <w:r w:rsidR="003B1B3E">
          <w:rPr>
            <w:webHidden/>
          </w:rPr>
        </w:r>
        <w:r w:rsidR="003B1B3E">
          <w:rPr>
            <w:webHidden/>
          </w:rPr>
          <w:fldChar w:fldCharType="separate"/>
        </w:r>
        <w:r w:rsidR="003B1B3E">
          <w:rPr>
            <w:webHidden/>
          </w:rPr>
          <w:t>v</w:t>
        </w:r>
        <w:r w:rsidR="003B1B3E">
          <w:rPr>
            <w:webHidden/>
          </w:rPr>
          <w:fldChar w:fldCharType="end"/>
        </w:r>
      </w:hyperlink>
    </w:p>
    <w:p w14:paraId="6D7A09B7" w14:textId="77777777" w:rsidR="003B1B3E" w:rsidRDefault="0009357A">
      <w:pPr>
        <w:pStyle w:val="TOC1"/>
        <w:rPr>
          <w:rFonts w:asciiTheme="minorHAnsi" w:eastAsiaTheme="minorEastAsia" w:hAnsiTheme="minorHAnsi" w:cstheme="minorBidi"/>
          <w:b w:val="0"/>
          <w:color w:val="auto"/>
        </w:rPr>
      </w:pPr>
      <w:hyperlink w:anchor="_Toc474414900" w:history="1">
        <w:r w:rsidR="003B1B3E" w:rsidRPr="00FF25CD">
          <w:rPr>
            <w:rStyle w:val="Hyperlink"/>
          </w:rPr>
          <w:t>1.</w:t>
        </w:r>
        <w:r w:rsidR="003B1B3E">
          <w:rPr>
            <w:rFonts w:asciiTheme="minorHAnsi" w:eastAsiaTheme="minorEastAsia" w:hAnsiTheme="minorHAnsi" w:cstheme="minorBidi"/>
            <w:b w:val="0"/>
            <w:color w:val="auto"/>
          </w:rPr>
          <w:tab/>
        </w:r>
        <w:r w:rsidR="003B1B3E" w:rsidRPr="00FF25CD">
          <w:rPr>
            <w:rStyle w:val="Hyperlink"/>
          </w:rPr>
          <w:t>Context</w:t>
        </w:r>
        <w:r w:rsidR="003B1B3E">
          <w:rPr>
            <w:webHidden/>
          </w:rPr>
          <w:tab/>
        </w:r>
        <w:r w:rsidR="003B1B3E">
          <w:rPr>
            <w:webHidden/>
          </w:rPr>
          <w:fldChar w:fldCharType="begin"/>
        </w:r>
        <w:r w:rsidR="003B1B3E">
          <w:rPr>
            <w:webHidden/>
          </w:rPr>
          <w:instrText xml:space="preserve"> PAGEREF _Toc474414900 \h </w:instrText>
        </w:r>
        <w:r w:rsidR="003B1B3E">
          <w:rPr>
            <w:webHidden/>
          </w:rPr>
        </w:r>
        <w:r w:rsidR="003B1B3E">
          <w:rPr>
            <w:webHidden/>
          </w:rPr>
          <w:fldChar w:fldCharType="separate"/>
        </w:r>
        <w:r w:rsidR="003B1B3E">
          <w:rPr>
            <w:webHidden/>
          </w:rPr>
          <w:t>1</w:t>
        </w:r>
        <w:r w:rsidR="003B1B3E">
          <w:rPr>
            <w:webHidden/>
          </w:rPr>
          <w:fldChar w:fldCharType="end"/>
        </w:r>
      </w:hyperlink>
    </w:p>
    <w:p w14:paraId="7DD3B1C1" w14:textId="77777777" w:rsidR="003B1B3E" w:rsidRDefault="0009357A">
      <w:pPr>
        <w:pStyle w:val="TOC1"/>
        <w:rPr>
          <w:rFonts w:asciiTheme="minorHAnsi" w:eastAsiaTheme="minorEastAsia" w:hAnsiTheme="minorHAnsi" w:cstheme="minorBidi"/>
          <w:b w:val="0"/>
          <w:color w:val="auto"/>
        </w:rPr>
      </w:pPr>
      <w:hyperlink w:anchor="_Toc474414901" w:history="1">
        <w:r w:rsidR="003B1B3E" w:rsidRPr="00FF25CD">
          <w:rPr>
            <w:rStyle w:val="Hyperlink"/>
          </w:rPr>
          <w:t>2.</w:t>
        </w:r>
        <w:r w:rsidR="003B1B3E">
          <w:rPr>
            <w:rFonts w:asciiTheme="minorHAnsi" w:eastAsiaTheme="minorEastAsia" w:hAnsiTheme="minorHAnsi" w:cstheme="minorBidi"/>
            <w:b w:val="0"/>
            <w:color w:val="auto"/>
          </w:rPr>
          <w:tab/>
        </w:r>
        <w:r w:rsidR="003B1B3E" w:rsidRPr="00FF25CD">
          <w:rPr>
            <w:rStyle w:val="Hyperlink"/>
          </w:rPr>
          <w:t>The Current Framework</w:t>
        </w:r>
        <w:r w:rsidR="003B1B3E">
          <w:rPr>
            <w:webHidden/>
          </w:rPr>
          <w:tab/>
        </w:r>
        <w:r w:rsidR="003B1B3E">
          <w:rPr>
            <w:webHidden/>
          </w:rPr>
          <w:fldChar w:fldCharType="begin"/>
        </w:r>
        <w:r w:rsidR="003B1B3E">
          <w:rPr>
            <w:webHidden/>
          </w:rPr>
          <w:instrText xml:space="preserve"> PAGEREF _Toc474414901 \h </w:instrText>
        </w:r>
        <w:r w:rsidR="003B1B3E">
          <w:rPr>
            <w:webHidden/>
          </w:rPr>
        </w:r>
        <w:r w:rsidR="003B1B3E">
          <w:rPr>
            <w:webHidden/>
          </w:rPr>
          <w:fldChar w:fldCharType="separate"/>
        </w:r>
        <w:r w:rsidR="003B1B3E">
          <w:rPr>
            <w:webHidden/>
          </w:rPr>
          <w:t>2</w:t>
        </w:r>
        <w:r w:rsidR="003B1B3E">
          <w:rPr>
            <w:webHidden/>
          </w:rPr>
          <w:fldChar w:fldCharType="end"/>
        </w:r>
      </w:hyperlink>
    </w:p>
    <w:p w14:paraId="3D57381E" w14:textId="77777777" w:rsidR="003B1B3E" w:rsidRDefault="0009357A">
      <w:pPr>
        <w:pStyle w:val="TOC2"/>
        <w:rPr>
          <w:rFonts w:asciiTheme="minorHAnsi" w:eastAsiaTheme="minorEastAsia" w:hAnsiTheme="minorHAnsi" w:cstheme="minorBidi"/>
          <w:color w:val="auto"/>
          <w:sz w:val="22"/>
          <w:szCs w:val="22"/>
        </w:rPr>
      </w:pPr>
      <w:hyperlink w:anchor="_Toc474414902" w:history="1">
        <w:r w:rsidR="003B1B3E" w:rsidRPr="00FF25CD">
          <w:rPr>
            <w:rStyle w:val="Hyperlink"/>
          </w:rPr>
          <w:t>2.1.</w:t>
        </w:r>
        <w:r w:rsidR="003B1B3E">
          <w:rPr>
            <w:rFonts w:asciiTheme="minorHAnsi" w:eastAsiaTheme="minorEastAsia" w:hAnsiTheme="minorHAnsi" w:cstheme="minorBidi"/>
            <w:color w:val="auto"/>
            <w:sz w:val="22"/>
            <w:szCs w:val="22"/>
          </w:rPr>
          <w:tab/>
        </w:r>
        <w:r w:rsidR="003B1B3E" w:rsidRPr="00FF25CD">
          <w:rPr>
            <w:rStyle w:val="Hyperlink"/>
          </w:rPr>
          <w:t>Meaning of beneficial ownership</w:t>
        </w:r>
        <w:r w:rsidR="003B1B3E">
          <w:rPr>
            <w:webHidden/>
          </w:rPr>
          <w:tab/>
        </w:r>
        <w:r w:rsidR="003B1B3E">
          <w:rPr>
            <w:webHidden/>
          </w:rPr>
          <w:fldChar w:fldCharType="begin"/>
        </w:r>
        <w:r w:rsidR="003B1B3E">
          <w:rPr>
            <w:webHidden/>
          </w:rPr>
          <w:instrText xml:space="preserve"> PAGEREF _Toc474414902 \h </w:instrText>
        </w:r>
        <w:r w:rsidR="003B1B3E">
          <w:rPr>
            <w:webHidden/>
          </w:rPr>
        </w:r>
        <w:r w:rsidR="003B1B3E">
          <w:rPr>
            <w:webHidden/>
          </w:rPr>
          <w:fldChar w:fldCharType="separate"/>
        </w:r>
        <w:r w:rsidR="003B1B3E">
          <w:rPr>
            <w:webHidden/>
          </w:rPr>
          <w:t>2</w:t>
        </w:r>
        <w:r w:rsidR="003B1B3E">
          <w:rPr>
            <w:webHidden/>
          </w:rPr>
          <w:fldChar w:fldCharType="end"/>
        </w:r>
      </w:hyperlink>
    </w:p>
    <w:p w14:paraId="5610AC3E" w14:textId="77777777" w:rsidR="003B1B3E" w:rsidRDefault="0009357A">
      <w:pPr>
        <w:pStyle w:val="TOC2"/>
        <w:rPr>
          <w:rFonts w:asciiTheme="minorHAnsi" w:eastAsiaTheme="minorEastAsia" w:hAnsiTheme="minorHAnsi" w:cstheme="minorBidi"/>
          <w:color w:val="auto"/>
          <w:sz w:val="22"/>
          <w:szCs w:val="22"/>
        </w:rPr>
      </w:pPr>
      <w:hyperlink w:anchor="_Toc474414903" w:history="1">
        <w:r w:rsidR="003B1B3E" w:rsidRPr="00FF25CD">
          <w:rPr>
            <w:rStyle w:val="Hyperlink"/>
          </w:rPr>
          <w:t>2.2.</w:t>
        </w:r>
        <w:r w:rsidR="003B1B3E">
          <w:rPr>
            <w:rFonts w:asciiTheme="minorHAnsi" w:eastAsiaTheme="minorEastAsia" w:hAnsiTheme="minorHAnsi" w:cstheme="minorBidi"/>
            <w:color w:val="auto"/>
            <w:sz w:val="22"/>
            <w:szCs w:val="22"/>
          </w:rPr>
          <w:tab/>
        </w:r>
        <w:r w:rsidR="003B1B3E" w:rsidRPr="00FF25CD">
          <w:rPr>
            <w:rStyle w:val="Hyperlink"/>
          </w:rPr>
          <w:t>Legal and beneficial ownership information for companies which is currently available</w:t>
        </w:r>
        <w:r w:rsidR="003B1B3E">
          <w:rPr>
            <w:webHidden/>
          </w:rPr>
          <w:tab/>
        </w:r>
        <w:r w:rsidR="003B1B3E">
          <w:rPr>
            <w:webHidden/>
          </w:rPr>
          <w:fldChar w:fldCharType="begin"/>
        </w:r>
        <w:r w:rsidR="003B1B3E">
          <w:rPr>
            <w:webHidden/>
          </w:rPr>
          <w:instrText xml:space="preserve"> PAGEREF _Toc474414903 \h </w:instrText>
        </w:r>
        <w:r w:rsidR="003B1B3E">
          <w:rPr>
            <w:webHidden/>
          </w:rPr>
        </w:r>
        <w:r w:rsidR="003B1B3E">
          <w:rPr>
            <w:webHidden/>
          </w:rPr>
          <w:fldChar w:fldCharType="separate"/>
        </w:r>
        <w:r w:rsidR="003B1B3E">
          <w:rPr>
            <w:webHidden/>
          </w:rPr>
          <w:t>3</w:t>
        </w:r>
        <w:r w:rsidR="003B1B3E">
          <w:rPr>
            <w:webHidden/>
          </w:rPr>
          <w:fldChar w:fldCharType="end"/>
        </w:r>
      </w:hyperlink>
    </w:p>
    <w:p w14:paraId="58AC9C17" w14:textId="77777777" w:rsidR="003B1B3E" w:rsidRDefault="0009357A">
      <w:pPr>
        <w:pStyle w:val="TOC2"/>
        <w:rPr>
          <w:rFonts w:asciiTheme="minorHAnsi" w:eastAsiaTheme="minorEastAsia" w:hAnsiTheme="minorHAnsi" w:cstheme="minorBidi"/>
          <w:color w:val="auto"/>
          <w:sz w:val="22"/>
          <w:szCs w:val="22"/>
        </w:rPr>
      </w:pPr>
      <w:hyperlink w:anchor="_Toc474414904" w:history="1">
        <w:r w:rsidR="003B1B3E" w:rsidRPr="00FF25CD">
          <w:rPr>
            <w:rStyle w:val="Hyperlink"/>
          </w:rPr>
          <w:t>2.3.</w:t>
        </w:r>
        <w:r w:rsidR="003B1B3E">
          <w:rPr>
            <w:rFonts w:asciiTheme="minorHAnsi" w:eastAsiaTheme="minorEastAsia" w:hAnsiTheme="minorHAnsi" w:cstheme="minorBidi"/>
            <w:color w:val="auto"/>
            <w:sz w:val="22"/>
            <w:szCs w:val="22"/>
          </w:rPr>
          <w:tab/>
        </w:r>
        <w:r w:rsidR="003B1B3E" w:rsidRPr="00FF25CD">
          <w:rPr>
            <w:rStyle w:val="Hyperlink"/>
          </w:rPr>
          <w:t>Operation of tracing provisions for listed companies</w:t>
        </w:r>
        <w:r w:rsidR="003B1B3E">
          <w:rPr>
            <w:webHidden/>
          </w:rPr>
          <w:tab/>
        </w:r>
        <w:r w:rsidR="003B1B3E">
          <w:rPr>
            <w:webHidden/>
          </w:rPr>
          <w:fldChar w:fldCharType="begin"/>
        </w:r>
        <w:r w:rsidR="003B1B3E">
          <w:rPr>
            <w:webHidden/>
          </w:rPr>
          <w:instrText xml:space="preserve"> PAGEREF _Toc474414904 \h </w:instrText>
        </w:r>
        <w:r w:rsidR="003B1B3E">
          <w:rPr>
            <w:webHidden/>
          </w:rPr>
        </w:r>
        <w:r w:rsidR="003B1B3E">
          <w:rPr>
            <w:webHidden/>
          </w:rPr>
          <w:fldChar w:fldCharType="separate"/>
        </w:r>
        <w:r w:rsidR="003B1B3E">
          <w:rPr>
            <w:webHidden/>
          </w:rPr>
          <w:t>5</w:t>
        </w:r>
        <w:r w:rsidR="003B1B3E">
          <w:rPr>
            <w:webHidden/>
          </w:rPr>
          <w:fldChar w:fldCharType="end"/>
        </w:r>
      </w:hyperlink>
    </w:p>
    <w:p w14:paraId="70ED08D3" w14:textId="77777777" w:rsidR="003B1B3E" w:rsidRDefault="0009357A">
      <w:pPr>
        <w:pStyle w:val="TOC2"/>
        <w:rPr>
          <w:rFonts w:asciiTheme="minorHAnsi" w:eastAsiaTheme="minorEastAsia" w:hAnsiTheme="minorHAnsi" w:cstheme="minorBidi"/>
          <w:color w:val="auto"/>
          <w:sz w:val="22"/>
          <w:szCs w:val="22"/>
        </w:rPr>
      </w:pPr>
      <w:hyperlink w:anchor="_Toc474414905" w:history="1">
        <w:r w:rsidR="003B1B3E" w:rsidRPr="00FF25CD">
          <w:rPr>
            <w:rStyle w:val="Hyperlink"/>
          </w:rPr>
          <w:t>2.4.</w:t>
        </w:r>
        <w:r w:rsidR="003B1B3E">
          <w:rPr>
            <w:rFonts w:asciiTheme="minorHAnsi" w:eastAsiaTheme="minorEastAsia" w:hAnsiTheme="minorHAnsi" w:cstheme="minorBidi"/>
            <w:color w:val="auto"/>
            <w:sz w:val="22"/>
            <w:szCs w:val="22"/>
          </w:rPr>
          <w:tab/>
        </w:r>
        <w:r w:rsidR="003B1B3E" w:rsidRPr="00FF25CD">
          <w:rPr>
            <w:rStyle w:val="Hyperlink"/>
          </w:rPr>
          <w:t>Other requirements to collect beneficial ownership information</w:t>
        </w:r>
        <w:r w:rsidR="003B1B3E">
          <w:rPr>
            <w:webHidden/>
          </w:rPr>
          <w:tab/>
        </w:r>
        <w:r w:rsidR="003B1B3E">
          <w:rPr>
            <w:webHidden/>
          </w:rPr>
          <w:fldChar w:fldCharType="begin"/>
        </w:r>
        <w:r w:rsidR="003B1B3E">
          <w:rPr>
            <w:webHidden/>
          </w:rPr>
          <w:instrText xml:space="preserve"> PAGEREF _Toc474414905 \h </w:instrText>
        </w:r>
        <w:r w:rsidR="003B1B3E">
          <w:rPr>
            <w:webHidden/>
          </w:rPr>
        </w:r>
        <w:r w:rsidR="003B1B3E">
          <w:rPr>
            <w:webHidden/>
          </w:rPr>
          <w:fldChar w:fldCharType="separate"/>
        </w:r>
        <w:r w:rsidR="003B1B3E">
          <w:rPr>
            <w:webHidden/>
          </w:rPr>
          <w:t>6</w:t>
        </w:r>
        <w:r w:rsidR="003B1B3E">
          <w:rPr>
            <w:webHidden/>
          </w:rPr>
          <w:fldChar w:fldCharType="end"/>
        </w:r>
      </w:hyperlink>
    </w:p>
    <w:p w14:paraId="50788B20" w14:textId="77777777" w:rsidR="003B1B3E" w:rsidRDefault="0009357A">
      <w:pPr>
        <w:pStyle w:val="TOC1"/>
        <w:rPr>
          <w:rFonts w:asciiTheme="minorHAnsi" w:eastAsiaTheme="minorEastAsia" w:hAnsiTheme="minorHAnsi" w:cstheme="minorBidi"/>
          <w:b w:val="0"/>
          <w:color w:val="auto"/>
        </w:rPr>
      </w:pPr>
      <w:hyperlink w:anchor="_Toc474414906" w:history="1">
        <w:r w:rsidR="003B1B3E" w:rsidRPr="00FF25CD">
          <w:rPr>
            <w:rStyle w:val="Hyperlink"/>
          </w:rPr>
          <w:t>3.</w:t>
        </w:r>
        <w:r w:rsidR="003B1B3E">
          <w:rPr>
            <w:rFonts w:asciiTheme="minorHAnsi" w:eastAsiaTheme="minorEastAsia" w:hAnsiTheme="minorHAnsi" w:cstheme="minorBidi"/>
            <w:b w:val="0"/>
            <w:color w:val="auto"/>
          </w:rPr>
          <w:tab/>
        </w:r>
        <w:r w:rsidR="003B1B3E" w:rsidRPr="00FF25CD">
          <w:rPr>
            <w:rStyle w:val="Hyperlink"/>
          </w:rPr>
          <w:t>The International Context</w:t>
        </w:r>
        <w:r w:rsidR="003B1B3E">
          <w:rPr>
            <w:webHidden/>
          </w:rPr>
          <w:tab/>
        </w:r>
        <w:r w:rsidR="003B1B3E">
          <w:rPr>
            <w:webHidden/>
          </w:rPr>
          <w:fldChar w:fldCharType="begin"/>
        </w:r>
        <w:r w:rsidR="003B1B3E">
          <w:rPr>
            <w:webHidden/>
          </w:rPr>
          <w:instrText xml:space="preserve"> PAGEREF _Toc474414906 \h </w:instrText>
        </w:r>
        <w:r w:rsidR="003B1B3E">
          <w:rPr>
            <w:webHidden/>
          </w:rPr>
        </w:r>
        <w:r w:rsidR="003B1B3E">
          <w:rPr>
            <w:webHidden/>
          </w:rPr>
          <w:fldChar w:fldCharType="separate"/>
        </w:r>
        <w:r w:rsidR="003B1B3E">
          <w:rPr>
            <w:webHidden/>
          </w:rPr>
          <w:t>7</w:t>
        </w:r>
        <w:r w:rsidR="003B1B3E">
          <w:rPr>
            <w:webHidden/>
          </w:rPr>
          <w:fldChar w:fldCharType="end"/>
        </w:r>
      </w:hyperlink>
    </w:p>
    <w:p w14:paraId="3B7E29DC" w14:textId="77777777" w:rsidR="003B1B3E" w:rsidRDefault="0009357A">
      <w:pPr>
        <w:pStyle w:val="TOC2"/>
        <w:rPr>
          <w:rFonts w:asciiTheme="minorHAnsi" w:eastAsiaTheme="minorEastAsia" w:hAnsiTheme="minorHAnsi" w:cstheme="minorBidi"/>
          <w:color w:val="auto"/>
          <w:sz w:val="22"/>
          <w:szCs w:val="22"/>
        </w:rPr>
      </w:pPr>
      <w:hyperlink w:anchor="_Toc474414907" w:history="1">
        <w:r w:rsidR="003B1B3E" w:rsidRPr="00FF25CD">
          <w:rPr>
            <w:rStyle w:val="Hyperlink"/>
          </w:rPr>
          <w:t>3.1.</w:t>
        </w:r>
        <w:r w:rsidR="003B1B3E">
          <w:rPr>
            <w:rFonts w:asciiTheme="minorHAnsi" w:eastAsiaTheme="minorEastAsia" w:hAnsiTheme="minorHAnsi" w:cstheme="minorBidi"/>
            <w:color w:val="auto"/>
            <w:sz w:val="22"/>
            <w:szCs w:val="22"/>
          </w:rPr>
          <w:tab/>
        </w:r>
        <w:r w:rsidR="003B1B3E" w:rsidRPr="00FF25CD">
          <w:rPr>
            <w:rStyle w:val="Hyperlink"/>
          </w:rPr>
          <w:t>Australia’s International Commitments</w:t>
        </w:r>
        <w:r w:rsidR="003B1B3E">
          <w:rPr>
            <w:webHidden/>
          </w:rPr>
          <w:tab/>
        </w:r>
        <w:r w:rsidR="003B1B3E">
          <w:rPr>
            <w:webHidden/>
          </w:rPr>
          <w:fldChar w:fldCharType="begin"/>
        </w:r>
        <w:r w:rsidR="003B1B3E">
          <w:rPr>
            <w:webHidden/>
          </w:rPr>
          <w:instrText xml:space="preserve"> PAGEREF _Toc474414907 \h </w:instrText>
        </w:r>
        <w:r w:rsidR="003B1B3E">
          <w:rPr>
            <w:webHidden/>
          </w:rPr>
        </w:r>
        <w:r w:rsidR="003B1B3E">
          <w:rPr>
            <w:webHidden/>
          </w:rPr>
          <w:fldChar w:fldCharType="separate"/>
        </w:r>
        <w:r w:rsidR="003B1B3E">
          <w:rPr>
            <w:webHidden/>
          </w:rPr>
          <w:t>7</w:t>
        </w:r>
        <w:r w:rsidR="003B1B3E">
          <w:rPr>
            <w:webHidden/>
          </w:rPr>
          <w:fldChar w:fldCharType="end"/>
        </w:r>
      </w:hyperlink>
    </w:p>
    <w:p w14:paraId="7218B197" w14:textId="77777777" w:rsidR="003B1B3E" w:rsidRDefault="0009357A">
      <w:pPr>
        <w:pStyle w:val="TOC2"/>
        <w:rPr>
          <w:rFonts w:asciiTheme="minorHAnsi" w:eastAsiaTheme="minorEastAsia" w:hAnsiTheme="minorHAnsi" w:cstheme="minorBidi"/>
          <w:color w:val="auto"/>
          <w:sz w:val="22"/>
          <w:szCs w:val="22"/>
        </w:rPr>
      </w:pPr>
      <w:hyperlink w:anchor="_Toc474414908" w:history="1">
        <w:r w:rsidR="003B1B3E" w:rsidRPr="00FF25CD">
          <w:rPr>
            <w:rStyle w:val="Hyperlink"/>
          </w:rPr>
          <w:t>3.2.</w:t>
        </w:r>
        <w:r w:rsidR="003B1B3E">
          <w:rPr>
            <w:rFonts w:asciiTheme="minorHAnsi" w:eastAsiaTheme="minorEastAsia" w:hAnsiTheme="minorHAnsi" w:cstheme="minorBidi"/>
            <w:color w:val="auto"/>
            <w:sz w:val="22"/>
            <w:szCs w:val="22"/>
          </w:rPr>
          <w:tab/>
        </w:r>
        <w:r w:rsidR="003B1B3E" w:rsidRPr="00FF25CD">
          <w:rPr>
            <w:rStyle w:val="Hyperlink"/>
          </w:rPr>
          <w:t>The UK’s Register of people with significant control</w:t>
        </w:r>
        <w:r w:rsidR="003B1B3E">
          <w:rPr>
            <w:webHidden/>
          </w:rPr>
          <w:tab/>
        </w:r>
        <w:r w:rsidR="003B1B3E">
          <w:rPr>
            <w:webHidden/>
          </w:rPr>
          <w:fldChar w:fldCharType="begin"/>
        </w:r>
        <w:r w:rsidR="003B1B3E">
          <w:rPr>
            <w:webHidden/>
          </w:rPr>
          <w:instrText xml:space="preserve"> PAGEREF _Toc474414908 \h </w:instrText>
        </w:r>
        <w:r w:rsidR="003B1B3E">
          <w:rPr>
            <w:webHidden/>
          </w:rPr>
        </w:r>
        <w:r w:rsidR="003B1B3E">
          <w:rPr>
            <w:webHidden/>
          </w:rPr>
          <w:fldChar w:fldCharType="separate"/>
        </w:r>
        <w:r w:rsidR="003B1B3E">
          <w:rPr>
            <w:webHidden/>
          </w:rPr>
          <w:t>8</w:t>
        </w:r>
        <w:r w:rsidR="003B1B3E">
          <w:rPr>
            <w:webHidden/>
          </w:rPr>
          <w:fldChar w:fldCharType="end"/>
        </w:r>
      </w:hyperlink>
    </w:p>
    <w:p w14:paraId="3861D170" w14:textId="77777777" w:rsidR="003B1B3E" w:rsidRDefault="0009357A">
      <w:pPr>
        <w:pStyle w:val="TOC2"/>
        <w:rPr>
          <w:rFonts w:asciiTheme="minorHAnsi" w:eastAsiaTheme="minorEastAsia" w:hAnsiTheme="minorHAnsi" w:cstheme="minorBidi"/>
          <w:color w:val="auto"/>
          <w:sz w:val="22"/>
          <w:szCs w:val="22"/>
        </w:rPr>
      </w:pPr>
      <w:hyperlink w:anchor="_Toc474414909" w:history="1">
        <w:r w:rsidR="003B1B3E" w:rsidRPr="00FF25CD">
          <w:rPr>
            <w:rStyle w:val="Hyperlink"/>
          </w:rPr>
          <w:t>3.3.</w:t>
        </w:r>
        <w:r w:rsidR="003B1B3E">
          <w:rPr>
            <w:rFonts w:asciiTheme="minorHAnsi" w:eastAsiaTheme="minorEastAsia" w:hAnsiTheme="minorHAnsi" w:cstheme="minorBidi"/>
            <w:color w:val="auto"/>
            <w:sz w:val="22"/>
            <w:szCs w:val="22"/>
          </w:rPr>
          <w:tab/>
        </w:r>
        <w:r w:rsidR="003B1B3E" w:rsidRPr="00FF25CD">
          <w:rPr>
            <w:rStyle w:val="Hyperlink"/>
          </w:rPr>
          <w:t>European Approaches</w:t>
        </w:r>
        <w:r w:rsidR="003B1B3E">
          <w:rPr>
            <w:webHidden/>
          </w:rPr>
          <w:tab/>
        </w:r>
        <w:r w:rsidR="003B1B3E">
          <w:rPr>
            <w:webHidden/>
          </w:rPr>
          <w:fldChar w:fldCharType="begin"/>
        </w:r>
        <w:r w:rsidR="003B1B3E">
          <w:rPr>
            <w:webHidden/>
          </w:rPr>
          <w:instrText xml:space="preserve"> PAGEREF _Toc474414909 \h </w:instrText>
        </w:r>
        <w:r w:rsidR="003B1B3E">
          <w:rPr>
            <w:webHidden/>
          </w:rPr>
        </w:r>
        <w:r w:rsidR="003B1B3E">
          <w:rPr>
            <w:webHidden/>
          </w:rPr>
          <w:fldChar w:fldCharType="separate"/>
        </w:r>
        <w:r w:rsidR="003B1B3E">
          <w:rPr>
            <w:webHidden/>
          </w:rPr>
          <w:t>10</w:t>
        </w:r>
        <w:r w:rsidR="003B1B3E">
          <w:rPr>
            <w:webHidden/>
          </w:rPr>
          <w:fldChar w:fldCharType="end"/>
        </w:r>
      </w:hyperlink>
    </w:p>
    <w:p w14:paraId="1BAC789A" w14:textId="77777777" w:rsidR="003B1B3E" w:rsidRDefault="0009357A">
      <w:pPr>
        <w:pStyle w:val="TOC1"/>
        <w:rPr>
          <w:rFonts w:asciiTheme="minorHAnsi" w:eastAsiaTheme="minorEastAsia" w:hAnsiTheme="minorHAnsi" w:cstheme="minorBidi"/>
          <w:b w:val="0"/>
          <w:color w:val="auto"/>
        </w:rPr>
      </w:pPr>
      <w:hyperlink w:anchor="_Toc474414910" w:history="1">
        <w:r w:rsidR="003B1B3E" w:rsidRPr="00FF25CD">
          <w:rPr>
            <w:rStyle w:val="Hyperlink"/>
          </w:rPr>
          <w:t>4.</w:t>
        </w:r>
        <w:r w:rsidR="003B1B3E">
          <w:rPr>
            <w:rFonts w:asciiTheme="minorHAnsi" w:eastAsiaTheme="minorEastAsia" w:hAnsiTheme="minorHAnsi" w:cstheme="minorBidi"/>
            <w:b w:val="0"/>
            <w:color w:val="auto"/>
          </w:rPr>
          <w:tab/>
        </w:r>
        <w:r w:rsidR="003B1B3E" w:rsidRPr="00FF25CD">
          <w:rPr>
            <w:rStyle w:val="Hyperlink"/>
          </w:rPr>
          <w:t>Increasing the transparency of beneficial ownership of Australian companies</w:t>
        </w:r>
        <w:r w:rsidR="003B1B3E">
          <w:rPr>
            <w:webHidden/>
          </w:rPr>
          <w:tab/>
        </w:r>
        <w:r w:rsidR="003B1B3E">
          <w:rPr>
            <w:webHidden/>
          </w:rPr>
          <w:fldChar w:fldCharType="begin"/>
        </w:r>
        <w:r w:rsidR="003B1B3E">
          <w:rPr>
            <w:webHidden/>
          </w:rPr>
          <w:instrText xml:space="preserve"> PAGEREF _Toc474414910 \h </w:instrText>
        </w:r>
        <w:r w:rsidR="003B1B3E">
          <w:rPr>
            <w:webHidden/>
          </w:rPr>
        </w:r>
        <w:r w:rsidR="003B1B3E">
          <w:rPr>
            <w:webHidden/>
          </w:rPr>
          <w:fldChar w:fldCharType="separate"/>
        </w:r>
        <w:r w:rsidR="003B1B3E">
          <w:rPr>
            <w:webHidden/>
          </w:rPr>
          <w:t>11</w:t>
        </w:r>
        <w:r w:rsidR="003B1B3E">
          <w:rPr>
            <w:webHidden/>
          </w:rPr>
          <w:fldChar w:fldCharType="end"/>
        </w:r>
      </w:hyperlink>
    </w:p>
    <w:p w14:paraId="429B674A" w14:textId="77777777" w:rsidR="003B1B3E" w:rsidRDefault="0009357A">
      <w:pPr>
        <w:pStyle w:val="TOC2"/>
        <w:rPr>
          <w:rFonts w:asciiTheme="minorHAnsi" w:eastAsiaTheme="minorEastAsia" w:hAnsiTheme="minorHAnsi" w:cstheme="minorBidi"/>
          <w:color w:val="auto"/>
          <w:sz w:val="22"/>
          <w:szCs w:val="22"/>
        </w:rPr>
      </w:pPr>
      <w:hyperlink w:anchor="_Toc474414911" w:history="1">
        <w:r w:rsidR="003B1B3E" w:rsidRPr="00FF25CD">
          <w:rPr>
            <w:rStyle w:val="Hyperlink"/>
          </w:rPr>
          <w:t>4.1.</w:t>
        </w:r>
        <w:r w:rsidR="003B1B3E">
          <w:rPr>
            <w:rFonts w:asciiTheme="minorHAnsi" w:eastAsiaTheme="minorEastAsia" w:hAnsiTheme="minorHAnsi" w:cstheme="minorBidi"/>
            <w:color w:val="auto"/>
            <w:sz w:val="22"/>
            <w:szCs w:val="22"/>
          </w:rPr>
          <w:tab/>
        </w:r>
        <w:r w:rsidR="003B1B3E" w:rsidRPr="00FF25CD">
          <w:rPr>
            <w:rStyle w:val="Hyperlink"/>
          </w:rPr>
          <w:t>Which companies are in scope?</w:t>
        </w:r>
        <w:r w:rsidR="003B1B3E">
          <w:rPr>
            <w:webHidden/>
          </w:rPr>
          <w:tab/>
        </w:r>
        <w:r w:rsidR="003B1B3E">
          <w:rPr>
            <w:webHidden/>
          </w:rPr>
          <w:fldChar w:fldCharType="begin"/>
        </w:r>
        <w:r w:rsidR="003B1B3E">
          <w:rPr>
            <w:webHidden/>
          </w:rPr>
          <w:instrText xml:space="preserve"> PAGEREF _Toc474414911 \h </w:instrText>
        </w:r>
        <w:r w:rsidR="003B1B3E">
          <w:rPr>
            <w:webHidden/>
          </w:rPr>
        </w:r>
        <w:r w:rsidR="003B1B3E">
          <w:rPr>
            <w:webHidden/>
          </w:rPr>
          <w:fldChar w:fldCharType="separate"/>
        </w:r>
        <w:r w:rsidR="003B1B3E">
          <w:rPr>
            <w:webHidden/>
          </w:rPr>
          <w:t>11</w:t>
        </w:r>
        <w:r w:rsidR="003B1B3E">
          <w:rPr>
            <w:webHidden/>
          </w:rPr>
          <w:fldChar w:fldCharType="end"/>
        </w:r>
      </w:hyperlink>
    </w:p>
    <w:p w14:paraId="5ED65653" w14:textId="77777777" w:rsidR="003B1B3E" w:rsidRDefault="0009357A">
      <w:pPr>
        <w:pStyle w:val="TOC2"/>
        <w:rPr>
          <w:rFonts w:asciiTheme="minorHAnsi" w:eastAsiaTheme="minorEastAsia" w:hAnsiTheme="minorHAnsi" w:cstheme="minorBidi"/>
          <w:color w:val="auto"/>
          <w:sz w:val="22"/>
          <w:szCs w:val="22"/>
        </w:rPr>
      </w:pPr>
      <w:hyperlink w:anchor="_Toc474414912" w:history="1">
        <w:r w:rsidR="003B1B3E" w:rsidRPr="00FF25CD">
          <w:rPr>
            <w:rStyle w:val="Hyperlink"/>
          </w:rPr>
          <w:t>4.2.</w:t>
        </w:r>
        <w:r w:rsidR="003B1B3E">
          <w:rPr>
            <w:rFonts w:asciiTheme="minorHAnsi" w:eastAsiaTheme="minorEastAsia" w:hAnsiTheme="minorHAnsi" w:cstheme="minorBidi"/>
            <w:color w:val="auto"/>
            <w:sz w:val="22"/>
            <w:szCs w:val="22"/>
          </w:rPr>
          <w:tab/>
        </w:r>
        <w:r w:rsidR="003B1B3E" w:rsidRPr="00FF25CD">
          <w:rPr>
            <w:rStyle w:val="Hyperlink"/>
          </w:rPr>
          <w:t>What beneficial ownership information should be captured?</w:t>
        </w:r>
        <w:r w:rsidR="003B1B3E">
          <w:rPr>
            <w:webHidden/>
          </w:rPr>
          <w:tab/>
        </w:r>
        <w:r w:rsidR="003B1B3E">
          <w:rPr>
            <w:webHidden/>
          </w:rPr>
          <w:fldChar w:fldCharType="begin"/>
        </w:r>
        <w:r w:rsidR="003B1B3E">
          <w:rPr>
            <w:webHidden/>
          </w:rPr>
          <w:instrText xml:space="preserve"> PAGEREF _Toc474414912 \h </w:instrText>
        </w:r>
        <w:r w:rsidR="003B1B3E">
          <w:rPr>
            <w:webHidden/>
          </w:rPr>
        </w:r>
        <w:r w:rsidR="003B1B3E">
          <w:rPr>
            <w:webHidden/>
          </w:rPr>
          <w:fldChar w:fldCharType="separate"/>
        </w:r>
        <w:r w:rsidR="003B1B3E">
          <w:rPr>
            <w:webHidden/>
          </w:rPr>
          <w:t>11</w:t>
        </w:r>
        <w:r w:rsidR="003B1B3E">
          <w:rPr>
            <w:webHidden/>
          </w:rPr>
          <w:fldChar w:fldCharType="end"/>
        </w:r>
      </w:hyperlink>
    </w:p>
    <w:p w14:paraId="5FBAA330" w14:textId="77777777" w:rsidR="003B1B3E" w:rsidRDefault="0009357A">
      <w:pPr>
        <w:pStyle w:val="TOC2"/>
        <w:rPr>
          <w:rFonts w:asciiTheme="minorHAnsi" w:eastAsiaTheme="minorEastAsia" w:hAnsiTheme="minorHAnsi" w:cstheme="minorBidi"/>
          <w:color w:val="auto"/>
          <w:sz w:val="22"/>
          <w:szCs w:val="22"/>
        </w:rPr>
      </w:pPr>
      <w:hyperlink w:anchor="_Toc474414913" w:history="1">
        <w:r w:rsidR="003B1B3E" w:rsidRPr="00FF25CD">
          <w:rPr>
            <w:rStyle w:val="Hyperlink"/>
          </w:rPr>
          <w:t>4.3.</w:t>
        </w:r>
        <w:r w:rsidR="003B1B3E">
          <w:rPr>
            <w:rFonts w:asciiTheme="minorHAnsi" w:eastAsiaTheme="minorEastAsia" w:hAnsiTheme="minorHAnsi" w:cstheme="minorBidi"/>
            <w:color w:val="auto"/>
            <w:sz w:val="22"/>
            <w:szCs w:val="22"/>
          </w:rPr>
          <w:tab/>
        </w:r>
        <w:r w:rsidR="003B1B3E" w:rsidRPr="00FF25CD">
          <w:rPr>
            <w:rStyle w:val="Hyperlink"/>
          </w:rPr>
          <w:t>How and where to record beneficial ownership information?</w:t>
        </w:r>
        <w:r w:rsidR="003B1B3E">
          <w:rPr>
            <w:webHidden/>
          </w:rPr>
          <w:tab/>
        </w:r>
        <w:r w:rsidR="003B1B3E">
          <w:rPr>
            <w:webHidden/>
          </w:rPr>
          <w:fldChar w:fldCharType="begin"/>
        </w:r>
        <w:r w:rsidR="003B1B3E">
          <w:rPr>
            <w:webHidden/>
          </w:rPr>
          <w:instrText xml:space="preserve"> PAGEREF _Toc474414913 \h </w:instrText>
        </w:r>
        <w:r w:rsidR="003B1B3E">
          <w:rPr>
            <w:webHidden/>
          </w:rPr>
        </w:r>
        <w:r w:rsidR="003B1B3E">
          <w:rPr>
            <w:webHidden/>
          </w:rPr>
          <w:fldChar w:fldCharType="separate"/>
        </w:r>
        <w:r w:rsidR="003B1B3E">
          <w:rPr>
            <w:webHidden/>
          </w:rPr>
          <w:t>14</w:t>
        </w:r>
        <w:r w:rsidR="003B1B3E">
          <w:rPr>
            <w:webHidden/>
          </w:rPr>
          <w:fldChar w:fldCharType="end"/>
        </w:r>
      </w:hyperlink>
    </w:p>
    <w:p w14:paraId="16135E01" w14:textId="77777777" w:rsidR="003B1B3E" w:rsidRDefault="0009357A">
      <w:pPr>
        <w:pStyle w:val="TOC2"/>
        <w:rPr>
          <w:rFonts w:asciiTheme="minorHAnsi" w:eastAsiaTheme="minorEastAsia" w:hAnsiTheme="minorHAnsi" w:cstheme="minorBidi"/>
          <w:color w:val="auto"/>
          <w:sz w:val="22"/>
          <w:szCs w:val="22"/>
        </w:rPr>
      </w:pPr>
      <w:hyperlink w:anchor="_Toc474414914" w:history="1">
        <w:r w:rsidR="003B1B3E" w:rsidRPr="00FF25CD">
          <w:rPr>
            <w:rStyle w:val="Hyperlink"/>
          </w:rPr>
          <w:t>4.4.</w:t>
        </w:r>
        <w:r w:rsidR="003B1B3E">
          <w:rPr>
            <w:rFonts w:asciiTheme="minorHAnsi" w:eastAsiaTheme="minorEastAsia" w:hAnsiTheme="minorHAnsi" w:cstheme="minorBidi"/>
            <w:color w:val="auto"/>
            <w:sz w:val="22"/>
            <w:szCs w:val="22"/>
          </w:rPr>
          <w:tab/>
        </w:r>
        <w:r w:rsidR="003B1B3E" w:rsidRPr="00FF25CD">
          <w:rPr>
            <w:rStyle w:val="Hyperlink"/>
          </w:rPr>
          <w:t>Other implementation and administration issues</w:t>
        </w:r>
        <w:r w:rsidR="003B1B3E">
          <w:rPr>
            <w:webHidden/>
          </w:rPr>
          <w:tab/>
        </w:r>
        <w:r w:rsidR="003B1B3E">
          <w:rPr>
            <w:webHidden/>
          </w:rPr>
          <w:fldChar w:fldCharType="begin"/>
        </w:r>
        <w:r w:rsidR="003B1B3E">
          <w:rPr>
            <w:webHidden/>
          </w:rPr>
          <w:instrText xml:space="preserve"> PAGEREF _Toc474414914 \h </w:instrText>
        </w:r>
        <w:r w:rsidR="003B1B3E">
          <w:rPr>
            <w:webHidden/>
          </w:rPr>
        </w:r>
        <w:r w:rsidR="003B1B3E">
          <w:rPr>
            <w:webHidden/>
          </w:rPr>
          <w:fldChar w:fldCharType="separate"/>
        </w:r>
        <w:r w:rsidR="003B1B3E">
          <w:rPr>
            <w:webHidden/>
          </w:rPr>
          <w:t>17</w:t>
        </w:r>
        <w:r w:rsidR="003B1B3E">
          <w:rPr>
            <w:webHidden/>
          </w:rPr>
          <w:fldChar w:fldCharType="end"/>
        </w:r>
      </w:hyperlink>
    </w:p>
    <w:p w14:paraId="0009FF9E" w14:textId="77777777" w:rsidR="003B1B3E" w:rsidRDefault="0009357A">
      <w:pPr>
        <w:pStyle w:val="TOC1"/>
        <w:rPr>
          <w:rFonts w:asciiTheme="minorHAnsi" w:eastAsiaTheme="minorEastAsia" w:hAnsiTheme="minorHAnsi" w:cstheme="minorBidi"/>
          <w:b w:val="0"/>
          <w:color w:val="auto"/>
        </w:rPr>
      </w:pPr>
      <w:hyperlink w:anchor="_Toc474414915" w:history="1">
        <w:r w:rsidR="003B1B3E" w:rsidRPr="00FF25CD">
          <w:rPr>
            <w:rStyle w:val="Hyperlink"/>
          </w:rPr>
          <w:t>5.</w:t>
        </w:r>
        <w:r w:rsidR="003B1B3E">
          <w:rPr>
            <w:rFonts w:asciiTheme="minorHAnsi" w:eastAsiaTheme="minorEastAsia" w:hAnsiTheme="minorHAnsi" w:cstheme="minorBidi"/>
            <w:b w:val="0"/>
            <w:color w:val="auto"/>
          </w:rPr>
          <w:tab/>
        </w:r>
        <w:r w:rsidR="003B1B3E" w:rsidRPr="00FF25CD">
          <w:rPr>
            <w:rStyle w:val="Hyperlink"/>
          </w:rPr>
          <w:t>Other beneficial ownership transparency issues</w:t>
        </w:r>
        <w:r w:rsidR="003B1B3E">
          <w:rPr>
            <w:webHidden/>
          </w:rPr>
          <w:tab/>
        </w:r>
        <w:r w:rsidR="003B1B3E">
          <w:rPr>
            <w:webHidden/>
          </w:rPr>
          <w:fldChar w:fldCharType="begin"/>
        </w:r>
        <w:r w:rsidR="003B1B3E">
          <w:rPr>
            <w:webHidden/>
          </w:rPr>
          <w:instrText xml:space="preserve"> PAGEREF _Toc474414915 \h </w:instrText>
        </w:r>
        <w:r w:rsidR="003B1B3E">
          <w:rPr>
            <w:webHidden/>
          </w:rPr>
        </w:r>
        <w:r w:rsidR="003B1B3E">
          <w:rPr>
            <w:webHidden/>
          </w:rPr>
          <w:fldChar w:fldCharType="separate"/>
        </w:r>
        <w:r w:rsidR="003B1B3E">
          <w:rPr>
            <w:webHidden/>
          </w:rPr>
          <w:t>19</w:t>
        </w:r>
        <w:r w:rsidR="003B1B3E">
          <w:rPr>
            <w:webHidden/>
          </w:rPr>
          <w:fldChar w:fldCharType="end"/>
        </w:r>
      </w:hyperlink>
    </w:p>
    <w:p w14:paraId="1AA00D2B" w14:textId="77777777" w:rsidR="003B1B3E" w:rsidRDefault="0009357A">
      <w:pPr>
        <w:pStyle w:val="TOC2"/>
        <w:rPr>
          <w:rFonts w:asciiTheme="minorHAnsi" w:eastAsiaTheme="minorEastAsia" w:hAnsiTheme="minorHAnsi" w:cstheme="minorBidi"/>
          <w:color w:val="auto"/>
          <w:sz w:val="22"/>
          <w:szCs w:val="22"/>
        </w:rPr>
      </w:pPr>
      <w:hyperlink w:anchor="_Toc474414916" w:history="1">
        <w:r w:rsidR="003B1B3E" w:rsidRPr="00FF25CD">
          <w:rPr>
            <w:rStyle w:val="Hyperlink"/>
          </w:rPr>
          <w:t>5.1.</w:t>
        </w:r>
        <w:r w:rsidR="003B1B3E">
          <w:rPr>
            <w:rFonts w:asciiTheme="minorHAnsi" w:eastAsiaTheme="minorEastAsia" w:hAnsiTheme="minorHAnsi" w:cstheme="minorBidi"/>
            <w:color w:val="auto"/>
            <w:sz w:val="22"/>
            <w:szCs w:val="22"/>
          </w:rPr>
          <w:tab/>
        </w:r>
        <w:r w:rsidR="003B1B3E" w:rsidRPr="00FF25CD">
          <w:rPr>
            <w:rStyle w:val="Hyperlink"/>
          </w:rPr>
          <w:t>Identifying those who can control listed companies</w:t>
        </w:r>
        <w:r w:rsidR="003B1B3E">
          <w:rPr>
            <w:webHidden/>
          </w:rPr>
          <w:tab/>
        </w:r>
        <w:r w:rsidR="003B1B3E">
          <w:rPr>
            <w:webHidden/>
          </w:rPr>
          <w:fldChar w:fldCharType="begin"/>
        </w:r>
        <w:r w:rsidR="003B1B3E">
          <w:rPr>
            <w:webHidden/>
          </w:rPr>
          <w:instrText xml:space="preserve"> PAGEREF _Toc474414916 \h </w:instrText>
        </w:r>
        <w:r w:rsidR="003B1B3E">
          <w:rPr>
            <w:webHidden/>
          </w:rPr>
        </w:r>
        <w:r w:rsidR="003B1B3E">
          <w:rPr>
            <w:webHidden/>
          </w:rPr>
          <w:fldChar w:fldCharType="separate"/>
        </w:r>
        <w:r w:rsidR="003B1B3E">
          <w:rPr>
            <w:webHidden/>
          </w:rPr>
          <w:t>19</w:t>
        </w:r>
        <w:r w:rsidR="003B1B3E">
          <w:rPr>
            <w:webHidden/>
          </w:rPr>
          <w:fldChar w:fldCharType="end"/>
        </w:r>
      </w:hyperlink>
    </w:p>
    <w:p w14:paraId="0925EA04" w14:textId="77777777" w:rsidR="003B1B3E" w:rsidRDefault="0009357A">
      <w:pPr>
        <w:pStyle w:val="TOC2"/>
        <w:rPr>
          <w:rFonts w:asciiTheme="minorHAnsi" w:eastAsiaTheme="minorEastAsia" w:hAnsiTheme="minorHAnsi" w:cstheme="minorBidi"/>
          <w:color w:val="auto"/>
          <w:sz w:val="22"/>
          <w:szCs w:val="22"/>
        </w:rPr>
      </w:pPr>
      <w:hyperlink w:anchor="_Toc474414917" w:history="1">
        <w:r w:rsidR="003B1B3E" w:rsidRPr="00FF25CD">
          <w:rPr>
            <w:rStyle w:val="Hyperlink"/>
          </w:rPr>
          <w:t>5.2.</w:t>
        </w:r>
        <w:r w:rsidR="003B1B3E">
          <w:rPr>
            <w:rFonts w:asciiTheme="minorHAnsi" w:eastAsiaTheme="minorEastAsia" w:hAnsiTheme="minorHAnsi" w:cstheme="minorBidi"/>
            <w:color w:val="auto"/>
            <w:sz w:val="22"/>
            <w:szCs w:val="22"/>
          </w:rPr>
          <w:tab/>
        </w:r>
        <w:r w:rsidR="003B1B3E" w:rsidRPr="00FF25CD">
          <w:rPr>
            <w:rStyle w:val="Hyperlink"/>
          </w:rPr>
          <w:t>Other aspects of implementing recommendation 24: Nominee Shareholders and Bearer Share Warrants</w:t>
        </w:r>
        <w:r w:rsidR="003B1B3E">
          <w:rPr>
            <w:webHidden/>
          </w:rPr>
          <w:tab/>
        </w:r>
        <w:r w:rsidR="003B1B3E">
          <w:rPr>
            <w:webHidden/>
          </w:rPr>
          <w:fldChar w:fldCharType="begin"/>
        </w:r>
        <w:r w:rsidR="003B1B3E">
          <w:rPr>
            <w:webHidden/>
          </w:rPr>
          <w:instrText xml:space="preserve"> PAGEREF _Toc474414917 \h </w:instrText>
        </w:r>
        <w:r w:rsidR="003B1B3E">
          <w:rPr>
            <w:webHidden/>
          </w:rPr>
        </w:r>
        <w:r w:rsidR="003B1B3E">
          <w:rPr>
            <w:webHidden/>
          </w:rPr>
          <w:fldChar w:fldCharType="separate"/>
        </w:r>
        <w:r w:rsidR="003B1B3E">
          <w:rPr>
            <w:webHidden/>
          </w:rPr>
          <w:t>20</w:t>
        </w:r>
        <w:r w:rsidR="003B1B3E">
          <w:rPr>
            <w:webHidden/>
          </w:rPr>
          <w:fldChar w:fldCharType="end"/>
        </w:r>
      </w:hyperlink>
    </w:p>
    <w:p w14:paraId="645E65A3" w14:textId="464E3596" w:rsidR="0056559F" w:rsidRPr="00DB7F53" w:rsidRDefault="00257B1D" w:rsidP="00DB7F53">
      <w:r>
        <w:fldChar w:fldCharType="end"/>
      </w:r>
    </w:p>
    <w:p w14:paraId="146DFFB3" w14:textId="77777777" w:rsidR="00F30068" w:rsidRDefault="00F30068"/>
    <w:p w14:paraId="14C557C5" w14:textId="77777777" w:rsidR="00257B1D" w:rsidRDefault="00257B1D"/>
    <w:p w14:paraId="71C4D9F5" w14:textId="77777777" w:rsidR="00257B1D" w:rsidRDefault="00257B1D">
      <w:pPr>
        <w:sectPr w:rsidR="00257B1D" w:rsidSect="00CE25B6">
          <w:footerReference w:type="first" r:id="rId21"/>
          <w:type w:val="oddPage"/>
          <w:pgSz w:w="11906" w:h="16838" w:code="9"/>
          <w:pgMar w:top="1418" w:right="1418" w:bottom="1418" w:left="1418" w:header="709" w:footer="709" w:gutter="0"/>
          <w:pgNumType w:fmt="lowerRoman"/>
          <w:cols w:space="708"/>
          <w:titlePg/>
          <w:docGrid w:linePitch="360"/>
        </w:sectPr>
      </w:pPr>
    </w:p>
    <w:p w14:paraId="5AF73591" w14:textId="77777777" w:rsidR="00F30068" w:rsidRPr="00CE25B6" w:rsidRDefault="00F30068" w:rsidP="00CE25B6">
      <w:pPr>
        <w:pStyle w:val="Heading1"/>
      </w:pPr>
      <w:bookmarkStart w:id="1" w:name="_Toc463518741"/>
      <w:bookmarkStart w:id="2" w:name="_Toc464207015"/>
      <w:bookmarkStart w:id="3" w:name="_Toc464815093"/>
      <w:bookmarkStart w:id="4" w:name="_Toc474414898"/>
      <w:r w:rsidRPr="00CE25B6">
        <w:lastRenderedPageBreak/>
        <w:t>Consultation Process</w:t>
      </w:r>
      <w:bookmarkEnd w:id="1"/>
      <w:bookmarkEnd w:id="2"/>
      <w:bookmarkEnd w:id="3"/>
      <w:bookmarkEnd w:id="4"/>
    </w:p>
    <w:p w14:paraId="58CED6B6" w14:textId="77777777" w:rsidR="00F30068" w:rsidRDefault="00F30068" w:rsidP="0045753C">
      <w:pPr>
        <w:pStyle w:val="Heading2-NoTOC"/>
      </w:pPr>
      <w:bookmarkStart w:id="5" w:name="_Toc463518742"/>
      <w:bookmarkStart w:id="6" w:name="_Toc464207016"/>
      <w:bookmarkStart w:id="7" w:name="_Toc464815094"/>
      <w:bookmarkStart w:id="8" w:name="_Toc466542579"/>
      <w:r>
        <w:t>Request for feedback and comments</w:t>
      </w:r>
      <w:bookmarkEnd w:id="5"/>
      <w:bookmarkEnd w:id="6"/>
      <w:bookmarkEnd w:id="7"/>
      <w:bookmarkEnd w:id="8"/>
    </w:p>
    <w:p w14:paraId="120FF88F" w14:textId="061E3195" w:rsidR="00F30068" w:rsidRDefault="003C7ABA" w:rsidP="00F30068">
      <w:pPr>
        <w:rPr>
          <w:rFonts w:cs="Arial"/>
        </w:rPr>
      </w:pPr>
      <w:r>
        <w:rPr>
          <w:rFonts w:cs="Arial"/>
        </w:rPr>
        <w:t xml:space="preserve">The Australian Government (the Government) welcomes feedback from all interested stakeholders on the issues outlined </w:t>
      </w:r>
      <w:r w:rsidR="0002387F">
        <w:rPr>
          <w:rFonts w:cs="Arial"/>
        </w:rPr>
        <w:t>in this</w:t>
      </w:r>
      <w:r w:rsidR="00451DF5">
        <w:rPr>
          <w:rFonts w:cs="Arial"/>
        </w:rPr>
        <w:t xml:space="preserve"> consultation</w:t>
      </w:r>
      <w:r w:rsidR="0002387F">
        <w:rPr>
          <w:rFonts w:cs="Arial"/>
        </w:rPr>
        <w:t xml:space="preserve"> paper.</w:t>
      </w:r>
    </w:p>
    <w:p w14:paraId="0D071A72" w14:textId="619B1560" w:rsidR="0002387F" w:rsidRDefault="0002387F" w:rsidP="00F30068">
      <w:pPr>
        <w:rPr>
          <w:rFonts w:cs="Arial"/>
        </w:rPr>
      </w:pPr>
      <w:r>
        <w:rPr>
          <w:rFonts w:cs="Arial"/>
        </w:rPr>
        <w:t>The</w:t>
      </w:r>
      <w:r w:rsidR="00451DF5">
        <w:rPr>
          <w:rFonts w:cs="Arial"/>
        </w:rPr>
        <w:t xml:space="preserve"> consultation</w:t>
      </w:r>
      <w:r>
        <w:rPr>
          <w:rFonts w:cs="Arial"/>
        </w:rPr>
        <w:t xml:space="preserve"> paper contains several focus questions. Stakeholders are invited to address any issue raised in this paper and should not feel obliged to address every question. The information obtained through this process will inform the Government’s approach to the way forward.</w:t>
      </w:r>
    </w:p>
    <w:p w14:paraId="09BF43C5" w14:textId="3F741B56" w:rsidR="00F30068" w:rsidRDefault="00F30068" w:rsidP="00CE25B6">
      <w:pPr>
        <w:pStyle w:val="Heading3-NoTOC"/>
      </w:pPr>
      <w:r>
        <w:t xml:space="preserve">Closing date for submissions: </w:t>
      </w:r>
      <w:r w:rsidR="00E72C18">
        <w:t xml:space="preserve">13 </w:t>
      </w:r>
      <w:r w:rsidR="00D54AE1">
        <w:t xml:space="preserve">March 2017 </w:t>
      </w:r>
    </w:p>
    <w:p w14:paraId="5E82560A" w14:textId="5D02A572" w:rsidR="00257B1D" w:rsidRDefault="00257B1D" w:rsidP="00CE25B6">
      <w:pPr>
        <w:tabs>
          <w:tab w:val="left" w:pos="1276"/>
        </w:tabs>
      </w:pPr>
      <w:r>
        <w:t>Email:</w:t>
      </w:r>
      <w:r>
        <w:tab/>
      </w:r>
      <w:hyperlink r:id="rId22" w:history="1">
        <w:r w:rsidRPr="00CE25B6">
          <w:rPr>
            <w:rStyle w:val="Hyperlink"/>
          </w:rPr>
          <w:t>beneficialownership@treasury.gov.au</w:t>
        </w:r>
      </w:hyperlink>
    </w:p>
    <w:p w14:paraId="64E2A1F5" w14:textId="4FEFF3D6" w:rsidR="00257B1D" w:rsidRDefault="00257B1D" w:rsidP="00CE25B6">
      <w:pPr>
        <w:tabs>
          <w:tab w:val="left" w:pos="1276"/>
        </w:tabs>
        <w:jc w:val="left"/>
      </w:pPr>
      <w:r>
        <w:t>Mail:</w:t>
      </w:r>
      <w:r>
        <w:tab/>
      </w:r>
      <w:r w:rsidRPr="00A104D6">
        <w:t>Ms Jodi Keall</w:t>
      </w:r>
      <w:r>
        <w:br/>
      </w:r>
      <w:r>
        <w:tab/>
        <w:t>Senior Adviser</w:t>
      </w:r>
      <w:r>
        <w:br/>
      </w:r>
      <w:r>
        <w:tab/>
        <w:t>Financial System Division</w:t>
      </w:r>
      <w:r>
        <w:br/>
      </w:r>
      <w:r>
        <w:tab/>
      </w:r>
      <w:r w:rsidRPr="0028555E">
        <w:t>100 Market Street</w:t>
      </w:r>
      <w:r>
        <w:br/>
      </w:r>
      <w:r>
        <w:tab/>
      </w:r>
      <w:r w:rsidRPr="0028555E">
        <w:t>Sydney NSW 200</w:t>
      </w:r>
    </w:p>
    <w:p w14:paraId="28788BB8" w14:textId="1A5EECE2" w:rsidR="00257B1D" w:rsidRDefault="00257B1D" w:rsidP="00CE25B6">
      <w:pPr>
        <w:tabs>
          <w:tab w:val="left" w:pos="1276"/>
        </w:tabs>
      </w:pPr>
      <w:r>
        <w:t>Enq</w:t>
      </w:r>
      <w:r>
        <w:rPr>
          <w:rStyle w:val="SingleParagraphChar"/>
          <w:rFonts w:cs="Arial"/>
        </w:rPr>
        <w:t>u</w:t>
      </w:r>
      <w:r>
        <w:t>iries:</w:t>
      </w:r>
      <w:r>
        <w:tab/>
        <w:t>Enq</w:t>
      </w:r>
      <w:r w:rsidR="003F439D">
        <w:t>uiries can be</w:t>
      </w:r>
      <w:r>
        <w:t xml:space="preserve"> directed to Jodi Keall</w:t>
      </w:r>
    </w:p>
    <w:p w14:paraId="75D07D0B" w14:textId="504B9931" w:rsidR="00257B1D" w:rsidRDefault="00257B1D" w:rsidP="00CE25B6">
      <w:pPr>
        <w:tabs>
          <w:tab w:val="left" w:pos="1276"/>
        </w:tabs>
      </w:pPr>
      <w:r>
        <w:t>Phone:</w:t>
      </w:r>
      <w:r>
        <w:tab/>
        <w:t>02 6263 2311</w:t>
      </w:r>
    </w:p>
    <w:p w14:paraId="77673DAF" w14:textId="77777777" w:rsidR="00081B05" w:rsidRPr="00081B05" w:rsidRDefault="00081B05" w:rsidP="0045753C">
      <w:pPr>
        <w:pStyle w:val="Heading2-NoTOC"/>
      </w:pPr>
      <w:r w:rsidRPr="00081B05">
        <w:t>Notes to participants</w:t>
      </w:r>
    </w:p>
    <w:p w14:paraId="675E3E2C" w14:textId="747A73FD" w:rsidR="0056559F" w:rsidRDefault="00081B05" w:rsidP="00081B05">
      <w:r w:rsidRPr="00081B05">
        <w:t>The principles outlined in this paper have not received Gover</w:t>
      </w:r>
      <w:r w:rsidR="003F439D">
        <w:t>nment approval and are</w:t>
      </w:r>
      <w:r w:rsidRPr="00081B05">
        <w:t xml:space="preserve"> not yet law. As a consequence, this paper is merely</w:t>
      </w:r>
      <w:r w:rsidR="00C2741F">
        <w:t xml:space="preserve"> seeking feedback to inform further policy development</w:t>
      </w:r>
      <w:r w:rsidRPr="00081B05">
        <w:t>.</w:t>
      </w:r>
    </w:p>
    <w:p w14:paraId="25841C17" w14:textId="77777777" w:rsidR="00F30068" w:rsidRDefault="00F30068" w:rsidP="0056559F"/>
    <w:p w14:paraId="58366CBB" w14:textId="77777777" w:rsidR="0056559F" w:rsidRPr="0056559F" w:rsidRDefault="0056559F" w:rsidP="0056559F">
      <w:pPr>
        <w:sectPr w:rsidR="0056559F" w:rsidRPr="0056559F" w:rsidSect="00CE25B6">
          <w:footerReference w:type="first" r:id="rId23"/>
          <w:pgSz w:w="11906" w:h="16838" w:code="9"/>
          <w:pgMar w:top="1418" w:right="1418" w:bottom="1418" w:left="1418" w:header="709" w:footer="709" w:gutter="0"/>
          <w:pgNumType w:fmt="lowerRoman"/>
          <w:cols w:space="708"/>
          <w:titlePg/>
          <w:docGrid w:linePitch="360"/>
        </w:sectPr>
      </w:pPr>
    </w:p>
    <w:p w14:paraId="2E194B53" w14:textId="769D7E0A" w:rsidR="003D2A23" w:rsidRPr="00537289" w:rsidRDefault="00D34223" w:rsidP="00CE25B6">
      <w:pPr>
        <w:pStyle w:val="Heading1"/>
      </w:pPr>
      <w:bookmarkStart w:id="9" w:name="_Toc463518743"/>
      <w:bookmarkStart w:id="10" w:name="_Toc464207017"/>
      <w:bookmarkStart w:id="11" w:name="_Toc466542580"/>
      <w:bookmarkStart w:id="12" w:name="_Toc474414899"/>
      <w:r w:rsidRPr="00537289">
        <w:lastRenderedPageBreak/>
        <w:t>Foreword</w:t>
      </w:r>
      <w:bookmarkEnd w:id="9"/>
      <w:bookmarkEnd w:id="10"/>
      <w:bookmarkEnd w:id="11"/>
      <w:bookmarkEnd w:id="12"/>
    </w:p>
    <w:p w14:paraId="05C59B6D" w14:textId="42FB4FD2" w:rsidR="001F5F59" w:rsidRDefault="00AB601E" w:rsidP="00AB601E">
      <w:r w:rsidRPr="0034076D">
        <w:rPr>
          <w:noProof/>
          <w:spacing w:val="-2"/>
        </w:rPr>
        <w:drawing>
          <wp:anchor distT="0" distB="0" distL="114300" distR="114300" simplePos="0" relativeHeight="251658240" behindDoc="0" locked="0" layoutInCell="1" allowOverlap="1" wp14:anchorId="4C5752DC" wp14:editId="0D827B30">
            <wp:simplePos x="0" y="0"/>
            <wp:positionH relativeFrom="column">
              <wp:posOffset>8255</wp:posOffset>
            </wp:positionH>
            <wp:positionV relativeFrom="paragraph">
              <wp:posOffset>57150</wp:posOffset>
            </wp:positionV>
            <wp:extent cx="1939925" cy="2154555"/>
            <wp:effectExtent l="0" t="0" r="3175" b="0"/>
            <wp:wrapSquare wrapText="bothSides"/>
            <wp:docPr id="33" name="Picture 33" descr="Photo of the Minister for Revenue and Financial Services - Kelly O'Dwyer MP." title="Photo of Min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gins - kelly odwyer - 160503.jpg"/>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1939925" cy="2154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5F59" w:rsidRPr="0034076D">
        <w:rPr>
          <w:spacing w:val="-2"/>
        </w:rPr>
        <w:t>Australia has a strong reputation for high levels of transparency and accountability in business practice. Internationally the Australian Government has been active (and in many cases a leader) in anti-corruption efforts and cooperation regarding tax evasion and tax transparency</w:t>
      </w:r>
      <w:r w:rsidR="001F5F59">
        <w:t>.</w:t>
      </w:r>
    </w:p>
    <w:p w14:paraId="08E86471" w14:textId="2B9CE1FD" w:rsidR="001F5F59" w:rsidRPr="0034076D" w:rsidRDefault="001F5F59" w:rsidP="00CE25B6">
      <w:pPr>
        <w:rPr>
          <w:spacing w:val="-2"/>
        </w:rPr>
      </w:pPr>
      <w:r w:rsidRPr="0034076D">
        <w:rPr>
          <w:spacing w:val="-2"/>
        </w:rPr>
        <w:t>The development of the G20 High-Level Principles on Ben</w:t>
      </w:r>
      <w:r w:rsidR="00D16C30" w:rsidRPr="0034076D">
        <w:rPr>
          <w:spacing w:val="-2"/>
        </w:rPr>
        <w:t xml:space="preserve">eficial Ownership Transparency, </w:t>
      </w:r>
      <w:r w:rsidRPr="0034076D">
        <w:rPr>
          <w:spacing w:val="-2"/>
        </w:rPr>
        <w:t>subsequently endorsed by G20 Leaders at the 2014 Summit, was a key outcome for the Australian Presidency.</w:t>
      </w:r>
    </w:p>
    <w:p w14:paraId="5661ED3C" w14:textId="77945C82" w:rsidR="001F5F59" w:rsidRPr="0034076D" w:rsidRDefault="001F5F59" w:rsidP="00CE25B6">
      <w:pPr>
        <w:rPr>
          <w:spacing w:val="-2"/>
        </w:rPr>
      </w:pPr>
      <w:r w:rsidRPr="0034076D">
        <w:rPr>
          <w:spacing w:val="-2"/>
        </w:rPr>
        <w:t>In May 2016 the Government announced at the UK</w:t>
      </w:r>
      <w:r w:rsidR="00AB601E" w:rsidRPr="0034076D">
        <w:rPr>
          <w:spacing w:val="-2"/>
        </w:rPr>
        <w:br/>
      </w:r>
      <w:r w:rsidRPr="0034076D">
        <w:rPr>
          <w:spacing w:val="-2"/>
        </w:rPr>
        <w:t>Anti-Corruption Summit that it would explore</w:t>
      </w:r>
      <w:r w:rsidR="00D16C30" w:rsidRPr="0034076D">
        <w:rPr>
          <w:spacing w:val="-2"/>
        </w:rPr>
        <w:t>,</w:t>
      </w:r>
      <w:r w:rsidRPr="0034076D">
        <w:rPr>
          <w:spacing w:val="-2"/>
        </w:rPr>
        <w:t xml:space="preserve"> via public consultation</w:t>
      </w:r>
      <w:r w:rsidR="00D16C30" w:rsidRPr="0034076D">
        <w:rPr>
          <w:spacing w:val="-2"/>
        </w:rPr>
        <w:t>,</w:t>
      </w:r>
      <w:r w:rsidRPr="0034076D">
        <w:rPr>
          <w:spacing w:val="-2"/>
        </w:rPr>
        <w:t xml:space="preserve"> options for a beneficial ownership register for companies. The Government reaffirmed as part of the Open Government Partnership National Action Plan released on </w:t>
      </w:r>
      <w:r w:rsidR="00267E24" w:rsidRPr="0034076D">
        <w:rPr>
          <w:spacing w:val="-2"/>
        </w:rPr>
        <w:t>7</w:t>
      </w:r>
      <w:r w:rsidR="00AB601E" w:rsidRPr="0034076D">
        <w:rPr>
          <w:spacing w:val="-2"/>
        </w:rPr>
        <w:t> </w:t>
      </w:r>
      <w:r w:rsidRPr="0034076D">
        <w:rPr>
          <w:spacing w:val="-2"/>
        </w:rPr>
        <w:t>December 2016 that it would consult publicly on the details, scope and implementation of a register.</w:t>
      </w:r>
    </w:p>
    <w:p w14:paraId="05D6FAC1" w14:textId="43FBCD48" w:rsidR="001F5F59" w:rsidRPr="0034076D" w:rsidRDefault="001F5F59" w:rsidP="00CE25B6">
      <w:pPr>
        <w:rPr>
          <w:spacing w:val="-2"/>
        </w:rPr>
      </w:pPr>
      <w:r w:rsidRPr="0034076D">
        <w:rPr>
          <w:spacing w:val="-2"/>
        </w:rPr>
        <w:t>Improving transparency around who owns, controls and ben</w:t>
      </w:r>
      <w:r w:rsidR="00D16C30" w:rsidRPr="0034076D">
        <w:rPr>
          <w:spacing w:val="-2"/>
        </w:rPr>
        <w:t>efits from companies will assist</w:t>
      </w:r>
      <w:r w:rsidRPr="0034076D">
        <w:rPr>
          <w:spacing w:val="-2"/>
        </w:rPr>
        <w:t xml:space="preserve"> </w:t>
      </w:r>
      <w:r w:rsidR="00DF190D" w:rsidRPr="0034076D">
        <w:rPr>
          <w:spacing w:val="-2"/>
        </w:rPr>
        <w:t>with</w:t>
      </w:r>
      <w:r w:rsidRPr="0034076D">
        <w:rPr>
          <w:spacing w:val="-2"/>
        </w:rPr>
        <w:t xml:space="preserve"> preventing the misuse of companies for illicit activities including tax evasion, money laundering, b</w:t>
      </w:r>
      <w:r w:rsidR="00AF2178" w:rsidRPr="0034076D">
        <w:rPr>
          <w:spacing w:val="-2"/>
        </w:rPr>
        <w:t>ribery, corruption and terrorism</w:t>
      </w:r>
      <w:r w:rsidRPr="0034076D">
        <w:rPr>
          <w:spacing w:val="-2"/>
        </w:rPr>
        <w:t xml:space="preserve"> financing.</w:t>
      </w:r>
    </w:p>
    <w:p w14:paraId="7AFEAB17" w14:textId="21ABC660" w:rsidR="001F5F59" w:rsidRPr="0034076D" w:rsidRDefault="001F5F59" w:rsidP="00CE25B6">
      <w:pPr>
        <w:rPr>
          <w:spacing w:val="-2"/>
        </w:rPr>
      </w:pPr>
      <w:r w:rsidRPr="0034076D">
        <w:rPr>
          <w:spacing w:val="-2"/>
        </w:rPr>
        <w:t xml:space="preserve">This consultation paper seeks views on how </w:t>
      </w:r>
      <w:r w:rsidR="00267E24" w:rsidRPr="0034076D">
        <w:rPr>
          <w:spacing w:val="-2"/>
        </w:rPr>
        <w:t xml:space="preserve">to </w:t>
      </w:r>
      <w:r w:rsidRPr="0034076D">
        <w:rPr>
          <w:spacing w:val="-2"/>
        </w:rPr>
        <w:t xml:space="preserve">increase </w:t>
      </w:r>
      <w:r w:rsidR="00267E24" w:rsidRPr="0034076D">
        <w:rPr>
          <w:spacing w:val="-2"/>
        </w:rPr>
        <w:t xml:space="preserve">transparency of the beneficial ownership of companies </w:t>
      </w:r>
      <w:r w:rsidRPr="0034076D">
        <w:rPr>
          <w:spacing w:val="-2"/>
        </w:rPr>
        <w:t xml:space="preserve">for relevant authorities </w:t>
      </w:r>
      <w:r w:rsidR="00267E24" w:rsidRPr="0034076D">
        <w:rPr>
          <w:spacing w:val="-2"/>
        </w:rPr>
        <w:t xml:space="preserve">in order to </w:t>
      </w:r>
      <w:r w:rsidRPr="0034076D">
        <w:rPr>
          <w:spacing w:val="-2"/>
        </w:rPr>
        <w:t>combat illicit activities. The Government is seeking feedback on</w:t>
      </w:r>
      <w:r w:rsidR="00267E24" w:rsidRPr="0034076D">
        <w:rPr>
          <w:spacing w:val="-2"/>
        </w:rPr>
        <w:t xml:space="preserve"> what information </w:t>
      </w:r>
      <w:r w:rsidR="00D91609" w:rsidRPr="0034076D">
        <w:rPr>
          <w:spacing w:val="-2"/>
        </w:rPr>
        <w:t>needs to</w:t>
      </w:r>
      <w:r w:rsidR="00267E24" w:rsidRPr="0034076D">
        <w:rPr>
          <w:spacing w:val="-2"/>
        </w:rPr>
        <w:t xml:space="preserve"> be collected</w:t>
      </w:r>
      <w:r w:rsidR="00D91609" w:rsidRPr="0034076D">
        <w:rPr>
          <w:spacing w:val="-2"/>
        </w:rPr>
        <w:t xml:space="preserve"> to achieve this objective</w:t>
      </w:r>
      <w:r w:rsidR="00FC0C12" w:rsidRPr="0034076D">
        <w:rPr>
          <w:spacing w:val="-2"/>
        </w:rPr>
        <w:t xml:space="preserve"> and</w:t>
      </w:r>
      <w:r w:rsidR="00907FE5" w:rsidRPr="0034076D">
        <w:rPr>
          <w:spacing w:val="-2"/>
        </w:rPr>
        <w:t xml:space="preserve"> how it should be </w:t>
      </w:r>
      <w:r w:rsidR="00FC0C12" w:rsidRPr="0034076D">
        <w:rPr>
          <w:spacing w:val="-2"/>
        </w:rPr>
        <w:t xml:space="preserve">collected, </w:t>
      </w:r>
      <w:r w:rsidR="00B41CD1" w:rsidRPr="0034076D">
        <w:rPr>
          <w:spacing w:val="-2"/>
        </w:rPr>
        <w:t xml:space="preserve">stored </w:t>
      </w:r>
      <w:r w:rsidR="00907FE5" w:rsidRPr="0034076D">
        <w:rPr>
          <w:spacing w:val="-2"/>
        </w:rPr>
        <w:t xml:space="preserve">and kept up to date. We also seek feedback on </w:t>
      </w:r>
      <w:r w:rsidRPr="0034076D">
        <w:rPr>
          <w:spacing w:val="-2"/>
        </w:rPr>
        <w:t>the expected compliance</w:t>
      </w:r>
      <w:r w:rsidR="005B6150" w:rsidRPr="0034076D">
        <w:rPr>
          <w:spacing w:val="-2"/>
        </w:rPr>
        <w:t xml:space="preserve"> costs</w:t>
      </w:r>
      <w:r w:rsidRPr="0034076D">
        <w:rPr>
          <w:spacing w:val="-2"/>
        </w:rPr>
        <w:t xml:space="preserve"> for affected parties.</w:t>
      </w:r>
    </w:p>
    <w:p w14:paraId="16F69229" w14:textId="393AACB1" w:rsidR="001F5F59" w:rsidRPr="0034076D" w:rsidRDefault="001F5F59" w:rsidP="00CE25B6">
      <w:pPr>
        <w:rPr>
          <w:spacing w:val="-2"/>
        </w:rPr>
      </w:pPr>
      <w:r w:rsidRPr="0034076D">
        <w:rPr>
          <w:spacing w:val="-2"/>
        </w:rPr>
        <w:t>The submissions to this consultation paper will inform the Government’s decision about reforms to improve transparency of ben</w:t>
      </w:r>
      <w:r w:rsidR="00DB7F53">
        <w:rPr>
          <w:spacing w:val="-2"/>
        </w:rPr>
        <w:t>eficial ownership of companies.</w:t>
      </w:r>
    </w:p>
    <w:p w14:paraId="0C51EBAA" w14:textId="35A8B037" w:rsidR="001F5F59" w:rsidRPr="0034076D" w:rsidRDefault="001F5F59" w:rsidP="00CE25B6">
      <w:pPr>
        <w:rPr>
          <w:spacing w:val="-2"/>
        </w:rPr>
      </w:pPr>
      <w:r w:rsidRPr="0034076D">
        <w:rPr>
          <w:spacing w:val="-2"/>
        </w:rPr>
        <w:t xml:space="preserve">I encourage all those who have an interest in improving beneficial ownership transparency for companies to provide their feedback. </w:t>
      </w:r>
      <w:r w:rsidR="005D7E73" w:rsidRPr="0034076D">
        <w:rPr>
          <w:spacing w:val="-2"/>
        </w:rPr>
        <w:t>The deadline for submissions is</w:t>
      </w:r>
      <w:r w:rsidR="00E72C18" w:rsidRPr="00E72C18">
        <w:rPr>
          <w:spacing w:val="-2"/>
        </w:rPr>
        <w:t xml:space="preserve"> 13 </w:t>
      </w:r>
      <w:r w:rsidR="005D7E73" w:rsidRPr="00E72C18">
        <w:rPr>
          <w:spacing w:val="-2"/>
        </w:rPr>
        <w:t>March 2017</w:t>
      </w:r>
      <w:r w:rsidR="005D7E73" w:rsidRPr="0034076D">
        <w:rPr>
          <w:spacing w:val="-2"/>
        </w:rPr>
        <w:t>.</w:t>
      </w:r>
    </w:p>
    <w:p w14:paraId="079ED022" w14:textId="1FB9A6B2" w:rsidR="009E55E2" w:rsidRDefault="00992366" w:rsidP="003B1B3E">
      <w:pPr>
        <w:pStyle w:val="ChartGraphic"/>
        <w:spacing w:before="300" w:after="180"/>
        <w:ind w:left="-142"/>
        <w:jc w:val="left"/>
      </w:pPr>
      <w:r>
        <w:rPr>
          <w:noProof/>
        </w:rPr>
        <w:drawing>
          <wp:inline distT="0" distB="0" distL="0" distR="0" wp14:anchorId="303CC12C" wp14:editId="0361137D">
            <wp:extent cx="1638300" cy="7794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 Odwyer_Signature.tif"/>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1643642" cy="781957"/>
                    </a:xfrm>
                    <a:prstGeom prst="rect">
                      <a:avLst/>
                    </a:prstGeom>
                    <a:ln>
                      <a:noFill/>
                    </a:ln>
                    <a:extLst>
                      <a:ext uri="{53640926-AAD7-44D8-BBD7-CCE9431645EC}">
                        <a14:shadowObscured xmlns:a14="http://schemas.microsoft.com/office/drawing/2010/main"/>
                      </a:ext>
                    </a:extLst>
                  </pic:spPr>
                </pic:pic>
              </a:graphicData>
            </a:graphic>
          </wp:inline>
        </w:drawing>
      </w:r>
    </w:p>
    <w:p w14:paraId="71E9C046" w14:textId="77777777" w:rsidR="00E7359B" w:rsidRPr="0034076D" w:rsidRDefault="00445C1B" w:rsidP="00AB601E">
      <w:pPr>
        <w:jc w:val="left"/>
        <w:rPr>
          <w:spacing w:val="-2"/>
        </w:rPr>
      </w:pPr>
      <w:r w:rsidRPr="0034076D">
        <w:rPr>
          <w:spacing w:val="-2"/>
        </w:rPr>
        <w:t>The Hon Kelly O’Dwyer MP</w:t>
      </w:r>
      <w:r w:rsidRPr="0034076D">
        <w:rPr>
          <w:spacing w:val="-2"/>
        </w:rPr>
        <w:br/>
        <w:t>Minister for Revenue and Financial Services</w:t>
      </w:r>
    </w:p>
    <w:p w14:paraId="14A2AAD5" w14:textId="77777777" w:rsidR="0034076D" w:rsidRDefault="0034076D" w:rsidP="00AB601E">
      <w:pPr>
        <w:jc w:val="left"/>
      </w:pPr>
    </w:p>
    <w:p w14:paraId="3F8075C0" w14:textId="77777777" w:rsidR="0034076D" w:rsidRDefault="0034076D" w:rsidP="00AB601E">
      <w:pPr>
        <w:jc w:val="left"/>
        <w:sectPr w:rsidR="0034076D" w:rsidSect="00FD36DE">
          <w:footerReference w:type="first" r:id="rId26"/>
          <w:pgSz w:w="11906" w:h="16838" w:code="9"/>
          <w:pgMar w:top="1418" w:right="1418" w:bottom="1418" w:left="1418" w:header="709" w:footer="510" w:gutter="0"/>
          <w:pgNumType w:fmt="lowerRoman"/>
          <w:cols w:space="708"/>
          <w:titlePg/>
          <w:docGrid w:linePitch="360"/>
        </w:sectPr>
      </w:pPr>
    </w:p>
    <w:p w14:paraId="4E866944" w14:textId="3AC2307E" w:rsidR="0062775B" w:rsidRDefault="003A22B3" w:rsidP="00CE25B6">
      <w:pPr>
        <w:pStyle w:val="Heading1-Numbered"/>
      </w:pPr>
      <w:bookmarkStart w:id="13" w:name="_Toc306887371"/>
      <w:bookmarkStart w:id="14" w:name="_Toc463518744"/>
      <w:bookmarkStart w:id="15" w:name="_Toc464207018"/>
      <w:bookmarkStart w:id="16" w:name="_Toc466542581"/>
      <w:bookmarkStart w:id="17" w:name="_Toc474414900"/>
      <w:bookmarkEnd w:id="13"/>
      <w:bookmarkEnd w:id="14"/>
      <w:r>
        <w:lastRenderedPageBreak/>
        <w:t>Context</w:t>
      </w:r>
      <w:bookmarkEnd w:id="15"/>
      <w:bookmarkEnd w:id="16"/>
      <w:bookmarkEnd w:id="17"/>
    </w:p>
    <w:p w14:paraId="681FEF20" w14:textId="5A78EAB0" w:rsidR="007D2329" w:rsidRDefault="000627A0" w:rsidP="003B1B3E">
      <w:pPr>
        <w:spacing w:after="230" w:line="270" w:lineRule="exact"/>
      </w:pPr>
      <w:r>
        <w:t>Companies</w:t>
      </w:r>
      <w:r w:rsidR="002034CC" w:rsidRPr="0020430F">
        <w:t xml:space="preserve"> play an essential role in both the Australian and the global economy.</w:t>
      </w:r>
      <w:r w:rsidR="007D2329">
        <w:t xml:space="preserve"> They are a </w:t>
      </w:r>
      <w:r w:rsidR="006104C9">
        <w:t xml:space="preserve">vehicle </w:t>
      </w:r>
      <w:r w:rsidR="007D2329">
        <w:t>to facilitate privat</w:t>
      </w:r>
      <w:r w:rsidR="00DB7F53">
        <w:t>e sector investment and growth.</w:t>
      </w:r>
    </w:p>
    <w:p w14:paraId="29C30884" w14:textId="0CCD1115" w:rsidR="00AB719B" w:rsidRDefault="007D2329" w:rsidP="003B1B3E">
      <w:pPr>
        <w:spacing w:after="230" w:line="270" w:lineRule="exact"/>
      </w:pPr>
      <w:r>
        <w:t xml:space="preserve">At times these vehicles </w:t>
      </w:r>
      <w:r w:rsidR="00FC58F8">
        <w:t>can be</w:t>
      </w:r>
      <w:r>
        <w:t xml:space="preserve"> used</w:t>
      </w:r>
      <w:r w:rsidR="00C23F8C">
        <w:t xml:space="preserve"> to disguise the identity of those involved in</w:t>
      </w:r>
      <w:r w:rsidR="00FC58F8">
        <w:t xml:space="preserve"> illicit </w:t>
      </w:r>
      <w:r w:rsidR="00034D5C">
        <w:t>activities</w:t>
      </w:r>
      <w:r w:rsidR="00FC58F8">
        <w:t>, including</w:t>
      </w:r>
      <w:r w:rsidDel="00FC58F8">
        <w:t xml:space="preserve"> </w:t>
      </w:r>
      <w:r>
        <w:t>tax evasion</w:t>
      </w:r>
      <w:r w:rsidR="00FC58F8">
        <w:t>,</w:t>
      </w:r>
      <w:r>
        <w:t xml:space="preserve"> money laundering</w:t>
      </w:r>
      <w:r w:rsidR="00FC58F8">
        <w:t>, b</w:t>
      </w:r>
      <w:r w:rsidR="00AF2178">
        <w:t>ribery, corruption and terrorism</w:t>
      </w:r>
      <w:r w:rsidR="00FC58F8">
        <w:t xml:space="preserve"> financing</w:t>
      </w:r>
      <w:r w:rsidR="00DF3C03">
        <w:t xml:space="preserve">. </w:t>
      </w:r>
      <w:r w:rsidR="0084633F" w:rsidRPr="005D799C">
        <w:t>This is achieved through</w:t>
      </w:r>
      <w:r w:rsidR="00074384" w:rsidRPr="005D799C">
        <w:t xml:space="preserve"> mechanisms such</w:t>
      </w:r>
      <w:r w:rsidR="00034D5C">
        <w:t xml:space="preserve"> as</w:t>
      </w:r>
      <w:r w:rsidR="0084633F" w:rsidRPr="005D799C">
        <w:t xml:space="preserve"> the use of shell companies, </w:t>
      </w:r>
      <w:r w:rsidR="00074384" w:rsidRPr="005D799C">
        <w:t xml:space="preserve">the use of </w:t>
      </w:r>
      <w:r w:rsidR="0084633F" w:rsidRPr="005D799C">
        <w:t>complex ownership and control structures</w:t>
      </w:r>
      <w:r w:rsidR="00EA68F5">
        <w:t xml:space="preserve">, the </w:t>
      </w:r>
      <w:r w:rsidR="00074384" w:rsidRPr="005D799C">
        <w:t>use of bearer shares and share warrants and of nominee shareholders where the nominator is not disclosed</w:t>
      </w:r>
      <w:r w:rsidR="00074384" w:rsidRPr="00924594">
        <w:t>.</w:t>
      </w:r>
      <w:r w:rsidR="00074384">
        <w:t xml:space="preserve"> </w:t>
      </w:r>
      <w:r w:rsidR="00DF3C03" w:rsidRPr="00DF3C03">
        <w:t>The exploitation of these vehicles results in gains for criminals and financial losses to the Australian economy.</w:t>
      </w:r>
      <w:r w:rsidR="007F1DDA">
        <w:rPr>
          <w:rStyle w:val="FootnoteReference"/>
        </w:rPr>
        <w:footnoteReference w:id="2"/>
      </w:r>
      <w:r w:rsidR="00DF3C03" w:rsidRPr="00DF3C03">
        <w:t xml:space="preserve"> It may also affect public confidence and the perceived legitimacy and validity of business and company regulatory processes and requirements.</w:t>
      </w:r>
      <w:r w:rsidR="00DF3C03">
        <w:rPr>
          <w:rStyle w:val="FootnoteReference"/>
        </w:rPr>
        <w:footnoteReference w:id="3"/>
      </w:r>
      <w:r w:rsidR="0035037B">
        <w:t xml:space="preserve"> It also risks confidence in the tax system.</w:t>
      </w:r>
    </w:p>
    <w:p w14:paraId="0B0F3847" w14:textId="4BE37552" w:rsidR="00AB719B" w:rsidRDefault="007E75CF" w:rsidP="003B1B3E">
      <w:pPr>
        <w:spacing w:after="230" w:line="270" w:lineRule="exact"/>
      </w:pPr>
      <w:r>
        <w:t xml:space="preserve">To </w:t>
      </w:r>
      <w:r w:rsidRPr="007E75CF">
        <w:t>ensure compliance with the relevant laws</w:t>
      </w:r>
      <w:r>
        <w:t xml:space="preserve"> against such ill</w:t>
      </w:r>
      <w:r w:rsidR="00843905">
        <w:t>icit</w:t>
      </w:r>
      <w:r>
        <w:t xml:space="preserve"> activities,</w:t>
      </w:r>
      <w:r w:rsidR="00570573">
        <w:t xml:space="preserve"> relevant authorities (including</w:t>
      </w:r>
      <w:r w:rsidRPr="007E75CF">
        <w:t xml:space="preserve"> law enforcement</w:t>
      </w:r>
      <w:r w:rsidR="00570573">
        <w:t xml:space="preserve"> and prosecutorial authorities</w:t>
      </w:r>
      <w:r w:rsidR="00843905">
        <w:t>,</w:t>
      </w:r>
      <w:r w:rsidR="00570573">
        <w:t xml:space="preserve"> supervisory authorities,</w:t>
      </w:r>
      <w:r w:rsidR="00843905">
        <w:t xml:space="preserve"> </w:t>
      </w:r>
      <w:r w:rsidR="00570573" w:rsidRPr="00570573">
        <w:t xml:space="preserve">tax authorities </w:t>
      </w:r>
      <w:r w:rsidR="00570573">
        <w:t xml:space="preserve">and financial </w:t>
      </w:r>
      <w:r w:rsidR="00843905">
        <w:t>intelligence</w:t>
      </w:r>
      <w:r w:rsidR="00570573">
        <w:t xml:space="preserve"> unit)</w:t>
      </w:r>
      <w:r w:rsidRPr="007E75CF">
        <w:t xml:space="preserve"> </w:t>
      </w:r>
      <w:r>
        <w:t xml:space="preserve">need to be able to </w:t>
      </w:r>
      <w:r w:rsidR="00FC58F8">
        <w:t>identify the</w:t>
      </w:r>
      <w:r>
        <w:t xml:space="preserve"> entities and individuals </w:t>
      </w:r>
      <w:r w:rsidR="00D203DE">
        <w:t>that can control</w:t>
      </w:r>
      <w:r w:rsidR="00F01161">
        <w:t xml:space="preserve"> </w:t>
      </w:r>
      <w:r w:rsidR="00843905">
        <w:t>and benefit from the financial activities of</w:t>
      </w:r>
      <w:r w:rsidR="00F01161">
        <w:t xml:space="preserve"> a company </w:t>
      </w:r>
      <w:r>
        <w:t xml:space="preserve">and how </w:t>
      </w:r>
      <w:r w:rsidR="00843905">
        <w:t>those individuals and entities</w:t>
      </w:r>
      <w:r>
        <w:t xml:space="preserve"> are connected to each other. This </w:t>
      </w:r>
      <w:r w:rsidR="00843905">
        <w:t>objective</w:t>
      </w:r>
      <w:r>
        <w:t xml:space="preserve"> is inhibited </w:t>
      </w:r>
      <w:r w:rsidR="00843905">
        <w:t>by deficient</w:t>
      </w:r>
      <w:r w:rsidR="002034CC">
        <w:t xml:space="preserve"> information collected on the beneficial ownership of </w:t>
      </w:r>
      <w:r w:rsidR="001F3DFB">
        <w:t>companies</w:t>
      </w:r>
      <w:r w:rsidR="00632B5B">
        <w:t xml:space="preserve">, and as </w:t>
      </w:r>
      <w:r w:rsidR="003C68A0">
        <w:t xml:space="preserve">a </w:t>
      </w:r>
      <w:r w:rsidR="00632B5B">
        <w:t>result</w:t>
      </w:r>
      <w:r w:rsidR="002034CC">
        <w:t xml:space="preserve"> the</w:t>
      </w:r>
      <w:r w:rsidR="002034CC" w:rsidRPr="00671908">
        <w:t xml:space="preserve"> individuals</w:t>
      </w:r>
      <w:r w:rsidR="002034CC">
        <w:t xml:space="preserve"> involved in such </w:t>
      </w:r>
      <w:r w:rsidR="008603AD">
        <w:t>illic</w:t>
      </w:r>
      <w:r w:rsidR="00B0204C">
        <w:t>i</w:t>
      </w:r>
      <w:r w:rsidR="008603AD">
        <w:t>t</w:t>
      </w:r>
      <w:r w:rsidR="002034CC">
        <w:t xml:space="preserve"> activities</w:t>
      </w:r>
      <w:r w:rsidR="002034CC" w:rsidRPr="00671908">
        <w:t xml:space="preserve"> </w:t>
      </w:r>
      <w:r w:rsidR="00B15995">
        <w:t>are able to</w:t>
      </w:r>
      <w:r w:rsidR="002034CC" w:rsidRPr="00671908">
        <w:t xml:space="preserve"> </w:t>
      </w:r>
      <w:r w:rsidR="00AC7F6F" w:rsidRPr="0062752F">
        <w:rPr>
          <w:shd w:val="clear" w:color="auto" w:fill="FFFFFF" w:themeFill="background1"/>
        </w:rPr>
        <w:t>disguis</w:t>
      </w:r>
      <w:r w:rsidR="00632B5B">
        <w:rPr>
          <w:shd w:val="clear" w:color="auto" w:fill="FFFFFF" w:themeFill="background1"/>
        </w:rPr>
        <w:t>e</w:t>
      </w:r>
      <w:r w:rsidR="00B07C1C" w:rsidRPr="0062752F">
        <w:rPr>
          <w:shd w:val="clear" w:color="auto" w:fill="FFFFFF" w:themeFill="background1"/>
        </w:rPr>
        <w:t xml:space="preserve"> the true source or use</w:t>
      </w:r>
      <w:r w:rsidR="00B07C1C">
        <w:t xml:space="preserve"> of funds or property</w:t>
      </w:r>
      <w:r w:rsidR="00620028">
        <w:t xml:space="preserve"> </w:t>
      </w:r>
      <w:r w:rsidR="00632B5B">
        <w:t>behind company structures</w:t>
      </w:r>
      <w:r w:rsidR="00B07C1C">
        <w:t>.</w:t>
      </w:r>
    </w:p>
    <w:p w14:paraId="5A907480" w14:textId="04BA76AE" w:rsidR="002034CC" w:rsidRDefault="000323CB" w:rsidP="003B1B3E">
      <w:pPr>
        <w:spacing w:after="230" w:line="270" w:lineRule="exact"/>
      </w:pPr>
      <w:r>
        <w:t>I</w:t>
      </w:r>
      <w:r w:rsidR="00572535">
        <w:t>mproving the collection</w:t>
      </w:r>
      <w:r w:rsidR="00E92425">
        <w:t xml:space="preserve"> and utilisation</w:t>
      </w:r>
      <w:r w:rsidR="00572535">
        <w:t xml:space="preserve"> of beneficial ownership information</w:t>
      </w:r>
      <w:r w:rsidR="00620028">
        <w:t xml:space="preserve"> </w:t>
      </w:r>
      <w:r w:rsidR="002335C3">
        <w:t>will sign</w:t>
      </w:r>
      <w:r w:rsidR="00716672">
        <w:t>i</w:t>
      </w:r>
      <w:r w:rsidR="002335C3">
        <w:t xml:space="preserve">ficantly </w:t>
      </w:r>
      <w:r w:rsidR="00716672">
        <w:t xml:space="preserve">contribute </w:t>
      </w:r>
      <w:r w:rsidR="002335C3">
        <w:t>to authorities</w:t>
      </w:r>
      <w:r w:rsidR="00AB719B">
        <w:t>’</w:t>
      </w:r>
      <w:r w:rsidR="002335C3">
        <w:t xml:space="preserve"> efforts to combat and prevent these activities.</w:t>
      </w:r>
      <w:r w:rsidR="002034CC" w:rsidRPr="00671908">
        <w:t xml:space="preserve"> </w:t>
      </w:r>
      <w:r w:rsidR="00572535">
        <w:t>This</w:t>
      </w:r>
      <w:r w:rsidR="00E92425">
        <w:t>,</w:t>
      </w:r>
      <w:r w:rsidR="00572535">
        <w:t xml:space="preserve"> in turn</w:t>
      </w:r>
      <w:r w:rsidR="00E92425">
        <w:t>,</w:t>
      </w:r>
      <w:r w:rsidR="00572535">
        <w:t xml:space="preserve"> will promote greater</w:t>
      </w:r>
      <w:r w:rsidR="00572535" w:rsidRPr="001F3DFB">
        <w:t xml:space="preserve"> integrity and transparency </w:t>
      </w:r>
      <w:r w:rsidR="00E92425">
        <w:t>within</w:t>
      </w:r>
      <w:r w:rsidR="00572535" w:rsidRPr="001F3DFB">
        <w:t xml:space="preserve"> the domestic and global financial system.</w:t>
      </w:r>
    </w:p>
    <w:p w14:paraId="71F0E927" w14:textId="4C4B80C2" w:rsidR="00917426" w:rsidRDefault="00DA4DB7" w:rsidP="003B1B3E">
      <w:pPr>
        <w:spacing w:after="230" w:line="270" w:lineRule="exact"/>
      </w:pPr>
      <w:r>
        <w:t>I</w:t>
      </w:r>
      <w:r w:rsidR="00FB37CA">
        <w:t>nternational</w:t>
      </w:r>
      <w:r>
        <w:t>ly, there is a</w:t>
      </w:r>
      <w:r w:rsidR="00FB37CA">
        <w:t xml:space="preserve"> </w:t>
      </w:r>
      <w:r w:rsidR="00917426">
        <w:t xml:space="preserve">focus on </w:t>
      </w:r>
      <w:r>
        <w:t>increasing transparency</w:t>
      </w:r>
      <w:r w:rsidR="00780C7F">
        <w:t xml:space="preserve"> of </w:t>
      </w:r>
      <w:r>
        <w:t xml:space="preserve">beneficial ownership information </w:t>
      </w:r>
      <w:r w:rsidR="00917426" w:rsidRPr="00751B4A">
        <w:t xml:space="preserve">within the </w:t>
      </w:r>
      <w:r w:rsidR="00FB37CA">
        <w:t xml:space="preserve">global </w:t>
      </w:r>
      <w:r w:rsidR="00917426" w:rsidRPr="00C26EF7">
        <w:t xml:space="preserve">financial system. </w:t>
      </w:r>
      <w:r w:rsidR="00034D5C">
        <w:t>I</w:t>
      </w:r>
      <w:r w:rsidR="00917426" w:rsidRPr="00C26EF7">
        <w:t>nternational bodies such as the G20</w:t>
      </w:r>
      <w:r w:rsidR="00034D5C">
        <w:t xml:space="preserve"> view transparency</w:t>
      </w:r>
      <w:r w:rsidR="00917426" w:rsidRPr="00C26EF7" w:rsidDel="00FC58F8">
        <w:t xml:space="preserve"> </w:t>
      </w:r>
      <w:r w:rsidR="00917426" w:rsidRPr="00C26EF7">
        <w:t xml:space="preserve">as playing a </w:t>
      </w:r>
      <w:r w:rsidR="00917426" w:rsidRPr="00DA4DB7">
        <w:t>key role in combating illegal activities such as money laundering, bribery and corruption, insider dealings, tax f</w:t>
      </w:r>
      <w:r w:rsidR="00FB37CA" w:rsidRPr="00DA4DB7">
        <w:t xml:space="preserve">raud and </w:t>
      </w:r>
      <w:r w:rsidR="00170A08">
        <w:t>terrorism</w:t>
      </w:r>
      <w:r w:rsidR="00FB37CA" w:rsidRPr="00DA4DB7">
        <w:t xml:space="preserve"> financing</w:t>
      </w:r>
      <w:r w:rsidR="00917426" w:rsidRPr="007D637A">
        <w:t>.</w:t>
      </w:r>
      <w:r w:rsidR="00FD6CF3">
        <w:t xml:space="preserve"> This was reflected in</w:t>
      </w:r>
      <w:r w:rsidR="000D50C3">
        <w:t xml:space="preserve"> the</w:t>
      </w:r>
      <w:r w:rsidR="00FD6CF3">
        <w:t xml:space="preserve"> </w:t>
      </w:r>
      <w:r w:rsidR="00FD6CF3" w:rsidRPr="00FD6CF3">
        <w:t>G20 High-Level Principles on Beneficial Ownership Tra</w:t>
      </w:r>
      <w:r w:rsidR="00FD6CF3">
        <w:t>nsparency (the G20 Principles), t</w:t>
      </w:r>
      <w:r w:rsidR="00FD6CF3" w:rsidRPr="00FD6CF3">
        <w:t xml:space="preserve">he development of </w:t>
      </w:r>
      <w:r w:rsidR="00FD6CF3">
        <w:t>which</w:t>
      </w:r>
      <w:r w:rsidR="00FD6CF3" w:rsidRPr="00FD6CF3">
        <w:t xml:space="preserve"> was a key outcome for the Australian G20 Presidency in 2014</w:t>
      </w:r>
      <w:r w:rsidR="00FD6CF3">
        <w:t>.</w:t>
      </w:r>
      <w:r w:rsidR="00917426" w:rsidRPr="007D637A">
        <w:t xml:space="preserve"> Other international organisations such as, the Financial Action Task Force (FATF)</w:t>
      </w:r>
      <w:r w:rsidR="002F0A4A">
        <w:t>,</w:t>
      </w:r>
      <w:r w:rsidR="00537EE8">
        <w:rPr>
          <w:rStyle w:val="FootnoteReference"/>
        </w:rPr>
        <w:footnoteReference w:id="4"/>
      </w:r>
      <w:r w:rsidR="00917426" w:rsidRPr="007D637A">
        <w:t xml:space="preserve"> the OECD</w:t>
      </w:r>
      <w:r w:rsidR="008B26B9">
        <w:t>’s</w:t>
      </w:r>
      <w:r w:rsidR="00544D77">
        <w:t xml:space="preserve"> </w:t>
      </w:r>
      <w:r w:rsidR="008B26B9" w:rsidRPr="008B26B9">
        <w:t>Global Forum on Transparency and Exchange of Information for Tax Purposes</w:t>
      </w:r>
      <w:r w:rsidR="008B26B9">
        <w:t xml:space="preserve"> </w:t>
      </w:r>
      <w:r w:rsidR="00917426" w:rsidRPr="007D637A">
        <w:t>and the World Bank also</w:t>
      </w:r>
      <w:r w:rsidR="001904F5">
        <w:t xml:space="preserve"> have</w:t>
      </w:r>
      <w:r w:rsidR="00917426" w:rsidRPr="007D637A">
        <w:t xml:space="preserve"> a strong interest in</w:t>
      </w:r>
      <w:r w:rsidR="00917426">
        <w:t xml:space="preserve"> progressing work towards</w:t>
      </w:r>
      <w:r w:rsidR="00917426" w:rsidRPr="007D637A">
        <w:t xml:space="preserve"> increasing beneficial ownership transparency.</w:t>
      </w:r>
    </w:p>
    <w:p w14:paraId="032CBE66" w14:textId="77777777" w:rsidR="00212A4E" w:rsidRDefault="00917426" w:rsidP="003B1B3E">
      <w:pPr>
        <w:spacing w:after="230"/>
        <w:sectPr w:rsidR="00212A4E" w:rsidSect="00FD36DE">
          <w:footerReference w:type="first" r:id="rId27"/>
          <w:pgSz w:w="11906" w:h="16838" w:code="9"/>
          <w:pgMar w:top="1418" w:right="1418" w:bottom="1418" w:left="1418" w:header="709" w:footer="510" w:gutter="0"/>
          <w:pgNumType w:start="1"/>
          <w:cols w:space="708"/>
          <w:titlePg/>
          <w:docGrid w:linePitch="360"/>
        </w:sectPr>
      </w:pPr>
      <w:r w:rsidRPr="009C0432">
        <w:t xml:space="preserve">In 2016, </w:t>
      </w:r>
      <w:r w:rsidR="002D51BD">
        <w:t>international</w:t>
      </w:r>
      <w:r w:rsidRPr="009C0432">
        <w:t xml:space="preserve"> focus on the availability of beneficial ownership information of entities and legal arrangements (</w:t>
      </w:r>
      <w:r w:rsidR="00CE25B6">
        <w:t xml:space="preserve">for example, </w:t>
      </w:r>
      <w:r w:rsidRPr="009C0432">
        <w:t>trusts) increased following the</w:t>
      </w:r>
      <w:r w:rsidR="00E92425">
        <w:t xml:space="preserve"> </w:t>
      </w:r>
      <w:r w:rsidR="00CE432E">
        <w:t>l</w:t>
      </w:r>
      <w:r w:rsidR="00E92425">
        <w:t>eaks of incriminating data</w:t>
      </w:r>
      <w:r w:rsidR="00CE432E">
        <w:t xml:space="preserve"> in April</w:t>
      </w:r>
      <w:r w:rsidRPr="009C0432">
        <w:t xml:space="preserve"> </w:t>
      </w:r>
      <w:r w:rsidR="00294E90">
        <w:t>from a large</w:t>
      </w:r>
      <w:r w:rsidR="008F7EA2">
        <w:t xml:space="preserve"> law firm.</w:t>
      </w:r>
      <w:r w:rsidRPr="009C0432">
        <w:t xml:space="preserve"> </w:t>
      </w:r>
      <w:r w:rsidR="00294E90">
        <w:t>I</w:t>
      </w:r>
      <w:r w:rsidR="00294E90" w:rsidRPr="00294E90">
        <w:t>n May 2016</w:t>
      </w:r>
      <w:r w:rsidR="00294E90">
        <w:t xml:space="preserve"> b</w:t>
      </w:r>
      <w:r w:rsidR="00173F5F" w:rsidRPr="00173F5F">
        <w:t>eneficial ownership</w:t>
      </w:r>
      <w:r w:rsidR="00173F5F">
        <w:t xml:space="preserve"> transparency was </w:t>
      </w:r>
      <w:r w:rsidR="00173F5F" w:rsidRPr="00173F5F">
        <w:t>a key issue for discussion at the Anti-Corruption Summit in London</w:t>
      </w:r>
      <w:r w:rsidR="00173F5F">
        <w:t>, where several countries including Australia made commitments to increase the transparency of beneficial ownership</w:t>
      </w:r>
      <w:r w:rsidR="00173F5F" w:rsidRPr="00173F5F">
        <w:t>.</w:t>
      </w:r>
    </w:p>
    <w:p w14:paraId="3D0FEF34" w14:textId="2E882F16" w:rsidR="00D87B7B" w:rsidRPr="00E72C18" w:rsidRDefault="005760F8" w:rsidP="00E72C18">
      <w:pPr>
        <w:pStyle w:val="Heading1-Numbered"/>
      </w:pPr>
      <w:bookmarkStart w:id="18" w:name="_Toc464207019"/>
      <w:bookmarkStart w:id="19" w:name="_Toc466542582"/>
      <w:bookmarkStart w:id="20" w:name="_Toc474414901"/>
      <w:r w:rsidRPr="00E72C18">
        <w:lastRenderedPageBreak/>
        <w:t>The Current Framework</w:t>
      </w:r>
      <w:bookmarkStart w:id="21" w:name="_Toc464207020"/>
      <w:bookmarkEnd w:id="18"/>
      <w:bookmarkEnd w:id="19"/>
      <w:bookmarkEnd w:id="20"/>
    </w:p>
    <w:p w14:paraId="189D1B6B" w14:textId="336D6EAD" w:rsidR="00271E21" w:rsidRPr="00E72C18" w:rsidRDefault="00271E21" w:rsidP="0045753C">
      <w:pPr>
        <w:pStyle w:val="Heading2"/>
      </w:pPr>
      <w:bookmarkStart w:id="22" w:name="_Toc466542583"/>
      <w:bookmarkStart w:id="23" w:name="_Toc474414902"/>
      <w:r w:rsidRPr="00E72C18">
        <w:t>Meaning of beneficial ownership</w:t>
      </w:r>
      <w:bookmarkEnd w:id="22"/>
      <w:bookmarkEnd w:id="23"/>
    </w:p>
    <w:p w14:paraId="66ADB341" w14:textId="13736BDD" w:rsidR="000C289E" w:rsidRDefault="00CE370B" w:rsidP="00E72C18">
      <w:r>
        <w:t>T</w:t>
      </w:r>
      <w:r w:rsidR="002B1556">
        <w:t>he meaning of the term ‘beneficial ownership’</w:t>
      </w:r>
      <w:r w:rsidR="00F3352D">
        <w:t xml:space="preserve"> and </w:t>
      </w:r>
      <w:r w:rsidR="00FC58F8">
        <w:t>the tests for determining which persons</w:t>
      </w:r>
      <w:r w:rsidR="00F3352D">
        <w:t xml:space="preserve"> a</w:t>
      </w:r>
      <w:r w:rsidR="00FC58F8">
        <w:t>re</w:t>
      </w:r>
      <w:r w:rsidR="002B1556">
        <w:t xml:space="preserve"> ‘</w:t>
      </w:r>
      <w:r w:rsidR="001B648C">
        <w:t>beneficial</w:t>
      </w:r>
      <w:r w:rsidR="002B1556">
        <w:t xml:space="preserve"> owners’</w:t>
      </w:r>
      <w:r w:rsidR="00007E83">
        <w:t xml:space="preserve"> </w:t>
      </w:r>
      <w:r w:rsidR="005E150D">
        <w:t>is</w:t>
      </w:r>
      <w:r w:rsidR="00007E83">
        <w:t xml:space="preserve"> not </w:t>
      </w:r>
      <w:r w:rsidR="005E150D">
        <w:t>broadly and consistently applied</w:t>
      </w:r>
      <w:r w:rsidR="00097687">
        <w:t xml:space="preserve"> in the different contexts where it arises in Australia</w:t>
      </w:r>
      <w:r w:rsidR="00007E83">
        <w:t xml:space="preserve">. </w:t>
      </w:r>
      <w:r>
        <w:t>There is also variation at the international level between the approache</w:t>
      </w:r>
      <w:r w:rsidR="00FD36DE">
        <w:t>s taken by different countries.</w:t>
      </w:r>
    </w:p>
    <w:p w14:paraId="11D2E754" w14:textId="083BB5DF" w:rsidR="000C289E" w:rsidRPr="000C289E" w:rsidRDefault="00C623F9" w:rsidP="00E72C18">
      <w:r w:rsidRPr="00C623F9">
        <w:t xml:space="preserve">Internationally, </w:t>
      </w:r>
      <w:r>
        <w:t>t</w:t>
      </w:r>
      <w:r w:rsidR="000C289E">
        <w:t>he first of the G20</w:t>
      </w:r>
      <w:r w:rsidR="00C712A2">
        <w:t xml:space="preserve"> Principles </w:t>
      </w:r>
      <w:r w:rsidR="005838EB">
        <w:t>recommends that</w:t>
      </w:r>
      <w:r w:rsidR="000C289E">
        <w:t xml:space="preserve"> </w:t>
      </w:r>
      <w:r w:rsidR="005838EB">
        <w:t xml:space="preserve">countries </w:t>
      </w:r>
      <w:r w:rsidR="000C289E" w:rsidRPr="000C289E">
        <w:t>have a definition of ‘beneficial owner’ that captures the natural person(s) who ultimately owns or controls the legal person</w:t>
      </w:r>
      <w:r w:rsidR="009A4DF5">
        <w:rPr>
          <w:rStyle w:val="FootnoteReference"/>
        </w:rPr>
        <w:footnoteReference w:id="5"/>
      </w:r>
      <w:r w:rsidR="000C289E" w:rsidRPr="000C289E">
        <w:t xml:space="preserve"> or legal arrangement</w:t>
      </w:r>
      <w:r w:rsidR="00C712EA">
        <w:t>.</w:t>
      </w:r>
      <w:r w:rsidR="009A4DF5">
        <w:rPr>
          <w:rStyle w:val="FootnoteReference"/>
        </w:rPr>
        <w:footnoteReference w:id="6"/>
      </w:r>
    </w:p>
    <w:p w14:paraId="65168C63" w14:textId="6B51FF02" w:rsidR="00E16BFA" w:rsidRDefault="00E16BFA" w:rsidP="00E72C18">
      <w:r w:rsidDel="002B1556">
        <w:t>The</w:t>
      </w:r>
      <w:r w:rsidR="002B1556">
        <w:t xml:space="preserve"> peak body for</w:t>
      </w:r>
      <w:r w:rsidDel="002B1556">
        <w:t xml:space="preserve"> </w:t>
      </w:r>
      <w:r>
        <w:t>guidance on beneficial ownership transparency</w:t>
      </w:r>
      <w:r w:rsidR="002B1556">
        <w:t xml:space="preserve"> standards, the FATF (</w:t>
      </w:r>
      <w:r w:rsidR="00C712EA">
        <w:t>see </w:t>
      </w:r>
      <w:r w:rsidR="00F455BB">
        <w:t>Part 4.1</w:t>
      </w:r>
      <w:r w:rsidR="00E6548E">
        <w:t xml:space="preserve"> </w:t>
      </w:r>
      <w:r w:rsidR="002B1556">
        <w:t xml:space="preserve">for more information on the FATF) </w:t>
      </w:r>
      <w:r w:rsidR="008627BD">
        <w:t xml:space="preserve">defines </w:t>
      </w:r>
      <w:r>
        <w:t>beneficial ownership</w:t>
      </w:r>
      <w:r w:rsidR="008627BD">
        <w:t xml:space="preserve"> as follows</w:t>
      </w:r>
      <w:r>
        <w:t>:</w:t>
      </w:r>
    </w:p>
    <w:p w14:paraId="2D148EF4" w14:textId="77777777" w:rsidR="00E16BFA" w:rsidRPr="00D42917" w:rsidRDefault="00E16BFA" w:rsidP="00E72C18">
      <w:pPr>
        <w:pStyle w:val="Quote"/>
      </w:pPr>
      <w:r w:rsidRPr="00D42917">
        <w:t>Beneficial owner refers to the natural person(s) who ultimately owns or controls a customer and/or the natural person on whose behalf a transaction is being conducted. It also includes those persons who exercise ultimate effective control over a legal person or arrangement.</w:t>
      </w:r>
    </w:p>
    <w:p w14:paraId="08BCEA14" w14:textId="2997E18A" w:rsidR="00E16BFA" w:rsidRPr="00D42917" w:rsidRDefault="00E16BFA" w:rsidP="00E72C18">
      <w:pPr>
        <w:pStyle w:val="Quote"/>
      </w:pPr>
      <w:r w:rsidRPr="00D42917">
        <w:t>Reference to “ultimately owns or controls” and “ultimate effective control” refer to situations in</w:t>
      </w:r>
      <w:r>
        <w:t xml:space="preserve"> </w:t>
      </w:r>
      <w:r w:rsidRPr="00D42917">
        <w:t>which ownership/control is exercised through a chain of ownership or by means of cont</w:t>
      </w:r>
      <w:r w:rsidR="002F0A4A">
        <w:t>rol other than direct control.</w:t>
      </w:r>
    </w:p>
    <w:p w14:paraId="50E716EF" w14:textId="388FB9DB" w:rsidR="00E16BFA" w:rsidRDefault="002B1556" w:rsidP="00E72C18">
      <w:r>
        <w:t>In Australia, a definition</w:t>
      </w:r>
      <w:r w:rsidR="00F3352D">
        <w:t xml:space="preserve"> of beneficial owner</w:t>
      </w:r>
      <w:r w:rsidR="00ED7150" w:rsidRPr="00ED7150">
        <w:t xml:space="preserve"> which focuses on ownership and control</w:t>
      </w:r>
      <w:r>
        <w:t xml:space="preserve"> has been developed as part of</w:t>
      </w:r>
      <w:r w:rsidR="003A1100">
        <w:t xml:space="preserve"> the</w:t>
      </w:r>
      <w:r>
        <w:t xml:space="preserve"> Anti-Money Laundering </w:t>
      </w:r>
      <w:r w:rsidR="003A1100">
        <w:t>legal framework</w:t>
      </w:r>
      <w:r w:rsidR="006E7A35">
        <w:t xml:space="preserve"> (see further Part </w:t>
      </w:r>
      <w:r w:rsidR="003C68A0">
        <w:t>2</w:t>
      </w:r>
      <w:r w:rsidR="006E7A35">
        <w:t>.4)</w:t>
      </w:r>
      <w:r w:rsidR="00F3352D">
        <w:t>. T</w:t>
      </w:r>
      <w:r>
        <w:t xml:space="preserve">here is </w:t>
      </w:r>
      <w:r w:rsidR="001B648C">
        <w:t xml:space="preserve">no </w:t>
      </w:r>
      <w:r w:rsidR="00F20CFD">
        <w:t xml:space="preserve">general </w:t>
      </w:r>
      <w:r>
        <w:t xml:space="preserve">definition within the </w:t>
      </w:r>
      <w:r w:rsidRPr="00E61FE3">
        <w:rPr>
          <w:i/>
        </w:rPr>
        <w:t>Corporations Act</w:t>
      </w:r>
      <w:r w:rsidR="006E7A35" w:rsidRPr="00E61FE3">
        <w:rPr>
          <w:i/>
        </w:rPr>
        <w:t xml:space="preserve"> 2001</w:t>
      </w:r>
      <w:r>
        <w:t xml:space="preserve"> </w:t>
      </w:r>
      <w:r w:rsidR="009D3B3E">
        <w:t>of</w:t>
      </w:r>
      <w:r>
        <w:t xml:space="preserve"> ‘beneficial owner’ </w:t>
      </w:r>
      <w:r w:rsidR="009D3B3E">
        <w:t>a</w:t>
      </w:r>
      <w:r w:rsidR="00E6548E">
        <w:t>l</w:t>
      </w:r>
      <w:r w:rsidR="00ED7150">
        <w:t>though</w:t>
      </w:r>
      <w:r w:rsidR="00A86E98">
        <w:t xml:space="preserve"> beneficial ownership</w:t>
      </w:r>
      <w:r w:rsidR="00745BFE">
        <w:t xml:space="preserve"> information is often picked up by the concept of a ‘relevant interest’</w:t>
      </w:r>
      <w:r w:rsidR="00490FEA">
        <w:t xml:space="preserve"> </w:t>
      </w:r>
      <w:r w:rsidR="00745BFE">
        <w:t>which is used to define various rights and obligations under the Act relating to takeovers and the disclosure of interests by per</w:t>
      </w:r>
      <w:r w:rsidR="003C68A0">
        <w:t>s</w:t>
      </w:r>
      <w:r w:rsidR="00745BFE">
        <w:t>ons with influence over a company’s affairs</w:t>
      </w:r>
      <w:r w:rsidR="00FD1769">
        <w:t>.</w:t>
      </w:r>
      <w:r w:rsidR="00FD1769">
        <w:rPr>
          <w:rStyle w:val="FootnoteReference"/>
        </w:rPr>
        <w:footnoteReference w:id="7"/>
      </w:r>
    </w:p>
    <w:p w14:paraId="49887502" w14:textId="77777777" w:rsidR="00E72C18" w:rsidRDefault="00E72C18">
      <w:pPr>
        <w:spacing w:after="0" w:line="240" w:lineRule="auto"/>
        <w:jc w:val="left"/>
      </w:pPr>
      <w:r>
        <w:br w:type="page"/>
      </w:r>
    </w:p>
    <w:p w14:paraId="41E31065" w14:textId="17D4608B" w:rsidR="00185BA7" w:rsidRPr="00185BA7" w:rsidRDefault="00185BA7" w:rsidP="00E72C18">
      <w:r w:rsidRPr="00185BA7">
        <w:lastRenderedPageBreak/>
        <w:t>In Australia, shares may be held in two ways – beneficially and non-beneficially. If shares are beneficially held, the legal owner of the shares</w:t>
      </w:r>
      <w:r w:rsidR="00E20DCE">
        <w:t xml:space="preserve"> derives the benefits of ownership directly</w:t>
      </w:r>
      <w:r w:rsidRPr="00185BA7">
        <w:t>. They are both the legal and beneficial owner of the shares. An example of the benefits they receive could be dividend payments. Shares held by a person</w:t>
      </w:r>
      <w:r w:rsidRPr="00185BA7">
        <w:rPr>
          <w:vertAlign w:val="superscript"/>
        </w:rPr>
        <w:footnoteReference w:id="8"/>
      </w:r>
      <w:r w:rsidRPr="00185BA7">
        <w:t xml:space="preserve"> as trustee, nominee or on account of another person are non-beneficially held (</w:t>
      </w:r>
      <w:r w:rsidR="00CE25B6">
        <w:t xml:space="preserve">that is, </w:t>
      </w:r>
      <w:r w:rsidRPr="00185BA7">
        <w:t>the registered member holds the share for the benefit of someone else). The person who receives the benefit is the beneficial owner rat</w:t>
      </w:r>
      <w:r w:rsidR="0034076D">
        <w:t>her than the legal owner.</w:t>
      </w:r>
    </w:p>
    <w:p w14:paraId="55982038" w14:textId="00148DAB" w:rsidR="00331643" w:rsidRDefault="00A914D2" w:rsidP="00CE25B6">
      <w:r>
        <w:t>I</w:t>
      </w:r>
      <w:r w:rsidR="002B1556">
        <w:t xml:space="preserve">n </w:t>
      </w:r>
      <w:r w:rsidR="001325CC">
        <w:t>considering potential reforms to increase the transparency of the</w:t>
      </w:r>
      <w:r w:rsidR="002B1556">
        <w:t xml:space="preserve"> beneficial ownership of compan</w:t>
      </w:r>
      <w:r w:rsidR="002C02CD">
        <w:t xml:space="preserve">ies, </w:t>
      </w:r>
      <w:r w:rsidR="002B1556">
        <w:t>the concept of beneficial owner</w:t>
      </w:r>
      <w:r w:rsidR="002C02CD">
        <w:t xml:space="preserve"> could</w:t>
      </w:r>
      <w:r w:rsidR="002B1556">
        <w:t xml:space="preserve"> be a broad one which </w:t>
      </w:r>
      <w:r w:rsidR="009F43A2">
        <w:t>includes</w:t>
      </w:r>
      <w:r w:rsidR="002B1556">
        <w:t>:</w:t>
      </w:r>
    </w:p>
    <w:p w14:paraId="657522AE" w14:textId="7104E7CC" w:rsidR="000110BA" w:rsidRDefault="00F25028" w:rsidP="00212A4E">
      <w:pPr>
        <w:pStyle w:val="Bullet"/>
      </w:pPr>
      <w:r>
        <w:t xml:space="preserve">The </w:t>
      </w:r>
      <w:r w:rsidR="000110BA">
        <w:t xml:space="preserve">natural </w:t>
      </w:r>
      <w:r>
        <w:t>person</w:t>
      </w:r>
      <w:r w:rsidR="000110BA">
        <w:t>(</w:t>
      </w:r>
      <w:r>
        <w:t>s</w:t>
      </w:r>
      <w:r w:rsidR="000110BA">
        <w:t>)</w:t>
      </w:r>
      <w:r>
        <w:t xml:space="preserve"> who </w:t>
      </w:r>
      <w:r w:rsidR="000110BA">
        <w:t>have a controlling ownership interest; or</w:t>
      </w:r>
    </w:p>
    <w:p w14:paraId="062D25BE" w14:textId="6E4FD3B4" w:rsidR="00A914D2" w:rsidRDefault="000110BA" w:rsidP="00212A4E">
      <w:pPr>
        <w:pStyle w:val="Bullet"/>
      </w:pPr>
      <w:r>
        <w:t xml:space="preserve">The natural person(s) who can exercise </w:t>
      </w:r>
      <w:r w:rsidR="002B1556">
        <w:t>control of a company</w:t>
      </w:r>
      <w:r>
        <w:t xml:space="preserve"> through other means</w:t>
      </w:r>
      <w:r w:rsidR="00602F47">
        <w:t>; or</w:t>
      </w:r>
    </w:p>
    <w:p w14:paraId="21BAB9FC" w14:textId="57722C26" w:rsidR="00602F47" w:rsidRDefault="00602F47" w:rsidP="00212A4E">
      <w:pPr>
        <w:pStyle w:val="Bullet"/>
      </w:pPr>
      <w:r>
        <w:t>The natural person(s) who controls the activities of a company by virtue of their position in that company.</w:t>
      </w:r>
    </w:p>
    <w:p w14:paraId="497D5988" w14:textId="188D0CDC" w:rsidR="00A4528D" w:rsidRDefault="006E7A35" w:rsidP="00CE25B6">
      <w:r>
        <w:t xml:space="preserve">The precise way in which beneficial owners are defined and </w:t>
      </w:r>
      <w:r w:rsidR="00BE52B4">
        <w:t>identifi</w:t>
      </w:r>
      <w:r>
        <w:t>ed is explore</w:t>
      </w:r>
      <w:r w:rsidR="00F3352D">
        <w:t>d</w:t>
      </w:r>
      <w:r>
        <w:t xml:space="preserve"> more fully in Chapter</w:t>
      </w:r>
      <w:r w:rsidR="00106061">
        <w:t>s 4</w:t>
      </w:r>
      <w:r w:rsidR="003E3E81">
        <w:t xml:space="preserve"> and 5. T</w:t>
      </w:r>
      <w:r>
        <w:t>he Government seeks your views on these questions.</w:t>
      </w:r>
    </w:p>
    <w:p w14:paraId="638E7291" w14:textId="275865AD" w:rsidR="005760F8" w:rsidRPr="005B451A" w:rsidRDefault="005760F8" w:rsidP="0045753C">
      <w:pPr>
        <w:pStyle w:val="Heading2"/>
        <w:rPr>
          <w:szCs w:val="32"/>
        </w:rPr>
      </w:pPr>
      <w:bookmarkStart w:id="24" w:name="_Toc466542584"/>
      <w:bookmarkStart w:id="25" w:name="_Toc474414903"/>
      <w:r w:rsidRPr="00D11430">
        <w:t>Legal and beneficial ownership information for companies which is</w:t>
      </w:r>
      <w:r w:rsidRPr="005F5B80">
        <w:t xml:space="preserve"> currently available</w:t>
      </w:r>
      <w:bookmarkEnd w:id="21"/>
      <w:bookmarkEnd w:id="24"/>
      <w:bookmarkEnd w:id="25"/>
    </w:p>
    <w:p w14:paraId="7EF29F17" w14:textId="3187E88F" w:rsidR="00A33070" w:rsidRPr="00FC50A4" w:rsidRDefault="00617195" w:rsidP="00CE25B6">
      <w:r>
        <w:t xml:space="preserve">Australian companies currently collect some </w:t>
      </w:r>
      <w:r w:rsidR="00062DF9">
        <w:t>legal and</w:t>
      </w:r>
      <w:r w:rsidR="00AA38C8">
        <w:t xml:space="preserve"> beneficial ownership information</w:t>
      </w:r>
      <w:r w:rsidR="00062DF9">
        <w:t>,</w:t>
      </w:r>
      <w:r w:rsidR="00F709E3">
        <w:t xml:space="preserve"> with much of it provided to</w:t>
      </w:r>
      <w:r w:rsidR="00062DF9" w:rsidRPr="00062DF9">
        <w:t xml:space="preserve"> the Australian Securities an</w:t>
      </w:r>
      <w:r w:rsidR="00062DF9">
        <w:t>d Investments Commission (ASIC)</w:t>
      </w:r>
      <w:r w:rsidR="00AA38C8">
        <w:t>. There is, however, scope to increase the transparency of beneficial ownership</w:t>
      </w:r>
      <w:r w:rsidR="009A2372">
        <w:t>,</w:t>
      </w:r>
      <w:r w:rsidR="00AA38C8">
        <w:t xml:space="preserve"> because while</w:t>
      </w:r>
      <w:r w:rsidR="005760F8" w:rsidRPr="00E63435">
        <w:t xml:space="preserve"> s</w:t>
      </w:r>
      <w:r w:rsidR="00263CCE">
        <w:t>hares</w:t>
      </w:r>
      <w:r w:rsidR="005760F8" w:rsidRPr="00E63435">
        <w:t xml:space="preserve"> are often held non-beneficially</w:t>
      </w:r>
      <w:r w:rsidR="001325CC">
        <w:t xml:space="preserve"> in Australia</w:t>
      </w:r>
      <w:r w:rsidR="005760F8" w:rsidRPr="00E63435">
        <w:t xml:space="preserve"> there is no</w:t>
      </w:r>
      <w:r w:rsidR="008627BD">
        <w:t xml:space="preserve"> legal obligation</w:t>
      </w:r>
      <w:r w:rsidR="005760F8" w:rsidRPr="00E63435">
        <w:t xml:space="preserve"> </w:t>
      </w:r>
      <w:r w:rsidR="007C362A">
        <w:t>for all companies</w:t>
      </w:r>
      <w:r w:rsidR="005760F8" w:rsidRPr="00E63435">
        <w:t xml:space="preserve"> to collect </w:t>
      </w:r>
      <w:r w:rsidR="007C362A">
        <w:t>and</w:t>
      </w:r>
      <w:r w:rsidR="005760F8" w:rsidRPr="00E63435">
        <w:t xml:space="preserve"> report</w:t>
      </w:r>
      <w:r w:rsidR="008627BD">
        <w:t xml:space="preserve"> shares held in this manner</w:t>
      </w:r>
      <w:r w:rsidR="007C362A">
        <w:t xml:space="preserve"> </w:t>
      </w:r>
      <w:r w:rsidR="00E0752D">
        <w:t>or</w:t>
      </w:r>
      <w:r w:rsidR="007C362A">
        <w:t xml:space="preserve"> the identity of the beneficial owners</w:t>
      </w:r>
      <w:r w:rsidR="005760F8" w:rsidRPr="00E63435">
        <w:t xml:space="preserve"> to ASIC. </w:t>
      </w:r>
      <w:r w:rsidR="00A33070" w:rsidRPr="00FC50A4">
        <w:t>The following</w:t>
      </w:r>
      <w:r w:rsidR="00A33070">
        <w:t xml:space="preserve"> section discusses how information on legal ownership and beneficial ownership is currently recorded and disclosed in Australia.</w:t>
      </w:r>
    </w:p>
    <w:p w14:paraId="26ACC878" w14:textId="6F67432F" w:rsidR="005760F8" w:rsidRPr="00C712EA" w:rsidRDefault="005760F8">
      <w:pPr>
        <w:pStyle w:val="Heading3"/>
      </w:pPr>
      <w:r w:rsidRPr="00C712EA">
        <w:t>A company’s share</w:t>
      </w:r>
      <w:r w:rsidR="005F361B" w:rsidRPr="00C712EA">
        <w:t xml:space="preserve"> </w:t>
      </w:r>
      <w:r w:rsidRPr="00C712EA">
        <w:t>register</w:t>
      </w:r>
    </w:p>
    <w:p w14:paraId="4D935AD1" w14:textId="0333D75E" w:rsidR="005760F8" w:rsidRDefault="005760F8" w:rsidP="00CE25B6">
      <w:r w:rsidRPr="003B6390">
        <w:t xml:space="preserve">Under the </w:t>
      </w:r>
      <w:r w:rsidRPr="003B6390">
        <w:rPr>
          <w:i/>
        </w:rPr>
        <w:t xml:space="preserve">Corporations Act 2001 </w:t>
      </w:r>
      <w:r w:rsidRPr="003B6390">
        <w:t>(the</w:t>
      </w:r>
      <w:r w:rsidR="006639A5">
        <w:t xml:space="preserve"> Corporations</w:t>
      </w:r>
      <w:r w:rsidRPr="003B6390">
        <w:t xml:space="preserve"> Act), companies are required to </w:t>
      </w:r>
      <w:r w:rsidR="008C7327">
        <w:t>establish and maintain</w:t>
      </w:r>
      <w:r w:rsidRPr="003B6390">
        <w:t xml:space="preserve"> a register of members. The register of company members must record for each member the member’s name and address</w:t>
      </w:r>
      <w:r w:rsidR="008C7327">
        <w:t>,</w:t>
      </w:r>
      <w:r w:rsidRPr="003B6390" w:rsidDel="008C7327">
        <w:t xml:space="preserve"> </w:t>
      </w:r>
      <w:r w:rsidRPr="003B6390">
        <w:t>the date on which the entry of the member’s name in the register is made</w:t>
      </w:r>
      <w:r w:rsidR="008C7327">
        <w:t>, and if a company has share capital, the specific details of the shares held by each member</w:t>
      </w:r>
      <w:r w:rsidRPr="003B6390">
        <w:t xml:space="preserve">. </w:t>
      </w:r>
      <w:r w:rsidRPr="003B6390">
        <w:rPr>
          <w:szCs w:val="22"/>
        </w:rPr>
        <w:t xml:space="preserve">All companies other than listed companies must record if shares are beneficially held or not. </w:t>
      </w:r>
      <w:r w:rsidRPr="003B6390">
        <w:t>The i</w:t>
      </w:r>
      <w:r w:rsidR="00E0752D">
        <w:t>dentity of the beneficial owner</w:t>
      </w:r>
      <w:r w:rsidRPr="003B6390">
        <w:t xml:space="preserve"> </w:t>
      </w:r>
      <w:r w:rsidR="00DB7F53">
        <w:t>is not required to be recorded.</w:t>
      </w:r>
    </w:p>
    <w:p w14:paraId="05905BEA" w14:textId="215EF626" w:rsidR="00D76A8B" w:rsidRPr="003B6390" w:rsidRDefault="00D76A8B" w:rsidP="00CE25B6">
      <w:r>
        <w:t xml:space="preserve">The register must be kept within Australia – either at the company’s registered </w:t>
      </w:r>
      <w:r w:rsidR="00CF6B62">
        <w:t>o</w:t>
      </w:r>
      <w:r>
        <w:t xml:space="preserve">ffice, its principal place of business or </w:t>
      </w:r>
      <w:r w:rsidR="00DB7F53">
        <w:t>another place approved by ASIC.</w:t>
      </w:r>
    </w:p>
    <w:p w14:paraId="2A53FD5B" w14:textId="77777777" w:rsidR="00E72C18" w:rsidRDefault="00E72C18">
      <w:pPr>
        <w:spacing w:after="0" w:line="240" w:lineRule="auto"/>
        <w:jc w:val="left"/>
      </w:pPr>
      <w:r>
        <w:br w:type="page"/>
      </w:r>
    </w:p>
    <w:p w14:paraId="290FD8BF" w14:textId="12FDB6A1" w:rsidR="005760F8" w:rsidRDefault="005760F8" w:rsidP="00E72C18">
      <w:pPr>
        <w:spacing w:after="200"/>
      </w:pPr>
      <w:r>
        <w:lastRenderedPageBreak/>
        <w:t xml:space="preserve">A member of the public </w:t>
      </w:r>
      <w:r w:rsidR="00E0752D">
        <w:t>can</w:t>
      </w:r>
      <w:r>
        <w:t xml:space="preserve"> access </w:t>
      </w:r>
      <w:r w:rsidR="008627BD">
        <w:t>this</w:t>
      </w:r>
      <w:r>
        <w:t xml:space="preserve"> register either by:</w:t>
      </w:r>
    </w:p>
    <w:p w14:paraId="5FFAE28A" w14:textId="734D19C9" w:rsidR="005760F8" w:rsidRPr="00CE25B6" w:rsidRDefault="00427C75" w:rsidP="00E72C18">
      <w:pPr>
        <w:pStyle w:val="Bullet"/>
        <w:spacing w:after="200"/>
      </w:pPr>
      <w:r w:rsidRPr="00CE25B6">
        <w:t>i</w:t>
      </w:r>
      <w:r w:rsidR="005760F8" w:rsidRPr="00CE25B6">
        <w:t>nspecting it at the company’s registered office (or other place it is kept)</w:t>
      </w:r>
      <w:r w:rsidR="008627BD" w:rsidRPr="00CE25B6">
        <w:t>; or</w:t>
      </w:r>
    </w:p>
    <w:p w14:paraId="36D1A917" w14:textId="6421D11C" w:rsidR="005760F8" w:rsidRDefault="00427C75" w:rsidP="00E72C18">
      <w:pPr>
        <w:pStyle w:val="Bullet"/>
        <w:spacing w:after="200"/>
      </w:pPr>
      <w:r w:rsidRPr="00CE25B6">
        <w:t>m</w:t>
      </w:r>
      <w:r w:rsidR="005760F8" w:rsidRPr="00CE25B6">
        <w:t>aking an application to be given a copy of the re</w:t>
      </w:r>
      <w:r w:rsidR="00DB7F53">
        <w:t>gister or part of the register.</w:t>
      </w:r>
    </w:p>
    <w:p w14:paraId="2450B2D8" w14:textId="3BB1023D" w:rsidR="005760F8" w:rsidRDefault="005760F8" w:rsidP="00E72C18">
      <w:pPr>
        <w:spacing w:after="180"/>
      </w:pPr>
      <w:r>
        <w:t xml:space="preserve">A fee may apply for both types of access. </w:t>
      </w:r>
      <w:r w:rsidR="00DB3FE8">
        <w:t xml:space="preserve">In applying for a copy of the register the applicant must state each purpose for which they are accessing a copy </w:t>
      </w:r>
      <w:r w:rsidR="00DB3FE8" w:rsidRPr="000E5426">
        <w:t>and access will not be permitted where it is a for a</w:t>
      </w:r>
      <w:r w:rsidR="008627BD">
        <w:t>n improper</w:t>
      </w:r>
      <w:r w:rsidR="00DB3FE8" w:rsidRPr="000E5426">
        <w:t xml:space="preserve"> purpose.</w:t>
      </w:r>
      <w:r w:rsidR="00B12052" w:rsidRPr="000E5426">
        <w:rPr>
          <w:rStyle w:val="FootnoteReference"/>
        </w:rPr>
        <w:footnoteReference w:id="9"/>
      </w:r>
    </w:p>
    <w:p w14:paraId="46E9D9FE" w14:textId="30400695" w:rsidR="005760F8" w:rsidRPr="0016622A" w:rsidRDefault="005760F8" w:rsidP="00E72C18">
      <w:pPr>
        <w:pStyle w:val="Heading3"/>
        <w:spacing w:before="320"/>
        <w:rPr>
          <w:color w:val="auto"/>
        </w:rPr>
      </w:pPr>
      <w:r w:rsidRPr="0016622A">
        <w:t>I</w:t>
      </w:r>
      <w:r w:rsidRPr="001D4757">
        <w:t>nformation given to ASI</w:t>
      </w:r>
      <w:r w:rsidR="00DB7F53">
        <w:t>C and kept on the ASIC register</w:t>
      </w:r>
    </w:p>
    <w:p w14:paraId="5F7C5C48" w14:textId="0E63490F" w:rsidR="009B363C" w:rsidRDefault="002A1206" w:rsidP="00E72C18">
      <w:pPr>
        <w:spacing w:after="200"/>
      </w:pPr>
      <w:r>
        <w:t>Although t</w:t>
      </w:r>
      <w:r w:rsidR="005760F8">
        <w:t xml:space="preserve">he details of company members must be lodged </w:t>
      </w:r>
      <w:r w:rsidR="009B363C">
        <w:t xml:space="preserve">with ASIC </w:t>
      </w:r>
      <w:r w:rsidR="005760F8">
        <w:t>by all companies on registration of the company</w:t>
      </w:r>
      <w:r>
        <w:t xml:space="preserve"> only</w:t>
      </w:r>
      <w:r w:rsidR="00085089">
        <w:t xml:space="preserve"> p</w:t>
      </w:r>
      <w:r w:rsidR="005760F8" w:rsidRPr="00583D20">
        <w:t>r</w:t>
      </w:r>
      <w:r w:rsidR="005760F8">
        <w:t xml:space="preserve">oprietary companies must </w:t>
      </w:r>
      <w:r w:rsidR="008627BD">
        <w:t>report to</w:t>
      </w:r>
      <w:r w:rsidR="005760F8">
        <w:t xml:space="preserve"> ASIC</w:t>
      </w:r>
      <w:r w:rsidR="005760F8" w:rsidRPr="00583D20">
        <w:t xml:space="preserve"> any</w:t>
      </w:r>
      <w:r>
        <w:t xml:space="preserve"> subsequent</w:t>
      </w:r>
      <w:r w:rsidR="005760F8" w:rsidRPr="00583D20">
        <w:t xml:space="preserve"> changes to member details</w:t>
      </w:r>
      <w:r w:rsidR="005760F8">
        <w:t>.</w:t>
      </w:r>
      <w:r w:rsidR="005760F8" w:rsidRPr="00583D20">
        <w:t xml:space="preserve"> </w:t>
      </w:r>
      <w:r w:rsidR="005760F8">
        <w:t>If a proprietary</w:t>
      </w:r>
      <w:r w:rsidR="005760F8" w:rsidRPr="00583D20">
        <w:t xml:space="preserve"> company has more than 20 members </w:t>
      </w:r>
      <w:r w:rsidR="005760F8">
        <w:t xml:space="preserve">the company must inform ASIC </w:t>
      </w:r>
      <w:r w:rsidR="005760F8" w:rsidRPr="00583D20">
        <w:t>of changes affecting the top 20 members in each class of share</w:t>
      </w:r>
      <w:r>
        <w:t>, including any change as to whether the shares are held beneficially by the legal owner or not</w:t>
      </w:r>
      <w:r w:rsidR="005760F8" w:rsidRPr="00583D20">
        <w:t>.</w:t>
      </w:r>
      <w:r w:rsidR="005760F8">
        <w:t xml:space="preserve"> </w:t>
      </w:r>
      <w:r w:rsidR="009B363C">
        <w:t>If the shares are non-beneficially held, there is no requirement to disclose the beneficial owner to ASIC.</w:t>
      </w:r>
    </w:p>
    <w:p w14:paraId="145CB0BB" w14:textId="490E3B5E" w:rsidR="005760F8" w:rsidRDefault="005760F8" w:rsidP="00E72C18">
      <w:pPr>
        <w:spacing w:after="180"/>
      </w:pPr>
      <w:r>
        <w:t xml:space="preserve">These documents which have been lodged with ASIC are then stored on the ASIC register. </w:t>
      </w:r>
      <w:r w:rsidR="002A1206">
        <w:t>A</w:t>
      </w:r>
      <w:r w:rsidR="002F0A4A">
        <w:t> </w:t>
      </w:r>
      <w:r w:rsidR="002A1206">
        <w:t>company extract setting out current and historical information on membership, and each separate document notifying of changes</w:t>
      </w:r>
      <w:r w:rsidR="00427C75">
        <w:t>, may</w:t>
      </w:r>
      <w:r w:rsidR="002A1206">
        <w:t xml:space="preserve"> be obtained </w:t>
      </w:r>
      <w:r>
        <w:t>by the public for a fee.</w:t>
      </w:r>
    </w:p>
    <w:p w14:paraId="42F4A60A" w14:textId="77777777" w:rsidR="005760F8" w:rsidRPr="00203C48" w:rsidRDefault="005760F8" w:rsidP="00E72C18">
      <w:pPr>
        <w:pStyle w:val="Heading3"/>
        <w:spacing w:before="320"/>
      </w:pPr>
      <w:r w:rsidRPr="00203C48">
        <w:t>Listed Companies</w:t>
      </w:r>
    </w:p>
    <w:p w14:paraId="456AF660" w14:textId="682B4A65" w:rsidR="00207156" w:rsidRDefault="00BD0E3F" w:rsidP="00E72C18">
      <w:pPr>
        <w:spacing w:after="200"/>
      </w:pPr>
      <w:r>
        <w:t>Certain disclosure obligations apply to beneficial owners of shares in l</w:t>
      </w:r>
      <w:r w:rsidR="00207156">
        <w:t>isted companies under Chap</w:t>
      </w:r>
      <w:r w:rsidR="00DB7F53">
        <w:t>ter 6C of the Corporations Act.</w:t>
      </w:r>
    </w:p>
    <w:p w14:paraId="3E9298A3" w14:textId="162074A7" w:rsidR="005760F8" w:rsidRDefault="00F616A5" w:rsidP="00E72C18">
      <w:pPr>
        <w:spacing w:after="200"/>
      </w:pPr>
      <w:r>
        <w:t>A</w:t>
      </w:r>
      <w:r w:rsidR="002F0A4A">
        <w:t xml:space="preserve"> person must notify</w:t>
      </w:r>
      <w:r w:rsidR="005E5A36">
        <w:t xml:space="preserve"> a listed</w:t>
      </w:r>
      <w:r w:rsidR="005760F8">
        <w:t xml:space="preserve"> company if the person has</w:t>
      </w:r>
      <w:r w:rsidR="00207156">
        <w:t>, or ceases to have,</w:t>
      </w:r>
      <w:r w:rsidR="005760F8">
        <w:t xml:space="preserve"> a ‘substantial holding’ in the company</w:t>
      </w:r>
      <w:r w:rsidR="005E5A36">
        <w:t>, and any change in their substantial holding of more than 1</w:t>
      </w:r>
      <w:r w:rsidR="00CE25B6">
        <w:t> </w:t>
      </w:r>
      <w:r w:rsidR="005E5A36">
        <w:t>per</w:t>
      </w:r>
      <w:r w:rsidR="00CE25B6">
        <w:t> </w:t>
      </w:r>
      <w:r w:rsidR="005E5A36">
        <w:t>cent</w:t>
      </w:r>
      <w:r w:rsidR="005760F8">
        <w:t xml:space="preserve">. This means they </w:t>
      </w:r>
      <w:r w:rsidR="009F43A2">
        <w:t xml:space="preserve">or their associates </w:t>
      </w:r>
      <w:r w:rsidR="005760F8">
        <w:t>have a relevant interest in 5</w:t>
      </w:r>
      <w:r w:rsidR="005E5A36">
        <w:t xml:space="preserve"> per cent</w:t>
      </w:r>
      <w:r w:rsidR="005760F8">
        <w:t xml:space="preserve"> or more of the total number of votes attached to voting shares in the body. </w:t>
      </w:r>
      <w:r w:rsidR="005E5A36">
        <w:t xml:space="preserve">The concept of ‘association’ is used to </w:t>
      </w:r>
      <w:r w:rsidR="00C278B8">
        <w:t>group together interest</w:t>
      </w:r>
      <w:r w:rsidR="00015F3C">
        <w:t>s which are aligned and should be treated as forming a single</w:t>
      </w:r>
      <w:r w:rsidR="008627BD">
        <w:t xml:space="preserve"> voting</w:t>
      </w:r>
      <w:r w:rsidR="00015F3C">
        <w:t xml:space="preserve"> bloc.</w:t>
      </w:r>
    </w:p>
    <w:p w14:paraId="18F6783D" w14:textId="1A8228C6" w:rsidR="005760F8" w:rsidRPr="00AC1D7A" w:rsidRDefault="005760F8" w:rsidP="00E72C18">
      <w:pPr>
        <w:spacing w:after="200"/>
      </w:pPr>
      <w:r>
        <w:t xml:space="preserve">A person </w:t>
      </w:r>
      <w:r w:rsidR="00015F3C">
        <w:t>or their associates</w:t>
      </w:r>
      <w:r>
        <w:t xml:space="preserve"> who </w:t>
      </w:r>
      <w:r w:rsidR="008627BD">
        <w:t>holds</w:t>
      </w:r>
      <w:r>
        <w:t xml:space="preserve"> a </w:t>
      </w:r>
      <w:r w:rsidRPr="00AC1D7A">
        <w:t>relevant interest</w:t>
      </w:r>
      <w:r>
        <w:t xml:space="preserve"> can be:</w:t>
      </w:r>
    </w:p>
    <w:p w14:paraId="426F7987" w14:textId="3DF5B387" w:rsidR="005760F8" w:rsidRPr="00CE25B6" w:rsidRDefault="005760F8" w:rsidP="00E72C18">
      <w:pPr>
        <w:pStyle w:val="Bullet"/>
        <w:spacing w:after="200"/>
      </w:pPr>
      <w:r w:rsidRPr="00CE25B6">
        <w:t>holders of securities;</w:t>
      </w:r>
      <w:r w:rsidR="00A26554" w:rsidRPr="00CE25B6">
        <w:t xml:space="preserve"> or</w:t>
      </w:r>
    </w:p>
    <w:p w14:paraId="499600D1" w14:textId="3D9D05E7" w:rsidR="005760F8" w:rsidRPr="00CE25B6" w:rsidRDefault="005760F8" w:rsidP="00E72C18">
      <w:pPr>
        <w:pStyle w:val="Bullet"/>
        <w:spacing w:after="200"/>
      </w:pPr>
      <w:r w:rsidRPr="00CE25B6">
        <w:t xml:space="preserve">persons with the power to exercise, or control the exercise of, a right to vote attached to the securities; </w:t>
      </w:r>
      <w:r w:rsidR="00A26554" w:rsidRPr="00CE25B6">
        <w:t>or</w:t>
      </w:r>
    </w:p>
    <w:p w14:paraId="1AAA246D" w14:textId="5F78C230" w:rsidR="005760F8" w:rsidRPr="00CE25B6" w:rsidRDefault="005760F8" w:rsidP="00E72C18">
      <w:pPr>
        <w:pStyle w:val="Bullet"/>
        <w:spacing w:after="0"/>
      </w:pPr>
      <w:r w:rsidRPr="00CE25B6">
        <w:t>persons with the power to dispose of, or control the exercise of a power</w:t>
      </w:r>
      <w:r w:rsidR="00E72C18">
        <w:t xml:space="preserve"> to dispose of, the securities.</w:t>
      </w:r>
    </w:p>
    <w:p w14:paraId="61BF57A7" w14:textId="678AD349" w:rsidR="00207156" w:rsidRDefault="00207156" w:rsidP="0034076D">
      <w:pPr>
        <w:spacing w:after="200"/>
      </w:pPr>
      <w:r>
        <w:lastRenderedPageBreak/>
        <w:t>For the purpose of identifying which persons have relevant interests, ‘power to exercise’ and ‘control the exercise of’ include where the power or control is indirect, or can be exercised as a result of a trust, agreement or practice.</w:t>
      </w:r>
      <w:r w:rsidR="006639A5">
        <w:rPr>
          <w:rStyle w:val="FootnoteReference"/>
        </w:rPr>
        <w:footnoteReference w:id="10"/>
      </w:r>
      <w:r>
        <w:t xml:space="preserve"> </w:t>
      </w:r>
      <w:r w:rsidR="00014E1C">
        <w:t xml:space="preserve">The concept is discussed in further detail in ASIC Regulatory Guide 5 </w:t>
      </w:r>
      <w:r w:rsidR="00014E1C" w:rsidRPr="001D4757">
        <w:rPr>
          <w:i/>
        </w:rPr>
        <w:t>Relevant interests and substantial holding notices</w:t>
      </w:r>
      <w:r w:rsidR="00DB7F53">
        <w:t xml:space="preserve"> (RG 5).</w:t>
      </w:r>
    </w:p>
    <w:p w14:paraId="0C441C8D" w14:textId="57F00C6F" w:rsidR="005760F8" w:rsidRDefault="005760F8" w:rsidP="00E72C18">
      <w:r w:rsidRPr="00DA735E">
        <w:t>The person</w:t>
      </w:r>
      <w:r w:rsidR="00E0752D">
        <w:t>(s)</w:t>
      </w:r>
      <w:r w:rsidRPr="00DA735E">
        <w:t xml:space="preserve"> with the substantial holding must also give the relevant information to each relevant financial market operator, such as the ASX.</w:t>
      </w:r>
      <w:r w:rsidR="00804523">
        <w:t xml:space="preserve"> In th</w:t>
      </w:r>
      <w:r w:rsidR="00E259AA">
        <w:t>e</w:t>
      </w:r>
      <w:r w:rsidR="00804523">
        <w:t xml:space="preserve"> case of ASX,</w:t>
      </w:r>
      <w:r w:rsidRPr="00DA735E">
        <w:t xml:space="preserve"> </w:t>
      </w:r>
      <w:r w:rsidR="00804523">
        <w:t>t</w:t>
      </w:r>
      <w:r w:rsidRPr="00DA735E">
        <w:t xml:space="preserve">his form </w:t>
      </w:r>
      <w:r w:rsidR="005A40C6">
        <w:t>is</w:t>
      </w:r>
      <w:r w:rsidR="00804523">
        <w:t xml:space="preserve"> made publicly available</w:t>
      </w:r>
      <w:r w:rsidR="00624548">
        <w:t xml:space="preserve"> through the </w:t>
      </w:r>
      <w:r w:rsidR="00804523">
        <w:t>market</w:t>
      </w:r>
      <w:r w:rsidR="003826E8">
        <w:t xml:space="preserve"> announcement</w:t>
      </w:r>
      <w:r w:rsidR="00804523">
        <w:t>s</w:t>
      </w:r>
      <w:r w:rsidR="00624548">
        <w:t xml:space="preserve"> platform</w:t>
      </w:r>
      <w:r w:rsidR="00804523">
        <w:t xml:space="preserve"> and can </w:t>
      </w:r>
      <w:r w:rsidR="00A75D5E">
        <w:t>be accessed</w:t>
      </w:r>
      <w:r w:rsidRPr="00DA735E">
        <w:t xml:space="preserve"> on the ASX’s</w:t>
      </w:r>
      <w:r w:rsidR="00530617">
        <w:t xml:space="preserve"> public</w:t>
      </w:r>
      <w:r w:rsidRPr="00DA735E">
        <w:t xml:space="preserve"> website. T</w:t>
      </w:r>
      <w:r>
        <w:t xml:space="preserve">his information is also </w:t>
      </w:r>
      <w:r w:rsidR="00530617">
        <w:t>provided to</w:t>
      </w:r>
      <w:r>
        <w:t xml:space="preserve"> ASIC and</w:t>
      </w:r>
      <w:r w:rsidR="00530617">
        <w:t xml:space="preserve"> is available to the public from </w:t>
      </w:r>
      <w:r w:rsidR="00E259AA">
        <w:t xml:space="preserve">the </w:t>
      </w:r>
      <w:r w:rsidR="00530617">
        <w:t>ASIC</w:t>
      </w:r>
      <w:r>
        <w:t xml:space="preserve"> </w:t>
      </w:r>
      <w:r w:rsidR="00E259AA">
        <w:t xml:space="preserve">register </w:t>
      </w:r>
      <w:r w:rsidR="0034076D">
        <w:t>for a fee.</w:t>
      </w:r>
    </w:p>
    <w:p w14:paraId="2C08147B" w14:textId="5FDE595E" w:rsidR="005760F8" w:rsidRPr="00A40C5D" w:rsidRDefault="00D2280D" w:rsidP="00E72C18">
      <w:pPr>
        <w:rPr>
          <w:color w:val="auto"/>
        </w:rPr>
      </w:pPr>
      <w:r>
        <w:rPr>
          <w:color w:val="auto"/>
        </w:rPr>
        <w:t>Under the ASX listing rules, c</w:t>
      </w:r>
      <w:r w:rsidR="005760F8" w:rsidRPr="00A40C5D">
        <w:rPr>
          <w:color w:val="auto"/>
        </w:rPr>
        <w:t>ompanies must also include in an annual r</w:t>
      </w:r>
      <w:r w:rsidR="005760F8">
        <w:rPr>
          <w:color w:val="auto"/>
        </w:rPr>
        <w:t>eport which they</w:t>
      </w:r>
      <w:r w:rsidR="005760F8" w:rsidRPr="00A40C5D">
        <w:rPr>
          <w:color w:val="auto"/>
        </w:rPr>
        <w:t xml:space="preserve"> provide to the ASX information about the substantial holdings of the company as disclosed in substantial holding notices given to the company. This provides an account of all of the substantial holders of the company</w:t>
      </w:r>
      <w:r w:rsidR="00D366D2">
        <w:rPr>
          <w:color w:val="auto"/>
        </w:rPr>
        <w:t xml:space="preserve"> </w:t>
      </w:r>
      <w:r w:rsidR="00483A27">
        <w:rPr>
          <w:color w:val="auto"/>
        </w:rPr>
        <w:t xml:space="preserve">as at the date of the annual report </w:t>
      </w:r>
      <w:r w:rsidR="00D366D2">
        <w:rPr>
          <w:color w:val="auto"/>
        </w:rPr>
        <w:t>and</w:t>
      </w:r>
      <w:r w:rsidR="00483A27">
        <w:rPr>
          <w:color w:val="auto"/>
        </w:rPr>
        <w:t xml:space="preserve"> is</w:t>
      </w:r>
      <w:r w:rsidR="005760F8" w:rsidRPr="00A40C5D">
        <w:rPr>
          <w:color w:val="auto"/>
        </w:rPr>
        <w:t xml:space="preserve"> also available</w:t>
      </w:r>
      <w:r w:rsidR="00991A21">
        <w:rPr>
          <w:color w:val="auto"/>
        </w:rPr>
        <w:t xml:space="preserve"> to the general public at no cost</w:t>
      </w:r>
      <w:r w:rsidR="00DB7F53">
        <w:rPr>
          <w:color w:val="auto"/>
        </w:rPr>
        <w:t xml:space="preserve"> via the ASX website.</w:t>
      </w:r>
    </w:p>
    <w:p w14:paraId="2D8346F7" w14:textId="77777777" w:rsidR="00CC1FE5" w:rsidRPr="005B451A" w:rsidRDefault="005760F8" w:rsidP="0045753C">
      <w:pPr>
        <w:pStyle w:val="Heading2"/>
      </w:pPr>
      <w:bookmarkStart w:id="26" w:name="_Toc463518749"/>
      <w:bookmarkStart w:id="27" w:name="_Toc466542585"/>
      <w:bookmarkStart w:id="28" w:name="_Toc474414904"/>
      <w:r w:rsidRPr="005B451A">
        <w:t xml:space="preserve">Operation of tracing provisions </w:t>
      </w:r>
      <w:bookmarkEnd w:id="26"/>
      <w:r w:rsidRPr="005B451A">
        <w:t>for listed companies</w:t>
      </w:r>
      <w:bookmarkEnd w:id="27"/>
      <w:bookmarkEnd w:id="28"/>
    </w:p>
    <w:p w14:paraId="0DCB738E" w14:textId="0DB316BA" w:rsidR="005760F8" w:rsidRPr="00CC1FE5" w:rsidRDefault="005760F8" w:rsidP="0034076D">
      <w:pPr>
        <w:spacing w:after="200"/>
      </w:pPr>
      <w:r w:rsidRPr="00CC1FE5">
        <w:t>For listed companies there is an additional process which can increase the transparency of ownership information. ASIC has</w:t>
      </w:r>
      <w:r w:rsidR="00C30086">
        <w:t xml:space="preserve"> the</w:t>
      </w:r>
      <w:r w:rsidRPr="00CC1FE5">
        <w:t xml:space="preserve"> power to trace ownership information for listed companies by issuing a person with a tracing notice. </w:t>
      </w:r>
      <w:r w:rsidR="006978F0">
        <w:t>Listed c</w:t>
      </w:r>
      <w:r w:rsidRPr="00CC1FE5">
        <w:t>ompanies themselves can also issue tracing notices. This notice requires the person wh</w:t>
      </w:r>
      <w:r w:rsidR="00AD60C5">
        <w:t>o</w:t>
      </w:r>
      <w:r w:rsidRPr="00CC1FE5">
        <w:t xml:space="preserve"> receives it to disclose details about the </w:t>
      </w:r>
      <w:r w:rsidR="000F55F5">
        <w:t xml:space="preserve">‘relevant </w:t>
      </w:r>
      <w:r w:rsidRPr="00CC1FE5">
        <w:t>interest</w:t>
      </w:r>
      <w:r w:rsidR="000F55F5">
        <w:t>’</w:t>
      </w:r>
      <w:r w:rsidRPr="00CC1FE5">
        <w:t xml:space="preserve"> they have in certain securities</w:t>
      </w:r>
      <w:r w:rsidR="00C37928">
        <w:t>, the relevant interests of any other persons as well as details of persons who have given them instructions in relation to the holding</w:t>
      </w:r>
      <w:r w:rsidRPr="00CC1FE5">
        <w:t xml:space="preserve">. </w:t>
      </w:r>
      <w:r w:rsidR="00C30086">
        <w:t xml:space="preserve">Notices can be issued either to a </w:t>
      </w:r>
      <w:r w:rsidR="004D22D1">
        <w:t>registered</w:t>
      </w:r>
      <w:r w:rsidRPr="00CC1FE5">
        <w:t xml:space="preserve"> member of the company</w:t>
      </w:r>
      <w:r w:rsidR="00C30086">
        <w:t xml:space="preserve"> or a person who has been named in a prior tracing notice relating to those shares</w:t>
      </w:r>
      <w:r w:rsidR="00DB7F53">
        <w:t>.</w:t>
      </w:r>
    </w:p>
    <w:p w14:paraId="6791B280" w14:textId="7C1B2AAB" w:rsidR="005760F8" w:rsidRDefault="005760F8" w:rsidP="0034076D">
      <w:pPr>
        <w:spacing w:after="200"/>
      </w:pPr>
      <w:r w:rsidRPr="0076341E">
        <w:t xml:space="preserve">The current </w:t>
      </w:r>
      <w:r w:rsidR="00A60C9C">
        <w:t>tracing notice regime</w:t>
      </w:r>
      <w:r w:rsidR="000F55F5">
        <w:t xml:space="preserve"> require</w:t>
      </w:r>
      <w:r w:rsidR="00A60C9C">
        <w:t>s</w:t>
      </w:r>
      <w:r w:rsidR="000F55F5">
        <w:t xml:space="preserve"> disclosure of all </w:t>
      </w:r>
      <w:r w:rsidRPr="0076341E">
        <w:t xml:space="preserve">relevant interests, whether or not the beneficial owner has a holding of </w:t>
      </w:r>
      <w:r w:rsidR="006639A5">
        <w:t>five per cent</w:t>
      </w:r>
      <w:r w:rsidR="00DB7F53">
        <w:t xml:space="preserve"> or more.</w:t>
      </w:r>
    </w:p>
    <w:p w14:paraId="5B79CCCA" w14:textId="04CBBBF6" w:rsidR="005760F8" w:rsidRDefault="005760F8" w:rsidP="0034076D">
      <w:pPr>
        <w:spacing w:after="200"/>
      </w:pPr>
      <w:r w:rsidRPr="00962C8D">
        <w:t>Disclosure in response to a tracing notice must be made within two days.</w:t>
      </w:r>
      <w:r>
        <w:t xml:space="preserve"> Where a </w:t>
      </w:r>
      <w:r w:rsidR="000C0575">
        <w:t xml:space="preserve">listed </w:t>
      </w:r>
      <w:r>
        <w:t>company</w:t>
      </w:r>
      <w:r w:rsidRPr="00510DA6">
        <w:t xml:space="preserve"> </w:t>
      </w:r>
      <w:r>
        <w:t xml:space="preserve">receives </w:t>
      </w:r>
      <w:r w:rsidRPr="00510DA6">
        <w:t>beneficial ownership information</w:t>
      </w:r>
      <w:r>
        <w:t xml:space="preserve"> in response to a tracing notice</w:t>
      </w:r>
      <w:r w:rsidRPr="00510DA6">
        <w:t xml:space="preserve"> </w:t>
      </w:r>
      <w:r>
        <w:t xml:space="preserve">they are </w:t>
      </w:r>
      <w:r w:rsidRPr="00510DA6">
        <w:t>required to include those details in a register</w:t>
      </w:r>
      <w:r w:rsidR="00A60C9C">
        <w:t xml:space="preserve"> maintained by the company</w:t>
      </w:r>
      <w:r>
        <w:t xml:space="preserve"> </w:t>
      </w:r>
      <w:r w:rsidR="00A60C9C">
        <w:t>which</w:t>
      </w:r>
      <w:r w:rsidR="002F0A4A">
        <w:t xml:space="preserve"> </w:t>
      </w:r>
      <w:r w:rsidRPr="00510DA6">
        <w:t>is available and accessible to the general public</w:t>
      </w:r>
      <w:r>
        <w:t xml:space="preserve"> (a fee may apply)</w:t>
      </w:r>
      <w:r w:rsidRPr="00510DA6">
        <w:t>.</w:t>
      </w:r>
      <w:r>
        <w:t xml:space="preserve"> A member of the public can either inspect the register where it is held or request a copy.</w:t>
      </w:r>
    </w:p>
    <w:p w14:paraId="6AB2379F" w14:textId="77777777" w:rsidR="005760F8" w:rsidRDefault="005760F8" w:rsidP="0034076D">
      <w:pPr>
        <w:spacing w:after="200"/>
      </w:pPr>
      <w:r>
        <w:t>This information is not stored on the ASIC register.</w:t>
      </w:r>
    </w:p>
    <w:p w14:paraId="0F223586" w14:textId="749E86C9" w:rsidR="005760F8" w:rsidRPr="005B451A" w:rsidRDefault="005760F8" w:rsidP="0045753C">
      <w:pPr>
        <w:pStyle w:val="Heading2"/>
      </w:pPr>
      <w:bookmarkStart w:id="29" w:name="_Toc464207021"/>
      <w:bookmarkStart w:id="30" w:name="_Toc466542586"/>
      <w:bookmarkStart w:id="31" w:name="_Toc474414905"/>
      <w:r w:rsidRPr="005B451A">
        <w:lastRenderedPageBreak/>
        <w:t>Other requirements to collect beneficial ownership information</w:t>
      </w:r>
      <w:bookmarkEnd w:id="29"/>
      <w:bookmarkEnd w:id="30"/>
      <w:bookmarkEnd w:id="31"/>
    </w:p>
    <w:p w14:paraId="456533C6" w14:textId="77777777" w:rsidR="005760F8" w:rsidRPr="00E36A4F" w:rsidRDefault="005760F8">
      <w:pPr>
        <w:pStyle w:val="Heading3"/>
      </w:pPr>
      <w:bookmarkStart w:id="32" w:name="_Toc464207022"/>
      <w:r w:rsidRPr="00E36A4F">
        <w:t>Anti-Money Laundering and Counter-Terrorism Rules</w:t>
      </w:r>
      <w:bookmarkEnd w:id="32"/>
    </w:p>
    <w:p w14:paraId="7B317DB3" w14:textId="69CB5F9D" w:rsidR="008A2DF5" w:rsidRDefault="005760F8" w:rsidP="0034076D">
      <w:pPr>
        <w:spacing w:after="200"/>
      </w:pPr>
      <w:r>
        <w:t xml:space="preserve">Under </w:t>
      </w:r>
      <w:r w:rsidR="00DB3F77">
        <w:t>Australia’s</w:t>
      </w:r>
      <w:r>
        <w:t xml:space="preserve"> Anti-Money Laundering and Counter-Terrorism Financing</w:t>
      </w:r>
      <w:r w:rsidR="00DB3F77">
        <w:t xml:space="preserve"> legal framework</w:t>
      </w:r>
      <w:r w:rsidR="00CE432E">
        <w:rPr>
          <w:rStyle w:val="FootnoteReference"/>
        </w:rPr>
        <w:footnoteReference w:id="11"/>
      </w:r>
      <w:r w:rsidR="0033576D">
        <w:t xml:space="preserve"> </w:t>
      </w:r>
      <w:r>
        <w:t xml:space="preserve">reporting entities </w:t>
      </w:r>
      <w:r w:rsidR="008627BD">
        <w:t>must</w:t>
      </w:r>
      <w:r>
        <w:t xml:space="preserve"> collect and</w:t>
      </w:r>
      <w:r w:rsidR="008627BD">
        <w:t xml:space="preserve"> take reasonable measures to</w:t>
      </w:r>
      <w:r>
        <w:t xml:space="preserve"> verify beneficial ownership information in relation to certain customers</w:t>
      </w:r>
      <w:r w:rsidR="00DA3FC6">
        <w:t xml:space="preserve"> as part of their customer due diligence obligations</w:t>
      </w:r>
      <w:r w:rsidR="008627BD">
        <w:t>, unless certain exemptions apply</w:t>
      </w:r>
      <w:r>
        <w:t>.</w:t>
      </w:r>
      <w:r w:rsidR="00ED66B4">
        <w:rPr>
          <w:rStyle w:val="FootnoteReference"/>
        </w:rPr>
        <w:footnoteReference w:id="12"/>
      </w:r>
      <w:r w:rsidR="0033576D" w:rsidRPr="0033576D">
        <w:t xml:space="preserve"> </w:t>
      </w:r>
      <w:r w:rsidR="0033576D">
        <w:t xml:space="preserve">Reporting entities are </w:t>
      </w:r>
      <w:r w:rsidR="0033576D" w:rsidRPr="0033576D">
        <w:t>financial, remittance, gaming and bullion businesses that provide designated services</w:t>
      </w:r>
      <w:r w:rsidR="008627BD">
        <w:t xml:space="preserve"> as prescribed</w:t>
      </w:r>
      <w:r w:rsidR="0033576D">
        <w:t xml:space="preserve"> in the legislation.</w:t>
      </w:r>
      <w:r w:rsidR="001E3430" w:rsidRPr="001E3430">
        <w:t xml:space="preserve"> </w:t>
      </w:r>
      <w:r w:rsidR="00E96943">
        <w:t>T</w:t>
      </w:r>
      <w:r w:rsidR="001E3430">
        <w:t xml:space="preserve">hese obligations could </w:t>
      </w:r>
      <w:r w:rsidR="00874B3A">
        <w:t xml:space="preserve">potentially </w:t>
      </w:r>
      <w:r w:rsidR="001E3430">
        <w:t>apply</w:t>
      </w:r>
      <w:r w:rsidR="001E3430" w:rsidRPr="001E3430">
        <w:t xml:space="preserve"> to all types of Australian companies.</w:t>
      </w:r>
    </w:p>
    <w:p w14:paraId="568004FA" w14:textId="5AEB473C" w:rsidR="005760F8" w:rsidRDefault="00B87334" w:rsidP="00CE25B6">
      <w:r>
        <w:t xml:space="preserve">The beneficial owner </w:t>
      </w:r>
      <w:r w:rsidR="001E3430" w:rsidRPr="001E3430">
        <w:t>of a customer is an individual who ultimately owns or controls (directly or indirectly) the customer. Ownership will only be made out where more than 25</w:t>
      </w:r>
      <w:r w:rsidR="00CE25B6">
        <w:t> per cent</w:t>
      </w:r>
      <w:r w:rsidR="001E3430" w:rsidRPr="001E3430">
        <w:t xml:space="preserve"> of that customer is owned by the individual.</w:t>
      </w:r>
      <w:r w:rsidR="008627BD">
        <w:rPr>
          <w:rStyle w:val="FootnoteReference"/>
        </w:rPr>
        <w:footnoteReference w:id="13"/>
      </w:r>
      <w:r w:rsidR="001E3430">
        <w:t xml:space="preserve"> </w:t>
      </w:r>
      <w:r w:rsidR="0033576D" w:rsidRPr="0033576D">
        <w:t>This information can be requested by AUSTRAC, law enforc</w:t>
      </w:r>
      <w:r w:rsidR="002F0A4A">
        <w:t>ement and regulatory agencies.</w:t>
      </w:r>
    </w:p>
    <w:p w14:paraId="2ED160B9" w14:textId="428059C2" w:rsidR="008F442B" w:rsidRDefault="008F442B" w:rsidP="00CE25B6">
      <w:r>
        <w:t>These requirements contribute towards Australia’s implementation of Principle 7 of the G20</w:t>
      </w:r>
      <w:r w:rsidR="00CE25B6">
        <w:t> </w:t>
      </w:r>
      <w:r>
        <w:t>Principles</w:t>
      </w:r>
      <w:r w:rsidR="00706040">
        <w:t xml:space="preserve"> and FATF Recommendation 10</w:t>
      </w:r>
      <w:r w:rsidR="00706040">
        <w:rPr>
          <w:rStyle w:val="FootnoteReference"/>
        </w:rPr>
        <w:footnoteReference w:id="14"/>
      </w:r>
      <w:r>
        <w:t xml:space="preserve"> which relates to c</w:t>
      </w:r>
      <w:r w:rsidRPr="008F442B">
        <w:t>ountrie</w:t>
      </w:r>
      <w:r>
        <w:t>s requiring</w:t>
      </w:r>
      <w:r w:rsidRPr="008F442B">
        <w:t xml:space="preserve"> financial institutions to identif</w:t>
      </w:r>
      <w:r w:rsidR="00191A87">
        <w:t>y and take reasonable measures</w:t>
      </w:r>
      <w:r w:rsidR="00E16BFA">
        <w:t xml:space="preserve"> </w:t>
      </w:r>
      <w:r w:rsidRPr="008F442B">
        <w:t>to verify the beneficial ownership of their customers.</w:t>
      </w:r>
    </w:p>
    <w:p w14:paraId="651C9B81" w14:textId="63CD2925" w:rsidR="003017BC" w:rsidRPr="00DC3DB8" w:rsidRDefault="003017BC">
      <w:pPr>
        <w:pStyle w:val="Heading3"/>
      </w:pPr>
      <w:r w:rsidRPr="00DC3DB8">
        <w:t>Common Reporting Standard (CRS)</w:t>
      </w:r>
    </w:p>
    <w:p w14:paraId="0CA3F701" w14:textId="50FF7443" w:rsidR="003017BC" w:rsidRPr="007F77DB" w:rsidRDefault="000A0DB9" w:rsidP="00CE25B6">
      <w:r w:rsidRPr="007F77DB">
        <w:t>The CRS is a single global standard for the automatic exchange of financial account information</w:t>
      </w:r>
      <w:r w:rsidR="003017BC" w:rsidRPr="007F77DB">
        <w:t xml:space="preserve"> </w:t>
      </w:r>
      <w:r w:rsidR="00F21F86" w:rsidRPr="007F77DB">
        <w:t xml:space="preserve">(including beneficial ownership information) </w:t>
      </w:r>
      <w:r w:rsidR="003017BC" w:rsidRPr="007F77DB">
        <w:t>on account holders who are foreign tax residents</w:t>
      </w:r>
      <w:r w:rsidRPr="007F77DB">
        <w:t xml:space="preserve">. </w:t>
      </w:r>
      <w:r w:rsidRPr="00924594">
        <w:t>It includes requirements for</w:t>
      </w:r>
      <w:r w:rsidR="003017BC" w:rsidRPr="00924594">
        <w:t xml:space="preserve"> reporting of that information to the</w:t>
      </w:r>
      <w:r w:rsidR="00167FDC" w:rsidRPr="00924594">
        <w:t xml:space="preserve"> financial institution’s</w:t>
      </w:r>
      <w:r w:rsidRPr="00924594">
        <w:t xml:space="preserve"> tax authorities</w:t>
      </w:r>
      <w:r w:rsidR="003017BC" w:rsidRPr="00924594">
        <w:t xml:space="preserve"> and the exchange of that information with the foreign residents’ home tax authorities.</w:t>
      </w:r>
    </w:p>
    <w:p w14:paraId="0EBE8809" w14:textId="1B118FD5" w:rsidR="00B31E50" w:rsidRDefault="00D73B09" w:rsidP="00CE25B6">
      <w:r w:rsidRPr="007F77DB">
        <w:t>The beneficial ownership information required to be collected includes the name, address, jurisdiction(s) of residence, tax identification number</w:t>
      </w:r>
      <w:r w:rsidR="005601E7">
        <w:t xml:space="preserve"> (for jurisdictions that allow tax identification numbers to be collected)</w:t>
      </w:r>
      <w:r w:rsidRPr="007F77DB">
        <w:t xml:space="preserve"> and date and place of birth of each for</w:t>
      </w:r>
      <w:r w:rsidR="00F21F86" w:rsidRPr="007F77DB">
        <w:t>eign resident controlling person (beneficial owner).</w:t>
      </w:r>
    </w:p>
    <w:p w14:paraId="3BB95F4D" w14:textId="77777777" w:rsidR="00E9383B" w:rsidRDefault="00E9383B" w:rsidP="00CE25B6"/>
    <w:p w14:paraId="5CD4B5DE" w14:textId="77777777" w:rsidR="00E9383B" w:rsidRDefault="00E9383B" w:rsidP="00CE25B6">
      <w:pPr>
        <w:sectPr w:rsidR="00E9383B" w:rsidSect="00212A4E">
          <w:footerReference w:type="first" r:id="rId28"/>
          <w:pgSz w:w="11906" w:h="16838" w:code="9"/>
          <w:pgMar w:top="1418" w:right="1418" w:bottom="1418" w:left="1418" w:header="709" w:footer="510" w:gutter="0"/>
          <w:cols w:space="708"/>
          <w:titlePg/>
          <w:docGrid w:linePitch="360"/>
        </w:sectPr>
      </w:pPr>
    </w:p>
    <w:p w14:paraId="0E8E8CDD" w14:textId="40F37015" w:rsidR="000A7BCF" w:rsidRPr="00537289" w:rsidRDefault="0062775B" w:rsidP="00CE25B6">
      <w:pPr>
        <w:pStyle w:val="Heading1-Numbered"/>
      </w:pPr>
      <w:bookmarkStart w:id="33" w:name="_Toc463518752"/>
      <w:bookmarkStart w:id="34" w:name="_Toc464207024"/>
      <w:bookmarkStart w:id="35" w:name="_Toc466542587"/>
      <w:bookmarkStart w:id="36" w:name="_Toc474414906"/>
      <w:r w:rsidRPr="00537289">
        <w:lastRenderedPageBreak/>
        <w:t>The International Context</w:t>
      </w:r>
      <w:bookmarkEnd w:id="33"/>
      <w:bookmarkEnd w:id="34"/>
      <w:bookmarkEnd w:id="35"/>
      <w:bookmarkEnd w:id="36"/>
    </w:p>
    <w:p w14:paraId="77960DEE" w14:textId="52CAD00B" w:rsidR="00972E13" w:rsidRPr="005B451A" w:rsidRDefault="00247295" w:rsidP="0045753C">
      <w:pPr>
        <w:pStyle w:val="Heading2"/>
      </w:pPr>
      <w:bookmarkStart w:id="37" w:name="_Toc464207025"/>
      <w:bookmarkStart w:id="38" w:name="_Toc466542588"/>
      <w:bookmarkStart w:id="39" w:name="_Toc474414907"/>
      <w:r w:rsidRPr="005B451A">
        <w:t xml:space="preserve">Australia’s </w:t>
      </w:r>
      <w:r w:rsidR="00972E13" w:rsidRPr="005B451A">
        <w:t xml:space="preserve">International </w:t>
      </w:r>
      <w:r w:rsidRPr="005B451A">
        <w:t>Commitments</w:t>
      </w:r>
      <w:bookmarkEnd w:id="37"/>
      <w:bookmarkEnd w:id="38"/>
      <w:bookmarkEnd w:id="39"/>
    </w:p>
    <w:p w14:paraId="69377EAB" w14:textId="731C10B8" w:rsidR="002B255C" w:rsidRPr="00C712EA" w:rsidRDefault="002B255C">
      <w:pPr>
        <w:pStyle w:val="Heading3"/>
      </w:pPr>
      <w:bookmarkStart w:id="40" w:name="_Toc466542589"/>
      <w:r w:rsidRPr="00C712EA">
        <w:t>G20 Principles</w:t>
      </w:r>
      <w:bookmarkEnd w:id="40"/>
    </w:p>
    <w:p w14:paraId="0ED8E469" w14:textId="5BD7CE25" w:rsidR="001904F5" w:rsidRDefault="009C2549" w:rsidP="00CE25B6">
      <w:r>
        <w:t xml:space="preserve">Australia has committed to </w:t>
      </w:r>
      <w:r w:rsidR="00A27EAE">
        <w:t xml:space="preserve">the </w:t>
      </w:r>
      <w:r w:rsidR="001904F5" w:rsidRPr="00F30B0B">
        <w:t>G20</w:t>
      </w:r>
      <w:r w:rsidR="001904F5" w:rsidRPr="00F30B0B" w:rsidDel="00C712A2">
        <w:t xml:space="preserve"> </w:t>
      </w:r>
      <w:r w:rsidR="001904F5" w:rsidRPr="00F30B0B">
        <w:t xml:space="preserve">Principles. </w:t>
      </w:r>
      <w:r w:rsidR="001E25CF">
        <w:t xml:space="preserve">The </w:t>
      </w:r>
      <w:r w:rsidR="00224EEF">
        <w:t>P</w:t>
      </w:r>
      <w:r w:rsidR="001E25CF">
        <w:t>rinciples state that</w:t>
      </w:r>
      <w:r w:rsidR="001904F5" w:rsidRPr="00F30B0B">
        <w:t xml:space="preserve"> </w:t>
      </w:r>
      <w:r w:rsidR="001E25CF">
        <w:t>c</w:t>
      </w:r>
      <w:r w:rsidR="001E25CF" w:rsidRPr="001E25CF">
        <w:t xml:space="preserve">ountries should ensure that </w:t>
      </w:r>
      <w:r w:rsidR="001E25CF" w:rsidRPr="001917DD">
        <w:t>competent authorities</w:t>
      </w:r>
      <w:r w:rsidR="001E25CF" w:rsidRPr="001E25CF">
        <w:t xml:space="preserve"> </w:t>
      </w:r>
      <w:r w:rsidR="005C53BB">
        <w:t>(</w:t>
      </w:r>
      <w:r w:rsidR="005C53BB" w:rsidRPr="005C53BB">
        <w:t>including law enforcement and prosecutorial authorities, supervisory authorities, tax authorities and financial intelligence units)</w:t>
      </w:r>
      <w:r w:rsidR="005C53BB">
        <w:t xml:space="preserve"> </w:t>
      </w:r>
      <w:r w:rsidR="001E25CF" w:rsidRPr="001E25CF">
        <w:t>have timely access to adequate, accurate and current information regarding the beneficial ownership of legal persons</w:t>
      </w:r>
      <w:r w:rsidR="001E25CF">
        <w:t xml:space="preserve"> (companies)</w:t>
      </w:r>
      <w:r w:rsidR="001E25CF" w:rsidRPr="001E25CF">
        <w:t>.</w:t>
      </w:r>
    </w:p>
    <w:p w14:paraId="6DC18948" w14:textId="271FA4E0" w:rsidR="002B255C" w:rsidRPr="00C712EA" w:rsidRDefault="002B255C">
      <w:pPr>
        <w:pStyle w:val="Heading3"/>
      </w:pPr>
      <w:bookmarkStart w:id="41" w:name="_Toc466542590"/>
      <w:r w:rsidRPr="00C712EA">
        <w:t>Financial Action Task Force Standards</w:t>
      </w:r>
      <w:bookmarkEnd w:id="41"/>
    </w:p>
    <w:p w14:paraId="6876A9C2" w14:textId="1384DDAA" w:rsidR="00860909" w:rsidRDefault="00F70CF8" w:rsidP="00CE25B6">
      <w:r>
        <w:t>As a</w:t>
      </w:r>
      <w:r w:rsidR="003A3EC0">
        <w:t xml:space="preserve"> founding</w:t>
      </w:r>
      <w:r>
        <w:t xml:space="preserve"> member of </w:t>
      </w:r>
      <w:r w:rsidR="005F361B">
        <w:t>t</w:t>
      </w:r>
      <w:r w:rsidR="00972E13" w:rsidRPr="00972E13">
        <w:t>he FATF</w:t>
      </w:r>
      <w:r>
        <w:t>, Australia has</w:t>
      </w:r>
      <w:r w:rsidR="00F37BFC">
        <w:t xml:space="preserve"> also</w:t>
      </w:r>
      <w:r>
        <w:t xml:space="preserve"> committed to implementing the FATF’s</w:t>
      </w:r>
      <w:r w:rsidR="0063453C">
        <w:t xml:space="preserve"> </w:t>
      </w:r>
      <w:r w:rsidR="00972E13">
        <w:t>recommendations</w:t>
      </w:r>
      <w:r>
        <w:t>, which</w:t>
      </w:r>
      <w:r w:rsidR="00972E13">
        <w:t xml:space="preserve"> are recognised as the international standards for combating of money laundering and the financing of terrorism.</w:t>
      </w:r>
      <w:r w:rsidR="00860909" w:rsidRPr="00860909">
        <w:t xml:space="preserve"> </w:t>
      </w:r>
      <w:r w:rsidR="003A3EC0">
        <w:t xml:space="preserve">The </w:t>
      </w:r>
      <w:r w:rsidR="00860909" w:rsidRPr="00860909">
        <w:t>FATF is an independent</w:t>
      </w:r>
      <w:r w:rsidR="00CE25B6">
        <w:br/>
      </w:r>
      <w:r w:rsidR="00860909" w:rsidRPr="00860909">
        <w:t>inter-governmental body that develops and promotes policies to protect the global financial system against money laundering, terroris</w:t>
      </w:r>
      <w:r w:rsidR="003A3EC0">
        <w:t>m</w:t>
      </w:r>
      <w:r w:rsidR="00860909" w:rsidRPr="00860909">
        <w:t xml:space="preserve"> financing and the financing of </w:t>
      </w:r>
      <w:r w:rsidR="00416CFB">
        <w:t xml:space="preserve">the </w:t>
      </w:r>
      <w:r w:rsidR="00860909" w:rsidRPr="00860909">
        <w:t>proliferation of weapons of mass destruction.</w:t>
      </w:r>
    </w:p>
    <w:p w14:paraId="6685EBA7" w14:textId="7F1F1AEC" w:rsidR="00972E13" w:rsidRDefault="00F70CF8" w:rsidP="00CE25B6">
      <w:r>
        <w:t xml:space="preserve">Australia has committed to fully and effectively </w:t>
      </w:r>
      <w:r w:rsidR="00FF0E34">
        <w:t>implementing</w:t>
      </w:r>
      <w:r w:rsidRPr="00F70CF8">
        <w:t xml:space="preserve"> two recommendations on transparency of the beneficial ownership of legal persons (companies) and legal arrangements (trusts).</w:t>
      </w:r>
      <w:r w:rsidR="00860909">
        <w:t xml:space="preserve"> </w:t>
      </w:r>
      <w:r w:rsidR="00860909" w:rsidRPr="00860909">
        <w:t xml:space="preserve">In an Australian context, companies would be covered by the FATF </w:t>
      </w:r>
      <w:r w:rsidR="00860909">
        <w:t>Recommendation 24 on ‘legal persons’.</w:t>
      </w:r>
      <w:r w:rsidR="002A08E5">
        <w:rPr>
          <w:rStyle w:val="FootnoteReference"/>
        </w:rPr>
        <w:footnoteReference w:id="15"/>
      </w:r>
    </w:p>
    <w:p w14:paraId="4C902B5E" w14:textId="052734D6" w:rsidR="00224EEF" w:rsidRDefault="003A3EC0" w:rsidP="00CE25B6">
      <w:r>
        <w:t xml:space="preserve">The </w:t>
      </w:r>
      <w:r w:rsidR="00670BD4">
        <w:t>FATF</w:t>
      </w:r>
      <w:r>
        <w:t xml:space="preserve"> standards require</w:t>
      </w:r>
      <w:r w:rsidR="00A874BF">
        <w:t xml:space="preserve"> </w:t>
      </w:r>
      <w:r w:rsidR="00972E13">
        <w:t>c</w:t>
      </w:r>
      <w:r w:rsidR="00972E13" w:rsidRPr="00865D01">
        <w:t>ountries</w:t>
      </w:r>
      <w:r>
        <w:t xml:space="preserve"> to</w:t>
      </w:r>
      <w:r w:rsidR="00972E13" w:rsidRPr="00865D01">
        <w:t xml:space="preserve"> ensure that adequate</w:t>
      </w:r>
      <w:r>
        <w:t xml:space="preserve"> and</w:t>
      </w:r>
      <w:r w:rsidR="00A874BF">
        <w:t xml:space="preserve"> </w:t>
      </w:r>
      <w:r w:rsidR="00972E13" w:rsidRPr="00865D01">
        <w:t>accurate information on the beneficial ownership and control of legal persons</w:t>
      </w:r>
      <w:r>
        <w:t xml:space="preserve"> and trusts</w:t>
      </w:r>
      <w:r w:rsidR="00972E13" w:rsidRPr="00865D01">
        <w:t xml:space="preserve"> can be obtained or accessed in a timely fashion by </w:t>
      </w:r>
      <w:r w:rsidR="00972E13" w:rsidRPr="008577EB">
        <w:t>competent authorities</w:t>
      </w:r>
      <w:r w:rsidR="002C65D7">
        <w:t xml:space="preserve"> (see Part 2</w:t>
      </w:r>
      <w:r w:rsidR="00BC266E">
        <w:t>.1</w:t>
      </w:r>
      <w:r w:rsidR="001C17E5">
        <w:t xml:space="preserve"> of this paper</w:t>
      </w:r>
      <w:r w:rsidR="00BC266E">
        <w:t xml:space="preserve"> for the FATF definition of beneficial ownership)</w:t>
      </w:r>
      <w:r w:rsidR="00972E13" w:rsidDel="00BC266E">
        <w:t>.</w:t>
      </w:r>
    </w:p>
    <w:p w14:paraId="4F3C57C1" w14:textId="5DBBE5AE" w:rsidR="00FF5063" w:rsidRDefault="003A3EC0" w:rsidP="00CE25B6">
      <w:r>
        <w:t xml:space="preserve">The </w:t>
      </w:r>
      <w:r w:rsidR="00727DE5">
        <w:t xml:space="preserve">FATF guidance </w:t>
      </w:r>
      <w:r>
        <w:t>states</w:t>
      </w:r>
      <w:r w:rsidR="00727DE5">
        <w:t xml:space="preserve"> that</w:t>
      </w:r>
      <w:r w:rsidR="00B03258">
        <w:t xml:space="preserve"> implementing Recommendation 24 involves obtaining and making available to </w:t>
      </w:r>
      <w:r w:rsidR="00B03258" w:rsidRPr="008577EB">
        <w:t>competent authorities</w:t>
      </w:r>
      <w:r w:rsidR="00B03258">
        <w:t xml:space="preserve"> </w:t>
      </w:r>
      <w:r w:rsidR="00727DE5">
        <w:t>information</w:t>
      </w:r>
      <w:r w:rsidR="00B03258">
        <w:t xml:space="preserve"> only on</w:t>
      </w:r>
      <w:r w:rsidR="00727DE5">
        <w:t xml:space="preserve"> </w:t>
      </w:r>
      <w:r w:rsidR="00B03258">
        <w:t xml:space="preserve">the </w:t>
      </w:r>
      <w:r w:rsidR="00727DE5">
        <w:t xml:space="preserve">natural persons who </w:t>
      </w:r>
      <w:r w:rsidR="00727DE5" w:rsidRPr="00224EEF">
        <w:rPr>
          <w:i/>
        </w:rPr>
        <w:t>ultimately have a controlling ownership interest</w:t>
      </w:r>
      <w:r w:rsidR="00727DE5">
        <w:t xml:space="preserve"> in the company</w:t>
      </w:r>
      <w:r w:rsidR="003E1BCA">
        <w:t>, not on all the natural persons who</w:t>
      </w:r>
      <w:r w:rsidR="003E1BCA" w:rsidRPr="003E1BCA">
        <w:t xml:space="preserve"> </w:t>
      </w:r>
      <w:r w:rsidR="003E1BCA">
        <w:t>receive a benefit from or control shares in a company</w:t>
      </w:r>
      <w:r w:rsidR="00727DE5">
        <w:t>.</w:t>
      </w:r>
    </w:p>
    <w:p w14:paraId="08963079" w14:textId="36CFBF6D" w:rsidR="00F02F6C" w:rsidRDefault="00EC740A" w:rsidP="00CE25B6">
      <w:r>
        <w:t>F</w:t>
      </w:r>
      <w:r w:rsidR="00FF5063">
        <w:t xml:space="preserve">rom </w:t>
      </w:r>
      <w:r w:rsidR="003A3EC0">
        <w:t xml:space="preserve">the </w:t>
      </w:r>
      <w:r w:rsidR="00FF5063">
        <w:t>FATF’s perspective</w:t>
      </w:r>
      <w:r w:rsidR="00727DE5">
        <w:t>, increasing beneficial ownership information is about understanding who the beneficial owners are who have the power to</w:t>
      </w:r>
      <w:r w:rsidR="008D6077">
        <w:t xml:space="preserve"> exert a sufficient level of</w:t>
      </w:r>
      <w:r w:rsidR="00727DE5">
        <w:t xml:space="preserve"> influence or control </w:t>
      </w:r>
      <w:r w:rsidR="008D6077">
        <w:t>over the decisions and acti</w:t>
      </w:r>
      <w:r w:rsidR="00FF5063">
        <w:t>ons</w:t>
      </w:r>
      <w:r w:rsidR="008D6077">
        <w:t xml:space="preserve"> of </w:t>
      </w:r>
      <w:r w:rsidR="00FF5063">
        <w:t>a</w:t>
      </w:r>
      <w:r w:rsidR="00727DE5">
        <w:t xml:space="preserve"> company in relation to its involvement in illicit </w:t>
      </w:r>
      <w:r w:rsidR="00FF5063">
        <w:t>activities</w:t>
      </w:r>
      <w:r w:rsidR="00727DE5">
        <w:t xml:space="preserve">. </w:t>
      </w:r>
      <w:r w:rsidR="009F42F9">
        <w:t>The</w:t>
      </w:r>
      <w:r w:rsidR="00B03258">
        <w:t>se beneficial owners can be identified through a range of potential tests, such as applying a threshold as to percentage ownership of share</w:t>
      </w:r>
      <w:r w:rsidR="00DB7F53">
        <w:t>s or exercise of voting rights.</w:t>
      </w:r>
    </w:p>
    <w:p w14:paraId="148C49BB" w14:textId="765BB047" w:rsidR="009C5952" w:rsidRDefault="003A3EC0" w:rsidP="00CE25B6">
      <w:r>
        <w:lastRenderedPageBreak/>
        <w:t xml:space="preserve">The </w:t>
      </w:r>
      <w:r w:rsidR="00972E13" w:rsidRPr="00CB2C80">
        <w:t>FATF acknowledge</w:t>
      </w:r>
      <w:r>
        <w:t>s</w:t>
      </w:r>
      <w:r w:rsidR="00972E13" w:rsidRPr="00CB2C80">
        <w:t xml:space="preserve"> that</w:t>
      </w:r>
      <w:r w:rsidR="009859FE" w:rsidRPr="00CB2C80">
        <w:t xml:space="preserve"> </w:t>
      </w:r>
      <w:r w:rsidR="00972E13" w:rsidRPr="00CB2C80">
        <w:t>countries</w:t>
      </w:r>
      <w:r w:rsidR="00972E13" w:rsidRPr="00AC59A4">
        <w:t xml:space="preserve"> </w:t>
      </w:r>
      <w:r w:rsidR="00972E13" w:rsidRPr="00CB2C80">
        <w:t>need flexibility in choosing the most effective mechanism (or combination of mechanisms) for ensuring the availability of beneficial ownership information.</w:t>
      </w:r>
      <w:r w:rsidR="00FF12AE">
        <w:t xml:space="preserve"> Accordingly, </w:t>
      </w:r>
      <w:r>
        <w:t xml:space="preserve">the </w:t>
      </w:r>
      <w:r w:rsidR="00FF12AE">
        <w:t>FATF suggests</w:t>
      </w:r>
      <w:r w:rsidR="00B455E4">
        <w:t xml:space="preserve"> </w:t>
      </w:r>
      <w:r w:rsidR="001C17E5">
        <w:t xml:space="preserve">that in </w:t>
      </w:r>
      <w:r w:rsidR="003D68DC">
        <w:t>implementing</w:t>
      </w:r>
      <w:r w:rsidR="001C17E5">
        <w:t xml:space="preserve"> </w:t>
      </w:r>
      <w:r w:rsidR="00FF12AE">
        <w:t>Recommendation 24</w:t>
      </w:r>
      <w:r w:rsidR="001C17E5">
        <w:t xml:space="preserve"> countries should use one or more of the following methods</w:t>
      </w:r>
      <w:r w:rsidR="009C5952">
        <w:t>:</w:t>
      </w:r>
    </w:p>
    <w:p w14:paraId="0F2C0958" w14:textId="3C24CBEE" w:rsidR="009C5952" w:rsidRDefault="009C5952" w:rsidP="00212A4E">
      <w:pPr>
        <w:pStyle w:val="Bullet"/>
      </w:pPr>
      <w:r>
        <w:t>Requiring companies or company registries to obtain and hold</w:t>
      </w:r>
      <w:r w:rsidR="002176F1">
        <w:t xml:space="preserve"> accurate and</w:t>
      </w:r>
      <w:r>
        <w:t xml:space="preserve"> up to date info</w:t>
      </w:r>
      <w:r w:rsidR="00416CFB">
        <w:t>rmation on beneficial ownership.</w:t>
      </w:r>
    </w:p>
    <w:p w14:paraId="74B7A798" w14:textId="5887F101" w:rsidR="00114469" w:rsidRDefault="009C5952" w:rsidP="00212A4E">
      <w:pPr>
        <w:pStyle w:val="Bullet"/>
      </w:pPr>
      <w:r>
        <w:t>Requiring companies to take reasonable measures to obtain and hold up-to-date</w:t>
      </w:r>
      <w:r w:rsidR="00114469">
        <w:t xml:space="preserve"> information on the comp</w:t>
      </w:r>
      <w:r w:rsidR="00416CFB">
        <w:t>anies’ beneficial ownership.</w:t>
      </w:r>
    </w:p>
    <w:p w14:paraId="2C3A3B08" w14:textId="0A79BBDB" w:rsidR="00F46444" w:rsidRDefault="00114469" w:rsidP="00212A4E">
      <w:pPr>
        <w:pStyle w:val="Bullet"/>
      </w:pPr>
      <w:r>
        <w:t>Using existing information, including</w:t>
      </w:r>
      <w:r w:rsidR="009C5952">
        <w:t xml:space="preserve"> </w:t>
      </w:r>
      <w:r w:rsidRPr="00114469">
        <w:t>information obtained by financial institutions and other professional service providers required to undertake customer due diligence</w:t>
      </w:r>
      <w:r w:rsidR="0050262C">
        <w:t>; i</w:t>
      </w:r>
      <w:r w:rsidR="0050262C" w:rsidRPr="0050262C">
        <w:t>nformation obtained by tax authorities or other regulatory authorities</w:t>
      </w:r>
      <w:r w:rsidR="0050262C">
        <w:t xml:space="preserve"> and information on companies listed on a stock exchange</w:t>
      </w:r>
      <w:r w:rsidR="0050262C" w:rsidRPr="0050262C">
        <w:t>.</w:t>
      </w:r>
    </w:p>
    <w:p w14:paraId="6F9CB5C5" w14:textId="39EAB84C" w:rsidR="001D4712" w:rsidRDefault="00C960BB">
      <w:pPr>
        <w:pStyle w:val="Heading3"/>
      </w:pPr>
      <w:r>
        <w:t xml:space="preserve">Beneficial Ownership of </w:t>
      </w:r>
      <w:r w:rsidR="001D4712" w:rsidRPr="007B0A5E">
        <w:t>Trusts</w:t>
      </w:r>
    </w:p>
    <w:p w14:paraId="759CAC4C" w14:textId="4374F455" w:rsidR="001D4712" w:rsidRDefault="003A3EC0" w:rsidP="00CE25B6">
      <w:r>
        <w:t xml:space="preserve">The </w:t>
      </w:r>
      <w:r w:rsidR="001D4712" w:rsidRPr="001D4712">
        <w:t>FATF recommends that countries should ensure that there is adequate, accurate and timely information on express trusts, including information on the settlor, trustee and beneficiaries</w:t>
      </w:r>
      <w:r w:rsidR="001D4712">
        <w:t xml:space="preserve"> </w:t>
      </w:r>
      <w:r w:rsidR="001D4712" w:rsidRPr="001D4712">
        <w:t xml:space="preserve">that can be obtained or accessed in a timely fashion by </w:t>
      </w:r>
      <w:r w:rsidR="001D4712" w:rsidRPr="00B001C1">
        <w:t>competent authorities</w:t>
      </w:r>
      <w:r w:rsidR="00DB7F53">
        <w:t>.</w:t>
      </w:r>
    </w:p>
    <w:p w14:paraId="723045F4" w14:textId="6FE01FFE" w:rsidR="006E08E1" w:rsidRDefault="004C4632" w:rsidP="00CE25B6">
      <w:r>
        <w:t>This consultation paper, however, only deals with FATF Recommendation 24 on companies.</w:t>
      </w:r>
    </w:p>
    <w:p w14:paraId="16B28424" w14:textId="5592DB9E" w:rsidR="006B0D5A" w:rsidRPr="005B451A" w:rsidRDefault="006B0D5A" w:rsidP="0045753C">
      <w:pPr>
        <w:pStyle w:val="Heading2"/>
      </w:pPr>
      <w:bookmarkStart w:id="42" w:name="_Toc463518755"/>
      <w:bookmarkStart w:id="43" w:name="_Toc464207026"/>
      <w:bookmarkStart w:id="44" w:name="_Toc466542591"/>
      <w:bookmarkStart w:id="45" w:name="_Toc474414908"/>
      <w:r w:rsidRPr="005B451A">
        <w:t>The UK</w:t>
      </w:r>
      <w:r w:rsidR="003A22B3" w:rsidRPr="005B451A">
        <w:t>’s R</w:t>
      </w:r>
      <w:r w:rsidR="0050100E" w:rsidRPr="005B451A">
        <w:t>egister of people</w:t>
      </w:r>
      <w:r w:rsidRPr="005B451A">
        <w:t xml:space="preserve"> with significant control</w:t>
      </w:r>
      <w:bookmarkEnd w:id="42"/>
      <w:bookmarkEnd w:id="43"/>
      <w:bookmarkEnd w:id="44"/>
      <w:bookmarkEnd w:id="45"/>
    </w:p>
    <w:p w14:paraId="2872D0E7" w14:textId="29BF988D" w:rsidR="00097418" w:rsidRDefault="00EE7700" w:rsidP="00FC2419">
      <w:r>
        <w:t>T</w:t>
      </w:r>
      <w:r w:rsidR="002F33EF">
        <w:t xml:space="preserve">he UK is one country which has established a register of </w:t>
      </w:r>
      <w:r w:rsidR="000B3330">
        <w:t xml:space="preserve">people with </w:t>
      </w:r>
      <w:r w:rsidR="00097418">
        <w:t>relevant beneficia</w:t>
      </w:r>
      <w:r>
        <w:t>l interest</w:t>
      </w:r>
      <w:r w:rsidR="000405A2">
        <w:t>s</w:t>
      </w:r>
      <w:r>
        <w:t xml:space="preserve"> in a company as part of its implementation of FATF standards</w:t>
      </w:r>
      <w:r w:rsidR="00097418">
        <w:t xml:space="preserve">. </w:t>
      </w:r>
      <w:r>
        <w:t xml:space="preserve">Having regard to the FATF guidance the UK has developed the concept of People with Significant Control (PSC) </w:t>
      </w:r>
      <w:r w:rsidR="00097418">
        <w:t>as those ben</w:t>
      </w:r>
      <w:r>
        <w:t>e</w:t>
      </w:r>
      <w:r w:rsidR="00097418">
        <w:t>ficial owners who may ultimately have a controlling ow</w:t>
      </w:r>
      <w:r w:rsidR="00486B1A">
        <w:t>n</w:t>
      </w:r>
      <w:r w:rsidR="00097418">
        <w:t>er</w:t>
      </w:r>
      <w:r w:rsidR="00486B1A">
        <w:t>s</w:t>
      </w:r>
      <w:r w:rsidR="00DB7F53">
        <w:t>hip interest in the company.</w:t>
      </w:r>
    </w:p>
    <w:p w14:paraId="4EF604DF" w14:textId="4550C598" w:rsidR="00FC2419" w:rsidRDefault="00097418" w:rsidP="00FC2419">
      <w:r>
        <w:t>A PSC has been defined as</w:t>
      </w:r>
      <w:r w:rsidR="00FC2419">
        <w:t xml:space="preserve"> individuals who meet one or more of the following five</w:t>
      </w:r>
      <w:r w:rsidR="005A6802">
        <w:t> </w:t>
      </w:r>
      <w:r w:rsidR="00FC2419">
        <w:t>conditions:</w:t>
      </w:r>
    </w:p>
    <w:p w14:paraId="4F25C6DD" w14:textId="4D656F2F" w:rsidR="00FC2419" w:rsidRDefault="00FC2419" w:rsidP="005A6802">
      <w:pPr>
        <w:pStyle w:val="RomanParagraph"/>
      </w:pPr>
      <w:r>
        <w:t>Directly or indirectly holds more than 25% of shares in the company</w:t>
      </w:r>
    </w:p>
    <w:p w14:paraId="774ADCAE" w14:textId="31058F2F" w:rsidR="00FC2419" w:rsidRDefault="00FC2419" w:rsidP="005A6802">
      <w:pPr>
        <w:pStyle w:val="RomanParagraph"/>
      </w:pPr>
      <w:r>
        <w:t>Directly or indirectly holds more than 25% of voting rights in the company</w:t>
      </w:r>
    </w:p>
    <w:p w14:paraId="0E00FB98" w14:textId="65FA8B59" w:rsidR="00FC2419" w:rsidRDefault="00FC2419" w:rsidP="005A6802">
      <w:pPr>
        <w:pStyle w:val="RomanParagraph"/>
      </w:pPr>
      <w:r>
        <w:t xml:space="preserve">Directly or indirectly holds the right to appoint or remove a majority </w:t>
      </w:r>
      <w:r w:rsidR="00DB7F53">
        <w:t>of the directors of the company</w:t>
      </w:r>
    </w:p>
    <w:p w14:paraId="56C0BDC6" w14:textId="2A9F801D" w:rsidR="00FC2419" w:rsidRDefault="00FC2419" w:rsidP="005A6802">
      <w:pPr>
        <w:pStyle w:val="RomanParagraph"/>
      </w:pPr>
      <w:r>
        <w:t>Has the right to exercise, or actually exercises, significant influence or control over the company</w:t>
      </w:r>
    </w:p>
    <w:p w14:paraId="4B9732B9" w14:textId="063E93CB" w:rsidR="00FC2419" w:rsidRDefault="00FC2419" w:rsidP="005A6802">
      <w:pPr>
        <w:pStyle w:val="RomanParagraph"/>
      </w:pPr>
      <w:r>
        <w:t>Where a trust or firm would satisfy one of the first four conditions if it were an individual, any individual holding the right to exercise, or actually exercising, significant influence or control over the activities of that trust or firm. This is not limited to the trustee of the trust.</w:t>
      </w:r>
    </w:p>
    <w:p w14:paraId="2E97A4BB" w14:textId="7CDE722C" w:rsidR="00263B66" w:rsidRPr="00263B66" w:rsidRDefault="00AB478F" w:rsidP="00CE25B6">
      <w:r>
        <w:lastRenderedPageBreak/>
        <w:t>Although t</w:t>
      </w:r>
      <w:r w:rsidR="00263B66" w:rsidRPr="00263B66">
        <w:t>he obligations to file information apply to all UK companies and Limited Liability Partnerships</w:t>
      </w:r>
      <w:r>
        <w:t>,</w:t>
      </w:r>
      <w:r w:rsidR="00FC2B7D">
        <w:t xml:space="preserve"> </w:t>
      </w:r>
      <w:r>
        <w:t>t</w:t>
      </w:r>
      <w:r w:rsidR="00263B66" w:rsidRPr="00263B66">
        <w:t>here is an exemption for listed companies trading on certain ‘regulated markets’ based on the fact they are subject to other transparency rules</w:t>
      </w:r>
      <w:r w:rsidR="00162FA7">
        <w:t xml:space="preserve"> which require them to make regular disclosures to the public regarding major shareholdings</w:t>
      </w:r>
      <w:r w:rsidR="00381D3B">
        <w:t>.</w:t>
      </w:r>
      <w:r w:rsidR="002262B7">
        <w:t xml:space="preserve"> </w:t>
      </w:r>
      <w:r w:rsidR="00190AAF">
        <w:t>These transparency rules</w:t>
      </w:r>
      <w:r w:rsidR="00381D3B">
        <w:t xml:space="preserve"> are </w:t>
      </w:r>
      <w:r w:rsidR="002262B7">
        <w:t>similar to those applying to Australian listed companies</w:t>
      </w:r>
      <w:r w:rsidR="00E8667A">
        <w:t>,</w:t>
      </w:r>
      <w:r w:rsidR="00E8667A" w:rsidRPr="00E8667A">
        <w:t xml:space="preserve"> as outlined in Chapter 2</w:t>
      </w:r>
      <w:r w:rsidR="00381D3B">
        <w:t>.</w:t>
      </w:r>
    </w:p>
    <w:p w14:paraId="63F192DB" w14:textId="0E078EC2" w:rsidR="00010483" w:rsidRPr="00010483" w:rsidRDefault="00263B66" w:rsidP="00CE25B6">
      <w:r w:rsidRPr="00263B66">
        <w:t xml:space="preserve">Since April 2016 companies </w:t>
      </w:r>
      <w:r w:rsidR="003A3EC0">
        <w:t>have been required</w:t>
      </w:r>
      <w:r w:rsidR="00FD0F9E">
        <w:t xml:space="preserve"> to maintain their own PSC register. </w:t>
      </w:r>
      <w:r w:rsidR="00010483">
        <w:t xml:space="preserve">Companies </w:t>
      </w:r>
      <w:r w:rsidR="00010483" w:rsidRPr="00010483">
        <w:t xml:space="preserve">must keep </w:t>
      </w:r>
      <w:r w:rsidR="00010483">
        <w:t xml:space="preserve">their </w:t>
      </w:r>
      <w:r w:rsidR="00010483" w:rsidRPr="00010483">
        <w:t>PSC register accessible</w:t>
      </w:r>
      <w:r w:rsidR="00010483">
        <w:t xml:space="preserve"> – it </w:t>
      </w:r>
      <w:r w:rsidR="00010483" w:rsidRPr="00010483">
        <w:t xml:space="preserve">can </w:t>
      </w:r>
      <w:r w:rsidR="00010483">
        <w:t xml:space="preserve">be </w:t>
      </w:r>
      <w:r w:rsidR="00010483" w:rsidRPr="00010483">
        <w:t>kep</w:t>
      </w:r>
      <w:r w:rsidR="00010483">
        <w:t>t</w:t>
      </w:r>
      <w:r w:rsidR="00010483" w:rsidRPr="00010483">
        <w:t xml:space="preserve"> at </w:t>
      </w:r>
      <w:r w:rsidR="00010483">
        <w:t xml:space="preserve">the company’s </w:t>
      </w:r>
      <w:r w:rsidR="00010483" w:rsidRPr="00010483">
        <w:t xml:space="preserve">registered office or at another location </w:t>
      </w:r>
      <w:r w:rsidR="00010483">
        <w:t xml:space="preserve">which has been </w:t>
      </w:r>
      <w:r w:rsidR="00010483" w:rsidRPr="00010483">
        <w:t>notified</w:t>
      </w:r>
      <w:r w:rsidR="001753D8">
        <w:t xml:space="preserve"> to the</w:t>
      </w:r>
      <w:r w:rsidR="00010483" w:rsidRPr="00010483">
        <w:t xml:space="preserve"> </w:t>
      </w:r>
      <w:r w:rsidR="00FF5063">
        <w:t xml:space="preserve">UK </w:t>
      </w:r>
      <w:r w:rsidR="00010483" w:rsidRPr="00010483">
        <w:t>Companies House.</w:t>
      </w:r>
      <w:r w:rsidR="00C6178D">
        <w:rPr>
          <w:rStyle w:val="FootnoteReference"/>
        </w:rPr>
        <w:footnoteReference w:id="16"/>
      </w:r>
      <w:r w:rsidR="00576397">
        <w:t xml:space="preserve"> Anyone with a proper purpose may have access </w:t>
      </w:r>
      <w:r w:rsidR="00FF5063">
        <w:t xml:space="preserve">to </w:t>
      </w:r>
      <w:r w:rsidR="00576397">
        <w:t xml:space="preserve">information on the register </w:t>
      </w:r>
      <w:r w:rsidR="001547C3">
        <w:t xml:space="preserve">(except for a </w:t>
      </w:r>
      <w:r w:rsidR="001547C3" w:rsidRPr="00576397">
        <w:t>PSC’s usual residential address</w:t>
      </w:r>
      <w:r w:rsidR="001547C3">
        <w:t>) free of charge</w:t>
      </w:r>
      <w:r w:rsidR="00DB7F53">
        <w:t>.</w:t>
      </w:r>
    </w:p>
    <w:p w14:paraId="59A307C4" w14:textId="2107C674" w:rsidR="00263B66" w:rsidRDefault="00263B66" w:rsidP="00CE25B6">
      <w:r w:rsidRPr="00263B66">
        <w:t xml:space="preserve">Since 30 June 2016, companies </w:t>
      </w:r>
      <w:r w:rsidR="003A3EC0">
        <w:t>have been</w:t>
      </w:r>
      <w:r w:rsidRPr="00263B66">
        <w:t xml:space="preserve"> requi</w:t>
      </w:r>
      <w:r w:rsidR="00FD0F9E">
        <w:t>red to</w:t>
      </w:r>
      <w:r w:rsidR="00F62C74">
        <w:t xml:space="preserve"> annually</w:t>
      </w:r>
      <w:r w:rsidR="00FD0F9E">
        <w:t xml:space="preserve"> file </w:t>
      </w:r>
      <w:r w:rsidRPr="00263B66">
        <w:t xml:space="preserve">relevant information </w:t>
      </w:r>
      <w:r w:rsidR="00FD0F9E">
        <w:t xml:space="preserve">from their PSC register </w:t>
      </w:r>
      <w:r w:rsidRPr="00263B66">
        <w:t xml:space="preserve">with the UK Companies House </w:t>
      </w:r>
      <w:r w:rsidR="002F0A4A">
        <w:t xml:space="preserve">and </w:t>
      </w:r>
      <w:r w:rsidR="007E4E6C">
        <w:t>this information is</w:t>
      </w:r>
      <w:r w:rsidR="001753D8">
        <w:t xml:space="preserve"> then</w:t>
      </w:r>
      <w:r w:rsidR="007E4E6C">
        <w:t xml:space="preserve"> </w:t>
      </w:r>
      <w:r w:rsidR="007E4E6C" w:rsidRPr="00263B66">
        <w:t>searchable by the public free of charge.</w:t>
      </w:r>
      <w:r w:rsidR="007E4E6C">
        <w:t xml:space="preserve"> Typically </w:t>
      </w:r>
      <w:r w:rsidRPr="00263B66">
        <w:t>compan</w:t>
      </w:r>
      <w:r w:rsidR="007E4E6C">
        <w:t xml:space="preserve">ies </w:t>
      </w:r>
      <w:r w:rsidRPr="00263B66">
        <w:t>fil</w:t>
      </w:r>
      <w:r w:rsidR="007E4E6C">
        <w:t xml:space="preserve">e </w:t>
      </w:r>
      <w:r w:rsidRPr="00263B66">
        <w:t>on the date of the anni</w:t>
      </w:r>
      <w:r w:rsidR="00DB7F53">
        <w:t>versary of their incorporation.</w:t>
      </w:r>
    </w:p>
    <w:p w14:paraId="5E6DD3C7" w14:textId="56E4928D" w:rsidR="00263B66" w:rsidRDefault="00B00826" w:rsidP="00CE25B6">
      <w:r>
        <w:t xml:space="preserve">Both companies and PSCs themselves have obligations under the UK regime. </w:t>
      </w:r>
      <w:r w:rsidR="00263B66" w:rsidRPr="00263B66">
        <w:t>Companies must take reasonable steps to identify their PSCs</w:t>
      </w:r>
      <w:r>
        <w:t xml:space="preserve"> and must give a notice requiring the disclosure of beneficial ownership information to any person they have reasonable cause to believe is a PSC.</w:t>
      </w:r>
      <w:r w:rsidR="002B2C5E">
        <w:t xml:space="preserve"> </w:t>
      </w:r>
      <w:r>
        <w:t>P</w:t>
      </w:r>
      <w:r w:rsidR="00263B66" w:rsidRPr="00263B66">
        <w:t>erson</w:t>
      </w:r>
      <w:r>
        <w:t>s</w:t>
      </w:r>
      <w:r w:rsidR="00263B66" w:rsidRPr="00263B66">
        <w:t xml:space="preserve"> who </w:t>
      </w:r>
      <w:r>
        <w:t>are</w:t>
      </w:r>
      <w:r w:rsidR="00263B66" w:rsidRPr="00263B66">
        <w:t xml:space="preserve"> PSC</w:t>
      </w:r>
      <w:r>
        <w:t>s have a separate obligation to</w:t>
      </w:r>
      <w:r w:rsidR="00263B66" w:rsidRPr="00263B66">
        <w:t xml:space="preserve"> inform the company. </w:t>
      </w:r>
      <w:r w:rsidR="00C16D74">
        <w:t xml:space="preserve">Companies </w:t>
      </w:r>
      <w:r w:rsidR="00C16D74" w:rsidRPr="00C16D74">
        <w:t xml:space="preserve">must keep information on </w:t>
      </w:r>
      <w:r w:rsidR="00C16D74">
        <w:t xml:space="preserve">their </w:t>
      </w:r>
      <w:r w:rsidR="00C16D74" w:rsidRPr="00C16D74">
        <w:t xml:space="preserve">PSC register up-to-date. </w:t>
      </w:r>
      <w:r w:rsidR="00C87D65">
        <w:t xml:space="preserve">Companies must </w:t>
      </w:r>
      <w:r w:rsidR="00C87D65" w:rsidRPr="00C87D65">
        <w:t>at least annually check</w:t>
      </w:r>
      <w:r w:rsidR="005C45AA">
        <w:t xml:space="preserve"> </w:t>
      </w:r>
      <w:r w:rsidR="00C87D65" w:rsidRPr="00C87D65">
        <w:t>the PSC information held on the central public</w:t>
      </w:r>
      <w:r w:rsidR="00FD0F9E">
        <w:t xml:space="preserve"> register at Companies House is accurate and lodge any necessary changes.</w:t>
      </w:r>
      <w:r w:rsidR="005C45AA">
        <w:t xml:space="preserve"> In each case, failure to do so is a criminal offence</w:t>
      </w:r>
      <w:r w:rsidR="005C45AA" w:rsidRPr="00263B66">
        <w:t>.</w:t>
      </w:r>
    </w:p>
    <w:p w14:paraId="46710808" w14:textId="1B6112BD" w:rsidR="003813C9" w:rsidRDefault="003813C9" w:rsidP="00CE25B6">
      <w:r>
        <w:t xml:space="preserve">Where a PSC has been identified, the following information must </w:t>
      </w:r>
      <w:r w:rsidR="006E4EDC">
        <w:t>be entered on the company’s PSC register:</w:t>
      </w:r>
    </w:p>
    <w:p w14:paraId="20220B15" w14:textId="77777777" w:rsidR="006E4EDC" w:rsidRPr="00CE25B6" w:rsidRDefault="003813C9" w:rsidP="00212A4E">
      <w:pPr>
        <w:pStyle w:val="Bullet"/>
      </w:pPr>
      <w:r w:rsidRPr="00CE25B6">
        <w:t>Name</w:t>
      </w:r>
    </w:p>
    <w:p w14:paraId="66185FCC" w14:textId="77777777" w:rsidR="006E4EDC" w:rsidRPr="00CE25B6" w:rsidRDefault="003813C9" w:rsidP="00212A4E">
      <w:pPr>
        <w:pStyle w:val="Bullet"/>
      </w:pPr>
      <w:r w:rsidRPr="00CE25B6">
        <w:t>Date of birth</w:t>
      </w:r>
    </w:p>
    <w:p w14:paraId="7299804A" w14:textId="77777777" w:rsidR="006E4EDC" w:rsidRPr="00CE25B6" w:rsidRDefault="003813C9" w:rsidP="00212A4E">
      <w:pPr>
        <w:pStyle w:val="Bullet"/>
      </w:pPr>
      <w:r w:rsidRPr="00CE25B6">
        <w:t>Nationality</w:t>
      </w:r>
    </w:p>
    <w:p w14:paraId="255E6445" w14:textId="77777777" w:rsidR="006E4EDC" w:rsidRPr="00CE25B6" w:rsidRDefault="003813C9" w:rsidP="00212A4E">
      <w:pPr>
        <w:pStyle w:val="Bullet"/>
      </w:pPr>
      <w:r w:rsidRPr="00CE25B6">
        <w:t>Country, state or part of the UK where the PSC usually lives</w:t>
      </w:r>
    </w:p>
    <w:p w14:paraId="0106BEBB" w14:textId="77777777" w:rsidR="006E4EDC" w:rsidRPr="00CE25B6" w:rsidRDefault="003813C9" w:rsidP="00212A4E">
      <w:pPr>
        <w:pStyle w:val="Bullet"/>
      </w:pPr>
      <w:r w:rsidRPr="00CE25B6">
        <w:t>Service address</w:t>
      </w:r>
    </w:p>
    <w:p w14:paraId="06F8D7DD" w14:textId="77777777" w:rsidR="006E4EDC" w:rsidRPr="00CE25B6" w:rsidRDefault="003813C9" w:rsidP="00212A4E">
      <w:pPr>
        <w:pStyle w:val="Bullet"/>
      </w:pPr>
      <w:r w:rsidRPr="00CE25B6">
        <w:t>Usual residential address</w:t>
      </w:r>
    </w:p>
    <w:p w14:paraId="4FCBD460" w14:textId="77777777" w:rsidR="00AB23B7" w:rsidRPr="00CE25B6" w:rsidRDefault="003813C9" w:rsidP="00212A4E">
      <w:pPr>
        <w:pStyle w:val="Bullet"/>
      </w:pPr>
      <w:r w:rsidRPr="00CE25B6">
        <w:t>The date when the individual became a PSC</w:t>
      </w:r>
    </w:p>
    <w:p w14:paraId="341E28DE" w14:textId="614BEE73" w:rsidR="00AB23B7" w:rsidRPr="00CE25B6" w:rsidRDefault="003813C9" w:rsidP="00212A4E">
      <w:pPr>
        <w:pStyle w:val="Bullet"/>
      </w:pPr>
      <w:r w:rsidRPr="00CE25B6">
        <w:t>Which of the five conditions for being a PSC the individual meets, with quantification of the interest where relevant</w:t>
      </w:r>
    </w:p>
    <w:p w14:paraId="44222FA8" w14:textId="77777777" w:rsidR="00AB23B7" w:rsidRDefault="00AB23B7" w:rsidP="00CE25B6">
      <w:r w:rsidRPr="00AB23B7">
        <w:lastRenderedPageBreak/>
        <w:t xml:space="preserve">If shares or rights </w:t>
      </w:r>
      <w:r>
        <w:t>a</w:t>
      </w:r>
      <w:r w:rsidRPr="00AB23B7">
        <w:t xml:space="preserve"> company are held by a nominee</w:t>
      </w:r>
      <w:r>
        <w:t xml:space="preserve"> they </w:t>
      </w:r>
      <w:r w:rsidRPr="00AB23B7">
        <w:t xml:space="preserve">should </w:t>
      </w:r>
      <w:r>
        <w:t xml:space="preserve">be </w:t>
      </w:r>
      <w:r w:rsidRPr="00AB23B7">
        <w:t>treat</w:t>
      </w:r>
      <w:r>
        <w:t xml:space="preserve">ed </w:t>
      </w:r>
      <w:r w:rsidRPr="00AB23B7">
        <w:t xml:space="preserve">as if they were held by the person for whom the nominee is acting. If this person is a PSC </w:t>
      </w:r>
      <w:r>
        <w:t xml:space="preserve">a company </w:t>
      </w:r>
      <w:r w:rsidRPr="00AB23B7">
        <w:t>must enter their details on the register.</w:t>
      </w:r>
    </w:p>
    <w:p w14:paraId="2CFF7478" w14:textId="3DB715E5" w:rsidR="004927DB" w:rsidRDefault="00550048" w:rsidP="00CE25B6">
      <w:r w:rsidRPr="00550048">
        <w:t>All information held by Companies House is available to law enforcement agencies.</w:t>
      </w:r>
      <w:r>
        <w:t xml:space="preserve"> The public however, is only able to access some information from the central</w:t>
      </w:r>
      <w:r w:rsidR="004927DB" w:rsidRPr="007E4E6C">
        <w:t xml:space="preserve"> register at Companies House. The information that</w:t>
      </w:r>
      <w:r w:rsidR="003A3EC0">
        <w:t xml:space="preserve"> has been ex</w:t>
      </w:r>
      <w:r w:rsidR="00F62C74">
        <w:t>c</w:t>
      </w:r>
      <w:r w:rsidR="003A3EC0">
        <w:t>luded for reasons of privacy and security is as follows</w:t>
      </w:r>
      <w:r w:rsidR="004927DB" w:rsidRPr="007E4E6C">
        <w:t>:</w:t>
      </w:r>
    </w:p>
    <w:p w14:paraId="5F23EC8B" w14:textId="7D2B7D5E" w:rsidR="004927DB" w:rsidRPr="00CE25B6" w:rsidRDefault="004927DB" w:rsidP="00212A4E">
      <w:pPr>
        <w:pStyle w:val="Bullet"/>
      </w:pPr>
      <w:r w:rsidRPr="00CE25B6">
        <w:t>The PSC’s</w:t>
      </w:r>
      <w:r w:rsidR="00DB7F53">
        <w:t xml:space="preserve"> usual residential address, and</w:t>
      </w:r>
    </w:p>
    <w:p w14:paraId="5FF6EFE4" w14:textId="0EC1523C" w:rsidR="004927DB" w:rsidRPr="00263B66" w:rsidRDefault="004927DB" w:rsidP="00E72C18">
      <w:pPr>
        <w:pStyle w:val="Bullet"/>
        <w:spacing w:after="360"/>
      </w:pPr>
      <w:r w:rsidRPr="00CE25B6">
        <w:t>The day of the PSC’s date of bir</w:t>
      </w:r>
      <w:r w:rsidR="00550048">
        <w:t>th</w:t>
      </w:r>
      <w:r w:rsidR="00BA0753">
        <w:t>.</w:t>
      </w:r>
    </w:p>
    <w:p w14:paraId="2B820686" w14:textId="67EB6B18" w:rsidR="0024727E" w:rsidRDefault="0085024D" w:rsidP="0045753C">
      <w:pPr>
        <w:pStyle w:val="Heading2"/>
      </w:pPr>
      <w:bookmarkStart w:id="46" w:name="_Toc474414909"/>
      <w:r w:rsidRPr="0085024D">
        <w:t>European Approaches</w:t>
      </w:r>
      <w:bookmarkEnd w:id="46"/>
    </w:p>
    <w:p w14:paraId="2E57857A" w14:textId="1626EFAC" w:rsidR="00B92A05" w:rsidRDefault="00A25E3B" w:rsidP="00CE25B6">
      <w:r>
        <w:t>I</w:t>
      </w:r>
      <w:r w:rsidRPr="00A25E3B">
        <w:t xml:space="preserve">n April 2016 </w:t>
      </w:r>
      <w:r w:rsidR="00847F9B">
        <w:t>t</w:t>
      </w:r>
      <w:r w:rsidR="0085024D" w:rsidRPr="0085024D">
        <w:t xml:space="preserve">he UK along with the other </w:t>
      </w:r>
      <w:r w:rsidR="00025EB2">
        <w:t xml:space="preserve">‘Euro </w:t>
      </w:r>
      <w:r w:rsidR="0085024D" w:rsidRPr="0085024D">
        <w:t>5</w:t>
      </w:r>
      <w:r w:rsidR="00025EB2">
        <w:t>’</w:t>
      </w:r>
      <w:r>
        <w:t xml:space="preserve"> countries</w:t>
      </w:r>
      <w:r w:rsidR="0085024D" w:rsidRPr="0085024D">
        <w:t xml:space="preserve"> </w:t>
      </w:r>
      <w:r>
        <w:t>(</w:t>
      </w:r>
      <w:r w:rsidR="0085024D" w:rsidRPr="0085024D">
        <w:t>G</w:t>
      </w:r>
      <w:r w:rsidR="00B92A05">
        <w:t>ermany, France, Spain and Italy</w:t>
      </w:r>
      <w:r>
        <w:t>)</w:t>
      </w:r>
      <w:r w:rsidR="00B92A05">
        <w:t xml:space="preserve"> committed to establishing registers</w:t>
      </w:r>
      <w:r w:rsidR="00326CEE">
        <w:t xml:space="preserve"> or other mechanisms for identifying and making available to tax and other authorities beneficial ownership information for companies, trusts, foundations and other relevant entities and arrangements.</w:t>
      </w:r>
    </w:p>
    <w:p w14:paraId="1F24D83D" w14:textId="737138CE" w:rsidR="00B92A05" w:rsidRDefault="00025EB2" w:rsidP="00CE25B6">
      <w:r>
        <w:t>EU member countries are subject to p</w:t>
      </w:r>
      <w:r w:rsidR="00B92A05">
        <w:t>roposed changes to the EU 4</w:t>
      </w:r>
      <w:r w:rsidR="00B92A05" w:rsidRPr="00924594">
        <w:rPr>
          <w:vertAlign w:val="superscript"/>
        </w:rPr>
        <w:t>th</w:t>
      </w:r>
      <w:r w:rsidR="00B92A05">
        <w:t xml:space="preserve"> Anti-Money Laundering Directive</w:t>
      </w:r>
      <w:r>
        <w:t>, which</w:t>
      </w:r>
      <w:r w:rsidR="00B92A05">
        <w:t xml:space="preserve"> would require public registers of both companies and </w:t>
      </w:r>
      <w:r w:rsidR="008D5C0F">
        <w:t>trusts engaged</w:t>
      </w:r>
      <w:r w:rsidR="00B92A05">
        <w:t xml:space="preserve"> in commerci</w:t>
      </w:r>
      <w:r w:rsidR="00DB7F53">
        <w:t>al or business-like activities.</w:t>
      </w:r>
    </w:p>
    <w:p w14:paraId="14442B47" w14:textId="13926E53" w:rsidR="0085024D" w:rsidRPr="0085024D" w:rsidRDefault="005D67CB" w:rsidP="00CE25B6">
      <w:r w:rsidRPr="005D67CB">
        <w:t>International cooperation to exchange information between competent authorities is</w:t>
      </w:r>
      <w:r>
        <w:t xml:space="preserve"> a part</w:t>
      </w:r>
      <w:r w:rsidRPr="005D67CB">
        <w:t xml:space="preserve"> of FATF Recommendation 24</w:t>
      </w:r>
      <w:r>
        <w:t>.</w:t>
      </w:r>
      <w:r w:rsidRPr="005D67CB">
        <w:t xml:space="preserve"> </w:t>
      </w:r>
      <w:r>
        <w:t>The Euro 5</w:t>
      </w:r>
      <w:r w:rsidR="004C1E4E">
        <w:t xml:space="preserve"> </w:t>
      </w:r>
      <w:r w:rsidR="0044581D">
        <w:t>is</w:t>
      </w:r>
      <w:r w:rsidR="004C1E4E">
        <w:t xml:space="preserve"> leading </w:t>
      </w:r>
      <w:r w:rsidR="00B92A05">
        <w:t xml:space="preserve">an initiative </w:t>
      </w:r>
      <w:r w:rsidR="004C1E4E">
        <w:t xml:space="preserve">to develop a system </w:t>
      </w:r>
      <w:r w:rsidR="0085024D" w:rsidRPr="0085024D">
        <w:t>for the automatic exchange of beneficial ownership information</w:t>
      </w:r>
      <w:r w:rsidR="004C1E4E">
        <w:t xml:space="preserve"> between countries who sign up to the initiative</w:t>
      </w:r>
      <w:r w:rsidR="00E82727">
        <w:t xml:space="preserve">. </w:t>
      </w:r>
      <w:r w:rsidR="00E82727" w:rsidRPr="0085024D">
        <w:t>The initiative is currently in the early stages and the model for how exchange would occur has not yet been developed.</w:t>
      </w:r>
      <w:r w:rsidR="00E82727">
        <w:t xml:space="preserve"> </w:t>
      </w:r>
      <w:r w:rsidR="0085024D" w:rsidRPr="0085024D">
        <w:t>Au</w:t>
      </w:r>
      <w:r>
        <w:t>stralia has not committed to this</w:t>
      </w:r>
      <w:r w:rsidR="0085024D" w:rsidRPr="0085024D">
        <w:t xml:space="preserve"> automatic exchange initiative. </w:t>
      </w:r>
      <w:r w:rsidRPr="005D67CB">
        <w:t>This consultation paper seeks feedback on whether beneficial ownership information should be exchanged with relevant authorities in other jurisdictions.</w:t>
      </w:r>
    </w:p>
    <w:p w14:paraId="78A43659" w14:textId="77777777" w:rsidR="0085024D" w:rsidRPr="00177DD7" w:rsidRDefault="0085024D" w:rsidP="00CE25B6"/>
    <w:p w14:paraId="3F100BDB" w14:textId="77777777" w:rsidR="00CE25B6" w:rsidRPr="00CE25B6" w:rsidRDefault="00CE25B6" w:rsidP="00CE25B6">
      <w:pPr>
        <w:sectPr w:rsidR="00CE25B6" w:rsidRPr="00CE25B6" w:rsidSect="00E9383B">
          <w:footerReference w:type="first" r:id="rId29"/>
          <w:pgSz w:w="11906" w:h="16838" w:code="9"/>
          <w:pgMar w:top="1418" w:right="1418" w:bottom="1418" w:left="1418" w:header="709" w:footer="510" w:gutter="0"/>
          <w:cols w:space="708"/>
          <w:titlePg/>
          <w:docGrid w:linePitch="360"/>
        </w:sectPr>
      </w:pPr>
    </w:p>
    <w:p w14:paraId="5143D364" w14:textId="2EC10C3A" w:rsidR="006370CE" w:rsidRDefault="00853B1C" w:rsidP="00CE25B6">
      <w:pPr>
        <w:pStyle w:val="Heading1-Numbered"/>
      </w:pPr>
      <w:bookmarkStart w:id="47" w:name="_Toc463518757"/>
      <w:bookmarkStart w:id="48" w:name="_Toc464207027"/>
      <w:bookmarkStart w:id="49" w:name="_Toc466542592"/>
      <w:bookmarkStart w:id="50" w:name="_Toc474414910"/>
      <w:r>
        <w:lastRenderedPageBreak/>
        <w:t>I</w:t>
      </w:r>
      <w:r w:rsidR="00AF39F2">
        <w:t xml:space="preserve">ncreasing the transparency of </w:t>
      </w:r>
      <w:r w:rsidR="006370CE">
        <w:t xml:space="preserve">beneficial ownership of </w:t>
      </w:r>
      <w:r w:rsidR="006C1BDC">
        <w:t xml:space="preserve">Australian </w:t>
      </w:r>
      <w:r w:rsidR="006370CE">
        <w:t>companies</w:t>
      </w:r>
      <w:bookmarkEnd w:id="47"/>
      <w:bookmarkEnd w:id="48"/>
      <w:bookmarkEnd w:id="49"/>
      <w:bookmarkEnd w:id="50"/>
    </w:p>
    <w:p w14:paraId="6CEA5EAA" w14:textId="3EFEDD18" w:rsidR="00973024" w:rsidRPr="005B451A" w:rsidRDefault="007E4C2B" w:rsidP="0045753C">
      <w:pPr>
        <w:pStyle w:val="Heading2"/>
      </w:pPr>
      <w:bookmarkStart w:id="51" w:name="_Toc466542593"/>
      <w:bookmarkStart w:id="52" w:name="_Toc474414911"/>
      <w:bookmarkStart w:id="53" w:name="_Toc463518758"/>
      <w:bookmarkStart w:id="54" w:name="_Toc464207028"/>
      <w:r>
        <w:t>W</w:t>
      </w:r>
      <w:r w:rsidRPr="007E4C2B">
        <w:t>hich companies are in scope?</w:t>
      </w:r>
      <w:bookmarkEnd w:id="51"/>
      <w:bookmarkEnd w:id="52"/>
    </w:p>
    <w:p w14:paraId="6D8B2B39" w14:textId="229264D4" w:rsidR="00973024" w:rsidRPr="00973024" w:rsidRDefault="00DA47AA" w:rsidP="00CE25B6">
      <w:r>
        <w:t>As set out in Chapter 2</w:t>
      </w:r>
      <w:r w:rsidR="00973024" w:rsidRPr="00973024">
        <w:t>, listed companies are already subject to requirements under the corporations law which result in the market, including the general public, being informed as to the persons who have a significant level of control or ownership of suc</w:t>
      </w:r>
      <w:r w:rsidR="00DB7F53">
        <w:t>h companies.</w:t>
      </w:r>
    </w:p>
    <w:p w14:paraId="0F060CD7" w14:textId="18A73CDE" w:rsidR="00973024" w:rsidRDefault="00973024" w:rsidP="00CE25B6">
      <w:r w:rsidRPr="00973024">
        <w:t>In the UK companies which are comparable to Australian listed companies are excluded from the obligations to report on people of significant control because of other transparency requirements which</w:t>
      </w:r>
      <w:r w:rsidR="007525B3">
        <w:t xml:space="preserve"> applied to them already.</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7525B3" w14:paraId="12253DC7" w14:textId="77777777" w:rsidTr="007525B3">
        <w:tc>
          <w:tcPr>
            <w:tcW w:w="9286" w:type="dxa"/>
            <w:shd w:val="clear" w:color="auto" w:fill="DBE5F1" w:themeFill="accent1" w:themeFillTint="33"/>
          </w:tcPr>
          <w:p w14:paraId="319405DF" w14:textId="77777777" w:rsidR="007525B3" w:rsidRPr="00973024" w:rsidRDefault="007525B3" w:rsidP="007525B3">
            <w:pPr>
              <w:pStyle w:val="BoxHeadingnonumber"/>
            </w:pPr>
            <w:r w:rsidRPr="00973024">
              <w:t>Questions</w:t>
            </w:r>
          </w:p>
          <w:p w14:paraId="32A56396" w14:textId="2BFE7F8D" w:rsidR="00A33262" w:rsidRPr="00212A4E" w:rsidRDefault="007525B3" w:rsidP="00212A4E">
            <w:pPr>
              <w:pStyle w:val="BoxQuestions"/>
            </w:pPr>
            <w:r w:rsidRPr="00212A4E">
              <w:t>Should listed companies be exempt from any new requirements to report on its beneficial owners in light of existing obligations on such companies?</w:t>
            </w:r>
            <w:r w:rsidR="00A33262" w:rsidRPr="00212A4E">
              <w:t xml:space="preserve"> If so, should an exemption apply to companies listed on all exchanges or only to specific exchanges?</w:t>
            </w:r>
          </w:p>
          <w:p w14:paraId="145814DE" w14:textId="75DE9652" w:rsidR="007525B3" w:rsidRDefault="007525B3" w:rsidP="00212A4E">
            <w:pPr>
              <w:pStyle w:val="BoxQuestions"/>
            </w:pPr>
            <w:r w:rsidRPr="00212A4E">
              <w:t>Does the existing ownership information collected for listed companies allow for timely access to adequate and accurate information by relevant authorities?</w:t>
            </w:r>
          </w:p>
        </w:tc>
      </w:tr>
    </w:tbl>
    <w:p w14:paraId="5954B99B" w14:textId="77777777" w:rsidR="007525B3" w:rsidRPr="00973024" w:rsidRDefault="007525B3" w:rsidP="00F15C23">
      <w:pPr>
        <w:pStyle w:val="SingleParagraph"/>
      </w:pPr>
    </w:p>
    <w:p w14:paraId="280E3058" w14:textId="5274BB42" w:rsidR="00CB40A1" w:rsidRDefault="00CB40A1" w:rsidP="0045753C">
      <w:pPr>
        <w:pStyle w:val="Heading2"/>
      </w:pPr>
      <w:bookmarkStart w:id="55" w:name="_Toc466542594"/>
      <w:bookmarkStart w:id="56" w:name="_Toc474414912"/>
      <w:r>
        <w:t>What beneficial ownership information should be captured?</w:t>
      </w:r>
      <w:bookmarkEnd w:id="55"/>
      <w:bookmarkEnd w:id="56"/>
    </w:p>
    <w:p w14:paraId="59A62D3B" w14:textId="7739CD75" w:rsidR="00973024" w:rsidRPr="00CE25B6" w:rsidRDefault="00973024">
      <w:pPr>
        <w:pStyle w:val="Heading3"/>
      </w:pPr>
      <w:bookmarkStart w:id="57" w:name="_Toc466542595"/>
      <w:r w:rsidRPr="00992366">
        <w:t xml:space="preserve">Identifying the natural persons </w:t>
      </w:r>
      <w:r w:rsidR="00D203DE" w:rsidRPr="00992366">
        <w:t xml:space="preserve">who </w:t>
      </w:r>
      <w:r w:rsidR="002954C6" w:rsidRPr="00992366">
        <w:t xml:space="preserve">have </w:t>
      </w:r>
      <w:r w:rsidR="00385FBA">
        <w:t xml:space="preserve">a </w:t>
      </w:r>
      <w:r w:rsidR="00D203DE" w:rsidRPr="00992366">
        <w:t>control</w:t>
      </w:r>
      <w:r w:rsidR="00385FBA">
        <w:t>ling ownership interest in</w:t>
      </w:r>
      <w:r w:rsidR="002954C6" w:rsidRPr="00992366">
        <w:t xml:space="preserve"> a company</w:t>
      </w:r>
      <w:bookmarkEnd w:id="57"/>
    </w:p>
    <w:p w14:paraId="273B1164" w14:textId="6FEA00AE" w:rsidR="000E23F6" w:rsidRDefault="000E23F6" w:rsidP="00CE25B6">
      <w:r>
        <w:t xml:space="preserve">A </w:t>
      </w:r>
      <w:r w:rsidR="004B67FB">
        <w:t>key</w:t>
      </w:r>
      <w:r>
        <w:t xml:space="preserve"> </w:t>
      </w:r>
      <w:r w:rsidR="004B67FB">
        <w:t>part</w:t>
      </w:r>
      <w:r>
        <w:t xml:space="preserve"> </w:t>
      </w:r>
      <w:r w:rsidR="004B67FB">
        <w:t>of</w:t>
      </w:r>
      <w:r>
        <w:t xml:space="preserve"> determining what beneficial ownership information should be collected </w:t>
      </w:r>
      <w:r w:rsidR="003566B9">
        <w:t xml:space="preserve">to meet the objectives outlined in the beginning of this paper </w:t>
      </w:r>
      <w:r>
        <w:t xml:space="preserve">is identifying the natural person/s who </w:t>
      </w:r>
      <w:r w:rsidR="00373AAF">
        <w:t xml:space="preserve">have ultimate </w:t>
      </w:r>
      <w:r>
        <w:t xml:space="preserve">control </w:t>
      </w:r>
      <w:r w:rsidR="00373AAF">
        <w:t xml:space="preserve">of </w:t>
      </w:r>
      <w:r>
        <w:t>a company that</w:t>
      </w:r>
      <w:r w:rsidR="00373AAF">
        <w:t xml:space="preserve"> allows it to be misused to </w:t>
      </w:r>
      <w:r>
        <w:t>engag</w:t>
      </w:r>
      <w:r w:rsidR="00373AAF">
        <w:t>e</w:t>
      </w:r>
      <w:r>
        <w:t xml:space="preserve"> in illicit activities.</w:t>
      </w:r>
    </w:p>
    <w:p w14:paraId="3F83E4F4" w14:textId="50E4927D" w:rsidR="009A6C1D" w:rsidRDefault="00973024" w:rsidP="009A6C1D">
      <w:pPr>
        <w:pStyle w:val="Normal-Indent"/>
        <w:ind w:left="0"/>
        <w:rPr>
          <w:rFonts w:cs="Cambria"/>
          <w:color w:val="auto"/>
          <w:szCs w:val="22"/>
        </w:rPr>
      </w:pPr>
      <w:r w:rsidRPr="00973024">
        <w:t xml:space="preserve">A fundamental aspect of </w:t>
      </w:r>
      <w:r w:rsidR="005E150D">
        <w:t xml:space="preserve">increasing transparency of beneficial ownership </w:t>
      </w:r>
      <w:r w:rsidRPr="00973024">
        <w:t xml:space="preserve">is determining the tests to guide companies in identifying the beneficial owners </w:t>
      </w:r>
      <w:r w:rsidR="003B5835">
        <w:t xml:space="preserve">about </w:t>
      </w:r>
      <w:r w:rsidRPr="00973024">
        <w:t xml:space="preserve">which they </w:t>
      </w:r>
      <w:r w:rsidR="00190AAF">
        <w:t>may need to</w:t>
      </w:r>
      <w:r w:rsidRPr="00973024">
        <w:t xml:space="preserve"> collect and report information. Useful in this context </w:t>
      </w:r>
      <w:r w:rsidR="00255C69">
        <w:t>are</w:t>
      </w:r>
      <w:r w:rsidRPr="00973024">
        <w:t xml:space="preserve"> the </w:t>
      </w:r>
      <w:r w:rsidR="00E67971">
        <w:t xml:space="preserve">three categories in the </w:t>
      </w:r>
      <w:r w:rsidRPr="00973024">
        <w:t>FATF guidance below</w:t>
      </w:r>
      <w:r w:rsidR="006116C4">
        <w:t xml:space="preserve"> regarding the natural </w:t>
      </w:r>
      <w:r w:rsidRPr="00973024">
        <w:t xml:space="preserve">persons </w:t>
      </w:r>
      <w:r w:rsidRPr="00973024">
        <w:rPr>
          <w:rFonts w:cs="Cambria"/>
          <w:color w:val="auto"/>
          <w:szCs w:val="22"/>
        </w:rPr>
        <w:t xml:space="preserve">who could be considered as beneficial owners on the basis that they </w:t>
      </w:r>
      <w:r w:rsidR="00485FF0">
        <w:rPr>
          <w:rFonts w:cs="Cambria"/>
          <w:color w:val="auto"/>
          <w:szCs w:val="22"/>
        </w:rPr>
        <w:t>have a controlling ownership interest in</w:t>
      </w:r>
      <w:r w:rsidR="00DB7F53">
        <w:rPr>
          <w:rFonts w:cs="Cambria"/>
          <w:color w:val="auto"/>
          <w:szCs w:val="22"/>
        </w:rPr>
        <w:t xml:space="preserve"> a company.</w:t>
      </w:r>
    </w:p>
    <w:p w14:paraId="58202D9A" w14:textId="41F337F6" w:rsidR="00973024" w:rsidRPr="00D27E25" w:rsidRDefault="00973024" w:rsidP="00212A4E">
      <w:pPr>
        <w:pStyle w:val="AlphaParagraph"/>
      </w:pPr>
      <w:r w:rsidRPr="00D27E25">
        <w:t>Natural persons who may control the legal person through ownership interests</w:t>
      </w:r>
    </w:p>
    <w:p w14:paraId="09818C9C" w14:textId="007665C3" w:rsidR="00973024" w:rsidRPr="00A30CBE" w:rsidRDefault="00973024" w:rsidP="00212A4E">
      <w:pPr>
        <w:pStyle w:val="NormalIndent"/>
      </w:pPr>
      <w:r w:rsidRPr="00A30CBE">
        <w:t>This kind of beneficial owner could be id</w:t>
      </w:r>
      <w:r w:rsidR="00DB7F53">
        <w:t>entified in the following ways:</w:t>
      </w:r>
    </w:p>
    <w:p w14:paraId="49FBFB76" w14:textId="059D0ABB" w:rsidR="00973024" w:rsidRPr="00973024" w:rsidRDefault="00973024" w:rsidP="00212A4E">
      <w:pPr>
        <w:pStyle w:val="DashIndent"/>
        <w:rPr>
          <w:rFonts w:cs="Cambria"/>
        </w:rPr>
      </w:pPr>
      <w:r w:rsidRPr="00973024">
        <w:t>Identifying the natural person(s) who directly or indirectly holds a minimum percentage of ownership interest in the legal person (the threshold approach)</w:t>
      </w:r>
      <w:r w:rsidR="0044581D">
        <w:t>;</w:t>
      </w:r>
    </w:p>
    <w:p w14:paraId="62D29E33" w14:textId="653201F5" w:rsidR="00973024" w:rsidRPr="00973024" w:rsidRDefault="00973024" w:rsidP="00212A4E">
      <w:pPr>
        <w:pStyle w:val="DashIndent"/>
      </w:pPr>
      <w:r w:rsidRPr="00973024">
        <w:lastRenderedPageBreak/>
        <w:t>Identifying the shareholders who exercise control alone or together with other shareholders, including through any contract, understanding, relationship, intermediary</w:t>
      </w:r>
      <w:r w:rsidR="0044581D">
        <w:t>;</w:t>
      </w:r>
      <w:r w:rsidRPr="00973024">
        <w:t xml:space="preserve"> or</w:t>
      </w:r>
    </w:p>
    <w:p w14:paraId="450BEAF6" w14:textId="3500728A" w:rsidR="00973024" w:rsidRPr="00973024" w:rsidRDefault="0044581D" w:rsidP="00212A4E">
      <w:pPr>
        <w:pStyle w:val="DashIndent"/>
      </w:pPr>
      <w:r>
        <w:t>T</w:t>
      </w:r>
      <w:r w:rsidR="00973024" w:rsidRPr="00973024">
        <w:t>iered entity (a majority interest approach).</w:t>
      </w:r>
    </w:p>
    <w:p w14:paraId="7541B070" w14:textId="36BE8C52" w:rsidR="00973024" w:rsidRPr="00D27E25" w:rsidRDefault="00973024" w:rsidP="00212A4E">
      <w:pPr>
        <w:pStyle w:val="AlphaParagraph"/>
      </w:pPr>
      <w:r w:rsidRPr="00D27E25">
        <w:t>Natural persons who may control the legal person through other means</w:t>
      </w:r>
      <w:r w:rsidR="00E72C18">
        <w:t>:</w:t>
      </w:r>
    </w:p>
    <w:p w14:paraId="3D87B35B" w14:textId="2A67334E" w:rsidR="00973024" w:rsidRPr="00973024" w:rsidRDefault="00973024" w:rsidP="00212A4E">
      <w:pPr>
        <w:pStyle w:val="NormalIndent"/>
        <w:rPr>
          <w:rFonts w:cs="Cambria,Bold"/>
          <w:bCs/>
        </w:rPr>
      </w:pPr>
      <w:r w:rsidRPr="00973024">
        <w:rPr>
          <w:rFonts w:cs="Cambria,Bold"/>
          <w:bCs/>
        </w:rPr>
        <w:t xml:space="preserve">The natural person(s) who exerts control of a legal person through other means </w:t>
      </w:r>
      <w:r w:rsidRPr="00973024">
        <w:t>such as personal connections to persons in positions described above or that possess ownership.</w:t>
      </w:r>
    </w:p>
    <w:p w14:paraId="19F879DC" w14:textId="6F7D24D1" w:rsidR="00973024" w:rsidRPr="00973024" w:rsidRDefault="00973024" w:rsidP="00212A4E">
      <w:pPr>
        <w:pStyle w:val="NormalIndent"/>
      </w:pPr>
      <w:r w:rsidRPr="00973024">
        <w:rPr>
          <w:rFonts w:cs="Cambria,Bold"/>
          <w:bCs/>
        </w:rPr>
        <w:t xml:space="preserve">The natural person(s) who exerts control without ownership </w:t>
      </w:r>
      <w:r w:rsidRPr="00973024">
        <w:t>by participating in the financing of the enterprise, or because of close and intimate family relationships, historical or contractual associations, or if a compan</w:t>
      </w:r>
      <w:r w:rsidR="00DB7F53">
        <w:t>y defaults on certain payments.</w:t>
      </w:r>
    </w:p>
    <w:p w14:paraId="61137D1C" w14:textId="4719FA4F" w:rsidR="00973024" w:rsidRPr="00D27E25" w:rsidRDefault="00973024" w:rsidP="00212A4E">
      <w:pPr>
        <w:pStyle w:val="AlphaParagraph"/>
      </w:pPr>
      <w:r w:rsidRPr="00D27E25">
        <w:t>Natural persons who may exercise control through positions held within a legal person</w:t>
      </w:r>
      <w:r w:rsidR="00E72C18">
        <w:t>:</w:t>
      </w:r>
    </w:p>
    <w:p w14:paraId="7E5E5D5C" w14:textId="63A9C906" w:rsidR="00973024" w:rsidRPr="00973024" w:rsidRDefault="00973024" w:rsidP="00212A4E">
      <w:pPr>
        <w:pStyle w:val="NormalIndent"/>
      </w:pPr>
      <w:r w:rsidRPr="00973024">
        <w:t>The natural person(s) responsible for strategic decisions that fundamentally affect the business practices or general direction of the legal person</w:t>
      </w:r>
      <w:r w:rsidRPr="00973024">
        <w:rPr>
          <w:rFonts w:cs="Cambria"/>
        </w:rPr>
        <w:t>.</w:t>
      </w:r>
    </w:p>
    <w:p w14:paraId="05308537" w14:textId="2ABC2865" w:rsidR="00973024" w:rsidRDefault="00973024" w:rsidP="00212A4E">
      <w:pPr>
        <w:pStyle w:val="NormalIndent"/>
      </w:pPr>
      <w:r w:rsidRPr="00973024">
        <w:t>The natural person(s) who exercises executive control over the daily or regular affairs of the legal person through a senior management position</w:t>
      </w:r>
      <w:r w:rsidR="00ED5066">
        <w:t>.</w:t>
      </w:r>
    </w:p>
    <w:p w14:paraId="03A0F258" w14:textId="5FFD64CF" w:rsidR="00E67971" w:rsidRDefault="00E67971" w:rsidP="00212A4E">
      <w:r>
        <w:t>Consideration of the above three categories add to the basic FATF definition of beneficial owner as:</w:t>
      </w:r>
    </w:p>
    <w:p w14:paraId="507DC307" w14:textId="77777777" w:rsidR="00E67971" w:rsidRPr="00212A4E" w:rsidRDefault="00E67971" w:rsidP="00212A4E">
      <w:pPr>
        <w:pStyle w:val="Quote"/>
      </w:pPr>
      <w:r w:rsidRPr="00212A4E">
        <w:t>…the natural person(s) who ultimately owns or controls a customer and/or the natural person on whose behalf a transaction is being conducted. It also includes those persons who exercise ultimate effective control over a legal person or arrangement.</w:t>
      </w:r>
    </w:p>
    <w:p w14:paraId="76D9D537" w14:textId="1BAF2589" w:rsidR="00255C69" w:rsidRDefault="00D45B98" w:rsidP="003148DF">
      <w:r>
        <w:t xml:space="preserve">Regard </w:t>
      </w:r>
      <w:r w:rsidR="0007145E">
        <w:t>c</w:t>
      </w:r>
      <w:r>
        <w:t xml:space="preserve">ould also be had to existing </w:t>
      </w:r>
      <w:r w:rsidR="0007145E">
        <w:t xml:space="preserve">concepts of control </w:t>
      </w:r>
      <w:r>
        <w:t xml:space="preserve">which occur as part of the current legal framework </w:t>
      </w:r>
      <w:r w:rsidR="0007145E">
        <w:t xml:space="preserve">in Australia as </w:t>
      </w:r>
      <w:r>
        <w:t>outlined in Chapter 2</w:t>
      </w:r>
      <w:r w:rsidR="00A6116D">
        <w:t>.</w:t>
      </w:r>
      <w:r w:rsidR="0007145E">
        <w:t xml:space="preserve"> For example, the concepts of associates, relevant interests and substantial shareholders currently used in the Corporations Act could be applied with appropriate changes.</w:t>
      </w:r>
    </w:p>
    <w:p w14:paraId="7B2A2A8C" w14:textId="77777777" w:rsidR="003148DF" w:rsidRPr="00973024" w:rsidRDefault="003148DF" w:rsidP="003148DF"/>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A30CBE" w14:paraId="40F274CD" w14:textId="77777777" w:rsidTr="00A30CBE">
        <w:tc>
          <w:tcPr>
            <w:tcW w:w="9286" w:type="dxa"/>
            <w:shd w:val="clear" w:color="auto" w:fill="DBE5F1" w:themeFill="accent1" w:themeFillTint="33"/>
          </w:tcPr>
          <w:p w14:paraId="087F9A71" w14:textId="77777777" w:rsidR="00A30CBE" w:rsidRPr="007525B3" w:rsidRDefault="00A30CBE" w:rsidP="00A30CBE">
            <w:pPr>
              <w:pStyle w:val="BoxHeadingnonumber"/>
            </w:pPr>
            <w:r w:rsidRPr="00973024">
              <w:lastRenderedPageBreak/>
              <w:t>Questions</w:t>
            </w:r>
          </w:p>
          <w:p w14:paraId="2DA6AA53" w14:textId="2E225FCB" w:rsidR="00A30CBE" w:rsidRPr="003148DF" w:rsidRDefault="00A30CBE" w:rsidP="00A30CBE">
            <w:pPr>
              <w:pStyle w:val="BoxQuestions"/>
            </w:pPr>
            <w:r w:rsidRPr="003148DF">
              <w:t>How should</w:t>
            </w:r>
            <w:r w:rsidR="00512AD1" w:rsidRPr="003148DF">
              <w:t xml:space="preserve"> a</w:t>
            </w:r>
            <w:r w:rsidR="005E4DE7" w:rsidRPr="003148DF">
              <w:t xml:space="preserve"> </w:t>
            </w:r>
            <w:r w:rsidRPr="003148DF">
              <w:t xml:space="preserve">beneficial owner </w:t>
            </w:r>
            <w:r w:rsidR="00A06DB8" w:rsidRPr="003148DF">
              <w:t xml:space="preserve">who has </w:t>
            </w:r>
            <w:r w:rsidR="00F80317" w:rsidRPr="003148DF">
              <w:t xml:space="preserve">a </w:t>
            </w:r>
            <w:r w:rsidR="00A06DB8" w:rsidRPr="003148DF">
              <w:t>control</w:t>
            </w:r>
            <w:r w:rsidR="00F80317" w:rsidRPr="003148DF">
              <w:t>ling ownership interest in</w:t>
            </w:r>
            <w:r w:rsidR="00E75AC2" w:rsidRPr="003148DF">
              <w:t xml:space="preserve"> a company </w:t>
            </w:r>
            <w:r w:rsidRPr="003148DF">
              <w:t>be defined?</w:t>
            </w:r>
          </w:p>
          <w:p w14:paraId="6DE10279" w14:textId="701619F0" w:rsidR="00A30CBE" w:rsidRPr="003148DF" w:rsidRDefault="00A30CBE" w:rsidP="00A30CBE">
            <w:pPr>
              <w:pStyle w:val="BoxQuestions"/>
            </w:pPr>
            <w:r w:rsidRPr="003148DF">
              <w:t>In light of these examples given by the FATF, the tests adopted by</w:t>
            </w:r>
            <w:r w:rsidR="00751890" w:rsidRPr="003148DF">
              <w:t xml:space="preserve"> the UK (see Part 3</w:t>
            </w:r>
            <w:r w:rsidRPr="003148DF">
              <w:t>.2 above) and the tests applied under the AML/CTF framework</w:t>
            </w:r>
            <w:r w:rsidR="00CA547B" w:rsidRPr="003148DF">
              <w:t xml:space="preserve"> and the Corporations Act</w:t>
            </w:r>
            <w:r w:rsidRPr="003148DF">
              <w:t xml:space="preserve">, what tests or threshold do you think Australia should adopt to determine which beneficial owners </w:t>
            </w:r>
            <w:r w:rsidR="006E7C75" w:rsidRPr="003148DF">
              <w:t>have control</w:t>
            </w:r>
            <w:r w:rsidR="00A368A3" w:rsidRPr="003148DF">
              <w:t>ling ownership interest in</w:t>
            </w:r>
            <w:r w:rsidR="006E7C75" w:rsidRPr="003148DF">
              <w:t xml:space="preserve"> a company such that </w:t>
            </w:r>
            <w:r w:rsidRPr="003148DF">
              <w:t>information needs to be collected</w:t>
            </w:r>
            <w:r w:rsidR="006E7C75" w:rsidRPr="003148DF">
              <w:t xml:space="preserve"> to meet the Government’s objective</w:t>
            </w:r>
            <w:r w:rsidRPr="003148DF">
              <w:t>?</w:t>
            </w:r>
          </w:p>
          <w:p w14:paraId="021FD626" w14:textId="77777777" w:rsidR="00A30CBE" w:rsidRPr="003148DF" w:rsidRDefault="00A30CBE" w:rsidP="00212A4E">
            <w:pPr>
              <w:pStyle w:val="BoxAlpha"/>
            </w:pPr>
            <w:r w:rsidRPr="003148DF">
              <w:t>Should there be a test based on ownership of, or otherwise having (together with any associates) a ‘relevant interest’ in a certain percentage of shares? What percentage would be appropriate?</w:t>
            </w:r>
          </w:p>
          <w:p w14:paraId="1A67236F" w14:textId="77777777" w:rsidR="00A30CBE" w:rsidRPr="003148DF" w:rsidRDefault="00A30CBE" w:rsidP="00212A4E">
            <w:pPr>
              <w:pStyle w:val="BoxAlpha"/>
            </w:pPr>
            <w:r w:rsidRPr="003148DF">
              <w:t>Alternative to the percentage ownership test, or in addition to, should there be tests based on control that is exerted via means other than owning or having interests in shares, or by a position held in the company? If so, how would those types of control be defined?</w:t>
            </w:r>
          </w:p>
          <w:p w14:paraId="5F9E952D" w14:textId="70020F99" w:rsidR="00A30CBE" w:rsidRPr="003148DF" w:rsidRDefault="00A30CBE" w:rsidP="002F0A4A">
            <w:pPr>
              <w:pStyle w:val="BoxQuestions"/>
            </w:pPr>
            <w:r w:rsidRPr="003148DF">
              <w:t>How would the natural persons exercising indirect control or ownership (that is, not through share ownership or voting rights) be identified (other than through</w:t>
            </w:r>
            <w:r w:rsidR="003148DF" w:rsidRPr="003148DF">
              <w:t xml:space="preserve"> </w:t>
            </w:r>
            <w:r w:rsidRPr="003148DF">
              <w:t>self-reporting) and how could such an obligation be enforced?</w:t>
            </w:r>
          </w:p>
          <w:p w14:paraId="71319765" w14:textId="255144DB" w:rsidR="004641A2" w:rsidRPr="003148DF" w:rsidRDefault="004641A2" w:rsidP="004641A2">
            <w:pPr>
              <w:pStyle w:val="BoxQuestions"/>
            </w:pPr>
            <w:r w:rsidRPr="003148DF">
              <w:t>Should the process for identification of beneficial owners operate in such a way that reporting must occur on all entities through to and including</w:t>
            </w:r>
            <w:r w:rsidR="00DB7F53">
              <w:t xml:space="preserve"> the ultimate beneficial owner?</w:t>
            </w:r>
          </w:p>
          <w:p w14:paraId="43A510FB" w14:textId="6FB62AF7" w:rsidR="004641A2" w:rsidRPr="003148DF" w:rsidRDefault="004641A2" w:rsidP="004641A2">
            <w:pPr>
              <w:pStyle w:val="BoxQuestions"/>
            </w:pPr>
            <w:r w:rsidRPr="003148DF">
              <w:t>Do there need to be special provisions regarding instance</w:t>
            </w:r>
            <w:r w:rsidR="00034EB2" w:rsidRPr="003148DF">
              <w:t>s</w:t>
            </w:r>
            <w:r w:rsidRPr="003148DF">
              <w:t xml:space="preserve"> where the relevant information on a beneficial owner is held by an individual who is overseas or in the records of an overseas company and ca</w:t>
            </w:r>
            <w:r w:rsidR="00DB7F53">
              <w:t>nnot be identified or obtained?</w:t>
            </w:r>
          </w:p>
          <w:p w14:paraId="2AA96E1F" w14:textId="2E89400E" w:rsidR="004641A2" w:rsidRDefault="004641A2" w:rsidP="004641A2">
            <w:pPr>
              <w:pStyle w:val="BoxQuestions"/>
            </w:pPr>
            <w:r w:rsidRPr="003148DF">
              <w:t>Should there be exemptions from beneficial ownership requirements in some circumstances? What should those circumstances be and why?</w:t>
            </w:r>
          </w:p>
        </w:tc>
      </w:tr>
    </w:tbl>
    <w:p w14:paraId="4AA47E58" w14:textId="77777777" w:rsidR="00E72C18" w:rsidRDefault="00E72C18" w:rsidP="00E72C18">
      <w:pPr>
        <w:pStyle w:val="SingleParagraph"/>
      </w:pPr>
      <w:bookmarkStart w:id="58" w:name="_Toc466542596"/>
    </w:p>
    <w:p w14:paraId="0D2C6FB4" w14:textId="77777777" w:rsidR="00973024" w:rsidRPr="00973024" w:rsidRDefault="00973024">
      <w:pPr>
        <w:pStyle w:val="Heading3"/>
      </w:pPr>
      <w:r w:rsidRPr="00973024">
        <w:t>Details of beneficial owners to be collected</w:t>
      </w:r>
      <w:bookmarkEnd w:id="58"/>
      <w:r w:rsidRPr="00973024">
        <w:t xml:space="preserve"> </w:t>
      </w:r>
    </w:p>
    <w:p w14:paraId="56262B96" w14:textId="148561FD" w:rsidR="00973024" w:rsidRPr="00973024" w:rsidRDefault="00434DE8" w:rsidP="007525B3">
      <w:r>
        <w:t>Under the current law</w:t>
      </w:r>
      <w:r w:rsidR="00973024" w:rsidRPr="00973024">
        <w:t>, individual registers of company members must record each member’s name and address and the date on which the entry of the member’s name in the register is made.</w:t>
      </w:r>
    </w:p>
    <w:p w14:paraId="1B3D9FA4" w14:textId="3AF8D7AF" w:rsidR="00973024" w:rsidRPr="00973024" w:rsidRDefault="00973024" w:rsidP="007525B3">
      <w:r w:rsidRPr="00973024">
        <w:t>A person responding to a tracing notice must disclose: the full details of their own interest in the shares and the circumstances giving rise to that interest. They must also disclose the name and address of every other person with a relevant interest in those shares and the nature of their interest, as well as the name and address of any person who has given them certain types o</w:t>
      </w:r>
      <w:r w:rsidR="007525B3">
        <w:t>f instruction about the shares.</w:t>
      </w:r>
    </w:p>
    <w:p w14:paraId="0504F473" w14:textId="70C10193" w:rsidR="00973024" w:rsidRDefault="00973024" w:rsidP="007525B3">
      <w:r w:rsidRPr="00973024">
        <w:t xml:space="preserve">Regarding company directors, the information provided to ASIC is as follows: present given and family name, </w:t>
      </w:r>
      <w:r w:rsidR="00B374EC">
        <w:t xml:space="preserve">residential address, </w:t>
      </w:r>
      <w:r w:rsidRPr="00973024">
        <w:t>all former given and family names and the date and place of birth.</w:t>
      </w:r>
      <w:r w:rsidR="00477B3C">
        <w:t xml:space="preserve"> Some of the information is provided to the A</w:t>
      </w:r>
      <w:r w:rsidR="00B85384">
        <w:t xml:space="preserve">ustralian </w:t>
      </w:r>
      <w:r w:rsidR="00477B3C">
        <w:t>B</w:t>
      </w:r>
      <w:r w:rsidR="00B85384">
        <w:t xml:space="preserve">usiness </w:t>
      </w:r>
      <w:r w:rsidR="00477B3C">
        <w:t>R</w:t>
      </w:r>
      <w:r w:rsidR="00B85384">
        <w:t>egister (ABR)</w:t>
      </w:r>
      <w:r w:rsidR="00477B3C">
        <w:t xml:space="preserve"> and includes both public and non-public data.</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A30CBE" w14:paraId="3B1B715F" w14:textId="77777777" w:rsidTr="00A30CBE">
        <w:tc>
          <w:tcPr>
            <w:tcW w:w="9286" w:type="dxa"/>
            <w:shd w:val="clear" w:color="auto" w:fill="DBE5F1" w:themeFill="accent1" w:themeFillTint="33"/>
          </w:tcPr>
          <w:p w14:paraId="4E9D0B70" w14:textId="77777777" w:rsidR="00A30CBE" w:rsidRPr="00CE25B6" w:rsidRDefault="00A30CBE" w:rsidP="00A30CBE">
            <w:pPr>
              <w:pStyle w:val="BoxHeadingnonumber"/>
            </w:pPr>
            <w:r w:rsidRPr="00CE25B6">
              <w:lastRenderedPageBreak/>
              <w:t>Questions</w:t>
            </w:r>
          </w:p>
          <w:p w14:paraId="79CC984F" w14:textId="5C8277E6" w:rsidR="00A30CBE" w:rsidRDefault="00A30CBE" w:rsidP="00A30CBE">
            <w:pPr>
              <w:pStyle w:val="BoxQuestions"/>
            </w:pPr>
            <w:r w:rsidRPr="00973024">
              <w:t xml:space="preserve">What details should be collected and </w:t>
            </w:r>
            <w:r>
              <w:t>reported for each natural person identified as a beneficial owner</w:t>
            </w:r>
            <w:r w:rsidR="00E75AC2">
              <w:t xml:space="preserve"> who has </w:t>
            </w:r>
            <w:r w:rsidR="00E134CE">
              <w:t xml:space="preserve">a </w:t>
            </w:r>
            <w:r w:rsidR="00E75AC2">
              <w:t>control</w:t>
            </w:r>
            <w:r w:rsidR="00E134CE">
              <w:t xml:space="preserve">ling ownership interest in </w:t>
            </w:r>
            <w:r w:rsidR="00E75AC2">
              <w:t>a company</w:t>
            </w:r>
            <w:r w:rsidRPr="00973024">
              <w:t>?</w:t>
            </w:r>
          </w:p>
          <w:p w14:paraId="38FBF99F" w14:textId="1B228C06" w:rsidR="00A30CBE" w:rsidRDefault="00A30CBE" w:rsidP="00A30CBE">
            <w:pPr>
              <w:pStyle w:val="BoxQuestions"/>
            </w:pPr>
            <w:r>
              <w:t xml:space="preserve">What details should be collected and reported for each other legal persons identified as </w:t>
            </w:r>
            <w:r w:rsidR="00E75AC2">
              <w:t xml:space="preserve">such </w:t>
            </w:r>
            <w:r>
              <w:t>beneficial owner</w:t>
            </w:r>
            <w:r w:rsidR="009C19AD">
              <w:t>s</w:t>
            </w:r>
            <w:r>
              <w:t>?</w:t>
            </w:r>
          </w:p>
          <w:p w14:paraId="255B5011" w14:textId="7AB3E98C" w:rsidR="00A30CBE" w:rsidRDefault="00A30CBE" w:rsidP="00A30CBE">
            <w:pPr>
              <w:pStyle w:val="BoxQuestions"/>
            </w:pPr>
            <w:r>
              <w:t>In the case of foreign individuals and bodies corporate, what information is necessary to enable these persons to be appropriately identified by users of the information?</w:t>
            </w:r>
          </w:p>
        </w:tc>
      </w:tr>
    </w:tbl>
    <w:p w14:paraId="20B82465" w14:textId="77777777" w:rsidR="00A30CBE" w:rsidRPr="00A30CBE" w:rsidRDefault="00A30CBE" w:rsidP="00AF151D">
      <w:pPr>
        <w:pStyle w:val="SingleParagraph"/>
      </w:pPr>
    </w:p>
    <w:p w14:paraId="08FB70CA" w14:textId="71409B64" w:rsidR="007E4C2B" w:rsidRDefault="00DF7735" w:rsidP="0045753C">
      <w:pPr>
        <w:pStyle w:val="Heading2"/>
      </w:pPr>
      <w:bookmarkStart w:id="59" w:name="_Toc466542597"/>
      <w:bookmarkStart w:id="60" w:name="_Toc474414913"/>
      <w:r>
        <w:t>How and w</w:t>
      </w:r>
      <w:r w:rsidR="007E4C2B">
        <w:t>here to record beneficial ownership information</w:t>
      </w:r>
      <w:bookmarkEnd w:id="59"/>
      <w:r w:rsidR="00A4528D">
        <w:t>?</w:t>
      </w:r>
      <w:bookmarkEnd w:id="60"/>
    </w:p>
    <w:p w14:paraId="6DBB0E08" w14:textId="650ED07A" w:rsidR="00254B8C" w:rsidRPr="00623FFE" w:rsidRDefault="00254B8C">
      <w:pPr>
        <w:pStyle w:val="Heading3"/>
      </w:pPr>
      <w:bookmarkStart w:id="61" w:name="_Toc466542598"/>
      <w:r>
        <w:t>How should this information be</w:t>
      </w:r>
      <w:r w:rsidR="00811F67">
        <w:t xml:space="preserve"> collected</w:t>
      </w:r>
      <w:r w:rsidR="00282822">
        <w:t xml:space="preserve"> and </w:t>
      </w:r>
      <w:r>
        <w:t>stored?</w:t>
      </w:r>
      <w:bookmarkEnd w:id="61"/>
    </w:p>
    <w:p w14:paraId="516C850C" w14:textId="7D1310D7" w:rsidR="00EE7700" w:rsidRDefault="00EE7700" w:rsidP="00EE7700">
      <w:r w:rsidRPr="00EE7700">
        <w:t xml:space="preserve">Companies may not be currently aware of who their </w:t>
      </w:r>
      <w:r>
        <w:t xml:space="preserve">beneficial owners </w:t>
      </w:r>
      <w:r w:rsidRPr="00EE7700">
        <w:t>are. That information will</w:t>
      </w:r>
      <w:r w:rsidR="00593342">
        <w:t xml:space="preserve"> most</w:t>
      </w:r>
      <w:r w:rsidRPr="00EE7700">
        <w:t xml:space="preserve"> readily lie with the actual </w:t>
      </w:r>
      <w:r>
        <w:t>beneficial owner</w:t>
      </w:r>
      <w:r w:rsidR="00B90C32">
        <w:t>s</w:t>
      </w:r>
      <w:r w:rsidRPr="00EE7700">
        <w:t xml:space="preserve">. Consideration needs to be given to the obligation on each of the company and the </w:t>
      </w:r>
      <w:r>
        <w:t>beneficial owner</w:t>
      </w:r>
      <w:r w:rsidRPr="00EE7700">
        <w:t xml:space="preserve"> to obtain that infor</w:t>
      </w:r>
      <w:r>
        <w:t>m</w:t>
      </w:r>
      <w:r w:rsidRPr="00EE7700">
        <w:t>ation and provide it to the co</w:t>
      </w:r>
      <w:r>
        <w:t>m</w:t>
      </w:r>
      <w:r w:rsidRPr="00EE7700">
        <w:t>pany.</w:t>
      </w:r>
    </w:p>
    <w:p w14:paraId="3C163601" w14:textId="503BF94F" w:rsidR="00254B8C" w:rsidRPr="00C74CEB" w:rsidRDefault="00FA109A" w:rsidP="007525B3">
      <w:r>
        <w:t xml:space="preserve">Consideration </w:t>
      </w:r>
      <w:r w:rsidR="00A6116D">
        <w:t xml:space="preserve">also </w:t>
      </w:r>
      <w:r>
        <w:t>needs to be given to w</w:t>
      </w:r>
      <w:r w:rsidR="00254B8C" w:rsidRPr="00C74CEB">
        <w:t xml:space="preserve">hat sort of companies register or registers will most efficiently and effectively improve beneficial ownership transparency to provide </w:t>
      </w:r>
      <w:r w:rsidR="00043996">
        <w:t>relevant</w:t>
      </w:r>
      <w:r w:rsidR="00254B8C" w:rsidRPr="00C74CEB">
        <w:t xml:space="preserve"> authorities with timely access to adequate and </w:t>
      </w:r>
      <w:r w:rsidR="00254B8C" w:rsidRPr="00C74CEB">
        <w:rPr>
          <w:color w:val="auto"/>
          <w:szCs w:val="22"/>
        </w:rPr>
        <w:t>accurate information</w:t>
      </w:r>
      <w:r>
        <w:rPr>
          <w:color w:val="auto"/>
          <w:szCs w:val="22"/>
        </w:rPr>
        <w:t>.</w:t>
      </w:r>
    </w:p>
    <w:p w14:paraId="1732396B" w14:textId="3D284C76" w:rsidR="000E2DDA" w:rsidRDefault="00254B8C" w:rsidP="000E2DDA">
      <w:r>
        <w:t>One option would be for</w:t>
      </w:r>
      <w:r w:rsidRPr="0090523F">
        <w:t xml:space="preserve"> </w:t>
      </w:r>
      <w:r>
        <w:t>authorities to rely</w:t>
      </w:r>
      <w:r w:rsidRPr="0090523F">
        <w:t xml:space="preserve"> on registers maintained by each company.</w:t>
      </w:r>
      <w:r>
        <w:t xml:space="preserve"> </w:t>
      </w:r>
      <w:r w:rsidR="00F53D64">
        <w:t xml:space="preserve">This option is likely to </w:t>
      </w:r>
      <w:r w:rsidR="00423DE2">
        <w:t xml:space="preserve">impose lower compliance </w:t>
      </w:r>
      <w:r w:rsidR="002A1EEF">
        <w:t>costs</w:t>
      </w:r>
      <w:r w:rsidR="00423DE2">
        <w:t xml:space="preserve"> </w:t>
      </w:r>
      <w:r w:rsidR="00F853C2">
        <w:t>for</w:t>
      </w:r>
      <w:r w:rsidR="00423DE2">
        <w:t xml:space="preserve"> affected companies</w:t>
      </w:r>
      <w:r w:rsidR="00666E5C">
        <w:t>.</w:t>
      </w:r>
    </w:p>
    <w:p w14:paraId="69E0AE40" w14:textId="216EFD55" w:rsidR="00E9383B" w:rsidRDefault="000E2DDA" w:rsidP="000E2DDA">
      <w:r>
        <w:t>Another option would be the UK model</w:t>
      </w:r>
      <w:r w:rsidR="00A6116D">
        <w:t xml:space="preserve"> of</w:t>
      </w:r>
      <w:r>
        <w:t xml:space="preserve"> a central register </w:t>
      </w:r>
      <w:r w:rsidR="00A6116D">
        <w:t xml:space="preserve">and the </w:t>
      </w:r>
      <w:r>
        <w:t>requir</w:t>
      </w:r>
      <w:r w:rsidR="00A6116D">
        <w:t xml:space="preserve">ement for </w:t>
      </w:r>
      <w:r>
        <w:t>companies to maintain their own registers. A central register may enhance the adequacy and accuracy of the information, and may better facilitate timely and efficient access to that information by relevant authorities. Compliance monitoring and enforcement may also be enhanced by the centralisation of the registry.</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3148DF" w14:paraId="78BD92EF" w14:textId="77777777" w:rsidTr="003148DF">
        <w:tc>
          <w:tcPr>
            <w:tcW w:w="9286" w:type="dxa"/>
            <w:shd w:val="clear" w:color="auto" w:fill="DBE5F1" w:themeFill="accent1" w:themeFillTint="33"/>
          </w:tcPr>
          <w:p w14:paraId="7066C914" w14:textId="77777777" w:rsidR="003148DF" w:rsidRPr="003148DF" w:rsidRDefault="003148DF" w:rsidP="003148DF">
            <w:pPr>
              <w:pStyle w:val="BoxHeadingnonumber"/>
            </w:pPr>
            <w:r w:rsidRPr="003148DF">
              <w:t>Questions</w:t>
            </w:r>
          </w:p>
          <w:p w14:paraId="323CFE66" w14:textId="77777777" w:rsidR="003148DF" w:rsidRPr="00AB5DE0" w:rsidRDefault="003148DF" w:rsidP="003148DF">
            <w:pPr>
              <w:pStyle w:val="BoxQuestions"/>
            </w:pPr>
            <w:r w:rsidRPr="00AB5DE0">
              <w:t>What obligations should there be on a company to make enquiries to ascertain who their beneficial owner</w:t>
            </w:r>
            <w:r>
              <w:t>s</w:t>
            </w:r>
            <w:r w:rsidRPr="00AB5DE0">
              <w:t xml:space="preserve"> are and collect the required </w:t>
            </w:r>
            <w:r>
              <w:t>information</w:t>
            </w:r>
            <w:r w:rsidRPr="00AB5DE0">
              <w:t>? What obligations should there be on the beneficial owners themselves?</w:t>
            </w:r>
          </w:p>
          <w:p w14:paraId="68F86BBD" w14:textId="77777777" w:rsidR="003148DF" w:rsidRDefault="003148DF" w:rsidP="003148DF">
            <w:pPr>
              <w:pStyle w:val="BoxQuestions"/>
            </w:pPr>
            <w:r>
              <w:t>Should each company maintain their own register?</w:t>
            </w:r>
          </w:p>
          <w:p w14:paraId="1A1D54B9" w14:textId="77777777" w:rsidR="003148DF" w:rsidRDefault="003148DF" w:rsidP="003148DF">
            <w:pPr>
              <w:pStyle w:val="BoxQuestions"/>
            </w:pPr>
            <w:r>
              <w:t>How could</w:t>
            </w:r>
            <w:r w:rsidRPr="00A0216F">
              <w:t xml:space="preserve"> </w:t>
            </w:r>
            <w:r>
              <w:t xml:space="preserve">individual </w:t>
            </w:r>
            <w:r w:rsidRPr="00A0216F">
              <w:t xml:space="preserve">registers being maintained by each company </w:t>
            </w:r>
            <w:r w:rsidRPr="0073022C">
              <w:t xml:space="preserve">provide </w:t>
            </w:r>
            <w:r>
              <w:t>relevant</w:t>
            </w:r>
            <w:r w:rsidRPr="0073022C">
              <w:t xml:space="preserve"> authorities with timely access to adequate and accurate information</w:t>
            </w:r>
            <w:r>
              <w:t>? What would be an appropriate time period in which companies would have to comply with a request from a relevant authority to provide information?</w:t>
            </w:r>
          </w:p>
          <w:p w14:paraId="0F02C7F4" w14:textId="33545297" w:rsidR="003148DF" w:rsidRDefault="003148DF" w:rsidP="003148DF">
            <w:pPr>
              <w:pStyle w:val="BoxQuestions"/>
            </w:pPr>
            <w:r>
              <w:t>Should a central register of beneficial ownership information also be established?</w:t>
            </w:r>
          </w:p>
        </w:tc>
      </w:tr>
    </w:tbl>
    <w:p w14:paraId="17CD55DD" w14:textId="77777777" w:rsidR="00E72C18" w:rsidRDefault="00E72C18">
      <w:bookmarkStart w:id="62" w:name="_Toc466542599"/>
      <w:r>
        <w:br w:type="page"/>
      </w:r>
    </w:p>
    <w:tbl>
      <w:tblPr>
        <w:tblpPr w:leftFromText="180" w:rightFromText="180" w:vertAnchor="text" w:horzAnchor="margin" w:tblpY="-43"/>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E72C18" w14:paraId="286C0CF1" w14:textId="77777777" w:rsidTr="0059558E">
        <w:trPr>
          <w:cantSplit/>
        </w:trPr>
        <w:tc>
          <w:tcPr>
            <w:tcW w:w="9286" w:type="dxa"/>
            <w:shd w:val="clear" w:color="auto" w:fill="DBE5F1" w:themeFill="accent1" w:themeFillTint="33"/>
          </w:tcPr>
          <w:p w14:paraId="34C27755" w14:textId="3D4F052A" w:rsidR="003148DF" w:rsidRDefault="003148DF" w:rsidP="003148DF">
            <w:pPr>
              <w:pStyle w:val="BoxHeadingnonumber"/>
            </w:pPr>
            <w:r w:rsidRPr="003148DF">
              <w:lastRenderedPageBreak/>
              <w:t xml:space="preserve"> Questions</w:t>
            </w:r>
            <w:r>
              <w:t xml:space="preserve"> (continued)</w:t>
            </w:r>
          </w:p>
          <w:p w14:paraId="6B48179A" w14:textId="77777777" w:rsidR="00E72C18" w:rsidRDefault="00E72C18" w:rsidP="00E72C18">
            <w:pPr>
              <w:pStyle w:val="BoxQuestions"/>
            </w:pPr>
            <w:r>
              <w:t>What do you see as the advantages and/or disadvantages of a central register compared with individual registers being maintained by companies?</w:t>
            </w:r>
          </w:p>
          <w:p w14:paraId="5CEDC359" w14:textId="47BE58F8" w:rsidR="00E72C18" w:rsidRPr="0025570C" w:rsidRDefault="00E72C18" w:rsidP="00E72C18">
            <w:pPr>
              <w:pStyle w:val="BoxQuestions"/>
            </w:pPr>
            <w:r>
              <w:t>In particular, what do you see as the relative compliance impact costs of the two options?</w:t>
            </w:r>
          </w:p>
        </w:tc>
      </w:tr>
    </w:tbl>
    <w:p w14:paraId="57145660" w14:textId="77777777" w:rsidR="003148DF" w:rsidRDefault="003148DF" w:rsidP="003148DF">
      <w:pPr>
        <w:pStyle w:val="SingleParagraph"/>
      </w:pPr>
    </w:p>
    <w:p w14:paraId="799CA64B" w14:textId="306F6C81" w:rsidR="00544AEF" w:rsidRPr="00135D2D" w:rsidRDefault="00544AEF" w:rsidP="000B0AE9">
      <w:pPr>
        <w:pStyle w:val="Heading3"/>
        <w:spacing w:before="240"/>
      </w:pPr>
      <w:r w:rsidRPr="00135D2D">
        <w:t>Operat</w:t>
      </w:r>
      <w:r w:rsidR="00512AD1">
        <w:t>ion of a central register</w:t>
      </w:r>
      <w:bookmarkEnd w:id="62"/>
    </w:p>
    <w:p w14:paraId="09A47BA4" w14:textId="77777777" w:rsidR="00544AEF" w:rsidRDefault="00544AEF" w:rsidP="007525B3">
      <w:r>
        <w:t>If a central register was to be established, t</w:t>
      </w:r>
      <w:r w:rsidRPr="00730D58">
        <w:t xml:space="preserve">here </w:t>
      </w:r>
      <w:r>
        <w:t>would be</w:t>
      </w:r>
      <w:r w:rsidRPr="00730D58">
        <w:t xml:space="preserve"> different options as to which entity </w:t>
      </w:r>
      <w:r>
        <w:t>would be the operator of such a register</w:t>
      </w:r>
      <w:r w:rsidRPr="00730D58">
        <w:t>. Such a register could be operated b</w:t>
      </w:r>
      <w:r>
        <w:t>y</w:t>
      </w:r>
      <w:r w:rsidRPr="00730D58">
        <w:t xml:space="preserve"> ASIC</w:t>
      </w:r>
      <w:r>
        <w:t xml:space="preserve"> in addition to or as part of the register of company information which it already operates and maintains</w:t>
      </w:r>
      <w:r w:rsidRPr="00730D58">
        <w:t>. It could also be operated by a different government entity which is already involved in maintaining registers of information</w:t>
      </w:r>
      <w:r>
        <w:t>, such as the Australian Business Register</w:t>
      </w:r>
      <w:r w:rsidRPr="00730D58">
        <w:t>. Alternatively, such a register could be privately operated.</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A30CBE" w14:paraId="0B8BAF37" w14:textId="77777777" w:rsidTr="00A30CBE">
        <w:tc>
          <w:tcPr>
            <w:tcW w:w="9286" w:type="dxa"/>
            <w:shd w:val="clear" w:color="auto" w:fill="DBE5F1" w:themeFill="accent1" w:themeFillTint="33"/>
          </w:tcPr>
          <w:p w14:paraId="2A954EE5" w14:textId="77777777" w:rsidR="00A30CBE" w:rsidRDefault="00A30CBE" w:rsidP="00A30CBE">
            <w:pPr>
              <w:pStyle w:val="BoxHeadingnonumber"/>
            </w:pPr>
            <w:r w:rsidRPr="00165A62">
              <w:t>Questions</w:t>
            </w:r>
          </w:p>
          <w:p w14:paraId="3D006D66" w14:textId="77777777" w:rsidR="00A30CBE" w:rsidRDefault="00A30CBE" w:rsidP="00A30CBE">
            <w:pPr>
              <w:pStyle w:val="BoxQuestions"/>
            </w:pPr>
            <w:r w:rsidRPr="00165A62">
              <w:t>Who would be best placed to operate and maintain a central register of beneficial ownership?</w:t>
            </w:r>
            <w:r>
              <w:t xml:space="preserve"> Why?</w:t>
            </w:r>
          </w:p>
          <w:p w14:paraId="420D192D" w14:textId="4D713874" w:rsidR="00A30CBE" w:rsidRPr="00A30CBE" w:rsidRDefault="00A30CBE" w:rsidP="007525B3">
            <w:pPr>
              <w:pStyle w:val="BoxQuestions"/>
              <w:rPr>
                <w:b/>
                <w:bCs/>
              </w:rPr>
            </w:pPr>
            <w:r w:rsidRPr="00356B5E">
              <w:t>What should the scope of the register operator’s role be (collect, verify, ensure information is up to date)?</w:t>
            </w:r>
          </w:p>
        </w:tc>
      </w:tr>
    </w:tbl>
    <w:p w14:paraId="44F12A78" w14:textId="77777777" w:rsidR="003148DF" w:rsidRDefault="003148DF" w:rsidP="003148DF">
      <w:pPr>
        <w:pStyle w:val="SingleParagraph"/>
      </w:pPr>
    </w:p>
    <w:p w14:paraId="4DFC89D2" w14:textId="4BE1FA99" w:rsidR="00842D54" w:rsidRDefault="00A552BA" w:rsidP="003148DF">
      <w:r>
        <w:t>I</w:t>
      </w:r>
      <w:r w:rsidR="00A175DA">
        <w:t xml:space="preserve">f a central register </w:t>
      </w:r>
      <w:r w:rsidR="00A35A73">
        <w:t xml:space="preserve">of </w:t>
      </w:r>
      <w:r w:rsidR="00973024" w:rsidRPr="00973024">
        <w:t>beneficial ownership information</w:t>
      </w:r>
      <w:r w:rsidR="00A175DA">
        <w:t xml:space="preserve"> </w:t>
      </w:r>
      <w:r w:rsidR="00973024" w:rsidRPr="00973024">
        <w:t>is established</w:t>
      </w:r>
      <w:r w:rsidR="00381CEE">
        <w:t>,</w:t>
      </w:r>
      <w:r w:rsidR="00A35A73">
        <w:t xml:space="preserve"> </w:t>
      </w:r>
      <w:r w:rsidR="00842D54">
        <w:t xml:space="preserve">consideration will need to be given </w:t>
      </w:r>
      <w:r w:rsidR="00842D54" w:rsidRPr="009810D2">
        <w:t xml:space="preserve">to </w:t>
      </w:r>
      <w:r w:rsidR="0066060C" w:rsidRPr="009810D2">
        <w:t>the</w:t>
      </w:r>
      <w:r w:rsidR="00047F7E" w:rsidRPr="009810D2">
        <w:t xml:space="preserve"> most</w:t>
      </w:r>
      <w:r w:rsidR="00047F7E">
        <w:t xml:space="preserve"> appropriate</w:t>
      </w:r>
      <w:r w:rsidR="00CA35DC">
        <w:t xml:space="preserve"> reporting mechanism/s</w:t>
      </w:r>
      <w:r w:rsidR="00DB7F53">
        <w:t>.</w:t>
      </w:r>
    </w:p>
    <w:p w14:paraId="51D480A6" w14:textId="5B89EA99" w:rsidR="00973024" w:rsidRDefault="00973024" w:rsidP="007525B3">
      <w:r w:rsidRPr="00973024">
        <w:t xml:space="preserve">This information could be provided at time of registration for new companies. </w:t>
      </w:r>
      <w:r w:rsidR="0070723A">
        <w:t>T</w:t>
      </w:r>
      <w:r w:rsidRPr="00973024">
        <w:t>here would also need to be a mechanism through which existing companies</w:t>
      </w:r>
      <w:r w:rsidR="00FE2A96">
        <w:t>, and/or relevant beneficial owners,</w:t>
      </w:r>
      <w:r w:rsidRPr="00973024">
        <w:t xml:space="preserve"> </w:t>
      </w:r>
      <w:r w:rsidR="00811F67">
        <w:t xml:space="preserve">collect and </w:t>
      </w:r>
      <w:r w:rsidRPr="00973024">
        <w:t>report such information</w:t>
      </w:r>
      <w:r w:rsidR="0070723A">
        <w:t>.</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A30CBE" w14:paraId="01724DFE" w14:textId="77777777" w:rsidTr="00A30CBE">
        <w:tc>
          <w:tcPr>
            <w:tcW w:w="9286" w:type="dxa"/>
            <w:shd w:val="clear" w:color="auto" w:fill="DBE5F1" w:themeFill="accent1" w:themeFillTint="33"/>
          </w:tcPr>
          <w:p w14:paraId="668B296D" w14:textId="77777777" w:rsidR="00A30CBE" w:rsidRPr="007525B3" w:rsidRDefault="00A30CBE" w:rsidP="00A30CBE">
            <w:pPr>
              <w:pStyle w:val="BoxHeadingnonumber"/>
            </w:pPr>
            <w:r w:rsidRPr="00973024">
              <w:t>Questions</w:t>
            </w:r>
          </w:p>
          <w:p w14:paraId="03C13A0E" w14:textId="7C272FF8" w:rsidR="00A30CBE" w:rsidRPr="00973024" w:rsidRDefault="00A30CBE" w:rsidP="00A30CBE">
            <w:pPr>
              <w:pStyle w:val="BoxQuestions"/>
            </w:pPr>
            <w:r w:rsidRPr="00973024">
              <w:t>Who should have an obligation to report</w:t>
            </w:r>
            <w:r>
              <w:t xml:space="preserve"> information to the central register</w:t>
            </w:r>
            <w:r w:rsidRPr="00973024">
              <w:t xml:space="preserve">? Should it be the company only or also the persons who meet the test </w:t>
            </w:r>
            <w:r w:rsidR="00CA547B">
              <w:t>of</w:t>
            </w:r>
            <w:r w:rsidRPr="00973024">
              <w:t xml:space="preserve"> </w:t>
            </w:r>
            <w:r w:rsidR="00CA547B">
              <w:t xml:space="preserve">being a relevant </w:t>
            </w:r>
            <w:r w:rsidRPr="00973024">
              <w:t>‘b</w:t>
            </w:r>
            <w:r w:rsidR="00DB7F53">
              <w:t>eneficial owner’?</w:t>
            </w:r>
          </w:p>
          <w:p w14:paraId="26DCDD71" w14:textId="77777777" w:rsidR="00A30CBE" w:rsidRPr="00973024" w:rsidRDefault="00A30CBE" w:rsidP="00A30CBE">
            <w:pPr>
              <w:pStyle w:val="BoxQuestions"/>
            </w:pPr>
            <w:r w:rsidRPr="00973024">
              <w:t>Should new companies provide this information to a central registry operator as part of their application to register their company?</w:t>
            </w:r>
          </w:p>
          <w:p w14:paraId="342B6FF1" w14:textId="05296BEB" w:rsidR="00A30CBE" w:rsidRDefault="00A30CBE" w:rsidP="00A30CBE">
            <w:pPr>
              <w:pStyle w:val="BoxQuestions"/>
            </w:pPr>
            <w:r w:rsidRPr="00973024">
              <w:t>Through what mechanism</w:t>
            </w:r>
            <w:r w:rsidRPr="00973024" w:rsidDel="00FE2A96">
              <w:t xml:space="preserve"> </w:t>
            </w:r>
            <w:r w:rsidRPr="00973024">
              <w:t>should existing companies</w:t>
            </w:r>
            <w:r w:rsidR="009E6561">
              <w:t>,</w:t>
            </w:r>
            <w:r w:rsidRPr="00973024">
              <w:t xml:space="preserve"> </w:t>
            </w:r>
            <w:r w:rsidR="009E6561">
              <w:t>and/or relevant beneficial owners,</w:t>
            </w:r>
            <w:r w:rsidR="00DB7F53">
              <w:t xml:space="preserve"> report?</w:t>
            </w:r>
          </w:p>
        </w:tc>
      </w:tr>
    </w:tbl>
    <w:p w14:paraId="664589DB" w14:textId="77777777" w:rsidR="003148DF" w:rsidRPr="00DB7F53" w:rsidRDefault="003148DF" w:rsidP="00DB7F53">
      <w:bookmarkStart w:id="63" w:name="_Toc466542602"/>
      <w:bookmarkStart w:id="64" w:name="_Toc466542601"/>
    </w:p>
    <w:p w14:paraId="1DD83373" w14:textId="77777777" w:rsidR="003148DF" w:rsidRPr="00DB7F53" w:rsidRDefault="003148DF" w:rsidP="00DB7F53">
      <w:r w:rsidRPr="00DB7F53">
        <w:br w:type="page"/>
      </w:r>
    </w:p>
    <w:p w14:paraId="6DF99559" w14:textId="14C67DE3" w:rsidR="009D3731" w:rsidRPr="00973024" w:rsidRDefault="009D3731" w:rsidP="003148DF">
      <w:pPr>
        <w:pStyle w:val="Heading3"/>
        <w:spacing w:before="300"/>
        <w:rPr>
          <w:sz w:val="24"/>
          <w:szCs w:val="24"/>
        </w:rPr>
      </w:pPr>
      <w:r w:rsidRPr="00973024">
        <w:lastRenderedPageBreak/>
        <w:t>Ensuring information is accurate and current</w:t>
      </w:r>
      <w:bookmarkEnd w:id="63"/>
    </w:p>
    <w:p w14:paraId="5389F195" w14:textId="66668A63" w:rsidR="004641A2" w:rsidRDefault="009D3731" w:rsidP="009D3731">
      <w:r w:rsidRPr="00973024">
        <w:t xml:space="preserve">For beneficial ownership information to be useful to authorities it is fundamental that the </w:t>
      </w:r>
      <w:r w:rsidRPr="00973024">
        <w:rPr>
          <w:rFonts w:cs="Cambria,Italic"/>
          <w:iCs/>
        </w:rPr>
        <w:t>information collected is kept accurate and up to date.</w:t>
      </w:r>
      <w:r w:rsidRPr="00973024">
        <w:rPr>
          <w:rFonts w:cs="Cambria,Italic"/>
          <w:i/>
          <w:iCs/>
        </w:rPr>
        <w:t xml:space="preserve"> </w:t>
      </w:r>
      <w:r w:rsidRPr="00973024">
        <w:t>Firstly, the information should be current and accurate at the time the company is created. Secondly, the information must be kept accurate, and as current as possible meaning that, when changes occur, the information is updated promptly.</w:t>
      </w:r>
    </w:p>
    <w:p w14:paraId="239B9273" w14:textId="7C75182E" w:rsidR="009D3731" w:rsidRDefault="009D3731" w:rsidP="009D3731">
      <w:r w:rsidRPr="00973024">
        <w:t>Currently companies are required to notify ASIC within specified timeframes (generally 28</w:t>
      </w:r>
      <w:r>
        <w:t> </w:t>
      </w:r>
      <w:r w:rsidRPr="00973024">
        <w:t>days or less) about a change of registered office, principal place of business, its member register, its share structure, directors or secretaries, in</w:t>
      </w:r>
      <w:r w:rsidR="003148DF">
        <w:t>cluding their personal details.</w:t>
      </w:r>
    </w:p>
    <w:p w14:paraId="224E0A90" w14:textId="77777777" w:rsidR="009D3731" w:rsidRDefault="009D3731" w:rsidP="009D3731">
      <w:r>
        <w:t>In addition,</w:t>
      </w:r>
      <w:r w:rsidRPr="0070723A">
        <w:t xml:space="preserve"> ASIC sends each company their annual statement for checking every year and the company must notify ASIC within 28 days after the issue date if any changes need to be made.</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9D3731" w14:paraId="220BD192" w14:textId="77777777" w:rsidTr="00A55F17">
        <w:tc>
          <w:tcPr>
            <w:tcW w:w="9286" w:type="dxa"/>
            <w:shd w:val="clear" w:color="auto" w:fill="DBE5F1" w:themeFill="accent1" w:themeFillTint="33"/>
          </w:tcPr>
          <w:p w14:paraId="26F8066A" w14:textId="77777777" w:rsidR="009D3731" w:rsidRPr="00973024" w:rsidRDefault="009D3731" w:rsidP="00A55F17">
            <w:pPr>
              <w:pStyle w:val="BoxHeadingnonumber"/>
            </w:pPr>
            <w:r w:rsidRPr="00973024">
              <w:t>Questions</w:t>
            </w:r>
          </w:p>
          <w:p w14:paraId="141ACAA8" w14:textId="2AA30A57" w:rsidR="009D3731" w:rsidRDefault="009D3731" w:rsidP="009D3731">
            <w:pPr>
              <w:pStyle w:val="BoxQuestions"/>
            </w:pPr>
            <w:r w:rsidRPr="00973024">
              <w:t>Within what time period (how many days) should any changes to previously submitted beneficial ownership information have to be reported to a</w:t>
            </w:r>
            <w:r w:rsidR="007B4483">
              <w:t xml:space="preserve"> company (where registers are maintained by each company) or the</w:t>
            </w:r>
            <w:r w:rsidRPr="00973024">
              <w:t xml:space="preserve"> registry operator</w:t>
            </w:r>
            <w:r w:rsidR="007B4483">
              <w:t xml:space="preserve"> (where there is a central register)</w:t>
            </w:r>
            <w:r w:rsidRPr="00973024">
              <w:t>?</w:t>
            </w:r>
          </w:p>
          <w:p w14:paraId="62DD40B5" w14:textId="6A307133" w:rsidR="009D3731" w:rsidRPr="00973024" w:rsidRDefault="007B4483" w:rsidP="00A55F17">
            <w:pPr>
              <w:pStyle w:val="BoxQuestions"/>
            </w:pPr>
            <w:r>
              <w:t>If reporting to a central register is required, s</w:t>
            </w:r>
            <w:r w:rsidR="009D3731" w:rsidRPr="00637ABA">
              <w:t>hould this information be included in the annual statement which ASIC sends to companies for confirmation with an obligation to review and update it annually?</w:t>
            </w:r>
          </w:p>
          <w:p w14:paraId="5D084A00" w14:textId="1FC43A63" w:rsidR="00A85612" w:rsidRDefault="009D3731" w:rsidP="00A55F17">
            <w:pPr>
              <w:pStyle w:val="BoxQuestions"/>
            </w:pPr>
            <w:r>
              <w:t>W</w:t>
            </w:r>
            <w:r w:rsidRPr="00973024">
              <w:t>hat steps should</w:t>
            </w:r>
            <w:r>
              <w:t xml:space="preserve"> be undertaken</w:t>
            </w:r>
            <w:r w:rsidRPr="00973024">
              <w:t xml:space="preserve"> to verify the information provided to</w:t>
            </w:r>
            <w:r>
              <w:t xml:space="preserve"> a central register</w:t>
            </w:r>
            <w:r w:rsidRPr="00973024">
              <w:t xml:space="preserve"> by companies or their </w:t>
            </w:r>
            <w:r w:rsidR="00A133F8">
              <w:t xml:space="preserve">relevant </w:t>
            </w:r>
            <w:r w:rsidRPr="00973024">
              <w:t>beneficial owners?</w:t>
            </w:r>
            <w:r>
              <w:t xml:space="preserve"> Who should have responsibility for undertaking such steps?</w:t>
            </w:r>
          </w:p>
        </w:tc>
      </w:tr>
    </w:tbl>
    <w:p w14:paraId="2CFD43B1" w14:textId="77777777" w:rsidR="003148DF" w:rsidRDefault="003148DF" w:rsidP="003148DF">
      <w:pPr>
        <w:pStyle w:val="SingleParagraph"/>
      </w:pPr>
    </w:p>
    <w:p w14:paraId="5AFCBEBA" w14:textId="742AA7C1" w:rsidR="0091251F" w:rsidRDefault="00242FA7" w:rsidP="000B0AE9">
      <w:pPr>
        <w:pStyle w:val="Heading3"/>
        <w:spacing w:before="240"/>
      </w:pPr>
      <w:r>
        <w:t xml:space="preserve">Exchange of information </w:t>
      </w:r>
      <w:r w:rsidR="002A67F3">
        <w:t>between authorities</w:t>
      </w:r>
      <w:bookmarkEnd w:id="64"/>
    </w:p>
    <w:p w14:paraId="2D2DD0CB" w14:textId="33F4411F" w:rsidR="0091251F" w:rsidRDefault="0091251F" w:rsidP="007525B3">
      <w:r>
        <w:t xml:space="preserve">The Government is committed to taking action to fulfil its international commitments around access for </w:t>
      </w:r>
      <w:r w:rsidR="00B00A9A">
        <w:t xml:space="preserve">domestic and international </w:t>
      </w:r>
      <w:r>
        <w:t>‘</w:t>
      </w:r>
      <w:r w:rsidR="00043996">
        <w:t>relevant</w:t>
      </w:r>
      <w:r>
        <w:t xml:space="preserve"> authorities’ to beneficial ownership information:</w:t>
      </w:r>
      <w:r w:rsidRPr="004D04C1">
        <w:t xml:space="preserve"> law enforcement bodies, regulators</w:t>
      </w:r>
      <w:r>
        <w:t xml:space="preserve"> and other government agencies.</w:t>
      </w:r>
      <w:r w:rsidR="005C187A">
        <w:t xml:space="preserve"> Increasing the beneficial ownershi</w:t>
      </w:r>
      <w:r w:rsidR="0061023B">
        <w:t>p information available to</w:t>
      </w:r>
      <w:r w:rsidR="005C187A">
        <w:t xml:space="preserve"> relevant authorities will</w:t>
      </w:r>
      <w:r w:rsidR="00B00DC9" w:rsidRPr="00B00DC9">
        <w:t xml:space="preserve"> </w:t>
      </w:r>
      <w:r w:rsidR="005222F8">
        <w:t xml:space="preserve">enhance </w:t>
      </w:r>
      <w:r w:rsidR="0061023B">
        <w:t>their</w:t>
      </w:r>
      <w:r w:rsidR="005222F8">
        <w:t xml:space="preserve"> ability</w:t>
      </w:r>
      <w:r w:rsidR="00B00DC9" w:rsidRPr="00B00DC9">
        <w:t xml:space="preserve"> to combat and prevent</w:t>
      </w:r>
      <w:r w:rsidR="003F31DE" w:rsidRPr="003F31DE">
        <w:t xml:space="preserve"> </w:t>
      </w:r>
      <w:r w:rsidR="003F31DE">
        <w:t>illicit activities such as</w:t>
      </w:r>
      <w:r w:rsidR="003F31DE" w:rsidRPr="003F31DE">
        <w:t xml:space="preserve"> tax evasion, money laundering and terrorism financing</w:t>
      </w:r>
      <w:r w:rsidR="003F31DE">
        <w:t>.</w:t>
      </w:r>
    </w:p>
    <w:p w14:paraId="059F3C67" w14:textId="56409E3D" w:rsidR="005C187A" w:rsidRDefault="00660FC5" w:rsidP="00212A4E">
      <w:pPr>
        <w:spacing w:after="210"/>
      </w:pPr>
      <w:r>
        <w:t xml:space="preserve">Mindful of </w:t>
      </w:r>
      <w:r w:rsidR="009D6A3D">
        <w:t>the compliance costs for</w:t>
      </w:r>
      <w:r w:rsidR="005C187A">
        <w:t xml:space="preserve"> affected parties</w:t>
      </w:r>
      <w:r w:rsidR="00480469">
        <w:t>,</w:t>
      </w:r>
      <w:r w:rsidR="005C187A">
        <w:t xml:space="preserve"> consideration</w:t>
      </w:r>
      <w:r>
        <w:t xml:space="preserve"> will be given </w:t>
      </w:r>
      <w:r w:rsidR="005C187A">
        <w:t>to</w:t>
      </w:r>
      <w:r w:rsidR="000C2721">
        <w:t xml:space="preserve"> whether</w:t>
      </w:r>
      <w:r w:rsidR="005C187A">
        <w:t xml:space="preserve"> </w:t>
      </w:r>
      <w:r w:rsidR="00D47A2C">
        <w:t>reporting entities and persons</w:t>
      </w:r>
      <w:r w:rsidR="000C2721" w:rsidRPr="000C2721">
        <w:t xml:space="preserve"> </w:t>
      </w:r>
      <w:r>
        <w:t>could</w:t>
      </w:r>
      <w:r w:rsidR="000C2721">
        <w:t xml:space="preserve"> provide the information to a single authority</w:t>
      </w:r>
      <w:r w:rsidR="000C2721" w:rsidRPr="000C2721">
        <w:t xml:space="preserve"> for all required Government purposes</w:t>
      </w:r>
      <w:r w:rsidR="000C2721">
        <w:t>.</w:t>
      </w:r>
    </w:p>
    <w:p w14:paraId="4CC976C1" w14:textId="1CB46978" w:rsidR="00194789" w:rsidRDefault="00C926DF" w:rsidP="00212A4E">
      <w:pPr>
        <w:spacing w:after="210"/>
      </w:pPr>
      <w:r>
        <w:t xml:space="preserve">As indicated in Part 3.3, there is </w:t>
      </w:r>
      <w:r w:rsidR="00242FA7">
        <w:t xml:space="preserve">also </w:t>
      </w:r>
      <w:r>
        <w:t xml:space="preserve">currently an initiative for the automatic exchange of </w:t>
      </w:r>
      <w:r w:rsidR="008E0026">
        <w:t xml:space="preserve">beneficial ownership </w:t>
      </w:r>
      <w:r>
        <w:t>information between the authorities of different countries.</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194789" w14:paraId="603691C3" w14:textId="77777777" w:rsidTr="00AF151D">
        <w:tc>
          <w:tcPr>
            <w:tcW w:w="9286" w:type="dxa"/>
            <w:shd w:val="clear" w:color="auto" w:fill="DBE5F1" w:themeFill="accent1" w:themeFillTint="33"/>
          </w:tcPr>
          <w:p w14:paraId="0AC8F99A" w14:textId="77777777" w:rsidR="00194789" w:rsidRPr="007E0683" w:rsidRDefault="00194789" w:rsidP="00AF151D">
            <w:pPr>
              <w:pStyle w:val="BoxHeadingnonumber"/>
            </w:pPr>
            <w:r w:rsidRPr="007E0683">
              <w:lastRenderedPageBreak/>
              <w:t>Questions</w:t>
            </w:r>
          </w:p>
          <w:p w14:paraId="5B1C4569" w14:textId="6C0A59C8" w:rsidR="00194789" w:rsidRDefault="003338ED" w:rsidP="00AF151D">
            <w:pPr>
              <w:pStyle w:val="BoxQuestions"/>
            </w:pPr>
            <w:r>
              <w:t xml:space="preserve">Should </w:t>
            </w:r>
            <w:r w:rsidR="00242FA7">
              <w:t xml:space="preserve">beneficial ownership </w:t>
            </w:r>
            <w:r w:rsidR="00DF4F64">
              <w:t xml:space="preserve">information be provided to one relevant </w:t>
            </w:r>
            <w:r w:rsidR="007635F9">
              <w:t xml:space="preserve">domestic </w:t>
            </w:r>
            <w:r w:rsidR="00DF4F64">
              <w:t xml:space="preserve">authority and then </w:t>
            </w:r>
            <w:r w:rsidR="00242FA7">
              <w:t>shared</w:t>
            </w:r>
            <w:r w:rsidR="00DF4F64">
              <w:t xml:space="preserve"> with </w:t>
            </w:r>
            <w:r w:rsidR="00242FA7">
              <w:t xml:space="preserve">any </w:t>
            </w:r>
            <w:r w:rsidR="00DF4F64">
              <w:t xml:space="preserve">other </w:t>
            </w:r>
            <w:r w:rsidR="00242FA7">
              <w:t xml:space="preserve">relevant </w:t>
            </w:r>
            <w:r w:rsidR="007635F9">
              <w:t xml:space="preserve">domestic </w:t>
            </w:r>
            <w:r w:rsidR="00DF4F64">
              <w:t>authorities?</w:t>
            </w:r>
            <w:r w:rsidR="008F77AC">
              <w:t xml:space="preserve"> </w:t>
            </w:r>
            <w:r w:rsidR="00780D77">
              <w:t>Please explain why you agree or disagree.</w:t>
            </w:r>
          </w:p>
          <w:p w14:paraId="5D960B26" w14:textId="2E0A7901" w:rsidR="00194789" w:rsidRDefault="00194789" w:rsidP="00AF151D">
            <w:pPr>
              <w:pStyle w:val="BoxQuestions"/>
            </w:pPr>
            <w:r>
              <w:t>Should beneficial ownership information be automatically exchanged with relevant authorities in other jurisdictions?</w:t>
            </w:r>
            <w:r w:rsidR="00A133F8">
              <w:t xml:space="preserve"> Please explain why you agree or disagree.</w:t>
            </w:r>
          </w:p>
        </w:tc>
      </w:tr>
    </w:tbl>
    <w:p w14:paraId="7BCB4625" w14:textId="77777777" w:rsidR="003148DF" w:rsidRDefault="003148DF" w:rsidP="003148DF">
      <w:pPr>
        <w:pStyle w:val="SingleParagraph"/>
      </w:pPr>
      <w:bookmarkStart w:id="65" w:name="_Toc466542603"/>
      <w:bookmarkStart w:id="66" w:name="_Toc463518761"/>
      <w:bookmarkEnd w:id="53"/>
      <w:bookmarkEnd w:id="54"/>
    </w:p>
    <w:p w14:paraId="3E36F90E" w14:textId="06D44195" w:rsidR="004D5AC3" w:rsidRPr="001B0771" w:rsidRDefault="004D5AC3" w:rsidP="0045753C">
      <w:pPr>
        <w:pStyle w:val="Heading2"/>
      </w:pPr>
      <w:bookmarkStart w:id="67" w:name="_Toc474414914"/>
      <w:r>
        <w:t>Other implementation and administration issues</w:t>
      </w:r>
      <w:bookmarkEnd w:id="65"/>
      <w:bookmarkEnd w:id="67"/>
    </w:p>
    <w:p w14:paraId="463051F5" w14:textId="06F2CD37" w:rsidR="00D15C5C" w:rsidRPr="006F21A9" w:rsidRDefault="007F645A">
      <w:pPr>
        <w:pStyle w:val="Heading3"/>
      </w:pPr>
      <w:bookmarkStart w:id="68" w:name="_Toc463518769"/>
      <w:bookmarkStart w:id="69" w:name="_Toc464207041"/>
      <w:bookmarkStart w:id="70" w:name="_Toc466542604"/>
      <w:bookmarkEnd w:id="66"/>
      <w:r w:rsidRPr="006F21A9">
        <w:t>Sanctions</w:t>
      </w:r>
      <w:bookmarkEnd w:id="68"/>
      <w:bookmarkEnd w:id="69"/>
      <w:bookmarkEnd w:id="70"/>
    </w:p>
    <w:p w14:paraId="40B45BB1" w14:textId="0BF696DA" w:rsidR="00857C78" w:rsidRPr="00857C78" w:rsidRDefault="00857C78" w:rsidP="0045753C">
      <w:pPr>
        <w:spacing w:after="200"/>
      </w:pPr>
      <w:r>
        <w:t>Australia’s c</w:t>
      </w:r>
      <w:r w:rsidRPr="00857C78">
        <w:t>orporate law currently provides a range of criminal, civil penalty and civil sanctions</w:t>
      </w:r>
      <w:r w:rsidR="00625247">
        <w:t xml:space="preserve"> for non-compliance with obligations and requirements</w:t>
      </w:r>
      <w:r w:rsidR="0039799D">
        <w:t xml:space="preserve"> under that law</w:t>
      </w:r>
      <w:r w:rsidR="00625247">
        <w:t>. This reflects the need for corporate law to provide appropriate in</w:t>
      </w:r>
      <w:r w:rsidR="00241284">
        <w:t>centives for compliance in light</w:t>
      </w:r>
      <w:r w:rsidR="00625247">
        <w:t xml:space="preserve"> the negative impacts </w:t>
      </w:r>
      <w:r w:rsidR="00241284" w:rsidRPr="00241284">
        <w:t xml:space="preserve">of non-compliance </w:t>
      </w:r>
      <w:r w:rsidR="00625247">
        <w:t>on the economy and</w:t>
      </w:r>
      <w:r w:rsidR="00241284">
        <w:t xml:space="preserve"> the</w:t>
      </w:r>
      <w:r w:rsidR="003148DF">
        <w:t xml:space="preserve"> community at large.</w:t>
      </w:r>
    </w:p>
    <w:p w14:paraId="28E11CE2" w14:textId="29842734" w:rsidR="007F645A" w:rsidRDefault="00CB4059" w:rsidP="0045753C">
      <w:pPr>
        <w:spacing w:after="200"/>
      </w:pPr>
      <w:r>
        <w:t>The FATF guidance</w:t>
      </w:r>
      <w:r w:rsidR="007F645A">
        <w:t xml:space="preserve"> </w:t>
      </w:r>
      <w:r w:rsidR="00745CE7">
        <w:t>views</w:t>
      </w:r>
      <w:r w:rsidR="007F645A">
        <w:t xml:space="preserve"> a fundamental</w:t>
      </w:r>
      <w:r w:rsidR="00392599">
        <w:t xml:space="preserve"> aspect of Recommendation 24</w:t>
      </w:r>
      <w:r w:rsidR="007F645A" w:rsidDel="00745CE7">
        <w:t xml:space="preserve"> </w:t>
      </w:r>
      <w:r w:rsidR="00392599">
        <w:t>having in place ‘</w:t>
      </w:r>
      <w:r w:rsidR="00392599" w:rsidRPr="00392599">
        <w:t>effective, proportionate and dissuasive</w:t>
      </w:r>
      <w:r w:rsidR="00392599">
        <w:t>’</w:t>
      </w:r>
      <w:r w:rsidR="00392599" w:rsidRPr="00392599">
        <w:t xml:space="preserve"> sanctions</w:t>
      </w:r>
      <w:r w:rsidR="00392599">
        <w:t xml:space="preserve"> for failures to comply with the</w:t>
      </w:r>
      <w:r w:rsidR="007F645A">
        <w:t xml:space="preserve"> mechanisms in place to implement recommendation 24</w:t>
      </w:r>
      <w:r w:rsidR="00392599">
        <w:t>.</w:t>
      </w:r>
    </w:p>
    <w:p w14:paraId="436B7839" w14:textId="7155D545" w:rsidR="00AA7BD8" w:rsidRDefault="00902C13" w:rsidP="0045753C">
      <w:pPr>
        <w:spacing w:after="200"/>
      </w:pPr>
      <w:r>
        <w:t xml:space="preserve">Currently the following sanctions apply for </w:t>
      </w:r>
      <w:r w:rsidR="00904874">
        <w:t>f</w:t>
      </w:r>
      <w:r w:rsidR="00DF6CB5" w:rsidRPr="00DF6CB5">
        <w:t>ailure to notify</w:t>
      </w:r>
      <w:r>
        <w:t xml:space="preserve"> ASIC about changes to</w:t>
      </w:r>
      <w:r w:rsidR="00904874">
        <w:t xml:space="preserve"> company details:</w:t>
      </w:r>
      <w:r w:rsidR="00DF6CB5" w:rsidRPr="00DF6CB5">
        <w:t xml:space="preserve"> a fine of 60 penalty units (AUD 10</w:t>
      </w:r>
      <w:r w:rsidR="00D8766A">
        <w:t>,</w:t>
      </w:r>
      <w:r w:rsidR="00BB33CE">
        <w:t>8</w:t>
      </w:r>
      <w:r w:rsidR="00DF6CB5" w:rsidRPr="00DF6CB5">
        <w:t>00</w:t>
      </w:r>
      <w:r w:rsidR="003148DF">
        <w:t>) and/or one year imprisonment.</w:t>
      </w:r>
    </w:p>
    <w:p w14:paraId="267C989F" w14:textId="59BEC330" w:rsidR="00DF6CB5" w:rsidRDefault="00F730C3" w:rsidP="0045753C">
      <w:pPr>
        <w:spacing w:after="200"/>
      </w:pPr>
      <w:r>
        <w:t>In relation to l</w:t>
      </w:r>
      <w:r w:rsidR="00E835DA">
        <w:t>isted companies</w:t>
      </w:r>
      <w:r>
        <w:t>, f</w:t>
      </w:r>
      <w:r w:rsidR="00BD62C8" w:rsidRPr="00BD62C8">
        <w:t>ailing to respond to a tracing notice is a strict liability offence with penalty up to 25 penalty units (AUD 4</w:t>
      </w:r>
      <w:r w:rsidR="006F48D7">
        <w:t>,</w:t>
      </w:r>
      <w:r w:rsidR="007F358C">
        <w:t>50</w:t>
      </w:r>
      <w:r w:rsidR="00BD62C8" w:rsidRPr="00BD62C8">
        <w:t xml:space="preserve">0) and/or six months imprisonment. </w:t>
      </w:r>
      <w:r w:rsidR="00AA7BD8">
        <w:t xml:space="preserve">Where it can be established that a person has failed to respond to a tracing notice ASIC </w:t>
      </w:r>
      <w:r w:rsidR="00E835DA">
        <w:t xml:space="preserve">or certain affected parties </w:t>
      </w:r>
      <w:r w:rsidR="00AA7BD8">
        <w:t>may seek a court order</w:t>
      </w:r>
      <w:r w:rsidR="00E835DA">
        <w:t>,</w:t>
      </w:r>
      <w:r w:rsidR="00AA7BD8">
        <w:t xml:space="preserve"> </w:t>
      </w:r>
      <w:r w:rsidR="00E835DA">
        <w:t>(</w:t>
      </w:r>
      <w:r w:rsidR="00AA7BD8">
        <w:t>or</w:t>
      </w:r>
      <w:r w:rsidR="00E835DA">
        <w:t xml:space="preserve"> in some circumstances</w:t>
      </w:r>
      <w:r w:rsidR="00AA7BD8">
        <w:t xml:space="preserve"> a remedial order from the Takeovers Panel</w:t>
      </w:r>
      <w:r w:rsidR="00E835DA">
        <w:t>)</w:t>
      </w:r>
      <w:r w:rsidR="00AA7BD8">
        <w:t xml:space="preserve"> plac</w:t>
      </w:r>
      <w:r w:rsidR="00E835DA">
        <w:t>ing</w:t>
      </w:r>
      <w:r w:rsidR="00AA7BD8">
        <w:t xml:space="preserve"> restrictions on the relevant shares. A common court order which is made is for shares to be vested in ASIC until disclosure is made or the shares are otherwise sold</w:t>
      </w:r>
      <w:r w:rsidR="00E72C0A">
        <w:t xml:space="preserve"> by ASIC</w:t>
      </w:r>
      <w:r w:rsidR="003148DF">
        <w:t>.</w:t>
      </w:r>
    </w:p>
    <w:p w14:paraId="73F331A4" w14:textId="6FF64E3E" w:rsidR="00B7182F" w:rsidRDefault="00CF72DE" w:rsidP="0045753C">
      <w:pPr>
        <w:spacing w:after="200"/>
      </w:pPr>
      <w:r>
        <w:t>Under the UK system, a failure to comply with obligations to provide accurate information on the PSC register and failure to comply with notices requiring someone to provide information are criminal offences and may result in a fine</w:t>
      </w:r>
      <w:r w:rsidR="00571326">
        <w:t xml:space="preserve"> </w:t>
      </w:r>
      <w:r>
        <w:t>and or a prison sentence of up to two years.</w:t>
      </w:r>
    </w:p>
    <w:p w14:paraId="09E676F9" w14:textId="6331330C" w:rsidR="000346AF" w:rsidRDefault="00E012A0" w:rsidP="0045753C">
      <w:pPr>
        <w:spacing w:after="200"/>
      </w:pPr>
      <w:r>
        <w:t>Additionally,</w:t>
      </w:r>
      <w:r w:rsidR="00A8469C">
        <w:t xml:space="preserve"> in the UK</w:t>
      </w:r>
      <w:r>
        <w:t xml:space="preserve"> where a person does not respond to a notice</w:t>
      </w:r>
      <w:r w:rsidR="00684F13">
        <w:t xml:space="preserve"> from a company</w:t>
      </w:r>
      <w:r>
        <w:t xml:space="preserve"> requiring them to provide information, and also does not respond to a subsequent warning notice, the company can apply restrictions to the relevant shares or interests which effectively ‘freeze’ them so that that they cannot be sold or transferred and associated rights such as voting cannot be exercised. </w:t>
      </w:r>
      <w:r w:rsidR="005404D4">
        <w:t>The company can apply rest</w:t>
      </w:r>
      <w:r w:rsidR="00212A4E">
        <w:t>rictions without a court order.</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45753C" w14:paraId="53B0FF08" w14:textId="77777777" w:rsidTr="0045753C">
        <w:tc>
          <w:tcPr>
            <w:tcW w:w="9286" w:type="dxa"/>
            <w:shd w:val="clear" w:color="auto" w:fill="DBE5F1" w:themeFill="accent1" w:themeFillTint="33"/>
          </w:tcPr>
          <w:p w14:paraId="51F80B17" w14:textId="77777777" w:rsidR="0045753C" w:rsidRPr="009313D5" w:rsidRDefault="0045753C" w:rsidP="0045753C">
            <w:pPr>
              <w:pStyle w:val="BoxHeadingnonumber"/>
              <w:keepNext w:val="0"/>
              <w:tabs>
                <w:tab w:val="left" w:pos="1562"/>
              </w:tabs>
            </w:pPr>
            <w:r>
              <w:t>Question</w:t>
            </w:r>
            <w:r>
              <w:tab/>
            </w:r>
          </w:p>
          <w:p w14:paraId="6AFF0007" w14:textId="42662ADB" w:rsidR="0045753C" w:rsidRPr="0045753C" w:rsidRDefault="0045753C" w:rsidP="0045753C">
            <w:pPr>
              <w:pStyle w:val="BoxQuestions"/>
              <w:rPr>
                <w:rFonts w:ascii="Book Antiqua" w:hAnsi="Book Antiqua"/>
              </w:rPr>
            </w:pPr>
            <w:r>
              <w:t>What sanctions should apply to</w:t>
            </w:r>
            <w:r w:rsidRPr="00483BD9">
              <w:t xml:space="preserve"> companies </w:t>
            </w:r>
            <w:r>
              <w:t xml:space="preserve">or beneficial owners which </w:t>
            </w:r>
            <w:r w:rsidRPr="00483BD9">
              <w:t>fail to comply with any new requirements to disclose and keep up to date beneficial ownership information?</w:t>
            </w:r>
          </w:p>
        </w:tc>
      </w:tr>
    </w:tbl>
    <w:p w14:paraId="13C27D51" w14:textId="77777777" w:rsidR="00AF39F2" w:rsidRPr="006F21A9" w:rsidRDefault="00AF39F2">
      <w:pPr>
        <w:pStyle w:val="Heading3"/>
      </w:pPr>
      <w:bookmarkStart w:id="71" w:name="_Toc466542605"/>
      <w:r w:rsidRPr="006F21A9">
        <w:lastRenderedPageBreak/>
        <w:t xml:space="preserve">Transitional </w:t>
      </w:r>
      <w:r>
        <w:t>a</w:t>
      </w:r>
      <w:r w:rsidRPr="006F21A9">
        <w:t>rrangements</w:t>
      </w:r>
      <w:bookmarkEnd w:id="71"/>
    </w:p>
    <w:p w14:paraId="274E51E3" w14:textId="4007C53C" w:rsidR="00AF39F2" w:rsidRDefault="00AF39F2" w:rsidP="007525B3">
      <w:r w:rsidRPr="00BA21E7">
        <w:t>Companies and other persons with new reporting requirements would require transitional arrangements in order to</w:t>
      </w:r>
      <w:r>
        <w:t xml:space="preserve"> have sufficient time</w:t>
      </w:r>
      <w:r w:rsidRPr="00BA21E7">
        <w:t xml:space="preserve"> put in place the requisite IT, administrative and other systems to comply </w:t>
      </w:r>
      <w:r w:rsidR="00A30CBE">
        <w:t>with their obligations.</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A30CBE" w14:paraId="3DE08094" w14:textId="77777777" w:rsidTr="00A30CBE">
        <w:tc>
          <w:tcPr>
            <w:tcW w:w="9286" w:type="dxa"/>
            <w:shd w:val="clear" w:color="auto" w:fill="DBE5F1" w:themeFill="accent1" w:themeFillTint="33"/>
          </w:tcPr>
          <w:p w14:paraId="1D443E4F" w14:textId="297A24C5" w:rsidR="00A30CBE" w:rsidRPr="00BA21E7" w:rsidRDefault="00194789" w:rsidP="00A30CBE">
            <w:pPr>
              <w:pStyle w:val="BoxHeadingnonumber"/>
            </w:pPr>
            <w:r>
              <w:t>Question</w:t>
            </w:r>
          </w:p>
          <w:p w14:paraId="19752386" w14:textId="4F219D4B" w:rsidR="00A30CBE" w:rsidRDefault="00A30CBE" w:rsidP="00A30CBE">
            <w:pPr>
              <w:pStyle w:val="BoxQuestions"/>
            </w:pPr>
            <w:r w:rsidRPr="00BA21E7">
              <w:t>How long should existing companies have from when the legislation commences to report on their beneficial owners? What would be an appropriate transition period?</w:t>
            </w:r>
          </w:p>
        </w:tc>
      </w:tr>
    </w:tbl>
    <w:p w14:paraId="65288AB8" w14:textId="0EA0BC5A" w:rsidR="006D6530" w:rsidRPr="006F21A9" w:rsidRDefault="00D61044">
      <w:pPr>
        <w:pStyle w:val="Heading3"/>
      </w:pPr>
      <w:bookmarkStart w:id="72" w:name="_Toc466542606"/>
      <w:r w:rsidRPr="006F21A9">
        <w:t xml:space="preserve">Impact on affected </w:t>
      </w:r>
      <w:r w:rsidR="006F21A9">
        <w:t>companies</w:t>
      </w:r>
      <w:r w:rsidRPr="006F21A9">
        <w:t xml:space="preserve"> and stakeholders</w:t>
      </w:r>
      <w:bookmarkEnd w:id="72"/>
    </w:p>
    <w:p w14:paraId="670F46CC" w14:textId="41A13D26" w:rsidR="00886112" w:rsidRDefault="00886112" w:rsidP="007525B3">
      <w:r w:rsidRPr="004734CE">
        <w:t>The Government understands that increasing the record-keeping and reporting requirements of companies</w:t>
      </w:r>
      <w:r w:rsidR="000C13C8">
        <w:t xml:space="preserve"> will increase the compliance costs which companies face, detracting from their</w:t>
      </w:r>
      <w:r w:rsidR="003148DF">
        <w:t xml:space="preserve"> ability to run their business.</w:t>
      </w:r>
    </w:p>
    <w:p w14:paraId="0F8E4E75" w14:textId="286FC15A" w:rsidR="00564987" w:rsidRDefault="00564987" w:rsidP="007525B3">
      <w:r>
        <w:t>The Government also acknowledges the compliance costs which are already incurred by many of these stakeholders</w:t>
      </w:r>
      <w:r w:rsidR="009A2AF1">
        <w:t xml:space="preserve"> in relation to reporting beneficial ownership information</w:t>
      </w:r>
      <w:r>
        <w:t xml:space="preserve"> under AML/CTF</w:t>
      </w:r>
      <w:r w:rsidR="003148DF">
        <w:t xml:space="preserve"> obligations.</w:t>
      </w:r>
    </w:p>
    <w:p w14:paraId="776C7D6F" w14:textId="0C712895" w:rsidR="00B54CDD" w:rsidRDefault="00B54CDD" w:rsidP="007525B3">
      <w:r>
        <w:t>The Government seeks your views on the foreseeable impacts that increasing transparency will have for businesses and practical impediments to collecting and reporting the information.</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A30CBE" w14:paraId="126728C1" w14:textId="77777777" w:rsidTr="00A30CBE">
        <w:tc>
          <w:tcPr>
            <w:tcW w:w="9286" w:type="dxa"/>
            <w:shd w:val="clear" w:color="auto" w:fill="DBE5F1" w:themeFill="accent1" w:themeFillTint="33"/>
          </w:tcPr>
          <w:p w14:paraId="4EB2CD40" w14:textId="77777777" w:rsidR="00A30CBE" w:rsidRPr="008C633F" w:rsidRDefault="00A30CBE" w:rsidP="00A30CBE">
            <w:pPr>
              <w:pStyle w:val="BoxHeadingnonumber"/>
            </w:pPr>
            <w:r w:rsidRPr="008C633F">
              <w:t>Questions</w:t>
            </w:r>
          </w:p>
          <w:p w14:paraId="3C78E42C" w14:textId="77777777" w:rsidR="00A30CBE" w:rsidRDefault="00A30CBE" w:rsidP="00A30CBE">
            <w:pPr>
              <w:pStyle w:val="BoxQuestions"/>
            </w:pPr>
            <w:r w:rsidRPr="008C633F">
              <w:t xml:space="preserve">Do you foresee any practical </w:t>
            </w:r>
            <w:r>
              <w:t xml:space="preserve">implementation </w:t>
            </w:r>
            <w:r w:rsidRPr="008C633F">
              <w:t>issues</w:t>
            </w:r>
            <w:r>
              <w:t xml:space="preserve"> which companies or beneficial owners may face in</w:t>
            </w:r>
            <w:r w:rsidRPr="008C633F">
              <w:t xml:space="preserve"> </w:t>
            </w:r>
            <w:r>
              <w:t xml:space="preserve">collecting and reporting additional </w:t>
            </w:r>
            <w:r w:rsidRPr="008C633F">
              <w:t>information?</w:t>
            </w:r>
          </w:p>
          <w:p w14:paraId="04D6303F" w14:textId="067F8990" w:rsidR="00A30CBE" w:rsidRDefault="00A30CBE" w:rsidP="00A30CBE">
            <w:pPr>
              <w:pStyle w:val="BoxQuestions"/>
            </w:pPr>
            <w:r>
              <w:t>What types of compliance costs would your business incur in meeting any new requirements for record-keeping and reporting of be</w:t>
            </w:r>
            <w:r w:rsidR="00DB7F53">
              <w:t>neficial ownership information?</w:t>
            </w:r>
          </w:p>
          <w:p w14:paraId="2805A692" w14:textId="6385B446" w:rsidR="00A30CBE" w:rsidRDefault="00A30CBE" w:rsidP="00A30CBE">
            <w:pPr>
              <w:pStyle w:val="BoxQuestions"/>
            </w:pPr>
            <w:r>
              <w:t xml:space="preserve">If you are already required to comply with AML/CTF obligations, how do you see any new </w:t>
            </w:r>
            <w:r w:rsidR="008D2303">
              <w:t>requirements to collect beneficial ownership</w:t>
            </w:r>
            <w:r>
              <w:t xml:space="preserve"> interacting with those existing obligations?</w:t>
            </w:r>
          </w:p>
          <w:p w14:paraId="7BD40607" w14:textId="62D0E8FD" w:rsidR="00A30CBE" w:rsidRDefault="00A30CBE" w:rsidP="00A30CBE">
            <w:pPr>
              <w:pStyle w:val="BoxQuestions"/>
            </w:pPr>
            <w:r>
              <w:t xml:space="preserve">If companies had access to the additional beneficial ownership information collected, could this reduce companies’ compliance </w:t>
            </w:r>
            <w:r w:rsidR="00B474A6">
              <w:t>costs</w:t>
            </w:r>
            <w:r>
              <w:t xml:space="preserve"> by making it easier for them to comply with other existing reporting obligations such as those under the AML/CTF legal framework?</w:t>
            </w:r>
          </w:p>
          <w:p w14:paraId="017220F6" w14:textId="038712A6" w:rsidR="00A30CBE" w:rsidRDefault="008D2303" w:rsidP="007525B3">
            <w:pPr>
              <w:pStyle w:val="BoxQuestions"/>
            </w:pPr>
            <w:r>
              <w:t>Could any changes</w:t>
            </w:r>
            <w:r w:rsidR="00A30CBE">
              <w:t xml:space="preserve"> be made to streamline or merge existing reporting requirements in order to reduce the compliance </w:t>
            </w:r>
            <w:r w:rsidR="00B474A6">
              <w:t>costs</w:t>
            </w:r>
            <w:r w:rsidR="00A30CBE">
              <w:t xml:space="preserve"> for businesses?</w:t>
            </w:r>
          </w:p>
        </w:tc>
      </w:tr>
    </w:tbl>
    <w:p w14:paraId="0274AFAF" w14:textId="77777777" w:rsidR="00E9383B" w:rsidRDefault="00E9383B" w:rsidP="00A30CBE"/>
    <w:p w14:paraId="219ECCAB" w14:textId="77777777" w:rsidR="00212A4E" w:rsidRDefault="00212A4E" w:rsidP="00A30CBE"/>
    <w:p w14:paraId="648E48B4" w14:textId="77777777" w:rsidR="00E9383B" w:rsidRDefault="00E9383B" w:rsidP="00A30CBE">
      <w:pPr>
        <w:sectPr w:rsidR="00E9383B" w:rsidSect="00E9383B">
          <w:pgSz w:w="11906" w:h="16838" w:code="9"/>
          <w:pgMar w:top="1418" w:right="1418" w:bottom="1418" w:left="1418" w:header="709" w:footer="510" w:gutter="0"/>
          <w:cols w:space="708"/>
          <w:titlePg/>
          <w:docGrid w:linePitch="360"/>
        </w:sectPr>
      </w:pPr>
    </w:p>
    <w:p w14:paraId="5D6E1A45" w14:textId="3A588C87" w:rsidR="003F4A6D" w:rsidRPr="00CE25B6" w:rsidRDefault="006D6530" w:rsidP="00CE25B6">
      <w:pPr>
        <w:pStyle w:val="Heading1-Numbered"/>
      </w:pPr>
      <w:bookmarkStart w:id="73" w:name="_Toc466542607"/>
      <w:bookmarkStart w:id="74" w:name="_Toc474414915"/>
      <w:bookmarkStart w:id="75" w:name="_Toc463518756"/>
      <w:bookmarkStart w:id="76" w:name="_Toc464207042"/>
      <w:r w:rsidRPr="00CE25B6">
        <w:lastRenderedPageBreak/>
        <w:t>Other beneficial ownership transparency issues</w:t>
      </w:r>
      <w:bookmarkEnd w:id="73"/>
      <w:bookmarkEnd w:id="74"/>
    </w:p>
    <w:p w14:paraId="646712BA" w14:textId="127FCD9F" w:rsidR="00161419" w:rsidRPr="005B451A" w:rsidRDefault="003D68DC" w:rsidP="0045753C">
      <w:pPr>
        <w:pStyle w:val="Heading2"/>
      </w:pPr>
      <w:bookmarkStart w:id="77" w:name="_Toc466542608"/>
      <w:bookmarkStart w:id="78" w:name="_Toc474414916"/>
      <w:r>
        <w:t>Identifying</w:t>
      </w:r>
      <w:r w:rsidR="00183612">
        <w:t xml:space="preserve"> those who can control </w:t>
      </w:r>
      <w:r w:rsidR="00161419" w:rsidRPr="005B451A">
        <w:t>listed companies</w:t>
      </w:r>
      <w:bookmarkEnd w:id="77"/>
      <w:bookmarkEnd w:id="78"/>
    </w:p>
    <w:p w14:paraId="0C98B12F" w14:textId="7FAF0536" w:rsidR="00A95FA1" w:rsidRDefault="00A95FA1" w:rsidP="007525B3">
      <w:r>
        <w:t>If we propose exempting listed companies on the basis of their existing disclosure obligations, we need to be confident</w:t>
      </w:r>
      <w:r w:rsidR="00AE495E">
        <w:t xml:space="preserve"> </w:t>
      </w:r>
      <w:r w:rsidR="00330845">
        <w:t>that this</w:t>
      </w:r>
      <w:r w:rsidR="00AE495E">
        <w:t xml:space="preserve"> current disclosure</w:t>
      </w:r>
      <w:r>
        <w:t xml:space="preserve"> provides sufficient information to achieve the aim of providing</w:t>
      </w:r>
      <w:r w:rsidR="00043996">
        <w:t xml:space="preserve"> relevant</w:t>
      </w:r>
      <w:r w:rsidR="00FC6213">
        <w:t xml:space="preserve"> authorities with</w:t>
      </w:r>
      <w:r>
        <w:t xml:space="preserve"> timely access to adequate and accurate information </w:t>
      </w:r>
      <w:r w:rsidR="00655D83">
        <w:t>about those</w:t>
      </w:r>
      <w:r w:rsidR="006E442C">
        <w:t xml:space="preserve"> persons</w:t>
      </w:r>
      <w:r w:rsidR="00655D83">
        <w:t xml:space="preserve"> who control these companies</w:t>
      </w:r>
      <w:r>
        <w:t>.</w:t>
      </w:r>
    </w:p>
    <w:p w14:paraId="78C18C87" w14:textId="53EFFCD0" w:rsidR="00A760D7" w:rsidRDefault="00A760D7" w:rsidP="007525B3">
      <w:r>
        <w:t xml:space="preserve">The ‘substantial holding’ provisions require disclosure of persons or their associates who </w:t>
      </w:r>
      <w:r w:rsidR="009D3405">
        <w:t xml:space="preserve">hold </w:t>
      </w:r>
      <w:r>
        <w:t xml:space="preserve">a relevant interest in 5% or more of the total number of votes attached to voting shares in the company. </w:t>
      </w:r>
      <w:r w:rsidR="009D3405">
        <w:t>An association can be inferred by the existence of a shared goal or purpose</w:t>
      </w:r>
      <w:r w:rsidR="00791F7B">
        <w:t>. It i</w:t>
      </w:r>
      <w:r w:rsidR="009D3405">
        <w:t>ncludes</w:t>
      </w:r>
      <w:r>
        <w:t xml:space="preserve"> those persons who </w:t>
      </w:r>
      <w:r w:rsidR="000C5684">
        <w:t>enter into agreements</w:t>
      </w:r>
      <w:r w:rsidR="00E13801">
        <w:t xml:space="preserve">, </w:t>
      </w:r>
      <w:r w:rsidR="00FD2247">
        <w:t xml:space="preserve">arrangements or understandings, </w:t>
      </w:r>
      <w:r w:rsidR="00E13801">
        <w:t>or act together in a way,</w:t>
      </w:r>
      <w:r w:rsidR="00791F7B">
        <w:t xml:space="preserve"> which</w:t>
      </w:r>
      <w:r w:rsidR="00FD2247">
        <w:t xml:space="preserve"> may result in them</w:t>
      </w:r>
      <w:r w:rsidR="000C5684">
        <w:t xml:space="preserve"> controlling or influencing the</w:t>
      </w:r>
      <w:r w:rsidR="00FD2247">
        <w:t xml:space="preserve"> affairs</w:t>
      </w:r>
      <w:r w:rsidR="000C5684">
        <w:t xml:space="preserve"> of a company. In this situation </w:t>
      </w:r>
      <w:r>
        <w:t>those persons should be grouped together in determining interests which are aligned and which shares should be treated as forming a single block.</w:t>
      </w:r>
    </w:p>
    <w:p w14:paraId="61CFF54E" w14:textId="13089036" w:rsidR="007E0683" w:rsidRDefault="007E0683" w:rsidP="007525B3">
      <w:r>
        <w:t xml:space="preserve">There are </w:t>
      </w:r>
      <w:r w:rsidR="00B54CDD">
        <w:t>aspects</w:t>
      </w:r>
      <w:r>
        <w:t xml:space="preserve"> of the current </w:t>
      </w:r>
      <w:r w:rsidR="00ED0FB5">
        <w:t xml:space="preserve">Corporations Act </w:t>
      </w:r>
      <w:r w:rsidR="00D712CB">
        <w:t xml:space="preserve">tracing </w:t>
      </w:r>
      <w:r>
        <w:t xml:space="preserve">provisions which impact the accuracy and currency of the beneficial ownership </w:t>
      </w:r>
      <w:r w:rsidR="00DB7F53">
        <w:t>information which they produce.</w:t>
      </w:r>
    </w:p>
    <w:p w14:paraId="0202AC5F" w14:textId="244B0655" w:rsidR="007E0683" w:rsidRDefault="007E0683" w:rsidP="007525B3">
      <w:r>
        <w:t>T</w:t>
      </w:r>
      <w:r w:rsidRPr="00F40CE1">
        <w:t>he recipient</w:t>
      </w:r>
      <w:r>
        <w:t xml:space="preserve"> of a tracing notice only has to disclose the required</w:t>
      </w:r>
      <w:r w:rsidRPr="00F40CE1">
        <w:t xml:space="preserve"> information to the extent it is </w:t>
      </w:r>
      <w:r w:rsidRPr="00F40CE1">
        <w:rPr>
          <w:i/>
        </w:rPr>
        <w:t>known to them</w:t>
      </w:r>
      <w:r w:rsidRPr="00F40CE1">
        <w:t>.</w:t>
      </w:r>
      <w:r>
        <w:t xml:space="preserve"> There is currently no obligation which mandates</w:t>
      </w:r>
      <w:r w:rsidRPr="00F40CE1">
        <w:t xml:space="preserve"> that</w:t>
      </w:r>
      <w:r>
        <w:t xml:space="preserve"> they make</w:t>
      </w:r>
      <w:r w:rsidRPr="00F40CE1">
        <w:t xml:space="preserve"> reasonable inquiries</w:t>
      </w:r>
      <w:r>
        <w:t xml:space="preserve"> to ascertain the information. This means that</w:t>
      </w:r>
      <w:r w:rsidRPr="00F602C5">
        <w:t xml:space="preserve"> a notice may produce the name of only the n</w:t>
      </w:r>
      <w:r>
        <w:t>ext person in the chain, and</w:t>
      </w:r>
      <w:r w:rsidRPr="00F602C5">
        <w:t xml:space="preserve"> the issue of one or </w:t>
      </w:r>
      <w:r>
        <w:t xml:space="preserve">more </w:t>
      </w:r>
      <w:r w:rsidRPr="00F602C5">
        <w:t>further notices</w:t>
      </w:r>
      <w:r>
        <w:t xml:space="preserve"> will then be required. </w:t>
      </w:r>
      <w:r w:rsidRPr="00F602C5">
        <w:t xml:space="preserve">The person or persons who </w:t>
      </w:r>
      <w:r>
        <w:t xml:space="preserve">ultimately </w:t>
      </w:r>
      <w:r w:rsidRPr="00F602C5">
        <w:t>control the vote</w:t>
      </w:r>
      <w:r>
        <w:t>s attached to the shares</w:t>
      </w:r>
      <w:r w:rsidRPr="00F602C5">
        <w:t xml:space="preserve"> can therefore adopt a strategy of avoiding or delaying disclosure through a chai</w:t>
      </w:r>
      <w:r w:rsidR="00DB7F53">
        <w:t>n of nominee or other entities.</w:t>
      </w:r>
    </w:p>
    <w:tbl>
      <w:tblPr>
        <w:tblpPr w:leftFromText="180" w:rightFromText="180" w:vertAnchor="text" w:horzAnchor="margin" w:tblpY="1691"/>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4D11B7" w14:paraId="1A78A01F" w14:textId="77777777" w:rsidTr="004D11B7">
        <w:tc>
          <w:tcPr>
            <w:tcW w:w="9286" w:type="dxa"/>
            <w:shd w:val="clear" w:color="auto" w:fill="DBE5F1" w:themeFill="accent1" w:themeFillTint="33"/>
          </w:tcPr>
          <w:p w14:paraId="04E351C3" w14:textId="77777777" w:rsidR="004D11B7" w:rsidRDefault="004D11B7" w:rsidP="004D11B7">
            <w:pPr>
              <w:pStyle w:val="BoxHeadingnonumber"/>
            </w:pPr>
            <w:r>
              <w:t>Questions</w:t>
            </w:r>
          </w:p>
          <w:p w14:paraId="1FC44CBB" w14:textId="77777777" w:rsidR="004D11B7" w:rsidRDefault="004D11B7" w:rsidP="004D11B7">
            <w:pPr>
              <w:pStyle w:val="BoxQuestions"/>
            </w:pPr>
            <w:r>
              <w:t>Are the current substantial holding disclosure provisions sufficient to identify associates which may have the ability to influence or control the affairs of a company? What changes could be made to improve their operation?</w:t>
            </w:r>
          </w:p>
          <w:p w14:paraId="48C05FD3" w14:textId="77777777" w:rsidR="004D11B7" w:rsidRDefault="004D11B7" w:rsidP="004D11B7">
            <w:pPr>
              <w:pStyle w:val="BoxQuestions"/>
            </w:pPr>
            <w:r>
              <w:t>Are the current tracing notice obligations sufficient to achieve the aim of providing timely access to adequate and accurate information to relevant authorities about those who control these companies?</w:t>
            </w:r>
          </w:p>
          <w:p w14:paraId="1728FCD8" w14:textId="77777777" w:rsidR="004D11B7" w:rsidRDefault="004D11B7" w:rsidP="004D11B7">
            <w:pPr>
              <w:pStyle w:val="BoxQuestions"/>
            </w:pPr>
            <w:r>
              <w:t>In your experience, are there issues or obstacles (specific to obtaining ownership information) which currently arise when using tracing notices? If so, what are those issues or obstacles?</w:t>
            </w:r>
          </w:p>
        </w:tc>
      </w:tr>
    </w:tbl>
    <w:p w14:paraId="3B9B75BB" w14:textId="6097125F" w:rsidR="007E0683" w:rsidRDefault="007E0683" w:rsidP="007525B3">
      <w:r w:rsidRPr="00F84BC2">
        <w:t xml:space="preserve">The information which is provided in response to tracing notices will be current at the time it is provided, but there is no requirement for that information to be updated on the company’s register if there is subsequently a change. </w:t>
      </w:r>
      <w:r w:rsidR="00F466BE" w:rsidRPr="00F466BE">
        <w:t>There is also no requirement to disclose information as at a time prior to the response being given, meaning that historical information cannot be ascertained through the use of a tracing notice.</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116F33" w14:paraId="7726E0E2" w14:textId="77777777" w:rsidTr="00116F33">
        <w:tc>
          <w:tcPr>
            <w:tcW w:w="9286" w:type="dxa"/>
            <w:shd w:val="clear" w:color="auto" w:fill="DBE5F1" w:themeFill="accent1" w:themeFillTint="33"/>
          </w:tcPr>
          <w:p w14:paraId="5D1FF57F" w14:textId="73157A54" w:rsidR="00116F33" w:rsidRDefault="00116F33" w:rsidP="00116F33">
            <w:pPr>
              <w:pStyle w:val="BoxHeadingnonumber"/>
            </w:pPr>
            <w:r>
              <w:rPr>
                <w:b w:val="0"/>
                <w:bCs/>
              </w:rPr>
              <w:lastRenderedPageBreak/>
              <w:br w:type="page"/>
            </w:r>
            <w:r>
              <w:t xml:space="preserve">Questions </w:t>
            </w:r>
            <w:r>
              <w:rPr>
                <w:caps w:val="0"/>
              </w:rPr>
              <w:t>(continued)</w:t>
            </w:r>
          </w:p>
          <w:p w14:paraId="5D73B605" w14:textId="7EF586EF" w:rsidR="00116F33" w:rsidRDefault="00116F33" w:rsidP="00116F33">
            <w:pPr>
              <w:pStyle w:val="BoxQuestions"/>
            </w:pPr>
            <w:r>
              <w:t>I</w:t>
            </w:r>
            <w:r w:rsidRPr="005545BA">
              <w:t>n order to improve and incentivise compliance with the tracing notice regime should ASIC have the ability to make an order imposing restrictions on shares the subject of a notice</w:t>
            </w:r>
            <w:r w:rsidR="00DB7F53">
              <w:t xml:space="preserve"> </w:t>
            </w:r>
            <w:r w:rsidRPr="005545BA">
              <w:t>until the</w:t>
            </w:r>
            <w:r w:rsidR="00DB7F53">
              <w:t xml:space="preserve"> notice has been complied with?</w:t>
            </w:r>
          </w:p>
          <w:p w14:paraId="3B383A71" w14:textId="005BCEB3" w:rsidR="00116F33" w:rsidRDefault="00116F33" w:rsidP="00116F33">
            <w:pPr>
              <w:pStyle w:val="BoxQuestions"/>
            </w:pPr>
            <w:r>
              <w:t>What other changes could be made to improve the operation of these provisions?</w:t>
            </w:r>
          </w:p>
        </w:tc>
      </w:tr>
    </w:tbl>
    <w:p w14:paraId="4B8DBCCB" w14:textId="77777777" w:rsidR="00116F33" w:rsidRPr="002B22C6" w:rsidRDefault="00116F33" w:rsidP="00116F33">
      <w:pPr>
        <w:pStyle w:val="SingleParagraph"/>
      </w:pPr>
    </w:p>
    <w:p w14:paraId="4ADDD283" w14:textId="46C1DBB7" w:rsidR="005B451A" w:rsidRDefault="008A4826" w:rsidP="0045753C">
      <w:pPr>
        <w:pStyle w:val="Heading2"/>
      </w:pPr>
      <w:bookmarkStart w:id="79" w:name="_Toc466542609"/>
      <w:bookmarkStart w:id="80" w:name="_Toc474414917"/>
      <w:bookmarkStart w:id="81" w:name="_Toc463518770"/>
      <w:bookmarkStart w:id="82" w:name="_Toc464207043"/>
      <w:bookmarkEnd w:id="75"/>
      <w:bookmarkEnd w:id="76"/>
      <w:r w:rsidRPr="005B451A">
        <w:t>Other aspects</w:t>
      </w:r>
      <w:r w:rsidR="005B451A">
        <w:t xml:space="preserve"> of implementing recommendation</w:t>
      </w:r>
      <w:r w:rsidR="007C191E">
        <w:t xml:space="preserve"> 24</w:t>
      </w:r>
      <w:bookmarkEnd w:id="79"/>
      <w:r w:rsidR="006F11D1">
        <w:t xml:space="preserve">: </w:t>
      </w:r>
      <w:r w:rsidR="006F11D1" w:rsidRPr="006F11D1">
        <w:t>Nominee Shareholders and Bearer Share Warrants</w:t>
      </w:r>
      <w:bookmarkEnd w:id="80"/>
    </w:p>
    <w:bookmarkEnd w:id="81"/>
    <w:bookmarkEnd w:id="82"/>
    <w:p w14:paraId="36D2C87D" w14:textId="2815435F" w:rsidR="00E1610C" w:rsidRPr="008A4826" w:rsidRDefault="00536ABE" w:rsidP="007525B3">
      <w:r>
        <w:t>Nominee shareholders and bearer shares (and share warrants) can be mechanisms through which company ownership is disguised</w:t>
      </w:r>
      <w:r w:rsidR="00A75A27">
        <w:t xml:space="preserve"> in order to further illicit purposes being pursued by a company</w:t>
      </w:r>
      <w:r>
        <w:t xml:space="preserve">. </w:t>
      </w:r>
      <w:r w:rsidR="00E1610C">
        <w:t>Both t</w:t>
      </w:r>
      <w:r w:rsidR="00E1610C" w:rsidRPr="008A4826">
        <w:t xml:space="preserve">he FATF </w:t>
      </w:r>
      <w:r w:rsidR="00E1610C">
        <w:t xml:space="preserve">guidance and the G20 Principles state that countries should implement measures in order to </w:t>
      </w:r>
      <w:r w:rsidR="00E1610C" w:rsidRPr="00165C43">
        <w:t>prevent the misuse of bearer shares and bearer share warrants</w:t>
      </w:r>
      <w:r w:rsidR="00E1610C">
        <w:t xml:space="preserve"> and</w:t>
      </w:r>
      <w:r w:rsidR="00E1610C" w:rsidRPr="00165C43">
        <w:t xml:space="preserve"> the misuse of nominee shares and nominee directors</w:t>
      </w:r>
      <w:r w:rsidR="00E1610C">
        <w:t>.</w:t>
      </w:r>
    </w:p>
    <w:p w14:paraId="534C7955" w14:textId="1466E4CC" w:rsidR="00165C43" w:rsidRDefault="00165C43" w:rsidP="007525B3">
      <w:r>
        <w:t xml:space="preserve">The current position in Australia regarding nominee shareholders is that </w:t>
      </w:r>
      <w:r w:rsidRPr="0042794E">
        <w:t>a shareholder may hold shares for the benefit of another person (including a legal person) either as trustee or nominee or otherwise on behalf of, or on account of, another person.</w:t>
      </w:r>
      <w:r>
        <w:t xml:space="preserve"> T</w:t>
      </w:r>
      <w:r w:rsidRPr="0042794E">
        <w:t>he shareholder of such shares must a</w:t>
      </w:r>
      <w:r>
        <w:t>dvise the company that they are</w:t>
      </w:r>
      <w:r w:rsidRPr="0042794E">
        <w:t xml:space="preserve"> holding those shares </w:t>
      </w:r>
      <w:r w:rsidR="002F0A4A">
        <w:t>‘</w:t>
      </w:r>
      <w:r w:rsidRPr="0042794E">
        <w:t>non-beneficially</w:t>
      </w:r>
      <w:r w:rsidR="002F0A4A">
        <w:t>’</w:t>
      </w:r>
      <w:r w:rsidRPr="0042794E">
        <w:t xml:space="preserve"> and the company must indicate in the share register that those shares are not held beneficially. Failure to comply with</w:t>
      </w:r>
      <w:r>
        <w:t xml:space="preserve"> this requirement is an offence</w:t>
      </w:r>
      <w:r w:rsidRPr="0042794E">
        <w:t xml:space="preserve">. </w:t>
      </w:r>
      <w:r>
        <w:t>For listed companies, tracing provisions also exist.</w:t>
      </w:r>
    </w:p>
    <w:p w14:paraId="6C971CA1" w14:textId="6F45E371" w:rsidR="009841F4" w:rsidRDefault="009841F4" w:rsidP="007525B3">
      <w:r>
        <w:t>Nominee shareholding arrangements are used in Austr</w:t>
      </w:r>
      <w:r w:rsidR="00237A00">
        <w:t>alia for a variety of</w:t>
      </w:r>
      <w:r>
        <w:t xml:space="preserve"> purposes, including:</w:t>
      </w:r>
    </w:p>
    <w:p w14:paraId="15945DE5" w14:textId="1B07AEF0" w:rsidR="009841F4" w:rsidRPr="007525B3" w:rsidRDefault="009841F4" w:rsidP="00212A4E">
      <w:pPr>
        <w:pStyle w:val="Bullet"/>
      </w:pPr>
      <w:r w:rsidRPr="007525B3">
        <w:t>Facilitating the investment by foreign persons in Australian companies;</w:t>
      </w:r>
    </w:p>
    <w:p w14:paraId="220AFFE5" w14:textId="5EED229F" w:rsidR="009841F4" w:rsidRPr="007525B3" w:rsidRDefault="009841F4" w:rsidP="00212A4E">
      <w:pPr>
        <w:pStyle w:val="Bullet"/>
      </w:pPr>
      <w:r w:rsidRPr="007525B3">
        <w:t>Facilitating the investment by Australian persons in foreign companies;</w:t>
      </w:r>
    </w:p>
    <w:p w14:paraId="3260D181" w14:textId="67282080" w:rsidR="009841F4" w:rsidRPr="007525B3" w:rsidRDefault="00D97AFA" w:rsidP="00212A4E">
      <w:pPr>
        <w:pStyle w:val="Bullet"/>
      </w:pPr>
      <w:r w:rsidRPr="007525B3">
        <w:t xml:space="preserve">Conducting the </w:t>
      </w:r>
      <w:r w:rsidR="00F05A66" w:rsidRPr="007525B3">
        <w:t xml:space="preserve">administration and management of </w:t>
      </w:r>
      <w:r w:rsidRPr="007525B3">
        <w:t>shareholdings</w:t>
      </w:r>
      <w:r w:rsidR="00F05A66" w:rsidRPr="007525B3">
        <w:t>, such as participation in corporate actions.</w:t>
      </w:r>
    </w:p>
    <w:p w14:paraId="3D6E0E7A" w14:textId="437739A2" w:rsidR="00165C43" w:rsidRDefault="00165C43" w:rsidP="007525B3">
      <w:r w:rsidRPr="00165C43">
        <w:t>Bearer shares are not permitted under Australian law but bearer share warrants may still be issued</w:t>
      </w:r>
      <w:r>
        <w:t xml:space="preserve"> (though it is understood that they are used infrequently)</w:t>
      </w:r>
      <w:r w:rsidRPr="00165C43">
        <w:t>.</w:t>
      </w:r>
      <w:r w:rsidR="00B7139F">
        <w:t xml:space="preserve"> A bearer share describes a type of share where the owner of tha</w:t>
      </w:r>
      <w:r w:rsidR="004D5889">
        <w:t xml:space="preserve">t share is whichever person </w:t>
      </w:r>
      <w:r w:rsidR="00B7139F">
        <w:t>is in possession of the bearer share certificate</w:t>
      </w:r>
      <w:r w:rsidR="00E80B26">
        <w:t>, which means</w:t>
      </w:r>
      <w:r w:rsidR="004D5889">
        <w:t xml:space="preserve"> that</w:t>
      </w:r>
      <w:r w:rsidR="00E80B26">
        <w:t xml:space="preserve"> there is a lack of transparency around ownership.</w:t>
      </w:r>
      <w:r w:rsidR="00765CF8">
        <w:t xml:space="preserve"> A share warrant is similar to an option and gives you the right to buy a share</w:t>
      </w:r>
      <w:r w:rsidR="003B0FE8">
        <w:t>(s)</w:t>
      </w:r>
      <w:r w:rsidR="00765CF8" w:rsidRPr="00765CF8">
        <w:t xml:space="preserve"> at a set </w:t>
      </w:r>
      <w:r w:rsidR="00765CF8">
        <w:t xml:space="preserve">price </w:t>
      </w:r>
      <w:r w:rsidR="00765CF8" w:rsidRPr="00765CF8">
        <w:t>on or before a date</w:t>
      </w:r>
      <w:r w:rsidR="00765CF8">
        <w:t xml:space="preserve"> in the future</w:t>
      </w:r>
      <w:r w:rsidR="00DB7F53">
        <w:t>.</w:t>
      </w:r>
    </w:p>
    <w:p w14:paraId="6589B085" w14:textId="2EF2A79F" w:rsidR="005B39B9" w:rsidRDefault="00A03011" w:rsidP="007525B3">
      <w:r>
        <w:t>I</w:t>
      </w:r>
      <w:r w:rsidR="00583510">
        <w:t>n its 2015 M</w:t>
      </w:r>
      <w:r w:rsidR="00B33FB4">
        <w:t xml:space="preserve">utual </w:t>
      </w:r>
      <w:r w:rsidR="00583510">
        <w:t>E</w:t>
      </w:r>
      <w:r w:rsidR="00B33FB4">
        <w:t xml:space="preserve">valuation </w:t>
      </w:r>
      <w:r w:rsidR="00583510">
        <w:t>R</w:t>
      </w:r>
      <w:r w:rsidR="00B33FB4">
        <w:t>eport</w:t>
      </w:r>
      <w:r w:rsidR="00583510">
        <w:t xml:space="preserve"> of Austra</w:t>
      </w:r>
      <w:r>
        <w:t>lia, the FA</w:t>
      </w:r>
      <w:r w:rsidR="00991862">
        <w:t>TF</w:t>
      </w:r>
      <w:r>
        <w:t xml:space="preserve"> raised the follow</w:t>
      </w:r>
      <w:r w:rsidR="0010645D">
        <w:t>ing two</w:t>
      </w:r>
      <w:r w:rsidR="007525B3">
        <w:t> </w:t>
      </w:r>
      <w:r w:rsidR="0010645D">
        <w:t>concerns</w:t>
      </w:r>
      <w:r w:rsidR="009F10EF">
        <w:t>:</w:t>
      </w:r>
    </w:p>
    <w:p w14:paraId="756860F9" w14:textId="5033D33B" w:rsidR="00583510" w:rsidRDefault="00B33FB4" w:rsidP="00212A4E">
      <w:pPr>
        <w:pStyle w:val="AlphaParagraph"/>
        <w:numPr>
          <w:ilvl w:val="0"/>
          <w:numId w:val="41"/>
        </w:numPr>
      </w:pPr>
      <w:r w:rsidRPr="008B788D">
        <w:t>T</w:t>
      </w:r>
      <w:r w:rsidR="00583510" w:rsidRPr="008B788D">
        <w:t>here is no requirement for automatic disclosure by nominee shareholders of the beneficial owners on whose be</w:t>
      </w:r>
      <w:r w:rsidR="00E72C18">
        <w:t>half they hold those shares; and</w:t>
      </w:r>
    </w:p>
    <w:p w14:paraId="7483C985" w14:textId="263248F0" w:rsidR="00116F33" w:rsidRPr="00116F33" w:rsidRDefault="00CB677E" w:rsidP="00116F33">
      <w:pPr>
        <w:pStyle w:val="AlphaParagraph"/>
      </w:pPr>
      <w:r w:rsidRPr="008B788D">
        <w:t>B</w:t>
      </w:r>
      <w:r w:rsidR="003C7AA5" w:rsidRPr="008B788D">
        <w:t>earer</w:t>
      </w:r>
      <w:r w:rsidR="00583510" w:rsidRPr="008B788D">
        <w:t xml:space="preserve"> sha</w:t>
      </w:r>
      <w:r w:rsidR="008B788D">
        <w:t>r</w:t>
      </w:r>
      <w:r w:rsidR="00116F33">
        <w:t>e warrants may still be issued.</w:t>
      </w:r>
    </w:p>
    <w:tbl>
      <w:tblPr>
        <w:tblW w:w="0" w:type="auto"/>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shd w:val="clear" w:color="auto" w:fill="DBE5F1" w:themeFill="accent1" w:themeFillTint="33"/>
        <w:tblLook w:val="04A0" w:firstRow="1" w:lastRow="0" w:firstColumn="1" w:lastColumn="0" w:noHBand="0" w:noVBand="1"/>
      </w:tblPr>
      <w:tblGrid>
        <w:gridCol w:w="9286"/>
      </w:tblGrid>
      <w:tr w:rsidR="00116F33" w14:paraId="6D8F153F" w14:textId="77777777" w:rsidTr="00116F33">
        <w:tc>
          <w:tcPr>
            <w:tcW w:w="9286" w:type="dxa"/>
            <w:shd w:val="clear" w:color="auto" w:fill="DBE5F1" w:themeFill="accent1" w:themeFillTint="33"/>
          </w:tcPr>
          <w:p w14:paraId="7777EA24" w14:textId="77777777" w:rsidR="00116F33" w:rsidRDefault="00116F33" w:rsidP="00116F33">
            <w:pPr>
              <w:pStyle w:val="BoxHeadingnonumber"/>
            </w:pPr>
            <w:r w:rsidRPr="001D52E9">
              <w:lastRenderedPageBreak/>
              <w:t>Questions</w:t>
            </w:r>
          </w:p>
          <w:p w14:paraId="4E5E66AE" w14:textId="77777777" w:rsidR="00116F33" w:rsidRDefault="00116F33" w:rsidP="00116F33">
            <w:pPr>
              <w:pStyle w:val="BoxQuestions"/>
            </w:pPr>
            <w:r>
              <w:t>Who uses nominee shareholding arrangements, and for what purpose?</w:t>
            </w:r>
          </w:p>
          <w:p w14:paraId="169607F1" w14:textId="77777777" w:rsidR="00116F33" w:rsidRDefault="00116F33" w:rsidP="00116F33">
            <w:pPr>
              <w:pStyle w:val="BoxQuestions"/>
            </w:pPr>
            <w:r>
              <w:t xml:space="preserve">How often are </w:t>
            </w:r>
            <w:r w:rsidRPr="00FF4792">
              <w:t xml:space="preserve">nominee shareholding arrangements </w:t>
            </w:r>
            <w:r>
              <w:t>used?</w:t>
            </w:r>
          </w:p>
          <w:p w14:paraId="14BB5D27" w14:textId="0377AA35" w:rsidR="00116F33" w:rsidRDefault="00116F33" w:rsidP="00116F33">
            <w:pPr>
              <w:pStyle w:val="BoxQuestions"/>
            </w:pPr>
            <w:r>
              <w:t>What do you see as the benefits of</w:t>
            </w:r>
            <w:r w:rsidRPr="00FF4792">
              <w:t xml:space="preserve"> nominee shareholding arrangements</w:t>
            </w:r>
            <w:r>
              <w:t>? Are there any</w:t>
            </w:r>
            <w:r w:rsidR="00DB7F53">
              <w:t xml:space="preserve"> negative aspects of their use?</w:t>
            </w:r>
          </w:p>
          <w:p w14:paraId="72F16846" w14:textId="77777777" w:rsidR="00116F33" w:rsidRDefault="00116F33" w:rsidP="00116F33">
            <w:pPr>
              <w:pStyle w:val="BoxQuestions"/>
            </w:pPr>
            <w:r>
              <w:t xml:space="preserve">Should further obligations be introduced in order </w:t>
            </w:r>
            <w:r w:rsidRPr="0014704E">
              <w:t>to increase the transparency of the beneficial owners of shares held by nominee shareholders?</w:t>
            </w:r>
          </w:p>
          <w:p w14:paraId="323A2DBB" w14:textId="77777777" w:rsidR="00116F33" w:rsidRDefault="00116F33" w:rsidP="00116F33">
            <w:pPr>
              <w:pStyle w:val="BoxQuestions"/>
            </w:pPr>
            <w:r>
              <w:t>Are you aware of practical obstacles which would make increased reporting in respect of shares held by nominee shareholders problematic?</w:t>
            </w:r>
          </w:p>
          <w:p w14:paraId="7CF932C6" w14:textId="77777777" w:rsidR="00116F33" w:rsidRDefault="00116F33" w:rsidP="00116F33">
            <w:pPr>
              <w:pStyle w:val="BoxQuestions"/>
            </w:pPr>
            <w:r>
              <w:t>Who uses bearers share warrants, and for what purpose?</w:t>
            </w:r>
          </w:p>
          <w:p w14:paraId="7F1DDFF2" w14:textId="77777777" w:rsidR="00116F33" w:rsidRDefault="00116F33" w:rsidP="00116F33">
            <w:pPr>
              <w:pStyle w:val="BoxQuestions"/>
            </w:pPr>
            <w:r>
              <w:t>How often are bearer share warrants used?</w:t>
            </w:r>
          </w:p>
          <w:p w14:paraId="38253715" w14:textId="13823CE5" w:rsidR="00116F33" w:rsidRDefault="00116F33" w:rsidP="00116F33">
            <w:pPr>
              <w:pStyle w:val="BoxQuestions"/>
            </w:pPr>
            <w:r>
              <w:t>What do you see as the benefits of bearer share warrants? Are there any</w:t>
            </w:r>
            <w:r w:rsidR="00DB7F53">
              <w:t xml:space="preserve"> negative aspects of their use?</w:t>
            </w:r>
          </w:p>
          <w:p w14:paraId="59034586" w14:textId="62668895" w:rsidR="00116F33" w:rsidRDefault="00116F33" w:rsidP="00116F33">
            <w:pPr>
              <w:pStyle w:val="BoxQuestions"/>
            </w:pPr>
            <w:r>
              <w:t>Should a ban be introduced on bearer share warrants?</w:t>
            </w:r>
          </w:p>
        </w:tc>
      </w:tr>
    </w:tbl>
    <w:p w14:paraId="505E612A" w14:textId="7992D727" w:rsidR="00BE5E61" w:rsidRPr="00DB7F53" w:rsidRDefault="00BE5E61" w:rsidP="00DB7F53"/>
    <w:p w14:paraId="767CB504" w14:textId="77777777" w:rsidR="00DB7F53" w:rsidRPr="00DB7F53" w:rsidRDefault="00DB7F53" w:rsidP="00DB7F53"/>
    <w:sectPr w:rsidR="00DB7F53" w:rsidRPr="00DB7F53" w:rsidSect="00E9383B">
      <w:footerReference w:type="first" r:id="rId30"/>
      <w:pgSz w:w="11906" w:h="16838" w:code="9"/>
      <w:pgMar w:top="1418" w:right="1418" w:bottom="1418" w:left="1418"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F3610" w14:textId="77777777" w:rsidR="003148DF" w:rsidRDefault="003148DF">
      <w:pPr>
        <w:spacing w:after="0" w:line="240" w:lineRule="auto"/>
      </w:pPr>
      <w:r>
        <w:separator/>
      </w:r>
    </w:p>
  </w:endnote>
  <w:endnote w:type="continuationSeparator" w:id="0">
    <w:p w14:paraId="3BED50FD" w14:textId="77777777" w:rsidR="003148DF" w:rsidRDefault="003148DF">
      <w:pPr>
        <w:spacing w:after="0" w:line="240" w:lineRule="auto"/>
      </w:pPr>
      <w:r>
        <w:continuationSeparator/>
      </w:r>
    </w:p>
  </w:endnote>
  <w:endnote w:type="continuationNotice" w:id="1">
    <w:p w14:paraId="76DC1F53" w14:textId="77777777" w:rsidR="003148DF" w:rsidRDefault="003148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Bold">
    <w:panose1 w:val="00000000000000000000"/>
    <w:charset w:val="00"/>
    <w:family w:val="swiss"/>
    <w:notTrueType/>
    <w:pitch w:val="default"/>
    <w:sig w:usb0="00000003" w:usb1="00000000" w:usb2="00000000" w:usb3="00000000" w:csb0="00000001" w:csb1="00000000"/>
  </w:font>
  <w:font w:name="Cambria,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DF47" w14:textId="77777777" w:rsidR="003148DF" w:rsidRPr="00CE25B6" w:rsidRDefault="003148DF">
    <w:pPr>
      <w:pStyle w:val="FooterEven"/>
      <w:rPr>
        <w:rStyle w:val="PageNumber"/>
        <w:rFonts w:ascii="Century Gothic" w:hAnsi="Century Gothic"/>
      </w:rPr>
    </w:pPr>
    <w:r w:rsidRPr="00CE25B6">
      <w:t xml:space="preserve">Page </w:t>
    </w:r>
    <w:r w:rsidRPr="00CE25B6">
      <w:rPr>
        <w:rStyle w:val="PageNumber"/>
        <w:rFonts w:ascii="Century Gothic" w:hAnsi="Century Gothic"/>
      </w:rPr>
      <w:fldChar w:fldCharType="begin"/>
    </w:r>
    <w:r w:rsidRPr="00CE25B6">
      <w:rPr>
        <w:rStyle w:val="PageNumber"/>
        <w:rFonts w:ascii="Century Gothic" w:hAnsi="Century Gothic"/>
      </w:rPr>
      <w:instrText xml:space="preserve"> PAGE </w:instrText>
    </w:r>
    <w:r w:rsidRPr="00CE25B6">
      <w:rPr>
        <w:rStyle w:val="PageNumber"/>
        <w:rFonts w:ascii="Century Gothic" w:hAnsi="Century Gothic"/>
      </w:rPr>
      <w:fldChar w:fldCharType="separate"/>
    </w:r>
    <w:r w:rsidR="0009357A">
      <w:rPr>
        <w:rStyle w:val="PageNumber"/>
        <w:rFonts w:ascii="Century Gothic" w:hAnsi="Century Gothic"/>
        <w:noProof/>
      </w:rPr>
      <w:t>20</w:t>
    </w:r>
    <w:r w:rsidRPr="00CE25B6">
      <w:rPr>
        <w:rStyle w:val="PageNumber"/>
        <w:rFonts w:ascii="Century Gothic" w:hAnsi="Century Gothic"/>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A4AE4" w14:textId="77777777" w:rsidR="003148DF" w:rsidRPr="00CE25B6" w:rsidRDefault="003148DF" w:rsidP="00DB7F53">
    <w:pPr>
      <w:pStyle w:val="FooterOdd"/>
      <w:rPr>
        <w:rStyle w:val="PageNumber"/>
        <w:rFonts w:ascii="Century Gothic" w:hAnsi="Century Gothic"/>
      </w:rPr>
    </w:pPr>
    <w:r>
      <w:t>P</w:t>
    </w:r>
    <w:r w:rsidRPr="00CE25B6">
      <w:t xml:space="preserve">age </w:t>
    </w:r>
    <w:r w:rsidRPr="00CE25B6">
      <w:rPr>
        <w:rStyle w:val="PageNumber"/>
        <w:rFonts w:ascii="Century Gothic" w:hAnsi="Century Gothic"/>
      </w:rPr>
      <w:fldChar w:fldCharType="begin"/>
    </w:r>
    <w:r w:rsidRPr="00CE25B6">
      <w:rPr>
        <w:rStyle w:val="PageNumber"/>
        <w:rFonts w:ascii="Century Gothic" w:hAnsi="Century Gothic"/>
      </w:rPr>
      <w:instrText xml:space="preserve"> PAGE </w:instrText>
    </w:r>
    <w:r w:rsidRPr="00CE25B6">
      <w:rPr>
        <w:rStyle w:val="PageNumber"/>
        <w:rFonts w:ascii="Century Gothic" w:hAnsi="Century Gothic"/>
      </w:rPr>
      <w:fldChar w:fldCharType="separate"/>
    </w:r>
    <w:r w:rsidR="0009357A">
      <w:rPr>
        <w:rStyle w:val="PageNumber"/>
        <w:rFonts w:ascii="Century Gothic" w:hAnsi="Century Gothic"/>
        <w:noProof/>
      </w:rPr>
      <w:t>19</w:t>
    </w:r>
    <w:r w:rsidRPr="00CE25B6">
      <w:rPr>
        <w:rStyle w:val="PageNumber"/>
        <w:rFonts w:ascii="Century Gothic" w:hAnsi="Century Gothi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4CFEC" w14:textId="77777777" w:rsidR="003148DF" w:rsidRPr="00CE25B6" w:rsidRDefault="003148DF">
    <w:pPr>
      <w:pStyle w:val="FooterOdd"/>
      <w:rPr>
        <w:rStyle w:val="PageNumber"/>
        <w:rFonts w:ascii="Century Gothic" w:hAnsi="Century Gothic"/>
      </w:rPr>
    </w:pPr>
    <w:r w:rsidRPr="00CE25B6">
      <w:t xml:space="preserve">Page </w:t>
    </w:r>
    <w:r w:rsidRPr="00CE25B6">
      <w:rPr>
        <w:rStyle w:val="PageNumber"/>
        <w:rFonts w:ascii="Century Gothic" w:hAnsi="Century Gothic"/>
      </w:rPr>
      <w:fldChar w:fldCharType="begin"/>
    </w:r>
    <w:r w:rsidRPr="00CE25B6">
      <w:rPr>
        <w:rStyle w:val="PageNumber"/>
        <w:rFonts w:ascii="Century Gothic" w:hAnsi="Century Gothic"/>
      </w:rPr>
      <w:instrText xml:space="preserve"> PAGE </w:instrText>
    </w:r>
    <w:r w:rsidRPr="00CE25B6">
      <w:rPr>
        <w:rStyle w:val="PageNumber"/>
        <w:rFonts w:ascii="Century Gothic" w:hAnsi="Century Gothic"/>
      </w:rPr>
      <w:fldChar w:fldCharType="separate"/>
    </w:r>
    <w:r w:rsidR="0009357A">
      <w:rPr>
        <w:rStyle w:val="PageNumber"/>
        <w:rFonts w:ascii="Century Gothic" w:hAnsi="Century Gothic"/>
        <w:noProof/>
      </w:rPr>
      <w:t>21</w:t>
    </w:r>
    <w:r w:rsidRPr="00CE25B6">
      <w:rPr>
        <w:rStyle w:val="PageNumber"/>
        <w:rFonts w:ascii="Century Gothic" w:hAnsi="Century Gothi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75B1A" w14:textId="77777777" w:rsidR="0009357A" w:rsidRDefault="0009357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ECDE0" w14:textId="77777777" w:rsidR="003148DF" w:rsidRPr="00853B1C" w:rsidRDefault="003148DF" w:rsidP="00CE25B6">
    <w:pPr>
      <w:pStyle w:val="FooterOdd"/>
    </w:pPr>
    <w:r w:rsidRPr="00853B1C">
      <w:t xml:space="preserve">Page </w:t>
    </w:r>
    <w:r w:rsidRPr="00CE25B6">
      <w:rPr>
        <w:rStyle w:val="PageNumber"/>
        <w:rFonts w:ascii="Century Gothic" w:hAnsi="Century Gothic"/>
      </w:rPr>
      <w:fldChar w:fldCharType="begin"/>
    </w:r>
    <w:r w:rsidRPr="00CE25B6">
      <w:rPr>
        <w:rStyle w:val="PageNumber"/>
        <w:rFonts w:ascii="Century Gothic" w:hAnsi="Century Gothic"/>
      </w:rPr>
      <w:instrText xml:space="preserve"> PAGE </w:instrText>
    </w:r>
    <w:r w:rsidRPr="00CE25B6">
      <w:rPr>
        <w:rStyle w:val="PageNumber"/>
        <w:rFonts w:ascii="Century Gothic" w:hAnsi="Century Gothic"/>
      </w:rPr>
      <w:fldChar w:fldCharType="separate"/>
    </w:r>
    <w:r w:rsidR="0009357A">
      <w:rPr>
        <w:rStyle w:val="PageNumber"/>
        <w:rFonts w:ascii="Century Gothic" w:hAnsi="Century Gothic"/>
        <w:noProof/>
      </w:rPr>
      <w:t>iii</w:t>
    </w:r>
    <w:r w:rsidRPr="00CE25B6">
      <w:rPr>
        <w:rStyle w:val="PageNumber"/>
        <w:rFonts w:ascii="Century Gothic" w:hAnsi="Century Gothic"/>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7D44D" w14:textId="77777777" w:rsidR="003148DF" w:rsidRPr="00853B1C" w:rsidRDefault="003148DF" w:rsidP="00CE25B6">
    <w:pPr>
      <w:pStyle w:val="FooterEven"/>
    </w:pPr>
    <w:r w:rsidRPr="00853B1C">
      <w:t xml:space="preserve">Page </w:t>
    </w:r>
    <w:r w:rsidRPr="00CE25B6">
      <w:rPr>
        <w:rStyle w:val="PageNumber"/>
        <w:rFonts w:ascii="Century Gothic" w:hAnsi="Century Gothic"/>
      </w:rPr>
      <w:fldChar w:fldCharType="begin"/>
    </w:r>
    <w:r w:rsidRPr="00CE25B6">
      <w:rPr>
        <w:rStyle w:val="PageNumber"/>
        <w:rFonts w:ascii="Century Gothic" w:hAnsi="Century Gothic"/>
      </w:rPr>
      <w:instrText xml:space="preserve"> PAGE </w:instrText>
    </w:r>
    <w:r w:rsidRPr="00CE25B6">
      <w:rPr>
        <w:rStyle w:val="PageNumber"/>
        <w:rFonts w:ascii="Century Gothic" w:hAnsi="Century Gothic"/>
      </w:rPr>
      <w:fldChar w:fldCharType="separate"/>
    </w:r>
    <w:r w:rsidR="0009357A">
      <w:rPr>
        <w:rStyle w:val="PageNumber"/>
        <w:rFonts w:ascii="Century Gothic" w:hAnsi="Century Gothic"/>
        <w:noProof/>
      </w:rPr>
      <w:t>iv</w:t>
    </w:r>
    <w:r w:rsidRPr="00CE25B6">
      <w:rPr>
        <w:rStyle w:val="PageNumber"/>
        <w:rFonts w:ascii="Century Gothic" w:hAnsi="Century Gothic"/>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9E488" w14:textId="54D5720F" w:rsidR="003148DF" w:rsidRPr="00CE25B6" w:rsidRDefault="003148DF">
    <w:pPr>
      <w:pStyle w:val="FooterOdd"/>
      <w:rPr>
        <w:rStyle w:val="PageNumber"/>
        <w:rFonts w:ascii="Century Gothic" w:hAnsi="Century Gothic"/>
      </w:rPr>
    </w:pPr>
    <w:r w:rsidRPr="00CE25B6">
      <w:t xml:space="preserve">Page </w:t>
    </w:r>
    <w:r>
      <w:rPr>
        <w:rStyle w:val="PageNumber"/>
        <w:rFonts w:ascii="Century Gothic" w:hAnsi="Century Gothic"/>
      </w:rPr>
      <w:fldChar w:fldCharType="begin"/>
    </w:r>
    <w:r>
      <w:rPr>
        <w:rStyle w:val="PageNumber"/>
        <w:rFonts w:ascii="Century Gothic" w:hAnsi="Century Gothic"/>
      </w:rPr>
      <w:instrText xml:space="preserve"> PAGE  \* roman </w:instrText>
    </w:r>
    <w:r>
      <w:rPr>
        <w:rStyle w:val="PageNumber"/>
        <w:rFonts w:ascii="Century Gothic" w:hAnsi="Century Gothic"/>
      </w:rPr>
      <w:fldChar w:fldCharType="separate"/>
    </w:r>
    <w:r w:rsidR="0009357A">
      <w:rPr>
        <w:rStyle w:val="PageNumber"/>
        <w:rFonts w:ascii="Century Gothic" w:hAnsi="Century Gothic"/>
        <w:noProof/>
      </w:rPr>
      <w:t>v</w:t>
    </w:r>
    <w:r>
      <w:rPr>
        <w:rStyle w:val="PageNumber"/>
        <w:rFonts w:ascii="Century Gothic" w:hAnsi="Century Gothic"/>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BD339" w14:textId="57C474C8" w:rsidR="003148DF" w:rsidRPr="00CE25B6" w:rsidRDefault="003148DF" w:rsidP="00212A4E">
    <w:pPr>
      <w:pStyle w:val="FooterOdd"/>
      <w:rPr>
        <w:rStyle w:val="PageNumber"/>
        <w:rFonts w:ascii="Century Gothic" w:hAnsi="Century Gothic"/>
      </w:rPr>
    </w:pPr>
    <w:r w:rsidRPr="00CE25B6">
      <w:t xml:space="preserve">Page </w:t>
    </w:r>
    <w:r w:rsidRPr="00CE25B6">
      <w:rPr>
        <w:rStyle w:val="PageNumber"/>
        <w:rFonts w:ascii="Century Gothic" w:hAnsi="Century Gothic"/>
      </w:rPr>
      <w:fldChar w:fldCharType="begin"/>
    </w:r>
    <w:r w:rsidRPr="00CE25B6">
      <w:rPr>
        <w:rStyle w:val="PageNumber"/>
        <w:rFonts w:ascii="Century Gothic" w:hAnsi="Century Gothic"/>
      </w:rPr>
      <w:instrText xml:space="preserve"> PAGE </w:instrText>
    </w:r>
    <w:r w:rsidRPr="00CE25B6">
      <w:rPr>
        <w:rStyle w:val="PageNumber"/>
        <w:rFonts w:ascii="Century Gothic" w:hAnsi="Century Gothic"/>
      </w:rPr>
      <w:fldChar w:fldCharType="separate"/>
    </w:r>
    <w:r w:rsidR="0009357A">
      <w:rPr>
        <w:rStyle w:val="PageNumber"/>
        <w:rFonts w:ascii="Century Gothic" w:hAnsi="Century Gothic"/>
        <w:noProof/>
      </w:rPr>
      <w:t>1</w:t>
    </w:r>
    <w:r w:rsidRPr="00CE25B6">
      <w:rPr>
        <w:rStyle w:val="PageNumber"/>
        <w:rFonts w:ascii="Century Gothic" w:hAnsi="Century Gothic"/>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F46DD" w14:textId="74362679" w:rsidR="003148DF" w:rsidRPr="00CE25B6" w:rsidRDefault="003148DF" w:rsidP="00212A4E">
    <w:pPr>
      <w:pStyle w:val="FooterEven"/>
      <w:rPr>
        <w:rStyle w:val="PageNumber"/>
        <w:rFonts w:ascii="Century Gothic" w:hAnsi="Century Gothic"/>
      </w:rPr>
    </w:pPr>
    <w:r>
      <w:t>P</w:t>
    </w:r>
    <w:r w:rsidRPr="00CE25B6">
      <w:t xml:space="preserve">age </w:t>
    </w:r>
    <w:r w:rsidRPr="00CE25B6">
      <w:rPr>
        <w:rStyle w:val="PageNumber"/>
        <w:rFonts w:ascii="Century Gothic" w:hAnsi="Century Gothic"/>
      </w:rPr>
      <w:fldChar w:fldCharType="begin"/>
    </w:r>
    <w:r w:rsidRPr="00CE25B6">
      <w:rPr>
        <w:rStyle w:val="PageNumber"/>
        <w:rFonts w:ascii="Century Gothic" w:hAnsi="Century Gothic"/>
      </w:rPr>
      <w:instrText xml:space="preserve"> PAGE </w:instrText>
    </w:r>
    <w:r w:rsidRPr="00CE25B6">
      <w:rPr>
        <w:rStyle w:val="PageNumber"/>
        <w:rFonts w:ascii="Century Gothic" w:hAnsi="Century Gothic"/>
      </w:rPr>
      <w:fldChar w:fldCharType="separate"/>
    </w:r>
    <w:r w:rsidR="0009357A">
      <w:rPr>
        <w:rStyle w:val="PageNumber"/>
        <w:rFonts w:ascii="Century Gothic" w:hAnsi="Century Gothic"/>
        <w:noProof/>
      </w:rPr>
      <w:t>2</w:t>
    </w:r>
    <w:r w:rsidRPr="00CE25B6">
      <w:rPr>
        <w:rStyle w:val="PageNumber"/>
        <w:rFonts w:ascii="Century Gothic" w:hAnsi="Century Gothic"/>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F4FFC" w14:textId="77777777" w:rsidR="003148DF" w:rsidRPr="00CE25B6" w:rsidRDefault="003148DF" w:rsidP="00212A4E">
    <w:pPr>
      <w:pStyle w:val="FooterOdd"/>
      <w:rPr>
        <w:rStyle w:val="PageNumber"/>
        <w:rFonts w:ascii="Century Gothic" w:hAnsi="Century Gothic"/>
      </w:rPr>
    </w:pPr>
    <w:r>
      <w:t>P</w:t>
    </w:r>
    <w:r w:rsidRPr="00CE25B6">
      <w:t xml:space="preserve">age </w:t>
    </w:r>
    <w:r w:rsidRPr="00CE25B6">
      <w:rPr>
        <w:rStyle w:val="PageNumber"/>
        <w:rFonts w:ascii="Century Gothic" w:hAnsi="Century Gothic"/>
      </w:rPr>
      <w:fldChar w:fldCharType="begin"/>
    </w:r>
    <w:r w:rsidRPr="00CE25B6">
      <w:rPr>
        <w:rStyle w:val="PageNumber"/>
        <w:rFonts w:ascii="Century Gothic" w:hAnsi="Century Gothic"/>
      </w:rPr>
      <w:instrText xml:space="preserve"> PAGE </w:instrText>
    </w:r>
    <w:r w:rsidRPr="00CE25B6">
      <w:rPr>
        <w:rStyle w:val="PageNumber"/>
        <w:rFonts w:ascii="Century Gothic" w:hAnsi="Century Gothic"/>
      </w:rPr>
      <w:fldChar w:fldCharType="separate"/>
    </w:r>
    <w:r w:rsidR="0009357A">
      <w:rPr>
        <w:rStyle w:val="PageNumber"/>
        <w:rFonts w:ascii="Century Gothic" w:hAnsi="Century Gothic"/>
        <w:noProof/>
      </w:rPr>
      <w:t>11</w:t>
    </w:r>
    <w:r w:rsidRPr="00CE25B6">
      <w:rPr>
        <w:rStyle w:val="PageNumber"/>
        <w:rFonts w:ascii="Century Gothic" w:hAnsi="Century Gothi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4D0C9" w14:textId="77777777" w:rsidR="003148DF" w:rsidRDefault="003148DF">
      <w:pPr>
        <w:spacing w:after="0" w:line="240" w:lineRule="auto"/>
      </w:pPr>
      <w:r>
        <w:separator/>
      </w:r>
    </w:p>
  </w:footnote>
  <w:footnote w:type="continuationSeparator" w:id="0">
    <w:p w14:paraId="5C221FF3" w14:textId="77777777" w:rsidR="003148DF" w:rsidRDefault="003148DF">
      <w:pPr>
        <w:spacing w:after="0" w:line="240" w:lineRule="auto"/>
      </w:pPr>
      <w:r>
        <w:continuationSeparator/>
      </w:r>
    </w:p>
  </w:footnote>
  <w:footnote w:type="continuationNotice" w:id="1">
    <w:p w14:paraId="743B0163" w14:textId="77777777" w:rsidR="003148DF" w:rsidRDefault="003148DF">
      <w:pPr>
        <w:spacing w:after="0" w:line="240" w:lineRule="auto"/>
      </w:pPr>
    </w:p>
  </w:footnote>
  <w:footnote w:id="2">
    <w:p w14:paraId="04E28DED" w14:textId="5579FD78" w:rsidR="003148DF" w:rsidRPr="00177DD7" w:rsidRDefault="003148DF" w:rsidP="00177DD7">
      <w:pPr>
        <w:pStyle w:val="FootnoteText"/>
      </w:pPr>
      <w:r w:rsidRPr="00177DD7">
        <w:rPr>
          <w:rStyle w:val="FootnoteReference"/>
          <w:vertAlign w:val="baseline"/>
        </w:rPr>
        <w:footnoteRef/>
      </w:r>
      <w:r w:rsidRPr="00177DD7">
        <w:t xml:space="preserve"> </w:t>
      </w:r>
      <w:r>
        <w:tab/>
      </w:r>
      <w:r w:rsidRPr="00177DD7">
        <w:t>Australian Crime Commission, Organised Crime in Australia 2015.</w:t>
      </w:r>
    </w:p>
  </w:footnote>
  <w:footnote w:id="3">
    <w:p w14:paraId="13B99FB3" w14:textId="209E0C8B" w:rsidR="003148DF" w:rsidRPr="00177DD7" w:rsidRDefault="003148DF" w:rsidP="00CE25B6">
      <w:pPr>
        <w:pStyle w:val="FootnoteText"/>
      </w:pPr>
      <w:r w:rsidRPr="00CE25B6">
        <w:rPr>
          <w:rStyle w:val="FootnoteReference"/>
          <w:vertAlign w:val="baseline"/>
        </w:rPr>
        <w:footnoteRef/>
      </w:r>
      <w:r w:rsidRPr="00177DD7">
        <w:t xml:space="preserve"> </w:t>
      </w:r>
      <w:r>
        <w:tab/>
      </w:r>
      <w:r w:rsidRPr="00177DD7">
        <w:t>Ibid.</w:t>
      </w:r>
    </w:p>
  </w:footnote>
  <w:footnote w:id="4">
    <w:p w14:paraId="35134BA6" w14:textId="467C4DF4" w:rsidR="003148DF" w:rsidRPr="00177DD7" w:rsidRDefault="003148DF" w:rsidP="00CE25B6">
      <w:pPr>
        <w:pStyle w:val="FootnoteText"/>
      </w:pPr>
      <w:r w:rsidRPr="00CE25B6">
        <w:rPr>
          <w:rStyle w:val="FootnoteReference"/>
          <w:vertAlign w:val="baseline"/>
        </w:rPr>
        <w:footnoteRef/>
      </w:r>
      <w:r w:rsidRPr="00177DD7">
        <w:t xml:space="preserve"> </w:t>
      </w:r>
      <w:r>
        <w:tab/>
      </w:r>
      <w:r w:rsidRPr="00177DD7">
        <w:t>The FATF has set global standards for the transparency of legal arrangements and legal persons, and has a methodology for assessing compliance with these standards and the</w:t>
      </w:r>
      <w:r w:rsidR="00DB7F53">
        <w:t xml:space="preserve"> effectiveness of the measures.</w:t>
      </w:r>
    </w:p>
  </w:footnote>
  <w:footnote w:id="5">
    <w:p w14:paraId="50CDE04F" w14:textId="431BB2D2" w:rsidR="003148DF" w:rsidRPr="00177DD7" w:rsidRDefault="003148DF" w:rsidP="00CE25B6">
      <w:pPr>
        <w:pStyle w:val="FootnoteText"/>
      </w:pPr>
      <w:r w:rsidRPr="00CE25B6">
        <w:rPr>
          <w:rStyle w:val="FootnoteReference"/>
          <w:vertAlign w:val="baseline"/>
        </w:rPr>
        <w:footnoteRef/>
      </w:r>
      <w:r w:rsidRPr="00177DD7">
        <w:t xml:space="preserve"> </w:t>
      </w:r>
      <w:r>
        <w:tab/>
      </w:r>
      <w:r w:rsidRPr="00177DD7">
        <w:t>The G20 Principles borrow terms used by the FATF such as ‘legal person’ which the FATF defines as natural persons that can establish a permanent customer relationship with a financial institution or otherwise own property. For example: companies, bodies corporate, foundations, partnerships or associations. This could include non-profit organisations (NPOs) or cooperative societies.</w:t>
      </w:r>
    </w:p>
  </w:footnote>
  <w:footnote w:id="6">
    <w:p w14:paraId="68B3B8D3" w14:textId="3E21BC97" w:rsidR="003148DF" w:rsidRPr="00177DD7" w:rsidRDefault="003148DF" w:rsidP="00CE25B6">
      <w:pPr>
        <w:pStyle w:val="FootnoteText"/>
      </w:pPr>
      <w:r w:rsidRPr="00CE25B6">
        <w:rPr>
          <w:rStyle w:val="FootnoteReference"/>
          <w:vertAlign w:val="baseline"/>
        </w:rPr>
        <w:footnoteRef/>
      </w:r>
      <w:r w:rsidRPr="00177DD7">
        <w:t xml:space="preserve"> </w:t>
      </w:r>
      <w:r>
        <w:tab/>
      </w:r>
      <w:r w:rsidRPr="00177DD7">
        <w:t>The FATF defines ‘legal arrangements’ as express trusts or other similar legal arrangements. Examples of other similar arrangements (for AML/CFT purposes) include fiducie, treuhand and fideicomiso.</w:t>
      </w:r>
    </w:p>
  </w:footnote>
  <w:footnote w:id="7">
    <w:p w14:paraId="48B102E8" w14:textId="5DA31AED" w:rsidR="003148DF" w:rsidRPr="00177DD7" w:rsidRDefault="003148DF" w:rsidP="00CE25B6">
      <w:pPr>
        <w:pStyle w:val="FootnoteText"/>
      </w:pPr>
      <w:r w:rsidRPr="00CE25B6">
        <w:rPr>
          <w:rStyle w:val="FootnoteReference"/>
          <w:vertAlign w:val="baseline"/>
        </w:rPr>
        <w:footnoteRef/>
      </w:r>
      <w:r w:rsidRPr="00177DD7">
        <w:t xml:space="preserve"> </w:t>
      </w:r>
      <w:r>
        <w:tab/>
      </w:r>
      <w:r w:rsidRPr="00177DD7">
        <w:t xml:space="preserve">This is discussed further Parts </w:t>
      </w:r>
      <w:r>
        <w:t>2</w:t>
      </w:r>
      <w:r w:rsidRPr="00177DD7">
        <w:t xml:space="preserve">.2 and </w:t>
      </w:r>
      <w:r>
        <w:t>2</w:t>
      </w:r>
      <w:r w:rsidRPr="00177DD7">
        <w:t>.3 of this paper. See also ASIC Regulatory Guide 5 Relevant interests and substantial holding notices (RG 5) at RG 5.6—RG 5.17.</w:t>
      </w:r>
    </w:p>
  </w:footnote>
  <w:footnote w:id="8">
    <w:p w14:paraId="6BD0B7CC" w14:textId="06F1A114" w:rsidR="003148DF" w:rsidRPr="00177DD7" w:rsidRDefault="003148DF" w:rsidP="00CE25B6">
      <w:pPr>
        <w:pStyle w:val="FootnoteText"/>
      </w:pPr>
      <w:r w:rsidRPr="00CE25B6">
        <w:rPr>
          <w:rStyle w:val="FootnoteReference"/>
          <w:vertAlign w:val="baseline"/>
        </w:rPr>
        <w:footnoteRef/>
      </w:r>
      <w:r w:rsidRPr="00177DD7">
        <w:t xml:space="preserve"> </w:t>
      </w:r>
      <w:r>
        <w:tab/>
      </w:r>
      <w:r w:rsidRPr="00177DD7">
        <w:t>Any reference to ‘person’ in this consultation paper is a reference to a legal person (unless otherwise stated) which may be either</w:t>
      </w:r>
      <w:r w:rsidR="00DB7F53">
        <w:t xml:space="preserve"> a company or a natural person.</w:t>
      </w:r>
    </w:p>
  </w:footnote>
  <w:footnote w:id="9">
    <w:p w14:paraId="1EC3704B" w14:textId="06C7BD38" w:rsidR="003148DF" w:rsidRPr="00177DD7" w:rsidRDefault="003148DF" w:rsidP="00CE25B6">
      <w:pPr>
        <w:pStyle w:val="FootnoteText"/>
      </w:pPr>
      <w:r w:rsidRPr="00CE25B6">
        <w:rPr>
          <w:rStyle w:val="FootnoteReference"/>
          <w:vertAlign w:val="baseline"/>
        </w:rPr>
        <w:footnoteRef/>
      </w:r>
      <w:r w:rsidRPr="00177DD7">
        <w:t xml:space="preserve"> </w:t>
      </w:r>
      <w:r>
        <w:tab/>
      </w:r>
      <w:r w:rsidRPr="00177DD7">
        <w:t xml:space="preserve">As per regulation </w:t>
      </w:r>
      <w:r>
        <w:t>2C.1.03, improper purposes are: (a) </w:t>
      </w:r>
      <w:r w:rsidRPr="00177DD7">
        <w:t>soliciting a donation f</w:t>
      </w:r>
      <w:r>
        <w:t>rom a member of a company; (b) </w:t>
      </w:r>
      <w:r w:rsidRPr="00177DD7">
        <w:t>soliciting a member of a company by a person who is authorised to assume or use the word stockbroker or sharebroker in accordance wit</w:t>
      </w:r>
      <w:r>
        <w:t>h section 923B of the Act; (c) </w:t>
      </w:r>
      <w:r w:rsidRPr="00177DD7">
        <w:t>gathering information about the personal wealth</w:t>
      </w:r>
      <w:r>
        <w:t xml:space="preserve"> of a member of a company; (d) </w:t>
      </w:r>
      <w:r w:rsidRPr="00177DD7">
        <w:t>making an offer that satisfies paragraphs 1019</w:t>
      </w:r>
      <w:r>
        <w:t>D(1)(a) to (d) of the Act; (e) </w:t>
      </w:r>
      <w:r w:rsidRPr="00177DD7">
        <w:t>making an invitation that, were it an offer to purchase a financial product, would be an offer that satisfies paragraphs 1019D(1)(a) to (d) of the Act.</w:t>
      </w:r>
    </w:p>
  </w:footnote>
  <w:footnote w:id="10">
    <w:p w14:paraId="2849B368" w14:textId="76495386" w:rsidR="003148DF" w:rsidRPr="00177DD7" w:rsidRDefault="003148DF">
      <w:pPr>
        <w:pStyle w:val="FootnoteText"/>
      </w:pPr>
      <w:r w:rsidRPr="00CE25B6">
        <w:rPr>
          <w:rStyle w:val="FootnoteReference"/>
          <w:vertAlign w:val="baseline"/>
        </w:rPr>
        <w:footnoteRef/>
      </w:r>
      <w:r w:rsidRPr="00177DD7">
        <w:t xml:space="preserve"> </w:t>
      </w:r>
      <w:r>
        <w:tab/>
      </w:r>
      <w:r w:rsidRPr="00177DD7">
        <w:t>For determining relevant interests in a corporate group see section 608(3) of the Corporations Act.</w:t>
      </w:r>
    </w:p>
  </w:footnote>
  <w:footnote w:id="11">
    <w:p w14:paraId="51602419" w14:textId="7DDB62ED" w:rsidR="003148DF" w:rsidRPr="00177DD7" w:rsidRDefault="003148DF" w:rsidP="00CE25B6">
      <w:pPr>
        <w:pStyle w:val="FootnoteText"/>
      </w:pPr>
      <w:r w:rsidRPr="00CE25B6">
        <w:rPr>
          <w:rStyle w:val="FootnoteReference"/>
          <w:vertAlign w:val="baseline"/>
        </w:rPr>
        <w:footnoteRef/>
      </w:r>
      <w:r w:rsidRPr="00177DD7">
        <w:t xml:space="preserve"> </w:t>
      </w:r>
      <w:r>
        <w:tab/>
      </w:r>
      <w:r w:rsidRPr="00177DD7">
        <w:t>The Anti-Money Laundering and Counter-Terrorism Financing Act 2006 and associated Rules made under that Act (see further Part 3.4 of the Anti-Money Laundering and Counter-Terrorism Financing Rules Instrument 2007 No.1)</w:t>
      </w:r>
      <w:r w:rsidR="00DB7F53">
        <w:t>.</w:t>
      </w:r>
    </w:p>
  </w:footnote>
  <w:footnote w:id="12">
    <w:p w14:paraId="48205A17" w14:textId="49FED9EA" w:rsidR="003148DF" w:rsidRPr="00177DD7" w:rsidRDefault="003148DF" w:rsidP="00CE25B6">
      <w:pPr>
        <w:pStyle w:val="FootnoteText"/>
      </w:pPr>
      <w:r w:rsidRPr="00CE25B6">
        <w:rPr>
          <w:rStyle w:val="FootnoteReference"/>
          <w:vertAlign w:val="baseline"/>
        </w:rPr>
        <w:footnoteRef/>
      </w:r>
      <w:r w:rsidRPr="00177DD7">
        <w:t xml:space="preserve"> </w:t>
      </w:r>
      <w:r>
        <w:tab/>
      </w:r>
      <w:r w:rsidRPr="00177DD7">
        <w:t>See paragraph 4.12.2 of the AML/CTF rules for exemptions from this requirement.</w:t>
      </w:r>
    </w:p>
  </w:footnote>
  <w:footnote w:id="13">
    <w:p w14:paraId="58F09FDA" w14:textId="09D18D4B" w:rsidR="003148DF" w:rsidRPr="00177DD7" w:rsidRDefault="003148DF" w:rsidP="00CE25B6">
      <w:pPr>
        <w:pStyle w:val="FootnoteText"/>
      </w:pPr>
      <w:r w:rsidRPr="00CE25B6">
        <w:rPr>
          <w:rStyle w:val="FootnoteReference"/>
          <w:vertAlign w:val="baseline"/>
        </w:rPr>
        <w:footnoteRef/>
      </w:r>
      <w:r w:rsidRPr="00177DD7">
        <w:t xml:space="preserve"> </w:t>
      </w:r>
      <w:r>
        <w:tab/>
      </w:r>
      <w:r w:rsidRPr="00177DD7">
        <w:t>If the assessed ML/TF risk is high, the reporting entity m</w:t>
      </w:r>
      <w:r w:rsidR="00DB7F53">
        <w:t>ay go to a threshold below 25%.</w:t>
      </w:r>
    </w:p>
  </w:footnote>
  <w:footnote w:id="14">
    <w:p w14:paraId="6061152E" w14:textId="56D19588" w:rsidR="003148DF" w:rsidRPr="00177DD7" w:rsidRDefault="003148DF">
      <w:pPr>
        <w:pStyle w:val="FootnoteText"/>
      </w:pPr>
      <w:r w:rsidRPr="00CE25B6">
        <w:rPr>
          <w:rStyle w:val="FootnoteReference"/>
          <w:vertAlign w:val="baseline"/>
        </w:rPr>
        <w:footnoteRef/>
      </w:r>
      <w:r w:rsidRPr="00177DD7">
        <w:t xml:space="preserve"> </w:t>
      </w:r>
      <w:r>
        <w:tab/>
      </w:r>
      <w:r w:rsidRPr="00177DD7">
        <w:t>This outlines customer due diligence and record-keeping obligati</w:t>
      </w:r>
      <w:r w:rsidR="00DB7F53">
        <w:t>ons for financial institutions.</w:t>
      </w:r>
    </w:p>
  </w:footnote>
  <w:footnote w:id="15">
    <w:p w14:paraId="229CC288" w14:textId="58F44CDE" w:rsidR="003148DF" w:rsidRPr="00177DD7" w:rsidRDefault="003148DF" w:rsidP="00CE25B6">
      <w:pPr>
        <w:pStyle w:val="FootnoteText"/>
      </w:pPr>
      <w:r w:rsidRPr="00CE25B6">
        <w:rPr>
          <w:rStyle w:val="FootnoteReference"/>
          <w:vertAlign w:val="baseline"/>
        </w:rPr>
        <w:footnoteRef/>
      </w:r>
      <w:r w:rsidRPr="00177DD7">
        <w:t xml:space="preserve"> </w:t>
      </w:r>
      <w:r>
        <w:tab/>
      </w:r>
      <w:r w:rsidRPr="00177DD7">
        <w:t>Other entities used in Australia such as partnerships may come within the FATF definition of legal persons but are not being considered as part of this consultation paper.</w:t>
      </w:r>
    </w:p>
  </w:footnote>
  <w:footnote w:id="16">
    <w:p w14:paraId="7B375930" w14:textId="2F77B657" w:rsidR="003148DF" w:rsidRPr="00177DD7" w:rsidRDefault="003148DF" w:rsidP="00CE25B6">
      <w:pPr>
        <w:pStyle w:val="FootnoteText"/>
      </w:pPr>
      <w:r w:rsidRPr="00CE25B6">
        <w:rPr>
          <w:rStyle w:val="FootnoteReference"/>
          <w:vertAlign w:val="baseline"/>
        </w:rPr>
        <w:footnoteRef/>
      </w:r>
      <w:r w:rsidRPr="00177DD7">
        <w:t xml:space="preserve"> </w:t>
      </w:r>
      <w:r>
        <w:tab/>
      </w:r>
      <w:r w:rsidRPr="00177DD7">
        <w:t>The UK Companies House incorporates and dissolves limited companies, registers the information companies are legally required to supply, and makes that information available to the public.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A84BD" w14:textId="63A0C2C5" w:rsidR="003148DF" w:rsidRPr="00177DD7" w:rsidRDefault="0045753C" w:rsidP="00177DD7">
    <w:pPr>
      <w:pStyle w:val="HeaderEven"/>
    </w:pPr>
    <w:fldSimple w:instr=" TITLE   \* MERGEFORMAT ">
      <w:r w:rsidR="003148DF">
        <w:t>Increasing Transparency of the Beneficial Ownership of Companies</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B47F2" w14:textId="295CD98F" w:rsidR="003148DF" w:rsidRDefault="0045753C">
    <w:pPr>
      <w:pStyle w:val="HeaderOdd"/>
    </w:pPr>
    <w:fldSimple w:instr=" STYLEREF  &quot;Heading 1 - Numbered&quot;  \* MERGEFORMAT ">
      <w:r w:rsidR="0009357A">
        <w:rPr>
          <w:noProof/>
        </w:rPr>
        <w:t>Other beneficial ownership transparency issues</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7DD31" w14:textId="56057D03" w:rsidR="003148DF" w:rsidRDefault="003148DF" w:rsidP="00304A45">
    <w:pPr>
      <w:pStyle w:val="ChartGraphic"/>
    </w:pPr>
    <w:r>
      <w:rPr>
        <w:noProof/>
      </w:rPr>
      <w:drawing>
        <wp:inline distT="0" distB="0" distL="0" distR="0" wp14:anchorId="2B99B4BB" wp14:editId="662EF3C0">
          <wp:extent cx="1836000" cy="921941"/>
          <wp:effectExtent l="0" t="0" r="0" b="0"/>
          <wp:docPr id="2" name="Picture 2"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6000" cy="921941"/>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A8A4D" w14:textId="15243B58" w:rsidR="003148DF" w:rsidRPr="00853B1C" w:rsidRDefault="003148DF" w:rsidP="00CE25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9A05B0"/>
    <w:lvl w:ilvl="0">
      <w:start w:val="1"/>
      <w:numFmt w:val="decimal"/>
      <w:lvlText w:val="%1."/>
      <w:lvlJc w:val="left"/>
      <w:pPr>
        <w:tabs>
          <w:tab w:val="num" w:pos="1492"/>
        </w:tabs>
        <w:ind w:left="1492" w:hanging="360"/>
      </w:pPr>
    </w:lvl>
  </w:abstractNum>
  <w:abstractNum w:abstractNumId="1">
    <w:nsid w:val="FFFFFF7D"/>
    <w:multiLevelType w:val="singleLevel"/>
    <w:tmpl w:val="25A82204"/>
    <w:lvl w:ilvl="0">
      <w:start w:val="1"/>
      <w:numFmt w:val="decimal"/>
      <w:lvlText w:val="%1."/>
      <w:lvlJc w:val="left"/>
      <w:pPr>
        <w:tabs>
          <w:tab w:val="num" w:pos="1209"/>
        </w:tabs>
        <w:ind w:left="1209" w:hanging="360"/>
      </w:pPr>
    </w:lvl>
  </w:abstractNum>
  <w:abstractNum w:abstractNumId="2">
    <w:nsid w:val="FFFFFF7E"/>
    <w:multiLevelType w:val="singleLevel"/>
    <w:tmpl w:val="A1108FC0"/>
    <w:lvl w:ilvl="0">
      <w:start w:val="1"/>
      <w:numFmt w:val="decimal"/>
      <w:lvlText w:val="%1."/>
      <w:lvlJc w:val="left"/>
      <w:pPr>
        <w:tabs>
          <w:tab w:val="num" w:pos="926"/>
        </w:tabs>
        <w:ind w:left="926" w:hanging="360"/>
      </w:pPr>
    </w:lvl>
  </w:abstractNum>
  <w:abstractNum w:abstractNumId="3">
    <w:nsid w:val="FFFFFF7F"/>
    <w:multiLevelType w:val="singleLevel"/>
    <w:tmpl w:val="242CF056"/>
    <w:lvl w:ilvl="0">
      <w:start w:val="1"/>
      <w:numFmt w:val="decimal"/>
      <w:lvlText w:val="%1."/>
      <w:lvlJc w:val="left"/>
      <w:pPr>
        <w:tabs>
          <w:tab w:val="num" w:pos="643"/>
        </w:tabs>
        <w:ind w:left="643" w:hanging="360"/>
      </w:pPr>
    </w:lvl>
  </w:abstractNum>
  <w:abstractNum w:abstractNumId="4">
    <w:nsid w:val="FFFFFF80"/>
    <w:multiLevelType w:val="singleLevel"/>
    <w:tmpl w:val="8932D3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19C36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056FA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620872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9CE4212"/>
    <w:lvl w:ilvl="0">
      <w:start w:val="1"/>
      <w:numFmt w:val="decimal"/>
      <w:lvlText w:val="%1."/>
      <w:lvlJc w:val="left"/>
      <w:pPr>
        <w:tabs>
          <w:tab w:val="num" w:pos="360"/>
        </w:tabs>
        <w:ind w:left="360" w:hanging="360"/>
      </w:pPr>
    </w:lvl>
  </w:abstractNum>
  <w:abstractNum w:abstractNumId="9">
    <w:nsid w:val="FFFFFF89"/>
    <w:multiLevelType w:val="singleLevel"/>
    <w:tmpl w:val="D6F621BA"/>
    <w:lvl w:ilvl="0">
      <w:start w:val="1"/>
      <w:numFmt w:val="bullet"/>
      <w:lvlText w:val=""/>
      <w:lvlJc w:val="left"/>
      <w:pPr>
        <w:tabs>
          <w:tab w:val="num" w:pos="360"/>
        </w:tabs>
        <w:ind w:left="360" w:hanging="360"/>
      </w:pPr>
      <w:rPr>
        <w:rFonts w:ascii="Symbol" w:hAnsi="Symbol" w:hint="default"/>
      </w:rPr>
    </w:lvl>
  </w:abstractNum>
  <w:abstractNum w:abstractNumId="10">
    <w:nsid w:val="06EA7F1B"/>
    <w:multiLevelType w:val="multilevel"/>
    <w:tmpl w:val="148ED6F4"/>
    <w:lvl w:ilvl="0">
      <w:start w:val="1"/>
      <w:numFmt w:val="decimal"/>
      <w:pStyle w:val="Heading1-Numbered"/>
      <w:lvlText w:val="%1."/>
      <w:lvlJc w:val="left"/>
      <w:pPr>
        <w:tabs>
          <w:tab w:val="num" w:pos="425"/>
        </w:tabs>
        <w:ind w:left="425" w:hanging="425"/>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79C2CA8"/>
    <w:multiLevelType w:val="hybridMultilevel"/>
    <w:tmpl w:val="FE26C000"/>
    <w:name w:val="OneLevelAlphaParagraphList2"/>
    <w:lvl w:ilvl="0" w:tplc="67B058C6">
      <w:start w:val="1"/>
      <w:numFmt w:val="decimal"/>
      <w:pStyle w:val="BoxQuestions"/>
      <w:lvlText w:val="%1."/>
      <w:lvlJc w:val="left"/>
      <w:pPr>
        <w:ind w:left="720" w:hanging="360"/>
      </w:pPr>
      <w:rPr>
        <w:rFonts w:ascii="Calibri" w:hAnsi="Calibri" w:hint="default"/>
        <w:b w:val="0"/>
        <w:i w:val="0"/>
        <w:sz w:val="22"/>
        <w:szCs w:val="22"/>
      </w:rPr>
    </w:lvl>
    <w:lvl w:ilvl="1" w:tplc="77E05F00">
      <w:start w:val="1"/>
      <w:numFmt w:val="lowerLetter"/>
      <w:pStyle w:val="BoxAlpha"/>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1A64ACF"/>
    <w:multiLevelType w:val="multilevel"/>
    <w:tmpl w:val="644E9E78"/>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4">
    <w:nsid w:val="1BAF3F12"/>
    <w:multiLevelType w:val="hybridMultilevel"/>
    <w:tmpl w:val="5F221742"/>
    <w:lvl w:ilvl="0" w:tplc="F8846F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63036F5"/>
    <w:multiLevelType w:val="hybridMultilevel"/>
    <w:tmpl w:val="3C96D1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7440C8B"/>
    <w:multiLevelType w:val="multilevel"/>
    <w:tmpl w:val="6BDC4FF6"/>
    <w:name w:val="StandardBulletedList"/>
    <w:lvl w:ilvl="0">
      <w:start w:val="1"/>
      <w:numFmt w:val="bullet"/>
      <w:pStyle w:val="Bullet"/>
      <w:lvlText w:val="•"/>
      <w:lvlJc w:val="left"/>
      <w:pPr>
        <w:tabs>
          <w:tab w:val="num" w:pos="425"/>
        </w:tabs>
        <w:ind w:left="425" w:hanging="425"/>
      </w:pPr>
      <w:rPr>
        <w:rFonts w:ascii="Times New Roman" w:hAnsi="Times New Roman" w:cs="Times New Roman" w:hint="default"/>
        <w:b w:val="0"/>
        <w:i w:val="0"/>
      </w:rPr>
    </w:lvl>
    <w:lvl w:ilvl="1">
      <w:start w:val="1"/>
      <w:numFmt w:val="bullet"/>
      <w:pStyle w:val="Dash"/>
      <w:lvlText w:val="–"/>
      <w:lvlJc w:val="left"/>
      <w:pPr>
        <w:tabs>
          <w:tab w:val="num" w:pos="1040"/>
        </w:tabs>
        <w:ind w:left="1040" w:hanging="520"/>
      </w:pPr>
      <w:rPr>
        <w:rFonts w:ascii="Times New Roman" w:hAnsi="Times New Roman" w:cs="Times New Roman" w:hint="default"/>
        <w:b w:val="0"/>
        <w:i w:val="0"/>
      </w:rPr>
    </w:lvl>
    <w:lvl w:ilvl="2">
      <w:start w:val="1"/>
      <w:numFmt w:val="bullet"/>
      <w:pStyle w:val="DoubleDot"/>
      <w:lvlText w:val=":"/>
      <w:lvlJc w:val="left"/>
      <w:pPr>
        <w:tabs>
          <w:tab w:val="num" w:pos="1560"/>
        </w:tabs>
        <w:ind w:left="1560" w:hanging="520"/>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nsid w:val="2CA56811"/>
    <w:multiLevelType w:val="multilevel"/>
    <w:tmpl w:val="ADC4A384"/>
    <w:name w:val="StandardNumbered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702"/>
        </w:tabs>
        <w:ind w:left="1702" w:hanging="567"/>
      </w:pPr>
      <w:rPr>
        <w:rFonts w:hint="default"/>
      </w:rPr>
    </w:lvl>
    <w:lvl w:ilvl="2">
      <w:start w:val="1"/>
      <w:numFmt w:val="decimal"/>
      <w:lvlText w:val="%1.%2.%3."/>
      <w:lvlJc w:val="left"/>
      <w:pPr>
        <w:tabs>
          <w:tab w:val="num" w:pos="1701"/>
        </w:tabs>
        <w:ind w:left="1701" w:hanging="567"/>
      </w:pPr>
      <w:rPr>
        <w:rFonts w:hint="default"/>
      </w:rPr>
    </w:lvl>
    <w:lvl w:ilvl="3">
      <w:start w:val="1"/>
      <w:numFmt w:val="upperLetter"/>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2D665DFA"/>
    <w:multiLevelType w:val="singleLevel"/>
    <w:tmpl w:val="72B86018"/>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hint="default"/>
        <w:b w:val="0"/>
        <w:i w:val="0"/>
        <w:sz w:val="22"/>
        <w:szCs w:val="22"/>
      </w:rPr>
    </w:lvl>
  </w:abstractNum>
  <w:abstractNum w:abstractNumId="21">
    <w:nsid w:val="2DF54350"/>
    <w:multiLevelType w:val="multilevel"/>
    <w:tmpl w:val="A6800B9E"/>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nsid w:val="36DE2430"/>
    <w:multiLevelType w:val="hybridMultilevel"/>
    <w:tmpl w:val="2364FFD4"/>
    <w:lvl w:ilvl="0" w:tplc="0C090019">
      <w:start w:val="1"/>
      <w:numFmt w:val="lowerLetter"/>
      <w:lvlText w:val="%1."/>
      <w:lvlJc w:val="left"/>
      <w:pPr>
        <w:ind w:left="1146" w:hanging="360"/>
      </w:pPr>
    </w:lvl>
    <w:lvl w:ilvl="1" w:tplc="0C090019">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3">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24">
    <w:nsid w:val="471E1DBE"/>
    <w:multiLevelType w:val="hybridMultilevel"/>
    <w:tmpl w:val="5F221742"/>
    <w:lvl w:ilvl="0" w:tplc="F8846F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6">
    <w:nsid w:val="51E166D9"/>
    <w:multiLevelType w:val="multilevel"/>
    <w:tmpl w:val="1EBC84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8">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nsid w:val="64265C5F"/>
    <w:multiLevelType w:val="hybridMultilevel"/>
    <w:tmpl w:val="FD58C708"/>
    <w:lvl w:ilvl="0" w:tplc="149859F0">
      <w:start w:val="1"/>
      <w:numFmt w:val="lowerRoman"/>
      <w:pStyle w:val="RomanParagraph"/>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0">
    <w:nsid w:val="6B8A67D7"/>
    <w:multiLevelType w:val="multilevel"/>
    <w:tmpl w:val="03040452"/>
    <w:lvl w:ilvl="0">
      <w:start w:val="1"/>
      <w:numFmt w:val="bullet"/>
      <w:lvlText w:val="•"/>
      <w:lvlJc w:val="left"/>
      <w:pPr>
        <w:tabs>
          <w:tab w:val="num" w:pos="520"/>
        </w:tabs>
        <w:ind w:left="520" w:hanging="520"/>
      </w:pPr>
      <w:rPr>
        <w:rFonts w:ascii="Times New Roman" w:hAnsi="Times New Roman" w:cs="Times New Roman"/>
        <w:b w:val="0"/>
        <w:i w:val="0"/>
      </w:rPr>
    </w:lvl>
    <w:lvl w:ilvl="1">
      <w:start w:val="1"/>
      <w:numFmt w:val="bullet"/>
      <w:lvlText w:val=""/>
      <w:lvlJc w:val="left"/>
      <w:pPr>
        <w:tabs>
          <w:tab w:val="num" w:pos="1040"/>
        </w:tabs>
        <w:ind w:left="1040" w:hanging="520"/>
      </w:pPr>
      <w:rPr>
        <w:rFonts w:ascii="Symbol" w:hAnsi="Symbol" w:hint="default"/>
        <w:b w:val="0"/>
        <w:i w:val="0"/>
      </w:rPr>
    </w:lvl>
    <w:lvl w:ilvl="2">
      <w:start w:val="1"/>
      <w:numFmt w:val="bulle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94771D4"/>
    <w:multiLevelType w:val="hybridMultilevel"/>
    <w:tmpl w:val="C2D2ACC0"/>
    <w:lvl w:ilvl="0" w:tplc="EF6A5D9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EBF275E"/>
    <w:multiLevelType w:val="multilevel"/>
    <w:tmpl w:val="62EC7FFC"/>
    <w:lvl w:ilvl="0">
      <w:start w:val="3"/>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8"/>
  </w:num>
  <w:num w:numId="2">
    <w:abstractNumId w:val="20"/>
  </w:num>
  <w:num w:numId="3">
    <w:abstractNumId w:val="25"/>
  </w:num>
  <w:num w:numId="4">
    <w:abstractNumId w:val="27"/>
  </w:num>
  <w:num w:numId="5">
    <w:abstractNumId w:val="13"/>
  </w:num>
  <w:num w:numId="6">
    <w:abstractNumId w:val="15"/>
  </w:num>
  <w:num w:numId="7">
    <w:abstractNumId w:val="16"/>
  </w:num>
  <w:num w:numId="8">
    <w:abstractNumId w:val="21"/>
  </w:num>
  <w:num w:numId="9">
    <w:abstractNumId w:val="33"/>
  </w:num>
  <w:num w:numId="10">
    <w:abstractNumId w:val="31"/>
  </w:num>
  <w:num w:numId="11">
    <w:abstractNumId w:val="32"/>
  </w:num>
  <w:num w:numId="12">
    <w:abstractNumId w:val="26"/>
  </w:num>
  <w:num w:numId="13">
    <w:abstractNumId w:val="10"/>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2"/>
  </w:num>
  <w:num w:numId="17">
    <w:abstractNumId w:val="17"/>
  </w:num>
  <w:num w:numId="18">
    <w:abstractNumId w:val="24"/>
  </w:num>
  <w:num w:numId="19">
    <w:abstractNumId w:val="30"/>
  </w:num>
  <w:num w:numId="20">
    <w:abstractNumId w:val="14"/>
  </w:num>
  <w:num w:numId="21">
    <w:abstractNumId w:val="32"/>
  </w:num>
  <w:num w:numId="22">
    <w:abstractNumId w:val="3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9"/>
  </w:num>
  <w:num w:numId="35">
    <w:abstractNumId w:val="1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1"/>
    <w:lvlOverride w:ilvl="0">
      <w:startOverride w:val="1"/>
    </w:lvlOverride>
  </w:num>
  <w:num w:numId="39">
    <w:abstractNumId w:val="11"/>
    <w:lvlOverride w:ilvl="0">
      <w:startOverride w:val="1"/>
    </w:lvlOverride>
  </w:num>
  <w:num w:numId="40">
    <w:abstractNumId w:val="22"/>
  </w:num>
  <w:num w:numId="41">
    <w:abstractNumId w:val="2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evenAndOddHeaders/>
  <w:drawingGridHorizontalSpacing w:val="100"/>
  <w:displayHorizontalDrawingGridEvery w:val="2"/>
  <w:displayVerticalDrawingGridEvery w:val="2"/>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栜熉֩╀ЫӤင뺘牜Ɇ`Ѐ䘠˞䜀˞"/>
  </w:docVars>
  <w:rsids>
    <w:rsidRoot w:val="00FD69FD"/>
    <w:rsid w:val="00006462"/>
    <w:rsid w:val="000077DD"/>
    <w:rsid w:val="00007E83"/>
    <w:rsid w:val="00007E9B"/>
    <w:rsid w:val="00010483"/>
    <w:rsid w:val="00010C4E"/>
    <w:rsid w:val="000110BA"/>
    <w:rsid w:val="00013D7D"/>
    <w:rsid w:val="000142BD"/>
    <w:rsid w:val="00014614"/>
    <w:rsid w:val="0001485C"/>
    <w:rsid w:val="00014E1C"/>
    <w:rsid w:val="000154E9"/>
    <w:rsid w:val="00015F3C"/>
    <w:rsid w:val="0001712D"/>
    <w:rsid w:val="000175A2"/>
    <w:rsid w:val="000204A4"/>
    <w:rsid w:val="00021CA1"/>
    <w:rsid w:val="0002387F"/>
    <w:rsid w:val="00025EB2"/>
    <w:rsid w:val="000263FB"/>
    <w:rsid w:val="000264FA"/>
    <w:rsid w:val="00030CA2"/>
    <w:rsid w:val="00031BB6"/>
    <w:rsid w:val="000323CB"/>
    <w:rsid w:val="000345D7"/>
    <w:rsid w:val="000346AF"/>
    <w:rsid w:val="00034D5C"/>
    <w:rsid w:val="00034EB2"/>
    <w:rsid w:val="000359B1"/>
    <w:rsid w:val="000363D1"/>
    <w:rsid w:val="000405A2"/>
    <w:rsid w:val="00040C60"/>
    <w:rsid w:val="0004140F"/>
    <w:rsid w:val="000422DE"/>
    <w:rsid w:val="00043202"/>
    <w:rsid w:val="00043996"/>
    <w:rsid w:val="00045DC0"/>
    <w:rsid w:val="00047F7E"/>
    <w:rsid w:val="00052C5E"/>
    <w:rsid w:val="00057CAB"/>
    <w:rsid w:val="00057CEB"/>
    <w:rsid w:val="0006138B"/>
    <w:rsid w:val="000627A0"/>
    <w:rsid w:val="000627DA"/>
    <w:rsid w:val="000629AA"/>
    <w:rsid w:val="00062DF9"/>
    <w:rsid w:val="00064C14"/>
    <w:rsid w:val="0006573D"/>
    <w:rsid w:val="000672EF"/>
    <w:rsid w:val="000704DF"/>
    <w:rsid w:val="0007145E"/>
    <w:rsid w:val="0007340D"/>
    <w:rsid w:val="000738E7"/>
    <w:rsid w:val="000741CB"/>
    <w:rsid w:val="00074333"/>
    <w:rsid w:val="00074384"/>
    <w:rsid w:val="000771FD"/>
    <w:rsid w:val="000773DE"/>
    <w:rsid w:val="00077C0F"/>
    <w:rsid w:val="00081B05"/>
    <w:rsid w:val="00082217"/>
    <w:rsid w:val="00085089"/>
    <w:rsid w:val="00086C3F"/>
    <w:rsid w:val="00086E46"/>
    <w:rsid w:val="000879D2"/>
    <w:rsid w:val="00091ADB"/>
    <w:rsid w:val="00091F4B"/>
    <w:rsid w:val="000930CA"/>
    <w:rsid w:val="0009357A"/>
    <w:rsid w:val="00096017"/>
    <w:rsid w:val="00097418"/>
    <w:rsid w:val="00097687"/>
    <w:rsid w:val="00097D3F"/>
    <w:rsid w:val="000A0152"/>
    <w:rsid w:val="000A0DB9"/>
    <w:rsid w:val="000A5814"/>
    <w:rsid w:val="000A629B"/>
    <w:rsid w:val="000A6F1B"/>
    <w:rsid w:val="000A7BCD"/>
    <w:rsid w:val="000A7BCF"/>
    <w:rsid w:val="000B0AE9"/>
    <w:rsid w:val="000B161A"/>
    <w:rsid w:val="000B1CBF"/>
    <w:rsid w:val="000B2B77"/>
    <w:rsid w:val="000B3330"/>
    <w:rsid w:val="000B3F97"/>
    <w:rsid w:val="000B599C"/>
    <w:rsid w:val="000B5F26"/>
    <w:rsid w:val="000C0575"/>
    <w:rsid w:val="000C105E"/>
    <w:rsid w:val="000C13C8"/>
    <w:rsid w:val="000C1816"/>
    <w:rsid w:val="000C2721"/>
    <w:rsid w:val="000C289E"/>
    <w:rsid w:val="000C2922"/>
    <w:rsid w:val="000C3CE2"/>
    <w:rsid w:val="000C3D41"/>
    <w:rsid w:val="000C5393"/>
    <w:rsid w:val="000C5684"/>
    <w:rsid w:val="000C5A50"/>
    <w:rsid w:val="000C5F3D"/>
    <w:rsid w:val="000C6DF1"/>
    <w:rsid w:val="000C70AB"/>
    <w:rsid w:val="000D074B"/>
    <w:rsid w:val="000D0850"/>
    <w:rsid w:val="000D13E6"/>
    <w:rsid w:val="000D39BB"/>
    <w:rsid w:val="000D50C3"/>
    <w:rsid w:val="000D6DC7"/>
    <w:rsid w:val="000D7E82"/>
    <w:rsid w:val="000E12F5"/>
    <w:rsid w:val="000E167E"/>
    <w:rsid w:val="000E23F6"/>
    <w:rsid w:val="000E2DDA"/>
    <w:rsid w:val="000E361E"/>
    <w:rsid w:val="000E404C"/>
    <w:rsid w:val="000E4608"/>
    <w:rsid w:val="000E5426"/>
    <w:rsid w:val="000E57B4"/>
    <w:rsid w:val="000E77F1"/>
    <w:rsid w:val="000F2264"/>
    <w:rsid w:val="000F2577"/>
    <w:rsid w:val="000F36E0"/>
    <w:rsid w:val="000F527C"/>
    <w:rsid w:val="000F55F5"/>
    <w:rsid w:val="000F6AC1"/>
    <w:rsid w:val="00101117"/>
    <w:rsid w:val="00101518"/>
    <w:rsid w:val="00101DE3"/>
    <w:rsid w:val="00103F65"/>
    <w:rsid w:val="0010517F"/>
    <w:rsid w:val="00105429"/>
    <w:rsid w:val="00106061"/>
    <w:rsid w:val="0010645D"/>
    <w:rsid w:val="00107AC4"/>
    <w:rsid w:val="00107DC9"/>
    <w:rsid w:val="00111137"/>
    <w:rsid w:val="00114469"/>
    <w:rsid w:val="0011462E"/>
    <w:rsid w:val="001148D0"/>
    <w:rsid w:val="0011572C"/>
    <w:rsid w:val="00116F33"/>
    <w:rsid w:val="00120366"/>
    <w:rsid w:val="0012162F"/>
    <w:rsid w:val="00122A00"/>
    <w:rsid w:val="00123E09"/>
    <w:rsid w:val="001240C6"/>
    <w:rsid w:val="00124194"/>
    <w:rsid w:val="00124233"/>
    <w:rsid w:val="00124BDE"/>
    <w:rsid w:val="001251B9"/>
    <w:rsid w:val="00127868"/>
    <w:rsid w:val="001302D9"/>
    <w:rsid w:val="001303C7"/>
    <w:rsid w:val="00130D1F"/>
    <w:rsid w:val="00131A60"/>
    <w:rsid w:val="001325A1"/>
    <w:rsid w:val="001325CC"/>
    <w:rsid w:val="00134866"/>
    <w:rsid w:val="00135D2D"/>
    <w:rsid w:val="00137397"/>
    <w:rsid w:val="001407A6"/>
    <w:rsid w:val="00141378"/>
    <w:rsid w:val="0014388B"/>
    <w:rsid w:val="0014398E"/>
    <w:rsid w:val="0014548A"/>
    <w:rsid w:val="0014704E"/>
    <w:rsid w:val="00147D56"/>
    <w:rsid w:val="0015036C"/>
    <w:rsid w:val="0015183E"/>
    <w:rsid w:val="00151F82"/>
    <w:rsid w:val="0015340D"/>
    <w:rsid w:val="001547C3"/>
    <w:rsid w:val="00155776"/>
    <w:rsid w:val="001604B4"/>
    <w:rsid w:val="00161419"/>
    <w:rsid w:val="00162FA7"/>
    <w:rsid w:val="001630B5"/>
    <w:rsid w:val="0016320D"/>
    <w:rsid w:val="00164118"/>
    <w:rsid w:val="001654A4"/>
    <w:rsid w:val="00165A62"/>
    <w:rsid w:val="00165C43"/>
    <w:rsid w:val="00167171"/>
    <w:rsid w:val="001675E4"/>
    <w:rsid w:val="00167F03"/>
    <w:rsid w:val="00167FDC"/>
    <w:rsid w:val="00170A08"/>
    <w:rsid w:val="0017311F"/>
    <w:rsid w:val="00173F5F"/>
    <w:rsid w:val="00173FDB"/>
    <w:rsid w:val="001753D8"/>
    <w:rsid w:val="00177DD7"/>
    <w:rsid w:val="0018042B"/>
    <w:rsid w:val="001811F2"/>
    <w:rsid w:val="0018312C"/>
    <w:rsid w:val="00183612"/>
    <w:rsid w:val="00183AFB"/>
    <w:rsid w:val="00184CB3"/>
    <w:rsid w:val="001855FB"/>
    <w:rsid w:val="0018584C"/>
    <w:rsid w:val="00185BA7"/>
    <w:rsid w:val="001904F5"/>
    <w:rsid w:val="00190AAF"/>
    <w:rsid w:val="00191061"/>
    <w:rsid w:val="001917DD"/>
    <w:rsid w:val="00191A87"/>
    <w:rsid w:val="00192107"/>
    <w:rsid w:val="0019388D"/>
    <w:rsid w:val="001939A6"/>
    <w:rsid w:val="00194382"/>
    <w:rsid w:val="00194789"/>
    <w:rsid w:val="001A0071"/>
    <w:rsid w:val="001A0CCD"/>
    <w:rsid w:val="001A1792"/>
    <w:rsid w:val="001A33B2"/>
    <w:rsid w:val="001A33C7"/>
    <w:rsid w:val="001A352B"/>
    <w:rsid w:val="001A3F36"/>
    <w:rsid w:val="001A6855"/>
    <w:rsid w:val="001B0771"/>
    <w:rsid w:val="001B28F7"/>
    <w:rsid w:val="001B2F98"/>
    <w:rsid w:val="001B3E2A"/>
    <w:rsid w:val="001B648C"/>
    <w:rsid w:val="001B7C8E"/>
    <w:rsid w:val="001C089F"/>
    <w:rsid w:val="001C0F80"/>
    <w:rsid w:val="001C17E5"/>
    <w:rsid w:val="001C2BCE"/>
    <w:rsid w:val="001C2E82"/>
    <w:rsid w:val="001C3824"/>
    <w:rsid w:val="001C493B"/>
    <w:rsid w:val="001C4DBE"/>
    <w:rsid w:val="001C6D08"/>
    <w:rsid w:val="001C73EE"/>
    <w:rsid w:val="001C7C7E"/>
    <w:rsid w:val="001D1C8F"/>
    <w:rsid w:val="001D29EC"/>
    <w:rsid w:val="001D4263"/>
    <w:rsid w:val="001D4712"/>
    <w:rsid w:val="001D4757"/>
    <w:rsid w:val="001D52E9"/>
    <w:rsid w:val="001D72F2"/>
    <w:rsid w:val="001D7C0E"/>
    <w:rsid w:val="001D7D41"/>
    <w:rsid w:val="001E13BF"/>
    <w:rsid w:val="001E1E65"/>
    <w:rsid w:val="001E25CF"/>
    <w:rsid w:val="001E282E"/>
    <w:rsid w:val="001E3430"/>
    <w:rsid w:val="001E34EA"/>
    <w:rsid w:val="001E3E8D"/>
    <w:rsid w:val="001E43D3"/>
    <w:rsid w:val="001E4670"/>
    <w:rsid w:val="001E4F72"/>
    <w:rsid w:val="001E6C05"/>
    <w:rsid w:val="001E6DA9"/>
    <w:rsid w:val="001E77E4"/>
    <w:rsid w:val="001E7D93"/>
    <w:rsid w:val="001F0602"/>
    <w:rsid w:val="001F1192"/>
    <w:rsid w:val="001F1BC0"/>
    <w:rsid w:val="001F2DDB"/>
    <w:rsid w:val="001F3196"/>
    <w:rsid w:val="001F3DFB"/>
    <w:rsid w:val="001F5F59"/>
    <w:rsid w:val="001F673C"/>
    <w:rsid w:val="00201402"/>
    <w:rsid w:val="00201D93"/>
    <w:rsid w:val="00202FE4"/>
    <w:rsid w:val="00203237"/>
    <w:rsid w:val="002034CC"/>
    <w:rsid w:val="0020430F"/>
    <w:rsid w:val="00204A3A"/>
    <w:rsid w:val="00204D24"/>
    <w:rsid w:val="00205736"/>
    <w:rsid w:val="00207156"/>
    <w:rsid w:val="00207D65"/>
    <w:rsid w:val="00210AEC"/>
    <w:rsid w:val="002112C8"/>
    <w:rsid w:val="002113FA"/>
    <w:rsid w:val="00211808"/>
    <w:rsid w:val="00211956"/>
    <w:rsid w:val="00212445"/>
    <w:rsid w:val="002127E8"/>
    <w:rsid w:val="00212A4E"/>
    <w:rsid w:val="00212F03"/>
    <w:rsid w:val="0021325F"/>
    <w:rsid w:val="002140F5"/>
    <w:rsid w:val="00216EC5"/>
    <w:rsid w:val="002176F1"/>
    <w:rsid w:val="002206F0"/>
    <w:rsid w:val="00221782"/>
    <w:rsid w:val="00221F0A"/>
    <w:rsid w:val="002231CE"/>
    <w:rsid w:val="00224EEA"/>
    <w:rsid w:val="00224EEF"/>
    <w:rsid w:val="002262B7"/>
    <w:rsid w:val="00226BB2"/>
    <w:rsid w:val="00226D61"/>
    <w:rsid w:val="00226EFB"/>
    <w:rsid w:val="002275F4"/>
    <w:rsid w:val="002335C3"/>
    <w:rsid w:val="00233E0E"/>
    <w:rsid w:val="00234775"/>
    <w:rsid w:val="002350EA"/>
    <w:rsid w:val="00237A00"/>
    <w:rsid w:val="00237E4A"/>
    <w:rsid w:val="00241284"/>
    <w:rsid w:val="00242FA7"/>
    <w:rsid w:val="00244D51"/>
    <w:rsid w:val="0024727E"/>
    <w:rsid w:val="00247295"/>
    <w:rsid w:val="00247443"/>
    <w:rsid w:val="00247780"/>
    <w:rsid w:val="0025010B"/>
    <w:rsid w:val="0025022F"/>
    <w:rsid w:val="00250D3B"/>
    <w:rsid w:val="00251ED4"/>
    <w:rsid w:val="00253978"/>
    <w:rsid w:val="00254B8C"/>
    <w:rsid w:val="002551F3"/>
    <w:rsid w:val="0025570C"/>
    <w:rsid w:val="00255765"/>
    <w:rsid w:val="00255C69"/>
    <w:rsid w:val="00257B1D"/>
    <w:rsid w:val="00260561"/>
    <w:rsid w:val="002621F5"/>
    <w:rsid w:val="00262CE9"/>
    <w:rsid w:val="002631A5"/>
    <w:rsid w:val="00263B66"/>
    <w:rsid w:val="00263CCE"/>
    <w:rsid w:val="002650AF"/>
    <w:rsid w:val="0026565E"/>
    <w:rsid w:val="00265DD2"/>
    <w:rsid w:val="00267A46"/>
    <w:rsid w:val="00267E24"/>
    <w:rsid w:val="00271A3B"/>
    <w:rsid w:val="00271C6C"/>
    <w:rsid w:val="00271E21"/>
    <w:rsid w:val="00272480"/>
    <w:rsid w:val="00272989"/>
    <w:rsid w:val="00275D4A"/>
    <w:rsid w:val="0027602A"/>
    <w:rsid w:val="0027604C"/>
    <w:rsid w:val="0027606B"/>
    <w:rsid w:val="002766A8"/>
    <w:rsid w:val="00277F6B"/>
    <w:rsid w:val="00280492"/>
    <w:rsid w:val="00280939"/>
    <w:rsid w:val="002823DE"/>
    <w:rsid w:val="00282822"/>
    <w:rsid w:val="00283DDC"/>
    <w:rsid w:val="002848A3"/>
    <w:rsid w:val="00284BD7"/>
    <w:rsid w:val="0028588B"/>
    <w:rsid w:val="00290364"/>
    <w:rsid w:val="002905EE"/>
    <w:rsid w:val="00290CD8"/>
    <w:rsid w:val="0029324A"/>
    <w:rsid w:val="00293497"/>
    <w:rsid w:val="002934A9"/>
    <w:rsid w:val="00294665"/>
    <w:rsid w:val="00294E90"/>
    <w:rsid w:val="0029500E"/>
    <w:rsid w:val="00295120"/>
    <w:rsid w:val="002954C6"/>
    <w:rsid w:val="00297E0F"/>
    <w:rsid w:val="002A03DB"/>
    <w:rsid w:val="002A05D2"/>
    <w:rsid w:val="002A08E5"/>
    <w:rsid w:val="002A1206"/>
    <w:rsid w:val="002A1EEF"/>
    <w:rsid w:val="002A256F"/>
    <w:rsid w:val="002A4F63"/>
    <w:rsid w:val="002A59D1"/>
    <w:rsid w:val="002A67F3"/>
    <w:rsid w:val="002A76F1"/>
    <w:rsid w:val="002A7ED2"/>
    <w:rsid w:val="002B0562"/>
    <w:rsid w:val="002B1556"/>
    <w:rsid w:val="002B22C6"/>
    <w:rsid w:val="002B255C"/>
    <w:rsid w:val="002B2C5E"/>
    <w:rsid w:val="002B40A6"/>
    <w:rsid w:val="002B527F"/>
    <w:rsid w:val="002B56D9"/>
    <w:rsid w:val="002C02CD"/>
    <w:rsid w:val="002C11B2"/>
    <w:rsid w:val="002C131A"/>
    <w:rsid w:val="002C4031"/>
    <w:rsid w:val="002C65D7"/>
    <w:rsid w:val="002C760B"/>
    <w:rsid w:val="002D0281"/>
    <w:rsid w:val="002D2FB0"/>
    <w:rsid w:val="002D38DD"/>
    <w:rsid w:val="002D4154"/>
    <w:rsid w:val="002D51BD"/>
    <w:rsid w:val="002D771E"/>
    <w:rsid w:val="002E06DE"/>
    <w:rsid w:val="002E137E"/>
    <w:rsid w:val="002E2398"/>
    <w:rsid w:val="002E609D"/>
    <w:rsid w:val="002E6852"/>
    <w:rsid w:val="002E7EA0"/>
    <w:rsid w:val="002F0A4A"/>
    <w:rsid w:val="002F1351"/>
    <w:rsid w:val="002F14C3"/>
    <w:rsid w:val="002F1A7D"/>
    <w:rsid w:val="002F2381"/>
    <w:rsid w:val="002F33EF"/>
    <w:rsid w:val="002F4DD5"/>
    <w:rsid w:val="002F5A9B"/>
    <w:rsid w:val="002F6739"/>
    <w:rsid w:val="002F6EA0"/>
    <w:rsid w:val="002F7996"/>
    <w:rsid w:val="00300689"/>
    <w:rsid w:val="003008F4"/>
    <w:rsid w:val="003017BC"/>
    <w:rsid w:val="0030202A"/>
    <w:rsid w:val="00302F76"/>
    <w:rsid w:val="0030329C"/>
    <w:rsid w:val="003049F6"/>
    <w:rsid w:val="00304A45"/>
    <w:rsid w:val="00305904"/>
    <w:rsid w:val="00305C06"/>
    <w:rsid w:val="00306826"/>
    <w:rsid w:val="003068A1"/>
    <w:rsid w:val="0030753E"/>
    <w:rsid w:val="00311A88"/>
    <w:rsid w:val="00311AEC"/>
    <w:rsid w:val="0031291F"/>
    <w:rsid w:val="003148DF"/>
    <w:rsid w:val="00315153"/>
    <w:rsid w:val="00317217"/>
    <w:rsid w:val="00320C33"/>
    <w:rsid w:val="00320E17"/>
    <w:rsid w:val="003217E4"/>
    <w:rsid w:val="0032416A"/>
    <w:rsid w:val="00325A6A"/>
    <w:rsid w:val="00325C1B"/>
    <w:rsid w:val="003261B0"/>
    <w:rsid w:val="00326CEE"/>
    <w:rsid w:val="00330845"/>
    <w:rsid w:val="00331643"/>
    <w:rsid w:val="00332571"/>
    <w:rsid w:val="00333313"/>
    <w:rsid w:val="003338ED"/>
    <w:rsid w:val="003339B4"/>
    <w:rsid w:val="00335007"/>
    <w:rsid w:val="0033576D"/>
    <w:rsid w:val="0034010C"/>
    <w:rsid w:val="003406CD"/>
    <w:rsid w:val="0034076D"/>
    <w:rsid w:val="00341BA6"/>
    <w:rsid w:val="0034298B"/>
    <w:rsid w:val="0034316C"/>
    <w:rsid w:val="00343639"/>
    <w:rsid w:val="00343720"/>
    <w:rsid w:val="00344324"/>
    <w:rsid w:val="0034668A"/>
    <w:rsid w:val="0035037B"/>
    <w:rsid w:val="00350D95"/>
    <w:rsid w:val="00352908"/>
    <w:rsid w:val="00352FBD"/>
    <w:rsid w:val="00352FCF"/>
    <w:rsid w:val="00353318"/>
    <w:rsid w:val="0035363B"/>
    <w:rsid w:val="00354E40"/>
    <w:rsid w:val="00355214"/>
    <w:rsid w:val="00355882"/>
    <w:rsid w:val="003566B9"/>
    <w:rsid w:val="00356B5E"/>
    <w:rsid w:val="00357239"/>
    <w:rsid w:val="0035774F"/>
    <w:rsid w:val="00360CC9"/>
    <w:rsid w:val="00365B34"/>
    <w:rsid w:val="00370454"/>
    <w:rsid w:val="0037195E"/>
    <w:rsid w:val="00372267"/>
    <w:rsid w:val="003722D9"/>
    <w:rsid w:val="0037269E"/>
    <w:rsid w:val="00372DA0"/>
    <w:rsid w:val="00372E45"/>
    <w:rsid w:val="00373AAF"/>
    <w:rsid w:val="003741A9"/>
    <w:rsid w:val="003742D4"/>
    <w:rsid w:val="0037510E"/>
    <w:rsid w:val="00375418"/>
    <w:rsid w:val="0037610B"/>
    <w:rsid w:val="00377F73"/>
    <w:rsid w:val="00380258"/>
    <w:rsid w:val="0038065F"/>
    <w:rsid w:val="003813C9"/>
    <w:rsid w:val="003819DC"/>
    <w:rsid w:val="00381CEE"/>
    <w:rsid w:val="00381D3B"/>
    <w:rsid w:val="003826E8"/>
    <w:rsid w:val="003833DC"/>
    <w:rsid w:val="003857C6"/>
    <w:rsid w:val="00385F8F"/>
    <w:rsid w:val="00385FBA"/>
    <w:rsid w:val="0038665D"/>
    <w:rsid w:val="00392599"/>
    <w:rsid w:val="00393660"/>
    <w:rsid w:val="00394C86"/>
    <w:rsid w:val="0039646A"/>
    <w:rsid w:val="0039799D"/>
    <w:rsid w:val="00397B8B"/>
    <w:rsid w:val="003A1100"/>
    <w:rsid w:val="003A13C7"/>
    <w:rsid w:val="003A1410"/>
    <w:rsid w:val="003A1A11"/>
    <w:rsid w:val="003A22B3"/>
    <w:rsid w:val="003A2455"/>
    <w:rsid w:val="003A3EC0"/>
    <w:rsid w:val="003A61E4"/>
    <w:rsid w:val="003A6DFF"/>
    <w:rsid w:val="003A75E5"/>
    <w:rsid w:val="003B0FE8"/>
    <w:rsid w:val="003B148C"/>
    <w:rsid w:val="003B14A1"/>
    <w:rsid w:val="003B19F2"/>
    <w:rsid w:val="003B1A63"/>
    <w:rsid w:val="003B1B3E"/>
    <w:rsid w:val="003B277C"/>
    <w:rsid w:val="003B4AA1"/>
    <w:rsid w:val="003B5835"/>
    <w:rsid w:val="003B797C"/>
    <w:rsid w:val="003C0BBD"/>
    <w:rsid w:val="003C3240"/>
    <w:rsid w:val="003C4EE8"/>
    <w:rsid w:val="003C68A0"/>
    <w:rsid w:val="003C6A9C"/>
    <w:rsid w:val="003C7125"/>
    <w:rsid w:val="003C7AA5"/>
    <w:rsid w:val="003C7ABA"/>
    <w:rsid w:val="003C7C14"/>
    <w:rsid w:val="003D2A23"/>
    <w:rsid w:val="003D3BDE"/>
    <w:rsid w:val="003D49E3"/>
    <w:rsid w:val="003D68DC"/>
    <w:rsid w:val="003D71F6"/>
    <w:rsid w:val="003D761F"/>
    <w:rsid w:val="003E1368"/>
    <w:rsid w:val="003E194F"/>
    <w:rsid w:val="003E1BCA"/>
    <w:rsid w:val="003E3E81"/>
    <w:rsid w:val="003E71DA"/>
    <w:rsid w:val="003F09AE"/>
    <w:rsid w:val="003F09F9"/>
    <w:rsid w:val="003F31DE"/>
    <w:rsid w:val="003F439D"/>
    <w:rsid w:val="003F4A6D"/>
    <w:rsid w:val="003F4D8A"/>
    <w:rsid w:val="003F5D97"/>
    <w:rsid w:val="003F742E"/>
    <w:rsid w:val="003F7D72"/>
    <w:rsid w:val="00403268"/>
    <w:rsid w:val="00405AD9"/>
    <w:rsid w:val="00405D79"/>
    <w:rsid w:val="00411C65"/>
    <w:rsid w:val="00412CC4"/>
    <w:rsid w:val="00414DA0"/>
    <w:rsid w:val="00416B11"/>
    <w:rsid w:val="00416CFB"/>
    <w:rsid w:val="00420595"/>
    <w:rsid w:val="00420D7C"/>
    <w:rsid w:val="00422400"/>
    <w:rsid w:val="00422A00"/>
    <w:rsid w:val="00422BEC"/>
    <w:rsid w:val="004235FA"/>
    <w:rsid w:val="00423B1B"/>
    <w:rsid w:val="00423DE2"/>
    <w:rsid w:val="0042556C"/>
    <w:rsid w:val="00426A3A"/>
    <w:rsid w:val="0042794E"/>
    <w:rsid w:val="00427C75"/>
    <w:rsid w:val="00431099"/>
    <w:rsid w:val="00434B54"/>
    <w:rsid w:val="00434DE8"/>
    <w:rsid w:val="004365C9"/>
    <w:rsid w:val="004365D6"/>
    <w:rsid w:val="004376E6"/>
    <w:rsid w:val="00437A23"/>
    <w:rsid w:val="00437D06"/>
    <w:rsid w:val="00440F3D"/>
    <w:rsid w:val="00441B45"/>
    <w:rsid w:val="00443669"/>
    <w:rsid w:val="0044581D"/>
    <w:rsid w:val="00445C1B"/>
    <w:rsid w:val="0044717A"/>
    <w:rsid w:val="00447234"/>
    <w:rsid w:val="0044727B"/>
    <w:rsid w:val="00450A25"/>
    <w:rsid w:val="00451DF5"/>
    <w:rsid w:val="00452327"/>
    <w:rsid w:val="0045402D"/>
    <w:rsid w:val="004555D0"/>
    <w:rsid w:val="0045565E"/>
    <w:rsid w:val="0045753C"/>
    <w:rsid w:val="00457C56"/>
    <w:rsid w:val="0046003A"/>
    <w:rsid w:val="00462CCC"/>
    <w:rsid w:val="004641A2"/>
    <w:rsid w:val="004662C9"/>
    <w:rsid w:val="00466422"/>
    <w:rsid w:val="00466B31"/>
    <w:rsid w:val="00467979"/>
    <w:rsid w:val="0047099E"/>
    <w:rsid w:val="004709DA"/>
    <w:rsid w:val="004734CE"/>
    <w:rsid w:val="004768D3"/>
    <w:rsid w:val="00477B3C"/>
    <w:rsid w:val="00480469"/>
    <w:rsid w:val="004807C9"/>
    <w:rsid w:val="004810C4"/>
    <w:rsid w:val="004819D3"/>
    <w:rsid w:val="00481BFC"/>
    <w:rsid w:val="004834A4"/>
    <w:rsid w:val="00483A27"/>
    <w:rsid w:val="00483BD9"/>
    <w:rsid w:val="00483FA6"/>
    <w:rsid w:val="00484217"/>
    <w:rsid w:val="004857F7"/>
    <w:rsid w:val="00485FF0"/>
    <w:rsid w:val="004863EB"/>
    <w:rsid w:val="00486B1A"/>
    <w:rsid w:val="0049043C"/>
    <w:rsid w:val="00490DA0"/>
    <w:rsid w:val="00490FEA"/>
    <w:rsid w:val="004927DB"/>
    <w:rsid w:val="00492D90"/>
    <w:rsid w:val="00494F7D"/>
    <w:rsid w:val="0049659F"/>
    <w:rsid w:val="004A03B5"/>
    <w:rsid w:val="004A164C"/>
    <w:rsid w:val="004A169F"/>
    <w:rsid w:val="004A28EF"/>
    <w:rsid w:val="004A40EE"/>
    <w:rsid w:val="004A5EB0"/>
    <w:rsid w:val="004A68BA"/>
    <w:rsid w:val="004A71CE"/>
    <w:rsid w:val="004A76C9"/>
    <w:rsid w:val="004A798C"/>
    <w:rsid w:val="004B0C4B"/>
    <w:rsid w:val="004B18C9"/>
    <w:rsid w:val="004B1934"/>
    <w:rsid w:val="004B1F6E"/>
    <w:rsid w:val="004B28E5"/>
    <w:rsid w:val="004B67FB"/>
    <w:rsid w:val="004B7835"/>
    <w:rsid w:val="004C0138"/>
    <w:rsid w:val="004C0D07"/>
    <w:rsid w:val="004C1E4E"/>
    <w:rsid w:val="004C3A99"/>
    <w:rsid w:val="004C4632"/>
    <w:rsid w:val="004C556A"/>
    <w:rsid w:val="004D04C1"/>
    <w:rsid w:val="004D1048"/>
    <w:rsid w:val="004D11B7"/>
    <w:rsid w:val="004D22D1"/>
    <w:rsid w:val="004D2CA3"/>
    <w:rsid w:val="004D3164"/>
    <w:rsid w:val="004D330A"/>
    <w:rsid w:val="004D341A"/>
    <w:rsid w:val="004D5889"/>
    <w:rsid w:val="004D5AA0"/>
    <w:rsid w:val="004D5AC3"/>
    <w:rsid w:val="004D5B65"/>
    <w:rsid w:val="004D6C8B"/>
    <w:rsid w:val="004D75EF"/>
    <w:rsid w:val="004E2F2C"/>
    <w:rsid w:val="004E3677"/>
    <w:rsid w:val="004E3723"/>
    <w:rsid w:val="004E4DD3"/>
    <w:rsid w:val="004E560E"/>
    <w:rsid w:val="004E66FB"/>
    <w:rsid w:val="004E6816"/>
    <w:rsid w:val="004E6B17"/>
    <w:rsid w:val="004F0C28"/>
    <w:rsid w:val="004F2178"/>
    <w:rsid w:val="0050100E"/>
    <w:rsid w:val="0050262C"/>
    <w:rsid w:val="00502B43"/>
    <w:rsid w:val="005039EE"/>
    <w:rsid w:val="00503A60"/>
    <w:rsid w:val="0050495D"/>
    <w:rsid w:val="005050E6"/>
    <w:rsid w:val="005058E7"/>
    <w:rsid w:val="005061C5"/>
    <w:rsid w:val="00506413"/>
    <w:rsid w:val="00507A2A"/>
    <w:rsid w:val="00510DA6"/>
    <w:rsid w:val="00512AD1"/>
    <w:rsid w:val="00515AED"/>
    <w:rsid w:val="0051712C"/>
    <w:rsid w:val="00520221"/>
    <w:rsid w:val="005205A2"/>
    <w:rsid w:val="00520EFB"/>
    <w:rsid w:val="005222F8"/>
    <w:rsid w:val="00523BC4"/>
    <w:rsid w:val="00525269"/>
    <w:rsid w:val="00525E34"/>
    <w:rsid w:val="005268F3"/>
    <w:rsid w:val="00526C98"/>
    <w:rsid w:val="00530617"/>
    <w:rsid w:val="00531A10"/>
    <w:rsid w:val="00533871"/>
    <w:rsid w:val="00536ABE"/>
    <w:rsid w:val="00537289"/>
    <w:rsid w:val="00537EE8"/>
    <w:rsid w:val="005404D4"/>
    <w:rsid w:val="00540D87"/>
    <w:rsid w:val="00544AEF"/>
    <w:rsid w:val="00544D77"/>
    <w:rsid w:val="00550048"/>
    <w:rsid w:val="005500CB"/>
    <w:rsid w:val="00550FEB"/>
    <w:rsid w:val="00551B08"/>
    <w:rsid w:val="005526D7"/>
    <w:rsid w:val="005545BA"/>
    <w:rsid w:val="0055502A"/>
    <w:rsid w:val="0055533F"/>
    <w:rsid w:val="00555C4C"/>
    <w:rsid w:val="0055702B"/>
    <w:rsid w:val="005601E7"/>
    <w:rsid w:val="00560448"/>
    <w:rsid w:val="00561207"/>
    <w:rsid w:val="005617E7"/>
    <w:rsid w:val="00564987"/>
    <w:rsid w:val="0056559F"/>
    <w:rsid w:val="005662FC"/>
    <w:rsid w:val="005665DB"/>
    <w:rsid w:val="005666F4"/>
    <w:rsid w:val="00566A39"/>
    <w:rsid w:val="00567EA5"/>
    <w:rsid w:val="00570573"/>
    <w:rsid w:val="0057112E"/>
    <w:rsid w:val="00571326"/>
    <w:rsid w:val="00571ABC"/>
    <w:rsid w:val="00572535"/>
    <w:rsid w:val="00572C7B"/>
    <w:rsid w:val="005739D3"/>
    <w:rsid w:val="005741A7"/>
    <w:rsid w:val="005750C6"/>
    <w:rsid w:val="005760F8"/>
    <w:rsid w:val="00576397"/>
    <w:rsid w:val="0058112A"/>
    <w:rsid w:val="005821FC"/>
    <w:rsid w:val="00582B3F"/>
    <w:rsid w:val="00583510"/>
    <w:rsid w:val="005838EB"/>
    <w:rsid w:val="00583979"/>
    <w:rsid w:val="0058573A"/>
    <w:rsid w:val="00585F9D"/>
    <w:rsid w:val="00586077"/>
    <w:rsid w:val="00586479"/>
    <w:rsid w:val="0058745D"/>
    <w:rsid w:val="00590CBD"/>
    <w:rsid w:val="005915A6"/>
    <w:rsid w:val="0059233D"/>
    <w:rsid w:val="00593342"/>
    <w:rsid w:val="005952AA"/>
    <w:rsid w:val="0059558E"/>
    <w:rsid w:val="005967D3"/>
    <w:rsid w:val="00596A25"/>
    <w:rsid w:val="005A1D51"/>
    <w:rsid w:val="005A2372"/>
    <w:rsid w:val="005A261D"/>
    <w:rsid w:val="005A4012"/>
    <w:rsid w:val="005A40C6"/>
    <w:rsid w:val="005A423B"/>
    <w:rsid w:val="005A45A2"/>
    <w:rsid w:val="005A4717"/>
    <w:rsid w:val="005A6802"/>
    <w:rsid w:val="005A6864"/>
    <w:rsid w:val="005B0EE1"/>
    <w:rsid w:val="005B1D3D"/>
    <w:rsid w:val="005B27C5"/>
    <w:rsid w:val="005B39B9"/>
    <w:rsid w:val="005B3F7D"/>
    <w:rsid w:val="005B451A"/>
    <w:rsid w:val="005B470E"/>
    <w:rsid w:val="005B487D"/>
    <w:rsid w:val="005B4EF2"/>
    <w:rsid w:val="005B545C"/>
    <w:rsid w:val="005B5A1F"/>
    <w:rsid w:val="005B5F91"/>
    <w:rsid w:val="005B6150"/>
    <w:rsid w:val="005B6649"/>
    <w:rsid w:val="005B6BA9"/>
    <w:rsid w:val="005C05D2"/>
    <w:rsid w:val="005C187A"/>
    <w:rsid w:val="005C28DF"/>
    <w:rsid w:val="005C3103"/>
    <w:rsid w:val="005C39CC"/>
    <w:rsid w:val="005C415D"/>
    <w:rsid w:val="005C45AA"/>
    <w:rsid w:val="005C53BB"/>
    <w:rsid w:val="005C53EC"/>
    <w:rsid w:val="005D0677"/>
    <w:rsid w:val="005D07E7"/>
    <w:rsid w:val="005D2851"/>
    <w:rsid w:val="005D3826"/>
    <w:rsid w:val="005D6028"/>
    <w:rsid w:val="005D67CB"/>
    <w:rsid w:val="005D799C"/>
    <w:rsid w:val="005D7E73"/>
    <w:rsid w:val="005E14C8"/>
    <w:rsid w:val="005E150D"/>
    <w:rsid w:val="005E22B8"/>
    <w:rsid w:val="005E44E3"/>
    <w:rsid w:val="005E4DE7"/>
    <w:rsid w:val="005E4E8D"/>
    <w:rsid w:val="005E5A36"/>
    <w:rsid w:val="005E6A02"/>
    <w:rsid w:val="005E6F65"/>
    <w:rsid w:val="005E76C8"/>
    <w:rsid w:val="005F2362"/>
    <w:rsid w:val="005F2E25"/>
    <w:rsid w:val="005F30BF"/>
    <w:rsid w:val="005F350A"/>
    <w:rsid w:val="005F361B"/>
    <w:rsid w:val="005F42F5"/>
    <w:rsid w:val="005F5B19"/>
    <w:rsid w:val="005F5B80"/>
    <w:rsid w:val="00601D13"/>
    <w:rsid w:val="00602C8D"/>
    <w:rsid w:val="00602F47"/>
    <w:rsid w:val="0060426E"/>
    <w:rsid w:val="0060433E"/>
    <w:rsid w:val="00605302"/>
    <w:rsid w:val="00605D31"/>
    <w:rsid w:val="00607D4D"/>
    <w:rsid w:val="0061023B"/>
    <w:rsid w:val="006104C9"/>
    <w:rsid w:val="006116C4"/>
    <w:rsid w:val="00611774"/>
    <w:rsid w:val="00614A58"/>
    <w:rsid w:val="0061632D"/>
    <w:rsid w:val="00617195"/>
    <w:rsid w:val="0061798C"/>
    <w:rsid w:val="00617F58"/>
    <w:rsid w:val="00620028"/>
    <w:rsid w:val="006203BE"/>
    <w:rsid w:val="006215BD"/>
    <w:rsid w:val="00621745"/>
    <w:rsid w:val="00623BEB"/>
    <w:rsid w:val="00623FFE"/>
    <w:rsid w:val="00624548"/>
    <w:rsid w:val="00625247"/>
    <w:rsid w:val="0062752F"/>
    <w:rsid w:val="0062775B"/>
    <w:rsid w:val="00630786"/>
    <w:rsid w:val="00631FE5"/>
    <w:rsid w:val="00632B5B"/>
    <w:rsid w:val="00634220"/>
    <w:rsid w:val="0063453C"/>
    <w:rsid w:val="00636723"/>
    <w:rsid w:val="006370CE"/>
    <w:rsid w:val="00637ABA"/>
    <w:rsid w:val="00637B4A"/>
    <w:rsid w:val="00640019"/>
    <w:rsid w:val="0064103B"/>
    <w:rsid w:val="006410BC"/>
    <w:rsid w:val="00642C48"/>
    <w:rsid w:val="00644595"/>
    <w:rsid w:val="00644E22"/>
    <w:rsid w:val="006455EE"/>
    <w:rsid w:val="006456FD"/>
    <w:rsid w:val="00645922"/>
    <w:rsid w:val="0064601E"/>
    <w:rsid w:val="006463BC"/>
    <w:rsid w:val="006464D5"/>
    <w:rsid w:val="00653B10"/>
    <w:rsid w:val="00654C91"/>
    <w:rsid w:val="00654D52"/>
    <w:rsid w:val="00655D83"/>
    <w:rsid w:val="0066060C"/>
    <w:rsid w:val="00660FC5"/>
    <w:rsid w:val="006639A5"/>
    <w:rsid w:val="00663CC3"/>
    <w:rsid w:val="00663CCC"/>
    <w:rsid w:val="00666E5C"/>
    <w:rsid w:val="0066754D"/>
    <w:rsid w:val="0067061C"/>
    <w:rsid w:val="00670BD4"/>
    <w:rsid w:val="00671908"/>
    <w:rsid w:val="0067315C"/>
    <w:rsid w:val="00673B50"/>
    <w:rsid w:val="00673C13"/>
    <w:rsid w:val="00673F12"/>
    <w:rsid w:val="006741EF"/>
    <w:rsid w:val="00674568"/>
    <w:rsid w:val="006745C8"/>
    <w:rsid w:val="00676087"/>
    <w:rsid w:val="00676F90"/>
    <w:rsid w:val="006808A5"/>
    <w:rsid w:val="00680BF3"/>
    <w:rsid w:val="00681AAF"/>
    <w:rsid w:val="00682DCF"/>
    <w:rsid w:val="006834EB"/>
    <w:rsid w:val="006839D0"/>
    <w:rsid w:val="00683DB4"/>
    <w:rsid w:val="00684F13"/>
    <w:rsid w:val="0068589A"/>
    <w:rsid w:val="0068791C"/>
    <w:rsid w:val="00693A94"/>
    <w:rsid w:val="00694492"/>
    <w:rsid w:val="006947F3"/>
    <w:rsid w:val="00694E91"/>
    <w:rsid w:val="006952CD"/>
    <w:rsid w:val="006978F0"/>
    <w:rsid w:val="00697F38"/>
    <w:rsid w:val="006A2F60"/>
    <w:rsid w:val="006A6958"/>
    <w:rsid w:val="006A6E3B"/>
    <w:rsid w:val="006B0B5F"/>
    <w:rsid w:val="006B0D5A"/>
    <w:rsid w:val="006B2FB7"/>
    <w:rsid w:val="006B4092"/>
    <w:rsid w:val="006B50D5"/>
    <w:rsid w:val="006B7A1D"/>
    <w:rsid w:val="006C062C"/>
    <w:rsid w:val="006C1367"/>
    <w:rsid w:val="006C1BDC"/>
    <w:rsid w:val="006C21AA"/>
    <w:rsid w:val="006C2467"/>
    <w:rsid w:val="006C27BA"/>
    <w:rsid w:val="006C2B98"/>
    <w:rsid w:val="006C2BF2"/>
    <w:rsid w:val="006C521A"/>
    <w:rsid w:val="006C6FFB"/>
    <w:rsid w:val="006C75BD"/>
    <w:rsid w:val="006D04EB"/>
    <w:rsid w:val="006D0B00"/>
    <w:rsid w:val="006D1480"/>
    <w:rsid w:val="006D18BC"/>
    <w:rsid w:val="006D2185"/>
    <w:rsid w:val="006D44A4"/>
    <w:rsid w:val="006D6530"/>
    <w:rsid w:val="006D76C4"/>
    <w:rsid w:val="006E08E1"/>
    <w:rsid w:val="006E0A50"/>
    <w:rsid w:val="006E153B"/>
    <w:rsid w:val="006E20D8"/>
    <w:rsid w:val="006E24F1"/>
    <w:rsid w:val="006E33D1"/>
    <w:rsid w:val="006E3510"/>
    <w:rsid w:val="006E3F0D"/>
    <w:rsid w:val="006E442C"/>
    <w:rsid w:val="006E4E85"/>
    <w:rsid w:val="006E4EDC"/>
    <w:rsid w:val="006E4FA4"/>
    <w:rsid w:val="006E5771"/>
    <w:rsid w:val="006E5FCF"/>
    <w:rsid w:val="006E6893"/>
    <w:rsid w:val="006E76C8"/>
    <w:rsid w:val="006E7A35"/>
    <w:rsid w:val="006E7C75"/>
    <w:rsid w:val="006F1120"/>
    <w:rsid w:val="006F11D1"/>
    <w:rsid w:val="006F21A9"/>
    <w:rsid w:val="006F2EEF"/>
    <w:rsid w:val="006F48D7"/>
    <w:rsid w:val="006F5417"/>
    <w:rsid w:val="006F66C8"/>
    <w:rsid w:val="006F7CED"/>
    <w:rsid w:val="007017CA"/>
    <w:rsid w:val="007031C4"/>
    <w:rsid w:val="00706040"/>
    <w:rsid w:val="0070638E"/>
    <w:rsid w:val="00706B0E"/>
    <w:rsid w:val="0070723A"/>
    <w:rsid w:val="00707606"/>
    <w:rsid w:val="00707A8C"/>
    <w:rsid w:val="00713EF9"/>
    <w:rsid w:val="00716672"/>
    <w:rsid w:val="007167B9"/>
    <w:rsid w:val="00717047"/>
    <w:rsid w:val="00717426"/>
    <w:rsid w:val="007208B8"/>
    <w:rsid w:val="00721118"/>
    <w:rsid w:val="00722C0C"/>
    <w:rsid w:val="007232B6"/>
    <w:rsid w:val="00723F15"/>
    <w:rsid w:val="00724E2D"/>
    <w:rsid w:val="00726E99"/>
    <w:rsid w:val="0072786C"/>
    <w:rsid w:val="00727DE5"/>
    <w:rsid w:val="0073022C"/>
    <w:rsid w:val="00730D58"/>
    <w:rsid w:val="007318E2"/>
    <w:rsid w:val="00733B80"/>
    <w:rsid w:val="00734C48"/>
    <w:rsid w:val="00735AB4"/>
    <w:rsid w:val="00735AD5"/>
    <w:rsid w:val="00737B30"/>
    <w:rsid w:val="00740EBA"/>
    <w:rsid w:val="00741DC1"/>
    <w:rsid w:val="00742930"/>
    <w:rsid w:val="00743499"/>
    <w:rsid w:val="00744269"/>
    <w:rsid w:val="00745BFE"/>
    <w:rsid w:val="00745CE7"/>
    <w:rsid w:val="007461CF"/>
    <w:rsid w:val="00750B37"/>
    <w:rsid w:val="00750BB8"/>
    <w:rsid w:val="00751890"/>
    <w:rsid w:val="00751B4A"/>
    <w:rsid w:val="007525B3"/>
    <w:rsid w:val="007533E1"/>
    <w:rsid w:val="007538E3"/>
    <w:rsid w:val="00753B64"/>
    <w:rsid w:val="00753EFF"/>
    <w:rsid w:val="00755DD7"/>
    <w:rsid w:val="00756381"/>
    <w:rsid w:val="00756FF0"/>
    <w:rsid w:val="0075769F"/>
    <w:rsid w:val="0076128C"/>
    <w:rsid w:val="00761ABC"/>
    <w:rsid w:val="00761BCA"/>
    <w:rsid w:val="007635F9"/>
    <w:rsid w:val="00765CF8"/>
    <w:rsid w:val="00766C26"/>
    <w:rsid w:val="00766FB3"/>
    <w:rsid w:val="007708F9"/>
    <w:rsid w:val="007737F2"/>
    <w:rsid w:val="00776DFC"/>
    <w:rsid w:val="00780735"/>
    <w:rsid w:val="00780C7F"/>
    <w:rsid w:val="00780D77"/>
    <w:rsid w:val="00782EBD"/>
    <w:rsid w:val="00783DF0"/>
    <w:rsid w:val="00785172"/>
    <w:rsid w:val="00785D88"/>
    <w:rsid w:val="007907E4"/>
    <w:rsid w:val="007907E6"/>
    <w:rsid w:val="00791F7B"/>
    <w:rsid w:val="00792B48"/>
    <w:rsid w:val="00792C0C"/>
    <w:rsid w:val="00792CAF"/>
    <w:rsid w:val="007932B7"/>
    <w:rsid w:val="00794E89"/>
    <w:rsid w:val="00794FC1"/>
    <w:rsid w:val="007968DA"/>
    <w:rsid w:val="00796B95"/>
    <w:rsid w:val="007A2815"/>
    <w:rsid w:val="007A4191"/>
    <w:rsid w:val="007A5A03"/>
    <w:rsid w:val="007A6E08"/>
    <w:rsid w:val="007A6F77"/>
    <w:rsid w:val="007A7748"/>
    <w:rsid w:val="007B0A5E"/>
    <w:rsid w:val="007B3512"/>
    <w:rsid w:val="007B3803"/>
    <w:rsid w:val="007B4483"/>
    <w:rsid w:val="007B512E"/>
    <w:rsid w:val="007B7B80"/>
    <w:rsid w:val="007B7B87"/>
    <w:rsid w:val="007C0040"/>
    <w:rsid w:val="007C191E"/>
    <w:rsid w:val="007C256C"/>
    <w:rsid w:val="007C322F"/>
    <w:rsid w:val="007C33A6"/>
    <w:rsid w:val="007C3450"/>
    <w:rsid w:val="007C362A"/>
    <w:rsid w:val="007C3890"/>
    <w:rsid w:val="007C49B0"/>
    <w:rsid w:val="007C4BA9"/>
    <w:rsid w:val="007C574B"/>
    <w:rsid w:val="007C5D96"/>
    <w:rsid w:val="007C6273"/>
    <w:rsid w:val="007C693C"/>
    <w:rsid w:val="007C7614"/>
    <w:rsid w:val="007D1C89"/>
    <w:rsid w:val="007D2329"/>
    <w:rsid w:val="007D268E"/>
    <w:rsid w:val="007D637A"/>
    <w:rsid w:val="007D6FE0"/>
    <w:rsid w:val="007E0683"/>
    <w:rsid w:val="007E0A12"/>
    <w:rsid w:val="007E0CA9"/>
    <w:rsid w:val="007E2B8B"/>
    <w:rsid w:val="007E49CA"/>
    <w:rsid w:val="007E4C2B"/>
    <w:rsid w:val="007E4E6C"/>
    <w:rsid w:val="007E4F53"/>
    <w:rsid w:val="007E5E49"/>
    <w:rsid w:val="007E75CF"/>
    <w:rsid w:val="007E7BAA"/>
    <w:rsid w:val="007E7FF9"/>
    <w:rsid w:val="007F1D71"/>
    <w:rsid w:val="007F1DDA"/>
    <w:rsid w:val="007F34E1"/>
    <w:rsid w:val="007F358C"/>
    <w:rsid w:val="007F5F8D"/>
    <w:rsid w:val="007F645A"/>
    <w:rsid w:val="007F714A"/>
    <w:rsid w:val="007F77DB"/>
    <w:rsid w:val="007F7884"/>
    <w:rsid w:val="008000D0"/>
    <w:rsid w:val="00800A37"/>
    <w:rsid w:val="00801859"/>
    <w:rsid w:val="008036CE"/>
    <w:rsid w:val="00803FDC"/>
    <w:rsid w:val="008042A3"/>
    <w:rsid w:val="00804523"/>
    <w:rsid w:val="008076B2"/>
    <w:rsid w:val="00807B8F"/>
    <w:rsid w:val="00810AFB"/>
    <w:rsid w:val="00811F67"/>
    <w:rsid w:val="008126CC"/>
    <w:rsid w:val="00812E98"/>
    <w:rsid w:val="00813AC3"/>
    <w:rsid w:val="00814E52"/>
    <w:rsid w:val="00814E6F"/>
    <w:rsid w:val="00815666"/>
    <w:rsid w:val="00816712"/>
    <w:rsid w:val="00817F51"/>
    <w:rsid w:val="008219A7"/>
    <w:rsid w:val="00823F44"/>
    <w:rsid w:val="00824115"/>
    <w:rsid w:val="00826132"/>
    <w:rsid w:val="00831DBE"/>
    <w:rsid w:val="0083240B"/>
    <w:rsid w:val="00833CE3"/>
    <w:rsid w:val="00833F82"/>
    <w:rsid w:val="00834046"/>
    <w:rsid w:val="008360B9"/>
    <w:rsid w:val="00840BB0"/>
    <w:rsid w:val="00840D9A"/>
    <w:rsid w:val="00841F0E"/>
    <w:rsid w:val="00842D54"/>
    <w:rsid w:val="00843905"/>
    <w:rsid w:val="00845DFB"/>
    <w:rsid w:val="0084633F"/>
    <w:rsid w:val="00847DB4"/>
    <w:rsid w:val="00847F9B"/>
    <w:rsid w:val="0085024D"/>
    <w:rsid w:val="00850785"/>
    <w:rsid w:val="00852DFF"/>
    <w:rsid w:val="00853B1C"/>
    <w:rsid w:val="00853F59"/>
    <w:rsid w:val="008577EB"/>
    <w:rsid w:val="00857C78"/>
    <w:rsid w:val="008603AD"/>
    <w:rsid w:val="00860909"/>
    <w:rsid w:val="00860A26"/>
    <w:rsid w:val="008627BD"/>
    <w:rsid w:val="00863E47"/>
    <w:rsid w:val="0086465F"/>
    <w:rsid w:val="00865D01"/>
    <w:rsid w:val="0086600F"/>
    <w:rsid w:val="00866F2B"/>
    <w:rsid w:val="00867F5E"/>
    <w:rsid w:val="008718CF"/>
    <w:rsid w:val="00872566"/>
    <w:rsid w:val="0087280C"/>
    <w:rsid w:val="00874265"/>
    <w:rsid w:val="00874B3A"/>
    <w:rsid w:val="00875D1A"/>
    <w:rsid w:val="0087606E"/>
    <w:rsid w:val="00876D48"/>
    <w:rsid w:val="00876FF6"/>
    <w:rsid w:val="00883C7A"/>
    <w:rsid w:val="00885A25"/>
    <w:rsid w:val="00886112"/>
    <w:rsid w:val="00886820"/>
    <w:rsid w:val="008878A9"/>
    <w:rsid w:val="00887B5A"/>
    <w:rsid w:val="00890244"/>
    <w:rsid w:val="00890800"/>
    <w:rsid w:val="008909FE"/>
    <w:rsid w:val="00892B10"/>
    <w:rsid w:val="008930C3"/>
    <w:rsid w:val="00893616"/>
    <w:rsid w:val="00896227"/>
    <w:rsid w:val="008A2A8B"/>
    <w:rsid w:val="008A2DF5"/>
    <w:rsid w:val="008A3C16"/>
    <w:rsid w:val="008A480F"/>
    <w:rsid w:val="008A4826"/>
    <w:rsid w:val="008A597B"/>
    <w:rsid w:val="008A5F67"/>
    <w:rsid w:val="008A7284"/>
    <w:rsid w:val="008A7687"/>
    <w:rsid w:val="008B26B9"/>
    <w:rsid w:val="008B2A4B"/>
    <w:rsid w:val="008B788D"/>
    <w:rsid w:val="008C235B"/>
    <w:rsid w:val="008C2DE6"/>
    <w:rsid w:val="008C375D"/>
    <w:rsid w:val="008C442B"/>
    <w:rsid w:val="008C4934"/>
    <w:rsid w:val="008C633F"/>
    <w:rsid w:val="008C7327"/>
    <w:rsid w:val="008D2303"/>
    <w:rsid w:val="008D2A41"/>
    <w:rsid w:val="008D2F8B"/>
    <w:rsid w:val="008D4B06"/>
    <w:rsid w:val="008D5538"/>
    <w:rsid w:val="008D5C0F"/>
    <w:rsid w:val="008D6077"/>
    <w:rsid w:val="008D776F"/>
    <w:rsid w:val="008E0026"/>
    <w:rsid w:val="008E1304"/>
    <w:rsid w:val="008E178C"/>
    <w:rsid w:val="008E3004"/>
    <w:rsid w:val="008E537E"/>
    <w:rsid w:val="008E5BC3"/>
    <w:rsid w:val="008E68E5"/>
    <w:rsid w:val="008E6F19"/>
    <w:rsid w:val="008F0F56"/>
    <w:rsid w:val="008F442B"/>
    <w:rsid w:val="008F4C56"/>
    <w:rsid w:val="008F58D0"/>
    <w:rsid w:val="008F77AC"/>
    <w:rsid w:val="008F7EA2"/>
    <w:rsid w:val="00900244"/>
    <w:rsid w:val="00902C13"/>
    <w:rsid w:val="009042C4"/>
    <w:rsid w:val="00904874"/>
    <w:rsid w:val="00904DD9"/>
    <w:rsid w:val="0090523F"/>
    <w:rsid w:val="00906A4C"/>
    <w:rsid w:val="00907254"/>
    <w:rsid w:val="00907FE5"/>
    <w:rsid w:val="0091251F"/>
    <w:rsid w:val="00913390"/>
    <w:rsid w:val="009146FC"/>
    <w:rsid w:val="00915FFF"/>
    <w:rsid w:val="0091738D"/>
    <w:rsid w:val="00917426"/>
    <w:rsid w:val="0091751E"/>
    <w:rsid w:val="00922219"/>
    <w:rsid w:val="00922E85"/>
    <w:rsid w:val="0092358A"/>
    <w:rsid w:val="00924594"/>
    <w:rsid w:val="00925DD3"/>
    <w:rsid w:val="00927CEC"/>
    <w:rsid w:val="0093094C"/>
    <w:rsid w:val="00930DD5"/>
    <w:rsid w:val="00930E31"/>
    <w:rsid w:val="00931350"/>
    <w:rsid w:val="009313D5"/>
    <w:rsid w:val="00931612"/>
    <w:rsid w:val="00933551"/>
    <w:rsid w:val="00933D32"/>
    <w:rsid w:val="00935B1D"/>
    <w:rsid w:val="00936F71"/>
    <w:rsid w:val="00937B6B"/>
    <w:rsid w:val="00941D03"/>
    <w:rsid w:val="009438B7"/>
    <w:rsid w:val="009438F1"/>
    <w:rsid w:val="009439EB"/>
    <w:rsid w:val="00944381"/>
    <w:rsid w:val="00944CE5"/>
    <w:rsid w:val="00945D09"/>
    <w:rsid w:val="00946577"/>
    <w:rsid w:val="00946A67"/>
    <w:rsid w:val="00947582"/>
    <w:rsid w:val="009475EA"/>
    <w:rsid w:val="00952148"/>
    <w:rsid w:val="009532AC"/>
    <w:rsid w:val="00955FFF"/>
    <w:rsid w:val="00956188"/>
    <w:rsid w:val="009569A7"/>
    <w:rsid w:val="009606F8"/>
    <w:rsid w:val="009623C7"/>
    <w:rsid w:val="00962C03"/>
    <w:rsid w:val="0096551D"/>
    <w:rsid w:val="00966B55"/>
    <w:rsid w:val="009672C6"/>
    <w:rsid w:val="00967A7F"/>
    <w:rsid w:val="00967D77"/>
    <w:rsid w:val="009707F6"/>
    <w:rsid w:val="00970AD7"/>
    <w:rsid w:val="00970D2A"/>
    <w:rsid w:val="00971E2A"/>
    <w:rsid w:val="00971E3A"/>
    <w:rsid w:val="0097202A"/>
    <w:rsid w:val="00972E13"/>
    <w:rsid w:val="00973024"/>
    <w:rsid w:val="00973039"/>
    <w:rsid w:val="00980058"/>
    <w:rsid w:val="009810D2"/>
    <w:rsid w:val="00981E8C"/>
    <w:rsid w:val="00981F27"/>
    <w:rsid w:val="009827D7"/>
    <w:rsid w:val="00983FE0"/>
    <w:rsid w:val="009841F4"/>
    <w:rsid w:val="00985386"/>
    <w:rsid w:val="009859FE"/>
    <w:rsid w:val="00987214"/>
    <w:rsid w:val="00991389"/>
    <w:rsid w:val="00991862"/>
    <w:rsid w:val="00991A21"/>
    <w:rsid w:val="00991FDF"/>
    <w:rsid w:val="00992366"/>
    <w:rsid w:val="0099270B"/>
    <w:rsid w:val="00996C85"/>
    <w:rsid w:val="0099769B"/>
    <w:rsid w:val="009A0F13"/>
    <w:rsid w:val="009A1089"/>
    <w:rsid w:val="009A2372"/>
    <w:rsid w:val="009A2AF1"/>
    <w:rsid w:val="009A2C7C"/>
    <w:rsid w:val="009A452F"/>
    <w:rsid w:val="009A4CB9"/>
    <w:rsid w:val="009A4DF5"/>
    <w:rsid w:val="009A5587"/>
    <w:rsid w:val="009A576C"/>
    <w:rsid w:val="009A6983"/>
    <w:rsid w:val="009A6C1D"/>
    <w:rsid w:val="009B081E"/>
    <w:rsid w:val="009B2B35"/>
    <w:rsid w:val="009B3180"/>
    <w:rsid w:val="009B363C"/>
    <w:rsid w:val="009B3D27"/>
    <w:rsid w:val="009B4AE5"/>
    <w:rsid w:val="009B5155"/>
    <w:rsid w:val="009B600F"/>
    <w:rsid w:val="009B6778"/>
    <w:rsid w:val="009B742E"/>
    <w:rsid w:val="009B75E2"/>
    <w:rsid w:val="009B7761"/>
    <w:rsid w:val="009B7A52"/>
    <w:rsid w:val="009C0432"/>
    <w:rsid w:val="009C1909"/>
    <w:rsid w:val="009C19AD"/>
    <w:rsid w:val="009C2549"/>
    <w:rsid w:val="009C51C0"/>
    <w:rsid w:val="009C5952"/>
    <w:rsid w:val="009C75AA"/>
    <w:rsid w:val="009D0275"/>
    <w:rsid w:val="009D16D8"/>
    <w:rsid w:val="009D1A3D"/>
    <w:rsid w:val="009D2E8C"/>
    <w:rsid w:val="009D3405"/>
    <w:rsid w:val="009D3731"/>
    <w:rsid w:val="009D3B3E"/>
    <w:rsid w:val="009D3BF3"/>
    <w:rsid w:val="009D6206"/>
    <w:rsid w:val="009D6A3D"/>
    <w:rsid w:val="009D7013"/>
    <w:rsid w:val="009D7306"/>
    <w:rsid w:val="009E0E09"/>
    <w:rsid w:val="009E2140"/>
    <w:rsid w:val="009E364F"/>
    <w:rsid w:val="009E4DFB"/>
    <w:rsid w:val="009E4F48"/>
    <w:rsid w:val="009E55E2"/>
    <w:rsid w:val="009E5783"/>
    <w:rsid w:val="009E5D1F"/>
    <w:rsid w:val="009E6561"/>
    <w:rsid w:val="009E6730"/>
    <w:rsid w:val="009F10EF"/>
    <w:rsid w:val="009F2B33"/>
    <w:rsid w:val="009F2B71"/>
    <w:rsid w:val="009F3777"/>
    <w:rsid w:val="009F42F9"/>
    <w:rsid w:val="009F43A2"/>
    <w:rsid w:val="009F4EDA"/>
    <w:rsid w:val="009F607E"/>
    <w:rsid w:val="009F78BE"/>
    <w:rsid w:val="00A01213"/>
    <w:rsid w:val="00A0216F"/>
    <w:rsid w:val="00A02884"/>
    <w:rsid w:val="00A03011"/>
    <w:rsid w:val="00A03114"/>
    <w:rsid w:val="00A04F30"/>
    <w:rsid w:val="00A057ED"/>
    <w:rsid w:val="00A05DD1"/>
    <w:rsid w:val="00A0621B"/>
    <w:rsid w:val="00A06DB8"/>
    <w:rsid w:val="00A06FB5"/>
    <w:rsid w:val="00A10BE7"/>
    <w:rsid w:val="00A11E78"/>
    <w:rsid w:val="00A133F8"/>
    <w:rsid w:val="00A148FB"/>
    <w:rsid w:val="00A15FFC"/>
    <w:rsid w:val="00A175DA"/>
    <w:rsid w:val="00A1793E"/>
    <w:rsid w:val="00A215D0"/>
    <w:rsid w:val="00A24201"/>
    <w:rsid w:val="00A24939"/>
    <w:rsid w:val="00A24957"/>
    <w:rsid w:val="00A24CF6"/>
    <w:rsid w:val="00A25E3B"/>
    <w:rsid w:val="00A25ECE"/>
    <w:rsid w:val="00A26554"/>
    <w:rsid w:val="00A27EAE"/>
    <w:rsid w:val="00A30CBE"/>
    <w:rsid w:val="00A311E7"/>
    <w:rsid w:val="00A33070"/>
    <w:rsid w:val="00A33262"/>
    <w:rsid w:val="00A35125"/>
    <w:rsid w:val="00A35A73"/>
    <w:rsid w:val="00A3655C"/>
    <w:rsid w:val="00A368A3"/>
    <w:rsid w:val="00A3789C"/>
    <w:rsid w:val="00A413A6"/>
    <w:rsid w:val="00A415E1"/>
    <w:rsid w:val="00A417F9"/>
    <w:rsid w:val="00A41C14"/>
    <w:rsid w:val="00A4446F"/>
    <w:rsid w:val="00A44C10"/>
    <w:rsid w:val="00A4528D"/>
    <w:rsid w:val="00A456C3"/>
    <w:rsid w:val="00A467F2"/>
    <w:rsid w:val="00A507A5"/>
    <w:rsid w:val="00A5087D"/>
    <w:rsid w:val="00A50A88"/>
    <w:rsid w:val="00A50C33"/>
    <w:rsid w:val="00A5225E"/>
    <w:rsid w:val="00A52C8D"/>
    <w:rsid w:val="00A53927"/>
    <w:rsid w:val="00A552BA"/>
    <w:rsid w:val="00A55960"/>
    <w:rsid w:val="00A55F17"/>
    <w:rsid w:val="00A566A3"/>
    <w:rsid w:val="00A57E95"/>
    <w:rsid w:val="00A6016C"/>
    <w:rsid w:val="00A60C9C"/>
    <w:rsid w:val="00A6116D"/>
    <w:rsid w:val="00A6156A"/>
    <w:rsid w:val="00A61D6D"/>
    <w:rsid w:val="00A61E1B"/>
    <w:rsid w:val="00A62BE8"/>
    <w:rsid w:val="00A6385B"/>
    <w:rsid w:val="00A67E68"/>
    <w:rsid w:val="00A70601"/>
    <w:rsid w:val="00A71523"/>
    <w:rsid w:val="00A73059"/>
    <w:rsid w:val="00A740B1"/>
    <w:rsid w:val="00A75A27"/>
    <w:rsid w:val="00A75D5E"/>
    <w:rsid w:val="00A760D7"/>
    <w:rsid w:val="00A80D25"/>
    <w:rsid w:val="00A80DFA"/>
    <w:rsid w:val="00A82A69"/>
    <w:rsid w:val="00A8469C"/>
    <w:rsid w:val="00A85481"/>
    <w:rsid w:val="00A854EB"/>
    <w:rsid w:val="00A85612"/>
    <w:rsid w:val="00A86E98"/>
    <w:rsid w:val="00A874BF"/>
    <w:rsid w:val="00A90B48"/>
    <w:rsid w:val="00A914D2"/>
    <w:rsid w:val="00A92753"/>
    <w:rsid w:val="00A92EA6"/>
    <w:rsid w:val="00A942AC"/>
    <w:rsid w:val="00A95FA1"/>
    <w:rsid w:val="00A960CF"/>
    <w:rsid w:val="00AA1619"/>
    <w:rsid w:val="00AA192D"/>
    <w:rsid w:val="00AA3647"/>
    <w:rsid w:val="00AA38C8"/>
    <w:rsid w:val="00AA58B8"/>
    <w:rsid w:val="00AA65F1"/>
    <w:rsid w:val="00AA6C43"/>
    <w:rsid w:val="00AA7A4A"/>
    <w:rsid w:val="00AA7BD8"/>
    <w:rsid w:val="00AB17C9"/>
    <w:rsid w:val="00AB23B7"/>
    <w:rsid w:val="00AB300D"/>
    <w:rsid w:val="00AB3AB3"/>
    <w:rsid w:val="00AB478F"/>
    <w:rsid w:val="00AB5DE0"/>
    <w:rsid w:val="00AB601E"/>
    <w:rsid w:val="00AB719B"/>
    <w:rsid w:val="00AB7819"/>
    <w:rsid w:val="00AB79D3"/>
    <w:rsid w:val="00AB7E2A"/>
    <w:rsid w:val="00AC1619"/>
    <w:rsid w:val="00AC1BE9"/>
    <w:rsid w:val="00AC2838"/>
    <w:rsid w:val="00AC2860"/>
    <w:rsid w:val="00AC3E88"/>
    <w:rsid w:val="00AC44F3"/>
    <w:rsid w:val="00AC59A4"/>
    <w:rsid w:val="00AC6B2F"/>
    <w:rsid w:val="00AC759C"/>
    <w:rsid w:val="00AC7EE5"/>
    <w:rsid w:val="00AC7F6F"/>
    <w:rsid w:val="00AD08A8"/>
    <w:rsid w:val="00AD1273"/>
    <w:rsid w:val="00AD2F5B"/>
    <w:rsid w:val="00AD3AE7"/>
    <w:rsid w:val="00AD3EC2"/>
    <w:rsid w:val="00AD417B"/>
    <w:rsid w:val="00AD5099"/>
    <w:rsid w:val="00AD52C4"/>
    <w:rsid w:val="00AD60C5"/>
    <w:rsid w:val="00AE2E9E"/>
    <w:rsid w:val="00AE39F5"/>
    <w:rsid w:val="00AE4343"/>
    <w:rsid w:val="00AE495E"/>
    <w:rsid w:val="00AE6B31"/>
    <w:rsid w:val="00AE6BBD"/>
    <w:rsid w:val="00AF151D"/>
    <w:rsid w:val="00AF2178"/>
    <w:rsid w:val="00AF21FF"/>
    <w:rsid w:val="00AF272E"/>
    <w:rsid w:val="00AF3821"/>
    <w:rsid w:val="00AF39F2"/>
    <w:rsid w:val="00AF4260"/>
    <w:rsid w:val="00AF46D1"/>
    <w:rsid w:val="00AF4A80"/>
    <w:rsid w:val="00AF6BF6"/>
    <w:rsid w:val="00AF704A"/>
    <w:rsid w:val="00AF784F"/>
    <w:rsid w:val="00B001C1"/>
    <w:rsid w:val="00B006C6"/>
    <w:rsid w:val="00B00826"/>
    <w:rsid w:val="00B00A9A"/>
    <w:rsid w:val="00B00ADF"/>
    <w:rsid w:val="00B00DC9"/>
    <w:rsid w:val="00B0126B"/>
    <w:rsid w:val="00B0192F"/>
    <w:rsid w:val="00B0201D"/>
    <w:rsid w:val="00B0204C"/>
    <w:rsid w:val="00B03258"/>
    <w:rsid w:val="00B045AF"/>
    <w:rsid w:val="00B04913"/>
    <w:rsid w:val="00B057F8"/>
    <w:rsid w:val="00B0601B"/>
    <w:rsid w:val="00B07788"/>
    <w:rsid w:val="00B07C1C"/>
    <w:rsid w:val="00B12052"/>
    <w:rsid w:val="00B12F8F"/>
    <w:rsid w:val="00B13820"/>
    <w:rsid w:val="00B13D46"/>
    <w:rsid w:val="00B14572"/>
    <w:rsid w:val="00B14902"/>
    <w:rsid w:val="00B15995"/>
    <w:rsid w:val="00B15E26"/>
    <w:rsid w:val="00B16A95"/>
    <w:rsid w:val="00B16CE7"/>
    <w:rsid w:val="00B1794C"/>
    <w:rsid w:val="00B17A55"/>
    <w:rsid w:val="00B206A7"/>
    <w:rsid w:val="00B218F0"/>
    <w:rsid w:val="00B223FC"/>
    <w:rsid w:val="00B23609"/>
    <w:rsid w:val="00B23BA7"/>
    <w:rsid w:val="00B2496A"/>
    <w:rsid w:val="00B24A57"/>
    <w:rsid w:val="00B31E50"/>
    <w:rsid w:val="00B31E6C"/>
    <w:rsid w:val="00B32D21"/>
    <w:rsid w:val="00B32E03"/>
    <w:rsid w:val="00B33DD7"/>
    <w:rsid w:val="00B33FB4"/>
    <w:rsid w:val="00B374EC"/>
    <w:rsid w:val="00B37BFE"/>
    <w:rsid w:val="00B41916"/>
    <w:rsid w:val="00B41CD1"/>
    <w:rsid w:val="00B43221"/>
    <w:rsid w:val="00B44826"/>
    <w:rsid w:val="00B455E4"/>
    <w:rsid w:val="00B474A6"/>
    <w:rsid w:val="00B474FA"/>
    <w:rsid w:val="00B4773D"/>
    <w:rsid w:val="00B47B59"/>
    <w:rsid w:val="00B50A03"/>
    <w:rsid w:val="00B53FFE"/>
    <w:rsid w:val="00B542C7"/>
    <w:rsid w:val="00B54CDD"/>
    <w:rsid w:val="00B5523E"/>
    <w:rsid w:val="00B56F13"/>
    <w:rsid w:val="00B574B6"/>
    <w:rsid w:val="00B57F8A"/>
    <w:rsid w:val="00B6043B"/>
    <w:rsid w:val="00B60E44"/>
    <w:rsid w:val="00B62BA6"/>
    <w:rsid w:val="00B6460F"/>
    <w:rsid w:val="00B66669"/>
    <w:rsid w:val="00B67303"/>
    <w:rsid w:val="00B7139F"/>
    <w:rsid w:val="00B7182F"/>
    <w:rsid w:val="00B75D1E"/>
    <w:rsid w:val="00B80FD4"/>
    <w:rsid w:val="00B84F82"/>
    <w:rsid w:val="00B85384"/>
    <w:rsid w:val="00B86EC3"/>
    <w:rsid w:val="00B87334"/>
    <w:rsid w:val="00B90C32"/>
    <w:rsid w:val="00B91B35"/>
    <w:rsid w:val="00B92A05"/>
    <w:rsid w:val="00B92B02"/>
    <w:rsid w:val="00B93C04"/>
    <w:rsid w:val="00B94122"/>
    <w:rsid w:val="00B943E1"/>
    <w:rsid w:val="00B949FD"/>
    <w:rsid w:val="00B95968"/>
    <w:rsid w:val="00B95EA6"/>
    <w:rsid w:val="00B96F81"/>
    <w:rsid w:val="00BA0753"/>
    <w:rsid w:val="00BA21E7"/>
    <w:rsid w:val="00BA2E11"/>
    <w:rsid w:val="00BA42CF"/>
    <w:rsid w:val="00BA60E0"/>
    <w:rsid w:val="00BA68F3"/>
    <w:rsid w:val="00BA7F88"/>
    <w:rsid w:val="00BB0D4B"/>
    <w:rsid w:val="00BB33CE"/>
    <w:rsid w:val="00BB3702"/>
    <w:rsid w:val="00BB3DE7"/>
    <w:rsid w:val="00BB4A37"/>
    <w:rsid w:val="00BB55E8"/>
    <w:rsid w:val="00BB6FE9"/>
    <w:rsid w:val="00BB7FFC"/>
    <w:rsid w:val="00BC00AE"/>
    <w:rsid w:val="00BC04B6"/>
    <w:rsid w:val="00BC0AF2"/>
    <w:rsid w:val="00BC0B20"/>
    <w:rsid w:val="00BC1446"/>
    <w:rsid w:val="00BC266E"/>
    <w:rsid w:val="00BC3376"/>
    <w:rsid w:val="00BC418B"/>
    <w:rsid w:val="00BD02CA"/>
    <w:rsid w:val="00BD09AE"/>
    <w:rsid w:val="00BD0E3F"/>
    <w:rsid w:val="00BD1BD9"/>
    <w:rsid w:val="00BD1C7D"/>
    <w:rsid w:val="00BD40C5"/>
    <w:rsid w:val="00BD46F7"/>
    <w:rsid w:val="00BD55CF"/>
    <w:rsid w:val="00BD5925"/>
    <w:rsid w:val="00BD62C8"/>
    <w:rsid w:val="00BE0018"/>
    <w:rsid w:val="00BE0814"/>
    <w:rsid w:val="00BE0873"/>
    <w:rsid w:val="00BE25E4"/>
    <w:rsid w:val="00BE4539"/>
    <w:rsid w:val="00BE487A"/>
    <w:rsid w:val="00BE52B4"/>
    <w:rsid w:val="00BE5E61"/>
    <w:rsid w:val="00BE7F77"/>
    <w:rsid w:val="00BF1B93"/>
    <w:rsid w:val="00BF28FE"/>
    <w:rsid w:val="00BF619F"/>
    <w:rsid w:val="00BF679A"/>
    <w:rsid w:val="00BF688D"/>
    <w:rsid w:val="00BF6FED"/>
    <w:rsid w:val="00C01560"/>
    <w:rsid w:val="00C015A7"/>
    <w:rsid w:val="00C028A1"/>
    <w:rsid w:val="00C03AF4"/>
    <w:rsid w:val="00C03D44"/>
    <w:rsid w:val="00C04E69"/>
    <w:rsid w:val="00C061FA"/>
    <w:rsid w:val="00C065F8"/>
    <w:rsid w:val="00C074C2"/>
    <w:rsid w:val="00C11231"/>
    <w:rsid w:val="00C11889"/>
    <w:rsid w:val="00C126BB"/>
    <w:rsid w:val="00C14AC5"/>
    <w:rsid w:val="00C158CF"/>
    <w:rsid w:val="00C16D74"/>
    <w:rsid w:val="00C20935"/>
    <w:rsid w:val="00C2322D"/>
    <w:rsid w:val="00C232D7"/>
    <w:rsid w:val="00C23E82"/>
    <w:rsid w:val="00C23F8C"/>
    <w:rsid w:val="00C25796"/>
    <w:rsid w:val="00C25CF0"/>
    <w:rsid w:val="00C266DE"/>
    <w:rsid w:val="00C26D6D"/>
    <w:rsid w:val="00C26EF7"/>
    <w:rsid w:val="00C2741F"/>
    <w:rsid w:val="00C2760A"/>
    <w:rsid w:val="00C27721"/>
    <w:rsid w:val="00C278B8"/>
    <w:rsid w:val="00C30086"/>
    <w:rsid w:val="00C327D2"/>
    <w:rsid w:val="00C36C75"/>
    <w:rsid w:val="00C37928"/>
    <w:rsid w:val="00C404C7"/>
    <w:rsid w:val="00C435B3"/>
    <w:rsid w:val="00C47FA8"/>
    <w:rsid w:val="00C5042B"/>
    <w:rsid w:val="00C505F4"/>
    <w:rsid w:val="00C52339"/>
    <w:rsid w:val="00C524F6"/>
    <w:rsid w:val="00C549CE"/>
    <w:rsid w:val="00C54D1E"/>
    <w:rsid w:val="00C57790"/>
    <w:rsid w:val="00C57DAA"/>
    <w:rsid w:val="00C6058D"/>
    <w:rsid w:val="00C6178D"/>
    <w:rsid w:val="00C6192A"/>
    <w:rsid w:val="00C623F9"/>
    <w:rsid w:val="00C63DF9"/>
    <w:rsid w:val="00C651DF"/>
    <w:rsid w:val="00C6561E"/>
    <w:rsid w:val="00C70CE0"/>
    <w:rsid w:val="00C712A2"/>
    <w:rsid w:val="00C712EA"/>
    <w:rsid w:val="00C719B7"/>
    <w:rsid w:val="00C720E8"/>
    <w:rsid w:val="00C7283B"/>
    <w:rsid w:val="00C730B0"/>
    <w:rsid w:val="00C73B1B"/>
    <w:rsid w:val="00C7430F"/>
    <w:rsid w:val="00C745D5"/>
    <w:rsid w:val="00C74CEB"/>
    <w:rsid w:val="00C7647F"/>
    <w:rsid w:val="00C76A2D"/>
    <w:rsid w:val="00C76F10"/>
    <w:rsid w:val="00C7705C"/>
    <w:rsid w:val="00C77B03"/>
    <w:rsid w:val="00C808A9"/>
    <w:rsid w:val="00C831B7"/>
    <w:rsid w:val="00C83C14"/>
    <w:rsid w:val="00C83ED8"/>
    <w:rsid w:val="00C8475A"/>
    <w:rsid w:val="00C87002"/>
    <w:rsid w:val="00C87924"/>
    <w:rsid w:val="00C87D65"/>
    <w:rsid w:val="00C91350"/>
    <w:rsid w:val="00C9184F"/>
    <w:rsid w:val="00C91A89"/>
    <w:rsid w:val="00C926DF"/>
    <w:rsid w:val="00C93904"/>
    <w:rsid w:val="00C960BB"/>
    <w:rsid w:val="00C975B5"/>
    <w:rsid w:val="00CA1662"/>
    <w:rsid w:val="00CA1ABF"/>
    <w:rsid w:val="00CA1D0C"/>
    <w:rsid w:val="00CA1E36"/>
    <w:rsid w:val="00CA35DC"/>
    <w:rsid w:val="00CA4383"/>
    <w:rsid w:val="00CA547B"/>
    <w:rsid w:val="00CA601E"/>
    <w:rsid w:val="00CA7141"/>
    <w:rsid w:val="00CB1B99"/>
    <w:rsid w:val="00CB2380"/>
    <w:rsid w:val="00CB2C80"/>
    <w:rsid w:val="00CB4059"/>
    <w:rsid w:val="00CB40A1"/>
    <w:rsid w:val="00CB5322"/>
    <w:rsid w:val="00CB5E2D"/>
    <w:rsid w:val="00CB677E"/>
    <w:rsid w:val="00CB6B2A"/>
    <w:rsid w:val="00CB714D"/>
    <w:rsid w:val="00CB7DAC"/>
    <w:rsid w:val="00CC08D4"/>
    <w:rsid w:val="00CC0F79"/>
    <w:rsid w:val="00CC1FE5"/>
    <w:rsid w:val="00CC253B"/>
    <w:rsid w:val="00CC531A"/>
    <w:rsid w:val="00CC6F97"/>
    <w:rsid w:val="00CC77CE"/>
    <w:rsid w:val="00CD5D29"/>
    <w:rsid w:val="00CD6E46"/>
    <w:rsid w:val="00CE1046"/>
    <w:rsid w:val="00CE20A7"/>
    <w:rsid w:val="00CE25B6"/>
    <w:rsid w:val="00CE370B"/>
    <w:rsid w:val="00CE40AB"/>
    <w:rsid w:val="00CE432E"/>
    <w:rsid w:val="00CE524A"/>
    <w:rsid w:val="00CE713E"/>
    <w:rsid w:val="00CE76FB"/>
    <w:rsid w:val="00CF1CBE"/>
    <w:rsid w:val="00CF1F86"/>
    <w:rsid w:val="00CF30ED"/>
    <w:rsid w:val="00CF3558"/>
    <w:rsid w:val="00CF3A08"/>
    <w:rsid w:val="00CF6B62"/>
    <w:rsid w:val="00CF72DE"/>
    <w:rsid w:val="00D00016"/>
    <w:rsid w:val="00D02CE7"/>
    <w:rsid w:val="00D036C7"/>
    <w:rsid w:val="00D03A4E"/>
    <w:rsid w:val="00D03EAE"/>
    <w:rsid w:val="00D04844"/>
    <w:rsid w:val="00D07CBA"/>
    <w:rsid w:val="00D11430"/>
    <w:rsid w:val="00D11975"/>
    <w:rsid w:val="00D11AFA"/>
    <w:rsid w:val="00D1217D"/>
    <w:rsid w:val="00D13A40"/>
    <w:rsid w:val="00D14A54"/>
    <w:rsid w:val="00D15088"/>
    <w:rsid w:val="00D15C5C"/>
    <w:rsid w:val="00D15F33"/>
    <w:rsid w:val="00D161E0"/>
    <w:rsid w:val="00D16C30"/>
    <w:rsid w:val="00D17967"/>
    <w:rsid w:val="00D17AB2"/>
    <w:rsid w:val="00D203DE"/>
    <w:rsid w:val="00D222F3"/>
    <w:rsid w:val="00D2240F"/>
    <w:rsid w:val="00D2280D"/>
    <w:rsid w:val="00D23EB9"/>
    <w:rsid w:val="00D25AA9"/>
    <w:rsid w:val="00D2792A"/>
    <w:rsid w:val="00D27E25"/>
    <w:rsid w:val="00D27FD4"/>
    <w:rsid w:val="00D30104"/>
    <w:rsid w:val="00D3014B"/>
    <w:rsid w:val="00D30573"/>
    <w:rsid w:val="00D313F0"/>
    <w:rsid w:val="00D32403"/>
    <w:rsid w:val="00D32D6B"/>
    <w:rsid w:val="00D34223"/>
    <w:rsid w:val="00D34C65"/>
    <w:rsid w:val="00D366D2"/>
    <w:rsid w:val="00D3777C"/>
    <w:rsid w:val="00D402CC"/>
    <w:rsid w:val="00D40A6A"/>
    <w:rsid w:val="00D4190F"/>
    <w:rsid w:val="00D42917"/>
    <w:rsid w:val="00D42B4E"/>
    <w:rsid w:val="00D43F53"/>
    <w:rsid w:val="00D4561D"/>
    <w:rsid w:val="00D45B98"/>
    <w:rsid w:val="00D47915"/>
    <w:rsid w:val="00D47A2C"/>
    <w:rsid w:val="00D52C0C"/>
    <w:rsid w:val="00D54AE1"/>
    <w:rsid w:val="00D55542"/>
    <w:rsid w:val="00D558DA"/>
    <w:rsid w:val="00D60842"/>
    <w:rsid w:val="00D60930"/>
    <w:rsid w:val="00D61044"/>
    <w:rsid w:val="00D61F57"/>
    <w:rsid w:val="00D66700"/>
    <w:rsid w:val="00D678E6"/>
    <w:rsid w:val="00D706D8"/>
    <w:rsid w:val="00D712CB"/>
    <w:rsid w:val="00D7177A"/>
    <w:rsid w:val="00D73B09"/>
    <w:rsid w:val="00D74BBD"/>
    <w:rsid w:val="00D752F7"/>
    <w:rsid w:val="00D75EA3"/>
    <w:rsid w:val="00D76A8B"/>
    <w:rsid w:val="00D76F1F"/>
    <w:rsid w:val="00D82B30"/>
    <w:rsid w:val="00D85E37"/>
    <w:rsid w:val="00D86227"/>
    <w:rsid w:val="00D8766A"/>
    <w:rsid w:val="00D87B7B"/>
    <w:rsid w:val="00D90903"/>
    <w:rsid w:val="00D91609"/>
    <w:rsid w:val="00D9185B"/>
    <w:rsid w:val="00D9596F"/>
    <w:rsid w:val="00D95D6A"/>
    <w:rsid w:val="00D95E2C"/>
    <w:rsid w:val="00D97AFA"/>
    <w:rsid w:val="00DA29D2"/>
    <w:rsid w:val="00DA3FC6"/>
    <w:rsid w:val="00DA47AA"/>
    <w:rsid w:val="00DA4DB7"/>
    <w:rsid w:val="00DA6162"/>
    <w:rsid w:val="00DB1D77"/>
    <w:rsid w:val="00DB3F77"/>
    <w:rsid w:val="00DB3FE8"/>
    <w:rsid w:val="00DB4826"/>
    <w:rsid w:val="00DB4B57"/>
    <w:rsid w:val="00DB507B"/>
    <w:rsid w:val="00DB5BFD"/>
    <w:rsid w:val="00DB7B0B"/>
    <w:rsid w:val="00DB7F53"/>
    <w:rsid w:val="00DC08F1"/>
    <w:rsid w:val="00DC3DB8"/>
    <w:rsid w:val="00DC5889"/>
    <w:rsid w:val="00DC5942"/>
    <w:rsid w:val="00DC5BC8"/>
    <w:rsid w:val="00DC5CDB"/>
    <w:rsid w:val="00DC6F41"/>
    <w:rsid w:val="00DD14CA"/>
    <w:rsid w:val="00DD2A1B"/>
    <w:rsid w:val="00DD3218"/>
    <w:rsid w:val="00DD5052"/>
    <w:rsid w:val="00DD63F3"/>
    <w:rsid w:val="00DD6A4E"/>
    <w:rsid w:val="00DD7185"/>
    <w:rsid w:val="00DD7786"/>
    <w:rsid w:val="00DD7903"/>
    <w:rsid w:val="00DE0430"/>
    <w:rsid w:val="00DE0B11"/>
    <w:rsid w:val="00DE12F5"/>
    <w:rsid w:val="00DE159D"/>
    <w:rsid w:val="00DE2786"/>
    <w:rsid w:val="00DE2C97"/>
    <w:rsid w:val="00DF190D"/>
    <w:rsid w:val="00DF3969"/>
    <w:rsid w:val="00DF3C03"/>
    <w:rsid w:val="00DF4F64"/>
    <w:rsid w:val="00DF5076"/>
    <w:rsid w:val="00DF5476"/>
    <w:rsid w:val="00DF6CB5"/>
    <w:rsid w:val="00DF72F0"/>
    <w:rsid w:val="00DF7735"/>
    <w:rsid w:val="00E012A0"/>
    <w:rsid w:val="00E035A6"/>
    <w:rsid w:val="00E03713"/>
    <w:rsid w:val="00E039D6"/>
    <w:rsid w:val="00E0752D"/>
    <w:rsid w:val="00E11897"/>
    <w:rsid w:val="00E12528"/>
    <w:rsid w:val="00E134CE"/>
    <w:rsid w:val="00E13801"/>
    <w:rsid w:val="00E1610C"/>
    <w:rsid w:val="00E1640A"/>
    <w:rsid w:val="00E167A1"/>
    <w:rsid w:val="00E16BFA"/>
    <w:rsid w:val="00E20DCE"/>
    <w:rsid w:val="00E21D34"/>
    <w:rsid w:val="00E21E38"/>
    <w:rsid w:val="00E22BA1"/>
    <w:rsid w:val="00E22C29"/>
    <w:rsid w:val="00E22CB3"/>
    <w:rsid w:val="00E23A08"/>
    <w:rsid w:val="00E25573"/>
    <w:rsid w:val="00E259AA"/>
    <w:rsid w:val="00E26F72"/>
    <w:rsid w:val="00E27977"/>
    <w:rsid w:val="00E27994"/>
    <w:rsid w:val="00E27B20"/>
    <w:rsid w:val="00E32B36"/>
    <w:rsid w:val="00E33F74"/>
    <w:rsid w:val="00E34F86"/>
    <w:rsid w:val="00E3504D"/>
    <w:rsid w:val="00E35994"/>
    <w:rsid w:val="00E36A4F"/>
    <w:rsid w:val="00E36E6C"/>
    <w:rsid w:val="00E40B59"/>
    <w:rsid w:val="00E435F8"/>
    <w:rsid w:val="00E44BD7"/>
    <w:rsid w:val="00E502E1"/>
    <w:rsid w:val="00E506F3"/>
    <w:rsid w:val="00E50BB9"/>
    <w:rsid w:val="00E51D94"/>
    <w:rsid w:val="00E56548"/>
    <w:rsid w:val="00E5797D"/>
    <w:rsid w:val="00E61FE3"/>
    <w:rsid w:val="00E62A0A"/>
    <w:rsid w:val="00E63114"/>
    <w:rsid w:val="00E63B5E"/>
    <w:rsid w:val="00E64325"/>
    <w:rsid w:val="00E65489"/>
    <w:rsid w:val="00E6548E"/>
    <w:rsid w:val="00E662ED"/>
    <w:rsid w:val="00E67971"/>
    <w:rsid w:val="00E679B3"/>
    <w:rsid w:val="00E70E68"/>
    <w:rsid w:val="00E71C43"/>
    <w:rsid w:val="00E72C0A"/>
    <w:rsid w:val="00E72C18"/>
    <w:rsid w:val="00E72D34"/>
    <w:rsid w:val="00E7359B"/>
    <w:rsid w:val="00E75AC2"/>
    <w:rsid w:val="00E75F47"/>
    <w:rsid w:val="00E77252"/>
    <w:rsid w:val="00E808B7"/>
    <w:rsid w:val="00E80B26"/>
    <w:rsid w:val="00E8111A"/>
    <w:rsid w:val="00E818F8"/>
    <w:rsid w:val="00E82727"/>
    <w:rsid w:val="00E82D6C"/>
    <w:rsid w:val="00E835DA"/>
    <w:rsid w:val="00E840B9"/>
    <w:rsid w:val="00E84312"/>
    <w:rsid w:val="00E84641"/>
    <w:rsid w:val="00E84B0F"/>
    <w:rsid w:val="00E85671"/>
    <w:rsid w:val="00E85B16"/>
    <w:rsid w:val="00E8667A"/>
    <w:rsid w:val="00E86D60"/>
    <w:rsid w:val="00E91311"/>
    <w:rsid w:val="00E9171B"/>
    <w:rsid w:val="00E919AA"/>
    <w:rsid w:val="00E919E3"/>
    <w:rsid w:val="00E92425"/>
    <w:rsid w:val="00E9383B"/>
    <w:rsid w:val="00E94801"/>
    <w:rsid w:val="00E9518B"/>
    <w:rsid w:val="00E96943"/>
    <w:rsid w:val="00E96E3A"/>
    <w:rsid w:val="00E9738A"/>
    <w:rsid w:val="00EA0AAE"/>
    <w:rsid w:val="00EA1440"/>
    <w:rsid w:val="00EA2323"/>
    <w:rsid w:val="00EA2429"/>
    <w:rsid w:val="00EA2B5E"/>
    <w:rsid w:val="00EA2E74"/>
    <w:rsid w:val="00EA3229"/>
    <w:rsid w:val="00EA3A84"/>
    <w:rsid w:val="00EA4FCA"/>
    <w:rsid w:val="00EA542E"/>
    <w:rsid w:val="00EA6085"/>
    <w:rsid w:val="00EA68F5"/>
    <w:rsid w:val="00EA70B1"/>
    <w:rsid w:val="00EA7A96"/>
    <w:rsid w:val="00EB0A83"/>
    <w:rsid w:val="00EB0BF1"/>
    <w:rsid w:val="00EB1D3B"/>
    <w:rsid w:val="00EB2AFA"/>
    <w:rsid w:val="00EB3D25"/>
    <w:rsid w:val="00EB77D0"/>
    <w:rsid w:val="00EC0814"/>
    <w:rsid w:val="00EC08C1"/>
    <w:rsid w:val="00EC0956"/>
    <w:rsid w:val="00EC0AAC"/>
    <w:rsid w:val="00EC0C24"/>
    <w:rsid w:val="00EC1489"/>
    <w:rsid w:val="00EC1C80"/>
    <w:rsid w:val="00EC2145"/>
    <w:rsid w:val="00EC2D66"/>
    <w:rsid w:val="00EC2FFA"/>
    <w:rsid w:val="00EC3BE3"/>
    <w:rsid w:val="00EC4423"/>
    <w:rsid w:val="00EC5D04"/>
    <w:rsid w:val="00EC6DC8"/>
    <w:rsid w:val="00EC7044"/>
    <w:rsid w:val="00EC740A"/>
    <w:rsid w:val="00EC7DF5"/>
    <w:rsid w:val="00ED0FB5"/>
    <w:rsid w:val="00ED0FBA"/>
    <w:rsid w:val="00ED4A26"/>
    <w:rsid w:val="00ED5066"/>
    <w:rsid w:val="00ED66B4"/>
    <w:rsid w:val="00ED7150"/>
    <w:rsid w:val="00EE1CCF"/>
    <w:rsid w:val="00EE20A2"/>
    <w:rsid w:val="00EE52C2"/>
    <w:rsid w:val="00EE6643"/>
    <w:rsid w:val="00EE7700"/>
    <w:rsid w:val="00EF0C9B"/>
    <w:rsid w:val="00EF0EE8"/>
    <w:rsid w:val="00EF1DAC"/>
    <w:rsid w:val="00EF2111"/>
    <w:rsid w:val="00EF214A"/>
    <w:rsid w:val="00EF37DB"/>
    <w:rsid w:val="00EF38AD"/>
    <w:rsid w:val="00EF3FCE"/>
    <w:rsid w:val="00EF45D2"/>
    <w:rsid w:val="00EF475B"/>
    <w:rsid w:val="00EF4BD5"/>
    <w:rsid w:val="00EF782E"/>
    <w:rsid w:val="00F001F5"/>
    <w:rsid w:val="00F01161"/>
    <w:rsid w:val="00F02F6C"/>
    <w:rsid w:val="00F054D3"/>
    <w:rsid w:val="00F05A66"/>
    <w:rsid w:val="00F11399"/>
    <w:rsid w:val="00F12262"/>
    <w:rsid w:val="00F126F1"/>
    <w:rsid w:val="00F12ECE"/>
    <w:rsid w:val="00F1380A"/>
    <w:rsid w:val="00F144C1"/>
    <w:rsid w:val="00F14A2C"/>
    <w:rsid w:val="00F15A05"/>
    <w:rsid w:val="00F15C23"/>
    <w:rsid w:val="00F16850"/>
    <w:rsid w:val="00F16C2C"/>
    <w:rsid w:val="00F20704"/>
    <w:rsid w:val="00F20CFD"/>
    <w:rsid w:val="00F21092"/>
    <w:rsid w:val="00F216F1"/>
    <w:rsid w:val="00F21EAA"/>
    <w:rsid w:val="00F21F86"/>
    <w:rsid w:val="00F228AE"/>
    <w:rsid w:val="00F22A4E"/>
    <w:rsid w:val="00F236C4"/>
    <w:rsid w:val="00F24147"/>
    <w:rsid w:val="00F2492C"/>
    <w:rsid w:val="00F24A03"/>
    <w:rsid w:val="00F25028"/>
    <w:rsid w:val="00F263A7"/>
    <w:rsid w:val="00F2697E"/>
    <w:rsid w:val="00F271F7"/>
    <w:rsid w:val="00F27307"/>
    <w:rsid w:val="00F27815"/>
    <w:rsid w:val="00F30068"/>
    <w:rsid w:val="00F30B0B"/>
    <w:rsid w:val="00F31684"/>
    <w:rsid w:val="00F3352D"/>
    <w:rsid w:val="00F34BC5"/>
    <w:rsid w:val="00F35868"/>
    <w:rsid w:val="00F36BE7"/>
    <w:rsid w:val="00F37BFC"/>
    <w:rsid w:val="00F40CE1"/>
    <w:rsid w:val="00F413AF"/>
    <w:rsid w:val="00F414A8"/>
    <w:rsid w:val="00F414CC"/>
    <w:rsid w:val="00F43D79"/>
    <w:rsid w:val="00F44B81"/>
    <w:rsid w:val="00F44E1F"/>
    <w:rsid w:val="00F455BB"/>
    <w:rsid w:val="00F4571D"/>
    <w:rsid w:val="00F45794"/>
    <w:rsid w:val="00F46444"/>
    <w:rsid w:val="00F466BE"/>
    <w:rsid w:val="00F47779"/>
    <w:rsid w:val="00F47B71"/>
    <w:rsid w:val="00F50CE6"/>
    <w:rsid w:val="00F53D64"/>
    <w:rsid w:val="00F545C8"/>
    <w:rsid w:val="00F54B7E"/>
    <w:rsid w:val="00F55B56"/>
    <w:rsid w:val="00F55D87"/>
    <w:rsid w:val="00F573DA"/>
    <w:rsid w:val="00F602C5"/>
    <w:rsid w:val="00F616A5"/>
    <w:rsid w:val="00F62C74"/>
    <w:rsid w:val="00F63B25"/>
    <w:rsid w:val="00F64EBC"/>
    <w:rsid w:val="00F6743A"/>
    <w:rsid w:val="00F67874"/>
    <w:rsid w:val="00F709E3"/>
    <w:rsid w:val="00F70CF8"/>
    <w:rsid w:val="00F71D71"/>
    <w:rsid w:val="00F730C3"/>
    <w:rsid w:val="00F73F90"/>
    <w:rsid w:val="00F756EF"/>
    <w:rsid w:val="00F80194"/>
    <w:rsid w:val="00F80317"/>
    <w:rsid w:val="00F81425"/>
    <w:rsid w:val="00F85043"/>
    <w:rsid w:val="00F853C2"/>
    <w:rsid w:val="00F8676F"/>
    <w:rsid w:val="00F86C1F"/>
    <w:rsid w:val="00F93281"/>
    <w:rsid w:val="00F94F29"/>
    <w:rsid w:val="00F959FE"/>
    <w:rsid w:val="00F961B7"/>
    <w:rsid w:val="00F96373"/>
    <w:rsid w:val="00FA09B1"/>
    <w:rsid w:val="00FA109A"/>
    <w:rsid w:val="00FA152B"/>
    <w:rsid w:val="00FA2708"/>
    <w:rsid w:val="00FA2DD4"/>
    <w:rsid w:val="00FA31BC"/>
    <w:rsid w:val="00FA3910"/>
    <w:rsid w:val="00FA4FE8"/>
    <w:rsid w:val="00FA515F"/>
    <w:rsid w:val="00FA717A"/>
    <w:rsid w:val="00FA7264"/>
    <w:rsid w:val="00FB0A89"/>
    <w:rsid w:val="00FB1D34"/>
    <w:rsid w:val="00FB32D8"/>
    <w:rsid w:val="00FB37CA"/>
    <w:rsid w:val="00FB5131"/>
    <w:rsid w:val="00FB60DD"/>
    <w:rsid w:val="00FC0806"/>
    <w:rsid w:val="00FC0C12"/>
    <w:rsid w:val="00FC1A34"/>
    <w:rsid w:val="00FC21C7"/>
    <w:rsid w:val="00FC2419"/>
    <w:rsid w:val="00FC2B42"/>
    <w:rsid w:val="00FC2B7D"/>
    <w:rsid w:val="00FC50A4"/>
    <w:rsid w:val="00FC58F8"/>
    <w:rsid w:val="00FC5FD1"/>
    <w:rsid w:val="00FC6213"/>
    <w:rsid w:val="00FC7657"/>
    <w:rsid w:val="00FD0F9E"/>
    <w:rsid w:val="00FD0FBE"/>
    <w:rsid w:val="00FD1125"/>
    <w:rsid w:val="00FD1769"/>
    <w:rsid w:val="00FD1E7E"/>
    <w:rsid w:val="00FD2247"/>
    <w:rsid w:val="00FD305F"/>
    <w:rsid w:val="00FD36DE"/>
    <w:rsid w:val="00FD3FA4"/>
    <w:rsid w:val="00FD69FD"/>
    <w:rsid w:val="00FD6CC6"/>
    <w:rsid w:val="00FD6CF3"/>
    <w:rsid w:val="00FD748F"/>
    <w:rsid w:val="00FD7A21"/>
    <w:rsid w:val="00FD7D4F"/>
    <w:rsid w:val="00FE171E"/>
    <w:rsid w:val="00FE1949"/>
    <w:rsid w:val="00FE2355"/>
    <w:rsid w:val="00FE2A96"/>
    <w:rsid w:val="00FE3BB5"/>
    <w:rsid w:val="00FE3D28"/>
    <w:rsid w:val="00FE5B0C"/>
    <w:rsid w:val="00FE5E46"/>
    <w:rsid w:val="00FE7CAD"/>
    <w:rsid w:val="00FE7E12"/>
    <w:rsid w:val="00FF04A5"/>
    <w:rsid w:val="00FF06C1"/>
    <w:rsid w:val="00FF0E34"/>
    <w:rsid w:val="00FF12AE"/>
    <w:rsid w:val="00FF16DB"/>
    <w:rsid w:val="00FF1F8F"/>
    <w:rsid w:val="00FF2EDA"/>
    <w:rsid w:val="00FF3F0C"/>
    <w:rsid w:val="00FF4792"/>
    <w:rsid w:val="00FF5063"/>
    <w:rsid w:val="00FF60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155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DD7"/>
    <w:pPr>
      <w:spacing w:after="240" w:line="280" w:lineRule="exact"/>
      <w:jc w:val="both"/>
    </w:pPr>
    <w:rPr>
      <w:rFonts w:ascii="Book Antiqua" w:hAnsi="Book Antiqua"/>
      <w:color w:val="000000"/>
      <w:sz w:val="22"/>
    </w:rPr>
  </w:style>
  <w:style w:type="paragraph" w:styleId="Heading1">
    <w:name w:val="heading 1"/>
    <w:basedOn w:val="ContentsHeading"/>
    <w:next w:val="OutlineNumbered1"/>
    <w:qFormat/>
    <w:rsid w:val="00992366"/>
    <w:pPr>
      <w:pBdr>
        <w:bottom w:val="single" w:sz="4" w:space="12" w:color="1F497D" w:themeColor="text2"/>
      </w:pBdr>
      <w:spacing w:after="480"/>
      <w:jc w:val="left"/>
      <w:outlineLvl w:val="0"/>
    </w:pPr>
    <w:rPr>
      <w:rFonts w:cs="Arial"/>
      <w:b/>
      <w:bCs/>
      <w:caps/>
      <w:smallCaps w:val="0"/>
      <w:kern w:val="32"/>
      <w:sz w:val="34"/>
    </w:rPr>
  </w:style>
  <w:style w:type="paragraph" w:styleId="Heading2">
    <w:name w:val="heading 2"/>
    <w:aliases w:val="Heading 2 - Numbered"/>
    <w:basedOn w:val="HeadingBase"/>
    <w:next w:val="OutlineNumbered1"/>
    <w:autoRedefine/>
    <w:qFormat/>
    <w:rsid w:val="0045753C"/>
    <w:pPr>
      <w:numPr>
        <w:ilvl w:val="1"/>
        <w:numId w:val="13"/>
      </w:numPr>
      <w:spacing w:before="180" w:after="240"/>
      <w:outlineLvl w:val="1"/>
    </w:pPr>
    <w:rPr>
      <w:rFonts w:cs="Arial"/>
      <w:b/>
      <w:bCs/>
      <w:iCs/>
      <w:smallCaps/>
      <w:sz w:val="32"/>
      <w:szCs w:val="28"/>
    </w:rPr>
  </w:style>
  <w:style w:type="paragraph" w:styleId="Heading3">
    <w:name w:val="heading 3"/>
    <w:basedOn w:val="HeadingBase"/>
    <w:next w:val="OutlineNumbered1"/>
    <w:link w:val="Heading3Char"/>
    <w:qFormat/>
    <w:rsid w:val="00992366"/>
    <w:pPr>
      <w:spacing w:before="360" w:after="240"/>
      <w:outlineLvl w:val="2"/>
    </w:pPr>
    <w:rPr>
      <w:rFonts w:cs="Arial"/>
      <w:b/>
      <w:bCs/>
      <w:sz w:val="28"/>
      <w:szCs w:val="26"/>
    </w:rPr>
  </w:style>
  <w:style w:type="paragraph" w:styleId="Heading4">
    <w:name w:val="heading 4"/>
    <w:basedOn w:val="HeadingBase"/>
    <w:next w:val="OutlineNumbered1"/>
    <w:qFormat/>
    <w:rsid w:val="007525B3"/>
    <w:pPr>
      <w:tabs>
        <w:tab w:val="left" w:pos="426"/>
      </w:tabs>
      <w:spacing w:after="240"/>
      <w:ind w:left="426" w:hanging="426"/>
      <w:outlineLvl w:val="3"/>
    </w:pPr>
    <w:rPr>
      <w:b/>
      <w:bCs/>
      <w:sz w:val="24"/>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257B1D"/>
    <w:rPr>
      <w:b/>
      <w:color w:val="1F497D" w:themeColor="text2"/>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177DD7"/>
    <w:pPr>
      <w:tabs>
        <w:tab w:val="left" w:pos="284"/>
      </w:tabs>
      <w:spacing w:after="20" w:line="240" w:lineRule="auto"/>
      <w:ind w:left="284" w:hanging="284"/>
    </w:pPr>
    <w:rPr>
      <w:sz w:val="18"/>
    </w:rPr>
  </w:style>
  <w:style w:type="paragraph" w:customStyle="1" w:styleId="Bullet">
    <w:name w:val="Bullet"/>
    <w:aliases w:val="b,b + line,b1,Body,Bullet + line,level 1"/>
    <w:basedOn w:val="Normal"/>
    <w:link w:val="BulletChar"/>
    <w:qFormat/>
    <w:rsid w:val="00212A4E"/>
    <w:pPr>
      <w:numPr>
        <w:numId w:val="1"/>
      </w:numPr>
    </w:pPr>
  </w:style>
  <w:style w:type="paragraph" w:customStyle="1" w:styleId="Dash">
    <w:name w:val="Dash"/>
    <w:basedOn w:val="Normal"/>
    <w:qFormat/>
    <w:rsid w:val="000A7BCF"/>
    <w:pPr>
      <w:numPr>
        <w:ilvl w:val="1"/>
        <w:numId w:val="1"/>
      </w:numPr>
    </w:pPr>
  </w:style>
  <w:style w:type="paragraph" w:customStyle="1" w:styleId="DoubleDot">
    <w:name w:val="Double Dot"/>
    <w:basedOn w:val="Normal"/>
    <w:qFormat/>
    <w:rsid w:val="000A7BCF"/>
    <w:pPr>
      <w:numPr>
        <w:ilvl w:val="2"/>
        <w:numId w:val="1"/>
      </w:numPr>
    </w:pPr>
  </w:style>
  <w:style w:type="paragraph" w:customStyle="1" w:styleId="OutlineNumbered1">
    <w:name w:val="Outline Numbered 1"/>
    <w:basedOn w:val="Normal"/>
    <w:rsid w:val="001E43D3"/>
    <w:pPr>
      <w:numPr>
        <w:numId w:val="9"/>
      </w:numPr>
    </w:pPr>
  </w:style>
  <w:style w:type="paragraph" w:customStyle="1" w:styleId="OutlineNumbered2">
    <w:name w:val="Outline Numbered 2"/>
    <w:basedOn w:val="Normal"/>
    <w:rsid w:val="001E43D3"/>
    <w:pPr>
      <w:numPr>
        <w:ilvl w:val="1"/>
        <w:numId w:val="9"/>
      </w:numPr>
    </w:pPr>
  </w:style>
  <w:style w:type="paragraph" w:customStyle="1" w:styleId="OutlineNumbered3">
    <w:name w:val="Outline Numbered 3"/>
    <w:basedOn w:val="Normal"/>
    <w:rsid w:val="001E43D3"/>
    <w:pPr>
      <w:numPr>
        <w:ilvl w:val="2"/>
        <w:numId w:val="9"/>
      </w:numPr>
    </w:pPr>
  </w:style>
  <w:style w:type="paragraph" w:customStyle="1" w:styleId="AlphaParagraph">
    <w:name w:val="Alpha Paragraph"/>
    <w:basedOn w:val="Normal"/>
    <w:rsid w:val="000A7BCF"/>
    <w:pPr>
      <w:numPr>
        <w:numId w:val="2"/>
      </w:numPr>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10"/>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304A45"/>
    <w:pPr>
      <w:pBdr>
        <w:bottom w:val="single" w:sz="4" w:space="20" w:color="1F497D" w:themeColor="text2"/>
      </w:pBdr>
      <w:spacing w:after="480"/>
      <w:jc w:val="center"/>
    </w:pPr>
    <w:rPr>
      <w:b/>
      <w:sz w:val="48"/>
    </w:rPr>
  </w:style>
  <w:style w:type="paragraph" w:customStyle="1" w:styleId="CoverTitleSub">
    <w:name w:val="Cover Title Sub"/>
    <w:basedOn w:val="HeadingBase"/>
    <w:rsid w:val="00304A45"/>
    <w:pPr>
      <w:spacing w:after="360"/>
      <w:jc w:val="right"/>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FD36DE"/>
    <w:pPr>
      <w:keepNext w:val="0"/>
      <w:widowControl w:val="0"/>
      <w:tabs>
        <w:tab w:val="left" w:pos="426"/>
        <w:tab w:val="right" w:leader="dot" w:pos="9072"/>
      </w:tabs>
      <w:spacing w:before="180" w:after="80"/>
      <w:ind w:left="425" w:right="851" w:hanging="425"/>
    </w:pPr>
    <w:rPr>
      <w:b/>
      <w:noProof/>
      <w:sz w:val="22"/>
      <w:szCs w:val="22"/>
    </w:rPr>
  </w:style>
  <w:style w:type="paragraph" w:styleId="TOC2">
    <w:name w:val="toc 2"/>
    <w:basedOn w:val="HeadingBase"/>
    <w:next w:val="Normal"/>
    <w:uiPriority w:val="39"/>
    <w:rsid w:val="00FD36DE"/>
    <w:pPr>
      <w:tabs>
        <w:tab w:val="left" w:pos="993"/>
        <w:tab w:val="right" w:leader="dot" w:pos="9072"/>
      </w:tabs>
      <w:spacing w:before="120" w:after="80"/>
      <w:ind w:left="992" w:right="851" w:hanging="567"/>
    </w:pPr>
    <w:rPr>
      <w:noProof/>
      <w:sz w:val="21"/>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5"/>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F15C23"/>
    <w:pPr>
      <w:numPr>
        <w:numId w:val="0"/>
      </w:numPr>
    </w:pPr>
    <w:rPr>
      <w:rFonts w:ascii="Calibri" w:hAnsi="Calibri"/>
      <w:caps/>
      <w:sz w:val="26"/>
    </w:r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8"/>
      </w:numPr>
    </w:pPr>
  </w:style>
  <w:style w:type="numbering" w:customStyle="1" w:styleId="Optionboxheading">
    <w:name w:val="Option box heading"/>
    <w:uiPriority w:val="99"/>
    <w:rsid w:val="00CA601E"/>
    <w:pPr>
      <w:numPr>
        <w:numId w:val="10"/>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styleId="FootnoteReference">
    <w:name w:val="footnote reference"/>
    <w:basedOn w:val="DefaultParagraphFont"/>
    <w:rsid w:val="00D15088"/>
    <w:rPr>
      <w:vertAlign w:val="superscript"/>
    </w:rPr>
  </w:style>
  <w:style w:type="character" w:customStyle="1" w:styleId="FootnoteTextChar">
    <w:name w:val="Footnote Text Char"/>
    <w:basedOn w:val="DefaultParagraphFont"/>
    <w:link w:val="FootnoteText"/>
    <w:uiPriority w:val="99"/>
    <w:rsid w:val="00177DD7"/>
    <w:rPr>
      <w:rFonts w:ascii="Book Antiqua" w:hAnsi="Book Antiqua"/>
      <w:color w:val="000000"/>
      <w:sz w:val="18"/>
    </w:rPr>
  </w:style>
  <w:style w:type="paragraph" w:styleId="ListParagraph">
    <w:name w:val="List Paragraph"/>
    <w:basedOn w:val="Normal"/>
    <w:uiPriority w:val="34"/>
    <w:qFormat/>
    <w:rsid w:val="00D15088"/>
    <w:pPr>
      <w:spacing w:after="0" w:line="240" w:lineRule="auto"/>
      <w:ind w:left="720"/>
      <w:jc w:val="left"/>
    </w:pPr>
    <w:rPr>
      <w:rFonts w:ascii="Calibri" w:eastAsiaTheme="minorHAnsi" w:hAnsi="Calibri"/>
      <w:color w:val="auto"/>
      <w:szCs w:val="22"/>
      <w:lang w:eastAsia="en-US"/>
    </w:rPr>
  </w:style>
  <w:style w:type="paragraph" w:customStyle="1" w:styleId="Num-DocParagraph">
    <w:name w:val="Num-Doc Paragraph"/>
    <w:basedOn w:val="BodyText"/>
    <w:link w:val="Num-DocParagraph0"/>
    <w:rsid w:val="00BE487A"/>
    <w:pPr>
      <w:tabs>
        <w:tab w:val="left" w:pos="850"/>
        <w:tab w:val="left" w:pos="1191"/>
        <w:tab w:val="left" w:pos="1531"/>
      </w:tabs>
      <w:spacing w:after="240" w:line="240" w:lineRule="auto"/>
    </w:pPr>
    <w:rPr>
      <w:rFonts w:ascii="Times New Roman" w:hAnsi="Times New Roman"/>
      <w:color w:val="auto"/>
      <w:szCs w:val="22"/>
      <w:lang w:val="en-GB" w:eastAsia="zh-CN"/>
    </w:rPr>
  </w:style>
  <w:style w:type="character" w:customStyle="1" w:styleId="Num-DocParagraph0">
    <w:name w:val="Num-Doc Paragraph (文字)"/>
    <w:link w:val="Num-DocParagraph"/>
    <w:locked/>
    <w:rsid w:val="00BE487A"/>
    <w:rPr>
      <w:sz w:val="22"/>
      <w:szCs w:val="22"/>
      <w:lang w:val="en-GB" w:eastAsia="zh-CN"/>
    </w:rPr>
  </w:style>
  <w:style w:type="paragraph" w:styleId="BodyText">
    <w:name w:val="Body Text"/>
    <w:basedOn w:val="Normal"/>
    <w:link w:val="BodyTextChar"/>
    <w:uiPriority w:val="99"/>
    <w:semiHidden/>
    <w:unhideWhenUsed/>
    <w:rsid w:val="00BE487A"/>
    <w:pPr>
      <w:spacing w:after="120"/>
    </w:pPr>
  </w:style>
  <w:style w:type="character" w:customStyle="1" w:styleId="BodyTextChar">
    <w:name w:val="Body Text Char"/>
    <w:basedOn w:val="DefaultParagraphFont"/>
    <w:link w:val="BodyText"/>
    <w:uiPriority w:val="99"/>
    <w:semiHidden/>
    <w:rsid w:val="00BE487A"/>
    <w:rPr>
      <w:rFonts w:ascii="Book Antiqua" w:hAnsi="Book Antiqua"/>
      <w:color w:val="000000"/>
      <w:sz w:val="22"/>
    </w:rPr>
  </w:style>
  <w:style w:type="character" w:styleId="CommentReference">
    <w:name w:val="annotation reference"/>
    <w:basedOn w:val="DefaultParagraphFont"/>
    <w:uiPriority w:val="99"/>
    <w:semiHidden/>
    <w:unhideWhenUsed/>
    <w:rsid w:val="00B66669"/>
    <w:rPr>
      <w:sz w:val="16"/>
      <w:szCs w:val="16"/>
    </w:rPr>
  </w:style>
  <w:style w:type="paragraph" w:styleId="CommentText">
    <w:name w:val="annotation text"/>
    <w:basedOn w:val="Normal"/>
    <w:link w:val="CommentTextChar"/>
    <w:uiPriority w:val="99"/>
    <w:unhideWhenUsed/>
    <w:rsid w:val="00B66669"/>
    <w:pPr>
      <w:spacing w:line="240" w:lineRule="auto"/>
    </w:pPr>
    <w:rPr>
      <w:sz w:val="20"/>
    </w:rPr>
  </w:style>
  <w:style w:type="character" w:customStyle="1" w:styleId="CommentTextChar">
    <w:name w:val="Comment Text Char"/>
    <w:basedOn w:val="DefaultParagraphFont"/>
    <w:link w:val="CommentText"/>
    <w:uiPriority w:val="99"/>
    <w:rsid w:val="00B66669"/>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B66669"/>
    <w:rPr>
      <w:b/>
      <w:bCs/>
    </w:rPr>
  </w:style>
  <w:style w:type="character" w:customStyle="1" w:styleId="CommentSubjectChar">
    <w:name w:val="Comment Subject Char"/>
    <w:basedOn w:val="CommentTextChar"/>
    <w:link w:val="CommentSubject"/>
    <w:uiPriority w:val="99"/>
    <w:semiHidden/>
    <w:rsid w:val="00B66669"/>
    <w:rPr>
      <w:rFonts w:ascii="Book Antiqua" w:hAnsi="Book Antiqua"/>
      <w:b/>
      <w:bCs/>
      <w:color w:val="000000"/>
    </w:rPr>
  </w:style>
  <w:style w:type="paragraph" w:styleId="NormalWeb">
    <w:name w:val="Normal (Web)"/>
    <w:basedOn w:val="Normal"/>
    <w:uiPriority w:val="99"/>
    <w:unhideWhenUsed/>
    <w:rsid w:val="00354E40"/>
    <w:pPr>
      <w:spacing w:before="100" w:beforeAutospacing="1" w:after="100" w:afterAutospacing="1" w:line="240" w:lineRule="auto"/>
      <w:jc w:val="left"/>
    </w:pPr>
    <w:rPr>
      <w:rFonts w:ascii="Times New Roman" w:hAnsi="Times New Roman"/>
      <w:color w:val="auto"/>
      <w:sz w:val="24"/>
      <w:szCs w:val="24"/>
    </w:rPr>
  </w:style>
  <w:style w:type="character" w:customStyle="1" w:styleId="Heading3Char">
    <w:name w:val="Heading 3 Char"/>
    <w:basedOn w:val="DefaultParagraphFont"/>
    <w:link w:val="Heading3"/>
    <w:rsid w:val="00992366"/>
    <w:rPr>
      <w:rFonts w:ascii="Century Gothic" w:hAnsi="Century Gothic" w:cs="Arial"/>
      <w:b/>
      <w:bCs/>
      <w:color w:val="1F497D" w:themeColor="text2"/>
      <w:sz w:val="28"/>
      <w:szCs w:val="26"/>
    </w:rPr>
  </w:style>
  <w:style w:type="character" w:customStyle="1" w:styleId="BulletChar">
    <w:name w:val="Bullet Char"/>
    <w:aliases w:val="b Char,b + line Char Char,b Char Char,b1 Char,b + line Char,Body Char,L Char,List Paragraph Char,List Paragraph1 Char,List Paragraph11 Char,Number Char,Recommendation Char,List Paragraph2 Char,Bullets Char,Bulleted Para Char,FooterText Char"/>
    <w:basedOn w:val="DefaultParagraphFont"/>
    <w:link w:val="Bullet"/>
    <w:qFormat/>
    <w:rsid w:val="00212A4E"/>
    <w:rPr>
      <w:rFonts w:ascii="Book Antiqua" w:hAnsi="Book Antiqua"/>
      <w:color w:val="000000"/>
      <w:sz w:val="22"/>
    </w:rPr>
  </w:style>
  <w:style w:type="paragraph" w:styleId="Revision">
    <w:name w:val="Revision"/>
    <w:hidden/>
    <w:uiPriority w:val="99"/>
    <w:semiHidden/>
    <w:rsid w:val="00120366"/>
    <w:rPr>
      <w:rFonts w:ascii="Book Antiqua" w:hAnsi="Book Antiqua"/>
      <w:color w:val="000000"/>
      <w:sz w:val="22"/>
    </w:rPr>
  </w:style>
  <w:style w:type="numbering" w:customStyle="1" w:styleId="Outlinenumbering1">
    <w:name w:val="Outline numbering1"/>
    <w:uiPriority w:val="99"/>
    <w:rsid w:val="00973024"/>
  </w:style>
  <w:style w:type="paragraph" w:customStyle="1" w:styleId="Heading1-Numbered">
    <w:name w:val="Heading 1 - Numbered"/>
    <w:basedOn w:val="Heading1"/>
    <w:rsid w:val="00177DD7"/>
    <w:pPr>
      <w:numPr>
        <w:numId w:val="13"/>
      </w:numPr>
    </w:pPr>
  </w:style>
  <w:style w:type="paragraph" w:customStyle="1" w:styleId="Heading2-NotNumbered">
    <w:name w:val="Heading 2 - Not Numbered"/>
    <w:basedOn w:val="Heading2NotNumbered"/>
    <w:rsid w:val="00992366"/>
    <w:pPr>
      <w:numPr>
        <w:ilvl w:val="0"/>
        <w:numId w:val="0"/>
      </w:numPr>
    </w:pPr>
  </w:style>
  <w:style w:type="paragraph" w:customStyle="1" w:styleId="Heading2-NoTOC">
    <w:name w:val="Heading 2 - No TOC"/>
    <w:basedOn w:val="Heading2-NotNumbered"/>
    <w:rsid w:val="00992366"/>
    <w:pPr>
      <w:outlineLvl w:val="9"/>
    </w:pPr>
  </w:style>
  <w:style w:type="paragraph" w:customStyle="1" w:styleId="Heading3-NoTOC">
    <w:name w:val="Heading 3 - No TOC"/>
    <w:basedOn w:val="Heading3"/>
    <w:rsid w:val="00992366"/>
    <w:pPr>
      <w:outlineLvl w:val="9"/>
    </w:pPr>
  </w:style>
  <w:style w:type="paragraph" w:customStyle="1" w:styleId="Heading1-NoTOC">
    <w:name w:val="Heading 1 - No TOC"/>
    <w:basedOn w:val="Heading1"/>
    <w:rsid w:val="00257B1D"/>
    <w:pPr>
      <w:outlineLvl w:val="9"/>
    </w:pPr>
  </w:style>
  <w:style w:type="paragraph" w:styleId="Quote">
    <w:name w:val="Quote"/>
    <w:basedOn w:val="Normal"/>
    <w:next w:val="Normal"/>
    <w:link w:val="QuoteChar"/>
    <w:uiPriority w:val="29"/>
    <w:qFormat/>
    <w:rsid w:val="00CE25B6"/>
    <w:pPr>
      <w:ind w:left="567" w:right="454"/>
    </w:pPr>
    <w:rPr>
      <w:i/>
      <w:iCs/>
      <w:color w:val="000000" w:themeColor="text1"/>
    </w:rPr>
  </w:style>
  <w:style w:type="character" w:customStyle="1" w:styleId="QuoteChar">
    <w:name w:val="Quote Char"/>
    <w:basedOn w:val="DefaultParagraphFont"/>
    <w:link w:val="Quote"/>
    <w:uiPriority w:val="29"/>
    <w:rsid w:val="00CE25B6"/>
    <w:rPr>
      <w:rFonts w:ascii="Book Antiqua" w:hAnsi="Book Antiqua"/>
      <w:i/>
      <w:iCs/>
      <w:color w:val="000000" w:themeColor="text1"/>
      <w:sz w:val="22"/>
    </w:rPr>
  </w:style>
  <w:style w:type="paragraph" w:customStyle="1" w:styleId="RomanParagraph">
    <w:name w:val="Roman Paragraph"/>
    <w:basedOn w:val="OutlineNumbered1"/>
    <w:rsid w:val="005A6802"/>
    <w:pPr>
      <w:numPr>
        <w:numId w:val="34"/>
      </w:numPr>
      <w:tabs>
        <w:tab w:val="left" w:pos="567"/>
      </w:tabs>
      <w:ind w:left="567" w:hanging="567"/>
    </w:pPr>
  </w:style>
  <w:style w:type="paragraph" w:customStyle="1" w:styleId="BoxQuestions">
    <w:name w:val="Box Questions"/>
    <w:basedOn w:val="Normal"/>
    <w:rsid w:val="003148DF"/>
    <w:pPr>
      <w:numPr>
        <w:numId w:val="35"/>
      </w:numPr>
      <w:tabs>
        <w:tab w:val="left" w:pos="425"/>
      </w:tabs>
      <w:spacing w:before="120" w:after="120"/>
      <w:ind w:left="425" w:right="113" w:hanging="425"/>
    </w:pPr>
    <w:rPr>
      <w:rFonts w:ascii="Calibri" w:hAnsi="Calibri"/>
    </w:rPr>
  </w:style>
  <w:style w:type="paragraph" w:customStyle="1" w:styleId="Normal-Indent">
    <w:name w:val="Normal - Indent"/>
    <w:basedOn w:val="Normal"/>
    <w:rsid w:val="00A30CBE"/>
    <w:pPr>
      <w:ind w:left="426"/>
    </w:pPr>
  </w:style>
  <w:style w:type="paragraph" w:customStyle="1" w:styleId="Bullet-Indent">
    <w:name w:val="Bullet - Indent"/>
    <w:basedOn w:val="Bullet"/>
    <w:rsid w:val="00A30CBE"/>
    <w:pPr>
      <w:tabs>
        <w:tab w:val="num" w:pos="851"/>
      </w:tabs>
      <w:ind w:left="850"/>
    </w:pPr>
  </w:style>
  <w:style w:type="paragraph" w:customStyle="1" w:styleId="DashIndent">
    <w:name w:val="Dash Indent"/>
    <w:basedOn w:val="Dash"/>
    <w:rsid w:val="00212A4E"/>
    <w:pPr>
      <w:tabs>
        <w:tab w:val="clear" w:pos="1040"/>
        <w:tab w:val="left" w:pos="992"/>
      </w:tabs>
      <w:ind w:left="992" w:hanging="425"/>
    </w:pPr>
  </w:style>
  <w:style w:type="paragraph" w:customStyle="1" w:styleId="BoxAlpha">
    <w:name w:val="Box Alpha"/>
    <w:basedOn w:val="BoxQuestions"/>
    <w:rsid w:val="00212A4E"/>
    <w:pPr>
      <w:numPr>
        <w:ilvl w:val="1"/>
      </w:numPr>
      <w:tabs>
        <w:tab w:val="clear" w:pos="425"/>
        <w:tab w:val="left" w:pos="851"/>
      </w:tabs>
      <w:ind w:left="851" w:hanging="42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DD7"/>
    <w:pPr>
      <w:spacing w:after="240" w:line="280" w:lineRule="exact"/>
      <w:jc w:val="both"/>
    </w:pPr>
    <w:rPr>
      <w:rFonts w:ascii="Book Antiqua" w:hAnsi="Book Antiqua"/>
      <w:color w:val="000000"/>
      <w:sz w:val="22"/>
    </w:rPr>
  </w:style>
  <w:style w:type="paragraph" w:styleId="Heading1">
    <w:name w:val="heading 1"/>
    <w:basedOn w:val="ContentsHeading"/>
    <w:next w:val="OutlineNumbered1"/>
    <w:qFormat/>
    <w:rsid w:val="00992366"/>
    <w:pPr>
      <w:pBdr>
        <w:bottom w:val="single" w:sz="4" w:space="12" w:color="1F497D" w:themeColor="text2"/>
      </w:pBdr>
      <w:spacing w:after="480"/>
      <w:jc w:val="left"/>
      <w:outlineLvl w:val="0"/>
    </w:pPr>
    <w:rPr>
      <w:rFonts w:cs="Arial"/>
      <w:b/>
      <w:bCs/>
      <w:caps/>
      <w:smallCaps w:val="0"/>
      <w:kern w:val="32"/>
      <w:sz w:val="34"/>
    </w:rPr>
  </w:style>
  <w:style w:type="paragraph" w:styleId="Heading2">
    <w:name w:val="heading 2"/>
    <w:aliases w:val="Heading 2 - Numbered"/>
    <w:basedOn w:val="HeadingBase"/>
    <w:next w:val="OutlineNumbered1"/>
    <w:autoRedefine/>
    <w:qFormat/>
    <w:rsid w:val="0045753C"/>
    <w:pPr>
      <w:numPr>
        <w:ilvl w:val="1"/>
        <w:numId w:val="13"/>
      </w:numPr>
      <w:spacing w:before="180" w:after="240"/>
      <w:outlineLvl w:val="1"/>
    </w:pPr>
    <w:rPr>
      <w:rFonts w:cs="Arial"/>
      <w:b/>
      <w:bCs/>
      <w:iCs/>
      <w:smallCaps/>
      <w:sz w:val="32"/>
      <w:szCs w:val="28"/>
    </w:rPr>
  </w:style>
  <w:style w:type="paragraph" w:styleId="Heading3">
    <w:name w:val="heading 3"/>
    <w:basedOn w:val="HeadingBase"/>
    <w:next w:val="OutlineNumbered1"/>
    <w:link w:val="Heading3Char"/>
    <w:qFormat/>
    <w:rsid w:val="00992366"/>
    <w:pPr>
      <w:spacing w:before="360" w:after="240"/>
      <w:outlineLvl w:val="2"/>
    </w:pPr>
    <w:rPr>
      <w:rFonts w:cs="Arial"/>
      <w:b/>
      <w:bCs/>
      <w:sz w:val="28"/>
      <w:szCs w:val="26"/>
    </w:rPr>
  </w:style>
  <w:style w:type="paragraph" w:styleId="Heading4">
    <w:name w:val="heading 4"/>
    <w:basedOn w:val="HeadingBase"/>
    <w:next w:val="OutlineNumbered1"/>
    <w:qFormat/>
    <w:rsid w:val="007525B3"/>
    <w:pPr>
      <w:tabs>
        <w:tab w:val="left" w:pos="426"/>
      </w:tabs>
      <w:spacing w:after="240"/>
      <w:ind w:left="426" w:hanging="426"/>
      <w:outlineLvl w:val="3"/>
    </w:pPr>
    <w:rPr>
      <w:b/>
      <w:bCs/>
      <w:sz w:val="24"/>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257B1D"/>
    <w:rPr>
      <w:b/>
      <w:color w:val="1F497D" w:themeColor="text2"/>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177DD7"/>
    <w:pPr>
      <w:tabs>
        <w:tab w:val="left" w:pos="284"/>
      </w:tabs>
      <w:spacing w:after="20" w:line="240" w:lineRule="auto"/>
      <w:ind w:left="284" w:hanging="284"/>
    </w:pPr>
    <w:rPr>
      <w:sz w:val="18"/>
    </w:rPr>
  </w:style>
  <w:style w:type="paragraph" w:customStyle="1" w:styleId="Bullet">
    <w:name w:val="Bullet"/>
    <w:aliases w:val="b,b + line,b1,Body,Bullet + line,level 1"/>
    <w:basedOn w:val="Normal"/>
    <w:link w:val="BulletChar"/>
    <w:qFormat/>
    <w:rsid w:val="00212A4E"/>
    <w:pPr>
      <w:numPr>
        <w:numId w:val="1"/>
      </w:numPr>
    </w:pPr>
  </w:style>
  <w:style w:type="paragraph" w:customStyle="1" w:styleId="Dash">
    <w:name w:val="Dash"/>
    <w:basedOn w:val="Normal"/>
    <w:qFormat/>
    <w:rsid w:val="000A7BCF"/>
    <w:pPr>
      <w:numPr>
        <w:ilvl w:val="1"/>
        <w:numId w:val="1"/>
      </w:numPr>
    </w:pPr>
  </w:style>
  <w:style w:type="paragraph" w:customStyle="1" w:styleId="DoubleDot">
    <w:name w:val="Double Dot"/>
    <w:basedOn w:val="Normal"/>
    <w:qFormat/>
    <w:rsid w:val="000A7BCF"/>
    <w:pPr>
      <w:numPr>
        <w:ilvl w:val="2"/>
        <w:numId w:val="1"/>
      </w:numPr>
    </w:pPr>
  </w:style>
  <w:style w:type="paragraph" w:customStyle="1" w:styleId="OutlineNumbered1">
    <w:name w:val="Outline Numbered 1"/>
    <w:basedOn w:val="Normal"/>
    <w:rsid w:val="001E43D3"/>
    <w:pPr>
      <w:numPr>
        <w:numId w:val="9"/>
      </w:numPr>
    </w:pPr>
  </w:style>
  <w:style w:type="paragraph" w:customStyle="1" w:styleId="OutlineNumbered2">
    <w:name w:val="Outline Numbered 2"/>
    <w:basedOn w:val="Normal"/>
    <w:rsid w:val="001E43D3"/>
    <w:pPr>
      <w:numPr>
        <w:ilvl w:val="1"/>
        <w:numId w:val="9"/>
      </w:numPr>
    </w:pPr>
  </w:style>
  <w:style w:type="paragraph" w:customStyle="1" w:styleId="OutlineNumbered3">
    <w:name w:val="Outline Numbered 3"/>
    <w:basedOn w:val="Normal"/>
    <w:rsid w:val="001E43D3"/>
    <w:pPr>
      <w:numPr>
        <w:ilvl w:val="2"/>
        <w:numId w:val="9"/>
      </w:numPr>
    </w:pPr>
  </w:style>
  <w:style w:type="paragraph" w:customStyle="1" w:styleId="AlphaParagraph">
    <w:name w:val="Alpha Paragraph"/>
    <w:basedOn w:val="Normal"/>
    <w:rsid w:val="000A7BCF"/>
    <w:pPr>
      <w:numPr>
        <w:numId w:val="2"/>
      </w:numPr>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10"/>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304A45"/>
    <w:pPr>
      <w:pBdr>
        <w:bottom w:val="single" w:sz="4" w:space="20" w:color="1F497D" w:themeColor="text2"/>
      </w:pBdr>
      <w:spacing w:after="480"/>
      <w:jc w:val="center"/>
    </w:pPr>
    <w:rPr>
      <w:b/>
      <w:sz w:val="48"/>
    </w:rPr>
  </w:style>
  <w:style w:type="paragraph" w:customStyle="1" w:styleId="CoverTitleSub">
    <w:name w:val="Cover Title Sub"/>
    <w:basedOn w:val="HeadingBase"/>
    <w:rsid w:val="00304A45"/>
    <w:pPr>
      <w:spacing w:after="360"/>
      <w:jc w:val="right"/>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FD36DE"/>
    <w:pPr>
      <w:keepNext w:val="0"/>
      <w:widowControl w:val="0"/>
      <w:tabs>
        <w:tab w:val="left" w:pos="426"/>
        <w:tab w:val="right" w:leader="dot" w:pos="9072"/>
      </w:tabs>
      <w:spacing w:before="180" w:after="80"/>
      <w:ind w:left="425" w:right="851" w:hanging="425"/>
    </w:pPr>
    <w:rPr>
      <w:b/>
      <w:noProof/>
      <w:sz w:val="22"/>
      <w:szCs w:val="22"/>
    </w:rPr>
  </w:style>
  <w:style w:type="paragraph" w:styleId="TOC2">
    <w:name w:val="toc 2"/>
    <w:basedOn w:val="HeadingBase"/>
    <w:next w:val="Normal"/>
    <w:uiPriority w:val="39"/>
    <w:rsid w:val="00FD36DE"/>
    <w:pPr>
      <w:tabs>
        <w:tab w:val="left" w:pos="993"/>
        <w:tab w:val="right" w:leader="dot" w:pos="9072"/>
      </w:tabs>
      <w:spacing w:before="120" w:after="80"/>
      <w:ind w:left="992" w:right="851" w:hanging="567"/>
    </w:pPr>
    <w:rPr>
      <w:noProof/>
      <w:sz w:val="21"/>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5"/>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F15C23"/>
    <w:pPr>
      <w:numPr>
        <w:numId w:val="0"/>
      </w:numPr>
    </w:pPr>
    <w:rPr>
      <w:rFonts w:ascii="Calibri" w:hAnsi="Calibri"/>
      <w:caps/>
      <w:sz w:val="26"/>
    </w:r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8"/>
      </w:numPr>
    </w:pPr>
  </w:style>
  <w:style w:type="numbering" w:customStyle="1" w:styleId="Optionboxheading">
    <w:name w:val="Option box heading"/>
    <w:uiPriority w:val="99"/>
    <w:rsid w:val="00CA601E"/>
    <w:pPr>
      <w:numPr>
        <w:numId w:val="10"/>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styleId="FootnoteReference">
    <w:name w:val="footnote reference"/>
    <w:basedOn w:val="DefaultParagraphFont"/>
    <w:rsid w:val="00D15088"/>
    <w:rPr>
      <w:vertAlign w:val="superscript"/>
    </w:rPr>
  </w:style>
  <w:style w:type="character" w:customStyle="1" w:styleId="FootnoteTextChar">
    <w:name w:val="Footnote Text Char"/>
    <w:basedOn w:val="DefaultParagraphFont"/>
    <w:link w:val="FootnoteText"/>
    <w:uiPriority w:val="99"/>
    <w:rsid w:val="00177DD7"/>
    <w:rPr>
      <w:rFonts w:ascii="Book Antiqua" w:hAnsi="Book Antiqua"/>
      <w:color w:val="000000"/>
      <w:sz w:val="18"/>
    </w:rPr>
  </w:style>
  <w:style w:type="paragraph" w:styleId="ListParagraph">
    <w:name w:val="List Paragraph"/>
    <w:basedOn w:val="Normal"/>
    <w:uiPriority w:val="34"/>
    <w:qFormat/>
    <w:rsid w:val="00D15088"/>
    <w:pPr>
      <w:spacing w:after="0" w:line="240" w:lineRule="auto"/>
      <w:ind w:left="720"/>
      <w:jc w:val="left"/>
    </w:pPr>
    <w:rPr>
      <w:rFonts w:ascii="Calibri" w:eastAsiaTheme="minorHAnsi" w:hAnsi="Calibri"/>
      <w:color w:val="auto"/>
      <w:szCs w:val="22"/>
      <w:lang w:eastAsia="en-US"/>
    </w:rPr>
  </w:style>
  <w:style w:type="paragraph" w:customStyle="1" w:styleId="Num-DocParagraph">
    <w:name w:val="Num-Doc Paragraph"/>
    <w:basedOn w:val="BodyText"/>
    <w:link w:val="Num-DocParagraph0"/>
    <w:rsid w:val="00BE487A"/>
    <w:pPr>
      <w:tabs>
        <w:tab w:val="left" w:pos="850"/>
        <w:tab w:val="left" w:pos="1191"/>
        <w:tab w:val="left" w:pos="1531"/>
      </w:tabs>
      <w:spacing w:after="240" w:line="240" w:lineRule="auto"/>
    </w:pPr>
    <w:rPr>
      <w:rFonts w:ascii="Times New Roman" w:hAnsi="Times New Roman"/>
      <w:color w:val="auto"/>
      <w:szCs w:val="22"/>
      <w:lang w:val="en-GB" w:eastAsia="zh-CN"/>
    </w:rPr>
  </w:style>
  <w:style w:type="character" w:customStyle="1" w:styleId="Num-DocParagraph0">
    <w:name w:val="Num-Doc Paragraph (文字)"/>
    <w:link w:val="Num-DocParagraph"/>
    <w:locked/>
    <w:rsid w:val="00BE487A"/>
    <w:rPr>
      <w:sz w:val="22"/>
      <w:szCs w:val="22"/>
      <w:lang w:val="en-GB" w:eastAsia="zh-CN"/>
    </w:rPr>
  </w:style>
  <w:style w:type="paragraph" w:styleId="BodyText">
    <w:name w:val="Body Text"/>
    <w:basedOn w:val="Normal"/>
    <w:link w:val="BodyTextChar"/>
    <w:uiPriority w:val="99"/>
    <w:semiHidden/>
    <w:unhideWhenUsed/>
    <w:rsid w:val="00BE487A"/>
    <w:pPr>
      <w:spacing w:after="120"/>
    </w:pPr>
  </w:style>
  <w:style w:type="character" w:customStyle="1" w:styleId="BodyTextChar">
    <w:name w:val="Body Text Char"/>
    <w:basedOn w:val="DefaultParagraphFont"/>
    <w:link w:val="BodyText"/>
    <w:uiPriority w:val="99"/>
    <w:semiHidden/>
    <w:rsid w:val="00BE487A"/>
    <w:rPr>
      <w:rFonts w:ascii="Book Antiqua" w:hAnsi="Book Antiqua"/>
      <w:color w:val="000000"/>
      <w:sz w:val="22"/>
    </w:rPr>
  </w:style>
  <w:style w:type="character" w:styleId="CommentReference">
    <w:name w:val="annotation reference"/>
    <w:basedOn w:val="DefaultParagraphFont"/>
    <w:uiPriority w:val="99"/>
    <w:semiHidden/>
    <w:unhideWhenUsed/>
    <w:rsid w:val="00B66669"/>
    <w:rPr>
      <w:sz w:val="16"/>
      <w:szCs w:val="16"/>
    </w:rPr>
  </w:style>
  <w:style w:type="paragraph" w:styleId="CommentText">
    <w:name w:val="annotation text"/>
    <w:basedOn w:val="Normal"/>
    <w:link w:val="CommentTextChar"/>
    <w:uiPriority w:val="99"/>
    <w:unhideWhenUsed/>
    <w:rsid w:val="00B66669"/>
    <w:pPr>
      <w:spacing w:line="240" w:lineRule="auto"/>
    </w:pPr>
    <w:rPr>
      <w:sz w:val="20"/>
    </w:rPr>
  </w:style>
  <w:style w:type="character" w:customStyle="1" w:styleId="CommentTextChar">
    <w:name w:val="Comment Text Char"/>
    <w:basedOn w:val="DefaultParagraphFont"/>
    <w:link w:val="CommentText"/>
    <w:uiPriority w:val="99"/>
    <w:rsid w:val="00B66669"/>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B66669"/>
    <w:rPr>
      <w:b/>
      <w:bCs/>
    </w:rPr>
  </w:style>
  <w:style w:type="character" w:customStyle="1" w:styleId="CommentSubjectChar">
    <w:name w:val="Comment Subject Char"/>
    <w:basedOn w:val="CommentTextChar"/>
    <w:link w:val="CommentSubject"/>
    <w:uiPriority w:val="99"/>
    <w:semiHidden/>
    <w:rsid w:val="00B66669"/>
    <w:rPr>
      <w:rFonts w:ascii="Book Antiqua" w:hAnsi="Book Antiqua"/>
      <w:b/>
      <w:bCs/>
      <w:color w:val="000000"/>
    </w:rPr>
  </w:style>
  <w:style w:type="paragraph" w:styleId="NormalWeb">
    <w:name w:val="Normal (Web)"/>
    <w:basedOn w:val="Normal"/>
    <w:uiPriority w:val="99"/>
    <w:unhideWhenUsed/>
    <w:rsid w:val="00354E40"/>
    <w:pPr>
      <w:spacing w:before="100" w:beforeAutospacing="1" w:after="100" w:afterAutospacing="1" w:line="240" w:lineRule="auto"/>
      <w:jc w:val="left"/>
    </w:pPr>
    <w:rPr>
      <w:rFonts w:ascii="Times New Roman" w:hAnsi="Times New Roman"/>
      <w:color w:val="auto"/>
      <w:sz w:val="24"/>
      <w:szCs w:val="24"/>
    </w:rPr>
  </w:style>
  <w:style w:type="character" w:customStyle="1" w:styleId="Heading3Char">
    <w:name w:val="Heading 3 Char"/>
    <w:basedOn w:val="DefaultParagraphFont"/>
    <w:link w:val="Heading3"/>
    <w:rsid w:val="00992366"/>
    <w:rPr>
      <w:rFonts w:ascii="Century Gothic" w:hAnsi="Century Gothic" w:cs="Arial"/>
      <w:b/>
      <w:bCs/>
      <w:color w:val="1F497D" w:themeColor="text2"/>
      <w:sz w:val="28"/>
      <w:szCs w:val="26"/>
    </w:rPr>
  </w:style>
  <w:style w:type="character" w:customStyle="1" w:styleId="BulletChar">
    <w:name w:val="Bullet Char"/>
    <w:aliases w:val="b Char,b + line Char Char,b Char Char,b1 Char,b + line Char,Body Char,L Char,List Paragraph Char,List Paragraph1 Char,List Paragraph11 Char,Number Char,Recommendation Char,List Paragraph2 Char,Bullets Char,Bulleted Para Char,FooterText Char"/>
    <w:basedOn w:val="DefaultParagraphFont"/>
    <w:link w:val="Bullet"/>
    <w:qFormat/>
    <w:rsid w:val="00212A4E"/>
    <w:rPr>
      <w:rFonts w:ascii="Book Antiqua" w:hAnsi="Book Antiqua"/>
      <w:color w:val="000000"/>
      <w:sz w:val="22"/>
    </w:rPr>
  </w:style>
  <w:style w:type="paragraph" w:styleId="Revision">
    <w:name w:val="Revision"/>
    <w:hidden/>
    <w:uiPriority w:val="99"/>
    <w:semiHidden/>
    <w:rsid w:val="00120366"/>
    <w:rPr>
      <w:rFonts w:ascii="Book Antiqua" w:hAnsi="Book Antiqua"/>
      <w:color w:val="000000"/>
      <w:sz w:val="22"/>
    </w:rPr>
  </w:style>
  <w:style w:type="numbering" w:customStyle="1" w:styleId="Outlinenumbering1">
    <w:name w:val="Outline numbering1"/>
    <w:uiPriority w:val="99"/>
    <w:rsid w:val="00973024"/>
  </w:style>
  <w:style w:type="paragraph" w:customStyle="1" w:styleId="Heading1-Numbered">
    <w:name w:val="Heading 1 - Numbered"/>
    <w:basedOn w:val="Heading1"/>
    <w:rsid w:val="00177DD7"/>
    <w:pPr>
      <w:numPr>
        <w:numId w:val="13"/>
      </w:numPr>
    </w:pPr>
  </w:style>
  <w:style w:type="paragraph" w:customStyle="1" w:styleId="Heading2-NotNumbered">
    <w:name w:val="Heading 2 - Not Numbered"/>
    <w:basedOn w:val="Heading2NotNumbered"/>
    <w:rsid w:val="00992366"/>
    <w:pPr>
      <w:numPr>
        <w:ilvl w:val="0"/>
        <w:numId w:val="0"/>
      </w:numPr>
    </w:pPr>
  </w:style>
  <w:style w:type="paragraph" w:customStyle="1" w:styleId="Heading2-NoTOC">
    <w:name w:val="Heading 2 - No TOC"/>
    <w:basedOn w:val="Heading2-NotNumbered"/>
    <w:rsid w:val="00992366"/>
    <w:pPr>
      <w:outlineLvl w:val="9"/>
    </w:pPr>
  </w:style>
  <w:style w:type="paragraph" w:customStyle="1" w:styleId="Heading3-NoTOC">
    <w:name w:val="Heading 3 - No TOC"/>
    <w:basedOn w:val="Heading3"/>
    <w:rsid w:val="00992366"/>
    <w:pPr>
      <w:outlineLvl w:val="9"/>
    </w:pPr>
  </w:style>
  <w:style w:type="paragraph" w:customStyle="1" w:styleId="Heading1-NoTOC">
    <w:name w:val="Heading 1 - No TOC"/>
    <w:basedOn w:val="Heading1"/>
    <w:rsid w:val="00257B1D"/>
    <w:pPr>
      <w:outlineLvl w:val="9"/>
    </w:pPr>
  </w:style>
  <w:style w:type="paragraph" w:styleId="Quote">
    <w:name w:val="Quote"/>
    <w:basedOn w:val="Normal"/>
    <w:next w:val="Normal"/>
    <w:link w:val="QuoteChar"/>
    <w:uiPriority w:val="29"/>
    <w:qFormat/>
    <w:rsid w:val="00CE25B6"/>
    <w:pPr>
      <w:ind w:left="567" w:right="454"/>
    </w:pPr>
    <w:rPr>
      <w:i/>
      <w:iCs/>
      <w:color w:val="000000" w:themeColor="text1"/>
    </w:rPr>
  </w:style>
  <w:style w:type="character" w:customStyle="1" w:styleId="QuoteChar">
    <w:name w:val="Quote Char"/>
    <w:basedOn w:val="DefaultParagraphFont"/>
    <w:link w:val="Quote"/>
    <w:uiPriority w:val="29"/>
    <w:rsid w:val="00CE25B6"/>
    <w:rPr>
      <w:rFonts w:ascii="Book Antiqua" w:hAnsi="Book Antiqua"/>
      <w:i/>
      <w:iCs/>
      <w:color w:val="000000" w:themeColor="text1"/>
      <w:sz w:val="22"/>
    </w:rPr>
  </w:style>
  <w:style w:type="paragraph" w:customStyle="1" w:styleId="RomanParagraph">
    <w:name w:val="Roman Paragraph"/>
    <w:basedOn w:val="OutlineNumbered1"/>
    <w:rsid w:val="005A6802"/>
    <w:pPr>
      <w:numPr>
        <w:numId w:val="34"/>
      </w:numPr>
      <w:tabs>
        <w:tab w:val="left" w:pos="567"/>
      </w:tabs>
      <w:ind w:left="567" w:hanging="567"/>
    </w:pPr>
  </w:style>
  <w:style w:type="paragraph" w:customStyle="1" w:styleId="BoxQuestions">
    <w:name w:val="Box Questions"/>
    <w:basedOn w:val="Normal"/>
    <w:rsid w:val="003148DF"/>
    <w:pPr>
      <w:numPr>
        <w:numId w:val="35"/>
      </w:numPr>
      <w:tabs>
        <w:tab w:val="left" w:pos="425"/>
      </w:tabs>
      <w:spacing w:before="120" w:after="120"/>
      <w:ind w:left="425" w:right="113" w:hanging="425"/>
    </w:pPr>
    <w:rPr>
      <w:rFonts w:ascii="Calibri" w:hAnsi="Calibri"/>
    </w:rPr>
  </w:style>
  <w:style w:type="paragraph" w:customStyle="1" w:styleId="Normal-Indent">
    <w:name w:val="Normal - Indent"/>
    <w:basedOn w:val="Normal"/>
    <w:rsid w:val="00A30CBE"/>
    <w:pPr>
      <w:ind w:left="426"/>
    </w:pPr>
  </w:style>
  <w:style w:type="paragraph" w:customStyle="1" w:styleId="Bullet-Indent">
    <w:name w:val="Bullet - Indent"/>
    <w:basedOn w:val="Bullet"/>
    <w:rsid w:val="00A30CBE"/>
    <w:pPr>
      <w:tabs>
        <w:tab w:val="num" w:pos="851"/>
      </w:tabs>
      <w:ind w:left="850"/>
    </w:pPr>
  </w:style>
  <w:style w:type="paragraph" w:customStyle="1" w:styleId="DashIndent">
    <w:name w:val="Dash Indent"/>
    <w:basedOn w:val="Dash"/>
    <w:rsid w:val="00212A4E"/>
    <w:pPr>
      <w:tabs>
        <w:tab w:val="clear" w:pos="1040"/>
        <w:tab w:val="left" w:pos="992"/>
      </w:tabs>
      <w:ind w:left="992" w:hanging="425"/>
    </w:pPr>
  </w:style>
  <w:style w:type="paragraph" w:customStyle="1" w:styleId="BoxAlpha">
    <w:name w:val="Box Alpha"/>
    <w:basedOn w:val="BoxQuestions"/>
    <w:rsid w:val="00212A4E"/>
    <w:pPr>
      <w:numPr>
        <w:ilvl w:val="1"/>
      </w:numPr>
      <w:tabs>
        <w:tab w:val="clear" w:pos="425"/>
        <w:tab w:val="left" w:pos="851"/>
      </w:tabs>
      <w:ind w:left="851"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04785">
      <w:bodyDiv w:val="1"/>
      <w:marLeft w:val="0"/>
      <w:marRight w:val="0"/>
      <w:marTop w:val="0"/>
      <w:marBottom w:val="0"/>
      <w:divBdr>
        <w:top w:val="none" w:sz="0" w:space="0" w:color="auto"/>
        <w:left w:val="none" w:sz="0" w:space="0" w:color="auto"/>
        <w:bottom w:val="none" w:sz="0" w:space="0" w:color="auto"/>
        <w:right w:val="none" w:sz="0" w:space="0" w:color="auto"/>
      </w:divBdr>
    </w:div>
    <w:div w:id="255748797">
      <w:bodyDiv w:val="1"/>
      <w:marLeft w:val="0"/>
      <w:marRight w:val="0"/>
      <w:marTop w:val="0"/>
      <w:marBottom w:val="0"/>
      <w:divBdr>
        <w:top w:val="none" w:sz="0" w:space="0" w:color="auto"/>
        <w:left w:val="none" w:sz="0" w:space="0" w:color="auto"/>
        <w:bottom w:val="none" w:sz="0" w:space="0" w:color="auto"/>
        <w:right w:val="none" w:sz="0" w:space="0" w:color="auto"/>
      </w:divBdr>
    </w:div>
    <w:div w:id="528029700">
      <w:bodyDiv w:val="1"/>
      <w:marLeft w:val="0"/>
      <w:marRight w:val="0"/>
      <w:marTop w:val="0"/>
      <w:marBottom w:val="0"/>
      <w:divBdr>
        <w:top w:val="none" w:sz="0" w:space="0" w:color="auto"/>
        <w:left w:val="none" w:sz="0" w:space="0" w:color="auto"/>
        <w:bottom w:val="none" w:sz="0" w:space="0" w:color="auto"/>
        <w:right w:val="none" w:sz="0" w:space="0" w:color="auto"/>
      </w:divBdr>
    </w:div>
    <w:div w:id="889220663">
      <w:bodyDiv w:val="1"/>
      <w:marLeft w:val="0"/>
      <w:marRight w:val="0"/>
      <w:marTop w:val="0"/>
      <w:marBottom w:val="0"/>
      <w:divBdr>
        <w:top w:val="none" w:sz="0" w:space="0" w:color="auto"/>
        <w:left w:val="none" w:sz="0" w:space="0" w:color="auto"/>
        <w:bottom w:val="none" w:sz="0" w:space="0" w:color="auto"/>
        <w:right w:val="none" w:sz="0" w:space="0" w:color="auto"/>
      </w:divBdr>
      <w:divsChild>
        <w:div w:id="544677891">
          <w:marLeft w:val="274"/>
          <w:marRight w:val="0"/>
          <w:marTop w:val="0"/>
          <w:marBottom w:val="0"/>
          <w:divBdr>
            <w:top w:val="none" w:sz="0" w:space="0" w:color="auto"/>
            <w:left w:val="none" w:sz="0" w:space="0" w:color="auto"/>
            <w:bottom w:val="none" w:sz="0" w:space="0" w:color="auto"/>
            <w:right w:val="none" w:sz="0" w:space="0" w:color="auto"/>
          </w:divBdr>
        </w:div>
        <w:div w:id="859320199">
          <w:marLeft w:val="274"/>
          <w:marRight w:val="0"/>
          <w:marTop w:val="0"/>
          <w:marBottom w:val="0"/>
          <w:divBdr>
            <w:top w:val="none" w:sz="0" w:space="0" w:color="auto"/>
            <w:left w:val="none" w:sz="0" w:space="0" w:color="auto"/>
            <w:bottom w:val="none" w:sz="0" w:space="0" w:color="auto"/>
            <w:right w:val="none" w:sz="0" w:space="0" w:color="auto"/>
          </w:divBdr>
        </w:div>
        <w:div w:id="1043015553">
          <w:marLeft w:val="274"/>
          <w:marRight w:val="0"/>
          <w:marTop w:val="0"/>
          <w:marBottom w:val="0"/>
          <w:divBdr>
            <w:top w:val="none" w:sz="0" w:space="0" w:color="auto"/>
            <w:left w:val="none" w:sz="0" w:space="0" w:color="auto"/>
            <w:bottom w:val="none" w:sz="0" w:space="0" w:color="auto"/>
            <w:right w:val="none" w:sz="0" w:space="0" w:color="auto"/>
          </w:divBdr>
        </w:div>
        <w:div w:id="615874366">
          <w:marLeft w:val="274"/>
          <w:marRight w:val="0"/>
          <w:marTop w:val="0"/>
          <w:marBottom w:val="0"/>
          <w:divBdr>
            <w:top w:val="none" w:sz="0" w:space="0" w:color="auto"/>
            <w:left w:val="none" w:sz="0" w:space="0" w:color="auto"/>
            <w:bottom w:val="none" w:sz="0" w:space="0" w:color="auto"/>
            <w:right w:val="none" w:sz="0" w:space="0" w:color="auto"/>
          </w:divBdr>
        </w:div>
        <w:div w:id="1554585942">
          <w:marLeft w:val="274"/>
          <w:marRight w:val="0"/>
          <w:marTop w:val="0"/>
          <w:marBottom w:val="0"/>
          <w:divBdr>
            <w:top w:val="none" w:sz="0" w:space="0" w:color="auto"/>
            <w:left w:val="none" w:sz="0" w:space="0" w:color="auto"/>
            <w:bottom w:val="none" w:sz="0" w:space="0" w:color="auto"/>
            <w:right w:val="none" w:sz="0" w:space="0" w:color="auto"/>
          </w:divBdr>
        </w:div>
        <w:div w:id="332421406">
          <w:marLeft w:val="274"/>
          <w:marRight w:val="0"/>
          <w:marTop w:val="0"/>
          <w:marBottom w:val="0"/>
          <w:divBdr>
            <w:top w:val="none" w:sz="0" w:space="0" w:color="auto"/>
            <w:left w:val="none" w:sz="0" w:space="0" w:color="auto"/>
            <w:bottom w:val="none" w:sz="0" w:space="0" w:color="auto"/>
            <w:right w:val="none" w:sz="0" w:space="0" w:color="auto"/>
          </w:divBdr>
        </w:div>
        <w:div w:id="422380522">
          <w:marLeft w:val="274"/>
          <w:marRight w:val="0"/>
          <w:marTop w:val="0"/>
          <w:marBottom w:val="0"/>
          <w:divBdr>
            <w:top w:val="none" w:sz="0" w:space="0" w:color="auto"/>
            <w:left w:val="none" w:sz="0" w:space="0" w:color="auto"/>
            <w:bottom w:val="none" w:sz="0" w:space="0" w:color="auto"/>
            <w:right w:val="none" w:sz="0" w:space="0" w:color="auto"/>
          </w:divBdr>
        </w:div>
        <w:div w:id="1263104526">
          <w:marLeft w:val="274"/>
          <w:marRight w:val="0"/>
          <w:marTop w:val="0"/>
          <w:marBottom w:val="0"/>
          <w:divBdr>
            <w:top w:val="none" w:sz="0" w:space="0" w:color="auto"/>
            <w:left w:val="none" w:sz="0" w:space="0" w:color="auto"/>
            <w:bottom w:val="none" w:sz="0" w:space="0" w:color="auto"/>
            <w:right w:val="none" w:sz="0" w:space="0" w:color="auto"/>
          </w:divBdr>
        </w:div>
      </w:divsChild>
    </w:div>
    <w:div w:id="956638048">
      <w:bodyDiv w:val="1"/>
      <w:marLeft w:val="0"/>
      <w:marRight w:val="0"/>
      <w:marTop w:val="0"/>
      <w:marBottom w:val="0"/>
      <w:divBdr>
        <w:top w:val="none" w:sz="0" w:space="0" w:color="auto"/>
        <w:left w:val="none" w:sz="0" w:space="0" w:color="auto"/>
        <w:bottom w:val="none" w:sz="0" w:space="0" w:color="auto"/>
        <w:right w:val="none" w:sz="0" w:space="0" w:color="auto"/>
      </w:divBdr>
    </w:div>
    <w:div w:id="996960511">
      <w:bodyDiv w:val="1"/>
      <w:marLeft w:val="0"/>
      <w:marRight w:val="0"/>
      <w:marTop w:val="0"/>
      <w:marBottom w:val="0"/>
      <w:divBdr>
        <w:top w:val="none" w:sz="0" w:space="0" w:color="auto"/>
        <w:left w:val="none" w:sz="0" w:space="0" w:color="auto"/>
        <w:bottom w:val="none" w:sz="0" w:space="0" w:color="auto"/>
        <w:right w:val="none" w:sz="0" w:space="0" w:color="auto"/>
      </w:divBdr>
    </w:div>
    <w:div w:id="1197040554">
      <w:bodyDiv w:val="1"/>
      <w:marLeft w:val="0"/>
      <w:marRight w:val="0"/>
      <w:marTop w:val="0"/>
      <w:marBottom w:val="0"/>
      <w:divBdr>
        <w:top w:val="none" w:sz="0" w:space="0" w:color="auto"/>
        <w:left w:val="none" w:sz="0" w:space="0" w:color="auto"/>
        <w:bottom w:val="none" w:sz="0" w:space="0" w:color="auto"/>
        <w:right w:val="none" w:sz="0" w:space="0" w:color="auto"/>
      </w:divBdr>
    </w:div>
    <w:div w:id="1333070857">
      <w:bodyDiv w:val="1"/>
      <w:marLeft w:val="0"/>
      <w:marRight w:val="0"/>
      <w:marTop w:val="0"/>
      <w:marBottom w:val="0"/>
      <w:divBdr>
        <w:top w:val="none" w:sz="0" w:space="0" w:color="auto"/>
        <w:left w:val="none" w:sz="0" w:space="0" w:color="auto"/>
        <w:bottom w:val="none" w:sz="0" w:space="0" w:color="auto"/>
        <w:right w:val="none" w:sz="0" w:space="0" w:color="auto"/>
      </w:divBdr>
      <w:divsChild>
        <w:div w:id="171576456">
          <w:marLeft w:val="547"/>
          <w:marRight w:val="0"/>
          <w:marTop w:val="0"/>
          <w:marBottom w:val="0"/>
          <w:divBdr>
            <w:top w:val="none" w:sz="0" w:space="0" w:color="auto"/>
            <w:left w:val="none" w:sz="0" w:space="0" w:color="auto"/>
            <w:bottom w:val="none" w:sz="0" w:space="0" w:color="auto"/>
            <w:right w:val="none" w:sz="0" w:space="0" w:color="auto"/>
          </w:divBdr>
        </w:div>
      </w:divsChild>
    </w:div>
    <w:div w:id="1463575512">
      <w:bodyDiv w:val="1"/>
      <w:marLeft w:val="0"/>
      <w:marRight w:val="0"/>
      <w:marTop w:val="0"/>
      <w:marBottom w:val="0"/>
      <w:divBdr>
        <w:top w:val="none" w:sz="0" w:space="0" w:color="auto"/>
        <w:left w:val="none" w:sz="0" w:space="0" w:color="auto"/>
        <w:bottom w:val="none" w:sz="0" w:space="0" w:color="auto"/>
        <w:right w:val="none" w:sz="0" w:space="0" w:color="auto"/>
      </w:divBdr>
    </w:div>
    <w:div w:id="1588733687">
      <w:bodyDiv w:val="1"/>
      <w:marLeft w:val="0"/>
      <w:marRight w:val="0"/>
      <w:marTop w:val="0"/>
      <w:marBottom w:val="0"/>
      <w:divBdr>
        <w:top w:val="none" w:sz="0" w:space="0" w:color="auto"/>
        <w:left w:val="none" w:sz="0" w:space="0" w:color="auto"/>
        <w:bottom w:val="none" w:sz="0" w:space="0" w:color="auto"/>
        <w:right w:val="none" w:sz="0" w:space="0" w:color="auto"/>
      </w:divBdr>
    </w:div>
    <w:div w:id="1595239148">
      <w:bodyDiv w:val="1"/>
      <w:marLeft w:val="0"/>
      <w:marRight w:val="0"/>
      <w:marTop w:val="0"/>
      <w:marBottom w:val="0"/>
      <w:divBdr>
        <w:top w:val="none" w:sz="0" w:space="0" w:color="auto"/>
        <w:left w:val="none" w:sz="0" w:space="0" w:color="auto"/>
        <w:bottom w:val="none" w:sz="0" w:space="0" w:color="auto"/>
        <w:right w:val="none" w:sz="0" w:space="0" w:color="auto"/>
      </w:divBdr>
    </w:div>
    <w:div w:id="200149652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itsanhonour.gov.au" TargetMode="Externa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creativecommons.org/licenses/by/3.0/au/deed.en" TargetMode="External"/><Relationship Id="rId25" Type="http://schemas.openxmlformats.org/officeDocument/2006/relationships/image" Target="media/image4.tiff"/><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reativecommons.org/licenses/by/3.0/au/legalcode" TargetMode="Externa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mailto:medialiaison@treasury.gov.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3.0/au/deed.en" TargetMode="External"/><Relationship Id="rId22" Type="http://schemas.openxmlformats.org/officeDocument/2006/relationships/hyperlink" Target="mailto:beneficialownership@treasury.gov.au" TargetMode="External"/><Relationship Id="rId27" Type="http://schemas.openxmlformats.org/officeDocument/2006/relationships/footer" Target="footer7.xml"/><Relationship Id="rId30" Type="http://schemas.openxmlformats.org/officeDocument/2006/relationships/footer" Target="footer10.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8111</Words>
  <Characters>46291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 Increasing Transparency of the Beneficial Ownership of Companies</dc:title>
  <dc:subject/>
  <dc:creator/>
  <cp:keywords/>
  <cp:lastModifiedBy/>
  <cp:revision>1</cp:revision>
  <dcterms:created xsi:type="dcterms:W3CDTF">2017-02-12T22:03:00Z</dcterms:created>
  <dcterms:modified xsi:type="dcterms:W3CDTF">2017-02-12T22:03:00Z</dcterms:modified>
</cp:coreProperties>
</file>