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6D494" w14:textId="50B69CCB" w:rsidR="0056559F" w:rsidRDefault="0056559F" w:rsidP="00D04E2A">
      <w:pPr>
        <w:pStyle w:val="ChartGraphic"/>
      </w:pPr>
      <w:bookmarkStart w:id="0" w:name="_GoBack"/>
      <w:bookmarkEnd w:id="0"/>
      <w:r>
        <w:rPr>
          <w:noProof/>
        </w:rPr>
        <w:drawing>
          <wp:inline distT="0" distB="0" distL="0" distR="0" wp14:anchorId="726540A0" wp14:editId="316D2533">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19B5EBFD" w14:textId="79E12B43" w:rsidR="0056559F" w:rsidRPr="0090524A" w:rsidRDefault="00415E8B" w:rsidP="00132B48">
      <w:pPr>
        <w:pStyle w:val="CoverTitleMain"/>
        <w:shd w:val="clear" w:color="auto" w:fill="FFFFFF" w:themeFill="background1"/>
        <w:spacing w:before="2760" w:after="240"/>
        <w:jc w:val="left"/>
        <w:rPr>
          <w:rFonts w:ascii="Garamond" w:hAnsi="Garamond"/>
        </w:rPr>
      </w:pPr>
      <w:r>
        <w:rPr>
          <w:rFonts w:ascii="Garamond" w:hAnsi="Garamond"/>
        </w:rPr>
        <w:t>Australia</w:t>
      </w:r>
      <w:r w:rsidR="00740B66">
        <w:rPr>
          <w:rFonts w:ascii="Garamond" w:hAnsi="Garamond"/>
        </w:rPr>
        <w:t>’</w:t>
      </w:r>
      <w:r>
        <w:rPr>
          <w:rFonts w:ascii="Garamond" w:hAnsi="Garamond"/>
        </w:rPr>
        <w:t xml:space="preserve">s adoption of the </w:t>
      </w:r>
      <w:r w:rsidR="008A4892">
        <w:rPr>
          <w:rFonts w:ascii="Garamond" w:hAnsi="Garamond"/>
        </w:rPr>
        <w:t>BEPS Convention (</w:t>
      </w:r>
      <w:r w:rsidR="00504744">
        <w:rPr>
          <w:rFonts w:ascii="Garamond" w:hAnsi="Garamond"/>
        </w:rPr>
        <w:t>Multilateral Instrument</w:t>
      </w:r>
      <w:r w:rsidR="008A4892">
        <w:rPr>
          <w:rFonts w:ascii="Garamond" w:hAnsi="Garamond"/>
        </w:rPr>
        <w:t>)</w:t>
      </w:r>
    </w:p>
    <w:p w14:paraId="732B018E" w14:textId="5208A64A" w:rsidR="0056559F" w:rsidRPr="0090524A" w:rsidRDefault="0056559F" w:rsidP="00132B48">
      <w:pPr>
        <w:pStyle w:val="CoverTitleSub"/>
        <w:pBdr>
          <w:top w:val="single" w:sz="24" w:space="4" w:color="342E82"/>
        </w:pBdr>
        <w:spacing w:before="480"/>
        <w:jc w:val="left"/>
        <w:rPr>
          <w:rFonts w:ascii="Garamond" w:hAnsi="Garamond"/>
        </w:rPr>
      </w:pPr>
      <w:r>
        <w:rPr>
          <w:rFonts w:ascii="Garamond" w:hAnsi="Garamond"/>
        </w:rPr>
        <w:t>Consultation</w:t>
      </w:r>
      <w:r w:rsidRPr="0090524A">
        <w:rPr>
          <w:rFonts w:ascii="Garamond" w:hAnsi="Garamond"/>
        </w:rPr>
        <w:t xml:space="preserve"> Paper</w:t>
      </w:r>
      <w:r w:rsidRPr="0090524A">
        <w:rPr>
          <w:rFonts w:ascii="Garamond" w:hAnsi="Garamond"/>
        </w:rPr>
        <w:br/>
      </w:r>
      <w:r w:rsidR="003A1248">
        <w:rPr>
          <w:rFonts w:ascii="Garamond" w:hAnsi="Garamond"/>
        </w:rPr>
        <w:t>Dece</w:t>
      </w:r>
      <w:r w:rsidR="00415E8B">
        <w:rPr>
          <w:rFonts w:ascii="Garamond" w:hAnsi="Garamond"/>
        </w:rPr>
        <w:t>mber 2016</w:t>
      </w:r>
    </w:p>
    <w:p w14:paraId="09511528" w14:textId="77777777" w:rsidR="00EB1321" w:rsidRDefault="00EB1321">
      <w:pPr>
        <w:spacing w:after="0" w:line="240" w:lineRule="auto"/>
        <w:jc w:val="left"/>
        <w:rPr>
          <w:rFonts w:ascii="Century Gothic" w:hAnsi="Century Gothic"/>
          <w:smallCaps/>
          <w:color w:val="1F497D" w:themeColor="text2"/>
          <w:sz w:val="36"/>
          <w:szCs w:val="36"/>
        </w:rPr>
      </w:pPr>
      <w:r>
        <w:br w:type="page"/>
      </w:r>
    </w:p>
    <w:p w14:paraId="61C59477" w14:textId="414A7674" w:rsidR="00D961EE" w:rsidRPr="00D961EE" w:rsidRDefault="00D961EE" w:rsidP="00D961EE">
      <w:r w:rsidRPr="00D961EE">
        <w:lastRenderedPageBreak/>
        <w:t>© Commonwealth of Australia 201</w:t>
      </w:r>
      <w:r w:rsidR="00134D7C">
        <w:t>6</w:t>
      </w:r>
    </w:p>
    <w:p w14:paraId="73DD7132" w14:textId="635F8EE6" w:rsidR="00D961EE" w:rsidRPr="00D961EE" w:rsidRDefault="00D961EE" w:rsidP="00D961EE">
      <w:r w:rsidRPr="00D961EE">
        <w:t>ISBN 978-1-925504-24-8</w:t>
      </w:r>
    </w:p>
    <w:p w14:paraId="114C6E72" w14:textId="55209EF1" w:rsidR="00D961EE" w:rsidRPr="00D961EE" w:rsidRDefault="00D961EE" w:rsidP="00D961EE">
      <w:r w:rsidRPr="00D961EE">
        <w:t xml:space="preserve">This publication is available for your use under a </w:t>
      </w:r>
      <w:hyperlink r:id="rId15" w:history="1">
        <w:r w:rsidRPr="00D961EE">
          <w:rPr>
            <w:rStyle w:val="Hyperlink"/>
          </w:rPr>
          <w:t>Creative Commons BY Attribution 3.0 Australia</w:t>
        </w:r>
      </w:hyperlink>
      <w:r w:rsidRPr="00D961EE">
        <w:t xml:space="preserve"> licence, with the exception of the Commonwealth Coat of Arms, the Treasury logo, photographs, images, signatures and where otherwise stated. The full licence terms are available from </w:t>
      </w:r>
      <w:hyperlink r:id="rId16" w:history="1">
        <w:r w:rsidRPr="00D961EE">
          <w:rPr>
            <w:rStyle w:val="Hyperlink"/>
          </w:rPr>
          <w:t>http://creativecommons.org/licenses/by/3.0/au/legalcode</w:t>
        </w:r>
      </w:hyperlink>
      <w:r w:rsidRPr="00D961EE">
        <w:rPr>
          <w:u w:val="single"/>
        </w:rPr>
        <w:t>.</w:t>
      </w:r>
      <w:r w:rsidRPr="00D961EE">
        <w:t xml:space="preserve"> </w:t>
      </w:r>
    </w:p>
    <w:p w14:paraId="3C35D8D1" w14:textId="77777777" w:rsidR="00D961EE" w:rsidRPr="00D961EE" w:rsidRDefault="00D961EE" w:rsidP="00D961EE">
      <w:pPr>
        <w:pStyle w:val="ChartGraphic"/>
        <w:jc w:val="left"/>
      </w:pPr>
      <w:r w:rsidRPr="00D961EE">
        <w:rPr>
          <w:noProof/>
        </w:rPr>
        <w:drawing>
          <wp:inline distT="0" distB="0" distL="0" distR="0" wp14:anchorId="74AD0927" wp14:editId="2D4506BE">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8CB95C0" w14:textId="77777777" w:rsidR="00D961EE" w:rsidRPr="00D961EE" w:rsidRDefault="00D961EE" w:rsidP="00D961EE">
      <w:r w:rsidRPr="00D961EE">
        <w:t xml:space="preserve">Use of Treasury material under a </w:t>
      </w:r>
      <w:hyperlink r:id="rId18" w:history="1">
        <w:r w:rsidRPr="00D961EE">
          <w:rPr>
            <w:rStyle w:val="Hyperlink"/>
          </w:rPr>
          <w:t>Creative Commons BY Attribution 3.0 Australia</w:t>
        </w:r>
      </w:hyperlink>
      <w:r w:rsidRPr="00D961EE">
        <w:rPr>
          <w:u w:val="single"/>
        </w:rPr>
        <w:t xml:space="preserve"> </w:t>
      </w:r>
      <w:r w:rsidRPr="00D961EE">
        <w:t xml:space="preserve">licence requires you to attribute the work (but not in any way that suggests that the Treasury endorses you or your use of the work). </w:t>
      </w:r>
    </w:p>
    <w:p w14:paraId="353CE00F" w14:textId="77777777" w:rsidR="00D961EE" w:rsidRPr="00D961EE" w:rsidRDefault="00D961EE" w:rsidP="00D961EE">
      <w:pPr>
        <w:rPr>
          <w:b/>
        </w:rPr>
      </w:pPr>
      <w:r w:rsidRPr="00D961EE">
        <w:rPr>
          <w:b/>
        </w:rPr>
        <w:t>Treasury material used 'as supplied'</w:t>
      </w:r>
    </w:p>
    <w:p w14:paraId="7B6C7C48" w14:textId="77777777" w:rsidR="00D961EE" w:rsidRPr="00D961EE" w:rsidRDefault="00D961EE" w:rsidP="00D961EE">
      <w:r w:rsidRPr="00D961EE">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0BE8D863" w14:textId="5F7E5F56" w:rsidR="00D961EE" w:rsidRPr="00D961EE" w:rsidRDefault="00D961EE" w:rsidP="00D961EE">
      <w:r w:rsidRPr="00D961EE">
        <w:rPr>
          <w:i/>
        </w:rPr>
        <w:t xml:space="preserve">Source: The </w:t>
      </w:r>
      <w:r w:rsidRPr="00D961EE">
        <w:rPr>
          <w:i/>
          <w:iCs/>
        </w:rPr>
        <w:t xml:space="preserve">Australian Government the Treasury </w:t>
      </w:r>
    </w:p>
    <w:p w14:paraId="7EC1F599" w14:textId="77777777" w:rsidR="00D961EE" w:rsidRPr="00D961EE" w:rsidRDefault="00D961EE" w:rsidP="00D961EE">
      <w:pPr>
        <w:rPr>
          <w:b/>
        </w:rPr>
      </w:pPr>
      <w:r w:rsidRPr="00D961EE">
        <w:rPr>
          <w:b/>
        </w:rPr>
        <w:t>Derivative material</w:t>
      </w:r>
    </w:p>
    <w:p w14:paraId="71F7F227" w14:textId="77777777" w:rsidR="00D961EE" w:rsidRPr="00D961EE" w:rsidRDefault="00D961EE" w:rsidP="00D961EE">
      <w:r w:rsidRPr="00D961EE">
        <w:t xml:space="preserve">If you have modified or transformed Treasury material, or derived new material from those of the Treasury in any way, then Treasury prefers the following attribution: </w:t>
      </w:r>
    </w:p>
    <w:p w14:paraId="5011C0DF" w14:textId="0E1C53A4" w:rsidR="00D961EE" w:rsidRPr="00D961EE" w:rsidRDefault="00D961EE" w:rsidP="00D961EE">
      <w:r w:rsidRPr="00D961EE">
        <w:rPr>
          <w:i/>
        </w:rPr>
        <w:t>Based on The Australian Government the Treasury data</w:t>
      </w:r>
      <w:r w:rsidRPr="00D961EE">
        <w:t xml:space="preserve"> </w:t>
      </w:r>
    </w:p>
    <w:p w14:paraId="54210AD8" w14:textId="77777777" w:rsidR="00D961EE" w:rsidRPr="00D961EE" w:rsidRDefault="00D961EE" w:rsidP="00D961EE">
      <w:pPr>
        <w:rPr>
          <w:b/>
        </w:rPr>
      </w:pPr>
      <w:r w:rsidRPr="00D961EE">
        <w:rPr>
          <w:b/>
        </w:rPr>
        <w:t>Use of the Coat of Arms</w:t>
      </w:r>
    </w:p>
    <w:p w14:paraId="12A9E686" w14:textId="77777777" w:rsidR="00D961EE" w:rsidRPr="00D961EE" w:rsidRDefault="00D961EE" w:rsidP="00D961EE">
      <w:r w:rsidRPr="00D961EE">
        <w:t xml:space="preserve">The terms under which the Coat of Arms can be used are set out on the It’s an Honour website (see </w:t>
      </w:r>
      <w:hyperlink r:id="rId19" w:history="1">
        <w:r w:rsidRPr="00D961EE">
          <w:rPr>
            <w:rStyle w:val="Hyperlink"/>
          </w:rPr>
          <w:t>www.itsanhonour.gov.au</w:t>
        </w:r>
      </w:hyperlink>
      <w:r w:rsidRPr="00D961EE">
        <w:t>).</w:t>
      </w:r>
    </w:p>
    <w:p w14:paraId="1AFD654B" w14:textId="77777777" w:rsidR="00D961EE" w:rsidRPr="00D961EE" w:rsidRDefault="00D961EE" w:rsidP="00D961EE">
      <w:pPr>
        <w:rPr>
          <w:b/>
        </w:rPr>
      </w:pPr>
      <w:r w:rsidRPr="00D961EE">
        <w:rPr>
          <w:b/>
        </w:rPr>
        <w:t>Other uses</w:t>
      </w:r>
    </w:p>
    <w:p w14:paraId="0623B415" w14:textId="77777777" w:rsidR="00D961EE" w:rsidRPr="00D961EE" w:rsidRDefault="00D961EE" w:rsidP="00D961EE">
      <w:r w:rsidRPr="00D961EE">
        <w:t>Enquiries regarding this licence and any other use of this document are welcome at:</w:t>
      </w:r>
    </w:p>
    <w:p w14:paraId="22C04832" w14:textId="77777777" w:rsidR="00D961EE" w:rsidRPr="00D961EE" w:rsidRDefault="00D961EE" w:rsidP="00D961EE">
      <w:pPr>
        <w:pStyle w:val="SingleParagraph"/>
      </w:pPr>
      <w:r w:rsidRPr="00D961EE">
        <w:t>Manager</w:t>
      </w:r>
    </w:p>
    <w:p w14:paraId="459E7357" w14:textId="77777777" w:rsidR="00D961EE" w:rsidRPr="00D961EE" w:rsidRDefault="00D961EE" w:rsidP="00D961EE">
      <w:pPr>
        <w:pStyle w:val="SingleParagraph"/>
      </w:pPr>
      <w:r w:rsidRPr="00D961EE">
        <w:t xml:space="preserve">Communications </w:t>
      </w:r>
    </w:p>
    <w:p w14:paraId="6ABBADE4" w14:textId="77777777" w:rsidR="00D961EE" w:rsidRPr="00D961EE" w:rsidRDefault="00D961EE" w:rsidP="00D961EE">
      <w:pPr>
        <w:pStyle w:val="SingleParagraph"/>
      </w:pPr>
      <w:r w:rsidRPr="00D961EE">
        <w:t>The Treasury</w:t>
      </w:r>
    </w:p>
    <w:p w14:paraId="3D0AE323" w14:textId="77777777" w:rsidR="00D961EE" w:rsidRPr="00D961EE" w:rsidRDefault="00D961EE" w:rsidP="00D961EE">
      <w:pPr>
        <w:pStyle w:val="SingleParagraph"/>
      </w:pPr>
      <w:r w:rsidRPr="00D961EE">
        <w:t>Langton Crescent, Parkes ACT 2600</w:t>
      </w:r>
    </w:p>
    <w:p w14:paraId="65B8915A" w14:textId="77777777" w:rsidR="00D961EE" w:rsidRPr="00D961EE" w:rsidRDefault="00D961EE" w:rsidP="00D961EE">
      <w:pPr>
        <w:pStyle w:val="SingleParagraph"/>
        <w:rPr>
          <w:u w:val="single"/>
        </w:rPr>
      </w:pPr>
      <w:r w:rsidRPr="00D961EE">
        <w:t xml:space="preserve">Email: </w:t>
      </w:r>
      <w:hyperlink r:id="rId20" w:history="1">
        <w:r w:rsidRPr="00D961EE">
          <w:rPr>
            <w:rStyle w:val="Hyperlink"/>
          </w:rPr>
          <w:t>medialiaison@treasury.gov.au</w:t>
        </w:r>
      </w:hyperlink>
      <w:r w:rsidRPr="00D961EE">
        <w:rPr>
          <w:u w:val="single"/>
        </w:rPr>
        <w:t xml:space="preserve"> </w:t>
      </w:r>
    </w:p>
    <w:p w14:paraId="772B11C2" w14:textId="55E17307" w:rsidR="00D961EE" w:rsidRDefault="00D961EE" w:rsidP="00D961EE"/>
    <w:p w14:paraId="4506B0FB" w14:textId="77777777" w:rsidR="00D961EE" w:rsidRDefault="00D961EE">
      <w:pPr>
        <w:spacing w:after="0" w:line="240" w:lineRule="auto"/>
        <w:jc w:val="left"/>
      </w:pPr>
      <w:r>
        <w:br w:type="page"/>
      </w:r>
    </w:p>
    <w:p w14:paraId="7266D8AF" w14:textId="6E93B43F" w:rsidR="000D799B" w:rsidRDefault="000D799B" w:rsidP="00D04E2A">
      <w:pPr>
        <w:pStyle w:val="Heading1"/>
      </w:pPr>
      <w:r w:rsidRPr="00E77BD5">
        <w:lastRenderedPageBreak/>
        <w:t>Contents</w:t>
      </w:r>
    </w:p>
    <w:p w14:paraId="573C1D92" w14:textId="2457249A" w:rsidR="009D666C" w:rsidRDefault="0056559F">
      <w:pPr>
        <w:pStyle w:val="TOC2"/>
        <w:rPr>
          <w:rFonts w:asciiTheme="minorHAnsi" w:eastAsiaTheme="minorEastAsia" w:hAnsiTheme="minorHAnsi" w:cstheme="minorBidi"/>
          <w:noProof/>
          <w:color w:val="auto"/>
          <w:szCs w:val="22"/>
        </w:rPr>
      </w:pPr>
      <w:r>
        <w:rPr>
          <w:smallCaps/>
          <w:sz w:val="36"/>
          <w:szCs w:val="36"/>
        </w:rPr>
        <w:fldChar w:fldCharType="begin"/>
      </w:r>
      <w:r>
        <w:instrText xml:space="preserve"> TOC \o "1-3" \h \z \u </w:instrText>
      </w:r>
      <w:r>
        <w:rPr>
          <w:smallCaps/>
          <w:sz w:val="36"/>
          <w:szCs w:val="36"/>
        </w:rPr>
        <w:fldChar w:fldCharType="separate"/>
      </w:r>
      <w:bookmarkStart w:id="1" w:name="_Toc468726318"/>
      <w:bookmarkStart w:id="2" w:name="_Toc468726320"/>
      <w:bookmarkEnd w:id="1"/>
      <w:bookmarkEnd w:id="2"/>
      <w:r w:rsidR="009D666C" w:rsidRPr="00134D7C">
        <w:rPr>
          <w:rStyle w:val="Hyperlink"/>
          <w:noProof/>
        </w:rPr>
        <w:fldChar w:fldCharType="begin"/>
      </w:r>
      <w:r w:rsidR="009D666C" w:rsidRPr="00134D7C">
        <w:rPr>
          <w:rStyle w:val="Hyperlink"/>
          <w:noProof/>
        </w:rPr>
        <w:instrText xml:space="preserve"> </w:instrText>
      </w:r>
      <w:r w:rsidR="009D666C" w:rsidRPr="00134D7C">
        <w:rPr>
          <w:noProof/>
        </w:rPr>
        <w:instrText>HYPERLINK \l "_Toc469329017"</w:instrText>
      </w:r>
      <w:r w:rsidR="009D666C" w:rsidRPr="00134D7C">
        <w:rPr>
          <w:rStyle w:val="Hyperlink"/>
          <w:noProof/>
        </w:rPr>
        <w:instrText xml:space="preserve"> </w:instrText>
      </w:r>
      <w:r w:rsidR="009D666C" w:rsidRPr="00134D7C">
        <w:rPr>
          <w:rStyle w:val="Hyperlink"/>
          <w:noProof/>
        </w:rPr>
        <w:fldChar w:fldCharType="separate"/>
      </w:r>
      <w:r w:rsidR="009D666C" w:rsidRPr="00134D7C">
        <w:rPr>
          <w:rStyle w:val="Hyperlink"/>
          <w:noProof/>
        </w:rPr>
        <w:t>Making a Submission</w:t>
      </w:r>
      <w:r w:rsidR="009D666C" w:rsidRPr="00134D7C">
        <w:rPr>
          <w:noProof/>
          <w:webHidden/>
        </w:rPr>
        <w:tab/>
      </w:r>
      <w:r w:rsidR="009D666C" w:rsidRPr="00134D7C">
        <w:rPr>
          <w:rStyle w:val="Hyperlink"/>
          <w:noProof/>
        </w:rPr>
        <w:fldChar w:fldCharType="end"/>
      </w:r>
      <w:r w:rsidR="00165A6C" w:rsidRPr="00134D7C">
        <w:rPr>
          <w:rStyle w:val="Hyperlink"/>
          <w:noProof/>
        </w:rPr>
        <w:t>iv</w:t>
      </w:r>
    </w:p>
    <w:p w14:paraId="38474BD2" w14:textId="3E23F13A" w:rsidR="009D666C" w:rsidRDefault="0064091D">
      <w:pPr>
        <w:pStyle w:val="TOC2"/>
        <w:rPr>
          <w:rFonts w:asciiTheme="minorHAnsi" w:eastAsiaTheme="minorEastAsia" w:hAnsiTheme="minorHAnsi" w:cstheme="minorBidi"/>
          <w:noProof/>
          <w:color w:val="auto"/>
          <w:szCs w:val="22"/>
        </w:rPr>
      </w:pPr>
      <w:hyperlink w:anchor="_Toc469329018" w:history="1">
        <w:r w:rsidR="009D666C" w:rsidRPr="00134D7C">
          <w:rPr>
            <w:rStyle w:val="Hyperlink"/>
            <w:noProof/>
          </w:rPr>
          <w:t>Abbreviations</w:t>
        </w:r>
        <w:r w:rsidR="009D666C" w:rsidRPr="00134D7C">
          <w:rPr>
            <w:noProof/>
            <w:webHidden/>
          </w:rPr>
          <w:tab/>
        </w:r>
      </w:hyperlink>
      <w:r w:rsidR="00165A6C" w:rsidRPr="00134D7C">
        <w:rPr>
          <w:noProof/>
        </w:rPr>
        <w:t>iv</w:t>
      </w:r>
    </w:p>
    <w:p w14:paraId="36E681F4" w14:textId="77777777" w:rsidR="009D666C" w:rsidRDefault="009D666C" w:rsidP="00D04E2A">
      <w:pPr>
        <w:pStyle w:val="SingleParagraph"/>
        <w:rPr>
          <w:rStyle w:val="Hyperlink"/>
          <w:b/>
          <w:noProof/>
        </w:rPr>
      </w:pPr>
    </w:p>
    <w:p w14:paraId="223492B4" w14:textId="77777777" w:rsidR="009D666C" w:rsidRDefault="0064091D">
      <w:pPr>
        <w:pStyle w:val="TOC1"/>
        <w:rPr>
          <w:rFonts w:asciiTheme="minorHAnsi" w:eastAsiaTheme="minorEastAsia" w:hAnsiTheme="minorHAnsi" w:cstheme="minorBidi"/>
          <w:b w:val="0"/>
          <w:noProof/>
          <w:color w:val="auto"/>
          <w:sz w:val="22"/>
        </w:rPr>
      </w:pPr>
      <w:hyperlink w:anchor="_Toc469329019" w:history="1">
        <w:r w:rsidR="009D666C" w:rsidRPr="00442733">
          <w:rPr>
            <w:rStyle w:val="Hyperlink"/>
            <w:noProof/>
          </w:rPr>
          <w:t>Introduction</w:t>
        </w:r>
        <w:r w:rsidR="009D666C">
          <w:rPr>
            <w:noProof/>
            <w:webHidden/>
          </w:rPr>
          <w:tab/>
        </w:r>
        <w:r w:rsidR="009D666C">
          <w:rPr>
            <w:noProof/>
            <w:webHidden/>
          </w:rPr>
          <w:fldChar w:fldCharType="begin"/>
        </w:r>
        <w:r w:rsidR="009D666C">
          <w:rPr>
            <w:noProof/>
            <w:webHidden/>
          </w:rPr>
          <w:instrText xml:space="preserve"> PAGEREF _Toc469329019 \h </w:instrText>
        </w:r>
        <w:r w:rsidR="009D666C">
          <w:rPr>
            <w:noProof/>
            <w:webHidden/>
          </w:rPr>
        </w:r>
        <w:r w:rsidR="009D666C">
          <w:rPr>
            <w:noProof/>
            <w:webHidden/>
          </w:rPr>
          <w:fldChar w:fldCharType="separate"/>
        </w:r>
        <w:r w:rsidR="009D3589">
          <w:rPr>
            <w:noProof/>
            <w:webHidden/>
          </w:rPr>
          <w:t>1</w:t>
        </w:r>
        <w:r w:rsidR="009D666C">
          <w:rPr>
            <w:noProof/>
            <w:webHidden/>
          </w:rPr>
          <w:fldChar w:fldCharType="end"/>
        </w:r>
      </w:hyperlink>
    </w:p>
    <w:p w14:paraId="55ECCDF1" w14:textId="77777777" w:rsidR="009D666C" w:rsidRDefault="0064091D">
      <w:pPr>
        <w:pStyle w:val="TOC2"/>
        <w:rPr>
          <w:rFonts w:asciiTheme="minorHAnsi" w:eastAsiaTheme="minorEastAsia" w:hAnsiTheme="minorHAnsi" w:cstheme="minorBidi"/>
          <w:noProof/>
          <w:color w:val="auto"/>
          <w:szCs w:val="22"/>
        </w:rPr>
      </w:pPr>
      <w:hyperlink w:anchor="_Toc469329020" w:history="1">
        <w:r w:rsidR="009D666C" w:rsidRPr="00442733">
          <w:rPr>
            <w:rStyle w:val="Hyperlink"/>
            <w:noProof/>
          </w:rPr>
          <w:t>OECD BEPS agenda and development of the MLI</w:t>
        </w:r>
        <w:r w:rsidR="009D666C">
          <w:rPr>
            <w:noProof/>
            <w:webHidden/>
          </w:rPr>
          <w:tab/>
        </w:r>
        <w:r w:rsidR="009D666C">
          <w:rPr>
            <w:noProof/>
            <w:webHidden/>
          </w:rPr>
          <w:fldChar w:fldCharType="begin"/>
        </w:r>
        <w:r w:rsidR="009D666C">
          <w:rPr>
            <w:noProof/>
            <w:webHidden/>
          </w:rPr>
          <w:instrText xml:space="preserve"> PAGEREF _Toc469329020 \h </w:instrText>
        </w:r>
        <w:r w:rsidR="009D666C">
          <w:rPr>
            <w:noProof/>
            <w:webHidden/>
          </w:rPr>
        </w:r>
        <w:r w:rsidR="009D666C">
          <w:rPr>
            <w:noProof/>
            <w:webHidden/>
          </w:rPr>
          <w:fldChar w:fldCharType="separate"/>
        </w:r>
        <w:r w:rsidR="009D3589">
          <w:rPr>
            <w:noProof/>
            <w:webHidden/>
          </w:rPr>
          <w:t>2</w:t>
        </w:r>
        <w:r w:rsidR="009D666C">
          <w:rPr>
            <w:noProof/>
            <w:webHidden/>
          </w:rPr>
          <w:fldChar w:fldCharType="end"/>
        </w:r>
      </w:hyperlink>
    </w:p>
    <w:p w14:paraId="78A58C7C" w14:textId="77777777" w:rsidR="009D666C" w:rsidRDefault="0064091D">
      <w:pPr>
        <w:pStyle w:val="TOC2"/>
        <w:rPr>
          <w:rFonts w:asciiTheme="minorHAnsi" w:eastAsiaTheme="minorEastAsia" w:hAnsiTheme="minorHAnsi" w:cstheme="minorBidi"/>
          <w:noProof/>
          <w:color w:val="auto"/>
          <w:szCs w:val="22"/>
        </w:rPr>
      </w:pPr>
      <w:hyperlink w:anchor="_Toc469329021" w:history="1">
        <w:r w:rsidR="009D666C" w:rsidRPr="00442733">
          <w:rPr>
            <w:rStyle w:val="Hyperlink"/>
            <w:noProof/>
          </w:rPr>
          <w:t>Adoption choices</w:t>
        </w:r>
        <w:r w:rsidR="009D666C">
          <w:rPr>
            <w:noProof/>
            <w:webHidden/>
          </w:rPr>
          <w:tab/>
        </w:r>
        <w:r w:rsidR="009D666C">
          <w:rPr>
            <w:noProof/>
            <w:webHidden/>
          </w:rPr>
          <w:fldChar w:fldCharType="begin"/>
        </w:r>
        <w:r w:rsidR="009D666C">
          <w:rPr>
            <w:noProof/>
            <w:webHidden/>
          </w:rPr>
          <w:instrText xml:space="preserve"> PAGEREF _Toc469329021 \h </w:instrText>
        </w:r>
        <w:r w:rsidR="009D666C">
          <w:rPr>
            <w:noProof/>
            <w:webHidden/>
          </w:rPr>
        </w:r>
        <w:r w:rsidR="009D666C">
          <w:rPr>
            <w:noProof/>
            <w:webHidden/>
          </w:rPr>
          <w:fldChar w:fldCharType="separate"/>
        </w:r>
        <w:r w:rsidR="009D3589">
          <w:rPr>
            <w:noProof/>
            <w:webHidden/>
          </w:rPr>
          <w:t>2</w:t>
        </w:r>
        <w:r w:rsidR="009D666C">
          <w:rPr>
            <w:noProof/>
            <w:webHidden/>
          </w:rPr>
          <w:fldChar w:fldCharType="end"/>
        </w:r>
      </w:hyperlink>
    </w:p>
    <w:p w14:paraId="020B6D82" w14:textId="5E4A307D" w:rsidR="009D666C" w:rsidRDefault="0064091D">
      <w:pPr>
        <w:pStyle w:val="TOC2"/>
        <w:rPr>
          <w:rFonts w:asciiTheme="minorHAnsi" w:eastAsiaTheme="minorEastAsia" w:hAnsiTheme="minorHAnsi" w:cstheme="minorBidi"/>
          <w:noProof/>
          <w:color w:val="auto"/>
          <w:szCs w:val="22"/>
        </w:rPr>
      </w:pPr>
      <w:hyperlink w:anchor="_Toc469329022" w:history="1">
        <w:r w:rsidR="009D666C" w:rsidRPr="00442733">
          <w:rPr>
            <w:rStyle w:val="Hyperlink"/>
            <w:noProof/>
          </w:rPr>
          <w:t>Australia</w:t>
        </w:r>
        <w:r w:rsidR="00740B66">
          <w:rPr>
            <w:rStyle w:val="Hyperlink"/>
            <w:noProof/>
          </w:rPr>
          <w:t>’</w:t>
        </w:r>
        <w:r w:rsidR="009D666C" w:rsidRPr="00442733">
          <w:rPr>
            <w:rStyle w:val="Hyperlink"/>
            <w:noProof/>
          </w:rPr>
          <w:t>s proposed approach to adopting the MLI</w:t>
        </w:r>
        <w:r w:rsidR="009D666C">
          <w:rPr>
            <w:noProof/>
            <w:webHidden/>
          </w:rPr>
          <w:tab/>
        </w:r>
        <w:r w:rsidR="009D666C">
          <w:rPr>
            <w:noProof/>
            <w:webHidden/>
          </w:rPr>
          <w:fldChar w:fldCharType="begin"/>
        </w:r>
        <w:r w:rsidR="009D666C">
          <w:rPr>
            <w:noProof/>
            <w:webHidden/>
          </w:rPr>
          <w:instrText xml:space="preserve"> PAGEREF _Toc469329022 \h </w:instrText>
        </w:r>
        <w:r w:rsidR="009D666C">
          <w:rPr>
            <w:noProof/>
            <w:webHidden/>
          </w:rPr>
        </w:r>
        <w:r w:rsidR="009D666C">
          <w:rPr>
            <w:noProof/>
            <w:webHidden/>
          </w:rPr>
          <w:fldChar w:fldCharType="separate"/>
        </w:r>
        <w:r w:rsidR="009D3589">
          <w:rPr>
            <w:noProof/>
            <w:webHidden/>
          </w:rPr>
          <w:t>3</w:t>
        </w:r>
        <w:r w:rsidR="009D666C">
          <w:rPr>
            <w:noProof/>
            <w:webHidden/>
          </w:rPr>
          <w:fldChar w:fldCharType="end"/>
        </w:r>
      </w:hyperlink>
    </w:p>
    <w:p w14:paraId="4D8812C8" w14:textId="77777777" w:rsidR="009D666C" w:rsidRDefault="009D666C" w:rsidP="00D04E2A">
      <w:pPr>
        <w:pStyle w:val="SingleParagraph"/>
        <w:rPr>
          <w:rStyle w:val="Hyperlink"/>
          <w:b/>
          <w:noProof/>
        </w:rPr>
      </w:pPr>
    </w:p>
    <w:p w14:paraId="0B74BC77" w14:textId="77777777" w:rsidR="009D666C" w:rsidRDefault="0064091D">
      <w:pPr>
        <w:pStyle w:val="TOC1"/>
        <w:rPr>
          <w:rFonts w:asciiTheme="minorHAnsi" w:eastAsiaTheme="minorEastAsia" w:hAnsiTheme="minorHAnsi" w:cstheme="minorBidi"/>
          <w:b w:val="0"/>
          <w:noProof/>
          <w:color w:val="auto"/>
          <w:sz w:val="22"/>
        </w:rPr>
      </w:pPr>
      <w:hyperlink w:anchor="_Toc469329023" w:history="1">
        <w:r w:rsidR="009D666C" w:rsidRPr="00442733">
          <w:rPr>
            <w:rStyle w:val="Hyperlink"/>
            <w:noProof/>
          </w:rPr>
          <w:t>THE MLI Explained</w:t>
        </w:r>
        <w:r w:rsidR="009D666C">
          <w:rPr>
            <w:noProof/>
            <w:webHidden/>
          </w:rPr>
          <w:tab/>
        </w:r>
        <w:r w:rsidR="009D666C">
          <w:rPr>
            <w:noProof/>
            <w:webHidden/>
          </w:rPr>
          <w:fldChar w:fldCharType="begin"/>
        </w:r>
        <w:r w:rsidR="009D666C">
          <w:rPr>
            <w:noProof/>
            <w:webHidden/>
          </w:rPr>
          <w:instrText xml:space="preserve"> PAGEREF _Toc469329023 \h </w:instrText>
        </w:r>
        <w:r w:rsidR="009D666C">
          <w:rPr>
            <w:noProof/>
            <w:webHidden/>
          </w:rPr>
        </w:r>
        <w:r w:rsidR="009D666C">
          <w:rPr>
            <w:noProof/>
            <w:webHidden/>
          </w:rPr>
          <w:fldChar w:fldCharType="separate"/>
        </w:r>
        <w:r w:rsidR="009D3589">
          <w:rPr>
            <w:noProof/>
            <w:webHidden/>
          </w:rPr>
          <w:t>4</w:t>
        </w:r>
        <w:r w:rsidR="009D666C">
          <w:rPr>
            <w:noProof/>
            <w:webHidden/>
          </w:rPr>
          <w:fldChar w:fldCharType="end"/>
        </w:r>
      </w:hyperlink>
    </w:p>
    <w:p w14:paraId="186EE977" w14:textId="77777777" w:rsidR="009D666C" w:rsidRDefault="0064091D">
      <w:pPr>
        <w:pStyle w:val="TOC2"/>
        <w:rPr>
          <w:rFonts w:asciiTheme="minorHAnsi" w:eastAsiaTheme="minorEastAsia" w:hAnsiTheme="minorHAnsi" w:cstheme="minorBidi"/>
          <w:noProof/>
          <w:color w:val="auto"/>
          <w:szCs w:val="22"/>
        </w:rPr>
      </w:pPr>
      <w:hyperlink w:anchor="_Toc469329024" w:history="1">
        <w:r w:rsidR="009D666C" w:rsidRPr="00442733">
          <w:rPr>
            <w:rStyle w:val="Hyperlink"/>
            <w:noProof/>
          </w:rPr>
          <w:t>High level outline</w:t>
        </w:r>
        <w:r w:rsidR="009D666C">
          <w:rPr>
            <w:noProof/>
            <w:webHidden/>
          </w:rPr>
          <w:tab/>
        </w:r>
        <w:r w:rsidR="009D666C">
          <w:rPr>
            <w:noProof/>
            <w:webHidden/>
          </w:rPr>
          <w:fldChar w:fldCharType="begin"/>
        </w:r>
        <w:r w:rsidR="009D666C">
          <w:rPr>
            <w:noProof/>
            <w:webHidden/>
          </w:rPr>
          <w:instrText xml:space="preserve"> PAGEREF _Toc469329024 \h </w:instrText>
        </w:r>
        <w:r w:rsidR="009D666C">
          <w:rPr>
            <w:noProof/>
            <w:webHidden/>
          </w:rPr>
        </w:r>
        <w:r w:rsidR="009D666C">
          <w:rPr>
            <w:noProof/>
            <w:webHidden/>
          </w:rPr>
          <w:fldChar w:fldCharType="separate"/>
        </w:r>
        <w:r w:rsidR="009D3589">
          <w:rPr>
            <w:noProof/>
            <w:webHidden/>
          </w:rPr>
          <w:t>4</w:t>
        </w:r>
        <w:r w:rsidR="009D666C">
          <w:rPr>
            <w:noProof/>
            <w:webHidden/>
          </w:rPr>
          <w:fldChar w:fldCharType="end"/>
        </w:r>
      </w:hyperlink>
    </w:p>
    <w:p w14:paraId="71FF4898" w14:textId="77777777" w:rsidR="009D666C" w:rsidRDefault="0064091D">
      <w:pPr>
        <w:pStyle w:val="TOC2"/>
        <w:rPr>
          <w:rFonts w:asciiTheme="minorHAnsi" w:eastAsiaTheme="minorEastAsia" w:hAnsiTheme="minorHAnsi" w:cstheme="minorBidi"/>
          <w:noProof/>
          <w:color w:val="auto"/>
          <w:szCs w:val="22"/>
        </w:rPr>
      </w:pPr>
      <w:hyperlink w:anchor="_Toc469329025" w:history="1">
        <w:r w:rsidR="009D666C" w:rsidRPr="00442733">
          <w:rPr>
            <w:rStyle w:val="Hyperlink"/>
            <w:noProof/>
          </w:rPr>
          <w:t>Identifying the effect of the MLI on an existing treaty</w:t>
        </w:r>
        <w:r w:rsidR="009D666C">
          <w:rPr>
            <w:noProof/>
            <w:webHidden/>
          </w:rPr>
          <w:tab/>
        </w:r>
        <w:r w:rsidR="009D666C">
          <w:rPr>
            <w:noProof/>
            <w:webHidden/>
          </w:rPr>
          <w:fldChar w:fldCharType="begin"/>
        </w:r>
        <w:r w:rsidR="009D666C">
          <w:rPr>
            <w:noProof/>
            <w:webHidden/>
          </w:rPr>
          <w:instrText xml:space="preserve"> PAGEREF _Toc469329025 \h </w:instrText>
        </w:r>
        <w:r w:rsidR="009D666C">
          <w:rPr>
            <w:noProof/>
            <w:webHidden/>
          </w:rPr>
        </w:r>
        <w:r w:rsidR="009D666C">
          <w:rPr>
            <w:noProof/>
            <w:webHidden/>
          </w:rPr>
          <w:fldChar w:fldCharType="separate"/>
        </w:r>
        <w:r w:rsidR="009D3589">
          <w:rPr>
            <w:noProof/>
            <w:webHidden/>
          </w:rPr>
          <w:t>4</w:t>
        </w:r>
        <w:r w:rsidR="009D666C">
          <w:rPr>
            <w:noProof/>
            <w:webHidden/>
          </w:rPr>
          <w:fldChar w:fldCharType="end"/>
        </w:r>
      </w:hyperlink>
    </w:p>
    <w:p w14:paraId="6990E005" w14:textId="77777777" w:rsidR="009D666C" w:rsidRDefault="0064091D">
      <w:pPr>
        <w:pStyle w:val="TOC2"/>
        <w:rPr>
          <w:rFonts w:asciiTheme="minorHAnsi" w:eastAsiaTheme="minorEastAsia" w:hAnsiTheme="minorHAnsi" w:cstheme="minorBidi"/>
          <w:noProof/>
          <w:color w:val="auto"/>
          <w:szCs w:val="22"/>
        </w:rPr>
      </w:pPr>
      <w:hyperlink w:anchor="_Toc469329026" w:history="1">
        <w:r w:rsidR="009D666C" w:rsidRPr="00442733">
          <w:rPr>
            <w:rStyle w:val="Hyperlink"/>
            <w:noProof/>
          </w:rPr>
          <w:t>Entry into effect</w:t>
        </w:r>
        <w:r w:rsidR="009D666C">
          <w:rPr>
            <w:noProof/>
            <w:webHidden/>
          </w:rPr>
          <w:tab/>
        </w:r>
        <w:r w:rsidR="009D666C">
          <w:rPr>
            <w:noProof/>
            <w:webHidden/>
          </w:rPr>
          <w:fldChar w:fldCharType="begin"/>
        </w:r>
        <w:r w:rsidR="009D666C">
          <w:rPr>
            <w:noProof/>
            <w:webHidden/>
          </w:rPr>
          <w:instrText xml:space="preserve"> PAGEREF _Toc469329026 \h </w:instrText>
        </w:r>
        <w:r w:rsidR="009D666C">
          <w:rPr>
            <w:noProof/>
            <w:webHidden/>
          </w:rPr>
        </w:r>
        <w:r w:rsidR="009D666C">
          <w:rPr>
            <w:noProof/>
            <w:webHidden/>
          </w:rPr>
          <w:fldChar w:fldCharType="separate"/>
        </w:r>
        <w:r w:rsidR="009D3589">
          <w:rPr>
            <w:noProof/>
            <w:webHidden/>
          </w:rPr>
          <w:t>5</w:t>
        </w:r>
        <w:r w:rsidR="009D666C">
          <w:rPr>
            <w:noProof/>
            <w:webHidden/>
          </w:rPr>
          <w:fldChar w:fldCharType="end"/>
        </w:r>
      </w:hyperlink>
    </w:p>
    <w:p w14:paraId="7845664F" w14:textId="77777777" w:rsidR="009D666C" w:rsidRDefault="009D666C" w:rsidP="00D04E2A">
      <w:pPr>
        <w:pStyle w:val="SingleParagraph"/>
        <w:rPr>
          <w:rStyle w:val="Hyperlink"/>
          <w:b/>
          <w:noProof/>
        </w:rPr>
      </w:pPr>
    </w:p>
    <w:p w14:paraId="75EF1E84" w14:textId="77777777" w:rsidR="009D666C" w:rsidRDefault="0064091D">
      <w:pPr>
        <w:pStyle w:val="TOC1"/>
        <w:rPr>
          <w:rFonts w:asciiTheme="minorHAnsi" w:eastAsiaTheme="minorEastAsia" w:hAnsiTheme="minorHAnsi" w:cstheme="minorBidi"/>
          <w:b w:val="0"/>
          <w:noProof/>
          <w:color w:val="auto"/>
          <w:sz w:val="22"/>
        </w:rPr>
      </w:pPr>
      <w:hyperlink w:anchor="_Toc469329027" w:history="1">
        <w:r w:rsidR="009D666C" w:rsidRPr="00442733">
          <w:rPr>
            <w:rStyle w:val="Hyperlink"/>
            <w:noProof/>
          </w:rPr>
          <w:t>Summary of the MLI Articles</w:t>
        </w:r>
        <w:r w:rsidR="009D666C">
          <w:rPr>
            <w:noProof/>
            <w:webHidden/>
          </w:rPr>
          <w:tab/>
        </w:r>
        <w:r w:rsidR="009D666C">
          <w:rPr>
            <w:noProof/>
            <w:webHidden/>
          </w:rPr>
          <w:fldChar w:fldCharType="begin"/>
        </w:r>
        <w:r w:rsidR="009D666C">
          <w:rPr>
            <w:noProof/>
            <w:webHidden/>
          </w:rPr>
          <w:instrText xml:space="preserve"> PAGEREF _Toc469329027 \h </w:instrText>
        </w:r>
        <w:r w:rsidR="009D666C">
          <w:rPr>
            <w:noProof/>
            <w:webHidden/>
          </w:rPr>
        </w:r>
        <w:r w:rsidR="009D666C">
          <w:rPr>
            <w:noProof/>
            <w:webHidden/>
          </w:rPr>
          <w:fldChar w:fldCharType="separate"/>
        </w:r>
        <w:r w:rsidR="009D3589">
          <w:rPr>
            <w:noProof/>
            <w:webHidden/>
          </w:rPr>
          <w:t>6</w:t>
        </w:r>
        <w:r w:rsidR="009D666C">
          <w:rPr>
            <w:noProof/>
            <w:webHidden/>
          </w:rPr>
          <w:fldChar w:fldCharType="end"/>
        </w:r>
      </w:hyperlink>
    </w:p>
    <w:p w14:paraId="7172B412" w14:textId="77777777" w:rsidR="009D666C" w:rsidRDefault="0064091D">
      <w:pPr>
        <w:pStyle w:val="TOC2"/>
        <w:rPr>
          <w:rFonts w:asciiTheme="minorHAnsi" w:eastAsiaTheme="minorEastAsia" w:hAnsiTheme="minorHAnsi" w:cstheme="minorBidi"/>
          <w:noProof/>
          <w:color w:val="auto"/>
          <w:szCs w:val="22"/>
        </w:rPr>
      </w:pPr>
      <w:hyperlink w:anchor="_Toc469329028" w:history="1">
        <w:r w:rsidR="009D666C" w:rsidRPr="00442733">
          <w:rPr>
            <w:rStyle w:val="Hyperlink"/>
            <w:noProof/>
          </w:rPr>
          <w:t>Consultation focus questions</w:t>
        </w:r>
        <w:r w:rsidR="009D666C">
          <w:rPr>
            <w:noProof/>
            <w:webHidden/>
          </w:rPr>
          <w:tab/>
        </w:r>
        <w:r w:rsidR="009D666C">
          <w:rPr>
            <w:noProof/>
            <w:webHidden/>
          </w:rPr>
          <w:fldChar w:fldCharType="begin"/>
        </w:r>
        <w:r w:rsidR="009D666C">
          <w:rPr>
            <w:noProof/>
            <w:webHidden/>
          </w:rPr>
          <w:instrText xml:space="preserve"> PAGEREF _Toc469329028 \h </w:instrText>
        </w:r>
        <w:r w:rsidR="009D666C">
          <w:rPr>
            <w:noProof/>
            <w:webHidden/>
          </w:rPr>
        </w:r>
        <w:r w:rsidR="009D666C">
          <w:rPr>
            <w:noProof/>
            <w:webHidden/>
          </w:rPr>
          <w:fldChar w:fldCharType="separate"/>
        </w:r>
        <w:r w:rsidR="009D3589">
          <w:rPr>
            <w:noProof/>
            <w:webHidden/>
          </w:rPr>
          <w:t>7</w:t>
        </w:r>
        <w:r w:rsidR="009D666C">
          <w:rPr>
            <w:noProof/>
            <w:webHidden/>
          </w:rPr>
          <w:fldChar w:fldCharType="end"/>
        </w:r>
      </w:hyperlink>
    </w:p>
    <w:p w14:paraId="58731BFC" w14:textId="4AB48624" w:rsidR="009D666C" w:rsidRDefault="0064091D">
      <w:pPr>
        <w:pStyle w:val="TOC2"/>
        <w:rPr>
          <w:rFonts w:asciiTheme="minorHAnsi" w:eastAsiaTheme="minorEastAsia" w:hAnsiTheme="minorHAnsi" w:cstheme="minorBidi"/>
          <w:noProof/>
          <w:color w:val="auto"/>
          <w:szCs w:val="22"/>
        </w:rPr>
      </w:pPr>
      <w:hyperlink w:anchor="_Toc469329029" w:history="1">
        <w:r w:rsidR="009D666C" w:rsidRPr="00442733">
          <w:rPr>
            <w:rStyle w:val="Hyperlink"/>
            <w:noProof/>
          </w:rPr>
          <w:t>Article 3</w:t>
        </w:r>
        <w:r w:rsidR="00D04E2A">
          <w:rPr>
            <w:rStyle w:val="Hyperlink"/>
            <w:noProof/>
          </w:rPr>
          <w:t xml:space="preserve"> — </w:t>
        </w:r>
        <w:r w:rsidR="009D666C" w:rsidRPr="00442733">
          <w:rPr>
            <w:rStyle w:val="Hyperlink"/>
            <w:noProof/>
          </w:rPr>
          <w:t>Transparent Entities</w:t>
        </w:r>
        <w:r w:rsidR="009D666C">
          <w:rPr>
            <w:noProof/>
            <w:webHidden/>
          </w:rPr>
          <w:tab/>
        </w:r>
        <w:r w:rsidR="009D666C">
          <w:rPr>
            <w:noProof/>
            <w:webHidden/>
          </w:rPr>
          <w:fldChar w:fldCharType="begin"/>
        </w:r>
        <w:r w:rsidR="009D666C">
          <w:rPr>
            <w:noProof/>
            <w:webHidden/>
          </w:rPr>
          <w:instrText xml:space="preserve"> PAGEREF _Toc469329029 \h </w:instrText>
        </w:r>
        <w:r w:rsidR="009D666C">
          <w:rPr>
            <w:noProof/>
            <w:webHidden/>
          </w:rPr>
        </w:r>
        <w:r w:rsidR="009D666C">
          <w:rPr>
            <w:noProof/>
            <w:webHidden/>
          </w:rPr>
          <w:fldChar w:fldCharType="separate"/>
        </w:r>
        <w:r w:rsidR="009D3589">
          <w:rPr>
            <w:noProof/>
            <w:webHidden/>
          </w:rPr>
          <w:t>8</w:t>
        </w:r>
        <w:r w:rsidR="009D666C">
          <w:rPr>
            <w:noProof/>
            <w:webHidden/>
          </w:rPr>
          <w:fldChar w:fldCharType="end"/>
        </w:r>
      </w:hyperlink>
    </w:p>
    <w:p w14:paraId="53057FB7" w14:textId="1AF9B54B" w:rsidR="009D666C" w:rsidRDefault="0064091D">
      <w:pPr>
        <w:pStyle w:val="TOC2"/>
        <w:rPr>
          <w:rFonts w:asciiTheme="minorHAnsi" w:eastAsiaTheme="minorEastAsia" w:hAnsiTheme="minorHAnsi" w:cstheme="minorBidi"/>
          <w:noProof/>
          <w:color w:val="auto"/>
          <w:szCs w:val="22"/>
        </w:rPr>
      </w:pPr>
      <w:hyperlink w:anchor="_Toc469329030" w:history="1">
        <w:r w:rsidR="009D666C" w:rsidRPr="00442733">
          <w:rPr>
            <w:rStyle w:val="Hyperlink"/>
            <w:noProof/>
          </w:rPr>
          <w:t>Article 4</w:t>
        </w:r>
        <w:r w:rsidR="00D04E2A">
          <w:rPr>
            <w:rStyle w:val="Hyperlink"/>
            <w:noProof/>
          </w:rPr>
          <w:t xml:space="preserve"> — </w:t>
        </w:r>
        <w:r w:rsidR="009D666C" w:rsidRPr="00442733">
          <w:rPr>
            <w:rStyle w:val="Hyperlink"/>
            <w:noProof/>
          </w:rPr>
          <w:t>Dual Resident Entities</w:t>
        </w:r>
        <w:r w:rsidR="009D666C">
          <w:rPr>
            <w:noProof/>
            <w:webHidden/>
          </w:rPr>
          <w:tab/>
        </w:r>
        <w:r w:rsidR="009D666C">
          <w:rPr>
            <w:noProof/>
            <w:webHidden/>
          </w:rPr>
          <w:fldChar w:fldCharType="begin"/>
        </w:r>
        <w:r w:rsidR="009D666C">
          <w:rPr>
            <w:noProof/>
            <w:webHidden/>
          </w:rPr>
          <w:instrText xml:space="preserve"> PAGEREF _Toc469329030 \h </w:instrText>
        </w:r>
        <w:r w:rsidR="009D666C">
          <w:rPr>
            <w:noProof/>
            <w:webHidden/>
          </w:rPr>
        </w:r>
        <w:r w:rsidR="009D666C">
          <w:rPr>
            <w:noProof/>
            <w:webHidden/>
          </w:rPr>
          <w:fldChar w:fldCharType="separate"/>
        </w:r>
        <w:r w:rsidR="009D3589">
          <w:rPr>
            <w:noProof/>
            <w:webHidden/>
          </w:rPr>
          <w:t>10</w:t>
        </w:r>
        <w:r w:rsidR="009D666C">
          <w:rPr>
            <w:noProof/>
            <w:webHidden/>
          </w:rPr>
          <w:fldChar w:fldCharType="end"/>
        </w:r>
      </w:hyperlink>
    </w:p>
    <w:p w14:paraId="15018246" w14:textId="158F47D8" w:rsidR="009D666C" w:rsidRDefault="0064091D">
      <w:pPr>
        <w:pStyle w:val="TOC2"/>
        <w:rPr>
          <w:rFonts w:asciiTheme="minorHAnsi" w:eastAsiaTheme="minorEastAsia" w:hAnsiTheme="minorHAnsi" w:cstheme="minorBidi"/>
          <w:noProof/>
          <w:color w:val="auto"/>
          <w:szCs w:val="22"/>
        </w:rPr>
      </w:pPr>
      <w:hyperlink w:anchor="_Toc469329031" w:history="1">
        <w:r w:rsidR="009D666C" w:rsidRPr="00442733">
          <w:rPr>
            <w:rStyle w:val="Hyperlink"/>
            <w:noProof/>
          </w:rPr>
          <w:t>Article 5</w:t>
        </w:r>
        <w:r w:rsidR="00D04E2A">
          <w:rPr>
            <w:rStyle w:val="Hyperlink"/>
            <w:noProof/>
          </w:rPr>
          <w:t xml:space="preserve"> — </w:t>
        </w:r>
        <w:r w:rsidR="009D666C" w:rsidRPr="00442733">
          <w:rPr>
            <w:rStyle w:val="Hyperlink"/>
            <w:noProof/>
          </w:rPr>
          <w:t>Application of Methods for Elimination of Double Taxation</w:t>
        </w:r>
        <w:r w:rsidR="009D666C">
          <w:rPr>
            <w:noProof/>
            <w:webHidden/>
          </w:rPr>
          <w:tab/>
        </w:r>
        <w:r w:rsidR="009D666C">
          <w:rPr>
            <w:noProof/>
            <w:webHidden/>
          </w:rPr>
          <w:fldChar w:fldCharType="begin"/>
        </w:r>
        <w:r w:rsidR="009D666C">
          <w:rPr>
            <w:noProof/>
            <w:webHidden/>
          </w:rPr>
          <w:instrText xml:space="preserve"> PAGEREF _Toc469329031 \h </w:instrText>
        </w:r>
        <w:r w:rsidR="009D666C">
          <w:rPr>
            <w:noProof/>
            <w:webHidden/>
          </w:rPr>
        </w:r>
        <w:r w:rsidR="009D666C">
          <w:rPr>
            <w:noProof/>
            <w:webHidden/>
          </w:rPr>
          <w:fldChar w:fldCharType="separate"/>
        </w:r>
        <w:r w:rsidR="009D3589">
          <w:rPr>
            <w:noProof/>
            <w:webHidden/>
          </w:rPr>
          <w:t>11</w:t>
        </w:r>
        <w:r w:rsidR="009D666C">
          <w:rPr>
            <w:noProof/>
            <w:webHidden/>
          </w:rPr>
          <w:fldChar w:fldCharType="end"/>
        </w:r>
      </w:hyperlink>
    </w:p>
    <w:p w14:paraId="75EF7564" w14:textId="5CD7155B" w:rsidR="009D666C" w:rsidRDefault="0064091D">
      <w:pPr>
        <w:pStyle w:val="TOC2"/>
        <w:rPr>
          <w:rFonts w:asciiTheme="minorHAnsi" w:eastAsiaTheme="minorEastAsia" w:hAnsiTheme="minorHAnsi" w:cstheme="minorBidi"/>
          <w:noProof/>
          <w:color w:val="auto"/>
          <w:szCs w:val="22"/>
        </w:rPr>
      </w:pPr>
      <w:hyperlink w:anchor="_Toc469329032" w:history="1">
        <w:r w:rsidR="009D666C" w:rsidRPr="00442733">
          <w:rPr>
            <w:rStyle w:val="Hyperlink"/>
            <w:noProof/>
          </w:rPr>
          <w:t>Article 6</w:t>
        </w:r>
        <w:r w:rsidR="00D04E2A">
          <w:rPr>
            <w:rStyle w:val="Hyperlink"/>
            <w:noProof/>
          </w:rPr>
          <w:t xml:space="preserve"> — </w:t>
        </w:r>
        <w:r w:rsidR="009D666C" w:rsidRPr="00442733">
          <w:rPr>
            <w:rStyle w:val="Hyperlink"/>
            <w:noProof/>
          </w:rPr>
          <w:t>Purpose of a Covered Tax Agreement</w:t>
        </w:r>
        <w:r w:rsidR="009D666C">
          <w:rPr>
            <w:noProof/>
            <w:webHidden/>
          </w:rPr>
          <w:tab/>
        </w:r>
        <w:r w:rsidR="009D666C">
          <w:rPr>
            <w:noProof/>
            <w:webHidden/>
          </w:rPr>
          <w:fldChar w:fldCharType="begin"/>
        </w:r>
        <w:r w:rsidR="009D666C">
          <w:rPr>
            <w:noProof/>
            <w:webHidden/>
          </w:rPr>
          <w:instrText xml:space="preserve"> PAGEREF _Toc469329032 \h </w:instrText>
        </w:r>
        <w:r w:rsidR="009D666C">
          <w:rPr>
            <w:noProof/>
            <w:webHidden/>
          </w:rPr>
        </w:r>
        <w:r w:rsidR="009D666C">
          <w:rPr>
            <w:noProof/>
            <w:webHidden/>
          </w:rPr>
          <w:fldChar w:fldCharType="separate"/>
        </w:r>
        <w:r w:rsidR="009D3589">
          <w:rPr>
            <w:noProof/>
            <w:webHidden/>
          </w:rPr>
          <w:t>12</w:t>
        </w:r>
        <w:r w:rsidR="009D666C">
          <w:rPr>
            <w:noProof/>
            <w:webHidden/>
          </w:rPr>
          <w:fldChar w:fldCharType="end"/>
        </w:r>
      </w:hyperlink>
    </w:p>
    <w:p w14:paraId="7E7785D8" w14:textId="3E06C1AC" w:rsidR="009D666C" w:rsidRDefault="0064091D">
      <w:pPr>
        <w:pStyle w:val="TOC2"/>
        <w:rPr>
          <w:rFonts w:asciiTheme="minorHAnsi" w:eastAsiaTheme="minorEastAsia" w:hAnsiTheme="minorHAnsi" w:cstheme="minorBidi"/>
          <w:noProof/>
          <w:color w:val="auto"/>
          <w:szCs w:val="22"/>
        </w:rPr>
      </w:pPr>
      <w:hyperlink w:anchor="_Toc469329033" w:history="1">
        <w:r w:rsidR="009D666C" w:rsidRPr="00442733">
          <w:rPr>
            <w:rStyle w:val="Hyperlink"/>
            <w:noProof/>
          </w:rPr>
          <w:t>Article 7</w:t>
        </w:r>
        <w:r w:rsidR="00D04E2A">
          <w:rPr>
            <w:rStyle w:val="Hyperlink"/>
            <w:noProof/>
          </w:rPr>
          <w:t xml:space="preserve"> — </w:t>
        </w:r>
        <w:r w:rsidR="009D666C" w:rsidRPr="00442733">
          <w:rPr>
            <w:rStyle w:val="Hyperlink"/>
            <w:noProof/>
          </w:rPr>
          <w:t>Prevention of Treaty Abuse</w:t>
        </w:r>
        <w:r w:rsidR="009D666C">
          <w:rPr>
            <w:noProof/>
            <w:webHidden/>
          </w:rPr>
          <w:tab/>
        </w:r>
        <w:r w:rsidR="009D666C">
          <w:rPr>
            <w:noProof/>
            <w:webHidden/>
          </w:rPr>
          <w:fldChar w:fldCharType="begin"/>
        </w:r>
        <w:r w:rsidR="009D666C">
          <w:rPr>
            <w:noProof/>
            <w:webHidden/>
          </w:rPr>
          <w:instrText xml:space="preserve"> PAGEREF _Toc469329033 \h </w:instrText>
        </w:r>
        <w:r w:rsidR="009D666C">
          <w:rPr>
            <w:noProof/>
            <w:webHidden/>
          </w:rPr>
        </w:r>
        <w:r w:rsidR="009D666C">
          <w:rPr>
            <w:noProof/>
            <w:webHidden/>
          </w:rPr>
          <w:fldChar w:fldCharType="separate"/>
        </w:r>
        <w:r w:rsidR="009D3589">
          <w:rPr>
            <w:noProof/>
            <w:webHidden/>
          </w:rPr>
          <w:t>13</w:t>
        </w:r>
        <w:r w:rsidR="009D666C">
          <w:rPr>
            <w:noProof/>
            <w:webHidden/>
          </w:rPr>
          <w:fldChar w:fldCharType="end"/>
        </w:r>
      </w:hyperlink>
    </w:p>
    <w:p w14:paraId="4A56ADB9" w14:textId="640A9B0B" w:rsidR="009D666C" w:rsidRDefault="0064091D">
      <w:pPr>
        <w:pStyle w:val="TOC2"/>
        <w:rPr>
          <w:rFonts w:asciiTheme="minorHAnsi" w:eastAsiaTheme="minorEastAsia" w:hAnsiTheme="minorHAnsi" w:cstheme="minorBidi"/>
          <w:noProof/>
          <w:color w:val="auto"/>
          <w:szCs w:val="22"/>
        </w:rPr>
      </w:pPr>
      <w:hyperlink w:anchor="_Toc469329034" w:history="1">
        <w:r w:rsidR="009D666C" w:rsidRPr="00442733">
          <w:rPr>
            <w:rStyle w:val="Hyperlink"/>
            <w:noProof/>
          </w:rPr>
          <w:t>Article 8</w:t>
        </w:r>
        <w:r w:rsidR="00D04E2A">
          <w:rPr>
            <w:rStyle w:val="Hyperlink"/>
            <w:noProof/>
          </w:rPr>
          <w:t xml:space="preserve"> — </w:t>
        </w:r>
        <w:r w:rsidR="009D666C" w:rsidRPr="00442733">
          <w:rPr>
            <w:rStyle w:val="Hyperlink"/>
            <w:noProof/>
          </w:rPr>
          <w:t>Dividend Transfer Transactions</w:t>
        </w:r>
        <w:r w:rsidR="009D666C">
          <w:rPr>
            <w:noProof/>
            <w:webHidden/>
          </w:rPr>
          <w:tab/>
        </w:r>
        <w:r w:rsidR="009D666C">
          <w:rPr>
            <w:noProof/>
            <w:webHidden/>
          </w:rPr>
          <w:fldChar w:fldCharType="begin"/>
        </w:r>
        <w:r w:rsidR="009D666C">
          <w:rPr>
            <w:noProof/>
            <w:webHidden/>
          </w:rPr>
          <w:instrText xml:space="preserve"> PAGEREF _Toc469329034 \h </w:instrText>
        </w:r>
        <w:r w:rsidR="009D666C">
          <w:rPr>
            <w:noProof/>
            <w:webHidden/>
          </w:rPr>
        </w:r>
        <w:r w:rsidR="009D666C">
          <w:rPr>
            <w:noProof/>
            <w:webHidden/>
          </w:rPr>
          <w:fldChar w:fldCharType="separate"/>
        </w:r>
        <w:r w:rsidR="009D3589">
          <w:rPr>
            <w:noProof/>
            <w:webHidden/>
          </w:rPr>
          <w:t>15</w:t>
        </w:r>
        <w:r w:rsidR="009D666C">
          <w:rPr>
            <w:noProof/>
            <w:webHidden/>
          </w:rPr>
          <w:fldChar w:fldCharType="end"/>
        </w:r>
      </w:hyperlink>
    </w:p>
    <w:p w14:paraId="7A536E97" w14:textId="2120FEF6" w:rsidR="009D666C" w:rsidRDefault="0064091D">
      <w:pPr>
        <w:pStyle w:val="TOC2"/>
        <w:rPr>
          <w:rFonts w:asciiTheme="minorHAnsi" w:eastAsiaTheme="minorEastAsia" w:hAnsiTheme="minorHAnsi" w:cstheme="minorBidi"/>
          <w:noProof/>
          <w:color w:val="auto"/>
          <w:szCs w:val="22"/>
        </w:rPr>
      </w:pPr>
      <w:hyperlink w:anchor="_Toc469329035" w:history="1">
        <w:r w:rsidR="009D666C" w:rsidRPr="00442733">
          <w:rPr>
            <w:rStyle w:val="Hyperlink"/>
            <w:noProof/>
          </w:rPr>
          <w:t>Article 9</w:t>
        </w:r>
        <w:r w:rsidR="00D04E2A">
          <w:rPr>
            <w:rStyle w:val="Hyperlink"/>
            <w:noProof/>
          </w:rPr>
          <w:t xml:space="preserve"> — </w:t>
        </w:r>
        <w:r w:rsidR="009D666C" w:rsidRPr="00442733">
          <w:rPr>
            <w:rStyle w:val="Hyperlink"/>
            <w:noProof/>
          </w:rPr>
          <w:t>Capital Gains from Alienation of Shares or Interests of Entities Deriving their Value Principally from Immovable Property</w:t>
        </w:r>
        <w:r w:rsidR="009D666C">
          <w:rPr>
            <w:noProof/>
            <w:webHidden/>
          </w:rPr>
          <w:tab/>
        </w:r>
        <w:r w:rsidR="009D666C">
          <w:rPr>
            <w:noProof/>
            <w:webHidden/>
          </w:rPr>
          <w:fldChar w:fldCharType="begin"/>
        </w:r>
        <w:r w:rsidR="009D666C">
          <w:rPr>
            <w:noProof/>
            <w:webHidden/>
          </w:rPr>
          <w:instrText xml:space="preserve"> PAGEREF _Toc469329035 \h </w:instrText>
        </w:r>
        <w:r w:rsidR="009D666C">
          <w:rPr>
            <w:noProof/>
            <w:webHidden/>
          </w:rPr>
        </w:r>
        <w:r w:rsidR="009D666C">
          <w:rPr>
            <w:noProof/>
            <w:webHidden/>
          </w:rPr>
          <w:fldChar w:fldCharType="separate"/>
        </w:r>
        <w:r w:rsidR="009D3589">
          <w:rPr>
            <w:noProof/>
            <w:webHidden/>
          </w:rPr>
          <w:t>16</w:t>
        </w:r>
        <w:r w:rsidR="009D666C">
          <w:rPr>
            <w:noProof/>
            <w:webHidden/>
          </w:rPr>
          <w:fldChar w:fldCharType="end"/>
        </w:r>
      </w:hyperlink>
    </w:p>
    <w:p w14:paraId="6DC695A2" w14:textId="4C264261" w:rsidR="009D666C" w:rsidRDefault="0064091D">
      <w:pPr>
        <w:pStyle w:val="TOC2"/>
        <w:rPr>
          <w:rFonts w:asciiTheme="minorHAnsi" w:eastAsiaTheme="minorEastAsia" w:hAnsiTheme="minorHAnsi" w:cstheme="minorBidi"/>
          <w:noProof/>
          <w:color w:val="auto"/>
          <w:szCs w:val="22"/>
        </w:rPr>
      </w:pPr>
      <w:hyperlink w:anchor="_Toc469329036" w:history="1">
        <w:r w:rsidR="009D666C" w:rsidRPr="00442733">
          <w:rPr>
            <w:rStyle w:val="Hyperlink"/>
            <w:noProof/>
          </w:rPr>
          <w:t>Article 10</w:t>
        </w:r>
        <w:r w:rsidR="00D04E2A">
          <w:rPr>
            <w:rStyle w:val="Hyperlink"/>
            <w:noProof/>
          </w:rPr>
          <w:t xml:space="preserve"> — </w:t>
        </w:r>
        <w:r w:rsidR="009D666C" w:rsidRPr="00442733">
          <w:rPr>
            <w:rStyle w:val="Hyperlink"/>
            <w:noProof/>
          </w:rPr>
          <w:t>Anti</w:t>
        </w:r>
        <w:r w:rsidR="00740B66">
          <w:rPr>
            <w:rStyle w:val="Hyperlink"/>
            <w:noProof/>
          </w:rPr>
          <w:noBreakHyphen/>
        </w:r>
        <w:r w:rsidR="009D666C" w:rsidRPr="00442733">
          <w:rPr>
            <w:rStyle w:val="Hyperlink"/>
            <w:noProof/>
          </w:rPr>
          <w:t>abuse Rule for Permanent Establishments Situated in Third Jurisdictions</w:t>
        </w:r>
        <w:r w:rsidR="009D666C">
          <w:rPr>
            <w:noProof/>
            <w:webHidden/>
          </w:rPr>
          <w:tab/>
        </w:r>
        <w:r w:rsidR="009D666C">
          <w:rPr>
            <w:noProof/>
            <w:webHidden/>
          </w:rPr>
          <w:fldChar w:fldCharType="begin"/>
        </w:r>
        <w:r w:rsidR="009D666C">
          <w:rPr>
            <w:noProof/>
            <w:webHidden/>
          </w:rPr>
          <w:instrText xml:space="preserve"> PAGEREF _Toc469329036 \h </w:instrText>
        </w:r>
        <w:r w:rsidR="009D666C">
          <w:rPr>
            <w:noProof/>
            <w:webHidden/>
          </w:rPr>
        </w:r>
        <w:r w:rsidR="009D666C">
          <w:rPr>
            <w:noProof/>
            <w:webHidden/>
          </w:rPr>
          <w:fldChar w:fldCharType="separate"/>
        </w:r>
        <w:r w:rsidR="009D3589">
          <w:rPr>
            <w:noProof/>
            <w:webHidden/>
          </w:rPr>
          <w:t>18</w:t>
        </w:r>
        <w:r w:rsidR="009D666C">
          <w:rPr>
            <w:noProof/>
            <w:webHidden/>
          </w:rPr>
          <w:fldChar w:fldCharType="end"/>
        </w:r>
      </w:hyperlink>
    </w:p>
    <w:p w14:paraId="76674E93" w14:textId="43FB52CF" w:rsidR="009D666C" w:rsidRDefault="0064091D">
      <w:pPr>
        <w:pStyle w:val="TOC2"/>
        <w:rPr>
          <w:rFonts w:asciiTheme="minorHAnsi" w:eastAsiaTheme="minorEastAsia" w:hAnsiTheme="minorHAnsi" w:cstheme="minorBidi"/>
          <w:noProof/>
          <w:color w:val="auto"/>
          <w:szCs w:val="22"/>
        </w:rPr>
      </w:pPr>
      <w:hyperlink w:anchor="_Toc469329037" w:history="1">
        <w:r w:rsidR="009D666C" w:rsidRPr="00442733">
          <w:rPr>
            <w:rStyle w:val="Hyperlink"/>
            <w:noProof/>
          </w:rPr>
          <w:t>Article 11</w:t>
        </w:r>
        <w:r w:rsidR="00D04E2A">
          <w:rPr>
            <w:rStyle w:val="Hyperlink"/>
            <w:noProof/>
          </w:rPr>
          <w:t xml:space="preserve"> — </w:t>
        </w:r>
        <w:r w:rsidR="009D666C" w:rsidRPr="00442733">
          <w:rPr>
            <w:rStyle w:val="Hyperlink"/>
            <w:noProof/>
          </w:rPr>
          <w:t>Application of Tax Agreements to Restrict a Party</w:t>
        </w:r>
        <w:r w:rsidR="00740B66">
          <w:rPr>
            <w:rStyle w:val="Hyperlink"/>
            <w:noProof/>
          </w:rPr>
          <w:t>’</w:t>
        </w:r>
        <w:r w:rsidR="009D666C" w:rsidRPr="00442733">
          <w:rPr>
            <w:rStyle w:val="Hyperlink"/>
            <w:noProof/>
          </w:rPr>
          <w:t>s Right to Tax its Own Residents</w:t>
        </w:r>
        <w:r w:rsidR="009D666C">
          <w:rPr>
            <w:noProof/>
            <w:webHidden/>
          </w:rPr>
          <w:tab/>
        </w:r>
        <w:r w:rsidR="009D666C">
          <w:rPr>
            <w:noProof/>
            <w:webHidden/>
          </w:rPr>
          <w:fldChar w:fldCharType="begin"/>
        </w:r>
        <w:r w:rsidR="009D666C">
          <w:rPr>
            <w:noProof/>
            <w:webHidden/>
          </w:rPr>
          <w:instrText xml:space="preserve"> PAGEREF _Toc469329037 \h </w:instrText>
        </w:r>
        <w:r w:rsidR="009D666C">
          <w:rPr>
            <w:noProof/>
            <w:webHidden/>
          </w:rPr>
        </w:r>
        <w:r w:rsidR="009D666C">
          <w:rPr>
            <w:noProof/>
            <w:webHidden/>
          </w:rPr>
          <w:fldChar w:fldCharType="separate"/>
        </w:r>
        <w:r w:rsidR="009D3589">
          <w:rPr>
            <w:noProof/>
            <w:webHidden/>
          </w:rPr>
          <w:t>19</w:t>
        </w:r>
        <w:r w:rsidR="009D666C">
          <w:rPr>
            <w:noProof/>
            <w:webHidden/>
          </w:rPr>
          <w:fldChar w:fldCharType="end"/>
        </w:r>
      </w:hyperlink>
    </w:p>
    <w:p w14:paraId="743E5ECD" w14:textId="04B48035" w:rsidR="009D666C" w:rsidRDefault="0064091D">
      <w:pPr>
        <w:pStyle w:val="TOC2"/>
        <w:rPr>
          <w:rFonts w:asciiTheme="minorHAnsi" w:eastAsiaTheme="minorEastAsia" w:hAnsiTheme="minorHAnsi" w:cstheme="minorBidi"/>
          <w:noProof/>
          <w:color w:val="auto"/>
          <w:szCs w:val="22"/>
        </w:rPr>
      </w:pPr>
      <w:hyperlink w:anchor="_Toc469329038" w:history="1">
        <w:r w:rsidR="009D666C" w:rsidRPr="00442733">
          <w:rPr>
            <w:rStyle w:val="Hyperlink"/>
            <w:noProof/>
          </w:rPr>
          <w:t>Article 12</w:t>
        </w:r>
        <w:r w:rsidR="00D04E2A">
          <w:rPr>
            <w:rStyle w:val="Hyperlink"/>
            <w:noProof/>
          </w:rPr>
          <w:t xml:space="preserve"> — </w:t>
        </w:r>
        <w:r w:rsidR="009D666C" w:rsidRPr="00442733">
          <w:rPr>
            <w:rStyle w:val="Hyperlink"/>
            <w:noProof/>
          </w:rPr>
          <w:t>Artificial Avoidance of Permanent Establishment Status through Commissionnaire Arrangements and Similar Strategies</w:t>
        </w:r>
        <w:r w:rsidR="009D666C">
          <w:rPr>
            <w:noProof/>
            <w:webHidden/>
          </w:rPr>
          <w:tab/>
        </w:r>
        <w:r w:rsidR="009D666C">
          <w:rPr>
            <w:noProof/>
            <w:webHidden/>
          </w:rPr>
          <w:fldChar w:fldCharType="begin"/>
        </w:r>
        <w:r w:rsidR="009D666C">
          <w:rPr>
            <w:noProof/>
            <w:webHidden/>
          </w:rPr>
          <w:instrText xml:space="preserve"> PAGEREF _Toc469329038 \h </w:instrText>
        </w:r>
        <w:r w:rsidR="009D666C">
          <w:rPr>
            <w:noProof/>
            <w:webHidden/>
          </w:rPr>
        </w:r>
        <w:r w:rsidR="009D666C">
          <w:rPr>
            <w:noProof/>
            <w:webHidden/>
          </w:rPr>
          <w:fldChar w:fldCharType="separate"/>
        </w:r>
        <w:r w:rsidR="009D3589">
          <w:rPr>
            <w:noProof/>
            <w:webHidden/>
          </w:rPr>
          <w:t>20</w:t>
        </w:r>
        <w:r w:rsidR="009D666C">
          <w:rPr>
            <w:noProof/>
            <w:webHidden/>
          </w:rPr>
          <w:fldChar w:fldCharType="end"/>
        </w:r>
      </w:hyperlink>
    </w:p>
    <w:p w14:paraId="17C7D2FD" w14:textId="765B6A0D" w:rsidR="009D666C" w:rsidRDefault="0064091D">
      <w:pPr>
        <w:pStyle w:val="TOC2"/>
        <w:rPr>
          <w:rFonts w:asciiTheme="minorHAnsi" w:eastAsiaTheme="minorEastAsia" w:hAnsiTheme="minorHAnsi" w:cstheme="minorBidi"/>
          <w:noProof/>
          <w:color w:val="auto"/>
          <w:szCs w:val="22"/>
        </w:rPr>
      </w:pPr>
      <w:hyperlink w:anchor="_Toc469329039" w:history="1">
        <w:r w:rsidR="009D666C" w:rsidRPr="00442733">
          <w:rPr>
            <w:rStyle w:val="Hyperlink"/>
            <w:noProof/>
          </w:rPr>
          <w:t>Article 13</w:t>
        </w:r>
        <w:r w:rsidR="00D04E2A">
          <w:rPr>
            <w:rStyle w:val="Hyperlink"/>
            <w:noProof/>
          </w:rPr>
          <w:t xml:space="preserve"> — </w:t>
        </w:r>
        <w:r w:rsidR="009D666C" w:rsidRPr="00442733">
          <w:rPr>
            <w:rStyle w:val="Hyperlink"/>
            <w:noProof/>
          </w:rPr>
          <w:t>Artificial Avoidance of Permanent Establishment  Status through the Specific Activity Exemptions</w:t>
        </w:r>
        <w:r w:rsidR="009D666C">
          <w:rPr>
            <w:noProof/>
            <w:webHidden/>
          </w:rPr>
          <w:tab/>
        </w:r>
        <w:r w:rsidR="009D666C">
          <w:rPr>
            <w:noProof/>
            <w:webHidden/>
          </w:rPr>
          <w:fldChar w:fldCharType="begin"/>
        </w:r>
        <w:r w:rsidR="009D666C">
          <w:rPr>
            <w:noProof/>
            <w:webHidden/>
          </w:rPr>
          <w:instrText xml:space="preserve"> PAGEREF _Toc469329039 \h </w:instrText>
        </w:r>
        <w:r w:rsidR="009D666C">
          <w:rPr>
            <w:noProof/>
            <w:webHidden/>
          </w:rPr>
        </w:r>
        <w:r w:rsidR="009D666C">
          <w:rPr>
            <w:noProof/>
            <w:webHidden/>
          </w:rPr>
          <w:fldChar w:fldCharType="separate"/>
        </w:r>
        <w:r w:rsidR="009D3589">
          <w:rPr>
            <w:noProof/>
            <w:webHidden/>
          </w:rPr>
          <w:t>21</w:t>
        </w:r>
        <w:r w:rsidR="009D666C">
          <w:rPr>
            <w:noProof/>
            <w:webHidden/>
          </w:rPr>
          <w:fldChar w:fldCharType="end"/>
        </w:r>
      </w:hyperlink>
    </w:p>
    <w:p w14:paraId="67F5F8C4" w14:textId="19DC4638" w:rsidR="009D666C" w:rsidRDefault="0064091D">
      <w:pPr>
        <w:pStyle w:val="TOC2"/>
        <w:rPr>
          <w:rFonts w:asciiTheme="minorHAnsi" w:eastAsiaTheme="minorEastAsia" w:hAnsiTheme="minorHAnsi" w:cstheme="minorBidi"/>
          <w:noProof/>
          <w:color w:val="auto"/>
          <w:szCs w:val="22"/>
        </w:rPr>
      </w:pPr>
      <w:hyperlink w:anchor="_Toc469329040" w:history="1">
        <w:r w:rsidR="009D666C" w:rsidRPr="00442733">
          <w:rPr>
            <w:rStyle w:val="Hyperlink"/>
            <w:noProof/>
          </w:rPr>
          <w:t>Article 14</w:t>
        </w:r>
        <w:r w:rsidR="00D04E2A">
          <w:rPr>
            <w:rStyle w:val="Hyperlink"/>
            <w:noProof/>
          </w:rPr>
          <w:t xml:space="preserve"> — </w:t>
        </w:r>
        <w:r w:rsidR="009D666C" w:rsidRPr="00442733">
          <w:rPr>
            <w:rStyle w:val="Hyperlink"/>
            <w:noProof/>
          </w:rPr>
          <w:t>Splitting</w:t>
        </w:r>
        <w:r w:rsidR="00740B66">
          <w:rPr>
            <w:rStyle w:val="Hyperlink"/>
            <w:noProof/>
          </w:rPr>
          <w:noBreakHyphen/>
        </w:r>
        <w:r w:rsidR="009D666C" w:rsidRPr="00442733">
          <w:rPr>
            <w:rStyle w:val="Hyperlink"/>
            <w:noProof/>
          </w:rPr>
          <w:t>up of Contracts</w:t>
        </w:r>
        <w:r w:rsidR="009D666C">
          <w:rPr>
            <w:noProof/>
            <w:webHidden/>
          </w:rPr>
          <w:tab/>
        </w:r>
        <w:r w:rsidR="009D666C">
          <w:rPr>
            <w:noProof/>
            <w:webHidden/>
          </w:rPr>
          <w:fldChar w:fldCharType="begin"/>
        </w:r>
        <w:r w:rsidR="009D666C">
          <w:rPr>
            <w:noProof/>
            <w:webHidden/>
          </w:rPr>
          <w:instrText xml:space="preserve"> PAGEREF _Toc469329040 \h </w:instrText>
        </w:r>
        <w:r w:rsidR="009D666C">
          <w:rPr>
            <w:noProof/>
            <w:webHidden/>
          </w:rPr>
        </w:r>
        <w:r w:rsidR="009D666C">
          <w:rPr>
            <w:noProof/>
            <w:webHidden/>
          </w:rPr>
          <w:fldChar w:fldCharType="separate"/>
        </w:r>
        <w:r w:rsidR="009D3589">
          <w:rPr>
            <w:noProof/>
            <w:webHidden/>
          </w:rPr>
          <w:t>23</w:t>
        </w:r>
        <w:r w:rsidR="009D666C">
          <w:rPr>
            <w:noProof/>
            <w:webHidden/>
          </w:rPr>
          <w:fldChar w:fldCharType="end"/>
        </w:r>
      </w:hyperlink>
    </w:p>
    <w:p w14:paraId="625574A2" w14:textId="7B3DD6E4" w:rsidR="009D666C" w:rsidRDefault="0064091D">
      <w:pPr>
        <w:pStyle w:val="TOC2"/>
        <w:rPr>
          <w:rFonts w:asciiTheme="minorHAnsi" w:eastAsiaTheme="minorEastAsia" w:hAnsiTheme="minorHAnsi" w:cstheme="minorBidi"/>
          <w:noProof/>
          <w:color w:val="auto"/>
          <w:szCs w:val="22"/>
        </w:rPr>
      </w:pPr>
      <w:hyperlink w:anchor="_Toc469329041" w:history="1">
        <w:r w:rsidR="009D666C" w:rsidRPr="00442733">
          <w:rPr>
            <w:rStyle w:val="Hyperlink"/>
            <w:noProof/>
          </w:rPr>
          <w:t>Article 15</w:t>
        </w:r>
        <w:r w:rsidR="00D04E2A">
          <w:rPr>
            <w:rStyle w:val="Hyperlink"/>
            <w:noProof/>
          </w:rPr>
          <w:t xml:space="preserve"> — </w:t>
        </w:r>
        <w:r w:rsidR="009D666C" w:rsidRPr="00442733">
          <w:rPr>
            <w:rStyle w:val="Hyperlink"/>
            <w:noProof/>
          </w:rPr>
          <w:t>Definition of a Person Closely Related to an Enterprise</w:t>
        </w:r>
        <w:r w:rsidR="009D666C">
          <w:rPr>
            <w:noProof/>
            <w:webHidden/>
          </w:rPr>
          <w:tab/>
        </w:r>
        <w:r w:rsidR="009D666C">
          <w:rPr>
            <w:noProof/>
            <w:webHidden/>
          </w:rPr>
          <w:fldChar w:fldCharType="begin"/>
        </w:r>
        <w:r w:rsidR="009D666C">
          <w:rPr>
            <w:noProof/>
            <w:webHidden/>
          </w:rPr>
          <w:instrText xml:space="preserve"> PAGEREF _Toc469329041 \h </w:instrText>
        </w:r>
        <w:r w:rsidR="009D666C">
          <w:rPr>
            <w:noProof/>
            <w:webHidden/>
          </w:rPr>
        </w:r>
        <w:r w:rsidR="009D666C">
          <w:rPr>
            <w:noProof/>
            <w:webHidden/>
          </w:rPr>
          <w:fldChar w:fldCharType="separate"/>
        </w:r>
        <w:r w:rsidR="009D3589">
          <w:rPr>
            <w:noProof/>
            <w:webHidden/>
          </w:rPr>
          <w:t>24</w:t>
        </w:r>
        <w:r w:rsidR="009D666C">
          <w:rPr>
            <w:noProof/>
            <w:webHidden/>
          </w:rPr>
          <w:fldChar w:fldCharType="end"/>
        </w:r>
      </w:hyperlink>
    </w:p>
    <w:p w14:paraId="0368473E" w14:textId="0ED8D832" w:rsidR="009D666C" w:rsidRDefault="0064091D">
      <w:pPr>
        <w:pStyle w:val="TOC2"/>
        <w:rPr>
          <w:rFonts w:asciiTheme="minorHAnsi" w:eastAsiaTheme="minorEastAsia" w:hAnsiTheme="minorHAnsi" w:cstheme="minorBidi"/>
          <w:noProof/>
          <w:color w:val="auto"/>
          <w:szCs w:val="22"/>
        </w:rPr>
      </w:pPr>
      <w:hyperlink w:anchor="_Toc469329042" w:history="1">
        <w:r w:rsidR="009D666C" w:rsidRPr="00442733">
          <w:rPr>
            <w:rStyle w:val="Hyperlink"/>
            <w:noProof/>
          </w:rPr>
          <w:t>Article 16</w:t>
        </w:r>
        <w:r w:rsidR="00D04E2A">
          <w:rPr>
            <w:rStyle w:val="Hyperlink"/>
            <w:noProof/>
          </w:rPr>
          <w:t xml:space="preserve"> — </w:t>
        </w:r>
        <w:r w:rsidR="009D666C" w:rsidRPr="00442733">
          <w:rPr>
            <w:rStyle w:val="Hyperlink"/>
            <w:noProof/>
          </w:rPr>
          <w:t>Mutual Agreement Procedure</w:t>
        </w:r>
        <w:r w:rsidR="009D666C">
          <w:rPr>
            <w:noProof/>
            <w:webHidden/>
          </w:rPr>
          <w:tab/>
        </w:r>
        <w:r w:rsidR="009D666C">
          <w:rPr>
            <w:noProof/>
            <w:webHidden/>
          </w:rPr>
          <w:fldChar w:fldCharType="begin"/>
        </w:r>
        <w:r w:rsidR="009D666C">
          <w:rPr>
            <w:noProof/>
            <w:webHidden/>
          </w:rPr>
          <w:instrText xml:space="preserve"> PAGEREF _Toc469329042 \h </w:instrText>
        </w:r>
        <w:r w:rsidR="009D666C">
          <w:rPr>
            <w:noProof/>
            <w:webHidden/>
          </w:rPr>
        </w:r>
        <w:r w:rsidR="009D666C">
          <w:rPr>
            <w:noProof/>
            <w:webHidden/>
          </w:rPr>
          <w:fldChar w:fldCharType="separate"/>
        </w:r>
        <w:r w:rsidR="009D3589">
          <w:rPr>
            <w:noProof/>
            <w:webHidden/>
          </w:rPr>
          <w:t>25</w:t>
        </w:r>
        <w:r w:rsidR="009D666C">
          <w:rPr>
            <w:noProof/>
            <w:webHidden/>
          </w:rPr>
          <w:fldChar w:fldCharType="end"/>
        </w:r>
      </w:hyperlink>
    </w:p>
    <w:p w14:paraId="5281C793" w14:textId="56A2C603" w:rsidR="009D666C" w:rsidRDefault="0064091D">
      <w:pPr>
        <w:pStyle w:val="TOC2"/>
        <w:rPr>
          <w:rFonts w:asciiTheme="minorHAnsi" w:eastAsiaTheme="minorEastAsia" w:hAnsiTheme="minorHAnsi" w:cstheme="minorBidi"/>
          <w:noProof/>
          <w:color w:val="auto"/>
          <w:szCs w:val="22"/>
        </w:rPr>
      </w:pPr>
      <w:hyperlink w:anchor="_Toc469329043" w:history="1">
        <w:r w:rsidR="009D666C" w:rsidRPr="00442733">
          <w:rPr>
            <w:rStyle w:val="Hyperlink"/>
            <w:noProof/>
          </w:rPr>
          <w:t>Article 17</w:t>
        </w:r>
        <w:r w:rsidR="00D04E2A">
          <w:rPr>
            <w:rStyle w:val="Hyperlink"/>
            <w:noProof/>
          </w:rPr>
          <w:t xml:space="preserve"> — </w:t>
        </w:r>
        <w:r w:rsidR="009D666C" w:rsidRPr="00442733">
          <w:rPr>
            <w:rStyle w:val="Hyperlink"/>
            <w:noProof/>
          </w:rPr>
          <w:t>Corresponding Adjustments</w:t>
        </w:r>
        <w:r w:rsidR="009D666C">
          <w:rPr>
            <w:noProof/>
            <w:webHidden/>
          </w:rPr>
          <w:tab/>
        </w:r>
        <w:r w:rsidR="009D666C">
          <w:rPr>
            <w:noProof/>
            <w:webHidden/>
          </w:rPr>
          <w:fldChar w:fldCharType="begin"/>
        </w:r>
        <w:r w:rsidR="009D666C">
          <w:rPr>
            <w:noProof/>
            <w:webHidden/>
          </w:rPr>
          <w:instrText xml:space="preserve"> PAGEREF _Toc469329043 \h </w:instrText>
        </w:r>
        <w:r w:rsidR="009D666C">
          <w:rPr>
            <w:noProof/>
            <w:webHidden/>
          </w:rPr>
        </w:r>
        <w:r w:rsidR="009D666C">
          <w:rPr>
            <w:noProof/>
            <w:webHidden/>
          </w:rPr>
          <w:fldChar w:fldCharType="separate"/>
        </w:r>
        <w:r w:rsidR="009D3589">
          <w:rPr>
            <w:noProof/>
            <w:webHidden/>
          </w:rPr>
          <w:t>27</w:t>
        </w:r>
        <w:r w:rsidR="009D666C">
          <w:rPr>
            <w:noProof/>
            <w:webHidden/>
          </w:rPr>
          <w:fldChar w:fldCharType="end"/>
        </w:r>
      </w:hyperlink>
    </w:p>
    <w:p w14:paraId="57D23921" w14:textId="3B70547F" w:rsidR="009D666C" w:rsidRDefault="0064091D">
      <w:pPr>
        <w:pStyle w:val="TOC2"/>
        <w:rPr>
          <w:rFonts w:asciiTheme="minorHAnsi" w:eastAsiaTheme="minorEastAsia" w:hAnsiTheme="minorHAnsi" w:cstheme="minorBidi"/>
          <w:noProof/>
          <w:color w:val="auto"/>
          <w:szCs w:val="22"/>
        </w:rPr>
      </w:pPr>
      <w:hyperlink w:anchor="_Toc469329044" w:history="1">
        <w:r w:rsidR="009D666C" w:rsidRPr="00442733">
          <w:rPr>
            <w:rStyle w:val="Hyperlink"/>
            <w:noProof/>
          </w:rPr>
          <w:t>Articles 18</w:t>
        </w:r>
        <w:r w:rsidR="00740B66">
          <w:rPr>
            <w:rStyle w:val="Hyperlink"/>
            <w:noProof/>
          </w:rPr>
          <w:noBreakHyphen/>
        </w:r>
        <w:r w:rsidR="009D666C" w:rsidRPr="00442733">
          <w:rPr>
            <w:rStyle w:val="Hyperlink"/>
            <w:noProof/>
          </w:rPr>
          <w:t>26</w:t>
        </w:r>
        <w:r w:rsidR="00D04E2A">
          <w:rPr>
            <w:rStyle w:val="Hyperlink"/>
            <w:noProof/>
          </w:rPr>
          <w:t xml:space="preserve"> — </w:t>
        </w:r>
        <w:r w:rsidR="009D666C" w:rsidRPr="00442733">
          <w:rPr>
            <w:rStyle w:val="Hyperlink"/>
            <w:noProof/>
          </w:rPr>
          <w:t>Arbitration</w:t>
        </w:r>
        <w:r w:rsidR="009D666C">
          <w:rPr>
            <w:noProof/>
            <w:webHidden/>
          </w:rPr>
          <w:tab/>
        </w:r>
        <w:r w:rsidR="009D666C">
          <w:rPr>
            <w:noProof/>
            <w:webHidden/>
          </w:rPr>
          <w:fldChar w:fldCharType="begin"/>
        </w:r>
        <w:r w:rsidR="009D666C">
          <w:rPr>
            <w:noProof/>
            <w:webHidden/>
          </w:rPr>
          <w:instrText xml:space="preserve"> PAGEREF _Toc469329044 \h </w:instrText>
        </w:r>
        <w:r w:rsidR="009D666C">
          <w:rPr>
            <w:noProof/>
            <w:webHidden/>
          </w:rPr>
        </w:r>
        <w:r w:rsidR="009D666C">
          <w:rPr>
            <w:noProof/>
            <w:webHidden/>
          </w:rPr>
          <w:fldChar w:fldCharType="separate"/>
        </w:r>
        <w:r w:rsidR="009D3589">
          <w:rPr>
            <w:noProof/>
            <w:webHidden/>
          </w:rPr>
          <w:t>28</w:t>
        </w:r>
        <w:r w:rsidR="009D666C">
          <w:rPr>
            <w:noProof/>
            <w:webHidden/>
          </w:rPr>
          <w:fldChar w:fldCharType="end"/>
        </w:r>
      </w:hyperlink>
    </w:p>
    <w:p w14:paraId="2EF3EFA8" w14:textId="624606F5" w:rsidR="00885F92" w:rsidRDefault="0056559F" w:rsidP="00D04E2A">
      <w:pPr>
        <w:jc w:val="left"/>
        <w:rPr>
          <w:rFonts w:ascii="Century Gothic" w:hAnsi="Century Gothic" w:cs="Arial"/>
          <w:color w:val="1F497D" w:themeColor="text2"/>
          <w:sz w:val="32"/>
          <w:szCs w:val="28"/>
        </w:rPr>
      </w:pPr>
      <w:r>
        <w:fldChar w:fldCharType="end"/>
      </w:r>
      <w:bookmarkStart w:id="3" w:name="_Toc468726785"/>
      <w:r w:rsidR="00885F92">
        <w:br w:type="page"/>
      </w:r>
    </w:p>
    <w:p w14:paraId="0F1DA7FF" w14:textId="5DA8C755" w:rsidR="00923FF8" w:rsidRPr="00E77BD5" w:rsidRDefault="00923FF8">
      <w:pPr>
        <w:pStyle w:val="Heading2"/>
      </w:pPr>
      <w:bookmarkStart w:id="4" w:name="_Toc469328362"/>
      <w:bookmarkStart w:id="5" w:name="_Toc469329017"/>
      <w:r w:rsidRPr="003241FD">
        <w:lastRenderedPageBreak/>
        <w:t>Making a Submission</w:t>
      </w:r>
      <w:bookmarkEnd w:id="3"/>
      <w:bookmarkEnd w:id="4"/>
      <w:bookmarkEnd w:id="5"/>
    </w:p>
    <w:p w14:paraId="4EEC3CE3" w14:textId="35C4C422" w:rsidR="00923FF8" w:rsidRDefault="00923FF8" w:rsidP="00132B48">
      <w:pPr>
        <w:jc w:val="left"/>
        <w:rPr>
          <w:rFonts w:cs="Arial"/>
        </w:rPr>
      </w:pPr>
      <w:r>
        <w:rPr>
          <w:rFonts w:cs="Arial"/>
        </w:rPr>
        <w:t xml:space="preserve">The Government is seeking your views on the impacts of Australia signing and ratifying the </w:t>
      </w:r>
      <w:r w:rsidR="00824DA8" w:rsidRPr="00E77BD5">
        <w:rPr>
          <w:i/>
        </w:rPr>
        <w:t>Multilateral Conventio</w:t>
      </w:r>
      <w:r w:rsidR="00824DA8" w:rsidRPr="00BE22C4">
        <w:rPr>
          <w:i/>
        </w:rPr>
        <w:t>n to Implement Tax Treaty Related Measures to Prevent B</w:t>
      </w:r>
      <w:r w:rsidR="00824DA8">
        <w:rPr>
          <w:i/>
        </w:rPr>
        <w:t xml:space="preserve">ase </w:t>
      </w:r>
      <w:r w:rsidR="00824DA8" w:rsidRPr="00E77BD5">
        <w:rPr>
          <w:i/>
        </w:rPr>
        <w:t>E</w:t>
      </w:r>
      <w:r w:rsidR="00824DA8">
        <w:rPr>
          <w:i/>
        </w:rPr>
        <w:t xml:space="preserve">rosion and </w:t>
      </w:r>
      <w:r w:rsidR="00824DA8" w:rsidRPr="00E77BD5">
        <w:rPr>
          <w:i/>
        </w:rPr>
        <w:t>P</w:t>
      </w:r>
      <w:r w:rsidR="00824DA8">
        <w:rPr>
          <w:i/>
        </w:rPr>
        <w:t xml:space="preserve">rofit </w:t>
      </w:r>
      <w:r w:rsidR="00824DA8" w:rsidRPr="00E77BD5">
        <w:rPr>
          <w:i/>
        </w:rPr>
        <w:t>S</w:t>
      </w:r>
      <w:r w:rsidR="00824DA8">
        <w:rPr>
          <w:i/>
        </w:rPr>
        <w:t>hifting</w:t>
      </w:r>
      <w:r>
        <w:rPr>
          <w:rFonts w:cs="Arial"/>
        </w:rPr>
        <w:t xml:space="preserve">. </w:t>
      </w:r>
    </w:p>
    <w:p w14:paraId="57E8A97B" w14:textId="04CD183E" w:rsidR="00923FF8" w:rsidRDefault="00923FF8" w:rsidP="00D04E2A">
      <w:pPr>
        <w:pStyle w:val="Heading3"/>
      </w:pPr>
      <w:r>
        <w:t xml:space="preserve">Closing date for submissions: </w:t>
      </w:r>
      <w:r w:rsidR="00C522CB">
        <w:t>6 February 2017.</w:t>
      </w:r>
    </w:p>
    <w:tbl>
      <w:tblPr>
        <w:tblW w:w="0" w:type="auto"/>
        <w:tblLook w:val="01E0" w:firstRow="1" w:lastRow="1" w:firstColumn="1" w:lastColumn="1" w:noHBand="0" w:noVBand="0"/>
      </w:tblPr>
      <w:tblGrid>
        <w:gridCol w:w="1668"/>
        <w:gridCol w:w="7618"/>
      </w:tblGrid>
      <w:tr w:rsidR="00923FF8" w:rsidRPr="001D0AB6" w14:paraId="34C80CE5" w14:textId="77777777" w:rsidTr="00305373">
        <w:tc>
          <w:tcPr>
            <w:tcW w:w="1668" w:type="dxa"/>
            <w:hideMark/>
          </w:tcPr>
          <w:p w14:paraId="13BAA56F" w14:textId="77777777" w:rsidR="00923FF8" w:rsidRPr="001D0AB6" w:rsidRDefault="00923FF8" w:rsidP="00132B48">
            <w:pPr>
              <w:pStyle w:val="SingleParagraph"/>
              <w:jc w:val="left"/>
              <w:rPr>
                <w:rFonts w:cs="Arial"/>
              </w:rPr>
            </w:pPr>
            <w:r w:rsidRPr="001D0AB6">
              <w:rPr>
                <w:rFonts w:cs="Arial"/>
              </w:rPr>
              <w:t xml:space="preserve">Email: </w:t>
            </w:r>
          </w:p>
        </w:tc>
        <w:tc>
          <w:tcPr>
            <w:tcW w:w="7618" w:type="dxa"/>
            <w:hideMark/>
          </w:tcPr>
          <w:p w14:paraId="7A694D51" w14:textId="0238813C" w:rsidR="00923FF8" w:rsidRPr="00B01E92" w:rsidRDefault="008A4892" w:rsidP="00132B48">
            <w:pPr>
              <w:jc w:val="left"/>
              <w:rPr>
                <w:rFonts w:ascii="Calibri" w:hAnsi="Calibri"/>
              </w:rPr>
            </w:pPr>
            <w:r w:rsidRPr="00824DA8">
              <w:rPr>
                <w:rFonts w:cs="Arial"/>
              </w:rPr>
              <w:t>BEPS@treasury.gov.au</w:t>
            </w:r>
          </w:p>
        </w:tc>
      </w:tr>
      <w:tr w:rsidR="00923FF8" w:rsidRPr="001D0AB6" w14:paraId="70E91BEA" w14:textId="77777777" w:rsidTr="00305373">
        <w:tc>
          <w:tcPr>
            <w:tcW w:w="1668" w:type="dxa"/>
            <w:hideMark/>
          </w:tcPr>
          <w:p w14:paraId="79A37964" w14:textId="77777777" w:rsidR="00923FF8" w:rsidRPr="001D0AB6" w:rsidRDefault="00923FF8" w:rsidP="00132B48">
            <w:pPr>
              <w:pStyle w:val="SingleParagraph"/>
              <w:jc w:val="left"/>
              <w:rPr>
                <w:rFonts w:cs="Arial"/>
              </w:rPr>
            </w:pPr>
            <w:r w:rsidRPr="001D0AB6">
              <w:rPr>
                <w:rFonts w:cs="Arial"/>
              </w:rPr>
              <w:t>Mail:</w:t>
            </w:r>
          </w:p>
        </w:tc>
        <w:tc>
          <w:tcPr>
            <w:tcW w:w="7618" w:type="dxa"/>
            <w:hideMark/>
          </w:tcPr>
          <w:p w14:paraId="3B75FDB0" w14:textId="543445D8" w:rsidR="008A4892" w:rsidRDefault="008C0DAE" w:rsidP="00132B48">
            <w:pPr>
              <w:pStyle w:val="SingleParagraph"/>
              <w:jc w:val="left"/>
              <w:rPr>
                <w:rFonts w:cs="Arial"/>
              </w:rPr>
            </w:pPr>
            <w:r>
              <w:rPr>
                <w:rFonts w:cs="Arial"/>
              </w:rPr>
              <w:t>The Manager</w:t>
            </w:r>
          </w:p>
          <w:p w14:paraId="079819B6" w14:textId="480337DE" w:rsidR="008C0DAE" w:rsidRPr="00B01E92" w:rsidRDefault="008C0DAE" w:rsidP="00132B48">
            <w:pPr>
              <w:pStyle w:val="SingleParagraph"/>
              <w:jc w:val="left"/>
            </w:pPr>
            <w:r>
              <w:rPr>
                <w:rFonts w:cs="Arial"/>
              </w:rPr>
              <w:t>Base Erosion and Profit Shifting Unit</w:t>
            </w:r>
          </w:p>
          <w:p w14:paraId="389213DE" w14:textId="3B47BA52" w:rsidR="008A4892" w:rsidRPr="00DF262B" w:rsidRDefault="00AA7F5C" w:rsidP="00132B48">
            <w:pPr>
              <w:pStyle w:val="SingleParagraph"/>
              <w:jc w:val="left"/>
              <w:rPr>
                <w:rFonts w:ascii="Calibri" w:hAnsi="Calibri"/>
              </w:rPr>
            </w:pPr>
            <w:r>
              <w:t>Corporate and International Tax Division</w:t>
            </w:r>
          </w:p>
          <w:p w14:paraId="4B3419DA" w14:textId="4B27BB18" w:rsidR="00923FF8" w:rsidRPr="00B01E92" w:rsidRDefault="00923FF8" w:rsidP="00132B48">
            <w:pPr>
              <w:pStyle w:val="SingleParagraph"/>
              <w:jc w:val="left"/>
            </w:pPr>
            <w:r w:rsidRPr="00824DA8">
              <w:rPr>
                <w:rFonts w:cs="Arial"/>
              </w:rPr>
              <w:t xml:space="preserve">The </w:t>
            </w:r>
            <w:r w:rsidR="001C779E" w:rsidRPr="00824DA8">
              <w:rPr>
                <w:rFonts w:cs="Arial"/>
              </w:rPr>
              <w:t>Treasury</w:t>
            </w:r>
          </w:p>
          <w:p w14:paraId="28D0A713" w14:textId="77777777" w:rsidR="00923FF8" w:rsidRPr="00DF262B" w:rsidRDefault="00923FF8" w:rsidP="00132B48">
            <w:pPr>
              <w:pStyle w:val="SingleParagraph"/>
              <w:jc w:val="left"/>
            </w:pPr>
            <w:r w:rsidRPr="00A60E49">
              <w:t>Langton Crescent</w:t>
            </w:r>
          </w:p>
          <w:p w14:paraId="67A64670" w14:textId="77777777" w:rsidR="00923FF8" w:rsidRPr="00DF262B" w:rsidRDefault="00923FF8" w:rsidP="00132B48">
            <w:pPr>
              <w:jc w:val="left"/>
              <w:rPr>
                <w:rFonts w:ascii="Calibri" w:hAnsi="Calibri"/>
              </w:rPr>
            </w:pPr>
            <w:r w:rsidRPr="00DF262B">
              <w:t>PARKES  ACT  2600</w:t>
            </w:r>
          </w:p>
        </w:tc>
      </w:tr>
      <w:tr w:rsidR="00923FF8" w:rsidRPr="001D0AB6" w14:paraId="0838A510" w14:textId="77777777" w:rsidTr="00305373">
        <w:tc>
          <w:tcPr>
            <w:tcW w:w="1668" w:type="dxa"/>
            <w:hideMark/>
          </w:tcPr>
          <w:p w14:paraId="39E0C90F" w14:textId="77777777" w:rsidR="00923FF8" w:rsidRPr="001D0AB6" w:rsidRDefault="00923FF8" w:rsidP="00132B48">
            <w:pPr>
              <w:pStyle w:val="SingleParagraph"/>
              <w:jc w:val="left"/>
              <w:rPr>
                <w:rFonts w:cs="Arial"/>
              </w:rPr>
            </w:pPr>
            <w:r w:rsidRPr="001D0AB6">
              <w:rPr>
                <w:rFonts w:cs="Arial"/>
              </w:rPr>
              <w:t>Enq</w:t>
            </w:r>
            <w:r w:rsidRPr="001D0AB6">
              <w:rPr>
                <w:rStyle w:val="SingleParagraphChar"/>
                <w:rFonts w:cs="Arial"/>
              </w:rPr>
              <w:t>u</w:t>
            </w:r>
            <w:r w:rsidRPr="001D0AB6">
              <w:rPr>
                <w:rFonts w:cs="Arial"/>
              </w:rPr>
              <w:t>iries:</w:t>
            </w:r>
          </w:p>
        </w:tc>
        <w:tc>
          <w:tcPr>
            <w:tcW w:w="7618" w:type="dxa"/>
            <w:hideMark/>
          </w:tcPr>
          <w:p w14:paraId="7F8E113F" w14:textId="09796A39" w:rsidR="00923FF8" w:rsidRPr="00A60E49" w:rsidRDefault="00923FF8" w:rsidP="00132B48">
            <w:pPr>
              <w:jc w:val="left"/>
              <w:rPr>
                <w:rFonts w:ascii="Calibri" w:hAnsi="Calibri"/>
              </w:rPr>
            </w:pPr>
            <w:r w:rsidRPr="00B01E92">
              <w:t xml:space="preserve">Enquiries can be initially directed to </w:t>
            </w:r>
            <w:r w:rsidR="007B212A">
              <w:rPr>
                <w:rFonts w:cs="Arial"/>
              </w:rPr>
              <w:t xml:space="preserve">Mr </w:t>
            </w:r>
            <w:r w:rsidR="002229E7" w:rsidRPr="00B01E92">
              <w:t>Greg</w:t>
            </w:r>
            <w:r w:rsidR="008A4892" w:rsidRPr="00B01E92">
              <w:t xml:space="preserve"> Wood</w:t>
            </w:r>
          </w:p>
        </w:tc>
      </w:tr>
      <w:tr w:rsidR="00923FF8" w14:paraId="4E786CE8" w14:textId="77777777" w:rsidTr="00305373">
        <w:tc>
          <w:tcPr>
            <w:tcW w:w="1668" w:type="dxa"/>
            <w:hideMark/>
          </w:tcPr>
          <w:p w14:paraId="0020FE01" w14:textId="77777777" w:rsidR="00923FF8" w:rsidRPr="001D0AB6" w:rsidRDefault="00923FF8" w:rsidP="00132B48">
            <w:pPr>
              <w:jc w:val="left"/>
              <w:rPr>
                <w:rFonts w:ascii="Calibri" w:hAnsi="Calibri" w:cs="Arial"/>
              </w:rPr>
            </w:pPr>
            <w:r w:rsidRPr="001D0AB6">
              <w:rPr>
                <w:rFonts w:cs="Arial"/>
              </w:rPr>
              <w:t>Phone:</w:t>
            </w:r>
          </w:p>
        </w:tc>
        <w:tc>
          <w:tcPr>
            <w:tcW w:w="7618" w:type="dxa"/>
            <w:hideMark/>
          </w:tcPr>
          <w:p w14:paraId="0CBD1FC4" w14:textId="49C39E66" w:rsidR="00923FF8" w:rsidRPr="00B01E92" w:rsidRDefault="00923FF8" w:rsidP="00132B48">
            <w:pPr>
              <w:jc w:val="left"/>
              <w:rPr>
                <w:rFonts w:ascii="Calibri" w:hAnsi="Calibri"/>
              </w:rPr>
            </w:pPr>
            <w:r w:rsidRPr="00824DA8">
              <w:rPr>
                <w:rFonts w:cs="Arial"/>
              </w:rPr>
              <w:t xml:space="preserve">02 6263 </w:t>
            </w:r>
            <w:r w:rsidR="00AA7F5C">
              <w:rPr>
                <w:rFonts w:cs="Arial"/>
              </w:rPr>
              <w:t>3329</w:t>
            </w:r>
          </w:p>
        </w:tc>
      </w:tr>
    </w:tbl>
    <w:p w14:paraId="0B562DF5" w14:textId="2E866CA5" w:rsidR="00F30068" w:rsidDel="00EB1321" w:rsidRDefault="00F30068" w:rsidP="00132B48">
      <w:pPr>
        <w:jc w:val="left"/>
      </w:pPr>
    </w:p>
    <w:p w14:paraId="0E7CD63E" w14:textId="77777777" w:rsidR="00C739A7" w:rsidRPr="00CF6023" w:rsidRDefault="00C739A7">
      <w:pPr>
        <w:pStyle w:val="Heading2"/>
      </w:pPr>
      <w:bookmarkStart w:id="6" w:name="_Toc468130563"/>
      <w:bookmarkStart w:id="7" w:name="_Toc468726786"/>
      <w:bookmarkStart w:id="8" w:name="_Toc469328363"/>
      <w:bookmarkStart w:id="9" w:name="_Toc469329018"/>
      <w:r w:rsidRPr="00CF6023">
        <w:t>Abbreviations</w:t>
      </w:r>
      <w:bookmarkEnd w:id="6"/>
      <w:bookmarkEnd w:id="7"/>
      <w:bookmarkEnd w:id="8"/>
      <w:bookmarkEnd w:id="9"/>
    </w:p>
    <w:tbl>
      <w:tblPr>
        <w:tblStyle w:val="TableGrid"/>
        <w:tblW w:w="0" w:type="auto"/>
        <w:tblLook w:val="04A0" w:firstRow="1" w:lastRow="0" w:firstColumn="1" w:lastColumn="0" w:noHBand="0" w:noVBand="1"/>
      </w:tblPr>
      <w:tblGrid>
        <w:gridCol w:w="1668"/>
        <w:gridCol w:w="7618"/>
      </w:tblGrid>
      <w:tr w:rsidR="00D04E2A" w14:paraId="7810C7B1" w14:textId="77777777" w:rsidTr="00D961EE">
        <w:tc>
          <w:tcPr>
            <w:tcW w:w="1668" w:type="dxa"/>
            <w:shd w:val="clear" w:color="auto" w:fill="auto"/>
          </w:tcPr>
          <w:p w14:paraId="36051324" w14:textId="70FCEDA8" w:rsidR="00D04E2A" w:rsidRDefault="00D04E2A">
            <w:pPr>
              <w:jc w:val="left"/>
            </w:pPr>
            <w:r>
              <w:t>BEPS</w:t>
            </w:r>
          </w:p>
        </w:tc>
        <w:tc>
          <w:tcPr>
            <w:tcW w:w="7618" w:type="dxa"/>
            <w:shd w:val="clear" w:color="auto" w:fill="auto"/>
          </w:tcPr>
          <w:p w14:paraId="7BBC0B77" w14:textId="64A8F7B4" w:rsidR="00D04E2A" w:rsidRDefault="00D04E2A">
            <w:pPr>
              <w:jc w:val="left"/>
            </w:pPr>
            <w:r>
              <w:t>Base Erosion and Profit Shifting</w:t>
            </w:r>
          </w:p>
        </w:tc>
      </w:tr>
      <w:tr w:rsidR="00D04E2A" w14:paraId="5D91210F" w14:textId="77777777" w:rsidTr="00D961EE">
        <w:tc>
          <w:tcPr>
            <w:tcW w:w="1668" w:type="dxa"/>
            <w:shd w:val="clear" w:color="auto" w:fill="auto"/>
          </w:tcPr>
          <w:p w14:paraId="36C9CE0F" w14:textId="6CA5BF46" w:rsidR="00D04E2A" w:rsidRDefault="00D04E2A">
            <w:pPr>
              <w:jc w:val="left"/>
            </w:pPr>
            <w:r>
              <w:t>CAs</w:t>
            </w:r>
          </w:p>
        </w:tc>
        <w:tc>
          <w:tcPr>
            <w:tcW w:w="7618" w:type="dxa"/>
            <w:shd w:val="clear" w:color="auto" w:fill="auto"/>
          </w:tcPr>
          <w:p w14:paraId="01D9B1CA" w14:textId="77777777" w:rsidR="00D04E2A" w:rsidRDefault="00D04E2A" w:rsidP="00D04E2A">
            <w:pPr>
              <w:spacing w:after="0" w:line="240" w:lineRule="auto"/>
              <w:jc w:val="left"/>
            </w:pPr>
            <w:r>
              <w:t xml:space="preserve">Competent Authorities </w:t>
            </w:r>
          </w:p>
          <w:p w14:paraId="76F2D98E" w14:textId="176B9101" w:rsidR="00D04E2A" w:rsidRDefault="00D04E2A" w:rsidP="00D04E2A">
            <w:pPr>
              <w:pStyle w:val="Bullet"/>
            </w:pPr>
            <w:r>
              <w:t>persons authorised by the relevant treaty to administer tax treaty provisions including treaty dispute resolution mechanisms. In Australia</w:t>
            </w:r>
            <w:r w:rsidR="00740B66">
              <w:t>’</w:t>
            </w:r>
            <w:r>
              <w:t xml:space="preserve">s case this is an authorised representative of the Commissioner of Taxation. </w:t>
            </w:r>
          </w:p>
        </w:tc>
      </w:tr>
      <w:tr w:rsidR="00D04E2A" w14:paraId="76FC771A" w14:textId="77777777" w:rsidTr="00D961EE">
        <w:tc>
          <w:tcPr>
            <w:tcW w:w="1668" w:type="dxa"/>
            <w:shd w:val="clear" w:color="auto" w:fill="auto"/>
          </w:tcPr>
          <w:p w14:paraId="23AE1BAF" w14:textId="0284434E" w:rsidR="00D04E2A" w:rsidRDefault="00D04E2A">
            <w:pPr>
              <w:jc w:val="left"/>
            </w:pPr>
            <w:r>
              <w:t>CTAs</w:t>
            </w:r>
          </w:p>
        </w:tc>
        <w:tc>
          <w:tcPr>
            <w:tcW w:w="7618" w:type="dxa"/>
            <w:shd w:val="clear" w:color="auto" w:fill="auto"/>
          </w:tcPr>
          <w:p w14:paraId="3FACDFD8" w14:textId="77777777" w:rsidR="00D04E2A" w:rsidRDefault="00D04E2A" w:rsidP="00D04E2A">
            <w:pPr>
              <w:spacing w:after="0" w:line="240" w:lineRule="auto"/>
              <w:jc w:val="left"/>
            </w:pPr>
            <w:r>
              <w:t>Covered Tax Agreements</w:t>
            </w:r>
          </w:p>
          <w:p w14:paraId="6968DD3E" w14:textId="609C7315" w:rsidR="00D04E2A" w:rsidRDefault="00D04E2A" w:rsidP="004B5C4E">
            <w:pPr>
              <w:pStyle w:val="Bullet"/>
            </w:pPr>
            <w:r>
              <w:t xml:space="preserve">tax treaties nominated to be </w:t>
            </w:r>
            <w:r w:rsidR="004B5C4E">
              <w:t>modified</w:t>
            </w:r>
            <w:r>
              <w:t xml:space="preserve"> by the MLI</w:t>
            </w:r>
          </w:p>
        </w:tc>
      </w:tr>
      <w:tr w:rsidR="00D04E2A" w14:paraId="0AF3C0C8" w14:textId="77777777" w:rsidTr="00D961EE">
        <w:tc>
          <w:tcPr>
            <w:tcW w:w="1668" w:type="dxa"/>
            <w:shd w:val="clear" w:color="auto" w:fill="auto"/>
          </w:tcPr>
          <w:p w14:paraId="4E7209A5" w14:textId="5CCEAFA0" w:rsidR="00D04E2A" w:rsidRDefault="00D04E2A">
            <w:pPr>
              <w:jc w:val="left"/>
            </w:pPr>
            <w:r>
              <w:t>MAP</w:t>
            </w:r>
          </w:p>
        </w:tc>
        <w:tc>
          <w:tcPr>
            <w:tcW w:w="7618" w:type="dxa"/>
            <w:shd w:val="clear" w:color="auto" w:fill="auto"/>
          </w:tcPr>
          <w:p w14:paraId="07E8D9AF" w14:textId="61C3B593" w:rsidR="00D04E2A" w:rsidRDefault="00D04E2A">
            <w:pPr>
              <w:jc w:val="left"/>
            </w:pPr>
            <w:r>
              <w:t>Mutual Agreement Procedure</w:t>
            </w:r>
          </w:p>
        </w:tc>
      </w:tr>
      <w:tr w:rsidR="00D04E2A" w14:paraId="512FDA68" w14:textId="77777777" w:rsidTr="00D961EE">
        <w:tc>
          <w:tcPr>
            <w:tcW w:w="1668" w:type="dxa"/>
            <w:shd w:val="clear" w:color="auto" w:fill="auto"/>
          </w:tcPr>
          <w:p w14:paraId="44376098" w14:textId="1BBC8438" w:rsidR="00D04E2A" w:rsidRDefault="00D04E2A">
            <w:pPr>
              <w:jc w:val="left"/>
            </w:pPr>
            <w:r>
              <w:t>MLI</w:t>
            </w:r>
          </w:p>
        </w:tc>
        <w:tc>
          <w:tcPr>
            <w:tcW w:w="7618" w:type="dxa"/>
            <w:shd w:val="clear" w:color="auto" w:fill="auto"/>
          </w:tcPr>
          <w:p w14:paraId="1B8179F1" w14:textId="076DCC7D" w:rsidR="00D04E2A" w:rsidRDefault="00D04E2A">
            <w:pPr>
              <w:jc w:val="left"/>
            </w:pPr>
            <w:r w:rsidRPr="00E77BD5">
              <w:rPr>
                <w:i/>
              </w:rPr>
              <w:t>The Multilateral Conventio</w:t>
            </w:r>
            <w:r w:rsidRPr="00BE22C4">
              <w:rPr>
                <w:i/>
              </w:rPr>
              <w:t>n to Implement Tax Treaty Related Measures to Prevent B</w:t>
            </w:r>
            <w:r>
              <w:rPr>
                <w:i/>
              </w:rPr>
              <w:t xml:space="preserve">ase </w:t>
            </w:r>
            <w:r w:rsidRPr="00E77BD5">
              <w:rPr>
                <w:i/>
              </w:rPr>
              <w:t>E</w:t>
            </w:r>
            <w:r>
              <w:rPr>
                <w:i/>
              </w:rPr>
              <w:t xml:space="preserve">rosion and </w:t>
            </w:r>
            <w:r w:rsidRPr="00E77BD5">
              <w:rPr>
                <w:i/>
              </w:rPr>
              <w:t>P</w:t>
            </w:r>
            <w:r>
              <w:rPr>
                <w:i/>
              </w:rPr>
              <w:t xml:space="preserve">rofit </w:t>
            </w:r>
            <w:r w:rsidRPr="00E77BD5">
              <w:rPr>
                <w:i/>
              </w:rPr>
              <w:t>S</w:t>
            </w:r>
            <w:r>
              <w:rPr>
                <w:i/>
              </w:rPr>
              <w:t>hifting</w:t>
            </w:r>
            <w:r>
              <w:t>.</w:t>
            </w:r>
          </w:p>
        </w:tc>
      </w:tr>
      <w:tr w:rsidR="00D04E2A" w14:paraId="4BABC8E4" w14:textId="77777777" w:rsidTr="00D961EE">
        <w:tc>
          <w:tcPr>
            <w:tcW w:w="1668" w:type="dxa"/>
            <w:shd w:val="clear" w:color="auto" w:fill="auto"/>
          </w:tcPr>
          <w:p w14:paraId="33DAA90A" w14:textId="492000E7" w:rsidR="00D04E2A" w:rsidRDefault="00D04E2A">
            <w:pPr>
              <w:jc w:val="left"/>
            </w:pPr>
            <w:r>
              <w:t>MNEs</w:t>
            </w:r>
          </w:p>
        </w:tc>
        <w:tc>
          <w:tcPr>
            <w:tcW w:w="7618" w:type="dxa"/>
            <w:shd w:val="clear" w:color="auto" w:fill="auto"/>
          </w:tcPr>
          <w:p w14:paraId="6693B5A1" w14:textId="2BE4BE0E" w:rsidR="00D04E2A" w:rsidRDefault="00D04E2A">
            <w:pPr>
              <w:jc w:val="left"/>
            </w:pPr>
            <w:r>
              <w:t>Multinational enterprises</w:t>
            </w:r>
          </w:p>
        </w:tc>
      </w:tr>
      <w:tr w:rsidR="00D04E2A" w14:paraId="261238F2" w14:textId="77777777" w:rsidTr="00D961EE">
        <w:tc>
          <w:tcPr>
            <w:tcW w:w="1668" w:type="dxa"/>
            <w:shd w:val="clear" w:color="auto" w:fill="auto"/>
          </w:tcPr>
          <w:p w14:paraId="18469FC8" w14:textId="7BE14453" w:rsidR="00D04E2A" w:rsidRDefault="00D04E2A">
            <w:pPr>
              <w:jc w:val="left"/>
            </w:pPr>
            <w:r>
              <w:t>OECD</w:t>
            </w:r>
          </w:p>
        </w:tc>
        <w:tc>
          <w:tcPr>
            <w:tcW w:w="7618" w:type="dxa"/>
            <w:shd w:val="clear" w:color="auto" w:fill="auto"/>
          </w:tcPr>
          <w:p w14:paraId="686C8409" w14:textId="3229D1DD" w:rsidR="00D04E2A" w:rsidRDefault="00D04E2A">
            <w:pPr>
              <w:jc w:val="left"/>
            </w:pPr>
            <w:r>
              <w:t>Organisation for Economic Cooperation and Development</w:t>
            </w:r>
          </w:p>
        </w:tc>
      </w:tr>
    </w:tbl>
    <w:p w14:paraId="501DB17D" w14:textId="77777777" w:rsidR="00E57C68" w:rsidRDefault="00E57C68">
      <w:pPr>
        <w:jc w:val="left"/>
      </w:pPr>
    </w:p>
    <w:p w14:paraId="1E2EE1BA" w14:textId="77777777" w:rsidR="00E57C68" w:rsidRPr="0056559F" w:rsidRDefault="00E57C68">
      <w:pPr>
        <w:jc w:val="left"/>
        <w:sectPr w:rsidR="00E57C68" w:rsidRPr="0056559F" w:rsidSect="00134D7C">
          <w:footerReference w:type="default" r:id="rId21"/>
          <w:pgSz w:w="11906" w:h="16838" w:code="9"/>
          <w:pgMar w:top="1134" w:right="1418" w:bottom="567" w:left="1418" w:header="709" w:footer="709" w:gutter="0"/>
          <w:pgNumType w:fmt="lowerRoman"/>
          <w:cols w:space="708"/>
          <w:titlePg/>
          <w:docGrid w:linePitch="360"/>
        </w:sectPr>
      </w:pPr>
    </w:p>
    <w:p w14:paraId="2A8C6D4C" w14:textId="21E32D92" w:rsidR="000A7BCF" w:rsidRDefault="00352FCF">
      <w:pPr>
        <w:pStyle w:val="Heading1"/>
      </w:pPr>
      <w:bookmarkStart w:id="10" w:name="_Toc306887371"/>
      <w:bookmarkStart w:id="11" w:name="_Toc468726787"/>
      <w:bookmarkStart w:id="12" w:name="_Toc469328364"/>
      <w:bookmarkStart w:id="13" w:name="_Toc469329019"/>
      <w:r>
        <w:t>Introduction</w:t>
      </w:r>
      <w:bookmarkEnd w:id="10"/>
      <w:bookmarkEnd w:id="11"/>
      <w:bookmarkEnd w:id="12"/>
      <w:bookmarkEnd w:id="13"/>
    </w:p>
    <w:p w14:paraId="5CA7394D" w14:textId="6CF7DB5F" w:rsidR="00E00B76" w:rsidRDefault="00003050" w:rsidP="00D961EE">
      <w:pPr>
        <w:pStyle w:val="OutlineNumbered1"/>
      </w:pPr>
      <w:r w:rsidRPr="00E77BD5">
        <w:rPr>
          <w:i/>
        </w:rPr>
        <w:t>The Multilateral Conventio</w:t>
      </w:r>
      <w:r w:rsidRPr="00BE22C4">
        <w:rPr>
          <w:i/>
        </w:rPr>
        <w:t>n to Implement Tax Treaty Related Measures to Prevent B</w:t>
      </w:r>
      <w:r w:rsidR="003241FD">
        <w:rPr>
          <w:i/>
        </w:rPr>
        <w:t xml:space="preserve">ase </w:t>
      </w:r>
      <w:r w:rsidRPr="00E77BD5">
        <w:rPr>
          <w:i/>
        </w:rPr>
        <w:t>E</w:t>
      </w:r>
      <w:r w:rsidR="003241FD">
        <w:rPr>
          <w:i/>
        </w:rPr>
        <w:t xml:space="preserve">rosion and </w:t>
      </w:r>
      <w:r w:rsidRPr="00E77BD5">
        <w:rPr>
          <w:i/>
        </w:rPr>
        <w:t>P</w:t>
      </w:r>
      <w:r w:rsidR="003241FD">
        <w:rPr>
          <w:i/>
        </w:rPr>
        <w:t xml:space="preserve">rofit </w:t>
      </w:r>
      <w:r w:rsidRPr="00E77BD5">
        <w:rPr>
          <w:i/>
        </w:rPr>
        <w:t>S</w:t>
      </w:r>
      <w:r w:rsidR="003241FD">
        <w:rPr>
          <w:i/>
        </w:rPr>
        <w:t>hifting</w:t>
      </w:r>
      <w:r>
        <w:t xml:space="preserve"> (</w:t>
      </w:r>
      <w:r w:rsidR="003A1248">
        <w:t xml:space="preserve">the </w:t>
      </w:r>
      <w:r w:rsidR="003241FD">
        <w:t>Multilateral Instrument</w:t>
      </w:r>
      <w:r w:rsidR="00D1572D">
        <w:t xml:space="preserve"> or</w:t>
      </w:r>
      <w:r w:rsidR="003241FD">
        <w:t xml:space="preserve"> MLI</w:t>
      </w:r>
      <w:r>
        <w:t xml:space="preserve">) </w:t>
      </w:r>
      <w:r w:rsidR="003C1575" w:rsidRPr="000A2DF9">
        <w:t xml:space="preserve">is </w:t>
      </w:r>
      <w:r w:rsidR="003241FD" w:rsidRPr="001C779E">
        <w:t>designed</w:t>
      </w:r>
      <w:r w:rsidR="003241FD">
        <w:t xml:space="preserve"> to </w:t>
      </w:r>
      <w:r w:rsidR="00307987">
        <w:t xml:space="preserve">close off </w:t>
      </w:r>
      <w:r w:rsidR="006D5FEB">
        <w:t xml:space="preserve">tax </w:t>
      </w:r>
      <w:r w:rsidR="00307987">
        <w:t>treaty based opportunities for multinational tax avoidance</w:t>
      </w:r>
      <w:r w:rsidR="00D04E2A">
        <w:t xml:space="preserve">. </w:t>
      </w:r>
      <w:r w:rsidR="00307987">
        <w:t xml:space="preserve">It </w:t>
      </w:r>
      <w:r w:rsidR="003241FD">
        <w:t>enable</w:t>
      </w:r>
      <w:r w:rsidR="00307987">
        <w:t>s</w:t>
      </w:r>
      <w:r w:rsidR="003241FD">
        <w:t xml:space="preserve"> </w:t>
      </w:r>
      <w:r w:rsidR="00AA7F5C">
        <w:t>jurisdictions</w:t>
      </w:r>
      <w:r w:rsidR="003241FD">
        <w:t xml:space="preserve"> to swiftly </w:t>
      </w:r>
      <w:r w:rsidR="005565DE">
        <w:t>modify</w:t>
      </w:r>
      <w:r w:rsidR="003241FD">
        <w:t xml:space="preserve"> their </w:t>
      </w:r>
      <w:r w:rsidR="003241FD" w:rsidRPr="00DE6E32">
        <w:t xml:space="preserve">bilateral tax treaties to </w:t>
      </w:r>
      <w:r w:rsidR="006D677D">
        <w:t xml:space="preserve">give effect to the </w:t>
      </w:r>
      <w:r w:rsidR="00E0462A">
        <w:t xml:space="preserve">relevant recommendations contained in the </w:t>
      </w:r>
      <w:r w:rsidR="003241FD" w:rsidRPr="00E04D0D">
        <w:t xml:space="preserve">OECD/G20 Base Erosion and Profit Shifting (BEPS) </w:t>
      </w:r>
      <w:r w:rsidR="00E0462A">
        <w:t>package</w:t>
      </w:r>
      <w:r w:rsidR="00D04E2A">
        <w:t xml:space="preserve">. </w:t>
      </w:r>
    </w:p>
    <w:p w14:paraId="290ADB4F" w14:textId="52C779DC" w:rsidR="00003050" w:rsidRPr="00D961EE" w:rsidRDefault="00003050" w:rsidP="00D961EE">
      <w:pPr>
        <w:pStyle w:val="OutlineNumbered1"/>
      </w:pPr>
      <w:r w:rsidRPr="00D961EE">
        <w:t xml:space="preserve">BEPS is the label given to tax planning strategies </w:t>
      </w:r>
      <w:r w:rsidR="00141940" w:rsidRPr="00D961EE">
        <w:t>used by multinational enterprises</w:t>
      </w:r>
      <w:r w:rsidRPr="00D961EE">
        <w:t xml:space="preserve"> to </w:t>
      </w:r>
      <w:r w:rsidR="00E12EFD" w:rsidRPr="00D961EE">
        <w:t>avoid tax</w:t>
      </w:r>
      <w:r w:rsidR="00D04E2A" w:rsidRPr="00D961EE">
        <w:t xml:space="preserve">. </w:t>
      </w:r>
      <w:r w:rsidRPr="00D961EE">
        <w:t xml:space="preserve">The OECD has estimated </w:t>
      </w:r>
      <w:r w:rsidR="00141940" w:rsidRPr="00D961EE">
        <w:t>th</w:t>
      </w:r>
      <w:r w:rsidR="00395846" w:rsidRPr="00D961EE">
        <w:t>at</w:t>
      </w:r>
      <w:r w:rsidR="00141940" w:rsidRPr="00D961EE">
        <w:t xml:space="preserve"> </w:t>
      </w:r>
      <w:r w:rsidR="001C779E" w:rsidRPr="00D961EE">
        <w:t xml:space="preserve">worldwide </w:t>
      </w:r>
      <w:r w:rsidR="00141940" w:rsidRPr="00D961EE">
        <w:t xml:space="preserve">revenue </w:t>
      </w:r>
      <w:r w:rsidR="003720B0" w:rsidRPr="00D961EE">
        <w:t>losses attributable to BEPS strategies are</w:t>
      </w:r>
      <w:r w:rsidR="00141940" w:rsidRPr="00D961EE">
        <w:t xml:space="preserve"> </w:t>
      </w:r>
      <w:r w:rsidRPr="00D961EE">
        <w:t>between 4</w:t>
      </w:r>
      <w:r w:rsidR="00740B66" w:rsidRPr="00D961EE">
        <w:noBreakHyphen/>
      </w:r>
      <w:r w:rsidRPr="00D961EE">
        <w:t xml:space="preserve">10% of global </w:t>
      </w:r>
      <w:r w:rsidR="00BA38FE" w:rsidRPr="00D961EE">
        <w:t xml:space="preserve">corporate income </w:t>
      </w:r>
      <w:r w:rsidRPr="00D961EE">
        <w:t>tax revenue,</w:t>
      </w:r>
      <w:r w:rsidR="002E64D0" w:rsidRPr="00D961EE">
        <w:t xml:space="preserve">  </w:t>
      </w:r>
      <w:r w:rsidR="00BA38FE" w:rsidRPr="00D961EE">
        <w:t>i.e.</w:t>
      </w:r>
      <w:r w:rsidR="003C1575" w:rsidRPr="00D961EE">
        <w:t xml:space="preserve"> </w:t>
      </w:r>
      <w:r w:rsidRPr="00D961EE">
        <w:t>US</w:t>
      </w:r>
      <w:r w:rsidR="00E0462A" w:rsidRPr="00D961EE">
        <w:t>D</w:t>
      </w:r>
      <w:r w:rsidR="002E64D0" w:rsidRPr="00D961EE">
        <w:t xml:space="preserve"> </w:t>
      </w:r>
      <w:r w:rsidRPr="00D961EE">
        <w:t>100</w:t>
      </w:r>
      <w:r w:rsidR="00740B66" w:rsidRPr="00D961EE">
        <w:noBreakHyphen/>
      </w:r>
      <w:r w:rsidRPr="00D961EE">
        <w:t>240 billion annually.</w:t>
      </w:r>
    </w:p>
    <w:p w14:paraId="164B5E90" w14:textId="56EB311C" w:rsidR="006A2EB6" w:rsidRDefault="00A36621" w:rsidP="00132B48">
      <w:pPr>
        <w:pStyle w:val="OutlineNumbered1"/>
        <w:jc w:val="left"/>
      </w:pPr>
      <w:r>
        <w:t>BEPS is a global problem that requires global solutions</w:t>
      </w:r>
      <w:r w:rsidR="00D04E2A">
        <w:t xml:space="preserve">. </w:t>
      </w:r>
      <w:r w:rsidR="006D6E6A">
        <w:t xml:space="preserve">The OECD/G20 BEPS project, involving over 60 </w:t>
      </w:r>
      <w:r w:rsidR="00AA7F5C">
        <w:t>jurisdictions</w:t>
      </w:r>
      <w:r w:rsidR="006D6E6A">
        <w:t>, was established to address gaps and mismatches in international tax rules that enable multinational enterprises to avoid tax</w:t>
      </w:r>
      <w:r w:rsidR="00D04E2A">
        <w:t xml:space="preserve">. </w:t>
      </w:r>
      <w:r w:rsidR="00395846">
        <w:t>Thi</w:t>
      </w:r>
      <w:r w:rsidR="00B957BF">
        <w:t>s</w:t>
      </w:r>
      <w:r w:rsidR="00395846">
        <w:t xml:space="preserve"> work culminated </w:t>
      </w:r>
      <w:r w:rsidR="006D5FEB">
        <w:t>in late 2015</w:t>
      </w:r>
      <w:r w:rsidR="00395846">
        <w:t xml:space="preserve"> with the release</w:t>
      </w:r>
      <w:r w:rsidR="00717571">
        <w:t>,</w:t>
      </w:r>
      <w:r w:rsidR="00395846">
        <w:t xml:space="preserve"> and G20 </w:t>
      </w:r>
      <w:r w:rsidR="00720945">
        <w:t>L</w:t>
      </w:r>
      <w:r w:rsidR="00C43FA3">
        <w:t>eaders</w:t>
      </w:r>
      <w:r w:rsidR="00740B66">
        <w:t>’</w:t>
      </w:r>
      <w:r w:rsidR="00395846">
        <w:t xml:space="preserve"> endorsement</w:t>
      </w:r>
      <w:r w:rsidR="00717571">
        <w:t>,</w:t>
      </w:r>
      <w:r w:rsidR="00395846">
        <w:t xml:space="preserve"> of the </w:t>
      </w:r>
      <w:r w:rsidR="006D6E6A">
        <w:t>BEPS package</w:t>
      </w:r>
      <w:r w:rsidR="006A2EB6">
        <w:t>.</w:t>
      </w:r>
    </w:p>
    <w:p w14:paraId="7C3CE6C1" w14:textId="3A9EF418" w:rsidR="007B212A" w:rsidRDefault="007B212A" w:rsidP="00132B48">
      <w:pPr>
        <w:pStyle w:val="OutlineNumbered1"/>
        <w:jc w:val="left"/>
      </w:pPr>
      <w:r>
        <w:t>T</w:t>
      </w:r>
      <w:r w:rsidR="00D1572D">
        <w:t>he BEPS package</w:t>
      </w:r>
      <w:r w:rsidR="00717571">
        <w:t xml:space="preserve"> sets out </w:t>
      </w:r>
      <w:r w:rsidR="00720945">
        <w:t>a range of measures (based on 15 BEPS Actions)</w:t>
      </w:r>
      <w:r w:rsidR="00717571">
        <w:t xml:space="preserve"> </w:t>
      </w:r>
      <w:r w:rsidR="006A2EB6">
        <w:t xml:space="preserve">that </w:t>
      </w:r>
      <w:r w:rsidR="00AA7F5C">
        <w:t>jurisdictions</w:t>
      </w:r>
      <w:r w:rsidR="006A2EB6">
        <w:t xml:space="preserve"> can take to </w:t>
      </w:r>
      <w:r w:rsidR="002117A4">
        <w:t>limit opportunities</w:t>
      </w:r>
      <w:r w:rsidR="006A2EB6">
        <w:t xml:space="preserve"> for multinational tax avoidance. </w:t>
      </w:r>
      <w:r w:rsidR="00B957BF">
        <w:t>Four</w:t>
      </w:r>
      <w:r w:rsidR="00717571">
        <w:t xml:space="preserve"> of these include recommended new rules for inclusion in tax treaties</w:t>
      </w:r>
      <w:r w:rsidR="00D04E2A">
        <w:t xml:space="preserve">. </w:t>
      </w:r>
      <w:r>
        <w:t xml:space="preserve">BEPS Action 15 </w:t>
      </w:r>
      <w:r w:rsidR="00720945">
        <w:t>encouraged jurisdictions</w:t>
      </w:r>
      <w:r>
        <w:t>, including Australia, to work together to develop a multilateral treaty that would implement the BEPS treaty</w:t>
      </w:r>
      <w:r w:rsidR="00740B66">
        <w:noBreakHyphen/>
      </w:r>
      <w:r w:rsidR="00720945">
        <w:t>related</w:t>
      </w:r>
      <w:r>
        <w:t xml:space="preserve"> recommendations as fast as possible</w:t>
      </w:r>
      <w:r w:rsidR="00395846">
        <w:t xml:space="preserve"> and</w:t>
      </w:r>
      <w:r>
        <w:t xml:space="preserve"> in as many </w:t>
      </w:r>
      <w:r w:rsidR="00AA7F5C">
        <w:t>jurisdictions</w:t>
      </w:r>
      <w:r>
        <w:t xml:space="preserve"> as possible</w:t>
      </w:r>
      <w:r w:rsidR="00D04E2A">
        <w:t xml:space="preserve">. </w:t>
      </w:r>
    </w:p>
    <w:p w14:paraId="34A476C9" w14:textId="7A56658E" w:rsidR="008F314D" w:rsidRDefault="00A36621" w:rsidP="00132B48">
      <w:pPr>
        <w:pStyle w:val="OutlineNumbered1"/>
        <w:spacing w:after="120" w:line="240" w:lineRule="auto"/>
        <w:jc w:val="left"/>
      </w:pPr>
      <w:r>
        <w:t xml:space="preserve">On 24 November 2016, </w:t>
      </w:r>
      <w:r w:rsidR="00B957BF">
        <w:t xml:space="preserve">the OECD released the </w:t>
      </w:r>
      <w:r w:rsidR="007B212A">
        <w:t xml:space="preserve">final </w:t>
      </w:r>
      <w:r>
        <w:t xml:space="preserve">text of </w:t>
      </w:r>
      <w:r w:rsidR="003A1248">
        <w:t xml:space="preserve">the </w:t>
      </w:r>
      <w:r w:rsidR="00910A93">
        <w:t>MLI</w:t>
      </w:r>
      <w:r w:rsidR="0016411F">
        <w:t xml:space="preserve"> and </w:t>
      </w:r>
      <w:r w:rsidR="00910A93">
        <w:t>its</w:t>
      </w:r>
      <w:r w:rsidR="0016411F">
        <w:t xml:space="preserve"> </w:t>
      </w:r>
      <w:r w:rsidR="00B957BF">
        <w:t>a</w:t>
      </w:r>
      <w:r w:rsidR="0016411F">
        <w:t>ccompanying Explanatory Statement</w:t>
      </w:r>
      <w:r w:rsidR="00D04E2A">
        <w:t xml:space="preserve">. </w:t>
      </w:r>
      <w:r w:rsidR="00395846">
        <w:t xml:space="preserve">Both are </w:t>
      </w:r>
      <w:r w:rsidR="007B212A">
        <w:t>available at:</w:t>
      </w:r>
      <w:r w:rsidR="009332C5">
        <w:t xml:space="preserve">  </w:t>
      </w:r>
    </w:p>
    <w:p w14:paraId="2AD9D731" w14:textId="09AED990" w:rsidR="008F314D" w:rsidRPr="00132B48" w:rsidRDefault="008F314D" w:rsidP="00132B48">
      <w:pPr>
        <w:pStyle w:val="OutlineNumbered1"/>
        <w:numPr>
          <w:ilvl w:val="0"/>
          <w:numId w:val="0"/>
        </w:numPr>
        <w:ind w:left="567"/>
        <w:jc w:val="left"/>
        <w:rPr>
          <w:b/>
        </w:rPr>
      </w:pPr>
      <w:r w:rsidRPr="00D04E2A">
        <w:rPr>
          <w:b/>
        </w:rPr>
        <w:t>http://www.oecd.org/tax/treaties/multilateral</w:t>
      </w:r>
      <w:r w:rsidR="00740B66">
        <w:rPr>
          <w:b/>
        </w:rPr>
        <w:noBreakHyphen/>
      </w:r>
      <w:r w:rsidRPr="00D04E2A">
        <w:rPr>
          <w:b/>
        </w:rPr>
        <w:t>convention</w:t>
      </w:r>
      <w:r w:rsidR="00740B66">
        <w:rPr>
          <w:b/>
        </w:rPr>
        <w:noBreakHyphen/>
      </w:r>
      <w:r w:rsidRPr="00D04E2A">
        <w:rPr>
          <w:b/>
        </w:rPr>
        <w:t>to</w:t>
      </w:r>
      <w:r w:rsidR="00740B66">
        <w:rPr>
          <w:b/>
        </w:rPr>
        <w:noBreakHyphen/>
      </w:r>
      <w:r w:rsidRPr="00D04E2A">
        <w:rPr>
          <w:b/>
        </w:rPr>
        <w:t>implement</w:t>
      </w:r>
      <w:r w:rsidR="00740B66">
        <w:rPr>
          <w:b/>
        </w:rPr>
        <w:noBreakHyphen/>
      </w:r>
      <w:r w:rsidRPr="00D04E2A">
        <w:rPr>
          <w:b/>
        </w:rPr>
        <w:t>tax</w:t>
      </w:r>
      <w:r w:rsidR="00740B66">
        <w:rPr>
          <w:b/>
        </w:rPr>
        <w:noBreakHyphen/>
      </w:r>
      <w:r w:rsidRPr="00D04E2A">
        <w:rPr>
          <w:b/>
        </w:rPr>
        <w:t>treaty</w:t>
      </w:r>
      <w:r w:rsidR="00740B66">
        <w:rPr>
          <w:b/>
        </w:rPr>
        <w:noBreakHyphen/>
      </w:r>
      <w:r w:rsidRPr="00D04E2A">
        <w:rPr>
          <w:b/>
        </w:rPr>
        <w:t>related</w:t>
      </w:r>
      <w:r w:rsidR="00740B66">
        <w:rPr>
          <w:b/>
        </w:rPr>
        <w:noBreakHyphen/>
      </w:r>
      <w:r w:rsidRPr="00D04E2A">
        <w:rPr>
          <w:b/>
        </w:rPr>
        <w:t>measures</w:t>
      </w:r>
      <w:r w:rsidR="00740B66">
        <w:rPr>
          <w:b/>
        </w:rPr>
        <w:noBreakHyphen/>
      </w:r>
      <w:r w:rsidRPr="00D04E2A">
        <w:rPr>
          <w:b/>
        </w:rPr>
        <w:t>to</w:t>
      </w:r>
      <w:r w:rsidR="00740B66">
        <w:rPr>
          <w:b/>
        </w:rPr>
        <w:noBreakHyphen/>
      </w:r>
      <w:r w:rsidRPr="00D04E2A">
        <w:rPr>
          <w:b/>
        </w:rPr>
        <w:t>prevent</w:t>
      </w:r>
      <w:r w:rsidR="00740B66">
        <w:rPr>
          <w:b/>
        </w:rPr>
        <w:noBreakHyphen/>
      </w:r>
      <w:r w:rsidRPr="00D04E2A">
        <w:rPr>
          <w:b/>
        </w:rPr>
        <w:t>beps.htm</w:t>
      </w:r>
    </w:p>
    <w:p w14:paraId="1DC2AD7D" w14:textId="3F4726DA" w:rsidR="00EE1375" w:rsidRPr="004377AB" w:rsidRDefault="007B212A" w:rsidP="00132B48">
      <w:pPr>
        <w:pStyle w:val="OutlineNumbered1"/>
        <w:jc w:val="left"/>
        <w:rPr>
          <w:color w:val="auto"/>
        </w:rPr>
      </w:pPr>
      <w:r w:rsidRPr="004377AB">
        <w:rPr>
          <w:color w:val="auto"/>
        </w:rPr>
        <w:t xml:space="preserve">The MLI provides </w:t>
      </w:r>
      <w:r w:rsidR="00AA7F5C">
        <w:rPr>
          <w:color w:val="auto"/>
        </w:rPr>
        <w:t>jurisdictions</w:t>
      </w:r>
      <w:r w:rsidRPr="004377AB">
        <w:rPr>
          <w:color w:val="auto"/>
        </w:rPr>
        <w:t xml:space="preserve"> with the </w:t>
      </w:r>
      <w:r w:rsidRPr="00824DA8">
        <w:rPr>
          <w:color w:val="auto"/>
        </w:rPr>
        <w:t>means</w:t>
      </w:r>
      <w:r w:rsidR="007C7ACD" w:rsidRPr="004377AB">
        <w:rPr>
          <w:color w:val="auto"/>
        </w:rPr>
        <w:t xml:space="preserve">, if their treaty partners agree, </w:t>
      </w:r>
      <w:r w:rsidRPr="004377AB">
        <w:rPr>
          <w:color w:val="auto"/>
        </w:rPr>
        <w:t>to</w:t>
      </w:r>
      <w:r w:rsidR="002229E7" w:rsidRPr="004377AB">
        <w:rPr>
          <w:color w:val="auto"/>
        </w:rPr>
        <w:t xml:space="preserve"> </w:t>
      </w:r>
      <w:r w:rsidR="00720945">
        <w:rPr>
          <w:color w:val="auto"/>
        </w:rPr>
        <w:t>modify</w:t>
      </w:r>
      <w:r w:rsidR="00EE1375" w:rsidRPr="004377AB">
        <w:rPr>
          <w:color w:val="auto"/>
        </w:rPr>
        <w:t xml:space="preserve"> </w:t>
      </w:r>
      <w:r w:rsidR="00F66DE4" w:rsidRPr="004377AB">
        <w:rPr>
          <w:color w:val="auto"/>
        </w:rPr>
        <w:t>their existing</w:t>
      </w:r>
      <w:r w:rsidR="00EE1375" w:rsidRPr="004377AB">
        <w:rPr>
          <w:color w:val="auto"/>
        </w:rPr>
        <w:t xml:space="preserve"> bilateral ta</w:t>
      </w:r>
      <w:r w:rsidR="007C7ACD" w:rsidRPr="004377AB">
        <w:rPr>
          <w:color w:val="auto"/>
        </w:rPr>
        <w:t xml:space="preserve">x treaties to </w:t>
      </w:r>
      <w:r w:rsidR="00720945">
        <w:rPr>
          <w:color w:val="auto"/>
        </w:rPr>
        <w:t xml:space="preserve">reflect </w:t>
      </w:r>
      <w:r w:rsidR="007C7ACD" w:rsidRPr="004377AB">
        <w:rPr>
          <w:color w:val="auto"/>
        </w:rPr>
        <w:t xml:space="preserve">the new </w:t>
      </w:r>
      <w:r w:rsidR="00824DA8">
        <w:rPr>
          <w:color w:val="auto"/>
        </w:rPr>
        <w:t xml:space="preserve">BEPS </w:t>
      </w:r>
      <w:r w:rsidR="007C7ACD" w:rsidRPr="004377AB">
        <w:rPr>
          <w:color w:val="auto"/>
        </w:rPr>
        <w:t>standards</w:t>
      </w:r>
      <w:r w:rsidR="00D04E2A">
        <w:rPr>
          <w:color w:val="auto"/>
        </w:rPr>
        <w:t xml:space="preserve">. </w:t>
      </w:r>
      <w:r w:rsidR="00622B4D" w:rsidRPr="004377AB">
        <w:rPr>
          <w:color w:val="auto"/>
        </w:rPr>
        <w:t>In</w:t>
      </w:r>
      <w:r w:rsidR="003C1575" w:rsidRPr="004377AB">
        <w:rPr>
          <w:color w:val="auto"/>
        </w:rPr>
        <w:t xml:space="preserve"> the absence of the </w:t>
      </w:r>
      <w:r w:rsidR="00C522CB" w:rsidRPr="004377AB">
        <w:rPr>
          <w:color w:val="auto"/>
        </w:rPr>
        <w:t>MLI</w:t>
      </w:r>
      <w:r w:rsidR="003C1575" w:rsidRPr="004377AB">
        <w:rPr>
          <w:color w:val="auto"/>
        </w:rPr>
        <w:t xml:space="preserve">, </w:t>
      </w:r>
      <w:r w:rsidR="00AA7F5C">
        <w:rPr>
          <w:color w:val="auto"/>
        </w:rPr>
        <w:t>jurisdictions</w:t>
      </w:r>
      <w:r w:rsidR="003C1575" w:rsidRPr="004377AB">
        <w:rPr>
          <w:color w:val="auto"/>
        </w:rPr>
        <w:t xml:space="preserve"> would have to introduce the new rules treaty by treaty </w:t>
      </w:r>
      <w:r w:rsidR="00824DA8">
        <w:rPr>
          <w:color w:val="auto"/>
        </w:rPr>
        <w:t>—</w:t>
      </w:r>
      <w:r w:rsidR="00824DA8" w:rsidRPr="00824DA8">
        <w:rPr>
          <w:color w:val="auto"/>
        </w:rPr>
        <w:t xml:space="preserve"> </w:t>
      </w:r>
      <w:r w:rsidR="003C1575" w:rsidRPr="004377AB">
        <w:rPr>
          <w:color w:val="auto"/>
        </w:rPr>
        <w:t>a process which typically</w:t>
      </w:r>
      <w:r w:rsidR="0022278F" w:rsidRPr="004377AB">
        <w:rPr>
          <w:color w:val="auto"/>
        </w:rPr>
        <w:t xml:space="preserve"> might </w:t>
      </w:r>
      <w:r w:rsidR="00622B4D" w:rsidRPr="004377AB">
        <w:rPr>
          <w:color w:val="auto"/>
        </w:rPr>
        <w:t xml:space="preserve">be </w:t>
      </w:r>
      <w:r w:rsidR="0022278F" w:rsidRPr="004377AB">
        <w:rPr>
          <w:color w:val="auto"/>
        </w:rPr>
        <w:t>expect</w:t>
      </w:r>
      <w:r w:rsidR="00622B4D" w:rsidRPr="004377AB">
        <w:rPr>
          <w:color w:val="auto"/>
        </w:rPr>
        <w:t>ed to take</w:t>
      </w:r>
      <w:r w:rsidR="0022278F" w:rsidRPr="004377AB">
        <w:rPr>
          <w:color w:val="auto"/>
        </w:rPr>
        <w:t xml:space="preserve"> decades to c</w:t>
      </w:r>
      <w:r w:rsidR="003C1575" w:rsidRPr="004377AB">
        <w:rPr>
          <w:color w:val="auto"/>
        </w:rPr>
        <w:t xml:space="preserve">omplete. </w:t>
      </w:r>
    </w:p>
    <w:p w14:paraId="1BFC1519" w14:textId="131ED314" w:rsidR="005A7A20" w:rsidRPr="00F25D18" w:rsidRDefault="009332C5" w:rsidP="00132B48">
      <w:pPr>
        <w:pStyle w:val="OutlineNumbered1"/>
        <w:jc w:val="left"/>
        <w:rPr>
          <w:color w:val="auto"/>
        </w:rPr>
      </w:pPr>
      <w:bookmarkStart w:id="14" w:name="_Toc306887373"/>
      <w:r w:rsidRPr="002117A4">
        <w:rPr>
          <w:color w:val="auto"/>
        </w:rPr>
        <w:t xml:space="preserve">The Government is strongly committed to ensuring that multinationals pay the right amount of tax. </w:t>
      </w:r>
      <w:r w:rsidR="007E0636" w:rsidRPr="002117A4">
        <w:rPr>
          <w:color w:val="auto"/>
        </w:rPr>
        <w:t xml:space="preserve">Australia </w:t>
      </w:r>
      <w:r w:rsidR="004E0F5B">
        <w:rPr>
          <w:color w:val="auto"/>
        </w:rPr>
        <w:t xml:space="preserve">has already included </w:t>
      </w:r>
      <w:r w:rsidR="007E0636" w:rsidRPr="002117A4">
        <w:rPr>
          <w:color w:val="auto"/>
        </w:rPr>
        <w:t xml:space="preserve">BEPS rules in its </w:t>
      </w:r>
      <w:r w:rsidR="004E0F5B">
        <w:rPr>
          <w:color w:val="auto"/>
        </w:rPr>
        <w:t xml:space="preserve">new tax </w:t>
      </w:r>
      <w:r w:rsidR="007E0636" w:rsidRPr="002117A4">
        <w:rPr>
          <w:color w:val="auto"/>
        </w:rPr>
        <w:t xml:space="preserve">treaty with </w:t>
      </w:r>
      <w:r w:rsidR="007E0636" w:rsidRPr="00F25D18">
        <w:rPr>
          <w:color w:val="auto"/>
        </w:rPr>
        <w:t>Germany</w:t>
      </w:r>
      <w:r w:rsidR="00B957BF">
        <w:rPr>
          <w:color w:val="auto"/>
        </w:rPr>
        <w:t xml:space="preserve">. </w:t>
      </w:r>
      <w:r w:rsidR="0089170C">
        <w:rPr>
          <w:color w:val="auto"/>
        </w:rPr>
        <w:t>The Government</w:t>
      </w:r>
      <w:r w:rsidR="00B957BF">
        <w:rPr>
          <w:color w:val="auto"/>
        </w:rPr>
        <w:t xml:space="preserve"> </w:t>
      </w:r>
      <w:r w:rsidR="007E0636" w:rsidRPr="00DF262B">
        <w:rPr>
          <w:lang w:val="en"/>
        </w:rPr>
        <w:t xml:space="preserve">has </w:t>
      </w:r>
      <w:r w:rsidR="00B957BF">
        <w:rPr>
          <w:lang w:val="en"/>
        </w:rPr>
        <w:t xml:space="preserve">also </w:t>
      </w:r>
      <w:r w:rsidR="00824DA8" w:rsidRPr="00DF262B">
        <w:rPr>
          <w:lang w:val="en"/>
        </w:rPr>
        <w:t>taken action to bolster Australia</w:t>
      </w:r>
      <w:r w:rsidR="00740B66">
        <w:rPr>
          <w:lang w:val="en"/>
        </w:rPr>
        <w:t>’</w:t>
      </w:r>
      <w:r w:rsidR="00824DA8" w:rsidRPr="00DF262B">
        <w:rPr>
          <w:lang w:val="en"/>
        </w:rPr>
        <w:t xml:space="preserve">s </w:t>
      </w:r>
      <w:r w:rsidR="0089170C">
        <w:rPr>
          <w:lang w:val="en"/>
        </w:rPr>
        <w:t xml:space="preserve">domestic </w:t>
      </w:r>
      <w:r w:rsidR="00824DA8" w:rsidRPr="00DF262B">
        <w:rPr>
          <w:lang w:val="en"/>
        </w:rPr>
        <w:t>laws to prevent tax avoidance</w:t>
      </w:r>
      <w:r w:rsidR="00395846">
        <w:rPr>
          <w:lang w:val="en"/>
        </w:rPr>
        <w:t xml:space="preserve"> by </w:t>
      </w:r>
      <w:r w:rsidR="00A60E49">
        <w:rPr>
          <w:lang w:val="en"/>
        </w:rPr>
        <w:t>imp</w:t>
      </w:r>
      <w:r w:rsidR="00395846">
        <w:rPr>
          <w:lang w:val="en"/>
        </w:rPr>
        <w:t xml:space="preserve">lementing </w:t>
      </w:r>
      <w:r w:rsidR="007E0636" w:rsidRPr="00DF262B">
        <w:rPr>
          <w:lang w:val="en"/>
        </w:rPr>
        <w:t>the Multinational Anti</w:t>
      </w:r>
      <w:r w:rsidR="00740B66">
        <w:rPr>
          <w:lang w:val="en"/>
        </w:rPr>
        <w:noBreakHyphen/>
      </w:r>
      <w:r w:rsidR="007E0636" w:rsidRPr="00DF262B">
        <w:rPr>
          <w:lang w:val="en"/>
        </w:rPr>
        <w:t xml:space="preserve">Avoidance Law and </w:t>
      </w:r>
      <w:r w:rsidR="00B957BF">
        <w:rPr>
          <w:lang w:val="en"/>
        </w:rPr>
        <w:t xml:space="preserve">developing </w:t>
      </w:r>
      <w:r w:rsidR="007E0636" w:rsidRPr="00DF262B">
        <w:rPr>
          <w:lang w:val="en"/>
        </w:rPr>
        <w:t>the Diverted Profits Tax</w:t>
      </w:r>
      <w:r w:rsidR="00A60E49">
        <w:rPr>
          <w:lang w:val="en"/>
        </w:rPr>
        <w:t xml:space="preserve"> legislation.</w:t>
      </w:r>
    </w:p>
    <w:p w14:paraId="1C8E7C35" w14:textId="75048E0C" w:rsidR="009332C5" w:rsidRPr="007E0636" w:rsidRDefault="003720B0" w:rsidP="00132B48">
      <w:pPr>
        <w:pStyle w:val="OutlineNumbered1"/>
        <w:jc w:val="left"/>
        <w:rPr>
          <w:color w:val="auto"/>
        </w:rPr>
      </w:pPr>
      <w:r>
        <w:rPr>
          <w:color w:val="auto"/>
        </w:rPr>
        <w:t xml:space="preserve">A first </w:t>
      </w:r>
      <w:r w:rsidR="004E0F5B">
        <w:rPr>
          <w:color w:val="auto"/>
        </w:rPr>
        <w:t>group</w:t>
      </w:r>
      <w:r w:rsidRPr="00824DA8">
        <w:rPr>
          <w:color w:val="auto"/>
        </w:rPr>
        <w:t xml:space="preserve"> of </w:t>
      </w:r>
      <w:r w:rsidR="00AA7F5C">
        <w:rPr>
          <w:color w:val="auto"/>
        </w:rPr>
        <w:t>jurisdictions</w:t>
      </w:r>
      <w:r w:rsidRPr="00824DA8">
        <w:rPr>
          <w:color w:val="auto"/>
        </w:rPr>
        <w:t xml:space="preserve"> </w:t>
      </w:r>
      <w:r>
        <w:rPr>
          <w:color w:val="auto"/>
        </w:rPr>
        <w:t>is</w:t>
      </w:r>
      <w:r w:rsidR="00824DA8">
        <w:rPr>
          <w:color w:val="auto"/>
        </w:rPr>
        <w:t xml:space="preserve"> expected to sign the MLI in </w:t>
      </w:r>
      <w:r w:rsidR="00824DA8" w:rsidRPr="00824DA8">
        <w:rPr>
          <w:color w:val="auto"/>
        </w:rPr>
        <w:t>early June 2017</w:t>
      </w:r>
      <w:r w:rsidR="00824DA8">
        <w:rPr>
          <w:color w:val="auto"/>
        </w:rPr>
        <w:t xml:space="preserve">. </w:t>
      </w:r>
      <w:r w:rsidR="009332C5" w:rsidRPr="00824DA8">
        <w:rPr>
          <w:color w:val="auto"/>
        </w:rPr>
        <w:t xml:space="preserve">Although the </w:t>
      </w:r>
      <w:r w:rsidR="004E0F5B">
        <w:rPr>
          <w:color w:val="auto"/>
        </w:rPr>
        <w:t xml:space="preserve">Australian </w:t>
      </w:r>
      <w:r w:rsidR="009332C5" w:rsidRPr="00824DA8">
        <w:rPr>
          <w:color w:val="auto"/>
        </w:rPr>
        <w:t>Government is yet to make a f</w:t>
      </w:r>
      <w:r w:rsidR="0089170C">
        <w:rPr>
          <w:color w:val="auto"/>
        </w:rPr>
        <w:t>inal</w:t>
      </w:r>
      <w:r w:rsidR="009332C5" w:rsidRPr="00824DA8">
        <w:rPr>
          <w:color w:val="auto"/>
        </w:rPr>
        <w:t xml:space="preserve"> decision on </w:t>
      </w:r>
      <w:r w:rsidR="00717571">
        <w:rPr>
          <w:color w:val="auto"/>
        </w:rPr>
        <w:t xml:space="preserve">adopting </w:t>
      </w:r>
      <w:r w:rsidR="009332C5" w:rsidRPr="00824DA8">
        <w:rPr>
          <w:color w:val="auto"/>
        </w:rPr>
        <w:t>the MLI</w:t>
      </w:r>
      <w:r w:rsidR="00824DA8">
        <w:rPr>
          <w:color w:val="auto"/>
        </w:rPr>
        <w:t>,</w:t>
      </w:r>
      <w:r w:rsidR="00941DB7" w:rsidRPr="00840BEB">
        <w:rPr>
          <w:color w:val="auto"/>
        </w:rPr>
        <w:t xml:space="preserve"> </w:t>
      </w:r>
      <w:r w:rsidR="00824DA8">
        <w:rPr>
          <w:color w:val="auto"/>
        </w:rPr>
        <w:t>s</w:t>
      </w:r>
      <w:r w:rsidR="009332C5" w:rsidRPr="00824DA8">
        <w:rPr>
          <w:color w:val="auto"/>
        </w:rPr>
        <w:t>igning</w:t>
      </w:r>
      <w:r w:rsidR="00824DA8">
        <w:rPr>
          <w:color w:val="auto"/>
        </w:rPr>
        <w:t xml:space="preserve"> </w:t>
      </w:r>
      <w:r w:rsidR="007E0636">
        <w:rPr>
          <w:color w:val="auto"/>
        </w:rPr>
        <w:t xml:space="preserve">and adopting </w:t>
      </w:r>
      <w:r w:rsidR="00824DA8">
        <w:rPr>
          <w:color w:val="auto"/>
        </w:rPr>
        <w:t xml:space="preserve">it </w:t>
      </w:r>
      <w:r w:rsidR="007E0636">
        <w:rPr>
          <w:color w:val="auto"/>
        </w:rPr>
        <w:t>to the widest possible extent</w:t>
      </w:r>
      <w:r w:rsidR="00824DA8">
        <w:rPr>
          <w:color w:val="auto"/>
        </w:rPr>
        <w:t xml:space="preserve"> possible</w:t>
      </w:r>
      <w:r w:rsidR="00941DB7" w:rsidRPr="00840BEB">
        <w:rPr>
          <w:color w:val="auto"/>
        </w:rPr>
        <w:t xml:space="preserve"> </w:t>
      </w:r>
      <w:r w:rsidR="009332C5" w:rsidRPr="00824DA8">
        <w:rPr>
          <w:color w:val="auto"/>
        </w:rPr>
        <w:t>would be consistent with Australia</w:t>
      </w:r>
      <w:r w:rsidR="00740B66">
        <w:rPr>
          <w:color w:val="auto"/>
        </w:rPr>
        <w:t>’</w:t>
      </w:r>
      <w:r w:rsidR="009332C5" w:rsidRPr="00824DA8">
        <w:rPr>
          <w:color w:val="auto"/>
        </w:rPr>
        <w:t xml:space="preserve">s strong </w:t>
      </w:r>
      <w:r w:rsidR="007E0636">
        <w:rPr>
          <w:color w:val="auto"/>
        </w:rPr>
        <w:t>track record on tackling multinational tax avoidance</w:t>
      </w:r>
      <w:r w:rsidR="00D04E2A">
        <w:rPr>
          <w:color w:val="auto"/>
        </w:rPr>
        <w:t xml:space="preserve">. </w:t>
      </w:r>
    </w:p>
    <w:p w14:paraId="0C12487F" w14:textId="6E299268" w:rsidR="009332C5" w:rsidRPr="004377AB" w:rsidRDefault="009332C5" w:rsidP="00132B48">
      <w:pPr>
        <w:pStyle w:val="OutlineNumbered1"/>
        <w:jc w:val="left"/>
        <w:rPr>
          <w:color w:val="auto"/>
        </w:rPr>
      </w:pPr>
      <w:r w:rsidRPr="004377AB">
        <w:rPr>
          <w:color w:val="auto"/>
        </w:rPr>
        <w:t>This public consultation paper</w:t>
      </w:r>
      <w:r w:rsidR="004E0F5B">
        <w:rPr>
          <w:color w:val="auto"/>
        </w:rPr>
        <w:t xml:space="preserve"> </w:t>
      </w:r>
      <w:r w:rsidRPr="004377AB">
        <w:rPr>
          <w:color w:val="auto"/>
        </w:rPr>
        <w:t xml:space="preserve">seeks </w:t>
      </w:r>
      <w:r w:rsidR="00720D7E">
        <w:rPr>
          <w:color w:val="auto"/>
        </w:rPr>
        <w:t>your</w:t>
      </w:r>
      <w:r w:rsidRPr="004377AB">
        <w:rPr>
          <w:color w:val="auto"/>
        </w:rPr>
        <w:t xml:space="preserve"> views on </w:t>
      </w:r>
      <w:r w:rsidR="00B957BF">
        <w:rPr>
          <w:color w:val="auto"/>
        </w:rPr>
        <w:t>the potential impact</w:t>
      </w:r>
      <w:r w:rsidR="00773E59">
        <w:rPr>
          <w:color w:val="auto"/>
        </w:rPr>
        <w:t xml:space="preserve">s of </w:t>
      </w:r>
      <w:r w:rsidR="00B957BF">
        <w:rPr>
          <w:color w:val="auto"/>
        </w:rPr>
        <w:t>Australia adopt</w:t>
      </w:r>
      <w:r w:rsidR="00773E59">
        <w:rPr>
          <w:color w:val="auto"/>
        </w:rPr>
        <w:t>ing</w:t>
      </w:r>
      <w:r w:rsidR="00B957BF">
        <w:rPr>
          <w:color w:val="auto"/>
        </w:rPr>
        <w:t xml:space="preserve"> the MLI.</w:t>
      </w:r>
      <w:r w:rsidR="00D04E2A">
        <w:rPr>
          <w:color w:val="auto"/>
        </w:rPr>
        <w:t xml:space="preserve"> </w:t>
      </w:r>
    </w:p>
    <w:p w14:paraId="4814B87B" w14:textId="77777777" w:rsidR="009332C5" w:rsidRDefault="009332C5" w:rsidP="00132B48">
      <w:pPr>
        <w:pStyle w:val="OutlineNumbered1"/>
        <w:numPr>
          <w:ilvl w:val="0"/>
          <w:numId w:val="0"/>
        </w:numPr>
        <w:ind w:left="567"/>
        <w:jc w:val="left"/>
      </w:pPr>
    </w:p>
    <w:p w14:paraId="75F001B2" w14:textId="4D73723C" w:rsidR="000D799B" w:rsidRPr="00D04E2A" w:rsidRDefault="009448DF" w:rsidP="00D04E2A">
      <w:pPr>
        <w:pStyle w:val="Heading2"/>
      </w:pPr>
      <w:bookmarkStart w:id="15" w:name="_Toc468726788"/>
      <w:bookmarkStart w:id="16" w:name="_Toc469328365"/>
      <w:bookmarkStart w:id="17" w:name="_Toc469329020"/>
      <w:r w:rsidRPr="00D04E2A">
        <w:t xml:space="preserve">OECD </w:t>
      </w:r>
      <w:r w:rsidR="00395846" w:rsidRPr="00D04E2A">
        <w:t>BEPS agenda and development of the MLI</w:t>
      </w:r>
      <w:bookmarkEnd w:id="15"/>
      <w:bookmarkEnd w:id="16"/>
      <w:bookmarkEnd w:id="17"/>
    </w:p>
    <w:p w14:paraId="3A681687" w14:textId="50B2A5CE" w:rsidR="0024625B" w:rsidRDefault="00FE027D" w:rsidP="00132B48">
      <w:pPr>
        <w:pStyle w:val="OutlineNumbered1"/>
        <w:jc w:val="left"/>
      </w:pPr>
      <w:r w:rsidRPr="0058612D">
        <w:t xml:space="preserve">The </w:t>
      </w:r>
      <w:r w:rsidR="00522B39" w:rsidRPr="0058612D">
        <w:t>OECD</w:t>
      </w:r>
      <w:r w:rsidR="00740B66">
        <w:t>’</w:t>
      </w:r>
      <w:r w:rsidR="00522B39" w:rsidRPr="0058612D">
        <w:t xml:space="preserve">s </w:t>
      </w:r>
      <w:r w:rsidRPr="0058612D">
        <w:t xml:space="preserve">BEPS </w:t>
      </w:r>
      <w:r w:rsidR="00D223C2">
        <w:t>package</w:t>
      </w:r>
      <w:r w:rsidR="00331AB4">
        <w:t xml:space="preserve">, </w:t>
      </w:r>
      <w:r w:rsidR="00696E9D">
        <w:t>endorsed by G20 Leaders in November 2015</w:t>
      </w:r>
      <w:r w:rsidR="00331AB4">
        <w:t>,</w:t>
      </w:r>
      <w:r w:rsidR="00D223C2">
        <w:t xml:space="preserve"> </w:t>
      </w:r>
      <w:r w:rsidR="00522B39" w:rsidRPr="0058612D">
        <w:t>outlin</w:t>
      </w:r>
      <w:r w:rsidR="00804ED8">
        <w:t>es</w:t>
      </w:r>
      <w:r w:rsidR="00522B39" w:rsidRPr="0058612D">
        <w:t xml:space="preserve"> steps that </w:t>
      </w:r>
      <w:r w:rsidR="00AA7F5C">
        <w:t>jurisdictions</w:t>
      </w:r>
      <w:r w:rsidRPr="0058612D">
        <w:t xml:space="preserve"> can take to limit </w:t>
      </w:r>
      <w:r w:rsidR="00522B39" w:rsidRPr="000450DE">
        <w:t>multinational</w:t>
      </w:r>
      <w:r w:rsidR="00522B39">
        <w:t xml:space="preserve"> tax avoidance</w:t>
      </w:r>
      <w:r w:rsidR="0024625B">
        <w:t xml:space="preserve"> strategies</w:t>
      </w:r>
      <w:r w:rsidR="00D04E2A">
        <w:t xml:space="preserve">. </w:t>
      </w:r>
    </w:p>
    <w:p w14:paraId="486455F6" w14:textId="55DAD215" w:rsidR="00B858F8" w:rsidDel="008B47DA" w:rsidRDefault="005F0183" w:rsidP="00132B48">
      <w:pPr>
        <w:pStyle w:val="OutlineNumbered1"/>
        <w:jc w:val="left"/>
      </w:pPr>
      <w:r>
        <w:t xml:space="preserve">A number of the BEPS </w:t>
      </w:r>
      <w:r w:rsidR="00696E9D">
        <w:t>recommendations</w:t>
      </w:r>
      <w:r>
        <w:t xml:space="preserve"> contain </w:t>
      </w:r>
      <w:r w:rsidR="006D5FEB">
        <w:t xml:space="preserve">tax </w:t>
      </w:r>
      <w:r>
        <w:t xml:space="preserve">treaty specific </w:t>
      </w:r>
      <w:r w:rsidR="00696E9D">
        <w:t xml:space="preserve">measures that will be included in the 2017 update to the OECD </w:t>
      </w:r>
      <w:r w:rsidR="00696E9D" w:rsidRPr="00132B48">
        <w:rPr>
          <w:i/>
        </w:rPr>
        <w:t>Model Tax Convention on Income and on Capital</w:t>
      </w:r>
      <w:r>
        <w:t>, for example:</w:t>
      </w:r>
    </w:p>
    <w:p w14:paraId="6810F112" w14:textId="6D5048EA" w:rsidR="0011137C" w:rsidRDefault="0011137C" w:rsidP="00D04E2A">
      <w:pPr>
        <w:pStyle w:val="Bullet"/>
        <w:tabs>
          <w:tab w:val="num" w:pos="851"/>
        </w:tabs>
        <w:ind w:left="851" w:hanging="284"/>
      </w:pPr>
      <w:bookmarkStart w:id="18" w:name="_Toc468725869"/>
      <w:bookmarkStart w:id="19" w:name="_Toc468726286"/>
      <w:bookmarkStart w:id="20" w:name="_Toc468726827"/>
      <w:bookmarkStart w:id="21" w:name="_Toc468725870"/>
      <w:bookmarkStart w:id="22" w:name="_Toc468726287"/>
      <w:bookmarkStart w:id="23" w:name="_Toc468726828"/>
      <w:bookmarkEnd w:id="18"/>
      <w:bookmarkEnd w:id="19"/>
      <w:bookmarkEnd w:id="20"/>
      <w:bookmarkEnd w:id="21"/>
      <w:bookmarkEnd w:id="22"/>
      <w:bookmarkEnd w:id="23"/>
      <w:r>
        <w:t>BEPS Action 2: Neutralise the Effects of Hybrid Mismatch Arrangements;</w:t>
      </w:r>
    </w:p>
    <w:p w14:paraId="4C428EB1" w14:textId="3C0A273A" w:rsidR="0011137C" w:rsidRDefault="0011137C" w:rsidP="00D04E2A">
      <w:pPr>
        <w:pStyle w:val="Bullet"/>
        <w:tabs>
          <w:tab w:val="num" w:pos="851"/>
        </w:tabs>
        <w:ind w:left="851" w:hanging="284"/>
      </w:pPr>
      <w:r>
        <w:t xml:space="preserve">BEPS Action 6: Preventing the Granting of Treaty Benefits in Inappropriate Circumstances; </w:t>
      </w:r>
    </w:p>
    <w:p w14:paraId="3068EB5A" w14:textId="6161F062" w:rsidR="0011137C" w:rsidRDefault="0011137C" w:rsidP="00D04E2A">
      <w:pPr>
        <w:pStyle w:val="Bullet"/>
        <w:tabs>
          <w:tab w:val="num" w:pos="851"/>
        </w:tabs>
        <w:ind w:left="851" w:hanging="284"/>
      </w:pPr>
      <w:r>
        <w:t>BEPS Action 7: Preventing the Artificial Avoidance of Permanent Establishment Status</w:t>
      </w:r>
      <w:r w:rsidR="00E35787">
        <w:t>;</w:t>
      </w:r>
      <w:r>
        <w:t xml:space="preserve"> and</w:t>
      </w:r>
      <w:r w:rsidR="008747BA">
        <w:t>,</w:t>
      </w:r>
      <w:r>
        <w:t xml:space="preserve"> </w:t>
      </w:r>
    </w:p>
    <w:p w14:paraId="4419A75F" w14:textId="344CB1D2" w:rsidR="0011137C" w:rsidRDefault="0011137C" w:rsidP="00D04E2A">
      <w:pPr>
        <w:pStyle w:val="Bullet"/>
        <w:tabs>
          <w:tab w:val="num" w:pos="851"/>
        </w:tabs>
        <w:ind w:left="851" w:hanging="284"/>
      </w:pPr>
      <w:r>
        <w:t>BEPS Action 14: Making Dispute Resolution Mechanisms More Effective.</w:t>
      </w:r>
    </w:p>
    <w:p w14:paraId="32DD59EF" w14:textId="1874E736" w:rsidR="00ED3192" w:rsidRPr="00D04E2A" w:rsidRDefault="00ED3192" w:rsidP="00D04E2A">
      <w:pPr>
        <w:pStyle w:val="OutlineNumbered1"/>
      </w:pPr>
      <w:r w:rsidRPr="00D04E2A">
        <w:t>The policy intent of these measures has been incorporated into the MLI</w:t>
      </w:r>
      <w:r w:rsidR="00D04E2A">
        <w:t xml:space="preserve">. </w:t>
      </w:r>
    </w:p>
    <w:p w14:paraId="63F27114" w14:textId="03BE2AC8" w:rsidR="00B945FE" w:rsidRDefault="00B945FE">
      <w:pPr>
        <w:pStyle w:val="Heading2"/>
      </w:pPr>
      <w:bookmarkStart w:id="24" w:name="_Toc468726789"/>
      <w:bookmarkStart w:id="25" w:name="_Toc469328366"/>
      <w:bookmarkStart w:id="26" w:name="_Toc469329021"/>
      <w:r>
        <w:t>Adoption choices</w:t>
      </w:r>
      <w:bookmarkEnd w:id="24"/>
      <w:bookmarkEnd w:id="25"/>
      <w:bookmarkEnd w:id="26"/>
    </w:p>
    <w:p w14:paraId="2F7B317B" w14:textId="2832EECE" w:rsidR="00BA6659" w:rsidRPr="00A60E49" w:rsidRDefault="00BA6659" w:rsidP="00132B48">
      <w:pPr>
        <w:pStyle w:val="OutlineNumbered1"/>
        <w:jc w:val="left"/>
      </w:pPr>
      <w:r>
        <w:t xml:space="preserve">The key focus of this consultation is to seek stakeholder input on the adoption choices that Australia </w:t>
      </w:r>
      <w:r w:rsidR="005565DE">
        <w:t>should</w:t>
      </w:r>
      <w:r>
        <w:t xml:space="preserve"> make </w:t>
      </w:r>
      <w:r w:rsidR="005565DE">
        <w:t>if it</w:t>
      </w:r>
      <w:r>
        <w:t xml:space="preserve"> become</w:t>
      </w:r>
      <w:r w:rsidR="005565DE">
        <w:t>s</w:t>
      </w:r>
      <w:r>
        <w:t xml:space="preserve"> a </w:t>
      </w:r>
      <w:r w:rsidR="00876537">
        <w:t>Party</w:t>
      </w:r>
      <w:r>
        <w:t xml:space="preserve"> to the MLI.</w:t>
      </w:r>
    </w:p>
    <w:p w14:paraId="284BD90C" w14:textId="6647C388" w:rsidR="004675FF" w:rsidRPr="00F25D18" w:rsidRDefault="008E37B0" w:rsidP="00132B48">
      <w:pPr>
        <w:pStyle w:val="OutlineNumbered1"/>
        <w:jc w:val="left"/>
      </w:pPr>
      <w:r w:rsidRPr="00DF262B">
        <w:t xml:space="preserve">To encourage the widest possible </w:t>
      </w:r>
      <w:r w:rsidR="002952DD" w:rsidRPr="00DF262B">
        <w:t>uptake</w:t>
      </w:r>
      <w:r w:rsidRPr="00DF262B">
        <w:t xml:space="preserve">, the </w:t>
      </w:r>
      <w:r w:rsidR="00494A3F" w:rsidRPr="00DF262B">
        <w:t>MLI</w:t>
      </w:r>
      <w:r w:rsidRPr="00DF262B">
        <w:t xml:space="preserve"> </w:t>
      </w:r>
      <w:r w:rsidR="002952DD" w:rsidRPr="00DF262B">
        <w:t>incorporates flexibility</w:t>
      </w:r>
      <w:r w:rsidR="00A4551B">
        <w:t xml:space="preserve"> features that are designed</w:t>
      </w:r>
      <w:r w:rsidR="0058612D" w:rsidRPr="00DF262B">
        <w:t xml:space="preserve"> </w:t>
      </w:r>
      <w:r w:rsidR="002952DD" w:rsidRPr="00DF262B">
        <w:t xml:space="preserve">to </w:t>
      </w:r>
      <w:r w:rsidR="00824DA8" w:rsidRPr="00DF262B">
        <w:t>allow c</w:t>
      </w:r>
      <w:r w:rsidR="004675FF" w:rsidRPr="00DF262B">
        <w:t xml:space="preserve">ountries </w:t>
      </w:r>
      <w:r w:rsidR="00824DA8" w:rsidRPr="00DF262B">
        <w:t xml:space="preserve">to </w:t>
      </w:r>
      <w:r w:rsidR="004675FF" w:rsidRPr="00DF262B">
        <w:t xml:space="preserve">tailor their </w:t>
      </w:r>
      <w:r w:rsidR="00AA47AB">
        <w:t>adoption</w:t>
      </w:r>
      <w:r w:rsidR="004675FF" w:rsidRPr="00DF262B">
        <w:t xml:space="preserve"> </w:t>
      </w:r>
      <w:r w:rsidR="00E35787">
        <w:t xml:space="preserve">to fit their particular national circumstances </w:t>
      </w:r>
      <w:r w:rsidR="00A4551B">
        <w:t>and accommodate</w:t>
      </w:r>
      <w:r w:rsidR="00824DA8" w:rsidRPr="00DF262B">
        <w:t xml:space="preserve"> unique aspects of their </w:t>
      </w:r>
      <w:r w:rsidR="00A4551B">
        <w:t>treaty network</w:t>
      </w:r>
      <w:r w:rsidR="00824DA8" w:rsidRPr="00DF262B">
        <w:t>. This is achieved</w:t>
      </w:r>
      <w:r w:rsidR="004675FF" w:rsidRPr="00DF262B">
        <w:t xml:space="preserve"> </w:t>
      </w:r>
      <w:r w:rsidR="00824DA8" w:rsidRPr="00DF262B">
        <w:t xml:space="preserve">through </w:t>
      </w:r>
      <w:r w:rsidR="00A4551B">
        <w:t xml:space="preserve">the use of devices such as </w:t>
      </w:r>
      <w:r w:rsidR="004675FF" w:rsidRPr="00DF262B">
        <w:t>no</w:t>
      </w:r>
      <w:r w:rsidR="00824DA8" w:rsidRPr="00DF262B">
        <w:t>tific</w:t>
      </w:r>
      <w:r w:rsidR="004675FF" w:rsidRPr="00DF262B">
        <w:t xml:space="preserve">ations, </w:t>
      </w:r>
      <w:r w:rsidR="00A4551B">
        <w:t xml:space="preserve">article </w:t>
      </w:r>
      <w:r w:rsidR="004675FF" w:rsidRPr="00DF262B">
        <w:t xml:space="preserve">choices, </w:t>
      </w:r>
      <w:r w:rsidR="00A4551B">
        <w:t xml:space="preserve">specific paragraph </w:t>
      </w:r>
      <w:r w:rsidR="004675FF" w:rsidRPr="00DF262B">
        <w:t>options and reservations</w:t>
      </w:r>
      <w:r w:rsidR="00D04E2A">
        <w:t xml:space="preserve">. </w:t>
      </w:r>
      <w:r w:rsidR="00A4551B">
        <w:t xml:space="preserve">Each country is required to enter its set of choices </w:t>
      </w:r>
      <w:r w:rsidR="00015D83" w:rsidRPr="00F25D18">
        <w:t>at the time of signature and confirm</w:t>
      </w:r>
      <w:r w:rsidR="00CB1619">
        <w:t xml:space="preserve"> them at </w:t>
      </w:r>
      <w:r w:rsidR="00015D83" w:rsidRPr="00F25D18">
        <w:t>the time of ratification.</w:t>
      </w:r>
    </w:p>
    <w:p w14:paraId="73C3CCEF" w14:textId="0F041167" w:rsidR="0031782E" w:rsidRDefault="00AA47AB" w:rsidP="00132B48">
      <w:pPr>
        <w:pStyle w:val="OutlineNumbered1"/>
        <w:jc w:val="left"/>
      </w:pPr>
      <w:r>
        <w:t>Specifically, a</w:t>
      </w:r>
      <w:r w:rsidR="0031782E">
        <w:t xml:space="preserve">dopting jurisdictions will be required to identify which of their bilateral </w:t>
      </w:r>
      <w:r w:rsidR="00CB1619">
        <w:t xml:space="preserve">tax </w:t>
      </w:r>
      <w:r w:rsidR="0031782E">
        <w:t>treaties they want the MLI to apply to</w:t>
      </w:r>
      <w:r w:rsidR="00F25D18">
        <w:t xml:space="preserve"> and </w:t>
      </w:r>
      <w:r w:rsidR="00D50CB7">
        <w:t>modify</w:t>
      </w:r>
      <w:r w:rsidR="0031782E">
        <w:t xml:space="preserve">. By omission, jurisdictions can exclude particular treaties from the scope of the MLI. Treaties that are brought within the scope of the MLI are referred to as </w:t>
      </w:r>
      <w:r w:rsidR="00740B66">
        <w:t>‘</w:t>
      </w:r>
      <w:r w:rsidR="0031782E">
        <w:t>Covered Tax Agreements</w:t>
      </w:r>
      <w:r w:rsidR="00740B66">
        <w:t>’</w:t>
      </w:r>
      <w:r w:rsidR="0031782E">
        <w:t xml:space="preserve"> or CTAs</w:t>
      </w:r>
      <w:r w:rsidR="00D04E2A">
        <w:t>.</w:t>
      </w:r>
      <w:r w:rsidR="0031782E">
        <w:rPr>
          <w:rStyle w:val="FootnoteReference"/>
        </w:rPr>
        <w:footnoteReference w:id="2"/>
      </w:r>
      <w:r w:rsidR="0031782E">
        <w:t xml:space="preserve"> </w:t>
      </w:r>
    </w:p>
    <w:p w14:paraId="3999ED07" w14:textId="6300EE3C" w:rsidR="0031782E" w:rsidRDefault="0031782E" w:rsidP="00132B48">
      <w:pPr>
        <w:pStyle w:val="OutlineNumbered1"/>
        <w:jc w:val="left"/>
      </w:pPr>
      <w:r>
        <w:t xml:space="preserve">Both bilateral treaty partners would need to identify their bilateral treaty as a </w:t>
      </w:r>
      <w:r w:rsidR="006D5FEB">
        <w:t>CTA</w:t>
      </w:r>
      <w:r>
        <w:t xml:space="preserve"> in order for that treaty to be </w:t>
      </w:r>
      <w:r w:rsidR="00D50CB7">
        <w:t>modified</w:t>
      </w:r>
      <w:r>
        <w:t xml:space="preserve"> by the MLI. In the event that only one jurisdiction (or neither jurisdiction) identifies a bilateral treaty as a </w:t>
      </w:r>
      <w:r w:rsidR="00EE7557">
        <w:t>CTA</w:t>
      </w:r>
      <w:r>
        <w:t>, the provisions of that treaty will remain un</w:t>
      </w:r>
      <w:r w:rsidR="00740B66">
        <w:noBreakHyphen/>
      </w:r>
      <w:r>
        <w:t>modified</w:t>
      </w:r>
      <w:r w:rsidR="00740B66">
        <w:t xml:space="preserve">. </w:t>
      </w:r>
    </w:p>
    <w:p w14:paraId="6126F74A" w14:textId="5304A58F" w:rsidR="0031782E" w:rsidRDefault="00ED3192" w:rsidP="00132B48">
      <w:pPr>
        <w:pStyle w:val="OutlineNumbered1"/>
        <w:jc w:val="left"/>
      </w:pPr>
      <w:r w:rsidRPr="00132B48">
        <w:t>While some of the MLI articles are mandatory, most are optional</w:t>
      </w:r>
      <w:r w:rsidR="00D04E2A">
        <w:t xml:space="preserve">. </w:t>
      </w:r>
      <w:r w:rsidRPr="00ED3192">
        <w:t>Jurisdictions</w:t>
      </w:r>
      <w:r w:rsidR="006D5FEB">
        <w:t xml:space="preserve"> </w:t>
      </w:r>
      <w:r w:rsidR="0031782E">
        <w:t>can</w:t>
      </w:r>
      <w:r w:rsidR="006D5FEB">
        <w:t>, for example,</w:t>
      </w:r>
      <w:r w:rsidR="0031782E">
        <w:t xml:space="preserve"> choose to adopt the minimum standards only, or </w:t>
      </w:r>
      <w:r w:rsidR="00D22636">
        <w:t xml:space="preserve">they </w:t>
      </w:r>
      <w:r w:rsidR="0031782E">
        <w:t xml:space="preserve">can choose to </w:t>
      </w:r>
      <w:r w:rsidR="007E7B3C">
        <w:t xml:space="preserve">also </w:t>
      </w:r>
      <w:r w:rsidR="0031782E">
        <w:t>adopt some</w:t>
      </w:r>
      <w:r w:rsidR="00AA47AB">
        <w:t>,</w:t>
      </w:r>
      <w:r w:rsidR="0031782E">
        <w:t xml:space="preserve"> or all</w:t>
      </w:r>
      <w:r w:rsidR="00AA47AB">
        <w:t>,</w:t>
      </w:r>
      <w:r w:rsidR="0031782E">
        <w:t xml:space="preserve"> of the optional articles. </w:t>
      </w:r>
    </w:p>
    <w:p w14:paraId="2EE9B23E" w14:textId="45320876" w:rsidR="0031782E" w:rsidRDefault="0031782E" w:rsidP="00132B48">
      <w:pPr>
        <w:pStyle w:val="OutlineNumbered1"/>
        <w:jc w:val="left"/>
      </w:pPr>
      <w:r>
        <w:t>Where there is a bilateral match (that is, both parties agree to adopt the article in the same way or the article allows for asymmetrical adoption), the MLI will modify, but not directly amend, nominated tax treaty clauses that deal with the same subject matter</w:t>
      </w:r>
      <w:r w:rsidR="00D04E2A">
        <w:t xml:space="preserve">. </w:t>
      </w:r>
      <w:r>
        <w:t>Other unrelated parts of the treaties will remain unchanged.</w:t>
      </w:r>
    </w:p>
    <w:p w14:paraId="5667BEA0" w14:textId="1A7F9DE2" w:rsidR="0031782E" w:rsidRPr="00E77BD5" w:rsidRDefault="0031782E" w:rsidP="00132B48">
      <w:pPr>
        <w:pStyle w:val="OutlineNumbered1"/>
        <w:jc w:val="left"/>
        <w:rPr>
          <w:rFonts w:asciiTheme="minorHAnsi" w:hAnsiTheme="minorHAnsi"/>
          <w:b/>
        </w:rPr>
      </w:pPr>
      <w:r w:rsidRPr="00970EC9">
        <w:t>The design of the MLI requires that a jurisdiction</w:t>
      </w:r>
      <w:r w:rsidR="00740B66">
        <w:t>’</w:t>
      </w:r>
      <w:r w:rsidRPr="00970EC9">
        <w:t xml:space="preserve">s adoption choices (concerning the articles, parts of articles and reservations) apply across all of </w:t>
      </w:r>
      <w:r w:rsidR="00D50CB7">
        <w:t>its</w:t>
      </w:r>
      <w:r w:rsidRPr="00970EC9">
        <w:t xml:space="preserve"> </w:t>
      </w:r>
      <w:r w:rsidR="003E0D3A">
        <w:t>CTAs</w:t>
      </w:r>
      <w:r w:rsidRPr="00824DA8">
        <w:rPr>
          <w:i/>
        </w:rPr>
        <w:t>.</w:t>
      </w:r>
      <w:r w:rsidRPr="00015D83">
        <w:t xml:space="preserve"> </w:t>
      </w:r>
      <w:r w:rsidR="00D22636">
        <w:t>S</w:t>
      </w:r>
      <w:r>
        <w:t>ome articles</w:t>
      </w:r>
      <w:r w:rsidR="00D22636">
        <w:t>, however, do</w:t>
      </w:r>
      <w:r>
        <w:t xml:space="preserve"> provide options </w:t>
      </w:r>
      <w:r w:rsidR="00D22636">
        <w:t xml:space="preserve">that allow jurisdictions </w:t>
      </w:r>
      <w:r>
        <w:t xml:space="preserve">to exclude or </w:t>
      </w:r>
      <w:r w:rsidR="00AA47AB">
        <w:t xml:space="preserve">apply the </w:t>
      </w:r>
      <w:r w:rsidR="00D22636">
        <w:t xml:space="preserve">MLI rules </w:t>
      </w:r>
      <w:r w:rsidR="00AA47AB">
        <w:t>to classes of treaties or classes of treaty provisions</w:t>
      </w:r>
      <w:r w:rsidR="00D04E2A">
        <w:t xml:space="preserve"> — </w:t>
      </w:r>
      <w:r w:rsidR="00AA47AB">
        <w:t xml:space="preserve">that is </w:t>
      </w:r>
      <w:r w:rsidR="0038178D">
        <w:t>treaties with certain objectively defined characteristics.</w:t>
      </w:r>
      <w:r w:rsidRPr="00692540" w:rsidDel="00692540">
        <w:t xml:space="preserve"> </w:t>
      </w:r>
    </w:p>
    <w:p w14:paraId="02605D0C" w14:textId="45001640" w:rsidR="007D582D" w:rsidRPr="00970EC9" w:rsidRDefault="007E05A8" w:rsidP="00132B48">
      <w:pPr>
        <w:pStyle w:val="OutlineNumbered1"/>
        <w:jc w:val="left"/>
      </w:pPr>
      <w:r w:rsidRPr="00970EC9">
        <w:t xml:space="preserve">Jurisdictions that </w:t>
      </w:r>
      <w:r w:rsidR="003E0D3A">
        <w:t xml:space="preserve">have </w:t>
      </w:r>
      <w:r w:rsidRPr="00970EC9">
        <w:t>enter</w:t>
      </w:r>
      <w:r w:rsidR="003E0D3A">
        <w:t>ed</w:t>
      </w:r>
      <w:r w:rsidRPr="00970EC9">
        <w:t xml:space="preserve"> reservations on adoption</w:t>
      </w:r>
      <w:r w:rsidR="003E0D3A">
        <w:t>,</w:t>
      </w:r>
      <w:r w:rsidRPr="00970EC9">
        <w:t xml:space="preserve"> can </w:t>
      </w:r>
      <w:r w:rsidR="003E0D3A">
        <w:t xml:space="preserve">subsequently </w:t>
      </w:r>
      <w:r w:rsidRPr="00970EC9">
        <w:t xml:space="preserve">withdraw them </w:t>
      </w:r>
      <w:r>
        <w:t>(or replace them with more limited reservation</w:t>
      </w:r>
      <w:r w:rsidR="003E0D3A">
        <w:t>s</w:t>
      </w:r>
      <w:r>
        <w:t xml:space="preserve">) </w:t>
      </w:r>
      <w:r w:rsidR="003E0D3A">
        <w:t>to</w:t>
      </w:r>
      <w:r>
        <w:t xml:space="preserve"> expand their adoption</w:t>
      </w:r>
      <w:r w:rsidR="003E0D3A">
        <w:t>.</w:t>
      </w:r>
      <w:r>
        <w:t xml:space="preserve"> T</w:t>
      </w:r>
      <w:r w:rsidRPr="00970EC9">
        <w:t xml:space="preserve">hey cannot, however, enter new reservations </w:t>
      </w:r>
      <w:r>
        <w:t xml:space="preserve">after ratification that will narrow </w:t>
      </w:r>
      <w:r w:rsidRPr="00970EC9">
        <w:t>their adoption</w:t>
      </w:r>
      <w:r>
        <w:t xml:space="preserve"> of the MLI.</w:t>
      </w:r>
    </w:p>
    <w:p w14:paraId="14395BCB" w14:textId="00CAAEF3" w:rsidR="008E37B0" w:rsidRPr="007D75AE" w:rsidRDefault="007616C9">
      <w:pPr>
        <w:pStyle w:val="Heading4"/>
      </w:pPr>
      <w:r>
        <w:t>Summary of MLI adoption choices</w:t>
      </w:r>
    </w:p>
    <w:tbl>
      <w:tblPr>
        <w:tblStyle w:val="TableGrid"/>
        <w:tblW w:w="9072" w:type="dxa"/>
        <w:tblInd w:w="108" w:type="dxa"/>
        <w:tblBorders>
          <w:insideH w:val="single" w:sz="2" w:space="0" w:color="000000" w:themeColor="text1"/>
          <w:insideV w:val="single" w:sz="2" w:space="0" w:color="000000" w:themeColor="text1"/>
        </w:tblBorders>
        <w:tblLayout w:type="fixed"/>
        <w:tblCellMar>
          <w:left w:w="142" w:type="dxa"/>
          <w:right w:w="142" w:type="dxa"/>
        </w:tblCellMar>
        <w:tblLook w:val="04A0" w:firstRow="1" w:lastRow="0" w:firstColumn="1" w:lastColumn="0" w:noHBand="0" w:noVBand="1"/>
      </w:tblPr>
      <w:tblGrid>
        <w:gridCol w:w="2019"/>
        <w:gridCol w:w="4218"/>
        <w:gridCol w:w="2835"/>
      </w:tblGrid>
      <w:tr w:rsidR="008E37B0" w:rsidRPr="00C47EE3" w14:paraId="1E8A9234" w14:textId="77777777" w:rsidTr="007616C9">
        <w:trPr>
          <w:tblHeader/>
        </w:trPr>
        <w:tc>
          <w:tcPr>
            <w:tcW w:w="2019" w:type="dxa"/>
            <w:shd w:val="clear" w:color="auto" w:fill="8DB3E2" w:themeFill="text2" w:themeFillTint="66"/>
            <w:vAlign w:val="center"/>
          </w:tcPr>
          <w:p w14:paraId="7DAE1398" w14:textId="036424BB" w:rsidR="008E37B0" w:rsidRPr="007D2977" w:rsidRDefault="00C522CB" w:rsidP="007616C9">
            <w:pPr>
              <w:pStyle w:val="TableColumnHeadingLeft"/>
            </w:pPr>
            <w:r>
              <w:t>MLI</w:t>
            </w:r>
            <w:r w:rsidR="008E37B0">
              <w:t xml:space="preserve"> </w:t>
            </w:r>
            <w:r w:rsidR="008E37B0" w:rsidRPr="007D2977">
              <w:t>F</w:t>
            </w:r>
            <w:r w:rsidR="008E37B0" w:rsidRPr="00154BDE">
              <w:t>eature</w:t>
            </w:r>
          </w:p>
        </w:tc>
        <w:tc>
          <w:tcPr>
            <w:tcW w:w="4218" w:type="dxa"/>
            <w:shd w:val="clear" w:color="auto" w:fill="8DB3E2" w:themeFill="text2" w:themeFillTint="66"/>
            <w:vAlign w:val="center"/>
          </w:tcPr>
          <w:p w14:paraId="1A32B791" w14:textId="77777777" w:rsidR="008E37B0" w:rsidRPr="007D2977" w:rsidRDefault="008E37B0" w:rsidP="007616C9">
            <w:pPr>
              <w:pStyle w:val="TableColumnHeadingLeft"/>
            </w:pPr>
            <w:r w:rsidRPr="00154BDE">
              <w:t>Flexibility</w:t>
            </w:r>
            <w:r w:rsidRPr="007D2977">
              <w:t xml:space="preserve"> provided</w:t>
            </w:r>
          </w:p>
        </w:tc>
        <w:tc>
          <w:tcPr>
            <w:tcW w:w="2835" w:type="dxa"/>
            <w:shd w:val="clear" w:color="auto" w:fill="8DB3E2" w:themeFill="text2" w:themeFillTint="66"/>
            <w:vAlign w:val="center"/>
          </w:tcPr>
          <w:p w14:paraId="26B8E735" w14:textId="77777777" w:rsidR="008E37B0" w:rsidRPr="00154BDE" w:rsidRDefault="008E37B0" w:rsidP="007616C9">
            <w:pPr>
              <w:pStyle w:val="TableColumnHeadingLeft"/>
            </w:pPr>
            <w:r w:rsidRPr="00154BDE">
              <w:t>Parties need to choose</w:t>
            </w:r>
          </w:p>
        </w:tc>
      </w:tr>
      <w:tr w:rsidR="008E37B0" w14:paraId="06E3A68C" w14:textId="77777777" w:rsidTr="007616C9">
        <w:tc>
          <w:tcPr>
            <w:tcW w:w="2019" w:type="dxa"/>
            <w:shd w:val="clear" w:color="auto" w:fill="F2F2F2" w:themeFill="background1" w:themeFillShade="F2"/>
          </w:tcPr>
          <w:p w14:paraId="4517A656" w14:textId="77777777" w:rsidR="008E37B0" w:rsidRPr="007D2977" w:rsidRDefault="008E37B0" w:rsidP="007616C9">
            <w:pPr>
              <w:pStyle w:val="TableTextLeft"/>
              <w:jc w:val="left"/>
            </w:pPr>
            <w:r w:rsidRPr="007D2977">
              <w:t>Covered Tax Agreements</w:t>
            </w:r>
          </w:p>
        </w:tc>
        <w:tc>
          <w:tcPr>
            <w:tcW w:w="4218" w:type="dxa"/>
            <w:shd w:val="clear" w:color="auto" w:fill="F2F2F2" w:themeFill="background1" w:themeFillShade="F2"/>
          </w:tcPr>
          <w:p w14:paraId="37551C17" w14:textId="2F625EAE" w:rsidR="008E37B0" w:rsidRPr="007D2977" w:rsidRDefault="008E37B0" w:rsidP="005565DE">
            <w:pPr>
              <w:pStyle w:val="TableTextLeft"/>
              <w:jc w:val="left"/>
            </w:pPr>
            <w:r>
              <w:t xml:space="preserve">The </w:t>
            </w:r>
            <w:r w:rsidR="00C522CB">
              <w:t>MLI</w:t>
            </w:r>
            <w:r>
              <w:t xml:space="preserve"> </w:t>
            </w:r>
            <w:r w:rsidR="005565DE">
              <w:t>modifies</w:t>
            </w:r>
            <w:r>
              <w:t xml:space="preserve"> nominated </w:t>
            </w:r>
            <w:r w:rsidR="007E05A8">
              <w:t>treaties</w:t>
            </w:r>
            <w:r w:rsidRPr="00154BDE">
              <w:t xml:space="preserve"> </w:t>
            </w:r>
            <w:r>
              <w:t>only.</w:t>
            </w:r>
          </w:p>
        </w:tc>
        <w:tc>
          <w:tcPr>
            <w:tcW w:w="2835" w:type="dxa"/>
            <w:shd w:val="clear" w:color="auto" w:fill="F2F2F2" w:themeFill="background1" w:themeFillShade="F2"/>
          </w:tcPr>
          <w:p w14:paraId="572378F1" w14:textId="698422EB" w:rsidR="008E37B0" w:rsidRPr="007D2977" w:rsidRDefault="008E37B0" w:rsidP="007616C9">
            <w:pPr>
              <w:pStyle w:val="TableTextLeft"/>
              <w:jc w:val="left"/>
            </w:pPr>
            <w:r w:rsidRPr="007D2977">
              <w:t xml:space="preserve">Which </w:t>
            </w:r>
            <w:r w:rsidR="007E05A8">
              <w:t>treaties</w:t>
            </w:r>
            <w:r w:rsidRPr="007D2977">
              <w:t xml:space="preserve"> </w:t>
            </w:r>
            <w:r w:rsidR="007D582D">
              <w:t xml:space="preserve">should </w:t>
            </w:r>
            <w:r w:rsidRPr="007D2977">
              <w:t xml:space="preserve">be </w:t>
            </w:r>
            <w:r w:rsidR="007E05A8">
              <w:t>nominated as CTA</w:t>
            </w:r>
            <w:r w:rsidR="002952DD">
              <w:t>?</w:t>
            </w:r>
          </w:p>
        </w:tc>
      </w:tr>
      <w:tr w:rsidR="008E37B0" w14:paraId="4D71905C" w14:textId="77777777" w:rsidTr="007616C9">
        <w:tc>
          <w:tcPr>
            <w:tcW w:w="2019" w:type="dxa"/>
            <w:shd w:val="clear" w:color="auto" w:fill="F2F2F2" w:themeFill="background1" w:themeFillShade="F2"/>
          </w:tcPr>
          <w:p w14:paraId="6678F909" w14:textId="77777777" w:rsidR="008E37B0" w:rsidRPr="007D2977" w:rsidRDefault="008E37B0" w:rsidP="007616C9">
            <w:pPr>
              <w:pStyle w:val="TableTextLeft"/>
              <w:jc w:val="left"/>
            </w:pPr>
            <w:r w:rsidRPr="007D2977">
              <w:t>Minimum standards</w:t>
            </w:r>
          </w:p>
        </w:tc>
        <w:tc>
          <w:tcPr>
            <w:tcW w:w="4218" w:type="dxa"/>
            <w:shd w:val="clear" w:color="auto" w:fill="F2F2F2" w:themeFill="background1" w:themeFillShade="F2"/>
          </w:tcPr>
          <w:p w14:paraId="49F6C69B" w14:textId="36D101C2" w:rsidR="008E37B0" w:rsidRPr="007D2977" w:rsidRDefault="008E37B0" w:rsidP="007616C9">
            <w:pPr>
              <w:pStyle w:val="TableTextLeft"/>
              <w:jc w:val="left"/>
            </w:pPr>
            <w:r>
              <w:t xml:space="preserve">Some of the </w:t>
            </w:r>
            <w:r w:rsidRPr="007D2977">
              <w:t>minimum standards include options on how to meet the standard</w:t>
            </w:r>
            <w:r w:rsidR="00D04E2A">
              <w:t xml:space="preserve">. </w:t>
            </w:r>
            <w:r w:rsidRPr="007D2977">
              <w:t xml:space="preserve">Alternatively, Parties </w:t>
            </w:r>
            <w:r>
              <w:t>can identify a</w:t>
            </w:r>
            <w:r w:rsidR="000450DE">
              <w:t xml:space="preserve">n alternative </w:t>
            </w:r>
            <w:r>
              <w:t>w</w:t>
            </w:r>
            <w:r w:rsidRPr="007D2977">
              <w:t>ay to meet the standard</w:t>
            </w:r>
            <w:r w:rsidR="000450DE">
              <w:t xml:space="preserve"> (such as bilateral negotiation)</w:t>
            </w:r>
            <w:r>
              <w:t>.</w:t>
            </w:r>
          </w:p>
        </w:tc>
        <w:tc>
          <w:tcPr>
            <w:tcW w:w="2835" w:type="dxa"/>
            <w:shd w:val="clear" w:color="auto" w:fill="F2F2F2" w:themeFill="background1" w:themeFillShade="F2"/>
          </w:tcPr>
          <w:p w14:paraId="1B2DF736" w14:textId="3168E940" w:rsidR="008E37B0" w:rsidRPr="007D2977" w:rsidRDefault="000450DE" w:rsidP="007616C9">
            <w:pPr>
              <w:pStyle w:val="TableTextLeft"/>
              <w:jc w:val="left"/>
            </w:pPr>
            <w:r>
              <w:t xml:space="preserve">Whether to </w:t>
            </w:r>
            <w:r w:rsidR="002952DD">
              <w:t>adopt the minimum standard</w:t>
            </w:r>
            <w:r w:rsidR="007D582D">
              <w:t xml:space="preserve">s </w:t>
            </w:r>
            <w:r w:rsidR="0038178D">
              <w:t>through the MLI or through other mechanisms?</w:t>
            </w:r>
          </w:p>
        </w:tc>
      </w:tr>
      <w:tr w:rsidR="008E37B0" w14:paraId="2209B1EC" w14:textId="77777777" w:rsidTr="007616C9">
        <w:tc>
          <w:tcPr>
            <w:tcW w:w="2019" w:type="dxa"/>
            <w:shd w:val="clear" w:color="auto" w:fill="F2F2F2" w:themeFill="background1" w:themeFillShade="F2"/>
          </w:tcPr>
          <w:p w14:paraId="18BBE6AD" w14:textId="77777777" w:rsidR="008E37B0" w:rsidRPr="007D2977" w:rsidRDefault="008E37B0" w:rsidP="007616C9">
            <w:pPr>
              <w:pStyle w:val="TableTextLeft"/>
              <w:jc w:val="left"/>
            </w:pPr>
            <w:r>
              <w:t>Optional a</w:t>
            </w:r>
            <w:r w:rsidRPr="007D2977">
              <w:t>rticles</w:t>
            </w:r>
          </w:p>
        </w:tc>
        <w:tc>
          <w:tcPr>
            <w:tcW w:w="4218" w:type="dxa"/>
            <w:shd w:val="clear" w:color="auto" w:fill="F2F2F2" w:themeFill="background1" w:themeFillShade="F2"/>
          </w:tcPr>
          <w:p w14:paraId="7B8D38BC" w14:textId="65445E15" w:rsidR="00BA6659" w:rsidRPr="007D2977" w:rsidRDefault="00BA6659" w:rsidP="007616C9">
            <w:pPr>
              <w:pStyle w:val="TableTextLeft"/>
              <w:jc w:val="left"/>
            </w:pPr>
            <w:r>
              <w:t xml:space="preserve">All </w:t>
            </w:r>
            <w:r w:rsidR="007D582D">
              <w:t xml:space="preserve">other </w:t>
            </w:r>
            <w:r w:rsidR="0038178D">
              <w:t>substantive rules</w:t>
            </w:r>
            <w:r w:rsidR="00B440DC">
              <w:t xml:space="preserve"> </w:t>
            </w:r>
            <w:r w:rsidR="007D582D">
              <w:t>a</w:t>
            </w:r>
            <w:r w:rsidR="00B440DC">
              <w:t xml:space="preserve">re </w:t>
            </w:r>
            <w:r w:rsidR="008E37B0" w:rsidRPr="007D2977">
              <w:t>optional</w:t>
            </w:r>
            <w:r w:rsidR="00B440DC">
              <w:t>.</w:t>
            </w:r>
          </w:p>
        </w:tc>
        <w:tc>
          <w:tcPr>
            <w:tcW w:w="2835" w:type="dxa"/>
            <w:shd w:val="clear" w:color="auto" w:fill="F2F2F2" w:themeFill="background1" w:themeFillShade="F2"/>
          </w:tcPr>
          <w:p w14:paraId="73C685D8" w14:textId="23598EA7" w:rsidR="008E37B0" w:rsidRPr="007D2977" w:rsidRDefault="00E57C68" w:rsidP="007616C9">
            <w:pPr>
              <w:pStyle w:val="TableTextLeft"/>
              <w:jc w:val="left"/>
            </w:pPr>
            <w:r>
              <w:t xml:space="preserve">Which optional articles </w:t>
            </w:r>
            <w:r w:rsidR="00BA6659">
              <w:t>to adopt?</w:t>
            </w:r>
          </w:p>
        </w:tc>
      </w:tr>
      <w:tr w:rsidR="008E37B0" w14:paraId="4B572A96" w14:textId="77777777" w:rsidTr="007616C9">
        <w:tc>
          <w:tcPr>
            <w:tcW w:w="2019" w:type="dxa"/>
            <w:shd w:val="clear" w:color="auto" w:fill="F2F2F2" w:themeFill="background1" w:themeFillShade="F2"/>
          </w:tcPr>
          <w:p w14:paraId="025CD70C" w14:textId="0D3C7E52" w:rsidR="008E37B0" w:rsidRPr="007D2977" w:rsidRDefault="003E0D3A" w:rsidP="007616C9">
            <w:pPr>
              <w:pStyle w:val="TableTextLeft"/>
              <w:jc w:val="left"/>
            </w:pPr>
            <w:r>
              <w:t>Flexible o</w:t>
            </w:r>
            <w:r w:rsidR="008E37B0" w:rsidRPr="007D2977">
              <w:t>ptions within articles</w:t>
            </w:r>
          </w:p>
        </w:tc>
        <w:tc>
          <w:tcPr>
            <w:tcW w:w="4218" w:type="dxa"/>
            <w:shd w:val="clear" w:color="auto" w:fill="F2F2F2" w:themeFill="background1" w:themeFillShade="F2"/>
          </w:tcPr>
          <w:p w14:paraId="3EB29BBC" w14:textId="4344BEC1" w:rsidR="008E37B0" w:rsidRPr="007D2977" w:rsidRDefault="008E37B0" w:rsidP="007616C9">
            <w:pPr>
              <w:pStyle w:val="TableTextLeft"/>
              <w:jc w:val="left"/>
            </w:pPr>
            <w:r w:rsidRPr="007D2977">
              <w:t xml:space="preserve">Parties </w:t>
            </w:r>
            <w:r w:rsidR="007D582D">
              <w:t>may</w:t>
            </w:r>
            <w:r w:rsidRPr="007D2977">
              <w:t xml:space="preserve"> apply alternative provisions </w:t>
            </w:r>
            <w:r w:rsidR="007D582D">
              <w:t xml:space="preserve">if there are </w:t>
            </w:r>
            <w:r w:rsidRPr="007D2977">
              <w:t xml:space="preserve">multiple ways to address the BEPS </w:t>
            </w:r>
            <w:r w:rsidR="007D582D">
              <w:t xml:space="preserve">standard </w:t>
            </w:r>
            <w:r w:rsidR="003E0D3A">
              <w:t>(</w:t>
            </w:r>
            <w:r w:rsidR="007D582D">
              <w:t>e</w:t>
            </w:r>
            <w:r w:rsidRPr="00405FDB">
              <w:t>.g.</w:t>
            </w:r>
            <w:r w:rsidR="007616C9">
              <w:t> </w:t>
            </w:r>
            <w:r w:rsidRPr="007D2977">
              <w:t>Article</w:t>
            </w:r>
            <w:r w:rsidR="003E0D3A">
              <w:t xml:space="preserve"> 7 with choices involving the PPT, S</w:t>
            </w:r>
            <w:r w:rsidR="00740B66">
              <w:noBreakHyphen/>
            </w:r>
            <w:r w:rsidR="003E0D3A">
              <w:t>LOB or the detailed</w:t>
            </w:r>
            <w:r w:rsidR="00740B66">
              <w:noBreakHyphen/>
            </w:r>
            <w:r w:rsidR="003E0D3A">
              <w:t>LOB)</w:t>
            </w:r>
            <w:r w:rsidRPr="007D2977">
              <w:t>.</w:t>
            </w:r>
          </w:p>
        </w:tc>
        <w:tc>
          <w:tcPr>
            <w:tcW w:w="2835" w:type="dxa"/>
            <w:shd w:val="clear" w:color="auto" w:fill="F2F2F2" w:themeFill="background1" w:themeFillShade="F2"/>
          </w:tcPr>
          <w:p w14:paraId="650D53DD" w14:textId="0E1FE3D0" w:rsidR="008E37B0" w:rsidRPr="007D2977" w:rsidRDefault="008E37B0" w:rsidP="007616C9">
            <w:pPr>
              <w:pStyle w:val="TableTextLeft"/>
              <w:jc w:val="left"/>
            </w:pPr>
            <w:r w:rsidRPr="007D2977">
              <w:t>Which option</w:t>
            </w:r>
            <w:r w:rsidR="00E57C68">
              <w:t xml:space="preserve">, having reviewed all of </w:t>
            </w:r>
            <w:r w:rsidR="003E0D3A">
              <w:t>Australia</w:t>
            </w:r>
            <w:r w:rsidR="00740B66">
              <w:t>’</w:t>
            </w:r>
            <w:r w:rsidR="003E0D3A">
              <w:t>s</w:t>
            </w:r>
            <w:r w:rsidR="00E57C68">
              <w:t xml:space="preserve"> bilateral treaties,</w:t>
            </w:r>
            <w:r w:rsidRPr="007D2977">
              <w:t xml:space="preserve"> best meets the particular requirements of </w:t>
            </w:r>
            <w:r w:rsidR="003E0D3A">
              <w:t>Australia</w:t>
            </w:r>
            <w:r w:rsidR="00740B66">
              <w:t>’</w:t>
            </w:r>
            <w:r w:rsidR="003E0D3A">
              <w:t xml:space="preserve">s </w:t>
            </w:r>
            <w:r w:rsidRPr="007D2977">
              <w:t>treaty network</w:t>
            </w:r>
            <w:r w:rsidR="00E57C68">
              <w:t>?</w:t>
            </w:r>
          </w:p>
        </w:tc>
      </w:tr>
      <w:tr w:rsidR="0038178D" w14:paraId="2094495B" w14:textId="77777777" w:rsidTr="007616C9">
        <w:tc>
          <w:tcPr>
            <w:tcW w:w="2019" w:type="dxa"/>
            <w:shd w:val="clear" w:color="auto" w:fill="F2F2F2" w:themeFill="background1" w:themeFillShade="F2"/>
          </w:tcPr>
          <w:p w14:paraId="64F5AE23" w14:textId="215D9915" w:rsidR="0038178D" w:rsidRPr="007D2977" w:rsidRDefault="0038178D" w:rsidP="007616C9">
            <w:pPr>
              <w:pStyle w:val="TableTextLeft"/>
            </w:pPr>
            <w:r w:rsidRPr="007616C9">
              <w:t>Reservation</w:t>
            </w:r>
            <w:r w:rsidR="00BA6659" w:rsidRPr="007616C9">
              <w:t>s</w:t>
            </w:r>
          </w:p>
        </w:tc>
        <w:tc>
          <w:tcPr>
            <w:tcW w:w="4218" w:type="dxa"/>
            <w:shd w:val="clear" w:color="auto" w:fill="F2F2F2" w:themeFill="background1" w:themeFillShade="F2"/>
          </w:tcPr>
          <w:p w14:paraId="2FCA04AE" w14:textId="77777777" w:rsidR="00BA6659" w:rsidRPr="007D2977" w:rsidRDefault="00BA6659" w:rsidP="006A10B8">
            <w:pPr>
              <w:pStyle w:val="TableTextLeft"/>
            </w:pPr>
            <w:r>
              <w:t>In some cases, p</w:t>
            </w:r>
            <w:r w:rsidRPr="007D2977">
              <w:t xml:space="preserve">arties can </w:t>
            </w:r>
            <w:r>
              <w:t>enter a reservation not to adopt</w:t>
            </w:r>
            <w:r w:rsidRPr="007D2977">
              <w:t xml:space="preserve"> provisions or parts of provisions:</w:t>
            </w:r>
          </w:p>
          <w:p w14:paraId="74224A0B" w14:textId="782E7F45" w:rsidR="00BA6659" w:rsidRPr="006A10B8" w:rsidRDefault="00BA6659" w:rsidP="00D961EE">
            <w:pPr>
              <w:pStyle w:val="Tabletextnumbered"/>
              <w:jc w:val="left"/>
            </w:pPr>
            <w:r w:rsidRPr="006A10B8">
              <w:t>for all nominated CTAs or</w:t>
            </w:r>
          </w:p>
          <w:p w14:paraId="60A97C8B" w14:textId="77777777" w:rsidR="003E0D3A" w:rsidRPr="006A10B8" w:rsidRDefault="00BA6659" w:rsidP="00D961EE">
            <w:pPr>
              <w:pStyle w:val="Tabletextnumbered"/>
              <w:jc w:val="left"/>
            </w:pPr>
            <w:r w:rsidRPr="006A10B8">
              <w:t>for all CTAs that contain specific, detailed provisions, or objectively defined characteristics</w:t>
            </w:r>
          </w:p>
          <w:p w14:paraId="40265778" w14:textId="035353DE" w:rsidR="0038178D" w:rsidRPr="007D2977" w:rsidRDefault="003E0D3A" w:rsidP="00D961EE">
            <w:pPr>
              <w:pStyle w:val="Tabletextnumbered"/>
              <w:jc w:val="left"/>
            </w:pPr>
            <w:r w:rsidRPr="006A10B8">
              <w:t>For certain CTAs (see Part VI Arbitration).</w:t>
            </w:r>
          </w:p>
        </w:tc>
        <w:tc>
          <w:tcPr>
            <w:tcW w:w="2835" w:type="dxa"/>
            <w:shd w:val="clear" w:color="auto" w:fill="F2F2F2" w:themeFill="background1" w:themeFillShade="F2"/>
          </w:tcPr>
          <w:p w14:paraId="19F67FDF" w14:textId="537DFAEE" w:rsidR="0038178D" w:rsidRPr="007D2977" w:rsidRDefault="0038178D" w:rsidP="007616C9">
            <w:pPr>
              <w:pStyle w:val="TableTextLeft"/>
              <w:jc w:val="left"/>
            </w:pPr>
            <w:r w:rsidRPr="007D2977">
              <w:t xml:space="preserve">Whether to </w:t>
            </w:r>
            <w:r>
              <w:t xml:space="preserve">adopt </w:t>
            </w:r>
            <w:r w:rsidR="00BA6659">
              <w:t>any of the reservations?</w:t>
            </w:r>
          </w:p>
        </w:tc>
      </w:tr>
    </w:tbl>
    <w:p w14:paraId="7679191C" w14:textId="77777777" w:rsidR="003720B0" w:rsidRDefault="003720B0" w:rsidP="007616C9">
      <w:pPr>
        <w:pStyle w:val="SingleParagraph"/>
      </w:pPr>
    </w:p>
    <w:p w14:paraId="40C9F27D" w14:textId="7C9E84F5" w:rsidR="00513B21" w:rsidRDefault="00513B21">
      <w:pPr>
        <w:pStyle w:val="Heading2"/>
      </w:pPr>
      <w:bookmarkStart w:id="27" w:name="_Toc469328367"/>
      <w:bookmarkStart w:id="28" w:name="_Toc469329022"/>
      <w:r w:rsidRPr="00840BEB">
        <w:t>Australia</w:t>
      </w:r>
      <w:r w:rsidR="00740B66">
        <w:t>’</w:t>
      </w:r>
      <w:r w:rsidRPr="00840BEB">
        <w:t>s proposed approach to adopting the MLI</w:t>
      </w:r>
      <w:bookmarkEnd w:id="27"/>
      <w:bookmarkEnd w:id="28"/>
      <w:r w:rsidRPr="00840BEB">
        <w:t xml:space="preserve"> </w:t>
      </w:r>
    </w:p>
    <w:p w14:paraId="1E68895E" w14:textId="265946AC" w:rsidR="00513B21" w:rsidRPr="00F25D18" w:rsidRDefault="00F920BF">
      <w:pPr>
        <w:pStyle w:val="OutlineNumbered1"/>
        <w:jc w:val="left"/>
      </w:pPr>
      <w:r>
        <w:t xml:space="preserve">The </w:t>
      </w:r>
      <w:r w:rsidR="00513B21" w:rsidRPr="00DF262B">
        <w:t xml:space="preserve">MLI provides Australia with a unique opportunity to safeguard </w:t>
      </w:r>
      <w:r w:rsidR="003E0D3A">
        <w:t>Australia</w:t>
      </w:r>
      <w:r w:rsidR="00740B66">
        <w:t>’</w:t>
      </w:r>
      <w:r w:rsidR="003E0D3A">
        <w:t>s</w:t>
      </w:r>
      <w:r w:rsidR="00513B21" w:rsidRPr="00DF262B">
        <w:t xml:space="preserve"> tax treaty network </w:t>
      </w:r>
      <w:r w:rsidR="00C64BFF">
        <w:t xml:space="preserve">by adopting </w:t>
      </w:r>
      <w:r w:rsidR="00C824B5">
        <w:t>internationally agreed</w:t>
      </w:r>
      <w:r w:rsidR="00513B21" w:rsidRPr="00DF262B">
        <w:t xml:space="preserve"> integrity rules. </w:t>
      </w:r>
      <w:r w:rsidRPr="00F25D18">
        <w:t>Given that the</w:t>
      </w:r>
      <w:r w:rsidR="00C64BFF">
        <w:t xml:space="preserve">se </w:t>
      </w:r>
      <w:r w:rsidRPr="00F25D18">
        <w:t xml:space="preserve">rules are closely aligned with </w:t>
      </w:r>
      <w:r w:rsidR="003E0D3A">
        <w:t>Australia</w:t>
      </w:r>
      <w:r w:rsidR="00740B66">
        <w:t>’</w:t>
      </w:r>
      <w:r w:rsidR="003E0D3A">
        <w:t>s</w:t>
      </w:r>
      <w:r w:rsidRPr="00F25D18">
        <w:t xml:space="preserve"> current treaty practice, </w:t>
      </w:r>
      <w:r w:rsidR="00421506">
        <w:t xml:space="preserve">Australia could </w:t>
      </w:r>
      <w:r w:rsidR="00513B21" w:rsidRPr="00F25D18">
        <w:t xml:space="preserve">adopt the MLI to the widest possible extent. </w:t>
      </w:r>
    </w:p>
    <w:p w14:paraId="2B6A9A77" w14:textId="3742EB7B" w:rsidR="00513B21" w:rsidRDefault="00513B21" w:rsidP="007616C9">
      <w:pPr>
        <w:pStyle w:val="OutlineNumbered1"/>
        <w:keepNext/>
        <w:jc w:val="left"/>
      </w:pPr>
      <w:r>
        <w:t xml:space="preserve">The initial approaches outlined in this paper have been formulated </w:t>
      </w:r>
      <w:r w:rsidR="0031782E">
        <w:t xml:space="preserve">using </w:t>
      </w:r>
      <w:r>
        <w:t>the following principles:</w:t>
      </w:r>
    </w:p>
    <w:p w14:paraId="30A0033A" w14:textId="450681B6" w:rsidR="00513B21" w:rsidRPr="008A460F" w:rsidRDefault="00513B21" w:rsidP="007616C9">
      <w:pPr>
        <w:pStyle w:val="AlphaParagraph"/>
        <w:numPr>
          <w:ilvl w:val="0"/>
          <w:numId w:val="97"/>
        </w:numPr>
        <w:ind w:left="993" w:hanging="426"/>
      </w:pPr>
      <w:r>
        <w:rPr>
          <w:b/>
        </w:rPr>
        <w:t>A</w:t>
      </w:r>
      <w:r w:rsidRPr="008A460F">
        <w:rPr>
          <w:b/>
        </w:rPr>
        <w:t>ppl</w:t>
      </w:r>
      <w:r>
        <w:rPr>
          <w:b/>
        </w:rPr>
        <w:t>y</w:t>
      </w:r>
      <w:r w:rsidRPr="008A460F">
        <w:rPr>
          <w:b/>
        </w:rPr>
        <w:t xml:space="preserve"> the MLI to all bilateral tax treaties</w:t>
      </w:r>
      <w:r>
        <w:rPr>
          <w:b/>
        </w:rPr>
        <w:t xml:space="preserve"> </w:t>
      </w:r>
      <w:r w:rsidRPr="006C4B44">
        <w:rPr>
          <w:b/>
        </w:rPr>
        <w:t>that do not already incorporate BEPS rules</w:t>
      </w:r>
      <w:r w:rsidRPr="008A460F">
        <w:t xml:space="preserve"> </w:t>
      </w:r>
      <w:r>
        <w:t xml:space="preserve">(which </w:t>
      </w:r>
      <w:r w:rsidR="00AA47AB">
        <w:t xml:space="preserve">would </w:t>
      </w:r>
      <w:r>
        <w:t xml:space="preserve">exclude </w:t>
      </w:r>
      <w:r w:rsidRPr="008A460F">
        <w:t xml:space="preserve">the </w:t>
      </w:r>
      <w:r w:rsidR="000F7152">
        <w:t xml:space="preserve">2015 </w:t>
      </w:r>
      <w:r w:rsidRPr="008A460F">
        <w:t>German treaty</w:t>
      </w:r>
      <w:r w:rsidR="00D04E2A">
        <w:t xml:space="preserve"> — </w:t>
      </w:r>
      <w:r w:rsidR="000F7152">
        <w:t>which</w:t>
      </w:r>
      <w:r w:rsidRPr="008A460F">
        <w:t xml:space="preserve"> incorporate</w:t>
      </w:r>
      <w:r w:rsidR="000F7152">
        <w:t>s</w:t>
      </w:r>
      <w:r w:rsidRPr="008A460F">
        <w:t xml:space="preserve"> </w:t>
      </w:r>
      <w:r>
        <w:t xml:space="preserve">most of the </w:t>
      </w:r>
      <w:r w:rsidRPr="008A460F" w:rsidDel="00AC0A20">
        <w:t>BEPS</w:t>
      </w:r>
      <w:r w:rsidRPr="008A460F">
        <w:t xml:space="preserve"> </w:t>
      </w:r>
      <w:r w:rsidR="005565DE">
        <w:t xml:space="preserve">treaty-related </w:t>
      </w:r>
      <w:r w:rsidRPr="008A460F">
        <w:t>measures)</w:t>
      </w:r>
      <w:r w:rsidR="007616C9">
        <w:t>.</w:t>
      </w:r>
    </w:p>
    <w:p w14:paraId="05A884C4" w14:textId="6D7A3371" w:rsidR="00513B21" w:rsidRPr="008A460F" w:rsidRDefault="00513B21" w:rsidP="007616C9">
      <w:pPr>
        <w:pStyle w:val="AlphaParagraph"/>
        <w:numPr>
          <w:ilvl w:val="0"/>
          <w:numId w:val="97"/>
        </w:numPr>
        <w:ind w:left="993" w:hanging="426"/>
      </w:pPr>
      <w:r>
        <w:rPr>
          <w:b/>
        </w:rPr>
        <w:t>Ad</w:t>
      </w:r>
      <w:r w:rsidRPr="008A460F">
        <w:rPr>
          <w:b/>
        </w:rPr>
        <w:t xml:space="preserve">opt the minimum </w:t>
      </w:r>
      <w:r w:rsidRPr="00916D70">
        <w:rPr>
          <w:b/>
        </w:rPr>
        <w:t>standards</w:t>
      </w:r>
      <w:r w:rsidRPr="008A460F">
        <w:rPr>
          <w:b/>
        </w:rPr>
        <w:t xml:space="preserve"> and as many optional MLI articles as possible</w:t>
      </w:r>
      <w:r w:rsidR="00D04E2A">
        <w:t xml:space="preserve">. </w:t>
      </w:r>
      <w:r w:rsidRPr="00916D70">
        <w:t>B</w:t>
      </w:r>
      <w:r w:rsidRPr="008A460F">
        <w:t xml:space="preserve">road adoption of </w:t>
      </w:r>
      <w:r>
        <w:t>the MLI</w:t>
      </w:r>
      <w:r w:rsidRPr="008A460F">
        <w:t xml:space="preserve"> articles </w:t>
      </w:r>
      <w:r w:rsidR="000F7152">
        <w:t>would</w:t>
      </w:r>
      <w:r w:rsidRPr="008A460F">
        <w:t xml:space="preserve"> enable the full range of tax integrity measures recommended under the BEPS Action Plan to be </w:t>
      </w:r>
      <w:r>
        <w:t>applied</w:t>
      </w:r>
      <w:r w:rsidRPr="008A460F">
        <w:t xml:space="preserve"> across </w:t>
      </w:r>
      <w:r w:rsidR="003E0D3A">
        <w:t>Australia</w:t>
      </w:r>
      <w:r w:rsidR="00740B66">
        <w:t>’</w:t>
      </w:r>
      <w:r w:rsidR="003E0D3A">
        <w:t>s</w:t>
      </w:r>
      <w:r w:rsidRPr="008A460F">
        <w:t xml:space="preserve"> tax treaty network (subject to the agreement of the relevant treaty partner)</w:t>
      </w:r>
      <w:r w:rsidR="007616C9">
        <w:t>.</w:t>
      </w:r>
    </w:p>
    <w:p w14:paraId="2CFA0BA0" w14:textId="1D37EDC0" w:rsidR="00513B21" w:rsidRPr="008A460F" w:rsidRDefault="00513B21" w:rsidP="007616C9">
      <w:pPr>
        <w:pStyle w:val="AlphaParagraph"/>
        <w:numPr>
          <w:ilvl w:val="0"/>
          <w:numId w:val="97"/>
        </w:numPr>
        <w:ind w:left="993" w:hanging="426"/>
      </w:pPr>
      <w:r>
        <w:rPr>
          <w:b/>
        </w:rPr>
        <w:t>M</w:t>
      </w:r>
      <w:r w:rsidRPr="008A460F">
        <w:rPr>
          <w:b/>
        </w:rPr>
        <w:t>ake limited use of the MLI reservation system</w:t>
      </w:r>
      <w:r w:rsidR="00D04E2A">
        <w:rPr>
          <w:b/>
        </w:rPr>
        <w:t xml:space="preserve">. </w:t>
      </w:r>
      <w:r w:rsidR="00EE7557" w:rsidRPr="00132B48">
        <w:t>Australia might consider entering a reservation</w:t>
      </w:r>
      <w:r w:rsidR="00EE7557" w:rsidRPr="00EE7557">
        <w:t xml:space="preserve"> if</w:t>
      </w:r>
      <w:r w:rsidRPr="00EE7557">
        <w:t xml:space="preserve"> </w:t>
      </w:r>
      <w:r w:rsidR="003E0D3A" w:rsidRPr="00EE7557">
        <w:t>Australia</w:t>
      </w:r>
      <w:r w:rsidR="00740B66">
        <w:t>’</w:t>
      </w:r>
      <w:r w:rsidR="003E0D3A" w:rsidRPr="00EE7557">
        <w:t>s</w:t>
      </w:r>
      <w:r w:rsidRPr="00EE7557">
        <w:t xml:space="preserve"> existing treaty</w:t>
      </w:r>
      <w:r>
        <w:t xml:space="preserve"> practice already meets or exceeds the new standard</w:t>
      </w:r>
      <w:r w:rsidR="006D5FEB">
        <w:t>,</w:t>
      </w:r>
      <w:r>
        <w:t xml:space="preserve"> or </w:t>
      </w:r>
      <w:r w:rsidRPr="008A460F">
        <w:t>it is necessary to avoid any significant unintended impacts</w:t>
      </w:r>
      <w:r w:rsidR="00D04E2A">
        <w:t xml:space="preserve">. </w:t>
      </w:r>
      <w:r w:rsidRPr="008A460F">
        <w:t>For instance</w:t>
      </w:r>
      <w:r w:rsidR="006D5FEB">
        <w:t>,</w:t>
      </w:r>
      <w:r w:rsidR="00986878">
        <w:t xml:space="preserve"> i</w:t>
      </w:r>
      <w:r w:rsidR="006D5FEB">
        <w:t>t</w:t>
      </w:r>
      <w:r w:rsidR="00986878">
        <w:t xml:space="preserve"> would be appropriate to enter a reservation if </w:t>
      </w:r>
      <w:r w:rsidRPr="008A460F">
        <w:t xml:space="preserve">adopting </w:t>
      </w:r>
      <w:r>
        <w:t>the MLI</w:t>
      </w:r>
      <w:r w:rsidRPr="008A460F">
        <w:t xml:space="preserve"> article could create technical difficulties</w:t>
      </w:r>
      <w:r w:rsidR="00986878">
        <w:t xml:space="preserve"> </w:t>
      </w:r>
      <w:r w:rsidRPr="008A460F">
        <w:t xml:space="preserve">or </w:t>
      </w:r>
      <w:r w:rsidR="00986878">
        <w:t xml:space="preserve">if adopting the MLI article would </w:t>
      </w:r>
      <w:r w:rsidRPr="008A460F">
        <w:t xml:space="preserve">inadvertently override existing </w:t>
      </w:r>
      <w:r w:rsidR="00E0528F">
        <w:t xml:space="preserve">integrity </w:t>
      </w:r>
      <w:r w:rsidRPr="008A460F">
        <w:t xml:space="preserve">provisions </w:t>
      </w:r>
      <w:r w:rsidR="00986878">
        <w:t xml:space="preserve">that </w:t>
      </w:r>
      <w:r w:rsidR="000F7152">
        <w:t>Australia</w:t>
      </w:r>
      <w:r w:rsidR="00ED3192">
        <w:t xml:space="preserve"> </w:t>
      </w:r>
      <w:r w:rsidR="000F7152">
        <w:t>should</w:t>
      </w:r>
      <w:r w:rsidR="007616C9">
        <w:t> retain.</w:t>
      </w:r>
    </w:p>
    <w:p w14:paraId="1A91F1C4" w14:textId="27E23CA7" w:rsidR="00513B21" w:rsidRPr="00DF262B" w:rsidRDefault="00513B21">
      <w:pPr>
        <w:pStyle w:val="Heading1"/>
      </w:pPr>
      <w:bookmarkStart w:id="29" w:name="_Toc469328368"/>
      <w:bookmarkStart w:id="30" w:name="_Toc469329023"/>
      <w:r w:rsidRPr="00DF262B">
        <w:t>THE MLI Explained</w:t>
      </w:r>
      <w:bookmarkEnd w:id="29"/>
      <w:bookmarkEnd w:id="30"/>
      <w:r w:rsidRPr="00DF262B">
        <w:t xml:space="preserve"> </w:t>
      </w:r>
    </w:p>
    <w:p w14:paraId="6BF4AEAA" w14:textId="2C2A050F" w:rsidR="00513B21" w:rsidRDefault="00513B21" w:rsidP="00086FC3">
      <w:pPr>
        <w:pStyle w:val="OutlineNumbered1"/>
      </w:pPr>
      <w:r>
        <w:t xml:space="preserve">The MLI consists of the instrument itself and </w:t>
      </w:r>
      <w:r w:rsidR="00DD280C">
        <w:t>its</w:t>
      </w:r>
      <w:r>
        <w:t xml:space="preserve"> accompanying Explanatory Statement </w:t>
      </w:r>
      <w:r w:rsidR="00AA47AB">
        <w:t>(that</w:t>
      </w:r>
      <w:r>
        <w:t xml:space="preserve"> outlines how the MLI articles are to be interpreted and how they are intended to modify CTAs</w:t>
      </w:r>
      <w:r w:rsidR="00AA47AB">
        <w:t>)</w:t>
      </w:r>
      <w:r>
        <w:t>.</w:t>
      </w:r>
    </w:p>
    <w:p w14:paraId="0B586CA5" w14:textId="442F9297" w:rsidR="008C1B10" w:rsidRDefault="008C1B10">
      <w:pPr>
        <w:pStyle w:val="Heading2"/>
      </w:pPr>
      <w:bookmarkStart w:id="31" w:name="_Toc469328369"/>
      <w:bookmarkStart w:id="32" w:name="_Toc469329024"/>
      <w:r>
        <w:t>High level outline</w:t>
      </w:r>
      <w:bookmarkEnd w:id="31"/>
      <w:bookmarkEnd w:id="32"/>
    </w:p>
    <w:tbl>
      <w:tblPr>
        <w:tblStyle w:val="TableGrid"/>
        <w:tblW w:w="9214" w:type="dxa"/>
        <w:tblInd w:w="108" w:type="dxa"/>
        <w:tblBorders>
          <w:insideH w:val="single" w:sz="2" w:space="0" w:color="000000" w:themeColor="text1"/>
          <w:insideV w:val="single" w:sz="2" w:space="0" w:color="000000" w:themeColor="text1"/>
        </w:tblBorders>
        <w:shd w:val="clear" w:color="auto" w:fill="F2F2F2" w:themeFill="background1" w:themeFillShade="F2"/>
        <w:tblLook w:val="04A0" w:firstRow="1" w:lastRow="0" w:firstColumn="1" w:lastColumn="0" w:noHBand="0" w:noVBand="1"/>
      </w:tblPr>
      <w:tblGrid>
        <w:gridCol w:w="1985"/>
        <w:gridCol w:w="7229"/>
      </w:tblGrid>
      <w:tr w:rsidR="008C1B10" w14:paraId="59FE25EF" w14:textId="77777777" w:rsidTr="00D961EE">
        <w:tc>
          <w:tcPr>
            <w:tcW w:w="1985" w:type="dxa"/>
            <w:shd w:val="clear" w:color="auto" w:fill="8DB3E2" w:themeFill="text2" w:themeFillTint="66"/>
          </w:tcPr>
          <w:p w14:paraId="4A3A3D79" w14:textId="77777777" w:rsidR="008C1B10" w:rsidRPr="007D2977" w:rsidRDefault="008C1B10" w:rsidP="006A10B8">
            <w:pPr>
              <w:pStyle w:val="TableColumnHeadingLeft"/>
            </w:pPr>
            <w:r w:rsidRPr="007D2977">
              <w:t xml:space="preserve">Title and Preamble </w:t>
            </w:r>
          </w:p>
        </w:tc>
        <w:tc>
          <w:tcPr>
            <w:tcW w:w="7229" w:type="dxa"/>
            <w:shd w:val="clear" w:color="auto" w:fill="8DB3E2" w:themeFill="text2" w:themeFillTint="66"/>
          </w:tcPr>
          <w:p w14:paraId="37552F23" w14:textId="77777777" w:rsidR="008C1B10" w:rsidRPr="007D2977" w:rsidRDefault="008C1B10" w:rsidP="00132B48">
            <w:pPr>
              <w:pStyle w:val="Bullet"/>
              <w:numPr>
                <w:ilvl w:val="0"/>
                <w:numId w:val="0"/>
              </w:numPr>
              <w:jc w:val="left"/>
              <w:rPr>
                <w:rFonts w:asciiTheme="minorHAnsi" w:hAnsiTheme="minorHAnsi"/>
                <w:sz w:val="20"/>
              </w:rPr>
            </w:pPr>
          </w:p>
        </w:tc>
      </w:tr>
      <w:tr w:rsidR="008C1B10" w14:paraId="32BA5D9B" w14:textId="77777777" w:rsidTr="006A10B8">
        <w:tc>
          <w:tcPr>
            <w:tcW w:w="1985" w:type="dxa"/>
            <w:shd w:val="clear" w:color="auto" w:fill="F2F2F2" w:themeFill="background1" w:themeFillShade="F2"/>
          </w:tcPr>
          <w:p w14:paraId="060221F6" w14:textId="77777777" w:rsidR="008C1B10" w:rsidRPr="007D2977" w:rsidRDefault="008C1B10" w:rsidP="006A10B8">
            <w:pPr>
              <w:pStyle w:val="TableColumnHeadingLeft"/>
            </w:pPr>
            <w:r w:rsidRPr="007D2977">
              <w:t>Part I</w:t>
            </w:r>
          </w:p>
        </w:tc>
        <w:tc>
          <w:tcPr>
            <w:tcW w:w="7229" w:type="dxa"/>
            <w:shd w:val="clear" w:color="auto" w:fill="F2F2F2" w:themeFill="background1" w:themeFillShade="F2"/>
          </w:tcPr>
          <w:p w14:paraId="1ADD8F92" w14:textId="77777777" w:rsidR="008C1B10" w:rsidRPr="007D2977" w:rsidRDefault="008C1B10" w:rsidP="006A10B8">
            <w:pPr>
              <w:pStyle w:val="TableColumnHeadingLeft"/>
            </w:pPr>
            <w:r w:rsidRPr="007D2977">
              <w:t xml:space="preserve">Scope and Interpretation of Terms </w:t>
            </w:r>
          </w:p>
          <w:p w14:paraId="40D9862B" w14:textId="2EB6AFFA" w:rsidR="008C1B10" w:rsidRPr="007D2977" w:rsidRDefault="008C1B10" w:rsidP="006A10B8">
            <w:pPr>
              <w:pStyle w:val="Tabletextbullet"/>
            </w:pPr>
            <w:r w:rsidRPr="007D2977">
              <w:t xml:space="preserve">The </w:t>
            </w:r>
            <w:r>
              <w:t xml:space="preserve">MLI </w:t>
            </w:r>
            <w:r w:rsidRPr="007D2977">
              <w:t>will modify Covered Tax Agreements (</w:t>
            </w:r>
            <w:r w:rsidR="00AA7F5C">
              <w:t>jurisdictions</w:t>
            </w:r>
            <w:r w:rsidR="00740B66">
              <w:t>’</w:t>
            </w:r>
            <w:r w:rsidRPr="007D2977">
              <w:t xml:space="preserve"> bilateral tax treaties) (Article 1)</w:t>
            </w:r>
          </w:p>
          <w:p w14:paraId="4834F57B" w14:textId="40C6A7F6" w:rsidR="008C1B10" w:rsidRPr="007D2977" w:rsidRDefault="008C1B10" w:rsidP="006A10B8">
            <w:pPr>
              <w:pStyle w:val="Tabletextbullet"/>
              <w:rPr>
                <w:rFonts w:asciiTheme="minorHAnsi" w:hAnsiTheme="minorHAnsi"/>
              </w:rPr>
            </w:pPr>
            <w:r w:rsidRPr="007D2977">
              <w:t xml:space="preserve">Parties are required to identify </w:t>
            </w:r>
            <w:r w:rsidR="00D04E2A">
              <w:t xml:space="preserve"> — </w:t>
            </w:r>
            <w:r w:rsidRPr="007D2977">
              <w:t>via notification to the Depository</w:t>
            </w:r>
            <w:r w:rsidR="00D04E2A">
              <w:t xml:space="preserve"> — </w:t>
            </w:r>
            <w:r w:rsidRPr="007D2977">
              <w:t xml:space="preserve">which of their bilateral treaties they want included in the scope of </w:t>
            </w:r>
            <w:r>
              <w:t>the MLI</w:t>
            </w:r>
            <w:r w:rsidRPr="007D2977">
              <w:t xml:space="preserve"> (Article 2)</w:t>
            </w:r>
          </w:p>
        </w:tc>
      </w:tr>
      <w:tr w:rsidR="008C1B10" w14:paraId="7D7322A5" w14:textId="77777777" w:rsidTr="006A10B8">
        <w:tc>
          <w:tcPr>
            <w:tcW w:w="1985" w:type="dxa"/>
            <w:shd w:val="clear" w:color="auto" w:fill="F2F2F2" w:themeFill="background1" w:themeFillShade="F2"/>
          </w:tcPr>
          <w:p w14:paraId="32A5C8B1" w14:textId="77777777" w:rsidR="008C1B10" w:rsidRPr="007D2977" w:rsidRDefault="008C1B10" w:rsidP="006A10B8">
            <w:pPr>
              <w:pStyle w:val="TableColumnHeadingLeft"/>
            </w:pPr>
            <w:r w:rsidRPr="007D2977">
              <w:t>Parts II to V</w:t>
            </w:r>
          </w:p>
        </w:tc>
        <w:tc>
          <w:tcPr>
            <w:tcW w:w="7229" w:type="dxa"/>
            <w:shd w:val="clear" w:color="auto" w:fill="F2F2F2" w:themeFill="background1" w:themeFillShade="F2"/>
          </w:tcPr>
          <w:p w14:paraId="1D110FC9" w14:textId="3C40EEC3" w:rsidR="008C1B10" w:rsidRPr="007D2977" w:rsidRDefault="008C1B10" w:rsidP="006A10B8">
            <w:pPr>
              <w:pStyle w:val="Tabletextbullet"/>
            </w:pPr>
            <w:r w:rsidRPr="007D2977">
              <w:t>Substantive technical provisions (Articles 3</w:t>
            </w:r>
            <w:r w:rsidR="00D04E2A">
              <w:t xml:space="preserve"> — </w:t>
            </w:r>
            <w:r w:rsidRPr="007D2977">
              <w:t>17)</w:t>
            </w:r>
          </w:p>
          <w:p w14:paraId="3297518F" w14:textId="23FCBC7D" w:rsidR="008C1B10" w:rsidRPr="007D2977" w:rsidRDefault="008C1B10" w:rsidP="006A10B8">
            <w:pPr>
              <w:pStyle w:val="Tabletextbullet"/>
            </w:pPr>
            <w:r>
              <w:t>The</w:t>
            </w:r>
            <w:r w:rsidR="00DD280C">
              <w:t>se</w:t>
            </w:r>
            <w:r w:rsidRPr="007D2977">
              <w:t xml:space="preserve"> articles typically contain the following elements: </w:t>
            </w:r>
          </w:p>
          <w:p w14:paraId="7220B5FC" w14:textId="77777777" w:rsidR="008C1B10" w:rsidRPr="007D2977" w:rsidRDefault="008C1B10" w:rsidP="006A10B8">
            <w:pPr>
              <w:pStyle w:val="Tabletextbullet"/>
            </w:pPr>
            <w:r w:rsidRPr="007D2977">
              <w:t>New tax treaty integrity rule based on the relevant BEPS recommendation</w:t>
            </w:r>
          </w:p>
          <w:p w14:paraId="6BF278FC" w14:textId="77777777" w:rsidR="008C1B10" w:rsidRDefault="008C1B10" w:rsidP="006A10B8">
            <w:pPr>
              <w:pStyle w:val="Tabletextbullet"/>
            </w:pPr>
            <w:r w:rsidRPr="007D2977">
              <w:t>Compatibility clause defining the relationship between the integrity rule and existing bilateral treaties</w:t>
            </w:r>
          </w:p>
          <w:p w14:paraId="50183FBA" w14:textId="77777777" w:rsidR="008C1B10" w:rsidRPr="007D2977" w:rsidRDefault="008C1B10" w:rsidP="006A10B8">
            <w:pPr>
              <w:pStyle w:val="Tabletextbullet"/>
            </w:pPr>
            <w:r w:rsidRPr="007D2977">
              <w:t xml:space="preserve">Generally, a new rule will apply in place of or in the absence of corresponding bilateral provisions. </w:t>
            </w:r>
          </w:p>
          <w:p w14:paraId="4D5196DD" w14:textId="5C3208F0" w:rsidR="008C1B10" w:rsidRDefault="008C1B10" w:rsidP="006A10B8">
            <w:pPr>
              <w:pStyle w:val="Tabletextbullet"/>
            </w:pPr>
            <w:r w:rsidRPr="007D2977">
              <w:t>Reservation clause</w:t>
            </w:r>
            <w:r>
              <w:t>s</w:t>
            </w:r>
            <w:r w:rsidRPr="007D2977">
              <w:t xml:space="preserve"> permitting Parties to opt out of the integrity rule or modify its application in some way</w:t>
            </w:r>
          </w:p>
          <w:p w14:paraId="2A5E4468" w14:textId="6353AAA3" w:rsidR="00126BB7" w:rsidRPr="007D2977" w:rsidRDefault="008C1B10" w:rsidP="006A10B8">
            <w:pPr>
              <w:pStyle w:val="Tabletextbullet"/>
              <w:rPr>
                <w:rFonts w:asciiTheme="minorHAnsi" w:hAnsiTheme="minorHAnsi"/>
              </w:rPr>
            </w:pPr>
            <w:r w:rsidRPr="00132B48">
              <w:t>Notification rule requiring the Parties to notify the Depositary as to whether the article modifies their bilateral treaties (by country and by bilateral provision)</w:t>
            </w:r>
            <w:r w:rsidR="00126BB7" w:rsidRPr="00132B48">
              <w:t xml:space="preserve"> </w:t>
            </w:r>
          </w:p>
        </w:tc>
      </w:tr>
      <w:tr w:rsidR="008C1B10" w14:paraId="7530C822" w14:textId="77777777" w:rsidTr="006A10B8">
        <w:tc>
          <w:tcPr>
            <w:tcW w:w="1985" w:type="dxa"/>
            <w:shd w:val="clear" w:color="auto" w:fill="F2F2F2" w:themeFill="background1" w:themeFillShade="F2"/>
          </w:tcPr>
          <w:p w14:paraId="4504FE1D" w14:textId="77777777" w:rsidR="008C1B10" w:rsidRPr="007D2977" w:rsidRDefault="008C1B10" w:rsidP="006A10B8">
            <w:pPr>
              <w:pStyle w:val="TableColumnHeadingLeft"/>
            </w:pPr>
            <w:r w:rsidRPr="007D2977">
              <w:t>Part VI</w:t>
            </w:r>
          </w:p>
        </w:tc>
        <w:tc>
          <w:tcPr>
            <w:tcW w:w="7229" w:type="dxa"/>
            <w:shd w:val="clear" w:color="auto" w:fill="F2F2F2" w:themeFill="background1" w:themeFillShade="F2"/>
          </w:tcPr>
          <w:p w14:paraId="6B958735" w14:textId="06F7C1F7" w:rsidR="008C1B10" w:rsidRDefault="008C1B10" w:rsidP="006A10B8">
            <w:pPr>
              <w:pStyle w:val="TableColumnHeadingLeft"/>
            </w:pPr>
            <w:r w:rsidRPr="007D2977">
              <w:t>Arbitration (Articles 18</w:t>
            </w:r>
            <w:r w:rsidR="00D04E2A">
              <w:t xml:space="preserve"> — </w:t>
            </w:r>
            <w:r w:rsidRPr="007D2977">
              <w:t>26)</w:t>
            </w:r>
            <w:r>
              <w:t xml:space="preserve"> (optional)</w:t>
            </w:r>
          </w:p>
          <w:p w14:paraId="6270F2F0" w14:textId="50C28D8E" w:rsidR="008C1B10" w:rsidRPr="006C4B44" w:rsidRDefault="008C1B10" w:rsidP="006A10B8">
            <w:pPr>
              <w:pStyle w:val="Tabletextbullet"/>
            </w:pPr>
            <w:r w:rsidRPr="006C4B44">
              <w:t xml:space="preserve">Provides a </w:t>
            </w:r>
            <w:r>
              <w:t xml:space="preserve">framework for dispute resolution through independent </w:t>
            </w:r>
            <w:r w:rsidR="00DD280C">
              <w:t xml:space="preserve">binding </w:t>
            </w:r>
            <w:r>
              <w:t>arbitration</w:t>
            </w:r>
            <w:r w:rsidRPr="006C4B44">
              <w:t xml:space="preserve"> </w:t>
            </w:r>
          </w:p>
          <w:p w14:paraId="7A499D9F" w14:textId="3453EC7A" w:rsidR="008C1B10" w:rsidRPr="007D2977" w:rsidRDefault="008C1B10" w:rsidP="006A10B8">
            <w:pPr>
              <w:pStyle w:val="Tabletextbullet"/>
              <w:rPr>
                <w:rFonts w:asciiTheme="minorHAnsi" w:hAnsiTheme="minorHAnsi"/>
              </w:rPr>
            </w:pPr>
            <w:r>
              <w:t xml:space="preserve">Unlike the other MLI articles, </w:t>
            </w:r>
            <w:r w:rsidR="00AA7F5C">
              <w:t>jurisdictions</w:t>
            </w:r>
            <w:r>
              <w:t xml:space="preserve"> may enter</w:t>
            </w:r>
            <w:r w:rsidRPr="00BE22C4">
              <w:t xml:space="preserve"> </w:t>
            </w:r>
            <w:r>
              <w:t xml:space="preserve">bespoke </w:t>
            </w:r>
            <w:r w:rsidRPr="00BE22C4">
              <w:t>reservation</w:t>
            </w:r>
            <w:r>
              <w:t>s (but these reservations are subject to acceptance by bilateral treaty partners)</w:t>
            </w:r>
            <w:r w:rsidRPr="00BE22C4">
              <w:t xml:space="preserve">. </w:t>
            </w:r>
          </w:p>
        </w:tc>
      </w:tr>
      <w:tr w:rsidR="008C1B10" w14:paraId="7DE6D324" w14:textId="77777777" w:rsidTr="006A10B8">
        <w:tc>
          <w:tcPr>
            <w:tcW w:w="1985" w:type="dxa"/>
            <w:shd w:val="clear" w:color="auto" w:fill="F2F2F2" w:themeFill="background1" w:themeFillShade="F2"/>
          </w:tcPr>
          <w:p w14:paraId="6B7AA56D" w14:textId="77777777" w:rsidR="008C1B10" w:rsidRPr="007D2977" w:rsidRDefault="008C1B10" w:rsidP="006A10B8">
            <w:pPr>
              <w:pStyle w:val="TableColumnHeadingLeft"/>
            </w:pPr>
            <w:r w:rsidRPr="007D2977">
              <w:t>Part VII</w:t>
            </w:r>
          </w:p>
        </w:tc>
        <w:tc>
          <w:tcPr>
            <w:tcW w:w="7229" w:type="dxa"/>
            <w:shd w:val="clear" w:color="auto" w:fill="F2F2F2" w:themeFill="background1" w:themeFillShade="F2"/>
          </w:tcPr>
          <w:p w14:paraId="5B294826" w14:textId="412EC5F3" w:rsidR="008C1B10" w:rsidRDefault="008C1B10" w:rsidP="006A10B8">
            <w:pPr>
              <w:pStyle w:val="TableColumnHeadingLeft"/>
            </w:pPr>
            <w:r w:rsidRPr="007D2977">
              <w:t>Final Provisions (Articles 27</w:t>
            </w:r>
            <w:r w:rsidR="00D04E2A">
              <w:t xml:space="preserve"> — </w:t>
            </w:r>
            <w:r w:rsidRPr="007D2977">
              <w:t xml:space="preserve">38) </w:t>
            </w:r>
          </w:p>
          <w:p w14:paraId="776BCEBB" w14:textId="759E5DC7" w:rsidR="008C1B10" w:rsidRPr="007D2977" w:rsidRDefault="008C1B10" w:rsidP="006A10B8">
            <w:pPr>
              <w:pStyle w:val="Tabletextbullet"/>
              <w:rPr>
                <w:rFonts w:asciiTheme="minorHAnsi" w:hAnsiTheme="minorHAnsi"/>
              </w:rPr>
            </w:pPr>
            <w:r>
              <w:t xml:space="preserve">Includes </w:t>
            </w:r>
            <w:r w:rsidR="000C6C69" w:rsidRPr="006A10B8">
              <w:t>notification</w:t>
            </w:r>
            <w:r w:rsidR="000C6C69">
              <w:t xml:space="preserve">, </w:t>
            </w:r>
            <w:r>
              <w:t>entry into force</w:t>
            </w:r>
            <w:r w:rsidR="000C6C69">
              <w:t xml:space="preserve"> </w:t>
            </w:r>
            <w:r w:rsidR="007E05A8">
              <w:t>and</w:t>
            </w:r>
            <w:r w:rsidR="000C6C69">
              <w:t xml:space="preserve"> entry into effect</w:t>
            </w:r>
            <w:r>
              <w:t xml:space="preserve"> provisions </w:t>
            </w:r>
            <w:r w:rsidR="007E05A8">
              <w:t>as well as</w:t>
            </w:r>
            <w:r>
              <w:t xml:space="preserve"> </w:t>
            </w:r>
            <w:r w:rsidR="000C6C69">
              <w:t xml:space="preserve">amendment and </w:t>
            </w:r>
            <w:r w:rsidRPr="006C4B44">
              <w:t>ratification processes</w:t>
            </w:r>
            <w:r>
              <w:t xml:space="preserve"> etc</w:t>
            </w:r>
            <w:r w:rsidRPr="006C4B44">
              <w:t>.</w:t>
            </w:r>
          </w:p>
        </w:tc>
      </w:tr>
    </w:tbl>
    <w:p w14:paraId="36AB5233" w14:textId="77777777" w:rsidR="003720B0" w:rsidRDefault="003720B0" w:rsidP="006A10B8">
      <w:pPr>
        <w:pStyle w:val="SingleParagraph"/>
      </w:pPr>
    </w:p>
    <w:p w14:paraId="1F4F0242" w14:textId="6C63A226" w:rsidR="008419C0" w:rsidRDefault="000C6C69">
      <w:pPr>
        <w:pStyle w:val="Heading2"/>
      </w:pPr>
      <w:bookmarkStart w:id="33" w:name="_Toc469328370"/>
      <w:bookmarkStart w:id="34" w:name="_Toc469329025"/>
      <w:r>
        <w:t>I</w:t>
      </w:r>
      <w:r w:rsidR="00986878">
        <w:t>dentif</w:t>
      </w:r>
      <w:r>
        <w:t>ying</w:t>
      </w:r>
      <w:r w:rsidR="00986878">
        <w:t xml:space="preserve"> the effect of the MLI on an</w:t>
      </w:r>
      <w:r w:rsidR="004675FF">
        <w:t xml:space="preserve"> existing treat</w:t>
      </w:r>
      <w:r w:rsidR="00986878">
        <w:t>y</w:t>
      </w:r>
      <w:bookmarkEnd w:id="33"/>
      <w:bookmarkEnd w:id="34"/>
    </w:p>
    <w:p w14:paraId="1AE2B6DF" w14:textId="1246F5AE" w:rsidR="00324454" w:rsidRPr="00086FC3" w:rsidRDefault="00241343" w:rsidP="00086FC3">
      <w:pPr>
        <w:pStyle w:val="OutlineNumbered1"/>
      </w:pPr>
      <w:r>
        <w:t xml:space="preserve">Unlike an amending protocol which directly amends the text of the existing </w:t>
      </w:r>
      <w:r w:rsidR="00AA47AB">
        <w:t xml:space="preserve">bilateral </w:t>
      </w:r>
      <w:r>
        <w:t>treaty, the MLI sits side by side with</w:t>
      </w:r>
      <w:r w:rsidR="00324454">
        <w:t>,</w:t>
      </w:r>
      <w:r>
        <w:t xml:space="preserve"> and </w:t>
      </w:r>
      <w:r w:rsidRPr="00086FC3">
        <w:t xml:space="preserve">modifies </w:t>
      </w:r>
      <w:r w:rsidR="00BA6659" w:rsidRPr="00086FC3">
        <w:t xml:space="preserve">the existing </w:t>
      </w:r>
      <w:r w:rsidR="00AA47AB" w:rsidRPr="00086FC3">
        <w:t xml:space="preserve">bilateral </w:t>
      </w:r>
      <w:r w:rsidR="00BA6659" w:rsidRPr="00086FC3">
        <w:t>treaty provisions</w:t>
      </w:r>
      <w:r w:rsidRPr="00086FC3">
        <w:t xml:space="preserve"> to create new (modified) provision</w:t>
      </w:r>
      <w:r w:rsidR="00BA6659" w:rsidRPr="00086FC3">
        <w:t>s</w:t>
      </w:r>
      <w:r w:rsidR="00D04E2A" w:rsidRPr="00086FC3">
        <w:t xml:space="preserve">. </w:t>
      </w:r>
    </w:p>
    <w:p w14:paraId="74BEC163" w14:textId="100F91AB" w:rsidR="000C6C69" w:rsidRDefault="00324454" w:rsidP="00086FC3">
      <w:pPr>
        <w:pStyle w:val="OutlineNumbered1"/>
      </w:pPr>
      <w:r w:rsidRPr="00086FC3">
        <w:t>At the time of signing and ratifying, jurisdictions</w:t>
      </w:r>
      <w:r>
        <w:t xml:space="preserve"> will lodge their choices with the </w:t>
      </w:r>
      <w:r w:rsidR="00DD280C">
        <w:t xml:space="preserve">Depository (the </w:t>
      </w:r>
      <w:r>
        <w:t>OECD</w:t>
      </w:r>
      <w:r w:rsidR="00DD280C">
        <w:t>)</w:t>
      </w:r>
      <w:r>
        <w:t>. By comparing the relevant Party</w:t>
      </w:r>
      <w:r w:rsidR="00740B66">
        <w:t>’</w:t>
      </w:r>
      <w:r>
        <w:t>s set</w:t>
      </w:r>
      <w:r w:rsidR="002856F8">
        <w:t>s</w:t>
      </w:r>
      <w:r>
        <w:t xml:space="preserve"> of choices, stakeholders will be able to identify the affected treaties and provisions and th</w:t>
      </w:r>
      <w:r w:rsidR="002856F8">
        <w:t>e</w:t>
      </w:r>
      <w:r>
        <w:t xml:space="preserve"> specific MLI </w:t>
      </w:r>
      <w:r w:rsidR="00F93F8F">
        <w:t>articles</w:t>
      </w:r>
      <w:r>
        <w:t xml:space="preserve"> that each </w:t>
      </w:r>
      <w:r w:rsidRPr="00086FC3">
        <w:t>jurisdiction</w:t>
      </w:r>
      <w:r>
        <w:t xml:space="preserve"> has chosen to adopt</w:t>
      </w:r>
      <w:r w:rsidR="00D04E2A">
        <w:t xml:space="preserve">. </w:t>
      </w:r>
      <w:r>
        <w:t xml:space="preserve">Where these match, the MLI will modify </w:t>
      </w:r>
      <w:r w:rsidR="00B619F1">
        <w:t xml:space="preserve">the </w:t>
      </w:r>
      <w:r w:rsidR="00F93F8F">
        <w:t xml:space="preserve">relevant </w:t>
      </w:r>
      <w:r w:rsidR="00B619F1">
        <w:t>bilateral</w:t>
      </w:r>
      <w:r>
        <w:t xml:space="preserve"> clause</w:t>
      </w:r>
      <w:r w:rsidR="00F93F8F">
        <w:t>s</w:t>
      </w:r>
      <w:r w:rsidR="000C6C69" w:rsidRPr="009F24F3">
        <w:t>.</w:t>
      </w:r>
    </w:p>
    <w:p w14:paraId="4043DD4C" w14:textId="66C0C154" w:rsidR="00F93F8F" w:rsidRPr="009F24F3" w:rsidRDefault="00F93F8F" w:rsidP="00086FC3">
      <w:pPr>
        <w:pStyle w:val="OutlineNumbered1"/>
      </w:pPr>
      <w:r w:rsidRPr="009F24F3">
        <w:t xml:space="preserve">This </w:t>
      </w:r>
      <w:r w:rsidR="00DD280C">
        <w:t xml:space="preserve">will potentially </w:t>
      </w:r>
      <w:r w:rsidRPr="009F24F3" w:rsidDel="007947EB">
        <w:t xml:space="preserve">increase the complexity of interpreting </w:t>
      </w:r>
      <w:r w:rsidR="00DD280C">
        <w:t>modified</w:t>
      </w:r>
      <w:r w:rsidRPr="009F24F3" w:rsidDel="007947EB">
        <w:t xml:space="preserve"> treaties</w:t>
      </w:r>
      <w:r w:rsidR="00D04E2A">
        <w:t xml:space="preserve">. </w:t>
      </w:r>
      <w:r w:rsidR="00EE7557">
        <w:t xml:space="preserve">If adopted, </w:t>
      </w:r>
      <w:r w:rsidRPr="009F24F3" w:rsidDel="007947EB">
        <w:t xml:space="preserve">the Australian Taxation Office (ATO) </w:t>
      </w:r>
      <w:r w:rsidR="006F5567">
        <w:t>expects to</w:t>
      </w:r>
      <w:r w:rsidRPr="009F24F3" w:rsidDel="007947EB">
        <w:t xml:space="preserve"> develop guidance </w:t>
      </w:r>
      <w:r w:rsidR="006F5567">
        <w:t xml:space="preserve">to help </w:t>
      </w:r>
      <w:r w:rsidRPr="009F24F3" w:rsidDel="007947EB">
        <w:t xml:space="preserve">identify how the MLI </w:t>
      </w:r>
      <w:r w:rsidR="006F5567">
        <w:t>modifies</w:t>
      </w:r>
      <w:r w:rsidRPr="009F24F3" w:rsidDel="007947EB">
        <w:t xml:space="preserve"> individual CTAs</w:t>
      </w:r>
      <w:r w:rsidR="00D04E2A">
        <w:t xml:space="preserve">. </w:t>
      </w:r>
      <w:r w:rsidR="002856F8" w:rsidRPr="00086FC3">
        <w:t>Consistent</w:t>
      </w:r>
      <w:r w:rsidR="002856F8">
        <w:t xml:space="preserve"> with current practice, it is not proposed that the Government would produce consolidated version</w:t>
      </w:r>
      <w:r w:rsidR="00AA47AB">
        <w:t>s</w:t>
      </w:r>
      <w:r w:rsidR="002856F8">
        <w:t xml:space="preserve"> of each </w:t>
      </w:r>
      <w:r w:rsidR="00DD280C">
        <w:t>modified</w:t>
      </w:r>
      <w:r w:rsidR="002856F8">
        <w:t xml:space="preserve"> treaty</w:t>
      </w:r>
      <w:r w:rsidR="00DD280C">
        <w:t xml:space="preserve">. </w:t>
      </w:r>
    </w:p>
    <w:p w14:paraId="28906F57" w14:textId="6CC34223" w:rsidR="000C6C69" w:rsidRDefault="00B619F1" w:rsidP="00086FC3">
      <w:pPr>
        <w:pStyle w:val="OutlineNumbered1"/>
      </w:pPr>
      <w:r>
        <w:t>Each</w:t>
      </w:r>
      <w:r w:rsidR="00DD280C">
        <w:t xml:space="preserve"> substantive article of the MLI</w:t>
      </w:r>
      <w:r>
        <w:t xml:space="preserve"> </w:t>
      </w:r>
      <w:r w:rsidR="000C6C69" w:rsidRPr="00F25D18">
        <w:t xml:space="preserve">comprises the </w:t>
      </w:r>
      <w:r w:rsidR="00DD280C">
        <w:t xml:space="preserve">relevant </w:t>
      </w:r>
      <w:r w:rsidR="000C6C69" w:rsidRPr="00F25D18">
        <w:t>integrity rule(s</w:t>
      </w:r>
      <w:r w:rsidR="000C6C69">
        <w:t xml:space="preserve">), a </w:t>
      </w:r>
      <w:r w:rsidR="000C6C69" w:rsidRPr="00086FC3">
        <w:t>compatibility</w:t>
      </w:r>
      <w:r w:rsidR="000C6C69">
        <w:t xml:space="preserve"> clause, reservation options and notification requirements</w:t>
      </w:r>
      <w:r w:rsidR="00D04E2A">
        <w:t xml:space="preserve">. </w:t>
      </w:r>
      <w:r w:rsidR="000C6C69">
        <w:t>The compatibility clause</w:t>
      </w:r>
      <w:r>
        <w:t>s</w:t>
      </w:r>
      <w:r w:rsidR="000C6C69">
        <w:t xml:space="preserve"> explain </w:t>
      </w:r>
      <w:r>
        <w:t>how the integrity rules are</w:t>
      </w:r>
      <w:r w:rsidR="000C6C69">
        <w:t xml:space="preserve"> intended to </w:t>
      </w:r>
      <w:r>
        <w:t>modify the bilateral clause</w:t>
      </w:r>
      <w:r w:rsidR="00D04E2A">
        <w:t xml:space="preserve">. </w:t>
      </w:r>
      <w:r>
        <w:t xml:space="preserve">A review of all the MLI compatibility clauses, however, shows that there is </w:t>
      </w:r>
      <w:r w:rsidR="000C6C69">
        <w:t>significant variation between the</w:t>
      </w:r>
      <w:r>
        <w:t>m,</w:t>
      </w:r>
      <w:r w:rsidR="000C6C69">
        <w:t xml:space="preserve"> such that the </w:t>
      </w:r>
      <w:r>
        <w:t>MLI clause may</w:t>
      </w:r>
      <w:r w:rsidR="000C6C69">
        <w:t xml:space="preserve">: </w:t>
      </w:r>
    </w:p>
    <w:p w14:paraId="480C1AB9" w14:textId="3DB47FF0" w:rsidR="000C6C69" w:rsidRDefault="00B619F1" w:rsidP="006A10B8">
      <w:pPr>
        <w:pStyle w:val="Bullet"/>
        <w:tabs>
          <w:tab w:val="num" w:pos="1134"/>
        </w:tabs>
        <w:ind w:left="1134" w:hanging="567"/>
      </w:pPr>
      <w:r>
        <w:t xml:space="preserve">Be </w:t>
      </w:r>
      <w:r w:rsidR="00740B66">
        <w:t>‘</w:t>
      </w:r>
      <w:r>
        <w:t>i</w:t>
      </w:r>
      <w:r w:rsidR="000C6C69">
        <w:t>nsert</w:t>
      </w:r>
      <w:r>
        <w:t>ed</w:t>
      </w:r>
      <w:r w:rsidR="00126BEA">
        <w:t xml:space="preserve"> into</w:t>
      </w:r>
      <w:r w:rsidR="00740B66">
        <w:t>’</w:t>
      </w:r>
      <w:r w:rsidR="000C6C69">
        <w:t xml:space="preserve">, </w:t>
      </w:r>
      <w:r w:rsidR="00740B66">
        <w:t>‘</w:t>
      </w:r>
      <w:r w:rsidR="000C6C69">
        <w:t>replace</w:t>
      </w:r>
      <w:r w:rsidR="00740B66">
        <w:t>’</w:t>
      </w:r>
      <w:r w:rsidR="000C6C69">
        <w:t xml:space="preserve"> and/ or </w:t>
      </w:r>
      <w:r w:rsidR="00740B66">
        <w:t>‘</w:t>
      </w:r>
      <w:r w:rsidR="000C6C69">
        <w:t>apply in the place of</w:t>
      </w:r>
      <w:r w:rsidR="00740B66">
        <w:t>’</w:t>
      </w:r>
      <w:r w:rsidR="000C6C69">
        <w:t xml:space="preserve">; </w:t>
      </w:r>
    </w:p>
    <w:p w14:paraId="1369F4F1" w14:textId="1FE40995" w:rsidR="000C6C69" w:rsidRDefault="00740B66" w:rsidP="006A10B8">
      <w:pPr>
        <w:pStyle w:val="Bullet"/>
        <w:tabs>
          <w:tab w:val="num" w:pos="1134"/>
        </w:tabs>
        <w:ind w:left="1134" w:hanging="567"/>
      </w:pPr>
      <w:r>
        <w:t>‘</w:t>
      </w:r>
      <w:r w:rsidR="00B619F1">
        <w:t>S</w:t>
      </w:r>
      <w:r w:rsidR="000C6C69">
        <w:t>it beside</w:t>
      </w:r>
      <w:r>
        <w:t>’</w:t>
      </w:r>
      <w:r w:rsidR="000C6C69">
        <w:t>; or</w:t>
      </w:r>
    </w:p>
    <w:p w14:paraId="62E66AD6" w14:textId="5601CC36" w:rsidR="000C6C69" w:rsidRDefault="00740B66" w:rsidP="006A10B8">
      <w:pPr>
        <w:pStyle w:val="Bullet"/>
        <w:tabs>
          <w:tab w:val="num" w:pos="1134"/>
        </w:tabs>
        <w:ind w:left="1134" w:hanging="567"/>
      </w:pPr>
      <w:r>
        <w:t>‘</w:t>
      </w:r>
      <w:r w:rsidR="00B619F1">
        <w:t>M</w:t>
      </w:r>
      <w:r w:rsidR="000C6C69">
        <w:t>odify or override</w:t>
      </w:r>
      <w:r>
        <w:t>’</w:t>
      </w:r>
    </w:p>
    <w:p w14:paraId="3C9D70CE" w14:textId="6D13CEE6" w:rsidR="000C6C69" w:rsidRDefault="000C6C69" w:rsidP="006A10B8">
      <w:pPr>
        <w:pStyle w:val="NormalIndent"/>
      </w:pPr>
      <w:r>
        <w:t>the existing clauses (to the extent of inconsistency)</w:t>
      </w:r>
      <w:r w:rsidR="00D04E2A">
        <w:t xml:space="preserve">. </w:t>
      </w:r>
    </w:p>
    <w:p w14:paraId="58556129" w14:textId="4DE7EC22" w:rsidR="000C6C69" w:rsidRDefault="00DD280C" w:rsidP="00086FC3">
      <w:pPr>
        <w:pStyle w:val="OutlineNumbered1"/>
      </w:pPr>
      <w:r>
        <w:t>T</w:t>
      </w:r>
      <w:r w:rsidR="00B619F1">
        <w:t xml:space="preserve">his means that the </w:t>
      </w:r>
      <w:r w:rsidR="000C6C69" w:rsidRPr="009F24F3">
        <w:t xml:space="preserve">MLI text will modify the </w:t>
      </w:r>
      <w:r w:rsidR="00B619F1">
        <w:t>bilateral provision</w:t>
      </w:r>
      <w:r w:rsidR="000C6C69" w:rsidRPr="009F24F3">
        <w:t>:</w:t>
      </w:r>
    </w:p>
    <w:p w14:paraId="5E7D403A" w14:textId="4E51ECCA" w:rsidR="000C6C69" w:rsidRPr="009F24F3" w:rsidRDefault="000C6C69" w:rsidP="00086FC3">
      <w:pPr>
        <w:pStyle w:val="Bullet"/>
        <w:tabs>
          <w:tab w:val="num" w:pos="1134"/>
        </w:tabs>
        <w:ind w:left="1134" w:hanging="567"/>
      </w:pPr>
      <w:r>
        <w:t>I</w:t>
      </w:r>
      <w:r w:rsidRPr="009F24F3">
        <w:t xml:space="preserve">n the manner described in the compatibility clause </w:t>
      </w:r>
    </w:p>
    <w:p w14:paraId="0615E537" w14:textId="2031238E" w:rsidR="000C6C69" w:rsidRPr="009F24F3" w:rsidRDefault="000C6C69" w:rsidP="00086FC3">
      <w:pPr>
        <w:pStyle w:val="Bullet"/>
        <w:tabs>
          <w:tab w:val="num" w:pos="1134"/>
        </w:tabs>
        <w:ind w:left="1134" w:hanging="567"/>
      </w:pPr>
      <w:r>
        <w:t>T</w:t>
      </w:r>
      <w:r w:rsidRPr="009F24F3">
        <w:t>o the extent that the two provisions deal with the same subject matter</w:t>
      </w:r>
      <w:r w:rsidR="00B619F1">
        <w:t>,</w:t>
      </w:r>
      <w:r w:rsidRPr="009F24F3">
        <w:t xml:space="preserve"> and</w:t>
      </w:r>
      <w:r w:rsidR="00B619F1">
        <w:t>/or</w:t>
      </w:r>
      <w:r w:rsidRPr="009F24F3">
        <w:t xml:space="preserve"> </w:t>
      </w:r>
    </w:p>
    <w:p w14:paraId="110710ED" w14:textId="23E74605" w:rsidR="000C6C69" w:rsidRPr="009F24F3" w:rsidRDefault="000C6C69" w:rsidP="00086FC3">
      <w:pPr>
        <w:pStyle w:val="Bullet"/>
        <w:tabs>
          <w:tab w:val="num" w:pos="1134"/>
        </w:tabs>
        <w:ind w:left="1134" w:hanging="567"/>
      </w:pPr>
      <w:r>
        <w:t>T</w:t>
      </w:r>
      <w:r w:rsidRPr="009F24F3">
        <w:t xml:space="preserve">o the extent that the MLI is more specific than the </w:t>
      </w:r>
      <w:r w:rsidR="00B619F1">
        <w:t>bilateral provision</w:t>
      </w:r>
      <w:r w:rsidRPr="009F24F3">
        <w:t>.</w:t>
      </w:r>
    </w:p>
    <w:p w14:paraId="57211270" w14:textId="6385FB42" w:rsidR="000C6C69" w:rsidRDefault="000C6C69" w:rsidP="006A10B8">
      <w:pPr>
        <w:pStyle w:val="NormalIndent"/>
      </w:pPr>
      <w:r w:rsidRPr="009F24F3">
        <w:t xml:space="preserve">All other </w:t>
      </w:r>
      <w:r w:rsidR="00DD280C">
        <w:t xml:space="preserve">bilateral </w:t>
      </w:r>
      <w:r w:rsidRPr="009F24F3">
        <w:t>provisions will remain unchanged.</w:t>
      </w:r>
      <w:r>
        <w:t xml:space="preserve"> </w:t>
      </w:r>
    </w:p>
    <w:p w14:paraId="1CEA0071" w14:textId="269A43F1" w:rsidR="000C6C69" w:rsidRPr="00086FC3" w:rsidRDefault="000C6C69" w:rsidP="00086FC3">
      <w:pPr>
        <w:pStyle w:val="OutlineNumbered1"/>
      </w:pPr>
      <w:r w:rsidRPr="00A432B3">
        <w:t xml:space="preserve">The Explanatory Statement provides guidance on how the MLI provisions modify bilateral </w:t>
      </w:r>
      <w:r w:rsidRPr="00086FC3">
        <w:t>treaties</w:t>
      </w:r>
      <w:r w:rsidR="00D04E2A" w:rsidRPr="00086FC3">
        <w:t xml:space="preserve">. </w:t>
      </w:r>
      <w:r w:rsidRPr="00086FC3">
        <w:t>Articles 3</w:t>
      </w:r>
      <w:r w:rsidR="00740B66">
        <w:noBreakHyphen/>
      </w:r>
      <w:r w:rsidRPr="00086FC3">
        <w:t>17 should be interpreted according to normal treaty principles</w:t>
      </w:r>
      <w:r w:rsidR="00BC24E6" w:rsidRPr="00086FC3">
        <w:t>, that is,</w:t>
      </w:r>
      <w:r w:rsidRPr="00086FC3">
        <w:t xml:space="preserve"> in light of their ordinary </w:t>
      </w:r>
      <w:r w:rsidR="00BC24E6" w:rsidRPr="00086FC3">
        <w:t xml:space="preserve">contextualised </w:t>
      </w:r>
      <w:r w:rsidRPr="00086FC3">
        <w:t>meaning and in light of the treaty object and purpose (to implement the BEPS rules)</w:t>
      </w:r>
      <w:r w:rsidR="00D04E2A" w:rsidRPr="00086FC3">
        <w:t xml:space="preserve">. </w:t>
      </w:r>
      <w:r w:rsidRPr="00086FC3">
        <w:t>The Explanatory Statement sections relating to Articles 18</w:t>
      </w:r>
      <w:r w:rsidR="00740B66">
        <w:noBreakHyphen/>
      </w:r>
      <w:r w:rsidRPr="00086FC3">
        <w:t>26 provide</w:t>
      </w:r>
      <w:r w:rsidR="00126BEA" w:rsidRPr="00086FC3">
        <w:t>s</w:t>
      </w:r>
      <w:r w:rsidRPr="00086FC3">
        <w:t xml:space="preserve"> </w:t>
      </w:r>
      <w:r w:rsidR="00BC24E6" w:rsidRPr="00086FC3">
        <w:t xml:space="preserve">detailed </w:t>
      </w:r>
      <w:r w:rsidRPr="00086FC3">
        <w:t xml:space="preserve">guidance on how the BEPS measures </w:t>
      </w:r>
      <w:r w:rsidR="00126BEA" w:rsidRPr="00086FC3">
        <w:t>are intended to apply</w:t>
      </w:r>
      <w:r w:rsidR="0045484D" w:rsidRPr="00086FC3">
        <w:t xml:space="preserve"> and</w:t>
      </w:r>
      <w:r w:rsidRPr="00086FC3">
        <w:t xml:space="preserve"> be interpreted</w:t>
      </w:r>
      <w:r w:rsidR="00D04E2A" w:rsidRPr="00086FC3">
        <w:t xml:space="preserve">. </w:t>
      </w:r>
    </w:p>
    <w:p w14:paraId="581FA6DF" w14:textId="22378FF1" w:rsidR="000C6C69" w:rsidRDefault="00431119" w:rsidP="00086FC3">
      <w:pPr>
        <w:pStyle w:val="OutlineNumbered1"/>
      </w:pPr>
      <w:r w:rsidRPr="00086FC3">
        <w:t>Further information is contained in</w:t>
      </w:r>
      <w:r w:rsidR="000C6C69" w:rsidRPr="00086FC3">
        <w:t xml:space="preserve"> </w:t>
      </w:r>
      <w:r w:rsidR="001F0585" w:rsidRPr="00086FC3">
        <w:t>t</w:t>
      </w:r>
      <w:r w:rsidR="000C6C69" w:rsidRPr="00086FC3">
        <w:t>he OECD/G20 BEPS final reports</w:t>
      </w:r>
      <w:r w:rsidRPr="00086FC3">
        <w:t xml:space="preserve"> (released in October 2015)</w:t>
      </w:r>
      <w:r w:rsidR="000C6C69" w:rsidRPr="00086FC3">
        <w:t>, which</w:t>
      </w:r>
      <w:r w:rsidR="000C6C69" w:rsidRPr="009F24F3">
        <w:t xml:space="preserve"> </w:t>
      </w:r>
      <w:r>
        <w:t xml:space="preserve">set out </w:t>
      </w:r>
      <w:r w:rsidR="000C6C69" w:rsidRPr="009F24F3">
        <w:t xml:space="preserve">the </w:t>
      </w:r>
      <w:r>
        <w:t xml:space="preserve">underlying </w:t>
      </w:r>
      <w:r w:rsidR="000C6C69" w:rsidRPr="009F24F3">
        <w:t>BEPS rules</w:t>
      </w:r>
      <w:r w:rsidR="001F0585">
        <w:t xml:space="preserve"> </w:t>
      </w:r>
      <w:r w:rsidR="00126BEA">
        <w:t>and</w:t>
      </w:r>
      <w:r w:rsidR="000C6C69" w:rsidRPr="009F24F3">
        <w:t xml:space="preserve"> </w:t>
      </w:r>
      <w:r w:rsidR="00BC24E6">
        <w:t xml:space="preserve">the </w:t>
      </w:r>
      <w:r>
        <w:t>proposed changes to the OECD Model Tax Convention.</w:t>
      </w:r>
      <w:r w:rsidR="000C6C69" w:rsidRPr="009F24F3">
        <w:rPr>
          <w:rStyle w:val="FootnoteReference"/>
        </w:rPr>
        <w:footnoteReference w:id="3"/>
      </w:r>
      <w:r w:rsidR="000C6C69" w:rsidRPr="009F24F3">
        <w:t xml:space="preserve"> (available from the OECD website). </w:t>
      </w:r>
    </w:p>
    <w:p w14:paraId="5F68375D" w14:textId="75C79915" w:rsidR="00986878" w:rsidRPr="00F93F8F" w:rsidRDefault="00F93F8F">
      <w:pPr>
        <w:pStyle w:val="Heading2"/>
      </w:pPr>
      <w:bookmarkStart w:id="35" w:name="_Toc469328371"/>
      <w:bookmarkStart w:id="36" w:name="_Toc469329026"/>
      <w:r w:rsidRPr="00DF262B">
        <w:t>Entry into effect</w:t>
      </w:r>
      <w:bookmarkEnd w:id="35"/>
      <w:bookmarkEnd w:id="36"/>
    </w:p>
    <w:p w14:paraId="7B43201C" w14:textId="18E3CCED" w:rsidR="0031782E" w:rsidRPr="004E63E4" w:rsidRDefault="0031782E" w:rsidP="004E63E4">
      <w:pPr>
        <w:pStyle w:val="OutlineNumbered1"/>
      </w:pPr>
      <w:r w:rsidRPr="00F93F8F">
        <w:t xml:space="preserve">The MLI will enter </w:t>
      </w:r>
      <w:r w:rsidRPr="004E63E4">
        <w:t>into force after it has been ratified by five jurisdictions</w:t>
      </w:r>
      <w:r w:rsidR="00D04E2A" w:rsidRPr="004E63E4">
        <w:t xml:space="preserve">. </w:t>
      </w:r>
      <w:r w:rsidRPr="004E63E4">
        <w:t xml:space="preserve">This means that following signature in June 2017, </w:t>
      </w:r>
      <w:r w:rsidR="0045484D" w:rsidRPr="004E63E4">
        <w:t xml:space="preserve">five </w:t>
      </w:r>
      <w:r w:rsidR="00AA7F5C" w:rsidRPr="004E63E4">
        <w:t>jurisdictions</w:t>
      </w:r>
      <w:r w:rsidRPr="004E63E4">
        <w:t xml:space="preserve"> will need to complete their domestic treaty </w:t>
      </w:r>
      <w:r w:rsidR="001F0585" w:rsidRPr="004E63E4">
        <w:t>implementation</w:t>
      </w:r>
      <w:r w:rsidRPr="004E63E4">
        <w:t xml:space="preserve"> processes before the MLI enters into force.</w:t>
      </w:r>
    </w:p>
    <w:p w14:paraId="5933DD3D" w14:textId="600E2148" w:rsidR="0031782E" w:rsidRPr="00F93F8F" w:rsidRDefault="0031782E" w:rsidP="004E63E4">
      <w:pPr>
        <w:pStyle w:val="OutlineNumbered1"/>
      </w:pPr>
      <w:r w:rsidRPr="004E63E4">
        <w:t>In Australia</w:t>
      </w:r>
      <w:r w:rsidR="00740B66">
        <w:t>’</w:t>
      </w:r>
      <w:r w:rsidRPr="004E63E4">
        <w:t xml:space="preserve">s case, the MLI </w:t>
      </w:r>
      <w:r w:rsidR="0045484D" w:rsidRPr="004E63E4">
        <w:t>would</w:t>
      </w:r>
      <w:r w:rsidRPr="004E63E4">
        <w:t xml:space="preserve"> need to be legislated and then formally ratified</w:t>
      </w:r>
      <w:r w:rsidR="00D04E2A" w:rsidRPr="004E63E4">
        <w:t xml:space="preserve">. </w:t>
      </w:r>
      <w:r w:rsidRPr="004E63E4">
        <w:t xml:space="preserve">As a result, </w:t>
      </w:r>
      <w:r w:rsidR="0045484D" w:rsidRPr="004E63E4">
        <w:t xml:space="preserve">if adopted, </w:t>
      </w:r>
      <w:r w:rsidRPr="004E63E4">
        <w:t>it is expected that the MLI could potentially take effect in Australia from 1 January 2019 (for</w:t>
      </w:r>
      <w:r w:rsidRPr="00F93F8F">
        <w:t xml:space="preserve"> </w:t>
      </w:r>
      <w:r w:rsidR="0045484D">
        <w:t xml:space="preserve">rules relating to </w:t>
      </w:r>
      <w:r w:rsidRPr="00F93F8F">
        <w:t xml:space="preserve">withholding taxes) and 1 July 2019 (for </w:t>
      </w:r>
      <w:r w:rsidR="0045484D">
        <w:t xml:space="preserve">rules relating to </w:t>
      </w:r>
      <w:r w:rsidRPr="00F93F8F">
        <w:t>other taxes)</w:t>
      </w:r>
      <w:r w:rsidR="0045484D">
        <w:t>, subject to its ratification by Australia</w:t>
      </w:r>
      <w:r w:rsidR="00740B66">
        <w:t>’</w:t>
      </w:r>
      <w:r w:rsidR="0045484D">
        <w:t>s treaty partners</w:t>
      </w:r>
      <w:r w:rsidRPr="00F93F8F">
        <w:t xml:space="preserve">. </w:t>
      </w:r>
      <w:r w:rsidR="002856F8">
        <w:t>I</w:t>
      </w:r>
      <w:r w:rsidR="002D43B8">
        <w:t>t</w:t>
      </w:r>
      <w:r w:rsidR="002856F8">
        <w:t xml:space="preserve"> is expected that some jurisdictions will take longer to complete their domestic processes than others</w:t>
      </w:r>
      <w:r w:rsidR="00126BEA">
        <w:t xml:space="preserve"> and that as a result</w:t>
      </w:r>
      <w:r w:rsidR="002856F8">
        <w:t xml:space="preserve"> the date of effect for different treaties is likely to be staggered.</w:t>
      </w:r>
    </w:p>
    <w:p w14:paraId="526692F8" w14:textId="798EECEE" w:rsidR="00824DA8" w:rsidRPr="00F93F8F" w:rsidRDefault="008747BA" w:rsidP="004E63E4">
      <w:pPr>
        <w:pStyle w:val="OutlineNumbered1"/>
      </w:pPr>
      <w:r w:rsidRPr="00F93F8F">
        <w:t>O</w:t>
      </w:r>
      <w:r w:rsidR="008B1183" w:rsidRPr="00F93F8F">
        <w:t xml:space="preserve">nce jurisdictions have ratified the MLI, </w:t>
      </w:r>
      <w:r w:rsidR="0045484D">
        <w:t>its provisions would be</w:t>
      </w:r>
      <w:r w:rsidR="008B1183" w:rsidRPr="00F93F8F">
        <w:t xml:space="preserve"> binding and modify existing bilateral treaties in line with </w:t>
      </w:r>
      <w:r w:rsidR="00FA58E3">
        <w:t>bot</w:t>
      </w:r>
      <w:r w:rsidR="00ED3192">
        <w:t>h</w:t>
      </w:r>
      <w:r w:rsidR="00FA58E3">
        <w:t xml:space="preserve"> Parties</w:t>
      </w:r>
      <w:r w:rsidR="00740B66">
        <w:t>’</w:t>
      </w:r>
      <w:r w:rsidR="008B1183" w:rsidRPr="00F93F8F">
        <w:t xml:space="preserve"> adoption choices</w:t>
      </w:r>
      <w:r w:rsidR="00D04E2A">
        <w:t xml:space="preserve">. </w:t>
      </w:r>
      <w:r w:rsidR="000C6C69" w:rsidRPr="00F93F8F">
        <w:t>The MLI</w:t>
      </w:r>
      <w:r w:rsidR="00824DA8" w:rsidRPr="00F93F8F">
        <w:t xml:space="preserve"> does not restrict </w:t>
      </w:r>
      <w:r w:rsidR="00AA7F5C" w:rsidRPr="00F93F8F">
        <w:t>jurisdictions</w:t>
      </w:r>
      <w:r w:rsidR="00740B66">
        <w:t>’</w:t>
      </w:r>
      <w:r w:rsidR="00824DA8" w:rsidRPr="00F93F8F">
        <w:t xml:space="preserve"> </w:t>
      </w:r>
      <w:r w:rsidR="000C6C69" w:rsidRPr="004E63E4">
        <w:t>sovereign</w:t>
      </w:r>
      <w:r w:rsidR="000C6C69" w:rsidRPr="00F93F8F">
        <w:t xml:space="preserve"> ability </w:t>
      </w:r>
      <w:r w:rsidR="00824DA8" w:rsidRPr="00F93F8F">
        <w:t xml:space="preserve">to </w:t>
      </w:r>
      <w:r w:rsidR="000C6C69" w:rsidRPr="00F93F8F">
        <w:t xml:space="preserve">supersede the MLI changes by </w:t>
      </w:r>
      <w:r w:rsidR="001F0585">
        <w:t xml:space="preserve">subsequently </w:t>
      </w:r>
      <w:r w:rsidR="000C6C69" w:rsidRPr="00F93F8F">
        <w:t>concluding a new</w:t>
      </w:r>
      <w:r w:rsidR="001F0585">
        <w:t xml:space="preserve"> </w:t>
      </w:r>
      <w:r w:rsidR="000C6C69" w:rsidRPr="00F93F8F">
        <w:t>bilateral agreement</w:t>
      </w:r>
      <w:r w:rsidR="00D04E2A">
        <w:t xml:space="preserve">. </w:t>
      </w:r>
    </w:p>
    <w:p w14:paraId="719F13A3" w14:textId="1FC4A0CE" w:rsidR="005A75D0" w:rsidRDefault="006716A3">
      <w:pPr>
        <w:pStyle w:val="Heading1"/>
      </w:pPr>
      <w:bookmarkStart w:id="37" w:name="_Toc468726796"/>
      <w:bookmarkStart w:id="38" w:name="_Toc469328372"/>
      <w:bookmarkStart w:id="39" w:name="_Toc469329027"/>
      <w:r>
        <w:t xml:space="preserve">Summary of the </w:t>
      </w:r>
      <w:r w:rsidR="00C522CB">
        <w:t>MLI</w:t>
      </w:r>
      <w:r w:rsidR="005A75D0" w:rsidRPr="005A75D0">
        <w:t xml:space="preserve"> Articles</w:t>
      </w:r>
      <w:bookmarkEnd w:id="37"/>
      <w:bookmarkEnd w:id="38"/>
      <w:bookmarkEnd w:id="39"/>
      <w:r>
        <w:t xml:space="preserve"> </w:t>
      </w:r>
    </w:p>
    <w:p w14:paraId="69C8BF29" w14:textId="3C69D19D" w:rsidR="00E82C5B" w:rsidRDefault="00E82C5B" w:rsidP="00132B48">
      <w:pPr>
        <w:pStyle w:val="OutlineNumbered1"/>
        <w:jc w:val="left"/>
      </w:pPr>
      <w:r>
        <w:t xml:space="preserve">The next section summarises the </w:t>
      </w:r>
      <w:r w:rsidR="007947EB">
        <w:t xml:space="preserve">substantive technical </w:t>
      </w:r>
      <w:r>
        <w:t>articles (Articles 3</w:t>
      </w:r>
      <w:r w:rsidR="00740B66">
        <w:noBreakHyphen/>
      </w:r>
      <w:r w:rsidR="00E61973">
        <w:t>2</w:t>
      </w:r>
      <w:r>
        <w:t>6) and Australia</w:t>
      </w:r>
      <w:r w:rsidR="00740B66">
        <w:t>’</w:t>
      </w:r>
      <w:r>
        <w:t xml:space="preserve">s </w:t>
      </w:r>
      <w:r w:rsidR="00E35787">
        <w:t>initial approach</w:t>
      </w:r>
      <w:r>
        <w:t xml:space="preserve"> on each of these</w:t>
      </w:r>
      <w:r w:rsidR="00D04E2A">
        <w:t xml:space="preserve">. </w:t>
      </w:r>
    </w:p>
    <w:p w14:paraId="19C7F820" w14:textId="5B7A56DF" w:rsidR="006716A3" w:rsidRDefault="006716A3" w:rsidP="00132B48">
      <w:pPr>
        <w:pStyle w:val="OutlineNumbered1"/>
        <w:jc w:val="left"/>
      </w:pPr>
      <w:r w:rsidRPr="007D75AE">
        <w:t>The table below maps</w:t>
      </w:r>
      <w:r w:rsidRPr="00137D6C">
        <w:t xml:space="preserve"> the </w:t>
      </w:r>
      <w:r w:rsidR="004E729A">
        <w:t xml:space="preserve">new </w:t>
      </w:r>
      <w:r w:rsidR="00C522CB">
        <w:t>MLI</w:t>
      </w:r>
      <w:r w:rsidR="004E729A">
        <w:t xml:space="preserve"> a</w:t>
      </w:r>
      <w:r w:rsidRPr="00137D6C">
        <w:t xml:space="preserve">rticles to the </w:t>
      </w:r>
      <w:r w:rsidR="004E729A">
        <w:t>corresponding</w:t>
      </w:r>
      <w:r w:rsidRPr="00137D6C">
        <w:t xml:space="preserve"> BEPS Action</w:t>
      </w:r>
      <w:r w:rsidR="00BC24E6">
        <w:t>s</w:t>
      </w:r>
      <w:r w:rsidRPr="00137D6C">
        <w:t xml:space="preserve"> and the</w:t>
      </w:r>
      <w:r>
        <w:t xml:space="preserve"> underlying OECD Model articles</w:t>
      </w:r>
      <w:r w:rsidR="00126BEA">
        <w:t xml:space="preserve"> as well as Australia</w:t>
      </w:r>
      <w:r w:rsidR="00740B66">
        <w:t>’</w:t>
      </w:r>
      <w:r w:rsidR="00126BEA">
        <w:t>s initial approaches</w:t>
      </w:r>
      <w:r w:rsidR="00D04E2A">
        <w:t xml:space="preserve">. </w:t>
      </w:r>
    </w:p>
    <w:tbl>
      <w:tblPr>
        <w:tblStyle w:val="TableGrid"/>
        <w:tblW w:w="9178" w:type="dxa"/>
        <w:tblInd w:w="108" w:type="dxa"/>
        <w:tblBorders>
          <w:insideH w:val="single" w:sz="2" w:space="0" w:color="000000" w:themeColor="text1"/>
          <w:insideV w:val="single" w:sz="2" w:space="0" w:color="000000" w:themeColor="text1"/>
        </w:tblBorders>
        <w:shd w:val="clear" w:color="auto" w:fill="D9D9D9" w:themeFill="background1" w:themeFillShade="D9"/>
        <w:tblCellMar>
          <w:top w:w="85" w:type="dxa"/>
          <w:bottom w:w="85" w:type="dxa"/>
        </w:tblCellMar>
        <w:tblLook w:val="04A0" w:firstRow="1" w:lastRow="0" w:firstColumn="1" w:lastColumn="0" w:noHBand="0" w:noVBand="1"/>
      </w:tblPr>
      <w:tblGrid>
        <w:gridCol w:w="3329"/>
        <w:gridCol w:w="1988"/>
        <w:gridCol w:w="2059"/>
        <w:gridCol w:w="1802"/>
      </w:tblGrid>
      <w:tr w:rsidR="00FA0FEE" w14:paraId="487B4B7A" w14:textId="30C66C40" w:rsidTr="00D961EE">
        <w:trPr>
          <w:trHeight w:val="349"/>
          <w:tblHeader/>
        </w:trPr>
        <w:tc>
          <w:tcPr>
            <w:tcW w:w="3329" w:type="dxa"/>
            <w:shd w:val="clear" w:color="auto" w:fill="8DB3E2" w:themeFill="text2" w:themeFillTint="66"/>
          </w:tcPr>
          <w:p w14:paraId="73AFF136" w14:textId="417D17EC" w:rsidR="00FA0FEE" w:rsidRPr="003055CA" w:rsidRDefault="00FA0FEE" w:rsidP="00D961EE">
            <w:pPr>
              <w:pStyle w:val="TableColumnHeadingLeft"/>
              <w:jc w:val="left"/>
            </w:pPr>
            <w:r>
              <w:t>MLI a</w:t>
            </w:r>
            <w:r w:rsidRPr="003055CA">
              <w:t>rticle</w:t>
            </w:r>
          </w:p>
        </w:tc>
        <w:tc>
          <w:tcPr>
            <w:tcW w:w="1988" w:type="dxa"/>
            <w:shd w:val="clear" w:color="auto" w:fill="8DB3E2" w:themeFill="text2" w:themeFillTint="66"/>
          </w:tcPr>
          <w:p w14:paraId="3FC58AF8" w14:textId="77777777" w:rsidR="00FA0FEE" w:rsidRDefault="00FA0FEE" w:rsidP="00D961EE">
            <w:pPr>
              <w:pStyle w:val="TableColumnHeadingLeft"/>
              <w:jc w:val="left"/>
            </w:pPr>
            <w:r>
              <w:t>Corresponding BEPS Action</w:t>
            </w:r>
            <w:r w:rsidRPr="003C4E22">
              <w:rPr>
                <w:vertAlign w:val="superscript"/>
              </w:rPr>
              <w:footnoteReference w:id="4"/>
            </w:r>
          </w:p>
        </w:tc>
        <w:tc>
          <w:tcPr>
            <w:tcW w:w="2059" w:type="dxa"/>
            <w:shd w:val="clear" w:color="auto" w:fill="8DB3E2" w:themeFill="text2" w:themeFillTint="66"/>
          </w:tcPr>
          <w:p w14:paraId="18712A95" w14:textId="18392138" w:rsidR="00FA0FEE" w:rsidRPr="003055CA" w:rsidRDefault="00FA0FEE" w:rsidP="00D961EE">
            <w:pPr>
              <w:pStyle w:val="TableColumnHeadingLeft"/>
              <w:jc w:val="left"/>
            </w:pPr>
            <w:r>
              <w:t>Corresponding Model article</w:t>
            </w:r>
            <w:r w:rsidRPr="003C4E22">
              <w:rPr>
                <w:vertAlign w:val="superscript"/>
              </w:rPr>
              <w:footnoteReference w:id="5"/>
            </w:r>
          </w:p>
        </w:tc>
        <w:tc>
          <w:tcPr>
            <w:tcW w:w="1802" w:type="dxa"/>
            <w:shd w:val="clear" w:color="auto" w:fill="8DB3E2" w:themeFill="text2" w:themeFillTint="66"/>
          </w:tcPr>
          <w:p w14:paraId="47339CC1" w14:textId="1A799AEA" w:rsidR="00FA0FEE" w:rsidRDefault="00E35787" w:rsidP="00D961EE">
            <w:pPr>
              <w:pStyle w:val="TableColumnHeadingLeft"/>
              <w:jc w:val="left"/>
            </w:pPr>
            <w:r>
              <w:t>I</w:t>
            </w:r>
            <w:r w:rsidR="00FA0FEE">
              <w:t xml:space="preserve">nitial </w:t>
            </w:r>
            <w:r>
              <w:t>approach</w:t>
            </w:r>
          </w:p>
        </w:tc>
      </w:tr>
      <w:tr w:rsidR="00FA0FEE" w:rsidRPr="00E978D2" w14:paraId="162DCB8B" w14:textId="22117939" w:rsidTr="00D961EE">
        <w:trPr>
          <w:trHeight w:val="20"/>
        </w:trPr>
        <w:tc>
          <w:tcPr>
            <w:tcW w:w="3329" w:type="dxa"/>
            <w:shd w:val="clear" w:color="auto" w:fill="F2F2F2" w:themeFill="background1" w:themeFillShade="F2"/>
          </w:tcPr>
          <w:p w14:paraId="3D0B6DBF" w14:textId="4276C576" w:rsidR="00B97055" w:rsidRPr="007D2977" w:rsidRDefault="00FA0FEE" w:rsidP="003C4E22">
            <w:pPr>
              <w:pStyle w:val="TableTextLeft"/>
              <w:jc w:val="left"/>
              <w:rPr>
                <w:b/>
              </w:rPr>
            </w:pPr>
            <w:r w:rsidRPr="007D2977">
              <w:t>3. Transparent Entities</w:t>
            </w:r>
          </w:p>
        </w:tc>
        <w:tc>
          <w:tcPr>
            <w:tcW w:w="1988" w:type="dxa"/>
            <w:shd w:val="clear" w:color="auto" w:fill="F2F2F2" w:themeFill="background1" w:themeFillShade="F2"/>
          </w:tcPr>
          <w:p w14:paraId="7A7E1DD6" w14:textId="5C8D0C60" w:rsidR="00FA0FEE" w:rsidRPr="007D2977" w:rsidRDefault="00FA0FEE" w:rsidP="003C4E22">
            <w:pPr>
              <w:pStyle w:val="TableTextLeft"/>
              <w:jc w:val="left"/>
            </w:pPr>
            <w:r w:rsidRPr="007D2977">
              <w:t>Action 2 (Hybrid mismatches)</w:t>
            </w:r>
          </w:p>
        </w:tc>
        <w:tc>
          <w:tcPr>
            <w:tcW w:w="2059" w:type="dxa"/>
            <w:shd w:val="clear" w:color="auto" w:fill="F2F2F2" w:themeFill="background1" w:themeFillShade="F2"/>
          </w:tcPr>
          <w:p w14:paraId="773CBED3" w14:textId="77777777" w:rsidR="00FA0FEE" w:rsidRDefault="00FA0FEE" w:rsidP="003C4E22">
            <w:pPr>
              <w:pStyle w:val="TableTextLeft"/>
              <w:jc w:val="left"/>
            </w:pPr>
            <w:r w:rsidRPr="007D2977">
              <w:t>1. Persons Covered</w:t>
            </w:r>
          </w:p>
          <w:p w14:paraId="534B98B2" w14:textId="7004B7C0" w:rsidR="008121D2" w:rsidRPr="007D2977" w:rsidRDefault="008121D2" w:rsidP="003C4E22">
            <w:pPr>
              <w:pStyle w:val="TableTextLeft"/>
              <w:jc w:val="left"/>
            </w:pPr>
            <w:r w:rsidRPr="008121D2">
              <w:t>23A. Exemption Method</w:t>
            </w:r>
            <w:r>
              <w:t xml:space="preserve"> and </w:t>
            </w:r>
            <w:r w:rsidRPr="008121D2">
              <w:t>23B. Credit Method</w:t>
            </w:r>
          </w:p>
        </w:tc>
        <w:tc>
          <w:tcPr>
            <w:tcW w:w="1802" w:type="dxa"/>
            <w:shd w:val="clear" w:color="auto" w:fill="F2F2F2" w:themeFill="background1" w:themeFillShade="F2"/>
          </w:tcPr>
          <w:p w14:paraId="136442C5" w14:textId="598C24D3" w:rsidR="00FA0FEE" w:rsidRPr="007D2977" w:rsidRDefault="00FA0FEE" w:rsidP="003C4E22">
            <w:pPr>
              <w:pStyle w:val="TableTextLeft"/>
              <w:jc w:val="left"/>
            </w:pPr>
            <w:r>
              <w:t xml:space="preserve">Adopt </w:t>
            </w:r>
            <w:r w:rsidR="00E52E1B">
              <w:t xml:space="preserve">with </w:t>
            </w:r>
            <w:r>
              <w:t>3</w:t>
            </w:r>
            <w:r w:rsidR="00336914">
              <w:t>(5)</w:t>
            </w:r>
            <w:r w:rsidR="00E52E1B">
              <w:t>(</w:t>
            </w:r>
            <w:r>
              <w:t>d</w:t>
            </w:r>
            <w:r w:rsidR="00E52E1B">
              <w:t>)</w:t>
            </w:r>
          </w:p>
        </w:tc>
      </w:tr>
      <w:tr w:rsidR="00FA0FEE" w:rsidRPr="00E978D2" w14:paraId="4D47FF17" w14:textId="086248DA" w:rsidTr="00D961EE">
        <w:trPr>
          <w:trHeight w:val="20"/>
        </w:trPr>
        <w:tc>
          <w:tcPr>
            <w:tcW w:w="3329" w:type="dxa"/>
            <w:shd w:val="clear" w:color="auto" w:fill="F2F2F2" w:themeFill="background1" w:themeFillShade="F2"/>
          </w:tcPr>
          <w:p w14:paraId="75E65608" w14:textId="4CADEDF8" w:rsidR="00FA0FEE" w:rsidRPr="007D2977" w:rsidRDefault="00FA0FEE" w:rsidP="003C4E22">
            <w:pPr>
              <w:pStyle w:val="TableTextLeft"/>
              <w:jc w:val="left"/>
              <w:rPr>
                <w:b/>
              </w:rPr>
            </w:pPr>
            <w:r w:rsidRPr="007D2977">
              <w:t>4</w:t>
            </w:r>
            <w:r w:rsidR="00D04E2A">
              <w:t xml:space="preserve">. </w:t>
            </w:r>
            <w:r w:rsidRPr="007D2977">
              <w:t xml:space="preserve">Dual resident entities </w:t>
            </w:r>
          </w:p>
        </w:tc>
        <w:tc>
          <w:tcPr>
            <w:tcW w:w="1988" w:type="dxa"/>
            <w:shd w:val="clear" w:color="auto" w:fill="F2F2F2" w:themeFill="background1" w:themeFillShade="F2"/>
          </w:tcPr>
          <w:p w14:paraId="207F5623" w14:textId="076FB40B" w:rsidR="00FA0FEE" w:rsidRPr="007D2977" w:rsidRDefault="00FA0FEE" w:rsidP="003C4E22">
            <w:pPr>
              <w:pStyle w:val="TableTextLeft"/>
              <w:jc w:val="left"/>
            </w:pPr>
            <w:r w:rsidRPr="007D2977">
              <w:t>Action 2</w:t>
            </w:r>
          </w:p>
        </w:tc>
        <w:tc>
          <w:tcPr>
            <w:tcW w:w="2059" w:type="dxa"/>
            <w:shd w:val="clear" w:color="auto" w:fill="F2F2F2" w:themeFill="background1" w:themeFillShade="F2"/>
          </w:tcPr>
          <w:p w14:paraId="50183F7A" w14:textId="706D9CAC" w:rsidR="00FA0FEE" w:rsidRPr="007D2977" w:rsidRDefault="008121D2" w:rsidP="003C4E22">
            <w:pPr>
              <w:pStyle w:val="TableTextLeft"/>
              <w:jc w:val="left"/>
            </w:pPr>
            <w:r>
              <w:t>4. Resident</w:t>
            </w:r>
          </w:p>
        </w:tc>
        <w:tc>
          <w:tcPr>
            <w:tcW w:w="1802" w:type="dxa"/>
            <w:shd w:val="clear" w:color="auto" w:fill="F2F2F2" w:themeFill="background1" w:themeFillShade="F2"/>
          </w:tcPr>
          <w:p w14:paraId="3D917909" w14:textId="38207383" w:rsidR="00E52E1B" w:rsidRPr="002D43B8" w:rsidRDefault="00FA0FEE" w:rsidP="003C4E22">
            <w:pPr>
              <w:pStyle w:val="TableTextLeft"/>
              <w:jc w:val="left"/>
            </w:pPr>
            <w:r w:rsidRPr="00DF262B">
              <w:t>Adopt</w:t>
            </w:r>
            <w:r w:rsidR="00E52E1B" w:rsidRPr="00DF262B">
              <w:t xml:space="preserve"> with</w:t>
            </w:r>
            <w:r w:rsidRPr="00DF262B">
              <w:t xml:space="preserve"> 4</w:t>
            </w:r>
            <w:r w:rsidR="008121D2">
              <w:t>(3)</w:t>
            </w:r>
            <w:r w:rsidR="00E52E1B" w:rsidRPr="00DF262B">
              <w:t>(</w:t>
            </w:r>
            <w:r w:rsidR="00336914" w:rsidRPr="00DF262B">
              <w:t>e</w:t>
            </w:r>
            <w:r w:rsidR="00E52E1B" w:rsidRPr="00DF262B">
              <w:t>)</w:t>
            </w:r>
          </w:p>
        </w:tc>
      </w:tr>
      <w:tr w:rsidR="007947EB" w:rsidRPr="00E978D2" w14:paraId="317B7BF5" w14:textId="77777777" w:rsidTr="00D961EE">
        <w:trPr>
          <w:trHeight w:val="20"/>
        </w:trPr>
        <w:tc>
          <w:tcPr>
            <w:tcW w:w="3329" w:type="dxa"/>
            <w:shd w:val="clear" w:color="auto" w:fill="F2F2F2" w:themeFill="background1" w:themeFillShade="F2"/>
          </w:tcPr>
          <w:p w14:paraId="7DBFA762" w14:textId="5AD111EA" w:rsidR="007947EB" w:rsidRPr="007D2977" w:rsidRDefault="007947EB" w:rsidP="003C4E22">
            <w:pPr>
              <w:pStyle w:val="TableTextLeft"/>
              <w:jc w:val="left"/>
              <w:rPr>
                <w:b/>
              </w:rPr>
            </w:pPr>
            <w:r w:rsidRPr="007D2977" w:rsidDel="008E05F3">
              <w:t>5</w:t>
            </w:r>
            <w:r w:rsidR="00D04E2A">
              <w:t xml:space="preserve">. </w:t>
            </w:r>
            <w:r w:rsidRPr="007D2977" w:rsidDel="008E05F3">
              <w:t>Application of Methods for Elimination of Double Taxation</w:t>
            </w:r>
          </w:p>
        </w:tc>
        <w:tc>
          <w:tcPr>
            <w:tcW w:w="1988" w:type="dxa"/>
            <w:shd w:val="clear" w:color="auto" w:fill="F2F2F2" w:themeFill="background1" w:themeFillShade="F2"/>
          </w:tcPr>
          <w:p w14:paraId="3C8566CB" w14:textId="06EDB2C5" w:rsidR="007947EB" w:rsidRPr="007D2977" w:rsidRDefault="007947EB" w:rsidP="003C4E22">
            <w:pPr>
              <w:pStyle w:val="TableTextLeft"/>
              <w:jc w:val="left"/>
            </w:pPr>
            <w:r w:rsidRPr="007D2977" w:rsidDel="008E05F3">
              <w:t>Action2</w:t>
            </w:r>
            <w:r>
              <w:tab/>
            </w:r>
          </w:p>
        </w:tc>
        <w:tc>
          <w:tcPr>
            <w:tcW w:w="2059" w:type="dxa"/>
            <w:shd w:val="clear" w:color="auto" w:fill="F2F2F2" w:themeFill="background1" w:themeFillShade="F2"/>
          </w:tcPr>
          <w:p w14:paraId="64C54DE3" w14:textId="1A5115DC" w:rsidR="007947EB" w:rsidRPr="007D2977" w:rsidRDefault="007947EB" w:rsidP="003C4E22">
            <w:pPr>
              <w:pStyle w:val="TableTextLeft"/>
              <w:jc w:val="left"/>
            </w:pPr>
            <w:r w:rsidRPr="007D2977" w:rsidDel="008E05F3">
              <w:t>23</w:t>
            </w:r>
            <w:r w:rsidR="00AF34C7">
              <w:t>A</w:t>
            </w:r>
            <w:r w:rsidRPr="007D2977" w:rsidDel="008E05F3">
              <w:t xml:space="preserve">. </w:t>
            </w:r>
            <w:r w:rsidR="00AF34C7">
              <w:t>Exemption</w:t>
            </w:r>
            <w:r w:rsidR="00AF34C7" w:rsidRPr="007D2977" w:rsidDel="008E05F3">
              <w:t xml:space="preserve"> </w:t>
            </w:r>
            <w:r w:rsidRPr="007D2977" w:rsidDel="008E05F3">
              <w:t>Method</w:t>
            </w:r>
          </w:p>
        </w:tc>
        <w:tc>
          <w:tcPr>
            <w:tcW w:w="1802" w:type="dxa"/>
            <w:shd w:val="clear" w:color="auto" w:fill="F2F2F2" w:themeFill="background1" w:themeFillShade="F2"/>
          </w:tcPr>
          <w:p w14:paraId="0049FCFF" w14:textId="33C06B45" w:rsidR="007947EB" w:rsidRPr="002D43B8" w:rsidRDefault="007947EB" w:rsidP="003C4E22">
            <w:pPr>
              <w:pStyle w:val="TableTextLeft"/>
              <w:jc w:val="left"/>
            </w:pPr>
            <w:r w:rsidRPr="002D43B8">
              <w:t>Do not adopt</w:t>
            </w:r>
            <w:r w:rsidR="00BF6C99">
              <w:t xml:space="preserve"> (and do not adopt 5(8) or 5(9))</w:t>
            </w:r>
          </w:p>
        </w:tc>
      </w:tr>
      <w:tr w:rsidR="00FA0FEE" w:rsidRPr="00E978D2" w14:paraId="5869BF80" w14:textId="72BE380E" w:rsidTr="00D961EE">
        <w:trPr>
          <w:trHeight w:val="20"/>
        </w:trPr>
        <w:tc>
          <w:tcPr>
            <w:tcW w:w="3329" w:type="dxa"/>
            <w:shd w:val="clear" w:color="auto" w:fill="F2F2F2" w:themeFill="background1" w:themeFillShade="F2"/>
          </w:tcPr>
          <w:p w14:paraId="130F76A2" w14:textId="7C0767B6" w:rsidR="00FA0FEE" w:rsidRPr="001618F7" w:rsidRDefault="00FA0FEE" w:rsidP="003C4E22">
            <w:pPr>
              <w:pStyle w:val="TableTextLeft"/>
              <w:jc w:val="left"/>
              <w:rPr>
                <w:b/>
              </w:rPr>
            </w:pPr>
            <w:r w:rsidRPr="001618F7">
              <w:rPr>
                <w:b/>
              </w:rPr>
              <w:t>6. Purpose of a Covered Tax Agreement*(M)</w:t>
            </w:r>
          </w:p>
        </w:tc>
        <w:tc>
          <w:tcPr>
            <w:tcW w:w="1988" w:type="dxa"/>
            <w:shd w:val="clear" w:color="auto" w:fill="F2F2F2" w:themeFill="background1" w:themeFillShade="F2"/>
          </w:tcPr>
          <w:p w14:paraId="602DBCF4" w14:textId="331460AD" w:rsidR="00FA0FEE" w:rsidRPr="001618F7" w:rsidRDefault="00FA0FEE" w:rsidP="003C4E22">
            <w:pPr>
              <w:pStyle w:val="TableTextLeft"/>
              <w:jc w:val="left"/>
              <w:rPr>
                <w:b/>
              </w:rPr>
            </w:pPr>
            <w:r w:rsidRPr="001618F7">
              <w:rPr>
                <w:b/>
              </w:rPr>
              <w:t>Action 6 (Treaty abuse)</w:t>
            </w:r>
          </w:p>
        </w:tc>
        <w:tc>
          <w:tcPr>
            <w:tcW w:w="2059" w:type="dxa"/>
            <w:shd w:val="clear" w:color="auto" w:fill="F2F2F2" w:themeFill="background1" w:themeFillShade="F2"/>
          </w:tcPr>
          <w:p w14:paraId="5F40EA4F" w14:textId="49771955" w:rsidR="00FA0FEE" w:rsidRPr="001618F7" w:rsidRDefault="00FA0FEE" w:rsidP="003C4E22">
            <w:pPr>
              <w:pStyle w:val="TableTextLeft"/>
              <w:jc w:val="left"/>
              <w:rPr>
                <w:b/>
              </w:rPr>
            </w:pPr>
            <w:r w:rsidRPr="001618F7">
              <w:rPr>
                <w:b/>
              </w:rPr>
              <w:t xml:space="preserve">Preamble </w:t>
            </w:r>
          </w:p>
        </w:tc>
        <w:tc>
          <w:tcPr>
            <w:tcW w:w="1802" w:type="dxa"/>
            <w:shd w:val="clear" w:color="auto" w:fill="F2F2F2" w:themeFill="background1" w:themeFillShade="F2"/>
          </w:tcPr>
          <w:p w14:paraId="067957F7" w14:textId="77E00171" w:rsidR="00FA0FEE" w:rsidRPr="001618F7" w:rsidRDefault="00E52E1B" w:rsidP="003C4E22">
            <w:pPr>
              <w:pStyle w:val="TableTextLeft"/>
              <w:jc w:val="left"/>
              <w:rPr>
                <w:b/>
              </w:rPr>
            </w:pPr>
            <w:r w:rsidRPr="001618F7">
              <w:rPr>
                <w:b/>
              </w:rPr>
              <w:t>Adopt in full</w:t>
            </w:r>
          </w:p>
        </w:tc>
      </w:tr>
      <w:tr w:rsidR="00FA0FEE" w:rsidRPr="00E978D2" w14:paraId="33CC2E83" w14:textId="78306157" w:rsidTr="00D961EE">
        <w:trPr>
          <w:trHeight w:val="20"/>
        </w:trPr>
        <w:tc>
          <w:tcPr>
            <w:tcW w:w="3329" w:type="dxa"/>
            <w:shd w:val="clear" w:color="auto" w:fill="F2F2F2" w:themeFill="background1" w:themeFillShade="F2"/>
          </w:tcPr>
          <w:p w14:paraId="6F265401" w14:textId="25AAEB33" w:rsidR="00FA0FEE" w:rsidRPr="005565DE" w:rsidRDefault="00FA0FEE" w:rsidP="003C4E22">
            <w:pPr>
              <w:pStyle w:val="TableTextLeft"/>
              <w:jc w:val="left"/>
              <w:rPr>
                <w:b/>
              </w:rPr>
            </w:pPr>
            <w:r w:rsidRPr="00134D7C">
              <w:rPr>
                <w:b/>
              </w:rPr>
              <w:t>7. Prevention of Treaty Abuse</w:t>
            </w:r>
            <w:r w:rsidR="005565DE">
              <w:rPr>
                <w:b/>
              </w:rPr>
              <w:t>*(M)</w:t>
            </w:r>
          </w:p>
        </w:tc>
        <w:tc>
          <w:tcPr>
            <w:tcW w:w="1988" w:type="dxa"/>
            <w:shd w:val="clear" w:color="auto" w:fill="F2F2F2" w:themeFill="background1" w:themeFillShade="F2"/>
          </w:tcPr>
          <w:p w14:paraId="2C719836" w14:textId="02EBE0CE" w:rsidR="00FA0FEE" w:rsidRPr="00134D7C" w:rsidRDefault="00FA0FEE" w:rsidP="003C4E22">
            <w:pPr>
              <w:pStyle w:val="TableTextLeft"/>
              <w:jc w:val="left"/>
              <w:rPr>
                <w:b/>
              </w:rPr>
            </w:pPr>
            <w:r w:rsidRPr="00134D7C">
              <w:rPr>
                <w:b/>
              </w:rPr>
              <w:t>Action 6</w:t>
            </w:r>
          </w:p>
        </w:tc>
        <w:tc>
          <w:tcPr>
            <w:tcW w:w="2059" w:type="dxa"/>
            <w:shd w:val="clear" w:color="auto" w:fill="F2F2F2" w:themeFill="background1" w:themeFillShade="F2"/>
          </w:tcPr>
          <w:p w14:paraId="1CE90E09" w14:textId="2E1BE81F" w:rsidR="00FA0FEE" w:rsidRPr="00134D7C" w:rsidRDefault="00FA0FEE" w:rsidP="003C4E22">
            <w:pPr>
              <w:pStyle w:val="TableTextLeft"/>
              <w:jc w:val="left"/>
              <w:rPr>
                <w:b/>
              </w:rPr>
            </w:pPr>
            <w:r w:rsidRPr="00134D7C">
              <w:rPr>
                <w:b/>
              </w:rPr>
              <w:t>No equivalent</w:t>
            </w:r>
          </w:p>
        </w:tc>
        <w:tc>
          <w:tcPr>
            <w:tcW w:w="1802" w:type="dxa"/>
            <w:shd w:val="clear" w:color="auto" w:fill="F2F2F2" w:themeFill="background1" w:themeFillShade="F2"/>
          </w:tcPr>
          <w:p w14:paraId="731332CD" w14:textId="70127952" w:rsidR="00FA0FEE" w:rsidRPr="00134D7C" w:rsidRDefault="00E52E1B" w:rsidP="003C4E22">
            <w:pPr>
              <w:pStyle w:val="TableTextLeft"/>
              <w:jc w:val="left"/>
              <w:rPr>
                <w:b/>
              </w:rPr>
            </w:pPr>
            <w:r w:rsidRPr="00134D7C">
              <w:rPr>
                <w:b/>
              </w:rPr>
              <w:t>Adopt the PPT, do not adopt S</w:t>
            </w:r>
            <w:r w:rsidR="00740B66" w:rsidRPr="00134D7C">
              <w:rPr>
                <w:b/>
              </w:rPr>
              <w:noBreakHyphen/>
            </w:r>
            <w:r w:rsidRPr="00134D7C">
              <w:rPr>
                <w:b/>
              </w:rPr>
              <w:t>LOB</w:t>
            </w:r>
          </w:p>
        </w:tc>
      </w:tr>
      <w:tr w:rsidR="00FA0FEE" w:rsidRPr="00E978D2" w14:paraId="56662232" w14:textId="4290C767" w:rsidTr="00D961EE">
        <w:trPr>
          <w:trHeight w:val="20"/>
        </w:trPr>
        <w:tc>
          <w:tcPr>
            <w:tcW w:w="3329" w:type="dxa"/>
            <w:shd w:val="clear" w:color="auto" w:fill="F2F2F2" w:themeFill="background1" w:themeFillShade="F2"/>
          </w:tcPr>
          <w:p w14:paraId="6BE4736E" w14:textId="7FA4CA52" w:rsidR="00FA0FEE" w:rsidRPr="007D2977" w:rsidRDefault="00FA0FEE" w:rsidP="003C4E22">
            <w:pPr>
              <w:pStyle w:val="TableTextLeft"/>
              <w:jc w:val="left"/>
              <w:rPr>
                <w:b/>
              </w:rPr>
            </w:pPr>
            <w:r w:rsidRPr="007D2977">
              <w:t>8. Dividend Transfer Transactions</w:t>
            </w:r>
          </w:p>
        </w:tc>
        <w:tc>
          <w:tcPr>
            <w:tcW w:w="1988" w:type="dxa"/>
            <w:shd w:val="clear" w:color="auto" w:fill="F2F2F2" w:themeFill="background1" w:themeFillShade="F2"/>
          </w:tcPr>
          <w:p w14:paraId="362D2C50" w14:textId="6FF2B38E" w:rsidR="00FA0FEE" w:rsidRPr="007D2977" w:rsidRDefault="00FA0FEE" w:rsidP="003C4E22">
            <w:pPr>
              <w:pStyle w:val="TableTextLeft"/>
              <w:jc w:val="left"/>
            </w:pPr>
            <w:r w:rsidRPr="007D2977">
              <w:t>Action 6</w:t>
            </w:r>
          </w:p>
        </w:tc>
        <w:tc>
          <w:tcPr>
            <w:tcW w:w="2059" w:type="dxa"/>
            <w:shd w:val="clear" w:color="auto" w:fill="F2F2F2" w:themeFill="background1" w:themeFillShade="F2"/>
          </w:tcPr>
          <w:p w14:paraId="7E09BB5F" w14:textId="4CDF53E2" w:rsidR="00FA0FEE" w:rsidRPr="007D2977" w:rsidRDefault="00FA0FEE" w:rsidP="003C4E22">
            <w:pPr>
              <w:pStyle w:val="TableTextLeft"/>
              <w:jc w:val="left"/>
            </w:pPr>
            <w:r w:rsidRPr="007D2977">
              <w:t>10. Dividends</w:t>
            </w:r>
          </w:p>
        </w:tc>
        <w:tc>
          <w:tcPr>
            <w:tcW w:w="1802" w:type="dxa"/>
            <w:shd w:val="clear" w:color="auto" w:fill="F2F2F2" w:themeFill="background1" w:themeFillShade="F2"/>
          </w:tcPr>
          <w:p w14:paraId="473E87AB" w14:textId="67A441E9" w:rsidR="00E52E1B" w:rsidRPr="00DF262B" w:rsidRDefault="00E52E1B" w:rsidP="003C4E22">
            <w:pPr>
              <w:pStyle w:val="TableTextLeft"/>
              <w:jc w:val="left"/>
            </w:pPr>
            <w:r w:rsidRPr="00DF262B">
              <w:t>Adopt in full</w:t>
            </w:r>
          </w:p>
        </w:tc>
      </w:tr>
      <w:tr w:rsidR="00FA0FEE" w:rsidRPr="00E978D2" w14:paraId="75E9C83C" w14:textId="44E78F60" w:rsidTr="00D961EE">
        <w:trPr>
          <w:trHeight w:val="20"/>
        </w:trPr>
        <w:tc>
          <w:tcPr>
            <w:tcW w:w="3329" w:type="dxa"/>
            <w:shd w:val="clear" w:color="auto" w:fill="F2F2F2" w:themeFill="background1" w:themeFillShade="F2"/>
          </w:tcPr>
          <w:p w14:paraId="273ACD94" w14:textId="2EA1E456" w:rsidR="00FA0FEE" w:rsidRPr="007D2977" w:rsidRDefault="00FA0FEE" w:rsidP="003C4E22">
            <w:pPr>
              <w:pStyle w:val="TableTextLeft"/>
              <w:jc w:val="left"/>
            </w:pPr>
            <w:r w:rsidRPr="007D2977">
              <w:t>9. Capital Gains from Alienation of Shares or Interests of Entities Deriving their Value Principally from Immovable Property</w:t>
            </w:r>
          </w:p>
        </w:tc>
        <w:tc>
          <w:tcPr>
            <w:tcW w:w="1988" w:type="dxa"/>
            <w:shd w:val="clear" w:color="auto" w:fill="F2F2F2" w:themeFill="background1" w:themeFillShade="F2"/>
          </w:tcPr>
          <w:p w14:paraId="15ED7272" w14:textId="13C18BEA" w:rsidR="00FA0FEE" w:rsidRPr="007D2977" w:rsidRDefault="00FA0FEE" w:rsidP="003C4E22">
            <w:pPr>
              <w:pStyle w:val="TableTextLeft"/>
              <w:jc w:val="left"/>
            </w:pPr>
            <w:r w:rsidRPr="007D2977">
              <w:t>Action 6</w:t>
            </w:r>
          </w:p>
        </w:tc>
        <w:tc>
          <w:tcPr>
            <w:tcW w:w="2059" w:type="dxa"/>
            <w:shd w:val="clear" w:color="auto" w:fill="F2F2F2" w:themeFill="background1" w:themeFillShade="F2"/>
          </w:tcPr>
          <w:p w14:paraId="514C446C" w14:textId="03214D3A" w:rsidR="00FA0FEE" w:rsidRPr="007D2977" w:rsidRDefault="00FA0FEE" w:rsidP="003C4E22">
            <w:pPr>
              <w:pStyle w:val="TableTextLeft"/>
              <w:jc w:val="left"/>
            </w:pPr>
            <w:r w:rsidRPr="007D2977">
              <w:t>13. Capital Gains</w:t>
            </w:r>
          </w:p>
        </w:tc>
        <w:tc>
          <w:tcPr>
            <w:tcW w:w="1802" w:type="dxa"/>
            <w:shd w:val="clear" w:color="auto" w:fill="F2F2F2" w:themeFill="background1" w:themeFillShade="F2"/>
          </w:tcPr>
          <w:p w14:paraId="02743111" w14:textId="095CEE0D" w:rsidR="00FA0FEE" w:rsidRPr="00DF262B" w:rsidRDefault="00E52E1B" w:rsidP="003C4E22">
            <w:pPr>
              <w:pStyle w:val="TableTextLeft"/>
              <w:jc w:val="left"/>
            </w:pPr>
            <w:r w:rsidRPr="00DF262B">
              <w:t xml:space="preserve">Adopt para 1 </w:t>
            </w:r>
            <w:r w:rsidR="00336914" w:rsidRPr="00DF262B">
              <w:t>with 9(6)(</w:t>
            </w:r>
            <w:r w:rsidR="00AF34C7">
              <w:t>e</w:t>
            </w:r>
            <w:r w:rsidR="00336914" w:rsidRPr="00DF262B">
              <w:t>)</w:t>
            </w:r>
            <w:r w:rsidR="00AF34C7">
              <w:t>, do not adopt 9(4)</w:t>
            </w:r>
          </w:p>
        </w:tc>
      </w:tr>
      <w:tr w:rsidR="00FA0FEE" w:rsidRPr="00E978D2" w14:paraId="2CFE1415" w14:textId="3E8B0ED3" w:rsidTr="00D961EE">
        <w:trPr>
          <w:trHeight w:val="20"/>
        </w:trPr>
        <w:tc>
          <w:tcPr>
            <w:tcW w:w="3329" w:type="dxa"/>
            <w:shd w:val="clear" w:color="auto" w:fill="F2F2F2" w:themeFill="background1" w:themeFillShade="F2"/>
          </w:tcPr>
          <w:p w14:paraId="24B3A04E" w14:textId="1A14AA38" w:rsidR="00FA0FEE" w:rsidRPr="007D2977" w:rsidRDefault="00FA0FEE" w:rsidP="003C4E22">
            <w:pPr>
              <w:pStyle w:val="TableTextLeft"/>
              <w:jc w:val="left"/>
            </w:pPr>
            <w:r w:rsidRPr="007D2977">
              <w:t>10. Anti</w:t>
            </w:r>
            <w:r w:rsidR="00740B66">
              <w:noBreakHyphen/>
            </w:r>
            <w:r w:rsidRPr="007D2977">
              <w:t>abuse Rules for Permanent Establishments Located in Third Jurisdictions</w:t>
            </w:r>
          </w:p>
        </w:tc>
        <w:tc>
          <w:tcPr>
            <w:tcW w:w="1988" w:type="dxa"/>
            <w:shd w:val="clear" w:color="auto" w:fill="F2F2F2" w:themeFill="background1" w:themeFillShade="F2"/>
          </w:tcPr>
          <w:p w14:paraId="1A19A994" w14:textId="1F0ADB06" w:rsidR="00FA0FEE" w:rsidRPr="007D2977" w:rsidRDefault="00FA0FEE" w:rsidP="003C4E22">
            <w:pPr>
              <w:pStyle w:val="TableTextLeft"/>
              <w:jc w:val="left"/>
            </w:pPr>
            <w:r w:rsidRPr="007D2977">
              <w:t>Action 6</w:t>
            </w:r>
          </w:p>
        </w:tc>
        <w:tc>
          <w:tcPr>
            <w:tcW w:w="2059" w:type="dxa"/>
            <w:shd w:val="clear" w:color="auto" w:fill="F2F2F2" w:themeFill="background1" w:themeFillShade="F2"/>
          </w:tcPr>
          <w:p w14:paraId="658B530D" w14:textId="7E813E62" w:rsidR="00FA0FEE" w:rsidRPr="007D2977" w:rsidRDefault="00FA0FEE" w:rsidP="003C4E22">
            <w:pPr>
              <w:pStyle w:val="TableTextLeft"/>
              <w:jc w:val="left"/>
            </w:pPr>
            <w:r w:rsidRPr="007D2977">
              <w:t xml:space="preserve">No equivalent </w:t>
            </w:r>
          </w:p>
        </w:tc>
        <w:tc>
          <w:tcPr>
            <w:tcW w:w="1802" w:type="dxa"/>
            <w:shd w:val="clear" w:color="auto" w:fill="F2F2F2" w:themeFill="background1" w:themeFillShade="F2"/>
          </w:tcPr>
          <w:p w14:paraId="77C49097" w14:textId="4D250F76" w:rsidR="00FA0FEE" w:rsidRPr="002D43B8" w:rsidRDefault="00F67154" w:rsidP="003C4E22">
            <w:pPr>
              <w:pStyle w:val="TableTextLeft"/>
              <w:jc w:val="left"/>
            </w:pPr>
            <w:r w:rsidRPr="002D43B8">
              <w:t>Do not adopt</w:t>
            </w:r>
          </w:p>
        </w:tc>
      </w:tr>
      <w:tr w:rsidR="00FA0FEE" w:rsidRPr="00E978D2" w14:paraId="7F543567" w14:textId="4AEBDCD4" w:rsidTr="00D961EE">
        <w:trPr>
          <w:trHeight w:val="20"/>
        </w:trPr>
        <w:tc>
          <w:tcPr>
            <w:tcW w:w="3329" w:type="dxa"/>
            <w:shd w:val="clear" w:color="auto" w:fill="F2F2F2" w:themeFill="background1" w:themeFillShade="F2"/>
          </w:tcPr>
          <w:p w14:paraId="2A5534DC" w14:textId="2B994916" w:rsidR="00FA0FEE" w:rsidRPr="007D2977" w:rsidRDefault="00FA0FEE" w:rsidP="003C4E22">
            <w:pPr>
              <w:pStyle w:val="TableTextLeft"/>
              <w:jc w:val="left"/>
            </w:pPr>
            <w:r w:rsidRPr="007D2977">
              <w:t>11. Application of Agreements to Restrict a Party</w:t>
            </w:r>
            <w:r w:rsidR="00740B66">
              <w:t>’</w:t>
            </w:r>
            <w:r w:rsidRPr="007D2977">
              <w:t>s Right to Tax its Own Residents</w:t>
            </w:r>
          </w:p>
        </w:tc>
        <w:tc>
          <w:tcPr>
            <w:tcW w:w="1988" w:type="dxa"/>
            <w:shd w:val="clear" w:color="auto" w:fill="F2F2F2" w:themeFill="background1" w:themeFillShade="F2"/>
          </w:tcPr>
          <w:p w14:paraId="21D99D7C" w14:textId="556121AF" w:rsidR="00FA0FEE" w:rsidRPr="007D2977" w:rsidRDefault="00FA0FEE" w:rsidP="003C4E22">
            <w:pPr>
              <w:pStyle w:val="TableTextLeft"/>
              <w:jc w:val="left"/>
            </w:pPr>
            <w:r w:rsidRPr="007D2977">
              <w:t>Action</w:t>
            </w:r>
            <w:r>
              <w:t xml:space="preserve"> </w:t>
            </w:r>
            <w:r w:rsidRPr="007D2977">
              <w:t xml:space="preserve">6 </w:t>
            </w:r>
          </w:p>
        </w:tc>
        <w:tc>
          <w:tcPr>
            <w:tcW w:w="2059" w:type="dxa"/>
            <w:shd w:val="clear" w:color="auto" w:fill="F2F2F2" w:themeFill="background1" w:themeFillShade="F2"/>
          </w:tcPr>
          <w:p w14:paraId="347B756A" w14:textId="0A5610DE" w:rsidR="00FA0FEE" w:rsidRPr="007D2977" w:rsidRDefault="00FA0FEE" w:rsidP="003C4E22">
            <w:pPr>
              <w:pStyle w:val="TableTextLeft"/>
              <w:jc w:val="left"/>
            </w:pPr>
            <w:r w:rsidRPr="007D2977">
              <w:t>No equivalent</w:t>
            </w:r>
          </w:p>
        </w:tc>
        <w:tc>
          <w:tcPr>
            <w:tcW w:w="1802" w:type="dxa"/>
            <w:shd w:val="clear" w:color="auto" w:fill="F2F2F2" w:themeFill="background1" w:themeFillShade="F2"/>
          </w:tcPr>
          <w:p w14:paraId="5583811D" w14:textId="104C0246" w:rsidR="00FA0FEE" w:rsidRPr="002D43B8" w:rsidRDefault="00F67154" w:rsidP="003C4E22">
            <w:pPr>
              <w:pStyle w:val="TableTextLeft"/>
              <w:jc w:val="left"/>
            </w:pPr>
            <w:r w:rsidRPr="00DF262B">
              <w:t>Adopt with 11</w:t>
            </w:r>
            <w:r w:rsidR="00336914" w:rsidRPr="00DF262B">
              <w:t>(3)</w:t>
            </w:r>
            <w:r w:rsidRPr="00DF262B">
              <w:t>(b)</w:t>
            </w:r>
          </w:p>
        </w:tc>
      </w:tr>
      <w:tr w:rsidR="00FA0FEE" w:rsidRPr="00E978D2" w14:paraId="69D0063E" w14:textId="30FD160B" w:rsidTr="00D961EE">
        <w:trPr>
          <w:trHeight w:val="20"/>
        </w:trPr>
        <w:tc>
          <w:tcPr>
            <w:tcW w:w="3329" w:type="dxa"/>
            <w:shd w:val="clear" w:color="auto" w:fill="F2F2F2" w:themeFill="background1" w:themeFillShade="F2"/>
          </w:tcPr>
          <w:p w14:paraId="5C919EB6" w14:textId="290DD354" w:rsidR="00FA0FEE" w:rsidRPr="007D2977" w:rsidRDefault="00FA0FEE" w:rsidP="003C4E22">
            <w:pPr>
              <w:pStyle w:val="TableTextLeft"/>
              <w:jc w:val="left"/>
            </w:pPr>
            <w:r w:rsidRPr="007D2977">
              <w:t xml:space="preserve">12. Artificial Avoidance of Permanent Establishment Status through </w:t>
            </w:r>
            <w:proofErr w:type="spellStart"/>
            <w:r w:rsidRPr="007D2977">
              <w:t>Commission</w:t>
            </w:r>
            <w:r w:rsidR="005565DE">
              <w:t>n</w:t>
            </w:r>
            <w:r w:rsidRPr="007D2977">
              <w:t>aire</w:t>
            </w:r>
            <w:proofErr w:type="spellEnd"/>
            <w:r w:rsidRPr="007D2977">
              <w:t xml:space="preserve"> Arrangements and Similar Strategies</w:t>
            </w:r>
          </w:p>
        </w:tc>
        <w:tc>
          <w:tcPr>
            <w:tcW w:w="1988" w:type="dxa"/>
            <w:shd w:val="clear" w:color="auto" w:fill="F2F2F2" w:themeFill="background1" w:themeFillShade="F2"/>
          </w:tcPr>
          <w:p w14:paraId="59829457" w14:textId="59D63EE3" w:rsidR="00FA0FEE" w:rsidRPr="007D2977" w:rsidRDefault="00FA0FEE" w:rsidP="003C4E22">
            <w:pPr>
              <w:pStyle w:val="TableTextLeft"/>
              <w:jc w:val="left"/>
            </w:pPr>
            <w:r w:rsidRPr="007D2977">
              <w:t>Action 7 (</w:t>
            </w:r>
            <w:r>
              <w:t>PE s</w:t>
            </w:r>
            <w:r w:rsidRPr="007D2977">
              <w:t>tatus)</w:t>
            </w:r>
          </w:p>
        </w:tc>
        <w:tc>
          <w:tcPr>
            <w:tcW w:w="2059" w:type="dxa"/>
            <w:shd w:val="clear" w:color="auto" w:fill="F2F2F2" w:themeFill="background1" w:themeFillShade="F2"/>
          </w:tcPr>
          <w:p w14:paraId="0181C0D9" w14:textId="0B376774" w:rsidR="00FA0FEE" w:rsidRPr="007D2977" w:rsidRDefault="00FA0FEE" w:rsidP="003C4E22">
            <w:pPr>
              <w:pStyle w:val="TableTextLeft"/>
              <w:jc w:val="left"/>
            </w:pPr>
            <w:r w:rsidRPr="007D2977">
              <w:t>5. Permanent Establishment</w:t>
            </w:r>
          </w:p>
        </w:tc>
        <w:tc>
          <w:tcPr>
            <w:tcW w:w="1802" w:type="dxa"/>
            <w:shd w:val="clear" w:color="auto" w:fill="F2F2F2" w:themeFill="background1" w:themeFillShade="F2"/>
          </w:tcPr>
          <w:p w14:paraId="78437C09" w14:textId="65CF3F8D" w:rsidR="00FA0FEE" w:rsidRPr="002D43B8" w:rsidRDefault="00F67154" w:rsidP="003C4E22">
            <w:pPr>
              <w:pStyle w:val="TableTextLeft"/>
              <w:jc w:val="left"/>
            </w:pPr>
            <w:r w:rsidRPr="002D43B8">
              <w:t>Adopt in full</w:t>
            </w:r>
          </w:p>
        </w:tc>
      </w:tr>
      <w:tr w:rsidR="00FA0FEE" w:rsidRPr="00E978D2" w14:paraId="0257941A" w14:textId="4FFA4F84" w:rsidTr="00D961EE">
        <w:trPr>
          <w:trHeight w:val="20"/>
        </w:trPr>
        <w:tc>
          <w:tcPr>
            <w:tcW w:w="3329" w:type="dxa"/>
            <w:shd w:val="clear" w:color="auto" w:fill="F2F2F2" w:themeFill="background1" w:themeFillShade="F2"/>
          </w:tcPr>
          <w:p w14:paraId="6C8C6851" w14:textId="67889093" w:rsidR="00FA0FEE" w:rsidRPr="007D2977" w:rsidRDefault="00FA0FEE" w:rsidP="003C4E22">
            <w:pPr>
              <w:pStyle w:val="TableTextLeft"/>
              <w:jc w:val="left"/>
            </w:pPr>
            <w:r w:rsidRPr="007D2977">
              <w:t>13. Artificial Avoidance of Permanent Establishment Status through the Specific Activity Exemptions</w:t>
            </w:r>
          </w:p>
        </w:tc>
        <w:tc>
          <w:tcPr>
            <w:tcW w:w="1988" w:type="dxa"/>
            <w:shd w:val="clear" w:color="auto" w:fill="F2F2F2" w:themeFill="background1" w:themeFillShade="F2"/>
          </w:tcPr>
          <w:p w14:paraId="618AD107" w14:textId="290BE9E1" w:rsidR="00FA0FEE" w:rsidRPr="007D2977" w:rsidRDefault="00FA0FEE" w:rsidP="003C4E22">
            <w:pPr>
              <w:pStyle w:val="TableTextLeft"/>
              <w:jc w:val="left"/>
            </w:pPr>
            <w:r w:rsidRPr="007D2977">
              <w:t>Action 7</w:t>
            </w:r>
          </w:p>
        </w:tc>
        <w:tc>
          <w:tcPr>
            <w:tcW w:w="2059" w:type="dxa"/>
            <w:shd w:val="clear" w:color="auto" w:fill="F2F2F2" w:themeFill="background1" w:themeFillShade="F2"/>
          </w:tcPr>
          <w:p w14:paraId="2581DF13" w14:textId="49181349" w:rsidR="00FA0FEE" w:rsidRPr="007D2977" w:rsidRDefault="00FA0FEE" w:rsidP="003C4E22">
            <w:pPr>
              <w:pStyle w:val="TableTextLeft"/>
              <w:jc w:val="left"/>
            </w:pPr>
            <w:r w:rsidRPr="007D2977">
              <w:t>5. Permanent Establishment</w:t>
            </w:r>
          </w:p>
        </w:tc>
        <w:tc>
          <w:tcPr>
            <w:tcW w:w="1802" w:type="dxa"/>
            <w:shd w:val="clear" w:color="auto" w:fill="F2F2F2" w:themeFill="background1" w:themeFillShade="F2"/>
          </w:tcPr>
          <w:p w14:paraId="50C96A85" w14:textId="1C140682" w:rsidR="00FA0FEE" w:rsidRPr="002D43B8" w:rsidRDefault="00F67154" w:rsidP="003C4E22">
            <w:pPr>
              <w:pStyle w:val="TableTextLeft"/>
              <w:jc w:val="left"/>
            </w:pPr>
            <w:r w:rsidRPr="00DF262B">
              <w:t>Adopt</w:t>
            </w:r>
            <w:r w:rsidR="00AF34C7">
              <w:t xml:space="preserve"> with</w:t>
            </w:r>
            <w:r w:rsidRPr="00DF262B">
              <w:t xml:space="preserve"> Option</w:t>
            </w:r>
            <w:r w:rsidR="00CB2C9E">
              <w:t> </w:t>
            </w:r>
            <w:r w:rsidRPr="00DF262B">
              <w:t>A</w:t>
            </w:r>
            <w:r w:rsidR="00AF34C7">
              <w:t>, and</w:t>
            </w:r>
            <w:r w:rsidRPr="00DF262B">
              <w:t xml:space="preserve"> </w:t>
            </w:r>
            <w:r w:rsidR="00336914" w:rsidRPr="00DF262B">
              <w:t>perhaps w</w:t>
            </w:r>
            <w:r w:rsidRPr="00DF262B">
              <w:t>ith 13</w:t>
            </w:r>
            <w:r w:rsidR="00336914" w:rsidRPr="00DF262B">
              <w:t>(6)</w:t>
            </w:r>
            <w:r w:rsidRPr="00DF262B">
              <w:t>(b)</w:t>
            </w:r>
          </w:p>
        </w:tc>
      </w:tr>
      <w:tr w:rsidR="00FA0FEE" w:rsidRPr="00E978D2" w14:paraId="1E24FC91" w14:textId="5A085BEA" w:rsidTr="00D961EE">
        <w:trPr>
          <w:trHeight w:val="20"/>
        </w:trPr>
        <w:tc>
          <w:tcPr>
            <w:tcW w:w="3329" w:type="dxa"/>
            <w:shd w:val="clear" w:color="auto" w:fill="F2F2F2" w:themeFill="background1" w:themeFillShade="F2"/>
          </w:tcPr>
          <w:p w14:paraId="74D965C2" w14:textId="2798E0D4" w:rsidR="00FA0FEE" w:rsidRPr="007D2977" w:rsidRDefault="00FA0FEE" w:rsidP="003C4E22">
            <w:pPr>
              <w:pStyle w:val="TableTextLeft"/>
              <w:jc w:val="left"/>
            </w:pPr>
            <w:r w:rsidRPr="007D2977">
              <w:t>14. Splitting</w:t>
            </w:r>
            <w:r w:rsidR="00740B66">
              <w:noBreakHyphen/>
            </w:r>
            <w:r w:rsidRPr="007D2977">
              <w:t>up of Contracts</w:t>
            </w:r>
          </w:p>
        </w:tc>
        <w:tc>
          <w:tcPr>
            <w:tcW w:w="1988" w:type="dxa"/>
            <w:shd w:val="clear" w:color="auto" w:fill="F2F2F2" w:themeFill="background1" w:themeFillShade="F2"/>
          </w:tcPr>
          <w:p w14:paraId="5321CC26" w14:textId="494E1316" w:rsidR="00FA0FEE" w:rsidRPr="007D2977" w:rsidRDefault="00FA0FEE" w:rsidP="003C4E22">
            <w:pPr>
              <w:pStyle w:val="TableTextLeft"/>
              <w:jc w:val="left"/>
            </w:pPr>
            <w:r w:rsidRPr="007D2977">
              <w:t>Action</w:t>
            </w:r>
            <w:r>
              <w:t xml:space="preserve"> </w:t>
            </w:r>
            <w:r w:rsidRPr="007D2977">
              <w:t>7</w:t>
            </w:r>
          </w:p>
        </w:tc>
        <w:tc>
          <w:tcPr>
            <w:tcW w:w="2059" w:type="dxa"/>
            <w:shd w:val="clear" w:color="auto" w:fill="F2F2F2" w:themeFill="background1" w:themeFillShade="F2"/>
          </w:tcPr>
          <w:p w14:paraId="52A1A432" w14:textId="474A5E20" w:rsidR="00FA0FEE" w:rsidRPr="007D2977" w:rsidRDefault="00CB2C9E" w:rsidP="003C4E22">
            <w:pPr>
              <w:pStyle w:val="TableTextLeft"/>
              <w:jc w:val="left"/>
            </w:pPr>
            <w:r>
              <w:t>No equivalent</w:t>
            </w:r>
          </w:p>
        </w:tc>
        <w:tc>
          <w:tcPr>
            <w:tcW w:w="1802" w:type="dxa"/>
            <w:shd w:val="clear" w:color="auto" w:fill="F2F2F2" w:themeFill="background1" w:themeFillShade="F2"/>
          </w:tcPr>
          <w:p w14:paraId="0DBAF38E" w14:textId="04A3EAFC" w:rsidR="00FA0FEE" w:rsidRPr="002D43B8" w:rsidRDefault="00F67154" w:rsidP="003C4E22">
            <w:pPr>
              <w:pStyle w:val="TableTextLeft"/>
              <w:jc w:val="left"/>
            </w:pPr>
            <w:r w:rsidRPr="002D43B8">
              <w:t>Adopt</w:t>
            </w:r>
            <w:r w:rsidR="00CB2C9E">
              <w:t>,</w:t>
            </w:r>
            <w:r w:rsidRPr="002D43B8">
              <w:t xml:space="preserve"> </w:t>
            </w:r>
            <w:r w:rsidR="002D43B8" w:rsidRPr="002D43B8">
              <w:t>perhaps with 14(3)(b)</w:t>
            </w:r>
          </w:p>
        </w:tc>
      </w:tr>
      <w:tr w:rsidR="00FA0FEE" w:rsidRPr="00E978D2" w14:paraId="68E74F0F" w14:textId="581E565E" w:rsidTr="00D961EE">
        <w:trPr>
          <w:trHeight w:val="20"/>
        </w:trPr>
        <w:tc>
          <w:tcPr>
            <w:tcW w:w="3329" w:type="dxa"/>
            <w:shd w:val="clear" w:color="auto" w:fill="F2F2F2" w:themeFill="background1" w:themeFillShade="F2"/>
          </w:tcPr>
          <w:p w14:paraId="0BF9F775" w14:textId="66DB2CB9" w:rsidR="00FA0FEE" w:rsidRPr="007D2977" w:rsidRDefault="00FA0FEE" w:rsidP="003C4E22">
            <w:pPr>
              <w:pStyle w:val="TableTextLeft"/>
              <w:jc w:val="left"/>
            </w:pPr>
            <w:r w:rsidRPr="007D2977">
              <w:t>15. Definition of a Person Closely Related to an Enterprise</w:t>
            </w:r>
          </w:p>
        </w:tc>
        <w:tc>
          <w:tcPr>
            <w:tcW w:w="1988" w:type="dxa"/>
            <w:shd w:val="clear" w:color="auto" w:fill="F2F2F2" w:themeFill="background1" w:themeFillShade="F2"/>
          </w:tcPr>
          <w:p w14:paraId="0F970080" w14:textId="014FA707" w:rsidR="00FA0FEE" w:rsidRPr="007D2977" w:rsidRDefault="00FA0FEE" w:rsidP="003C4E22">
            <w:pPr>
              <w:pStyle w:val="TableTextLeft"/>
              <w:jc w:val="left"/>
            </w:pPr>
            <w:r w:rsidRPr="007D2977">
              <w:t>Action 7</w:t>
            </w:r>
          </w:p>
        </w:tc>
        <w:tc>
          <w:tcPr>
            <w:tcW w:w="2059" w:type="dxa"/>
            <w:shd w:val="clear" w:color="auto" w:fill="F2F2F2" w:themeFill="background1" w:themeFillShade="F2"/>
          </w:tcPr>
          <w:p w14:paraId="2EFADC6F" w14:textId="0B09D49C" w:rsidR="00FA0FEE" w:rsidRPr="007D2977" w:rsidRDefault="00CB2C9E" w:rsidP="003C4E22">
            <w:pPr>
              <w:pStyle w:val="TableTextLeft"/>
              <w:jc w:val="left"/>
            </w:pPr>
            <w:r>
              <w:t>No equivalent</w:t>
            </w:r>
            <w:r w:rsidR="00FA0FEE" w:rsidRPr="007D2977">
              <w:t xml:space="preserve"> </w:t>
            </w:r>
          </w:p>
        </w:tc>
        <w:tc>
          <w:tcPr>
            <w:tcW w:w="1802" w:type="dxa"/>
            <w:shd w:val="clear" w:color="auto" w:fill="F2F2F2" w:themeFill="background1" w:themeFillShade="F2"/>
          </w:tcPr>
          <w:p w14:paraId="1EE42E70" w14:textId="262B494E" w:rsidR="00FA0FEE" w:rsidRPr="002D43B8" w:rsidRDefault="00F67154" w:rsidP="003C4E22">
            <w:pPr>
              <w:pStyle w:val="TableTextLeft"/>
              <w:jc w:val="left"/>
            </w:pPr>
            <w:r w:rsidRPr="002D43B8">
              <w:t>Adopt in full</w:t>
            </w:r>
          </w:p>
        </w:tc>
      </w:tr>
      <w:tr w:rsidR="00FA0FEE" w:rsidRPr="00E978D2" w14:paraId="3DEF6A60" w14:textId="32D653CF" w:rsidTr="00D961EE">
        <w:trPr>
          <w:trHeight w:val="20"/>
        </w:trPr>
        <w:tc>
          <w:tcPr>
            <w:tcW w:w="3329" w:type="dxa"/>
            <w:shd w:val="clear" w:color="auto" w:fill="F2F2F2" w:themeFill="background1" w:themeFillShade="F2"/>
          </w:tcPr>
          <w:p w14:paraId="0CD0F042" w14:textId="12710227" w:rsidR="00FA0FEE" w:rsidRPr="00AA2F34" w:rsidRDefault="00FA0FEE" w:rsidP="003C4E22">
            <w:pPr>
              <w:pStyle w:val="TableTextLeft"/>
              <w:jc w:val="left"/>
              <w:rPr>
                <w:b/>
              </w:rPr>
            </w:pPr>
            <w:r w:rsidRPr="00AA2F34">
              <w:rPr>
                <w:b/>
              </w:rPr>
              <w:t>16. Mutual Agreement Procedure</w:t>
            </w:r>
            <w:r w:rsidR="005565DE">
              <w:rPr>
                <w:b/>
              </w:rPr>
              <w:t>*</w:t>
            </w:r>
            <w:r w:rsidR="00330F12">
              <w:rPr>
                <w:b/>
              </w:rPr>
              <w:t xml:space="preserve"> (M)</w:t>
            </w:r>
          </w:p>
        </w:tc>
        <w:tc>
          <w:tcPr>
            <w:tcW w:w="1988" w:type="dxa"/>
            <w:shd w:val="clear" w:color="auto" w:fill="F2F2F2" w:themeFill="background1" w:themeFillShade="F2"/>
          </w:tcPr>
          <w:p w14:paraId="469DC67A" w14:textId="071AEDCA" w:rsidR="00FA0FEE" w:rsidRPr="00AA2F34" w:rsidRDefault="00FA0FEE" w:rsidP="003C4E22">
            <w:pPr>
              <w:pStyle w:val="TableTextLeft"/>
              <w:jc w:val="left"/>
              <w:rPr>
                <w:b/>
              </w:rPr>
            </w:pPr>
            <w:r w:rsidRPr="00AA2F34">
              <w:rPr>
                <w:b/>
              </w:rPr>
              <w:t>Action 14 (Dispute resolution)</w:t>
            </w:r>
          </w:p>
        </w:tc>
        <w:tc>
          <w:tcPr>
            <w:tcW w:w="2059" w:type="dxa"/>
            <w:shd w:val="clear" w:color="auto" w:fill="F2F2F2" w:themeFill="background1" w:themeFillShade="F2"/>
          </w:tcPr>
          <w:p w14:paraId="2DD4207F" w14:textId="132E1621" w:rsidR="00FA0FEE" w:rsidRPr="00AA2F34" w:rsidRDefault="00CB2C9E" w:rsidP="003C4E22">
            <w:pPr>
              <w:pStyle w:val="TableTextLeft"/>
              <w:jc w:val="left"/>
              <w:rPr>
                <w:b/>
              </w:rPr>
            </w:pPr>
            <w:r>
              <w:rPr>
                <w:b/>
              </w:rPr>
              <w:t>25</w:t>
            </w:r>
            <w:r w:rsidR="00FA0FEE" w:rsidRPr="00AA2F34">
              <w:rPr>
                <w:b/>
              </w:rPr>
              <w:t>. Mutual Agreement Procedure</w:t>
            </w:r>
            <w:r w:rsidR="00AA2F34">
              <w:rPr>
                <w:b/>
              </w:rPr>
              <w:t xml:space="preserve"> (MAP)</w:t>
            </w:r>
          </w:p>
        </w:tc>
        <w:tc>
          <w:tcPr>
            <w:tcW w:w="1802" w:type="dxa"/>
            <w:shd w:val="clear" w:color="auto" w:fill="F2F2F2" w:themeFill="background1" w:themeFillShade="F2"/>
          </w:tcPr>
          <w:p w14:paraId="6359ECDC" w14:textId="65A80AC1" w:rsidR="00FA0FEE" w:rsidRPr="002D43B8" w:rsidRDefault="00F67154" w:rsidP="003C4E22">
            <w:pPr>
              <w:pStyle w:val="TableTextLeft"/>
              <w:jc w:val="left"/>
              <w:rPr>
                <w:b/>
              </w:rPr>
            </w:pPr>
            <w:r w:rsidRPr="002D43B8">
              <w:rPr>
                <w:b/>
              </w:rPr>
              <w:t>Adopt in full</w:t>
            </w:r>
          </w:p>
        </w:tc>
      </w:tr>
      <w:tr w:rsidR="00FA0FEE" w:rsidRPr="00E978D2" w14:paraId="128000A5" w14:textId="0BE0AAC3" w:rsidTr="00D961EE">
        <w:trPr>
          <w:trHeight w:val="20"/>
        </w:trPr>
        <w:tc>
          <w:tcPr>
            <w:tcW w:w="3329" w:type="dxa"/>
            <w:shd w:val="clear" w:color="auto" w:fill="F2F2F2" w:themeFill="background1" w:themeFillShade="F2"/>
          </w:tcPr>
          <w:p w14:paraId="24D0AE3B" w14:textId="1FAAB7E8" w:rsidR="00FA0FEE" w:rsidRPr="00AA2F34" w:rsidRDefault="00FA0FEE" w:rsidP="003C4E22">
            <w:pPr>
              <w:pStyle w:val="TableTextLeft"/>
              <w:jc w:val="left"/>
            </w:pPr>
            <w:r w:rsidRPr="00AA2F34">
              <w:t xml:space="preserve">17. Corresponding Adjustments </w:t>
            </w:r>
          </w:p>
        </w:tc>
        <w:tc>
          <w:tcPr>
            <w:tcW w:w="1988" w:type="dxa"/>
            <w:shd w:val="clear" w:color="auto" w:fill="F2F2F2" w:themeFill="background1" w:themeFillShade="F2"/>
          </w:tcPr>
          <w:p w14:paraId="74B8E09A" w14:textId="3E547C3D" w:rsidR="00FA0FEE" w:rsidRPr="00AA2F34" w:rsidRDefault="00FA0FEE" w:rsidP="003C4E22">
            <w:pPr>
              <w:pStyle w:val="TableTextLeft"/>
              <w:jc w:val="left"/>
            </w:pPr>
            <w:r w:rsidRPr="00AA2F34">
              <w:t>Action 14</w:t>
            </w:r>
          </w:p>
        </w:tc>
        <w:tc>
          <w:tcPr>
            <w:tcW w:w="2059" w:type="dxa"/>
            <w:shd w:val="clear" w:color="auto" w:fill="F2F2F2" w:themeFill="background1" w:themeFillShade="F2"/>
          </w:tcPr>
          <w:p w14:paraId="738D659C" w14:textId="4A2F16F6" w:rsidR="00FA0FEE" w:rsidRPr="00AA2F34" w:rsidRDefault="00FA0FEE" w:rsidP="003C4E22">
            <w:pPr>
              <w:pStyle w:val="TableTextLeft"/>
              <w:jc w:val="left"/>
            </w:pPr>
            <w:r w:rsidRPr="00AA2F34">
              <w:t>9. Associated Enterprises</w:t>
            </w:r>
          </w:p>
        </w:tc>
        <w:tc>
          <w:tcPr>
            <w:tcW w:w="1802" w:type="dxa"/>
            <w:shd w:val="clear" w:color="auto" w:fill="F2F2F2" w:themeFill="background1" w:themeFillShade="F2"/>
          </w:tcPr>
          <w:p w14:paraId="4503B176" w14:textId="6A139EF7" w:rsidR="00FA0FEE" w:rsidRPr="002D43B8" w:rsidRDefault="00F67154" w:rsidP="003C4E22">
            <w:pPr>
              <w:pStyle w:val="TableTextLeft"/>
              <w:jc w:val="left"/>
            </w:pPr>
            <w:r w:rsidRPr="00DF262B">
              <w:t>Adopt with 17</w:t>
            </w:r>
            <w:r w:rsidR="002D43B8" w:rsidRPr="00DF262B">
              <w:t>(3)</w:t>
            </w:r>
            <w:r w:rsidRPr="00DF262B">
              <w:t>(</w:t>
            </w:r>
            <w:r w:rsidR="002D43B8" w:rsidRPr="00DF262B">
              <w:t>a</w:t>
            </w:r>
            <w:r w:rsidRPr="00DF262B">
              <w:t>)</w:t>
            </w:r>
          </w:p>
        </w:tc>
      </w:tr>
      <w:tr w:rsidR="00FA0FEE" w:rsidRPr="00E978D2" w14:paraId="7CDED7E7" w14:textId="39BBE5AB" w:rsidTr="00D961EE">
        <w:trPr>
          <w:trHeight w:val="20"/>
        </w:trPr>
        <w:tc>
          <w:tcPr>
            <w:tcW w:w="3329" w:type="dxa"/>
            <w:shd w:val="clear" w:color="auto" w:fill="F2F2F2" w:themeFill="background1" w:themeFillShade="F2"/>
          </w:tcPr>
          <w:p w14:paraId="53A56DDE" w14:textId="2E028BF3" w:rsidR="00FA0FEE" w:rsidRPr="007D2977" w:rsidRDefault="00FA0FEE" w:rsidP="003C4E22">
            <w:pPr>
              <w:pStyle w:val="TableTextLeft"/>
              <w:jc w:val="left"/>
              <w:rPr>
                <w:b/>
              </w:rPr>
            </w:pPr>
            <w:r w:rsidRPr="007D2977">
              <w:t>18</w:t>
            </w:r>
            <w:r w:rsidR="00740B66">
              <w:noBreakHyphen/>
            </w:r>
            <w:r w:rsidRPr="007D2977">
              <w:t xml:space="preserve">26. Arbitration </w:t>
            </w:r>
          </w:p>
        </w:tc>
        <w:tc>
          <w:tcPr>
            <w:tcW w:w="1988" w:type="dxa"/>
            <w:shd w:val="clear" w:color="auto" w:fill="F2F2F2" w:themeFill="background1" w:themeFillShade="F2"/>
          </w:tcPr>
          <w:p w14:paraId="0C74B2C5" w14:textId="035548A9" w:rsidR="00FA0FEE" w:rsidRPr="007D2977" w:rsidRDefault="007947EB" w:rsidP="003C4E22">
            <w:pPr>
              <w:pStyle w:val="TableTextLeft"/>
              <w:jc w:val="left"/>
            </w:pPr>
            <w:r w:rsidRPr="00AA2F34">
              <w:t>Action 14</w:t>
            </w:r>
          </w:p>
        </w:tc>
        <w:tc>
          <w:tcPr>
            <w:tcW w:w="2059" w:type="dxa"/>
            <w:shd w:val="clear" w:color="auto" w:fill="F2F2F2" w:themeFill="background1" w:themeFillShade="F2"/>
          </w:tcPr>
          <w:p w14:paraId="73FAF03A" w14:textId="0DC665AA" w:rsidR="00FA0FEE" w:rsidRPr="007D2977" w:rsidRDefault="00AA2F34" w:rsidP="003C4E22">
            <w:pPr>
              <w:pStyle w:val="TableTextLeft"/>
              <w:jc w:val="left"/>
            </w:pPr>
            <w:r>
              <w:t>25. MAP</w:t>
            </w:r>
          </w:p>
        </w:tc>
        <w:tc>
          <w:tcPr>
            <w:tcW w:w="1802" w:type="dxa"/>
            <w:shd w:val="clear" w:color="auto" w:fill="F2F2F2" w:themeFill="background1" w:themeFillShade="F2"/>
          </w:tcPr>
          <w:p w14:paraId="786696E0" w14:textId="0F36EEDF" w:rsidR="00FA0FEE" w:rsidRPr="002D43B8" w:rsidRDefault="002D43B8" w:rsidP="003C4E22">
            <w:pPr>
              <w:pStyle w:val="TableTextLeft"/>
              <w:jc w:val="left"/>
            </w:pPr>
            <w:r>
              <w:t>A</w:t>
            </w:r>
            <w:r w:rsidR="00F67154" w:rsidRPr="00DF262B">
              <w:t>dopt with</w:t>
            </w:r>
            <w:r w:rsidR="00BF6C99">
              <w:t xml:space="preserve"> 23(5),</w:t>
            </w:r>
            <w:r w:rsidR="00F67154" w:rsidRPr="00DF262B">
              <w:t xml:space="preserve"> </w:t>
            </w:r>
            <w:r w:rsidR="00CB2C9E">
              <w:t>28(2)(a), and perhaps 19(12)</w:t>
            </w:r>
          </w:p>
        </w:tc>
      </w:tr>
    </w:tbl>
    <w:p w14:paraId="26A29817" w14:textId="77777777" w:rsidR="003D0E82" w:rsidRDefault="003D0E82" w:rsidP="003C4E22">
      <w:pPr>
        <w:pStyle w:val="SingleParagraph"/>
      </w:pPr>
      <w:bookmarkStart w:id="40" w:name="_Toc468130081"/>
      <w:bookmarkStart w:id="41" w:name="_Toc468130575"/>
      <w:bookmarkStart w:id="42" w:name="_Toc468176010"/>
      <w:bookmarkStart w:id="43" w:name="_Toc468179930"/>
      <w:bookmarkStart w:id="44" w:name="_Toc468181332"/>
      <w:bookmarkStart w:id="45" w:name="_Toc468181473"/>
      <w:bookmarkStart w:id="46" w:name="_Toc468181566"/>
      <w:bookmarkStart w:id="47" w:name="_Toc468191314"/>
      <w:bookmarkStart w:id="48" w:name="_Toc468191511"/>
      <w:bookmarkStart w:id="49" w:name="_Toc468192043"/>
    </w:p>
    <w:p w14:paraId="53CA556B" w14:textId="3B5973AB" w:rsidR="004675FF" w:rsidRDefault="004675FF">
      <w:pPr>
        <w:pStyle w:val="Heading2"/>
      </w:pPr>
      <w:bookmarkStart w:id="50" w:name="_Toc469328373"/>
      <w:bookmarkStart w:id="51" w:name="_Toc469329028"/>
      <w:r>
        <w:t>Consultation focus questions</w:t>
      </w:r>
      <w:bookmarkEnd w:id="50"/>
      <w:bookmarkEnd w:id="51"/>
    </w:p>
    <w:tbl>
      <w:tblPr>
        <w:tblW w:w="4885" w:type="pct"/>
        <w:tblInd w:w="108" w:type="dxa"/>
        <w:shd w:val="clear" w:color="auto" w:fill="F2F2F2" w:themeFill="background1" w:themeFillShade="F2"/>
        <w:tblLook w:val="01E0" w:firstRow="1" w:lastRow="1" w:firstColumn="1" w:lastColumn="1" w:noHBand="0" w:noVBand="0"/>
      </w:tblPr>
      <w:tblGrid>
        <w:gridCol w:w="9072"/>
      </w:tblGrid>
      <w:tr w:rsidR="003C4E22" w14:paraId="1C880351" w14:textId="77777777" w:rsidTr="00D961EE">
        <w:tc>
          <w:tcPr>
            <w:tcW w:w="5000" w:type="pct"/>
            <w:shd w:val="clear" w:color="auto" w:fill="F2F2F2" w:themeFill="background1" w:themeFillShade="F2"/>
          </w:tcPr>
          <w:p w14:paraId="27896399" w14:textId="247D008B" w:rsidR="003C4E22" w:rsidRPr="003C4E22" w:rsidRDefault="003C4E22" w:rsidP="003C4E22">
            <w:pPr>
              <w:pStyle w:val="Bullet"/>
              <w:spacing w:before="240"/>
              <w:ind w:left="522" w:hanging="522"/>
            </w:pPr>
            <w:r w:rsidRPr="003C4E22">
              <w:t>Do you support Australia adopting the MLI?</w:t>
            </w:r>
          </w:p>
          <w:p w14:paraId="7F2DD66D" w14:textId="6BD71359" w:rsidR="003C4E22" w:rsidRPr="008950C5" w:rsidRDefault="003C4E22" w:rsidP="005565DE">
            <w:pPr>
              <w:pStyle w:val="Bullet"/>
            </w:pPr>
            <w:r w:rsidRPr="003C4E22">
              <w:t xml:space="preserve">Do you agree with the proposed principles (paragraph </w:t>
            </w:r>
            <w:r w:rsidR="005565DE">
              <w:t>22</w:t>
            </w:r>
            <w:r w:rsidRPr="003C4E22">
              <w:t>) to guide the Government</w:t>
            </w:r>
            <w:r w:rsidR="00740B66">
              <w:t>’</w:t>
            </w:r>
            <w:r w:rsidRPr="003C4E22">
              <w:t>s adoption of MLI articles?</w:t>
            </w:r>
          </w:p>
        </w:tc>
      </w:tr>
    </w:tbl>
    <w:p w14:paraId="2BFC8101" w14:textId="77777777" w:rsidR="00E0528F" w:rsidRDefault="00E0528F" w:rsidP="003C4E22">
      <w:pPr>
        <w:pStyle w:val="SingleParagraph"/>
      </w:pPr>
    </w:p>
    <w:tbl>
      <w:tblPr>
        <w:tblW w:w="4885" w:type="pct"/>
        <w:tblInd w:w="108" w:type="dxa"/>
        <w:shd w:val="clear" w:color="auto" w:fill="F2F2F2" w:themeFill="background1" w:themeFillShade="F2"/>
        <w:tblLook w:val="01E0" w:firstRow="1" w:lastRow="1" w:firstColumn="1" w:lastColumn="1" w:noHBand="0" w:noVBand="0"/>
      </w:tblPr>
      <w:tblGrid>
        <w:gridCol w:w="9072"/>
      </w:tblGrid>
      <w:tr w:rsidR="003C4E22" w14:paraId="19978430" w14:textId="77777777" w:rsidTr="00D961EE">
        <w:tc>
          <w:tcPr>
            <w:tcW w:w="5000" w:type="pct"/>
            <w:shd w:val="clear" w:color="auto" w:fill="F2F2F2" w:themeFill="background1" w:themeFillShade="F2"/>
          </w:tcPr>
          <w:p w14:paraId="10284AE9" w14:textId="1243400A" w:rsidR="003C4E22" w:rsidRDefault="003C4E22" w:rsidP="003C4E22">
            <w:pPr>
              <w:spacing w:before="240"/>
            </w:pPr>
            <w:r>
              <w:t>For each of the integrity rules in the MLI (articles 3</w:t>
            </w:r>
            <w:r w:rsidR="00F110EC">
              <w:t xml:space="preserve"> </w:t>
            </w:r>
            <w:r w:rsidR="005565DE">
              <w:t xml:space="preserve">- </w:t>
            </w:r>
            <w:r>
              <w:t>26):</w:t>
            </w:r>
          </w:p>
          <w:p w14:paraId="74CE94A6" w14:textId="7950883B" w:rsidR="003C4E22" w:rsidRDefault="003C4E22" w:rsidP="003C4E22">
            <w:pPr>
              <w:pStyle w:val="Bullet"/>
            </w:pPr>
            <w:r>
              <w:t>Are there any significant issues the Government should consider in its decision to adopt the rule?</w:t>
            </w:r>
          </w:p>
          <w:p w14:paraId="34299380" w14:textId="6F0371BA" w:rsidR="003C4E22" w:rsidRDefault="003C4E22" w:rsidP="003C4E22">
            <w:pPr>
              <w:pStyle w:val="Bullet"/>
            </w:pPr>
            <w:r>
              <w:t>For articles that require a choice (with respect to covered tax agreements, optional articles, optional paragraphs or reservations), which choices (or combinations</w:t>
            </w:r>
            <w:r w:rsidR="005565DE">
              <w:t xml:space="preserve"> of choices</w:t>
            </w:r>
            <w:r>
              <w:t>) do you favour and why?</w:t>
            </w:r>
          </w:p>
          <w:p w14:paraId="56551871" w14:textId="6C6DFCB6" w:rsidR="003C4E22" w:rsidRPr="008950C5" w:rsidRDefault="003C4E22" w:rsidP="003C4E22">
            <w:pPr>
              <w:pStyle w:val="Bullet"/>
            </w:pPr>
            <w:r>
              <w:t>What practical options are there to minimise any uncertainty and compliance costs associated with the adoption of the MLI?</w:t>
            </w:r>
          </w:p>
        </w:tc>
      </w:tr>
    </w:tbl>
    <w:p w14:paraId="262143D6" w14:textId="31376303" w:rsidR="004675FF" w:rsidRPr="00AE429B" w:rsidRDefault="004675FF" w:rsidP="003C4E22">
      <w:pPr>
        <w:pStyle w:val="SingleParagraph"/>
      </w:pPr>
    </w:p>
    <w:p w14:paraId="6655C3C7" w14:textId="79E5AC56" w:rsidR="00AC2840" w:rsidRPr="00E33E85" w:rsidRDefault="004675FF" w:rsidP="00E33E85">
      <w:pPr>
        <w:pStyle w:val="Heading2"/>
      </w:pPr>
      <w:r w:rsidRPr="00E33E85">
        <w:br w:type="page"/>
      </w:r>
      <w:bookmarkStart w:id="52" w:name="_Toc468191533"/>
      <w:bookmarkStart w:id="53" w:name="_Toc468192065"/>
      <w:bookmarkStart w:id="54" w:name="_Toc468288969"/>
      <w:bookmarkStart w:id="55" w:name="_Toc468288971"/>
      <w:bookmarkStart w:id="56" w:name="_Toc468711521"/>
      <w:bookmarkStart w:id="57" w:name="_Toc468726818"/>
      <w:bookmarkStart w:id="58" w:name="_Toc468191536"/>
      <w:bookmarkStart w:id="59" w:name="_Toc468192068"/>
      <w:bookmarkStart w:id="60" w:name="_Toc468288973"/>
      <w:bookmarkStart w:id="61" w:name="_Toc468711523"/>
      <w:bookmarkStart w:id="62" w:name="_Toc468726820"/>
      <w:bookmarkStart w:id="63" w:name="_Toc468726797"/>
      <w:bookmarkStart w:id="64" w:name="_Toc468732578"/>
      <w:bookmarkStart w:id="65" w:name="_Toc469329029"/>
      <w:bookmarkStart w:id="66" w:name="_Toc469328374"/>
      <w:bookmarkEnd w:id="14"/>
      <w:bookmarkEnd w:id="40"/>
      <w:bookmarkEnd w:id="41"/>
      <w:bookmarkEnd w:id="42"/>
      <w:bookmarkEnd w:id="43"/>
      <w:bookmarkEnd w:id="44"/>
      <w:bookmarkEnd w:id="45"/>
      <w:bookmarkEnd w:id="46"/>
      <w:bookmarkEnd w:id="47"/>
      <w:bookmarkEnd w:id="48"/>
      <w:bookmarkEnd w:id="49"/>
      <w:bookmarkEnd w:id="52"/>
      <w:bookmarkEnd w:id="53"/>
      <w:bookmarkEnd w:id="54"/>
      <w:bookmarkEnd w:id="55"/>
      <w:bookmarkEnd w:id="56"/>
      <w:bookmarkEnd w:id="57"/>
      <w:bookmarkEnd w:id="58"/>
      <w:bookmarkEnd w:id="59"/>
      <w:bookmarkEnd w:id="60"/>
      <w:bookmarkEnd w:id="61"/>
      <w:bookmarkEnd w:id="62"/>
      <w:r w:rsidR="00AC2840" w:rsidRPr="00E33E85">
        <w:t>Article 3</w:t>
      </w:r>
      <w:r w:rsidR="00D04E2A" w:rsidRPr="00E33E85">
        <w:t xml:space="preserve"> — </w:t>
      </w:r>
      <w:r w:rsidR="00AC2840" w:rsidRPr="00E33E85">
        <w:t>Transparent Entities</w:t>
      </w:r>
      <w:bookmarkEnd w:id="63"/>
      <w:bookmarkEnd w:id="64"/>
      <w:bookmarkEnd w:id="65"/>
      <w:r w:rsidR="00AC2840" w:rsidRPr="00E33E85">
        <w:t xml:space="preserve"> </w:t>
      </w:r>
      <w:bookmarkEnd w:id="66"/>
    </w:p>
    <w:p w14:paraId="2EDB8AA3" w14:textId="552B03AA" w:rsidR="00AC2840" w:rsidRPr="003832A2" w:rsidRDefault="00AC2840" w:rsidP="00132B48">
      <w:pPr>
        <w:spacing w:before="240"/>
        <w:jc w:val="left"/>
        <w:rPr>
          <w:szCs w:val="22"/>
        </w:rPr>
      </w:pPr>
      <w:r w:rsidRPr="002A2DEF">
        <w:rPr>
          <w:szCs w:val="22"/>
        </w:rPr>
        <w:t>Article 3 implements recommendations outlined in the BEPS Action 2 (Neutralising the Effects of Hybrid Mismatch Arrangements) report (see page</w:t>
      </w:r>
      <w:r>
        <w:rPr>
          <w:szCs w:val="22"/>
        </w:rPr>
        <w:t>s</w:t>
      </w:r>
      <w:r w:rsidRPr="002A2DEF">
        <w:rPr>
          <w:szCs w:val="22"/>
        </w:rPr>
        <w:t xml:space="preserve"> 139</w:t>
      </w:r>
      <w:r>
        <w:rPr>
          <w:szCs w:val="22"/>
        </w:rPr>
        <w:t xml:space="preserve"> </w:t>
      </w:r>
      <w:r w:rsidR="005565DE">
        <w:rPr>
          <w:szCs w:val="22"/>
        </w:rPr>
        <w:t>to</w:t>
      </w:r>
      <w:r>
        <w:rPr>
          <w:szCs w:val="22"/>
        </w:rPr>
        <w:t xml:space="preserve"> 143</w:t>
      </w:r>
      <w:r w:rsidRPr="002A2DEF">
        <w:rPr>
          <w:szCs w:val="22"/>
        </w:rPr>
        <w:t xml:space="preserve"> of that report) and BEPS Action 6 </w:t>
      </w:r>
      <w:r w:rsidRPr="00254CAB">
        <w:t xml:space="preserve">(Preventing the Granting of Treaty Benefits in Inappropriate Circumstances) </w:t>
      </w:r>
      <w:r w:rsidRPr="002A2DEF">
        <w:rPr>
          <w:szCs w:val="22"/>
        </w:rPr>
        <w:t xml:space="preserve">report (see page </w:t>
      </w:r>
      <w:r w:rsidR="005565DE">
        <w:rPr>
          <w:szCs w:val="22"/>
        </w:rPr>
        <w:t>86</w:t>
      </w:r>
      <w:r w:rsidRPr="002A2DEF">
        <w:rPr>
          <w:szCs w:val="22"/>
        </w:rPr>
        <w:t xml:space="preserve"> of that report).</w:t>
      </w:r>
      <w:r w:rsidRPr="003832A2">
        <w:rPr>
          <w:szCs w:val="22"/>
        </w:rPr>
        <w:t xml:space="preserve"> </w:t>
      </w:r>
    </w:p>
    <w:p w14:paraId="37626456" w14:textId="77777777" w:rsidR="00AC2840" w:rsidRPr="003832A2" w:rsidRDefault="00AC2840" w:rsidP="003C4E22">
      <w:pPr>
        <w:pStyle w:val="Heading3"/>
      </w:pPr>
      <w:r w:rsidRPr="003832A2">
        <w:t xml:space="preserve">How does this Article address multinational tax avoidance?  </w:t>
      </w:r>
    </w:p>
    <w:p w14:paraId="54AFF7E8" w14:textId="25284E12" w:rsidR="00AC2840" w:rsidRPr="003832A2" w:rsidRDefault="00AC2840" w:rsidP="00132B48">
      <w:pPr>
        <w:jc w:val="left"/>
        <w:rPr>
          <w:szCs w:val="22"/>
        </w:rPr>
      </w:pPr>
      <w:r w:rsidRPr="003832A2">
        <w:rPr>
          <w:szCs w:val="22"/>
        </w:rPr>
        <w:t>A fiscally transparent entity (FTE) is an entity</w:t>
      </w:r>
      <w:r>
        <w:rPr>
          <w:szCs w:val="22"/>
        </w:rPr>
        <w:t xml:space="preserve"> or arrangement</w:t>
      </w:r>
      <w:r w:rsidRPr="003832A2">
        <w:rPr>
          <w:szCs w:val="22"/>
        </w:rPr>
        <w:t xml:space="preserve"> (such as a partnership or a trust) that one or both treaty partners treat as a </w:t>
      </w:r>
      <w:r w:rsidR="00740B66">
        <w:rPr>
          <w:szCs w:val="22"/>
        </w:rPr>
        <w:t>‘</w:t>
      </w:r>
      <w:r w:rsidRPr="003832A2">
        <w:rPr>
          <w:szCs w:val="22"/>
        </w:rPr>
        <w:t>flow</w:t>
      </w:r>
      <w:r w:rsidR="00740B66">
        <w:rPr>
          <w:szCs w:val="22"/>
        </w:rPr>
        <w:noBreakHyphen/>
      </w:r>
      <w:r w:rsidRPr="003832A2">
        <w:rPr>
          <w:szCs w:val="22"/>
        </w:rPr>
        <w:t>through</w:t>
      </w:r>
      <w:r w:rsidR="00740B66">
        <w:rPr>
          <w:szCs w:val="22"/>
        </w:rPr>
        <w:t>’</w:t>
      </w:r>
      <w:r w:rsidRPr="003832A2">
        <w:rPr>
          <w:szCs w:val="22"/>
        </w:rPr>
        <w:t xml:space="preserve"> vehicle. </w:t>
      </w:r>
      <w:r>
        <w:rPr>
          <w:szCs w:val="22"/>
        </w:rPr>
        <w:t>In such a case, i</w:t>
      </w:r>
      <w:r w:rsidRPr="003832A2">
        <w:rPr>
          <w:szCs w:val="22"/>
        </w:rPr>
        <w:t>ncome derived by</w:t>
      </w:r>
      <w:r>
        <w:rPr>
          <w:szCs w:val="22"/>
        </w:rPr>
        <w:t xml:space="preserve"> </w:t>
      </w:r>
      <w:r w:rsidR="00945362">
        <w:rPr>
          <w:szCs w:val="22"/>
        </w:rPr>
        <w:t xml:space="preserve">or through </w:t>
      </w:r>
      <w:r>
        <w:rPr>
          <w:szCs w:val="22"/>
        </w:rPr>
        <w:t>a</w:t>
      </w:r>
      <w:r w:rsidRPr="003832A2">
        <w:rPr>
          <w:szCs w:val="22"/>
        </w:rPr>
        <w:t xml:space="preserve"> FTE is </w:t>
      </w:r>
      <w:r>
        <w:rPr>
          <w:szCs w:val="22"/>
        </w:rPr>
        <w:t xml:space="preserve">generally treated as </w:t>
      </w:r>
      <w:r w:rsidRPr="003832A2">
        <w:rPr>
          <w:szCs w:val="22"/>
        </w:rPr>
        <w:t xml:space="preserve">taxable in the hands of the participants in the entity (such as the partners or beneficiaries) rather than </w:t>
      </w:r>
      <w:r>
        <w:rPr>
          <w:szCs w:val="22"/>
        </w:rPr>
        <w:t>in the hands of</w:t>
      </w:r>
      <w:r w:rsidRPr="003832A2">
        <w:rPr>
          <w:szCs w:val="22"/>
        </w:rPr>
        <w:t xml:space="preserve"> the entity itself.</w:t>
      </w:r>
    </w:p>
    <w:p w14:paraId="7DC64FC0" w14:textId="61B83CB7" w:rsidR="00AC2840" w:rsidRPr="002A2DEF" w:rsidRDefault="00AC2840" w:rsidP="00132B48">
      <w:pPr>
        <w:jc w:val="left"/>
      </w:pPr>
      <w:r w:rsidRPr="002A2DEF">
        <w:t xml:space="preserve">Article 3 will ensure that income derived by or through a </w:t>
      </w:r>
      <w:r w:rsidRPr="002A2DEF">
        <w:rPr>
          <w:szCs w:val="22"/>
        </w:rPr>
        <w:t>FTE</w:t>
      </w:r>
      <w:r w:rsidRPr="002A2DEF">
        <w:t xml:space="preserve"> will be </w:t>
      </w:r>
      <w:r>
        <w:t>considered to be</w:t>
      </w:r>
      <w:r w:rsidRPr="002A2DEF">
        <w:t xml:space="preserve"> </w:t>
      </w:r>
      <w:r w:rsidRPr="002A2DEF">
        <w:rPr>
          <w:szCs w:val="22"/>
        </w:rPr>
        <w:t>income of a resident for treaty purposes but only to the extent that at least one of the jurisdictions treats the income as income of one of its residents under its domestic law. This will help prevent double non</w:t>
      </w:r>
      <w:r w:rsidR="00740B66">
        <w:rPr>
          <w:szCs w:val="22"/>
        </w:rPr>
        <w:noBreakHyphen/>
      </w:r>
      <w:r w:rsidRPr="002A2DEF">
        <w:rPr>
          <w:szCs w:val="22"/>
        </w:rPr>
        <w:t xml:space="preserve">taxation (where income is not taxed in either country). </w:t>
      </w:r>
    </w:p>
    <w:p w14:paraId="3BEE7C1A" w14:textId="77777777" w:rsidR="00AC2840" w:rsidRPr="002A2DEF" w:rsidRDefault="00AC2840" w:rsidP="00132B48">
      <w:pPr>
        <w:jc w:val="left"/>
        <w:rPr>
          <w:bCs/>
          <w:iCs/>
        </w:rPr>
      </w:pPr>
      <w:r w:rsidRPr="002A2DEF">
        <w:rPr>
          <w:szCs w:val="22"/>
        </w:rPr>
        <w:t xml:space="preserve">It </w:t>
      </w:r>
      <w:r w:rsidRPr="002A2DEF">
        <w:t xml:space="preserve">will also ensure that excessive double taxation relief is not granted where both </w:t>
      </w:r>
      <w:r w:rsidRPr="002A2DEF">
        <w:rPr>
          <w:szCs w:val="22"/>
        </w:rPr>
        <w:t xml:space="preserve">jurisdictions </w:t>
      </w:r>
      <w:r w:rsidRPr="002A2DEF">
        <w:t xml:space="preserve">tax the same income in the hands of different taxpayers (for example, where one taxes the partnership and the other taxes the partner). It does this by </w:t>
      </w:r>
      <w:r w:rsidRPr="002A2DEF">
        <w:rPr>
          <w:szCs w:val="22"/>
        </w:rPr>
        <w:t>clarifying</w:t>
      </w:r>
      <w:r w:rsidRPr="002A2DEF">
        <w:t xml:space="preserve"> that </w:t>
      </w:r>
      <w:r w:rsidRPr="002A2DEF">
        <w:rPr>
          <w:szCs w:val="22"/>
        </w:rPr>
        <w:t xml:space="preserve">a jurisdiction is not required </w:t>
      </w:r>
      <w:r w:rsidRPr="002A2DEF">
        <w:t xml:space="preserve">to provide </w:t>
      </w:r>
      <w:r w:rsidRPr="002A2DEF">
        <w:rPr>
          <w:szCs w:val="22"/>
        </w:rPr>
        <w:t xml:space="preserve">relief for any tax imposed in the other jurisdiction solely on the basis that it is derived by a resident of the other </w:t>
      </w:r>
      <w:r>
        <w:rPr>
          <w:szCs w:val="22"/>
        </w:rPr>
        <w:t>jurisdiction</w:t>
      </w:r>
      <w:r w:rsidRPr="002A2DEF">
        <w:rPr>
          <w:szCs w:val="22"/>
        </w:rPr>
        <w:t xml:space="preserve">. </w:t>
      </w:r>
    </w:p>
    <w:p w14:paraId="471BB4F5" w14:textId="74E7A8CA" w:rsidR="00AC2840" w:rsidRPr="003832A2" w:rsidRDefault="00AC2840" w:rsidP="00132B48">
      <w:pPr>
        <w:jc w:val="left"/>
        <w:rPr>
          <w:szCs w:val="22"/>
        </w:rPr>
      </w:pPr>
      <w:r>
        <w:rPr>
          <w:szCs w:val="22"/>
        </w:rPr>
        <w:t xml:space="preserve">Article 3 contains an optional </w:t>
      </w:r>
      <w:r w:rsidRPr="003832A2">
        <w:rPr>
          <w:szCs w:val="22"/>
        </w:rPr>
        <w:t xml:space="preserve">abridged </w:t>
      </w:r>
      <w:r w:rsidR="00740B66">
        <w:rPr>
          <w:szCs w:val="22"/>
        </w:rPr>
        <w:t>‘</w:t>
      </w:r>
      <w:r w:rsidRPr="003832A2">
        <w:rPr>
          <w:szCs w:val="22"/>
        </w:rPr>
        <w:t>saving clause</w:t>
      </w:r>
      <w:r w:rsidR="00740B66">
        <w:rPr>
          <w:szCs w:val="22"/>
        </w:rPr>
        <w:t>’</w:t>
      </w:r>
      <w:r w:rsidRPr="003832A2">
        <w:rPr>
          <w:szCs w:val="22"/>
        </w:rPr>
        <w:t xml:space="preserve"> that </w:t>
      </w:r>
      <w:r>
        <w:rPr>
          <w:szCs w:val="22"/>
        </w:rPr>
        <w:t xml:space="preserve">will </w:t>
      </w:r>
      <w:r w:rsidRPr="003832A2">
        <w:rPr>
          <w:szCs w:val="22"/>
        </w:rPr>
        <w:t>clarif</w:t>
      </w:r>
      <w:r>
        <w:rPr>
          <w:szCs w:val="22"/>
        </w:rPr>
        <w:t>y</w:t>
      </w:r>
      <w:r w:rsidRPr="003832A2">
        <w:rPr>
          <w:szCs w:val="22"/>
        </w:rPr>
        <w:t xml:space="preserve"> that Article</w:t>
      </w:r>
      <w:r>
        <w:rPr>
          <w:szCs w:val="22"/>
        </w:rPr>
        <w:t xml:space="preserve"> 3</w:t>
      </w:r>
      <w:r w:rsidRPr="003832A2">
        <w:rPr>
          <w:szCs w:val="22"/>
        </w:rPr>
        <w:t xml:space="preserve"> does</w:t>
      </w:r>
      <w:r>
        <w:rPr>
          <w:szCs w:val="22"/>
        </w:rPr>
        <w:t xml:space="preserve"> </w:t>
      </w:r>
      <w:r w:rsidRPr="003832A2">
        <w:rPr>
          <w:szCs w:val="22"/>
        </w:rPr>
        <w:t>n</w:t>
      </w:r>
      <w:r>
        <w:rPr>
          <w:szCs w:val="22"/>
        </w:rPr>
        <w:t>o</w:t>
      </w:r>
      <w:r w:rsidRPr="003832A2">
        <w:rPr>
          <w:szCs w:val="22"/>
        </w:rPr>
        <w:t xml:space="preserve">t prevent a jurisdiction </w:t>
      </w:r>
      <w:r>
        <w:rPr>
          <w:szCs w:val="22"/>
        </w:rPr>
        <w:t xml:space="preserve">from </w:t>
      </w:r>
      <w:r w:rsidRPr="003832A2">
        <w:rPr>
          <w:szCs w:val="22"/>
        </w:rPr>
        <w:t xml:space="preserve">taxing its own residents. </w:t>
      </w:r>
      <w:r>
        <w:rPr>
          <w:szCs w:val="22"/>
        </w:rPr>
        <w:t>This clause will only apply in relation to covered tax agreements where one or both Parties have chosen not to apply Article 11 of the MLI (Application of Tax Agreements to Restrict a Party</w:t>
      </w:r>
      <w:r w:rsidR="00740B66">
        <w:rPr>
          <w:szCs w:val="22"/>
        </w:rPr>
        <w:t>’</w:t>
      </w:r>
      <w:r>
        <w:rPr>
          <w:szCs w:val="22"/>
        </w:rPr>
        <w:t>s Right to Tax its Own Residents)</w:t>
      </w:r>
      <w:r w:rsidR="00D04E2A">
        <w:rPr>
          <w:szCs w:val="22"/>
        </w:rPr>
        <w:t xml:space="preserve">. </w:t>
      </w:r>
    </w:p>
    <w:p w14:paraId="0CF9E7BC" w14:textId="3E7DB8B7" w:rsidR="00AC2840" w:rsidRDefault="00AC2840" w:rsidP="003C4E22">
      <w:pPr>
        <w:pStyle w:val="Heading3"/>
      </w:pPr>
      <w:r w:rsidRPr="003832A2">
        <w:t xml:space="preserve">What are the </w:t>
      </w:r>
      <w:r>
        <w:t xml:space="preserve">adoption </w:t>
      </w:r>
      <w:r w:rsidR="003C4E22">
        <w:t>options?</w:t>
      </w:r>
    </w:p>
    <w:p w14:paraId="6A3BCAC5" w14:textId="77777777" w:rsidR="00AC2840" w:rsidRPr="005A171F" w:rsidRDefault="00AC2840" w:rsidP="003C4E22">
      <w:r w:rsidRPr="0058612D">
        <w:t>Adopt Article 3 without reservation</w:t>
      </w:r>
    </w:p>
    <w:tbl>
      <w:tblPr>
        <w:tblStyle w:val="TableGrid"/>
        <w:tblW w:w="0" w:type="auto"/>
        <w:tblInd w:w="108" w:type="dxa"/>
        <w:tblLook w:val="04A0" w:firstRow="1" w:lastRow="0" w:firstColumn="1" w:lastColumn="0" w:noHBand="0" w:noVBand="1"/>
      </w:tblPr>
      <w:tblGrid>
        <w:gridCol w:w="1134"/>
        <w:gridCol w:w="8044"/>
      </w:tblGrid>
      <w:tr w:rsidR="003C4E22" w:rsidRPr="003C4E22" w14:paraId="0D9EF518" w14:textId="77777777" w:rsidTr="003C4E22">
        <w:tc>
          <w:tcPr>
            <w:tcW w:w="1134" w:type="dxa"/>
            <w:shd w:val="clear" w:color="auto" w:fill="auto"/>
          </w:tcPr>
          <w:p w14:paraId="366FD8D3" w14:textId="2994C737" w:rsidR="003C4E22" w:rsidRPr="003C4E22" w:rsidRDefault="003C4E22" w:rsidP="00E33E85">
            <w:r>
              <w:t>3(5)(a)</w:t>
            </w:r>
          </w:p>
        </w:tc>
        <w:tc>
          <w:tcPr>
            <w:tcW w:w="8044" w:type="dxa"/>
            <w:shd w:val="clear" w:color="auto" w:fill="auto"/>
          </w:tcPr>
          <w:p w14:paraId="7BDDF8CE" w14:textId="1B054D29" w:rsidR="003C4E22" w:rsidRPr="003C4E22" w:rsidRDefault="003C4E22" w:rsidP="00E33E85">
            <w:r w:rsidRPr="003832A2">
              <w:t>Do not adopt Article 3 at all (i.e. no change to bilateral treaty rules)</w:t>
            </w:r>
          </w:p>
        </w:tc>
      </w:tr>
      <w:tr w:rsidR="003C4E22" w:rsidRPr="003C4E22" w14:paraId="790C2369" w14:textId="77777777" w:rsidTr="003C4E22">
        <w:tc>
          <w:tcPr>
            <w:tcW w:w="1134" w:type="dxa"/>
            <w:shd w:val="clear" w:color="auto" w:fill="auto"/>
          </w:tcPr>
          <w:p w14:paraId="262D4FBE" w14:textId="634BDD83" w:rsidR="003C4E22" w:rsidRPr="003C4E22" w:rsidRDefault="003C4E22" w:rsidP="00E33E85">
            <w:r w:rsidRPr="002A2DEF">
              <w:t>3(5)(b)</w:t>
            </w:r>
          </w:p>
        </w:tc>
        <w:tc>
          <w:tcPr>
            <w:tcW w:w="8044" w:type="dxa"/>
            <w:shd w:val="clear" w:color="auto" w:fill="auto"/>
          </w:tcPr>
          <w:p w14:paraId="33590471" w14:textId="287EAA51" w:rsidR="003C4E22" w:rsidRPr="003C4E22" w:rsidRDefault="003C4E22" w:rsidP="00E33E85">
            <w:r w:rsidRPr="002A2DEF">
              <w:t>Adopt Article 3 but not for treaties that already have either a general or detailed FTE provision</w:t>
            </w:r>
          </w:p>
        </w:tc>
      </w:tr>
      <w:tr w:rsidR="003C4E22" w:rsidRPr="003C4E22" w14:paraId="418E071D" w14:textId="77777777" w:rsidTr="003C4E22">
        <w:tc>
          <w:tcPr>
            <w:tcW w:w="1134" w:type="dxa"/>
            <w:shd w:val="clear" w:color="auto" w:fill="auto"/>
          </w:tcPr>
          <w:p w14:paraId="61B77478" w14:textId="7CD6A709" w:rsidR="003C4E22" w:rsidRPr="003C4E22" w:rsidRDefault="003C4E22" w:rsidP="00E33E85">
            <w:r>
              <w:t>3(5)(c)</w:t>
            </w:r>
          </w:p>
        </w:tc>
        <w:tc>
          <w:tcPr>
            <w:tcW w:w="8044" w:type="dxa"/>
            <w:shd w:val="clear" w:color="auto" w:fill="auto"/>
          </w:tcPr>
          <w:p w14:paraId="55FC0D10" w14:textId="7FFBD867" w:rsidR="003C4E22" w:rsidRPr="003C4E22" w:rsidRDefault="003C4E22" w:rsidP="00E33E85">
            <w:r>
              <w:t>A</w:t>
            </w:r>
            <w:r w:rsidRPr="003832A2">
              <w:t xml:space="preserve">dopt </w:t>
            </w:r>
            <w:r>
              <w:t>Article 3 but not for treaties that deny benefits to income earned through FTEs established in third jurisdictions</w:t>
            </w:r>
          </w:p>
        </w:tc>
      </w:tr>
      <w:tr w:rsidR="003C4E22" w:rsidRPr="003C4E22" w14:paraId="4A6305FF" w14:textId="77777777" w:rsidTr="003C4E22">
        <w:tc>
          <w:tcPr>
            <w:tcW w:w="1134" w:type="dxa"/>
            <w:shd w:val="clear" w:color="auto" w:fill="auto"/>
          </w:tcPr>
          <w:p w14:paraId="00B3B762" w14:textId="790078B9" w:rsidR="003C4E22" w:rsidRPr="003C4E22" w:rsidRDefault="003C4E22" w:rsidP="00E33E85">
            <w:r>
              <w:t>3(5)(d)</w:t>
            </w:r>
          </w:p>
        </w:tc>
        <w:tc>
          <w:tcPr>
            <w:tcW w:w="8044" w:type="dxa"/>
            <w:shd w:val="clear" w:color="auto" w:fill="auto"/>
          </w:tcPr>
          <w:p w14:paraId="098EE7E6" w14:textId="27316687" w:rsidR="003C4E22" w:rsidRPr="003C4E22" w:rsidRDefault="003C4E22" w:rsidP="00E33E85">
            <w:r w:rsidRPr="0058612D">
              <w:t>Adopt Article 3 but not for treaties that already have a detailed FTE provision</w:t>
            </w:r>
          </w:p>
        </w:tc>
      </w:tr>
      <w:tr w:rsidR="003C4E22" w:rsidRPr="003C4E22" w14:paraId="1959CC85" w14:textId="77777777" w:rsidTr="003C4E22">
        <w:tc>
          <w:tcPr>
            <w:tcW w:w="1134" w:type="dxa"/>
            <w:shd w:val="clear" w:color="auto" w:fill="auto"/>
          </w:tcPr>
          <w:p w14:paraId="53E9E9C1" w14:textId="23337B70" w:rsidR="003C4E22" w:rsidRPr="003C4E22" w:rsidRDefault="003C4E22" w:rsidP="00E33E85">
            <w:r>
              <w:t>3(5)(e)</w:t>
            </w:r>
          </w:p>
        </w:tc>
        <w:tc>
          <w:tcPr>
            <w:tcW w:w="8044" w:type="dxa"/>
            <w:shd w:val="clear" w:color="auto" w:fill="auto"/>
          </w:tcPr>
          <w:p w14:paraId="4FB978BD" w14:textId="114362C6" w:rsidR="003C4E22" w:rsidRPr="003C4E22" w:rsidRDefault="003C4E22" w:rsidP="00E33E85">
            <w:r w:rsidRPr="003832A2">
              <w:t xml:space="preserve">Adopt </w:t>
            </w:r>
            <w:r>
              <w:t>Article 3 but not for treaties that have a detailed FTE provision and deny benefits to income derived through FTEs established in third jurisdictions</w:t>
            </w:r>
          </w:p>
        </w:tc>
      </w:tr>
      <w:tr w:rsidR="003C4E22" w:rsidRPr="003C4E22" w14:paraId="4CD797CC" w14:textId="77777777" w:rsidTr="003C4E22">
        <w:tc>
          <w:tcPr>
            <w:tcW w:w="1134" w:type="dxa"/>
            <w:shd w:val="clear" w:color="auto" w:fill="auto"/>
          </w:tcPr>
          <w:p w14:paraId="2507C656" w14:textId="30277516" w:rsidR="003C4E22" w:rsidRPr="003C4E22" w:rsidRDefault="003C4E22" w:rsidP="00E33E85">
            <w:r w:rsidRPr="00AD4799">
              <w:t>3(5)(f)</w:t>
            </w:r>
          </w:p>
        </w:tc>
        <w:tc>
          <w:tcPr>
            <w:tcW w:w="8044" w:type="dxa"/>
            <w:shd w:val="clear" w:color="auto" w:fill="auto"/>
          </w:tcPr>
          <w:p w14:paraId="365097AD" w14:textId="1F0FCCC1" w:rsidR="003C4E22" w:rsidRPr="003C4E22" w:rsidRDefault="003C4E22" w:rsidP="00E33E85">
            <w:r w:rsidRPr="00AD4799">
              <w:t xml:space="preserve">Adopt Article 3 but not paragraph 2 </w:t>
            </w:r>
            <w:r>
              <w:t>(</w:t>
            </w:r>
            <w:r w:rsidRPr="00AD4799">
              <w:t>double tax relief rules</w:t>
            </w:r>
            <w:r>
              <w:t>)</w:t>
            </w:r>
          </w:p>
        </w:tc>
      </w:tr>
      <w:tr w:rsidR="003C4E22" w:rsidRPr="003C4E22" w14:paraId="1D6B8946" w14:textId="77777777" w:rsidTr="003C4E22">
        <w:tc>
          <w:tcPr>
            <w:tcW w:w="1134" w:type="dxa"/>
            <w:shd w:val="clear" w:color="auto" w:fill="auto"/>
          </w:tcPr>
          <w:p w14:paraId="05E73FAF" w14:textId="417F205E" w:rsidR="003C4E22" w:rsidRPr="003C4E22" w:rsidRDefault="003C4E22" w:rsidP="00E33E85">
            <w:r>
              <w:t>3(5)(g)</w:t>
            </w:r>
          </w:p>
        </w:tc>
        <w:tc>
          <w:tcPr>
            <w:tcW w:w="8044" w:type="dxa"/>
            <w:shd w:val="clear" w:color="auto" w:fill="auto"/>
          </w:tcPr>
          <w:p w14:paraId="1382D67F" w14:textId="444F6E7C" w:rsidR="003C4E22" w:rsidRPr="003C4E22" w:rsidRDefault="003C4E22" w:rsidP="00E33E85">
            <w:r w:rsidRPr="003241FD">
              <w:t>Adopt Article 3 but only for those treaties that already have a detailed FTE provision</w:t>
            </w:r>
          </w:p>
        </w:tc>
      </w:tr>
    </w:tbl>
    <w:p w14:paraId="1D6AE9A7" w14:textId="1C2E6FEE" w:rsidR="00AC2840" w:rsidRPr="003241FD" w:rsidRDefault="00AC2840" w:rsidP="00E33E85">
      <w:pPr>
        <w:pStyle w:val="SingleParagraph"/>
        <w:rPr>
          <w:highlight w:val="yellow"/>
        </w:rPr>
      </w:pPr>
    </w:p>
    <w:p w14:paraId="29925AF3" w14:textId="0B556FA9" w:rsidR="00AC2840" w:rsidRPr="0058612D" w:rsidRDefault="00AC2840" w:rsidP="003C4E22">
      <w:pPr>
        <w:pStyle w:val="Heading3"/>
      </w:pPr>
      <w:r w:rsidRPr="0058612D">
        <w:t>Australia</w:t>
      </w:r>
      <w:r w:rsidR="00740B66">
        <w:t>’</w:t>
      </w:r>
      <w:r w:rsidRPr="0058612D">
        <w:t>s initial approach to Article 3</w:t>
      </w:r>
    </w:p>
    <w:p w14:paraId="6EB7E75A" w14:textId="693F76C8" w:rsidR="00AC2840" w:rsidRDefault="00AC2840">
      <w:pPr>
        <w:spacing w:line="240" w:lineRule="auto"/>
        <w:jc w:val="left"/>
        <w:rPr>
          <w:szCs w:val="22"/>
        </w:rPr>
      </w:pPr>
      <w:r w:rsidRPr="0058612D">
        <w:rPr>
          <w:szCs w:val="22"/>
        </w:rPr>
        <w:t>Article 3 is consistent with Australia</w:t>
      </w:r>
      <w:r w:rsidR="00740B66">
        <w:rPr>
          <w:szCs w:val="22"/>
        </w:rPr>
        <w:t>’</w:t>
      </w:r>
      <w:r w:rsidRPr="0058612D">
        <w:rPr>
          <w:szCs w:val="22"/>
        </w:rPr>
        <w:t xml:space="preserve">s preferred treaty practice of including provisions in its bilateral treaties to ensure that treaty benefits are available for income derived by or through </w:t>
      </w:r>
      <w:r w:rsidR="00983B06">
        <w:rPr>
          <w:szCs w:val="22"/>
        </w:rPr>
        <w:t>FTEs</w:t>
      </w:r>
      <w:r w:rsidRPr="0058612D">
        <w:rPr>
          <w:szCs w:val="22"/>
        </w:rPr>
        <w:t xml:space="preserve"> (see, for example, Article 1(2) of the 2015 Australia</w:t>
      </w:r>
      <w:r w:rsidR="00740B66">
        <w:rPr>
          <w:szCs w:val="22"/>
        </w:rPr>
        <w:noBreakHyphen/>
      </w:r>
      <w:r w:rsidRPr="0058612D">
        <w:rPr>
          <w:szCs w:val="22"/>
        </w:rPr>
        <w:t xml:space="preserve">Germany treaty). </w:t>
      </w:r>
    </w:p>
    <w:p w14:paraId="78242057" w14:textId="77777777" w:rsidR="003C4E22" w:rsidRDefault="00AC2840">
      <w:pPr>
        <w:spacing w:line="240" w:lineRule="auto"/>
        <w:jc w:val="left"/>
        <w:rPr>
          <w:szCs w:val="22"/>
        </w:rPr>
      </w:pPr>
      <w:r w:rsidRPr="0058612D">
        <w:rPr>
          <w:szCs w:val="22"/>
        </w:rPr>
        <w:t>On this basis, Australia initial approach would be to adopt Article 3 of the MLI across all of its covered tax agreements</w:t>
      </w:r>
      <w:r w:rsidRPr="0058612D" w:rsidDel="000901B8">
        <w:rPr>
          <w:szCs w:val="22"/>
        </w:rPr>
        <w:t xml:space="preserve"> </w:t>
      </w:r>
      <w:r>
        <w:rPr>
          <w:szCs w:val="22"/>
        </w:rPr>
        <w:t>and possibly</w:t>
      </w:r>
      <w:r w:rsidRPr="0058612D">
        <w:rPr>
          <w:szCs w:val="22"/>
        </w:rPr>
        <w:t xml:space="preserve"> </w:t>
      </w:r>
      <w:r>
        <w:rPr>
          <w:szCs w:val="22"/>
        </w:rPr>
        <w:t xml:space="preserve">enter the </w:t>
      </w:r>
      <w:r w:rsidRPr="0058612D">
        <w:rPr>
          <w:szCs w:val="22"/>
        </w:rPr>
        <w:t>reservation</w:t>
      </w:r>
      <w:r>
        <w:rPr>
          <w:szCs w:val="22"/>
        </w:rPr>
        <w:t xml:space="preserve"> permitted by Article 3(5</w:t>
      </w:r>
      <w:r w:rsidR="00ED3192">
        <w:rPr>
          <w:szCs w:val="22"/>
        </w:rPr>
        <w:t>)(</w:t>
      </w:r>
      <w:r>
        <w:rPr>
          <w:szCs w:val="22"/>
        </w:rPr>
        <w:t>d)</w:t>
      </w:r>
      <w:r w:rsidRPr="0058612D">
        <w:rPr>
          <w:szCs w:val="22"/>
        </w:rPr>
        <w:t xml:space="preserve">. </w:t>
      </w:r>
    </w:p>
    <w:p w14:paraId="3AAA3B2D" w14:textId="77777777" w:rsidR="00100532" w:rsidRDefault="00100532">
      <w:pPr>
        <w:spacing w:line="240" w:lineRule="auto"/>
        <w:jc w:val="left"/>
        <w:rPr>
          <w:szCs w:val="22"/>
        </w:rPr>
      </w:pPr>
    </w:p>
    <w:p w14:paraId="1C6F68CF" w14:textId="77777777" w:rsidR="00100532" w:rsidRDefault="00100532">
      <w:pPr>
        <w:spacing w:after="0" w:line="240" w:lineRule="auto"/>
        <w:jc w:val="left"/>
        <w:rPr>
          <w:szCs w:val="22"/>
        </w:rPr>
      </w:pPr>
      <w:r>
        <w:rPr>
          <w:szCs w:val="22"/>
        </w:rPr>
        <w:br w:type="page"/>
      </w:r>
    </w:p>
    <w:p w14:paraId="6F2B740A" w14:textId="4E561004" w:rsidR="00AC2840" w:rsidRPr="00E33E85" w:rsidRDefault="00AC2840" w:rsidP="00E33E85">
      <w:pPr>
        <w:pStyle w:val="Heading2"/>
      </w:pPr>
      <w:bookmarkStart w:id="67" w:name="_Toc468726798"/>
      <w:bookmarkStart w:id="68" w:name="_Toc468732579"/>
      <w:bookmarkStart w:id="69" w:name="_Toc469328375"/>
      <w:bookmarkStart w:id="70" w:name="_Toc469329030"/>
      <w:r w:rsidRPr="00E33E85">
        <w:t>Article 4</w:t>
      </w:r>
      <w:r w:rsidR="00D04E2A" w:rsidRPr="00E33E85">
        <w:t xml:space="preserve"> — </w:t>
      </w:r>
      <w:r w:rsidRPr="00E33E85">
        <w:t>Dual Resident Entities</w:t>
      </w:r>
      <w:bookmarkEnd w:id="67"/>
      <w:bookmarkEnd w:id="68"/>
      <w:bookmarkEnd w:id="69"/>
      <w:bookmarkEnd w:id="70"/>
    </w:p>
    <w:p w14:paraId="09044A11" w14:textId="77777777" w:rsidR="00AC2840" w:rsidRPr="003832A2" w:rsidRDefault="00AC2840" w:rsidP="00132B48">
      <w:pPr>
        <w:spacing w:before="240"/>
        <w:jc w:val="left"/>
        <w:rPr>
          <w:szCs w:val="22"/>
        </w:rPr>
      </w:pPr>
      <w:r w:rsidRPr="002A2DEF">
        <w:rPr>
          <w:szCs w:val="22"/>
        </w:rPr>
        <w:t xml:space="preserve">Article 4 </w:t>
      </w:r>
      <w:r>
        <w:rPr>
          <w:szCs w:val="22"/>
        </w:rPr>
        <w:t xml:space="preserve">implements </w:t>
      </w:r>
      <w:r w:rsidRPr="002A2DEF">
        <w:rPr>
          <w:szCs w:val="22"/>
        </w:rPr>
        <w:t>recommendations outlined in the BEPS Action 6 (Preventing the Granting of Treaty Benefits in Inappropriate Circumstances) report (see page 72 of that report).</w:t>
      </w:r>
      <w:r w:rsidRPr="00730570">
        <w:rPr>
          <w:szCs w:val="22"/>
        </w:rPr>
        <w:t xml:space="preserve"> </w:t>
      </w:r>
    </w:p>
    <w:p w14:paraId="049A1AB0" w14:textId="77777777" w:rsidR="00AC2840" w:rsidRPr="003832A2" w:rsidRDefault="00AC2840" w:rsidP="00E33E85">
      <w:pPr>
        <w:pStyle w:val="Heading3"/>
      </w:pPr>
      <w:r w:rsidRPr="003832A2">
        <w:t xml:space="preserve">How does this Article address multinational tax avoidance?  </w:t>
      </w:r>
    </w:p>
    <w:p w14:paraId="26FE815E" w14:textId="4FD1C7C8" w:rsidR="00AC2840" w:rsidRPr="003832A2" w:rsidRDefault="00AC2840" w:rsidP="00132B48">
      <w:pPr>
        <w:jc w:val="left"/>
        <w:rPr>
          <w:szCs w:val="22"/>
        </w:rPr>
      </w:pPr>
      <w:r w:rsidRPr="003832A2">
        <w:rPr>
          <w:szCs w:val="22"/>
        </w:rPr>
        <w:t xml:space="preserve">Tax treaties only apply to persons that are tax residents of one or </w:t>
      </w:r>
      <w:r>
        <w:rPr>
          <w:szCs w:val="22"/>
        </w:rPr>
        <w:t xml:space="preserve">both jurisdictions </w:t>
      </w:r>
      <w:r w:rsidRPr="003832A2">
        <w:rPr>
          <w:szCs w:val="22"/>
        </w:rPr>
        <w:t xml:space="preserve">(under their respective domestic laws). Where </w:t>
      </w:r>
      <w:r>
        <w:rPr>
          <w:szCs w:val="22"/>
        </w:rPr>
        <w:t xml:space="preserve">a person </w:t>
      </w:r>
      <w:r w:rsidRPr="003832A2">
        <w:rPr>
          <w:szCs w:val="22"/>
        </w:rPr>
        <w:t xml:space="preserve">is a resident of both </w:t>
      </w:r>
      <w:r w:rsidRPr="00A069B0">
        <w:rPr>
          <w:szCs w:val="22"/>
        </w:rPr>
        <w:t>jurisdictions</w:t>
      </w:r>
      <w:r>
        <w:rPr>
          <w:szCs w:val="22"/>
        </w:rPr>
        <w:t xml:space="preserve"> </w:t>
      </w:r>
      <w:r w:rsidRPr="003832A2">
        <w:rPr>
          <w:szCs w:val="22"/>
        </w:rPr>
        <w:t xml:space="preserve">(a dual resident), the treaty provides tiebreaker rules to determine a single </w:t>
      </w:r>
      <w:r w:rsidRPr="00A069B0">
        <w:rPr>
          <w:szCs w:val="22"/>
        </w:rPr>
        <w:t>jurisdiction</w:t>
      </w:r>
      <w:r w:rsidRPr="003832A2">
        <w:rPr>
          <w:szCs w:val="22"/>
        </w:rPr>
        <w:t xml:space="preserve"> of residence for the purposes of the treaty. </w:t>
      </w:r>
    </w:p>
    <w:p w14:paraId="0CB5CC2B" w14:textId="5F805F21" w:rsidR="00AC2840" w:rsidRDefault="00AC2840" w:rsidP="00132B48">
      <w:pPr>
        <w:jc w:val="left"/>
        <w:rPr>
          <w:szCs w:val="22"/>
        </w:rPr>
      </w:pPr>
      <w:r w:rsidRPr="003832A2">
        <w:rPr>
          <w:szCs w:val="22"/>
        </w:rPr>
        <w:t xml:space="preserve">Consistent with the OECD Model, the key tiebreaker test </w:t>
      </w:r>
      <w:r>
        <w:rPr>
          <w:szCs w:val="22"/>
        </w:rPr>
        <w:t xml:space="preserve">that applies in most treaties to determine the residence of dual resident entities </w:t>
      </w:r>
      <w:r w:rsidRPr="003832A2">
        <w:rPr>
          <w:szCs w:val="22"/>
        </w:rPr>
        <w:t>(such as companies) is the entity</w:t>
      </w:r>
      <w:r w:rsidR="00740B66">
        <w:rPr>
          <w:szCs w:val="22"/>
        </w:rPr>
        <w:t>’</w:t>
      </w:r>
      <w:r w:rsidRPr="003832A2">
        <w:rPr>
          <w:szCs w:val="22"/>
        </w:rPr>
        <w:t xml:space="preserve">s place of effective management (POEM). However, in order to avoid tax, </w:t>
      </w:r>
      <w:r>
        <w:rPr>
          <w:szCs w:val="22"/>
        </w:rPr>
        <w:t>entities</w:t>
      </w:r>
      <w:r w:rsidRPr="003832A2">
        <w:rPr>
          <w:szCs w:val="22"/>
        </w:rPr>
        <w:t xml:space="preserve"> </w:t>
      </w:r>
      <w:r>
        <w:rPr>
          <w:szCs w:val="22"/>
        </w:rPr>
        <w:t xml:space="preserve">can </w:t>
      </w:r>
      <w:r w:rsidRPr="003832A2">
        <w:rPr>
          <w:szCs w:val="22"/>
        </w:rPr>
        <w:t>manipulate their tax residence by relocating their POEM</w:t>
      </w:r>
      <w:r w:rsidR="00D04E2A">
        <w:rPr>
          <w:szCs w:val="22"/>
        </w:rPr>
        <w:t xml:space="preserve">. </w:t>
      </w:r>
    </w:p>
    <w:p w14:paraId="35663901" w14:textId="3ACC48FF" w:rsidR="00AC2840" w:rsidRPr="00F45AA6" w:rsidRDefault="00AC2840" w:rsidP="00132B48">
      <w:pPr>
        <w:jc w:val="left"/>
        <w:rPr>
          <w:i/>
          <w:color w:val="000000" w:themeColor="text1"/>
          <w:szCs w:val="22"/>
        </w:rPr>
      </w:pPr>
      <w:r w:rsidRPr="002A2DEF">
        <w:rPr>
          <w:szCs w:val="22"/>
        </w:rPr>
        <w:t>Article 4 will expand the criteria for determining a</w:t>
      </w:r>
      <w:r>
        <w:rPr>
          <w:szCs w:val="22"/>
        </w:rPr>
        <w:t xml:space="preserve"> dual resident</w:t>
      </w:r>
      <w:r w:rsidRPr="002A2DEF">
        <w:rPr>
          <w:szCs w:val="22"/>
        </w:rPr>
        <w:t xml:space="preserve"> entity</w:t>
      </w:r>
      <w:r w:rsidR="00740B66">
        <w:rPr>
          <w:szCs w:val="22"/>
        </w:rPr>
        <w:t>’</w:t>
      </w:r>
      <w:r w:rsidRPr="002A2DEF">
        <w:rPr>
          <w:szCs w:val="22"/>
        </w:rPr>
        <w:t xml:space="preserve">s </w:t>
      </w:r>
      <w:r>
        <w:rPr>
          <w:szCs w:val="22"/>
        </w:rPr>
        <w:t xml:space="preserve">treaty </w:t>
      </w:r>
      <w:r w:rsidRPr="002A2DEF">
        <w:rPr>
          <w:szCs w:val="22"/>
        </w:rPr>
        <w:t xml:space="preserve">residence to include other factors (in addition to the POEM) and require the competent authorities (the two tax administrations) to attempt to agree on a single jurisdiction of residence. </w:t>
      </w:r>
      <w:r w:rsidRPr="008C0784">
        <w:rPr>
          <w:color w:val="000000" w:themeColor="text1"/>
        </w:rPr>
        <w:t>In the absence of such agreement, the entity will not be entitled to treaty benefits (e.g. tax reductions or</w:t>
      </w:r>
      <w:r w:rsidRPr="003832A2">
        <w:rPr>
          <w:color w:val="000000" w:themeColor="text1"/>
          <w:szCs w:val="22"/>
        </w:rPr>
        <w:t xml:space="preserve"> exemptions) </w:t>
      </w:r>
      <w:r w:rsidRPr="0058612D">
        <w:rPr>
          <w:color w:val="000000" w:themeColor="text1"/>
          <w:szCs w:val="22"/>
        </w:rPr>
        <w:t xml:space="preserve">except to the extent agreed by the </w:t>
      </w:r>
      <w:r>
        <w:rPr>
          <w:color w:val="000000" w:themeColor="text1"/>
          <w:szCs w:val="22"/>
        </w:rPr>
        <w:t>competent authorities</w:t>
      </w:r>
      <w:r w:rsidR="00D04E2A">
        <w:rPr>
          <w:color w:val="000000" w:themeColor="text1"/>
          <w:szCs w:val="22"/>
        </w:rPr>
        <w:t xml:space="preserve">. </w:t>
      </w:r>
    </w:p>
    <w:p w14:paraId="2DA5BBB9" w14:textId="77777777" w:rsidR="00AC2840" w:rsidRPr="003832A2" w:rsidRDefault="00AC2840" w:rsidP="00E33E85">
      <w:pPr>
        <w:pStyle w:val="Heading3"/>
      </w:pPr>
      <w:r w:rsidRPr="003832A2">
        <w:t xml:space="preserve">What are the </w:t>
      </w:r>
      <w:r>
        <w:t xml:space="preserve">adoption </w:t>
      </w:r>
      <w:r w:rsidRPr="003832A2">
        <w:t>options?</w:t>
      </w:r>
    </w:p>
    <w:p w14:paraId="4A1F7250" w14:textId="77777777" w:rsidR="00AC2840" w:rsidRPr="003832A2" w:rsidRDefault="00AC2840" w:rsidP="00E33E85">
      <w:r w:rsidRPr="003832A2">
        <w:t xml:space="preserve">Adopt Article 4 </w:t>
      </w:r>
      <w:r>
        <w:t>without reservation</w:t>
      </w:r>
    </w:p>
    <w:tbl>
      <w:tblPr>
        <w:tblStyle w:val="TableGrid"/>
        <w:tblW w:w="0" w:type="auto"/>
        <w:tblInd w:w="108" w:type="dxa"/>
        <w:tblLook w:val="04A0" w:firstRow="1" w:lastRow="0" w:firstColumn="1" w:lastColumn="0" w:noHBand="0" w:noVBand="1"/>
      </w:tblPr>
      <w:tblGrid>
        <w:gridCol w:w="1134"/>
        <w:gridCol w:w="8044"/>
      </w:tblGrid>
      <w:tr w:rsidR="00E33E85" w:rsidRPr="003C4E22" w14:paraId="066D22EB" w14:textId="77777777" w:rsidTr="009445F4">
        <w:tc>
          <w:tcPr>
            <w:tcW w:w="1134" w:type="dxa"/>
            <w:shd w:val="clear" w:color="auto" w:fill="auto"/>
          </w:tcPr>
          <w:p w14:paraId="03F2FC78" w14:textId="2DBA7636" w:rsidR="00E33E85" w:rsidRPr="003C4E22" w:rsidRDefault="00E33E85" w:rsidP="00E33E85">
            <w:r>
              <w:t>4(3)(a)</w:t>
            </w:r>
          </w:p>
        </w:tc>
        <w:tc>
          <w:tcPr>
            <w:tcW w:w="8044" w:type="dxa"/>
            <w:shd w:val="clear" w:color="auto" w:fill="auto"/>
          </w:tcPr>
          <w:p w14:paraId="1BCC4483" w14:textId="2BE92310" w:rsidR="00E33E85" w:rsidRPr="003C4E22" w:rsidRDefault="00E33E85" w:rsidP="00E33E85">
            <w:r w:rsidRPr="003832A2">
              <w:rPr>
                <w:szCs w:val="22"/>
              </w:rPr>
              <w:t>Do not adopt Article 4 at all (i.e. no change to bilateral treaty rules)</w:t>
            </w:r>
          </w:p>
        </w:tc>
      </w:tr>
      <w:tr w:rsidR="00E33E85" w:rsidRPr="003C4E22" w14:paraId="5C3EC6E3" w14:textId="77777777" w:rsidTr="009445F4">
        <w:tc>
          <w:tcPr>
            <w:tcW w:w="1134" w:type="dxa"/>
            <w:shd w:val="clear" w:color="auto" w:fill="auto"/>
          </w:tcPr>
          <w:p w14:paraId="23E1563B" w14:textId="2AC533B7" w:rsidR="00E33E85" w:rsidRPr="003C4E22" w:rsidRDefault="00E33E85" w:rsidP="00E33E85">
            <w:r w:rsidRPr="002A2DEF">
              <w:rPr>
                <w:color w:val="000000" w:themeColor="text1"/>
              </w:rPr>
              <w:t>4(3)(b)</w:t>
            </w:r>
          </w:p>
        </w:tc>
        <w:tc>
          <w:tcPr>
            <w:tcW w:w="8044" w:type="dxa"/>
            <w:shd w:val="clear" w:color="auto" w:fill="auto"/>
          </w:tcPr>
          <w:p w14:paraId="16B5EC81" w14:textId="48860113" w:rsidR="00E33E85" w:rsidRPr="003C4E22" w:rsidRDefault="00E33E85" w:rsidP="00E33E85">
            <w:r>
              <w:rPr>
                <w:szCs w:val="22"/>
              </w:rPr>
              <w:t>A</w:t>
            </w:r>
            <w:r w:rsidRPr="003832A2">
              <w:rPr>
                <w:szCs w:val="22"/>
              </w:rPr>
              <w:t xml:space="preserve">dopt Article 4 </w:t>
            </w:r>
            <w:r>
              <w:rPr>
                <w:szCs w:val="22"/>
              </w:rPr>
              <w:t>but not for</w:t>
            </w:r>
            <w:r w:rsidRPr="003832A2">
              <w:rPr>
                <w:szCs w:val="22"/>
              </w:rPr>
              <w:t xml:space="preserve"> treaties that</w:t>
            </w:r>
            <w:r>
              <w:rPr>
                <w:szCs w:val="22"/>
              </w:rPr>
              <w:t xml:space="preserve"> </w:t>
            </w:r>
            <w:r w:rsidRPr="00A069B0">
              <w:rPr>
                <w:color w:val="000000" w:themeColor="text1"/>
              </w:rPr>
              <w:t xml:space="preserve">already </w:t>
            </w:r>
            <w:r w:rsidRPr="002A2DEF">
              <w:rPr>
                <w:color w:val="000000" w:themeColor="text1"/>
                <w:szCs w:val="22"/>
              </w:rPr>
              <w:t xml:space="preserve">require the competent authorities (CAs) to endeavour to agree on a single </w:t>
            </w:r>
            <w:r>
              <w:rPr>
                <w:color w:val="000000" w:themeColor="text1"/>
                <w:szCs w:val="22"/>
              </w:rPr>
              <w:t>jurisdiction</w:t>
            </w:r>
            <w:r w:rsidRPr="002A2DEF">
              <w:rPr>
                <w:color w:val="000000" w:themeColor="text1"/>
                <w:szCs w:val="22"/>
              </w:rPr>
              <w:t xml:space="preserve"> of residence</w:t>
            </w:r>
          </w:p>
        </w:tc>
      </w:tr>
      <w:tr w:rsidR="00E33E85" w:rsidRPr="003C4E22" w14:paraId="04A2B046" w14:textId="77777777" w:rsidTr="009445F4">
        <w:tc>
          <w:tcPr>
            <w:tcW w:w="1134" w:type="dxa"/>
            <w:shd w:val="clear" w:color="auto" w:fill="auto"/>
          </w:tcPr>
          <w:p w14:paraId="6F60CAE1" w14:textId="76D1AE1C" w:rsidR="00E33E85" w:rsidRPr="003C4E22" w:rsidRDefault="00E33E85" w:rsidP="00E33E85">
            <w:r>
              <w:t>4(3)(c)</w:t>
            </w:r>
          </w:p>
        </w:tc>
        <w:tc>
          <w:tcPr>
            <w:tcW w:w="8044" w:type="dxa"/>
            <w:shd w:val="clear" w:color="auto" w:fill="auto"/>
          </w:tcPr>
          <w:p w14:paraId="6F540076" w14:textId="591CB27C" w:rsidR="00E33E85" w:rsidRPr="003C4E22" w:rsidRDefault="00E33E85" w:rsidP="00E33E85">
            <w:r w:rsidRPr="00A069B0">
              <w:rPr>
                <w:szCs w:val="22"/>
              </w:rPr>
              <w:t>Adopt Article 4 but not for treaties that</w:t>
            </w:r>
            <w:r>
              <w:rPr>
                <w:szCs w:val="22"/>
              </w:rPr>
              <w:t xml:space="preserve"> </w:t>
            </w:r>
            <w:r w:rsidRPr="003832A2">
              <w:rPr>
                <w:szCs w:val="22"/>
              </w:rPr>
              <w:t xml:space="preserve">already deny treaty benefits without requiring the </w:t>
            </w:r>
            <w:r>
              <w:rPr>
                <w:szCs w:val="22"/>
              </w:rPr>
              <w:t>CAs</w:t>
            </w:r>
            <w:r w:rsidRPr="003832A2">
              <w:rPr>
                <w:szCs w:val="22"/>
              </w:rPr>
              <w:t xml:space="preserve"> to endeavour to agree on a single </w:t>
            </w:r>
            <w:r>
              <w:rPr>
                <w:szCs w:val="22"/>
              </w:rPr>
              <w:t>jurisdiction</w:t>
            </w:r>
            <w:r w:rsidRPr="003832A2">
              <w:rPr>
                <w:szCs w:val="22"/>
              </w:rPr>
              <w:t xml:space="preserve"> of residence</w:t>
            </w:r>
          </w:p>
        </w:tc>
      </w:tr>
      <w:tr w:rsidR="00E33E85" w:rsidRPr="003C4E22" w14:paraId="4D022416" w14:textId="77777777" w:rsidTr="009445F4">
        <w:tc>
          <w:tcPr>
            <w:tcW w:w="1134" w:type="dxa"/>
            <w:shd w:val="clear" w:color="auto" w:fill="auto"/>
          </w:tcPr>
          <w:p w14:paraId="70511537" w14:textId="22901495" w:rsidR="00E33E85" w:rsidRPr="003C4E22" w:rsidRDefault="00E33E85" w:rsidP="00E33E85">
            <w:r>
              <w:t>4(3)(d)</w:t>
            </w:r>
          </w:p>
        </w:tc>
        <w:tc>
          <w:tcPr>
            <w:tcW w:w="8044" w:type="dxa"/>
            <w:shd w:val="clear" w:color="auto" w:fill="auto"/>
          </w:tcPr>
          <w:p w14:paraId="71A7CA20" w14:textId="6143922B" w:rsidR="00E33E85" w:rsidRPr="003C4E22" w:rsidRDefault="00E33E85" w:rsidP="00E33E85">
            <w:r w:rsidRPr="00381C58">
              <w:rPr>
                <w:szCs w:val="22"/>
              </w:rPr>
              <w:t xml:space="preserve">Adopt Article 4 but not for treaties that </w:t>
            </w:r>
            <w:r w:rsidRPr="003832A2">
              <w:rPr>
                <w:szCs w:val="22"/>
              </w:rPr>
              <w:t xml:space="preserve">already require the </w:t>
            </w:r>
            <w:r>
              <w:rPr>
                <w:szCs w:val="22"/>
              </w:rPr>
              <w:t>CAs</w:t>
            </w:r>
            <w:r w:rsidRPr="003832A2">
              <w:rPr>
                <w:szCs w:val="22"/>
              </w:rPr>
              <w:t xml:space="preserve"> to endeavour to agree on a single </w:t>
            </w:r>
            <w:r>
              <w:rPr>
                <w:szCs w:val="22"/>
              </w:rPr>
              <w:t xml:space="preserve">jurisdiction </w:t>
            </w:r>
            <w:r w:rsidRPr="003832A2">
              <w:rPr>
                <w:szCs w:val="22"/>
              </w:rPr>
              <w:t>of residence and set out the treatment (of the entity) in the absence of such agreement</w:t>
            </w:r>
          </w:p>
        </w:tc>
      </w:tr>
      <w:tr w:rsidR="00E33E85" w:rsidRPr="003C4E22" w14:paraId="02477047" w14:textId="77777777" w:rsidTr="009445F4">
        <w:tc>
          <w:tcPr>
            <w:tcW w:w="1134" w:type="dxa"/>
            <w:shd w:val="clear" w:color="auto" w:fill="auto"/>
          </w:tcPr>
          <w:p w14:paraId="662F4093" w14:textId="624EC12F" w:rsidR="00E33E85" w:rsidRPr="003C4E22" w:rsidRDefault="00E33E85" w:rsidP="00E33E85">
            <w:r w:rsidRPr="002A2DEF">
              <w:t>4(3)(e)</w:t>
            </w:r>
          </w:p>
        </w:tc>
        <w:tc>
          <w:tcPr>
            <w:tcW w:w="8044" w:type="dxa"/>
            <w:shd w:val="clear" w:color="auto" w:fill="auto"/>
          </w:tcPr>
          <w:p w14:paraId="3DCD2669" w14:textId="3CFD1BDD" w:rsidR="00E33E85" w:rsidRPr="003C4E22" w:rsidRDefault="00E33E85" w:rsidP="00E33E85">
            <w:r w:rsidRPr="002A2DEF">
              <w:rPr>
                <w:szCs w:val="22"/>
              </w:rPr>
              <w:t>Adopt Article 4 but exclude the rule that allows the CAs to allow treaty benefits in the absence of reaching an agreement on the country of residence of the entity. In such cases, treaty benefits would be denied</w:t>
            </w:r>
          </w:p>
        </w:tc>
      </w:tr>
      <w:tr w:rsidR="00E33E85" w:rsidRPr="003C4E22" w14:paraId="7D4687C4" w14:textId="77777777" w:rsidTr="009445F4">
        <w:tc>
          <w:tcPr>
            <w:tcW w:w="1134" w:type="dxa"/>
            <w:shd w:val="clear" w:color="auto" w:fill="auto"/>
          </w:tcPr>
          <w:p w14:paraId="09AAF703" w14:textId="7CCA9D87" w:rsidR="00E33E85" w:rsidRPr="003C4E22" w:rsidRDefault="00E33E85" w:rsidP="00E33E85">
            <w:r>
              <w:t>4(3)(f)</w:t>
            </w:r>
          </w:p>
        </w:tc>
        <w:tc>
          <w:tcPr>
            <w:tcW w:w="8044" w:type="dxa"/>
            <w:shd w:val="clear" w:color="auto" w:fill="auto"/>
          </w:tcPr>
          <w:p w14:paraId="7ED2EFCD" w14:textId="0EC62252" w:rsidR="00E33E85" w:rsidRPr="00E33E85" w:rsidRDefault="00E33E85" w:rsidP="00E33E85">
            <w:r w:rsidRPr="00E33E85">
              <w:t>Do not adopt Article 4 with countries that have chosen 4(3)(e)</w:t>
            </w:r>
          </w:p>
        </w:tc>
      </w:tr>
    </w:tbl>
    <w:p w14:paraId="75121C6D" w14:textId="40CCDDB4" w:rsidR="00AC2840" w:rsidRPr="0058612D" w:rsidRDefault="00AC2840" w:rsidP="00E33E85">
      <w:pPr>
        <w:pStyle w:val="Heading4"/>
      </w:pPr>
      <w:r w:rsidRPr="0058612D">
        <w:t>Australia</w:t>
      </w:r>
      <w:r w:rsidR="00740B66">
        <w:t>’</w:t>
      </w:r>
      <w:r w:rsidRPr="0058612D">
        <w:t xml:space="preserve">s </w:t>
      </w:r>
      <w:r>
        <w:t xml:space="preserve">initial approach to </w:t>
      </w:r>
      <w:r w:rsidRPr="0058612D">
        <w:t>Article 4</w:t>
      </w:r>
    </w:p>
    <w:p w14:paraId="52D97CA1" w14:textId="42167F93" w:rsidR="00AC2840" w:rsidRPr="00E33E85" w:rsidRDefault="00AC2840" w:rsidP="00E33E85">
      <w:r w:rsidRPr="00E33E85">
        <w:t>Australia</w:t>
      </w:r>
      <w:r w:rsidR="00740B66">
        <w:t>’</w:t>
      </w:r>
      <w:r w:rsidRPr="00E33E85">
        <w:t>s treaty practice has varied (with most of Australia</w:t>
      </w:r>
      <w:r w:rsidR="00740B66">
        <w:t>’</w:t>
      </w:r>
      <w:r w:rsidRPr="00E33E85">
        <w:t xml:space="preserve">s bilateral treaties prescribing the POEM as the determinative test) but has not previously permitted the CAs to decide on the extent of treaty benefits to be granted if the CAs are unable to agree on a single jurisdiction of residence. </w:t>
      </w:r>
    </w:p>
    <w:p w14:paraId="2747E395" w14:textId="62BD2567" w:rsidR="00E33E85" w:rsidRDefault="00AC2840" w:rsidP="00E33E85">
      <w:pPr>
        <w:rPr>
          <w:rStyle w:val="Strong"/>
          <w:b w:val="0"/>
          <w:color w:val="auto"/>
          <w:szCs w:val="22"/>
        </w:rPr>
      </w:pPr>
      <w:r w:rsidRPr="00E33E85">
        <w:t>As adopting the expanded criteria will generally improve the integrity of the current tie</w:t>
      </w:r>
      <w:r w:rsidR="00740B66">
        <w:noBreakHyphen/>
      </w:r>
      <w:r w:rsidRPr="00E33E85">
        <w:t>breaker rules, Australia</w:t>
      </w:r>
      <w:r w:rsidR="00740B66">
        <w:t>’</w:t>
      </w:r>
      <w:r w:rsidRPr="00E33E85">
        <w:t>s initial approach would be to adopt Article 4 across all of its covered tax agreements and enter the reservation permitted by Article 4(3</w:t>
      </w:r>
      <w:r w:rsidR="00ED3192" w:rsidRPr="00E33E85">
        <w:t>)(</w:t>
      </w:r>
      <w:r w:rsidRPr="00E33E85">
        <w:t>e).</w:t>
      </w:r>
      <w:r w:rsidRPr="002A2DEF">
        <w:rPr>
          <w:rStyle w:val="Strong"/>
          <w:b w:val="0"/>
          <w:color w:val="auto"/>
          <w:szCs w:val="22"/>
        </w:rPr>
        <w:t xml:space="preserve"> </w:t>
      </w:r>
    </w:p>
    <w:p w14:paraId="17684561" w14:textId="605F1EE4" w:rsidR="00AC2840" w:rsidRPr="00E33E85" w:rsidRDefault="00AC2840" w:rsidP="00E33E85">
      <w:pPr>
        <w:pStyle w:val="Heading2"/>
      </w:pPr>
      <w:bookmarkStart w:id="71" w:name="_Toc468726799"/>
      <w:bookmarkStart w:id="72" w:name="_Toc468732580"/>
      <w:bookmarkStart w:id="73" w:name="_Toc469328376"/>
      <w:bookmarkStart w:id="74" w:name="_Toc469329031"/>
      <w:r w:rsidRPr="00E33E85">
        <w:t>Article 5</w:t>
      </w:r>
      <w:r w:rsidR="00D04E2A" w:rsidRPr="00E33E85">
        <w:t xml:space="preserve"> — </w:t>
      </w:r>
      <w:r w:rsidRPr="00E33E85">
        <w:t>Application of Methods for Elimination of Double</w:t>
      </w:r>
      <w:r w:rsidR="00E33E85">
        <w:t> </w:t>
      </w:r>
      <w:r w:rsidRPr="00E33E85">
        <w:t>Taxation</w:t>
      </w:r>
      <w:bookmarkEnd w:id="71"/>
      <w:bookmarkEnd w:id="72"/>
      <w:bookmarkEnd w:id="73"/>
      <w:bookmarkEnd w:id="74"/>
    </w:p>
    <w:p w14:paraId="1B707A9C" w14:textId="77777777" w:rsidR="00AC2840" w:rsidRPr="003832A2" w:rsidRDefault="00AC2840" w:rsidP="00132B48">
      <w:pPr>
        <w:spacing w:before="240"/>
        <w:jc w:val="left"/>
        <w:rPr>
          <w:szCs w:val="22"/>
        </w:rPr>
      </w:pPr>
      <w:r w:rsidRPr="002A2DEF">
        <w:t xml:space="preserve">Article 5 </w:t>
      </w:r>
      <w:r w:rsidRPr="004A050B">
        <w:t xml:space="preserve">implements recommendations </w:t>
      </w:r>
      <w:r w:rsidRPr="002A2DEF">
        <w:t>outlined in the BEPS Action 2 (Neutralising the Effects of Hybrid Mismatch Arrangements) report (see page 146 of that report).</w:t>
      </w:r>
      <w:r w:rsidRPr="004A050B">
        <w:t xml:space="preserve"> </w:t>
      </w:r>
    </w:p>
    <w:p w14:paraId="451C7A87" w14:textId="77777777" w:rsidR="00AC2840" w:rsidRPr="003832A2" w:rsidRDefault="00AC2840" w:rsidP="00E33E85">
      <w:pPr>
        <w:pStyle w:val="Heading3"/>
      </w:pPr>
      <w:r>
        <w:t>H</w:t>
      </w:r>
      <w:r w:rsidRPr="003832A2">
        <w:t xml:space="preserve">ow does this Article address multinational tax avoidance?  </w:t>
      </w:r>
    </w:p>
    <w:p w14:paraId="70956E4C" w14:textId="70815F8E" w:rsidR="00AC2840" w:rsidRDefault="00AC2840" w:rsidP="00132B48">
      <w:pPr>
        <w:jc w:val="left"/>
        <w:rPr>
          <w:szCs w:val="22"/>
        </w:rPr>
      </w:pPr>
      <w:r w:rsidRPr="003832A2">
        <w:rPr>
          <w:szCs w:val="22"/>
        </w:rPr>
        <w:t xml:space="preserve">Many tax treaties </w:t>
      </w:r>
      <w:r w:rsidRPr="002A2DEF">
        <w:rPr>
          <w:szCs w:val="22"/>
        </w:rPr>
        <w:t>alleviate</w:t>
      </w:r>
      <w:r w:rsidRPr="004A050B">
        <w:t xml:space="preserve"> double</w:t>
      </w:r>
      <w:r w:rsidRPr="003832A2">
        <w:rPr>
          <w:szCs w:val="22"/>
        </w:rPr>
        <w:t xml:space="preserve"> taxation by exempting</w:t>
      </w:r>
      <w:r>
        <w:rPr>
          <w:szCs w:val="22"/>
        </w:rPr>
        <w:t xml:space="preserve"> prescribed</w:t>
      </w:r>
      <w:r w:rsidRPr="003832A2">
        <w:rPr>
          <w:szCs w:val="22"/>
        </w:rPr>
        <w:t xml:space="preserve"> foreign income from tax</w:t>
      </w:r>
      <w:r>
        <w:rPr>
          <w:szCs w:val="22"/>
        </w:rPr>
        <w:t>ation</w:t>
      </w:r>
      <w:r w:rsidRPr="003832A2">
        <w:rPr>
          <w:szCs w:val="22"/>
        </w:rPr>
        <w:t xml:space="preserve"> in </w:t>
      </w:r>
      <w:r>
        <w:rPr>
          <w:szCs w:val="22"/>
        </w:rPr>
        <w:t xml:space="preserve">the </w:t>
      </w:r>
      <w:r w:rsidRPr="003832A2">
        <w:rPr>
          <w:szCs w:val="22"/>
        </w:rPr>
        <w:t>taxpayer</w:t>
      </w:r>
      <w:r w:rsidR="00740B66">
        <w:rPr>
          <w:szCs w:val="22"/>
        </w:rPr>
        <w:t>’</w:t>
      </w:r>
      <w:r w:rsidRPr="003832A2">
        <w:rPr>
          <w:szCs w:val="22"/>
        </w:rPr>
        <w:t xml:space="preserve">s </w:t>
      </w:r>
      <w:r>
        <w:rPr>
          <w:szCs w:val="22"/>
        </w:rPr>
        <w:t>jurisdiction of residence</w:t>
      </w:r>
      <w:r w:rsidRPr="003832A2">
        <w:rPr>
          <w:szCs w:val="22"/>
        </w:rPr>
        <w:t xml:space="preserve">. </w:t>
      </w:r>
      <w:r>
        <w:rPr>
          <w:szCs w:val="22"/>
        </w:rPr>
        <w:t>Double non</w:t>
      </w:r>
      <w:r w:rsidR="00740B66">
        <w:rPr>
          <w:szCs w:val="22"/>
        </w:rPr>
        <w:noBreakHyphen/>
      </w:r>
      <w:r>
        <w:rPr>
          <w:szCs w:val="22"/>
        </w:rPr>
        <w:t xml:space="preserve">taxation can result if the foreign income is also not taxed in the other jurisdiction. </w:t>
      </w:r>
    </w:p>
    <w:p w14:paraId="2FB550F9" w14:textId="68B7B261" w:rsidR="00AC2840" w:rsidRPr="003832A2" w:rsidRDefault="00AC2840" w:rsidP="00132B48">
      <w:pPr>
        <w:jc w:val="left"/>
        <w:rPr>
          <w:szCs w:val="22"/>
        </w:rPr>
      </w:pPr>
      <w:r>
        <w:rPr>
          <w:szCs w:val="22"/>
        </w:rPr>
        <w:t>Article 5 will modify</w:t>
      </w:r>
      <w:r w:rsidRPr="003832A2">
        <w:rPr>
          <w:szCs w:val="22"/>
        </w:rPr>
        <w:t xml:space="preserve"> </w:t>
      </w:r>
      <w:r>
        <w:rPr>
          <w:szCs w:val="22"/>
        </w:rPr>
        <w:t>certain</w:t>
      </w:r>
      <w:r w:rsidRPr="003832A2">
        <w:rPr>
          <w:szCs w:val="22"/>
        </w:rPr>
        <w:t xml:space="preserve"> existing </w:t>
      </w:r>
      <w:r>
        <w:rPr>
          <w:szCs w:val="22"/>
        </w:rPr>
        <w:t xml:space="preserve">bilateral treaty provisions that apply the </w:t>
      </w:r>
      <w:r w:rsidR="00740B66">
        <w:rPr>
          <w:szCs w:val="22"/>
        </w:rPr>
        <w:t>‘</w:t>
      </w:r>
      <w:r w:rsidRPr="003832A2">
        <w:rPr>
          <w:szCs w:val="22"/>
        </w:rPr>
        <w:t>exemption method</w:t>
      </w:r>
      <w:r w:rsidR="00740B66">
        <w:rPr>
          <w:szCs w:val="22"/>
        </w:rPr>
        <w:t>’</w:t>
      </w:r>
      <w:r w:rsidRPr="003832A2">
        <w:rPr>
          <w:szCs w:val="22"/>
        </w:rPr>
        <w:t xml:space="preserve"> </w:t>
      </w:r>
      <w:r>
        <w:rPr>
          <w:szCs w:val="22"/>
        </w:rPr>
        <w:t xml:space="preserve">for relieving double taxation with the </w:t>
      </w:r>
      <w:r w:rsidR="00740B66">
        <w:rPr>
          <w:szCs w:val="22"/>
        </w:rPr>
        <w:t>‘</w:t>
      </w:r>
      <w:r>
        <w:rPr>
          <w:szCs w:val="22"/>
        </w:rPr>
        <w:t>credit method</w:t>
      </w:r>
      <w:r w:rsidR="00740B66">
        <w:rPr>
          <w:szCs w:val="22"/>
        </w:rPr>
        <w:t>’</w:t>
      </w:r>
      <w:r>
        <w:rPr>
          <w:szCs w:val="22"/>
        </w:rPr>
        <w:t xml:space="preserve">, </w:t>
      </w:r>
      <w:r w:rsidRPr="003832A2">
        <w:rPr>
          <w:szCs w:val="22"/>
        </w:rPr>
        <w:t xml:space="preserve">to </w:t>
      </w:r>
      <w:r>
        <w:rPr>
          <w:szCs w:val="22"/>
        </w:rPr>
        <w:t xml:space="preserve">guard against the income escaping tax in both jurisdictions. Parties can use one of three new provisions that would require a tax credit to be given for tax imposed in the other country on: </w:t>
      </w:r>
      <w:r w:rsidRPr="003832A2">
        <w:rPr>
          <w:szCs w:val="22"/>
        </w:rPr>
        <w:t xml:space="preserve"> </w:t>
      </w:r>
    </w:p>
    <w:p w14:paraId="59F02192" w14:textId="1FC70B06" w:rsidR="00AC2840" w:rsidRPr="00043EDD" w:rsidRDefault="00AC2840" w:rsidP="00132B48">
      <w:pPr>
        <w:pStyle w:val="Bullet"/>
        <w:jc w:val="left"/>
      </w:pPr>
      <w:r w:rsidRPr="0058612D">
        <w:t>income</w:t>
      </w:r>
      <w:r w:rsidRPr="00043EDD">
        <w:t xml:space="preserve"> that the treaty allows the </w:t>
      </w:r>
      <w:r w:rsidRPr="0058612D">
        <w:t xml:space="preserve">other party to exempt or tax at a </w:t>
      </w:r>
      <w:r w:rsidR="00945362">
        <w:t>reduced</w:t>
      </w:r>
      <w:r w:rsidRPr="0058612D">
        <w:t xml:space="preserve"> rate</w:t>
      </w:r>
      <w:r>
        <w:t xml:space="preserve"> </w:t>
      </w:r>
      <w:r w:rsidR="001618F7">
        <w:br/>
      </w:r>
      <w:r>
        <w:t>(Option A)</w:t>
      </w:r>
      <w:r w:rsidRPr="00043EDD">
        <w:t xml:space="preserve">; </w:t>
      </w:r>
    </w:p>
    <w:p w14:paraId="6C44B1F5" w14:textId="77777777" w:rsidR="00AC2840" w:rsidRDefault="00AC2840" w:rsidP="00132B48">
      <w:pPr>
        <w:pStyle w:val="Bullet"/>
        <w:jc w:val="left"/>
      </w:pPr>
      <w:r w:rsidRPr="0058612D">
        <w:t>dividends</w:t>
      </w:r>
      <w:r w:rsidRPr="00043EDD">
        <w:t xml:space="preserve"> that </w:t>
      </w:r>
      <w:r>
        <w:t xml:space="preserve">are tax deductible </w:t>
      </w:r>
      <w:r w:rsidRPr="0058612D">
        <w:t>in the other country</w:t>
      </w:r>
      <w:r>
        <w:t xml:space="preserve"> (Option B);</w:t>
      </w:r>
      <w:r w:rsidRPr="00043EDD">
        <w:t xml:space="preserve">  or</w:t>
      </w:r>
    </w:p>
    <w:p w14:paraId="226BEEA1" w14:textId="77777777" w:rsidR="00AC2840" w:rsidRPr="00043EDD" w:rsidRDefault="00AC2840" w:rsidP="00132B48">
      <w:pPr>
        <w:pStyle w:val="Bullet"/>
        <w:jc w:val="left"/>
      </w:pPr>
      <w:r w:rsidRPr="0058612D">
        <w:t>all types of income</w:t>
      </w:r>
      <w:r w:rsidRPr="00043EDD">
        <w:t xml:space="preserve"> that</w:t>
      </w:r>
      <w:r>
        <w:t xml:space="preserve"> the treaty allows the other country to tax (Option C)</w:t>
      </w:r>
      <w:r w:rsidRPr="003832A2">
        <w:t>;</w:t>
      </w:r>
    </w:p>
    <w:p w14:paraId="21AE5C40" w14:textId="77777777" w:rsidR="00AC2840" w:rsidRPr="003832A2" w:rsidRDefault="00AC2840" w:rsidP="00E33E85">
      <w:pPr>
        <w:pStyle w:val="Heading3"/>
      </w:pPr>
      <w:r w:rsidRPr="003832A2">
        <w:t xml:space="preserve">What are the </w:t>
      </w:r>
      <w:r>
        <w:t xml:space="preserve">adoption </w:t>
      </w:r>
      <w:r w:rsidRPr="003832A2">
        <w:t>options?</w:t>
      </w:r>
    </w:p>
    <w:p w14:paraId="3915BAD9" w14:textId="77777777" w:rsidR="00AC2840" w:rsidRPr="003832A2" w:rsidRDefault="00AC2840" w:rsidP="00E33E85">
      <w:pPr>
        <w:rPr>
          <w:i/>
        </w:rPr>
      </w:pPr>
      <w:r w:rsidRPr="003832A2">
        <w:t>Do not adopt Article 5 at all (i.e. no change to bilateral treaty rules).</w:t>
      </w:r>
    </w:p>
    <w:p w14:paraId="11ADE822" w14:textId="77777777" w:rsidR="00AC2840" w:rsidRDefault="00AC2840" w:rsidP="00E33E85">
      <w:r w:rsidRPr="003832A2">
        <w:t>Adopt Article 5 and select one of the following Options:</w:t>
      </w:r>
    </w:p>
    <w:tbl>
      <w:tblPr>
        <w:tblStyle w:val="TableGrid"/>
        <w:tblW w:w="0" w:type="auto"/>
        <w:tblInd w:w="108" w:type="dxa"/>
        <w:tblLook w:val="04A0" w:firstRow="1" w:lastRow="0" w:firstColumn="1" w:lastColumn="0" w:noHBand="0" w:noVBand="1"/>
      </w:tblPr>
      <w:tblGrid>
        <w:gridCol w:w="1134"/>
        <w:gridCol w:w="8044"/>
      </w:tblGrid>
      <w:tr w:rsidR="00E33E85" w:rsidRPr="00E33E85" w14:paraId="537A9534" w14:textId="77777777" w:rsidTr="009445F4">
        <w:tc>
          <w:tcPr>
            <w:tcW w:w="1134" w:type="dxa"/>
            <w:shd w:val="clear" w:color="auto" w:fill="auto"/>
          </w:tcPr>
          <w:p w14:paraId="3311CDC0" w14:textId="482FA513" w:rsidR="00E33E85" w:rsidRPr="00E33E85" w:rsidRDefault="00E33E85" w:rsidP="00E33E85">
            <w:r w:rsidRPr="00E33E85">
              <w:t>5(2)</w:t>
            </w:r>
          </w:p>
        </w:tc>
        <w:tc>
          <w:tcPr>
            <w:tcW w:w="8044" w:type="dxa"/>
            <w:shd w:val="clear" w:color="auto" w:fill="auto"/>
          </w:tcPr>
          <w:p w14:paraId="4D0EFFDD" w14:textId="1D125B0C" w:rsidR="00E33E85" w:rsidRPr="00E33E85" w:rsidRDefault="00E33E85" w:rsidP="00E33E85">
            <w:r w:rsidRPr="00E33E85">
              <w:rPr>
                <w:b/>
              </w:rPr>
              <w:t>Option A</w:t>
            </w:r>
            <w:r w:rsidRPr="00E33E85">
              <w:t>: Where the existing exemption method applies, add text that expressly allows jurisdictions to not apply the exemption method with respect to income or capital that is deductible in the payer jurisdiction</w:t>
            </w:r>
          </w:p>
        </w:tc>
      </w:tr>
      <w:tr w:rsidR="00E33E85" w:rsidRPr="00E33E85" w14:paraId="17968336" w14:textId="77777777" w:rsidTr="009445F4">
        <w:tc>
          <w:tcPr>
            <w:tcW w:w="1134" w:type="dxa"/>
            <w:shd w:val="clear" w:color="auto" w:fill="auto"/>
          </w:tcPr>
          <w:p w14:paraId="20BAD684" w14:textId="081C75AE" w:rsidR="00E33E85" w:rsidRPr="00E33E85" w:rsidRDefault="00E33E85" w:rsidP="00E33E85">
            <w:r w:rsidRPr="00E33E85">
              <w:t>5(4)</w:t>
            </w:r>
          </w:p>
        </w:tc>
        <w:tc>
          <w:tcPr>
            <w:tcW w:w="8044" w:type="dxa"/>
            <w:shd w:val="clear" w:color="auto" w:fill="auto"/>
          </w:tcPr>
          <w:p w14:paraId="3AC44BA3" w14:textId="253B6C42" w:rsidR="00E33E85" w:rsidRPr="00E33E85" w:rsidRDefault="00E33E85" w:rsidP="00E33E85">
            <w:r w:rsidRPr="00E33E85">
              <w:rPr>
                <w:b/>
              </w:rPr>
              <w:t>Option B</w:t>
            </w:r>
            <w:r w:rsidRPr="00E33E85">
              <w:t>: Where the existing exemption method applies, add text that expressly allows jurisdictions to not apply the exemption method with respect to dividends that are deductible in the payer jurisdiction</w:t>
            </w:r>
          </w:p>
        </w:tc>
      </w:tr>
      <w:tr w:rsidR="00E33E85" w:rsidRPr="00E33E85" w14:paraId="0D0EE22C" w14:textId="77777777" w:rsidTr="009445F4">
        <w:tc>
          <w:tcPr>
            <w:tcW w:w="1134" w:type="dxa"/>
            <w:shd w:val="clear" w:color="auto" w:fill="auto"/>
          </w:tcPr>
          <w:p w14:paraId="04345DAD" w14:textId="5D296DE6" w:rsidR="00E33E85" w:rsidRPr="00E33E85" w:rsidRDefault="00E33E85" w:rsidP="00E33E85">
            <w:r w:rsidRPr="00E33E85">
              <w:t>5(6)</w:t>
            </w:r>
          </w:p>
        </w:tc>
        <w:tc>
          <w:tcPr>
            <w:tcW w:w="8044" w:type="dxa"/>
            <w:shd w:val="clear" w:color="auto" w:fill="auto"/>
          </w:tcPr>
          <w:p w14:paraId="67FA6C05" w14:textId="75458AB4" w:rsidR="00E33E85" w:rsidRPr="00E33E85" w:rsidRDefault="00E33E85" w:rsidP="00E33E85">
            <w:r w:rsidRPr="00E33E85">
              <w:rPr>
                <w:b/>
              </w:rPr>
              <w:t>Option C</w:t>
            </w:r>
            <w:r w:rsidRPr="00E33E85">
              <w:t>: Replace the existing exemption method text entirely with a full credit method article based on Article 23B of the OECD Model Tax Convention</w:t>
            </w:r>
          </w:p>
        </w:tc>
      </w:tr>
      <w:tr w:rsidR="00E33E85" w:rsidRPr="00E33E85" w14:paraId="4EA2F9BE" w14:textId="77777777" w:rsidTr="009445F4">
        <w:tc>
          <w:tcPr>
            <w:tcW w:w="1134" w:type="dxa"/>
            <w:shd w:val="clear" w:color="auto" w:fill="auto"/>
          </w:tcPr>
          <w:p w14:paraId="0F076A1C" w14:textId="55AA7888" w:rsidR="00E33E85" w:rsidRPr="00E33E85" w:rsidRDefault="00E33E85" w:rsidP="00E33E85">
            <w:r w:rsidRPr="00E33E85">
              <w:t>5(8)</w:t>
            </w:r>
          </w:p>
        </w:tc>
        <w:tc>
          <w:tcPr>
            <w:tcW w:w="8044" w:type="dxa"/>
            <w:shd w:val="clear" w:color="auto" w:fill="auto"/>
          </w:tcPr>
          <w:p w14:paraId="2A7E6986" w14:textId="2A78FD02" w:rsidR="00E33E85" w:rsidRPr="00E33E85" w:rsidRDefault="00E33E85" w:rsidP="00E33E85">
            <w:r w:rsidRPr="00E33E85">
              <w:t>Where no Option chosen, Article 5 won</w:t>
            </w:r>
            <w:r w:rsidR="00740B66">
              <w:t>’</w:t>
            </w:r>
            <w:r w:rsidRPr="00E33E85">
              <w:t>t apply for all or specified covered tax agreements</w:t>
            </w:r>
          </w:p>
        </w:tc>
      </w:tr>
      <w:tr w:rsidR="00E33E85" w:rsidRPr="00E33E85" w14:paraId="2AAFBF73" w14:textId="77777777" w:rsidTr="009445F4">
        <w:tc>
          <w:tcPr>
            <w:tcW w:w="1134" w:type="dxa"/>
            <w:shd w:val="clear" w:color="auto" w:fill="auto"/>
          </w:tcPr>
          <w:p w14:paraId="5D53D37A" w14:textId="6DFC0E05" w:rsidR="00E33E85" w:rsidRPr="00E33E85" w:rsidRDefault="00E33E85" w:rsidP="00E33E85">
            <w:r w:rsidRPr="00E33E85">
              <w:t>5(9)</w:t>
            </w:r>
          </w:p>
        </w:tc>
        <w:tc>
          <w:tcPr>
            <w:tcW w:w="8044" w:type="dxa"/>
            <w:shd w:val="clear" w:color="auto" w:fill="auto"/>
          </w:tcPr>
          <w:p w14:paraId="73E4C6E9" w14:textId="4C2D4402" w:rsidR="00E33E85" w:rsidRPr="00E33E85" w:rsidRDefault="00E33E85" w:rsidP="00E33E85">
            <w:r w:rsidRPr="00E33E85">
              <w:t>Where Option C not chosen, other Party cannot apply Option C to all or specified covered tax agreements</w:t>
            </w:r>
          </w:p>
        </w:tc>
      </w:tr>
    </w:tbl>
    <w:p w14:paraId="0379B770" w14:textId="4CFF7144" w:rsidR="00AC2840" w:rsidRPr="0058612D" w:rsidRDefault="00AC2840" w:rsidP="00E33E85">
      <w:pPr>
        <w:pStyle w:val="Heading3"/>
      </w:pPr>
      <w:r w:rsidRPr="0058612D">
        <w:t>Australia</w:t>
      </w:r>
      <w:r w:rsidR="00740B66">
        <w:t>’</w:t>
      </w:r>
      <w:r w:rsidRPr="0058612D">
        <w:t>s initial approach to Article 5</w:t>
      </w:r>
    </w:p>
    <w:p w14:paraId="6F7EFE5B" w14:textId="7AC7B6F7" w:rsidR="00AC2840" w:rsidRDefault="00AC2840" w:rsidP="00132B48">
      <w:pPr>
        <w:jc w:val="left"/>
        <w:rPr>
          <w:szCs w:val="22"/>
          <w:highlight w:val="green"/>
        </w:rPr>
      </w:pPr>
      <w:r w:rsidRPr="0058612D">
        <w:rPr>
          <w:szCs w:val="22"/>
        </w:rPr>
        <w:t>All of Australia</w:t>
      </w:r>
      <w:r w:rsidR="00740B66">
        <w:rPr>
          <w:szCs w:val="22"/>
        </w:rPr>
        <w:t>’</w:t>
      </w:r>
      <w:r w:rsidRPr="0058612D">
        <w:rPr>
          <w:szCs w:val="22"/>
        </w:rPr>
        <w:t xml:space="preserve">s treaties apply the </w:t>
      </w:r>
      <w:r w:rsidR="00740B66">
        <w:rPr>
          <w:szCs w:val="22"/>
        </w:rPr>
        <w:t>‘</w:t>
      </w:r>
      <w:r w:rsidRPr="0058612D">
        <w:rPr>
          <w:szCs w:val="22"/>
        </w:rPr>
        <w:t>credit method</w:t>
      </w:r>
      <w:r w:rsidR="00740B66">
        <w:rPr>
          <w:szCs w:val="22"/>
        </w:rPr>
        <w:t>’</w:t>
      </w:r>
      <w:r w:rsidRPr="0058612D">
        <w:rPr>
          <w:szCs w:val="22"/>
        </w:rPr>
        <w:t xml:space="preserve"> for relieving double taxation for Australian residents. On this basis, Australia</w:t>
      </w:r>
      <w:r w:rsidR="00740B66">
        <w:rPr>
          <w:szCs w:val="22"/>
        </w:rPr>
        <w:t>’</w:t>
      </w:r>
      <w:r w:rsidRPr="0058612D">
        <w:rPr>
          <w:szCs w:val="22"/>
        </w:rPr>
        <w:t>s initial approach would be to not adopt Article</w:t>
      </w:r>
      <w:r>
        <w:rPr>
          <w:szCs w:val="22"/>
        </w:rPr>
        <w:t> </w:t>
      </w:r>
      <w:r w:rsidRPr="0058612D">
        <w:rPr>
          <w:szCs w:val="22"/>
        </w:rPr>
        <w:t>5</w:t>
      </w:r>
      <w:r>
        <w:rPr>
          <w:szCs w:val="22"/>
        </w:rPr>
        <w:t xml:space="preserve"> and also not to prevent other Parties from applying their chosen </w:t>
      </w:r>
      <w:r w:rsidR="00E0469F">
        <w:rPr>
          <w:szCs w:val="22"/>
        </w:rPr>
        <w:t>o</w:t>
      </w:r>
      <w:r>
        <w:rPr>
          <w:szCs w:val="22"/>
        </w:rPr>
        <w:t>ptions</w:t>
      </w:r>
      <w:r w:rsidRPr="0058612D">
        <w:rPr>
          <w:szCs w:val="22"/>
        </w:rPr>
        <w:t xml:space="preserve">. </w:t>
      </w:r>
    </w:p>
    <w:p w14:paraId="31BC545B" w14:textId="0E7826F0" w:rsidR="00AC2840" w:rsidRPr="00E33E85" w:rsidRDefault="00AC2840" w:rsidP="00E33E85">
      <w:pPr>
        <w:pStyle w:val="Heading2"/>
      </w:pPr>
      <w:bookmarkStart w:id="75" w:name="_Toc468726800"/>
      <w:bookmarkStart w:id="76" w:name="_Toc468732581"/>
      <w:bookmarkStart w:id="77" w:name="_Toc469328377"/>
      <w:bookmarkStart w:id="78" w:name="_Toc469329032"/>
      <w:r w:rsidRPr="00E33E85">
        <w:t>Article 6</w:t>
      </w:r>
      <w:r w:rsidR="00D04E2A" w:rsidRPr="00E33E85">
        <w:t xml:space="preserve"> — </w:t>
      </w:r>
      <w:r w:rsidRPr="00E33E85">
        <w:t>Purpose of a Covered Tax Agreement</w:t>
      </w:r>
      <w:bookmarkEnd w:id="75"/>
      <w:bookmarkEnd w:id="76"/>
      <w:bookmarkEnd w:id="77"/>
      <w:bookmarkEnd w:id="78"/>
    </w:p>
    <w:p w14:paraId="43F1AA61" w14:textId="77777777" w:rsidR="00AC2840" w:rsidRPr="003832A2" w:rsidRDefault="00AC2840" w:rsidP="00132B48">
      <w:pPr>
        <w:spacing w:before="240"/>
        <w:jc w:val="left"/>
        <w:rPr>
          <w:szCs w:val="22"/>
        </w:rPr>
      </w:pPr>
      <w:r w:rsidRPr="002A2DEF">
        <w:rPr>
          <w:szCs w:val="22"/>
        </w:rPr>
        <w:t xml:space="preserve">Article 6 </w:t>
      </w:r>
      <w:r w:rsidRPr="00954549">
        <w:t>implements recommendations</w:t>
      </w:r>
      <w:r w:rsidRPr="002A2DEF">
        <w:rPr>
          <w:szCs w:val="22"/>
        </w:rPr>
        <w:t xml:space="preserve"> outlined in the BEPS Action 6 (Preventing the Granting of Treaty Benefits in Inappropriate Circumstances) report (see page 92 of that report).</w:t>
      </w:r>
      <w:r w:rsidRPr="00730570">
        <w:rPr>
          <w:szCs w:val="22"/>
        </w:rPr>
        <w:t xml:space="preserve"> </w:t>
      </w:r>
    </w:p>
    <w:p w14:paraId="268A0ABD" w14:textId="77777777" w:rsidR="002D7ED9" w:rsidRDefault="00AC2840" w:rsidP="002D7ED9">
      <w:pPr>
        <w:pStyle w:val="Heading3"/>
      </w:pPr>
      <w:r w:rsidRPr="003832A2">
        <w:t xml:space="preserve">How does this Article address multinational tax avoidance? </w:t>
      </w:r>
    </w:p>
    <w:p w14:paraId="1C461557" w14:textId="18CAC942" w:rsidR="00AC2840" w:rsidRPr="002A2DEF" w:rsidRDefault="00AC2840" w:rsidP="002D7ED9">
      <w:r w:rsidRPr="002A2DEF">
        <w:t>Tax treaties have been primarily developed for the purpose of avoiding double taxation. Another purpose is to prevent tax avoidance and evasion.</w:t>
      </w:r>
    </w:p>
    <w:p w14:paraId="47AD61FA" w14:textId="13C4164E" w:rsidR="00AC2840" w:rsidRPr="002A2DEF" w:rsidRDefault="00AC2840" w:rsidP="00132B48">
      <w:pPr>
        <w:jc w:val="left"/>
        <w:rPr>
          <w:color w:val="000000" w:themeColor="text1"/>
          <w:szCs w:val="22"/>
        </w:rPr>
      </w:pPr>
      <w:r w:rsidRPr="002A2DEF">
        <w:rPr>
          <w:color w:val="000000" w:themeColor="text1"/>
          <w:szCs w:val="22"/>
        </w:rPr>
        <w:t>Article 6 will insert a new preamble into covered tax agreements which expressly states that the purpose of</w:t>
      </w:r>
      <w:r>
        <w:rPr>
          <w:color w:val="000000" w:themeColor="text1"/>
          <w:szCs w:val="22"/>
        </w:rPr>
        <w:t xml:space="preserve"> the </w:t>
      </w:r>
      <w:r w:rsidRPr="002A2DEF">
        <w:rPr>
          <w:color w:val="000000" w:themeColor="text1"/>
          <w:szCs w:val="22"/>
        </w:rPr>
        <w:t>tax treat</w:t>
      </w:r>
      <w:r>
        <w:rPr>
          <w:color w:val="000000" w:themeColor="text1"/>
          <w:szCs w:val="22"/>
        </w:rPr>
        <w:t>y</w:t>
      </w:r>
      <w:r w:rsidRPr="002A2DEF">
        <w:rPr>
          <w:color w:val="000000" w:themeColor="text1"/>
          <w:szCs w:val="22"/>
        </w:rPr>
        <w:t xml:space="preserve"> is to eliminate double taxation without creating opportunities for non</w:t>
      </w:r>
      <w:r w:rsidR="00740B66">
        <w:rPr>
          <w:color w:val="000000" w:themeColor="text1"/>
          <w:szCs w:val="22"/>
        </w:rPr>
        <w:noBreakHyphen/>
      </w:r>
      <w:r w:rsidRPr="002A2DEF">
        <w:rPr>
          <w:color w:val="000000" w:themeColor="text1"/>
          <w:szCs w:val="22"/>
        </w:rPr>
        <w:t>taxation or reduced taxation through tax evasion or avoidance (including through treaty</w:t>
      </w:r>
      <w:r w:rsidR="00740B66">
        <w:rPr>
          <w:color w:val="000000" w:themeColor="text1"/>
          <w:szCs w:val="22"/>
        </w:rPr>
        <w:noBreakHyphen/>
      </w:r>
      <w:r w:rsidRPr="002A2DEF">
        <w:rPr>
          <w:color w:val="000000" w:themeColor="text1"/>
          <w:szCs w:val="22"/>
        </w:rPr>
        <w:t>shopping arrangements</w:t>
      </w:r>
      <w:r>
        <w:rPr>
          <w:color w:val="000000" w:themeColor="text1"/>
          <w:szCs w:val="22"/>
        </w:rPr>
        <w:t xml:space="preserve"> aimed at obtaining reliefs provided in the treaty for the indirect benefit of residents in third jurisdictions</w:t>
      </w:r>
      <w:r w:rsidRPr="002A2DEF">
        <w:rPr>
          <w:color w:val="000000" w:themeColor="text1"/>
          <w:szCs w:val="22"/>
        </w:rPr>
        <w:t>). This is important because tax treaties are required to be interpreted in their context and</w:t>
      </w:r>
      <w:r w:rsidR="00945362">
        <w:rPr>
          <w:color w:val="000000" w:themeColor="text1"/>
          <w:szCs w:val="22"/>
        </w:rPr>
        <w:t xml:space="preserve"> in</w:t>
      </w:r>
      <w:r w:rsidRPr="002A2DEF">
        <w:rPr>
          <w:color w:val="000000" w:themeColor="text1"/>
          <w:szCs w:val="22"/>
        </w:rPr>
        <w:t xml:space="preserve"> light of their object and purposes (including their preamble).</w:t>
      </w:r>
    </w:p>
    <w:p w14:paraId="61949693" w14:textId="77777777" w:rsidR="00AC2840" w:rsidRPr="003832A2" w:rsidRDefault="00AC2840" w:rsidP="00132B48">
      <w:pPr>
        <w:spacing w:after="0"/>
        <w:jc w:val="left"/>
        <w:rPr>
          <w:color w:val="000000" w:themeColor="text1"/>
          <w:szCs w:val="22"/>
        </w:rPr>
      </w:pPr>
      <w:r w:rsidRPr="002A2DEF">
        <w:rPr>
          <w:color w:val="000000" w:themeColor="text1"/>
          <w:szCs w:val="22"/>
        </w:rPr>
        <w:t xml:space="preserve">Article 6 also contains optional additional preamble text stating that both jurisdictions desire to further develop their economic relationship and enhance their cooperation in tax matters. </w:t>
      </w:r>
    </w:p>
    <w:p w14:paraId="1C616EAE" w14:textId="77777777" w:rsidR="00AC2840" w:rsidRPr="006405CE" w:rsidRDefault="00AC2840" w:rsidP="002E08C8">
      <w:pPr>
        <w:pStyle w:val="Heading3"/>
      </w:pPr>
      <w:r w:rsidRPr="006405CE">
        <w:t xml:space="preserve">What are the </w:t>
      </w:r>
      <w:r>
        <w:t xml:space="preserve">adoption </w:t>
      </w:r>
      <w:r w:rsidRPr="006405CE">
        <w:t>options?</w:t>
      </w:r>
    </w:p>
    <w:p w14:paraId="60DFC48D" w14:textId="77777777" w:rsidR="00AC2840" w:rsidRDefault="00AC2840" w:rsidP="002D7ED9">
      <w:r w:rsidRPr="003832A2">
        <w:t>Adopt the new preamble</w:t>
      </w:r>
    </w:p>
    <w:tbl>
      <w:tblPr>
        <w:tblStyle w:val="TableGrid"/>
        <w:tblW w:w="0" w:type="auto"/>
        <w:tblInd w:w="108" w:type="dxa"/>
        <w:tblLook w:val="04A0" w:firstRow="1" w:lastRow="0" w:firstColumn="1" w:lastColumn="0" w:noHBand="0" w:noVBand="1"/>
      </w:tblPr>
      <w:tblGrid>
        <w:gridCol w:w="1134"/>
        <w:gridCol w:w="8044"/>
      </w:tblGrid>
      <w:tr w:rsidR="00802CC4" w:rsidRPr="00E33E85" w14:paraId="34BF43D1" w14:textId="77777777" w:rsidTr="009445F4">
        <w:tc>
          <w:tcPr>
            <w:tcW w:w="1134" w:type="dxa"/>
            <w:shd w:val="clear" w:color="auto" w:fill="auto"/>
          </w:tcPr>
          <w:p w14:paraId="4CBBA542" w14:textId="39BDE171" w:rsidR="00802CC4" w:rsidRPr="00E33E85" w:rsidRDefault="00802CC4" w:rsidP="009445F4">
            <w:r>
              <w:rPr>
                <w:szCs w:val="22"/>
              </w:rPr>
              <w:t>6(3)</w:t>
            </w:r>
          </w:p>
        </w:tc>
        <w:tc>
          <w:tcPr>
            <w:tcW w:w="8044" w:type="dxa"/>
            <w:shd w:val="clear" w:color="auto" w:fill="auto"/>
          </w:tcPr>
          <w:p w14:paraId="55BFA8E5" w14:textId="13E95863" w:rsidR="00802CC4" w:rsidRPr="00802CC4" w:rsidRDefault="00802CC4" w:rsidP="002E08C8">
            <w:r>
              <w:t>Also adopt the additional preamble text referring to a desire to develop the bilateral economic relationship and enhance tax cooperation</w:t>
            </w:r>
          </w:p>
        </w:tc>
      </w:tr>
      <w:tr w:rsidR="00802CC4" w:rsidRPr="00E33E85" w14:paraId="1025A82E" w14:textId="77777777" w:rsidTr="009445F4">
        <w:tc>
          <w:tcPr>
            <w:tcW w:w="1134" w:type="dxa"/>
            <w:shd w:val="clear" w:color="auto" w:fill="auto"/>
          </w:tcPr>
          <w:p w14:paraId="28996E9C" w14:textId="7118D136" w:rsidR="00802CC4" w:rsidRPr="00E33E85" w:rsidRDefault="00802CC4" w:rsidP="009445F4">
            <w:r>
              <w:rPr>
                <w:szCs w:val="22"/>
              </w:rPr>
              <w:t>6(4)</w:t>
            </w:r>
          </w:p>
        </w:tc>
        <w:tc>
          <w:tcPr>
            <w:tcW w:w="8044" w:type="dxa"/>
            <w:shd w:val="clear" w:color="auto" w:fill="auto"/>
          </w:tcPr>
          <w:p w14:paraId="21352DAA" w14:textId="1E1DB5A2" w:rsidR="00802CC4" w:rsidRPr="00E33E85" w:rsidRDefault="00802CC4" w:rsidP="002E08C8">
            <w:r>
              <w:t xml:space="preserve">Do not adopt the new preamble </w:t>
            </w:r>
            <w:r w:rsidRPr="003832A2">
              <w:t>for bilateral treaties that already contain equivalent preamble language</w:t>
            </w:r>
          </w:p>
        </w:tc>
      </w:tr>
    </w:tbl>
    <w:p w14:paraId="25525054" w14:textId="0A13A9EC" w:rsidR="00AC2840" w:rsidRPr="002E08C8" w:rsidRDefault="00AC2840" w:rsidP="002E08C8">
      <w:pPr>
        <w:pStyle w:val="Heading3"/>
        <w:rPr>
          <w:rStyle w:val="Strong"/>
          <w:b/>
          <w:bCs/>
        </w:rPr>
      </w:pPr>
      <w:r w:rsidRPr="002E08C8">
        <w:rPr>
          <w:rStyle w:val="Strong"/>
          <w:b/>
          <w:bCs/>
        </w:rPr>
        <w:t>Australia</w:t>
      </w:r>
      <w:r w:rsidR="00740B66">
        <w:rPr>
          <w:rStyle w:val="Strong"/>
          <w:b/>
          <w:bCs/>
        </w:rPr>
        <w:t>’</w:t>
      </w:r>
      <w:r w:rsidRPr="002E08C8">
        <w:rPr>
          <w:rStyle w:val="Strong"/>
          <w:b/>
          <w:bCs/>
        </w:rPr>
        <w:t>s initial approach to Article 6</w:t>
      </w:r>
    </w:p>
    <w:p w14:paraId="61E08021" w14:textId="20E9F6F1" w:rsidR="00AC2840" w:rsidRPr="0058612D" w:rsidRDefault="00AC2840" w:rsidP="002E08C8">
      <w:r w:rsidRPr="0058612D">
        <w:t>Article 6</w:t>
      </w:r>
      <w:r>
        <w:t xml:space="preserve"> is </w:t>
      </w:r>
      <w:r w:rsidRPr="0058612D">
        <w:t>consistent with Australia</w:t>
      </w:r>
      <w:r w:rsidR="00740B66">
        <w:t>’</w:t>
      </w:r>
      <w:r w:rsidRPr="0058612D">
        <w:t xml:space="preserve">s view that the object and purpose of tax treaties is </w:t>
      </w:r>
      <w:r>
        <w:t>to</w:t>
      </w:r>
      <w:r w:rsidRPr="0058612D">
        <w:t xml:space="preserve"> eliminate double taxation</w:t>
      </w:r>
      <w:r>
        <w:t xml:space="preserve"> without</w:t>
      </w:r>
      <w:r w:rsidRPr="0058612D">
        <w:rPr>
          <w:color w:val="365F91" w:themeColor="accent1" w:themeShade="BF"/>
        </w:rPr>
        <w:t xml:space="preserve"> </w:t>
      </w:r>
      <w:r w:rsidRPr="0058612D">
        <w:t>facilitat</w:t>
      </w:r>
      <w:r>
        <w:t>ing</w:t>
      </w:r>
      <w:r w:rsidRPr="0058612D">
        <w:t xml:space="preserve"> double non</w:t>
      </w:r>
      <w:r w:rsidR="00740B66">
        <w:noBreakHyphen/>
      </w:r>
      <w:r w:rsidRPr="0058612D">
        <w:t>taxation</w:t>
      </w:r>
      <w:r>
        <w:t xml:space="preserve"> </w:t>
      </w:r>
      <w:r w:rsidRPr="0058612D">
        <w:t xml:space="preserve">or tax avoidance or evasion. </w:t>
      </w:r>
      <w:r>
        <w:t xml:space="preserve">The </w:t>
      </w:r>
      <w:r w:rsidRPr="00CC039E">
        <w:t>2015 Australia</w:t>
      </w:r>
      <w:r w:rsidR="00740B66">
        <w:noBreakHyphen/>
      </w:r>
      <w:r w:rsidRPr="00CC039E">
        <w:t>Germany treaty</w:t>
      </w:r>
      <w:r>
        <w:t xml:space="preserve"> includes both the new and additional preamble text.</w:t>
      </w:r>
    </w:p>
    <w:p w14:paraId="2DEE45A7" w14:textId="77777777" w:rsidR="00AC2840" w:rsidRPr="002A2DEF" w:rsidRDefault="00AC2840" w:rsidP="002E08C8">
      <w:pPr>
        <w:rPr>
          <w:rStyle w:val="Strong"/>
          <w:color w:val="000000" w:themeColor="text1"/>
          <w:szCs w:val="22"/>
        </w:rPr>
      </w:pPr>
      <w:r w:rsidRPr="0058612D">
        <w:t>On this basis, Australia preliminary approach would be to adopt Article 6 across all of its covered tax agreements</w:t>
      </w:r>
      <w:r>
        <w:t>, including the additional preamble text</w:t>
      </w:r>
      <w:r w:rsidRPr="0058612D">
        <w:t xml:space="preserve">. </w:t>
      </w:r>
    </w:p>
    <w:p w14:paraId="28F2E4C5" w14:textId="77777777" w:rsidR="00AC2840" w:rsidRDefault="00AC2840">
      <w:pPr>
        <w:spacing w:after="0" w:line="240" w:lineRule="auto"/>
        <w:jc w:val="left"/>
        <w:rPr>
          <w:rStyle w:val="Strong"/>
          <w:rFonts w:ascii="Century Gothic" w:hAnsi="Century Gothic" w:cs="Arial"/>
          <w:bCs w:val="0"/>
          <w:iCs/>
          <w:smallCaps/>
          <w:color w:val="1F497D" w:themeColor="text2"/>
          <w:kern w:val="32"/>
          <w:sz w:val="36"/>
          <w:szCs w:val="28"/>
        </w:rPr>
      </w:pPr>
      <w:r>
        <w:rPr>
          <w:rStyle w:val="Strong"/>
          <w:b w:val="0"/>
          <w:kern w:val="32"/>
          <w:sz w:val="36"/>
        </w:rPr>
        <w:br w:type="page"/>
      </w:r>
    </w:p>
    <w:p w14:paraId="093F2FE3" w14:textId="21C408CA" w:rsidR="00AC2840" w:rsidRPr="0008180E" w:rsidRDefault="00AC2840" w:rsidP="0008180E">
      <w:pPr>
        <w:pStyle w:val="Heading2"/>
      </w:pPr>
      <w:bookmarkStart w:id="79" w:name="_Toc468726801"/>
      <w:bookmarkStart w:id="80" w:name="_Toc468732582"/>
      <w:bookmarkStart w:id="81" w:name="_Toc469328378"/>
      <w:bookmarkStart w:id="82" w:name="_Toc469329033"/>
      <w:r w:rsidRPr="0008180E">
        <w:t>Article 7</w:t>
      </w:r>
      <w:r w:rsidR="00D04E2A" w:rsidRPr="0008180E">
        <w:t xml:space="preserve"> — </w:t>
      </w:r>
      <w:r w:rsidRPr="0008180E">
        <w:t>Prevention of Treaty Abuse</w:t>
      </w:r>
      <w:bookmarkEnd w:id="79"/>
      <w:bookmarkEnd w:id="80"/>
      <w:bookmarkEnd w:id="81"/>
      <w:bookmarkEnd w:id="82"/>
      <w:r w:rsidRPr="0008180E">
        <w:t xml:space="preserve"> </w:t>
      </w:r>
    </w:p>
    <w:p w14:paraId="44149443" w14:textId="77777777" w:rsidR="00AC2840" w:rsidRDefault="00AC2840" w:rsidP="00132B48">
      <w:pPr>
        <w:spacing w:before="240"/>
        <w:jc w:val="left"/>
        <w:rPr>
          <w:szCs w:val="22"/>
        </w:rPr>
      </w:pPr>
      <w:r w:rsidRPr="002A2DEF">
        <w:t xml:space="preserve">Article 7 </w:t>
      </w:r>
      <w:r w:rsidRPr="00521DD8">
        <w:t xml:space="preserve">implements recommendations </w:t>
      </w:r>
      <w:r w:rsidRPr="002A2DEF">
        <w:t>outlined in the BEPS Action 6 (Preventing the Granting of Treaty Benefits in Inappropriate Circumstances) report (see pa</w:t>
      </w:r>
      <w:r>
        <w:t xml:space="preserve">ragraph 22 </w:t>
      </w:r>
      <w:r w:rsidRPr="002A2DEF">
        <w:t xml:space="preserve">of that report). </w:t>
      </w:r>
    </w:p>
    <w:p w14:paraId="6488A3AE" w14:textId="77777777" w:rsidR="00AC2840" w:rsidRPr="003832A2" w:rsidRDefault="00AC2840" w:rsidP="002E08C8">
      <w:pPr>
        <w:pStyle w:val="Heading3"/>
      </w:pPr>
      <w:r w:rsidRPr="003832A2">
        <w:t xml:space="preserve">How does this Article address multinational tax avoidance?  </w:t>
      </w:r>
    </w:p>
    <w:p w14:paraId="68FC4624" w14:textId="570BD21E" w:rsidR="00AC2840" w:rsidRPr="003832A2" w:rsidRDefault="00AC2840" w:rsidP="00132B48">
      <w:pPr>
        <w:jc w:val="left"/>
        <w:rPr>
          <w:color w:val="000000" w:themeColor="text1"/>
          <w:szCs w:val="22"/>
        </w:rPr>
      </w:pPr>
      <w:r w:rsidRPr="003832A2">
        <w:rPr>
          <w:color w:val="000000" w:themeColor="text1"/>
          <w:szCs w:val="22"/>
        </w:rPr>
        <w:t>Many tax treaties contain specific integrity rules to prevent treaty benefits from being obtained in unintended circumstances. However, some taxpayers are able to circumvent these rules using treaty</w:t>
      </w:r>
      <w:r w:rsidR="00740B66">
        <w:rPr>
          <w:color w:val="000000" w:themeColor="text1"/>
          <w:szCs w:val="22"/>
        </w:rPr>
        <w:noBreakHyphen/>
      </w:r>
      <w:r w:rsidRPr="003832A2">
        <w:rPr>
          <w:color w:val="000000" w:themeColor="text1"/>
          <w:szCs w:val="22"/>
        </w:rPr>
        <w:t>shopping and other abusive arrangements</w:t>
      </w:r>
      <w:r>
        <w:rPr>
          <w:color w:val="000000" w:themeColor="text1"/>
          <w:szCs w:val="22"/>
        </w:rPr>
        <w:t>. A</w:t>
      </w:r>
      <w:r w:rsidRPr="003832A2">
        <w:rPr>
          <w:color w:val="000000" w:themeColor="text1"/>
          <w:szCs w:val="22"/>
        </w:rPr>
        <w:t>rticle</w:t>
      </w:r>
      <w:r>
        <w:rPr>
          <w:color w:val="000000" w:themeColor="text1"/>
          <w:szCs w:val="22"/>
        </w:rPr>
        <w:t xml:space="preserve"> 7</w:t>
      </w:r>
      <w:r w:rsidRPr="003832A2">
        <w:rPr>
          <w:color w:val="000000" w:themeColor="text1"/>
          <w:szCs w:val="22"/>
        </w:rPr>
        <w:t xml:space="preserve"> </w:t>
      </w:r>
      <w:r>
        <w:rPr>
          <w:color w:val="000000" w:themeColor="text1"/>
          <w:szCs w:val="22"/>
        </w:rPr>
        <w:t>will modify jurisdictions</w:t>
      </w:r>
      <w:r w:rsidR="00740B66">
        <w:rPr>
          <w:color w:val="000000" w:themeColor="text1"/>
          <w:szCs w:val="22"/>
        </w:rPr>
        <w:t>’</w:t>
      </w:r>
      <w:r w:rsidRPr="003832A2">
        <w:rPr>
          <w:color w:val="000000" w:themeColor="text1"/>
          <w:szCs w:val="22"/>
        </w:rPr>
        <w:t xml:space="preserve"> bilateral treaties</w:t>
      </w:r>
      <w:r>
        <w:rPr>
          <w:color w:val="000000" w:themeColor="text1"/>
          <w:szCs w:val="22"/>
        </w:rPr>
        <w:t xml:space="preserve"> to include the following</w:t>
      </w:r>
      <w:r w:rsidRPr="003832A2">
        <w:rPr>
          <w:color w:val="000000" w:themeColor="text1"/>
          <w:szCs w:val="22"/>
        </w:rPr>
        <w:t>:</w:t>
      </w:r>
    </w:p>
    <w:p w14:paraId="311BBD8D" w14:textId="72B4419E" w:rsidR="00AC2840" w:rsidRPr="0058612D" w:rsidRDefault="00AC2840" w:rsidP="002E08C8">
      <w:pPr>
        <w:pStyle w:val="Bullet"/>
      </w:pPr>
      <w:r w:rsidRPr="003832A2">
        <w:t>A general anti</w:t>
      </w:r>
      <w:r w:rsidR="00740B66">
        <w:noBreakHyphen/>
      </w:r>
      <w:r w:rsidRPr="003832A2">
        <w:t>avoidance rule</w:t>
      </w:r>
      <w:r w:rsidR="00D04E2A">
        <w:t xml:space="preserve"> — </w:t>
      </w:r>
      <w:r w:rsidRPr="00BE22C4">
        <w:rPr>
          <w:b/>
        </w:rPr>
        <w:t>the Principal Purpose Test (PPT)</w:t>
      </w:r>
      <w:r w:rsidR="00D04E2A">
        <w:t xml:space="preserve"> — </w:t>
      </w:r>
      <w:r>
        <w:t>to deny</w:t>
      </w:r>
      <w:r w:rsidRPr="003832A2">
        <w:t xml:space="preserve"> treaty benefits </w:t>
      </w:r>
      <w:r>
        <w:t xml:space="preserve">where </w:t>
      </w:r>
      <w:r w:rsidRPr="003832A2">
        <w:t xml:space="preserve">obtaining the benefit was </w:t>
      </w:r>
      <w:r w:rsidRPr="0058612D">
        <w:t>one of the principal purposes</w:t>
      </w:r>
      <w:r w:rsidRPr="003832A2">
        <w:t xml:space="preserve"> of the arrangement</w:t>
      </w:r>
      <w:r>
        <w:t xml:space="preserve"> unless granting the treaty benefits would be in accordance with the object and purpose of the relevant provisions of the treaty; and</w:t>
      </w:r>
    </w:p>
    <w:p w14:paraId="1043A856" w14:textId="5EC0AE02" w:rsidR="00AC2840" w:rsidRPr="003832A2" w:rsidRDefault="00AC2840" w:rsidP="002E08C8">
      <w:pPr>
        <w:pStyle w:val="Bullet"/>
        <w:rPr>
          <w:i/>
        </w:rPr>
      </w:pPr>
      <w:r w:rsidRPr="003832A2">
        <w:t xml:space="preserve">A supplementary </w:t>
      </w:r>
      <w:r>
        <w:t>(</w:t>
      </w:r>
      <w:r w:rsidRPr="003832A2">
        <w:t>and optional</w:t>
      </w:r>
      <w:r>
        <w:t>)</w:t>
      </w:r>
      <w:r w:rsidRPr="003832A2">
        <w:t xml:space="preserve"> rule</w:t>
      </w:r>
      <w:r w:rsidR="00D04E2A">
        <w:t xml:space="preserve"> — </w:t>
      </w:r>
      <w:r w:rsidRPr="00BE22C4">
        <w:rPr>
          <w:b/>
        </w:rPr>
        <w:t>the Simplified Limitation on Benefits rule</w:t>
      </w:r>
      <w:r w:rsidRPr="003832A2">
        <w:t xml:space="preserve"> (S</w:t>
      </w:r>
      <w:r w:rsidR="00740B66">
        <w:noBreakHyphen/>
      </w:r>
      <w:r w:rsidRPr="003832A2">
        <w:t>LOB</w:t>
      </w:r>
      <w:r>
        <w:t xml:space="preserve"> rule</w:t>
      </w:r>
      <w:r w:rsidRPr="003832A2">
        <w:t>)</w:t>
      </w:r>
      <w:r w:rsidR="00D04E2A">
        <w:t xml:space="preserve"> — </w:t>
      </w:r>
      <w:r>
        <w:t>to grant</w:t>
      </w:r>
      <w:r w:rsidRPr="003832A2">
        <w:t xml:space="preserve"> treaty benefits only to specified </w:t>
      </w:r>
      <w:r w:rsidR="00740B66">
        <w:t>‘</w:t>
      </w:r>
      <w:r w:rsidRPr="0058612D">
        <w:t>qualified persons</w:t>
      </w:r>
      <w:r w:rsidR="00740B66">
        <w:t>’</w:t>
      </w:r>
      <w:r w:rsidRPr="003832A2">
        <w:t xml:space="preserve"> (individuals, government entities, listed companies, non</w:t>
      </w:r>
      <w:r w:rsidR="00740B66">
        <w:noBreakHyphen/>
      </w:r>
      <w:r w:rsidRPr="003832A2">
        <w:t xml:space="preserve">profit organisations, pension funds, entities engaged in active business or entities that meet specified ownership requirements). </w:t>
      </w:r>
    </w:p>
    <w:p w14:paraId="50ADC134" w14:textId="77777777" w:rsidR="00AC2840" w:rsidRDefault="00AC2840" w:rsidP="002E08C8">
      <w:pPr>
        <w:pStyle w:val="Heading3"/>
      </w:pPr>
      <w:r w:rsidRPr="003832A2">
        <w:t xml:space="preserve">What are the </w:t>
      </w:r>
      <w:r>
        <w:t>adoption</w:t>
      </w:r>
      <w:r w:rsidRPr="003832A2">
        <w:t xml:space="preserve"> options?</w:t>
      </w:r>
    </w:p>
    <w:tbl>
      <w:tblPr>
        <w:tblStyle w:val="TableGrid"/>
        <w:tblW w:w="0" w:type="auto"/>
        <w:tblInd w:w="108" w:type="dxa"/>
        <w:tblLook w:val="04A0" w:firstRow="1" w:lastRow="0" w:firstColumn="1" w:lastColumn="0" w:noHBand="0" w:noVBand="1"/>
      </w:tblPr>
      <w:tblGrid>
        <w:gridCol w:w="1134"/>
        <w:gridCol w:w="8044"/>
      </w:tblGrid>
      <w:tr w:rsidR="002E08C8" w:rsidRPr="00E33E85" w14:paraId="42F3B9D4" w14:textId="77777777" w:rsidTr="009445F4">
        <w:tc>
          <w:tcPr>
            <w:tcW w:w="1134" w:type="dxa"/>
            <w:shd w:val="clear" w:color="auto" w:fill="auto"/>
          </w:tcPr>
          <w:p w14:paraId="1BBBB3B4" w14:textId="442B8B8E" w:rsidR="002E08C8" w:rsidRPr="00E33E85" w:rsidRDefault="002E08C8" w:rsidP="009445F4">
            <w:r>
              <w:rPr>
                <w:szCs w:val="22"/>
              </w:rPr>
              <w:t>7(1)</w:t>
            </w:r>
          </w:p>
        </w:tc>
        <w:tc>
          <w:tcPr>
            <w:tcW w:w="8044" w:type="dxa"/>
            <w:shd w:val="clear" w:color="auto" w:fill="auto"/>
          </w:tcPr>
          <w:p w14:paraId="0AE9B5E5" w14:textId="038E952B" w:rsidR="002E08C8" w:rsidRPr="00E33E85" w:rsidRDefault="002E08C8" w:rsidP="002E08C8">
            <w:r w:rsidRPr="003832A2">
              <w:t>Adopt the PPT (default rule)</w:t>
            </w:r>
          </w:p>
        </w:tc>
      </w:tr>
      <w:tr w:rsidR="002E08C8" w:rsidRPr="00E33E85" w14:paraId="7E352FE6" w14:textId="77777777" w:rsidTr="009445F4">
        <w:tc>
          <w:tcPr>
            <w:tcW w:w="1134" w:type="dxa"/>
            <w:shd w:val="clear" w:color="auto" w:fill="auto"/>
          </w:tcPr>
          <w:p w14:paraId="1B2CD73B" w14:textId="34F00CF7" w:rsidR="002E08C8" w:rsidRPr="00E33E85" w:rsidRDefault="002E08C8" w:rsidP="009445F4">
            <w:r>
              <w:rPr>
                <w:szCs w:val="22"/>
              </w:rPr>
              <w:t>7(3)</w:t>
            </w:r>
          </w:p>
        </w:tc>
        <w:tc>
          <w:tcPr>
            <w:tcW w:w="8044" w:type="dxa"/>
            <w:shd w:val="clear" w:color="auto" w:fill="auto"/>
          </w:tcPr>
          <w:p w14:paraId="2249A46A" w14:textId="5E84C7B8" w:rsidR="002E08C8" w:rsidRPr="00E33E85" w:rsidRDefault="002E08C8" w:rsidP="002E08C8">
            <w:r w:rsidRPr="003832A2">
              <w:t xml:space="preserve">Adopt an additional optional rule </w:t>
            </w:r>
            <w:r>
              <w:t xml:space="preserve">that requires </w:t>
            </w:r>
            <w:r w:rsidRPr="003832A2">
              <w:t xml:space="preserve">the </w:t>
            </w:r>
            <w:r>
              <w:t>relevant CAs</w:t>
            </w:r>
            <w:r w:rsidRPr="003832A2">
              <w:t xml:space="preserve"> applying the PPT to consult before rejecting a taxpayer</w:t>
            </w:r>
            <w:r w:rsidR="00740B66">
              <w:t>’</w:t>
            </w:r>
            <w:r w:rsidRPr="003832A2">
              <w:t>s request for treaty benefits</w:t>
            </w:r>
          </w:p>
        </w:tc>
      </w:tr>
      <w:tr w:rsidR="002E08C8" w:rsidRPr="00E33E85" w14:paraId="45478D69" w14:textId="77777777" w:rsidTr="009445F4">
        <w:tc>
          <w:tcPr>
            <w:tcW w:w="1134" w:type="dxa"/>
            <w:shd w:val="clear" w:color="auto" w:fill="auto"/>
          </w:tcPr>
          <w:p w14:paraId="597B9000" w14:textId="63E55507" w:rsidR="002E08C8" w:rsidRPr="00E33E85" w:rsidRDefault="002E08C8" w:rsidP="009445F4">
            <w:r>
              <w:rPr>
                <w:szCs w:val="22"/>
              </w:rPr>
              <w:t>7(6)</w:t>
            </w:r>
          </w:p>
        </w:tc>
        <w:tc>
          <w:tcPr>
            <w:tcW w:w="8044" w:type="dxa"/>
            <w:shd w:val="clear" w:color="auto" w:fill="auto"/>
          </w:tcPr>
          <w:p w14:paraId="178440DF" w14:textId="1F716040" w:rsidR="002E08C8" w:rsidRPr="003832A2" w:rsidRDefault="002E08C8" w:rsidP="002E08C8">
            <w:r w:rsidRPr="003832A2">
              <w:t>A</w:t>
            </w:r>
            <w:r>
              <w:t>lso a</w:t>
            </w:r>
            <w:r w:rsidRPr="003832A2">
              <w:t>dopt the supplementary S</w:t>
            </w:r>
            <w:r w:rsidR="00740B66">
              <w:noBreakHyphen/>
            </w:r>
            <w:r w:rsidRPr="003832A2">
              <w:t xml:space="preserve">LOB </w:t>
            </w:r>
            <w:r>
              <w:t xml:space="preserve">rule, but </w:t>
            </w:r>
            <w:r w:rsidRPr="003832A2">
              <w:t>as follows:</w:t>
            </w:r>
          </w:p>
          <w:p w14:paraId="47B95D37" w14:textId="482CF032" w:rsidR="002E08C8" w:rsidRPr="002A2DEF" w:rsidRDefault="002E08C8" w:rsidP="002E08C8">
            <w:pPr>
              <w:ind w:left="1026" w:hanging="992"/>
            </w:pPr>
            <w:r>
              <w:t>7(7)(a)</w:t>
            </w:r>
            <w:r>
              <w:tab/>
              <w:t>both</w:t>
            </w:r>
            <w:r w:rsidRPr="003832A2">
              <w:t xml:space="preserve"> </w:t>
            </w:r>
            <w:r>
              <w:t>jurisdiction</w:t>
            </w:r>
            <w:r w:rsidRPr="003832A2">
              <w:t>s apply the PPT and the S</w:t>
            </w:r>
            <w:r w:rsidR="00740B66">
              <w:noBreakHyphen/>
            </w:r>
            <w:r w:rsidRPr="003832A2">
              <w:t xml:space="preserve">LOB </w:t>
            </w:r>
            <w:r>
              <w:t xml:space="preserve">rule </w:t>
            </w:r>
            <w:r w:rsidRPr="003832A2">
              <w:t>(symmetric application)</w:t>
            </w:r>
            <w:r>
              <w:t xml:space="preserve"> o</w:t>
            </w:r>
            <w:r w:rsidRPr="003832A2">
              <w:t>r</w:t>
            </w:r>
          </w:p>
          <w:p w14:paraId="74503D2B" w14:textId="5E44482E" w:rsidR="002E08C8" w:rsidRPr="002E08C8" w:rsidRDefault="002E08C8" w:rsidP="002E08C8">
            <w:pPr>
              <w:ind w:left="1026" w:hanging="992"/>
            </w:pPr>
            <w:r>
              <w:t>7(7)(b)</w:t>
            </w:r>
            <w:r>
              <w:tab/>
              <w:t>one jurisdiction</w:t>
            </w:r>
            <w:r w:rsidRPr="003832A2">
              <w:t xml:space="preserve"> appl</w:t>
            </w:r>
            <w:r>
              <w:t>ies</w:t>
            </w:r>
            <w:r w:rsidRPr="003832A2">
              <w:t xml:space="preserve"> the PPT only and the other </w:t>
            </w:r>
            <w:r>
              <w:t>jurisdiction</w:t>
            </w:r>
            <w:r w:rsidRPr="003832A2">
              <w:t xml:space="preserve"> appl</w:t>
            </w:r>
            <w:r>
              <w:t>ies</w:t>
            </w:r>
            <w:r w:rsidRPr="003832A2">
              <w:t xml:space="preserve"> both the PPT and the S</w:t>
            </w:r>
            <w:r w:rsidR="00740B66">
              <w:noBreakHyphen/>
            </w:r>
            <w:r w:rsidRPr="003832A2">
              <w:t xml:space="preserve">LOB </w:t>
            </w:r>
            <w:r>
              <w:t xml:space="preserve">rule </w:t>
            </w:r>
            <w:r w:rsidRPr="003832A2">
              <w:t>(asymmetric application)</w:t>
            </w:r>
          </w:p>
        </w:tc>
      </w:tr>
      <w:tr w:rsidR="002E08C8" w:rsidRPr="00E33E85" w14:paraId="5315056D" w14:textId="77777777" w:rsidTr="009445F4">
        <w:tc>
          <w:tcPr>
            <w:tcW w:w="1134" w:type="dxa"/>
            <w:shd w:val="clear" w:color="auto" w:fill="auto"/>
          </w:tcPr>
          <w:p w14:paraId="6508D979" w14:textId="0360A285" w:rsidR="002E08C8" w:rsidRPr="00E33E85" w:rsidRDefault="002E08C8" w:rsidP="009445F4">
            <w:r w:rsidRPr="002F1749">
              <w:t>7(15)(a)</w:t>
            </w:r>
          </w:p>
        </w:tc>
        <w:tc>
          <w:tcPr>
            <w:tcW w:w="8044" w:type="dxa"/>
            <w:shd w:val="clear" w:color="auto" w:fill="auto"/>
          </w:tcPr>
          <w:p w14:paraId="1F8BD91E" w14:textId="1920707A" w:rsidR="002E08C8" w:rsidRPr="00E33E85" w:rsidRDefault="002E08C8" w:rsidP="002E08C8">
            <w:r w:rsidRPr="002F1749">
              <w:t xml:space="preserve">Do not adopt the PPT on the understanding that </w:t>
            </w:r>
            <w:r w:rsidRPr="002A2DEF">
              <w:t>jurisdiction</w:t>
            </w:r>
            <w:r w:rsidRPr="002F1749">
              <w:t xml:space="preserve">s will take bilateral action to </w:t>
            </w:r>
            <w:r w:rsidRPr="002A2DEF">
              <w:t>adopt a detailed LOB rule together with a PPT or rules to add</w:t>
            </w:r>
            <w:r>
              <w:t>ress conduit financing structures</w:t>
            </w:r>
            <w:r w:rsidRPr="002A2DEF">
              <w:t xml:space="preserve"> </w:t>
            </w:r>
            <w:r>
              <w:t>to meet</w:t>
            </w:r>
            <w:r w:rsidRPr="002F1749">
              <w:t xml:space="preserve"> the minimum standard</w:t>
            </w:r>
          </w:p>
        </w:tc>
      </w:tr>
      <w:tr w:rsidR="002E08C8" w:rsidRPr="00E33E85" w14:paraId="21B93B35" w14:textId="77777777" w:rsidTr="009445F4">
        <w:tc>
          <w:tcPr>
            <w:tcW w:w="1134" w:type="dxa"/>
            <w:shd w:val="clear" w:color="auto" w:fill="auto"/>
          </w:tcPr>
          <w:p w14:paraId="687E02E8" w14:textId="1DFD8F19" w:rsidR="002E08C8" w:rsidRPr="00E33E85" w:rsidRDefault="002E08C8" w:rsidP="009445F4">
            <w:r w:rsidRPr="00412106">
              <w:t>7(15)(b)</w:t>
            </w:r>
          </w:p>
        </w:tc>
        <w:tc>
          <w:tcPr>
            <w:tcW w:w="8044" w:type="dxa"/>
            <w:shd w:val="clear" w:color="auto" w:fill="auto"/>
          </w:tcPr>
          <w:p w14:paraId="45427617" w14:textId="37C304F8" w:rsidR="002E08C8" w:rsidRPr="00E33E85" w:rsidRDefault="002E08C8" w:rsidP="002E08C8">
            <w:r w:rsidRPr="00412106">
              <w:t xml:space="preserve">Do not adopt the PPT </w:t>
            </w:r>
            <w:r w:rsidRPr="002A2DEF">
              <w:t>for</w:t>
            </w:r>
            <w:r w:rsidRPr="00412106">
              <w:t xml:space="preserve"> treaties that already contain </w:t>
            </w:r>
            <w:r w:rsidRPr="002A2DEF">
              <w:t>a PPT</w:t>
            </w:r>
          </w:p>
        </w:tc>
      </w:tr>
      <w:tr w:rsidR="002E08C8" w:rsidRPr="00E33E85" w14:paraId="111E06FD" w14:textId="77777777" w:rsidTr="009445F4">
        <w:tc>
          <w:tcPr>
            <w:tcW w:w="1134" w:type="dxa"/>
            <w:shd w:val="clear" w:color="auto" w:fill="auto"/>
          </w:tcPr>
          <w:p w14:paraId="5D23AC3F" w14:textId="717C580F" w:rsidR="002E08C8" w:rsidRPr="00412106" w:rsidRDefault="002E08C8" w:rsidP="009445F4">
            <w:r w:rsidRPr="00A7463F">
              <w:t>7(15)(c</w:t>
            </w:r>
            <w:r w:rsidRPr="00776FF9">
              <w:rPr>
                <w:szCs w:val="22"/>
              </w:rPr>
              <w:t>)</w:t>
            </w:r>
          </w:p>
        </w:tc>
        <w:tc>
          <w:tcPr>
            <w:tcW w:w="8044" w:type="dxa"/>
            <w:shd w:val="clear" w:color="auto" w:fill="auto"/>
          </w:tcPr>
          <w:p w14:paraId="3C93E752" w14:textId="08A1CEB8" w:rsidR="002E08C8" w:rsidRPr="00E33E85" w:rsidRDefault="002E08C8" w:rsidP="002E08C8">
            <w:r w:rsidRPr="00776FF9">
              <w:t>Do not adopt the S</w:t>
            </w:r>
            <w:r w:rsidR="00740B66">
              <w:noBreakHyphen/>
            </w:r>
            <w:r w:rsidRPr="00776FF9">
              <w:t>LOB</w:t>
            </w:r>
            <w:r>
              <w:t xml:space="preserve"> rule</w:t>
            </w:r>
            <w:r w:rsidRPr="00776FF9">
              <w:t xml:space="preserve"> for treaties that already contain </w:t>
            </w:r>
            <w:r>
              <w:t>a LOB</w:t>
            </w:r>
            <w:r w:rsidRPr="00776FF9">
              <w:t xml:space="preserve"> rule</w:t>
            </w:r>
          </w:p>
        </w:tc>
      </w:tr>
      <w:tr w:rsidR="002E08C8" w:rsidRPr="00E33E85" w14:paraId="718B9080" w14:textId="77777777" w:rsidTr="009445F4">
        <w:tc>
          <w:tcPr>
            <w:tcW w:w="1134" w:type="dxa"/>
            <w:shd w:val="clear" w:color="auto" w:fill="auto"/>
          </w:tcPr>
          <w:p w14:paraId="1F089616" w14:textId="1FC08D49" w:rsidR="002E08C8" w:rsidRPr="00A7463F" w:rsidRDefault="002E08C8" w:rsidP="009445F4">
            <w:r>
              <w:rPr>
                <w:szCs w:val="22"/>
              </w:rPr>
              <w:t>7(16)</w:t>
            </w:r>
          </w:p>
        </w:tc>
        <w:tc>
          <w:tcPr>
            <w:tcW w:w="8044" w:type="dxa"/>
            <w:shd w:val="clear" w:color="auto" w:fill="auto"/>
          </w:tcPr>
          <w:p w14:paraId="27729359" w14:textId="63057307" w:rsidR="002E08C8" w:rsidRPr="00E33E85" w:rsidRDefault="002E08C8" w:rsidP="002E08C8">
            <w:r>
              <w:t>A jurisdiction preferring to adopt both the PPT and the S</w:t>
            </w:r>
            <w:r w:rsidR="00740B66">
              <w:noBreakHyphen/>
            </w:r>
            <w:r>
              <w:t>LOB rule can choose not to apply Article 7 if the other jurisdiction will only agree to adopt the PPT, on the understanding the jurisdictions will take bilateral action to meet the minimum standard</w:t>
            </w:r>
          </w:p>
        </w:tc>
      </w:tr>
    </w:tbl>
    <w:p w14:paraId="3F5FCACA" w14:textId="32791EAC" w:rsidR="00AC2840" w:rsidRPr="002A2DEF" w:rsidRDefault="00AC2840" w:rsidP="002E08C8">
      <w:pPr>
        <w:pStyle w:val="Heading3"/>
      </w:pPr>
      <w:r w:rsidRPr="002A2DEF">
        <w:t>Australia</w:t>
      </w:r>
      <w:r w:rsidR="00740B66">
        <w:t>’</w:t>
      </w:r>
      <w:r w:rsidRPr="002A2DEF">
        <w:t>s initial approach to Article 7</w:t>
      </w:r>
    </w:p>
    <w:p w14:paraId="58F37455" w14:textId="22CC6811" w:rsidR="00AC2840" w:rsidRPr="002A2DEF" w:rsidRDefault="00AC2840" w:rsidP="002E08C8">
      <w:r w:rsidRPr="002A2DEF">
        <w:t>The PPT is consistent with Australia</w:t>
      </w:r>
      <w:r w:rsidR="00740B66">
        <w:t>’</w:t>
      </w:r>
      <w:r w:rsidRPr="002A2DEF">
        <w:t>s preferred treaty practice of including provisions in its bilateral treaties that</w:t>
      </w:r>
      <w:r>
        <w:t xml:space="preserve"> deny</w:t>
      </w:r>
      <w:r w:rsidRPr="002A2DEF">
        <w:t xml:space="preserve"> treaty benefits where a main purpose of a transaction or arrangement is to obtain a treaty benefit (see, for example, </w:t>
      </w:r>
      <w:r w:rsidR="00244B72">
        <w:t xml:space="preserve">Article </w:t>
      </w:r>
      <w:r w:rsidRPr="002A2DEF">
        <w:t>10(9) of the 2009 Australia</w:t>
      </w:r>
      <w:r w:rsidR="00740B66">
        <w:noBreakHyphen/>
      </w:r>
      <w:r w:rsidRPr="002A2DEF">
        <w:t>New Zealand treaty</w:t>
      </w:r>
      <w:r>
        <w:t xml:space="preserve">). </w:t>
      </w:r>
      <w:r w:rsidRPr="002A2DEF">
        <w:t>Article 23 of the 2015 Australia</w:t>
      </w:r>
      <w:r w:rsidR="00740B66">
        <w:noBreakHyphen/>
      </w:r>
      <w:r w:rsidRPr="002A2DEF">
        <w:t>Germany treaty</w:t>
      </w:r>
      <w:r>
        <w:t xml:space="preserve"> includes the PPT rule but not the optional PPT consultation rule.</w:t>
      </w:r>
    </w:p>
    <w:p w14:paraId="67C6F6DC" w14:textId="096E7F64" w:rsidR="002E08C8" w:rsidRDefault="00AC2840" w:rsidP="002E08C8">
      <w:r w:rsidRPr="002A2DEF">
        <w:t>On this basis, Australia</w:t>
      </w:r>
      <w:r w:rsidR="00740B66">
        <w:t>’</w:t>
      </w:r>
      <w:r w:rsidRPr="002A2DEF">
        <w:t xml:space="preserve">s initial approach would be to adopt </w:t>
      </w:r>
      <w:r w:rsidRPr="000F2B70">
        <w:t>the PPT</w:t>
      </w:r>
      <w:r>
        <w:t>, but not the optional PPT consultation rule,</w:t>
      </w:r>
      <w:r w:rsidRPr="000F2B70">
        <w:t xml:space="preserve"> </w:t>
      </w:r>
      <w:r>
        <w:t xml:space="preserve">in </w:t>
      </w:r>
      <w:r w:rsidRPr="002A2DEF">
        <w:t xml:space="preserve">Article 7 across all of its covered tax agreements. In addition, Australia would </w:t>
      </w:r>
      <w:r>
        <w:t xml:space="preserve">not wish to adopt </w:t>
      </w:r>
      <w:r w:rsidRPr="002A2DEF">
        <w:t>the S</w:t>
      </w:r>
      <w:r w:rsidR="00740B66">
        <w:noBreakHyphen/>
      </w:r>
      <w:r w:rsidRPr="002A2DEF">
        <w:t xml:space="preserve">LOB in relation to treaties that already contain </w:t>
      </w:r>
      <w:r>
        <w:t>a detailed LOB</w:t>
      </w:r>
      <w:r w:rsidRPr="002A2DEF">
        <w:t xml:space="preserve"> rule (for example, the 2008 Australia</w:t>
      </w:r>
      <w:r w:rsidR="00740B66">
        <w:noBreakHyphen/>
      </w:r>
      <w:r w:rsidRPr="002A2DEF">
        <w:t>Japan treaty).</w:t>
      </w:r>
      <w:r>
        <w:t xml:space="preserve"> However, Australia would not need to </w:t>
      </w:r>
      <w:r w:rsidRPr="000F681A">
        <w:t>enter the reservation permitted by Article</w:t>
      </w:r>
      <w:r w:rsidRPr="00E37C83">
        <w:t xml:space="preserve"> </w:t>
      </w:r>
      <w:r>
        <w:t>7(15</w:t>
      </w:r>
      <w:r w:rsidR="00ED3192">
        <w:t>)(</w:t>
      </w:r>
      <w:r>
        <w:t>c) unless Australia chooses to apply Article 7(7</w:t>
      </w:r>
      <w:r w:rsidR="00ED3192">
        <w:t>)(</w:t>
      </w:r>
      <w:r>
        <w:t>a) or (b).</w:t>
      </w:r>
    </w:p>
    <w:p w14:paraId="7F3EAECC" w14:textId="77777777" w:rsidR="00100532" w:rsidRDefault="00100532" w:rsidP="002E08C8"/>
    <w:p w14:paraId="728A73B4" w14:textId="77777777" w:rsidR="00100532" w:rsidRDefault="00100532">
      <w:pPr>
        <w:spacing w:after="0" w:line="240" w:lineRule="auto"/>
        <w:jc w:val="left"/>
      </w:pPr>
      <w:r>
        <w:br w:type="page"/>
      </w:r>
    </w:p>
    <w:p w14:paraId="469866D6" w14:textId="1DB808A6" w:rsidR="00AC2840" w:rsidRPr="0008180E" w:rsidRDefault="00AC2840" w:rsidP="0008180E">
      <w:pPr>
        <w:pStyle w:val="Heading2"/>
      </w:pPr>
      <w:bookmarkStart w:id="83" w:name="_Toc468726802"/>
      <w:bookmarkStart w:id="84" w:name="_Toc468732583"/>
      <w:bookmarkStart w:id="85" w:name="_Toc469328379"/>
      <w:bookmarkStart w:id="86" w:name="_Toc469329034"/>
      <w:r w:rsidRPr="0008180E">
        <w:t>Article 8</w:t>
      </w:r>
      <w:r w:rsidR="00D04E2A" w:rsidRPr="0008180E">
        <w:t xml:space="preserve"> — </w:t>
      </w:r>
      <w:r w:rsidRPr="0008180E">
        <w:t>Dividend Transfer Transactions</w:t>
      </w:r>
      <w:bookmarkEnd w:id="83"/>
      <w:bookmarkEnd w:id="84"/>
      <w:bookmarkEnd w:id="85"/>
      <w:bookmarkEnd w:id="86"/>
    </w:p>
    <w:p w14:paraId="19C22F4F" w14:textId="77777777" w:rsidR="00AC2840" w:rsidRDefault="00AC2840" w:rsidP="00132B48">
      <w:pPr>
        <w:spacing w:before="240"/>
        <w:jc w:val="left"/>
        <w:rPr>
          <w:szCs w:val="22"/>
        </w:rPr>
      </w:pPr>
      <w:r w:rsidRPr="002A2DEF">
        <w:t xml:space="preserve">Article 8 </w:t>
      </w:r>
      <w:r w:rsidRPr="00092AE6">
        <w:t xml:space="preserve">implements recommendations </w:t>
      </w:r>
      <w:r w:rsidRPr="002A2DEF">
        <w:t xml:space="preserve">outlined in the BEPS Action 6 (Preventing the Granting of Treaty Benefits in Inappropriate Circumstances) report (see page </w:t>
      </w:r>
      <w:r w:rsidRPr="002A2DEF">
        <w:rPr>
          <w:szCs w:val="22"/>
        </w:rPr>
        <w:t>70</w:t>
      </w:r>
      <w:r w:rsidRPr="002A2DEF">
        <w:t xml:space="preserve"> of that report).</w:t>
      </w:r>
      <w:r w:rsidRPr="00092AE6">
        <w:t xml:space="preserve"> </w:t>
      </w:r>
    </w:p>
    <w:p w14:paraId="499DBC0C" w14:textId="77777777" w:rsidR="00AC2840" w:rsidRPr="003832A2" w:rsidRDefault="00AC2840" w:rsidP="002E08C8">
      <w:pPr>
        <w:pStyle w:val="Heading3"/>
      </w:pPr>
      <w:r w:rsidRPr="003832A2">
        <w:t xml:space="preserve">How does this Article address multinational tax avoidance?  </w:t>
      </w:r>
    </w:p>
    <w:p w14:paraId="4343E3BD" w14:textId="4CDD20A9" w:rsidR="00AC2840" w:rsidRPr="003832A2" w:rsidRDefault="00AC2840" w:rsidP="00132B48">
      <w:pPr>
        <w:jc w:val="left"/>
        <w:rPr>
          <w:szCs w:val="22"/>
        </w:rPr>
      </w:pPr>
      <w:r w:rsidRPr="003832A2">
        <w:rPr>
          <w:szCs w:val="22"/>
        </w:rPr>
        <w:t>To encourage foreign investment, tax treaties generally provide concessional tax rates on non</w:t>
      </w:r>
      <w:r w:rsidR="00740B66">
        <w:rPr>
          <w:szCs w:val="22"/>
        </w:rPr>
        <w:noBreakHyphen/>
      </w:r>
      <w:r w:rsidRPr="003832A2">
        <w:rPr>
          <w:szCs w:val="22"/>
        </w:rPr>
        <w:t>portfolio</w:t>
      </w:r>
      <w:r>
        <w:rPr>
          <w:szCs w:val="22"/>
        </w:rPr>
        <w:t xml:space="preserve"> </w:t>
      </w:r>
      <w:r w:rsidRPr="003832A2">
        <w:rPr>
          <w:szCs w:val="22"/>
        </w:rPr>
        <w:t>intercorporate dividends</w:t>
      </w:r>
      <w:r>
        <w:rPr>
          <w:rStyle w:val="FootnoteReference"/>
          <w:szCs w:val="22"/>
        </w:rPr>
        <w:footnoteReference w:id="6"/>
      </w:r>
      <w:r w:rsidRPr="003832A2">
        <w:rPr>
          <w:szCs w:val="22"/>
        </w:rPr>
        <w:t xml:space="preserve"> paid to non</w:t>
      </w:r>
      <w:r w:rsidR="00740B66">
        <w:rPr>
          <w:szCs w:val="22"/>
        </w:rPr>
        <w:noBreakHyphen/>
      </w:r>
      <w:r w:rsidRPr="003832A2">
        <w:rPr>
          <w:szCs w:val="22"/>
        </w:rPr>
        <w:t>resident shareholders. Non</w:t>
      </w:r>
      <w:r w:rsidR="00740B66">
        <w:rPr>
          <w:szCs w:val="22"/>
        </w:rPr>
        <w:noBreakHyphen/>
      </w:r>
      <w:r w:rsidRPr="003832A2">
        <w:rPr>
          <w:szCs w:val="22"/>
        </w:rPr>
        <w:t>resident shareholders can abuse these concessions by increasing their shareholdings just before dividends are paid</w:t>
      </w:r>
      <w:r>
        <w:rPr>
          <w:szCs w:val="22"/>
        </w:rPr>
        <w:t xml:space="preserve"> in order to obtain the concessional tax rates</w:t>
      </w:r>
      <w:r w:rsidR="00D04E2A">
        <w:rPr>
          <w:szCs w:val="22"/>
        </w:rPr>
        <w:t xml:space="preserve">. </w:t>
      </w:r>
    </w:p>
    <w:p w14:paraId="1E849929" w14:textId="1BBDF588" w:rsidR="00AC2840" w:rsidRDefault="00AC2840" w:rsidP="00132B48">
      <w:pPr>
        <w:jc w:val="left"/>
        <w:rPr>
          <w:szCs w:val="22"/>
        </w:rPr>
      </w:pPr>
      <w:r w:rsidRPr="002A2DEF">
        <w:t>Article 8 will insert a</w:t>
      </w:r>
      <w:r w:rsidRPr="003832A2">
        <w:t xml:space="preserve"> 365</w:t>
      </w:r>
      <w:r w:rsidR="00740B66">
        <w:rPr>
          <w:szCs w:val="22"/>
        </w:rPr>
        <w:noBreakHyphen/>
      </w:r>
      <w:r w:rsidRPr="003832A2">
        <w:rPr>
          <w:szCs w:val="22"/>
        </w:rPr>
        <w:t xml:space="preserve">day holding period </w:t>
      </w:r>
      <w:r>
        <w:rPr>
          <w:szCs w:val="22"/>
        </w:rPr>
        <w:t xml:space="preserve">before taxpayers become eligible for </w:t>
      </w:r>
      <w:r w:rsidRPr="003832A2">
        <w:rPr>
          <w:szCs w:val="22"/>
        </w:rPr>
        <w:t xml:space="preserve">the reduced tax </w:t>
      </w:r>
      <w:r>
        <w:rPr>
          <w:szCs w:val="22"/>
        </w:rPr>
        <w:t xml:space="preserve">treaty </w:t>
      </w:r>
      <w:r w:rsidRPr="003832A2">
        <w:rPr>
          <w:szCs w:val="22"/>
        </w:rPr>
        <w:t>rate</w:t>
      </w:r>
      <w:r>
        <w:rPr>
          <w:szCs w:val="22"/>
        </w:rPr>
        <w:t xml:space="preserve">. This will limit opportunistic access to reduced source country taxation and help foster genuine longer term direct investment. </w:t>
      </w:r>
    </w:p>
    <w:p w14:paraId="5FF48904" w14:textId="77777777" w:rsidR="00AC2840" w:rsidRPr="003832A2" w:rsidRDefault="00AC2840" w:rsidP="002E08C8">
      <w:pPr>
        <w:pStyle w:val="Heading3"/>
      </w:pPr>
      <w:r w:rsidRPr="003832A2">
        <w:t xml:space="preserve">What are the </w:t>
      </w:r>
      <w:r>
        <w:t xml:space="preserve">adoption </w:t>
      </w:r>
      <w:r w:rsidRPr="003832A2">
        <w:t>options?</w:t>
      </w:r>
    </w:p>
    <w:p w14:paraId="43395776" w14:textId="77777777" w:rsidR="00AC2840" w:rsidRPr="0058612D" w:rsidRDefault="00AC2840" w:rsidP="002E08C8">
      <w:pPr>
        <w:rPr>
          <w:i/>
        </w:rPr>
      </w:pPr>
      <w:r>
        <w:t>Adopt Article 8 without reservation</w:t>
      </w:r>
    </w:p>
    <w:tbl>
      <w:tblPr>
        <w:tblStyle w:val="TableGrid"/>
        <w:tblW w:w="0" w:type="auto"/>
        <w:tblInd w:w="108" w:type="dxa"/>
        <w:tblLook w:val="04A0" w:firstRow="1" w:lastRow="0" w:firstColumn="1" w:lastColumn="0" w:noHBand="0" w:noVBand="1"/>
      </w:tblPr>
      <w:tblGrid>
        <w:gridCol w:w="1134"/>
        <w:gridCol w:w="8044"/>
      </w:tblGrid>
      <w:tr w:rsidR="002E08C8" w:rsidRPr="00E33E85" w14:paraId="6634B43F" w14:textId="77777777" w:rsidTr="009445F4">
        <w:tc>
          <w:tcPr>
            <w:tcW w:w="1134" w:type="dxa"/>
            <w:shd w:val="clear" w:color="auto" w:fill="auto"/>
          </w:tcPr>
          <w:p w14:paraId="11555CAA" w14:textId="46CDADB2" w:rsidR="002E08C8" w:rsidRPr="00E33E85" w:rsidRDefault="002E08C8" w:rsidP="009445F4">
            <w:r>
              <w:rPr>
                <w:szCs w:val="22"/>
              </w:rPr>
              <w:t>8(3)(a)</w:t>
            </w:r>
          </w:p>
        </w:tc>
        <w:tc>
          <w:tcPr>
            <w:tcW w:w="8044" w:type="dxa"/>
            <w:shd w:val="clear" w:color="auto" w:fill="auto"/>
          </w:tcPr>
          <w:p w14:paraId="12D09018" w14:textId="08564DAE" w:rsidR="002E08C8" w:rsidRPr="00802CC4" w:rsidRDefault="002E08C8" w:rsidP="009445F4">
            <w:r w:rsidRPr="003832A2">
              <w:rPr>
                <w:szCs w:val="22"/>
              </w:rPr>
              <w:t>Do not adopt Article 8 at all (i.e. no change to bilateral treaty rules)</w:t>
            </w:r>
          </w:p>
        </w:tc>
      </w:tr>
    </w:tbl>
    <w:p w14:paraId="05B23148" w14:textId="77777777" w:rsidR="00AC2840" w:rsidRPr="003832A2" w:rsidRDefault="00AC2840" w:rsidP="002E08C8">
      <w:pPr>
        <w:rPr>
          <w:i/>
        </w:rPr>
      </w:pPr>
      <w:r w:rsidRPr="003832A2">
        <w:t xml:space="preserve">Adopt Article 8 but </w:t>
      </w:r>
      <w:r>
        <w:t xml:space="preserve">not in relation to treaties that already prescribe: </w:t>
      </w:r>
    </w:p>
    <w:p w14:paraId="2019416B" w14:textId="6DFE482C" w:rsidR="00AC2840" w:rsidRPr="002A2DEF" w:rsidRDefault="00AC2840" w:rsidP="002E08C8">
      <w:pPr>
        <w:ind w:left="2552" w:hanging="1276"/>
      </w:pPr>
      <w:r>
        <w:t>8(3</w:t>
      </w:r>
      <w:r w:rsidR="00ED3192">
        <w:t>)(</w:t>
      </w:r>
      <w:r>
        <w:t>b</w:t>
      </w:r>
      <w:r w:rsidR="00ED3192">
        <w:t>)(</w:t>
      </w:r>
      <w:proofErr w:type="spellStart"/>
      <w:r w:rsidR="002F3E62">
        <w:t>i</w:t>
      </w:r>
      <w:proofErr w:type="spellEnd"/>
      <w:r>
        <w:t>)</w:t>
      </w:r>
      <w:r>
        <w:tab/>
        <w:t xml:space="preserve">a </w:t>
      </w:r>
      <w:r w:rsidRPr="003832A2">
        <w:t>minimum holding period</w:t>
      </w:r>
    </w:p>
    <w:p w14:paraId="03EF6A6F" w14:textId="27DBD6D8" w:rsidR="00AC2840" w:rsidRPr="002A2DEF" w:rsidRDefault="00AC2840" w:rsidP="002E08C8">
      <w:pPr>
        <w:ind w:left="2552" w:hanging="1276"/>
      </w:pPr>
      <w:r>
        <w:t>8(3</w:t>
      </w:r>
      <w:r w:rsidR="00ED3192">
        <w:t>)(</w:t>
      </w:r>
      <w:r>
        <w:t>b</w:t>
      </w:r>
      <w:r w:rsidR="00ED3192">
        <w:t>)(</w:t>
      </w:r>
      <w:r>
        <w:t>ii)</w:t>
      </w:r>
      <w:r>
        <w:tab/>
        <w:t xml:space="preserve">a </w:t>
      </w:r>
      <w:r w:rsidRPr="003832A2">
        <w:t xml:space="preserve">minimum holding period shorter than 365 </w:t>
      </w:r>
      <w:r w:rsidR="00ED3192" w:rsidRPr="003832A2">
        <w:t>days</w:t>
      </w:r>
      <w:r w:rsidR="00ED3192">
        <w:t>,</w:t>
      </w:r>
      <w:r>
        <w:t xml:space="preserve"> or</w:t>
      </w:r>
    </w:p>
    <w:p w14:paraId="12D2DF85" w14:textId="708C479B" w:rsidR="00AC2840" w:rsidRPr="002A2DEF" w:rsidRDefault="00AC2840" w:rsidP="002E08C8">
      <w:pPr>
        <w:ind w:left="2552" w:hanging="1276"/>
      </w:pPr>
      <w:r>
        <w:t>8(3</w:t>
      </w:r>
      <w:r w:rsidR="00ED3192">
        <w:t>)(</w:t>
      </w:r>
      <w:r>
        <w:t>b</w:t>
      </w:r>
      <w:r w:rsidR="00ED3192">
        <w:t>)(</w:t>
      </w:r>
      <w:r>
        <w:t xml:space="preserve">iii) </w:t>
      </w:r>
      <w:r>
        <w:tab/>
        <w:t xml:space="preserve">a </w:t>
      </w:r>
      <w:r w:rsidRPr="003832A2">
        <w:t>minimum holding period longer than 365 days</w:t>
      </w:r>
      <w:r>
        <w:t>.</w:t>
      </w:r>
    </w:p>
    <w:p w14:paraId="3ED5B7D3" w14:textId="4D70F23B" w:rsidR="00AC2840" w:rsidRPr="002A2DEF" w:rsidRDefault="00AC2840" w:rsidP="002E08C8">
      <w:pPr>
        <w:pStyle w:val="Heading3"/>
      </w:pPr>
      <w:r w:rsidRPr="002A2DEF">
        <w:t>Australia</w:t>
      </w:r>
      <w:r w:rsidR="00740B66">
        <w:t>’</w:t>
      </w:r>
      <w:r w:rsidRPr="002A2DEF">
        <w:t>s initial approach to Article 8</w:t>
      </w:r>
    </w:p>
    <w:p w14:paraId="27F9F092" w14:textId="693D5699" w:rsidR="00AC2840" w:rsidRPr="002A2DEF" w:rsidRDefault="00AC2840" w:rsidP="00132B48">
      <w:pPr>
        <w:jc w:val="left"/>
        <w:rPr>
          <w:i/>
          <w:color w:val="000000" w:themeColor="text1"/>
        </w:rPr>
      </w:pPr>
      <w:r w:rsidRPr="002A2DEF">
        <w:rPr>
          <w:color w:val="000000" w:themeColor="text1"/>
        </w:rPr>
        <w:t>A number of Australia</w:t>
      </w:r>
      <w:r w:rsidR="00740B66">
        <w:rPr>
          <w:color w:val="000000" w:themeColor="text1"/>
        </w:rPr>
        <w:t>’</w:t>
      </w:r>
      <w:r w:rsidRPr="002A2DEF">
        <w:rPr>
          <w:color w:val="000000" w:themeColor="text1"/>
        </w:rPr>
        <w:t xml:space="preserve">s tax treaties already include holding periods to access the concessional rates (see the </w:t>
      </w:r>
      <w:r>
        <w:rPr>
          <w:color w:val="000000" w:themeColor="text1"/>
        </w:rPr>
        <w:t>2015 Australia</w:t>
      </w:r>
      <w:r w:rsidR="00740B66">
        <w:rPr>
          <w:color w:val="000000" w:themeColor="text1"/>
        </w:rPr>
        <w:noBreakHyphen/>
      </w:r>
      <w:r w:rsidRPr="002A2DEF">
        <w:rPr>
          <w:color w:val="000000" w:themeColor="text1"/>
        </w:rPr>
        <w:t>German</w:t>
      </w:r>
      <w:r>
        <w:rPr>
          <w:color w:val="000000" w:themeColor="text1"/>
        </w:rPr>
        <w:t>y</w:t>
      </w:r>
      <w:r w:rsidRPr="002A2DEF">
        <w:rPr>
          <w:color w:val="000000" w:themeColor="text1"/>
        </w:rPr>
        <w:t xml:space="preserve"> treaty which includes a 12 month holding period for the nil rate</w:t>
      </w:r>
      <w:r>
        <w:rPr>
          <w:color w:val="000000" w:themeColor="text1"/>
        </w:rPr>
        <w:t xml:space="preserve"> for non</w:t>
      </w:r>
      <w:r w:rsidR="00740B66">
        <w:rPr>
          <w:color w:val="000000" w:themeColor="text1"/>
        </w:rPr>
        <w:noBreakHyphen/>
      </w:r>
      <w:r>
        <w:rPr>
          <w:color w:val="000000" w:themeColor="text1"/>
        </w:rPr>
        <w:t xml:space="preserve">portfolio intercorporate dividends </w:t>
      </w:r>
      <w:r w:rsidRPr="002A2DEF">
        <w:rPr>
          <w:color w:val="000000" w:themeColor="text1"/>
        </w:rPr>
        <w:t xml:space="preserve">and </w:t>
      </w:r>
      <w:r>
        <w:rPr>
          <w:color w:val="000000" w:themeColor="text1"/>
        </w:rPr>
        <w:t xml:space="preserve">a </w:t>
      </w:r>
      <w:r w:rsidRPr="002A2DEF">
        <w:rPr>
          <w:color w:val="000000" w:themeColor="text1"/>
        </w:rPr>
        <w:t>6month holding period for the 5</w:t>
      </w:r>
      <w:r>
        <w:rPr>
          <w:color w:val="000000" w:themeColor="text1"/>
        </w:rPr>
        <w:t> per cent</w:t>
      </w:r>
      <w:r w:rsidRPr="002A2DEF">
        <w:rPr>
          <w:color w:val="000000" w:themeColor="text1"/>
        </w:rPr>
        <w:t xml:space="preserve"> rate</w:t>
      </w:r>
      <w:r w:rsidRPr="00FD1989">
        <w:t xml:space="preserve"> </w:t>
      </w:r>
      <w:r w:rsidRPr="00FD1989">
        <w:rPr>
          <w:color w:val="000000" w:themeColor="text1"/>
        </w:rPr>
        <w:t>for non</w:t>
      </w:r>
      <w:r w:rsidR="00740B66">
        <w:rPr>
          <w:color w:val="000000" w:themeColor="text1"/>
        </w:rPr>
        <w:noBreakHyphen/>
      </w:r>
      <w:r w:rsidRPr="00FD1989">
        <w:rPr>
          <w:color w:val="000000" w:themeColor="text1"/>
        </w:rPr>
        <w:t>portfolio intercorporate dividends</w:t>
      </w:r>
      <w:r w:rsidRPr="002A2DEF">
        <w:rPr>
          <w:color w:val="000000" w:themeColor="text1"/>
        </w:rPr>
        <w:t>).</w:t>
      </w:r>
      <w:r>
        <w:rPr>
          <w:color w:val="000000" w:themeColor="text1"/>
        </w:rPr>
        <w:t xml:space="preserve"> The existing 12 month holding period provisions require that the period be satisfied at the time the dividend is declared whereas the </w:t>
      </w:r>
      <w:r w:rsidRPr="002A2DEF">
        <w:rPr>
          <w:color w:val="000000" w:themeColor="text1"/>
        </w:rPr>
        <w:t xml:space="preserve">MLI </w:t>
      </w:r>
      <w:r>
        <w:rPr>
          <w:color w:val="000000" w:themeColor="text1"/>
        </w:rPr>
        <w:t xml:space="preserve">provides that </w:t>
      </w:r>
      <w:r w:rsidRPr="002A2DEF">
        <w:rPr>
          <w:color w:val="000000" w:themeColor="text1"/>
        </w:rPr>
        <w:t>the 365 day period includes</w:t>
      </w:r>
      <w:r>
        <w:rPr>
          <w:color w:val="000000" w:themeColor="text1"/>
        </w:rPr>
        <w:t xml:space="preserve"> the day of the payment of the dividends (and therefore the holding period does not have to be in advance of the dividend payment date)</w:t>
      </w:r>
      <w:r w:rsidRPr="002A2DEF">
        <w:rPr>
          <w:color w:val="000000" w:themeColor="text1"/>
        </w:rPr>
        <w:t>.</w:t>
      </w:r>
      <w:r w:rsidRPr="002A2DEF">
        <w:rPr>
          <w:i/>
          <w:color w:val="000000" w:themeColor="text1"/>
        </w:rPr>
        <w:t xml:space="preserve"> </w:t>
      </w:r>
    </w:p>
    <w:p w14:paraId="3C628AC5" w14:textId="001F6E87" w:rsidR="002E08C8" w:rsidRDefault="00AC2840" w:rsidP="00132B48">
      <w:pPr>
        <w:jc w:val="left"/>
        <w:rPr>
          <w:color w:val="000000" w:themeColor="text1"/>
        </w:rPr>
      </w:pPr>
      <w:r w:rsidRPr="002A2DEF">
        <w:rPr>
          <w:color w:val="000000" w:themeColor="text1"/>
        </w:rPr>
        <w:t>Australia</w:t>
      </w:r>
      <w:r w:rsidR="00740B66">
        <w:rPr>
          <w:color w:val="000000" w:themeColor="text1"/>
        </w:rPr>
        <w:t>’</w:t>
      </w:r>
      <w:r w:rsidRPr="002A2DEF">
        <w:rPr>
          <w:color w:val="000000" w:themeColor="text1"/>
        </w:rPr>
        <w:t>s initial approach would be to adopt Article 8 without reservation</w:t>
      </w:r>
      <w:r w:rsidRPr="00545657">
        <w:t xml:space="preserve"> </w:t>
      </w:r>
      <w:r w:rsidRPr="00545657">
        <w:rPr>
          <w:color w:val="000000" w:themeColor="text1"/>
        </w:rPr>
        <w:t>across all of its covered tax agreements</w:t>
      </w:r>
      <w:r w:rsidRPr="002A2DEF">
        <w:rPr>
          <w:color w:val="000000" w:themeColor="text1"/>
        </w:rPr>
        <w:t xml:space="preserve">. </w:t>
      </w:r>
      <w:r>
        <w:rPr>
          <w:color w:val="000000" w:themeColor="text1"/>
        </w:rPr>
        <w:t>This would</w:t>
      </w:r>
      <w:r w:rsidRPr="002A2DEF">
        <w:rPr>
          <w:color w:val="000000" w:themeColor="text1"/>
        </w:rPr>
        <w:t xml:space="preserve"> standardise </w:t>
      </w:r>
      <w:r>
        <w:rPr>
          <w:color w:val="000000" w:themeColor="text1"/>
        </w:rPr>
        <w:t xml:space="preserve">the </w:t>
      </w:r>
      <w:r w:rsidRPr="002A2DEF">
        <w:rPr>
          <w:color w:val="000000" w:themeColor="text1"/>
        </w:rPr>
        <w:t>holding period</w:t>
      </w:r>
      <w:r>
        <w:rPr>
          <w:color w:val="000000" w:themeColor="text1"/>
        </w:rPr>
        <w:t xml:space="preserve"> rule</w:t>
      </w:r>
      <w:r w:rsidRPr="002A2DEF">
        <w:rPr>
          <w:color w:val="000000" w:themeColor="text1"/>
        </w:rPr>
        <w:t>s for non</w:t>
      </w:r>
      <w:r w:rsidR="00740B66">
        <w:rPr>
          <w:color w:val="000000" w:themeColor="text1"/>
        </w:rPr>
        <w:noBreakHyphen/>
      </w:r>
      <w:r w:rsidRPr="002A2DEF">
        <w:rPr>
          <w:color w:val="000000" w:themeColor="text1"/>
        </w:rPr>
        <w:t>portfolio intercorporate</w:t>
      </w:r>
      <w:r>
        <w:rPr>
          <w:color w:val="000000" w:themeColor="text1"/>
        </w:rPr>
        <w:t xml:space="preserve"> dividends in Australia</w:t>
      </w:r>
      <w:r w:rsidR="00740B66">
        <w:rPr>
          <w:color w:val="000000" w:themeColor="text1"/>
        </w:rPr>
        <w:t>’</w:t>
      </w:r>
      <w:r>
        <w:rPr>
          <w:color w:val="000000" w:themeColor="text1"/>
        </w:rPr>
        <w:t>s treaties</w:t>
      </w:r>
      <w:r w:rsidRPr="002A2DEF">
        <w:rPr>
          <w:color w:val="000000" w:themeColor="text1"/>
        </w:rPr>
        <w:t xml:space="preserve">. </w:t>
      </w:r>
    </w:p>
    <w:p w14:paraId="16209F12" w14:textId="55B05F4C" w:rsidR="00AC2840" w:rsidRPr="0008180E" w:rsidRDefault="00AC2840" w:rsidP="0008180E">
      <w:pPr>
        <w:pStyle w:val="Heading2"/>
      </w:pPr>
      <w:bookmarkStart w:id="87" w:name="_Toc468726803"/>
      <w:bookmarkStart w:id="88" w:name="_Toc468732584"/>
      <w:bookmarkStart w:id="89" w:name="_Toc469328380"/>
      <w:bookmarkStart w:id="90" w:name="_Toc469329035"/>
      <w:r w:rsidRPr="0008180E">
        <w:t>Article 9</w:t>
      </w:r>
      <w:r w:rsidR="00D04E2A" w:rsidRPr="0008180E">
        <w:t xml:space="preserve"> — </w:t>
      </w:r>
      <w:r w:rsidRPr="0008180E">
        <w:t>Capital Gains from Alienation of Shares or Interests of Entities Deriving their Value Principally from Immovable Property</w:t>
      </w:r>
      <w:bookmarkEnd w:id="87"/>
      <w:bookmarkEnd w:id="88"/>
      <w:bookmarkEnd w:id="89"/>
      <w:bookmarkEnd w:id="90"/>
    </w:p>
    <w:p w14:paraId="515EE987" w14:textId="77777777" w:rsidR="00AC2840" w:rsidRPr="003832A2" w:rsidRDefault="00AC2840" w:rsidP="00132B48">
      <w:pPr>
        <w:spacing w:before="240"/>
        <w:jc w:val="left"/>
        <w:rPr>
          <w:szCs w:val="22"/>
        </w:rPr>
      </w:pPr>
      <w:r w:rsidRPr="002A2DEF">
        <w:t xml:space="preserve">Article 9 </w:t>
      </w:r>
      <w:r w:rsidRPr="00F6032A">
        <w:t xml:space="preserve">implements recommendations </w:t>
      </w:r>
      <w:r w:rsidRPr="002A2DEF">
        <w:t>outlined in the BEPS Action 6 (Preventing the Granting of Treaty Benefits in Inappropriate Circumstances) report (see page 71 of that report).</w:t>
      </w:r>
      <w:r w:rsidRPr="00BE22C4">
        <w:t xml:space="preserve"> </w:t>
      </w:r>
    </w:p>
    <w:p w14:paraId="4131B0BE" w14:textId="77777777" w:rsidR="00AC2840" w:rsidRPr="003832A2" w:rsidRDefault="00AC2840" w:rsidP="002E08C8">
      <w:pPr>
        <w:pStyle w:val="Heading3"/>
      </w:pPr>
      <w:r w:rsidRPr="003832A2">
        <w:t xml:space="preserve">How does this Article address multinational tax avoidance?  </w:t>
      </w:r>
    </w:p>
    <w:p w14:paraId="2A56348E" w14:textId="7B602DCA" w:rsidR="00AC2840" w:rsidRPr="002A2DEF" w:rsidRDefault="00AC2840" w:rsidP="00132B48">
      <w:pPr>
        <w:jc w:val="left"/>
        <w:rPr>
          <w:color w:val="000000" w:themeColor="text1"/>
          <w:szCs w:val="22"/>
        </w:rPr>
      </w:pPr>
      <w:r w:rsidRPr="002A2DEF">
        <w:rPr>
          <w:color w:val="000000" w:themeColor="text1"/>
          <w:szCs w:val="22"/>
        </w:rPr>
        <w:t>Tax treaties typically preserve a jurisdiction</w:t>
      </w:r>
      <w:r w:rsidR="00740B66">
        <w:rPr>
          <w:color w:val="000000" w:themeColor="text1"/>
          <w:szCs w:val="22"/>
        </w:rPr>
        <w:t>’</w:t>
      </w:r>
      <w:r w:rsidRPr="002A2DEF">
        <w:rPr>
          <w:color w:val="000000" w:themeColor="text1"/>
          <w:szCs w:val="22"/>
        </w:rPr>
        <w:t xml:space="preserve">s right to tax capital gains attributable to real property (primarily land) located in that jurisdiction. This applies not only to </w:t>
      </w:r>
      <w:r w:rsidRPr="002A2DEF">
        <w:rPr>
          <w:color w:val="000000" w:themeColor="text1"/>
        </w:rPr>
        <w:t>directly held</w:t>
      </w:r>
      <w:r w:rsidRPr="002A2DEF">
        <w:rPr>
          <w:color w:val="000000" w:themeColor="text1"/>
          <w:szCs w:val="22"/>
        </w:rPr>
        <w:t xml:space="preserve"> real property (e.g. where an investor owns property in their own right) but also to real property held indirectly through interposed entities, the assets of which derive more than 50 per cent of their value from real property (</w:t>
      </w:r>
      <w:r w:rsidR="00740B66">
        <w:rPr>
          <w:color w:val="000000" w:themeColor="text1"/>
          <w:szCs w:val="22"/>
        </w:rPr>
        <w:t>‘</w:t>
      </w:r>
      <w:r w:rsidRPr="002A2DEF">
        <w:rPr>
          <w:color w:val="000000" w:themeColor="text1"/>
          <w:szCs w:val="22"/>
        </w:rPr>
        <w:t>land</w:t>
      </w:r>
      <w:r w:rsidR="00740B66">
        <w:rPr>
          <w:color w:val="000000" w:themeColor="text1"/>
          <w:szCs w:val="22"/>
        </w:rPr>
        <w:noBreakHyphen/>
      </w:r>
      <w:r w:rsidRPr="002A2DEF">
        <w:rPr>
          <w:color w:val="000000" w:themeColor="text1"/>
          <w:szCs w:val="22"/>
        </w:rPr>
        <w:t>rich entities</w:t>
      </w:r>
      <w:r w:rsidR="00740B66">
        <w:rPr>
          <w:color w:val="000000" w:themeColor="text1"/>
          <w:szCs w:val="22"/>
        </w:rPr>
        <w:t>’</w:t>
      </w:r>
      <w:r w:rsidRPr="002A2DEF">
        <w:rPr>
          <w:color w:val="000000" w:themeColor="text1"/>
          <w:szCs w:val="22"/>
        </w:rPr>
        <w:t>). </w:t>
      </w:r>
    </w:p>
    <w:p w14:paraId="482AE2A8" w14:textId="7159565F" w:rsidR="00AC2840" w:rsidRPr="002A2DEF" w:rsidRDefault="00AC2840" w:rsidP="00132B48">
      <w:pPr>
        <w:jc w:val="left"/>
        <w:rPr>
          <w:color w:val="000000" w:themeColor="text1"/>
          <w:szCs w:val="22"/>
        </w:rPr>
      </w:pPr>
      <w:r w:rsidRPr="002A2DEF">
        <w:rPr>
          <w:color w:val="000000" w:themeColor="text1"/>
          <w:szCs w:val="22"/>
        </w:rPr>
        <w:t>Foreign residents can attempt to avoid taxation of capital gains by contributing other assets to a land rich entity, so that it is no longer land</w:t>
      </w:r>
      <w:r w:rsidR="00740B66">
        <w:rPr>
          <w:color w:val="000000" w:themeColor="text1"/>
          <w:szCs w:val="22"/>
        </w:rPr>
        <w:noBreakHyphen/>
      </w:r>
      <w:r w:rsidRPr="002A2DEF">
        <w:rPr>
          <w:color w:val="000000" w:themeColor="text1"/>
          <w:szCs w:val="22"/>
        </w:rPr>
        <w:t>rich, shortly before disposing of their interests in the entity.</w:t>
      </w:r>
    </w:p>
    <w:p w14:paraId="30463447" w14:textId="2A7E216A" w:rsidR="00AC2840" w:rsidRPr="002A2DEF" w:rsidRDefault="00AC2840" w:rsidP="00132B48">
      <w:pPr>
        <w:jc w:val="left"/>
        <w:rPr>
          <w:color w:val="000000" w:themeColor="text1"/>
          <w:szCs w:val="22"/>
        </w:rPr>
      </w:pPr>
      <w:r w:rsidRPr="002A2DEF">
        <w:rPr>
          <w:color w:val="000000" w:themeColor="text1"/>
          <w:szCs w:val="22"/>
        </w:rPr>
        <w:t>Article 9 will introduce a 365 day period for testing whether the relevant entity was land</w:t>
      </w:r>
      <w:r w:rsidR="00740B66">
        <w:rPr>
          <w:color w:val="000000" w:themeColor="text1"/>
          <w:szCs w:val="22"/>
        </w:rPr>
        <w:noBreakHyphen/>
      </w:r>
      <w:r w:rsidRPr="002A2DEF">
        <w:rPr>
          <w:color w:val="000000" w:themeColor="text1"/>
          <w:szCs w:val="22"/>
        </w:rPr>
        <w:t>rich. It will also ensure</w:t>
      </w:r>
      <w:r w:rsidR="00D04E2A">
        <w:rPr>
          <w:color w:val="000000" w:themeColor="text1"/>
          <w:szCs w:val="22"/>
        </w:rPr>
        <w:t xml:space="preserve"> — </w:t>
      </w:r>
      <w:r w:rsidRPr="002A2DEF">
        <w:rPr>
          <w:color w:val="000000" w:themeColor="text1"/>
          <w:szCs w:val="22"/>
        </w:rPr>
        <w:t xml:space="preserve">through the insertion of references to </w:t>
      </w:r>
      <w:r w:rsidR="00740B66">
        <w:rPr>
          <w:color w:val="000000" w:themeColor="text1"/>
          <w:szCs w:val="22"/>
        </w:rPr>
        <w:t>‘</w:t>
      </w:r>
      <w:r w:rsidRPr="002A2DEF">
        <w:rPr>
          <w:color w:val="000000" w:themeColor="text1"/>
          <w:szCs w:val="22"/>
        </w:rPr>
        <w:t>comparable interests</w:t>
      </w:r>
      <w:r w:rsidR="00740B66">
        <w:rPr>
          <w:color w:val="000000" w:themeColor="text1"/>
          <w:szCs w:val="22"/>
        </w:rPr>
        <w:t>’</w:t>
      </w:r>
      <w:r w:rsidR="005565DE">
        <w:rPr>
          <w:color w:val="000000" w:themeColor="text1"/>
          <w:szCs w:val="22"/>
        </w:rPr>
        <w:t>-</w:t>
      </w:r>
      <w:r w:rsidRPr="002A2DEF">
        <w:rPr>
          <w:color w:val="000000" w:themeColor="text1"/>
          <w:szCs w:val="22"/>
        </w:rPr>
        <w:t xml:space="preserve"> that a wider range of interests in land</w:t>
      </w:r>
      <w:r w:rsidR="00740B66">
        <w:rPr>
          <w:color w:val="000000" w:themeColor="text1"/>
          <w:szCs w:val="22"/>
        </w:rPr>
        <w:noBreakHyphen/>
      </w:r>
      <w:r w:rsidRPr="002A2DEF">
        <w:rPr>
          <w:color w:val="000000" w:themeColor="text1"/>
          <w:szCs w:val="22"/>
        </w:rPr>
        <w:t xml:space="preserve">rich entities (e.g. units in trusts) are brought within the scope of the article, as well as shares. </w:t>
      </w:r>
    </w:p>
    <w:p w14:paraId="10505B31" w14:textId="60DD54CE" w:rsidR="00AC2840" w:rsidRPr="003832A2" w:rsidRDefault="009445F4" w:rsidP="009445F4">
      <w:pPr>
        <w:pStyle w:val="Heading3"/>
      </w:pPr>
      <w:r>
        <w:t>What are the options?</w:t>
      </w:r>
    </w:p>
    <w:p w14:paraId="75C720A4" w14:textId="77777777" w:rsidR="00AC2840" w:rsidRDefault="00AC2840" w:rsidP="009445F4">
      <w:r w:rsidRPr="003832A2">
        <w:t xml:space="preserve">Adopt Article 9 </w:t>
      </w:r>
      <w:r>
        <w:t xml:space="preserve">without reservation </w:t>
      </w:r>
    </w:p>
    <w:tbl>
      <w:tblPr>
        <w:tblStyle w:val="TableGrid"/>
        <w:tblW w:w="0" w:type="auto"/>
        <w:tblInd w:w="108" w:type="dxa"/>
        <w:tblLook w:val="04A0" w:firstRow="1" w:lastRow="0" w:firstColumn="1" w:lastColumn="0" w:noHBand="0" w:noVBand="1"/>
      </w:tblPr>
      <w:tblGrid>
        <w:gridCol w:w="1134"/>
        <w:gridCol w:w="8044"/>
      </w:tblGrid>
      <w:tr w:rsidR="009445F4" w:rsidRPr="00E33E85" w14:paraId="10A3584B" w14:textId="77777777" w:rsidTr="009445F4">
        <w:tc>
          <w:tcPr>
            <w:tcW w:w="1134" w:type="dxa"/>
            <w:shd w:val="clear" w:color="auto" w:fill="auto"/>
          </w:tcPr>
          <w:p w14:paraId="2C94A16A" w14:textId="5C1236EE" w:rsidR="009445F4" w:rsidRPr="00E33E85" w:rsidRDefault="009445F4" w:rsidP="009445F4">
            <w:r>
              <w:t>9(6)(a</w:t>
            </w:r>
            <w:r w:rsidRPr="003832A2">
              <w:t>)</w:t>
            </w:r>
          </w:p>
        </w:tc>
        <w:tc>
          <w:tcPr>
            <w:tcW w:w="8044" w:type="dxa"/>
            <w:shd w:val="clear" w:color="auto" w:fill="auto"/>
          </w:tcPr>
          <w:p w14:paraId="5D012989" w14:textId="6F1199FC" w:rsidR="009445F4" w:rsidRPr="00E33E85" w:rsidRDefault="009445F4" w:rsidP="009445F4">
            <w:r w:rsidRPr="003832A2">
              <w:t xml:space="preserve">Do not adopt Article 9 at all (i.e. no change to </w:t>
            </w:r>
            <w:r>
              <w:t>bilateral treaty</w:t>
            </w:r>
            <w:r w:rsidRPr="003832A2">
              <w:t xml:space="preserve"> rules</w:t>
            </w:r>
            <w:r>
              <w:t>)</w:t>
            </w:r>
          </w:p>
        </w:tc>
      </w:tr>
      <w:tr w:rsidR="009445F4" w:rsidRPr="00E33E85" w14:paraId="45756C80" w14:textId="77777777" w:rsidTr="009445F4">
        <w:tc>
          <w:tcPr>
            <w:tcW w:w="1134" w:type="dxa"/>
            <w:shd w:val="clear" w:color="auto" w:fill="auto"/>
          </w:tcPr>
          <w:p w14:paraId="657F01D2" w14:textId="64D24781" w:rsidR="009445F4" w:rsidRPr="00E33E85" w:rsidRDefault="009445F4" w:rsidP="009445F4">
            <w:r w:rsidRPr="008A7732">
              <w:t>9(6)(b)</w:t>
            </w:r>
          </w:p>
        </w:tc>
        <w:tc>
          <w:tcPr>
            <w:tcW w:w="8044" w:type="dxa"/>
            <w:shd w:val="clear" w:color="auto" w:fill="auto"/>
          </w:tcPr>
          <w:p w14:paraId="5475C78E" w14:textId="5A6123B4" w:rsidR="009445F4" w:rsidRPr="00E33E85" w:rsidRDefault="009445F4" w:rsidP="009445F4">
            <w:r w:rsidRPr="008A7732">
              <w:t>Adopt Article 9 but do not apply the 365 day t</w:t>
            </w:r>
            <w:r w:rsidRPr="0029539B">
              <w:t>est period</w:t>
            </w:r>
          </w:p>
        </w:tc>
      </w:tr>
      <w:tr w:rsidR="009445F4" w:rsidRPr="00E33E85" w14:paraId="0E2DA4D3" w14:textId="77777777" w:rsidTr="009445F4">
        <w:tc>
          <w:tcPr>
            <w:tcW w:w="1134" w:type="dxa"/>
            <w:shd w:val="clear" w:color="auto" w:fill="auto"/>
          </w:tcPr>
          <w:p w14:paraId="44D04324" w14:textId="7AF82206" w:rsidR="009445F4" w:rsidRPr="00E33E85" w:rsidRDefault="009445F4" w:rsidP="009445F4">
            <w:r w:rsidRPr="008A7732">
              <w:t>9(6)(</w:t>
            </w:r>
            <w:r w:rsidRPr="0058612D">
              <w:t>c</w:t>
            </w:r>
            <w:r>
              <w:t>)</w:t>
            </w:r>
          </w:p>
        </w:tc>
        <w:tc>
          <w:tcPr>
            <w:tcW w:w="8044" w:type="dxa"/>
            <w:shd w:val="clear" w:color="auto" w:fill="auto"/>
          </w:tcPr>
          <w:p w14:paraId="1692860F" w14:textId="51358843" w:rsidR="009445F4" w:rsidRPr="002E08C8" w:rsidRDefault="009445F4" w:rsidP="009445F4">
            <w:r w:rsidRPr="008A7732">
              <w:t xml:space="preserve">Adopt Article 9 but </w:t>
            </w:r>
            <w:r w:rsidRPr="003E0B60">
              <w:t xml:space="preserve">do not </w:t>
            </w:r>
            <w:r>
              <w:t>include</w:t>
            </w:r>
            <w:r w:rsidRPr="003E0B60">
              <w:t xml:space="preserve"> </w:t>
            </w:r>
            <w:r>
              <w:t>comparable</w:t>
            </w:r>
            <w:r w:rsidRPr="003E0B60">
              <w:t xml:space="preserve"> interests</w:t>
            </w:r>
          </w:p>
        </w:tc>
      </w:tr>
      <w:tr w:rsidR="009445F4" w:rsidRPr="00E33E85" w14:paraId="2DA1D2C6" w14:textId="77777777" w:rsidTr="009445F4">
        <w:tc>
          <w:tcPr>
            <w:tcW w:w="1134" w:type="dxa"/>
            <w:shd w:val="clear" w:color="auto" w:fill="auto"/>
          </w:tcPr>
          <w:p w14:paraId="0818EF0C" w14:textId="4BD52CD6" w:rsidR="009445F4" w:rsidRPr="00E33E85" w:rsidRDefault="009445F4" w:rsidP="009445F4">
            <w:r w:rsidRPr="00D02315">
              <w:t>9(6)(</w:t>
            </w:r>
            <w:r w:rsidRPr="0058612D">
              <w:t>d)</w:t>
            </w:r>
          </w:p>
        </w:tc>
        <w:tc>
          <w:tcPr>
            <w:tcW w:w="8044" w:type="dxa"/>
            <w:shd w:val="clear" w:color="auto" w:fill="auto"/>
          </w:tcPr>
          <w:p w14:paraId="3F976245" w14:textId="6AC1AA41" w:rsidR="009445F4" w:rsidRPr="00E33E85" w:rsidRDefault="009445F4" w:rsidP="009445F4">
            <w:r w:rsidRPr="008A7732">
              <w:t xml:space="preserve">Adopt Article 9 but </w:t>
            </w:r>
            <w:r w:rsidRPr="003E0B60">
              <w:t>not in relation to treaties that already include a test</w:t>
            </w:r>
            <w:r w:rsidRPr="00227894">
              <w:t xml:space="preserve"> period</w:t>
            </w:r>
          </w:p>
        </w:tc>
      </w:tr>
      <w:tr w:rsidR="009445F4" w:rsidRPr="00E33E85" w14:paraId="1860576D" w14:textId="77777777" w:rsidTr="009445F4">
        <w:tc>
          <w:tcPr>
            <w:tcW w:w="1134" w:type="dxa"/>
            <w:shd w:val="clear" w:color="auto" w:fill="auto"/>
          </w:tcPr>
          <w:p w14:paraId="341FCA60" w14:textId="6A79E1E3" w:rsidR="009445F4" w:rsidRPr="00E33E85" w:rsidRDefault="009445F4" w:rsidP="009445F4">
            <w:r w:rsidRPr="008A7732">
              <w:t>9(6)(e</w:t>
            </w:r>
            <w:r>
              <w:t>)</w:t>
            </w:r>
          </w:p>
        </w:tc>
        <w:tc>
          <w:tcPr>
            <w:tcW w:w="8044" w:type="dxa"/>
            <w:shd w:val="clear" w:color="auto" w:fill="auto"/>
          </w:tcPr>
          <w:p w14:paraId="42A3938D" w14:textId="2D19CC41" w:rsidR="009445F4" w:rsidRPr="00E33E85" w:rsidRDefault="009445F4" w:rsidP="009445F4">
            <w:r w:rsidRPr="008A7732">
              <w:t>A</w:t>
            </w:r>
            <w:r w:rsidRPr="003E0B60">
              <w:t xml:space="preserve">dopt Article 9 but not in relation to treaties that already </w:t>
            </w:r>
            <w:r>
              <w:t>include</w:t>
            </w:r>
            <w:r w:rsidRPr="003E0B60">
              <w:t xml:space="preserve"> </w:t>
            </w:r>
            <w:r>
              <w:t>comparable</w:t>
            </w:r>
            <w:r w:rsidRPr="008A7732">
              <w:t xml:space="preserve"> interests</w:t>
            </w:r>
          </w:p>
        </w:tc>
      </w:tr>
      <w:tr w:rsidR="009445F4" w:rsidRPr="00E33E85" w14:paraId="5B87291E" w14:textId="77777777" w:rsidTr="009445F4">
        <w:tc>
          <w:tcPr>
            <w:tcW w:w="1134" w:type="dxa"/>
            <w:shd w:val="clear" w:color="auto" w:fill="auto"/>
          </w:tcPr>
          <w:p w14:paraId="4306A3D9" w14:textId="52DA063D" w:rsidR="009445F4" w:rsidRPr="00412106" w:rsidRDefault="009445F4" w:rsidP="009445F4">
            <w:r w:rsidRPr="00730570">
              <w:t>9(4)</w:t>
            </w:r>
          </w:p>
        </w:tc>
        <w:tc>
          <w:tcPr>
            <w:tcW w:w="8044" w:type="dxa"/>
            <w:shd w:val="clear" w:color="auto" w:fill="auto"/>
          </w:tcPr>
          <w:p w14:paraId="70C89EF6" w14:textId="45315831" w:rsidR="009445F4" w:rsidRPr="00E33E85" w:rsidRDefault="009445F4" w:rsidP="009445F4">
            <w:r w:rsidRPr="00730570">
              <w:t>Adopt the optional clause that would modify bilateral treaties to include</w:t>
            </w:r>
            <w:r w:rsidRPr="002A2DEF">
              <w:t xml:space="preserve"> a full replace</w:t>
            </w:r>
            <w:r>
              <w:t>ment</w:t>
            </w:r>
            <w:r w:rsidRPr="002A2DEF">
              <w:t xml:space="preserve"> provision containing both</w:t>
            </w:r>
            <w:r w:rsidRPr="00730570">
              <w:t xml:space="preserve"> the 365 day test and the </w:t>
            </w:r>
            <w:r w:rsidRPr="002A2DEF">
              <w:t>reference to</w:t>
            </w:r>
            <w:r w:rsidRPr="00730570">
              <w:t xml:space="preserve"> comparable interests</w:t>
            </w:r>
          </w:p>
        </w:tc>
      </w:tr>
      <w:tr w:rsidR="009445F4" w:rsidRPr="00E33E85" w14:paraId="49B705E0" w14:textId="77777777" w:rsidTr="009445F4">
        <w:tc>
          <w:tcPr>
            <w:tcW w:w="1134" w:type="dxa"/>
            <w:shd w:val="clear" w:color="auto" w:fill="auto"/>
          </w:tcPr>
          <w:p w14:paraId="6B41575C" w14:textId="6329635E" w:rsidR="009445F4" w:rsidRPr="00A7463F" w:rsidRDefault="009445F4" w:rsidP="009445F4">
            <w:r w:rsidRPr="008A7732">
              <w:t>9(6)(f)</w:t>
            </w:r>
          </w:p>
        </w:tc>
        <w:tc>
          <w:tcPr>
            <w:tcW w:w="8044" w:type="dxa"/>
            <w:shd w:val="clear" w:color="auto" w:fill="auto"/>
          </w:tcPr>
          <w:p w14:paraId="44C1611A" w14:textId="3B733DBB" w:rsidR="009445F4" w:rsidRPr="00E33E85" w:rsidRDefault="009445F4" w:rsidP="009445F4">
            <w:r w:rsidRPr="008A7732">
              <w:t>A</w:t>
            </w:r>
            <w:r w:rsidRPr="003E0B60">
              <w:t xml:space="preserve">dopt the optional clause referred to </w:t>
            </w:r>
            <w:r w:rsidRPr="0058612D">
              <w:t xml:space="preserve">immediately </w:t>
            </w:r>
            <w:r w:rsidRPr="008A7732">
              <w:t xml:space="preserve">above but not in relation to treaties that already contain </w:t>
            </w:r>
            <w:r>
              <w:t xml:space="preserve">an </w:t>
            </w:r>
            <w:r w:rsidRPr="008A7732">
              <w:t>equivalent provision</w:t>
            </w:r>
          </w:p>
        </w:tc>
      </w:tr>
    </w:tbl>
    <w:p w14:paraId="3B5CA2D5" w14:textId="57C38B94" w:rsidR="00AC2840" w:rsidRPr="002A2DEF" w:rsidRDefault="00AC2840" w:rsidP="009445F4">
      <w:pPr>
        <w:pStyle w:val="Heading3"/>
      </w:pPr>
      <w:r w:rsidRPr="002A2DEF">
        <w:t>Australia</w:t>
      </w:r>
      <w:r w:rsidR="00740B66">
        <w:t>’</w:t>
      </w:r>
      <w:r w:rsidRPr="002A2DEF">
        <w:t>s initial approach to Article 9</w:t>
      </w:r>
    </w:p>
    <w:p w14:paraId="6BDF9733" w14:textId="6D445AC8" w:rsidR="00AC2840" w:rsidRPr="002A2DEF" w:rsidRDefault="00AC2840" w:rsidP="00132B48">
      <w:pPr>
        <w:jc w:val="left"/>
        <w:rPr>
          <w:color w:val="000000" w:themeColor="text1"/>
        </w:rPr>
      </w:pPr>
      <w:r>
        <w:rPr>
          <w:color w:val="000000" w:themeColor="text1"/>
        </w:rPr>
        <w:t>Article 9</w:t>
      </w:r>
      <w:r w:rsidRPr="00233CA9">
        <w:rPr>
          <w:color w:val="000000" w:themeColor="text1"/>
        </w:rPr>
        <w:t xml:space="preserve"> is consistent with Australia</w:t>
      </w:r>
      <w:r w:rsidR="00740B66">
        <w:rPr>
          <w:color w:val="000000" w:themeColor="text1"/>
        </w:rPr>
        <w:t>’</w:t>
      </w:r>
      <w:r w:rsidRPr="00233CA9">
        <w:rPr>
          <w:color w:val="000000" w:themeColor="text1"/>
        </w:rPr>
        <w:t xml:space="preserve">s preferred treaty practice of including </w:t>
      </w:r>
      <w:r>
        <w:rPr>
          <w:color w:val="000000" w:themeColor="text1"/>
        </w:rPr>
        <w:t xml:space="preserve">both </w:t>
      </w:r>
      <w:r w:rsidRPr="00CD78B3">
        <w:rPr>
          <w:color w:val="000000" w:themeColor="text1"/>
        </w:rPr>
        <w:t>the 365 day test</w:t>
      </w:r>
      <w:r>
        <w:rPr>
          <w:color w:val="000000" w:themeColor="text1"/>
        </w:rPr>
        <w:t xml:space="preserve"> and</w:t>
      </w:r>
      <w:r w:rsidRPr="00CD78B3">
        <w:rPr>
          <w:color w:val="000000" w:themeColor="text1"/>
        </w:rPr>
        <w:t xml:space="preserve"> </w:t>
      </w:r>
      <w:r w:rsidRPr="009F1F2D">
        <w:rPr>
          <w:color w:val="000000" w:themeColor="text1"/>
        </w:rPr>
        <w:t xml:space="preserve">a reference to comparable interests </w:t>
      </w:r>
      <w:r w:rsidRPr="00233CA9">
        <w:rPr>
          <w:color w:val="000000" w:themeColor="text1"/>
        </w:rPr>
        <w:t xml:space="preserve">in its bilateral treaties </w:t>
      </w:r>
      <w:r>
        <w:rPr>
          <w:color w:val="000000" w:themeColor="text1"/>
        </w:rPr>
        <w:t>(see</w:t>
      </w:r>
      <w:r w:rsidRPr="00233CA9">
        <w:rPr>
          <w:color w:val="000000" w:themeColor="text1"/>
        </w:rPr>
        <w:t xml:space="preserve"> Article 1</w:t>
      </w:r>
      <w:r>
        <w:rPr>
          <w:color w:val="000000" w:themeColor="text1"/>
        </w:rPr>
        <w:t>3(4</w:t>
      </w:r>
      <w:r w:rsidRPr="00233CA9">
        <w:rPr>
          <w:color w:val="000000" w:themeColor="text1"/>
        </w:rPr>
        <w:t>) of the 2015 Australia</w:t>
      </w:r>
      <w:r w:rsidR="00740B66">
        <w:rPr>
          <w:color w:val="000000" w:themeColor="text1"/>
        </w:rPr>
        <w:noBreakHyphen/>
      </w:r>
      <w:r w:rsidRPr="00233CA9">
        <w:rPr>
          <w:color w:val="000000" w:themeColor="text1"/>
        </w:rPr>
        <w:t xml:space="preserve">Germany treaty). </w:t>
      </w:r>
      <w:r>
        <w:rPr>
          <w:color w:val="000000" w:themeColor="text1"/>
        </w:rPr>
        <w:t>However, a large number of Australia</w:t>
      </w:r>
      <w:r w:rsidR="00740B66">
        <w:rPr>
          <w:color w:val="000000" w:themeColor="text1"/>
        </w:rPr>
        <w:t>’</w:t>
      </w:r>
      <w:r>
        <w:rPr>
          <w:color w:val="000000" w:themeColor="text1"/>
        </w:rPr>
        <w:t>s treaties already include either a general or detailed reference to comparable interests.</w:t>
      </w:r>
    </w:p>
    <w:p w14:paraId="7BB866DA" w14:textId="40F8D434" w:rsidR="00AC2840" w:rsidRPr="002A2DEF" w:rsidRDefault="00AC2840" w:rsidP="00132B48">
      <w:pPr>
        <w:jc w:val="left"/>
        <w:rPr>
          <w:color w:val="000000" w:themeColor="text1"/>
          <w:szCs w:val="22"/>
        </w:rPr>
      </w:pPr>
      <w:r w:rsidRPr="002A2DEF">
        <w:rPr>
          <w:color w:val="000000" w:themeColor="text1"/>
        </w:rPr>
        <w:t>On this basis, Australia</w:t>
      </w:r>
      <w:r w:rsidR="00740B66">
        <w:rPr>
          <w:color w:val="000000" w:themeColor="text1"/>
        </w:rPr>
        <w:t>’</w:t>
      </w:r>
      <w:r w:rsidRPr="002A2DEF">
        <w:rPr>
          <w:color w:val="000000" w:themeColor="text1"/>
        </w:rPr>
        <w:t xml:space="preserve">s initial approach would be to adopt </w:t>
      </w:r>
      <w:r w:rsidRPr="00233CA9">
        <w:rPr>
          <w:color w:val="000000" w:themeColor="text1"/>
        </w:rPr>
        <w:t>Article</w:t>
      </w:r>
      <w:r>
        <w:rPr>
          <w:color w:val="000000" w:themeColor="text1"/>
        </w:rPr>
        <w:t xml:space="preserve"> 9</w:t>
      </w:r>
      <w:r w:rsidRPr="00233CA9">
        <w:rPr>
          <w:color w:val="000000" w:themeColor="text1"/>
        </w:rPr>
        <w:t xml:space="preserve"> across all of its covered tax agreements and enter the reservation permitted by Article </w:t>
      </w:r>
      <w:r>
        <w:rPr>
          <w:color w:val="000000" w:themeColor="text1"/>
        </w:rPr>
        <w:t>9(6)(e).</w:t>
      </w:r>
      <w:r w:rsidRPr="00B7557E">
        <w:rPr>
          <w:color w:val="000000" w:themeColor="text1"/>
        </w:rPr>
        <w:t xml:space="preserve"> </w:t>
      </w:r>
      <w:r>
        <w:rPr>
          <w:color w:val="000000" w:themeColor="text1"/>
        </w:rPr>
        <w:t xml:space="preserve">Australia would not adopt the </w:t>
      </w:r>
      <w:r w:rsidRPr="00CB3943">
        <w:rPr>
          <w:color w:val="000000" w:themeColor="text1"/>
        </w:rPr>
        <w:t xml:space="preserve">optional </w:t>
      </w:r>
      <w:r>
        <w:rPr>
          <w:color w:val="000000" w:themeColor="text1"/>
        </w:rPr>
        <w:t>full replacement</w:t>
      </w:r>
      <w:r w:rsidRPr="00CB3943">
        <w:rPr>
          <w:color w:val="000000" w:themeColor="text1"/>
        </w:rPr>
        <w:t xml:space="preserve"> </w:t>
      </w:r>
      <w:r>
        <w:rPr>
          <w:color w:val="000000" w:themeColor="text1"/>
        </w:rPr>
        <w:t>provision in Article 9(</w:t>
      </w:r>
      <w:r w:rsidRPr="002A2DEF">
        <w:rPr>
          <w:color w:val="000000" w:themeColor="text1"/>
        </w:rPr>
        <w:t>4,</w:t>
      </w:r>
      <w:r>
        <w:rPr>
          <w:color w:val="000000" w:themeColor="text1"/>
        </w:rPr>
        <w:t>)</w:t>
      </w:r>
      <w:r w:rsidRPr="002A2DEF">
        <w:rPr>
          <w:color w:val="000000" w:themeColor="text1"/>
        </w:rPr>
        <w:t xml:space="preserve"> which would leave existing references to comparable interests undisturbed.</w:t>
      </w:r>
      <w:r w:rsidRPr="002A2DEF">
        <w:rPr>
          <w:color w:val="000000" w:themeColor="text1"/>
          <w:szCs w:val="22"/>
        </w:rPr>
        <w:t xml:space="preserve"> </w:t>
      </w:r>
    </w:p>
    <w:p w14:paraId="6C4EA59D" w14:textId="77777777" w:rsidR="00AC2840" w:rsidRDefault="00AC2840">
      <w:pPr>
        <w:spacing w:after="0" w:line="240" w:lineRule="auto"/>
        <w:jc w:val="left"/>
        <w:rPr>
          <w:szCs w:val="22"/>
        </w:rPr>
      </w:pPr>
      <w:r>
        <w:rPr>
          <w:szCs w:val="22"/>
        </w:rPr>
        <w:br w:type="page"/>
      </w:r>
    </w:p>
    <w:p w14:paraId="203471F2" w14:textId="1D75302E" w:rsidR="00AC2840" w:rsidRPr="0008180E" w:rsidRDefault="00AC2840" w:rsidP="0008180E">
      <w:pPr>
        <w:pStyle w:val="Heading2"/>
      </w:pPr>
      <w:bookmarkStart w:id="91" w:name="_Toc468726804"/>
      <w:bookmarkStart w:id="92" w:name="_Toc468732585"/>
      <w:bookmarkStart w:id="93" w:name="_Toc469328381"/>
      <w:bookmarkStart w:id="94" w:name="_Toc469329036"/>
      <w:r w:rsidRPr="0008180E">
        <w:t>Article 10</w:t>
      </w:r>
      <w:r w:rsidR="00D04E2A" w:rsidRPr="0008180E">
        <w:t xml:space="preserve"> — </w:t>
      </w:r>
      <w:r w:rsidRPr="0008180E">
        <w:t>Anti</w:t>
      </w:r>
      <w:r w:rsidR="00740B66">
        <w:noBreakHyphen/>
      </w:r>
      <w:r w:rsidRPr="0008180E">
        <w:t>abuse Rule for Permanent Establishments Situated in Third Jurisdictions</w:t>
      </w:r>
      <w:bookmarkEnd w:id="91"/>
      <w:bookmarkEnd w:id="92"/>
      <w:bookmarkEnd w:id="93"/>
      <w:bookmarkEnd w:id="94"/>
    </w:p>
    <w:p w14:paraId="3C30A8B5" w14:textId="77777777" w:rsidR="00AC2840" w:rsidRPr="003832A2" w:rsidRDefault="00AC2840" w:rsidP="00132B48">
      <w:pPr>
        <w:spacing w:before="240"/>
        <w:jc w:val="left"/>
        <w:rPr>
          <w:szCs w:val="22"/>
        </w:rPr>
      </w:pPr>
      <w:r w:rsidRPr="002A2DEF">
        <w:t xml:space="preserve">Article 10 implements recommendations outlined in the BEPS Action 6 (Preventing the Granting of Treaty Benefits in Inappropriate Circumstances) report (see </w:t>
      </w:r>
      <w:r w:rsidRPr="002A2DEF">
        <w:rPr>
          <w:szCs w:val="22"/>
        </w:rPr>
        <w:t>page</w:t>
      </w:r>
      <w:r w:rsidRPr="002A2DEF">
        <w:t xml:space="preserve"> 75 of that report).</w:t>
      </w:r>
      <w:r w:rsidRPr="009825E6">
        <w:t xml:space="preserve"> </w:t>
      </w:r>
    </w:p>
    <w:p w14:paraId="31C4F4B5" w14:textId="77777777" w:rsidR="00AC2840" w:rsidRPr="003832A2" w:rsidRDefault="00AC2840" w:rsidP="009445F4">
      <w:pPr>
        <w:pStyle w:val="Heading3"/>
      </w:pPr>
      <w:r w:rsidRPr="003832A2">
        <w:t xml:space="preserve">How does this Article address multinational tax avoidance?  </w:t>
      </w:r>
    </w:p>
    <w:p w14:paraId="6BEC8C22" w14:textId="51D2ACFA" w:rsidR="00AC2840" w:rsidRDefault="00AC2840" w:rsidP="009445F4">
      <w:r>
        <w:t>Tax treaty rules often limit the amount of tax that can be imposed on income derived from one treaty jurisdiction by residents of the other treaty jurisdiction. However, an entity which is a resident of a treaty jurisdiction can establish a presence (permanent establishment) in a third, low</w:t>
      </w:r>
      <w:r w:rsidR="00740B66">
        <w:noBreakHyphen/>
      </w:r>
      <w:r>
        <w:t>tax jurisdiction. Where the income is considered to be attributable to that permanent establishment and the treaty jurisdiction where the entity is resident</w:t>
      </w:r>
      <w:r w:rsidRPr="00C66DA6">
        <w:t xml:space="preserve"> </w:t>
      </w:r>
      <w:r>
        <w:t>exempts profits of permanent establishments situated</w:t>
      </w:r>
      <w:r w:rsidRPr="00FA3E1C">
        <w:t xml:space="preserve"> </w:t>
      </w:r>
      <w:r>
        <w:t>in the third jurisdiction, this will result in low or no tax on the income.</w:t>
      </w:r>
    </w:p>
    <w:p w14:paraId="6CC8E005" w14:textId="77777777" w:rsidR="00AC2840" w:rsidRDefault="00AC2840" w:rsidP="009445F4">
      <w:r w:rsidRPr="00FA3E1C">
        <w:t>Article 10</w:t>
      </w:r>
      <w:r w:rsidRPr="002A2DEF">
        <w:t xml:space="preserve"> will</w:t>
      </w:r>
      <w:r w:rsidRPr="00FA3E1C">
        <w:t xml:space="preserve"> insert a new rule that</w:t>
      </w:r>
      <w:r w:rsidRPr="002A2DEF">
        <w:t xml:space="preserve"> allows a treaty jurisdiction to instead impose its domestic rate of tax (rather than </w:t>
      </w:r>
      <w:r>
        <w:t>any</w:t>
      </w:r>
      <w:r w:rsidRPr="002A2DEF">
        <w:t xml:space="preserve"> treaty concessional rates) where</w:t>
      </w:r>
      <w:r>
        <w:t>:</w:t>
      </w:r>
    </w:p>
    <w:p w14:paraId="714720C4" w14:textId="4BD30EEE" w:rsidR="00AC2840" w:rsidRDefault="00AC2840" w:rsidP="009445F4">
      <w:pPr>
        <w:pStyle w:val="Bullet"/>
      </w:pPr>
      <w:r w:rsidRPr="002A2DEF">
        <w:t>the relevant income is attributable to a permanent establishment in a third jurisdiction</w:t>
      </w:r>
      <w:r>
        <w:t>;</w:t>
      </w:r>
    </w:p>
    <w:p w14:paraId="50C0F045" w14:textId="330B1263" w:rsidR="00AC2840" w:rsidRPr="002A2DEF" w:rsidRDefault="00AC2840" w:rsidP="009445F4">
      <w:pPr>
        <w:pStyle w:val="Bullet"/>
      </w:pPr>
      <w:r w:rsidRPr="00821493">
        <w:t xml:space="preserve">the profits of that permanent establishment are exempt from tax in the </w:t>
      </w:r>
      <w:r w:rsidRPr="002A2DEF">
        <w:t>other treaty jurisdiction</w:t>
      </w:r>
      <w:r>
        <w:t>;</w:t>
      </w:r>
    </w:p>
    <w:p w14:paraId="14CE64A8" w14:textId="3B6929C4" w:rsidR="00AC2840" w:rsidRPr="003832A2" w:rsidRDefault="00AC2840" w:rsidP="009445F4">
      <w:pPr>
        <w:pStyle w:val="Bullet"/>
      </w:pPr>
      <w:r w:rsidRPr="003832A2">
        <w:t xml:space="preserve">the tax on that income in the third </w:t>
      </w:r>
      <w:r>
        <w:t>jurisdiction</w:t>
      </w:r>
      <w:r w:rsidRPr="003832A2">
        <w:t xml:space="preserve"> is </w:t>
      </w:r>
      <w:r w:rsidRPr="002A2DEF">
        <w:t>less than 60 per cent of</w:t>
      </w:r>
      <w:r w:rsidRPr="003832A2">
        <w:t xml:space="preserve"> the tax that would have been payable on that same income in the </w:t>
      </w:r>
      <w:r>
        <w:t>other treaty jurisdiction if the permanent establishment was instead situated in that other treaty jurisdiction</w:t>
      </w:r>
      <w:r w:rsidRPr="003832A2">
        <w:t>; and</w:t>
      </w:r>
    </w:p>
    <w:p w14:paraId="4CF82F7D" w14:textId="71EAAB74" w:rsidR="00AC2840" w:rsidRPr="00E874E5" w:rsidRDefault="00AC2840" w:rsidP="009445F4">
      <w:pPr>
        <w:pStyle w:val="Bullet"/>
      </w:pPr>
      <w:r w:rsidRPr="003832A2">
        <w:t xml:space="preserve">the </w:t>
      </w:r>
      <w:r w:rsidRPr="00FA3E1C">
        <w:t xml:space="preserve">income </w:t>
      </w:r>
      <w:r w:rsidRPr="002A2DEF">
        <w:t xml:space="preserve">is not </w:t>
      </w:r>
      <w:r>
        <w:t xml:space="preserve">derived in connection with, or incidental to, the </w:t>
      </w:r>
      <w:r w:rsidRPr="002A2DEF">
        <w:t>active</w:t>
      </w:r>
      <w:r>
        <w:t xml:space="preserve"> conduct of a</w:t>
      </w:r>
      <w:r w:rsidRPr="002A2DEF">
        <w:t xml:space="preserve"> business </w:t>
      </w:r>
      <w:r>
        <w:t>through that permanent establishment in that third jurisdiction.</w:t>
      </w:r>
    </w:p>
    <w:p w14:paraId="68429990" w14:textId="77777777" w:rsidR="00AC2840" w:rsidRPr="003832A2" w:rsidRDefault="00AC2840" w:rsidP="009445F4">
      <w:r w:rsidRPr="002A2DEF">
        <w:t>Article 10 would also permit the competent authority of the relevant tax administration of the country from which the income is derived to nevertheless agree to grant treaty benefits if considered justified.</w:t>
      </w:r>
      <w:r w:rsidRPr="00821493">
        <w:t xml:space="preserve"> </w:t>
      </w:r>
    </w:p>
    <w:p w14:paraId="5E0A0A45" w14:textId="77777777" w:rsidR="00AC2840" w:rsidRPr="002A2DEF" w:rsidRDefault="00AC2840" w:rsidP="009445F4">
      <w:pPr>
        <w:pStyle w:val="Heading3"/>
      </w:pPr>
      <w:r w:rsidRPr="002A2DEF">
        <w:t xml:space="preserve">What are the options? </w:t>
      </w:r>
    </w:p>
    <w:p w14:paraId="4238D48E" w14:textId="77777777" w:rsidR="00AC2840" w:rsidRPr="002A2DEF" w:rsidRDefault="00AC2840" w:rsidP="009445F4">
      <w:pPr>
        <w:rPr>
          <w:i/>
        </w:rPr>
      </w:pPr>
      <w:r w:rsidRPr="002A2DEF">
        <w:t xml:space="preserve">Adopt </w:t>
      </w:r>
      <w:r w:rsidRPr="00387160">
        <w:t xml:space="preserve">Article </w:t>
      </w:r>
      <w:r w:rsidRPr="002A2DEF">
        <w:t xml:space="preserve">10 </w:t>
      </w:r>
      <w:r>
        <w:t>without reservation</w:t>
      </w:r>
      <w:r w:rsidRPr="002A2DEF">
        <w:t xml:space="preserve"> </w:t>
      </w:r>
    </w:p>
    <w:tbl>
      <w:tblPr>
        <w:tblStyle w:val="TableGrid"/>
        <w:tblW w:w="0" w:type="auto"/>
        <w:tblInd w:w="108" w:type="dxa"/>
        <w:tblLook w:val="04A0" w:firstRow="1" w:lastRow="0" w:firstColumn="1" w:lastColumn="0" w:noHBand="0" w:noVBand="1"/>
      </w:tblPr>
      <w:tblGrid>
        <w:gridCol w:w="1134"/>
        <w:gridCol w:w="8044"/>
      </w:tblGrid>
      <w:tr w:rsidR="009445F4" w:rsidRPr="00E33E85" w14:paraId="08B4B27D" w14:textId="77777777" w:rsidTr="009445F4">
        <w:tc>
          <w:tcPr>
            <w:tcW w:w="1134" w:type="dxa"/>
            <w:shd w:val="clear" w:color="auto" w:fill="auto"/>
          </w:tcPr>
          <w:p w14:paraId="464A3C6C" w14:textId="4F58E7DF" w:rsidR="009445F4" w:rsidRPr="00E33E85" w:rsidRDefault="009445F4" w:rsidP="009445F4">
            <w:r w:rsidRPr="002A2DEF">
              <w:rPr>
                <w:szCs w:val="22"/>
              </w:rPr>
              <w:t>1</w:t>
            </w:r>
            <w:r>
              <w:rPr>
                <w:szCs w:val="22"/>
              </w:rPr>
              <w:t>0</w:t>
            </w:r>
            <w:r w:rsidRPr="002A2DEF">
              <w:rPr>
                <w:szCs w:val="22"/>
              </w:rPr>
              <w:t>(5)(a)</w:t>
            </w:r>
          </w:p>
        </w:tc>
        <w:tc>
          <w:tcPr>
            <w:tcW w:w="8044" w:type="dxa"/>
            <w:shd w:val="clear" w:color="auto" w:fill="auto"/>
          </w:tcPr>
          <w:p w14:paraId="28FCE39C" w14:textId="68BDDDD9" w:rsidR="009445F4" w:rsidRPr="00E33E85" w:rsidRDefault="009445F4" w:rsidP="009445F4">
            <w:r w:rsidRPr="00851170">
              <w:t>Do not adopt Article 10 at all (i.e. no change to bilateral treaty rules)</w:t>
            </w:r>
          </w:p>
        </w:tc>
      </w:tr>
      <w:tr w:rsidR="009445F4" w:rsidRPr="00E33E85" w14:paraId="4A3C1DCB" w14:textId="77777777" w:rsidTr="009445F4">
        <w:tc>
          <w:tcPr>
            <w:tcW w:w="1134" w:type="dxa"/>
            <w:shd w:val="clear" w:color="auto" w:fill="auto"/>
          </w:tcPr>
          <w:p w14:paraId="17301E95" w14:textId="34B8D9F1" w:rsidR="009445F4" w:rsidRPr="00E33E85" w:rsidRDefault="009445F4" w:rsidP="009445F4">
            <w:r w:rsidRPr="002A2DEF">
              <w:rPr>
                <w:szCs w:val="22"/>
              </w:rPr>
              <w:t>1</w:t>
            </w:r>
            <w:r>
              <w:rPr>
                <w:szCs w:val="22"/>
              </w:rPr>
              <w:t>0</w:t>
            </w:r>
            <w:r w:rsidRPr="002A2DEF">
              <w:rPr>
                <w:szCs w:val="22"/>
              </w:rPr>
              <w:t>(5)(b)</w:t>
            </w:r>
          </w:p>
        </w:tc>
        <w:tc>
          <w:tcPr>
            <w:tcW w:w="8044" w:type="dxa"/>
            <w:shd w:val="clear" w:color="auto" w:fill="auto"/>
          </w:tcPr>
          <w:p w14:paraId="2C12044F" w14:textId="6A9F4D6B" w:rsidR="009445F4" w:rsidRPr="00E33E85" w:rsidRDefault="009445F4" w:rsidP="009445F4">
            <w:r>
              <w:rPr>
                <w:szCs w:val="22"/>
              </w:rPr>
              <w:t>Adopt Article 10</w:t>
            </w:r>
            <w:r w:rsidRPr="002A2DEF">
              <w:rPr>
                <w:szCs w:val="22"/>
              </w:rPr>
              <w:t xml:space="preserve"> </w:t>
            </w:r>
            <w:r>
              <w:rPr>
                <w:szCs w:val="22"/>
              </w:rPr>
              <w:t>but not for treaties that already contain an equivalent rule</w:t>
            </w:r>
          </w:p>
        </w:tc>
      </w:tr>
      <w:tr w:rsidR="009445F4" w:rsidRPr="00E33E85" w14:paraId="32CF901F" w14:textId="77777777" w:rsidTr="009445F4">
        <w:tc>
          <w:tcPr>
            <w:tcW w:w="1134" w:type="dxa"/>
            <w:shd w:val="clear" w:color="auto" w:fill="auto"/>
          </w:tcPr>
          <w:p w14:paraId="7F4FDF71" w14:textId="33E451FA" w:rsidR="009445F4" w:rsidRPr="00E33E85" w:rsidRDefault="009445F4" w:rsidP="009445F4">
            <w:r w:rsidRPr="002A2DEF">
              <w:rPr>
                <w:szCs w:val="22"/>
              </w:rPr>
              <w:t>1</w:t>
            </w:r>
            <w:r>
              <w:rPr>
                <w:szCs w:val="22"/>
              </w:rPr>
              <w:t>0</w:t>
            </w:r>
            <w:r w:rsidRPr="002A2DEF">
              <w:rPr>
                <w:szCs w:val="22"/>
              </w:rPr>
              <w:t>(5)(c)</w:t>
            </w:r>
          </w:p>
        </w:tc>
        <w:tc>
          <w:tcPr>
            <w:tcW w:w="8044" w:type="dxa"/>
            <w:shd w:val="clear" w:color="auto" w:fill="auto"/>
          </w:tcPr>
          <w:p w14:paraId="363BE511" w14:textId="424527E1" w:rsidR="009445F4" w:rsidRPr="002E08C8" w:rsidRDefault="009445F4" w:rsidP="009445F4">
            <w:r w:rsidRPr="00851170">
              <w:rPr>
                <w:szCs w:val="22"/>
              </w:rPr>
              <w:t xml:space="preserve">Adopt Article 10 but </w:t>
            </w:r>
            <w:r>
              <w:rPr>
                <w:szCs w:val="22"/>
              </w:rPr>
              <w:t>only</w:t>
            </w:r>
            <w:r w:rsidRPr="00851170">
              <w:rPr>
                <w:szCs w:val="22"/>
              </w:rPr>
              <w:t xml:space="preserve"> for treaties that already </w:t>
            </w:r>
            <w:r>
              <w:rPr>
                <w:szCs w:val="22"/>
              </w:rPr>
              <w:t>deny or limit treaty benefits for income attributable to permanent establishments situated in third jurisdictions</w:t>
            </w:r>
          </w:p>
        </w:tc>
      </w:tr>
    </w:tbl>
    <w:p w14:paraId="30665839" w14:textId="67640E46" w:rsidR="00AC2840" w:rsidRPr="002A2DEF" w:rsidRDefault="00AC2840" w:rsidP="009445F4">
      <w:pPr>
        <w:pStyle w:val="Heading3"/>
      </w:pPr>
      <w:r w:rsidRPr="002A2DEF">
        <w:t>Australia</w:t>
      </w:r>
      <w:r w:rsidR="00740B66">
        <w:t>’</w:t>
      </w:r>
      <w:r w:rsidRPr="002A2DEF">
        <w:t>s initial approach to Article 10</w:t>
      </w:r>
    </w:p>
    <w:p w14:paraId="615355BA" w14:textId="6ACA9A6C" w:rsidR="00AC2840" w:rsidRDefault="00AC2840" w:rsidP="009445F4">
      <w:r>
        <w:t>None of Australia</w:t>
      </w:r>
      <w:r w:rsidR="00740B66">
        <w:t>’</w:t>
      </w:r>
      <w:r>
        <w:t>s existing treaties include this rule.</w:t>
      </w:r>
    </w:p>
    <w:p w14:paraId="37FBE135" w14:textId="189F83AB" w:rsidR="009445F4" w:rsidRDefault="00AC2840" w:rsidP="009445F4">
      <w:pPr>
        <w:rPr>
          <w:b/>
        </w:rPr>
      </w:pPr>
      <w:r w:rsidRPr="002A2DEF">
        <w:t>Australia</w:t>
      </w:r>
      <w:r w:rsidR="00740B66">
        <w:t>’</w:t>
      </w:r>
      <w:r w:rsidRPr="002A2DEF">
        <w:t xml:space="preserve">s initial approach would be to not adopt this article </w:t>
      </w:r>
      <w:r w:rsidRPr="002A2DEF">
        <w:rPr>
          <w:szCs w:val="22"/>
        </w:rPr>
        <w:t xml:space="preserve">pending further </w:t>
      </w:r>
      <w:r>
        <w:rPr>
          <w:szCs w:val="22"/>
        </w:rPr>
        <w:t>analysis</w:t>
      </w:r>
      <w:r w:rsidRPr="002A2DEF">
        <w:rPr>
          <w:szCs w:val="22"/>
        </w:rPr>
        <w:t xml:space="preserve"> of its potential impacts</w:t>
      </w:r>
      <w:r>
        <w:rPr>
          <w:szCs w:val="22"/>
        </w:rPr>
        <w:t xml:space="preserve"> in the Australian context</w:t>
      </w:r>
      <w:r w:rsidRPr="002A2DEF">
        <w:rPr>
          <w:szCs w:val="22"/>
        </w:rPr>
        <w:t>.</w:t>
      </w:r>
      <w:r w:rsidRPr="002A2DEF">
        <w:rPr>
          <w:b/>
        </w:rPr>
        <w:t xml:space="preserve"> </w:t>
      </w:r>
      <w:bookmarkStart w:id="95" w:name="_Toc468726805"/>
      <w:bookmarkStart w:id="96" w:name="_Toc468732586"/>
      <w:bookmarkStart w:id="97" w:name="_Toc469328382"/>
      <w:bookmarkStart w:id="98" w:name="_Toc469329037"/>
    </w:p>
    <w:p w14:paraId="6107EEBE" w14:textId="7DD28733" w:rsidR="00AC2840" w:rsidRPr="002A2DEF" w:rsidRDefault="00AC2840" w:rsidP="0008180E">
      <w:pPr>
        <w:pStyle w:val="Heading2"/>
        <w:rPr>
          <w:rStyle w:val="Strong"/>
          <w:rFonts w:ascii="Book Antiqua" w:hAnsi="Book Antiqua" w:cs="Times New Roman"/>
          <w:b/>
          <w:bCs/>
          <w:iCs w:val="0"/>
          <w:smallCaps w:val="0"/>
          <w:color w:val="000000"/>
          <w:sz w:val="22"/>
          <w:szCs w:val="20"/>
        </w:rPr>
      </w:pPr>
      <w:r w:rsidRPr="002A2DEF">
        <w:rPr>
          <w:rStyle w:val="Strong"/>
          <w:b/>
        </w:rPr>
        <w:t>Article 11</w:t>
      </w:r>
      <w:r w:rsidR="00D04E2A">
        <w:rPr>
          <w:rStyle w:val="Strong"/>
          <w:b/>
        </w:rPr>
        <w:t xml:space="preserve"> — </w:t>
      </w:r>
      <w:r w:rsidRPr="002A2DEF">
        <w:rPr>
          <w:rStyle w:val="Strong"/>
          <w:b/>
        </w:rPr>
        <w:t>Application of Tax Agreements to Restrict a Party</w:t>
      </w:r>
      <w:r w:rsidR="00740B66">
        <w:rPr>
          <w:rStyle w:val="Strong"/>
          <w:b/>
        </w:rPr>
        <w:t>’</w:t>
      </w:r>
      <w:r w:rsidRPr="002A2DEF">
        <w:rPr>
          <w:rStyle w:val="Strong"/>
          <w:b/>
        </w:rPr>
        <w:t>s Right to Tax its Own Residents</w:t>
      </w:r>
      <w:bookmarkEnd w:id="95"/>
      <w:bookmarkEnd w:id="96"/>
      <w:bookmarkEnd w:id="97"/>
      <w:bookmarkEnd w:id="98"/>
    </w:p>
    <w:p w14:paraId="4C8483DD" w14:textId="77777777" w:rsidR="00AC2840" w:rsidRPr="003832A2" w:rsidRDefault="00AC2840" w:rsidP="009445F4">
      <w:pPr>
        <w:rPr>
          <w:szCs w:val="22"/>
        </w:rPr>
      </w:pPr>
      <w:r w:rsidRPr="002A2DEF">
        <w:t xml:space="preserve">Article 11 implements recommendations outlined in the BEPS Action 6 (Preventing the Granting of Treaty Benefits in Inappropriate Circumstances) report (see page </w:t>
      </w:r>
      <w:r w:rsidRPr="002A2DEF">
        <w:rPr>
          <w:szCs w:val="22"/>
        </w:rPr>
        <w:t>86</w:t>
      </w:r>
      <w:r w:rsidRPr="002A2DEF">
        <w:t xml:space="preserve"> of that report).</w:t>
      </w:r>
      <w:r w:rsidRPr="009825E6">
        <w:t xml:space="preserve"> </w:t>
      </w:r>
    </w:p>
    <w:p w14:paraId="12C380E4" w14:textId="77777777" w:rsidR="00AC2840" w:rsidRPr="003832A2" w:rsidRDefault="00AC2840" w:rsidP="009445F4">
      <w:pPr>
        <w:pStyle w:val="Heading3"/>
      </w:pPr>
      <w:r w:rsidRPr="003832A2">
        <w:t xml:space="preserve">How does this Article address multinational tax avoidance?  </w:t>
      </w:r>
    </w:p>
    <w:p w14:paraId="713468DE" w14:textId="5D0A67DD" w:rsidR="00AC2840" w:rsidRPr="003832A2" w:rsidRDefault="00AC2840" w:rsidP="009445F4">
      <w:r w:rsidRPr="003832A2">
        <w:t>Most tax treaty rules are intended to restrict a country</w:t>
      </w:r>
      <w:r w:rsidR="00740B66">
        <w:t>’</w:t>
      </w:r>
      <w:r w:rsidRPr="003832A2">
        <w:t xml:space="preserve">s right to tax income derived (from within that country) by foreign residents. </w:t>
      </w:r>
      <w:r>
        <w:t>I</w:t>
      </w:r>
      <w:r w:rsidRPr="003832A2">
        <w:t>t has been argued</w:t>
      </w:r>
      <w:r>
        <w:t>, however,</w:t>
      </w:r>
      <w:r w:rsidRPr="003832A2">
        <w:t xml:space="preserve"> that some treaty rules limit a country</w:t>
      </w:r>
      <w:r w:rsidR="00740B66">
        <w:t>’</w:t>
      </w:r>
      <w:r w:rsidRPr="003832A2">
        <w:t>s right to tax its own residents</w:t>
      </w:r>
      <w:r w:rsidR="00740B66">
        <w:t xml:space="preserve">. </w:t>
      </w:r>
    </w:p>
    <w:p w14:paraId="02A7F5C7" w14:textId="453796DE" w:rsidR="00AC2840" w:rsidRPr="003832A2" w:rsidRDefault="00AC2840" w:rsidP="009445F4">
      <w:r w:rsidRPr="00465274">
        <w:t xml:space="preserve">Article 11 contains a </w:t>
      </w:r>
      <w:r w:rsidR="00740B66">
        <w:t>‘</w:t>
      </w:r>
      <w:r w:rsidRPr="00465274">
        <w:t>saving clause</w:t>
      </w:r>
      <w:r w:rsidR="00740B66">
        <w:t>’</w:t>
      </w:r>
      <w:r w:rsidRPr="00465274">
        <w:t xml:space="preserve"> that </w:t>
      </w:r>
      <w:r w:rsidRPr="002A2DEF">
        <w:t>clarifies that the treaty does not restrict a country</w:t>
      </w:r>
      <w:r w:rsidR="00740B66">
        <w:t>’</w:t>
      </w:r>
      <w:r w:rsidRPr="002A2DEF">
        <w:t xml:space="preserve">s right to tax its own residents, except with respect to </w:t>
      </w:r>
      <w:r w:rsidRPr="00465274">
        <w:t>certain treaty provisions (listed in Article 11(1)(a) to (j)).</w:t>
      </w:r>
    </w:p>
    <w:p w14:paraId="008C80C7" w14:textId="77777777" w:rsidR="00AC2840" w:rsidRDefault="00AC2840" w:rsidP="009445F4">
      <w:pPr>
        <w:pStyle w:val="Heading3"/>
      </w:pPr>
      <w:r w:rsidRPr="00387160">
        <w:t>What are the options?</w:t>
      </w:r>
    </w:p>
    <w:p w14:paraId="29350F97" w14:textId="77777777" w:rsidR="00AC2840" w:rsidRDefault="00AC2840" w:rsidP="009445F4">
      <w:r>
        <w:t>Adopt Article 11 without reservation</w:t>
      </w:r>
    </w:p>
    <w:tbl>
      <w:tblPr>
        <w:tblStyle w:val="TableGrid"/>
        <w:tblW w:w="0" w:type="auto"/>
        <w:tblInd w:w="108" w:type="dxa"/>
        <w:tblLook w:val="04A0" w:firstRow="1" w:lastRow="0" w:firstColumn="1" w:lastColumn="0" w:noHBand="0" w:noVBand="1"/>
      </w:tblPr>
      <w:tblGrid>
        <w:gridCol w:w="1134"/>
        <w:gridCol w:w="8044"/>
      </w:tblGrid>
      <w:tr w:rsidR="009445F4" w:rsidRPr="00E33E85" w14:paraId="24DE8B07" w14:textId="77777777" w:rsidTr="009445F4">
        <w:tc>
          <w:tcPr>
            <w:tcW w:w="1134" w:type="dxa"/>
            <w:shd w:val="clear" w:color="auto" w:fill="auto"/>
          </w:tcPr>
          <w:p w14:paraId="30516940" w14:textId="2238F45C" w:rsidR="009445F4" w:rsidRPr="00E33E85" w:rsidRDefault="009445F4" w:rsidP="009445F4">
            <w:r w:rsidRPr="002A2DEF">
              <w:t>11(3)(a)</w:t>
            </w:r>
          </w:p>
        </w:tc>
        <w:tc>
          <w:tcPr>
            <w:tcW w:w="8044" w:type="dxa"/>
            <w:shd w:val="clear" w:color="auto" w:fill="auto"/>
          </w:tcPr>
          <w:p w14:paraId="3E3F7E56" w14:textId="43B6A259" w:rsidR="009445F4" w:rsidRPr="00E33E85" w:rsidRDefault="009445F4" w:rsidP="009445F4">
            <w:r w:rsidRPr="00465274">
              <w:t>Do not adopt Article 11 at all (i.e. no change to bilateral treaty rules)</w:t>
            </w:r>
          </w:p>
        </w:tc>
      </w:tr>
      <w:tr w:rsidR="009445F4" w:rsidRPr="00E33E85" w14:paraId="48D66881" w14:textId="77777777" w:rsidTr="009445F4">
        <w:tc>
          <w:tcPr>
            <w:tcW w:w="1134" w:type="dxa"/>
            <w:shd w:val="clear" w:color="auto" w:fill="auto"/>
          </w:tcPr>
          <w:p w14:paraId="08884099" w14:textId="7AEA9CC5" w:rsidR="009445F4" w:rsidRPr="00E33E85" w:rsidRDefault="009445F4" w:rsidP="009445F4">
            <w:r w:rsidRPr="002A2DEF">
              <w:t>11(3)(b)</w:t>
            </w:r>
          </w:p>
        </w:tc>
        <w:tc>
          <w:tcPr>
            <w:tcW w:w="8044" w:type="dxa"/>
            <w:shd w:val="clear" w:color="auto" w:fill="auto"/>
          </w:tcPr>
          <w:p w14:paraId="6E22D1C5" w14:textId="6612F515" w:rsidR="009445F4" w:rsidRPr="00E33E85" w:rsidRDefault="009445F4" w:rsidP="009445F4">
            <w:r w:rsidRPr="00465274">
              <w:t xml:space="preserve">Do not adopt Article 11 for treaties that </w:t>
            </w:r>
            <w:r w:rsidRPr="002A2DEF">
              <w:t>already include a saving clause</w:t>
            </w:r>
          </w:p>
        </w:tc>
      </w:tr>
    </w:tbl>
    <w:p w14:paraId="20EB690E" w14:textId="224C5B57" w:rsidR="00AC2840" w:rsidRPr="002A2DEF" w:rsidRDefault="00AC2840" w:rsidP="009445F4">
      <w:pPr>
        <w:pStyle w:val="Heading3"/>
      </w:pPr>
      <w:r w:rsidRPr="002A2DEF">
        <w:t>Australia</w:t>
      </w:r>
      <w:r w:rsidR="00740B66">
        <w:t>’</w:t>
      </w:r>
      <w:r w:rsidRPr="002A2DEF">
        <w:t>s initial approach to Article 11</w:t>
      </w:r>
    </w:p>
    <w:p w14:paraId="022A0FD6" w14:textId="79380C2D" w:rsidR="00AC2840" w:rsidRPr="002A2DEF" w:rsidRDefault="00AC2840" w:rsidP="009445F4">
      <w:pPr>
        <w:rPr>
          <w:rStyle w:val="Strong"/>
          <w:b w:val="0"/>
          <w:color w:val="000000" w:themeColor="text1"/>
          <w:szCs w:val="22"/>
        </w:rPr>
      </w:pPr>
      <w:r w:rsidRPr="002A2DEF">
        <w:rPr>
          <w:rStyle w:val="Strong"/>
          <w:b w:val="0"/>
          <w:color w:val="000000" w:themeColor="text1"/>
          <w:szCs w:val="22"/>
        </w:rPr>
        <w:t>Article 11 codifies a widely accepted principle that is already understood to apply to Australia</w:t>
      </w:r>
      <w:r w:rsidR="00740B66">
        <w:rPr>
          <w:rStyle w:val="Strong"/>
          <w:b w:val="0"/>
          <w:color w:val="000000" w:themeColor="text1"/>
          <w:szCs w:val="22"/>
        </w:rPr>
        <w:t>’</w:t>
      </w:r>
      <w:r w:rsidRPr="002A2DEF">
        <w:rPr>
          <w:rStyle w:val="Strong"/>
          <w:b w:val="0"/>
          <w:color w:val="000000" w:themeColor="text1"/>
          <w:szCs w:val="22"/>
        </w:rPr>
        <w:t xml:space="preserve">s treaties. </w:t>
      </w:r>
      <w:r>
        <w:rPr>
          <w:rStyle w:val="Strong"/>
          <w:b w:val="0"/>
          <w:color w:val="000000" w:themeColor="text1"/>
          <w:szCs w:val="22"/>
        </w:rPr>
        <w:t>A saving clause is included in Article</w:t>
      </w:r>
      <w:r w:rsidR="002F3E62">
        <w:rPr>
          <w:rStyle w:val="Strong"/>
          <w:b w:val="0"/>
          <w:color w:val="000000" w:themeColor="text1"/>
          <w:szCs w:val="22"/>
        </w:rPr>
        <w:t>s</w:t>
      </w:r>
      <w:r>
        <w:rPr>
          <w:rStyle w:val="Strong"/>
          <w:b w:val="0"/>
          <w:color w:val="000000" w:themeColor="text1"/>
          <w:szCs w:val="22"/>
        </w:rPr>
        <w:t xml:space="preserve"> 1(3) and (4) of the 1982 Australia</w:t>
      </w:r>
      <w:r w:rsidR="00740B66">
        <w:rPr>
          <w:rStyle w:val="Strong"/>
          <w:b w:val="0"/>
          <w:color w:val="000000" w:themeColor="text1"/>
          <w:szCs w:val="22"/>
        </w:rPr>
        <w:noBreakHyphen/>
      </w:r>
      <w:r>
        <w:rPr>
          <w:rStyle w:val="Strong"/>
          <w:b w:val="0"/>
          <w:color w:val="000000" w:themeColor="text1"/>
          <w:szCs w:val="22"/>
        </w:rPr>
        <w:t>US treaty.</w:t>
      </w:r>
    </w:p>
    <w:p w14:paraId="6B97FED1" w14:textId="60CFAB6F" w:rsidR="0008180E" w:rsidRDefault="00AC2840" w:rsidP="009445F4">
      <w:pPr>
        <w:rPr>
          <w:rStyle w:val="Strong"/>
          <w:color w:val="000000" w:themeColor="text1"/>
          <w:szCs w:val="22"/>
        </w:rPr>
      </w:pPr>
      <w:r w:rsidRPr="002A2DEF">
        <w:t>Australia</w:t>
      </w:r>
      <w:r w:rsidR="00740B66">
        <w:t>’</w:t>
      </w:r>
      <w:r w:rsidRPr="002A2DEF">
        <w:t>s initial approach is to adopt</w:t>
      </w:r>
      <w:r>
        <w:t xml:space="preserve"> </w:t>
      </w:r>
      <w:r w:rsidRPr="00FE51C5">
        <w:t>Article</w:t>
      </w:r>
      <w:r>
        <w:t xml:space="preserve"> 11 across all of its covered tax agreements</w:t>
      </w:r>
      <w:r w:rsidRPr="00FE51C5">
        <w:t xml:space="preserve"> </w:t>
      </w:r>
      <w:r>
        <w:t>and</w:t>
      </w:r>
      <w:r w:rsidRPr="002A2DEF">
        <w:t xml:space="preserve"> enter</w:t>
      </w:r>
      <w:r>
        <w:t xml:space="preserve"> the</w:t>
      </w:r>
      <w:r w:rsidRPr="002A2DEF">
        <w:t xml:space="preserve"> reservation </w:t>
      </w:r>
      <w:r>
        <w:t>permitted by Article 11(3)(b)</w:t>
      </w:r>
      <w:r w:rsidR="0008180E">
        <w:t>.</w:t>
      </w:r>
    </w:p>
    <w:p w14:paraId="3DB8E3D4" w14:textId="77777777" w:rsidR="0008180E" w:rsidRDefault="0008180E">
      <w:pPr>
        <w:spacing w:after="0" w:line="240" w:lineRule="auto"/>
        <w:jc w:val="left"/>
        <w:rPr>
          <w:rStyle w:val="Strong"/>
          <w:color w:val="000000" w:themeColor="text1"/>
          <w:szCs w:val="22"/>
        </w:rPr>
      </w:pPr>
      <w:r>
        <w:rPr>
          <w:rStyle w:val="Strong"/>
          <w:color w:val="000000" w:themeColor="text1"/>
          <w:szCs w:val="22"/>
        </w:rPr>
        <w:br w:type="page"/>
      </w:r>
    </w:p>
    <w:p w14:paraId="33D61C56" w14:textId="336CB062" w:rsidR="00AC2840" w:rsidRPr="002A2DEF" w:rsidRDefault="00AC2840" w:rsidP="0008180E">
      <w:pPr>
        <w:pStyle w:val="Heading2"/>
        <w:rPr>
          <w:rStyle w:val="Strong"/>
          <w:rFonts w:ascii="Book Antiqua" w:hAnsi="Book Antiqua" w:cs="Times New Roman"/>
          <w:b/>
          <w:bCs/>
          <w:iCs w:val="0"/>
          <w:smallCaps w:val="0"/>
          <w:color w:val="000000"/>
          <w:sz w:val="22"/>
          <w:szCs w:val="20"/>
        </w:rPr>
      </w:pPr>
      <w:bookmarkStart w:id="99" w:name="_Toc468726807"/>
      <w:bookmarkStart w:id="100" w:name="_Toc468732588"/>
      <w:bookmarkStart w:id="101" w:name="_Toc469328383"/>
      <w:bookmarkStart w:id="102" w:name="_Toc469329038"/>
      <w:r w:rsidRPr="002A2DEF">
        <w:rPr>
          <w:rStyle w:val="Strong"/>
          <w:b/>
        </w:rPr>
        <w:t>Article 12</w:t>
      </w:r>
      <w:r w:rsidR="00D04E2A">
        <w:rPr>
          <w:rStyle w:val="Strong"/>
          <w:b/>
        </w:rPr>
        <w:t xml:space="preserve"> — </w:t>
      </w:r>
      <w:r w:rsidRPr="002A2DEF">
        <w:rPr>
          <w:rStyle w:val="Strong"/>
          <w:b/>
        </w:rPr>
        <w:t>Artificial Avoidance of P</w:t>
      </w:r>
      <w:r w:rsidR="00726F24">
        <w:rPr>
          <w:rStyle w:val="Strong"/>
          <w:b/>
        </w:rPr>
        <w:t xml:space="preserve">ermanent </w:t>
      </w:r>
      <w:r w:rsidRPr="002A2DEF">
        <w:rPr>
          <w:rStyle w:val="Strong"/>
          <w:b/>
        </w:rPr>
        <w:t>E</w:t>
      </w:r>
      <w:r w:rsidR="00726F24">
        <w:rPr>
          <w:rStyle w:val="Strong"/>
          <w:b/>
        </w:rPr>
        <w:t>stablishment</w:t>
      </w:r>
      <w:r w:rsidRPr="002A2DEF">
        <w:rPr>
          <w:rStyle w:val="Strong"/>
          <w:b/>
        </w:rPr>
        <w:t xml:space="preserve"> Status through </w:t>
      </w:r>
      <w:proofErr w:type="spellStart"/>
      <w:r w:rsidRPr="00B726F8">
        <w:rPr>
          <w:rStyle w:val="Strong"/>
          <w:b/>
        </w:rPr>
        <w:t>Commission</w:t>
      </w:r>
      <w:r w:rsidR="002E696D">
        <w:rPr>
          <w:rStyle w:val="Strong"/>
          <w:b/>
        </w:rPr>
        <w:t>n</w:t>
      </w:r>
      <w:r w:rsidRPr="00B726F8">
        <w:rPr>
          <w:rStyle w:val="Strong"/>
          <w:b/>
        </w:rPr>
        <w:t>aire</w:t>
      </w:r>
      <w:proofErr w:type="spellEnd"/>
      <w:r w:rsidRPr="002A2DEF">
        <w:rPr>
          <w:rStyle w:val="Strong"/>
          <w:b/>
        </w:rPr>
        <w:t xml:space="preserve"> Arrangements and Similar Strategies</w:t>
      </w:r>
      <w:bookmarkEnd w:id="99"/>
      <w:bookmarkEnd w:id="100"/>
      <w:bookmarkEnd w:id="101"/>
      <w:bookmarkEnd w:id="102"/>
    </w:p>
    <w:p w14:paraId="388B996F" w14:textId="77777777" w:rsidR="00AC2840" w:rsidRPr="003832A2" w:rsidRDefault="00AC2840" w:rsidP="0008180E">
      <w:pPr>
        <w:rPr>
          <w:szCs w:val="22"/>
        </w:rPr>
      </w:pPr>
      <w:r w:rsidRPr="002A2DEF">
        <w:t xml:space="preserve">Article 12 implements recommendations outlined in the BEPS Action </w:t>
      </w:r>
      <w:r w:rsidRPr="002A2DEF">
        <w:rPr>
          <w:szCs w:val="22"/>
        </w:rPr>
        <w:t>7</w:t>
      </w:r>
      <w:r w:rsidRPr="002A2DEF">
        <w:t xml:space="preserve"> (Preventing the Artificial Avoidance of Permanent Establishment </w:t>
      </w:r>
      <w:r w:rsidRPr="002A2DEF">
        <w:rPr>
          <w:szCs w:val="22"/>
        </w:rPr>
        <w:t>Status</w:t>
      </w:r>
      <w:r w:rsidRPr="002A2DEF">
        <w:t>) report (see page 15 of that report).</w:t>
      </w:r>
      <w:r w:rsidRPr="00FE51C5">
        <w:t xml:space="preserve"> </w:t>
      </w:r>
    </w:p>
    <w:p w14:paraId="5E8A1296" w14:textId="77777777" w:rsidR="00AC2840" w:rsidRPr="003832A2" w:rsidRDefault="00AC2840" w:rsidP="0008180E">
      <w:pPr>
        <w:pStyle w:val="Heading3"/>
      </w:pPr>
      <w:r w:rsidRPr="003832A2">
        <w:t xml:space="preserve">How does this Article address multinational tax avoidance?  </w:t>
      </w:r>
    </w:p>
    <w:p w14:paraId="71F7E778" w14:textId="77777777" w:rsidR="00AC2840" w:rsidRDefault="00AC2840" w:rsidP="00100532">
      <w:r w:rsidRPr="00E56606">
        <w:t xml:space="preserve">A Permanent Establishment (PE) is a taxable presence threshold for determining whether or not a country can tax local business profits derived by a foreign resident. Under tax treaties, a </w:t>
      </w:r>
      <w:r>
        <w:t xml:space="preserve">jurisdiction </w:t>
      </w:r>
      <w:r w:rsidRPr="00E56606">
        <w:t xml:space="preserve">can only tax such profits to the extent they are attributable to a PE of the foreign resident located in that </w:t>
      </w:r>
      <w:r>
        <w:t>jurisdiction</w:t>
      </w:r>
      <w:r w:rsidRPr="00E56606">
        <w:t xml:space="preserve">. PE is a defined term in all tax treaties. </w:t>
      </w:r>
    </w:p>
    <w:p w14:paraId="4E77E4C6" w14:textId="77777777" w:rsidR="00AC2840" w:rsidRDefault="00AC2840" w:rsidP="00100532">
      <w:r>
        <w:t>Foreign residents can i</w:t>
      </w:r>
      <w:r w:rsidRPr="003832A2">
        <w:t>nterpos</w:t>
      </w:r>
      <w:r>
        <w:t xml:space="preserve">e </w:t>
      </w:r>
      <w:r w:rsidRPr="003832A2">
        <w:t>agency arrangements</w:t>
      </w:r>
      <w:r>
        <w:t xml:space="preserve"> to artificially </w:t>
      </w:r>
      <w:r w:rsidRPr="003832A2">
        <w:t>avoid creating a PE</w:t>
      </w:r>
      <w:r>
        <w:t xml:space="preserve">, </w:t>
      </w:r>
      <w:r w:rsidRPr="002F2746">
        <w:t>thus preventing the host country from taxing those business profits</w:t>
      </w:r>
      <w:r>
        <w:t xml:space="preserve">. </w:t>
      </w:r>
    </w:p>
    <w:p w14:paraId="68905545" w14:textId="77777777" w:rsidR="00AC2840" w:rsidRDefault="00AC2840" w:rsidP="00100532">
      <w:r w:rsidRPr="002F2746">
        <w:rPr>
          <w:rFonts w:cs="TimesNewRoman"/>
        </w:rPr>
        <w:t xml:space="preserve">Article 12 will ensure that where an intermediary </w:t>
      </w:r>
      <w:r>
        <w:rPr>
          <w:rFonts w:cs="TimesNewRoman"/>
        </w:rPr>
        <w:t xml:space="preserve">habitually concludes contracts or habitually </w:t>
      </w:r>
      <w:r w:rsidRPr="002F2746">
        <w:rPr>
          <w:rFonts w:cs="TimesNewRoman"/>
        </w:rPr>
        <w:t xml:space="preserve">plays the principal role in concluding substantially finalised business contracts in the host country on behalf of a foreign enterprise, that arrangement will be deemed to constitute a PE. </w:t>
      </w:r>
      <w:r>
        <w:t>The article applies to contracts:</w:t>
      </w:r>
    </w:p>
    <w:p w14:paraId="04243400" w14:textId="1B8BB4F3" w:rsidR="00AC2840" w:rsidRDefault="00AC2840" w:rsidP="00100532">
      <w:pPr>
        <w:pStyle w:val="Bullet"/>
      </w:pPr>
      <w:r w:rsidRPr="00821493">
        <w:t>in the name of the foreign resid</w:t>
      </w:r>
      <w:r w:rsidRPr="002A2DEF">
        <w:t xml:space="preserve">ent enterprise, </w:t>
      </w:r>
    </w:p>
    <w:p w14:paraId="7BEBA81B" w14:textId="20DDCE03" w:rsidR="00AC2840" w:rsidRDefault="00AC2840" w:rsidP="00100532">
      <w:pPr>
        <w:pStyle w:val="Bullet"/>
      </w:pPr>
      <w:r w:rsidRPr="00821493">
        <w:t xml:space="preserve">for the transfer of ownership or granting the right to use property owned by the </w:t>
      </w:r>
      <w:r w:rsidRPr="002A2DEF">
        <w:t xml:space="preserve">foreign resident enterprise or which the enterprise has the right to use, or </w:t>
      </w:r>
    </w:p>
    <w:p w14:paraId="1A9D1849" w14:textId="530275C0" w:rsidR="00AC2840" w:rsidRPr="00821493" w:rsidRDefault="00AC2840" w:rsidP="00100532">
      <w:pPr>
        <w:pStyle w:val="Bullet"/>
      </w:pPr>
      <w:r>
        <w:t xml:space="preserve">for </w:t>
      </w:r>
      <w:r w:rsidRPr="00821493">
        <w:t xml:space="preserve">services </w:t>
      </w:r>
      <w:r>
        <w:t>provided by that enterprise.</w:t>
      </w:r>
    </w:p>
    <w:p w14:paraId="17B96165" w14:textId="47EC7FB0" w:rsidR="00AC2840" w:rsidRDefault="00AC2840" w:rsidP="00100532">
      <w:r>
        <w:t xml:space="preserve">Article 12 will also ensure that </w:t>
      </w:r>
      <w:r w:rsidRPr="002F2746">
        <w:t>genuine independent agents operating in the normal course of their business</w:t>
      </w:r>
      <w:r>
        <w:t xml:space="preserve"> will not constitute a PE, provided that the intermediary is not acting exclusively or almost exclusively for a closely related foreign resident enterprise</w:t>
      </w:r>
      <w:r w:rsidR="00D04E2A">
        <w:t xml:space="preserve">. </w:t>
      </w:r>
    </w:p>
    <w:p w14:paraId="3DDA0DFF" w14:textId="77777777" w:rsidR="00AC2840" w:rsidRPr="003832A2" w:rsidRDefault="00AC2840" w:rsidP="00100532">
      <w:pPr>
        <w:pStyle w:val="Heading3"/>
      </w:pPr>
      <w:r w:rsidRPr="003832A2">
        <w:t>What are the options?</w:t>
      </w:r>
    </w:p>
    <w:p w14:paraId="7157D337" w14:textId="77777777" w:rsidR="00AC2840" w:rsidRDefault="00AC2840" w:rsidP="00100532">
      <w:r w:rsidRPr="002A2DEF">
        <w:t>Adopt Article 12 without reservation</w:t>
      </w:r>
    </w:p>
    <w:tbl>
      <w:tblPr>
        <w:tblStyle w:val="TableGrid"/>
        <w:tblW w:w="0" w:type="auto"/>
        <w:tblInd w:w="108" w:type="dxa"/>
        <w:tblLook w:val="04A0" w:firstRow="1" w:lastRow="0" w:firstColumn="1" w:lastColumn="0" w:noHBand="0" w:noVBand="1"/>
      </w:tblPr>
      <w:tblGrid>
        <w:gridCol w:w="1134"/>
        <w:gridCol w:w="8044"/>
      </w:tblGrid>
      <w:tr w:rsidR="00100532" w:rsidRPr="00E33E85" w14:paraId="32E350C1" w14:textId="77777777" w:rsidTr="00100532">
        <w:tc>
          <w:tcPr>
            <w:tcW w:w="1134" w:type="dxa"/>
            <w:shd w:val="clear" w:color="auto" w:fill="auto"/>
          </w:tcPr>
          <w:p w14:paraId="0FF5E514" w14:textId="0CE2C26D" w:rsidR="00100532" w:rsidRPr="00E33E85" w:rsidRDefault="00100532" w:rsidP="00100532">
            <w:r w:rsidRPr="002A2DEF">
              <w:t>12(4)</w:t>
            </w:r>
          </w:p>
        </w:tc>
        <w:tc>
          <w:tcPr>
            <w:tcW w:w="8044" w:type="dxa"/>
            <w:shd w:val="clear" w:color="auto" w:fill="auto"/>
          </w:tcPr>
          <w:p w14:paraId="6761ED8E" w14:textId="0C1F33B4" w:rsidR="00100532" w:rsidRPr="00100532" w:rsidRDefault="00100532" w:rsidP="00100532">
            <w:r w:rsidRPr="00312922">
              <w:t>Do not adopt Article 12 at all (i.e. no change to bilateral treaty rules).</w:t>
            </w:r>
          </w:p>
        </w:tc>
      </w:tr>
    </w:tbl>
    <w:p w14:paraId="57489573" w14:textId="419C87FA" w:rsidR="00AC2840" w:rsidRPr="002A2DEF" w:rsidRDefault="00AC2840" w:rsidP="00100532">
      <w:pPr>
        <w:pStyle w:val="Heading3"/>
      </w:pPr>
      <w:r w:rsidRPr="002A2DEF">
        <w:t>Australia</w:t>
      </w:r>
      <w:r w:rsidR="00740B66">
        <w:t>’</w:t>
      </w:r>
      <w:r w:rsidRPr="002A2DEF">
        <w:t>s initial approach to Article 12</w:t>
      </w:r>
    </w:p>
    <w:p w14:paraId="169A3558" w14:textId="52A71AE1" w:rsidR="00AC2840" w:rsidRPr="002A2DEF" w:rsidRDefault="00AC2840" w:rsidP="00100532">
      <w:r w:rsidRPr="002A2DEF">
        <w:t>Article 12 is consistent with both Australia</w:t>
      </w:r>
      <w:r w:rsidR="00740B66">
        <w:t>’</w:t>
      </w:r>
      <w:r w:rsidRPr="002A2DEF">
        <w:t>s preferred treaty practice of including provisions in its bilateral treaties to ensure that foreign resident enterprises do not artificially avoid creating a PE in Australia and Australia</w:t>
      </w:r>
      <w:r w:rsidR="00740B66">
        <w:t>’</w:t>
      </w:r>
      <w:r w:rsidRPr="002A2DEF">
        <w:t>s Multinational Anti</w:t>
      </w:r>
      <w:r w:rsidR="00740B66">
        <w:noBreakHyphen/>
      </w:r>
      <w:r w:rsidRPr="002A2DEF">
        <w:t>Avoidance Law (MAAL). Article</w:t>
      </w:r>
      <w:r w:rsidR="003A7CA3">
        <w:t>s</w:t>
      </w:r>
      <w:r w:rsidRPr="002A2DEF">
        <w:t xml:space="preserve"> 5(8) and (9) of the 2015 Australia</w:t>
      </w:r>
      <w:r w:rsidR="00740B66">
        <w:noBreakHyphen/>
      </w:r>
      <w:r w:rsidRPr="002A2DEF">
        <w:t>Germany treaty include the Article 12 provisions</w:t>
      </w:r>
      <w:r w:rsidR="00D04E2A">
        <w:t xml:space="preserve">. </w:t>
      </w:r>
    </w:p>
    <w:p w14:paraId="34FD3F45" w14:textId="0C94A67A" w:rsidR="00AC2840" w:rsidRDefault="00AC2840" w:rsidP="00100532">
      <w:r w:rsidRPr="002A2DEF">
        <w:t>On this basis, Australia</w:t>
      </w:r>
      <w:r w:rsidR="00740B66">
        <w:t>’</w:t>
      </w:r>
      <w:r w:rsidRPr="002A2DEF">
        <w:t xml:space="preserve">s initial approach is to adopt </w:t>
      </w:r>
      <w:r w:rsidRPr="009B3186">
        <w:t>Article</w:t>
      </w:r>
      <w:r>
        <w:t xml:space="preserve"> 12</w:t>
      </w:r>
      <w:r w:rsidRPr="009B3186">
        <w:t xml:space="preserve"> </w:t>
      </w:r>
      <w:r w:rsidRPr="002A2DEF">
        <w:t>without reservation</w:t>
      </w:r>
      <w:r>
        <w:t xml:space="preserve"> across its covered tax agreements</w:t>
      </w:r>
      <w:r w:rsidRPr="002A2DEF">
        <w:t>.</w:t>
      </w:r>
    </w:p>
    <w:p w14:paraId="13F30DB2" w14:textId="77777777" w:rsidR="00100532" w:rsidRDefault="00100532" w:rsidP="00132B48">
      <w:pPr>
        <w:jc w:val="left"/>
        <w:rPr>
          <w:b/>
          <w:color w:val="000000" w:themeColor="text1"/>
          <w:szCs w:val="22"/>
        </w:rPr>
      </w:pPr>
    </w:p>
    <w:p w14:paraId="2180C40D" w14:textId="77777777" w:rsidR="00100532" w:rsidRDefault="00100532">
      <w:pPr>
        <w:spacing w:after="0" w:line="240" w:lineRule="auto"/>
        <w:jc w:val="left"/>
        <w:rPr>
          <w:b/>
          <w:color w:val="000000" w:themeColor="text1"/>
          <w:szCs w:val="22"/>
        </w:rPr>
      </w:pPr>
      <w:r>
        <w:rPr>
          <w:b/>
          <w:color w:val="000000" w:themeColor="text1"/>
          <w:szCs w:val="22"/>
        </w:rPr>
        <w:br w:type="page"/>
      </w:r>
    </w:p>
    <w:p w14:paraId="72710CC9" w14:textId="06E52FAB" w:rsidR="00AC2840" w:rsidRPr="00100532" w:rsidRDefault="00AC2840" w:rsidP="00100532">
      <w:pPr>
        <w:pStyle w:val="Heading2"/>
      </w:pPr>
      <w:bookmarkStart w:id="103" w:name="_Toc468726808"/>
      <w:bookmarkStart w:id="104" w:name="_Toc468732589"/>
      <w:bookmarkStart w:id="105" w:name="_Toc469328384"/>
      <w:bookmarkStart w:id="106" w:name="_Toc469329039"/>
      <w:r w:rsidRPr="00100532">
        <w:t>Article 13</w:t>
      </w:r>
      <w:r w:rsidR="00D04E2A" w:rsidRPr="00100532">
        <w:t xml:space="preserve"> — </w:t>
      </w:r>
      <w:r w:rsidRPr="00100532">
        <w:t>Artificial Avoidance of P</w:t>
      </w:r>
      <w:r w:rsidR="002E696D" w:rsidRPr="00100532">
        <w:t xml:space="preserve">ermanent </w:t>
      </w:r>
      <w:r w:rsidRPr="00100532">
        <w:t>E</w:t>
      </w:r>
      <w:r w:rsidR="002E696D" w:rsidRPr="00100532">
        <w:t>stablishment</w:t>
      </w:r>
      <w:r w:rsidR="00134D7C">
        <w:t xml:space="preserve"> </w:t>
      </w:r>
      <w:r w:rsidRPr="00100532">
        <w:t>Status through the Specific Activity Exemptions</w:t>
      </w:r>
      <w:bookmarkEnd w:id="103"/>
      <w:bookmarkEnd w:id="104"/>
      <w:bookmarkEnd w:id="105"/>
      <w:bookmarkEnd w:id="106"/>
    </w:p>
    <w:p w14:paraId="374144D0" w14:textId="77777777" w:rsidR="00AC2840" w:rsidRPr="003832A2" w:rsidRDefault="00AC2840" w:rsidP="00100532">
      <w:r w:rsidRPr="007D75AE">
        <w:t>Article 1</w:t>
      </w:r>
      <w:r>
        <w:t>3</w:t>
      </w:r>
      <w:r w:rsidRPr="007D75AE">
        <w:t xml:space="preserve"> implements recommendations outlined in the BEPS Action 7 (Preventing the </w:t>
      </w:r>
      <w:r>
        <w:t>Artificial Avoidance of Permanent Establishment Status</w:t>
      </w:r>
      <w:r w:rsidRPr="007D75AE">
        <w:t xml:space="preserve">) report (see page </w:t>
      </w:r>
      <w:r>
        <w:t>28</w:t>
      </w:r>
      <w:r w:rsidRPr="007D75AE">
        <w:t xml:space="preserve"> of that report). </w:t>
      </w:r>
    </w:p>
    <w:p w14:paraId="5DF9A8C4" w14:textId="77777777" w:rsidR="00AC2840" w:rsidRPr="003832A2" w:rsidRDefault="00AC2840" w:rsidP="00100532">
      <w:pPr>
        <w:pStyle w:val="Heading3"/>
      </w:pPr>
      <w:r w:rsidRPr="003832A2">
        <w:t xml:space="preserve">How does this Article address multinational tax avoidance?  </w:t>
      </w:r>
    </w:p>
    <w:p w14:paraId="4DCC52CD" w14:textId="77777777" w:rsidR="00AC2840" w:rsidRDefault="00AC2840" w:rsidP="00100532">
      <w:r w:rsidRPr="008B16F4">
        <w:t xml:space="preserve">A Permanent Establishment (PE) is a taxable presence threshold for determining whether or not a country can tax local business profits derived by a foreign resident. Under tax treaties, a jurisdiction can only tax such profits to the extent they are attributable to a PE of the foreign resident located in that jurisdiction. PE is a defined term in all tax treaties. </w:t>
      </w:r>
    </w:p>
    <w:p w14:paraId="32915605" w14:textId="77777777" w:rsidR="00AC2840" w:rsidRPr="003832A2" w:rsidRDefault="00AC2840" w:rsidP="00100532">
      <w:r w:rsidRPr="003832A2">
        <w:t>Most tax treaties include a list of exceptions to</w:t>
      </w:r>
      <w:r>
        <w:t xml:space="preserve"> the</w:t>
      </w:r>
      <w:r w:rsidRPr="003832A2">
        <w:t xml:space="preserve"> PE definition where a place of business is used solely for </w:t>
      </w:r>
      <w:r>
        <w:t xml:space="preserve">the </w:t>
      </w:r>
      <w:r w:rsidRPr="003832A2">
        <w:t>specifically listed activities</w:t>
      </w:r>
      <w:r>
        <w:t xml:space="preserve"> (the specific activity exemptions),</w:t>
      </w:r>
      <w:r w:rsidRPr="003832A2">
        <w:t xml:space="preserve"> such as warehousing or purchasing goods. Enterprises can avoid PE status by miscategorising or fragmenting activities to fall within the listed exceptions.</w:t>
      </w:r>
    </w:p>
    <w:p w14:paraId="0C9DC59A" w14:textId="77777777" w:rsidR="00AC2840" w:rsidRPr="00115B5E" w:rsidRDefault="00AC2840" w:rsidP="00100532">
      <w:r w:rsidRPr="002A2DEF">
        <w:t xml:space="preserve">Article 13 will ensure that the specifically activity exemptions will only apply where the activities are genuinely preparatory or auxiliary in nature. </w:t>
      </w:r>
    </w:p>
    <w:p w14:paraId="1BB258E0" w14:textId="77777777" w:rsidR="00AC2840" w:rsidRDefault="00AC2840" w:rsidP="00100532">
      <w:pPr>
        <w:rPr>
          <w:color w:val="000000" w:themeColor="text1"/>
        </w:rPr>
      </w:pPr>
      <w:r>
        <w:t xml:space="preserve">Article 13 will also </w:t>
      </w:r>
      <w:r w:rsidRPr="00115B5E">
        <w:t>insert</w:t>
      </w:r>
      <w:r>
        <w:t xml:space="preserve"> a rule to prevent fragmentation of activities by a foreign resident enterprise itself or with related entities.</w:t>
      </w:r>
      <w:r>
        <w:rPr>
          <w:color w:val="000000" w:themeColor="text1"/>
        </w:rPr>
        <w:t xml:space="preserve"> The rule will apply where the business activities constitute complementary functions that are part of a cohesive business operation.</w:t>
      </w:r>
    </w:p>
    <w:p w14:paraId="24083822" w14:textId="77777777" w:rsidR="00AC2840" w:rsidRPr="002A2DEF" w:rsidRDefault="00AC2840" w:rsidP="00100532">
      <w:pPr>
        <w:pStyle w:val="Heading3"/>
      </w:pPr>
      <w:r w:rsidRPr="002A2DEF">
        <w:t>What are the options?</w:t>
      </w:r>
    </w:p>
    <w:p w14:paraId="6A5E3103" w14:textId="77777777" w:rsidR="00AC2840" w:rsidRDefault="00AC2840" w:rsidP="00100532">
      <w:r>
        <w:t>Adopt Article 13 and choose whether to adopt Option A or B for specific activity exemptions</w:t>
      </w:r>
    </w:p>
    <w:tbl>
      <w:tblPr>
        <w:tblStyle w:val="TableGrid"/>
        <w:tblW w:w="0" w:type="auto"/>
        <w:tblInd w:w="108" w:type="dxa"/>
        <w:tblLook w:val="04A0" w:firstRow="1" w:lastRow="0" w:firstColumn="1" w:lastColumn="0" w:noHBand="0" w:noVBand="1"/>
      </w:tblPr>
      <w:tblGrid>
        <w:gridCol w:w="1134"/>
        <w:gridCol w:w="8044"/>
      </w:tblGrid>
      <w:tr w:rsidR="00100532" w:rsidRPr="00E33E85" w14:paraId="418EE598" w14:textId="77777777" w:rsidTr="00100532">
        <w:tc>
          <w:tcPr>
            <w:tcW w:w="1134" w:type="dxa"/>
            <w:shd w:val="clear" w:color="auto" w:fill="auto"/>
          </w:tcPr>
          <w:p w14:paraId="63E2FB1C" w14:textId="68B61861" w:rsidR="00100532" w:rsidRPr="00E33E85" w:rsidRDefault="00100532" w:rsidP="00100532">
            <w:r>
              <w:t>13(6)(a)</w:t>
            </w:r>
          </w:p>
        </w:tc>
        <w:tc>
          <w:tcPr>
            <w:tcW w:w="8044" w:type="dxa"/>
            <w:shd w:val="clear" w:color="auto" w:fill="auto"/>
          </w:tcPr>
          <w:p w14:paraId="15C855C3" w14:textId="046EA20F" w:rsidR="00100532" w:rsidRPr="00100532" w:rsidRDefault="00100532" w:rsidP="00100532">
            <w:r w:rsidRPr="002A2DEF">
              <w:t xml:space="preserve">Do not adopt </w:t>
            </w:r>
            <w:r>
              <w:t>Article 13</w:t>
            </w:r>
            <w:r w:rsidRPr="002A2DEF">
              <w:t xml:space="preserve"> at all (i.e. no change to bilateral treaty rules)</w:t>
            </w:r>
          </w:p>
        </w:tc>
      </w:tr>
      <w:tr w:rsidR="00100532" w:rsidRPr="00E33E85" w14:paraId="352A7756" w14:textId="77777777" w:rsidTr="00100532">
        <w:tc>
          <w:tcPr>
            <w:tcW w:w="1134" w:type="dxa"/>
            <w:shd w:val="clear" w:color="auto" w:fill="auto"/>
          </w:tcPr>
          <w:p w14:paraId="6D59DF22" w14:textId="7B1DA906" w:rsidR="00100532" w:rsidRDefault="00100532" w:rsidP="00100532">
            <w:r>
              <w:t>13(1)</w:t>
            </w:r>
          </w:p>
        </w:tc>
        <w:tc>
          <w:tcPr>
            <w:tcW w:w="8044" w:type="dxa"/>
            <w:shd w:val="clear" w:color="auto" w:fill="auto"/>
          </w:tcPr>
          <w:p w14:paraId="2BD212DD" w14:textId="279F5B9F" w:rsidR="00100532" w:rsidRPr="00100532" w:rsidRDefault="00100532" w:rsidP="00100532">
            <w:r>
              <w:t>Adopt either Option A or B or neither option</w:t>
            </w:r>
          </w:p>
        </w:tc>
      </w:tr>
      <w:tr w:rsidR="00100532" w:rsidRPr="00E33E85" w14:paraId="27BCA7DE" w14:textId="77777777" w:rsidTr="00100532">
        <w:tc>
          <w:tcPr>
            <w:tcW w:w="1134" w:type="dxa"/>
            <w:shd w:val="clear" w:color="auto" w:fill="auto"/>
          </w:tcPr>
          <w:p w14:paraId="45AA8700" w14:textId="26D90472" w:rsidR="00100532" w:rsidRDefault="00100532" w:rsidP="00100532">
            <w:r>
              <w:t>13(2)</w:t>
            </w:r>
          </w:p>
        </w:tc>
        <w:tc>
          <w:tcPr>
            <w:tcW w:w="8044" w:type="dxa"/>
            <w:shd w:val="clear" w:color="auto" w:fill="auto"/>
          </w:tcPr>
          <w:p w14:paraId="3A09DEFF" w14:textId="74EF381E" w:rsidR="00100532" w:rsidRPr="00100532" w:rsidRDefault="00100532" w:rsidP="00100532">
            <w:r w:rsidRPr="00D961EE">
              <w:rPr>
                <w:b/>
              </w:rPr>
              <w:t>Option A</w:t>
            </w:r>
            <w:r>
              <w:t xml:space="preserve">: Inserts the requirement that all the specific activity exemptions </w:t>
            </w:r>
            <w:r w:rsidRPr="002A2DEF">
              <w:t xml:space="preserve">must be of a preparatory or auxiliary character </w:t>
            </w:r>
          </w:p>
        </w:tc>
      </w:tr>
      <w:tr w:rsidR="00100532" w:rsidRPr="00E33E85" w14:paraId="3B9DD677" w14:textId="77777777" w:rsidTr="00100532">
        <w:tc>
          <w:tcPr>
            <w:tcW w:w="1134" w:type="dxa"/>
            <w:shd w:val="clear" w:color="auto" w:fill="auto"/>
          </w:tcPr>
          <w:p w14:paraId="26179C1E" w14:textId="6A9F9CE9" w:rsidR="00100532" w:rsidRDefault="00100532" w:rsidP="00100532">
            <w:r>
              <w:t>13(3)</w:t>
            </w:r>
          </w:p>
        </w:tc>
        <w:tc>
          <w:tcPr>
            <w:tcW w:w="8044" w:type="dxa"/>
            <w:shd w:val="clear" w:color="auto" w:fill="auto"/>
          </w:tcPr>
          <w:p w14:paraId="72CCF347" w14:textId="7BEA9F03" w:rsidR="00100532" w:rsidRPr="00100532" w:rsidRDefault="00100532" w:rsidP="00D961EE">
            <w:r w:rsidRPr="00D961EE">
              <w:rPr>
                <w:b/>
              </w:rPr>
              <w:t>Option B</w:t>
            </w:r>
            <w:r w:rsidRPr="002A2DEF">
              <w:t>:</w:t>
            </w:r>
            <w:r w:rsidRPr="003E444F">
              <w:t xml:space="preserve"> Inserts the requirement that</w:t>
            </w:r>
            <w:r>
              <w:t xml:space="preserve"> some but not</w:t>
            </w:r>
            <w:r w:rsidRPr="003E444F">
              <w:t xml:space="preserve"> all the specific activity exemptions must be of a preparatory or auxiliary character</w:t>
            </w:r>
          </w:p>
        </w:tc>
      </w:tr>
      <w:tr w:rsidR="00100532" w:rsidRPr="00E33E85" w14:paraId="6A6F9D5C" w14:textId="77777777" w:rsidTr="00100532">
        <w:tc>
          <w:tcPr>
            <w:tcW w:w="1134" w:type="dxa"/>
            <w:shd w:val="clear" w:color="auto" w:fill="auto"/>
          </w:tcPr>
          <w:p w14:paraId="274C3C08" w14:textId="524D06B3" w:rsidR="00100532" w:rsidRDefault="00100532" w:rsidP="00100532">
            <w:r>
              <w:t>13(</w:t>
            </w:r>
            <w:r w:rsidRPr="00912D50">
              <w:t>6</w:t>
            </w:r>
            <w:r>
              <w:t>)</w:t>
            </w:r>
            <w:r w:rsidRPr="00912D50">
              <w:t>(b)</w:t>
            </w:r>
          </w:p>
        </w:tc>
        <w:tc>
          <w:tcPr>
            <w:tcW w:w="8044" w:type="dxa"/>
            <w:shd w:val="clear" w:color="auto" w:fill="auto"/>
          </w:tcPr>
          <w:p w14:paraId="32A7CCFC" w14:textId="08E28CA0" w:rsidR="00100532" w:rsidRPr="00100532" w:rsidRDefault="00100532" w:rsidP="00100532">
            <w:r w:rsidRPr="00912D50">
              <w:t xml:space="preserve">Choose Option A but </w:t>
            </w:r>
            <w:r>
              <w:t>not for treaties</w:t>
            </w:r>
            <w:r w:rsidRPr="00912D50">
              <w:t xml:space="preserve"> that already explicitly require that each </w:t>
            </w:r>
            <w:r>
              <w:t>specific activity exemption</w:t>
            </w:r>
            <w:r w:rsidRPr="00912D50">
              <w:t xml:space="preserve"> is </w:t>
            </w:r>
            <w:r w:rsidR="00740B66">
              <w:t>‘</w:t>
            </w:r>
            <w:r w:rsidRPr="00912D50">
              <w:t>preparatory or auxiliary</w:t>
            </w:r>
            <w:r w:rsidR="00740B66">
              <w:t>’</w:t>
            </w:r>
          </w:p>
        </w:tc>
      </w:tr>
      <w:tr w:rsidR="00100532" w:rsidRPr="00E33E85" w14:paraId="7B6D2B4B" w14:textId="77777777" w:rsidTr="00100532">
        <w:tc>
          <w:tcPr>
            <w:tcW w:w="1134" w:type="dxa"/>
            <w:shd w:val="clear" w:color="auto" w:fill="auto"/>
          </w:tcPr>
          <w:p w14:paraId="3B7AD926" w14:textId="4C39C4C3" w:rsidR="00100532" w:rsidRDefault="00100532" w:rsidP="00100532">
            <w:r>
              <w:t>13(</w:t>
            </w:r>
            <w:r w:rsidRPr="002A2DEF">
              <w:t>6</w:t>
            </w:r>
            <w:r>
              <w:t>)</w:t>
            </w:r>
            <w:r w:rsidRPr="002A2DEF">
              <w:t>(c)</w:t>
            </w:r>
          </w:p>
        </w:tc>
        <w:tc>
          <w:tcPr>
            <w:tcW w:w="8044" w:type="dxa"/>
            <w:shd w:val="clear" w:color="auto" w:fill="auto"/>
          </w:tcPr>
          <w:p w14:paraId="72E94E49" w14:textId="5BC9EEE2" w:rsidR="00100532" w:rsidRPr="00100532" w:rsidRDefault="00100532" w:rsidP="00100532">
            <w:r w:rsidRPr="002A2DEF">
              <w:t>Do not adopt the anti</w:t>
            </w:r>
            <w:r w:rsidR="00740B66">
              <w:noBreakHyphen/>
            </w:r>
            <w:r w:rsidRPr="002A2DEF">
              <w:t>fragmentation rule.</w:t>
            </w:r>
          </w:p>
        </w:tc>
      </w:tr>
    </w:tbl>
    <w:p w14:paraId="220F090B" w14:textId="191E6216" w:rsidR="00AC2840" w:rsidRPr="002A2DEF" w:rsidRDefault="00AC2840" w:rsidP="00100532">
      <w:pPr>
        <w:pStyle w:val="Heading3"/>
      </w:pPr>
      <w:r w:rsidRPr="002A2DEF">
        <w:t>Australia</w:t>
      </w:r>
      <w:r w:rsidR="00740B66">
        <w:t>’</w:t>
      </w:r>
      <w:r w:rsidRPr="002A2DEF">
        <w:t>s initial approach to Article 13</w:t>
      </w:r>
    </w:p>
    <w:p w14:paraId="35DAB0C1" w14:textId="5CB6B066" w:rsidR="00AC2840" w:rsidRPr="002A2DEF" w:rsidRDefault="00AC2840" w:rsidP="00100532">
      <w:r>
        <w:t>Option A in Article 13 is consistent with Australia</w:t>
      </w:r>
      <w:r w:rsidR="00740B66">
        <w:t>’</w:t>
      </w:r>
      <w:r>
        <w:t>s preferred treaty practice of requiring that all the specific activity exemptions are preparatory or auxiliary in nature and that foreign resident enterprises should not fragment their activities to a avoid creating a PE. Australia</w:t>
      </w:r>
      <w:r w:rsidR="00740B66">
        <w:t>’</w:t>
      </w:r>
      <w:r>
        <w:t>s recent treaties include the preparatory and auxiliary requirement for all</w:t>
      </w:r>
      <w:r w:rsidRPr="00F66B0E">
        <w:t xml:space="preserve"> t</w:t>
      </w:r>
      <w:r>
        <w:t>he specific activity exemptions. Article</w:t>
      </w:r>
      <w:r w:rsidR="002E696D">
        <w:t>s</w:t>
      </w:r>
      <w:r>
        <w:t xml:space="preserve"> 5(6) and (7</w:t>
      </w:r>
      <w:r w:rsidRPr="00F66B0E">
        <w:t>) of the 2015 Australia</w:t>
      </w:r>
      <w:r w:rsidR="00740B66">
        <w:noBreakHyphen/>
      </w:r>
      <w:r w:rsidRPr="00F66B0E">
        <w:t>Germany treaty include the Article 1</w:t>
      </w:r>
      <w:r w:rsidR="002E696D">
        <w:t>3</w:t>
      </w:r>
      <w:r>
        <w:t xml:space="preserve"> Option A and anti</w:t>
      </w:r>
      <w:r w:rsidR="00740B66">
        <w:noBreakHyphen/>
      </w:r>
      <w:r>
        <w:t>fragmentation</w:t>
      </w:r>
      <w:r w:rsidRPr="00F66B0E">
        <w:t xml:space="preserve"> provisions</w:t>
      </w:r>
      <w:r w:rsidR="00D04E2A">
        <w:t xml:space="preserve">. </w:t>
      </w:r>
    </w:p>
    <w:p w14:paraId="21BBBA13" w14:textId="1F2991F7" w:rsidR="00AC2840" w:rsidRPr="002A2DEF" w:rsidRDefault="00AC2840" w:rsidP="00100532">
      <w:r w:rsidRPr="002A2DEF">
        <w:rPr>
          <w:szCs w:val="22"/>
        </w:rPr>
        <w:t>On this basis, Australia</w:t>
      </w:r>
      <w:r w:rsidR="00740B66">
        <w:rPr>
          <w:szCs w:val="22"/>
        </w:rPr>
        <w:t>’</w:t>
      </w:r>
      <w:r w:rsidRPr="002A2DEF">
        <w:rPr>
          <w:szCs w:val="22"/>
        </w:rPr>
        <w:t xml:space="preserve">s initial approach is to adopt </w:t>
      </w:r>
      <w:r w:rsidRPr="002A2DEF">
        <w:t>Option A of Article 13 (and possibly enter the reservation permitted by Article 13(6)(b)), together with the anti</w:t>
      </w:r>
      <w:r w:rsidR="00740B66">
        <w:noBreakHyphen/>
      </w:r>
      <w:r w:rsidRPr="002A2DEF">
        <w:t>fragmentation rule</w:t>
      </w:r>
      <w:r>
        <w:t>,</w:t>
      </w:r>
      <w:r w:rsidRPr="00EC1014">
        <w:t xml:space="preserve"> across its covered tax agreements</w:t>
      </w:r>
      <w:r w:rsidRPr="002A2DEF">
        <w:t>.</w:t>
      </w:r>
    </w:p>
    <w:p w14:paraId="39DE3C33" w14:textId="77777777" w:rsidR="00AC2840" w:rsidRPr="00100532" w:rsidRDefault="00AC2840" w:rsidP="00100532">
      <w:r w:rsidRPr="003832A2">
        <w:rPr>
          <w:rStyle w:val="Strong"/>
          <w:color w:val="365F91" w:themeColor="accent1" w:themeShade="BF"/>
          <w:szCs w:val="22"/>
        </w:rPr>
        <w:br w:type="page"/>
      </w:r>
    </w:p>
    <w:p w14:paraId="1DB84D71" w14:textId="4C3DDFC7" w:rsidR="00AC2840" w:rsidRPr="00100532" w:rsidRDefault="00AC2840" w:rsidP="00D961EE">
      <w:pPr>
        <w:pStyle w:val="Heading2"/>
      </w:pPr>
      <w:bookmarkStart w:id="107" w:name="_Toc468726809"/>
      <w:bookmarkStart w:id="108" w:name="_Toc468732590"/>
      <w:bookmarkStart w:id="109" w:name="_Toc469328385"/>
      <w:bookmarkStart w:id="110" w:name="_Toc469329040"/>
      <w:r w:rsidRPr="00100532">
        <w:t>Article 14</w:t>
      </w:r>
      <w:r w:rsidR="00D04E2A" w:rsidRPr="00100532">
        <w:t xml:space="preserve"> — </w:t>
      </w:r>
      <w:r w:rsidRPr="00100532">
        <w:t>Splitting</w:t>
      </w:r>
      <w:r w:rsidR="00740B66">
        <w:noBreakHyphen/>
      </w:r>
      <w:r w:rsidRPr="00100532">
        <w:t>up of Contracts</w:t>
      </w:r>
      <w:bookmarkEnd w:id="107"/>
      <w:bookmarkEnd w:id="108"/>
      <w:bookmarkEnd w:id="109"/>
      <w:bookmarkEnd w:id="110"/>
    </w:p>
    <w:p w14:paraId="64375591" w14:textId="77777777" w:rsidR="00AC2840" w:rsidRPr="003832A2" w:rsidRDefault="00AC2840" w:rsidP="00100532">
      <w:pPr>
        <w:rPr>
          <w:szCs w:val="22"/>
        </w:rPr>
      </w:pPr>
      <w:r w:rsidRPr="002A2DEF">
        <w:t>Article 14 implements recommendations outlined in the BEPS Action 7 (Preventing the Artificial Avoidance of Permanent Establishment Status) report (see page 42 of that report).</w:t>
      </w:r>
      <w:r w:rsidRPr="00BA071C">
        <w:t xml:space="preserve"> </w:t>
      </w:r>
    </w:p>
    <w:p w14:paraId="39DA8D31" w14:textId="77777777" w:rsidR="00AC2840" w:rsidRPr="003832A2" w:rsidRDefault="00AC2840" w:rsidP="00100532">
      <w:pPr>
        <w:pStyle w:val="Heading3"/>
      </w:pPr>
      <w:r w:rsidRPr="003832A2">
        <w:t xml:space="preserve">How does this Article address multinational tax avoidance?  </w:t>
      </w:r>
    </w:p>
    <w:p w14:paraId="106771C3" w14:textId="77777777" w:rsidR="00AC2840" w:rsidRPr="00BA071C" w:rsidRDefault="00AC2840" w:rsidP="00100532">
      <w:r w:rsidRPr="00BA071C">
        <w:t xml:space="preserve">A Permanent Establishment (PE) is a taxable presence threshold for determining whether or not a country can tax local business profits derived by a foreign resident. Under tax treaties, a jurisdiction can only tax such profits to the extent they are attributable to a PE of the foreign resident located in that jurisdiction. PE is a defined term in all tax treaties. </w:t>
      </w:r>
    </w:p>
    <w:p w14:paraId="6B83FAF6" w14:textId="43F4B964" w:rsidR="00AC2840" w:rsidRDefault="00AC2840" w:rsidP="00100532">
      <w:r>
        <w:t xml:space="preserve">Most tax treaties deem a PE to exist </w:t>
      </w:r>
      <w:r w:rsidRPr="00A77E2B">
        <w:t>in the case of building or construction projects that exceed a specified time period (e.g. 12 months). This rule can be circumvented by dividing contracts into several parts (typically among related parties), with each contract not exceeding the specified time period</w:t>
      </w:r>
      <w:r>
        <w:t xml:space="preserve">. </w:t>
      </w:r>
    </w:p>
    <w:p w14:paraId="413FA741" w14:textId="3B42F229" w:rsidR="00AC2840" w:rsidRDefault="00AC2840" w:rsidP="00100532">
      <w:r>
        <w:t>Article 14 will insert a new anti</w:t>
      </w:r>
      <w:r w:rsidR="00740B66">
        <w:noBreakHyphen/>
      </w:r>
      <w:r>
        <w:t>contract splitting rule which will apply to deemed PE provisions for building sites, construction or installation projects, or supervisory or consultancy activities in connection with such sites or projects. For the purposes of assessing whether the specified time period to constitute a deemed PE has been exceeded,</w:t>
      </w:r>
      <w:r w:rsidDel="00A77E2B">
        <w:t xml:space="preserve"> </w:t>
      </w:r>
      <w:r>
        <w:t>connected activities which are carried on by closely related persons at the same site or project during different periods of time that each exceed 30 days must be added to the aggregate period of time that a foreign resident enterprise has also carried on activities at that site or project</w:t>
      </w:r>
      <w:r w:rsidR="00D04E2A">
        <w:t xml:space="preserve">. </w:t>
      </w:r>
    </w:p>
    <w:p w14:paraId="42003411" w14:textId="44C9884C" w:rsidR="00AC2840" w:rsidRPr="00A95926" w:rsidRDefault="00AC2840" w:rsidP="00100532">
      <w:r>
        <w:t>A</w:t>
      </w:r>
      <w:r w:rsidRPr="00A95926">
        <w:t>rticle</w:t>
      </w:r>
      <w:r>
        <w:t xml:space="preserve"> 14</w:t>
      </w:r>
      <w:r w:rsidRPr="00A95926">
        <w:t xml:space="preserve"> will not affect existing </w:t>
      </w:r>
      <w:r>
        <w:t>treaty</w:t>
      </w:r>
      <w:r w:rsidRPr="00A95926">
        <w:t xml:space="preserve"> anti</w:t>
      </w:r>
      <w:r w:rsidR="00740B66">
        <w:noBreakHyphen/>
      </w:r>
      <w:r>
        <w:t xml:space="preserve">contract </w:t>
      </w:r>
      <w:r w:rsidRPr="00A95926">
        <w:t xml:space="preserve">splitting rules for other </w:t>
      </w:r>
      <w:r>
        <w:t xml:space="preserve">types of deemed PE </w:t>
      </w:r>
      <w:r w:rsidRPr="00A95926">
        <w:t>activities.</w:t>
      </w:r>
    </w:p>
    <w:p w14:paraId="1CDA46A5" w14:textId="77777777" w:rsidR="00AC2840" w:rsidRPr="003832A2" w:rsidRDefault="00AC2840" w:rsidP="00100532">
      <w:pPr>
        <w:pStyle w:val="Heading3"/>
      </w:pPr>
      <w:r w:rsidRPr="003832A2">
        <w:t>What are the options?</w:t>
      </w:r>
    </w:p>
    <w:p w14:paraId="7CD4F2F1" w14:textId="77777777" w:rsidR="00AC2840" w:rsidRDefault="00AC2840" w:rsidP="00100532">
      <w:r w:rsidRPr="00162F3C">
        <w:t xml:space="preserve">Adopt Article 14 </w:t>
      </w:r>
      <w:r w:rsidRPr="002A2DEF">
        <w:t>without reservation</w:t>
      </w:r>
    </w:p>
    <w:tbl>
      <w:tblPr>
        <w:tblStyle w:val="TableGrid"/>
        <w:tblW w:w="0" w:type="auto"/>
        <w:tblInd w:w="108" w:type="dxa"/>
        <w:tblLook w:val="04A0" w:firstRow="1" w:lastRow="0" w:firstColumn="1" w:lastColumn="0" w:noHBand="0" w:noVBand="1"/>
      </w:tblPr>
      <w:tblGrid>
        <w:gridCol w:w="1134"/>
        <w:gridCol w:w="8044"/>
      </w:tblGrid>
      <w:tr w:rsidR="00100532" w:rsidRPr="00E33E85" w14:paraId="0EACE24B" w14:textId="77777777" w:rsidTr="00100532">
        <w:tc>
          <w:tcPr>
            <w:tcW w:w="1134" w:type="dxa"/>
            <w:shd w:val="clear" w:color="auto" w:fill="auto"/>
          </w:tcPr>
          <w:p w14:paraId="3C1715C1" w14:textId="20050123" w:rsidR="00100532" w:rsidRPr="00E33E85" w:rsidRDefault="00100532" w:rsidP="00100532">
            <w:r w:rsidRPr="00162F3C">
              <w:t>14(3)(a)</w:t>
            </w:r>
          </w:p>
        </w:tc>
        <w:tc>
          <w:tcPr>
            <w:tcW w:w="8044" w:type="dxa"/>
            <w:shd w:val="clear" w:color="auto" w:fill="auto"/>
          </w:tcPr>
          <w:p w14:paraId="5CAA5C89" w14:textId="2B3A2EE2" w:rsidR="00100532" w:rsidRPr="00100532" w:rsidRDefault="00100532" w:rsidP="00100532">
            <w:r w:rsidRPr="00162F3C">
              <w:t>Do not adopt Article 14 at all (i.e. no change to bilateral treaty rules).</w:t>
            </w:r>
          </w:p>
        </w:tc>
      </w:tr>
      <w:tr w:rsidR="00100532" w:rsidRPr="00E33E85" w14:paraId="7609979C" w14:textId="77777777" w:rsidTr="00100532">
        <w:tc>
          <w:tcPr>
            <w:tcW w:w="1134" w:type="dxa"/>
            <w:shd w:val="clear" w:color="auto" w:fill="auto"/>
          </w:tcPr>
          <w:p w14:paraId="197207A7" w14:textId="596F38B4" w:rsidR="00100532" w:rsidRDefault="00100532" w:rsidP="00100532">
            <w:r w:rsidRPr="006128C4">
              <w:t>14(3)(b)</w:t>
            </w:r>
          </w:p>
        </w:tc>
        <w:tc>
          <w:tcPr>
            <w:tcW w:w="8044" w:type="dxa"/>
            <w:shd w:val="clear" w:color="auto" w:fill="auto"/>
          </w:tcPr>
          <w:p w14:paraId="469C522E" w14:textId="5F572D66" w:rsidR="00100532" w:rsidRPr="00100532" w:rsidRDefault="00100532" w:rsidP="00100532">
            <w:r w:rsidRPr="006128C4">
              <w:t xml:space="preserve">Adopt Article 14 but </w:t>
            </w:r>
            <w:r w:rsidRPr="002A2DEF">
              <w:rPr>
                <w:szCs w:val="22"/>
              </w:rPr>
              <w:t xml:space="preserve">exclude bilateral treaty rules </w:t>
            </w:r>
            <w:r w:rsidRPr="006128C4">
              <w:t>that deem a PE to exist in relation to exploration for or exp</w:t>
            </w:r>
            <w:r>
              <w:t xml:space="preserve">loitation of natural resources </w:t>
            </w:r>
          </w:p>
        </w:tc>
      </w:tr>
    </w:tbl>
    <w:p w14:paraId="7A8C7C5B" w14:textId="37B2AC40" w:rsidR="00AC2840" w:rsidRPr="002A2DEF" w:rsidRDefault="00AC2840" w:rsidP="00100532">
      <w:pPr>
        <w:pStyle w:val="Heading3"/>
      </w:pPr>
      <w:r w:rsidRPr="002A2DEF">
        <w:t>Australia</w:t>
      </w:r>
      <w:r w:rsidR="00740B66">
        <w:t>’</w:t>
      </w:r>
      <w:r w:rsidRPr="002A2DEF">
        <w:t>s initial approach to Article 14</w:t>
      </w:r>
    </w:p>
    <w:p w14:paraId="7A8BA7EA" w14:textId="01A4E533" w:rsidR="00AC2840" w:rsidRPr="002A2DEF" w:rsidRDefault="00AC2840" w:rsidP="00100532">
      <w:r>
        <w:t>Article 14</w:t>
      </w:r>
      <w:r w:rsidRPr="006128C4">
        <w:t xml:space="preserve"> is consistent with Australia</w:t>
      </w:r>
      <w:r w:rsidR="00740B66">
        <w:t>’</w:t>
      </w:r>
      <w:r w:rsidRPr="006128C4">
        <w:t xml:space="preserve">s preferred treaty practice of including </w:t>
      </w:r>
      <w:r>
        <w:t>anti</w:t>
      </w:r>
      <w:r w:rsidR="00740B66">
        <w:noBreakHyphen/>
      </w:r>
      <w:r>
        <w:t xml:space="preserve">contract splitting </w:t>
      </w:r>
      <w:r w:rsidRPr="006128C4">
        <w:t xml:space="preserve">provisions in its bilateral treaties to </w:t>
      </w:r>
      <w:r>
        <w:t>prevent foreign resident enterprises circumventing deemed PE time thresholds. Australia</w:t>
      </w:r>
      <w:r w:rsidR="00740B66">
        <w:t>’</w:t>
      </w:r>
      <w:r>
        <w:t>s recent treaties include anti</w:t>
      </w:r>
      <w:r w:rsidR="00740B66">
        <w:noBreakHyphen/>
      </w:r>
      <w:r>
        <w:t>contract rules (see, for example, Article 5(6) of the 2009 Australia</w:t>
      </w:r>
      <w:r w:rsidR="00740B66">
        <w:noBreakHyphen/>
      </w:r>
      <w:r>
        <w:t>New Zealand treaty and Article 5(5) of the 2015 Australia</w:t>
      </w:r>
      <w:r w:rsidR="00740B66">
        <w:noBreakHyphen/>
      </w:r>
      <w:r>
        <w:t>Germany treaty) but these rules also apply to other types of deemed PEs with time thresholds</w:t>
      </w:r>
      <w:r w:rsidR="00945362">
        <w:t xml:space="preserve"> (such as natural resource and substantial equipment activities)</w:t>
      </w:r>
      <w:r>
        <w:t>. The Offshore Activities Articles of the 2006 Australia</w:t>
      </w:r>
      <w:r w:rsidR="00740B66">
        <w:noBreakHyphen/>
      </w:r>
      <w:r>
        <w:t>Norway treaty includes an anti</w:t>
      </w:r>
      <w:r w:rsidR="00740B66">
        <w:noBreakHyphen/>
      </w:r>
      <w:r>
        <w:t>contract splitting rule</w:t>
      </w:r>
      <w:r w:rsidR="00D04E2A">
        <w:t xml:space="preserve"> — </w:t>
      </w:r>
      <w:r>
        <w:t>see Article 20(3).</w:t>
      </w:r>
    </w:p>
    <w:p w14:paraId="5AB5BBC2" w14:textId="5ABEA961" w:rsidR="00AC2840" w:rsidRDefault="00AC2840" w:rsidP="00100532">
      <w:r w:rsidRPr="002A2DEF">
        <w:t>On this basis, Australia</w:t>
      </w:r>
      <w:r w:rsidR="00740B66">
        <w:t>’</w:t>
      </w:r>
      <w:r w:rsidRPr="002A2DEF">
        <w:t xml:space="preserve">s initial approach is to adopt </w:t>
      </w:r>
      <w:r w:rsidRPr="00FB4AFC">
        <w:t>Article</w:t>
      </w:r>
      <w:r>
        <w:t xml:space="preserve"> 14 (and possibly </w:t>
      </w:r>
      <w:r w:rsidRPr="00EC1014">
        <w:t>enter the reservation permitted by Article</w:t>
      </w:r>
      <w:r>
        <w:t xml:space="preserve"> 14(3)(b)) </w:t>
      </w:r>
      <w:r w:rsidRPr="00EC1014">
        <w:t>across its covered tax agreements</w:t>
      </w:r>
      <w:r w:rsidRPr="002A2DEF">
        <w:t>.</w:t>
      </w:r>
    </w:p>
    <w:p w14:paraId="0D6F1F72" w14:textId="7B15FFC0" w:rsidR="00100532" w:rsidRDefault="00100532" w:rsidP="00100532">
      <w:r>
        <w:br w:type="page"/>
      </w:r>
    </w:p>
    <w:p w14:paraId="08F0F625" w14:textId="524F212A" w:rsidR="00AC2840" w:rsidRPr="00100532" w:rsidRDefault="00AC2840" w:rsidP="00100532">
      <w:pPr>
        <w:pStyle w:val="Heading2"/>
      </w:pPr>
      <w:bookmarkStart w:id="111" w:name="_Toc468726810"/>
      <w:bookmarkStart w:id="112" w:name="_Toc468732591"/>
      <w:bookmarkStart w:id="113" w:name="_Toc469328386"/>
      <w:bookmarkStart w:id="114" w:name="_Toc469329041"/>
      <w:r w:rsidRPr="00100532">
        <w:t>Article 15</w:t>
      </w:r>
      <w:r w:rsidR="00D04E2A" w:rsidRPr="00100532">
        <w:t xml:space="preserve"> — </w:t>
      </w:r>
      <w:r w:rsidRPr="00100532">
        <w:t>Definition of a Person Closely Related to an Enterprise</w:t>
      </w:r>
      <w:bookmarkEnd w:id="111"/>
      <w:bookmarkEnd w:id="112"/>
      <w:bookmarkEnd w:id="113"/>
      <w:bookmarkEnd w:id="114"/>
    </w:p>
    <w:p w14:paraId="44C220ED" w14:textId="77777777" w:rsidR="00AC2840" w:rsidRPr="003832A2" w:rsidRDefault="00AC2840" w:rsidP="00100532">
      <w:pPr>
        <w:rPr>
          <w:szCs w:val="22"/>
        </w:rPr>
      </w:pPr>
      <w:r w:rsidRPr="002A2DEF">
        <w:t>Article 15 implements recommendations outlined in the BEPS Action 7 (Preventing the Artificial Avoidance of Permanent Establishment Status) report (see page 16 of that report).</w:t>
      </w:r>
      <w:r w:rsidRPr="00131997">
        <w:t xml:space="preserve"> </w:t>
      </w:r>
    </w:p>
    <w:p w14:paraId="66760B7F" w14:textId="77777777" w:rsidR="00AC2840" w:rsidRPr="003832A2" w:rsidRDefault="00AC2840" w:rsidP="00100532">
      <w:pPr>
        <w:pStyle w:val="Heading3"/>
      </w:pPr>
      <w:r w:rsidRPr="003832A2">
        <w:t xml:space="preserve">How does this Article address multinational tax avoidance?  </w:t>
      </w:r>
    </w:p>
    <w:p w14:paraId="59A3FA73" w14:textId="1B4D64D1" w:rsidR="00AC2840" w:rsidRPr="00965AC3" w:rsidRDefault="00AC2840" w:rsidP="00100532">
      <w:r>
        <w:t>A</w:t>
      </w:r>
      <w:r w:rsidRPr="00705EE1">
        <w:t xml:space="preserve">rticle </w:t>
      </w:r>
      <w:r>
        <w:t xml:space="preserve">15 will </w:t>
      </w:r>
      <w:r w:rsidRPr="00705EE1">
        <w:t xml:space="preserve">define </w:t>
      </w:r>
      <w:r>
        <w:t xml:space="preserve">when </w:t>
      </w:r>
      <w:r w:rsidRPr="00705EE1">
        <w:t xml:space="preserve">a person </w:t>
      </w:r>
      <w:r>
        <w:t xml:space="preserve">is </w:t>
      </w:r>
      <w:r w:rsidRPr="00705EE1">
        <w:t xml:space="preserve">closely related to an enterprise </w:t>
      </w:r>
      <w:r>
        <w:t>for the purposes of</w:t>
      </w:r>
      <w:r w:rsidRPr="00705EE1">
        <w:t xml:space="preserve"> Articles</w:t>
      </w:r>
      <w:r>
        <w:t> </w:t>
      </w:r>
      <w:r w:rsidRPr="00705EE1">
        <w:t>12</w:t>
      </w:r>
      <w:r>
        <w:t xml:space="preserve">, 13 and 14 of the MLI. </w:t>
      </w:r>
      <w:r w:rsidRPr="00965AC3">
        <w:t xml:space="preserve">A </w:t>
      </w:r>
      <w:r w:rsidRPr="002A2DEF">
        <w:t xml:space="preserve">person </w:t>
      </w:r>
      <w:r>
        <w:t>is</w:t>
      </w:r>
      <w:r w:rsidR="004646A1">
        <w:t xml:space="preserve"> </w:t>
      </w:r>
      <w:r w:rsidR="004F393C">
        <w:t>consider</w:t>
      </w:r>
      <w:r w:rsidR="004646A1">
        <w:t>ed to be</w:t>
      </w:r>
      <w:r>
        <w:t xml:space="preserve"> closely related to an </w:t>
      </w:r>
      <w:r w:rsidRPr="002A2DEF">
        <w:t xml:space="preserve">enterprise </w:t>
      </w:r>
      <w:r>
        <w:t xml:space="preserve">if, </w:t>
      </w:r>
      <w:r w:rsidRPr="00965AC3">
        <w:t>based on all the relevant facts and circumstances:</w:t>
      </w:r>
    </w:p>
    <w:p w14:paraId="02CBFC87" w14:textId="7D1C8876" w:rsidR="00AC2840" w:rsidRPr="00821493" w:rsidRDefault="00AC2840" w:rsidP="00100532">
      <w:pPr>
        <w:pStyle w:val="Bullet"/>
      </w:pPr>
      <w:r w:rsidRPr="00821493">
        <w:t xml:space="preserve">one </w:t>
      </w:r>
      <w:r w:rsidRPr="002A2DEF">
        <w:t xml:space="preserve">has control of the other,  </w:t>
      </w:r>
    </w:p>
    <w:p w14:paraId="66A365FC" w14:textId="30805B18" w:rsidR="00AC2840" w:rsidRPr="00821493" w:rsidRDefault="00AC2840" w:rsidP="00100532">
      <w:pPr>
        <w:pStyle w:val="Bullet"/>
      </w:pPr>
      <w:r w:rsidRPr="002A2DEF">
        <w:t>both are under the control of the same persons or enterprise,</w:t>
      </w:r>
    </w:p>
    <w:p w14:paraId="258C756E" w14:textId="1DF18BA1" w:rsidR="00AC2840" w:rsidRPr="002A2DEF" w:rsidRDefault="00AC2840" w:rsidP="00100532">
      <w:pPr>
        <w:pStyle w:val="Bullet"/>
      </w:pPr>
      <w:r w:rsidRPr="002A2DEF">
        <w:t>one person</w:t>
      </w:r>
      <w:r w:rsidRPr="00821493">
        <w:t xml:space="preserve"> </w:t>
      </w:r>
      <w:r w:rsidRPr="002A2DEF">
        <w:t>possesses directly or indirectly more than 50 per cent of the beneficial interest in the other (or, in the case of a company, the aggregate vote  and value of the company</w:t>
      </w:r>
      <w:r w:rsidR="00740B66">
        <w:t>’</w:t>
      </w:r>
      <w:r w:rsidRPr="002A2DEF">
        <w:t>s shares or of the beneficial equity in the company), or</w:t>
      </w:r>
    </w:p>
    <w:p w14:paraId="1881B143" w14:textId="7BC78CC7" w:rsidR="00AC2840" w:rsidRDefault="00AC2840" w:rsidP="00100532">
      <w:pPr>
        <w:pStyle w:val="Bullet"/>
      </w:pPr>
      <w:r w:rsidRPr="002A2DEF">
        <w:t>if another person</w:t>
      </w:r>
      <w:r w:rsidRPr="00821493">
        <w:t xml:space="preserve"> possesses</w:t>
      </w:r>
      <w:r w:rsidRPr="002A2DEF">
        <w:t xml:space="preserve"> directly or indirectly more than 50 per cent of the beneficial interest (or, in the case of a company, the aggregate vote  and value of the company</w:t>
      </w:r>
      <w:r w:rsidR="00740B66">
        <w:t>’</w:t>
      </w:r>
      <w:r w:rsidRPr="002A2DEF">
        <w:t>s shares or of the beneficial equity in the company) in the person and the enterprise.</w:t>
      </w:r>
    </w:p>
    <w:p w14:paraId="427A28F0" w14:textId="77777777" w:rsidR="00AC2840" w:rsidRPr="003832A2" w:rsidRDefault="00AC2840" w:rsidP="00100532">
      <w:pPr>
        <w:pStyle w:val="Heading3"/>
      </w:pPr>
      <w:r w:rsidRPr="003832A2">
        <w:t xml:space="preserve">What are the options? </w:t>
      </w:r>
    </w:p>
    <w:p w14:paraId="6381519B" w14:textId="77777777" w:rsidR="00AC2840" w:rsidRDefault="00AC2840" w:rsidP="00100532">
      <w:r w:rsidRPr="00A02231">
        <w:t xml:space="preserve">Adopt Article 15 </w:t>
      </w:r>
      <w:r w:rsidRPr="002A2DEF">
        <w:t>without reservation</w:t>
      </w:r>
    </w:p>
    <w:tbl>
      <w:tblPr>
        <w:tblStyle w:val="TableGrid"/>
        <w:tblW w:w="0" w:type="auto"/>
        <w:tblInd w:w="108" w:type="dxa"/>
        <w:tblLook w:val="04A0" w:firstRow="1" w:lastRow="0" w:firstColumn="1" w:lastColumn="0" w:noHBand="0" w:noVBand="1"/>
      </w:tblPr>
      <w:tblGrid>
        <w:gridCol w:w="1134"/>
        <w:gridCol w:w="8044"/>
      </w:tblGrid>
      <w:tr w:rsidR="00100532" w:rsidRPr="00E33E85" w14:paraId="121B37CB" w14:textId="77777777" w:rsidTr="00100532">
        <w:tc>
          <w:tcPr>
            <w:tcW w:w="1134" w:type="dxa"/>
            <w:shd w:val="clear" w:color="auto" w:fill="auto"/>
          </w:tcPr>
          <w:p w14:paraId="628029FD" w14:textId="761B5BF3" w:rsidR="00100532" w:rsidRPr="00E33E85" w:rsidRDefault="00100532" w:rsidP="00774CDF">
            <w:r>
              <w:t>15(2)</w:t>
            </w:r>
          </w:p>
        </w:tc>
        <w:tc>
          <w:tcPr>
            <w:tcW w:w="8044" w:type="dxa"/>
            <w:shd w:val="clear" w:color="auto" w:fill="auto"/>
          </w:tcPr>
          <w:p w14:paraId="69D7AD2B" w14:textId="1F417D7E" w:rsidR="00100532" w:rsidRPr="00100532" w:rsidRDefault="00100532" w:rsidP="00774CDF">
            <w:r w:rsidRPr="003832A2">
              <w:t xml:space="preserve">Do not adopt Article 15 at all </w:t>
            </w:r>
            <w:r>
              <w:t>if the Party has entered reservations under</w:t>
            </w:r>
            <w:r w:rsidRPr="003832A2">
              <w:t xml:space="preserve"> Articles 12</w:t>
            </w:r>
            <w:r>
              <w:t>(4)</w:t>
            </w:r>
            <w:r w:rsidRPr="003832A2">
              <w:t>, 13</w:t>
            </w:r>
            <w:r>
              <w:t>(6)(a) or (c)</w:t>
            </w:r>
            <w:r w:rsidRPr="003832A2">
              <w:t xml:space="preserve"> and 14</w:t>
            </w:r>
            <w:r>
              <w:t>(3)(a</w:t>
            </w:r>
            <w:r w:rsidRPr="003832A2">
              <w:t>)</w:t>
            </w:r>
            <w:r>
              <w:t xml:space="preserve"> (and the definition is therefore not needed)</w:t>
            </w:r>
          </w:p>
        </w:tc>
      </w:tr>
    </w:tbl>
    <w:p w14:paraId="5F1BAB31" w14:textId="481FEFB3" w:rsidR="00AC2840" w:rsidRPr="002A2DEF" w:rsidRDefault="00AC2840" w:rsidP="00774CDF">
      <w:pPr>
        <w:pStyle w:val="Heading3"/>
      </w:pPr>
      <w:r w:rsidRPr="002A2DEF">
        <w:t>Australia</w:t>
      </w:r>
      <w:r w:rsidR="00740B66">
        <w:t>’</w:t>
      </w:r>
      <w:r w:rsidRPr="002A2DEF">
        <w:t xml:space="preserve">s initial approach to Article </w:t>
      </w:r>
      <w:r w:rsidR="00CD6572">
        <w:t>15</w:t>
      </w:r>
    </w:p>
    <w:p w14:paraId="43836CAA" w14:textId="6CF6AF9D" w:rsidR="00AC2840" w:rsidRPr="002A2DEF" w:rsidRDefault="00AC2840" w:rsidP="00774CDF">
      <w:r w:rsidRPr="00F32123">
        <w:t>Article 15 is</w:t>
      </w:r>
      <w:r w:rsidRPr="002A2DEF">
        <w:t xml:space="preserve"> necessary for the coherent operation of Articles 12, 13 and 14. </w:t>
      </w:r>
      <w:r w:rsidRPr="00F32123">
        <w:t xml:space="preserve">Article 5(10) of the 2015 </w:t>
      </w:r>
      <w:r w:rsidRPr="002A2DEF">
        <w:t>Australia</w:t>
      </w:r>
      <w:r w:rsidR="00740B66">
        <w:noBreakHyphen/>
      </w:r>
      <w:r w:rsidRPr="002A2DEF">
        <w:t>Germany treaty</w:t>
      </w:r>
      <w:r>
        <w:t xml:space="preserve"> includes</w:t>
      </w:r>
      <w:r w:rsidRPr="00F32123">
        <w:t xml:space="preserve"> this definition</w:t>
      </w:r>
      <w:r w:rsidRPr="002A2DEF">
        <w:t>.</w:t>
      </w:r>
    </w:p>
    <w:p w14:paraId="23EC84E2" w14:textId="5F523417" w:rsidR="00AC2840" w:rsidRDefault="00AC2840" w:rsidP="00774CDF">
      <w:r w:rsidRPr="002A2DEF">
        <w:t>On this basis, Australia</w:t>
      </w:r>
      <w:r w:rsidR="00740B66">
        <w:t>’</w:t>
      </w:r>
      <w:r w:rsidRPr="002A2DEF">
        <w:t xml:space="preserve">s initial approach is to adopt </w:t>
      </w:r>
      <w:r w:rsidRPr="00804093">
        <w:t xml:space="preserve">Article </w:t>
      </w:r>
      <w:r>
        <w:t xml:space="preserve">15 </w:t>
      </w:r>
      <w:r w:rsidRPr="002A2DEF">
        <w:t>without reservation</w:t>
      </w:r>
      <w:r>
        <w:t xml:space="preserve"> </w:t>
      </w:r>
      <w:r w:rsidRPr="00F32123">
        <w:t>across its covered tax agreements</w:t>
      </w:r>
      <w:r w:rsidR="007C2119">
        <w:t xml:space="preserve"> if Articles 12, 13 or 14 are also adopted</w:t>
      </w:r>
      <w:r w:rsidRPr="002A2DEF">
        <w:t>.</w:t>
      </w:r>
    </w:p>
    <w:p w14:paraId="722B0F87" w14:textId="78FFA374" w:rsidR="00774CDF" w:rsidRDefault="00774CDF" w:rsidP="00774CDF">
      <w:r>
        <w:br w:type="page"/>
      </w:r>
    </w:p>
    <w:p w14:paraId="43B2A4BF" w14:textId="4FCC9BFA" w:rsidR="00AC2840" w:rsidRPr="00774CDF" w:rsidRDefault="00AC2840" w:rsidP="00774CDF">
      <w:pPr>
        <w:pStyle w:val="Heading2"/>
      </w:pPr>
      <w:bookmarkStart w:id="115" w:name="_Toc468726811"/>
      <w:bookmarkStart w:id="116" w:name="_Toc468732592"/>
      <w:bookmarkStart w:id="117" w:name="_Toc469328387"/>
      <w:bookmarkStart w:id="118" w:name="_Toc469329042"/>
      <w:r w:rsidRPr="00774CDF">
        <w:t>Article 16</w:t>
      </w:r>
      <w:r w:rsidR="00D04E2A" w:rsidRPr="00774CDF">
        <w:t xml:space="preserve"> — </w:t>
      </w:r>
      <w:r w:rsidRPr="00774CDF">
        <w:t>Mutual Agreement Procedure</w:t>
      </w:r>
      <w:bookmarkEnd w:id="115"/>
      <w:bookmarkEnd w:id="116"/>
      <w:bookmarkEnd w:id="117"/>
      <w:bookmarkEnd w:id="118"/>
    </w:p>
    <w:p w14:paraId="5AAFE207" w14:textId="275A6384" w:rsidR="00AC2840" w:rsidRPr="003832A2" w:rsidRDefault="00AC2840" w:rsidP="00774CDF">
      <w:pPr>
        <w:rPr>
          <w:szCs w:val="22"/>
        </w:rPr>
      </w:pPr>
      <w:r w:rsidRPr="002A2DEF">
        <w:t>Article 16 implements recommendations outlined in the BEPS Action 14 (Making Dispute Resolution Mechanisms More Effective) report (see page 13 of that report).</w:t>
      </w:r>
      <w:r w:rsidRPr="00907B4F">
        <w:t xml:space="preserve"> </w:t>
      </w:r>
    </w:p>
    <w:p w14:paraId="287F081A" w14:textId="77777777" w:rsidR="00AC2840" w:rsidRPr="003832A2" w:rsidRDefault="00AC2840" w:rsidP="00774CDF">
      <w:pPr>
        <w:pStyle w:val="Heading3"/>
      </w:pPr>
      <w:r w:rsidRPr="003832A2">
        <w:t xml:space="preserve">How </w:t>
      </w:r>
      <w:r>
        <w:t>will</w:t>
      </w:r>
      <w:r w:rsidRPr="003832A2">
        <w:t xml:space="preserve"> this Article </w:t>
      </w:r>
      <w:r>
        <w:t>make dispute resolution mechanisms more effective?</w:t>
      </w:r>
      <w:r w:rsidRPr="003832A2">
        <w:t xml:space="preserve">  </w:t>
      </w:r>
    </w:p>
    <w:p w14:paraId="2C6693F4" w14:textId="20FCAB46" w:rsidR="00AC2840" w:rsidRDefault="00AC2840" w:rsidP="00774CDF">
      <w:r>
        <w:t>Article 16 is broadly designed to</w:t>
      </w:r>
      <w:r w:rsidRPr="008371BE">
        <w:t xml:space="preserve"> provide business with a more effective tax</w:t>
      </w:r>
      <w:r w:rsidR="00740B66">
        <w:noBreakHyphen/>
      </w:r>
      <w:r w:rsidRPr="008371BE">
        <w:t xml:space="preserve">treaty based dispute resolution procedure so that </w:t>
      </w:r>
      <w:r>
        <w:t>actions to counter BEPS do</w:t>
      </w:r>
      <w:r w:rsidRPr="008371BE">
        <w:t xml:space="preserve"> not inadvertently lead to double taxation.</w:t>
      </w:r>
      <w:r>
        <w:t xml:space="preserve"> The article aims to ensure</w:t>
      </w:r>
      <w:r w:rsidRPr="00772DAB">
        <w:t xml:space="preserve"> the consistent and proper implementation of tax treaties, including the effective and timely resolution of disputes regarding their interpretation or application through the mutual agreement procedure</w:t>
      </w:r>
      <w:r>
        <w:t xml:space="preserve"> (MAP)</w:t>
      </w:r>
      <w:r w:rsidRPr="00772DAB">
        <w:t>.</w:t>
      </w:r>
      <w:r>
        <w:t xml:space="preserve"> </w:t>
      </w:r>
    </w:p>
    <w:p w14:paraId="7646CE8E" w14:textId="77777777" w:rsidR="00AC2840" w:rsidRPr="003832A2" w:rsidRDefault="00AC2840" w:rsidP="00774CDF">
      <w:pPr>
        <w:rPr>
          <w:iCs/>
          <w:lang w:eastAsia="en-GB"/>
        </w:rPr>
      </w:pPr>
      <w:r>
        <w:t xml:space="preserve">Specifically, Article 16 will modify MAP rules in existing treaties to: </w:t>
      </w:r>
    </w:p>
    <w:p w14:paraId="156F1267" w14:textId="3EF131D5" w:rsidR="00AC2840" w:rsidRPr="002A2DEF" w:rsidRDefault="00AC2840" w:rsidP="00774CDF">
      <w:pPr>
        <w:pStyle w:val="Bullet"/>
      </w:pPr>
      <w:r w:rsidRPr="00907B4F">
        <w:t xml:space="preserve">allow </w:t>
      </w:r>
      <w:r w:rsidRPr="002A2DEF">
        <w:t>taxpayers</w:t>
      </w:r>
      <w:r>
        <w:t xml:space="preserve"> the option</w:t>
      </w:r>
      <w:r w:rsidRPr="002A2DEF">
        <w:t xml:space="preserve"> to </w:t>
      </w:r>
      <w:r>
        <w:t>present</w:t>
      </w:r>
      <w:r w:rsidRPr="002A2DEF">
        <w:t xml:space="preserve"> a case </w:t>
      </w:r>
      <w:r>
        <w:t>to the competent authority (CA) of</w:t>
      </w:r>
      <w:r w:rsidRPr="002A2DEF">
        <w:t xml:space="preserve"> either treaty jurisdiction if the taxpayer believes they are not/will not be taxed in accordance with </w:t>
      </w:r>
      <w:r>
        <w:t>terms</w:t>
      </w:r>
      <w:r w:rsidRPr="002A2DEF">
        <w:t xml:space="preserve"> of the treaty, irrespective of </w:t>
      </w:r>
      <w:r>
        <w:t>any</w:t>
      </w:r>
      <w:r w:rsidRPr="002A2DEF">
        <w:t xml:space="preserve"> domestic law</w:t>
      </w:r>
      <w:r>
        <w:t xml:space="preserve"> remedies (Article 16(1));</w:t>
      </w:r>
    </w:p>
    <w:p w14:paraId="6121B3C9" w14:textId="281E6064" w:rsidR="00AC2840" w:rsidRPr="002A2DEF" w:rsidRDefault="00AC2840" w:rsidP="00774CDF">
      <w:pPr>
        <w:pStyle w:val="Bullet"/>
      </w:pPr>
      <w:r w:rsidRPr="00907B4F">
        <w:t xml:space="preserve">require </w:t>
      </w:r>
      <w:r w:rsidRPr="002A2DEF">
        <w:t>taxpayers to request MAP assistance within three years from the first notification of the action resulting in taxation not in accordance with the treaty</w:t>
      </w:r>
      <w:r>
        <w:t xml:space="preserve"> </w:t>
      </w:r>
      <w:r w:rsidRPr="005A04E2">
        <w:t>(Article 16(1))</w:t>
      </w:r>
      <w:r>
        <w:t>;</w:t>
      </w:r>
      <w:r w:rsidRPr="002A2DEF">
        <w:t xml:space="preserve"> </w:t>
      </w:r>
    </w:p>
    <w:p w14:paraId="64FB12F7" w14:textId="58C42675" w:rsidR="00AC2840" w:rsidRPr="002A2DEF" w:rsidRDefault="00AC2840" w:rsidP="00774CDF">
      <w:pPr>
        <w:pStyle w:val="Bullet"/>
      </w:pPr>
      <w:r w:rsidRPr="00907B4F">
        <w:t xml:space="preserve">require </w:t>
      </w:r>
      <w:r w:rsidRPr="002A2DEF">
        <w:t>the respective CAs</w:t>
      </w:r>
      <w:r>
        <w:t xml:space="preserve"> </w:t>
      </w:r>
      <w:r w:rsidRPr="000E6DA6">
        <w:t>(if the objection appears to be justified</w:t>
      </w:r>
      <w:r>
        <w:t xml:space="preserve"> and the CA to which the case was presented</w:t>
      </w:r>
      <w:r w:rsidRPr="00834364">
        <w:t xml:space="preserve"> is unable to arrive at a satisfactory solution</w:t>
      </w:r>
      <w:r>
        <w:t xml:space="preserve"> itself</w:t>
      </w:r>
      <w:r w:rsidRPr="000E6DA6">
        <w:t>)</w:t>
      </w:r>
      <w:r w:rsidRPr="002A2DEF">
        <w:t xml:space="preserve"> to endeavour to resolve the case by mutual agreement and to implement any resulting agreement notwithstanding </w:t>
      </w:r>
      <w:r>
        <w:t xml:space="preserve">any </w:t>
      </w:r>
      <w:r w:rsidRPr="002A2DEF">
        <w:t>time limits in the domestic law</w:t>
      </w:r>
      <w:r>
        <w:t xml:space="preserve"> </w:t>
      </w:r>
      <w:r w:rsidRPr="005A04E2">
        <w:t>(Ar</w:t>
      </w:r>
      <w:r>
        <w:t>ticle 16(2</w:t>
      </w:r>
      <w:r w:rsidRPr="005A04E2">
        <w:t>))</w:t>
      </w:r>
      <w:r>
        <w:t>;  and</w:t>
      </w:r>
    </w:p>
    <w:p w14:paraId="1DFC71B2" w14:textId="68772C8B" w:rsidR="000A208A" w:rsidRPr="00774CDF" w:rsidRDefault="00AC2840" w:rsidP="00774CDF">
      <w:pPr>
        <w:pStyle w:val="Bullet"/>
      </w:pPr>
      <w:r w:rsidRPr="00774CDF">
        <w:t>require the respective CAs to endeavour to resolve by mutual agreement any difficulties or doubts arising as to the interpretation or application of the treaty and allow the CAs to consult for the elimination of double taxation in cases not provided for in the treaty (Article 16(3)).</w:t>
      </w:r>
    </w:p>
    <w:p w14:paraId="771456B9" w14:textId="77777777" w:rsidR="00AC2840" w:rsidRPr="003832A2" w:rsidRDefault="00AC2840" w:rsidP="00774CDF">
      <w:pPr>
        <w:pStyle w:val="Heading3"/>
      </w:pPr>
      <w:r w:rsidRPr="003832A2">
        <w:t>What are the options?</w:t>
      </w:r>
    </w:p>
    <w:p w14:paraId="624FFE9A" w14:textId="77777777" w:rsidR="00AC2840" w:rsidRDefault="00AC2840" w:rsidP="00774CDF">
      <w:r w:rsidRPr="003832A2">
        <w:t>A</w:t>
      </w:r>
      <w:r>
        <w:t>dopt Article 16 without reservation</w:t>
      </w:r>
    </w:p>
    <w:tbl>
      <w:tblPr>
        <w:tblStyle w:val="TableGrid"/>
        <w:tblW w:w="0" w:type="auto"/>
        <w:tblInd w:w="108" w:type="dxa"/>
        <w:tblLook w:val="04A0" w:firstRow="1" w:lastRow="0" w:firstColumn="1" w:lastColumn="0" w:noHBand="0" w:noVBand="1"/>
      </w:tblPr>
      <w:tblGrid>
        <w:gridCol w:w="1134"/>
        <w:gridCol w:w="8044"/>
      </w:tblGrid>
      <w:tr w:rsidR="00774CDF" w:rsidRPr="00E33E85" w14:paraId="6EBE514C" w14:textId="77777777" w:rsidTr="00AE1FAD">
        <w:tc>
          <w:tcPr>
            <w:tcW w:w="1134" w:type="dxa"/>
            <w:shd w:val="clear" w:color="auto" w:fill="auto"/>
          </w:tcPr>
          <w:p w14:paraId="3E4F2BCF" w14:textId="41EBBFC0" w:rsidR="00774CDF" w:rsidRPr="00E33E85" w:rsidRDefault="00774CDF" w:rsidP="00AE1FAD">
            <w:r>
              <w:rPr>
                <w:szCs w:val="22"/>
              </w:rPr>
              <w:t>16(5)(a)</w:t>
            </w:r>
          </w:p>
        </w:tc>
        <w:tc>
          <w:tcPr>
            <w:tcW w:w="8044" w:type="dxa"/>
            <w:shd w:val="clear" w:color="auto" w:fill="auto"/>
          </w:tcPr>
          <w:p w14:paraId="7E506EF9" w14:textId="6F900F12" w:rsidR="00774CDF" w:rsidRPr="00100532" w:rsidRDefault="00774CDF" w:rsidP="00AE1FAD">
            <w:r w:rsidRPr="003832A2">
              <w:rPr>
                <w:szCs w:val="22"/>
              </w:rPr>
              <w:t xml:space="preserve">Adopt Article 16 but </w:t>
            </w:r>
            <w:r>
              <w:rPr>
                <w:szCs w:val="22"/>
              </w:rPr>
              <w:t>not the rule allowing a case to be presented to either CA (on the condition that the jurisdiction instead implements a bilateral notification or consultation process)</w:t>
            </w:r>
          </w:p>
        </w:tc>
      </w:tr>
      <w:tr w:rsidR="00774CDF" w:rsidRPr="00E33E85" w14:paraId="790D5570" w14:textId="77777777" w:rsidTr="00AE1FAD">
        <w:tc>
          <w:tcPr>
            <w:tcW w:w="1134" w:type="dxa"/>
            <w:shd w:val="clear" w:color="auto" w:fill="auto"/>
          </w:tcPr>
          <w:p w14:paraId="64D99881" w14:textId="383EC83C" w:rsidR="00774CDF" w:rsidRDefault="00774CDF" w:rsidP="00AE1FAD">
            <w:r>
              <w:rPr>
                <w:szCs w:val="22"/>
              </w:rPr>
              <w:t>16(5)(b)</w:t>
            </w:r>
          </w:p>
        </w:tc>
        <w:tc>
          <w:tcPr>
            <w:tcW w:w="8044" w:type="dxa"/>
            <w:shd w:val="clear" w:color="auto" w:fill="auto"/>
          </w:tcPr>
          <w:p w14:paraId="0ABC68CE" w14:textId="308150F7" w:rsidR="00774CDF" w:rsidRPr="003832A2" w:rsidRDefault="00774CDF" w:rsidP="00774CDF">
            <w:r w:rsidRPr="002D1391">
              <w:t xml:space="preserve">Adopt Article 16 but not </w:t>
            </w:r>
            <w:r>
              <w:t>the rule requiring that the case be presented within 3 years from the first notification in treaties that don</w:t>
            </w:r>
            <w:r w:rsidR="00740B66">
              <w:t>’</w:t>
            </w:r>
            <w:r>
              <w:t>t already specify a time period(on the condition that the jurisdiction will nevertheless allow a taxpayer to present the case within a period of at least 3 years)</w:t>
            </w:r>
          </w:p>
        </w:tc>
      </w:tr>
      <w:tr w:rsidR="00774CDF" w:rsidRPr="00E33E85" w14:paraId="10C0A46E" w14:textId="77777777" w:rsidTr="00AE1FAD">
        <w:tc>
          <w:tcPr>
            <w:tcW w:w="1134" w:type="dxa"/>
            <w:shd w:val="clear" w:color="auto" w:fill="auto"/>
          </w:tcPr>
          <w:p w14:paraId="7B9101DA" w14:textId="5CC677EB" w:rsidR="00774CDF" w:rsidRDefault="00774CDF" w:rsidP="00AE1FAD">
            <w:r>
              <w:rPr>
                <w:szCs w:val="22"/>
              </w:rPr>
              <w:t>16(5)(c)</w:t>
            </w:r>
          </w:p>
        </w:tc>
        <w:tc>
          <w:tcPr>
            <w:tcW w:w="8044" w:type="dxa"/>
            <w:shd w:val="clear" w:color="auto" w:fill="auto"/>
          </w:tcPr>
          <w:p w14:paraId="0500F4EC" w14:textId="0F9B0EF7" w:rsidR="00774CDF" w:rsidRPr="00774CDF" w:rsidRDefault="00774CDF" w:rsidP="00774CDF">
            <w:r w:rsidRPr="005A169C">
              <w:t xml:space="preserve">Adopt Article 16 but not the rule </w:t>
            </w:r>
            <w:r>
              <w:t>requiring</w:t>
            </w:r>
            <w:r w:rsidRPr="003832A2">
              <w:t xml:space="preserve"> any </w:t>
            </w:r>
            <w:r>
              <w:t xml:space="preserve">mutual </w:t>
            </w:r>
            <w:r w:rsidRPr="003832A2">
              <w:t xml:space="preserve">agreement </w:t>
            </w:r>
            <w:r>
              <w:t xml:space="preserve">be </w:t>
            </w:r>
            <w:r w:rsidRPr="003832A2">
              <w:t>implement</w:t>
            </w:r>
            <w:r>
              <w:t>ed</w:t>
            </w:r>
            <w:r w:rsidRPr="003832A2">
              <w:t xml:space="preserve">  notwithstanding any domestic law time limits </w:t>
            </w:r>
            <w:r>
              <w:t>(on the condition that the treaty jurisdiction will nevertheless implement the mutual agreement notwithstanding any domestic law time limits or by accepting in its bilateral treaty negotiations a time limit for initiating transfer pricing adjustments)</w:t>
            </w:r>
            <w:r w:rsidRPr="003832A2">
              <w:t>.</w:t>
            </w:r>
          </w:p>
        </w:tc>
      </w:tr>
    </w:tbl>
    <w:p w14:paraId="022546ED" w14:textId="77777777" w:rsidR="00774CDF" w:rsidRDefault="00774CDF" w:rsidP="00774CDF">
      <w:pPr>
        <w:pStyle w:val="SingleParagraph"/>
      </w:pPr>
    </w:p>
    <w:p w14:paraId="09659E0D" w14:textId="1E8F23C5" w:rsidR="00AC2840" w:rsidRPr="002A2DEF" w:rsidRDefault="00AC2840" w:rsidP="00774CDF">
      <w:pPr>
        <w:pStyle w:val="Heading3"/>
      </w:pPr>
      <w:r w:rsidRPr="002A2DEF">
        <w:t>Australia</w:t>
      </w:r>
      <w:r w:rsidR="00740B66">
        <w:t>’</w:t>
      </w:r>
      <w:r w:rsidRPr="002A2DEF">
        <w:t>s initial approach to Article 1</w:t>
      </w:r>
      <w:r>
        <w:t>6</w:t>
      </w:r>
    </w:p>
    <w:p w14:paraId="45C7873F" w14:textId="17CD8093" w:rsidR="00774CDF" w:rsidRDefault="00AC2840" w:rsidP="00132B48">
      <w:pPr>
        <w:jc w:val="left"/>
        <w:rPr>
          <w:color w:val="000000" w:themeColor="text1"/>
        </w:rPr>
      </w:pPr>
      <w:r>
        <w:rPr>
          <w:color w:val="000000" w:themeColor="text1"/>
          <w:szCs w:val="22"/>
        </w:rPr>
        <w:t xml:space="preserve">Article 16 is consistent with </w:t>
      </w:r>
      <w:r w:rsidRPr="00A63868">
        <w:rPr>
          <w:color w:val="000000" w:themeColor="text1"/>
          <w:szCs w:val="22"/>
        </w:rPr>
        <w:t>Australia</w:t>
      </w:r>
      <w:r w:rsidR="00740B66">
        <w:rPr>
          <w:color w:val="000000" w:themeColor="text1"/>
          <w:szCs w:val="22"/>
        </w:rPr>
        <w:t>’</w:t>
      </w:r>
      <w:r w:rsidRPr="00A63868">
        <w:rPr>
          <w:color w:val="000000" w:themeColor="text1"/>
          <w:szCs w:val="22"/>
        </w:rPr>
        <w:t xml:space="preserve">s preferred treaty practice </w:t>
      </w:r>
      <w:r>
        <w:rPr>
          <w:color w:val="000000" w:themeColor="text1"/>
          <w:szCs w:val="22"/>
        </w:rPr>
        <w:t>for the MAP rules. Article</w:t>
      </w:r>
      <w:r w:rsidR="002D0921">
        <w:rPr>
          <w:color w:val="000000" w:themeColor="text1"/>
          <w:szCs w:val="22"/>
        </w:rPr>
        <w:t>s</w:t>
      </w:r>
      <w:r>
        <w:rPr>
          <w:color w:val="000000" w:themeColor="text1"/>
          <w:szCs w:val="22"/>
        </w:rPr>
        <w:t> 25(1</w:t>
      </w:r>
      <w:r w:rsidRPr="00A63868">
        <w:rPr>
          <w:color w:val="000000" w:themeColor="text1"/>
          <w:szCs w:val="22"/>
        </w:rPr>
        <w:t>)</w:t>
      </w:r>
      <w:r>
        <w:rPr>
          <w:color w:val="000000" w:themeColor="text1"/>
          <w:szCs w:val="22"/>
        </w:rPr>
        <w:t>, (2) and (3</w:t>
      </w:r>
      <w:r w:rsidRPr="00A63868">
        <w:rPr>
          <w:color w:val="000000" w:themeColor="text1"/>
          <w:szCs w:val="22"/>
        </w:rPr>
        <w:t>) of the 2015 Australia</w:t>
      </w:r>
      <w:r w:rsidR="00740B66">
        <w:rPr>
          <w:color w:val="000000" w:themeColor="text1"/>
          <w:szCs w:val="22"/>
        </w:rPr>
        <w:noBreakHyphen/>
      </w:r>
      <w:r w:rsidRPr="00A63868">
        <w:rPr>
          <w:color w:val="000000" w:themeColor="text1"/>
          <w:szCs w:val="22"/>
        </w:rPr>
        <w:t>Germany treaty inc</w:t>
      </w:r>
      <w:r>
        <w:rPr>
          <w:color w:val="000000" w:themeColor="text1"/>
          <w:szCs w:val="22"/>
        </w:rPr>
        <w:t>lude the Article 16</w:t>
      </w:r>
      <w:r w:rsidR="009D666C">
        <w:rPr>
          <w:color w:val="000000" w:themeColor="text1"/>
          <w:szCs w:val="22"/>
        </w:rPr>
        <w:t xml:space="preserve"> provisions. </w:t>
      </w:r>
      <w:r w:rsidRPr="002A2DEF">
        <w:rPr>
          <w:color w:val="000000" w:themeColor="text1"/>
          <w:szCs w:val="22"/>
        </w:rPr>
        <w:t>Australia</w:t>
      </w:r>
      <w:r w:rsidR="00740B66">
        <w:rPr>
          <w:color w:val="000000" w:themeColor="text1"/>
          <w:szCs w:val="22"/>
        </w:rPr>
        <w:t>’</w:t>
      </w:r>
      <w:r w:rsidRPr="002A2DEF">
        <w:rPr>
          <w:color w:val="000000" w:themeColor="text1"/>
          <w:szCs w:val="22"/>
        </w:rPr>
        <w:t xml:space="preserve">s initial approach is to adopt </w:t>
      </w:r>
      <w:r w:rsidRPr="00804093">
        <w:rPr>
          <w:color w:val="000000" w:themeColor="text1"/>
        </w:rPr>
        <w:t xml:space="preserve">Article </w:t>
      </w:r>
      <w:r>
        <w:rPr>
          <w:color w:val="000000" w:themeColor="text1"/>
          <w:szCs w:val="22"/>
        </w:rPr>
        <w:t>16</w:t>
      </w:r>
      <w:r w:rsidRPr="00821493">
        <w:rPr>
          <w:color w:val="000000" w:themeColor="text1"/>
        </w:rPr>
        <w:t xml:space="preserve"> </w:t>
      </w:r>
      <w:r w:rsidRPr="002A2DEF">
        <w:rPr>
          <w:color w:val="000000" w:themeColor="text1"/>
          <w:szCs w:val="22"/>
        </w:rPr>
        <w:t>without reservation</w:t>
      </w:r>
      <w:r>
        <w:rPr>
          <w:color w:val="000000" w:themeColor="text1"/>
          <w:szCs w:val="22"/>
        </w:rPr>
        <w:t xml:space="preserve"> </w:t>
      </w:r>
      <w:r w:rsidRPr="00987452">
        <w:rPr>
          <w:color w:val="000000" w:themeColor="text1"/>
          <w:szCs w:val="22"/>
        </w:rPr>
        <w:t>across its covered tax agreements</w:t>
      </w:r>
      <w:r w:rsidRPr="002A2DEF">
        <w:rPr>
          <w:color w:val="000000" w:themeColor="text1"/>
          <w:szCs w:val="22"/>
        </w:rPr>
        <w:t>.</w:t>
      </w:r>
      <w:r w:rsidRPr="00804093" w:rsidDel="002B01B2">
        <w:rPr>
          <w:color w:val="000000" w:themeColor="text1"/>
        </w:rPr>
        <w:t xml:space="preserve"> </w:t>
      </w:r>
    </w:p>
    <w:p w14:paraId="6462D33B" w14:textId="129C4552" w:rsidR="00AC2840" w:rsidRPr="002A2DEF" w:rsidRDefault="00AC2840" w:rsidP="00132B48">
      <w:pPr>
        <w:jc w:val="left"/>
        <w:rPr>
          <w:color w:val="000000" w:themeColor="text1"/>
          <w:szCs w:val="22"/>
        </w:rPr>
      </w:pPr>
      <w:r w:rsidRPr="002A2DEF">
        <w:rPr>
          <w:color w:val="000000" w:themeColor="text1"/>
          <w:szCs w:val="22"/>
        </w:rPr>
        <w:br w:type="page"/>
      </w:r>
    </w:p>
    <w:p w14:paraId="3E4E78CB" w14:textId="5953D74F" w:rsidR="00AC2840" w:rsidRPr="00774CDF" w:rsidRDefault="00AC2840" w:rsidP="00774CDF">
      <w:pPr>
        <w:pStyle w:val="Heading2"/>
      </w:pPr>
      <w:bookmarkStart w:id="119" w:name="_Toc468726812"/>
      <w:bookmarkStart w:id="120" w:name="_Toc468732593"/>
      <w:bookmarkStart w:id="121" w:name="_Toc469328388"/>
      <w:bookmarkStart w:id="122" w:name="_Toc469329043"/>
      <w:r w:rsidRPr="00774CDF">
        <w:t>Article 17</w:t>
      </w:r>
      <w:r w:rsidR="00D04E2A" w:rsidRPr="00774CDF">
        <w:t xml:space="preserve"> — </w:t>
      </w:r>
      <w:r w:rsidRPr="00774CDF">
        <w:t>Corresponding Adjustments</w:t>
      </w:r>
      <w:bookmarkEnd w:id="119"/>
      <w:bookmarkEnd w:id="120"/>
      <w:bookmarkEnd w:id="121"/>
      <w:bookmarkEnd w:id="122"/>
    </w:p>
    <w:p w14:paraId="7C3BA7FD" w14:textId="77777777" w:rsidR="00AC2840" w:rsidRPr="003832A2" w:rsidRDefault="00AC2840" w:rsidP="00774CDF">
      <w:pPr>
        <w:rPr>
          <w:szCs w:val="22"/>
        </w:rPr>
      </w:pPr>
      <w:r w:rsidRPr="002A2DEF">
        <w:t xml:space="preserve">Article 17 implements </w:t>
      </w:r>
      <w:r w:rsidRPr="002A2DEF">
        <w:rPr>
          <w:szCs w:val="22"/>
        </w:rPr>
        <w:t xml:space="preserve">recommendations in the </w:t>
      </w:r>
      <w:r w:rsidRPr="002A2DEF">
        <w:t xml:space="preserve">BEPS Action 14 (Making Dispute Resolution Mechanisms More Effective) report (see </w:t>
      </w:r>
      <w:r w:rsidRPr="002A2DEF">
        <w:rPr>
          <w:szCs w:val="22"/>
        </w:rPr>
        <w:t xml:space="preserve">pages 13 and 29 </w:t>
      </w:r>
      <w:r w:rsidRPr="002A2DEF">
        <w:t>of that report).</w:t>
      </w:r>
      <w:r w:rsidRPr="00C20874">
        <w:t xml:space="preserve"> </w:t>
      </w:r>
    </w:p>
    <w:p w14:paraId="17A88335" w14:textId="77777777" w:rsidR="00AC2840" w:rsidRPr="003832A2" w:rsidRDefault="00AC2840" w:rsidP="00774CDF">
      <w:pPr>
        <w:pStyle w:val="Heading3"/>
      </w:pPr>
      <w:r w:rsidRPr="003832A2">
        <w:t xml:space="preserve">How </w:t>
      </w:r>
      <w:r>
        <w:t>will</w:t>
      </w:r>
      <w:r w:rsidRPr="003832A2">
        <w:t xml:space="preserve"> this Article </w:t>
      </w:r>
      <w:r w:rsidRPr="00907B4F">
        <w:t>make dispute resolution mechanisms more effective</w:t>
      </w:r>
      <w:r>
        <w:t>?</w:t>
      </w:r>
      <w:r w:rsidRPr="003832A2">
        <w:t xml:space="preserve">  </w:t>
      </w:r>
    </w:p>
    <w:p w14:paraId="3D2E2DC6" w14:textId="06D714B0" w:rsidR="00AC2840" w:rsidRPr="003832A2" w:rsidRDefault="00AC2840" w:rsidP="00774CDF">
      <w:r>
        <w:t>Transfer pricing adjustments to an enterprise</w:t>
      </w:r>
      <w:r w:rsidR="00740B66">
        <w:t>’</w:t>
      </w:r>
      <w:r>
        <w:t>s profits made by the jurisdiction where that enterprise is a resident</w:t>
      </w:r>
      <w:r w:rsidRPr="003832A2">
        <w:t xml:space="preserve"> can result in double taxation </w:t>
      </w:r>
      <w:r>
        <w:t xml:space="preserve">if the </w:t>
      </w:r>
      <w:r w:rsidRPr="003832A2">
        <w:t xml:space="preserve">other jurisdiction </w:t>
      </w:r>
      <w:r>
        <w:t>does not make a corresponding adjustment to the profits of the other associated enterprise involved in the relevant transaction</w:t>
      </w:r>
      <w:r w:rsidRPr="003832A2">
        <w:t>.</w:t>
      </w:r>
    </w:p>
    <w:p w14:paraId="2F9EECB5" w14:textId="5C13748A" w:rsidR="00AC2840" w:rsidRPr="003832A2" w:rsidRDefault="00AC2840" w:rsidP="00774CDF">
      <w:r w:rsidRPr="00ED37C4">
        <w:t>Article 17 will modify treaties to</w:t>
      </w:r>
      <w:r w:rsidRPr="003832A2">
        <w:t xml:space="preserve"> require the </w:t>
      </w:r>
      <w:r>
        <w:t>tax administration</w:t>
      </w:r>
      <w:r w:rsidRPr="003832A2">
        <w:t xml:space="preserve"> of a </w:t>
      </w:r>
      <w:r>
        <w:t>jurisdiction t</w:t>
      </w:r>
      <w:r w:rsidRPr="003832A2">
        <w:t xml:space="preserve">o make a downward </w:t>
      </w:r>
      <w:r w:rsidRPr="002A2DEF">
        <w:t xml:space="preserve">adjustment to the profits of a resident enterprise, to reflect a corresponding upward adjustment by the </w:t>
      </w:r>
      <w:r>
        <w:t>tax administration</w:t>
      </w:r>
      <w:r w:rsidRPr="002A2DEF">
        <w:t xml:space="preserve"> of the other jurisdiction to the profits of the other party (the associated enterprise) involved in the relevant transaction.</w:t>
      </w:r>
      <w:r>
        <w:t xml:space="preserve"> </w:t>
      </w:r>
      <w:r w:rsidRPr="003832A2">
        <w:t xml:space="preserve">This obligation only applies, however, where the upward adjustment reflects a true allocation of profits between the two </w:t>
      </w:r>
      <w:r w:rsidRPr="00ED37C4">
        <w:t xml:space="preserve">enterprises </w:t>
      </w:r>
      <w:r w:rsidRPr="003832A2">
        <w:t>in accordance with the arm</w:t>
      </w:r>
      <w:r w:rsidR="00740B66">
        <w:t>’</w:t>
      </w:r>
      <w:r w:rsidRPr="003832A2">
        <w:t>s</w:t>
      </w:r>
      <w:r w:rsidR="00740B66">
        <w:noBreakHyphen/>
      </w:r>
      <w:r w:rsidRPr="003832A2">
        <w:t>length principle</w:t>
      </w:r>
      <w:r w:rsidR="00D04E2A">
        <w:t xml:space="preserve">. </w:t>
      </w:r>
    </w:p>
    <w:p w14:paraId="7EEBA52E" w14:textId="77777777" w:rsidR="00AC2840" w:rsidRPr="003832A2" w:rsidRDefault="00AC2840" w:rsidP="00774CDF">
      <w:pPr>
        <w:pStyle w:val="Heading3"/>
      </w:pPr>
      <w:r w:rsidRPr="003832A2">
        <w:t>What are the options?</w:t>
      </w:r>
    </w:p>
    <w:p w14:paraId="312CD637" w14:textId="77777777" w:rsidR="00AC2840" w:rsidRDefault="00AC2840" w:rsidP="00774CDF">
      <w:r>
        <w:t>Adopt Article 17 without reservation</w:t>
      </w:r>
    </w:p>
    <w:tbl>
      <w:tblPr>
        <w:tblStyle w:val="TableGrid"/>
        <w:tblW w:w="0" w:type="auto"/>
        <w:tblInd w:w="108" w:type="dxa"/>
        <w:tblLook w:val="04A0" w:firstRow="1" w:lastRow="0" w:firstColumn="1" w:lastColumn="0" w:noHBand="0" w:noVBand="1"/>
      </w:tblPr>
      <w:tblGrid>
        <w:gridCol w:w="1134"/>
        <w:gridCol w:w="8044"/>
      </w:tblGrid>
      <w:tr w:rsidR="00774CDF" w:rsidRPr="00E33E85" w14:paraId="31770BF8" w14:textId="77777777" w:rsidTr="00AE1FAD">
        <w:tc>
          <w:tcPr>
            <w:tcW w:w="1134" w:type="dxa"/>
            <w:shd w:val="clear" w:color="auto" w:fill="auto"/>
          </w:tcPr>
          <w:p w14:paraId="1FA1ADF9" w14:textId="37ECF653" w:rsidR="00774CDF" w:rsidRPr="00E33E85" w:rsidRDefault="00774CDF" w:rsidP="00774CDF">
            <w:r>
              <w:t>17(3)(a)</w:t>
            </w:r>
          </w:p>
        </w:tc>
        <w:tc>
          <w:tcPr>
            <w:tcW w:w="8044" w:type="dxa"/>
            <w:shd w:val="clear" w:color="auto" w:fill="auto"/>
          </w:tcPr>
          <w:p w14:paraId="189BF0F1" w14:textId="05F4BBBC" w:rsidR="00774CDF" w:rsidRPr="00774CDF" w:rsidRDefault="00774CDF" w:rsidP="00774CDF">
            <w:r w:rsidRPr="003832A2">
              <w:t xml:space="preserve">Adopt Article 17 but </w:t>
            </w:r>
            <w:r>
              <w:t xml:space="preserve">not for </w:t>
            </w:r>
            <w:r w:rsidRPr="003832A2">
              <w:t xml:space="preserve">treaties </w:t>
            </w:r>
            <w:r>
              <w:t>that</w:t>
            </w:r>
            <w:r w:rsidRPr="003832A2">
              <w:t xml:space="preserve"> already contain </w:t>
            </w:r>
            <w:r>
              <w:t>an equivalent provision</w:t>
            </w:r>
          </w:p>
        </w:tc>
      </w:tr>
      <w:tr w:rsidR="00774CDF" w:rsidRPr="00E33E85" w14:paraId="54987657" w14:textId="77777777" w:rsidTr="00AE1FAD">
        <w:tc>
          <w:tcPr>
            <w:tcW w:w="1134" w:type="dxa"/>
            <w:shd w:val="clear" w:color="auto" w:fill="auto"/>
          </w:tcPr>
          <w:p w14:paraId="3F12E855" w14:textId="39F8AC93" w:rsidR="00774CDF" w:rsidRDefault="00774CDF" w:rsidP="00774CDF">
            <w:r>
              <w:t>17(3)(b)</w:t>
            </w:r>
          </w:p>
        </w:tc>
        <w:tc>
          <w:tcPr>
            <w:tcW w:w="8044" w:type="dxa"/>
            <w:shd w:val="clear" w:color="auto" w:fill="auto"/>
          </w:tcPr>
          <w:p w14:paraId="5367EA68" w14:textId="6C58BC52" w:rsidR="00774CDF" w:rsidRPr="003832A2" w:rsidRDefault="00774CDF" w:rsidP="00774CDF">
            <w:r>
              <w:t>Do not adopt Article 17 on the condition that in the absence of a treaty corresponding adjustment provision, either the jurisdiction will make an appropriate corresponding adjustment or its CA will endeavour to resolve a transfer pricing case under the MAP rules</w:t>
            </w:r>
          </w:p>
        </w:tc>
      </w:tr>
      <w:tr w:rsidR="00774CDF" w:rsidRPr="00E33E85" w14:paraId="7FC0687A" w14:textId="77777777" w:rsidTr="00AE1FAD">
        <w:tc>
          <w:tcPr>
            <w:tcW w:w="1134" w:type="dxa"/>
            <w:shd w:val="clear" w:color="auto" w:fill="auto"/>
          </w:tcPr>
          <w:p w14:paraId="7800CA48" w14:textId="388543E9" w:rsidR="00774CDF" w:rsidRDefault="00774CDF" w:rsidP="00774CDF">
            <w:r w:rsidRPr="002A2DEF">
              <w:t>17(</w:t>
            </w:r>
            <w:r w:rsidRPr="00821493">
              <w:t>3</w:t>
            </w:r>
            <w:r w:rsidRPr="002A2DEF">
              <w:t>)</w:t>
            </w:r>
            <w:r w:rsidRPr="00821493">
              <w:t>(c)</w:t>
            </w:r>
          </w:p>
        </w:tc>
        <w:tc>
          <w:tcPr>
            <w:tcW w:w="8044" w:type="dxa"/>
            <w:shd w:val="clear" w:color="auto" w:fill="auto"/>
          </w:tcPr>
          <w:p w14:paraId="515D34D3" w14:textId="2A7B16A3" w:rsidR="00774CDF" w:rsidRPr="00774CDF" w:rsidRDefault="00774CDF" w:rsidP="00774CDF">
            <w:r>
              <w:t>Do not a</w:t>
            </w:r>
            <w:r w:rsidRPr="00821493">
              <w:t xml:space="preserve">dopt Article 17 </w:t>
            </w:r>
            <w:r>
              <w:t>if the jurisdiction has made</w:t>
            </w:r>
            <w:r w:rsidRPr="00821493">
              <w:t xml:space="preserve"> a </w:t>
            </w:r>
            <w:r w:rsidRPr="002A2DEF">
              <w:t>r</w:t>
            </w:r>
            <w:r w:rsidRPr="00821493">
              <w:t>eservation under</w:t>
            </w:r>
            <w:r w:rsidRPr="002A2DEF">
              <w:t xml:space="preserve"> MAP </w:t>
            </w:r>
            <w:r w:rsidRPr="00821493">
              <w:t>Article 16(5)(c)(ii)</w:t>
            </w:r>
            <w:r>
              <w:t xml:space="preserve"> (on the basis that the jurisdiction will accept in its bilateral treaty negotiations a corresponding adjustment provision if the two jurisdictions can also agree on a time limit for initiating transfer pricing adjustments)</w:t>
            </w:r>
          </w:p>
        </w:tc>
      </w:tr>
    </w:tbl>
    <w:p w14:paraId="100FC67E" w14:textId="23854A71" w:rsidR="00AC2840" w:rsidRPr="002A2DEF" w:rsidRDefault="00AC2840" w:rsidP="00774CDF">
      <w:pPr>
        <w:pStyle w:val="Heading3"/>
      </w:pPr>
      <w:r w:rsidRPr="002A2DEF">
        <w:t>Australia</w:t>
      </w:r>
      <w:r w:rsidR="00740B66">
        <w:t>’</w:t>
      </w:r>
      <w:r w:rsidRPr="002A2DEF">
        <w:t>s initial approach to Article 1</w:t>
      </w:r>
      <w:r>
        <w:t>7</w:t>
      </w:r>
    </w:p>
    <w:p w14:paraId="483E9981" w14:textId="72E33542" w:rsidR="00AC2840" w:rsidRDefault="00AC2840" w:rsidP="00774CDF">
      <w:r w:rsidRPr="00821493">
        <w:t>Ar</w:t>
      </w:r>
      <w:r>
        <w:t>ticle 17</w:t>
      </w:r>
      <w:r w:rsidRPr="00821493">
        <w:t xml:space="preserve"> is consistent with Australia</w:t>
      </w:r>
      <w:r w:rsidR="00740B66">
        <w:t>’</w:t>
      </w:r>
      <w:r w:rsidRPr="00821493">
        <w:t xml:space="preserve">s preferred treaty practice of including </w:t>
      </w:r>
      <w:r>
        <w:t>corresponding adjustment</w:t>
      </w:r>
      <w:r w:rsidRPr="00821493">
        <w:t xml:space="preserve"> provisions in its bilateral treaties to</w:t>
      </w:r>
      <w:r>
        <w:t xml:space="preserve"> alleviate potential double taxation.</w:t>
      </w:r>
      <w:r w:rsidRPr="00821493">
        <w:t xml:space="preserve"> </w:t>
      </w:r>
      <w:r>
        <w:t>Australia</w:t>
      </w:r>
      <w:r w:rsidR="00740B66">
        <w:t>’</w:t>
      </w:r>
      <w:r>
        <w:t>s treaties all contain a corresponding adjustment provision with the exception of the 1982 Australia</w:t>
      </w:r>
      <w:r w:rsidR="00740B66">
        <w:noBreakHyphen/>
      </w:r>
      <w:r>
        <w:t>Italy treaty.</w:t>
      </w:r>
    </w:p>
    <w:p w14:paraId="2493B984" w14:textId="53D97D71" w:rsidR="00AC2840" w:rsidRPr="002A2DEF" w:rsidRDefault="00AC2840" w:rsidP="00774CDF">
      <w:r>
        <w:t>O</w:t>
      </w:r>
      <w:r w:rsidRPr="002A2DEF">
        <w:t>n this basis, Australia</w:t>
      </w:r>
      <w:r w:rsidR="00740B66">
        <w:t>’</w:t>
      </w:r>
      <w:r w:rsidRPr="002A2DEF">
        <w:t xml:space="preserve">s initial approach is to adopt </w:t>
      </w:r>
      <w:r w:rsidRPr="00804093">
        <w:t>Article</w:t>
      </w:r>
      <w:r>
        <w:t xml:space="preserve"> 17</w:t>
      </w:r>
      <w:r w:rsidRPr="00804093">
        <w:t xml:space="preserve"> </w:t>
      </w:r>
      <w:r w:rsidRPr="001F329D">
        <w:t>across all of its covered tax agreements and enter the reservation permitted by</w:t>
      </w:r>
      <w:r>
        <w:t xml:space="preserve"> Article 17(3)(a)</w:t>
      </w:r>
      <w:r w:rsidR="00D04E2A">
        <w:t xml:space="preserve">. </w:t>
      </w:r>
    </w:p>
    <w:p w14:paraId="5240B3A6" w14:textId="77777777" w:rsidR="00AC2840" w:rsidRPr="003832A2" w:rsidRDefault="00AC2840">
      <w:pPr>
        <w:spacing w:after="0" w:line="240" w:lineRule="auto"/>
        <w:jc w:val="left"/>
        <w:rPr>
          <w:rStyle w:val="Strong"/>
          <w:color w:val="365F91" w:themeColor="accent1" w:themeShade="BF"/>
          <w:szCs w:val="22"/>
        </w:rPr>
      </w:pPr>
      <w:r w:rsidRPr="003832A2">
        <w:rPr>
          <w:rStyle w:val="Strong"/>
          <w:color w:val="365F91" w:themeColor="accent1" w:themeShade="BF"/>
          <w:szCs w:val="22"/>
        </w:rPr>
        <w:br w:type="page"/>
      </w:r>
    </w:p>
    <w:p w14:paraId="1738D813" w14:textId="26F47DE6" w:rsidR="00AC2840" w:rsidRPr="00774CDF" w:rsidRDefault="00AC2840" w:rsidP="00774CDF">
      <w:pPr>
        <w:pStyle w:val="Heading2"/>
      </w:pPr>
      <w:bookmarkStart w:id="123" w:name="_Toc468726813"/>
      <w:bookmarkStart w:id="124" w:name="_Toc468732594"/>
      <w:bookmarkStart w:id="125" w:name="_Toc469328389"/>
      <w:bookmarkStart w:id="126" w:name="_Toc469329044"/>
      <w:r w:rsidRPr="00774CDF">
        <w:t>Articles 18</w:t>
      </w:r>
      <w:r w:rsidR="00740B66">
        <w:noBreakHyphen/>
      </w:r>
      <w:r w:rsidRPr="00774CDF">
        <w:t>26</w:t>
      </w:r>
      <w:r w:rsidR="00D04E2A" w:rsidRPr="00774CDF">
        <w:t xml:space="preserve"> — </w:t>
      </w:r>
      <w:r w:rsidRPr="00774CDF">
        <w:t>Arbitration</w:t>
      </w:r>
      <w:bookmarkEnd w:id="123"/>
      <w:bookmarkEnd w:id="124"/>
      <w:bookmarkEnd w:id="125"/>
      <w:bookmarkEnd w:id="126"/>
    </w:p>
    <w:p w14:paraId="06C42FB1" w14:textId="77777777" w:rsidR="00AC2840" w:rsidRPr="003832A2" w:rsidRDefault="00AC2840" w:rsidP="00774CDF">
      <w:pPr>
        <w:rPr>
          <w:szCs w:val="22"/>
        </w:rPr>
      </w:pPr>
      <w:r w:rsidRPr="002A2DEF">
        <w:t>Articles 18 to 26 implement binding MAP arbitration, reflecting the commitment by some countries to provide for this in their bilateral tax treaties</w:t>
      </w:r>
      <w:r>
        <w:t>,</w:t>
      </w:r>
      <w:r w:rsidRPr="002A2DEF">
        <w:t xml:space="preserve"> as was noted in the BEPS Action 14 (Making Dispute Resolution Mechanisms More Effective) report (see page 10 of that report).</w:t>
      </w:r>
      <w:r w:rsidRPr="00C34FC4">
        <w:rPr>
          <w:szCs w:val="22"/>
        </w:rPr>
        <w:t xml:space="preserve"> </w:t>
      </w:r>
    </w:p>
    <w:p w14:paraId="2F665385" w14:textId="77777777" w:rsidR="00AC2840" w:rsidRPr="003832A2" w:rsidRDefault="00AC2840" w:rsidP="00774CDF">
      <w:pPr>
        <w:pStyle w:val="Heading3"/>
      </w:pPr>
      <w:r w:rsidRPr="003832A2">
        <w:t xml:space="preserve">How </w:t>
      </w:r>
      <w:r>
        <w:t xml:space="preserve">will this article </w:t>
      </w:r>
      <w:r w:rsidRPr="00907B4F">
        <w:t>make dispute resolution mechanisms more effective</w:t>
      </w:r>
      <w:r w:rsidRPr="003832A2">
        <w:t xml:space="preserve">?  </w:t>
      </w:r>
    </w:p>
    <w:p w14:paraId="039EF454" w14:textId="5A18CBCB" w:rsidR="00AC2840" w:rsidRPr="003832A2" w:rsidRDefault="00AC2840" w:rsidP="00774CDF">
      <w:r>
        <w:t xml:space="preserve">The MAP rules in tax treaties </w:t>
      </w:r>
      <w:r w:rsidRPr="003832A2">
        <w:t xml:space="preserve">provide taxpayers </w:t>
      </w:r>
      <w:r>
        <w:t xml:space="preserve">with a mechanism </w:t>
      </w:r>
      <w:r w:rsidRPr="003832A2">
        <w:t xml:space="preserve">to seek the assistance of the </w:t>
      </w:r>
      <w:r>
        <w:t>CAs</w:t>
      </w:r>
      <w:r w:rsidRPr="003832A2">
        <w:t xml:space="preserve"> (</w:t>
      </w:r>
      <w:r>
        <w:t xml:space="preserve">of </w:t>
      </w:r>
      <w:r w:rsidRPr="003832A2">
        <w:t>the two tax administrations) in resolving treaty</w:t>
      </w:r>
      <w:r w:rsidR="00740B66">
        <w:noBreakHyphen/>
      </w:r>
      <w:r w:rsidRPr="003832A2">
        <w:t xml:space="preserve">related disputes. The majority of disputes involve </w:t>
      </w:r>
      <w:r w:rsidR="00580D1A">
        <w:t>economic</w:t>
      </w:r>
      <w:r w:rsidRPr="003832A2">
        <w:t xml:space="preserve"> double taxation, i.e. where both countries seek to tax the same income in the hands of </w:t>
      </w:r>
      <w:r>
        <w:t>different, associated</w:t>
      </w:r>
      <w:r w:rsidRPr="003832A2">
        <w:t xml:space="preserve"> taxpayer</w:t>
      </w:r>
      <w:r>
        <w:t>s</w:t>
      </w:r>
      <w:r w:rsidRPr="003832A2">
        <w:t xml:space="preserve">. However, </w:t>
      </w:r>
      <w:r w:rsidR="008121D2">
        <w:t>the MAP rules</w:t>
      </w:r>
      <w:r w:rsidRPr="003832A2">
        <w:t xml:space="preserve"> do not oblige the </w:t>
      </w:r>
      <w:r>
        <w:t>CAs</w:t>
      </w:r>
      <w:r w:rsidRPr="003832A2">
        <w:t xml:space="preserve"> to </w:t>
      </w:r>
      <w:r>
        <w:t xml:space="preserve">finally </w:t>
      </w:r>
      <w:r w:rsidRPr="003832A2">
        <w:t xml:space="preserve">resolve disputes, only to endeavour to resolve them, which can mean that disputes remain unresolved indefinitely. </w:t>
      </w:r>
    </w:p>
    <w:p w14:paraId="040FFA49" w14:textId="77777777" w:rsidR="00AC2840" w:rsidRPr="003832A2" w:rsidRDefault="00AC2840" w:rsidP="00774CDF">
      <w:r w:rsidRPr="003832A2">
        <w:t>Articles 18</w:t>
      </w:r>
      <w:r>
        <w:t xml:space="preserve"> to </w:t>
      </w:r>
      <w:r w:rsidRPr="003832A2">
        <w:t xml:space="preserve">26 will permit taxpayers to refer disputes that </w:t>
      </w:r>
      <w:r>
        <w:t>have not been resolved through the MAP process within two years</w:t>
      </w:r>
      <w:r w:rsidRPr="003832A2">
        <w:t xml:space="preserve"> to independent and binding arbitration. The rules cover:</w:t>
      </w:r>
    </w:p>
    <w:p w14:paraId="740165BC" w14:textId="7A84995A" w:rsidR="00AC2840" w:rsidRPr="002A2DEF" w:rsidRDefault="00AC2840" w:rsidP="00774CDF">
      <w:pPr>
        <w:pStyle w:val="Bullet"/>
      </w:pPr>
      <w:r w:rsidRPr="003832A2">
        <w:t>Eligibility for arbitration, relevant timelines and other operational rules</w:t>
      </w:r>
    </w:p>
    <w:p w14:paraId="74A8C55F" w14:textId="3EED8D26" w:rsidR="00AC2840" w:rsidRPr="002A2DEF" w:rsidRDefault="00AC2840" w:rsidP="00774CDF">
      <w:pPr>
        <w:pStyle w:val="Bullet"/>
      </w:pPr>
      <w:r w:rsidRPr="003832A2">
        <w:t>The appointment of arbitrators</w:t>
      </w:r>
    </w:p>
    <w:p w14:paraId="09A8B2E5" w14:textId="65138D6B" w:rsidR="00AC2840" w:rsidRPr="002A2DEF" w:rsidRDefault="00AC2840" w:rsidP="00774CDF">
      <w:pPr>
        <w:pStyle w:val="Bullet"/>
      </w:pPr>
      <w:r w:rsidRPr="003832A2">
        <w:t xml:space="preserve">The confidentiality of arbitration proceedings </w:t>
      </w:r>
    </w:p>
    <w:p w14:paraId="27E3A587" w14:textId="0E8A4818" w:rsidR="00AC2840" w:rsidRPr="002A2DEF" w:rsidRDefault="00AC2840" w:rsidP="00774CDF">
      <w:pPr>
        <w:pStyle w:val="Bullet"/>
      </w:pPr>
      <w:r w:rsidRPr="003832A2">
        <w:t>The resolution of cases prior to the conclusion of arbitration</w:t>
      </w:r>
    </w:p>
    <w:p w14:paraId="6351F792" w14:textId="321BDF32" w:rsidR="00AC2840" w:rsidRPr="002A2DEF" w:rsidRDefault="00AC2840" w:rsidP="00774CDF">
      <w:pPr>
        <w:pStyle w:val="Bullet"/>
      </w:pPr>
      <w:r w:rsidRPr="003832A2">
        <w:t>Types of arbitration processes</w:t>
      </w:r>
    </w:p>
    <w:p w14:paraId="5A937979" w14:textId="54C302C4" w:rsidR="00AC2840" w:rsidRPr="002A2DEF" w:rsidRDefault="00AC2840" w:rsidP="00774CDF">
      <w:pPr>
        <w:pStyle w:val="Bullet"/>
      </w:pPr>
      <w:r w:rsidRPr="003832A2">
        <w:t xml:space="preserve">Agreement (by the </w:t>
      </w:r>
      <w:r>
        <w:t>CAs</w:t>
      </w:r>
      <w:r w:rsidRPr="003832A2">
        <w:t>) on a different resolution</w:t>
      </w:r>
    </w:p>
    <w:p w14:paraId="66A80433" w14:textId="0C2F2E65" w:rsidR="00AC2840" w:rsidRPr="002A2DEF" w:rsidRDefault="00AC2840" w:rsidP="00774CDF">
      <w:pPr>
        <w:pStyle w:val="Bullet"/>
      </w:pPr>
      <w:r w:rsidRPr="003832A2">
        <w:t>Costs of arbitration proceedings</w:t>
      </w:r>
    </w:p>
    <w:p w14:paraId="56B61249" w14:textId="122A4FE2" w:rsidR="00AC2840" w:rsidRDefault="00AC2840" w:rsidP="00774CDF">
      <w:r>
        <w:t xml:space="preserve">Part VI is intended to apply only between jurisdictions that expressly choose to apply Part VI with respect to their covered tax agreements. </w:t>
      </w:r>
    </w:p>
    <w:p w14:paraId="21E85ABB" w14:textId="77777777" w:rsidR="00AC2840" w:rsidRPr="002A2DEF" w:rsidRDefault="00AC2840" w:rsidP="00774CDF">
      <w:pPr>
        <w:pStyle w:val="Heading4"/>
      </w:pPr>
      <w:r w:rsidRPr="002A2DEF">
        <w:t>Choice to apply Part VI</w:t>
      </w:r>
    </w:p>
    <w:tbl>
      <w:tblPr>
        <w:tblStyle w:val="TableGrid"/>
        <w:tblW w:w="0" w:type="auto"/>
        <w:tblInd w:w="108" w:type="dxa"/>
        <w:tblLook w:val="04A0" w:firstRow="1" w:lastRow="0" w:firstColumn="1" w:lastColumn="0" w:noHBand="0" w:noVBand="1"/>
      </w:tblPr>
      <w:tblGrid>
        <w:gridCol w:w="1701"/>
        <w:gridCol w:w="7477"/>
      </w:tblGrid>
      <w:tr w:rsidR="00774CDF" w:rsidRPr="00E33E85" w14:paraId="2C09084E" w14:textId="77777777" w:rsidTr="00774CDF">
        <w:tc>
          <w:tcPr>
            <w:tcW w:w="1701" w:type="dxa"/>
            <w:shd w:val="clear" w:color="auto" w:fill="auto"/>
          </w:tcPr>
          <w:p w14:paraId="7319C1AF" w14:textId="6785AFD1" w:rsidR="00774CDF" w:rsidRPr="00E33E85" w:rsidRDefault="00774CDF" w:rsidP="00AE1FAD">
            <w:r>
              <w:rPr>
                <w:szCs w:val="22"/>
              </w:rPr>
              <w:t>Article 18:</w:t>
            </w:r>
          </w:p>
        </w:tc>
        <w:tc>
          <w:tcPr>
            <w:tcW w:w="7477" w:type="dxa"/>
            <w:shd w:val="clear" w:color="auto" w:fill="auto"/>
          </w:tcPr>
          <w:p w14:paraId="3E28531B" w14:textId="7309205E" w:rsidR="00774CDF" w:rsidRPr="00774CDF" w:rsidRDefault="00774CDF" w:rsidP="00774CDF">
            <w:r w:rsidRPr="002A2DEF">
              <w:t>allows jurisdictions to choose to apply the arbitration provisions in Part VI of the MLI</w:t>
            </w:r>
          </w:p>
        </w:tc>
      </w:tr>
    </w:tbl>
    <w:p w14:paraId="71C962A1" w14:textId="77777777" w:rsidR="00AC2840" w:rsidRPr="002A2DEF" w:rsidRDefault="00AC2840" w:rsidP="00774CDF">
      <w:pPr>
        <w:pStyle w:val="Heading4"/>
      </w:pPr>
      <w:r w:rsidRPr="002A2DEF">
        <w:t xml:space="preserve">Mandatory </w:t>
      </w:r>
      <w:r w:rsidRPr="00827BF4">
        <w:t>binding arbitration</w:t>
      </w:r>
    </w:p>
    <w:tbl>
      <w:tblPr>
        <w:tblStyle w:val="TableGrid"/>
        <w:tblW w:w="0" w:type="auto"/>
        <w:tblInd w:w="108" w:type="dxa"/>
        <w:tblLook w:val="04A0" w:firstRow="1" w:lastRow="0" w:firstColumn="1" w:lastColumn="0" w:noHBand="0" w:noVBand="1"/>
      </w:tblPr>
      <w:tblGrid>
        <w:gridCol w:w="1701"/>
        <w:gridCol w:w="7477"/>
      </w:tblGrid>
      <w:tr w:rsidR="00774CDF" w:rsidRPr="00E33E85" w14:paraId="2A1F16EA" w14:textId="77777777" w:rsidTr="00D961EE">
        <w:trPr>
          <w:cantSplit/>
        </w:trPr>
        <w:tc>
          <w:tcPr>
            <w:tcW w:w="1701" w:type="dxa"/>
            <w:shd w:val="clear" w:color="auto" w:fill="auto"/>
          </w:tcPr>
          <w:p w14:paraId="20ABDEBA" w14:textId="0AABD5CA" w:rsidR="00774CDF" w:rsidRPr="00E33E85" w:rsidRDefault="00774CDF" w:rsidP="00774CDF">
            <w:r>
              <w:t>Article 19(1):</w:t>
            </w:r>
          </w:p>
        </w:tc>
        <w:tc>
          <w:tcPr>
            <w:tcW w:w="7477" w:type="dxa"/>
            <w:shd w:val="clear" w:color="auto" w:fill="auto"/>
          </w:tcPr>
          <w:p w14:paraId="7C8C36CB" w14:textId="23CDDD40" w:rsidR="00774CDF" w:rsidRPr="00774CDF" w:rsidRDefault="00774CDF" w:rsidP="00774CDF">
            <w:r>
              <w:t>permits the taxpayer to request that any unresolved issues be submitted to arbitration after a period of 2 years (or an alternative time period agreed between the CAs)</w:t>
            </w:r>
          </w:p>
        </w:tc>
      </w:tr>
      <w:tr w:rsidR="00774CDF" w:rsidRPr="00E33E85" w14:paraId="0921F165" w14:textId="77777777" w:rsidTr="00D961EE">
        <w:trPr>
          <w:cantSplit/>
        </w:trPr>
        <w:tc>
          <w:tcPr>
            <w:tcW w:w="1701" w:type="dxa"/>
            <w:shd w:val="clear" w:color="auto" w:fill="auto"/>
          </w:tcPr>
          <w:p w14:paraId="04DE05BD" w14:textId="21CEC00B" w:rsidR="00774CDF" w:rsidRDefault="00774CDF" w:rsidP="00774CDF">
            <w:r>
              <w:t>Article 19(2):</w:t>
            </w:r>
          </w:p>
        </w:tc>
        <w:tc>
          <w:tcPr>
            <w:tcW w:w="7477" w:type="dxa"/>
            <w:shd w:val="clear" w:color="auto" w:fill="auto"/>
          </w:tcPr>
          <w:p w14:paraId="548EE632" w14:textId="7D26B605" w:rsidR="00774CDF" w:rsidRDefault="00774CDF" w:rsidP="00774CDF">
            <w:r>
              <w:t>extends the specified period for any periods that the MAP process is suspended</w:t>
            </w:r>
          </w:p>
        </w:tc>
      </w:tr>
      <w:tr w:rsidR="00774CDF" w:rsidRPr="00E33E85" w14:paraId="3BD0F9FA" w14:textId="77777777" w:rsidTr="00D961EE">
        <w:trPr>
          <w:cantSplit/>
        </w:trPr>
        <w:tc>
          <w:tcPr>
            <w:tcW w:w="1701" w:type="dxa"/>
            <w:shd w:val="clear" w:color="auto" w:fill="auto"/>
          </w:tcPr>
          <w:p w14:paraId="0DB2ACDB" w14:textId="4A56DBED" w:rsidR="00774CDF" w:rsidRDefault="00774CDF" w:rsidP="00774CDF">
            <w:r>
              <w:t>Article 19(3):</w:t>
            </w:r>
          </w:p>
        </w:tc>
        <w:tc>
          <w:tcPr>
            <w:tcW w:w="7477" w:type="dxa"/>
            <w:shd w:val="clear" w:color="auto" w:fill="auto"/>
          </w:tcPr>
          <w:p w14:paraId="1A9E0921" w14:textId="0AD4FB1D" w:rsidR="00774CDF" w:rsidRDefault="00774CDF" w:rsidP="00774CDF">
            <w:r>
              <w:t>extends the specified period for any periods that the taxpayer has failed to provide material information</w:t>
            </w:r>
            <w:r w:rsidRPr="007A1E49">
              <w:t xml:space="preserve"> </w:t>
            </w:r>
            <w:r>
              <w:t>requested by the CA</w:t>
            </w:r>
          </w:p>
        </w:tc>
      </w:tr>
      <w:tr w:rsidR="00774CDF" w:rsidRPr="00E33E85" w14:paraId="488962AD" w14:textId="77777777" w:rsidTr="00D961EE">
        <w:trPr>
          <w:cantSplit/>
        </w:trPr>
        <w:tc>
          <w:tcPr>
            <w:tcW w:w="1701" w:type="dxa"/>
            <w:shd w:val="clear" w:color="auto" w:fill="auto"/>
          </w:tcPr>
          <w:p w14:paraId="3738A1E6" w14:textId="40AAE389" w:rsidR="00774CDF" w:rsidRDefault="00774CDF" w:rsidP="00774CDF">
            <w:r>
              <w:t>Article 19(4):</w:t>
            </w:r>
          </w:p>
        </w:tc>
        <w:tc>
          <w:tcPr>
            <w:tcW w:w="7477" w:type="dxa"/>
            <w:shd w:val="clear" w:color="auto" w:fill="auto"/>
          </w:tcPr>
          <w:p w14:paraId="12A7C04F" w14:textId="2292F7CD" w:rsidR="00774CDF" w:rsidRDefault="00774CDF" w:rsidP="00774CDF">
            <w:r>
              <w:t>provides that the arbitration decision is final and will be implemented through the MAP, and will be binding on both jurisdictions except in specified circumstances</w:t>
            </w:r>
          </w:p>
        </w:tc>
      </w:tr>
      <w:tr w:rsidR="00774CDF" w:rsidRPr="00E33E85" w14:paraId="1A0F9FEE" w14:textId="77777777" w:rsidTr="00D961EE">
        <w:trPr>
          <w:cantSplit/>
        </w:trPr>
        <w:tc>
          <w:tcPr>
            <w:tcW w:w="1701" w:type="dxa"/>
            <w:shd w:val="clear" w:color="auto" w:fill="auto"/>
          </w:tcPr>
          <w:p w14:paraId="0AF7E5EC" w14:textId="34396BA2" w:rsidR="00774CDF" w:rsidRDefault="00774CDF" w:rsidP="00774CDF">
            <w:r>
              <w:t>Article 19(5):</w:t>
            </w:r>
          </w:p>
        </w:tc>
        <w:tc>
          <w:tcPr>
            <w:tcW w:w="7477" w:type="dxa"/>
            <w:shd w:val="clear" w:color="auto" w:fill="auto"/>
          </w:tcPr>
          <w:p w14:paraId="633C4428" w14:textId="6DC6E5AD" w:rsidR="00774CDF" w:rsidRDefault="00774CDF" w:rsidP="00774CDF">
            <w:r>
              <w:t>prescribes when the CA who received the request must notify the taxpayer and the other CA</w:t>
            </w:r>
          </w:p>
        </w:tc>
      </w:tr>
      <w:tr w:rsidR="00774CDF" w:rsidRPr="00E33E85" w14:paraId="1050E41F" w14:textId="77777777" w:rsidTr="00D961EE">
        <w:trPr>
          <w:cantSplit/>
        </w:trPr>
        <w:tc>
          <w:tcPr>
            <w:tcW w:w="1701" w:type="dxa"/>
            <w:shd w:val="clear" w:color="auto" w:fill="auto"/>
          </w:tcPr>
          <w:p w14:paraId="0D7D3734" w14:textId="04403BEB" w:rsidR="00774CDF" w:rsidRDefault="00774CDF" w:rsidP="00774CDF">
            <w:r>
              <w:t>Article 19(6):</w:t>
            </w:r>
          </w:p>
        </w:tc>
        <w:tc>
          <w:tcPr>
            <w:tcW w:w="7477" w:type="dxa"/>
            <w:shd w:val="clear" w:color="auto" w:fill="auto"/>
          </w:tcPr>
          <w:p w14:paraId="17BB87AE" w14:textId="27B22E6D" w:rsidR="00774CDF" w:rsidRDefault="00774CDF" w:rsidP="00774CDF">
            <w:r>
              <w:t>prescribes when each CA must either confirm it has the necessary information to substantively consider the request or request additional information</w:t>
            </w:r>
          </w:p>
        </w:tc>
      </w:tr>
      <w:tr w:rsidR="00774CDF" w:rsidRPr="00E33E85" w14:paraId="55114CB2" w14:textId="77777777" w:rsidTr="00D961EE">
        <w:trPr>
          <w:cantSplit/>
        </w:trPr>
        <w:tc>
          <w:tcPr>
            <w:tcW w:w="1701" w:type="dxa"/>
            <w:shd w:val="clear" w:color="auto" w:fill="auto"/>
          </w:tcPr>
          <w:p w14:paraId="3CB45165" w14:textId="7DBCC898" w:rsidR="00774CDF" w:rsidRDefault="00774CDF" w:rsidP="00774CDF">
            <w:r>
              <w:t>Article 19(7):</w:t>
            </w:r>
          </w:p>
        </w:tc>
        <w:tc>
          <w:tcPr>
            <w:tcW w:w="7477" w:type="dxa"/>
            <w:shd w:val="clear" w:color="auto" w:fill="auto"/>
          </w:tcPr>
          <w:p w14:paraId="6CA3701F" w14:textId="542FFC07" w:rsidR="00774CDF" w:rsidRDefault="00774CDF" w:rsidP="00774CDF">
            <w:r w:rsidRPr="007A1E49">
              <w:t xml:space="preserve">prescribes when </w:t>
            </w:r>
            <w:r>
              <w:t>a</w:t>
            </w:r>
            <w:r w:rsidRPr="007A1E49">
              <w:t xml:space="preserve"> CA </w:t>
            </w:r>
            <w:r>
              <w:t xml:space="preserve">that has requested additional information </w:t>
            </w:r>
            <w:r w:rsidRPr="007A1E49">
              <w:t xml:space="preserve">must either confirm it has the necessary information or </w:t>
            </w:r>
            <w:r>
              <w:t>that some</w:t>
            </w:r>
            <w:r w:rsidRPr="007A1E49">
              <w:t xml:space="preserve"> information</w:t>
            </w:r>
            <w:r>
              <w:t xml:space="preserve"> is still missing</w:t>
            </w:r>
          </w:p>
        </w:tc>
      </w:tr>
      <w:tr w:rsidR="00774CDF" w:rsidRPr="00E33E85" w14:paraId="482253A5" w14:textId="77777777" w:rsidTr="00D961EE">
        <w:trPr>
          <w:cantSplit/>
        </w:trPr>
        <w:tc>
          <w:tcPr>
            <w:tcW w:w="1701" w:type="dxa"/>
            <w:shd w:val="clear" w:color="auto" w:fill="auto"/>
          </w:tcPr>
          <w:p w14:paraId="3401A671" w14:textId="65491056" w:rsidR="00774CDF" w:rsidRDefault="00774CDF" w:rsidP="00774CDF">
            <w:r>
              <w:t>Article 19(8):</w:t>
            </w:r>
          </w:p>
        </w:tc>
        <w:tc>
          <w:tcPr>
            <w:tcW w:w="7477" w:type="dxa"/>
            <w:shd w:val="clear" w:color="auto" w:fill="auto"/>
          </w:tcPr>
          <w:p w14:paraId="3E5B1ADD" w14:textId="4E5D9B99" w:rsidR="00774CDF" w:rsidRDefault="00774CDF" w:rsidP="00774CDF">
            <w:r>
              <w:t>prescribes the start date where no additional information was requested</w:t>
            </w:r>
          </w:p>
        </w:tc>
      </w:tr>
      <w:tr w:rsidR="00774CDF" w:rsidRPr="00E33E85" w14:paraId="36AA1F4E" w14:textId="77777777" w:rsidTr="00D961EE">
        <w:trPr>
          <w:cantSplit/>
        </w:trPr>
        <w:tc>
          <w:tcPr>
            <w:tcW w:w="1701" w:type="dxa"/>
            <w:shd w:val="clear" w:color="auto" w:fill="auto"/>
          </w:tcPr>
          <w:p w14:paraId="3E46EA9E" w14:textId="7357C0AE" w:rsidR="00774CDF" w:rsidRDefault="00774CDF" w:rsidP="00774CDF">
            <w:r>
              <w:t>Article 19(9</w:t>
            </w:r>
            <w:r w:rsidRPr="008D161B">
              <w:t>):</w:t>
            </w:r>
          </w:p>
        </w:tc>
        <w:tc>
          <w:tcPr>
            <w:tcW w:w="7477" w:type="dxa"/>
            <w:shd w:val="clear" w:color="auto" w:fill="auto"/>
          </w:tcPr>
          <w:p w14:paraId="41A3741C" w14:textId="0FE27942" w:rsidR="00774CDF" w:rsidRDefault="00774CDF" w:rsidP="00774CDF">
            <w:r w:rsidRPr="008D161B">
              <w:t>prescribes the start date where additional information was requested</w:t>
            </w:r>
          </w:p>
        </w:tc>
      </w:tr>
      <w:tr w:rsidR="00774CDF" w:rsidRPr="00E33E85" w14:paraId="29242313" w14:textId="77777777" w:rsidTr="00D961EE">
        <w:trPr>
          <w:cantSplit/>
        </w:trPr>
        <w:tc>
          <w:tcPr>
            <w:tcW w:w="1701" w:type="dxa"/>
            <w:shd w:val="clear" w:color="auto" w:fill="auto"/>
          </w:tcPr>
          <w:p w14:paraId="786048C8" w14:textId="46EBC29E" w:rsidR="00774CDF" w:rsidRDefault="00774CDF" w:rsidP="00774CDF">
            <w:r>
              <w:t>Article 19(10):</w:t>
            </w:r>
          </w:p>
        </w:tc>
        <w:tc>
          <w:tcPr>
            <w:tcW w:w="7477" w:type="dxa"/>
            <w:shd w:val="clear" w:color="auto" w:fill="auto"/>
          </w:tcPr>
          <w:p w14:paraId="20D5121A" w14:textId="13109C4B" w:rsidR="00774CDF" w:rsidRDefault="00774CDF" w:rsidP="00774CDF">
            <w:r>
              <w:t>prescribes the CAs will settle the mode of application of the arbitration provisions (including the minimum information necessary to undertake substantive consideration of a case) prior to the date a case is first eligible to be submitted to arbitration</w:t>
            </w:r>
          </w:p>
        </w:tc>
      </w:tr>
    </w:tbl>
    <w:p w14:paraId="3AE87F55" w14:textId="77777777" w:rsidR="00AC2840" w:rsidRPr="002A2DEF" w:rsidRDefault="00AC2840" w:rsidP="00774CDF">
      <w:pPr>
        <w:pStyle w:val="Heading4"/>
      </w:pPr>
      <w:r w:rsidRPr="002A2DEF">
        <w:t>Appointment of arbitrators</w:t>
      </w:r>
    </w:p>
    <w:tbl>
      <w:tblPr>
        <w:tblStyle w:val="TableGrid"/>
        <w:tblW w:w="0" w:type="auto"/>
        <w:tblInd w:w="108" w:type="dxa"/>
        <w:tblLook w:val="04A0" w:firstRow="1" w:lastRow="0" w:firstColumn="1" w:lastColumn="0" w:noHBand="0" w:noVBand="1"/>
      </w:tblPr>
      <w:tblGrid>
        <w:gridCol w:w="1701"/>
        <w:gridCol w:w="7477"/>
      </w:tblGrid>
      <w:tr w:rsidR="00774CDF" w:rsidRPr="00E33E85" w14:paraId="6F0D050F" w14:textId="77777777" w:rsidTr="00AE1FAD">
        <w:tc>
          <w:tcPr>
            <w:tcW w:w="1701" w:type="dxa"/>
            <w:shd w:val="clear" w:color="auto" w:fill="auto"/>
          </w:tcPr>
          <w:p w14:paraId="3DEAADFC" w14:textId="6B10CEBB" w:rsidR="00774CDF" w:rsidRPr="00E33E85" w:rsidRDefault="00774CDF" w:rsidP="000738F2">
            <w:r>
              <w:t>Article 20(1):</w:t>
            </w:r>
          </w:p>
        </w:tc>
        <w:tc>
          <w:tcPr>
            <w:tcW w:w="7477" w:type="dxa"/>
            <w:shd w:val="clear" w:color="auto" w:fill="auto"/>
          </w:tcPr>
          <w:p w14:paraId="6F21642D" w14:textId="2834FD43" w:rsidR="00774CDF" w:rsidRPr="00774CDF" w:rsidRDefault="00774CDF" w:rsidP="000738F2">
            <w:r>
              <w:t>prescribes rules for the appointment of arbitrators unless the CAs mutually agree on different rules</w:t>
            </w:r>
          </w:p>
        </w:tc>
      </w:tr>
      <w:tr w:rsidR="00774CDF" w:rsidRPr="00E33E85" w14:paraId="3AC4A59E" w14:textId="77777777" w:rsidTr="00AE1FAD">
        <w:tc>
          <w:tcPr>
            <w:tcW w:w="1701" w:type="dxa"/>
            <w:shd w:val="clear" w:color="auto" w:fill="auto"/>
          </w:tcPr>
          <w:p w14:paraId="6188143F" w14:textId="04AD5D2B" w:rsidR="00774CDF" w:rsidRDefault="00774CDF" w:rsidP="000738F2">
            <w:r>
              <w:t>Article 20(2</w:t>
            </w:r>
            <w:r w:rsidRPr="00827BF4">
              <w:t>):</w:t>
            </w:r>
          </w:p>
        </w:tc>
        <w:tc>
          <w:tcPr>
            <w:tcW w:w="7477" w:type="dxa"/>
            <w:shd w:val="clear" w:color="auto" w:fill="auto"/>
          </w:tcPr>
          <w:p w14:paraId="3C7DA235" w14:textId="428D0729" w:rsidR="00774CDF" w:rsidRDefault="00774CDF" w:rsidP="000738F2">
            <w:r>
              <w:t>specifies the appointment of 3 impartial and independent individuals</w:t>
            </w:r>
            <w:r w:rsidRPr="00827BF4" w:rsidDel="00BB65AC">
              <w:t xml:space="preserve"> </w:t>
            </w:r>
            <w:r>
              <w:t>and how they are to be selected</w:t>
            </w:r>
          </w:p>
        </w:tc>
      </w:tr>
      <w:tr w:rsidR="00774CDF" w:rsidRPr="00E33E85" w14:paraId="66DD667C" w14:textId="77777777" w:rsidTr="00AE1FAD">
        <w:tc>
          <w:tcPr>
            <w:tcW w:w="1701" w:type="dxa"/>
            <w:shd w:val="clear" w:color="auto" w:fill="auto"/>
          </w:tcPr>
          <w:p w14:paraId="25127A7D" w14:textId="5E86F6F6" w:rsidR="00774CDF" w:rsidRDefault="00774CDF" w:rsidP="000738F2">
            <w:r w:rsidRPr="00827BF4">
              <w:t xml:space="preserve">Article </w:t>
            </w:r>
            <w:r>
              <w:t>20(3</w:t>
            </w:r>
            <w:r w:rsidRPr="00827BF4">
              <w:t>):</w:t>
            </w:r>
          </w:p>
        </w:tc>
        <w:tc>
          <w:tcPr>
            <w:tcW w:w="7477" w:type="dxa"/>
            <w:shd w:val="clear" w:color="auto" w:fill="auto"/>
          </w:tcPr>
          <w:p w14:paraId="50F1C9F4" w14:textId="172D6061" w:rsidR="00774CDF" w:rsidRDefault="00774CDF" w:rsidP="000738F2">
            <w:r>
              <w:t>prescribes a default rule where a CA fails to appoint an arbitrator</w:t>
            </w:r>
          </w:p>
        </w:tc>
      </w:tr>
      <w:tr w:rsidR="00774CDF" w:rsidRPr="00E33E85" w14:paraId="7233E8AB" w14:textId="77777777" w:rsidTr="00AE1FAD">
        <w:tc>
          <w:tcPr>
            <w:tcW w:w="1701" w:type="dxa"/>
            <w:shd w:val="clear" w:color="auto" w:fill="auto"/>
          </w:tcPr>
          <w:p w14:paraId="56B1A2E0" w14:textId="4BF080B5" w:rsidR="00774CDF" w:rsidRDefault="00774CDF" w:rsidP="000738F2">
            <w:r w:rsidRPr="00827BF4">
              <w:t>Article 20(3):</w:t>
            </w:r>
          </w:p>
        </w:tc>
        <w:tc>
          <w:tcPr>
            <w:tcW w:w="7477" w:type="dxa"/>
            <w:shd w:val="clear" w:color="auto" w:fill="auto"/>
          </w:tcPr>
          <w:p w14:paraId="77C24091" w14:textId="5B3884F8" w:rsidR="00774CDF" w:rsidRDefault="00774CDF" w:rsidP="000738F2">
            <w:r w:rsidRPr="00827BF4">
              <w:t xml:space="preserve">prescribes a default rule where </w:t>
            </w:r>
            <w:r>
              <w:t>the first 2 arbitrators fail to appoint a Chair</w:t>
            </w:r>
          </w:p>
        </w:tc>
      </w:tr>
    </w:tbl>
    <w:p w14:paraId="6BC5B81B" w14:textId="77777777" w:rsidR="00AC2840" w:rsidRDefault="00AC2840" w:rsidP="00774CDF">
      <w:pPr>
        <w:pStyle w:val="Heading4"/>
      </w:pPr>
      <w:r w:rsidRPr="002A2DEF">
        <w:t>Confidentiality of arbitration proceedings</w:t>
      </w:r>
    </w:p>
    <w:tbl>
      <w:tblPr>
        <w:tblStyle w:val="TableGrid"/>
        <w:tblW w:w="0" w:type="auto"/>
        <w:tblLook w:val="04A0" w:firstRow="1" w:lastRow="0" w:firstColumn="1" w:lastColumn="0" w:noHBand="0" w:noVBand="1"/>
      </w:tblPr>
      <w:tblGrid>
        <w:gridCol w:w="1701"/>
        <w:gridCol w:w="7477"/>
      </w:tblGrid>
      <w:tr w:rsidR="000738F2" w:rsidRPr="00E33E85" w14:paraId="11F33CB0" w14:textId="77777777" w:rsidTr="000738F2">
        <w:tc>
          <w:tcPr>
            <w:tcW w:w="1701" w:type="dxa"/>
            <w:shd w:val="clear" w:color="auto" w:fill="auto"/>
          </w:tcPr>
          <w:p w14:paraId="1426F596" w14:textId="0D1C79FA" w:rsidR="000738F2" w:rsidRPr="00E33E85" w:rsidRDefault="000738F2" w:rsidP="000738F2">
            <w:r>
              <w:t>Article 21(1):</w:t>
            </w:r>
          </w:p>
        </w:tc>
        <w:tc>
          <w:tcPr>
            <w:tcW w:w="7477" w:type="dxa"/>
            <w:shd w:val="clear" w:color="auto" w:fill="auto"/>
          </w:tcPr>
          <w:p w14:paraId="35A83B2F" w14:textId="3770E453" w:rsidR="000738F2" w:rsidRPr="00774CDF" w:rsidRDefault="000738F2" w:rsidP="000738F2">
            <w:r>
              <w:rPr>
                <w:szCs w:val="22"/>
              </w:rPr>
              <w:t>permits disclosure of information to the arbitrators and their staff</w:t>
            </w:r>
          </w:p>
        </w:tc>
      </w:tr>
      <w:tr w:rsidR="000738F2" w:rsidRPr="00E33E85" w14:paraId="6CF1904F" w14:textId="77777777" w:rsidTr="000738F2">
        <w:tc>
          <w:tcPr>
            <w:tcW w:w="1701" w:type="dxa"/>
            <w:shd w:val="clear" w:color="auto" w:fill="auto"/>
          </w:tcPr>
          <w:p w14:paraId="3B6BF1C5" w14:textId="2AA84F58" w:rsidR="000738F2" w:rsidRDefault="000738F2" w:rsidP="000738F2">
            <w:r>
              <w:t>Article 21(2</w:t>
            </w:r>
            <w:r w:rsidRPr="00827BF4">
              <w:t>):</w:t>
            </w:r>
          </w:p>
        </w:tc>
        <w:tc>
          <w:tcPr>
            <w:tcW w:w="7477" w:type="dxa"/>
            <w:shd w:val="clear" w:color="auto" w:fill="auto"/>
          </w:tcPr>
          <w:p w14:paraId="3726F77F" w14:textId="5ABDEB3D" w:rsidR="000738F2" w:rsidRDefault="000738F2" w:rsidP="000738F2">
            <w:r>
              <w:rPr>
                <w:szCs w:val="22"/>
              </w:rPr>
              <w:t>requires written confidentiality agreement</w:t>
            </w:r>
          </w:p>
        </w:tc>
      </w:tr>
    </w:tbl>
    <w:p w14:paraId="74862335" w14:textId="77777777" w:rsidR="00AC2840" w:rsidRPr="002A2DEF" w:rsidRDefault="00AC2840" w:rsidP="00774CDF">
      <w:pPr>
        <w:pStyle w:val="Heading4"/>
      </w:pPr>
      <w:r w:rsidRPr="002A2DEF">
        <w:t>Resolution of a case prior to the conclusion of arbitration</w:t>
      </w:r>
    </w:p>
    <w:tbl>
      <w:tblPr>
        <w:tblStyle w:val="TableGrid"/>
        <w:tblW w:w="0" w:type="auto"/>
        <w:tblLook w:val="04A0" w:firstRow="1" w:lastRow="0" w:firstColumn="1" w:lastColumn="0" w:noHBand="0" w:noVBand="1"/>
      </w:tblPr>
      <w:tblGrid>
        <w:gridCol w:w="1701"/>
        <w:gridCol w:w="7477"/>
      </w:tblGrid>
      <w:tr w:rsidR="000738F2" w:rsidRPr="00E33E85" w14:paraId="1E5CC739" w14:textId="77777777" w:rsidTr="00AE1FAD">
        <w:tc>
          <w:tcPr>
            <w:tcW w:w="1701" w:type="dxa"/>
            <w:shd w:val="clear" w:color="auto" w:fill="auto"/>
          </w:tcPr>
          <w:p w14:paraId="4DFF518A" w14:textId="06949D62" w:rsidR="000738F2" w:rsidRPr="00E33E85" w:rsidRDefault="000738F2" w:rsidP="000738F2">
            <w:r>
              <w:t>Article 22:</w:t>
            </w:r>
          </w:p>
        </w:tc>
        <w:tc>
          <w:tcPr>
            <w:tcW w:w="7477" w:type="dxa"/>
            <w:shd w:val="clear" w:color="auto" w:fill="auto"/>
          </w:tcPr>
          <w:p w14:paraId="56E806E1" w14:textId="3D105FC4" w:rsidR="000738F2" w:rsidRPr="00774CDF" w:rsidRDefault="000738F2" w:rsidP="000738F2">
            <w:r>
              <w:rPr>
                <w:szCs w:val="22"/>
              </w:rPr>
              <w:t>prescribes that the MAP and arbitration proceeding terminate if the CAs reach a mutual agreement to resolve the case or the taxpayer withdraws the request prior to delivery of the arbitration decision</w:t>
            </w:r>
          </w:p>
        </w:tc>
      </w:tr>
    </w:tbl>
    <w:p w14:paraId="2F2FA7AF" w14:textId="77777777" w:rsidR="00AC2840" w:rsidRDefault="00AC2840" w:rsidP="00774CDF">
      <w:pPr>
        <w:pStyle w:val="Heading4"/>
      </w:pPr>
      <w:r w:rsidRPr="002A2DEF">
        <w:t>Type of arbitration process</w:t>
      </w:r>
    </w:p>
    <w:tbl>
      <w:tblPr>
        <w:tblStyle w:val="TableGrid"/>
        <w:tblW w:w="0" w:type="auto"/>
        <w:tblLook w:val="04A0" w:firstRow="1" w:lastRow="0" w:firstColumn="1" w:lastColumn="0" w:noHBand="0" w:noVBand="1"/>
      </w:tblPr>
      <w:tblGrid>
        <w:gridCol w:w="1701"/>
        <w:gridCol w:w="7477"/>
      </w:tblGrid>
      <w:tr w:rsidR="000738F2" w:rsidRPr="00E33E85" w14:paraId="1C40C7E6" w14:textId="77777777" w:rsidTr="00AE1FAD">
        <w:tc>
          <w:tcPr>
            <w:tcW w:w="1701" w:type="dxa"/>
            <w:shd w:val="clear" w:color="auto" w:fill="auto"/>
          </w:tcPr>
          <w:p w14:paraId="6EAED05E" w14:textId="77DDF11E" w:rsidR="000738F2" w:rsidRPr="00E33E85" w:rsidRDefault="000738F2" w:rsidP="000738F2">
            <w:r>
              <w:t>Article 23(1):</w:t>
            </w:r>
          </w:p>
        </w:tc>
        <w:tc>
          <w:tcPr>
            <w:tcW w:w="7477" w:type="dxa"/>
            <w:shd w:val="clear" w:color="auto" w:fill="auto"/>
          </w:tcPr>
          <w:p w14:paraId="437C8D2D" w14:textId="555B91DD" w:rsidR="000738F2" w:rsidRPr="00774CDF" w:rsidRDefault="000738F2" w:rsidP="000738F2">
            <w:r>
              <w:rPr>
                <w:szCs w:val="22"/>
              </w:rPr>
              <w:t xml:space="preserve">provides for the </w:t>
            </w:r>
            <w:r w:rsidR="00740B66">
              <w:rPr>
                <w:szCs w:val="22"/>
              </w:rPr>
              <w:t>‘</w:t>
            </w:r>
            <w:r>
              <w:rPr>
                <w:szCs w:val="22"/>
              </w:rPr>
              <w:t>final offer</w:t>
            </w:r>
            <w:r w:rsidR="00740B66">
              <w:rPr>
                <w:szCs w:val="22"/>
              </w:rPr>
              <w:t>’</w:t>
            </w:r>
            <w:r>
              <w:rPr>
                <w:szCs w:val="22"/>
              </w:rPr>
              <w:t xml:space="preserve"> arbitration process as the default type of arbitration process </w:t>
            </w:r>
            <w:r w:rsidRPr="003E000E">
              <w:rPr>
                <w:szCs w:val="22"/>
              </w:rPr>
              <w:t>unless the CAs mutually agree on different rules</w:t>
            </w:r>
            <w:r>
              <w:rPr>
                <w:szCs w:val="22"/>
              </w:rPr>
              <w:t xml:space="preserve"> and specifies that both CAs must submit a proposed resolution, may also submit a supporting position paper and the arbitration panel will select as its decision one of the proposed resolutions</w:t>
            </w:r>
          </w:p>
        </w:tc>
      </w:tr>
    </w:tbl>
    <w:p w14:paraId="17012F43" w14:textId="77777777" w:rsidR="00AC2840" w:rsidRDefault="00AC2840" w:rsidP="00774CDF">
      <w:pPr>
        <w:pStyle w:val="Heading4"/>
      </w:pPr>
      <w:r w:rsidRPr="002A2DEF">
        <w:t>Agreement on a different solution</w:t>
      </w:r>
    </w:p>
    <w:tbl>
      <w:tblPr>
        <w:tblStyle w:val="TableGrid"/>
        <w:tblW w:w="0" w:type="auto"/>
        <w:tblLook w:val="04A0" w:firstRow="1" w:lastRow="0" w:firstColumn="1" w:lastColumn="0" w:noHBand="0" w:noVBand="1"/>
      </w:tblPr>
      <w:tblGrid>
        <w:gridCol w:w="1701"/>
        <w:gridCol w:w="7477"/>
      </w:tblGrid>
      <w:tr w:rsidR="000738F2" w:rsidRPr="00E33E85" w14:paraId="23459357" w14:textId="77777777" w:rsidTr="00AE1FAD">
        <w:tc>
          <w:tcPr>
            <w:tcW w:w="1701" w:type="dxa"/>
            <w:shd w:val="clear" w:color="auto" w:fill="auto"/>
          </w:tcPr>
          <w:p w14:paraId="0EDAEFE8" w14:textId="070E5B19" w:rsidR="000738F2" w:rsidRPr="00E33E85" w:rsidRDefault="000738F2" w:rsidP="000738F2">
            <w:r>
              <w:t>Article 24(1):</w:t>
            </w:r>
          </w:p>
        </w:tc>
        <w:tc>
          <w:tcPr>
            <w:tcW w:w="7477" w:type="dxa"/>
            <w:shd w:val="clear" w:color="auto" w:fill="auto"/>
          </w:tcPr>
          <w:p w14:paraId="0032431E" w14:textId="74E1B80B" w:rsidR="000738F2" w:rsidRPr="00774CDF" w:rsidRDefault="000738F2" w:rsidP="000738F2">
            <w:r>
              <w:rPr>
                <w:szCs w:val="22"/>
              </w:rPr>
              <w:t>allows jurisdictions to choose to allow the CAs to agree on a different resolution after the arbitration decision has been delivered</w:t>
            </w:r>
          </w:p>
        </w:tc>
      </w:tr>
      <w:tr w:rsidR="000738F2" w:rsidRPr="00E33E85" w14:paraId="0FE01718" w14:textId="77777777" w:rsidTr="00AE1FAD">
        <w:tc>
          <w:tcPr>
            <w:tcW w:w="1701" w:type="dxa"/>
            <w:shd w:val="clear" w:color="auto" w:fill="auto"/>
          </w:tcPr>
          <w:p w14:paraId="6B3B8C5D" w14:textId="6CB65504" w:rsidR="000738F2" w:rsidRDefault="000738F2" w:rsidP="000738F2">
            <w:r>
              <w:rPr>
                <w:szCs w:val="22"/>
              </w:rPr>
              <w:t>Article 24(2):</w:t>
            </w:r>
          </w:p>
        </w:tc>
        <w:tc>
          <w:tcPr>
            <w:tcW w:w="7477" w:type="dxa"/>
            <w:shd w:val="clear" w:color="auto" w:fill="auto"/>
          </w:tcPr>
          <w:p w14:paraId="6684CE02" w14:textId="3804F99F" w:rsidR="000738F2" w:rsidRDefault="000738F2" w:rsidP="000738F2">
            <w:pPr>
              <w:rPr>
                <w:szCs w:val="22"/>
              </w:rPr>
            </w:pPr>
            <w:r>
              <w:rPr>
                <w:szCs w:val="22"/>
              </w:rPr>
              <w:t xml:space="preserve">prescribes the arbitration decision is not binding on the jurisdictions or implemented if the CAs </w:t>
            </w:r>
            <w:r w:rsidRPr="00F52587">
              <w:rPr>
                <w:szCs w:val="22"/>
              </w:rPr>
              <w:t>agree on a different resolution</w:t>
            </w:r>
            <w:r>
              <w:rPr>
                <w:szCs w:val="22"/>
              </w:rPr>
              <w:t xml:space="preserve"> within 3 months of the arbitration decision being delivered</w:t>
            </w:r>
          </w:p>
        </w:tc>
      </w:tr>
    </w:tbl>
    <w:p w14:paraId="0DA34818" w14:textId="31ADC3E2" w:rsidR="00AC2840" w:rsidRPr="002A2DEF" w:rsidRDefault="00AC2840" w:rsidP="000738F2">
      <w:pPr>
        <w:pStyle w:val="Heading4"/>
      </w:pPr>
      <w:r w:rsidRPr="002A2DEF">
        <w:t>Costs of arbitration proceedings</w:t>
      </w:r>
    </w:p>
    <w:tbl>
      <w:tblPr>
        <w:tblStyle w:val="TableGrid"/>
        <w:tblW w:w="0" w:type="auto"/>
        <w:tblLook w:val="04A0" w:firstRow="1" w:lastRow="0" w:firstColumn="1" w:lastColumn="0" w:noHBand="0" w:noVBand="1"/>
      </w:tblPr>
      <w:tblGrid>
        <w:gridCol w:w="1701"/>
        <w:gridCol w:w="7477"/>
      </w:tblGrid>
      <w:tr w:rsidR="000738F2" w:rsidRPr="00E33E85" w14:paraId="4CB3E92C" w14:textId="77777777" w:rsidTr="00AE1FAD">
        <w:tc>
          <w:tcPr>
            <w:tcW w:w="1701" w:type="dxa"/>
            <w:shd w:val="clear" w:color="auto" w:fill="auto"/>
          </w:tcPr>
          <w:p w14:paraId="78FC83BF" w14:textId="2A24B28E" w:rsidR="000738F2" w:rsidRPr="00E33E85" w:rsidRDefault="000738F2" w:rsidP="000738F2">
            <w:r>
              <w:t>Article 25:</w:t>
            </w:r>
          </w:p>
        </w:tc>
        <w:tc>
          <w:tcPr>
            <w:tcW w:w="7477" w:type="dxa"/>
            <w:shd w:val="clear" w:color="auto" w:fill="auto"/>
          </w:tcPr>
          <w:p w14:paraId="0A57285B" w14:textId="5D7BDAC5" w:rsidR="000738F2" w:rsidRPr="00774CDF" w:rsidRDefault="000738F2" w:rsidP="000738F2">
            <w:r>
              <w:t>prescribes how the costs of arbitration will be shared between the two jurisdictions</w:t>
            </w:r>
          </w:p>
        </w:tc>
      </w:tr>
    </w:tbl>
    <w:p w14:paraId="55B7676B" w14:textId="77777777" w:rsidR="00AC2840" w:rsidRPr="003832A2" w:rsidRDefault="00AC2840" w:rsidP="000738F2">
      <w:pPr>
        <w:pStyle w:val="Heading3"/>
      </w:pPr>
      <w:r w:rsidRPr="003832A2">
        <w:t>What are the options?</w:t>
      </w:r>
    </w:p>
    <w:p w14:paraId="780767A2" w14:textId="77777777" w:rsidR="00AC2840" w:rsidRDefault="00AC2840" w:rsidP="000738F2">
      <w:r w:rsidRPr="00256C1B">
        <w:t xml:space="preserve">Adopt </w:t>
      </w:r>
      <w:r>
        <w:t>Part VI</w:t>
      </w:r>
      <w:r w:rsidRPr="002A2DEF">
        <w:t xml:space="preserve"> without reservation</w:t>
      </w:r>
    </w:p>
    <w:tbl>
      <w:tblPr>
        <w:tblStyle w:val="TableGrid"/>
        <w:tblW w:w="0" w:type="auto"/>
        <w:tblInd w:w="108" w:type="dxa"/>
        <w:tblLook w:val="04A0" w:firstRow="1" w:lastRow="0" w:firstColumn="1" w:lastColumn="0" w:noHBand="0" w:noVBand="1"/>
      </w:tblPr>
      <w:tblGrid>
        <w:gridCol w:w="1134"/>
        <w:gridCol w:w="8044"/>
      </w:tblGrid>
      <w:tr w:rsidR="000738F2" w:rsidRPr="00E33E85" w14:paraId="7E0982B4" w14:textId="77777777" w:rsidTr="00AE1FAD">
        <w:tc>
          <w:tcPr>
            <w:tcW w:w="1134" w:type="dxa"/>
            <w:shd w:val="clear" w:color="auto" w:fill="auto"/>
          </w:tcPr>
          <w:p w14:paraId="051F0A4F" w14:textId="5AAFD5A8" w:rsidR="000738F2" w:rsidRPr="00E33E85" w:rsidRDefault="000738F2" w:rsidP="000738F2">
            <w:r w:rsidRPr="002A2DEF">
              <w:rPr>
                <w:szCs w:val="22"/>
              </w:rPr>
              <w:t>18</w:t>
            </w:r>
          </w:p>
        </w:tc>
        <w:tc>
          <w:tcPr>
            <w:tcW w:w="8044" w:type="dxa"/>
            <w:shd w:val="clear" w:color="auto" w:fill="auto"/>
          </w:tcPr>
          <w:p w14:paraId="12DB3193" w14:textId="49B9B8AF" w:rsidR="000738F2" w:rsidRPr="00774CDF" w:rsidRDefault="000738F2" w:rsidP="000738F2">
            <w:r w:rsidRPr="00256C1B">
              <w:rPr>
                <w:szCs w:val="22"/>
              </w:rPr>
              <w:t xml:space="preserve">Do not adopt </w:t>
            </w:r>
            <w:r>
              <w:rPr>
                <w:szCs w:val="22"/>
              </w:rPr>
              <w:t>Part VI</w:t>
            </w:r>
            <w:r w:rsidRPr="00256C1B">
              <w:rPr>
                <w:szCs w:val="22"/>
              </w:rPr>
              <w:t xml:space="preserve"> at all (i.e. no change to bilateral treaty rules)</w:t>
            </w:r>
          </w:p>
        </w:tc>
      </w:tr>
      <w:tr w:rsidR="000738F2" w:rsidRPr="00E33E85" w14:paraId="6568ECDF" w14:textId="77777777" w:rsidTr="00AE1FAD">
        <w:tc>
          <w:tcPr>
            <w:tcW w:w="1134" w:type="dxa"/>
            <w:shd w:val="clear" w:color="auto" w:fill="auto"/>
          </w:tcPr>
          <w:p w14:paraId="4DE83D55" w14:textId="0149A04E" w:rsidR="000738F2" w:rsidRDefault="000738F2" w:rsidP="000738F2">
            <w:r>
              <w:rPr>
                <w:szCs w:val="22"/>
              </w:rPr>
              <w:t>19(11)</w:t>
            </w:r>
          </w:p>
        </w:tc>
        <w:tc>
          <w:tcPr>
            <w:tcW w:w="8044" w:type="dxa"/>
            <w:shd w:val="clear" w:color="auto" w:fill="auto"/>
          </w:tcPr>
          <w:p w14:paraId="6185CF27" w14:textId="5CEE0818" w:rsidR="000738F2" w:rsidRPr="003832A2" w:rsidRDefault="000738F2" w:rsidP="000738F2">
            <w:r w:rsidRPr="008D161B">
              <w:rPr>
                <w:szCs w:val="22"/>
              </w:rPr>
              <w:t xml:space="preserve">Adopt Article </w:t>
            </w:r>
            <w:r w:rsidRPr="002A2DEF">
              <w:rPr>
                <w:szCs w:val="22"/>
              </w:rPr>
              <w:t>19</w:t>
            </w:r>
            <w:r w:rsidRPr="008D161B">
              <w:rPr>
                <w:szCs w:val="22"/>
              </w:rPr>
              <w:t xml:space="preserve"> but apply a three year period (instead of two years) </w:t>
            </w:r>
            <w:r w:rsidRPr="002A2DEF">
              <w:rPr>
                <w:szCs w:val="22"/>
              </w:rPr>
              <w:t>for</w:t>
            </w:r>
            <w:r w:rsidRPr="008D161B">
              <w:rPr>
                <w:szCs w:val="22"/>
              </w:rPr>
              <w:t xml:space="preserve"> the referral of unresolved disputes to arbitration</w:t>
            </w:r>
          </w:p>
        </w:tc>
      </w:tr>
      <w:tr w:rsidR="000738F2" w:rsidRPr="00E33E85" w14:paraId="771629ED" w14:textId="77777777" w:rsidTr="00AE1FAD">
        <w:tc>
          <w:tcPr>
            <w:tcW w:w="1134" w:type="dxa"/>
            <w:shd w:val="clear" w:color="auto" w:fill="auto"/>
          </w:tcPr>
          <w:p w14:paraId="055421D3" w14:textId="7F3E9764" w:rsidR="000738F2" w:rsidRDefault="000738F2" w:rsidP="000738F2">
            <w:r>
              <w:rPr>
                <w:szCs w:val="22"/>
              </w:rPr>
              <w:t>19(12)(a)</w:t>
            </w:r>
          </w:p>
        </w:tc>
        <w:tc>
          <w:tcPr>
            <w:tcW w:w="8044" w:type="dxa"/>
            <w:shd w:val="clear" w:color="auto" w:fill="auto"/>
          </w:tcPr>
          <w:p w14:paraId="07A243F8" w14:textId="48CC4B8D" w:rsidR="000738F2" w:rsidRPr="00774CDF" w:rsidRDefault="000738F2" w:rsidP="000738F2">
            <w:r w:rsidRPr="008D161B">
              <w:rPr>
                <w:szCs w:val="22"/>
              </w:rPr>
              <w:t xml:space="preserve">Adopt Article </w:t>
            </w:r>
            <w:r>
              <w:rPr>
                <w:szCs w:val="22"/>
              </w:rPr>
              <w:t>19</w:t>
            </w:r>
            <w:r w:rsidRPr="008D161B">
              <w:rPr>
                <w:szCs w:val="22"/>
              </w:rPr>
              <w:t xml:space="preserve"> but exclude disputes in respect of which a court or administrative tribunal has rendered a decision from the scope of arbitration</w:t>
            </w:r>
          </w:p>
        </w:tc>
      </w:tr>
      <w:tr w:rsidR="000738F2" w:rsidRPr="00E33E85" w14:paraId="3C81DB44" w14:textId="77777777" w:rsidTr="00AE1FAD">
        <w:tc>
          <w:tcPr>
            <w:tcW w:w="1134" w:type="dxa"/>
            <w:shd w:val="clear" w:color="auto" w:fill="auto"/>
          </w:tcPr>
          <w:p w14:paraId="409DA377" w14:textId="47BA7D90" w:rsidR="000738F2" w:rsidRDefault="000738F2" w:rsidP="000738F2">
            <w:pPr>
              <w:rPr>
                <w:szCs w:val="22"/>
              </w:rPr>
            </w:pPr>
            <w:r>
              <w:rPr>
                <w:szCs w:val="22"/>
              </w:rPr>
              <w:t>19(12)(b)</w:t>
            </w:r>
          </w:p>
        </w:tc>
        <w:tc>
          <w:tcPr>
            <w:tcW w:w="8044" w:type="dxa"/>
            <w:shd w:val="clear" w:color="auto" w:fill="auto"/>
          </w:tcPr>
          <w:p w14:paraId="7A94E0D2" w14:textId="6F889D57" w:rsidR="000738F2" w:rsidRPr="00774CDF" w:rsidRDefault="000738F2" w:rsidP="000738F2">
            <w:r w:rsidRPr="008D161B">
              <w:rPr>
                <w:szCs w:val="22"/>
              </w:rPr>
              <w:t xml:space="preserve">Adopt Article </w:t>
            </w:r>
            <w:r>
              <w:rPr>
                <w:szCs w:val="22"/>
              </w:rPr>
              <w:t>19</w:t>
            </w:r>
            <w:r w:rsidRPr="008D161B">
              <w:rPr>
                <w:szCs w:val="22"/>
              </w:rPr>
              <w:t xml:space="preserve"> but include a rule that would terminate the arbitration proceedings if a court or administrative tribunal renders a decision on the dispute</w:t>
            </w:r>
          </w:p>
        </w:tc>
      </w:tr>
      <w:tr w:rsidR="000738F2" w:rsidRPr="00E33E85" w14:paraId="35A08DBF" w14:textId="77777777" w:rsidTr="00AE1FAD">
        <w:tc>
          <w:tcPr>
            <w:tcW w:w="1134" w:type="dxa"/>
            <w:shd w:val="clear" w:color="auto" w:fill="auto"/>
          </w:tcPr>
          <w:p w14:paraId="15997230" w14:textId="6B6A984C" w:rsidR="000738F2" w:rsidRDefault="000738F2" w:rsidP="000738F2">
            <w:pPr>
              <w:rPr>
                <w:szCs w:val="22"/>
              </w:rPr>
            </w:pPr>
            <w:r>
              <w:rPr>
                <w:szCs w:val="22"/>
              </w:rPr>
              <w:t>23(2)</w:t>
            </w:r>
          </w:p>
        </w:tc>
        <w:tc>
          <w:tcPr>
            <w:tcW w:w="8044" w:type="dxa"/>
            <w:shd w:val="clear" w:color="auto" w:fill="auto"/>
          </w:tcPr>
          <w:p w14:paraId="3ABE67CA" w14:textId="3927E91E" w:rsidR="000738F2" w:rsidRPr="00774CDF" w:rsidRDefault="000738F2" w:rsidP="000738F2">
            <w:r w:rsidRPr="008D161B">
              <w:rPr>
                <w:szCs w:val="22"/>
              </w:rPr>
              <w:t xml:space="preserve">Adopt Article </w:t>
            </w:r>
            <w:r>
              <w:rPr>
                <w:szCs w:val="22"/>
              </w:rPr>
              <w:t>23</w:t>
            </w:r>
            <w:r w:rsidRPr="008D161B">
              <w:rPr>
                <w:szCs w:val="22"/>
              </w:rPr>
              <w:t xml:space="preserve"> but </w:t>
            </w:r>
            <w:r>
              <w:rPr>
                <w:szCs w:val="22"/>
              </w:rPr>
              <w:t xml:space="preserve">instead adopt the </w:t>
            </w:r>
            <w:r w:rsidR="00740B66">
              <w:rPr>
                <w:szCs w:val="22"/>
              </w:rPr>
              <w:t>‘</w:t>
            </w:r>
            <w:r>
              <w:rPr>
                <w:szCs w:val="22"/>
              </w:rPr>
              <w:t>independent opinion</w:t>
            </w:r>
            <w:r w:rsidR="00740B66">
              <w:rPr>
                <w:szCs w:val="22"/>
              </w:rPr>
              <w:t>’</w:t>
            </w:r>
            <w:r w:rsidRPr="008D161B">
              <w:rPr>
                <w:szCs w:val="22"/>
              </w:rPr>
              <w:t xml:space="preserve"> arbitration process</w:t>
            </w:r>
          </w:p>
        </w:tc>
      </w:tr>
      <w:tr w:rsidR="000738F2" w:rsidRPr="00E33E85" w14:paraId="1B819FE5" w14:textId="77777777" w:rsidTr="00AE1FAD">
        <w:tc>
          <w:tcPr>
            <w:tcW w:w="1134" w:type="dxa"/>
            <w:shd w:val="clear" w:color="auto" w:fill="auto"/>
          </w:tcPr>
          <w:p w14:paraId="7329A0A6" w14:textId="294B9D93" w:rsidR="000738F2" w:rsidRDefault="000738F2" w:rsidP="000738F2">
            <w:pPr>
              <w:rPr>
                <w:szCs w:val="22"/>
              </w:rPr>
            </w:pPr>
            <w:r>
              <w:rPr>
                <w:szCs w:val="22"/>
              </w:rPr>
              <w:t>23(3)</w:t>
            </w:r>
          </w:p>
        </w:tc>
        <w:tc>
          <w:tcPr>
            <w:tcW w:w="8044" w:type="dxa"/>
            <w:shd w:val="clear" w:color="auto" w:fill="auto"/>
          </w:tcPr>
          <w:p w14:paraId="1F04F041" w14:textId="340C286C" w:rsidR="000738F2" w:rsidRPr="00774CDF" w:rsidRDefault="000738F2" w:rsidP="000738F2">
            <w:r>
              <w:rPr>
                <w:szCs w:val="22"/>
              </w:rPr>
              <w:t xml:space="preserve">Do not adopt Article 23 where the other jurisdiction has reserved the right to instead adopt </w:t>
            </w:r>
            <w:r w:rsidRPr="00D04BF1">
              <w:rPr>
                <w:szCs w:val="22"/>
              </w:rPr>
              <w:t xml:space="preserve">the </w:t>
            </w:r>
            <w:r w:rsidR="00740B66">
              <w:rPr>
                <w:szCs w:val="22"/>
              </w:rPr>
              <w:t>‘</w:t>
            </w:r>
            <w:r w:rsidRPr="00D04BF1">
              <w:rPr>
                <w:szCs w:val="22"/>
              </w:rPr>
              <w:t>independent opinion</w:t>
            </w:r>
            <w:r w:rsidR="00740B66">
              <w:rPr>
                <w:szCs w:val="22"/>
              </w:rPr>
              <w:t>’</w:t>
            </w:r>
            <w:r w:rsidRPr="00D04BF1">
              <w:rPr>
                <w:szCs w:val="22"/>
              </w:rPr>
              <w:t xml:space="preserve"> arbitration process</w:t>
            </w:r>
            <w:r w:rsidRPr="00D04BF1" w:rsidDel="003E000E">
              <w:rPr>
                <w:szCs w:val="22"/>
              </w:rPr>
              <w:t xml:space="preserve"> </w:t>
            </w:r>
            <w:r>
              <w:rPr>
                <w:szCs w:val="22"/>
              </w:rPr>
              <w:t>and leave it to the CAs to endeavour to agree on the type of arbitration process</w:t>
            </w:r>
          </w:p>
        </w:tc>
      </w:tr>
      <w:tr w:rsidR="000738F2" w:rsidRPr="00E33E85" w14:paraId="328FF44E" w14:textId="77777777" w:rsidTr="00AE1FAD">
        <w:tc>
          <w:tcPr>
            <w:tcW w:w="1134" w:type="dxa"/>
            <w:shd w:val="clear" w:color="auto" w:fill="auto"/>
          </w:tcPr>
          <w:p w14:paraId="25CDAE86" w14:textId="57FDE526" w:rsidR="000738F2" w:rsidRDefault="000738F2" w:rsidP="000738F2">
            <w:pPr>
              <w:rPr>
                <w:szCs w:val="22"/>
              </w:rPr>
            </w:pPr>
            <w:r>
              <w:rPr>
                <w:szCs w:val="22"/>
              </w:rPr>
              <w:t>23(5)</w:t>
            </w:r>
          </w:p>
        </w:tc>
        <w:tc>
          <w:tcPr>
            <w:tcW w:w="8044" w:type="dxa"/>
            <w:shd w:val="clear" w:color="auto" w:fill="auto"/>
          </w:tcPr>
          <w:p w14:paraId="5EAD1F20" w14:textId="30CB7A7E" w:rsidR="000738F2" w:rsidRPr="00774CDF" w:rsidRDefault="000738F2" w:rsidP="000738F2">
            <w:r w:rsidRPr="008D161B">
              <w:rPr>
                <w:szCs w:val="22"/>
              </w:rPr>
              <w:t xml:space="preserve">Adopt Article </w:t>
            </w:r>
            <w:r>
              <w:rPr>
                <w:szCs w:val="22"/>
              </w:rPr>
              <w:t>23</w:t>
            </w:r>
            <w:r w:rsidRPr="008D161B">
              <w:rPr>
                <w:szCs w:val="22"/>
              </w:rPr>
              <w:t xml:space="preserve"> but include a rule to ensure the confidentiality of the arbitration proceedings, including the possibility of terminating proceedings if the taxpayer or its representatives breach confidentiality</w:t>
            </w:r>
          </w:p>
        </w:tc>
      </w:tr>
      <w:tr w:rsidR="000738F2" w:rsidRPr="00E33E85" w14:paraId="4E0F8944" w14:textId="77777777" w:rsidTr="00AE1FAD">
        <w:tc>
          <w:tcPr>
            <w:tcW w:w="1134" w:type="dxa"/>
            <w:shd w:val="clear" w:color="auto" w:fill="auto"/>
          </w:tcPr>
          <w:p w14:paraId="74EE1BE8" w14:textId="538F33EE" w:rsidR="000738F2" w:rsidRDefault="000738F2" w:rsidP="000738F2">
            <w:pPr>
              <w:rPr>
                <w:szCs w:val="22"/>
              </w:rPr>
            </w:pPr>
            <w:r>
              <w:rPr>
                <w:szCs w:val="22"/>
              </w:rPr>
              <w:t>23(6)</w:t>
            </w:r>
          </w:p>
        </w:tc>
        <w:tc>
          <w:tcPr>
            <w:tcW w:w="8044" w:type="dxa"/>
            <w:shd w:val="clear" w:color="auto" w:fill="auto"/>
          </w:tcPr>
          <w:p w14:paraId="6DB18385" w14:textId="56E5D38F" w:rsidR="000738F2" w:rsidRPr="00774CDF" w:rsidRDefault="000738F2" w:rsidP="000738F2">
            <w:r>
              <w:rPr>
                <w:szCs w:val="22"/>
              </w:rPr>
              <w:t xml:space="preserve">Adopt Article 23 but where the jurisdiction has not reserved the right to require confidentiality under Article 23(5), the jurisdiction can </w:t>
            </w:r>
            <w:r w:rsidRPr="008D161B">
              <w:rPr>
                <w:szCs w:val="22"/>
              </w:rPr>
              <w:t xml:space="preserve">elect for </w:t>
            </w:r>
            <w:r>
              <w:rPr>
                <w:szCs w:val="22"/>
              </w:rPr>
              <w:t>Article 23(5)</w:t>
            </w:r>
            <w:r w:rsidRPr="008D161B">
              <w:rPr>
                <w:szCs w:val="22"/>
              </w:rPr>
              <w:t xml:space="preserve"> not to apply to selected </w:t>
            </w:r>
            <w:r>
              <w:rPr>
                <w:szCs w:val="22"/>
              </w:rPr>
              <w:t>covered tax agreements</w:t>
            </w:r>
          </w:p>
        </w:tc>
      </w:tr>
      <w:tr w:rsidR="000738F2" w:rsidRPr="00E33E85" w14:paraId="19BB5430" w14:textId="77777777" w:rsidTr="00AE1FAD">
        <w:tc>
          <w:tcPr>
            <w:tcW w:w="1134" w:type="dxa"/>
            <w:shd w:val="clear" w:color="auto" w:fill="auto"/>
          </w:tcPr>
          <w:p w14:paraId="3F0EB2A0" w14:textId="3D9D9C48" w:rsidR="000738F2" w:rsidRDefault="000738F2" w:rsidP="000738F2">
            <w:pPr>
              <w:rPr>
                <w:szCs w:val="22"/>
              </w:rPr>
            </w:pPr>
            <w:r>
              <w:rPr>
                <w:szCs w:val="22"/>
              </w:rPr>
              <w:t>23(6)</w:t>
            </w:r>
          </w:p>
        </w:tc>
        <w:tc>
          <w:tcPr>
            <w:tcW w:w="8044" w:type="dxa"/>
            <w:shd w:val="clear" w:color="auto" w:fill="auto"/>
          </w:tcPr>
          <w:p w14:paraId="31E783E2" w14:textId="41E6018B" w:rsidR="000738F2" w:rsidRPr="00774CDF" w:rsidRDefault="000738F2" w:rsidP="000738F2">
            <w:r w:rsidRPr="00665ADF">
              <w:rPr>
                <w:szCs w:val="22"/>
              </w:rPr>
              <w:t>Adopt Article 23</w:t>
            </w:r>
            <w:r>
              <w:rPr>
                <w:szCs w:val="22"/>
              </w:rPr>
              <w:t xml:space="preserve"> but where the jurisdiction has</w:t>
            </w:r>
            <w:r w:rsidRPr="00665ADF">
              <w:rPr>
                <w:szCs w:val="22"/>
              </w:rPr>
              <w:t xml:space="preserve"> reserved the right to require confidentiality under Article 23(5), the jurisdiction can elect for </w:t>
            </w:r>
            <w:r>
              <w:rPr>
                <w:szCs w:val="22"/>
              </w:rPr>
              <w:t>Part VI</w:t>
            </w:r>
            <w:r w:rsidRPr="00665ADF">
              <w:rPr>
                <w:szCs w:val="22"/>
              </w:rPr>
              <w:t xml:space="preserve"> not to apply </w:t>
            </w:r>
            <w:r>
              <w:rPr>
                <w:szCs w:val="22"/>
              </w:rPr>
              <w:t xml:space="preserve">at all </w:t>
            </w:r>
            <w:r w:rsidRPr="00665ADF">
              <w:rPr>
                <w:szCs w:val="22"/>
              </w:rPr>
              <w:t xml:space="preserve">to </w:t>
            </w:r>
            <w:r>
              <w:rPr>
                <w:szCs w:val="22"/>
              </w:rPr>
              <w:t xml:space="preserve">any </w:t>
            </w:r>
            <w:r w:rsidRPr="00665ADF">
              <w:rPr>
                <w:szCs w:val="22"/>
              </w:rPr>
              <w:t>covered tax agreements</w:t>
            </w:r>
            <w:r>
              <w:rPr>
                <w:szCs w:val="22"/>
              </w:rPr>
              <w:t xml:space="preserve"> for which the other jurisdiction has reserved its position under Article 23(5)</w:t>
            </w:r>
          </w:p>
        </w:tc>
      </w:tr>
      <w:tr w:rsidR="000738F2" w:rsidRPr="00E33E85" w14:paraId="6883E170" w14:textId="77777777" w:rsidTr="00AE1FAD">
        <w:tc>
          <w:tcPr>
            <w:tcW w:w="1134" w:type="dxa"/>
            <w:shd w:val="clear" w:color="auto" w:fill="auto"/>
          </w:tcPr>
          <w:p w14:paraId="76813AAA" w14:textId="1E89D899" w:rsidR="000738F2" w:rsidRDefault="000738F2" w:rsidP="000738F2">
            <w:pPr>
              <w:rPr>
                <w:szCs w:val="22"/>
              </w:rPr>
            </w:pPr>
            <w:r>
              <w:rPr>
                <w:szCs w:val="22"/>
              </w:rPr>
              <w:t>24(3)</w:t>
            </w:r>
          </w:p>
        </w:tc>
        <w:tc>
          <w:tcPr>
            <w:tcW w:w="8044" w:type="dxa"/>
            <w:shd w:val="clear" w:color="auto" w:fill="auto"/>
          </w:tcPr>
          <w:p w14:paraId="56B4934D" w14:textId="56F2DA69" w:rsidR="000738F2" w:rsidRPr="00665ADF" w:rsidRDefault="000738F2" w:rsidP="000738F2">
            <w:pPr>
              <w:rPr>
                <w:szCs w:val="22"/>
              </w:rPr>
            </w:pPr>
            <w:r>
              <w:rPr>
                <w:szCs w:val="22"/>
              </w:rPr>
              <w:t xml:space="preserve">Adopt Article 24 but only where the </w:t>
            </w:r>
            <w:r w:rsidR="00740B66">
              <w:rPr>
                <w:szCs w:val="22"/>
              </w:rPr>
              <w:t>‘</w:t>
            </w:r>
            <w:r>
              <w:rPr>
                <w:szCs w:val="22"/>
              </w:rPr>
              <w:t>independent opinion</w:t>
            </w:r>
            <w:r w:rsidR="00740B66">
              <w:rPr>
                <w:szCs w:val="22"/>
              </w:rPr>
              <w:t>’</w:t>
            </w:r>
            <w:r>
              <w:rPr>
                <w:szCs w:val="22"/>
              </w:rPr>
              <w:t xml:space="preserve"> arbitration process applies</w:t>
            </w:r>
          </w:p>
        </w:tc>
      </w:tr>
      <w:tr w:rsidR="000738F2" w:rsidRPr="00E33E85" w14:paraId="47B395D6" w14:textId="77777777" w:rsidTr="00AE1FAD">
        <w:tc>
          <w:tcPr>
            <w:tcW w:w="1134" w:type="dxa"/>
            <w:shd w:val="clear" w:color="auto" w:fill="auto"/>
          </w:tcPr>
          <w:p w14:paraId="387E80E7" w14:textId="04DD34A7" w:rsidR="000738F2" w:rsidRDefault="000738F2" w:rsidP="000738F2">
            <w:pPr>
              <w:rPr>
                <w:szCs w:val="22"/>
              </w:rPr>
            </w:pPr>
            <w:r>
              <w:rPr>
                <w:szCs w:val="22"/>
              </w:rPr>
              <w:t>26(4)</w:t>
            </w:r>
          </w:p>
        </w:tc>
        <w:tc>
          <w:tcPr>
            <w:tcW w:w="8044" w:type="dxa"/>
            <w:shd w:val="clear" w:color="auto" w:fill="auto"/>
          </w:tcPr>
          <w:p w14:paraId="6823FD26" w14:textId="61F2CB2B" w:rsidR="000738F2" w:rsidRPr="00665ADF" w:rsidRDefault="000738F2" w:rsidP="000738F2">
            <w:pPr>
              <w:rPr>
                <w:szCs w:val="22"/>
              </w:rPr>
            </w:pPr>
            <w:r w:rsidRPr="008D161B">
              <w:rPr>
                <w:szCs w:val="22"/>
              </w:rPr>
              <w:t xml:space="preserve">Do not adopt </w:t>
            </w:r>
            <w:r>
              <w:rPr>
                <w:szCs w:val="22"/>
              </w:rPr>
              <w:t>Part VI</w:t>
            </w:r>
            <w:r w:rsidRPr="008D161B">
              <w:rPr>
                <w:szCs w:val="22"/>
              </w:rPr>
              <w:t xml:space="preserve"> </w:t>
            </w:r>
            <w:r>
              <w:rPr>
                <w:szCs w:val="22"/>
              </w:rPr>
              <w:t>for</w:t>
            </w:r>
            <w:r w:rsidRPr="008D161B">
              <w:rPr>
                <w:szCs w:val="22"/>
              </w:rPr>
              <w:t xml:space="preserve"> </w:t>
            </w:r>
            <w:r>
              <w:rPr>
                <w:szCs w:val="22"/>
              </w:rPr>
              <w:t xml:space="preserve">one or more </w:t>
            </w:r>
            <w:r w:rsidRPr="008D161B">
              <w:rPr>
                <w:szCs w:val="22"/>
              </w:rPr>
              <w:t>treaties that already provide for mandatory binding arbitration</w:t>
            </w:r>
          </w:p>
        </w:tc>
      </w:tr>
      <w:tr w:rsidR="000738F2" w:rsidRPr="00E33E85" w14:paraId="217100A2" w14:textId="77777777" w:rsidTr="00AE1FAD">
        <w:tc>
          <w:tcPr>
            <w:tcW w:w="1134" w:type="dxa"/>
            <w:shd w:val="clear" w:color="auto" w:fill="auto"/>
          </w:tcPr>
          <w:p w14:paraId="0DC100C9" w14:textId="02ED15C1" w:rsidR="000738F2" w:rsidRDefault="000738F2" w:rsidP="000738F2">
            <w:pPr>
              <w:rPr>
                <w:szCs w:val="22"/>
              </w:rPr>
            </w:pPr>
            <w:r>
              <w:rPr>
                <w:szCs w:val="22"/>
              </w:rPr>
              <w:t>28(2)(a)</w:t>
            </w:r>
          </w:p>
        </w:tc>
        <w:tc>
          <w:tcPr>
            <w:tcW w:w="8044" w:type="dxa"/>
            <w:shd w:val="clear" w:color="auto" w:fill="auto"/>
          </w:tcPr>
          <w:p w14:paraId="4047E6E0" w14:textId="3B0E261C" w:rsidR="000738F2" w:rsidRPr="00665ADF" w:rsidRDefault="000738F2" w:rsidP="000738F2">
            <w:pPr>
              <w:rPr>
                <w:szCs w:val="22"/>
              </w:rPr>
            </w:pPr>
            <w:r w:rsidRPr="008D161B">
              <w:rPr>
                <w:szCs w:val="22"/>
              </w:rPr>
              <w:t xml:space="preserve">Adopt </w:t>
            </w:r>
            <w:r>
              <w:rPr>
                <w:szCs w:val="22"/>
              </w:rPr>
              <w:t xml:space="preserve">Part VI </w:t>
            </w:r>
            <w:r w:rsidRPr="008D161B">
              <w:rPr>
                <w:szCs w:val="22"/>
              </w:rPr>
              <w:t>but exclude particular issues from the scope of arbitration</w:t>
            </w:r>
          </w:p>
        </w:tc>
      </w:tr>
      <w:tr w:rsidR="000738F2" w:rsidRPr="00E33E85" w14:paraId="3FDAC26F" w14:textId="77777777" w:rsidTr="00AE1FAD">
        <w:tc>
          <w:tcPr>
            <w:tcW w:w="1134" w:type="dxa"/>
            <w:shd w:val="clear" w:color="auto" w:fill="auto"/>
          </w:tcPr>
          <w:p w14:paraId="20F174EA" w14:textId="1649EBFD" w:rsidR="000738F2" w:rsidRDefault="000738F2" w:rsidP="000738F2">
            <w:pPr>
              <w:rPr>
                <w:szCs w:val="22"/>
              </w:rPr>
            </w:pPr>
            <w:r>
              <w:rPr>
                <w:szCs w:val="22"/>
              </w:rPr>
              <w:t>28(2)(b)</w:t>
            </w:r>
          </w:p>
        </w:tc>
        <w:tc>
          <w:tcPr>
            <w:tcW w:w="8044" w:type="dxa"/>
            <w:shd w:val="clear" w:color="auto" w:fill="auto"/>
          </w:tcPr>
          <w:p w14:paraId="6A1EEF99" w14:textId="39F19A14" w:rsidR="000738F2" w:rsidRPr="00665ADF" w:rsidRDefault="000738F2" w:rsidP="000738F2">
            <w:pPr>
              <w:rPr>
                <w:szCs w:val="22"/>
              </w:rPr>
            </w:pPr>
            <w:r>
              <w:rPr>
                <w:szCs w:val="22"/>
              </w:rPr>
              <w:t>Do not adopt Part VI where a jurisdiction objects to a reservation made by the other jurisdiction under Article 28(2)(b)</w:t>
            </w:r>
          </w:p>
        </w:tc>
      </w:tr>
    </w:tbl>
    <w:p w14:paraId="51286FCE" w14:textId="67E78500" w:rsidR="00AC2840" w:rsidRPr="002A2DEF" w:rsidRDefault="00AC2840" w:rsidP="000738F2">
      <w:pPr>
        <w:pStyle w:val="Heading3"/>
      </w:pPr>
      <w:r w:rsidRPr="002A2DEF">
        <w:t>Australia</w:t>
      </w:r>
      <w:r w:rsidR="00740B66">
        <w:t>’</w:t>
      </w:r>
      <w:r w:rsidRPr="002A2DEF">
        <w:t xml:space="preserve">s initial approach to </w:t>
      </w:r>
      <w:r>
        <w:t>Part VI</w:t>
      </w:r>
    </w:p>
    <w:p w14:paraId="17560349" w14:textId="46F85AEC" w:rsidR="00AC2840" w:rsidRPr="002A2DEF" w:rsidRDefault="00AC2840" w:rsidP="000738F2">
      <w:r w:rsidRPr="002A2DEF">
        <w:t>Part VI is consistent with Australia</w:t>
      </w:r>
      <w:r w:rsidR="00740B66">
        <w:t>’</w:t>
      </w:r>
      <w:r w:rsidRPr="002A2DEF">
        <w:t xml:space="preserve">s commitment to </w:t>
      </w:r>
      <w:r w:rsidRPr="00EA28F1">
        <w:t>implement binding MAP arbitration in its bilateral tax treaties.</w:t>
      </w:r>
      <w:r>
        <w:t xml:space="preserve"> Australia has included binding MAP arbitration provisions (with some variations) in its bilateral tax treaties with New Zealand (2009), Switzerland (2013) and Germany (2015). Each of those treaties prevents an unresolved issue from being submitted to arbitration if a court or administrative tribunal of either jurisdiction has already a decision on the issue. </w:t>
      </w:r>
      <w:r w:rsidRPr="0054677A">
        <w:t>However, Australia</w:t>
      </w:r>
      <w:r w:rsidR="00740B66">
        <w:t>’</w:t>
      </w:r>
      <w:r w:rsidRPr="0054677A">
        <w:t xml:space="preserve">s </w:t>
      </w:r>
      <w:r w:rsidRPr="002A2DEF">
        <w:t>general anti</w:t>
      </w:r>
      <w:r w:rsidR="00740B66">
        <w:noBreakHyphen/>
      </w:r>
      <w:r w:rsidRPr="002A2DEF">
        <w:t xml:space="preserve">avoidance rule (Part IVA of the </w:t>
      </w:r>
      <w:r w:rsidRPr="002A2DEF">
        <w:rPr>
          <w:i/>
        </w:rPr>
        <w:t>Income Tax Assessment Act 1936</w:t>
      </w:r>
      <w:r w:rsidRPr="002A2DEF">
        <w:t>) prevails over Australia</w:t>
      </w:r>
      <w:r w:rsidR="00740B66">
        <w:t>’</w:t>
      </w:r>
      <w:r w:rsidRPr="002A2DEF">
        <w:t>s bilateral treaties</w:t>
      </w:r>
      <w:r w:rsidR="00D04E2A">
        <w:t xml:space="preserve">. </w:t>
      </w:r>
    </w:p>
    <w:p w14:paraId="5968B66D" w14:textId="106E62D7" w:rsidR="00DE2748" w:rsidRPr="00A25BDF" w:rsidRDefault="00AC2840" w:rsidP="000738F2">
      <w:r w:rsidRPr="002A2DEF">
        <w:t>On this basis, Australia</w:t>
      </w:r>
      <w:r w:rsidR="00740B66">
        <w:t>’</w:t>
      </w:r>
      <w:r w:rsidRPr="002A2DEF">
        <w:t xml:space="preserve">s initial approach is to </w:t>
      </w:r>
      <w:r w:rsidRPr="00E635F9">
        <w:t xml:space="preserve">adopt </w:t>
      </w:r>
      <w:r>
        <w:t xml:space="preserve">Part VI of the MLI </w:t>
      </w:r>
      <w:r w:rsidRPr="0054677A">
        <w:t>across its covered tax agreements</w:t>
      </w:r>
      <w:r>
        <w:t>,</w:t>
      </w:r>
      <w:r w:rsidRPr="00E635F9">
        <w:t xml:space="preserve"> including the option requiring taxpayers (and their advisers) to maintain the confidentiality of information</w:t>
      </w:r>
      <w:r>
        <w:t xml:space="preserve"> obtained during the course of arbitration proceedings</w:t>
      </w:r>
      <w:r w:rsidRPr="00E635F9">
        <w:t xml:space="preserve">. </w:t>
      </w:r>
      <w:r>
        <w:t>Australia</w:t>
      </w:r>
      <w:r w:rsidR="00740B66">
        <w:t>’</w:t>
      </w:r>
      <w:r>
        <w:t xml:space="preserve">s initial approach is to also </w:t>
      </w:r>
      <w:r w:rsidRPr="00E635F9">
        <w:t>enter a reservation to exclude Australia</w:t>
      </w:r>
      <w:r w:rsidR="00740B66">
        <w:t>’</w:t>
      </w:r>
      <w:r w:rsidRPr="00E635F9">
        <w:t>s general anti</w:t>
      </w:r>
      <w:r w:rsidR="00740B66">
        <w:noBreakHyphen/>
      </w:r>
      <w:r w:rsidRPr="00E635F9">
        <w:t>avoidance rule from the scope of arbitratio</w:t>
      </w:r>
      <w:r>
        <w:t>n</w:t>
      </w:r>
      <w:r w:rsidRPr="00E635F9">
        <w:t xml:space="preserve"> </w:t>
      </w:r>
      <w:r w:rsidRPr="008D161B">
        <w:t xml:space="preserve">and </w:t>
      </w:r>
      <w:r>
        <w:t xml:space="preserve">possibly </w:t>
      </w:r>
      <w:r w:rsidRPr="008D161B">
        <w:t>enter the reservat</w:t>
      </w:r>
      <w:r>
        <w:t>ions permitted by Article 19(12</w:t>
      </w:r>
      <w:r w:rsidRPr="008D161B">
        <w:t>)</w:t>
      </w:r>
      <w:r>
        <w:t>.</w:t>
      </w:r>
    </w:p>
    <w:sectPr w:rsidR="00DE2748" w:rsidRPr="00A25BDF" w:rsidSect="00126BEA">
      <w:footerReference w:type="first" r:id="rId22"/>
      <w:pgSz w:w="11906" w:h="16838" w:code="9"/>
      <w:pgMar w:top="1276" w:right="1418" w:bottom="709" w:left="1418" w:header="42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1A219" w14:textId="77777777" w:rsidR="0057574C" w:rsidRDefault="0057574C">
      <w:pPr>
        <w:spacing w:after="0" w:line="240" w:lineRule="auto"/>
      </w:pPr>
      <w:r>
        <w:separator/>
      </w:r>
    </w:p>
  </w:endnote>
  <w:endnote w:type="continuationSeparator" w:id="0">
    <w:p w14:paraId="62889C65" w14:textId="77777777" w:rsidR="0057574C" w:rsidRDefault="0057574C">
      <w:pPr>
        <w:spacing w:after="0" w:line="240" w:lineRule="auto"/>
      </w:pPr>
      <w:r>
        <w:continuationSeparator/>
      </w:r>
    </w:p>
  </w:endnote>
  <w:endnote w:type="continuationNotice" w:id="1">
    <w:p w14:paraId="3BC5912D" w14:textId="77777777" w:rsidR="0057574C" w:rsidRDefault="00575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8ECD4" w14:textId="42CE9E18" w:rsidR="00740B66" w:rsidRPr="00D961EE" w:rsidRDefault="00D961EE" w:rsidP="00D961EE">
    <w:pPr>
      <w:pStyle w:val="FooterOdd"/>
      <w:rPr>
        <w:rFonts w:ascii="Book Antiqua" w:hAnsi="Book Antiqua"/>
      </w:rPr>
    </w:pPr>
    <w:r>
      <w:rPr>
        <w:rStyle w:val="PageNumber"/>
      </w:rPr>
      <w:t xml:space="preserve">Page </w:t>
    </w:r>
    <w:r w:rsidRPr="0056559F">
      <w:rPr>
        <w:rStyle w:val="PageNumber"/>
      </w:rPr>
      <w:fldChar w:fldCharType="begin"/>
    </w:r>
    <w:r w:rsidRPr="0056559F">
      <w:rPr>
        <w:rStyle w:val="PageNumber"/>
      </w:rPr>
      <w:instrText xml:space="preserve"> PAGE   \* MERGEFORMAT </w:instrText>
    </w:r>
    <w:r w:rsidRPr="0056559F">
      <w:rPr>
        <w:rStyle w:val="PageNumber"/>
      </w:rPr>
      <w:fldChar w:fldCharType="separate"/>
    </w:r>
    <w:r w:rsidR="0064091D">
      <w:rPr>
        <w:rStyle w:val="PageNumber"/>
        <w:noProof/>
      </w:rPr>
      <w:t>ii</w:t>
    </w:r>
    <w:r w:rsidRPr="0056559F">
      <w:rPr>
        <w:rStyle w:val="PageNumbe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FB587" w14:textId="77777777" w:rsidR="00100532" w:rsidRDefault="00100532">
    <w:pPr>
      <w:pStyle w:val="FooterOdd"/>
      <w:rPr>
        <w:rStyle w:val="PageNumber"/>
      </w:rPr>
    </w:pPr>
    <w:r>
      <w:rPr>
        <w:rStyle w:val="PageNumber"/>
      </w:rPr>
      <w:t xml:space="preserve">Page </w:t>
    </w:r>
    <w:r w:rsidRPr="0056559F">
      <w:rPr>
        <w:rStyle w:val="PageNumber"/>
      </w:rPr>
      <w:fldChar w:fldCharType="begin"/>
    </w:r>
    <w:r w:rsidRPr="0056559F">
      <w:rPr>
        <w:rStyle w:val="PageNumber"/>
      </w:rPr>
      <w:instrText xml:space="preserve"> PAGE   \* MERGEFORMAT </w:instrText>
    </w:r>
    <w:r w:rsidRPr="0056559F">
      <w:rPr>
        <w:rStyle w:val="PageNumber"/>
      </w:rPr>
      <w:fldChar w:fldCharType="separate"/>
    </w:r>
    <w:r w:rsidR="0064091D">
      <w:rPr>
        <w:rStyle w:val="PageNumber"/>
        <w:noProof/>
      </w:rPr>
      <w:t>1</w:t>
    </w:r>
    <w:r w:rsidRPr="0056559F">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911E3" w14:textId="77777777" w:rsidR="0057574C" w:rsidRDefault="0057574C">
      <w:pPr>
        <w:spacing w:after="0" w:line="240" w:lineRule="auto"/>
      </w:pPr>
      <w:r>
        <w:separator/>
      </w:r>
    </w:p>
  </w:footnote>
  <w:footnote w:type="continuationSeparator" w:id="0">
    <w:p w14:paraId="1D6606C2" w14:textId="77777777" w:rsidR="0057574C" w:rsidRDefault="0057574C">
      <w:pPr>
        <w:spacing w:after="0" w:line="240" w:lineRule="auto"/>
      </w:pPr>
      <w:r>
        <w:continuationSeparator/>
      </w:r>
    </w:p>
  </w:footnote>
  <w:footnote w:type="continuationNotice" w:id="1">
    <w:p w14:paraId="0F2FFD4A" w14:textId="77777777" w:rsidR="0057574C" w:rsidRDefault="0057574C">
      <w:pPr>
        <w:spacing w:after="0" w:line="240" w:lineRule="auto"/>
      </w:pPr>
    </w:p>
  </w:footnote>
  <w:footnote w:id="2">
    <w:p w14:paraId="5D7A20D6" w14:textId="16AD7F88" w:rsidR="00100532" w:rsidRDefault="00D961EE" w:rsidP="00D961EE">
      <w:pPr>
        <w:pStyle w:val="FootnoteText"/>
      </w:pPr>
      <w:r>
        <w:t xml:space="preserve">1. </w:t>
      </w:r>
      <w:r>
        <w:tab/>
      </w:r>
      <w:r w:rsidR="00100532" w:rsidRPr="00D04E2A">
        <w:t>Note that the MLI is designed to apply to comprehensive tax treaties (e.g. those based on the OECD Model Tax Convention). It is not intended to apply to other types of bilateral tax agreements such as airline profits agreements or tax information exchange agreements.</w:t>
      </w:r>
    </w:p>
  </w:footnote>
  <w:footnote w:id="3">
    <w:p w14:paraId="51519F37" w14:textId="5AE4932D" w:rsidR="00100532" w:rsidRDefault="00100532" w:rsidP="000C6C69">
      <w:pPr>
        <w:pStyle w:val="FootnoteText"/>
        <w:spacing w:after="0"/>
      </w:pPr>
      <w:r w:rsidRPr="00D04E2A">
        <w:rPr>
          <w:rStyle w:val="FootnoteReference"/>
          <w:vertAlign w:val="baseline"/>
        </w:rPr>
        <w:footnoteRef/>
      </w:r>
      <w:r>
        <w:t xml:space="preserve"> </w:t>
      </w:r>
      <w:r>
        <w:tab/>
      </w:r>
      <w:r w:rsidRPr="006C4B44">
        <w:rPr>
          <w:i/>
        </w:rPr>
        <w:t xml:space="preserve">The OECD Model Tax </w:t>
      </w:r>
      <w:r>
        <w:rPr>
          <w:i/>
        </w:rPr>
        <w:t>Convention</w:t>
      </w:r>
      <w:r w:rsidRPr="006C4B44">
        <w:rPr>
          <w:i/>
        </w:rPr>
        <w:t xml:space="preserve"> on Income and on Capital (2014</w:t>
      </w:r>
      <w:r>
        <w:t>).</w:t>
      </w:r>
    </w:p>
  </w:footnote>
  <w:footnote w:id="4">
    <w:p w14:paraId="7DF2B959" w14:textId="30855C31" w:rsidR="00100532" w:rsidRDefault="00100532" w:rsidP="00DB5E91">
      <w:pPr>
        <w:pStyle w:val="FootnoteText"/>
        <w:spacing w:after="0"/>
      </w:pPr>
      <w:r w:rsidRPr="00D04E2A">
        <w:rPr>
          <w:rStyle w:val="FootnoteReference"/>
          <w:vertAlign w:val="baseline"/>
        </w:rPr>
        <w:footnoteRef/>
      </w:r>
      <w:r>
        <w:t xml:space="preserve"> </w:t>
      </w:r>
      <w:r>
        <w:tab/>
        <w:t xml:space="preserve">See the 2015 final reports of the OECD/G20 Base Erosion and Profit Shifting Project. </w:t>
      </w:r>
    </w:p>
  </w:footnote>
  <w:footnote w:id="5">
    <w:p w14:paraId="63BD9293" w14:textId="375184EB" w:rsidR="00100532" w:rsidRDefault="00100532" w:rsidP="00E66BBC">
      <w:pPr>
        <w:pStyle w:val="FootnoteText"/>
        <w:spacing w:after="0"/>
      </w:pPr>
      <w:r w:rsidRPr="00D04E2A">
        <w:rPr>
          <w:rStyle w:val="FootnoteReference"/>
          <w:vertAlign w:val="baseline"/>
        </w:rPr>
        <w:footnoteRef/>
      </w:r>
      <w:r>
        <w:t xml:space="preserve"> </w:t>
      </w:r>
      <w:r>
        <w:tab/>
      </w:r>
      <w:r w:rsidRPr="00FA0FEE">
        <w:rPr>
          <w:i/>
        </w:rPr>
        <w:t xml:space="preserve">The OECD Model Tax </w:t>
      </w:r>
      <w:r>
        <w:rPr>
          <w:i/>
        </w:rPr>
        <w:t>Convention</w:t>
      </w:r>
      <w:r w:rsidRPr="00FA0FEE">
        <w:rPr>
          <w:i/>
        </w:rPr>
        <w:t xml:space="preserve"> on Income and on Capital (2014</w:t>
      </w:r>
      <w:r>
        <w:t>).</w:t>
      </w:r>
    </w:p>
    <w:p w14:paraId="7AAD0C5B" w14:textId="59A73929" w:rsidR="00100532" w:rsidRDefault="00100532" w:rsidP="00E66BBC">
      <w:pPr>
        <w:pStyle w:val="FootnoteText"/>
        <w:spacing w:after="0"/>
      </w:pPr>
      <w:r>
        <w:t xml:space="preserve">* </w:t>
      </w:r>
      <w:r>
        <w:tab/>
        <w:t xml:space="preserve">(M) denotes mandatory articles. All other articles are optional. </w:t>
      </w:r>
    </w:p>
  </w:footnote>
  <w:footnote w:id="6">
    <w:p w14:paraId="6A08389B" w14:textId="6DBBCC84" w:rsidR="00100532" w:rsidRDefault="00100532" w:rsidP="002E08C8">
      <w:pPr>
        <w:pStyle w:val="FootnoteText"/>
      </w:pPr>
      <w:r w:rsidRPr="00D04E2A">
        <w:rPr>
          <w:rStyle w:val="FootnoteReference"/>
          <w:sz w:val="16"/>
          <w:szCs w:val="16"/>
          <w:vertAlign w:val="baseline"/>
        </w:rPr>
        <w:footnoteRef/>
      </w:r>
      <w:r w:rsidRPr="00471B08">
        <w:t xml:space="preserve"> </w:t>
      </w:r>
      <w:r>
        <w:tab/>
      </w:r>
      <w:r w:rsidRPr="00471B08">
        <w:t>Although some of Australia</w:t>
      </w:r>
      <w:r w:rsidR="00740B66">
        <w:t>’</w:t>
      </w:r>
      <w:r w:rsidRPr="00471B08">
        <w:t xml:space="preserve">s tax treaties include split definitions of what constitutes a </w:t>
      </w:r>
      <w:r w:rsidR="00740B66">
        <w:t>‘</w:t>
      </w:r>
      <w:r w:rsidRPr="00471B08">
        <w:t>non</w:t>
      </w:r>
      <w:r w:rsidR="00740B66">
        <w:noBreakHyphen/>
      </w:r>
      <w:r w:rsidRPr="00471B08">
        <w:t>portfolio</w:t>
      </w:r>
      <w:r w:rsidR="00740B66">
        <w:t>’</w:t>
      </w:r>
      <w:r w:rsidRPr="00471B08">
        <w:t xml:space="preserve"> dividend interest, typically </w:t>
      </w:r>
      <w:r>
        <w:t>the rules for Australian dividends apply</w:t>
      </w:r>
      <w:r w:rsidRPr="00471B08">
        <w:t xml:space="preserve"> where the receiving company has 10% or more of the voting interest in the paying company</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277A44"/>
    <w:multiLevelType w:val="multilevel"/>
    <w:tmpl w:val="6EDA0696"/>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07643677"/>
    <w:multiLevelType w:val="hybridMultilevel"/>
    <w:tmpl w:val="426A34A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1396178B"/>
    <w:multiLevelType w:val="multilevel"/>
    <w:tmpl w:val="7A9E8EF8"/>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nsid w:val="14A0797F"/>
    <w:multiLevelType w:val="multilevel"/>
    <w:tmpl w:val="A948CF54"/>
    <w:lvl w:ilvl="0">
      <w:start w:val="1"/>
      <w:numFmt w:val="upperLetter"/>
      <w:lvlText w:val="%1."/>
      <w:lvlJc w:val="left"/>
      <w:pPr>
        <w:tabs>
          <w:tab w:val="num" w:pos="1134"/>
        </w:tabs>
        <w:ind w:left="1134" w:hanging="567"/>
      </w:pPr>
      <w:rPr>
        <w:rFonts w:hint="default"/>
        <w:b w:val="0"/>
        <w:i w:val="0"/>
      </w:rPr>
    </w:lvl>
    <w:lvl w:ilvl="1">
      <w:start w:val="1"/>
      <w:numFmt w:val="decimal"/>
      <w:lvlText w:val="%1.%2."/>
      <w:lvlJc w:val="left"/>
      <w:pPr>
        <w:tabs>
          <w:tab w:val="num" w:pos="1701"/>
        </w:tabs>
        <w:ind w:left="1701" w:hanging="567"/>
      </w:pPr>
      <w:rPr>
        <w:rFonts w:hint="default"/>
        <w:b w:val="0"/>
        <w:i w:val="0"/>
      </w:rPr>
    </w:lvl>
    <w:lvl w:ilvl="2">
      <w:start w:val="1"/>
      <w:numFmt w:val="decimal"/>
      <w:lvlText w:val="%1.%2.%3."/>
      <w:lvlJc w:val="left"/>
      <w:pPr>
        <w:tabs>
          <w:tab w:val="num" w:pos="2551"/>
        </w:tabs>
        <w:ind w:left="2551" w:hanging="850"/>
      </w:pPr>
      <w:rPr>
        <w:rFonts w:hint="default"/>
        <w:b w:val="0"/>
        <w:i w:val="0"/>
      </w:rPr>
    </w:lvl>
    <w:lvl w:ilvl="3">
      <w:start w:val="1"/>
      <w:numFmt w:val="decimal"/>
      <w:lvlText w:val="(%4)"/>
      <w:lvlJc w:val="left"/>
      <w:pPr>
        <w:tabs>
          <w:tab w:val="num" w:pos="2007"/>
        </w:tabs>
        <w:ind w:left="2007" w:hanging="360"/>
      </w:pPr>
      <w:rPr>
        <w:rFonts w:hint="default"/>
        <w:b w:val="0"/>
        <w:i w:val="0"/>
      </w:rPr>
    </w:lvl>
    <w:lvl w:ilvl="4">
      <w:start w:val="1"/>
      <w:numFmt w:val="lowerLetter"/>
      <w:lvlText w:val="(%5)"/>
      <w:lvlJc w:val="left"/>
      <w:pPr>
        <w:tabs>
          <w:tab w:val="num" w:pos="2367"/>
        </w:tabs>
        <w:ind w:left="2367" w:hanging="360"/>
      </w:pPr>
      <w:rPr>
        <w:rFonts w:hint="default"/>
        <w:b w:val="0"/>
        <w:i w:val="0"/>
      </w:rPr>
    </w:lvl>
    <w:lvl w:ilvl="5">
      <w:start w:val="1"/>
      <w:numFmt w:val="lowerRoman"/>
      <w:lvlText w:val="(%6)"/>
      <w:lvlJc w:val="left"/>
      <w:pPr>
        <w:tabs>
          <w:tab w:val="num" w:pos="2727"/>
        </w:tabs>
        <w:ind w:left="2727" w:hanging="360"/>
      </w:pPr>
      <w:rPr>
        <w:rFonts w:hint="default"/>
        <w:b w:val="0"/>
        <w:i w:val="0"/>
      </w:rPr>
    </w:lvl>
    <w:lvl w:ilvl="6">
      <w:start w:val="1"/>
      <w:numFmt w:val="decimal"/>
      <w:lvlText w:val="%7."/>
      <w:lvlJc w:val="left"/>
      <w:pPr>
        <w:tabs>
          <w:tab w:val="num" w:pos="3087"/>
        </w:tabs>
        <w:ind w:left="3087" w:hanging="360"/>
      </w:pPr>
      <w:rPr>
        <w:rFonts w:hint="default"/>
        <w:b w:val="0"/>
        <w:i w:val="0"/>
      </w:rPr>
    </w:lvl>
    <w:lvl w:ilvl="7">
      <w:start w:val="1"/>
      <w:numFmt w:val="lowerLetter"/>
      <w:lvlText w:val="%8."/>
      <w:lvlJc w:val="left"/>
      <w:pPr>
        <w:tabs>
          <w:tab w:val="num" w:pos="3447"/>
        </w:tabs>
        <w:ind w:left="3447" w:hanging="360"/>
      </w:pPr>
      <w:rPr>
        <w:rFonts w:hint="default"/>
        <w:b w:val="0"/>
        <w:i w:val="0"/>
      </w:rPr>
    </w:lvl>
    <w:lvl w:ilvl="8">
      <w:start w:val="1"/>
      <w:numFmt w:val="lowerRoman"/>
      <w:lvlText w:val="%9."/>
      <w:lvlJc w:val="left"/>
      <w:pPr>
        <w:tabs>
          <w:tab w:val="num" w:pos="3807"/>
        </w:tabs>
        <w:ind w:left="3807" w:hanging="360"/>
      </w:pPr>
      <w:rPr>
        <w:rFonts w:hint="default"/>
        <w:b w:val="0"/>
        <w:i w:val="0"/>
      </w:rPr>
    </w:lvl>
  </w:abstractNum>
  <w:abstractNum w:abstractNumId="15">
    <w:nsid w:val="15F46CD3"/>
    <w:multiLevelType w:val="multilevel"/>
    <w:tmpl w:val="B5F0711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7">
    <w:nsid w:val="1BBF121C"/>
    <w:multiLevelType w:val="multilevel"/>
    <w:tmpl w:val="E272B7DA"/>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nsid w:val="1BDB5283"/>
    <w:multiLevelType w:val="hybridMultilevel"/>
    <w:tmpl w:val="5E9C01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1F8C74F5"/>
    <w:multiLevelType w:val="hybridMultilevel"/>
    <w:tmpl w:val="5CD821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216572E"/>
    <w:multiLevelType w:val="multilevel"/>
    <w:tmpl w:val="2638940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23885C2B"/>
    <w:multiLevelType w:val="multilevel"/>
    <w:tmpl w:val="86783CD8"/>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nsid w:val="244237C5"/>
    <w:multiLevelType w:val="multilevel"/>
    <w:tmpl w:val="A6800B9E"/>
    <w:numStyleLink w:val="Outlinenumbering"/>
  </w:abstractNum>
  <w:abstractNum w:abstractNumId="25">
    <w:nsid w:val="24A750C3"/>
    <w:multiLevelType w:val="multilevel"/>
    <w:tmpl w:val="FB34C104"/>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nsid w:val="24B86D1F"/>
    <w:multiLevelType w:val="hybridMultilevel"/>
    <w:tmpl w:val="D7FEAD92"/>
    <w:lvl w:ilvl="0" w:tplc="35D4822A">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4CA0C96"/>
    <w:multiLevelType w:val="multilevel"/>
    <w:tmpl w:val="2542A1B8"/>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8">
    <w:nsid w:val="253522F0"/>
    <w:multiLevelType w:val="hybridMultilevel"/>
    <w:tmpl w:val="FAC26F2C"/>
    <w:lvl w:ilvl="0" w:tplc="C26C5AF2">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0">
    <w:nsid w:val="27440C8B"/>
    <w:multiLevelType w:val="multilevel"/>
    <w:tmpl w:val="4440A37E"/>
    <w:name w:val="StandardBulletedList"/>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nsid w:val="2C97490E"/>
    <w:multiLevelType w:val="hybridMultilevel"/>
    <w:tmpl w:val="E4647D6E"/>
    <w:lvl w:ilvl="0" w:tplc="E3F27FE0">
      <w:start w:val="1"/>
      <w:numFmt w:val="decimal"/>
      <w:pStyle w:val="Tabletex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33">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4">
    <w:nsid w:val="31B81E54"/>
    <w:multiLevelType w:val="hybridMultilevel"/>
    <w:tmpl w:val="7040B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9B76D16"/>
    <w:multiLevelType w:val="multilevel"/>
    <w:tmpl w:val="0570EF1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37">
    <w:nsid w:val="3C2217C9"/>
    <w:multiLevelType w:val="multilevel"/>
    <w:tmpl w:val="9712F586"/>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8">
    <w:nsid w:val="3C857931"/>
    <w:multiLevelType w:val="singleLevel"/>
    <w:tmpl w:val="0C09000F"/>
    <w:lvl w:ilvl="0">
      <w:start w:val="1"/>
      <w:numFmt w:val="decimal"/>
      <w:lvlText w:val="%1."/>
      <w:lvlJc w:val="left"/>
      <w:pPr>
        <w:tabs>
          <w:tab w:val="num" w:pos="720"/>
        </w:tabs>
        <w:ind w:left="720" w:hanging="360"/>
      </w:pPr>
    </w:lvl>
  </w:abstractNum>
  <w:abstractNum w:abstractNumId="39">
    <w:nsid w:val="40FB29F0"/>
    <w:multiLevelType w:val="multilevel"/>
    <w:tmpl w:val="A11AD028"/>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418B22D4"/>
    <w:multiLevelType w:val="singleLevel"/>
    <w:tmpl w:val="0C09000F"/>
    <w:lvl w:ilvl="0">
      <w:start w:val="1"/>
      <w:numFmt w:val="decimal"/>
      <w:lvlText w:val="%1."/>
      <w:lvlJc w:val="left"/>
      <w:pPr>
        <w:tabs>
          <w:tab w:val="num" w:pos="720"/>
        </w:tabs>
        <w:ind w:left="720" w:hanging="360"/>
      </w:pPr>
    </w:lvl>
  </w:abstractNum>
  <w:abstractNum w:abstractNumId="41">
    <w:nsid w:val="42296B0A"/>
    <w:multiLevelType w:val="multilevel"/>
    <w:tmpl w:val="73203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7C2649"/>
    <w:multiLevelType w:val="multilevel"/>
    <w:tmpl w:val="5BBA710C"/>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3">
    <w:nsid w:val="497D0D1E"/>
    <w:multiLevelType w:val="hybridMultilevel"/>
    <w:tmpl w:val="B7EED25E"/>
    <w:lvl w:ilvl="0" w:tplc="203AA7A2">
      <w:start w:val="1"/>
      <w:numFmt w:val="upp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49870274"/>
    <w:multiLevelType w:val="hybridMultilevel"/>
    <w:tmpl w:val="7D9897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49F21991"/>
    <w:multiLevelType w:val="hybridMultilevel"/>
    <w:tmpl w:val="0924F0D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nsid w:val="4B400F83"/>
    <w:multiLevelType w:val="multilevel"/>
    <w:tmpl w:val="F0EE9C22"/>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48">
    <w:nsid w:val="4F2E5998"/>
    <w:multiLevelType w:val="hybridMultilevel"/>
    <w:tmpl w:val="E3B8CE6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9">
    <w:nsid w:val="50A05E88"/>
    <w:multiLevelType w:val="multilevel"/>
    <w:tmpl w:val="A6A2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0E82AAE"/>
    <w:multiLevelType w:val="multilevel"/>
    <w:tmpl w:val="4F3AD3F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51BA1BE0"/>
    <w:multiLevelType w:val="hybridMultilevel"/>
    <w:tmpl w:val="5CD821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521D70F9"/>
    <w:multiLevelType w:val="multilevel"/>
    <w:tmpl w:val="8C367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5357C1"/>
    <w:multiLevelType w:val="singleLevel"/>
    <w:tmpl w:val="0C09000F"/>
    <w:lvl w:ilvl="0">
      <w:start w:val="1"/>
      <w:numFmt w:val="decimal"/>
      <w:lvlText w:val="%1."/>
      <w:lvlJc w:val="left"/>
      <w:pPr>
        <w:tabs>
          <w:tab w:val="num" w:pos="720"/>
        </w:tabs>
        <w:ind w:left="720" w:hanging="360"/>
      </w:pPr>
    </w:lvl>
  </w:abstractNum>
  <w:abstractNum w:abstractNumId="54">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5">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6">
    <w:nsid w:val="65FB0D17"/>
    <w:multiLevelType w:val="singleLevel"/>
    <w:tmpl w:val="0C09000F"/>
    <w:lvl w:ilvl="0">
      <w:start w:val="1"/>
      <w:numFmt w:val="decimal"/>
      <w:lvlText w:val="%1."/>
      <w:lvlJc w:val="left"/>
      <w:pPr>
        <w:tabs>
          <w:tab w:val="num" w:pos="720"/>
        </w:tabs>
        <w:ind w:left="720" w:hanging="360"/>
      </w:pPr>
    </w:lvl>
  </w:abstractNum>
  <w:abstractNum w:abstractNumId="57">
    <w:nsid w:val="6A337DC9"/>
    <w:multiLevelType w:val="multilevel"/>
    <w:tmpl w:val="92DEEF24"/>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8">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75645F01"/>
    <w:multiLevelType w:val="hybridMultilevel"/>
    <w:tmpl w:val="EAE022A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7EBF275E"/>
    <w:multiLevelType w:val="multilevel"/>
    <w:tmpl w:val="A6800B9E"/>
    <w:numStyleLink w:val="Outlinenumbering"/>
  </w:abstractNum>
  <w:abstractNum w:abstractNumId="62">
    <w:nsid w:val="7F8D0C64"/>
    <w:multiLevelType w:val="multilevel"/>
    <w:tmpl w:val="3A0A0A10"/>
    <w:lvl w:ilvl="0">
      <w:start w:val="1"/>
      <w:numFmt w:val="decimal"/>
      <w:lvlText w:val="%1."/>
      <w:lvlJc w:val="left"/>
      <w:pPr>
        <w:tabs>
          <w:tab w:val="num" w:pos="520"/>
        </w:tabs>
        <w:ind w:left="520" w:hanging="520"/>
      </w:pPr>
      <w:rPr>
        <w:i w:val="0"/>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num w:numId="1">
    <w:abstractNumId w:val="30"/>
  </w:num>
  <w:num w:numId="2">
    <w:abstractNumId w:val="24"/>
  </w:num>
  <w:num w:numId="3">
    <w:abstractNumId w:val="32"/>
  </w:num>
  <w:num w:numId="4">
    <w:abstractNumId w:val="47"/>
  </w:num>
  <w:num w:numId="5">
    <w:abstractNumId w:val="22"/>
  </w:num>
  <w:num w:numId="6">
    <w:abstractNumId w:val="22"/>
  </w:num>
  <w:num w:numId="7">
    <w:abstractNumId w:val="22"/>
  </w:num>
  <w:num w:numId="8">
    <w:abstractNumId w:val="60"/>
  </w:num>
  <w:num w:numId="9">
    <w:abstractNumId w:val="54"/>
  </w:num>
  <w:num w:numId="10">
    <w:abstractNumId w:val="16"/>
  </w:num>
  <w:num w:numId="11">
    <w:abstractNumId w:val="5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36"/>
  </w:num>
  <w:num w:numId="24">
    <w:abstractNumId w:val="29"/>
  </w:num>
  <w:num w:numId="25">
    <w:abstractNumId w:val="33"/>
  </w:num>
  <w:num w:numId="26">
    <w:abstractNumId w:val="61"/>
  </w:num>
  <w:num w:numId="27">
    <w:abstractNumId w:val="58"/>
  </w:num>
  <w:num w:numId="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59"/>
  </w:num>
  <w:num w:numId="32">
    <w:abstractNumId w:val="46"/>
  </w:num>
  <w:num w:numId="33">
    <w:abstractNumId w:val="50"/>
  </w:num>
  <w:num w:numId="34">
    <w:abstractNumId w:val="61"/>
  </w:num>
  <w:num w:numId="35">
    <w:abstractNumId w:val="35"/>
  </w:num>
  <w:num w:numId="36">
    <w:abstractNumId w:val="49"/>
  </w:num>
  <w:num w:numId="37">
    <w:abstractNumId w:val="61"/>
  </w:num>
  <w:num w:numId="38">
    <w:abstractNumId w:val="61"/>
  </w:num>
  <w:num w:numId="39">
    <w:abstractNumId w:val="61"/>
  </w:num>
  <w:num w:numId="40">
    <w:abstractNumId w:val="61"/>
  </w:num>
  <w:num w:numId="41">
    <w:abstractNumId w:val="17"/>
  </w:num>
  <w:num w:numId="42">
    <w:abstractNumId w:val="61"/>
  </w:num>
  <w:num w:numId="43">
    <w:abstractNumId w:val="61"/>
  </w:num>
  <w:num w:numId="44">
    <w:abstractNumId w:val="37"/>
  </w:num>
  <w:num w:numId="45">
    <w:abstractNumId w:val="11"/>
  </w:num>
  <w:num w:numId="46">
    <w:abstractNumId w:val="42"/>
  </w:num>
  <w:num w:numId="47">
    <w:abstractNumId w:val="57"/>
  </w:num>
  <w:num w:numId="48">
    <w:abstractNumId w:val="23"/>
  </w:num>
  <w:num w:numId="49">
    <w:abstractNumId w:val="13"/>
  </w:num>
  <w:num w:numId="50">
    <w:abstractNumId w:val="44"/>
  </w:num>
  <w:num w:numId="51">
    <w:abstractNumId w:val="28"/>
  </w:num>
  <w:num w:numId="52">
    <w:abstractNumId w:val="34"/>
  </w:num>
  <w:num w:numId="53">
    <w:abstractNumId w:val="13"/>
  </w:num>
  <w:num w:numId="54">
    <w:abstractNumId w:val="20"/>
  </w:num>
  <w:num w:numId="55">
    <w:abstractNumId w:val="39"/>
  </w:num>
  <w:num w:numId="56">
    <w:abstractNumId w:val="62"/>
  </w:num>
  <w:num w:numId="57">
    <w:abstractNumId w:val="13"/>
  </w:num>
  <w:num w:numId="58">
    <w:abstractNumId w:val="41"/>
  </w:num>
  <w:num w:numId="59">
    <w:abstractNumId w:val="52"/>
  </w:num>
  <w:num w:numId="60">
    <w:abstractNumId w:val="13"/>
  </w:num>
  <w:num w:numId="61">
    <w:abstractNumId w:val="13"/>
  </w:num>
  <w:num w:numId="62">
    <w:abstractNumId w:val="13"/>
  </w:num>
  <w:num w:numId="63">
    <w:abstractNumId w:val="13"/>
  </w:num>
  <w:num w:numId="64">
    <w:abstractNumId w:val="14"/>
  </w:num>
  <w:num w:numId="65">
    <w:abstractNumId w:val="30"/>
  </w:num>
  <w:num w:numId="66">
    <w:abstractNumId w:val="27"/>
  </w:num>
  <w:num w:numId="67">
    <w:abstractNumId w:val="13"/>
  </w:num>
  <w:num w:numId="68">
    <w:abstractNumId w:val="30"/>
  </w:num>
  <w:num w:numId="69">
    <w:abstractNumId w:val="13"/>
  </w:num>
  <w:num w:numId="70">
    <w:abstractNumId w:val="13"/>
  </w:num>
  <w:num w:numId="71">
    <w:abstractNumId w:val="30"/>
  </w:num>
  <w:num w:numId="72">
    <w:abstractNumId w:val="30"/>
  </w:num>
  <w:num w:numId="73">
    <w:abstractNumId w:val="13"/>
  </w:num>
  <w:num w:numId="74">
    <w:abstractNumId w:val="30"/>
  </w:num>
  <w:num w:numId="75">
    <w:abstractNumId w:val="15"/>
  </w:num>
  <w:num w:numId="76">
    <w:abstractNumId w:val="25"/>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8"/>
  </w:num>
  <w:num w:numId="79">
    <w:abstractNumId w:val="15"/>
  </w:num>
  <w:num w:numId="80">
    <w:abstractNumId w:val="15"/>
  </w:num>
  <w:num w:numId="81">
    <w:abstractNumId w:val="30"/>
  </w:num>
  <w:num w:numId="82">
    <w:abstractNumId w:val="30"/>
  </w:num>
  <w:num w:numId="83">
    <w:abstractNumId w:val="30"/>
  </w:num>
  <w:num w:numId="84">
    <w:abstractNumId w:val="15"/>
  </w:num>
  <w:num w:numId="85">
    <w:abstractNumId w:val="15"/>
  </w:num>
  <w:num w:numId="86">
    <w:abstractNumId w:val="15"/>
  </w:num>
  <w:num w:numId="87">
    <w:abstractNumId w:val="15"/>
  </w:num>
  <w:num w:numId="88">
    <w:abstractNumId w:val="15"/>
  </w:num>
  <w:num w:numId="89">
    <w:abstractNumId w:val="15"/>
  </w:num>
  <w:num w:numId="90">
    <w:abstractNumId w:val="15"/>
  </w:num>
  <w:num w:numId="91">
    <w:abstractNumId w:val="15"/>
  </w:num>
  <w:num w:numId="92">
    <w:abstractNumId w:val="51"/>
  </w:num>
  <w:num w:numId="93">
    <w:abstractNumId w:val="15"/>
  </w:num>
  <w:num w:numId="94">
    <w:abstractNumId w:val="15"/>
  </w:num>
  <w:num w:numId="95">
    <w:abstractNumId w:val="45"/>
  </w:num>
  <w:num w:numId="96">
    <w:abstractNumId w:val="12"/>
  </w:num>
  <w:num w:numId="97">
    <w:abstractNumId w:val="43"/>
  </w:num>
  <w:num w:numId="98">
    <w:abstractNumId w:val="18"/>
  </w:num>
  <w:num w:numId="99">
    <w:abstractNumId w:val="26"/>
  </w:num>
  <w:num w:numId="100">
    <w:abstractNumId w:val="3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linkStyle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415E8B"/>
    <w:rsid w:val="00003050"/>
    <w:rsid w:val="00004B23"/>
    <w:rsid w:val="00010A52"/>
    <w:rsid w:val="00010BA8"/>
    <w:rsid w:val="00015D83"/>
    <w:rsid w:val="00021218"/>
    <w:rsid w:val="00021F7F"/>
    <w:rsid w:val="00023ED1"/>
    <w:rsid w:val="0002571E"/>
    <w:rsid w:val="00027DF4"/>
    <w:rsid w:val="00032869"/>
    <w:rsid w:val="0003631B"/>
    <w:rsid w:val="00041F37"/>
    <w:rsid w:val="00043EDD"/>
    <w:rsid w:val="00043F38"/>
    <w:rsid w:val="00044036"/>
    <w:rsid w:val="000450DE"/>
    <w:rsid w:val="0005011E"/>
    <w:rsid w:val="000512AB"/>
    <w:rsid w:val="00052AD3"/>
    <w:rsid w:val="00052C5E"/>
    <w:rsid w:val="00061D0D"/>
    <w:rsid w:val="00064DDB"/>
    <w:rsid w:val="00073564"/>
    <w:rsid w:val="000738F2"/>
    <w:rsid w:val="0007431D"/>
    <w:rsid w:val="00080D3D"/>
    <w:rsid w:val="0008180E"/>
    <w:rsid w:val="00083DF1"/>
    <w:rsid w:val="00086292"/>
    <w:rsid w:val="00086FC3"/>
    <w:rsid w:val="000913E8"/>
    <w:rsid w:val="00092C9B"/>
    <w:rsid w:val="0009373C"/>
    <w:rsid w:val="000A17F0"/>
    <w:rsid w:val="000A208A"/>
    <w:rsid w:val="000A2DF9"/>
    <w:rsid w:val="000A3EE0"/>
    <w:rsid w:val="000A5814"/>
    <w:rsid w:val="000A7BCF"/>
    <w:rsid w:val="000C4F57"/>
    <w:rsid w:val="000C6C69"/>
    <w:rsid w:val="000D13E6"/>
    <w:rsid w:val="000D2977"/>
    <w:rsid w:val="000D799B"/>
    <w:rsid w:val="000E1B01"/>
    <w:rsid w:val="000E2923"/>
    <w:rsid w:val="000E2A2C"/>
    <w:rsid w:val="000E3494"/>
    <w:rsid w:val="000E3FD7"/>
    <w:rsid w:val="000F56C2"/>
    <w:rsid w:val="000F7152"/>
    <w:rsid w:val="00100532"/>
    <w:rsid w:val="00102EC4"/>
    <w:rsid w:val="00104DE4"/>
    <w:rsid w:val="00104F1F"/>
    <w:rsid w:val="0011137C"/>
    <w:rsid w:val="00111A47"/>
    <w:rsid w:val="00112615"/>
    <w:rsid w:val="0011462E"/>
    <w:rsid w:val="00115B5E"/>
    <w:rsid w:val="00116BC6"/>
    <w:rsid w:val="001201B1"/>
    <w:rsid w:val="00121D5E"/>
    <w:rsid w:val="00126BB7"/>
    <w:rsid w:val="00126BEA"/>
    <w:rsid w:val="0013150F"/>
    <w:rsid w:val="00132B48"/>
    <w:rsid w:val="001344F7"/>
    <w:rsid w:val="00134D7C"/>
    <w:rsid w:val="00135764"/>
    <w:rsid w:val="00136EE6"/>
    <w:rsid w:val="001377DF"/>
    <w:rsid w:val="00137D6C"/>
    <w:rsid w:val="0014042D"/>
    <w:rsid w:val="00141940"/>
    <w:rsid w:val="0014299A"/>
    <w:rsid w:val="00142E19"/>
    <w:rsid w:val="00145F2A"/>
    <w:rsid w:val="00146B0E"/>
    <w:rsid w:val="00147A94"/>
    <w:rsid w:val="00147CA4"/>
    <w:rsid w:val="00150191"/>
    <w:rsid w:val="00154BDE"/>
    <w:rsid w:val="0016151B"/>
    <w:rsid w:val="001618F7"/>
    <w:rsid w:val="0016411F"/>
    <w:rsid w:val="001643DA"/>
    <w:rsid w:val="00165A6C"/>
    <w:rsid w:val="00170495"/>
    <w:rsid w:val="0017333F"/>
    <w:rsid w:val="0017589D"/>
    <w:rsid w:val="00177169"/>
    <w:rsid w:val="00182A24"/>
    <w:rsid w:val="001927D7"/>
    <w:rsid w:val="00193791"/>
    <w:rsid w:val="001A053C"/>
    <w:rsid w:val="001A0DC9"/>
    <w:rsid w:val="001A2146"/>
    <w:rsid w:val="001A4B1F"/>
    <w:rsid w:val="001A5EDD"/>
    <w:rsid w:val="001B37FB"/>
    <w:rsid w:val="001B680F"/>
    <w:rsid w:val="001B7518"/>
    <w:rsid w:val="001C0D09"/>
    <w:rsid w:val="001C1C28"/>
    <w:rsid w:val="001C2C65"/>
    <w:rsid w:val="001C4E3F"/>
    <w:rsid w:val="001C52FE"/>
    <w:rsid w:val="001C62D7"/>
    <w:rsid w:val="001C779E"/>
    <w:rsid w:val="001D0AB6"/>
    <w:rsid w:val="001D15A7"/>
    <w:rsid w:val="001D269A"/>
    <w:rsid w:val="001D35B8"/>
    <w:rsid w:val="001E018C"/>
    <w:rsid w:val="001E3E45"/>
    <w:rsid w:val="001E43D3"/>
    <w:rsid w:val="001E59E8"/>
    <w:rsid w:val="001E7294"/>
    <w:rsid w:val="001E797C"/>
    <w:rsid w:val="001F0585"/>
    <w:rsid w:val="001F0D4A"/>
    <w:rsid w:val="001F6019"/>
    <w:rsid w:val="001F75AB"/>
    <w:rsid w:val="00202F83"/>
    <w:rsid w:val="0020363F"/>
    <w:rsid w:val="002056FC"/>
    <w:rsid w:val="002117A4"/>
    <w:rsid w:val="00212340"/>
    <w:rsid w:val="00215666"/>
    <w:rsid w:val="0021621F"/>
    <w:rsid w:val="0022164B"/>
    <w:rsid w:val="0022278F"/>
    <w:rsid w:val="002229E7"/>
    <w:rsid w:val="00225B0D"/>
    <w:rsid w:val="00227894"/>
    <w:rsid w:val="002304A0"/>
    <w:rsid w:val="0023085D"/>
    <w:rsid w:val="00230A09"/>
    <w:rsid w:val="002310EE"/>
    <w:rsid w:val="00233E0E"/>
    <w:rsid w:val="00234F10"/>
    <w:rsid w:val="00241343"/>
    <w:rsid w:val="00241452"/>
    <w:rsid w:val="002449AE"/>
    <w:rsid w:val="00244B72"/>
    <w:rsid w:val="0024625B"/>
    <w:rsid w:val="00254B62"/>
    <w:rsid w:val="002706C3"/>
    <w:rsid w:val="00271CFE"/>
    <w:rsid w:val="002856F8"/>
    <w:rsid w:val="00285BED"/>
    <w:rsid w:val="00286CC4"/>
    <w:rsid w:val="0029315E"/>
    <w:rsid w:val="002952AC"/>
    <w:rsid w:val="002952DD"/>
    <w:rsid w:val="0029539B"/>
    <w:rsid w:val="0029703C"/>
    <w:rsid w:val="002A1E93"/>
    <w:rsid w:val="002B18EF"/>
    <w:rsid w:val="002B24AA"/>
    <w:rsid w:val="002C138E"/>
    <w:rsid w:val="002C2B61"/>
    <w:rsid w:val="002D0516"/>
    <w:rsid w:val="002D0921"/>
    <w:rsid w:val="002D0A2C"/>
    <w:rsid w:val="002D288D"/>
    <w:rsid w:val="002D43B8"/>
    <w:rsid w:val="002D5E91"/>
    <w:rsid w:val="002D7ED9"/>
    <w:rsid w:val="002E07C5"/>
    <w:rsid w:val="002E08C8"/>
    <w:rsid w:val="002E21FF"/>
    <w:rsid w:val="002E3EB3"/>
    <w:rsid w:val="002E64D0"/>
    <w:rsid w:val="002E696D"/>
    <w:rsid w:val="002F107E"/>
    <w:rsid w:val="002F1351"/>
    <w:rsid w:val="002F3AB0"/>
    <w:rsid w:val="002F3AC0"/>
    <w:rsid w:val="002F3E62"/>
    <w:rsid w:val="002F44B3"/>
    <w:rsid w:val="002F66F0"/>
    <w:rsid w:val="00300242"/>
    <w:rsid w:val="0030515D"/>
    <w:rsid w:val="003052E8"/>
    <w:rsid w:val="00305373"/>
    <w:rsid w:val="00305F4E"/>
    <w:rsid w:val="00307987"/>
    <w:rsid w:val="00307B55"/>
    <w:rsid w:val="00310D69"/>
    <w:rsid w:val="00312A07"/>
    <w:rsid w:val="0031782E"/>
    <w:rsid w:val="00317849"/>
    <w:rsid w:val="003241FD"/>
    <w:rsid w:val="00324454"/>
    <w:rsid w:val="0032659F"/>
    <w:rsid w:val="00330F12"/>
    <w:rsid w:val="00331AB4"/>
    <w:rsid w:val="00331AE4"/>
    <w:rsid w:val="00336914"/>
    <w:rsid w:val="00343310"/>
    <w:rsid w:val="0034411B"/>
    <w:rsid w:val="00344817"/>
    <w:rsid w:val="0034512D"/>
    <w:rsid w:val="00347828"/>
    <w:rsid w:val="003502DE"/>
    <w:rsid w:val="00352FBD"/>
    <w:rsid w:val="00352FCF"/>
    <w:rsid w:val="00360093"/>
    <w:rsid w:val="00365148"/>
    <w:rsid w:val="003661E2"/>
    <w:rsid w:val="00370F5F"/>
    <w:rsid w:val="003720B0"/>
    <w:rsid w:val="00373D85"/>
    <w:rsid w:val="0037511E"/>
    <w:rsid w:val="003752FB"/>
    <w:rsid w:val="00376C8F"/>
    <w:rsid w:val="0038178D"/>
    <w:rsid w:val="003821D0"/>
    <w:rsid w:val="003825F8"/>
    <w:rsid w:val="00382C5B"/>
    <w:rsid w:val="003832A2"/>
    <w:rsid w:val="00385775"/>
    <w:rsid w:val="00387160"/>
    <w:rsid w:val="003876F5"/>
    <w:rsid w:val="00393A0A"/>
    <w:rsid w:val="00395846"/>
    <w:rsid w:val="00396995"/>
    <w:rsid w:val="003A09CB"/>
    <w:rsid w:val="003A1248"/>
    <w:rsid w:val="003A3C6D"/>
    <w:rsid w:val="003A3E50"/>
    <w:rsid w:val="003A3FA7"/>
    <w:rsid w:val="003A4654"/>
    <w:rsid w:val="003A4945"/>
    <w:rsid w:val="003A7CA3"/>
    <w:rsid w:val="003B197C"/>
    <w:rsid w:val="003B1F56"/>
    <w:rsid w:val="003B23AF"/>
    <w:rsid w:val="003B32BA"/>
    <w:rsid w:val="003C1575"/>
    <w:rsid w:val="003C4CD6"/>
    <w:rsid w:val="003C4E22"/>
    <w:rsid w:val="003C676F"/>
    <w:rsid w:val="003C679D"/>
    <w:rsid w:val="003D0776"/>
    <w:rsid w:val="003D0E82"/>
    <w:rsid w:val="003D1AEE"/>
    <w:rsid w:val="003D1F6C"/>
    <w:rsid w:val="003D23E9"/>
    <w:rsid w:val="003D3C47"/>
    <w:rsid w:val="003E0B60"/>
    <w:rsid w:val="003E0D3A"/>
    <w:rsid w:val="003E25B7"/>
    <w:rsid w:val="003E3E9A"/>
    <w:rsid w:val="003F0A66"/>
    <w:rsid w:val="003F3B59"/>
    <w:rsid w:val="003F771B"/>
    <w:rsid w:val="00400F7E"/>
    <w:rsid w:val="00405FDB"/>
    <w:rsid w:val="00407915"/>
    <w:rsid w:val="00413CB0"/>
    <w:rsid w:val="00415342"/>
    <w:rsid w:val="00415E8B"/>
    <w:rsid w:val="00416B11"/>
    <w:rsid w:val="00421506"/>
    <w:rsid w:val="0042749C"/>
    <w:rsid w:val="00427BB9"/>
    <w:rsid w:val="0043008B"/>
    <w:rsid w:val="00431119"/>
    <w:rsid w:val="00431E3C"/>
    <w:rsid w:val="004365D6"/>
    <w:rsid w:val="00437468"/>
    <w:rsid w:val="004376E6"/>
    <w:rsid w:val="004377AB"/>
    <w:rsid w:val="00440937"/>
    <w:rsid w:val="00442697"/>
    <w:rsid w:val="00443208"/>
    <w:rsid w:val="004461C1"/>
    <w:rsid w:val="00447234"/>
    <w:rsid w:val="00447631"/>
    <w:rsid w:val="00450AD2"/>
    <w:rsid w:val="00453E3F"/>
    <w:rsid w:val="0045484D"/>
    <w:rsid w:val="004555D0"/>
    <w:rsid w:val="00460057"/>
    <w:rsid w:val="00463825"/>
    <w:rsid w:val="00463D56"/>
    <w:rsid w:val="004646A1"/>
    <w:rsid w:val="00466A82"/>
    <w:rsid w:val="00466B31"/>
    <w:rsid w:val="004675FF"/>
    <w:rsid w:val="0046778F"/>
    <w:rsid w:val="00471B08"/>
    <w:rsid w:val="00472597"/>
    <w:rsid w:val="00484323"/>
    <w:rsid w:val="004850A7"/>
    <w:rsid w:val="004909F2"/>
    <w:rsid w:val="00494A3F"/>
    <w:rsid w:val="004955F4"/>
    <w:rsid w:val="004976D7"/>
    <w:rsid w:val="004A13A3"/>
    <w:rsid w:val="004A176D"/>
    <w:rsid w:val="004A2540"/>
    <w:rsid w:val="004A79F6"/>
    <w:rsid w:val="004B1983"/>
    <w:rsid w:val="004B2CAB"/>
    <w:rsid w:val="004B4079"/>
    <w:rsid w:val="004B5C4E"/>
    <w:rsid w:val="004B782A"/>
    <w:rsid w:val="004C0166"/>
    <w:rsid w:val="004C4D43"/>
    <w:rsid w:val="004C530C"/>
    <w:rsid w:val="004D0F21"/>
    <w:rsid w:val="004D2B69"/>
    <w:rsid w:val="004D2B94"/>
    <w:rsid w:val="004D2BE4"/>
    <w:rsid w:val="004D4E3F"/>
    <w:rsid w:val="004E0BAA"/>
    <w:rsid w:val="004E0F5B"/>
    <w:rsid w:val="004E1906"/>
    <w:rsid w:val="004E63E4"/>
    <w:rsid w:val="004E6A27"/>
    <w:rsid w:val="004E6FAF"/>
    <w:rsid w:val="004E729A"/>
    <w:rsid w:val="004E7BB0"/>
    <w:rsid w:val="004F393C"/>
    <w:rsid w:val="004F4FB0"/>
    <w:rsid w:val="00501C31"/>
    <w:rsid w:val="00501FC0"/>
    <w:rsid w:val="005039EE"/>
    <w:rsid w:val="005042E0"/>
    <w:rsid w:val="00504744"/>
    <w:rsid w:val="00504F3B"/>
    <w:rsid w:val="00507256"/>
    <w:rsid w:val="00510786"/>
    <w:rsid w:val="00511BAD"/>
    <w:rsid w:val="00513B21"/>
    <w:rsid w:val="00522B17"/>
    <w:rsid w:val="00522B39"/>
    <w:rsid w:val="005238DC"/>
    <w:rsid w:val="00530281"/>
    <w:rsid w:val="00533207"/>
    <w:rsid w:val="00533602"/>
    <w:rsid w:val="0054172E"/>
    <w:rsid w:val="00541F67"/>
    <w:rsid w:val="00543321"/>
    <w:rsid w:val="0054417A"/>
    <w:rsid w:val="00546C2D"/>
    <w:rsid w:val="0054718F"/>
    <w:rsid w:val="0055015F"/>
    <w:rsid w:val="00553DB1"/>
    <w:rsid w:val="00556425"/>
    <w:rsid w:val="0055659C"/>
    <w:rsid w:val="005565DE"/>
    <w:rsid w:val="005576A1"/>
    <w:rsid w:val="00561501"/>
    <w:rsid w:val="00563C6D"/>
    <w:rsid w:val="0056559F"/>
    <w:rsid w:val="005659A4"/>
    <w:rsid w:val="00565DB0"/>
    <w:rsid w:val="00566A9B"/>
    <w:rsid w:val="00573C4A"/>
    <w:rsid w:val="005750C6"/>
    <w:rsid w:val="0057574C"/>
    <w:rsid w:val="0057622E"/>
    <w:rsid w:val="00577A63"/>
    <w:rsid w:val="00580D1A"/>
    <w:rsid w:val="00580D98"/>
    <w:rsid w:val="0058102A"/>
    <w:rsid w:val="0058134A"/>
    <w:rsid w:val="00583EF7"/>
    <w:rsid w:val="0058612D"/>
    <w:rsid w:val="0059100D"/>
    <w:rsid w:val="005924D6"/>
    <w:rsid w:val="00593B2E"/>
    <w:rsid w:val="005A171F"/>
    <w:rsid w:val="005A5476"/>
    <w:rsid w:val="005A6AA8"/>
    <w:rsid w:val="005A6F74"/>
    <w:rsid w:val="005A75D0"/>
    <w:rsid w:val="005A7A20"/>
    <w:rsid w:val="005B0571"/>
    <w:rsid w:val="005B27C5"/>
    <w:rsid w:val="005B4F99"/>
    <w:rsid w:val="005B733A"/>
    <w:rsid w:val="005C05D4"/>
    <w:rsid w:val="005C493E"/>
    <w:rsid w:val="005C5A18"/>
    <w:rsid w:val="005D1888"/>
    <w:rsid w:val="005D19EF"/>
    <w:rsid w:val="005D4508"/>
    <w:rsid w:val="005E0F30"/>
    <w:rsid w:val="005E1C53"/>
    <w:rsid w:val="005E5A08"/>
    <w:rsid w:val="005E6556"/>
    <w:rsid w:val="005E69BE"/>
    <w:rsid w:val="005F0183"/>
    <w:rsid w:val="005F1A08"/>
    <w:rsid w:val="005F3A07"/>
    <w:rsid w:val="005F42FE"/>
    <w:rsid w:val="005F49A2"/>
    <w:rsid w:val="005F5657"/>
    <w:rsid w:val="005F63E1"/>
    <w:rsid w:val="005F6DA4"/>
    <w:rsid w:val="00603353"/>
    <w:rsid w:val="00606249"/>
    <w:rsid w:val="00611529"/>
    <w:rsid w:val="00611970"/>
    <w:rsid w:val="00612192"/>
    <w:rsid w:val="00614B8D"/>
    <w:rsid w:val="00616398"/>
    <w:rsid w:val="00617601"/>
    <w:rsid w:val="00620E75"/>
    <w:rsid w:val="00622B4D"/>
    <w:rsid w:val="00637980"/>
    <w:rsid w:val="00637D37"/>
    <w:rsid w:val="006405CE"/>
    <w:rsid w:val="0064091D"/>
    <w:rsid w:val="00641101"/>
    <w:rsid w:val="00645663"/>
    <w:rsid w:val="00645E84"/>
    <w:rsid w:val="00646275"/>
    <w:rsid w:val="00651351"/>
    <w:rsid w:val="00651D44"/>
    <w:rsid w:val="0065465B"/>
    <w:rsid w:val="0065531D"/>
    <w:rsid w:val="00663AEC"/>
    <w:rsid w:val="00664B2A"/>
    <w:rsid w:val="006669B1"/>
    <w:rsid w:val="006716A3"/>
    <w:rsid w:val="0067299D"/>
    <w:rsid w:val="00673543"/>
    <w:rsid w:val="00674811"/>
    <w:rsid w:val="006756BF"/>
    <w:rsid w:val="006907BB"/>
    <w:rsid w:val="006908D2"/>
    <w:rsid w:val="00692540"/>
    <w:rsid w:val="00692B5C"/>
    <w:rsid w:val="00694E91"/>
    <w:rsid w:val="00696E9D"/>
    <w:rsid w:val="006A0023"/>
    <w:rsid w:val="006A10B8"/>
    <w:rsid w:val="006A2EB6"/>
    <w:rsid w:val="006A45BA"/>
    <w:rsid w:val="006A49FA"/>
    <w:rsid w:val="006A689E"/>
    <w:rsid w:val="006B0E37"/>
    <w:rsid w:val="006B1705"/>
    <w:rsid w:val="006B4C55"/>
    <w:rsid w:val="006B6D6A"/>
    <w:rsid w:val="006C1A8D"/>
    <w:rsid w:val="006C49AF"/>
    <w:rsid w:val="006C5A8E"/>
    <w:rsid w:val="006D10C7"/>
    <w:rsid w:val="006D2E58"/>
    <w:rsid w:val="006D40E3"/>
    <w:rsid w:val="006D5FEB"/>
    <w:rsid w:val="006D677D"/>
    <w:rsid w:val="006D6E6A"/>
    <w:rsid w:val="006E04A9"/>
    <w:rsid w:val="006E1E0A"/>
    <w:rsid w:val="006E66D2"/>
    <w:rsid w:val="006F0CC8"/>
    <w:rsid w:val="006F29BA"/>
    <w:rsid w:val="006F50BF"/>
    <w:rsid w:val="006F5567"/>
    <w:rsid w:val="007031C4"/>
    <w:rsid w:val="00705EE1"/>
    <w:rsid w:val="00707606"/>
    <w:rsid w:val="00707A8C"/>
    <w:rsid w:val="007102EB"/>
    <w:rsid w:val="0071259D"/>
    <w:rsid w:val="007169EA"/>
    <w:rsid w:val="00717426"/>
    <w:rsid w:val="00717571"/>
    <w:rsid w:val="00720945"/>
    <w:rsid w:val="00720D7E"/>
    <w:rsid w:val="007250B0"/>
    <w:rsid w:val="00726F24"/>
    <w:rsid w:val="00730773"/>
    <w:rsid w:val="007331C9"/>
    <w:rsid w:val="0073397E"/>
    <w:rsid w:val="00740878"/>
    <w:rsid w:val="00740B66"/>
    <w:rsid w:val="00741F68"/>
    <w:rsid w:val="0074298E"/>
    <w:rsid w:val="00743DF4"/>
    <w:rsid w:val="00747B1A"/>
    <w:rsid w:val="00755B75"/>
    <w:rsid w:val="00756381"/>
    <w:rsid w:val="007610EF"/>
    <w:rsid w:val="007616C9"/>
    <w:rsid w:val="00762768"/>
    <w:rsid w:val="00765233"/>
    <w:rsid w:val="00766F3E"/>
    <w:rsid w:val="00771EC8"/>
    <w:rsid w:val="00773E59"/>
    <w:rsid w:val="00774CDF"/>
    <w:rsid w:val="00776FF9"/>
    <w:rsid w:val="00785CFB"/>
    <w:rsid w:val="007863FC"/>
    <w:rsid w:val="00787503"/>
    <w:rsid w:val="00793EF9"/>
    <w:rsid w:val="007947EB"/>
    <w:rsid w:val="007A21CF"/>
    <w:rsid w:val="007A2AF0"/>
    <w:rsid w:val="007A3A26"/>
    <w:rsid w:val="007A5ADB"/>
    <w:rsid w:val="007A783F"/>
    <w:rsid w:val="007B212A"/>
    <w:rsid w:val="007B26F9"/>
    <w:rsid w:val="007C077C"/>
    <w:rsid w:val="007C2119"/>
    <w:rsid w:val="007C2174"/>
    <w:rsid w:val="007C2CC7"/>
    <w:rsid w:val="007C3DEA"/>
    <w:rsid w:val="007C5BC0"/>
    <w:rsid w:val="007C7ACD"/>
    <w:rsid w:val="007D07B9"/>
    <w:rsid w:val="007D15DC"/>
    <w:rsid w:val="007D582D"/>
    <w:rsid w:val="007D5C66"/>
    <w:rsid w:val="007D6D22"/>
    <w:rsid w:val="007E05A8"/>
    <w:rsid w:val="007E0636"/>
    <w:rsid w:val="007E1E50"/>
    <w:rsid w:val="007E3E6F"/>
    <w:rsid w:val="007E5515"/>
    <w:rsid w:val="007E7B3C"/>
    <w:rsid w:val="007F1ADE"/>
    <w:rsid w:val="007F2E7E"/>
    <w:rsid w:val="008001F2"/>
    <w:rsid w:val="00802CC4"/>
    <w:rsid w:val="00803924"/>
    <w:rsid w:val="00804093"/>
    <w:rsid w:val="008045AB"/>
    <w:rsid w:val="00804ED8"/>
    <w:rsid w:val="00805B86"/>
    <w:rsid w:val="00810535"/>
    <w:rsid w:val="00810650"/>
    <w:rsid w:val="008121D2"/>
    <w:rsid w:val="00813921"/>
    <w:rsid w:val="00813AC3"/>
    <w:rsid w:val="0081435B"/>
    <w:rsid w:val="00815EDB"/>
    <w:rsid w:val="00816AA9"/>
    <w:rsid w:val="00816C2F"/>
    <w:rsid w:val="008209F0"/>
    <w:rsid w:val="0082261F"/>
    <w:rsid w:val="00824C01"/>
    <w:rsid w:val="00824DA8"/>
    <w:rsid w:val="008255E0"/>
    <w:rsid w:val="00825EF7"/>
    <w:rsid w:val="008346B6"/>
    <w:rsid w:val="008369A2"/>
    <w:rsid w:val="00840BEB"/>
    <w:rsid w:val="008419C0"/>
    <w:rsid w:val="00841F0E"/>
    <w:rsid w:val="00844104"/>
    <w:rsid w:val="0085021D"/>
    <w:rsid w:val="00851C70"/>
    <w:rsid w:val="008542E4"/>
    <w:rsid w:val="0086071D"/>
    <w:rsid w:val="00867C8C"/>
    <w:rsid w:val="008747BA"/>
    <w:rsid w:val="00875DED"/>
    <w:rsid w:val="00876537"/>
    <w:rsid w:val="00881320"/>
    <w:rsid w:val="0088289C"/>
    <w:rsid w:val="00885D92"/>
    <w:rsid w:val="00885F92"/>
    <w:rsid w:val="00887732"/>
    <w:rsid w:val="0089170C"/>
    <w:rsid w:val="008923E5"/>
    <w:rsid w:val="00892F82"/>
    <w:rsid w:val="00894684"/>
    <w:rsid w:val="0089782F"/>
    <w:rsid w:val="00897F5E"/>
    <w:rsid w:val="008A4892"/>
    <w:rsid w:val="008A7732"/>
    <w:rsid w:val="008B050C"/>
    <w:rsid w:val="008B06E0"/>
    <w:rsid w:val="008B1183"/>
    <w:rsid w:val="008B47DA"/>
    <w:rsid w:val="008B6809"/>
    <w:rsid w:val="008C0DAE"/>
    <w:rsid w:val="008C1B10"/>
    <w:rsid w:val="008C6A3C"/>
    <w:rsid w:val="008C7D7C"/>
    <w:rsid w:val="008D09FF"/>
    <w:rsid w:val="008E05F3"/>
    <w:rsid w:val="008E2298"/>
    <w:rsid w:val="008E37B0"/>
    <w:rsid w:val="008E73C3"/>
    <w:rsid w:val="008F18E0"/>
    <w:rsid w:val="008F2FE4"/>
    <w:rsid w:val="008F314D"/>
    <w:rsid w:val="008F4725"/>
    <w:rsid w:val="008F6BA1"/>
    <w:rsid w:val="00901170"/>
    <w:rsid w:val="0090308B"/>
    <w:rsid w:val="00903F7A"/>
    <w:rsid w:val="00904BA5"/>
    <w:rsid w:val="00904E1F"/>
    <w:rsid w:val="009073B1"/>
    <w:rsid w:val="00910A93"/>
    <w:rsid w:val="00911DE5"/>
    <w:rsid w:val="00922589"/>
    <w:rsid w:val="00923FF8"/>
    <w:rsid w:val="00927E35"/>
    <w:rsid w:val="009332C5"/>
    <w:rsid w:val="0093354B"/>
    <w:rsid w:val="0093373F"/>
    <w:rsid w:val="00933C85"/>
    <w:rsid w:val="00934804"/>
    <w:rsid w:val="00935594"/>
    <w:rsid w:val="0093599F"/>
    <w:rsid w:val="00941016"/>
    <w:rsid w:val="009412AC"/>
    <w:rsid w:val="00941DB7"/>
    <w:rsid w:val="00943E74"/>
    <w:rsid w:val="009445F4"/>
    <w:rsid w:val="009448DF"/>
    <w:rsid w:val="00944A7B"/>
    <w:rsid w:val="00945362"/>
    <w:rsid w:val="00946577"/>
    <w:rsid w:val="009465E9"/>
    <w:rsid w:val="00947258"/>
    <w:rsid w:val="009505AD"/>
    <w:rsid w:val="00950A2E"/>
    <w:rsid w:val="00951EBF"/>
    <w:rsid w:val="00951FD9"/>
    <w:rsid w:val="009547E8"/>
    <w:rsid w:val="00964D45"/>
    <w:rsid w:val="00965D5B"/>
    <w:rsid w:val="009713B7"/>
    <w:rsid w:val="009721A4"/>
    <w:rsid w:val="0097750C"/>
    <w:rsid w:val="00980206"/>
    <w:rsid w:val="00981B84"/>
    <w:rsid w:val="00981EA5"/>
    <w:rsid w:val="00983B06"/>
    <w:rsid w:val="00984766"/>
    <w:rsid w:val="00986878"/>
    <w:rsid w:val="00987015"/>
    <w:rsid w:val="00991FA1"/>
    <w:rsid w:val="009A0C07"/>
    <w:rsid w:val="009A2EDB"/>
    <w:rsid w:val="009A3221"/>
    <w:rsid w:val="009A4CB9"/>
    <w:rsid w:val="009A56A0"/>
    <w:rsid w:val="009B0105"/>
    <w:rsid w:val="009C4606"/>
    <w:rsid w:val="009C5FD5"/>
    <w:rsid w:val="009D3589"/>
    <w:rsid w:val="009D666C"/>
    <w:rsid w:val="009D6D40"/>
    <w:rsid w:val="009E0049"/>
    <w:rsid w:val="009E10B0"/>
    <w:rsid w:val="009E1719"/>
    <w:rsid w:val="009E4176"/>
    <w:rsid w:val="009E60B6"/>
    <w:rsid w:val="009F0497"/>
    <w:rsid w:val="009F1008"/>
    <w:rsid w:val="009F198F"/>
    <w:rsid w:val="009F6472"/>
    <w:rsid w:val="009F7FCF"/>
    <w:rsid w:val="00A028E1"/>
    <w:rsid w:val="00A04875"/>
    <w:rsid w:val="00A048D4"/>
    <w:rsid w:val="00A04E84"/>
    <w:rsid w:val="00A1305A"/>
    <w:rsid w:val="00A15B0D"/>
    <w:rsid w:val="00A166F2"/>
    <w:rsid w:val="00A21521"/>
    <w:rsid w:val="00A21DFD"/>
    <w:rsid w:val="00A22D03"/>
    <w:rsid w:val="00A2336D"/>
    <w:rsid w:val="00A23B1C"/>
    <w:rsid w:val="00A25BDF"/>
    <w:rsid w:val="00A31398"/>
    <w:rsid w:val="00A32728"/>
    <w:rsid w:val="00A3444D"/>
    <w:rsid w:val="00A36621"/>
    <w:rsid w:val="00A41418"/>
    <w:rsid w:val="00A41ADB"/>
    <w:rsid w:val="00A428A4"/>
    <w:rsid w:val="00A42F46"/>
    <w:rsid w:val="00A432B3"/>
    <w:rsid w:val="00A4551B"/>
    <w:rsid w:val="00A47F03"/>
    <w:rsid w:val="00A5331D"/>
    <w:rsid w:val="00A54892"/>
    <w:rsid w:val="00A60E49"/>
    <w:rsid w:val="00A6519A"/>
    <w:rsid w:val="00A65CA6"/>
    <w:rsid w:val="00A676C8"/>
    <w:rsid w:val="00A7521B"/>
    <w:rsid w:val="00A83936"/>
    <w:rsid w:val="00A86A1A"/>
    <w:rsid w:val="00A92312"/>
    <w:rsid w:val="00A94AAD"/>
    <w:rsid w:val="00A96548"/>
    <w:rsid w:val="00AA1B36"/>
    <w:rsid w:val="00AA22D7"/>
    <w:rsid w:val="00AA2F34"/>
    <w:rsid w:val="00AA3382"/>
    <w:rsid w:val="00AA47AB"/>
    <w:rsid w:val="00AA4833"/>
    <w:rsid w:val="00AA7A60"/>
    <w:rsid w:val="00AA7F5C"/>
    <w:rsid w:val="00AB24E1"/>
    <w:rsid w:val="00AB5ADC"/>
    <w:rsid w:val="00AC0A20"/>
    <w:rsid w:val="00AC2840"/>
    <w:rsid w:val="00AC4648"/>
    <w:rsid w:val="00AC6634"/>
    <w:rsid w:val="00AD4799"/>
    <w:rsid w:val="00AD6B30"/>
    <w:rsid w:val="00AE3577"/>
    <w:rsid w:val="00AE429B"/>
    <w:rsid w:val="00AE71A3"/>
    <w:rsid w:val="00AF2207"/>
    <w:rsid w:val="00AF28DA"/>
    <w:rsid w:val="00AF34C7"/>
    <w:rsid w:val="00AF67CD"/>
    <w:rsid w:val="00AF77C6"/>
    <w:rsid w:val="00B00C0E"/>
    <w:rsid w:val="00B01E92"/>
    <w:rsid w:val="00B028E5"/>
    <w:rsid w:val="00B046DC"/>
    <w:rsid w:val="00B129DC"/>
    <w:rsid w:val="00B140F7"/>
    <w:rsid w:val="00B21F1C"/>
    <w:rsid w:val="00B26598"/>
    <w:rsid w:val="00B265AA"/>
    <w:rsid w:val="00B3137F"/>
    <w:rsid w:val="00B34846"/>
    <w:rsid w:val="00B35071"/>
    <w:rsid w:val="00B353E4"/>
    <w:rsid w:val="00B40093"/>
    <w:rsid w:val="00B403EA"/>
    <w:rsid w:val="00B440DC"/>
    <w:rsid w:val="00B4773D"/>
    <w:rsid w:val="00B619F1"/>
    <w:rsid w:val="00B64A7C"/>
    <w:rsid w:val="00B66C7D"/>
    <w:rsid w:val="00B67E77"/>
    <w:rsid w:val="00B67FB7"/>
    <w:rsid w:val="00B7091F"/>
    <w:rsid w:val="00B726F8"/>
    <w:rsid w:val="00B80608"/>
    <w:rsid w:val="00B80D5E"/>
    <w:rsid w:val="00B858F8"/>
    <w:rsid w:val="00B92358"/>
    <w:rsid w:val="00B945FE"/>
    <w:rsid w:val="00B95452"/>
    <w:rsid w:val="00B957BF"/>
    <w:rsid w:val="00B97055"/>
    <w:rsid w:val="00BA02FE"/>
    <w:rsid w:val="00BA0429"/>
    <w:rsid w:val="00BA21C6"/>
    <w:rsid w:val="00BA38FE"/>
    <w:rsid w:val="00BA6659"/>
    <w:rsid w:val="00BB390B"/>
    <w:rsid w:val="00BC24E6"/>
    <w:rsid w:val="00BD29C9"/>
    <w:rsid w:val="00BD45F4"/>
    <w:rsid w:val="00BE0A18"/>
    <w:rsid w:val="00BE105D"/>
    <w:rsid w:val="00BE22C4"/>
    <w:rsid w:val="00BF30BB"/>
    <w:rsid w:val="00BF47FA"/>
    <w:rsid w:val="00BF6C99"/>
    <w:rsid w:val="00C0165E"/>
    <w:rsid w:val="00C03040"/>
    <w:rsid w:val="00C04E69"/>
    <w:rsid w:val="00C05743"/>
    <w:rsid w:val="00C06381"/>
    <w:rsid w:val="00C06AAF"/>
    <w:rsid w:val="00C10257"/>
    <w:rsid w:val="00C14AC5"/>
    <w:rsid w:val="00C23CB4"/>
    <w:rsid w:val="00C23EBE"/>
    <w:rsid w:val="00C24BC0"/>
    <w:rsid w:val="00C25EF7"/>
    <w:rsid w:val="00C27289"/>
    <w:rsid w:val="00C31B7F"/>
    <w:rsid w:val="00C34D87"/>
    <w:rsid w:val="00C361BF"/>
    <w:rsid w:val="00C37157"/>
    <w:rsid w:val="00C377DB"/>
    <w:rsid w:val="00C42765"/>
    <w:rsid w:val="00C43FA3"/>
    <w:rsid w:val="00C47AF9"/>
    <w:rsid w:val="00C47EE3"/>
    <w:rsid w:val="00C505F4"/>
    <w:rsid w:val="00C51C1D"/>
    <w:rsid w:val="00C522CB"/>
    <w:rsid w:val="00C52339"/>
    <w:rsid w:val="00C54207"/>
    <w:rsid w:val="00C5605A"/>
    <w:rsid w:val="00C5734F"/>
    <w:rsid w:val="00C609B7"/>
    <w:rsid w:val="00C64BFF"/>
    <w:rsid w:val="00C651DF"/>
    <w:rsid w:val="00C661DB"/>
    <w:rsid w:val="00C6785E"/>
    <w:rsid w:val="00C71E50"/>
    <w:rsid w:val="00C72563"/>
    <w:rsid w:val="00C73929"/>
    <w:rsid w:val="00C739A7"/>
    <w:rsid w:val="00C76F10"/>
    <w:rsid w:val="00C77F20"/>
    <w:rsid w:val="00C8219D"/>
    <w:rsid w:val="00C824B5"/>
    <w:rsid w:val="00C8353D"/>
    <w:rsid w:val="00C835AD"/>
    <w:rsid w:val="00C84906"/>
    <w:rsid w:val="00C84932"/>
    <w:rsid w:val="00C85C0A"/>
    <w:rsid w:val="00C92228"/>
    <w:rsid w:val="00C94382"/>
    <w:rsid w:val="00CA10BD"/>
    <w:rsid w:val="00CA414D"/>
    <w:rsid w:val="00CA601E"/>
    <w:rsid w:val="00CB0CA3"/>
    <w:rsid w:val="00CB1619"/>
    <w:rsid w:val="00CB1BB6"/>
    <w:rsid w:val="00CB2C9E"/>
    <w:rsid w:val="00CB3CE6"/>
    <w:rsid w:val="00CC0067"/>
    <w:rsid w:val="00CC37A9"/>
    <w:rsid w:val="00CC7EAC"/>
    <w:rsid w:val="00CD194D"/>
    <w:rsid w:val="00CD3E7F"/>
    <w:rsid w:val="00CD5FC8"/>
    <w:rsid w:val="00CD6572"/>
    <w:rsid w:val="00CE2D1D"/>
    <w:rsid w:val="00CE3571"/>
    <w:rsid w:val="00CE5095"/>
    <w:rsid w:val="00CE6420"/>
    <w:rsid w:val="00CE76FB"/>
    <w:rsid w:val="00CF1A32"/>
    <w:rsid w:val="00CF27C3"/>
    <w:rsid w:val="00CF2B5F"/>
    <w:rsid w:val="00CF52A0"/>
    <w:rsid w:val="00CF6023"/>
    <w:rsid w:val="00D02315"/>
    <w:rsid w:val="00D0487C"/>
    <w:rsid w:val="00D04E2A"/>
    <w:rsid w:val="00D142BE"/>
    <w:rsid w:val="00D1572D"/>
    <w:rsid w:val="00D168EB"/>
    <w:rsid w:val="00D16D7D"/>
    <w:rsid w:val="00D1730F"/>
    <w:rsid w:val="00D223C2"/>
    <w:rsid w:val="00D22636"/>
    <w:rsid w:val="00D3010E"/>
    <w:rsid w:val="00D30A7F"/>
    <w:rsid w:val="00D32BFD"/>
    <w:rsid w:val="00D33423"/>
    <w:rsid w:val="00D34BBC"/>
    <w:rsid w:val="00D4058A"/>
    <w:rsid w:val="00D41D9D"/>
    <w:rsid w:val="00D42F4E"/>
    <w:rsid w:val="00D446DD"/>
    <w:rsid w:val="00D44C24"/>
    <w:rsid w:val="00D45737"/>
    <w:rsid w:val="00D462AC"/>
    <w:rsid w:val="00D506B2"/>
    <w:rsid w:val="00D509A5"/>
    <w:rsid w:val="00D50CB7"/>
    <w:rsid w:val="00D52C0C"/>
    <w:rsid w:val="00D54A6E"/>
    <w:rsid w:val="00D55201"/>
    <w:rsid w:val="00D62155"/>
    <w:rsid w:val="00D67F72"/>
    <w:rsid w:val="00D726AB"/>
    <w:rsid w:val="00D77965"/>
    <w:rsid w:val="00D84767"/>
    <w:rsid w:val="00D84ABF"/>
    <w:rsid w:val="00D87130"/>
    <w:rsid w:val="00D902BD"/>
    <w:rsid w:val="00D9316F"/>
    <w:rsid w:val="00D961EE"/>
    <w:rsid w:val="00D96A19"/>
    <w:rsid w:val="00D96ADF"/>
    <w:rsid w:val="00DA533A"/>
    <w:rsid w:val="00DA67A3"/>
    <w:rsid w:val="00DB5E91"/>
    <w:rsid w:val="00DB6266"/>
    <w:rsid w:val="00DB7D56"/>
    <w:rsid w:val="00DC603A"/>
    <w:rsid w:val="00DD280C"/>
    <w:rsid w:val="00DD358B"/>
    <w:rsid w:val="00DD3CC5"/>
    <w:rsid w:val="00DD6D3E"/>
    <w:rsid w:val="00DE26C8"/>
    <w:rsid w:val="00DE2748"/>
    <w:rsid w:val="00DE6E32"/>
    <w:rsid w:val="00DF031D"/>
    <w:rsid w:val="00DF21D4"/>
    <w:rsid w:val="00DF262B"/>
    <w:rsid w:val="00DF4D44"/>
    <w:rsid w:val="00E00405"/>
    <w:rsid w:val="00E00B76"/>
    <w:rsid w:val="00E026F7"/>
    <w:rsid w:val="00E0462A"/>
    <w:rsid w:val="00E0469F"/>
    <w:rsid w:val="00E04D0D"/>
    <w:rsid w:val="00E0528F"/>
    <w:rsid w:val="00E05436"/>
    <w:rsid w:val="00E058B8"/>
    <w:rsid w:val="00E12C63"/>
    <w:rsid w:val="00E12EFD"/>
    <w:rsid w:val="00E1561F"/>
    <w:rsid w:val="00E16231"/>
    <w:rsid w:val="00E25819"/>
    <w:rsid w:val="00E279FC"/>
    <w:rsid w:val="00E310E9"/>
    <w:rsid w:val="00E31139"/>
    <w:rsid w:val="00E33E85"/>
    <w:rsid w:val="00E35787"/>
    <w:rsid w:val="00E406A3"/>
    <w:rsid w:val="00E4527F"/>
    <w:rsid w:val="00E471B4"/>
    <w:rsid w:val="00E51507"/>
    <w:rsid w:val="00E52E1B"/>
    <w:rsid w:val="00E53BA0"/>
    <w:rsid w:val="00E57C68"/>
    <w:rsid w:val="00E6003A"/>
    <w:rsid w:val="00E61973"/>
    <w:rsid w:val="00E62F66"/>
    <w:rsid w:val="00E635F9"/>
    <w:rsid w:val="00E642A9"/>
    <w:rsid w:val="00E665BE"/>
    <w:rsid w:val="00E66BBC"/>
    <w:rsid w:val="00E66D72"/>
    <w:rsid w:val="00E718A0"/>
    <w:rsid w:val="00E7257E"/>
    <w:rsid w:val="00E77BD5"/>
    <w:rsid w:val="00E817F4"/>
    <w:rsid w:val="00E824A8"/>
    <w:rsid w:val="00E82C5B"/>
    <w:rsid w:val="00E8679C"/>
    <w:rsid w:val="00E874E5"/>
    <w:rsid w:val="00E94957"/>
    <w:rsid w:val="00E9527F"/>
    <w:rsid w:val="00E953D4"/>
    <w:rsid w:val="00E978D2"/>
    <w:rsid w:val="00EA2B5E"/>
    <w:rsid w:val="00EA542E"/>
    <w:rsid w:val="00EA5540"/>
    <w:rsid w:val="00EA569F"/>
    <w:rsid w:val="00EB1321"/>
    <w:rsid w:val="00EB1FAA"/>
    <w:rsid w:val="00EB6FED"/>
    <w:rsid w:val="00EC26CF"/>
    <w:rsid w:val="00EC56A0"/>
    <w:rsid w:val="00EC5A73"/>
    <w:rsid w:val="00EC65B9"/>
    <w:rsid w:val="00EC7BF8"/>
    <w:rsid w:val="00ED3192"/>
    <w:rsid w:val="00EE1375"/>
    <w:rsid w:val="00EE25AC"/>
    <w:rsid w:val="00EE30F7"/>
    <w:rsid w:val="00EE66A8"/>
    <w:rsid w:val="00EE7557"/>
    <w:rsid w:val="00EF0BC2"/>
    <w:rsid w:val="00EF2034"/>
    <w:rsid w:val="00F017D6"/>
    <w:rsid w:val="00F01845"/>
    <w:rsid w:val="00F044BF"/>
    <w:rsid w:val="00F0715C"/>
    <w:rsid w:val="00F110EC"/>
    <w:rsid w:val="00F11AB3"/>
    <w:rsid w:val="00F21092"/>
    <w:rsid w:val="00F21A74"/>
    <w:rsid w:val="00F21AF3"/>
    <w:rsid w:val="00F24305"/>
    <w:rsid w:val="00F25878"/>
    <w:rsid w:val="00F25D18"/>
    <w:rsid w:val="00F30068"/>
    <w:rsid w:val="00F31EA0"/>
    <w:rsid w:val="00F35245"/>
    <w:rsid w:val="00F355F2"/>
    <w:rsid w:val="00F40E9D"/>
    <w:rsid w:val="00F414F8"/>
    <w:rsid w:val="00F42569"/>
    <w:rsid w:val="00F45AA6"/>
    <w:rsid w:val="00F6504A"/>
    <w:rsid w:val="00F667E1"/>
    <w:rsid w:val="00F66DE4"/>
    <w:rsid w:val="00F67154"/>
    <w:rsid w:val="00F86389"/>
    <w:rsid w:val="00F917B0"/>
    <w:rsid w:val="00F920BF"/>
    <w:rsid w:val="00F92C3B"/>
    <w:rsid w:val="00F93F8F"/>
    <w:rsid w:val="00FA0FEE"/>
    <w:rsid w:val="00FA1513"/>
    <w:rsid w:val="00FA1776"/>
    <w:rsid w:val="00FA1798"/>
    <w:rsid w:val="00FA2759"/>
    <w:rsid w:val="00FA2BE6"/>
    <w:rsid w:val="00FA3A33"/>
    <w:rsid w:val="00FA3CA8"/>
    <w:rsid w:val="00FA3D0D"/>
    <w:rsid w:val="00FA58E3"/>
    <w:rsid w:val="00FB0B51"/>
    <w:rsid w:val="00FB1B19"/>
    <w:rsid w:val="00FB45CD"/>
    <w:rsid w:val="00FB4AFC"/>
    <w:rsid w:val="00FB4C89"/>
    <w:rsid w:val="00FB5131"/>
    <w:rsid w:val="00FB6DBF"/>
    <w:rsid w:val="00FC0863"/>
    <w:rsid w:val="00FC3463"/>
    <w:rsid w:val="00FC53F2"/>
    <w:rsid w:val="00FC6192"/>
    <w:rsid w:val="00FC7234"/>
    <w:rsid w:val="00FD1128"/>
    <w:rsid w:val="00FD1FFA"/>
    <w:rsid w:val="00FD2556"/>
    <w:rsid w:val="00FD49B8"/>
    <w:rsid w:val="00FD7C35"/>
    <w:rsid w:val="00FE027D"/>
    <w:rsid w:val="00FE1949"/>
    <w:rsid w:val="00FE2865"/>
    <w:rsid w:val="00FE4011"/>
    <w:rsid w:val="00FE5D5B"/>
    <w:rsid w:val="00FE776C"/>
    <w:rsid w:val="00FF20D2"/>
    <w:rsid w:val="00FF2EDA"/>
    <w:rsid w:val="00FF4E68"/>
    <w:rsid w:val="00FF5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87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1D"/>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64091D"/>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64091D"/>
    <w:pPr>
      <w:spacing w:before="300" w:after="180"/>
      <w:outlineLvl w:val="1"/>
    </w:pPr>
    <w:rPr>
      <w:rFonts w:cs="Arial"/>
      <w:b/>
      <w:bCs/>
      <w:iCs/>
      <w:smallCaps/>
      <w:sz w:val="32"/>
      <w:szCs w:val="28"/>
    </w:rPr>
  </w:style>
  <w:style w:type="paragraph" w:styleId="Heading3">
    <w:name w:val="heading 3"/>
    <w:basedOn w:val="HeadingBase"/>
    <w:next w:val="OutlineNumbered1"/>
    <w:qFormat/>
    <w:rsid w:val="0064091D"/>
    <w:pPr>
      <w:spacing w:before="120" w:after="240"/>
      <w:outlineLvl w:val="2"/>
    </w:pPr>
    <w:rPr>
      <w:rFonts w:cs="Arial"/>
      <w:b/>
      <w:bCs/>
      <w:sz w:val="26"/>
      <w:szCs w:val="26"/>
    </w:rPr>
  </w:style>
  <w:style w:type="paragraph" w:styleId="Heading4">
    <w:name w:val="heading 4"/>
    <w:basedOn w:val="HeadingBase"/>
    <w:next w:val="OutlineNumbered1"/>
    <w:qFormat/>
    <w:rsid w:val="0064091D"/>
    <w:pPr>
      <w:spacing w:after="240"/>
      <w:outlineLvl w:val="3"/>
    </w:pPr>
    <w:rPr>
      <w:b/>
      <w:bCs/>
      <w:sz w:val="22"/>
      <w:szCs w:val="22"/>
    </w:rPr>
  </w:style>
  <w:style w:type="paragraph" w:styleId="Heading5">
    <w:name w:val="heading 5"/>
    <w:basedOn w:val="HeadingBase"/>
    <w:next w:val="OutlineNumbered1"/>
    <w:qFormat/>
    <w:rsid w:val="0064091D"/>
    <w:pPr>
      <w:spacing w:after="120"/>
      <w:outlineLvl w:val="4"/>
    </w:pPr>
    <w:rPr>
      <w:b/>
      <w:bCs/>
      <w:iCs/>
    </w:rPr>
  </w:style>
  <w:style w:type="paragraph" w:styleId="Heading6">
    <w:name w:val="heading 6"/>
    <w:basedOn w:val="HeadingBase"/>
    <w:next w:val="OutlineNumbered1"/>
    <w:qFormat/>
    <w:rsid w:val="0064091D"/>
    <w:pPr>
      <w:spacing w:after="120"/>
      <w:outlineLvl w:val="5"/>
    </w:pPr>
    <w:rPr>
      <w:bCs/>
      <w:szCs w:val="22"/>
    </w:rPr>
  </w:style>
  <w:style w:type="paragraph" w:styleId="Heading7">
    <w:name w:val="heading 7"/>
    <w:basedOn w:val="HeadingBase"/>
    <w:next w:val="Normal"/>
    <w:qFormat/>
    <w:rsid w:val="0064091D"/>
    <w:pPr>
      <w:spacing w:after="120"/>
      <w:outlineLvl w:val="6"/>
    </w:pPr>
    <w:rPr>
      <w:szCs w:val="24"/>
    </w:rPr>
  </w:style>
  <w:style w:type="paragraph" w:styleId="Heading8">
    <w:name w:val="heading 8"/>
    <w:basedOn w:val="HeadingBase"/>
    <w:next w:val="Normal"/>
    <w:qFormat/>
    <w:rsid w:val="0064091D"/>
    <w:pPr>
      <w:spacing w:after="120"/>
      <w:outlineLvl w:val="7"/>
    </w:pPr>
    <w:rPr>
      <w:iCs/>
      <w:szCs w:val="24"/>
    </w:rPr>
  </w:style>
  <w:style w:type="paragraph" w:styleId="Heading9">
    <w:name w:val="heading 9"/>
    <w:basedOn w:val="HeadingBase"/>
    <w:next w:val="Normal"/>
    <w:qFormat/>
    <w:rsid w:val="0064091D"/>
    <w:pPr>
      <w:spacing w:after="120"/>
      <w:outlineLvl w:val="8"/>
    </w:pPr>
    <w:rPr>
      <w:rFonts w:cs="Arial"/>
      <w:szCs w:val="22"/>
    </w:rPr>
  </w:style>
  <w:style w:type="character" w:default="1" w:styleId="DefaultParagraphFont">
    <w:name w:val="Default Paragraph Font"/>
    <w:uiPriority w:val="1"/>
    <w:semiHidden/>
    <w:unhideWhenUsed/>
    <w:rsid w:val="006409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091D"/>
  </w:style>
  <w:style w:type="paragraph" w:customStyle="1" w:styleId="SingleParagraph">
    <w:name w:val="Single Paragraph"/>
    <w:basedOn w:val="Normal"/>
    <w:link w:val="SingleParagraphChar"/>
    <w:rsid w:val="0064091D"/>
    <w:pPr>
      <w:spacing w:after="0"/>
    </w:pPr>
  </w:style>
  <w:style w:type="character" w:styleId="Hyperlink">
    <w:name w:val="Hyperlink"/>
    <w:basedOn w:val="DefaultParagraphFont"/>
    <w:uiPriority w:val="99"/>
    <w:rsid w:val="0064091D"/>
    <w:rPr>
      <w:color w:val="auto"/>
      <w:u w:val="none"/>
    </w:rPr>
  </w:style>
  <w:style w:type="character" w:customStyle="1" w:styleId="BoldandItalic">
    <w:name w:val="Bold and Italic"/>
    <w:basedOn w:val="DefaultParagraphFont"/>
    <w:rsid w:val="0064091D"/>
    <w:rPr>
      <w:rFonts w:ascii="Arial" w:hAnsi="Arial"/>
      <w:b/>
      <w:i/>
    </w:rPr>
  </w:style>
  <w:style w:type="table" w:styleId="TableGrid">
    <w:name w:val="Table Grid"/>
    <w:basedOn w:val="TableNormal"/>
    <w:rsid w:val="0064091D"/>
    <w:pPr>
      <w:spacing w:after="240" w:line="260" w:lineRule="exact"/>
      <w:jc w:val="both"/>
    </w:pPr>
    <w:tblPr/>
    <w:tcPr>
      <w:shd w:val="clear" w:color="auto" w:fill="E6E6E6"/>
    </w:tcPr>
  </w:style>
  <w:style w:type="character" w:styleId="PageNumber">
    <w:name w:val="page number"/>
    <w:basedOn w:val="DefaultParagraphFont"/>
    <w:rsid w:val="0064091D"/>
    <w:rPr>
      <w:rFonts w:ascii="Book Antiqua" w:hAnsi="Book Antiqua"/>
      <w:sz w:val="18"/>
    </w:rPr>
  </w:style>
  <w:style w:type="paragraph" w:styleId="FootnoteText">
    <w:name w:val="footnote text"/>
    <w:basedOn w:val="Normal"/>
    <w:rsid w:val="0064091D"/>
    <w:pPr>
      <w:tabs>
        <w:tab w:val="left" w:pos="284"/>
      </w:tabs>
      <w:ind w:left="284" w:hanging="284"/>
    </w:pPr>
    <w:rPr>
      <w:sz w:val="18"/>
    </w:rPr>
  </w:style>
  <w:style w:type="paragraph" w:customStyle="1" w:styleId="Bullet">
    <w:name w:val="Bullet"/>
    <w:basedOn w:val="Normal"/>
    <w:link w:val="BulletChar"/>
    <w:rsid w:val="0064091D"/>
    <w:pPr>
      <w:numPr>
        <w:numId w:val="1"/>
      </w:numPr>
    </w:pPr>
  </w:style>
  <w:style w:type="paragraph" w:customStyle="1" w:styleId="Dash">
    <w:name w:val="Dash"/>
    <w:basedOn w:val="Normal"/>
    <w:link w:val="DashChar"/>
    <w:rsid w:val="0064091D"/>
    <w:pPr>
      <w:numPr>
        <w:ilvl w:val="1"/>
        <w:numId w:val="1"/>
      </w:numPr>
    </w:pPr>
  </w:style>
  <w:style w:type="paragraph" w:customStyle="1" w:styleId="DoubleDot">
    <w:name w:val="Double Dot"/>
    <w:basedOn w:val="Normal"/>
    <w:link w:val="DoubleDotChar"/>
    <w:rsid w:val="0064091D"/>
    <w:pPr>
      <w:numPr>
        <w:ilvl w:val="2"/>
        <w:numId w:val="1"/>
      </w:numPr>
    </w:pPr>
  </w:style>
  <w:style w:type="paragraph" w:customStyle="1" w:styleId="OutlineNumbered1">
    <w:name w:val="Outline Numbered 1"/>
    <w:basedOn w:val="Normal"/>
    <w:link w:val="OutlineNumbered1Char"/>
    <w:rsid w:val="0064091D"/>
    <w:pPr>
      <w:numPr>
        <w:numId w:val="26"/>
      </w:numPr>
    </w:pPr>
  </w:style>
  <w:style w:type="paragraph" w:customStyle="1" w:styleId="OutlineNumbered2">
    <w:name w:val="Outline Numbered 2"/>
    <w:basedOn w:val="Normal"/>
    <w:rsid w:val="0064091D"/>
    <w:pPr>
      <w:numPr>
        <w:ilvl w:val="1"/>
        <w:numId w:val="26"/>
      </w:numPr>
    </w:pPr>
  </w:style>
  <w:style w:type="paragraph" w:customStyle="1" w:styleId="OutlineNumbered3">
    <w:name w:val="Outline Numbered 3"/>
    <w:basedOn w:val="Normal"/>
    <w:rsid w:val="0064091D"/>
    <w:pPr>
      <w:numPr>
        <w:ilvl w:val="2"/>
        <w:numId w:val="26"/>
      </w:numPr>
    </w:pPr>
  </w:style>
  <w:style w:type="paragraph" w:customStyle="1" w:styleId="AlphaParagraph">
    <w:name w:val="Alpha Paragraph"/>
    <w:basedOn w:val="Normal"/>
    <w:rsid w:val="0064091D"/>
    <w:pPr>
      <w:numPr>
        <w:numId w:val="3"/>
      </w:numPr>
      <w:tabs>
        <w:tab w:val="clear" w:pos="567"/>
        <w:tab w:val="num" w:pos="283"/>
      </w:tabs>
      <w:ind w:left="283" w:hanging="283"/>
    </w:pPr>
  </w:style>
  <w:style w:type="paragraph" w:customStyle="1" w:styleId="HeadingBase">
    <w:name w:val="Heading Base"/>
    <w:next w:val="Normal"/>
    <w:rsid w:val="0064091D"/>
    <w:pPr>
      <w:keepNext/>
    </w:pPr>
    <w:rPr>
      <w:rFonts w:ascii="Century Gothic" w:hAnsi="Century Gothic"/>
      <w:color w:val="1F497D" w:themeColor="text2"/>
    </w:rPr>
  </w:style>
  <w:style w:type="paragraph" w:customStyle="1" w:styleId="AppendixHeading">
    <w:name w:val="Appendix Heading"/>
    <w:basedOn w:val="HeadingBase"/>
    <w:next w:val="Normal"/>
    <w:rsid w:val="0064091D"/>
    <w:pPr>
      <w:spacing w:before="720" w:after="360"/>
    </w:pPr>
    <w:rPr>
      <w:rFonts w:ascii="Arial Bold" w:hAnsi="Arial Bold"/>
      <w:b/>
      <w:smallCaps/>
      <w:sz w:val="36"/>
      <w:szCs w:val="36"/>
    </w:rPr>
  </w:style>
  <w:style w:type="character" w:customStyle="1" w:styleId="Bold">
    <w:name w:val="Bold"/>
    <w:basedOn w:val="DefaultParagraphFont"/>
    <w:rsid w:val="0064091D"/>
    <w:rPr>
      <w:b/>
    </w:rPr>
  </w:style>
  <w:style w:type="paragraph" w:customStyle="1" w:styleId="BoxHeading">
    <w:name w:val="Box Heading"/>
    <w:basedOn w:val="HeadingBase"/>
    <w:next w:val="BoxText"/>
    <w:rsid w:val="0064091D"/>
    <w:pPr>
      <w:numPr>
        <w:numId w:val="28"/>
      </w:numPr>
      <w:spacing w:before="120" w:after="120"/>
    </w:pPr>
    <w:rPr>
      <w:b/>
      <w:sz w:val="22"/>
    </w:rPr>
  </w:style>
  <w:style w:type="paragraph" w:customStyle="1" w:styleId="BoxTextBase">
    <w:name w:val="Box Text Base"/>
    <w:basedOn w:val="Normal"/>
    <w:rsid w:val="0064091D"/>
    <w:pPr>
      <w:spacing w:line="240" w:lineRule="auto"/>
    </w:pPr>
    <w:rPr>
      <w:color w:val="000080"/>
    </w:rPr>
  </w:style>
  <w:style w:type="paragraph" w:customStyle="1" w:styleId="ChartandTableFootnoteAlpha">
    <w:name w:val="Chart and Table Footnote Alpha"/>
    <w:rsid w:val="0064091D"/>
    <w:pPr>
      <w:numPr>
        <w:numId w:val="4"/>
      </w:numPr>
      <w:jc w:val="both"/>
    </w:pPr>
    <w:rPr>
      <w:rFonts w:ascii="Arial" w:hAnsi="Arial"/>
      <w:color w:val="000000"/>
      <w:sz w:val="16"/>
      <w:szCs w:val="16"/>
    </w:rPr>
  </w:style>
  <w:style w:type="paragraph" w:customStyle="1" w:styleId="ChartGraphic">
    <w:name w:val="Chart Graphic"/>
    <w:basedOn w:val="HeadingBase"/>
    <w:rsid w:val="0064091D"/>
    <w:pPr>
      <w:jc w:val="center"/>
    </w:pPr>
  </w:style>
  <w:style w:type="paragraph" w:customStyle="1" w:styleId="ChartMainHeading">
    <w:name w:val="Chart Main Heading"/>
    <w:basedOn w:val="HeadingBase"/>
    <w:next w:val="ChartGraphic"/>
    <w:rsid w:val="0064091D"/>
    <w:pPr>
      <w:spacing w:after="20"/>
      <w:jc w:val="center"/>
    </w:pPr>
    <w:rPr>
      <w:b/>
      <w:sz w:val="22"/>
    </w:rPr>
  </w:style>
  <w:style w:type="paragraph" w:customStyle="1" w:styleId="ChartorTableNote">
    <w:name w:val="Chart or Table Note"/>
    <w:next w:val="Normal"/>
    <w:rsid w:val="0064091D"/>
    <w:pPr>
      <w:jc w:val="both"/>
    </w:pPr>
    <w:rPr>
      <w:rFonts w:ascii="Arial" w:hAnsi="Arial"/>
      <w:color w:val="000000"/>
      <w:sz w:val="16"/>
    </w:rPr>
  </w:style>
  <w:style w:type="paragraph" w:customStyle="1" w:styleId="ChartSecondHeading">
    <w:name w:val="Chart Second Heading"/>
    <w:basedOn w:val="HeadingBase"/>
    <w:next w:val="ChartGraphic"/>
    <w:rsid w:val="0064091D"/>
    <w:pPr>
      <w:spacing w:after="20"/>
      <w:jc w:val="center"/>
    </w:pPr>
  </w:style>
  <w:style w:type="paragraph" w:customStyle="1" w:styleId="Classification">
    <w:name w:val="Classification"/>
    <w:basedOn w:val="HeadingBase"/>
    <w:next w:val="Footer"/>
    <w:rsid w:val="0064091D"/>
    <w:pPr>
      <w:spacing w:after="120"/>
      <w:jc w:val="center"/>
    </w:pPr>
    <w:rPr>
      <w:b/>
      <w:smallCaps/>
    </w:rPr>
  </w:style>
  <w:style w:type="paragraph" w:styleId="Footer">
    <w:name w:val="footer"/>
    <w:basedOn w:val="HeadingBase"/>
    <w:rsid w:val="0064091D"/>
    <w:rPr>
      <w:sz w:val="18"/>
    </w:rPr>
  </w:style>
  <w:style w:type="paragraph" w:customStyle="1" w:styleId="ContentsHeading">
    <w:name w:val="Contents Heading"/>
    <w:basedOn w:val="HeadingBase"/>
    <w:next w:val="Normal"/>
    <w:rsid w:val="0064091D"/>
    <w:pPr>
      <w:spacing w:after="360"/>
      <w:jc w:val="center"/>
    </w:pPr>
    <w:rPr>
      <w:smallCaps/>
      <w:sz w:val="36"/>
      <w:szCs w:val="36"/>
    </w:rPr>
  </w:style>
  <w:style w:type="paragraph" w:customStyle="1" w:styleId="CoverTitleMain">
    <w:name w:val="Cover Title Main"/>
    <w:basedOn w:val="HeadingBase"/>
    <w:next w:val="Normal"/>
    <w:rsid w:val="0064091D"/>
    <w:pPr>
      <w:spacing w:after="480"/>
      <w:jc w:val="center"/>
    </w:pPr>
    <w:rPr>
      <w:b/>
      <w:sz w:val="48"/>
    </w:rPr>
  </w:style>
  <w:style w:type="paragraph" w:customStyle="1" w:styleId="CoverTitleSub">
    <w:name w:val="Cover Title Sub"/>
    <w:basedOn w:val="HeadingBase"/>
    <w:rsid w:val="0064091D"/>
    <w:pPr>
      <w:spacing w:after="360"/>
      <w:jc w:val="center"/>
    </w:pPr>
    <w:rPr>
      <w:sz w:val="36"/>
    </w:rPr>
  </w:style>
  <w:style w:type="paragraph" w:customStyle="1" w:styleId="FooterCentered">
    <w:name w:val="Footer Centered"/>
    <w:basedOn w:val="Footer"/>
    <w:rsid w:val="0064091D"/>
    <w:pPr>
      <w:jc w:val="center"/>
    </w:pPr>
    <w:rPr>
      <w:rFonts w:ascii="Book Antiqua" w:hAnsi="Book Antiqua"/>
      <w:sz w:val="22"/>
    </w:rPr>
  </w:style>
  <w:style w:type="paragraph" w:customStyle="1" w:styleId="FooterEven">
    <w:name w:val="Footer Even"/>
    <w:basedOn w:val="Footer"/>
    <w:rsid w:val="0064091D"/>
  </w:style>
  <w:style w:type="paragraph" w:customStyle="1" w:styleId="FooterOdd">
    <w:name w:val="Footer Odd"/>
    <w:basedOn w:val="Footer"/>
    <w:rsid w:val="0064091D"/>
    <w:pPr>
      <w:jc w:val="right"/>
    </w:pPr>
  </w:style>
  <w:style w:type="character" w:customStyle="1" w:styleId="FramedFooter">
    <w:name w:val="Framed Footer"/>
    <w:rsid w:val="0064091D"/>
    <w:rPr>
      <w:rFonts w:ascii="Arial" w:hAnsi="Arial"/>
      <w:sz w:val="18"/>
    </w:rPr>
  </w:style>
  <w:style w:type="character" w:customStyle="1" w:styleId="FramedHeader">
    <w:name w:val="Framed Header"/>
    <w:basedOn w:val="DefaultParagraphFont"/>
    <w:rsid w:val="0064091D"/>
    <w:rPr>
      <w:rFonts w:ascii="Arial" w:hAnsi="Arial"/>
      <w:dstrike w:val="0"/>
      <w:color w:val="auto"/>
      <w:sz w:val="18"/>
      <w:vertAlign w:val="baseline"/>
    </w:rPr>
  </w:style>
  <w:style w:type="paragraph" w:styleId="Header">
    <w:name w:val="header"/>
    <w:basedOn w:val="HeadingBase"/>
    <w:rsid w:val="0064091D"/>
    <w:rPr>
      <w:sz w:val="18"/>
    </w:rPr>
  </w:style>
  <w:style w:type="paragraph" w:customStyle="1" w:styleId="HeaderEven">
    <w:name w:val="Header Even"/>
    <w:basedOn w:val="Header"/>
    <w:rsid w:val="0064091D"/>
  </w:style>
  <w:style w:type="paragraph" w:customStyle="1" w:styleId="HeaderOdd">
    <w:name w:val="Header Odd"/>
    <w:basedOn w:val="Header"/>
    <w:rsid w:val="0064091D"/>
    <w:pPr>
      <w:jc w:val="right"/>
    </w:pPr>
  </w:style>
  <w:style w:type="paragraph" w:styleId="NormalIndent">
    <w:name w:val="Normal Indent"/>
    <w:basedOn w:val="Normal"/>
    <w:rsid w:val="0064091D"/>
    <w:pPr>
      <w:ind w:left="567"/>
    </w:pPr>
  </w:style>
  <w:style w:type="paragraph" w:customStyle="1" w:styleId="RecommendationHeading">
    <w:name w:val="Recommendation Heading"/>
    <w:basedOn w:val="HeadingBase"/>
    <w:next w:val="RecommendationText"/>
    <w:rsid w:val="0064091D"/>
    <w:pPr>
      <w:numPr>
        <w:numId w:val="24"/>
      </w:numPr>
      <w:spacing w:before="120" w:after="240"/>
    </w:pPr>
    <w:rPr>
      <w:b/>
      <w:sz w:val="22"/>
    </w:rPr>
  </w:style>
  <w:style w:type="paragraph" w:customStyle="1" w:styleId="RecommendationTextBase">
    <w:name w:val="Recommendation Text Base"/>
    <w:basedOn w:val="Normal"/>
    <w:rsid w:val="0064091D"/>
  </w:style>
  <w:style w:type="paragraph" w:customStyle="1" w:styleId="RecommendationText">
    <w:name w:val="Recommendation Text"/>
    <w:basedOn w:val="RecommendationTextBase"/>
    <w:rsid w:val="0064091D"/>
  </w:style>
  <w:style w:type="paragraph" w:customStyle="1" w:styleId="TableTextBase">
    <w:name w:val="Table Text Base"/>
    <w:rsid w:val="0064091D"/>
    <w:pPr>
      <w:spacing w:before="40" w:after="40"/>
    </w:pPr>
    <w:rPr>
      <w:rFonts w:ascii="Arial" w:hAnsi="Arial"/>
      <w:color w:val="000000"/>
      <w:sz w:val="16"/>
    </w:rPr>
  </w:style>
  <w:style w:type="paragraph" w:customStyle="1" w:styleId="TableColumnHeadingCentred">
    <w:name w:val="Table Column Heading Centred"/>
    <w:basedOn w:val="TableTextBase"/>
    <w:rsid w:val="0064091D"/>
    <w:pPr>
      <w:jc w:val="center"/>
    </w:pPr>
    <w:rPr>
      <w:b/>
    </w:rPr>
  </w:style>
  <w:style w:type="paragraph" w:customStyle="1" w:styleId="TableColumnHeadingLeft">
    <w:name w:val="Table Column Heading Left"/>
    <w:basedOn w:val="TableTextBase"/>
    <w:rsid w:val="0064091D"/>
    <w:rPr>
      <w:b/>
    </w:rPr>
  </w:style>
  <w:style w:type="paragraph" w:customStyle="1" w:styleId="TableColumnHeadingRight">
    <w:name w:val="Table Column Heading Right"/>
    <w:basedOn w:val="TableTextBase"/>
    <w:rsid w:val="0064091D"/>
    <w:pPr>
      <w:jc w:val="right"/>
    </w:pPr>
    <w:rPr>
      <w:b/>
    </w:rPr>
  </w:style>
  <w:style w:type="paragraph" w:customStyle="1" w:styleId="TableGraphic">
    <w:name w:val="Table Graphic"/>
    <w:basedOn w:val="HeadingBase"/>
    <w:next w:val="Normal"/>
    <w:rsid w:val="0064091D"/>
  </w:style>
  <w:style w:type="paragraph" w:customStyle="1" w:styleId="TableMainHeading">
    <w:name w:val="Table Main Heading"/>
    <w:basedOn w:val="HeadingBase"/>
    <w:next w:val="TableGraphic"/>
    <w:rsid w:val="0064091D"/>
    <w:pPr>
      <w:spacing w:after="20"/>
    </w:pPr>
    <w:rPr>
      <w:b/>
      <w:sz w:val="22"/>
    </w:rPr>
  </w:style>
  <w:style w:type="paragraph" w:customStyle="1" w:styleId="TableMainHeadingContd">
    <w:name w:val="Table Main Heading Contd"/>
    <w:basedOn w:val="HeadingBase"/>
    <w:next w:val="TableGraphic"/>
    <w:rsid w:val="0064091D"/>
    <w:pPr>
      <w:spacing w:after="20"/>
    </w:pPr>
    <w:rPr>
      <w:b/>
      <w:sz w:val="22"/>
    </w:rPr>
  </w:style>
  <w:style w:type="paragraph" w:customStyle="1" w:styleId="TableSecondHeading">
    <w:name w:val="Table Second Heading"/>
    <w:basedOn w:val="HeadingBase"/>
    <w:next w:val="TableGraphic"/>
    <w:rsid w:val="0064091D"/>
    <w:pPr>
      <w:spacing w:after="20"/>
    </w:pPr>
  </w:style>
  <w:style w:type="paragraph" w:customStyle="1" w:styleId="TableTextCentered">
    <w:name w:val="Table Text Centered"/>
    <w:basedOn w:val="TableTextBase"/>
    <w:rsid w:val="0064091D"/>
    <w:pPr>
      <w:jc w:val="center"/>
    </w:pPr>
  </w:style>
  <w:style w:type="paragraph" w:customStyle="1" w:styleId="TableTextIndented">
    <w:name w:val="Table Text Indented"/>
    <w:basedOn w:val="TableTextBase"/>
    <w:rsid w:val="0064091D"/>
    <w:pPr>
      <w:ind w:left="284"/>
    </w:pPr>
  </w:style>
  <w:style w:type="paragraph" w:customStyle="1" w:styleId="TableTextLeft">
    <w:name w:val="Table Text Left"/>
    <w:basedOn w:val="TableTextBase"/>
    <w:rsid w:val="0064091D"/>
  </w:style>
  <w:style w:type="paragraph" w:customStyle="1" w:styleId="TableTextRight">
    <w:name w:val="Table Text Right"/>
    <w:basedOn w:val="TableTextBase"/>
    <w:rsid w:val="0064091D"/>
    <w:pPr>
      <w:jc w:val="right"/>
    </w:pPr>
  </w:style>
  <w:style w:type="paragraph" w:styleId="TOC1">
    <w:name w:val="toc 1"/>
    <w:basedOn w:val="HeadingBase"/>
    <w:next w:val="Normal"/>
    <w:uiPriority w:val="39"/>
    <w:rsid w:val="0064091D"/>
    <w:pPr>
      <w:tabs>
        <w:tab w:val="right" w:leader="dot" w:pos="9072"/>
      </w:tabs>
      <w:spacing w:before="180" w:after="60"/>
      <w:ind w:right="851"/>
    </w:pPr>
    <w:rPr>
      <w:b/>
      <w:sz w:val="24"/>
      <w:szCs w:val="22"/>
    </w:rPr>
  </w:style>
  <w:style w:type="paragraph" w:styleId="TOC2">
    <w:name w:val="toc 2"/>
    <w:basedOn w:val="HeadingBase"/>
    <w:next w:val="Normal"/>
    <w:uiPriority w:val="39"/>
    <w:rsid w:val="0064091D"/>
    <w:pPr>
      <w:tabs>
        <w:tab w:val="right" w:leader="dot" w:pos="9072"/>
      </w:tabs>
      <w:spacing w:before="60"/>
      <w:ind w:right="851"/>
    </w:pPr>
    <w:rPr>
      <w:sz w:val="22"/>
    </w:rPr>
  </w:style>
  <w:style w:type="paragraph" w:styleId="TOC3">
    <w:name w:val="toc 3"/>
    <w:basedOn w:val="Normal"/>
    <w:next w:val="Normal"/>
    <w:rsid w:val="0064091D"/>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64091D"/>
    <w:pPr>
      <w:tabs>
        <w:tab w:val="right" w:leader="dot" w:pos="9072"/>
      </w:tabs>
      <w:spacing w:after="0" w:line="240" w:lineRule="auto"/>
      <w:ind w:left="284" w:right="851"/>
    </w:pPr>
  </w:style>
  <w:style w:type="character" w:customStyle="1" w:styleId="italic">
    <w:name w:val="italic"/>
    <w:basedOn w:val="DefaultParagraphFont"/>
    <w:rsid w:val="0064091D"/>
    <w:rPr>
      <w:i/>
    </w:rPr>
  </w:style>
  <w:style w:type="paragraph" w:customStyle="1" w:styleId="OneLevelNumberedParagraph">
    <w:name w:val="One Level Numbered Paragraph"/>
    <w:basedOn w:val="Normal"/>
    <w:rsid w:val="0064091D"/>
    <w:pPr>
      <w:numPr>
        <w:numId w:val="10"/>
      </w:numPr>
    </w:pPr>
  </w:style>
  <w:style w:type="paragraph" w:customStyle="1" w:styleId="BoxText">
    <w:name w:val="Box Text"/>
    <w:basedOn w:val="BoxTextBase"/>
    <w:rsid w:val="0064091D"/>
  </w:style>
  <w:style w:type="paragraph" w:customStyle="1" w:styleId="BoxBullet">
    <w:name w:val="Box Bullet"/>
    <w:basedOn w:val="BoxTextBase"/>
    <w:rsid w:val="0064091D"/>
    <w:pPr>
      <w:numPr>
        <w:numId w:val="9"/>
      </w:numPr>
    </w:pPr>
  </w:style>
  <w:style w:type="paragraph" w:customStyle="1" w:styleId="BoxDash">
    <w:name w:val="Box Dash"/>
    <w:basedOn w:val="BoxTextBase"/>
    <w:rsid w:val="0064091D"/>
    <w:pPr>
      <w:numPr>
        <w:ilvl w:val="1"/>
        <w:numId w:val="9"/>
      </w:numPr>
    </w:pPr>
  </w:style>
  <w:style w:type="paragraph" w:customStyle="1" w:styleId="BoxDoubleDot">
    <w:name w:val="Box Double Dot"/>
    <w:basedOn w:val="BoxTextBase"/>
    <w:rsid w:val="0064091D"/>
    <w:pPr>
      <w:numPr>
        <w:ilvl w:val="2"/>
        <w:numId w:val="9"/>
      </w:numPr>
    </w:pPr>
  </w:style>
  <w:style w:type="paragraph" w:customStyle="1" w:styleId="RecommendationBullet">
    <w:name w:val="Recommendation Bullet"/>
    <w:basedOn w:val="RecommendationTextBase"/>
    <w:rsid w:val="0064091D"/>
    <w:pPr>
      <w:numPr>
        <w:numId w:val="22"/>
      </w:numPr>
    </w:pPr>
  </w:style>
  <w:style w:type="paragraph" w:customStyle="1" w:styleId="RecommendationDash">
    <w:name w:val="Recommendation Dash"/>
    <w:basedOn w:val="RecommendationTextBase"/>
    <w:rsid w:val="0064091D"/>
    <w:pPr>
      <w:numPr>
        <w:ilvl w:val="1"/>
        <w:numId w:val="22"/>
      </w:numPr>
    </w:pPr>
  </w:style>
  <w:style w:type="paragraph" w:customStyle="1" w:styleId="RecommendationDoubleDot">
    <w:name w:val="Recommendation Double Dot"/>
    <w:basedOn w:val="RecommendationTextBase"/>
    <w:rsid w:val="0064091D"/>
    <w:pPr>
      <w:numPr>
        <w:ilvl w:val="2"/>
        <w:numId w:val="22"/>
      </w:numPr>
    </w:pPr>
  </w:style>
  <w:style w:type="character" w:styleId="FollowedHyperlink">
    <w:name w:val="FollowedHyperlink"/>
    <w:basedOn w:val="DefaultParagraphFont"/>
    <w:rsid w:val="0064091D"/>
    <w:rPr>
      <w:color w:val="auto"/>
      <w:u w:val="none"/>
    </w:rPr>
  </w:style>
  <w:style w:type="paragraph" w:customStyle="1" w:styleId="Disclaimer">
    <w:name w:val="Disclaimer"/>
    <w:basedOn w:val="HeadingBase"/>
    <w:rsid w:val="0064091D"/>
    <w:pPr>
      <w:spacing w:after="240"/>
    </w:pPr>
    <w:rPr>
      <w:b/>
      <w:sz w:val="22"/>
    </w:rPr>
  </w:style>
  <w:style w:type="paragraph" w:customStyle="1" w:styleId="SecurityClassificationHeader">
    <w:name w:val="Security Classification Header"/>
    <w:rsid w:val="0064091D"/>
    <w:pPr>
      <w:spacing w:after="240"/>
      <w:jc w:val="center"/>
    </w:pPr>
    <w:rPr>
      <w:rFonts w:ascii="Book Antiqua" w:hAnsi="Book Antiqua"/>
      <w:b/>
      <w:caps/>
      <w:color w:val="000080"/>
      <w:sz w:val="22"/>
    </w:rPr>
  </w:style>
  <w:style w:type="paragraph" w:customStyle="1" w:styleId="SecurityClassificationFooter">
    <w:name w:val="Security Classification Footer"/>
    <w:rsid w:val="0064091D"/>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64091D"/>
    <w:rPr>
      <w:rFonts w:ascii="Arial" w:hAnsi="Arial" w:cs="Arial"/>
      <w:color w:val="auto"/>
      <w:sz w:val="20"/>
      <w:szCs w:val="20"/>
    </w:rPr>
  </w:style>
  <w:style w:type="character" w:customStyle="1" w:styleId="Italics">
    <w:name w:val="Italics"/>
    <w:basedOn w:val="DefaultParagraphFont"/>
    <w:rsid w:val="0064091D"/>
    <w:rPr>
      <w:i/>
    </w:rPr>
  </w:style>
  <w:style w:type="paragraph" w:customStyle="1" w:styleId="NotesHeading">
    <w:name w:val="Notes Heading"/>
    <w:basedOn w:val="ContentsHeading"/>
    <w:rsid w:val="0064091D"/>
    <w:pPr>
      <w:spacing w:before="240"/>
    </w:pPr>
  </w:style>
  <w:style w:type="paragraph" w:customStyle="1" w:styleId="BoxHeadingnonumber">
    <w:name w:val="Box Heading no number"/>
    <w:basedOn w:val="BoxHeading"/>
    <w:next w:val="BoxText"/>
    <w:qFormat/>
    <w:rsid w:val="0064091D"/>
    <w:pPr>
      <w:numPr>
        <w:numId w:val="0"/>
      </w:numPr>
    </w:pPr>
  </w:style>
  <w:style w:type="paragraph" w:styleId="BalloonText">
    <w:name w:val="Balloon Text"/>
    <w:basedOn w:val="Normal"/>
    <w:link w:val="BalloonTextChar"/>
    <w:uiPriority w:val="99"/>
    <w:semiHidden/>
    <w:unhideWhenUsed/>
    <w:rsid w:val="00640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91D"/>
    <w:rPr>
      <w:rFonts w:ascii="Tahoma" w:hAnsi="Tahoma" w:cs="Tahoma"/>
      <w:color w:val="000000"/>
      <w:sz w:val="16"/>
      <w:szCs w:val="16"/>
    </w:rPr>
  </w:style>
  <w:style w:type="numbering" w:customStyle="1" w:styleId="Outlinenumbering">
    <w:name w:val="Outline numbering"/>
    <w:uiPriority w:val="99"/>
    <w:rsid w:val="0064091D"/>
    <w:pPr>
      <w:numPr>
        <w:numId w:val="25"/>
      </w:numPr>
    </w:pPr>
  </w:style>
  <w:style w:type="numbering" w:customStyle="1" w:styleId="Optionboxheading">
    <w:name w:val="Option box heading"/>
    <w:uiPriority w:val="99"/>
    <w:rsid w:val="0064091D"/>
    <w:pPr>
      <w:numPr>
        <w:numId w:val="28"/>
      </w:numPr>
    </w:pPr>
  </w:style>
  <w:style w:type="character" w:customStyle="1" w:styleId="A5">
    <w:name w:val="A5"/>
    <w:uiPriority w:val="99"/>
    <w:rsid w:val="0064091D"/>
    <w:rPr>
      <w:rFonts w:cs="Swiss 721 BT"/>
      <w:color w:val="000000"/>
      <w:sz w:val="20"/>
      <w:szCs w:val="20"/>
    </w:rPr>
  </w:style>
  <w:style w:type="paragraph" w:customStyle="1" w:styleId="Heading2NotNumbered">
    <w:name w:val="Heading 2 Not Numbered"/>
    <w:basedOn w:val="Heading2"/>
    <w:next w:val="Normal"/>
    <w:rsid w:val="0064091D"/>
  </w:style>
  <w:style w:type="character" w:customStyle="1" w:styleId="SingleParagraphChar">
    <w:name w:val="Single Paragraph Char"/>
    <w:basedOn w:val="DefaultParagraphFont"/>
    <w:link w:val="SingleParagraph"/>
    <w:rsid w:val="0064091D"/>
    <w:rPr>
      <w:rFonts w:ascii="Book Antiqua" w:hAnsi="Book Antiqua"/>
      <w:color w:val="000000"/>
      <w:sz w:val="22"/>
    </w:rPr>
  </w:style>
  <w:style w:type="character" w:customStyle="1" w:styleId="BulletChar">
    <w:name w:val="Bullet Char"/>
    <w:basedOn w:val="DefaultParagraphFont"/>
    <w:link w:val="Bullet"/>
    <w:locked/>
    <w:rsid w:val="00415E8B"/>
    <w:rPr>
      <w:rFonts w:ascii="Book Antiqua" w:hAnsi="Book Antiqua"/>
      <w:color w:val="000000"/>
      <w:sz w:val="22"/>
    </w:rPr>
  </w:style>
  <w:style w:type="paragraph" w:styleId="ListParagraph">
    <w:name w:val="List Paragraph"/>
    <w:basedOn w:val="Normal"/>
    <w:uiPriority w:val="34"/>
    <w:qFormat/>
    <w:rsid w:val="00B858F8"/>
    <w:pPr>
      <w:ind w:left="720"/>
      <w:contextualSpacing/>
    </w:pPr>
  </w:style>
  <w:style w:type="character" w:customStyle="1" w:styleId="DashChar">
    <w:name w:val="Dash Char"/>
    <w:basedOn w:val="DefaultParagraphFont"/>
    <w:link w:val="Dash"/>
    <w:rsid w:val="00B858F8"/>
    <w:rPr>
      <w:rFonts w:ascii="Book Antiqua" w:hAnsi="Book Antiqua"/>
      <w:color w:val="000000"/>
      <w:sz w:val="22"/>
    </w:rPr>
  </w:style>
  <w:style w:type="character" w:customStyle="1" w:styleId="DoubleDotChar">
    <w:name w:val="Double Dot Char"/>
    <w:basedOn w:val="DefaultParagraphFont"/>
    <w:link w:val="DoubleDot"/>
    <w:rsid w:val="00B858F8"/>
    <w:rPr>
      <w:rFonts w:ascii="Book Antiqua" w:hAnsi="Book Antiqua"/>
      <w:color w:val="000000"/>
      <w:sz w:val="22"/>
    </w:rPr>
  </w:style>
  <w:style w:type="table" w:styleId="MediumGrid2-Accent1">
    <w:name w:val="Medium Grid 2 Accent 1"/>
    <w:basedOn w:val="TableNormal"/>
    <w:uiPriority w:val="68"/>
    <w:rsid w:val="0014299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ormalWeb">
    <w:name w:val="Normal (Web)"/>
    <w:basedOn w:val="Normal"/>
    <w:uiPriority w:val="99"/>
    <w:semiHidden/>
    <w:unhideWhenUsed/>
    <w:rsid w:val="006A49FA"/>
    <w:pPr>
      <w:spacing w:before="180" w:after="180" w:line="255" w:lineRule="atLeast"/>
      <w:jc w:val="left"/>
    </w:pPr>
    <w:rPr>
      <w:rFonts w:ascii="Times New Roman" w:hAnsi="Times New Roman"/>
      <w:color w:val="auto"/>
      <w:sz w:val="24"/>
      <w:szCs w:val="24"/>
    </w:rPr>
  </w:style>
  <w:style w:type="character" w:styleId="FootnoteReference">
    <w:name w:val="footnote reference"/>
    <w:basedOn w:val="DefaultParagraphFont"/>
    <w:uiPriority w:val="99"/>
    <w:semiHidden/>
    <w:unhideWhenUsed/>
    <w:rsid w:val="00D67F72"/>
    <w:rPr>
      <w:vertAlign w:val="superscript"/>
    </w:rPr>
  </w:style>
  <w:style w:type="character" w:styleId="Strong">
    <w:name w:val="Strong"/>
    <w:basedOn w:val="DefaultParagraphFont"/>
    <w:uiPriority w:val="22"/>
    <w:qFormat/>
    <w:rsid w:val="007C2174"/>
    <w:rPr>
      <w:b/>
      <w:bCs/>
    </w:rPr>
  </w:style>
  <w:style w:type="character" w:styleId="CommentReference">
    <w:name w:val="annotation reference"/>
    <w:basedOn w:val="DefaultParagraphFont"/>
    <w:uiPriority w:val="99"/>
    <w:semiHidden/>
    <w:unhideWhenUsed/>
    <w:rsid w:val="007C2174"/>
    <w:rPr>
      <w:sz w:val="16"/>
      <w:szCs w:val="16"/>
    </w:rPr>
  </w:style>
  <w:style w:type="paragraph" w:styleId="CommentText">
    <w:name w:val="annotation text"/>
    <w:basedOn w:val="Normal"/>
    <w:link w:val="CommentTextChar"/>
    <w:uiPriority w:val="99"/>
    <w:semiHidden/>
    <w:unhideWhenUsed/>
    <w:rsid w:val="007C2174"/>
    <w:pPr>
      <w:spacing w:after="0" w:line="240" w:lineRule="auto"/>
      <w:jc w:val="left"/>
    </w:pPr>
    <w:rPr>
      <w:rFonts w:ascii="Calibri" w:eastAsiaTheme="minorHAnsi" w:hAnsi="Calibri"/>
      <w:color w:val="auto"/>
      <w:sz w:val="20"/>
      <w:lang w:eastAsia="en-US"/>
    </w:rPr>
  </w:style>
  <w:style w:type="character" w:customStyle="1" w:styleId="CommentTextChar">
    <w:name w:val="Comment Text Char"/>
    <w:basedOn w:val="DefaultParagraphFont"/>
    <w:link w:val="CommentText"/>
    <w:uiPriority w:val="99"/>
    <w:semiHidden/>
    <w:rsid w:val="007C2174"/>
    <w:rPr>
      <w:rFonts w:ascii="Calibri" w:eastAsiaTheme="minorHAnsi" w:hAnsi="Calibri"/>
      <w:lang w:eastAsia="en-US"/>
    </w:rPr>
  </w:style>
  <w:style w:type="paragraph" w:styleId="CommentSubject">
    <w:name w:val="annotation subject"/>
    <w:basedOn w:val="CommentText"/>
    <w:next w:val="CommentText"/>
    <w:link w:val="CommentSubjectChar"/>
    <w:uiPriority w:val="99"/>
    <w:semiHidden/>
    <w:unhideWhenUsed/>
    <w:rsid w:val="007C2174"/>
    <w:rPr>
      <w:b/>
      <w:bCs/>
    </w:rPr>
  </w:style>
  <w:style w:type="character" w:customStyle="1" w:styleId="CommentSubjectChar">
    <w:name w:val="Comment Subject Char"/>
    <w:basedOn w:val="CommentTextChar"/>
    <w:link w:val="CommentSubject"/>
    <w:uiPriority w:val="99"/>
    <w:semiHidden/>
    <w:rsid w:val="007C2174"/>
    <w:rPr>
      <w:rFonts w:ascii="Calibri" w:eastAsiaTheme="minorHAnsi" w:hAnsi="Calibri"/>
      <w:b/>
      <w:bCs/>
      <w:lang w:eastAsia="en-US"/>
    </w:rPr>
  </w:style>
  <w:style w:type="paragraph" w:customStyle="1" w:styleId="Num-DocParagraph">
    <w:name w:val="Num-Doc Paragraph"/>
    <w:basedOn w:val="BodyText"/>
    <w:link w:val="Num-DocParagraph0"/>
    <w:rsid w:val="007C2174"/>
    <w:pPr>
      <w:tabs>
        <w:tab w:val="left" w:pos="850"/>
        <w:tab w:val="left" w:pos="1191"/>
        <w:tab w:val="left" w:pos="1531"/>
      </w:tabs>
      <w:spacing w:after="240"/>
      <w:jc w:val="both"/>
    </w:pPr>
    <w:rPr>
      <w:rFonts w:ascii="Book Antiqua" w:eastAsia="Times New Roman" w:hAnsi="Book Antiqua"/>
      <w:color w:val="000000"/>
      <w:lang w:val="en-GB" w:eastAsia="zh-CN"/>
    </w:rPr>
  </w:style>
  <w:style w:type="character" w:customStyle="1" w:styleId="Num-DocParagraph0">
    <w:name w:val="Num-Doc Paragraph (文字)"/>
    <w:basedOn w:val="BodyTextChar"/>
    <w:link w:val="Num-DocParagraph"/>
    <w:rsid w:val="007C2174"/>
    <w:rPr>
      <w:rFonts w:ascii="Calibri" w:eastAsiaTheme="minorHAnsi" w:hAnsi="Calibri"/>
      <w:sz w:val="22"/>
      <w:szCs w:val="22"/>
      <w:lang w:val="en-GB" w:eastAsia="zh-CN"/>
    </w:rPr>
  </w:style>
  <w:style w:type="paragraph" w:styleId="BodyText">
    <w:name w:val="Body Text"/>
    <w:basedOn w:val="Normal"/>
    <w:link w:val="BodyTextChar"/>
    <w:uiPriority w:val="99"/>
    <w:semiHidden/>
    <w:unhideWhenUsed/>
    <w:rsid w:val="007C2174"/>
    <w:pPr>
      <w:spacing w:after="120" w:line="240" w:lineRule="auto"/>
      <w:jc w:val="left"/>
    </w:pPr>
    <w:rPr>
      <w:rFonts w:ascii="Calibri" w:eastAsiaTheme="minorHAnsi" w:hAnsi="Calibri"/>
      <w:color w:val="auto"/>
      <w:szCs w:val="22"/>
      <w:lang w:eastAsia="en-US"/>
    </w:rPr>
  </w:style>
  <w:style w:type="character" w:customStyle="1" w:styleId="BodyTextChar">
    <w:name w:val="Body Text Char"/>
    <w:basedOn w:val="DefaultParagraphFont"/>
    <w:link w:val="BodyText"/>
    <w:uiPriority w:val="99"/>
    <w:semiHidden/>
    <w:rsid w:val="007C2174"/>
    <w:rPr>
      <w:rFonts w:ascii="Calibri" w:eastAsiaTheme="minorHAnsi" w:hAnsi="Calibri"/>
      <w:sz w:val="22"/>
      <w:szCs w:val="22"/>
      <w:lang w:eastAsia="en-US"/>
    </w:rPr>
  </w:style>
  <w:style w:type="character" w:customStyle="1" w:styleId="OutlineNumbered1Char">
    <w:name w:val="Outline Numbered 1 Char"/>
    <w:basedOn w:val="DefaultParagraphFont"/>
    <w:link w:val="OutlineNumbered1"/>
    <w:rsid w:val="007C2174"/>
    <w:rPr>
      <w:rFonts w:ascii="Book Antiqua" w:hAnsi="Book Antiqua"/>
      <w:color w:val="000000"/>
      <w:sz w:val="22"/>
    </w:rPr>
  </w:style>
  <w:style w:type="paragraph" w:customStyle="1" w:styleId="MLIParagraph">
    <w:name w:val="MLI Paragraph"/>
    <w:basedOn w:val="Normal"/>
    <w:qFormat/>
    <w:rsid w:val="007C2174"/>
    <w:pPr>
      <w:tabs>
        <w:tab w:val="left" w:pos="567"/>
        <w:tab w:val="left" w:pos="850"/>
        <w:tab w:val="left" w:pos="1191"/>
        <w:tab w:val="left" w:pos="1531"/>
      </w:tabs>
      <w:autoSpaceDE w:val="0"/>
      <w:autoSpaceDN w:val="0"/>
      <w:adjustRightInd w:val="0"/>
      <w:spacing w:line="240" w:lineRule="auto"/>
    </w:pPr>
    <w:rPr>
      <w:rFonts w:ascii="Times New Roman" w:hAnsi="Times New Roman"/>
      <w:iCs/>
      <w:color w:val="auto"/>
      <w:szCs w:val="22"/>
      <w:lang w:val="en-GB" w:eastAsia="en-GB"/>
    </w:rPr>
  </w:style>
  <w:style w:type="paragraph" w:styleId="Revision">
    <w:name w:val="Revision"/>
    <w:hidden/>
    <w:uiPriority w:val="99"/>
    <w:semiHidden/>
    <w:rsid w:val="00182A24"/>
    <w:rPr>
      <w:rFonts w:ascii="Book Antiqua" w:hAnsi="Book Antiqua"/>
      <w:color w:val="000000"/>
      <w:sz w:val="22"/>
    </w:rPr>
  </w:style>
  <w:style w:type="paragraph" w:customStyle="1" w:styleId="Tabletextbullet">
    <w:name w:val="Table text bullet"/>
    <w:basedOn w:val="TableTextLeft"/>
    <w:qFormat/>
    <w:rsid w:val="006A10B8"/>
    <w:pPr>
      <w:numPr>
        <w:numId w:val="99"/>
      </w:numPr>
      <w:spacing w:line="260" w:lineRule="exact"/>
      <w:ind w:left="357" w:hanging="357"/>
    </w:pPr>
  </w:style>
  <w:style w:type="paragraph" w:customStyle="1" w:styleId="Tabletextnumbered">
    <w:name w:val="Table text numbered"/>
    <w:basedOn w:val="Tabletextbullet"/>
    <w:qFormat/>
    <w:rsid w:val="006A10B8"/>
    <w:pPr>
      <w:numPr>
        <w:numId w:val="100"/>
      </w:numPr>
      <w:ind w:left="357" w:hanging="357"/>
    </w:pPr>
  </w:style>
  <w:style w:type="paragraph" w:customStyle="1" w:styleId="TPHeading3">
    <w:name w:val="TP Heading 3"/>
    <w:basedOn w:val="Normal"/>
    <w:rsid w:val="002E08C8"/>
    <w:pPr>
      <w:keepNext/>
      <w:spacing w:after="0" w:line="240" w:lineRule="auto"/>
      <w:jc w:val="center"/>
    </w:pPr>
    <w:rPr>
      <w:caps/>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1D"/>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64091D"/>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64091D"/>
    <w:pPr>
      <w:spacing w:before="300" w:after="180"/>
      <w:outlineLvl w:val="1"/>
    </w:pPr>
    <w:rPr>
      <w:rFonts w:cs="Arial"/>
      <w:b/>
      <w:bCs/>
      <w:iCs/>
      <w:smallCaps/>
      <w:sz w:val="32"/>
      <w:szCs w:val="28"/>
    </w:rPr>
  </w:style>
  <w:style w:type="paragraph" w:styleId="Heading3">
    <w:name w:val="heading 3"/>
    <w:basedOn w:val="HeadingBase"/>
    <w:next w:val="OutlineNumbered1"/>
    <w:qFormat/>
    <w:rsid w:val="0064091D"/>
    <w:pPr>
      <w:spacing w:before="120" w:after="240"/>
      <w:outlineLvl w:val="2"/>
    </w:pPr>
    <w:rPr>
      <w:rFonts w:cs="Arial"/>
      <w:b/>
      <w:bCs/>
      <w:sz w:val="26"/>
      <w:szCs w:val="26"/>
    </w:rPr>
  </w:style>
  <w:style w:type="paragraph" w:styleId="Heading4">
    <w:name w:val="heading 4"/>
    <w:basedOn w:val="HeadingBase"/>
    <w:next w:val="OutlineNumbered1"/>
    <w:qFormat/>
    <w:rsid w:val="0064091D"/>
    <w:pPr>
      <w:spacing w:after="240"/>
      <w:outlineLvl w:val="3"/>
    </w:pPr>
    <w:rPr>
      <w:b/>
      <w:bCs/>
      <w:sz w:val="22"/>
      <w:szCs w:val="22"/>
    </w:rPr>
  </w:style>
  <w:style w:type="paragraph" w:styleId="Heading5">
    <w:name w:val="heading 5"/>
    <w:basedOn w:val="HeadingBase"/>
    <w:next w:val="OutlineNumbered1"/>
    <w:qFormat/>
    <w:rsid w:val="0064091D"/>
    <w:pPr>
      <w:spacing w:after="120"/>
      <w:outlineLvl w:val="4"/>
    </w:pPr>
    <w:rPr>
      <w:b/>
      <w:bCs/>
      <w:iCs/>
    </w:rPr>
  </w:style>
  <w:style w:type="paragraph" w:styleId="Heading6">
    <w:name w:val="heading 6"/>
    <w:basedOn w:val="HeadingBase"/>
    <w:next w:val="OutlineNumbered1"/>
    <w:qFormat/>
    <w:rsid w:val="0064091D"/>
    <w:pPr>
      <w:spacing w:after="120"/>
      <w:outlineLvl w:val="5"/>
    </w:pPr>
    <w:rPr>
      <w:bCs/>
      <w:szCs w:val="22"/>
    </w:rPr>
  </w:style>
  <w:style w:type="paragraph" w:styleId="Heading7">
    <w:name w:val="heading 7"/>
    <w:basedOn w:val="HeadingBase"/>
    <w:next w:val="Normal"/>
    <w:qFormat/>
    <w:rsid w:val="0064091D"/>
    <w:pPr>
      <w:spacing w:after="120"/>
      <w:outlineLvl w:val="6"/>
    </w:pPr>
    <w:rPr>
      <w:szCs w:val="24"/>
    </w:rPr>
  </w:style>
  <w:style w:type="paragraph" w:styleId="Heading8">
    <w:name w:val="heading 8"/>
    <w:basedOn w:val="HeadingBase"/>
    <w:next w:val="Normal"/>
    <w:qFormat/>
    <w:rsid w:val="0064091D"/>
    <w:pPr>
      <w:spacing w:after="120"/>
      <w:outlineLvl w:val="7"/>
    </w:pPr>
    <w:rPr>
      <w:iCs/>
      <w:szCs w:val="24"/>
    </w:rPr>
  </w:style>
  <w:style w:type="paragraph" w:styleId="Heading9">
    <w:name w:val="heading 9"/>
    <w:basedOn w:val="HeadingBase"/>
    <w:next w:val="Normal"/>
    <w:qFormat/>
    <w:rsid w:val="0064091D"/>
    <w:pPr>
      <w:spacing w:after="120"/>
      <w:outlineLvl w:val="8"/>
    </w:pPr>
    <w:rPr>
      <w:rFonts w:cs="Arial"/>
      <w:szCs w:val="22"/>
    </w:rPr>
  </w:style>
  <w:style w:type="character" w:default="1" w:styleId="DefaultParagraphFont">
    <w:name w:val="Default Paragraph Font"/>
    <w:uiPriority w:val="1"/>
    <w:semiHidden/>
    <w:unhideWhenUsed/>
    <w:rsid w:val="006409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091D"/>
  </w:style>
  <w:style w:type="paragraph" w:customStyle="1" w:styleId="SingleParagraph">
    <w:name w:val="Single Paragraph"/>
    <w:basedOn w:val="Normal"/>
    <w:link w:val="SingleParagraphChar"/>
    <w:rsid w:val="0064091D"/>
    <w:pPr>
      <w:spacing w:after="0"/>
    </w:pPr>
  </w:style>
  <w:style w:type="character" w:styleId="Hyperlink">
    <w:name w:val="Hyperlink"/>
    <w:basedOn w:val="DefaultParagraphFont"/>
    <w:uiPriority w:val="99"/>
    <w:rsid w:val="0064091D"/>
    <w:rPr>
      <w:color w:val="auto"/>
      <w:u w:val="none"/>
    </w:rPr>
  </w:style>
  <w:style w:type="character" w:customStyle="1" w:styleId="BoldandItalic">
    <w:name w:val="Bold and Italic"/>
    <w:basedOn w:val="DefaultParagraphFont"/>
    <w:rsid w:val="0064091D"/>
    <w:rPr>
      <w:rFonts w:ascii="Arial" w:hAnsi="Arial"/>
      <w:b/>
      <w:i/>
    </w:rPr>
  </w:style>
  <w:style w:type="table" w:styleId="TableGrid">
    <w:name w:val="Table Grid"/>
    <w:basedOn w:val="TableNormal"/>
    <w:rsid w:val="0064091D"/>
    <w:pPr>
      <w:spacing w:after="240" w:line="260" w:lineRule="exact"/>
      <w:jc w:val="both"/>
    </w:pPr>
    <w:tblPr/>
    <w:tcPr>
      <w:shd w:val="clear" w:color="auto" w:fill="E6E6E6"/>
    </w:tcPr>
  </w:style>
  <w:style w:type="character" w:styleId="PageNumber">
    <w:name w:val="page number"/>
    <w:basedOn w:val="DefaultParagraphFont"/>
    <w:rsid w:val="0064091D"/>
    <w:rPr>
      <w:rFonts w:ascii="Book Antiqua" w:hAnsi="Book Antiqua"/>
      <w:sz w:val="18"/>
    </w:rPr>
  </w:style>
  <w:style w:type="paragraph" w:styleId="FootnoteText">
    <w:name w:val="footnote text"/>
    <w:basedOn w:val="Normal"/>
    <w:rsid w:val="0064091D"/>
    <w:pPr>
      <w:tabs>
        <w:tab w:val="left" w:pos="284"/>
      </w:tabs>
      <w:ind w:left="284" w:hanging="284"/>
    </w:pPr>
    <w:rPr>
      <w:sz w:val="18"/>
    </w:rPr>
  </w:style>
  <w:style w:type="paragraph" w:customStyle="1" w:styleId="Bullet">
    <w:name w:val="Bullet"/>
    <w:basedOn w:val="Normal"/>
    <w:link w:val="BulletChar"/>
    <w:rsid w:val="0064091D"/>
    <w:pPr>
      <w:numPr>
        <w:numId w:val="1"/>
      </w:numPr>
    </w:pPr>
  </w:style>
  <w:style w:type="paragraph" w:customStyle="1" w:styleId="Dash">
    <w:name w:val="Dash"/>
    <w:basedOn w:val="Normal"/>
    <w:link w:val="DashChar"/>
    <w:rsid w:val="0064091D"/>
    <w:pPr>
      <w:numPr>
        <w:ilvl w:val="1"/>
        <w:numId w:val="1"/>
      </w:numPr>
    </w:pPr>
  </w:style>
  <w:style w:type="paragraph" w:customStyle="1" w:styleId="DoubleDot">
    <w:name w:val="Double Dot"/>
    <w:basedOn w:val="Normal"/>
    <w:link w:val="DoubleDotChar"/>
    <w:rsid w:val="0064091D"/>
    <w:pPr>
      <w:numPr>
        <w:ilvl w:val="2"/>
        <w:numId w:val="1"/>
      </w:numPr>
    </w:pPr>
  </w:style>
  <w:style w:type="paragraph" w:customStyle="1" w:styleId="OutlineNumbered1">
    <w:name w:val="Outline Numbered 1"/>
    <w:basedOn w:val="Normal"/>
    <w:link w:val="OutlineNumbered1Char"/>
    <w:rsid w:val="0064091D"/>
    <w:pPr>
      <w:numPr>
        <w:numId w:val="26"/>
      </w:numPr>
    </w:pPr>
  </w:style>
  <w:style w:type="paragraph" w:customStyle="1" w:styleId="OutlineNumbered2">
    <w:name w:val="Outline Numbered 2"/>
    <w:basedOn w:val="Normal"/>
    <w:rsid w:val="0064091D"/>
    <w:pPr>
      <w:numPr>
        <w:ilvl w:val="1"/>
        <w:numId w:val="26"/>
      </w:numPr>
    </w:pPr>
  </w:style>
  <w:style w:type="paragraph" w:customStyle="1" w:styleId="OutlineNumbered3">
    <w:name w:val="Outline Numbered 3"/>
    <w:basedOn w:val="Normal"/>
    <w:rsid w:val="0064091D"/>
    <w:pPr>
      <w:numPr>
        <w:ilvl w:val="2"/>
        <w:numId w:val="26"/>
      </w:numPr>
    </w:pPr>
  </w:style>
  <w:style w:type="paragraph" w:customStyle="1" w:styleId="AlphaParagraph">
    <w:name w:val="Alpha Paragraph"/>
    <w:basedOn w:val="Normal"/>
    <w:rsid w:val="0064091D"/>
    <w:pPr>
      <w:numPr>
        <w:numId w:val="3"/>
      </w:numPr>
      <w:tabs>
        <w:tab w:val="clear" w:pos="567"/>
        <w:tab w:val="num" w:pos="283"/>
      </w:tabs>
      <w:ind w:left="283" w:hanging="283"/>
    </w:pPr>
  </w:style>
  <w:style w:type="paragraph" w:customStyle="1" w:styleId="HeadingBase">
    <w:name w:val="Heading Base"/>
    <w:next w:val="Normal"/>
    <w:rsid w:val="0064091D"/>
    <w:pPr>
      <w:keepNext/>
    </w:pPr>
    <w:rPr>
      <w:rFonts w:ascii="Century Gothic" w:hAnsi="Century Gothic"/>
      <w:color w:val="1F497D" w:themeColor="text2"/>
    </w:rPr>
  </w:style>
  <w:style w:type="paragraph" w:customStyle="1" w:styleId="AppendixHeading">
    <w:name w:val="Appendix Heading"/>
    <w:basedOn w:val="HeadingBase"/>
    <w:next w:val="Normal"/>
    <w:rsid w:val="0064091D"/>
    <w:pPr>
      <w:spacing w:before="720" w:after="360"/>
    </w:pPr>
    <w:rPr>
      <w:rFonts w:ascii="Arial Bold" w:hAnsi="Arial Bold"/>
      <w:b/>
      <w:smallCaps/>
      <w:sz w:val="36"/>
      <w:szCs w:val="36"/>
    </w:rPr>
  </w:style>
  <w:style w:type="character" w:customStyle="1" w:styleId="Bold">
    <w:name w:val="Bold"/>
    <w:basedOn w:val="DefaultParagraphFont"/>
    <w:rsid w:val="0064091D"/>
    <w:rPr>
      <w:b/>
    </w:rPr>
  </w:style>
  <w:style w:type="paragraph" w:customStyle="1" w:styleId="BoxHeading">
    <w:name w:val="Box Heading"/>
    <w:basedOn w:val="HeadingBase"/>
    <w:next w:val="BoxText"/>
    <w:rsid w:val="0064091D"/>
    <w:pPr>
      <w:numPr>
        <w:numId w:val="28"/>
      </w:numPr>
      <w:spacing w:before="120" w:after="120"/>
    </w:pPr>
    <w:rPr>
      <w:b/>
      <w:sz w:val="22"/>
    </w:rPr>
  </w:style>
  <w:style w:type="paragraph" w:customStyle="1" w:styleId="BoxTextBase">
    <w:name w:val="Box Text Base"/>
    <w:basedOn w:val="Normal"/>
    <w:rsid w:val="0064091D"/>
    <w:pPr>
      <w:spacing w:line="240" w:lineRule="auto"/>
    </w:pPr>
    <w:rPr>
      <w:color w:val="000080"/>
    </w:rPr>
  </w:style>
  <w:style w:type="paragraph" w:customStyle="1" w:styleId="ChartandTableFootnoteAlpha">
    <w:name w:val="Chart and Table Footnote Alpha"/>
    <w:rsid w:val="0064091D"/>
    <w:pPr>
      <w:numPr>
        <w:numId w:val="4"/>
      </w:numPr>
      <w:jc w:val="both"/>
    </w:pPr>
    <w:rPr>
      <w:rFonts w:ascii="Arial" w:hAnsi="Arial"/>
      <w:color w:val="000000"/>
      <w:sz w:val="16"/>
      <w:szCs w:val="16"/>
    </w:rPr>
  </w:style>
  <w:style w:type="paragraph" w:customStyle="1" w:styleId="ChartGraphic">
    <w:name w:val="Chart Graphic"/>
    <w:basedOn w:val="HeadingBase"/>
    <w:rsid w:val="0064091D"/>
    <w:pPr>
      <w:jc w:val="center"/>
    </w:pPr>
  </w:style>
  <w:style w:type="paragraph" w:customStyle="1" w:styleId="ChartMainHeading">
    <w:name w:val="Chart Main Heading"/>
    <w:basedOn w:val="HeadingBase"/>
    <w:next w:val="ChartGraphic"/>
    <w:rsid w:val="0064091D"/>
    <w:pPr>
      <w:spacing w:after="20"/>
      <w:jc w:val="center"/>
    </w:pPr>
    <w:rPr>
      <w:b/>
      <w:sz w:val="22"/>
    </w:rPr>
  </w:style>
  <w:style w:type="paragraph" w:customStyle="1" w:styleId="ChartorTableNote">
    <w:name w:val="Chart or Table Note"/>
    <w:next w:val="Normal"/>
    <w:rsid w:val="0064091D"/>
    <w:pPr>
      <w:jc w:val="both"/>
    </w:pPr>
    <w:rPr>
      <w:rFonts w:ascii="Arial" w:hAnsi="Arial"/>
      <w:color w:val="000000"/>
      <w:sz w:val="16"/>
    </w:rPr>
  </w:style>
  <w:style w:type="paragraph" w:customStyle="1" w:styleId="ChartSecondHeading">
    <w:name w:val="Chart Second Heading"/>
    <w:basedOn w:val="HeadingBase"/>
    <w:next w:val="ChartGraphic"/>
    <w:rsid w:val="0064091D"/>
    <w:pPr>
      <w:spacing w:after="20"/>
      <w:jc w:val="center"/>
    </w:pPr>
  </w:style>
  <w:style w:type="paragraph" w:customStyle="1" w:styleId="Classification">
    <w:name w:val="Classification"/>
    <w:basedOn w:val="HeadingBase"/>
    <w:next w:val="Footer"/>
    <w:rsid w:val="0064091D"/>
    <w:pPr>
      <w:spacing w:after="120"/>
      <w:jc w:val="center"/>
    </w:pPr>
    <w:rPr>
      <w:b/>
      <w:smallCaps/>
    </w:rPr>
  </w:style>
  <w:style w:type="paragraph" w:styleId="Footer">
    <w:name w:val="footer"/>
    <w:basedOn w:val="HeadingBase"/>
    <w:rsid w:val="0064091D"/>
    <w:rPr>
      <w:sz w:val="18"/>
    </w:rPr>
  </w:style>
  <w:style w:type="paragraph" w:customStyle="1" w:styleId="ContentsHeading">
    <w:name w:val="Contents Heading"/>
    <w:basedOn w:val="HeadingBase"/>
    <w:next w:val="Normal"/>
    <w:rsid w:val="0064091D"/>
    <w:pPr>
      <w:spacing w:after="360"/>
      <w:jc w:val="center"/>
    </w:pPr>
    <w:rPr>
      <w:smallCaps/>
      <w:sz w:val="36"/>
      <w:szCs w:val="36"/>
    </w:rPr>
  </w:style>
  <w:style w:type="paragraph" w:customStyle="1" w:styleId="CoverTitleMain">
    <w:name w:val="Cover Title Main"/>
    <w:basedOn w:val="HeadingBase"/>
    <w:next w:val="Normal"/>
    <w:rsid w:val="0064091D"/>
    <w:pPr>
      <w:spacing w:after="480"/>
      <w:jc w:val="center"/>
    </w:pPr>
    <w:rPr>
      <w:b/>
      <w:sz w:val="48"/>
    </w:rPr>
  </w:style>
  <w:style w:type="paragraph" w:customStyle="1" w:styleId="CoverTitleSub">
    <w:name w:val="Cover Title Sub"/>
    <w:basedOn w:val="HeadingBase"/>
    <w:rsid w:val="0064091D"/>
    <w:pPr>
      <w:spacing w:after="360"/>
      <w:jc w:val="center"/>
    </w:pPr>
    <w:rPr>
      <w:sz w:val="36"/>
    </w:rPr>
  </w:style>
  <w:style w:type="paragraph" w:customStyle="1" w:styleId="FooterCentered">
    <w:name w:val="Footer Centered"/>
    <w:basedOn w:val="Footer"/>
    <w:rsid w:val="0064091D"/>
    <w:pPr>
      <w:jc w:val="center"/>
    </w:pPr>
    <w:rPr>
      <w:rFonts w:ascii="Book Antiqua" w:hAnsi="Book Antiqua"/>
      <w:sz w:val="22"/>
    </w:rPr>
  </w:style>
  <w:style w:type="paragraph" w:customStyle="1" w:styleId="FooterEven">
    <w:name w:val="Footer Even"/>
    <w:basedOn w:val="Footer"/>
    <w:rsid w:val="0064091D"/>
  </w:style>
  <w:style w:type="paragraph" w:customStyle="1" w:styleId="FooterOdd">
    <w:name w:val="Footer Odd"/>
    <w:basedOn w:val="Footer"/>
    <w:rsid w:val="0064091D"/>
    <w:pPr>
      <w:jc w:val="right"/>
    </w:pPr>
  </w:style>
  <w:style w:type="character" w:customStyle="1" w:styleId="FramedFooter">
    <w:name w:val="Framed Footer"/>
    <w:rsid w:val="0064091D"/>
    <w:rPr>
      <w:rFonts w:ascii="Arial" w:hAnsi="Arial"/>
      <w:sz w:val="18"/>
    </w:rPr>
  </w:style>
  <w:style w:type="character" w:customStyle="1" w:styleId="FramedHeader">
    <w:name w:val="Framed Header"/>
    <w:basedOn w:val="DefaultParagraphFont"/>
    <w:rsid w:val="0064091D"/>
    <w:rPr>
      <w:rFonts w:ascii="Arial" w:hAnsi="Arial"/>
      <w:dstrike w:val="0"/>
      <w:color w:val="auto"/>
      <w:sz w:val="18"/>
      <w:vertAlign w:val="baseline"/>
    </w:rPr>
  </w:style>
  <w:style w:type="paragraph" w:styleId="Header">
    <w:name w:val="header"/>
    <w:basedOn w:val="HeadingBase"/>
    <w:rsid w:val="0064091D"/>
    <w:rPr>
      <w:sz w:val="18"/>
    </w:rPr>
  </w:style>
  <w:style w:type="paragraph" w:customStyle="1" w:styleId="HeaderEven">
    <w:name w:val="Header Even"/>
    <w:basedOn w:val="Header"/>
    <w:rsid w:val="0064091D"/>
  </w:style>
  <w:style w:type="paragraph" w:customStyle="1" w:styleId="HeaderOdd">
    <w:name w:val="Header Odd"/>
    <w:basedOn w:val="Header"/>
    <w:rsid w:val="0064091D"/>
    <w:pPr>
      <w:jc w:val="right"/>
    </w:pPr>
  </w:style>
  <w:style w:type="paragraph" w:styleId="NormalIndent">
    <w:name w:val="Normal Indent"/>
    <w:basedOn w:val="Normal"/>
    <w:rsid w:val="0064091D"/>
    <w:pPr>
      <w:ind w:left="567"/>
    </w:pPr>
  </w:style>
  <w:style w:type="paragraph" w:customStyle="1" w:styleId="RecommendationHeading">
    <w:name w:val="Recommendation Heading"/>
    <w:basedOn w:val="HeadingBase"/>
    <w:next w:val="RecommendationText"/>
    <w:rsid w:val="0064091D"/>
    <w:pPr>
      <w:numPr>
        <w:numId w:val="24"/>
      </w:numPr>
      <w:spacing w:before="120" w:after="240"/>
    </w:pPr>
    <w:rPr>
      <w:b/>
      <w:sz w:val="22"/>
    </w:rPr>
  </w:style>
  <w:style w:type="paragraph" w:customStyle="1" w:styleId="RecommendationTextBase">
    <w:name w:val="Recommendation Text Base"/>
    <w:basedOn w:val="Normal"/>
    <w:rsid w:val="0064091D"/>
  </w:style>
  <w:style w:type="paragraph" w:customStyle="1" w:styleId="RecommendationText">
    <w:name w:val="Recommendation Text"/>
    <w:basedOn w:val="RecommendationTextBase"/>
    <w:rsid w:val="0064091D"/>
  </w:style>
  <w:style w:type="paragraph" w:customStyle="1" w:styleId="TableTextBase">
    <w:name w:val="Table Text Base"/>
    <w:rsid w:val="0064091D"/>
    <w:pPr>
      <w:spacing w:before="40" w:after="40"/>
    </w:pPr>
    <w:rPr>
      <w:rFonts w:ascii="Arial" w:hAnsi="Arial"/>
      <w:color w:val="000000"/>
      <w:sz w:val="16"/>
    </w:rPr>
  </w:style>
  <w:style w:type="paragraph" w:customStyle="1" w:styleId="TableColumnHeadingCentred">
    <w:name w:val="Table Column Heading Centred"/>
    <w:basedOn w:val="TableTextBase"/>
    <w:rsid w:val="0064091D"/>
    <w:pPr>
      <w:jc w:val="center"/>
    </w:pPr>
    <w:rPr>
      <w:b/>
    </w:rPr>
  </w:style>
  <w:style w:type="paragraph" w:customStyle="1" w:styleId="TableColumnHeadingLeft">
    <w:name w:val="Table Column Heading Left"/>
    <w:basedOn w:val="TableTextBase"/>
    <w:rsid w:val="0064091D"/>
    <w:rPr>
      <w:b/>
    </w:rPr>
  </w:style>
  <w:style w:type="paragraph" w:customStyle="1" w:styleId="TableColumnHeadingRight">
    <w:name w:val="Table Column Heading Right"/>
    <w:basedOn w:val="TableTextBase"/>
    <w:rsid w:val="0064091D"/>
    <w:pPr>
      <w:jc w:val="right"/>
    </w:pPr>
    <w:rPr>
      <w:b/>
    </w:rPr>
  </w:style>
  <w:style w:type="paragraph" w:customStyle="1" w:styleId="TableGraphic">
    <w:name w:val="Table Graphic"/>
    <w:basedOn w:val="HeadingBase"/>
    <w:next w:val="Normal"/>
    <w:rsid w:val="0064091D"/>
  </w:style>
  <w:style w:type="paragraph" w:customStyle="1" w:styleId="TableMainHeading">
    <w:name w:val="Table Main Heading"/>
    <w:basedOn w:val="HeadingBase"/>
    <w:next w:val="TableGraphic"/>
    <w:rsid w:val="0064091D"/>
    <w:pPr>
      <w:spacing w:after="20"/>
    </w:pPr>
    <w:rPr>
      <w:b/>
      <w:sz w:val="22"/>
    </w:rPr>
  </w:style>
  <w:style w:type="paragraph" w:customStyle="1" w:styleId="TableMainHeadingContd">
    <w:name w:val="Table Main Heading Contd"/>
    <w:basedOn w:val="HeadingBase"/>
    <w:next w:val="TableGraphic"/>
    <w:rsid w:val="0064091D"/>
    <w:pPr>
      <w:spacing w:after="20"/>
    </w:pPr>
    <w:rPr>
      <w:b/>
      <w:sz w:val="22"/>
    </w:rPr>
  </w:style>
  <w:style w:type="paragraph" w:customStyle="1" w:styleId="TableSecondHeading">
    <w:name w:val="Table Second Heading"/>
    <w:basedOn w:val="HeadingBase"/>
    <w:next w:val="TableGraphic"/>
    <w:rsid w:val="0064091D"/>
    <w:pPr>
      <w:spacing w:after="20"/>
    </w:pPr>
  </w:style>
  <w:style w:type="paragraph" w:customStyle="1" w:styleId="TableTextCentered">
    <w:name w:val="Table Text Centered"/>
    <w:basedOn w:val="TableTextBase"/>
    <w:rsid w:val="0064091D"/>
    <w:pPr>
      <w:jc w:val="center"/>
    </w:pPr>
  </w:style>
  <w:style w:type="paragraph" w:customStyle="1" w:styleId="TableTextIndented">
    <w:name w:val="Table Text Indented"/>
    <w:basedOn w:val="TableTextBase"/>
    <w:rsid w:val="0064091D"/>
    <w:pPr>
      <w:ind w:left="284"/>
    </w:pPr>
  </w:style>
  <w:style w:type="paragraph" w:customStyle="1" w:styleId="TableTextLeft">
    <w:name w:val="Table Text Left"/>
    <w:basedOn w:val="TableTextBase"/>
    <w:rsid w:val="0064091D"/>
  </w:style>
  <w:style w:type="paragraph" w:customStyle="1" w:styleId="TableTextRight">
    <w:name w:val="Table Text Right"/>
    <w:basedOn w:val="TableTextBase"/>
    <w:rsid w:val="0064091D"/>
    <w:pPr>
      <w:jc w:val="right"/>
    </w:pPr>
  </w:style>
  <w:style w:type="paragraph" w:styleId="TOC1">
    <w:name w:val="toc 1"/>
    <w:basedOn w:val="HeadingBase"/>
    <w:next w:val="Normal"/>
    <w:uiPriority w:val="39"/>
    <w:rsid w:val="0064091D"/>
    <w:pPr>
      <w:tabs>
        <w:tab w:val="right" w:leader="dot" w:pos="9072"/>
      </w:tabs>
      <w:spacing w:before="180" w:after="60"/>
      <w:ind w:right="851"/>
    </w:pPr>
    <w:rPr>
      <w:b/>
      <w:sz w:val="24"/>
      <w:szCs w:val="22"/>
    </w:rPr>
  </w:style>
  <w:style w:type="paragraph" w:styleId="TOC2">
    <w:name w:val="toc 2"/>
    <w:basedOn w:val="HeadingBase"/>
    <w:next w:val="Normal"/>
    <w:uiPriority w:val="39"/>
    <w:rsid w:val="0064091D"/>
    <w:pPr>
      <w:tabs>
        <w:tab w:val="right" w:leader="dot" w:pos="9072"/>
      </w:tabs>
      <w:spacing w:before="60"/>
      <w:ind w:right="851"/>
    </w:pPr>
    <w:rPr>
      <w:sz w:val="22"/>
    </w:rPr>
  </w:style>
  <w:style w:type="paragraph" w:styleId="TOC3">
    <w:name w:val="toc 3"/>
    <w:basedOn w:val="Normal"/>
    <w:next w:val="Normal"/>
    <w:rsid w:val="0064091D"/>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64091D"/>
    <w:pPr>
      <w:tabs>
        <w:tab w:val="right" w:leader="dot" w:pos="9072"/>
      </w:tabs>
      <w:spacing w:after="0" w:line="240" w:lineRule="auto"/>
      <w:ind w:left="284" w:right="851"/>
    </w:pPr>
  </w:style>
  <w:style w:type="character" w:customStyle="1" w:styleId="italic">
    <w:name w:val="italic"/>
    <w:basedOn w:val="DefaultParagraphFont"/>
    <w:rsid w:val="0064091D"/>
    <w:rPr>
      <w:i/>
    </w:rPr>
  </w:style>
  <w:style w:type="paragraph" w:customStyle="1" w:styleId="OneLevelNumberedParagraph">
    <w:name w:val="One Level Numbered Paragraph"/>
    <w:basedOn w:val="Normal"/>
    <w:rsid w:val="0064091D"/>
    <w:pPr>
      <w:numPr>
        <w:numId w:val="10"/>
      </w:numPr>
    </w:pPr>
  </w:style>
  <w:style w:type="paragraph" w:customStyle="1" w:styleId="BoxText">
    <w:name w:val="Box Text"/>
    <w:basedOn w:val="BoxTextBase"/>
    <w:rsid w:val="0064091D"/>
  </w:style>
  <w:style w:type="paragraph" w:customStyle="1" w:styleId="BoxBullet">
    <w:name w:val="Box Bullet"/>
    <w:basedOn w:val="BoxTextBase"/>
    <w:rsid w:val="0064091D"/>
    <w:pPr>
      <w:numPr>
        <w:numId w:val="9"/>
      </w:numPr>
    </w:pPr>
  </w:style>
  <w:style w:type="paragraph" w:customStyle="1" w:styleId="BoxDash">
    <w:name w:val="Box Dash"/>
    <w:basedOn w:val="BoxTextBase"/>
    <w:rsid w:val="0064091D"/>
    <w:pPr>
      <w:numPr>
        <w:ilvl w:val="1"/>
        <w:numId w:val="9"/>
      </w:numPr>
    </w:pPr>
  </w:style>
  <w:style w:type="paragraph" w:customStyle="1" w:styleId="BoxDoubleDot">
    <w:name w:val="Box Double Dot"/>
    <w:basedOn w:val="BoxTextBase"/>
    <w:rsid w:val="0064091D"/>
    <w:pPr>
      <w:numPr>
        <w:ilvl w:val="2"/>
        <w:numId w:val="9"/>
      </w:numPr>
    </w:pPr>
  </w:style>
  <w:style w:type="paragraph" w:customStyle="1" w:styleId="RecommendationBullet">
    <w:name w:val="Recommendation Bullet"/>
    <w:basedOn w:val="RecommendationTextBase"/>
    <w:rsid w:val="0064091D"/>
    <w:pPr>
      <w:numPr>
        <w:numId w:val="22"/>
      </w:numPr>
    </w:pPr>
  </w:style>
  <w:style w:type="paragraph" w:customStyle="1" w:styleId="RecommendationDash">
    <w:name w:val="Recommendation Dash"/>
    <w:basedOn w:val="RecommendationTextBase"/>
    <w:rsid w:val="0064091D"/>
    <w:pPr>
      <w:numPr>
        <w:ilvl w:val="1"/>
        <w:numId w:val="22"/>
      </w:numPr>
    </w:pPr>
  </w:style>
  <w:style w:type="paragraph" w:customStyle="1" w:styleId="RecommendationDoubleDot">
    <w:name w:val="Recommendation Double Dot"/>
    <w:basedOn w:val="RecommendationTextBase"/>
    <w:rsid w:val="0064091D"/>
    <w:pPr>
      <w:numPr>
        <w:ilvl w:val="2"/>
        <w:numId w:val="22"/>
      </w:numPr>
    </w:pPr>
  </w:style>
  <w:style w:type="character" w:styleId="FollowedHyperlink">
    <w:name w:val="FollowedHyperlink"/>
    <w:basedOn w:val="DefaultParagraphFont"/>
    <w:rsid w:val="0064091D"/>
    <w:rPr>
      <w:color w:val="auto"/>
      <w:u w:val="none"/>
    </w:rPr>
  </w:style>
  <w:style w:type="paragraph" w:customStyle="1" w:styleId="Disclaimer">
    <w:name w:val="Disclaimer"/>
    <w:basedOn w:val="HeadingBase"/>
    <w:rsid w:val="0064091D"/>
    <w:pPr>
      <w:spacing w:after="240"/>
    </w:pPr>
    <w:rPr>
      <w:b/>
      <w:sz w:val="22"/>
    </w:rPr>
  </w:style>
  <w:style w:type="paragraph" w:customStyle="1" w:styleId="SecurityClassificationHeader">
    <w:name w:val="Security Classification Header"/>
    <w:rsid w:val="0064091D"/>
    <w:pPr>
      <w:spacing w:after="240"/>
      <w:jc w:val="center"/>
    </w:pPr>
    <w:rPr>
      <w:rFonts w:ascii="Book Antiqua" w:hAnsi="Book Antiqua"/>
      <w:b/>
      <w:caps/>
      <w:color w:val="000080"/>
      <w:sz w:val="22"/>
    </w:rPr>
  </w:style>
  <w:style w:type="paragraph" w:customStyle="1" w:styleId="SecurityClassificationFooter">
    <w:name w:val="Security Classification Footer"/>
    <w:rsid w:val="0064091D"/>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64091D"/>
    <w:rPr>
      <w:rFonts w:ascii="Arial" w:hAnsi="Arial" w:cs="Arial"/>
      <w:color w:val="auto"/>
      <w:sz w:val="20"/>
      <w:szCs w:val="20"/>
    </w:rPr>
  </w:style>
  <w:style w:type="character" w:customStyle="1" w:styleId="Italics">
    <w:name w:val="Italics"/>
    <w:basedOn w:val="DefaultParagraphFont"/>
    <w:rsid w:val="0064091D"/>
    <w:rPr>
      <w:i/>
    </w:rPr>
  </w:style>
  <w:style w:type="paragraph" w:customStyle="1" w:styleId="NotesHeading">
    <w:name w:val="Notes Heading"/>
    <w:basedOn w:val="ContentsHeading"/>
    <w:rsid w:val="0064091D"/>
    <w:pPr>
      <w:spacing w:before="240"/>
    </w:pPr>
  </w:style>
  <w:style w:type="paragraph" w:customStyle="1" w:styleId="BoxHeadingnonumber">
    <w:name w:val="Box Heading no number"/>
    <w:basedOn w:val="BoxHeading"/>
    <w:next w:val="BoxText"/>
    <w:qFormat/>
    <w:rsid w:val="0064091D"/>
    <w:pPr>
      <w:numPr>
        <w:numId w:val="0"/>
      </w:numPr>
    </w:pPr>
  </w:style>
  <w:style w:type="paragraph" w:styleId="BalloonText">
    <w:name w:val="Balloon Text"/>
    <w:basedOn w:val="Normal"/>
    <w:link w:val="BalloonTextChar"/>
    <w:uiPriority w:val="99"/>
    <w:semiHidden/>
    <w:unhideWhenUsed/>
    <w:rsid w:val="00640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91D"/>
    <w:rPr>
      <w:rFonts w:ascii="Tahoma" w:hAnsi="Tahoma" w:cs="Tahoma"/>
      <w:color w:val="000000"/>
      <w:sz w:val="16"/>
      <w:szCs w:val="16"/>
    </w:rPr>
  </w:style>
  <w:style w:type="numbering" w:customStyle="1" w:styleId="Outlinenumbering">
    <w:name w:val="Outline numbering"/>
    <w:uiPriority w:val="99"/>
    <w:rsid w:val="0064091D"/>
    <w:pPr>
      <w:numPr>
        <w:numId w:val="25"/>
      </w:numPr>
    </w:pPr>
  </w:style>
  <w:style w:type="numbering" w:customStyle="1" w:styleId="Optionboxheading">
    <w:name w:val="Option box heading"/>
    <w:uiPriority w:val="99"/>
    <w:rsid w:val="0064091D"/>
    <w:pPr>
      <w:numPr>
        <w:numId w:val="28"/>
      </w:numPr>
    </w:pPr>
  </w:style>
  <w:style w:type="character" w:customStyle="1" w:styleId="A5">
    <w:name w:val="A5"/>
    <w:uiPriority w:val="99"/>
    <w:rsid w:val="0064091D"/>
    <w:rPr>
      <w:rFonts w:cs="Swiss 721 BT"/>
      <w:color w:val="000000"/>
      <w:sz w:val="20"/>
      <w:szCs w:val="20"/>
    </w:rPr>
  </w:style>
  <w:style w:type="paragraph" w:customStyle="1" w:styleId="Heading2NotNumbered">
    <w:name w:val="Heading 2 Not Numbered"/>
    <w:basedOn w:val="Heading2"/>
    <w:next w:val="Normal"/>
    <w:rsid w:val="0064091D"/>
  </w:style>
  <w:style w:type="character" w:customStyle="1" w:styleId="SingleParagraphChar">
    <w:name w:val="Single Paragraph Char"/>
    <w:basedOn w:val="DefaultParagraphFont"/>
    <w:link w:val="SingleParagraph"/>
    <w:rsid w:val="0064091D"/>
    <w:rPr>
      <w:rFonts w:ascii="Book Antiqua" w:hAnsi="Book Antiqua"/>
      <w:color w:val="000000"/>
      <w:sz w:val="22"/>
    </w:rPr>
  </w:style>
  <w:style w:type="character" w:customStyle="1" w:styleId="BulletChar">
    <w:name w:val="Bullet Char"/>
    <w:basedOn w:val="DefaultParagraphFont"/>
    <w:link w:val="Bullet"/>
    <w:locked/>
    <w:rsid w:val="00415E8B"/>
    <w:rPr>
      <w:rFonts w:ascii="Book Antiqua" w:hAnsi="Book Antiqua"/>
      <w:color w:val="000000"/>
      <w:sz w:val="22"/>
    </w:rPr>
  </w:style>
  <w:style w:type="paragraph" w:styleId="ListParagraph">
    <w:name w:val="List Paragraph"/>
    <w:basedOn w:val="Normal"/>
    <w:uiPriority w:val="34"/>
    <w:qFormat/>
    <w:rsid w:val="00B858F8"/>
    <w:pPr>
      <w:ind w:left="720"/>
      <w:contextualSpacing/>
    </w:pPr>
  </w:style>
  <w:style w:type="character" w:customStyle="1" w:styleId="DashChar">
    <w:name w:val="Dash Char"/>
    <w:basedOn w:val="DefaultParagraphFont"/>
    <w:link w:val="Dash"/>
    <w:rsid w:val="00B858F8"/>
    <w:rPr>
      <w:rFonts w:ascii="Book Antiqua" w:hAnsi="Book Antiqua"/>
      <w:color w:val="000000"/>
      <w:sz w:val="22"/>
    </w:rPr>
  </w:style>
  <w:style w:type="character" w:customStyle="1" w:styleId="DoubleDotChar">
    <w:name w:val="Double Dot Char"/>
    <w:basedOn w:val="DefaultParagraphFont"/>
    <w:link w:val="DoubleDot"/>
    <w:rsid w:val="00B858F8"/>
    <w:rPr>
      <w:rFonts w:ascii="Book Antiqua" w:hAnsi="Book Antiqua"/>
      <w:color w:val="000000"/>
      <w:sz w:val="22"/>
    </w:rPr>
  </w:style>
  <w:style w:type="table" w:styleId="MediumGrid2-Accent1">
    <w:name w:val="Medium Grid 2 Accent 1"/>
    <w:basedOn w:val="TableNormal"/>
    <w:uiPriority w:val="68"/>
    <w:rsid w:val="0014299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ormalWeb">
    <w:name w:val="Normal (Web)"/>
    <w:basedOn w:val="Normal"/>
    <w:uiPriority w:val="99"/>
    <w:semiHidden/>
    <w:unhideWhenUsed/>
    <w:rsid w:val="006A49FA"/>
    <w:pPr>
      <w:spacing w:before="180" w:after="180" w:line="255" w:lineRule="atLeast"/>
      <w:jc w:val="left"/>
    </w:pPr>
    <w:rPr>
      <w:rFonts w:ascii="Times New Roman" w:hAnsi="Times New Roman"/>
      <w:color w:val="auto"/>
      <w:sz w:val="24"/>
      <w:szCs w:val="24"/>
    </w:rPr>
  </w:style>
  <w:style w:type="character" w:styleId="FootnoteReference">
    <w:name w:val="footnote reference"/>
    <w:basedOn w:val="DefaultParagraphFont"/>
    <w:uiPriority w:val="99"/>
    <w:semiHidden/>
    <w:unhideWhenUsed/>
    <w:rsid w:val="00D67F72"/>
    <w:rPr>
      <w:vertAlign w:val="superscript"/>
    </w:rPr>
  </w:style>
  <w:style w:type="character" w:styleId="Strong">
    <w:name w:val="Strong"/>
    <w:basedOn w:val="DefaultParagraphFont"/>
    <w:uiPriority w:val="22"/>
    <w:qFormat/>
    <w:rsid w:val="007C2174"/>
    <w:rPr>
      <w:b/>
      <w:bCs/>
    </w:rPr>
  </w:style>
  <w:style w:type="character" w:styleId="CommentReference">
    <w:name w:val="annotation reference"/>
    <w:basedOn w:val="DefaultParagraphFont"/>
    <w:uiPriority w:val="99"/>
    <w:semiHidden/>
    <w:unhideWhenUsed/>
    <w:rsid w:val="007C2174"/>
    <w:rPr>
      <w:sz w:val="16"/>
      <w:szCs w:val="16"/>
    </w:rPr>
  </w:style>
  <w:style w:type="paragraph" w:styleId="CommentText">
    <w:name w:val="annotation text"/>
    <w:basedOn w:val="Normal"/>
    <w:link w:val="CommentTextChar"/>
    <w:uiPriority w:val="99"/>
    <w:semiHidden/>
    <w:unhideWhenUsed/>
    <w:rsid w:val="007C2174"/>
    <w:pPr>
      <w:spacing w:after="0" w:line="240" w:lineRule="auto"/>
      <w:jc w:val="left"/>
    </w:pPr>
    <w:rPr>
      <w:rFonts w:ascii="Calibri" w:eastAsiaTheme="minorHAnsi" w:hAnsi="Calibri"/>
      <w:color w:val="auto"/>
      <w:sz w:val="20"/>
      <w:lang w:eastAsia="en-US"/>
    </w:rPr>
  </w:style>
  <w:style w:type="character" w:customStyle="1" w:styleId="CommentTextChar">
    <w:name w:val="Comment Text Char"/>
    <w:basedOn w:val="DefaultParagraphFont"/>
    <w:link w:val="CommentText"/>
    <w:uiPriority w:val="99"/>
    <w:semiHidden/>
    <w:rsid w:val="007C2174"/>
    <w:rPr>
      <w:rFonts w:ascii="Calibri" w:eastAsiaTheme="minorHAnsi" w:hAnsi="Calibri"/>
      <w:lang w:eastAsia="en-US"/>
    </w:rPr>
  </w:style>
  <w:style w:type="paragraph" w:styleId="CommentSubject">
    <w:name w:val="annotation subject"/>
    <w:basedOn w:val="CommentText"/>
    <w:next w:val="CommentText"/>
    <w:link w:val="CommentSubjectChar"/>
    <w:uiPriority w:val="99"/>
    <w:semiHidden/>
    <w:unhideWhenUsed/>
    <w:rsid w:val="007C2174"/>
    <w:rPr>
      <w:b/>
      <w:bCs/>
    </w:rPr>
  </w:style>
  <w:style w:type="character" w:customStyle="1" w:styleId="CommentSubjectChar">
    <w:name w:val="Comment Subject Char"/>
    <w:basedOn w:val="CommentTextChar"/>
    <w:link w:val="CommentSubject"/>
    <w:uiPriority w:val="99"/>
    <w:semiHidden/>
    <w:rsid w:val="007C2174"/>
    <w:rPr>
      <w:rFonts w:ascii="Calibri" w:eastAsiaTheme="minorHAnsi" w:hAnsi="Calibri"/>
      <w:b/>
      <w:bCs/>
      <w:lang w:eastAsia="en-US"/>
    </w:rPr>
  </w:style>
  <w:style w:type="paragraph" w:customStyle="1" w:styleId="Num-DocParagraph">
    <w:name w:val="Num-Doc Paragraph"/>
    <w:basedOn w:val="BodyText"/>
    <w:link w:val="Num-DocParagraph0"/>
    <w:rsid w:val="007C2174"/>
    <w:pPr>
      <w:tabs>
        <w:tab w:val="left" w:pos="850"/>
        <w:tab w:val="left" w:pos="1191"/>
        <w:tab w:val="left" w:pos="1531"/>
      </w:tabs>
      <w:spacing w:after="240"/>
      <w:jc w:val="both"/>
    </w:pPr>
    <w:rPr>
      <w:rFonts w:ascii="Book Antiqua" w:eastAsia="Times New Roman" w:hAnsi="Book Antiqua"/>
      <w:color w:val="000000"/>
      <w:lang w:val="en-GB" w:eastAsia="zh-CN"/>
    </w:rPr>
  </w:style>
  <w:style w:type="character" w:customStyle="1" w:styleId="Num-DocParagraph0">
    <w:name w:val="Num-Doc Paragraph (文字)"/>
    <w:basedOn w:val="BodyTextChar"/>
    <w:link w:val="Num-DocParagraph"/>
    <w:rsid w:val="007C2174"/>
    <w:rPr>
      <w:rFonts w:ascii="Calibri" w:eastAsiaTheme="minorHAnsi" w:hAnsi="Calibri"/>
      <w:sz w:val="22"/>
      <w:szCs w:val="22"/>
      <w:lang w:val="en-GB" w:eastAsia="zh-CN"/>
    </w:rPr>
  </w:style>
  <w:style w:type="paragraph" w:styleId="BodyText">
    <w:name w:val="Body Text"/>
    <w:basedOn w:val="Normal"/>
    <w:link w:val="BodyTextChar"/>
    <w:uiPriority w:val="99"/>
    <w:semiHidden/>
    <w:unhideWhenUsed/>
    <w:rsid w:val="007C2174"/>
    <w:pPr>
      <w:spacing w:after="120" w:line="240" w:lineRule="auto"/>
      <w:jc w:val="left"/>
    </w:pPr>
    <w:rPr>
      <w:rFonts w:ascii="Calibri" w:eastAsiaTheme="minorHAnsi" w:hAnsi="Calibri"/>
      <w:color w:val="auto"/>
      <w:szCs w:val="22"/>
      <w:lang w:eastAsia="en-US"/>
    </w:rPr>
  </w:style>
  <w:style w:type="character" w:customStyle="1" w:styleId="BodyTextChar">
    <w:name w:val="Body Text Char"/>
    <w:basedOn w:val="DefaultParagraphFont"/>
    <w:link w:val="BodyText"/>
    <w:uiPriority w:val="99"/>
    <w:semiHidden/>
    <w:rsid w:val="007C2174"/>
    <w:rPr>
      <w:rFonts w:ascii="Calibri" w:eastAsiaTheme="minorHAnsi" w:hAnsi="Calibri"/>
      <w:sz w:val="22"/>
      <w:szCs w:val="22"/>
      <w:lang w:eastAsia="en-US"/>
    </w:rPr>
  </w:style>
  <w:style w:type="character" w:customStyle="1" w:styleId="OutlineNumbered1Char">
    <w:name w:val="Outline Numbered 1 Char"/>
    <w:basedOn w:val="DefaultParagraphFont"/>
    <w:link w:val="OutlineNumbered1"/>
    <w:rsid w:val="007C2174"/>
    <w:rPr>
      <w:rFonts w:ascii="Book Antiqua" w:hAnsi="Book Antiqua"/>
      <w:color w:val="000000"/>
      <w:sz w:val="22"/>
    </w:rPr>
  </w:style>
  <w:style w:type="paragraph" w:customStyle="1" w:styleId="MLIParagraph">
    <w:name w:val="MLI Paragraph"/>
    <w:basedOn w:val="Normal"/>
    <w:qFormat/>
    <w:rsid w:val="007C2174"/>
    <w:pPr>
      <w:tabs>
        <w:tab w:val="left" w:pos="567"/>
        <w:tab w:val="left" w:pos="850"/>
        <w:tab w:val="left" w:pos="1191"/>
        <w:tab w:val="left" w:pos="1531"/>
      </w:tabs>
      <w:autoSpaceDE w:val="0"/>
      <w:autoSpaceDN w:val="0"/>
      <w:adjustRightInd w:val="0"/>
      <w:spacing w:line="240" w:lineRule="auto"/>
    </w:pPr>
    <w:rPr>
      <w:rFonts w:ascii="Times New Roman" w:hAnsi="Times New Roman"/>
      <w:iCs/>
      <w:color w:val="auto"/>
      <w:szCs w:val="22"/>
      <w:lang w:val="en-GB" w:eastAsia="en-GB"/>
    </w:rPr>
  </w:style>
  <w:style w:type="paragraph" w:styleId="Revision">
    <w:name w:val="Revision"/>
    <w:hidden/>
    <w:uiPriority w:val="99"/>
    <w:semiHidden/>
    <w:rsid w:val="00182A24"/>
    <w:rPr>
      <w:rFonts w:ascii="Book Antiqua" w:hAnsi="Book Antiqua"/>
      <w:color w:val="000000"/>
      <w:sz w:val="22"/>
    </w:rPr>
  </w:style>
  <w:style w:type="paragraph" w:customStyle="1" w:styleId="Tabletextbullet">
    <w:name w:val="Table text bullet"/>
    <w:basedOn w:val="TableTextLeft"/>
    <w:qFormat/>
    <w:rsid w:val="006A10B8"/>
    <w:pPr>
      <w:numPr>
        <w:numId w:val="99"/>
      </w:numPr>
      <w:spacing w:line="260" w:lineRule="exact"/>
      <w:ind w:left="357" w:hanging="357"/>
    </w:pPr>
  </w:style>
  <w:style w:type="paragraph" w:customStyle="1" w:styleId="Tabletextnumbered">
    <w:name w:val="Table text numbered"/>
    <w:basedOn w:val="Tabletextbullet"/>
    <w:qFormat/>
    <w:rsid w:val="006A10B8"/>
    <w:pPr>
      <w:numPr>
        <w:numId w:val="100"/>
      </w:numPr>
      <w:ind w:left="357" w:hanging="357"/>
    </w:pPr>
  </w:style>
  <w:style w:type="paragraph" w:customStyle="1" w:styleId="TPHeading3">
    <w:name w:val="TP Heading 3"/>
    <w:basedOn w:val="Normal"/>
    <w:rsid w:val="002E08C8"/>
    <w:pPr>
      <w:keepNext/>
      <w:spacing w:after="0" w:line="240" w:lineRule="auto"/>
      <w:jc w:val="center"/>
    </w:pPr>
    <w:rPr>
      <w:cap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59338">
      <w:bodyDiv w:val="1"/>
      <w:marLeft w:val="0"/>
      <w:marRight w:val="0"/>
      <w:marTop w:val="0"/>
      <w:marBottom w:val="0"/>
      <w:divBdr>
        <w:top w:val="none" w:sz="0" w:space="0" w:color="auto"/>
        <w:left w:val="none" w:sz="0" w:space="0" w:color="auto"/>
        <w:bottom w:val="none" w:sz="0" w:space="0" w:color="auto"/>
        <w:right w:val="none" w:sz="0" w:space="0" w:color="auto"/>
      </w:divBdr>
    </w:div>
    <w:div w:id="612900322">
      <w:bodyDiv w:val="1"/>
      <w:marLeft w:val="0"/>
      <w:marRight w:val="0"/>
      <w:marTop w:val="0"/>
      <w:marBottom w:val="0"/>
      <w:divBdr>
        <w:top w:val="none" w:sz="0" w:space="0" w:color="auto"/>
        <w:left w:val="none" w:sz="0" w:space="0" w:color="auto"/>
        <w:bottom w:val="none" w:sz="0" w:space="0" w:color="auto"/>
        <w:right w:val="none" w:sz="0" w:space="0" w:color="auto"/>
      </w:divBdr>
    </w:div>
    <w:div w:id="848494662">
      <w:bodyDiv w:val="1"/>
      <w:marLeft w:val="0"/>
      <w:marRight w:val="0"/>
      <w:marTop w:val="0"/>
      <w:marBottom w:val="0"/>
      <w:divBdr>
        <w:top w:val="none" w:sz="0" w:space="0" w:color="auto"/>
        <w:left w:val="none" w:sz="0" w:space="0" w:color="auto"/>
        <w:bottom w:val="none" w:sz="0" w:space="0" w:color="auto"/>
        <w:right w:val="none" w:sz="0" w:space="0" w:color="auto"/>
      </w:divBdr>
    </w:div>
    <w:div w:id="923144280">
      <w:bodyDiv w:val="1"/>
      <w:marLeft w:val="0"/>
      <w:marRight w:val="0"/>
      <w:marTop w:val="0"/>
      <w:marBottom w:val="0"/>
      <w:divBdr>
        <w:top w:val="none" w:sz="0" w:space="0" w:color="auto"/>
        <w:left w:val="none" w:sz="0" w:space="0" w:color="auto"/>
        <w:bottom w:val="none" w:sz="0" w:space="0" w:color="auto"/>
        <w:right w:val="none" w:sz="0" w:space="0" w:color="auto"/>
      </w:divBdr>
    </w:div>
    <w:div w:id="944579333">
      <w:bodyDiv w:val="1"/>
      <w:marLeft w:val="0"/>
      <w:marRight w:val="0"/>
      <w:marTop w:val="0"/>
      <w:marBottom w:val="0"/>
      <w:divBdr>
        <w:top w:val="none" w:sz="0" w:space="0" w:color="auto"/>
        <w:left w:val="none" w:sz="0" w:space="0" w:color="auto"/>
        <w:bottom w:val="none" w:sz="0" w:space="0" w:color="auto"/>
        <w:right w:val="none" w:sz="0" w:space="0" w:color="auto"/>
      </w:divBdr>
      <w:divsChild>
        <w:div w:id="1720545866">
          <w:marLeft w:val="0"/>
          <w:marRight w:val="0"/>
          <w:marTop w:val="0"/>
          <w:marBottom w:val="0"/>
          <w:divBdr>
            <w:top w:val="none" w:sz="0" w:space="0" w:color="auto"/>
            <w:left w:val="none" w:sz="0" w:space="0" w:color="auto"/>
            <w:bottom w:val="none" w:sz="0" w:space="0" w:color="auto"/>
            <w:right w:val="none" w:sz="0" w:space="0" w:color="auto"/>
          </w:divBdr>
          <w:divsChild>
            <w:div w:id="1576234064">
              <w:marLeft w:val="0"/>
              <w:marRight w:val="0"/>
              <w:marTop w:val="0"/>
              <w:marBottom w:val="0"/>
              <w:divBdr>
                <w:top w:val="none" w:sz="0" w:space="0" w:color="auto"/>
                <w:left w:val="none" w:sz="0" w:space="0" w:color="auto"/>
                <w:bottom w:val="none" w:sz="0" w:space="0" w:color="auto"/>
                <w:right w:val="none" w:sz="0" w:space="0" w:color="auto"/>
              </w:divBdr>
              <w:divsChild>
                <w:div w:id="640696497">
                  <w:marLeft w:val="0"/>
                  <w:marRight w:val="0"/>
                  <w:marTop w:val="0"/>
                  <w:marBottom w:val="0"/>
                  <w:divBdr>
                    <w:top w:val="none" w:sz="0" w:space="0" w:color="auto"/>
                    <w:left w:val="none" w:sz="0" w:space="0" w:color="auto"/>
                    <w:bottom w:val="none" w:sz="0" w:space="0" w:color="auto"/>
                    <w:right w:val="none" w:sz="0" w:space="0" w:color="auto"/>
                  </w:divBdr>
                  <w:divsChild>
                    <w:div w:id="163625433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022783150">
      <w:bodyDiv w:val="1"/>
      <w:marLeft w:val="0"/>
      <w:marRight w:val="0"/>
      <w:marTop w:val="0"/>
      <w:marBottom w:val="0"/>
      <w:divBdr>
        <w:top w:val="none" w:sz="0" w:space="0" w:color="auto"/>
        <w:left w:val="none" w:sz="0" w:space="0" w:color="auto"/>
        <w:bottom w:val="none" w:sz="0" w:space="0" w:color="auto"/>
        <w:right w:val="none" w:sz="0" w:space="0" w:color="auto"/>
      </w:divBdr>
      <w:divsChild>
        <w:div w:id="1459761500">
          <w:marLeft w:val="0"/>
          <w:marRight w:val="0"/>
          <w:marTop w:val="0"/>
          <w:marBottom w:val="0"/>
          <w:divBdr>
            <w:top w:val="single" w:sz="48" w:space="23" w:color="004A7F"/>
            <w:left w:val="none" w:sz="0" w:space="0" w:color="auto"/>
            <w:bottom w:val="single" w:sz="48" w:space="0" w:color="004A7F"/>
            <w:right w:val="none" w:sz="0" w:space="0" w:color="auto"/>
          </w:divBdr>
          <w:divsChild>
            <w:div w:id="1363050110">
              <w:marLeft w:val="-225"/>
              <w:marRight w:val="-225"/>
              <w:marTop w:val="0"/>
              <w:marBottom w:val="0"/>
              <w:divBdr>
                <w:top w:val="none" w:sz="0" w:space="0" w:color="auto"/>
                <w:left w:val="none" w:sz="0" w:space="0" w:color="auto"/>
                <w:bottom w:val="none" w:sz="0" w:space="0" w:color="auto"/>
                <w:right w:val="none" w:sz="0" w:space="0" w:color="auto"/>
              </w:divBdr>
              <w:divsChild>
                <w:div w:id="1373194521">
                  <w:marLeft w:val="0"/>
                  <w:marRight w:val="0"/>
                  <w:marTop w:val="0"/>
                  <w:marBottom w:val="0"/>
                  <w:divBdr>
                    <w:top w:val="none" w:sz="0" w:space="0" w:color="auto"/>
                    <w:left w:val="none" w:sz="0" w:space="0" w:color="auto"/>
                    <w:bottom w:val="none" w:sz="0" w:space="0" w:color="auto"/>
                    <w:right w:val="none" w:sz="0" w:space="0" w:color="auto"/>
                  </w:divBdr>
                  <w:divsChild>
                    <w:div w:id="15079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57636">
      <w:bodyDiv w:val="1"/>
      <w:marLeft w:val="0"/>
      <w:marRight w:val="0"/>
      <w:marTop w:val="0"/>
      <w:marBottom w:val="0"/>
      <w:divBdr>
        <w:top w:val="none" w:sz="0" w:space="0" w:color="auto"/>
        <w:left w:val="none" w:sz="0" w:space="0" w:color="auto"/>
        <w:bottom w:val="none" w:sz="0" w:space="0" w:color="auto"/>
        <w:right w:val="none" w:sz="0" w:space="0" w:color="auto"/>
      </w:divBdr>
      <w:divsChild>
        <w:div w:id="1622683517">
          <w:marLeft w:val="0"/>
          <w:marRight w:val="0"/>
          <w:marTop w:val="0"/>
          <w:marBottom w:val="0"/>
          <w:divBdr>
            <w:top w:val="none" w:sz="0" w:space="0" w:color="auto"/>
            <w:left w:val="none" w:sz="0" w:space="0" w:color="auto"/>
            <w:bottom w:val="none" w:sz="0" w:space="0" w:color="auto"/>
            <w:right w:val="none" w:sz="0" w:space="0" w:color="auto"/>
          </w:divBdr>
          <w:divsChild>
            <w:div w:id="433282491">
              <w:marLeft w:val="-225"/>
              <w:marRight w:val="-225"/>
              <w:marTop w:val="0"/>
              <w:marBottom w:val="0"/>
              <w:divBdr>
                <w:top w:val="none" w:sz="0" w:space="0" w:color="auto"/>
                <w:left w:val="none" w:sz="0" w:space="0" w:color="auto"/>
                <w:bottom w:val="none" w:sz="0" w:space="0" w:color="auto"/>
                <w:right w:val="none" w:sz="0" w:space="0" w:color="auto"/>
              </w:divBdr>
              <w:divsChild>
                <w:div w:id="665281297">
                  <w:marLeft w:val="0"/>
                  <w:marRight w:val="0"/>
                  <w:marTop w:val="0"/>
                  <w:marBottom w:val="0"/>
                  <w:divBdr>
                    <w:top w:val="none" w:sz="0" w:space="0" w:color="auto"/>
                    <w:left w:val="none" w:sz="0" w:space="0" w:color="auto"/>
                    <w:bottom w:val="none" w:sz="0" w:space="0" w:color="auto"/>
                    <w:right w:val="none" w:sz="0" w:space="0" w:color="auto"/>
                  </w:divBdr>
                  <w:divsChild>
                    <w:div w:id="17002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66593">
      <w:bodyDiv w:val="1"/>
      <w:marLeft w:val="0"/>
      <w:marRight w:val="0"/>
      <w:marTop w:val="0"/>
      <w:marBottom w:val="0"/>
      <w:divBdr>
        <w:top w:val="none" w:sz="0" w:space="0" w:color="auto"/>
        <w:left w:val="none" w:sz="0" w:space="0" w:color="auto"/>
        <w:bottom w:val="none" w:sz="0" w:space="0" w:color="auto"/>
        <w:right w:val="none" w:sz="0" w:space="0" w:color="auto"/>
      </w:divBdr>
      <w:divsChild>
        <w:div w:id="352266292">
          <w:marLeft w:val="0"/>
          <w:marRight w:val="0"/>
          <w:marTop w:val="0"/>
          <w:marBottom w:val="0"/>
          <w:divBdr>
            <w:top w:val="none" w:sz="0" w:space="0" w:color="auto"/>
            <w:left w:val="none" w:sz="0" w:space="0" w:color="auto"/>
            <w:bottom w:val="none" w:sz="0" w:space="0" w:color="auto"/>
            <w:right w:val="none" w:sz="0" w:space="0" w:color="auto"/>
          </w:divBdr>
          <w:divsChild>
            <w:div w:id="500658555">
              <w:marLeft w:val="-225"/>
              <w:marRight w:val="-225"/>
              <w:marTop w:val="0"/>
              <w:marBottom w:val="0"/>
              <w:divBdr>
                <w:top w:val="none" w:sz="0" w:space="0" w:color="auto"/>
                <w:left w:val="none" w:sz="0" w:space="0" w:color="auto"/>
                <w:bottom w:val="none" w:sz="0" w:space="0" w:color="auto"/>
                <w:right w:val="none" w:sz="0" w:space="0" w:color="auto"/>
              </w:divBdr>
              <w:divsChild>
                <w:div w:id="387193999">
                  <w:marLeft w:val="0"/>
                  <w:marRight w:val="0"/>
                  <w:marTop w:val="0"/>
                  <w:marBottom w:val="0"/>
                  <w:divBdr>
                    <w:top w:val="none" w:sz="0" w:space="0" w:color="auto"/>
                    <w:left w:val="none" w:sz="0" w:space="0" w:color="auto"/>
                    <w:bottom w:val="none" w:sz="0" w:space="0" w:color="auto"/>
                    <w:right w:val="none" w:sz="0" w:space="0" w:color="auto"/>
                  </w:divBdr>
                  <w:divsChild>
                    <w:div w:id="1254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866001">
      <w:bodyDiv w:val="1"/>
      <w:marLeft w:val="0"/>
      <w:marRight w:val="0"/>
      <w:marTop w:val="0"/>
      <w:marBottom w:val="0"/>
      <w:divBdr>
        <w:top w:val="none" w:sz="0" w:space="0" w:color="auto"/>
        <w:left w:val="none" w:sz="0" w:space="0" w:color="auto"/>
        <w:bottom w:val="none" w:sz="0" w:space="0" w:color="auto"/>
        <w:right w:val="none" w:sz="0" w:space="0" w:color="auto"/>
      </w:divBdr>
    </w:div>
    <w:div w:id="1617442062">
      <w:bodyDiv w:val="1"/>
      <w:marLeft w:val="0"/>
      <w:marRight w:val="0"/>
      <w:marTop w:val="0"/>
      <w:marBottom w:val="0"/>
      <w:divBdr>
        <w:top w:val="none" w:sz="0" w:space="0" w:color="auto"/>
        <w:left w:val="none" w:sz="0" w:space="0" w:color="auto"/>
        <w:bottom w:val="none" w:sz="0" w:space="0" w:color="auto"/>
        <w:right w:val="none" w:sz="0" w:space="0" w:color="auto"/>
      </w:divBdr>
      <w:divsChild>
        <w:div w:id="689644185">
          <w:marLeft w:val="0"/>
          <w:marRight w:val="0"/>
          <w:marTop w:val="0"/>
          <w:marBottom w:val="0"/>
          <w:divBdr>
            <w:top w:val="none" w:sz="0" w:space="0" w:color="auto"/>
            <w:left w:val="none" w:sz="0" w:space="0" w:color="auto"/>
            <w:bottom w:val="none" w:sz="0" w:space="0" w:color="auto"/>
            <w:right w:val="none" w:sz="0" w:space="0" w:color="auto"/>
          </w:divBdr>
          <w:divsChild>
            <w:div w:id="544026939">
              <w:marLeft w:val="-225"/>
              <w:marRight w:val="-225"/>
              <w:marTop w:val="0"/>
              <w:marBottom w:val="0"/>
              <w:divBdr>
                <w:top w:val="none" w:sz="0" w:space="0" w:color="auto"/>
                <w:left w:val="none" w:sz="0" w:space="0" w:color="auto"/>
                <w:bottom w:val="none" w:sz="0" w:space="0" w:color="auto"/>
                <w:right w:val="none" w:sz="0" w:space="0" w:color="auto"/>
              </w:divBdr>
              <w:divsChild>
                <w:div w:id="1017463803">
                  <w:marLeft w:val="0"/>
                  <w:marRight w:val="0"/>
                  <w:marTop w:val="0"/>
                  <w:marBottom w:val="0"/>
                  <w:divBdr>
                    <w:top w:val="none" w:sz="0" w:space="0" w:color="auto"/>
                    <w:left w:val="none" w:sz="0" w:space="0" w:color="auto"/>
                    <w:bottom w:val="none" w:sz="0" w:space="0" w:color="auto"/>
                    <w:right w:val="none" w:sz="0" w:space="0" w:color="auto"/>
                  </w:divBdr>
                  <w:divsChild>
                    <w:div w:id="6504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itsanhonour.gov.a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BFCCE9A6AE7E2C4D8556A56EF67FEA5D" ma:contentTypeVersion="23" ma:contentTypeDescription="" ma:contentTypeScope="" ma:versionID="b0a2de537b3dbe9ea5fe84278f4e82c0">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c575848c8c27eb9a2886b094c90bf53a"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2016CSSG-1223-2515</_dlc_DocId>
    <_dlc_DocIdUrl xmlns="eb47d8b7-fefc-4923-b53c-9685ba6b7210">
      <Url>http://tweb13/sites/cssg/ped/pu/pt/_layouts/15/DocIdRedir.aspx?ID=2016CSSG-1223-2515</Url>
      <Description>2016CSSG-1223-2515</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19296-FFB3-42F2-96D7-7F758BB71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99B4E-9687-4BE0-9E14-157C66FBE70C}">
  <ds:schemaRefs>
    <ds:schemaRef ds:uri="http://schemas.microsoft.com/sharepoint/v3/contenttype/forms"/>
  </ds:schemaRefs>
</ds:datastoreItem>
</file>

<file path=customXml/itemProps3.xml><?xml version="1.0" encoding="utf-8"?>
<ds:datastoreItem xmlns:ds="http://schemas.openxmlformats.org/officeDocument/2006/customXml" ds:itemID="{83C0785A-2079-4DB6-925A-9A36D0151B84}">
  <ds:schemaRefs>
    <ds:schemaRef ds:uri="http://schemas.microsoft.com/sharepoint/v4"/>
    <ds:schemaRef ds:uri="http://purl.org/dc/terms/"/>
    <ds:schemaRef ds:uri="http://schemas.microsoft.com/office/2006/metadata/properties"/>
    <ds:schemaRef ds:uri="http://schemas.microsoft.com/office/2006/documentManagement/types"/>
    <ds:schemaRef ds:uri="eb47d8b7-fefc-4923-b53c-9685ba6b7210"/>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6BBA71B7-52EA-464F-8DA0-46072C960DC1}">
  <ds:schemaRefs>
    <ds:schemaRef ds:uri="office.server.policy"/>
  </ds:schemaRefs>
</ds:datastoreItem>
</file>

<file path=customXml/itemProps5.xml><?xml version="1.0" encoding="utf-8"?>
<ds:datastoreItem xmlns:ds="http://schemas.openxmlformats.org/officeDocument/2006/customXml" ds:itemID="{2E6678B1-971F-48C4-8AC4-E4364A43348D}">
  <ds:schemaRefs>
    <ds:schemaRef ds:uri="http://schemas.microsoft.com/sharepoint/events"/>
  </ds:schemaRefs>
</ds:datastoreItem>
</file>

<file path=customXml/itemProps6.xml><?xml version="1.0" encoding="utf-8"?>
<ds:datastoreItem xmlns:ds="http://schemas.openxmlformats.org/officeDocument/2006/customXml" ds:itemID="{EAA5F345-2138-4E49-B7AE-84F0F942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TotalTime>
  <Pages>35</Pages>
  <Words>10439</Words>
  <Characters>57650</Characters>
  <Application>Microsoft Office Word</Application>
  <DocSecurity>0</DocSecurity>
  <Lines>1243</Lines>
  <Paragraphs>653</Paragraphs>
  <ScaleCrop>false</ScaleCrop>
  <HeadingPairs>
    <vt:vector size="2" baseType="variant">
      <vt:variant>
        <vt:lpstr>Title</vt:lpstr>
      </vt:variant>
      <vt:variant>
        <vt:i4>1</vt:i4>
      </vt:variant>
    </vt:vector>
  </HeadingPairs>
  <TitlesOfParts>
    <vt:vector size="1" baseType="lpstr">
      <vt:lpstr>Australia's adoption of the BEPS Convention (Multilateral Instrument) - Consultation Paper December 2016</vt:lpstr>
    </vt:vector>
  </TitlesOfParts>
  <Company>The Treasury</Company>
  <LinksUpToDate>false</LinksUpToDate>
  <CharactersWithSpaces>67718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adoption of the BEPS Convention (Multilateral Instrument) - Consultation Paper December 2016</dc:title>
  <dc:subject/>
  <dc:creator>The Treasury</dc:creator>
  <cp:lastModifiedBy>Hill, Christine</cp:lastModifiedBy>
  <cp:revision>4</cp:revision>
  <cp:lastPrinted>2016-12-19T03:07:00Z</cp:lastPrinted>
  <dcterms:created xsi:type="dcterms:W3CDTF">2016-12-19T03:07:00Z</dcterms:created>
  <dcterms:modified xsi:type="dcterms:W3CDTF">2016-12-19T03:27:00Z</dcterms:modified>
</cp:coreProperties>
</file>