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B78F6" w14:textId="77777777" w:rsidR="00776ECF" w:rsidRPr="00FF3D1B" w:rsidRDefault="00064AF6" w:rsidP="00B939D8">
      <w:pPr>
        <w:rPr>
          <w:rFonts w:ascii="Times New Roman" w:hAnsi="Times New Roman"/>
          <w:b/>
          <w:sz w:val="32"/>
        </w:rPr>
      </w:pPr>
      <w:bookmarkStart w:id="0" w:name="_GoBack"/>
      <w:bookmarkEnd w:id="0"/>
      <w:r>
        <w:rPr>
          <w:noProof/>
          <w:lang w:eastAsia="en-AU"/>
        </w:rPr>
        <w:drawing>
          <wp:anchor distT="0" distB="0" distL="114300" distR="114300" simplePos="0" relativeHeight="251660288" behindDoc="0" locked="0" layoutInCell="1" allowOverlap="1" wp14:anchorId="6FAF9B16" wp14:editId="3EDD7FB2">
            <wp:simplePos x="0" y="0"/>
            <wp:positionH relativeFrom="column">
              <wp:posOffset>1828800</wp:posOffset>
            </wp:positionH>
            <wp:positionV relativeFrom="paragraph">
              <wp:posOffset>-228600</wp:posOffset>
            </wp:positionV>
            <wp:extent cx="1896745" cy="1828800"/>
            <wp:effectExtent l="0" t="0" r="8255" b="0"/>
            <wp:wrapNone/>
            <wp:docPr id="7" name="Picture 7" descr="TIC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Clogo_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674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C56DA" w14:textId="5F19A979" w:rsidR="00B939D8" w:rsidRDefault="00E36089" w:rsidP="00E36089">
      <w:pPr>
        <w:tabs>
          <w:tab w:val="left" w:pos="1130"/>
        </w:tabs>
        <w:rPr>
          <w:rFonts w:ascii="Times New Roman" w:hAnsi="Times New Roman"/>
          <w:b/>
          <w:sz w:val="32"/>
        </w:rPr>
      </w:pPr>
      <w:r>
        <w:rPr>
          <w:rFonts w:ascii="Times New Roman" w:hAnsi="Times New Roman"/>
          <w:b/>
          <w:sz w:val="32"/>
        </w:rPr>
        <w:tab/>
      </w:r>
    </w:p>
    <w:p w14:paraId="3C4CA8BC" w14:textId="77777777" w:rsidR="00B939D8" w:rsidRDefault="00B939D8" w:rsidP="00776ECF">
      <w:pPr>
        <w:jc w:val="center"/>
        <w:rPr>
          <w:rFonts w:ascii="Times New Roman" w:hAnsi="Times New Roman"/>
          <w:b/>
          <w:sz w:val="32"/>
        </w:rPr>
      </w:pPr>
    </w:p>
    <w:p w14:paraId="63F20F55" w14:textId="77777777" w:rsidR="00B939D8" w:rsidRDefault="00B939D8" w:rsidP="00776ECF">
      <w:pPr>
        <w:jc w:val="center"/>
        <w:rPr>
          <w:rFonts w:ascii="Times New Roman" w:hAnsi="Times New Roman"/>
          <w:b/>
          <w:sz w:val="32"/>
        </w:rPr>
      </w:pPr>
    </w:p>
    <w:p w14:paraId="58432451" w14:textId="77777777" w:rsidR="00B939D8" w:rsidRPr="00FF3D1B" w:rsidRDefault="00B939D8" w:rsidP="00776ECF">
      <w:pPr>
        <w:jc w:val="center"/>
        <w:rPr>
          <w:rFonts w:ascii="Times New Roman" w:hAnsi="Times New Roman"/>
          <w:b/>
          <w:sz w:val="32"/>
        </w:rPr>
      </w:pPr>
    </w:p>
    <w:p w14:paraId="22D51B9B" w14:textId="77777777" w:rsidR="00B939D8" w:rsidRPr="00FF3D1B" w:rsidRDefault="00B939D8" w:rsidP="00776ECF">
      <w:pPr>
        <w:jc w:val="center"/>
        <w:rPr>
          <w:rFonts w:ascii="Times New Roman" w:hAnsi="Times New Roman"/>
          <w:b/>
          <w:sz w:val="32"/>
        </w:rPr>
      </w:pPr>
    </w:p>
    <w:p w14:paraId="6490DD87" w14:textId="77777777" w:rsidR="00776ECF" w:rsidRPr="00FF3D1B" w:rsidRDefault="00776ECF" w:rsidP="00776ECF">
      <w:pPr>
        <w:rPr>
          <w:rFonts w:ascii="Times New Roman" w:hAnsi="Times New Roman"/>
          <w:b/>
          <w:sz w:val="32"/>
        </w:rPr>
      </w:pPr>
    </w:p>
    <w:p w14:paraId="248F642E" w14:textId="77777777" w:rsidR="00776ECF" w:rsidRPr="00776ECF" w:rsidRDefault="00064AF6" w:rsidP="00776ECF">
      <w:pPr>
        <w:jc w:val="center"/>
        <w:rPr>
          <w:rFonts w:cs="Cambria"/>
          <w:b/>
          <w:sz w:val="32"/>
        </w:rPr>
      </w:pPr>
      <w:r>
        <w:rPr>
          <w:noProof/>
          <w:lang w:eastAsia="en-AU"/>
        </w:rPr>
        <mc:AlternateContent>
          <mc:Choice Requires="wps">
            <w:drawing>
              <wp:anchor distT="0" distB="0" distL="114300" distR="114300" simplePos="0" relativeHeight="251657216" behindDoc="0" locked="0" layoutInCell="1" allowOverlap="1" wp14:anchorId="5278AE4C" wp14:editId="7AC38341">
                <wp:simplePos x="0" y="0"/>
                <wp:positionH relativeFrom="column">
                  <wp:posOffset>0</wp:posOffset>
                </wp:positionH>
                <wp:positionV relativeFrom="paragraph">
                  <wp:posOffset>118110</wp:posOffset>
                </wp:positionV>
                <wp:extent cx="5486400" cy="157607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1576070"/>
                        </a:xfrm>
                        <a:prstGeom prst="rect">
                          <a:avLst/>
                        </a:prstGeom>
                        <a:solidFill>
                          <a:srgbClr val="004F00"/>
                        </a:solidFill>
                        <a:ln>
                          <a:noFill/>
                        </a:ln>
                        <a:effectLst/>
                        <a:extLst/>
                      </wps:spPr>
                      <wps:txbx>
                        <w:txbxContent>
                          <w:p w14:paraId="5417E457" w14:textId="77777777" w:rsidR="003E4C3F" w:rsidRPr="00FF3D1B" w:rsidRDefault="003E4C3F" w:rsidP="00776ECF">
                            <w:pPr>
                              <w:jc w:val="center"/>
                              <w:rPr>
                                <w:rFonts w:ascii="Times New Roman" w:hAnsi="Times New Roman"/>
                                <w:b/>
                                <w:sz w:val="32"/>
                              </w:rPr>
                            </w:pPr>
                          </w:p>
                          <w:p w14:paraId="339FAE4E" w14:textId="77777777" w:rsidR="003E4C3F" w:rsidRPr="00776ECF" w:rsidRDefault="003E4C3F" w:rsidP="0028677B">
                            <w:pPr>
                              <w:jc w:val="center"/>
                              <w:rPr>
                                <w:rFonts w:cs="Cambria"/>
                                <w:b/>
                                <w:sz w:val="36"/>
                                <w:szCs w:val="36"/>
                              </w:rPr>
                            </w:pPr>
                            <w:r>
                              <w:rPr>
                                <w:rFonts w:cs="Cambria"/>
                                <w:b/>
                                <w:sz w:val="36"/>
                                <w:szCs w:val="36"/>
                              </w:rPr>
                              <w:t>Modernising the Australian Truck Fleet</w:t>
                            </w:r>
                          </w:p>
                          <w:p w14:paraId="0FEEB1DE" w14:textId="77777777" w:rsidR="003E4C3F" w:rsidRPr="00776ECF" w:rsidRDefault="003E4C3F" w:rsidP="0028677B">
                            <w:pPr>
                              <w:spacing w:before="240"/>
                              <w:jc w:val="center"/>
                              <w:rPr>
                                <w:rFonts w:cs="Cambria"/>
                                <w:b/>
                                <w:sz w:val="44"/>
                                <w:szCs w:val="36"/>
                              </w:rPr>
                            </w:pPr>
                            <w:r>
                              <w:rPr>
                                <w:rFonts w:cs="Cambria"/>
                                <w:b/>
                                <w:sz w:val="52"/>
                                <w:szCs w:val="52"/>
                              </w:rPr>
                              <w:t>Budget Submission 2017/18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278AE4C" id="_x0000_t202" coordsize="21600,21600" o:spt="202" path="m,l,21600r21600,l21600,xe">
                <v:stroke joinstyle="miter"/>
                <v:path gradientshapeok="t" o:connecttype="rect"/>
              </v:shapetype>
              <v:shape id="Text Box 3" o:spid="_x0000_s1026" type="#_x0000_t202" style="position:absolute;left:0;text-align:left;margin-left:0;margin-top:9.3pt;width:6in;height:1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" fillcolor="#004f00" stroked="f">
                <v:path arrowok="t"/>
                <v:textbox>
                  <w:txbxContent>
                    <w:p w14:paraId="5417E457" w14:textId="77777777" w:rsidR="003E4C3F" w:rsidRPr="00FF3D1B" w:rsidRDefault="003E4C3F" w:rsidP="00776ECF">
                      <w:pPr>
                        <w:jc w:val="center"/>
                        <w:rPr>
                          <w:rFonts w:ascii="Times New Roman" w:hAnsi="Times New Roman"/>
                          <w:b/>
                          <w:sz w:val="32"/>
                        </w:rPr>
                      </w:pPr>
                    </w:p>
                    <w:p w14:paraId="339FAE4E" w14:textId="77777777" w:rsidR="003E4C3F" w:rsidRPr="00776ECF" w:rsidRDefault="003E4C3F" w:rsidP="0028677B">
                      <w:pPr>
                        <w:jc w:val="center"/>
                        <w:rPr>
                          <w:rFonts w:cs="Cambria"/>
                          <w:b/>
                          <w:sz w:val="36"/>
                          <w:szCs w:val="36"/>
                        </w:rPr>
                      </w:pPr>
                      <w:r>
                        <w:rPr>
                          <w:rFonts w:cs="Cambria"/>
                          <w:b/>
                          <w:sz w:val="36"/>
                          <w:szCs w:val="36"/>
                        </w:rPr>
                        <w:t>Modernising the Australian Truck Fleet</w:t>
                      </w:r>
                    </w:p>
                    <w:p w14:paraId="0FEEB1DE" w14:textId="77777777" w:rsidR="003E4C3F" w:rsidRPr="00776ECF" w:rsidRDefault="003E4C3F" w:rsidP="0028677B">
                      <w:pPr>
                        <w:spacing w:before="240"/>
                        <w:jc w:val="center"/>
                        <w:rPr>
                          <w:rFonts w:cs="Cambria"/>
                          <w:b/>
                          <w:sz w:val="44"/>
                          <w:szCs w:val="36"/>
                        </w:rPr>
                      </w:pPr>
                      <w:r>
                        <w:rPr>
                          <w:rFonts w:cs="Cambria"/>
                          <w:b/>
                          <w:sz w:val="52"/>
                          <w:szCs w:val="52"/>
                        </w:rPr>
                        <w:t>Budget Submission 2017/18</w:t>
                      </w:r>
                    </w:p>
                  </w:txbxContent>
                </v:textbox>
                <w10:wrap type="square"/>
              </v:shape>
            </w:pict>
          </mc:Fallback>
        </mc:AlternateContent>
      </w:r>
    </w:p>
    <w:p w14:paraId="2C02EDE9" w14:textId="77777777" w:rsidR="00776ECF" w:rsidRPr="00776ECF" w:rsidRDefault="00776ECF" w:rsidP="00776ECF">
      <w:pPr>
        <w:ind w:left="-709"/>
        <w:jc w:val="center"/>
        <w:rPr>
          <w:rFonts w:cs="Cambria"/>
          <w:b/>
          <w:sz w:val="32"/>
        </w:rPr>
      </w:pPr>
    </w:p>
    <w:p w14:paraId="076DDC23" w14:textId="77777777" w:rsidR="00776ECF" w:rsidRPr="00776ECF" w:rsidRDefault="00776ECF" w:rsidP="00776ECF">
      <w:pPr>
        <w:ind w:left="-709"/>
        <w:jc w:val="center"/>
        <w:rPr>
          <w:rFonts w:cs="Cambria"/>
          <w:b/>
          <w:sz w:val="32"/>
        </w:rPr>
      </w:pPr>
    </w:p>
    <w:p w14:paraId="1CA2F20D" w14:textId="77777777" w:rsidR="00776ECF" w:rsidRPr="00776ECF" w:rsidRDefault="00776ECF" w:rsidP="00776ECF">
      <w:pPr>
        <w:ind w:left="-709"/>
        <w:jc w:val="center"/>
        <w:rPr>
          <w:rFonts w:cs="Cambria"/>
          <w:b/>
          <w:sz w:val="32"/>
        </w:rPr>
      </w:pPr>
    </w:p>
    <w:p w14:paraId="322C8D34" w14:textId="77777777" w:rsidR="00776ECF" w:rsidRPr="00776ECF" w:rsidRDefault="00776ECF" w:rsidP="00776ECF">
      <w:pPr>
        <w:ind w:left="-709"/>
        <w:jc w:val="center"/>
        <w:rPr>
          <w:rFonts w:cs="Cambria"/>
          <w:b/>
          <w:sz w:val="32"/>
        </w:rPr>
      </w:pPr>
    </w:p>
    <w:p w14:paraId="7231CB5F" w14:textId="77777777" w:rsidR="00776ECF" w:rsidRPr="00776ECF" w:rsidRDefault="00776ECF" w:rsidP="00776ECF">
      <w:pPr>
        <w:ind w:left="-709"/>
        <w:jc w:val="center"/>
        <w:rPr>
          <w:rFonts w:cs="Cambria"/>
          <w:b/>
          <w:sz w:val="32"/>
        </w:rPr>
      </w:pPr>
    </w:p>
    <w:p w14:paraId="7B53E049" w14:textId="77777777" w:rsidR="00776ECF" w:rsidRPr="00776ECF" w:rsidRDefault="00776ECF" w:rsidP="00C83DF5">
      <w:pPr>
        <w:rPr>
          <w:rFonts w:cs="Cambria"/>
          <w:b/>
          <w:sz w:val="44"/>
        </w:rPr>
      </w:pPr>
    </w:p>
    <w:p w14:paraId="5BD05C8F" w14:textId="77777777" w:rsidR="00776ECF" w:rsidRPr="00776ECF" w:rsidRDefault="00776ECF" w:rsidP="00776ECF">
      <w:pPr>
        <w:jc w:val="center"/>
        <w:rPr>
          <w:rFonts w:cs="Cambria"/>
          <w:b/>
          <w:sz w:val="44"/>
        </w:rPr>
      </w:pPr>
    </w:p>
    <w:p w14:paraId="637BC685" w14:textId="77777777" w:rsidR="00776ECF" w:rsidRPr="00776ECF" w:rsidRDefault="00064AF6" w:rsidP="00776ECF">
      <w:pPr>
        <w:jc w:val="center"/>
        <w:rPr>
          <w:rFonts w:cs="Cambria"/>
          <w:b/>
          <w:sz w:val="44"/>
        </w:rPr>
      </w:pPr>
      <w:r>
        <w:rPr>
          <w:noProof/>
          <w:lang w:eastAsia="en-AU"/>
        </w:rPr>
        <w:drawing>
          <wp:anchor distT="0" distB="0" distL="114300" distR="114300" simplePos="0" relativeHeight="251658240" behindDoc="0" locked="0" layoutInCell="1" allowOverlap="1" wp14:anchorId="398F592A" wp14:editId="4B5C602C">
            <wp:simplePos x="0" y="0"/>
            <wp:positionH relativeFrom="column">
              <wp:posOffset>-457200</wp:posOffset>
            </wp:positionH>
            <wp:positionV relativeFrom="paragraph">
              <wp:posOffset>75565</wp:posOffset>
            </wp:positionV>
            <wp:extent cx="7299960" cy="3830320"/>
            <wp:effectExtent l="0" t="0" r="0" b="5080"/>
            <wp:wrapNone/>
            <wp:docPr id="5" name="Picture 9" descr="Description: TIC Presentation Coversl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IC Presentation Coverslid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99960" cy="3830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BDBA" w14:textId="77777777" w:rsidR="00776ECF" w:rsidRPr="00776ECF" w:rsidRDefault="00776ECF" w:rsidP="00776ECF">
      <w:pPr>
        <w:jc w:val="center"/>
        <w:rPr>
          <w:rFonts w:cs="Cambria"/>
          <w:b/>
          <w:sz w:val="44"/>
        </w:rPr>
      </w:pPr>
    </w:p>
    <w:p w14:paraId="0C2A4125" w14:textId="77777777" w:rsidR="00776ECF" w:rsidRPr="00776ECF" w:rsidRDefault="00776ECF" w:rsidP="00776ECF">
      <w:pPr>
        <w:jc w:val="center"/>
        <w:rPr>
          <w:rFonts w:cs="Cambria"/>
          <w:b/>
          <w:sz w:val="44"/>
        </w:rPr>
      </w:pPr>
    </w:p>
    <w:p w14:paraId="4C11E13D" w14:textId="77777777" w:rsidR="00776ECF" w:rsidRPr="00776ECF" w:rsidRDefault="00776ECF" w:rsidP="00776ECF">
      <w:pPr>
        <w:jc w:val="center"/>
        <w:rPr>
          <w:rFonts w:cs="Cambria"/>
          <w:b/>
          <w:sz w:val="44"/>
        </w:rPr>
      </w:pPr>
    </w:p>
    <w:p w14:paraId="64FAAEDC" w14:textId="77777777" w:rsidR="00776ECF" w:rsidRPr="00776ECF" w:rsidRDefault="00776ECF" w:rsidP="00776ECF">
      <w:pPr>
        <w:jc w:val="center"/>
        <w:rPr>
          <w:rFonts w:cs="Cambria"/>
          <w:b/>
          <w:sz w:val="44"/>
        </w:rPr>
      </w:pPr>
    </w:p>
    <w:p w14:paraId="001315A0" w14:textId="77777777" w:rsidR="00776ECF" w:rsidRPr="00776ECF" w:rsidRDefault="00776ECF" w:rsidP="00776ECF">
      <w:pPr>
        <w:spacing w:before="240"/>
        <w:jc w:val="center"/>
        <w:rPr>
          <w:rFonts w:cs="Cambria"/>
          <w:b/>
          <w:sz w:val="52"/>
          <w:szCs w:val="52"/>
        </w:rPr>
      </w:pPr>
      <w:r w:rsidRPr="00776ECF">
        <w:rPr>
          <w:rFonts w:cs="Cambria"/>
          <w:b/>
          <w:sz w:val="52"/>
          <w:szCs w:val="52"/>
        </w:rPr>
        <w:t xml:space="preserve"> </w:t>
      </w:r>
    </w:p>
    <w:p w14:paraId="77315D95" w14:textId="77777777" w:rsidR="00776ECF" w:rsidRPr="00776ECF" w:rsidRDefault="00776ECF" w:rsidP="00776ECF">
      <w:pPr>
        <w:tabs>
          <w:tab w:val="left" w:pos="3818"/>
        </w:tabs>
        <w:rPr>
          <w:rFonts w:cs="Cambria"/>
          <w:b/>
        </w:rPr>
      </w:pPr>
      <w:r w:rsidRPr="00776ECF">
        <w:rPr>
          <w:rFonts w:cs="Cambria"/>
          <w:b/>
        </w:rPr>
        <w:tab/>
      </w:r>
    </w:p>
    <w:p w14:paraId="3BE021C1" w14:textId="77777777" w:rsidR="00776ECF" w:rsidRPr="00776ECF" w:rsidRDefault="00776ECF" w:rsidP="00776ECF">
      <w:pPr>
        <w:rPr>
          <w:rFonts w:cs="Cambria"/>
          <w:b/>
        </w:rPr>
      </w:pPr>
    </w:p>
    <w:p w14:paraId="207BBDB6" w14:textId="77777777" w:rsidR="00776ECF" w:rsidRPr="00776ECF" w:rsidRDefault="00776ECF" w:rsidP="00776ECF">
      <w:pPr>
        <w:jc w:val="center"/>
        <w:rPr>
          <w:rFonts w:cs="Cambria"/>
          <w:b/>
        </w:rPr>
      </w:pPr>
    </w:p>
    <w:p w14:paraId="4629A55D" w14:textId="77777777" w:rsidR="00776ECF" w:rsidRPr="00776ECF" w:rsidRDefault="00776ECF" w:rsidP="00776ECF">
      <w:pPr>
        <w:rPr>
          <w:rFonts w:cs="Cambria"/>
          <w:i/>
        </w:rPr>
      </w:pPr>
    </w:p>
    <w:p w14:paraId="0F25CDA2" w14:textId="77777777" w:rsidR="00E01758" w:rsidRPr="00DD3F15" w:rsidRDefault="00776ECF" w:rsidP="00E01758">
      <w:pPr>
        <w:ind w:left="-426"/>
        <w:jc w:val="center"/>
        <w:rPr>
          <w:rFonts w:ascii="Times New Roman" w:hAnsi="Times New Roman"/>
          <w:b/>
          <w:sz w:val="22"/>
          <w:szCs w:val="22"/>
        </w:rPr>
      </w:pPr>
      <w:r>
        <w:rPr>
          <w:rFonts w:ascii="Times New Roman" w:hAnsi="Times New Roman"/>
          <w:b/>
        </w:rPr>
        <w:br w:type="page"/>
      </w:r>
      <w:r w:rsidR="00D3790C">
        <w:rPr>
          <w:rFonts w:ascii="Times New Roman" w:hAnsi="Times New Roman"/>
          <w:b/>
        </w:rPr>
        <w:lastRenderedPageBreak/>
        <w:t>MODERNISING THE</w:t>
      </w:r>
      <w:r w:rsidR="008078EA" w:rsidRPr="003659F5">
        <w:rPr>
          <w:rFonts w:ascii="Times New Roman" w:hAnsi="Times New Roman"/>
          <w:b/>
        </w:rPr>
        <w:t xml:space="preserve"> AUSTRALIAN TRUCK FLEET</w:t>
      </w:r>
      <w:r w:rsidR="00E01758">
        <w:rPr>
          <w:rFonts w:ascii="Times New Roman" w:hAnsi="Times New Roman"/>
          <w:b/>
        </w:rPr>
        <w:t xml:space="preserve"> </w:t>
      </w:r>
      <w:r w:rsidR="00E01758" w:rsidRPr="00E01758">
        <w:rPr>
          <w:rFonts w:ascii="Times New Roman" w:hAnsi="Times New Roman"/>
          <w:b/>
        </w:rPr>
        <w:t>BUDGET SUBMISSION KEY POINTS</w:t>
      </w:r>
    </w:p>
    <w:p w14:paraId="3CF72EE1" w14:textId="77777777" w:rsidR="008078EA" w:rsidRPr="003659F5" w:rsidRDefault="008078EA" w:rsidP="008078EA">
      <w:pPr>
        <w:jc w:val="center"/>
        <w:rPr>
          <w:rFonts w:ascii="Times New Roman" w:hAnsi="Times New Roman"/>
          <w:b/>
        </w:rPr>
      </w:pPr>
    </w:p>
    <w:p w14:paraId="71CE49F9" w14:textId="77777777" w:rsidR="00D3790C" w:rsidRPr="00373826" w:rsidRDefault="00DF1070" w:rsidP="00373826">
      <w:pPr>
        <w:numPr>
          <w:ilvl w:val="0"/>
          <w:numId w:val="2"/>
        </w:numPr>
        <w:ind w:right="-22"/>
        <w:rPr>
          <w:rFonts w:ascii="Times New Roman" w:hAnsi="Times New Roman"/>
          <w:sz w:val="22"/>
          <w:szCs w:val="22"/>
        </w:rPr>
      </w:pPr>
      <w:r>
        <w:rPr>
          <w:rFonts w:ascii="Times New Roman" w:hAnsi="Times New Roman"/>
          <w:sz w:val="22"/>
          <w:szCs w:val="22"/>
        </w:rPr>
        <w:t>The Truck Industry Council’s</w:t>
      </w:r>
      <w:r w:rsidR="00D3790C" w:rsidRPr="00373826">
        <w:rPr>
          <w:rFonts w:ascii="Times New Roman" w:hAnsi="Times New Roman"/>
          <w:sz w:val="22"/>
          <w:szCs w:val="22"/>
        </w:rPr>
        <w:t xml:space="preserve"> Budget Submission </w:t>
      </w:r>
      <w:r>
        <w:rPr>
          <w:rFonts w:ascii="Times New Roman" w:hAnsi="Times New Roman"/>
          <w:sz w:val="22"/>
          <w:szCs w:val="22"/>
        </w:rPr>
        <w:t xml:space="preserve">calls for the modernisation of the Australian Truck Fleet and </w:t>
      </w:r>
      <w:r w:rsidR="00D3790C" w:rsidRPr="00373826">
        <w:rPr>
          <w:rFonts w:ascii="Times New Roman" w:hAnsi="Times New Roman"/>
          <w:sz w:val="22"/>
          <w:szCs w:val="22"/>
        </w:rPr>
        <w:t>promotes four key outcomes:</w:t>
      </w:r>
    </w:p>
    <w:p w14:paraId="11F8C64D" w14:textId="579E2E6C" w:rsidR="000F182E" w:rsidRPr="00007AB7" w:rsidRDefault="00007AB7" w:rsidP="000F182E">
      <w:pPr>
        <w:numPr>
          <w:ilvl w:val="0"/>
          <w:numId w:val="13"/>
        </w:numPr>
        <w:rPr>
          <w:rFonts w:ascii="Times New Roman" w:hAnsi="Times New Roman"/>
          <w:sz w:val="22"/>
          <w:szCs w:val="22"/>
        </w:rPr>
      </w:pPr>
      <w:r w:rsidRPr="00007AB7">
        <w:rPr>
          <w:rFonts w:ascii="Times New Roman" w:hAnsi="Times New Roman"/>
          <w:sz w:val="22"/>
          <w:szCs w:val="22"/>
        </w:rPr>
        <w:t xml:space="preserve">A younger </w:t>
      </w:r>
      <w:r w:rsidR="000F182E" w:rsidRPr="00007AB7">
        <w:rPr>
          <w:rFonts w:ascii="Times New Roman" w:hAnsi="Times New Roman"/>
          <w:sz w:val="22"/>
          <w:szCs w:val="22"/>
        </w:rPr>
        <w:t>Australian truck fleet;</w:t>
      </w:r>
    </w:p>
    <w:p w14:paraId="3BCB1542" w14:textId="60095424" w:rsidR="00007AB7" w:rsidRPr="00007AB7" w:rsidRDefault="00007AB7" w:rsidP="00007AB7">
      <w:pPr>
        <w:numPr>
          <w:ilvl w:val="0"/>
          <w:numId w:val="13"/>
        </w:numPr>
        <w:rPr>
          <w:rFonts w:ascii="Times New Roman" w:hAnsi="Times New Roman"/>
          <w:sz w:val="22"/>
          <w:szCs w:val="22"/>
        </w:rPr>
      </w:pPr>
      <w:r w:rsidRPr="00007AB7">
        <w:rPr>
          <w:rFonts w:ascii="Times New Roman" w:hAnsi="Times New Roman"/>
          <w:sz w:val="22"/>
          <w:szCs w:val="22"/>
        </w:rPr>
        <w:t>A more energy productive Australian truck fleet</w:t>
      </w:r>
      <w:r>
        <w:rPr>
          <w:rFonts w:ascii="Times New Roman" w:hAnsi="Times New Roman"/>
          <w:sz w:val="22"/>
          <w:szCs w:val="22"/>
        </w:rPr>
        <w:t>;</w:t>
      </w:r>
    </w:p>
    <w:p w14:paraId="50D165AC" w14:textId="77777777" w:rsidR="00007AB7" w:rsidRDefault="00D3790C" w:rsidP="00007AB7">
      <w:pPr>
        <w:numPr>
          <w:ilvl w:val="0"/>
          <w:numId w:val="13"/>
        </w:numPr>
        <w:rPr>
          <w:rFonts w:ascii="Times New Roman" w:hAnsi="Times New Roman"/>
          <w:sz w:val="22"/>
          <w:szCs w:val="22"/>
        </w:rPr>
      </w:pPr>
      <w:r w:rsidRPr="00007AB7">
        <w:rPr>
          <w:rFonts w:ascii="Times New Roman" w:hAnsi="Times New Roman"/>
          <w:sz w:val="22"/>
          <w:szCs w:val="22"/>
        </w:rPr>
        <w:t>A safer Australian truck fleet; and</w:t>
      </w:r>
    </w:p>
    <w:p w14:paraId="72DDF960" w14:textId="0C3669E7" w:rsidR="008078EA" w:rsidRPr="00007AB7" w:rsidRDefault="000F182E" w:rsidP="00007AB7">
      <w:pPr>
        <w:numPr>
          <w:ilvl w:val="0"/>
          <w:numId w:val="13"/>
        </w:numPr>
        <w:rPr>
          <w:rFonts w:ascii="Times New Roman" w:hAnsi="Times New Roman"/>
          <w:sz w:val="22"/>
          <w:szCs w:val="22"/>
        </w:rPr>
      </w:pPr>
      <w:r w:rsidRPr="00007AB7">
        <w:rPr>
          <w:rFonts w:ascii="Times New Roman" w:hAnsi="Times New Roman"/>
          <w:sz w:val="22"/>
          <w:szCs w:val="22"/>
        </w:rPr>
        <w:t xml:space="preserve">A </w:t>
      </w:r>
      <w:r w:rsidR="00007AB7" w:rsidRPr="00007AB7">
        <w:rPr>
          <w:rFonts w:ascii="Times New Roman" w:hAnsi="Times New Roman"/>
          <w:sz w:val="22"/>
          <w:szCs w:val="22"/>
        </w:rPr>
        <w:t xml:space="preserve">greener, </w:t>
      </w:r>
      <w:r w:rsidR="00135613" w:rsidRPr="00007AB7">
        <w:rPr>
          <w:rFonts w:ascii="Times New Roman" w:hAnsi="Times New Roman"/>
          <w:sz w:val="22"/>
          <w:szCs w:val="22"/>
        </w:rPr>
        <w:t>cleaner</w:t>
      </w:r>
      <w:r w:rsidR="00007AB7" w:rsidRPr="00007AB7">
        <w:rPr>
          <w:rFonts w:ascii="Times New Roman" w:hAnsi="Times New Roman"/>
          <w:sz w:val="22"/>
          <w:szCs w:val="22"/>
        </w:rPr>
        <w:t>,</w:t>
      </w:r>
      <w:r w:rsidR="00135613" w:rsidRPr="00007AB7">
        <w:rPr>
          <w:rFonts w:ascii="Times New Roman" w:hAnsi="Times New Roman"/>
          <w:sz w:val="22"/>
          <w:szCs w:val="22"/>
        </w:rPr>
        <w:t xml:space="preserve"> </w:t>
      </w:r>
      <w:r w:rsidRPr="00007AB7">
        <w:rPr>
          <w:rFonts w:ascii="Times New Roman" w:hAnsi="Times New Roman"/>
          <w:sz w:val="22"/>
          <w:szCs w:val="22"/>
        </w:rPr>
        <w:t>healthier Australian truck fleet.</w:t>
      </w:r>
    </w:p>
    <w:p w14:paraId="4E5C4E23" w14:textId="77777777" w:rsidR="00007AB7" w:rsidRDefault="00007AB7" w:rsidP="00DD3F15">
      <w:pPr>
        <w:pStyle w:val="ListParagraph"/>
        <w:numPr>
          <w:ilvl w:val="0"/>
          <w:numId w:val="2"/>
        </w:numPr>
        <w:rPr>
          <w:rFonts w:ascii="Times New Roman" w:hAnsi="Times New Roman"/>
        </w:rPr>
      </w:pPr>
      <w:r w:rsidRPr="00007AB7">
        <w:rPr>
          <w:rFonts w:ascii="Times New Roman" w:hAnsi="Times New Roman"/>
        </w:rPr>
        <w:t>The average age of the Australian Truck Fleet in 2016 was 14.8 years with recent trends confirming the age of the fleet is increasing. According to the ABS January 2016 Motor Vehicle Census, almost forty-five percent (44.7%) of the nation’s truck fleet was manufactured before 2003 when little, or no, exhaust emission regulation existed. This figure consists of 127,414 pre-1996 trucks (no emission standards) representing 28.1% and 75,386 trucks, or 16.6% being trucks manufactured between 1996 to pre-2003 (elementary emission control systems employed).</w:t>
      </w:r>
    </w:p>
    <w:p w14:paraId="645132B9" w14:textId="77777777" w:rsidR="00007AB7" w:rsidRDefault="008078EA" w:rsidP="00DD3F15">
      <w:pPr>
        <w:pStyle w:val="ListParagraph"/>
        <w:numPr>
          <w:ilvl w:val="0"/>
          <w:numId w:val="2"/>
        </w:numPr>
        <w:rPr>
          <w:rFonts w:ascii="Times New Roman" w:hAnsi="Times New Roman"/>
        </w:rPr>
      </w:pPr>
      <w:r w:rsidRPr="00007AB7">
        <w:rPr>
          <w:rFonts w:ascii="Times New Roman" w:hAnsi="Times New Roman"/>
        </w:rPr>
        <w:t xml:space="preserve">The </w:t>
      </w:r>
      <w:r w:rsidR="00401FC8" w:rsidRPr="00007AB7">
        <w:rPr>
          <w:rFonts w:ascii="Times New Roman" w:hAnsi="Times New Roman"/>
        </w:rPr>
        <w:t xml:space="preserve">primary </w:t>
      </w:r>
      <w:r w:rsidRPr="00007AB7">
        <w:rPr>
          <w:rFonts w:ascii="Times New Roman" w:hAnsi="Times New Roman"/>
        </w:rPr>
        <w:t xml:space="preserve">aim of this submission is to accelerate the </w:t>
      </w:r>
      <w:r w:rsidR="002D4583" w:rsidRPr="00007AB7">
        <w:rPr>
          <w:rFonts w:ascii="Times New Roman" w:hAnsi="Times New Roman"/>
        </w:rPr>
        <w:t>adoption</w:t>
      </w:r>
      <w:r w:rsidRPr="00007AB7">
        <w:rPr>
          <w:rFonts w:ascii="Times New Roman" w:hAnsi="Times New Roman"/>
        </w:rPr>
        <w:t xml:space="preserve"> of </w:t>
      </w:r>
      <w:r w:rsidR="00C02D24" w:rsidRPr="00007AB7">
        <w:rPr>
          <w:rFonts w:ascii="Times New Roman" w:hAnsi="Times New Roman"/>
        </w:rPr>
        <w:t xml:space="preserve">new </w:t>
      </w:r>
      <w:r w:rsidRPr="00007AB7">
        <w:rPr>
          <w:rFonts w:ascii="Times New Roman" w:hAnsi="Times New Roman"/>
        </w:rPr>
        <w:t xml:space="preserve">ADR 80/03 diesel only trucks and the use of more </w:t>
      </w:r>
      <w:r w:rsidR="00C47580" w:rsidRPr="00007AB7">
        <w:rPr>
          <w:rFonts w:ascii="Times New Roman" w:hAnsi="Times New Roman"/>
        </w:rPr>
        <w:t xml:space="preserve">new </w:t>
      </w:r>
      <w:r w:rsidRPr="00007AB7">
        <w:rPr>
          <w:rFonts w:ascii="Times New Roman" w:hAnsi="Times New Roman"/>
        </w:rPr>
        <w:t>alternatively fuelled and powered (ADR 80/03 PLUS) tru</w:t>
      </w:r>
      <w:r w:rsidR="00E56B9E" w:rsidRPr="00007AB7">
        <w:rPr>
          <w:rFonts w:ascii="Times New Roman" w:hAnsi="Times New Roman"/>
        </w:rPr>
        <w:t>cks into the Australian market.</w:t>
      </w:r>
      <w:r w:rsidR="00007AB7" w:rsidRPr="00007AB7">
        <w:rPr>
          <w:rFonts w:ascii="Times New Roman" w:hAnsi="Times New Roman"/>
        </w:rPr>
        <w:t xml:space="preserve"> </w:t>
      </w:r>
    </w:p>
    <w:p w14:paraId="5D64E27D" w14:textId="1A13C6F0" w:rsidR="00E56B9E" w:rsidRPr="00007AB7" w:rsidRDefault="00E56B9E" w:rsidP="00007AB7">
      <w:pPr>
        <w:pStyle w:val="ListParagraph"/>
        <w:numPr>
          <w:ilvl w:val="0"/>
          <w:numId w:val="2"/>
        </w:numPr>
        <w:spacing w:after="0" w:line="240" w:lineRule="auto"/>
        <w:ind w:left="714" w:hanging="357"/>
        <w:rPr>
          <w:rFonts w:ascii="Times New Roman" w:hAnsi="Times New Roman"/>
        </w:rPr>
      </w:pPr>
      <w:r w:rsidRPr="00007AB7">
        <w:rPr>
          <w:rFonts w:ascii="Times New Roman" w:hAnsi="Times New Roman"/>
        </w:rPr>
        <w:t xml:space="preserve">A secondary aim is to have government consider providing an incentive to encourage the purchase of used ADR 80/02 and ADR 80/03 emission </w:t>
      </w:r>
      <w:r w:rsidR="00104A31" w:rsidRPr="00007AB7">
        <w:rPr>
          <w:rFonts w:ascii="Times New Roman" w:hAnsi="Times New Roman"/>
        </w:rPr>
        <w:t xml:space="preserve">standard </w:t>
      </w:r>
      <w:r w:rsidR="003B5B18" w:rsidRPr="00007AB7">
        <w:rPr>
          <w:rFonts w:ascii="Times New Roman" w:hAnsi="Times New Roman"/>
        </w:rPr>
        <w:t xml:space="preserve">compliant </w:t>
      </w:r>
      <w:r w:rsidRPr="00007AB7">
        <w:rPr>
          <w:rFonts w:ascii="Times New Roman" w:hAnsi="Times New Roman"/>
        </w:rPr>
        <w:t>trucks.</w:t>
      </w:r>
    </w:p>
    <w:p w14:paraId="0251D0BF" w14:textId="2EF94F5B" w:rsidR="008078EA" w:rsidRPr="00373826" w:rsidRDefault="008078EA" w:rsidP="00007AB7">
      <w:pPr>
        <w:numPr>
          <w:ilvl w:val="0"/>
          <w:numId w:val="2"/>
        </w:numPr>
        <w:ind w:left="714" w:hanging="357"/>
        <w:rPr>
          <w:rFonts w:ascii="Times New Roman" w:hAnsi="Times New Roman"/>
          <w:sz w:val="22"/>
          <w:szCs w:val="22"/>
        </w:rPr>
      </w:pPr>
      <w:r w:rsidRPr="00373826">
        <w:rPr>
          <w:rFonts w:ascii="Times New Roman" w:hAnsi="Times New Roman"/>
          <w:sz w:val="22"/>
          <w:szCs w:val="22"/>
        </w:rPr>
        <w:t>B</w:t>
      </w:r>
      <w:r w:rsidR="009E7950">
        <w:rPr>
          <w:rFonts w:ascii="Times New Roman" w:hAnsi="Times New Roman"/>
          <w:sz w:val="22"/>
          <w:szCs w:val="22"/>
        </w:rPr>
        <w:t xml:space="preserve">y doing so the Australian </w:t>
      </w:r>
      <w:r w:rsidR="009E7950" w:rsidRPr="004B0908">
        <w:rPr>
          <w:rFonts w:ascii="Times New Roman" w:hAnsi="Times New Roman"/>
          <w:sz w:val="22"/>
          <w:szCs w:val="22"/>
        </w:rPr>
        <w:t>population</w:t>
      </w:r>
      <w:r w:rsidRPr="00373826">
        <w:rPr>
          <w:rFonts w:ascii="Times New Roman" w:hAnsi="Times New Roman"/>
          <w:sz w:val="22"/>
          <w:szCs w:val="22"/>
        </w:rPr>
        <w:t xml:space="preserve"> will benefit through </w:t>
      </w:r>
      <w:r w:rsidR="00C0175D" w:rsidRPr="00373826">
        <w:rPr>
          <w:rFonts w:ascii="Times New Roman" w:hAnsi="Times New Roman"/>
          <w:sz w:val="22"/>
          <w:szCs w:val="22"/>
        </w:rPr>
        <w:t>improved health outcomes (reduced noxious</w:t>
      </w:r>
      <w:r w:rsidRPr="00373826">
        <w:rPr>
          <w:rFonts w:ascii="Times New Roman" w:hAnsi="Times New Roman"/>
          <w:sz w:val="22"/>
          <w:szCs w:val="22"/>
        </w:rPr>
        <w:t xml:space="preserve"> air pollutants</w:t>
      </w:r>
      <w:r w:rsidR="00C0175D" w:rsidRPr="00373826">
        <w:rPr>
          <w:rFonts w:ascii="Times New Roman" w:hAnsi="Times New Roman"/>
          <w:sz w:val="22"/>
          <w:szCs w:val="22"/>
        </w:rPr>
        <w:t>), improved e</w:t>
      </w:r>
      <w:r w:rsidR="0028677B">
        <w:rPr>
          <w:rFonts w:ascii="Times New Roman" w:hAnsi="Times New Roman"/>
          <w:sz w:val="22"/>
          <w:szCs w:val="22"/>
        </w:rPr>
        <w:t>nvironmental outcomes (</w:t>
      </w:r>
      <w:r w:rsidRPr="00373826">
        <w:rPr>
          <w:rFonts w:ascii="Times New Roman" w:hAnsi="Times New Roman"/>
          <w:sz w:val="22"/>
          <w:szCs w:val="22"/>
        </w:rPr>
        <w:t>greenhouse gas emission</w:t>
      </w:r>
      <w:r w:rsidR="00AB7E29">
        <w:rPr>
          <w:rFonts w:ascii="Times New Roman" w:hAnsi="Times New Roman"/>
          <w:sz w:val="22"/>
          <w:szCs w:val="22"/>
        </w:rPr>
        <w:t xml:space="preserve"> savings</w:t>
      </w:r>
      <w:r w:rsidR="00C0175D" w:rsidRPr="00373826">
        <w:rPr>
          <w:rFonts w:ascii="Times New Roman" w:hAnsi="Times New Roman"/>
          <w:sz w:val="22"/>
          <w:szCs w:val="22"/>
        </w:rPr>
        <w:t xml:space="preserve"> </w:t>
      </w:r>
      <w:r w:rsidR="00AB7E29">
        <w:rPr>
          <w:rFonts w:ascii="Times New Roman" w:hAnsi="Times New Roman"/>
          <w:sz w:val="22"/>
          <w:szCs w:val="22"/>
        </w:rPr>
        <w:t>–</w:t>
      </w:r>
      <w:r w:rsidR="00C0175D" w:rsidRPr="00373826">
        <w:rPr>
          <w:rFonts w:ascii="Times New Roman" w:hAnsi="Times New Roman"/>
          <w:sz w:val="22"/>
          <w:szCs w:val="22"/>
        </w:rPr>
        <w:t xml:space="preserve"> </w:t>
      </w:r>
      <w:r w:rsidR="003B5B18" w:rsidRPr="00581EFE">
        <w:rPr>
          <w:rFonts w:ascii="Times New Roman" w:hAnsi="Times New Roman"/>
          <w:sz w:val="22"/>
          <w:szCs w:val="22"/>
        </w:rPr>
        <w:t>up to</w:t>
      </w:r>
      <w:r w:rsidR="00AB7E29" w:rsidRPr="00581EFE">
        <w:rPr>
          <w:rFonts w:ascii="Times New Roman" w:hAnsi="Times New Roman"/>
          <w:sz w:val="22"/>
          <w:szCs w:val="22"/>
        </w:rPr>
        <w:t xml:space="preserve"> </w:t>
      </w:r>
      <w:r w:rsidR="00C0175D" w:rsidRPr="00581EFE">
        <w:rPr>
          <w:rFonts w:ascii="Times New Roman" w:hAnsi="Times New Roman"/>
          <w:sz w:val="22"/>
          <w:szCs w:val="22"/>
        </w:rPr>
        <w:t>25 per cent</w:t>
      </w:r>
      <w:r w:rsidR="000932DA">
        <w:rPr>
          <w:rFonts w:ascii="Times New Roman" w:hAnsi="Times New Roman"/>
          <w:sz w:val="22"/>
          <w:szCs w:val="22"/>
        </w:rPr>
        <w:t xml:space="preserve"> for </w:t>
      </w:r>
      <w:r w:rsidR="00EF3CDE">
        <w:rPr>
          <w:rFonts w:ascii="Times New Roman" w:hAnsi="Times New Roman"/>
          <w:sz w:val="22"/>
          <w:szCs w:val="22"/>
        </w:rPr>
        <w:t>alternatively fuel</w:t>
      </w:r>
      <w:r w:rsidR="00597DE6">
        <w:rPr>
          <w:rFonts w:ascii="Times New Roman" w:hAnsi="Times New Roman"/>
          <w:sz w:val="22"/>
          <w:szCs w:val="22"/>
        </w:rPr>
        <w:t>l</w:t>
      </w:r>
      <w:r w:rsidR="00EF3CDE">
        <w:rPr>
          <w:rFonts w:ascii="Times New Roman" w:hAnsi="Times New Roman"/>
          <w:sz w:val="22"/>
          <w:szCs w:val="22"/>
        </w:rPr>
        <w:t>ed or powered</w:t>
      </w:r>
      <w:r w:rsidR="000932DA">
        <w:rPr>
          <w:rFonts w:ascii="Times New Roman" w:hAnsi="Times New Roman"/>
          <w:sz w:val="22"/>
          <w:szCs w:val="22"/>
        </w:rPr>
        <w:t xml:space="preserve"> vehicles</w:t>
      </w:r>
      <w:r w:rsidR="00C0175D" w:rsidRPr="00373826">
        <w:rPr>
          <w:rFonts w:ascii="Times New Roman" w:hAnsi="Times New Roman"/>
          <w:sz w:val="22"/>
          <w:szCs w:val="22"/>
        </w:rPr>
        <w:t>), and</w:t>
      </w:r>
      <w:r w:rsidR="00656928">
        <w:rPr>
          <w:rFonts w:ascii="Times New Roman" w:hAnsi="Times New Roman"/>
          <w:sz w:val="22"/>
          <w:szCs w:val="22"/>
        </w:rPr>
        <w:t xml:space="preserve"> a modern productive truck fleet that can take full advantage of the nation’s record investment in road infrastructure.</w:t>
      </w:r>
      <w:r w:rsidRPr="00581EFE">
        <w:rPr>
          <w:rFonts w:ascii="Times New Roman" w:hAnsi="Times New Roman"/>
          <w:sz w:val="22"/>
          <w:szCs w:val="22"/>
        </w:rPr>
        <w:t xml:space="preserve"> </w:t>
      </w:r>
    </w:p>
    <w:p w14:paraId="17C1E21E" w14:textId="77777777" w:rsidR="008078EA" w:rsidRPr="00373826" w:rsidRDefault="008078EA" w:rsidP="008078EA">
      <w:pPr>
        <w:numPr>
          <w:ilvl w:val="0"/>
          <w:numId w:val="2"/>
        </w:numPr>
        <w:rPr>
          <w:rFonts w:ascii="Times New Roman" w:hAnsi="Times New Roman"/>
          <w:sz w:val="22"/>
          <w:szCs w:val="22"/>
        </w:rPr>
      </w:pPr>
      <w:r w:rsidRPr="00373826">
        <w:rPr>
          <w:rFonts w:ascii="Times New Roman" w:hAnsi="Times New Roman"/>
          <w:sz w:val="22"/>
          <w:szCs w:val="22"/>
        </w:rPr>
        <w:t xml:space="preserve">In addition for every new </w:t>
      </w:r>
      <w:r w:rsidR="00AB7E29">
        <w:rPr>
          <w:rFonts w:ascii="Times New Roman" w:hAnsi="Times New Roman"/>
          <w:sz w:val="22"/>
          <w:szCs w:val="22"/>
        </w:rPr>
        <w:t>greener, cleaner</w:t>
      </w:r>
      <w:r w:rsidRPr="00373826">
        <w:rPr>
          <w:rFonts w:ascii="Times New Roman" w:hAnsi="Times New Roman"/>
          <w:sz w:val="22"/>
          <w:szCs w:val="22"/>
        </w:rPr>
        <w:t xml:space="preserve"> </w:t>
      </w:r>
      <w:r w:rsidRPr="00581EFE">
        <w:rPr>
          <w:rFonts w:ascii="Times New Roman" w:hAnsi="Times New Roman"/>
          <w:sz w:val="22"/>
          <w:szCs w:val="22"/>
        </w:rPr>
        <w:t xml:space="preserve">truck </w:t>
      </w:r>
      <w:r w:rsidR="00F33462" w:rsidRPr="00581EFE">
        <w:rPr>
          <w:rFonts w:ascii="Times New Roman" w:hAnsi="Times New Roman"/>
          <w:sz w:val="22"/>
          <w:szCs w:val="22"/>
        </w:rPr>
        <w:t>replacing an older truck</w:t>
      </w:r>
      <w:r w:rsidR="00104A31">
        <w:rPr>
          <w:rFonts w:ascii="Times New Roman" w:hAnsi="Times New Roman"/>
          <w:sz w:val="22"/>
          <w:szCs w:val="22"/>
        </w:rPr>
        <w:t>,</w:t>
      </w:r>
      <w:r w:rsidRPr="00373826">
        <w:rPr>
          <w:rFonts w:ascii="Times New Roman" w:hAnsi="Times New Roman"/>
          <w:sz w:val="22"/>
          <w:szCs w:val="22"/>
        </w:rPr>
        <w:t xml:space="preserve"> that truck </w:t>
      </w:r>
      <w:r w:rsidR="00F33462" w:rsidRPr="00581EFE">
        <w:rPr>
          <w:rFonts w:ascii="Times New Roman" w:hAnsi="Times New Roman"/>
          <w:sz w:val="22"/>
          <w:szCs w:val="22"/>
        </w:rPr>
        <w:t xml:space="preserve">is designed to be </w:t>
      </w:r>
      <w:r w:rsidRPr="00373826">
        <w:rPr>
          <w:rFonts w:ascii="Times New Roman" w:hAnsi="Times New Roman"/>
          <w:sz w:val="22"/>
          <w:szCs w:val="22"/>
        </w:rPr>
        <w:t>a quieter truck and a safer truck than earlier models given the significant technological advances that are built into modern truck design.</w:t>
      </w:r>
    </w:p>
    <w:p w14:paraId="00D1A831" w14:textId="77777777" w:rsidR="002E5A53" w:rsidRDefault="008078EA" w:rsidP="002E5A53">
      <w:pPr>
        <w:numPr>
          <w:ilvl w:val="0"/>
          <w:numId w:val="2"/>
        </w:numPr>
        <w:rPr>
          <w:rFonts w:ascii="Times New Roman" w:hAnsi="Times New Roman"/>
          <w:sz w:val="22"/>
          <w:szCs w:val="22"/>
        </w:rPr>
      </w:pPr>
      <w:r w:rsidRPr="002E5A53">
        <w:rPr>
          <w:rFonts w:ascii="Times New Roman" w:hAnsi="Times New Roman"/>
          <w:sz w:val="22"/>
          <w:szCs w:val="22"/>
        </w:rPr>
        <w:t xml:space="preserve">The Truck Industry Council believes the following initiatives will encourage the </w:t>
      </w:r>
      <w:r w:rsidR="00C0175D" w:rsidRPr="002E5A53">
        <w:rPr>
          <w:rFonts w:ascii="Times New Roman" w:hAnsi="Times New Roman"/>
          <w:sz w:val="22"/>
          <w:szCs w:val="22"/>
        </w:rPr>
        <w:t>modernisation of the Australian truck fleet</w:t>
      </w:r>
      <w:r w:rsidR="009E7950">
        <w:rPr>
          <w:rFonts w:ascii="Times New Roman" w:hAnsi="Times New Roman"/>
          <w:sz w:val="22"/>
          <w:szCs w:val="22"/>
        </w:rPr>
        <w:t>:</w:t>
      </w:r>
      <w:r w:rsidRPr="002E5A53">
        <w:rPr>
          <w:rFonts w:ascii="Times New Roman" w:hAnsi="Times New Roman"/>
          <w:sz w:val="22"/>
          <w:szCs w:val="22"/>
        </w:rPr>
        <w:t xml:space="preserve"> </w:t>
      </w:r>
    </w:p>
    <w:p w14:paraId="451B01A0" w14:textId="6CA3DA5B" w:rsidR="003031E7" w:rsidRPr="003E4C3F" w:rsidRDefault="003031E7" w:rsidP="003031E7">
      <w:pPr>
        <w:ind w:left="720"/>
        <w:rPr>
          <w:rFonts w:ascii="Times New Roman" w:hAnsi="Times New Roman"/>
          <w:sz w:val="22"/>
          <w:szCs w:val="22"/>
        </w:rPr>
      </w:pPr>
      <w:r w:rsidRPr="003E4C3F">
        <w:rPr>
          <w:rFonts w:ascii="Times New Roman" w:hAnsi="Times New Roman"/>
          <w:sz w:val="22"/>
          <w:szCs w:val="22"/>
        </w:rPr>
        <w:t>Federal Government Direct Incentives:</w:t>
      </w:r>
    </w:p>
    <w:p w14:paraId="062E02DF" w14:textId="090C05B8" w:rsidR="00F33462" w:rsidRDefault="00F33462" w:rsidP="00F33462">
      <w:pPr>
        <w:numPr>
          <w:ilvl w:val="1"/>
          <w:numId w:val="19"/>
        </w:numPr>
        <w:rPr>
          <w:rFonts w:ascii="Times New Roman" w:hAnsi="Times New Roman"/>
          <w:sz w:val="22"/>
          <w:szCs w:val="22"/>
        </w:rPr>
      </w:pPr>
      <w:r w:rsidRPr="002E5A53">
        <w:rPr>
          <w:rFonts w:ascii="Times New Roman" w:hAnsi="Times New Roman"/>
          <w:sz w:val="22"/>
          <w:szCs w:val="22"/>
        </w:rPr>
        <w:t xml:space="preserve">To </w:t>
      </w:r>
      <w:r>
        <w:rPr>
          <w:rFonts w:ascii="Times New Roman" w:hAnsi="Times New Roman"/>
          <w:sz w:val="22"/>
          <w:szCs w:val="22"/>
        </w:rPr>
        <w:t>make</w:t>
      </w:r>
      <w:r w:rsidRPr="002E5A53">
        <w:rPr>
          <w:rFonts w:ascii="Times New Roman" w:hAnsi="Times New Roman"/>
          <w:sz w:val="22"/>
          <w:szCs w:val="22"/>
        </w:rPr>
        <w:t xml:space="preserve"> the purchase of </w:t>
      </w:r>
      <w:r w:rsidRPr="00581EFE">
        <w:rPr>
          <w:rFonts w:ascii="Times New Roman" w:hAnsi="Times New Roman"/>
          <w:sz w:val="22"/>
          <w:szCs w:val="22"/>
        </w:rPr>
        <w:t>a</w:t>
      </w:r>
      <w:r w:rsidR="0091773A" w:rsidRPr="00581EFE">
        <w:rPr>
          <w:rFonts w:ascii="Times New Roman" w:hAnsi="Times New Roman"/>
          <w:sz w:val="22"/>
          <w:szCs w:val="22"/>
        </w:rPr>
        <w:t xml:space="preserve"> new</w:t>
      </w:r>
      <w:r w:rsidR="0091773A">
        <w:rPr>
          <w:rFonts w:ascii="Times New Roman" w:hAnsi="Times New Roman"/>
          <w:sz w:val="22"/>
          <w:szCs w:val="22"/>
        </w:rPr>
        <w:t xml:space="preserve"> </w:t>
      </w:r>
      <w:r>
        <w:rPr>
          <w:rFonts w:ascii="Times New Roman" w:hAnsi="Times New Roman"/>
          <w:sz w:val="22"/>
          <w:szCs w:val="22"/>
        </w:rPr>
        <w:t>ADR 80/03 diesel-</w:t>
      </w:r>
      <w:r w:rsidRPr="002E5A53">
        <w:rPr>
          <w:rFonts w:ascii="Times New Roman" w:hAnsi="Times New Roman"/>
          <w:sz w:val="22"/>
          <w:szCs w:val="22"/>
        </w:rPr>
        <w:t>only truck</w:t>
      </w:r>
      <w:r>
        <w:rPr>
          <w:rFonts w:ascii="Times New Roman" w:hAnsi="Times New Roman"/>
          <w:sz w:val="22"/>
          <w:szCs w:val="22"/>
        </w:rPr>
        <w:t xml:space="preserve"> </w:t>
      </w:r>
      <w:r w:rsidRPr="00581EFE">
        <w:rPr>
          <w:rFonts w:ascii="Times New Roman" w:hAnsi="Times New Roman"/>
          <w:sz w:val="22"/>
          <w:szCs w:val="22"/>
        </w:rPr>
        <w:t xml:space="preserve">more appealing to pre </w:t>
      </w:r>
      <w:r w:rsidR="009C0185" w:rsidRPr="00581EFE">
        <w:rPr>
          <w:rFonts w:ascii="Times New Roman" w:hAnsi="Times New Roman"/>
          <w:sz w:val="22"/>
          <w:szCs w:val="22"/>
        </w:rPr>
        <w:t>ADR</w:t>
      </w:r>
      <w:r w:rsidR="00C7777B" w:rsidRPr="00581EFE">
        <w:rPr>
          <w:rFonts w:ascii="Times New Roman" w:hAnsi="Times New Roman"/>
          <w:sz w:val="22"/>
          <w:szCs w:val="22"/>
        </w:rPr>
        <w:t xml:space="preserve"> </w:t>
      </w:r>
      <w:r w:rsidR="009C0185" w:rsidRPr="00581EFE">
        <w:rPr>
          <w:rFonts w:ascii="Times New Roman" w:hAnsi="Times New Roman"/>
          <w:sz w:val="22"/>
          <w:szCs w:val="22"/>
        </w:rPr>
        <w:t xml:space="preserve">70/00 </w:t>
      </w:r>
      <w:r w:rsidR="00C7777B" w:rsidRPr="00581EFE">
        <w:rPr>
          <w:rFonts w:ascii="Times New Roman" w:hAnsi="Times New Roman"/>
          <w:sz w:val="22"/>
          <w:szCs w:val="22"/>
        </w:rPr>
        <w:t>(</w:t>
      </w:r>
      <w:r w:rsidR="009C0185" w:rsidRPr="00581EFE">
        <w:rPr>
          <w:rFonts w:ascii="Times New Roman" w:hAnsi="Times New Roman"/>
          <w:sz w:val="22"/>
          <w:szCs w:val="22"/>
        </w:rPr>
        <w:t xml:space="preserve">pre </w:t>
      </w:r>
      <w:r w:rsidRPr="00581EFE">
        <w:rPr>
          <w:rFonts w:ascii="Times New Roman" w:hAnsi="Times New Roman"/>
          <w:sz w:val="22"/>
          <w:szCs w:val="22"/>
        </w:rPr>
        <w:t>1996</w:t>
      </w:r>
      <w:r w:rsidR="00C7777B" w:rsidRPr="00581EFE">
        <w:rPr>
          <w:rFonts w:ascii="Times New Roman" w:hAnsi="Times New Roman"/>
          <w:sz w:val="22"/>
          <w:szCs w:val="22"/>
        </w:rPr>
        <w:t xml:space="preserve"> approx.</w:t>
      </w:r>
      <w:r w:rsidR="009C0185" w:rsidRPr="00581EFE">
        <w:rPr>
          <w:rFonts w:ascii="Times New Roman" w:hAnsi="Times New Roman"/>
          <w:sz w:val="22"/>
          <w:szCs w:val="22"/>
        </w:rPr>
        <w:t>)</w:t>
      </w:r>
      <w:r w:rsidRPr="00581EFE">
        <w:rPr>
          <w:rFonts w:ascii="Times New Roman" w:hAnsi="Times New Roman"/>
          <w:sz w:val="22"/>
          <w:szCs w:val="22"/>
        </w:rPr>
        <w:t xml:space="preserve"> truck owners</w:t>
      </w:r>
      <w:r>
        <w:rPr>
          <w:rFonts w:ascii="Times New Roman" w:hAnsi="Times New Roman"/>
          <w:sz w:val="22"/>
          <w:szCs w:val="22"/>
        </w:rPr>
        <w:t>,</w:t>
      </w:r>
      <w:r w:rsidRPr="002E5A53">
        <w:rPr>
          <w:rFonts w:ascii="Times New Roman" w:hAnsi="Times New Roman"/>
          <w:sz w:val="22"/>
          <w:szCs w:val="22"/>
        </w:rPr>
        <w:t xml:space="preserve"> consideration should be given to providing a </w:t>
      </w:r>
      <w:r>
        <w:rPr>
          <w:rFonts w:ascii="Times New Roman" w:hAnsi="Times New Roman"/>
          <w:sz w:val="22"/>
          <w:szCs w:val="22"/>
        </w:rPr>
        <w:t>thirty (30</w:t>
      </w:r>
      <w:r w:rsidRPr="002E5A53">
        <w:rPr>
          <w:rFonts w:ascii="Times New Roman" w:hAnsi="Times New Roman"/>
          <w:sz w:val="22"/>
          <w:szCs w:val="22"/>
        </w:rPr>
        <w:t xml:space="preserve">) per cent investment allowance for such </w:t>
      </w:r>
      <w:r>
        <w:rPr>
          <w:rFonts w:ascii="Times New Roman" w:hAnsi="Times New Roman"/>
          <w:sz w:val="22"/>
          <w:szCs w:val="22"/>
        </w:rPr>
        <w:t xml:space="preserve">purchases, </w:t>
      </w:r>
      <w:r w:rsidRPr="005E59B0">
        <w:rPr>
          <w:rFonts w:ascii="Times New Roman" w:hAnsi="Times New Roman"/>
          <w:sz w:val="22"/>
          <w:szCs w:val="22"/>
        </w:rPr>
        <w:t>effective for all new m</w:t>
      </w:r>
      <w:r w:rsidR="00DD3F15">
        <w:rPr>
          <w:rFonts w:ascii="Times New Roman" w:hAnsi="Times New Roman"/>
          <w:sz w:val="22"/>
          <w:szCs w:val="22"/>
        </w:rPr>
        <w:t>odels sold from July 2017</w:t>
      </w:r>
      <w:r w:rsidRPr="002E5A53">
        <w:rPr>
          <w:rFonts w:ascii="Times New Roman" w:hAnsi="Times New Roman"/>
          <w:sz w:val="22"/>
          <w:szCs w:val="22"/>
        </w:rPr>
        <w:t xml:space="preserve">. </w:t>
      </w:r>
    </w:p>
    <w:p w14:paraId="2E30D8CA" w14:textId="28E62EF6" w:rsidR="00F33462" w:rsidRDefault="00F33462" w:rsidP="00F33462">
      <w:pPr>
        <w:numPr>
          <w:ilvl w:val="1"/>
          <w:numId w:val="19"/>
        </w:numPr>
        <w:rPr>
          <w:rFonts w:ascii="Times New Roman" w:hAnsi="Times New Roman"/>
          <w:sz w:val="22"/>
          <w:szCs w:val="22"/>
        </w:rPr>
      </w:pPr>
      <w:r w:rsidRPr="002E5A53">
        <w:rPr>
          <w:rFonts w:ascii="Times New Roman" w:hAnsi="Times New Roman"/>
          <w:sz w:val="22"/>
          <w:szCs w:val="22"/>
        </w:rPr>
        <w:t xml:space="preserve">To </w:t>
      </w:r>
      <w:r>
        <w:rPr>
          <w:rFonts w:ascii="Times New Roman" w:hAnsi="Times New Roman"/>
          <w:sz w:val="22"/>
          <w:szCs w:val="22"/>
        </w:rPr>
        <w:t>make</w:t>
      </w:r>
      <w:r w:rsidRPr="002E5A53">
        <w:rPr>
          <w:rFonts w:ascii="Times New Roman" w:hAnsi="Times New Roman"/>
          <w:sz w:val="22"/>
          <w:szCs w:val="22"/>
        </w:rPr>
        <w:t xml:space="preserve"> the purchase of </w:t>
      </w:r>
      <w:r w:rsidR="0091773A">
        <w:rPr>
          <w:rFonts w:ascii="Times New Roman" w:hAnsi="Times New Roman"/>
          <w:sz w:val="22"/>
          <w:szCs w:val="22"/>
        </w:rPr>
        <w:t xml:space="preserve">new </w:t>
      </w:r>
      <w:r w:rsidRPr="002E5A53">
        <w:rPr>
          <w:rFonts w:ascii="Times New Roman" w:hAnsi="Times New Roman"/>
          <w:sz w:val="22"/>
          <w:szCs w:val="22"/>
        </w:rPr>
        <w:t>alternatively fuelled and powered (ADR 80/03 PLUS) trucks</w:t>
      </w:r>
      <w:r>
        <w:rPr>
          <w:rFonts w:ascii="Times New Roman" w:hAnsi="Times New Roman"/>
          <w:sz w:val="22"/>
          <w:szCs w:val="22"/>
        </w:rPr>
        <w:t xml:space="preserve"> </w:t>
      </w:r>
      <w:r w:rsidRPr="00581EFE">
        <w:rPr>
          <w:rFonts w:ascii="Times New Roman" w:hAnsi="Times New Roman"/>
          <w:sz w:val="22"/>
          <w:szCs w:val="22"/>
        </w:rPr>
        <w:t xml:space="preserve">more appealing to pre </w:t>
      </w:r>
      <w:r w:rsidR="009C0185" w:rsidRPr="00581EFE">
        <w:rPr>
          <w:rFonts w:ascii="Times New Roman" w:hAnsi="Times New Roman"/>
          <w:sz w:val="22"/>
          <w:szCs w:val="22"/>
        </w:rPr>
        <w:t>ADR</w:t>
      </w:r>
      <w:r w:rsidR="00C7777B" w:rsidRPr="00581EFE">
        <w:rPr>
          <w:rFonts w:ascii="Times New Roman" w:hAnsi="Times New Roman"/>
          <w:sz w:val="22"/>
          <w:szCs w:val="22"/>
        </w:rPr>
        <w:t xml:space="preserve"> </w:t>
      </w:r>
      <w:r w:rsidR="009C0185" w:rsidRPr="00581EFE">
        <w:rPr>
          <w:rFonts w:ascii="Times New Roman" w:hAnsi="Times New Roman"/>
          <w:sz w:val="22"/>
          <w:szCs w:val="22"/>
        </w:rPr>
        <w:t>70/00 (pre 19</w:t>
      </w:r>
      <w:r w:rsidRPr="00581EFE">
        <w:rPr>
          <w:rFonts w:ascii="Times New Roman" w:hAnsi="Times New Roman"/>
          <w:sz w:val="22"/>
          <w:szCs w:val="22"/>
        </w:rPr>
        <w:t>96</w:t>
      </w:r>
      <w:r w:rsidR="00C7777B" w:rsidRPr="00581EFE">
        <w:rPr>
          <w:rFonts w:ascii="Times New Roman" w:hAnsi="Times New Roman"/>
          <w:sz w:val="22"/>
          <w:szCs w:val="22"/>
        </w:rPr>
        <w:t xml:space="preserve"> approx.) </w:t>
      </w:r>
      <w:r w:rsidRPr="00581EFE">
        <w:rPr>
          <w:rFonts w:ascii="Times New Roman" w:hAnsi="Times New Roman"/>
          <w:sz w:val="22"/>
          <w:szCs w:val="22"/>
        </w:rPr>
        <w:t>truck owners</w:t>
      </w:r>
      <w:r>
        <w:rPr>
          <w:rFonts w:ascii="Times New Roman" w:hAnsi="Times New Roman"/>
          <w:sz w:val="22"/>
          <w:szCs w:val="22"/>
        </w:rPr>
        <w:t>,</w:t>
      </w:r>
      <w:r w:rsidRPr="002E5A53">
        <w:rPr>
          <w:rFonts w:ascii="Times New Roman" w:hAnsi="Times New Roman"/>
          <w:sz w:val="22"/>
          <w:szCs w:val="22"/>
        </w:rPr>
        <w:t xml:space="preserve"> consideration should be given to providing a </w:t>
      </w:r>
      <w:r>
        <w:rPr>
          <w:rFonts w:ascii="Times New Roman" w:hAnsi="Times New Roman"/>
          <w:sz w:val="22"/>
          <w:szCs w:val="22"/>
        </w:rPr>
        <w:t>fifty (50</w:t>
      </w:r>
      <w:r w:rsidRPr="002E5A53">
        <w:rPr>
          <w:rFonts w:ascii="Times New Roman" w:hAnsi="Times New Roman"/>
          <w:sz w:val="22"/>
          <w:szCs w:val="22"/>
        </w:rPr>
        <w:t xml:space="preserve">) </w:t>
      </w:r>
      <w:r w:rsidRPr="005E59B0">
        <w:rPr>
          <w:rFonts w:ascii="Times New Roman" w:hAnsi="Times New Roman"/>
          <w:sz w:val="22"/>
          <w:szCs w:val="22"/>
        </w:rPr>
        <w:t xml:space="preserve">per cent investment allowance for such </w:t>
      </w:r>
      <w:r>
        <w:rPr>
          <w:rFonts w:ascii="Times New Roman" w:hAnsi="Times New Roman"/>
          <w:sz w:val="22"/>
          <w:szCs w:val="22"/>
        </w:rPr>
        <w:t>purchases,</w:t>
      </w:r>
      <w:r w:rsidRPr="005E59B0">
        <w:rPr>
          <w:rFonts w:ascii="Times New Roman" w:hAnsi="Times New Roman"/>
          <w:sz w:val="22"/>
          <w:szCs w:val="22"/>
        </w:rPr>
        <w:t xml:space="preserve"> effective for all new m</w:t>
      </w:r>
      <w:r w:rsidR="00DD3F15">
        <w:rPr>
          <w:rFonts w:ascii="Times New Roman" w:hAnsi="Times New Roman"/>
          <w:sz w:val="22"/>
          <w:szCs w:val="22"/>
        </w:rPr>
        <w:t>odels sold from July 2017</w:t>
      </w:r>
      <w:r w:rsidRPr="005E59B0">
        <w:rPr>
          <w:rFonts w:ascii="Times New Roman" w:hAnsi="Times New Roman"/>
          <w:sz w:val="22"/>
          <w:szCs w:val="22"/>
        </w:rPr>
        <w:t>.</w:t>
      </w:r>
      <w:r w:rsidRPr="00B23A7F">
        <w:rPr>
          <w:rFonts w:ascii="Times New Roman" w:hAnsi="Times New Roman"/>
          <w:sz w:val="22"/>
          <w:szCs w:val="22"/>
        </w:rPr>
        <w:t xml:space="preserve"> </w:t>
      </w:r>
    </w:p>
    <w:p w14:paraId="22F99010" w14:textId="3A99EBF6" w:rsidR="002E5A53" w:rsidRDefault="00620789" w:rsidP="00F33462">
      <w:pPr>
        <w:numPr>
          <w:ilvl w:val="1"/>
          <w:numId w:val="19"/>
        </w:numPr>
        <w:rPr>
          <w:rFonts w:ascii="Times New Roman" w:hAnsi="Times New Roman"/>
          <w:sz w:val="22"/>
          <w:szCs w:val="22"/>
        </w:rPr>
      </w:pPr>
      <w:r w:rsidRPr="00581EFE">
        <w:rPr>
          <w:rFonts w:ascii="Times New Roman" w:hAnsi="Times New Roman"/>
          <w:sz w:val="22"/>
          <w:szCs w:val="22"/>
        </w:rPr>
        <w:t xml:space="preserve">For </w:t>
      </w:r>
      <w:r w:rsidR="00C7777B" w:rsidRPr="00581EFE">
        <w:rPr>
          <w:rFonts w:ascii="Times New Roman" w:hAnsi="Times New Roman"/>
          <w:sz w:val="22"/>
          <w:szCs w:val="22"/>
        </w:rPr>
        <w:t xml:space="preserve">ADR 70/00 and later (post 1996) </w:t>
      </w:r>
      <w:r w:rsidRPr="00581EFE">
        <w:rPr>
          <w:rFonts w:ascii="Times New Roman" w:hAnsi="Times New Roman"/>
          <w:sz w:val="22"/>
          <w:szCs w:val="22"/>
        </w:rPr>
        <w:t>truck owners t</w:t>
      </w:r>
      <w:r w:rsidR="008078EA" w:rsidRPr="002E5A53">
        <w:rPr>
          <w:rFonts w:ascii="Times New Roman" w:hAnsi="Times New Roman"/>
          <w:sz w:val="22"/>
          <w:szCs w:val="22"/>
        </w:rPr>
        <w:t xml:space="preserve">o offset the costs associated with the purchase of </w:t>
      </w:r>
      <w:r w:rsidR="008078EA" w:rsidRPr="00581EFE">
        <w:rPr>
          <w:rFonts w:ascii="Times New Roman" w:hAnsi="Times New Roman"/>
          <w:sz w:val="22"/>
          <w:szCs w:val="22"/>
        </w:rPr>
        <w:t>a</w:t>
      </w:r>
      <w:r w:rsidR="0091773A" w:rsidRPr="00581EFE">
        <w:rPr>
          <w:rFonts w:ascii="Times New Roman" w:hAnsi="Times New Roman"/>
          <w:sz w:val="22"/>
          <w:szCs w:val="22"/>
        </w:rPr>
        <w:t xml:space="preserve"> new</w:t>
      </w:r>
      <w:r w:rsidR="0091773A">
        <w:rPr>
          <w:rFonts w:ascii="Times New Roman" w:hAnsi="Times New Roman"/>
          <w:sz w:val="22"/>
          <w:szCs w:val="22"/>
        </w:rPr>
        <w:t xml:space="preserve"> </w:t>
      </w:r>
      <w:r w:rsidR="00762DA5">
        <w:rPr>
          <w:rFonts w:ascii="Times New Roman" w:hAnsi="Times New Roman"/>
          <w:sz w:val="22"/>
          <w:szCs w:val="22"/>
        </w:rPr>
        <w:t>ADR 80/03 diesel-</w:t>
      </w:r>
      <w:r w:rsidR="008078EA" w:rsidRPr="002E5A53">
        <w:rPr>
          <w:rFonts w:ascii="Times New Roman" w:hAnsi="Times New Roman"/>
          <w:sz w:val="22"/>
          <w:szCs w:val="22"/>
        </w:rPr>
        <w:t>only truck</w:t>
      </w:r>
      <w:r w:rsidR="009E7950">
        <w:rPr>
          <w:rFonts w:ascii="Times New Roman" w:hAnsi="Times New Roman"/>
          <w:sz w:val="22"/>
          <w:szCs w:val="22"/>
        </w:rPr>
        <w:t>,</w:t>
      </w:r>
      <w:r w:rsidR="008078EA" w:rsidRPr="002E5A53">
        <w:rPr>
          <w:rFonts w:ascii="Times New Roman" w:hAnsi="Times New Roman"/>
          <w:sz w:val="22"/>
          <w:szCs w:val="22"/>
        </w:rPr>
        <w:t xml:space="preserve"> consideration should be given to providing a </w:t>
      </w:r>
      <w:r w:rsidR="00762DA5">
        <w:rPr>
          <w:rFonts w:ascii="Times New Roman" w:hAnsi="Times New Roman"/>
          <w:sz w:val="22"/>
          <w:szCs w:val="22"/>
        </w:rPr>
        <w:t>fifteen (15</w:t>
      </w:r>
      <w:r w:rsidR="008078EA" w:rsidRPr="002E5A53">
        <w:rPr>
          <w:rFonts w:ascii="Times New Roman" w:hAnsi="Times New Roman"/>
          <w:sz w:val="22"/>
          <w:szCs w:val="22"/>
        </w:rPr>
        <w:t>) per</w:t>
      </w:r>
      <w:r w:rsidR="00C0175D" w:rsidRPr="002E5A53">
        <w:rPr>
          <w:rFonts w:ascii="Times New Roman" w:hAnsi="Times New Roman"/>
          <w:sz w:val="22"/>
          <w:szCs w:val="22"/>
        </w:rPr>
        <w:t xml:space="preserve"> </w:t>
      </w:r>
      <w:r w:rsidR="008078EA" w:rsidRPr="002E5A53">
        <w:rPr>
          <w:rFonts w:ascii="Times New Roman" w:hAnsi="Times New Roman"/>
          <w:sz w:val="22"/>
          <w:szCs w:val="22"/>
        </w:rPr>
        <w:t>cent investment allowance for such vehicles that comply</w:t>
      </w:r>
      <w:r w:rsidR="009E7950">
        <w:rPr>
          <w:rFonts w:ascii="Times New Roman" w:hAnsi="Times New Roman"/>
          <w:sz w:val="22"/>
          <w:szCs w:val="22"/>
        </w:rPr>
        <w:t>,</w:t>
      </w:r>
      <w:r w:rsidR="008078EA" w:rsidRPr="002E5A53">
        <w:rPr>
          <w:rFonts w:ascii="Times New Roman" w:hAnsi="Times New Roman"/>
          <w:sz w:val="22"/>
          <w:szCs w:val="22"/>
        </w:rPr>
        <w:t xml:space="preserve"> effective for al</w:t>
      </w:r>
      <w:r w:rsidR="00DD3F15">
        <w:rPr>
          <w:rFonts w:ascii="Times New Roman" w:hAnsi="Times New Roman"/>
          <w:sz w:val="22"/>
          <w:szCs w:val="22"/>
        </w:rPr>
        <w:t>l new models sold from July 2017</w:t>
      </w:r>
      <w:r w:rsidR="008078EA" w:rsidRPr="002E5A53">
        <w:rPr>
          <w:rFonts w:ascii="Times New Roman" w:hAnsi="Times New Roman"/>
          <w:sz w:val="22"/>
          <w:szCs w:val="22"/>
        </w:rPr>
        <w:t>.</w:t>
      </w:r>
      <w:r w:rsidR="002E5A53" w:rsidRPr="002E5A53">
        <w:rPr>
          <w:rFonts w:ascii="Times New Roman" w:hAnsi="Times New Roman"/>
          <w:sz w:val="22"/>
          <w:szCs w:val="22"/>
        </w:rPr>
        <w:t xml:space="preserve"> </w:t>
      </w:r>
    </w:p>
    <w:p w14:paraId="0A75BCC4" w14:textId="77777777" w:rsidR="00902870" w:rsidRDefault="00620789" w:rsidP="00902870">
      <w:pPr>
        <w:numPr>
          <w:ilvl w:val="1"/>
          <w:numId w:val="19"/>
        </w:numPr>
        <w:rPr>
          <w:rFonts w:ascii="Times New Roman" w:hAnsi="Times New Roman"/>
          <w:sz w:val="22"/>
          <w:szCs w:val="22"/>
        </w:rPr>
      </w:pPr>
      <w:r w:rsidRPr="00581EFE">
        <w:rPr>
          <w:rFonts w:ascii="Times New Roman" w:hAnsi="Times New Roman"/>
          <w:sz w:val="22"/>
          <w:szCs w:val="22"/>
        </w:rPr>
        <w:t xml:space="preserve">For </w:t>
      </w:r>
      <w:r w:rsidR="00C7777B" w:rsidRPr="00581EFE">
        <w:rPr>
          <w:rFonts w:ascii="Times New Roman" w:hAnsi="Times New Roman"/>
          <w:sz w:val="22"/>
          <w:szCs w:val="22"/>
        </w:rPr>
        <w:t xml:space="preserve">ADR 70/00 and later (post 1996) </w:t>
      </w:r>
      <w:r w:rsidRPr="00581EFE">
        <w:rPr>
          <w:rFonts w:ascii="Times New Roman" w:hAnsi="Times New Roman"/>
          <w:sz w:val="22"/>
          <w:szCs w:val="22"/>
        </w:rPr>
        <w:t>truck owners t</w:t>
      </w:r>
      <w:r w:rsidR="008078EA" w:rsidRPr="002E5A53">
        <w:rPr>
          <w:rFonts w:ascii="Times New Roman" w:hAnsi="Times New Roman"/>
          <w:sz w:val="22"/>
          <w:szCs w:val="22"/>
        </w:rPr>
        <w:t xml:space="preserve">o offset the additional costs associated with the purchase of </w:t>
      </w:r>
      <w:r w:rsidR="0091773A" w:rsidRPr="00581EFE">
        <w:rPr>
          <w:rFonts w:ascii="Times New Roman" w:hAnsi="Times New Roman"/>
          <w:sz w:val="22"/>
          <w:szCs w:val="22"/>
        </w:rPr>
        <w:t>new</w:t>
      </w:r>
      <w:r w:rsidR="0091773A">
        <w:rPr>
          <w:rFonts w:ascii="Times New Roman" w:hAnsi="Times New Roman"/>
          <w:sz w:val="22"/>
          <w:szCs w:val="22"/>
        </w:rPr>
        <w:t xml:space="preserve"> </w:t>
      </w:r>
      <w:r w:rsidR="008078EA" w:rsidRPr="002E5A53">
        <w:rPr>
          <w:rFonts w:ascii="Times New Roman" w:hAnsi="Times New Roman"/>
          <w:sz w:val="22"/>
          <w:szCs w:val="22"/>
        </w:rPr>
        <w:t>alternatively fuelled and powered (ADR 80/03 PLUS) trucks</w:t>
      </w:r>
      <w:r w:rsidR="005F1757">
        <w:rPr>
          <w:rFonts w:ascii="Times New Roman" w:hAnsi="Times New Roman"/>
          <w:sz w:val="22"/>
          <w:szCs w:val="22"/>
        </w:rPr>
        <w:t>,</w:t>
      </w:r>
      <w:r w:rsidR="008078EA" w:rsidRPr="002E5A53">
        <w:rPr>
          <w:rFonts w:ascii="Times New Roman" w:hAnsi="Times New Roman"/>
          <w:sz w:val="22"/>
          <w:szCs w:val="22"/>
        </w:rPr>
        <w:t xml:space="preserve"> consideration should be given to providing a </w:t>
      </w:r>
      <w:r w:rsidR="00762DA5">
        <w:rPr>
          <w:rFonts w:ascii="Times New Roman" w:hAnsi="Times New Roman"/>
          <w:sz w:val="22"/>
          <w:szCs w:val="22"/>
        </w:rPr>
        <w:t>twenty five (25</w:t>
      </w:r>
      <w:r w:rsidR="008078EA" w:rsidRPr="002E5A53">
        <w:rPr>
          <w:rFonts w:ascii="Times New Roman" w:hAnsi="Times New Roman"/>
          <w:sz w:val="22"/>
          <w:szCs w:val="22"/>
        </w:rPr>
        <w:t xml:space="preserve">) </w:t>
      </w:r>
      <w:r w:rsidR="008078EA" w:rsidRPr="005E59B0">
        <w:rPr>
          <w:rFonts w:ascii="Times New Roman" w:hAnsi="Times New Roman"/>
          <w:sz w:val="22"/>
          <w:szCs w:val="22"/>
        </w:rPr>
        <w:t>per</w:t>
      </w:r>
      <w:r w:rsidR="00C0175D" w:rsidRPr="005E59B0">
        <w:rPr>
          <w:rFonts w:ascii="Times New Roman" w:hAnsi="Times New Roman"/>
          <w:sz w:val="22"/>
          <w:szCs w:val="22"/>
        </w:rPr>
        <w:t xml:space="preserve"> </w:t>
      </w:r>
      <w:r w:rsidR="008078EA" w:rsidRPr="005E59B0">
        <w:rPr>
          <w:rFonts w:ascii="Times New Roman" w:hAnsi="Times New Roman"/>
          <w:sz w:val="22"/>
          <w:szCs w:val="22"/>
        </w:rPr>
        <w:t>cent investment allowance for such vehicles that comply</w:t>
      </w:r>
      <w:r w:rsidR="009E7950">
        <w:rPr>
          <w:rFonts w:ascii="Times New Roman" w:hAnsi="Times New Roman"/>
          <w:sz w:val="22"/>
          <w:szCs w:val="22"/>
        </w:rPr>
        <w:t>,</w:t>
      </w:r>
      <w:r w:rsidR="008078EA" w:rsidRPr="005E59B0">
        <w:rPr>
          <w:rFonts w:ascii="Times New Roman" w:hAnsi="Times New Roman"/>
          <w:sz w:val="22"/>
          <w:szCs w:val="22"/>
        </w:rPr>
        <w:t xml:space="preserve"> effective for all new m</w:t>
      </w:r>
      <w:r w:rsidR="00DD3F15">
        <w:rPr>
          <w:rFonts w:ascii="Times New Roman" w:hAnsi="Times New Roman"/>
          <w:sz w:val="22"/>
          <w:szCs w:val="22"/>
        </w:rPr>
        <w:t>odels sold from July 2017</w:t>
      </w:r>
      <w:r w:rsidR="008078EA" w:rsidRPr="005E59B0">
        <w:rPr>
          <w:rFonts w:ascii="Times New Roman" w:hAnsi="Times New Roman"/>
          <w:sz w:val="22"/>
          <w:szCs w:val="22"/>
        </w:rPr>
        <w:t>.</w:t>
      </w:r>
      <w:r w:rsidR="00776ECF" w:rsidRPr="00B23A7F">
        <w:rPr>
          <w:rFonts w:ascii="Times New Roman" w:hAnsi="Times New Roman"/>
          <w:sz w:val="22"/>
          <w:szCs w:val="22"/>
        </w:rPr>
        <w:t xml:space="preserve"> </w:t>
      </w:r>
    </w:p>
    <w:p w14:paraId="2AC90DE3" w14:textId="77777777" w:rsidR="003031E7" w:rsidRDefault="003031E7" w:rsidP="003031E7">
      <w:pPr>
        <w:ind w:left="1440"/>
        <w:rPr>
          <w:rFonts w:ascii="Times New Roman" w:hAnsi="Times New Roman"/>
          <w:sz w:val="22"/>
          <w:szCs w:val="22"/>
        </w:rPr>
      </w:pPr>
    </w:p>
    <w:p w14:paraId="2A045DF0" w14:textId="77777777" w:rsidR="00B12C9F" w:rsidRDefault="003031E7" w:rsidP="00B12C9F">
      <w:pPr>
        <w:ind w:left="709"/>
        <w:rPr>
          <w:rFonts w:ascii="Times New Roman" w:hAnsi="Times New Roman"/>
          <w:sz w:val="22"/>
          <w:szCs w:val="22"/>
        </w:rPr>
      </w:pPr>
      <w:r w:rsidRPr="003E4C3F">
        <w:rPr>
          <w:rFonts w:ascii="Times New Roman" w:hAnsi="Times New Roman"/>
          <w:sz w:val="22"/>
          <w:szCs w:val="22"/>
        </w:rPr>
        <w:t>Complementary and/or Alternative Incentives:</w:t>
      </w:r>
    </w:p>
    <w:p w14:paraId="425FC6A4" w14:textId="77777777" w:rsidR="00B12C9F" w:rsidRDefault="00B12C9F" w:rsidP="00B12C9F">
      <w:pPr>
        <w:ind w:left="709"/>
        <w:rPr>
          <w:rFonts w:ascii="Times New Roman" w:hAnsi="Times New Roman"/>
        </w:rPr>
      </w:pPr>
    </w:p>
    <w:p w14:paraId="4EA1ACDE" w14:textId="77777777" w:rsidR="00B12C9F" w:rsidRPr="00B12C9F" w:rsidRDefault="003E4C3F" w:rsidP="00B12C9F">
      <w:pPr>
        <w:pStyle w:val="ListParagraph"/>
        <w:numPr>
          <w:ilvl w:val="0"/>
          <w:numId w:val="29"/>
        </w:numPr>
        <w:rPr>
          <w:rFonts w:ascii="Times New Roman" w:hAnsi="Times New Roman"/>
        </w:rPr>
      </w:pPr>
      <w:r w:rsidRPr="00B12C9F">
        <w:rPr>
          <w:rFonts w:ascii="Times New Roman" w:hAnsi="Times New Roman"/>
        </w:rPr>
        <w:t xml:space="preserve">COAG to work towards measures to offset the operator mass losses of a new truck (higher TARE weight due to mandated emission and safety devises fitted to new trucks) by allowing higher axle masses for new ADR 80/03; and 80/03 Plus trucks. </w:t>
      </w:r>
    </w:p>
    <w:p w14:paraId="3990F5E0" w14:textId="2B71A8A7" w:rsidR="003E4C3F" w:rsidRPr="00B12C9F" w:rsidRDefault="003E4C3F" w:rsidP="00B12C9F">
      <w:pPr>
        <w:pStyle w:val="ListParagraph"/>
        <w:numPr>
          <w:ilvl w:val="0"/>
          <w:numId w:val="29"/>
        </w:numPr>
        <w:rPr>
          <w:rFonts w:ascii="Times New Roman" w:hAnsi="Times New Roman"/>
        </w:rPr>
      </w:pPr>
      <w:r w:rsidRPr="00B12C9F">
        <w:rPr>
          <w:rFonts w:ascii="Times New Roman" w:hAnsi="Times New Roman"/>
        </w:rPr>
        <w:lastRenderedPageBreak/>
        <w:t>COAG to work towards reducing uniformly federal and state taxes (registration charges and stamp duty) for low emission trucks.</w:t>
      </w:r>
      <w:r w:rsidRPr="00B12C9F">
        <w:rPr>
          <w:rFonts w:ascii="Times New Roman" w:hAnsi="Times New Roman"/>
          <w:highlight w:val="green"/>
        </w:rPr>
        <w:t xml:space="preserve"> </w:t>
      </w:r>
    </w:p>
    <w:p w14:paraId="0D545662" w14:textId="373F745D" w:rsidR="003031E7" w:rsidRPr="003E4C3F" w:rsidRDefault="0008577C" w:rsidP="003F6594">
      <w:pPr>
        <w:pStyle w:val="ListParagraph"/>
        <w:numPr>
          <w:ilvl w:val="1"/>
          <w:numId w:val="19"/>
        </w:numPr>
        <w:rPr>
          <w:rFonts w:ascii="Times New Roman" w:hAnsi="Times New Roman"/>
        </w:rPr>
      </w:pPr>
      <w:r w:rsidRPr="003E4C3F">
        <w:rPr>
          <w:rFonts w:ascii="Times New Roman" w:hAnsi="Times New Roman"/>
        </w:rPr>
        <w:t>COAG to work towards a determination where the Road User Charge for operators is based upon a Mass Distance Location charge for the vehicle/freight movement and an Environmental and Safety levy for the truck.</w:t>
      </w:r>
    </w:p>
    <w:p w14:paraId="185FECE1" w14:textId="77777777" w:rsidR="0008577C" w:rsidRPr="0008577C" w:rsidRDefault="0008577C" w:rsidP="0008577C">
      <w:pPr>
        <w:pStyle w:val="ListParagraph"/>
        <w:ind w:left="1440"/>
        <w:rPr>
          <w:rFonts w:ascii="Times New Roman" w:hAnsi="Times New Roman"/>
          <w:color w:val="FF0000"/>
        </w:rPr>
      </w:pPr>
    </w:p>
    <w:p w14:paraId="0EC21222" w14:textId="78E5F3BB" w:rsidR="003031E7" w:rsidRDefault="003031E7" w:rsidP="008F588B">
      <w:pPr>
        <w:pStyle w:val="ListParagraph"/>
        <w:numPr>
          <w:ilvl w:val="0"/>
          <w:numId w:val="2"/>
        </w:numPr>
        <w:spacing w:after="0" w:line="240" w:lineRule="auto"/>
        <w:ind w:hanging="357"/>
        <w:rPr>
          <w:rFonts w:ascii="Times New Roman" w:hAnsi="Times New Roman"/>
        </w:rPr>
      </w:pPr>
      <w:r w:rsidRPr="003E4C3F">
        <w:rPr>
          <w:rFonts w:ascii="Times New Roman" w:hAnsi="Times New Roman"/>
        </w:rPr>
        <w:t>The Truck Industry Council believes the following</w:t>
      </w:r>
      <w:r w:rsidR="00422E1C" w:rsidRPr="003E4C3F">
        <w:rPr>
          <w:rFonts w:ascii="Times New Roman" w:hAnsi="Times New Roman"/>
        </w:rPr>
        <w:t xml:space="preserve"> piece of work</w:t>
      </w:r>
      <w:r w:rsidR="008F588B" w:rsidRPr="003E4C3F">
        <w:rPr>
          <w:rFonts w:ascii="Times New Roman" w:hAnsi="Times New Roman"/>
        </w:rPr>
        <w:t xml:space="preserve"> is required for government and industry to move forward with </w:t>
      </w:r>
      <w:r w:rsidR="00B86147" w:rsidRPr="003E4C3F">
        <w:rPr>
          <w:rFonts w:ascii="Times New Roman" w:hAnsi="Times New Roman"/>
        </w:rPr>
        <w:t xml:space="preserve">accountable </w:t>
      </w:r>
      <w:r w:rsidR="008F588B" w:rsidRPr="003E4C3F">
        <w:rPr>
          <w:rFonts w:ascii="Times New Roman" w:hAnsi="Times New Roman"/>
        </w:rPr>
        <w:t xml:space="preserve">financial modelling of </w:t>
      </w:r>
      <w:r w:rsidR="00B86147" w:rsidRPr="003E4C3F">
        <w:rPr>
          <w:rFonts w:ascii="Times New Roman" w:hAnsi="Times New Roman"/>
        </w:rPr>
        <w:t xml:space="preserve">road transport </w:t>
      </w:r>
      <w:r w:rsidR="008F588B" w:rsidRPr="003E4C3F">
        <w:rPr>
          <w:rFonts w:ascii="Times New Roman" w:hAnsi="Times New Roman"/>
        </w:rPr>
        <w:t>energy productivity</w:t>
      </w:r>
      <w:r w:rsidRPr="003E4C3F">
        <w:rPr>
          <w:rFonts w:ascii="Times New Roman" w:hAnsi="Times New Roman"/>
        </w:rPr>
        <w:t xml:space="preserve">: </w:t>
      </w:r>
    </w:p>
    <w:p w14:paraId="124553B6" w14:textId="77777777" w:rsidR="00325055" w:rsidRPr="003E4C3F" w:rsidRDefault="00325055" w:rsidP="00325055">
      <w:pPr>
        <w:pStyle w:val="ListParagraph"/>
        <w:spacing w:after="0" w:line="240" w:lineRule="auto"/>
        <w:rPr>
          <w:rFonts w:ascii="Times New Roman" w:hAnsi="Times New Roman"/>
        </w:rPr>
      </w:pPr>
    </w:p>
    <w:p w14:paraId="37AA9E9A" w14:textId="77777777" w:rsidR="00E01758" w:rsidRPr="008F588B" w:rsidRDefault="00656928" w:rsidP="008F588B">
      <w:pPr>
        <w:numPr>
          <w:ilvl w:val="1"/>
          <w:numId w:val="28"/>
        </w:numPr>
        <w:ind w:hanging="357"/>
        <w:rPr>
          <w:rFonts w:ascii="Times New Roman" w:hAnsi="Times New Roman"/>
          <w:sz w:val="22"/>
          <w:szCs w:val="22"/>
        </w:rPr>
      </w:pPr>
      <w:r w:rsidRPr="008F588B">
        <w:rPr>
          <w:rFonts w:ascii="Times New Roman" w:hAnsi="Times New Roman"/>
          <w:sz w:val="22"/>
          <w:szCs w:val="22"/>
        </w:rPr>
        <w:t xml:space="preserve">The Federal Government (Department of Environment) to </w:t>
      </w:r>
      <w:r w:rsidR="00DB115C" w:rsidRPr="008F588B">
        <w:rPr>
          <w:rFonts w:ascii="Times New Roman" w:hAnsi="Times New Roman"/>
          <w:sz w:val="22"/>
          <w:szCs w:val="22"/>
        </w:rPr>
        <w:t>provid</w:t>
      </w:r>
      <w:r w:rsidRPr="008F588B">
        <w:rPr>
          <w:rFonts w:ascii="Times New Roman" w:hAnsi="Times New Roman"/>
          <w:sz w:val="22"/>
          <w:szCs w:val="22"/>
        </w:rPr>
        <w:t>e</w:t>
      </w:r>
      <w:r w:rsidR="00DB115C" w:rsidRPr="008F588B">
        <w:rPr>
          <w:rFonts w:ascii="Times New Roman" w:hAnsi="Times New Roman"/>
          <w:sz w:val="22"/>
          <w:szCs w:val="22"/>
        </w:rPr>
        <w:t xml:space="preserve"> funding for the development of </w:t>
      </w:r>
      <w:r w:rsidR="00DB115C" w:rsidRPr="008F588B">
        <w:rPr>
          <w:rFonts w:ascii="Times New Roman" w:hAnsi="Times New Roman"/>
        </w:rPr>
        <w:t xml:space="preserve">a </w:t>
      </w:r>
      <w:r w:rsidR="00DB115C" w:rsidRPr="008F588B">
        <w:rPr>
          <w:rFonts w:ascii="Times New Roman" w:hAnsi="Times New Roman"/>
          <w:sz w:val="22"/>
          <w:szCs w:val="22"/>
        </w:rPr>
        <w:t>Government and industry accepted metric to quantify and measure energy productivity in the road freight sector</w:t>
      </w:r>
      <w:r w:rsidR="002C56CA" w:rsidRPr="008F588B">
        <w:rPr>
          <w:rFonts w:ascii="Times New Roman" w:hAnsi="Times New Roman"/>
        </w:rPr>
        <w:t xml:space="preserve"> </w:t>
      </w:r>
    </w:p>
    <w:p w14:paraId="5B52D371" w14:textId="77777777" w:rsidR="005C240B" w:rsidRPr="003031E7" w:rsidRDefault="008078EA" w:rsidP="007C4040">
      <w:pPr>
        <w:pStyle w:val="ListParagraph"/>
        <w:jc w:val="center"/>
        <w:rPr>
          <w:rFonts w:ascii="Times New Roman" w:hAnsi="Times New Roman"/>
          <w:b/>
        </w:rPr>
      </w:pPr>
      <w:r w:rsidRPr="003031E7">
        <w:rPr>
          <w:rFonts w:cs="Calibri"/>
        </w:rPr>
        <w:br w:type="page"/>
      </w:r>
      <w:r w:rsidR="005C240B" w:rsidRPr="003031E7">
        <w:rPr>
          <w:rFonts w:ascii="Times New Roman" w:hAnsi="Times New Roman"/>
          <w:b/>
        </w:rPr>
        <w:lastRenderedPageBreak/>
        <w:t>MODERNISING THE AUSTRALIAN TRUCK FLEET</w:t>
      </w:r>
    </w:p>
    <w:p w14:paraId="13868F10" w14:textId="77777777" w:rsidR="005C240B" w:rsidRPr="005C240B" w:rsidRDefault="005C240B" w:rsidP="005C240B">
      <w:pPr>
        <w:jc w:val="center"/>
        <w:rPr>
          <w:rFonts w:ascii="Times New Roman" w:hAnsi="Times New Roman"/>
          <w:b/>
          <w:sz w:val="22"/>
          <w:szCs w:val="22"/>
        </w:rPr>
      </w:pPr>
    </w:p>
    <w:p w14:paraId="0425DF68" w14:textId="77777777" w:rsidR="005643CA" w:rsidRDefault="00926255" w:rsidP="005643CA">
      <w:pPr>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Problem</w:t>
      </w:r>
    </w:p>
    <w:p w14:paraId="3BF85D57" w14:textId="77777777" w:rsidR="00FE0185" w:rsidRPr="002249F1" w:rsidRDefault="00FE0185" w:rsidP="00E104E9">
      <w:pPr>
        <w:rPr>
          <w:rFonts w:ascii="Times New Roman" w:hAnsi="Times New Roman"/>
          <w:sz w:val="22"/>
          <w:szCs w:val="22"/>
        </w:rPr>
      </w:pPr>
    </w:p>
    <w:p w14:paraId="1F8BA204" w14:textId="77777777" w:rsidR="00444A4F" w:rsidRDefault="00E104E9" w:rsidP="00E104E9">
      <w:pPr>
        <w:rPr>
          <w:rFonts w:ascii="Times New Roman" w:hAnsi="Times New Roman"/>
          <w:sz w:val="22"/>
          <w:szCs w:val="22"/>
        </w:rPr>
      </w:pPr>
      <w:r w:rsidRPr="002249F1">
        <w:rPr>
          <w:rFonts w:ascii="Times New Roman" w:hAnsi="Times New Roman"/>
          <w:sz w:val="22"/>
          <w:szCs w:val="22"/>
        </w:rPr>
        <w:t>Australia has a very old truck fleet</w:t>
      </w:r>
      <w:r w:rsidR="00444A4F">
        <w:rPr>
          <w:rFonts w:ascii="Times New Roman" w:hAnsi="Times New Roman"/>
          <w:sz w:val="22"/>
          <w:szCs w:val="22"/>
        </w:rPr>
        <w:t>:</w:t>
      </w:r>
    </w:p>
    <w:p w14:paraId="3AA168AE" w14:textId="77777777" w:rsidR="00444A4F" w:rsidRDefault="00444A4F" w:rsidP="00E104E9">
      <w:pPr>
        <w:rPr>
          <w:rFonts w:ascii="Times New Roman" w:hAnsi="Times New Roman"/>
          <w:sz w:val="22"/>
          <w:szCs w:val="22"/>
        </w:rPr>
      </w:pPr>
    </w:p>
    <w:p w14:paraId="5D39B3ED" w14:textId="45E3921F" w:rsidR="00444A4F" w:rsidRPr="00444A4F" w:rsidRDefault="00656928" w:rsidP="00444A4F">
      <w:pPr>
        <w:pStyle w:val="ListParagraph"/>
        <w:numPr>
          <w:ilvl w:val="0"/>
          <w:numId w:val="25"/>
        </w:numPr>
        <w:rPr>
          <w:rFonts w:ascii="Times New Roman" w:hAnsi="Times New Roman"/>
        </w:rPr>
      </w:pPr>
      <w:r w:rsidRPr="00444A4F">
        <w:rPr>
          <w:rFonts w:ascii="Times New Roman" w:hAnsi="Times New Roman"/>
        </w:rPr>
        <w:t>13.9 years</w:t>
      </w:r>
      <w:r w:rsidR="00276963">
        <w:rPr>
          <w:rFonts w:ascii="Times New Roman" w:hAnsi="Times New Roman"/>
          <w:color w:val="FF0000"/>
        </w:rPr>
        <w:t xml:space="preserve"> </w:t>
      </w:r>
      <w:r w:rsidR="00276963" w:rsidRPr="003E4C3F">
        <w:rPr>
          <w:rFonts w:ascii="Times New Roman" w:hAnsi="Times New Roman"/>
        </w:rPr>
        <w:t>average age</w:t>
      </w:r>
      <w:r w:rsidR="00276963">
        <w:rPr>
          <w:rFonts w:ascii="Times New Roman" w:hAnsi="Times New Roman"/>
          <w:color w:val="FF0000"/>
        </w:rPr>
        <w:t xml:space="preserve"> </w:t>
      </w:r>
      <w:r w:rsidR="00444A4F" w:rsidRPr="00444A4F">
        <w:rPr>
          <w:rFonts w:ascii="Times New Roman" w:hAnsi="Times New Roman"/>
        </w:rPr>
        <w:t>(vehicles above 3.5t GVM – ABS Motor Vehicle Census Jan 2016)</w:t>
      </w:r>
      <w:r w:rsidR="00444A4F">
        <w:rPr>
          <w:rFonts w:ascii="Times New Roman" w:hAnsi="Times New Roman"/>
        </w:rPr>
        <w:t>;</w:t>
      </w:r>
      <w:r w:rsidRPr="00444A4F">
        <w:rPr>
          <w:rFonts w:ascii="Times New Roman" w:hAnsi="Times New Roman"/>
        </w:rPr>
        <w:t xml:space="preserve"> </w:t>
      </w:r>
      <w:r w:rsidR="00444A4F" w:rsidRPr="00444A4F">
        <w:rPr>
          <w:rFonts w:ascii="Times New Roman" w:hAnsi="Times New Roman"/>
        </w:rPr>
        <w:t xml:space="preserve">and </w:t>
      </w:r>
    </w:p>
    <w:p w14:paraId="4221B42A" w14:textId="09B86757" w:rsidR="002249F1" w:rsidRPr="00444A4F" w:rsidRDefault="00E104E9" w:rsidP="00444A4F">
      <w:pPr>
        <w:pStyle w:val="ListParagraph"/>
        <w:numPr>
          <w:ilvl w:val="0"/>
          <w:numId w:val="25"/>
        </w:numPr>
        <w:rPr>
          <w:rFonts w:ascii="Times New Roman" w:hAnsi="Times New Roman"/>
        </w:rPr>
      </w:pPr>
      <w:r w:rsidRPr="00444A4F">
        <w:rPr>
          <w:rFonts w:ascii="Times New Roman" w:hAnsi="Times New Roman"/>
        </w:rPr>
        <w:t>14.8 year</w:t>
      </w:r>
      <w:r w:rsidR="00752D7D" w:rsidRPr="00444A4F">
        <w:rPr>
          <w:rFonts w:ascii="Times New Roman" w:hAnsi="Times New Roman"/>
        </w:rPr>
        <w:t>s</w:t>
      </w:r>
      <w:r w:rsidRPr="00444A4F">
        <w:rPr>
          <w:rFonts w:ascii="Times New Roman" w:hAnsi="Times New Roman"/>
        </w:rPr>
        <w:t xml:space="preserve"> average age (vehicles above 4.5t GVM – ABS Motor Vehicle Census Jan 2016)</w:t>
      </w:r>
      <w:r w:rsidR="002249F1" w:rsidRPr="00444A4F">
        <w:rPr>
          <w:rFonts w:ascii="Times New Roman" w:hAnsi="Times New Roman"/>
        </w:rPr>
        <w:t>.</w:t>
      </w:r>
    </w:p>
    <w:p w14:paraId="5FF7B71E" w14:textId="39F3D110" w:rsidR="00C900BB" w:rsidRDefault="002249F1" w:rsidP="00E104E9">
      <w:pPr>
        <w:rPr>
          <w:rFonts w:ascii="Times New Roman" w:hAnsi="Times New Roman"/>
          <w:sz w:val="22"/>
          <w:szCs w:val="22"/>
        </w:rPr>
      </w:pPr>
      <w:r>
        <w:rPr>
          <w:rFonts w:ascii="Times New Roman" w:hAnsi="Times New Roman"/>
          <w:sz w:val="22"/>
          <w:szCs w:val="22"/>
        </w:rPr>
        <w:t>Almost f</w:t>
      </w:r>
      <w:r w:rsidR="00E104E9" w:rsidRPr="002249F1">
        <w:rPr>
          <w:rFonts w:ascii="Times New Roman" w:hAnsi="Times New Roman"/>
          <w:sz w:val="22"/>
          <w:szCs w:val="22"/>
        </w:rPr>
        <w:t>orty-f</w:t>
      </w:r>
      <w:r>
        <w:rPr>
          <w:rFonts w:ascii="Times New Roman" w:hAnsi="Times New Roman"/>
          <w:sz w:val="22"/>
          <w:szCs w:val="22"/>
        </w:rPr>
        <w:t>ive percent (</w:t>
      </w:r>
      <w:r w:rsidR="00E104E9" w:rsidRPr="002249F1">
        <w:rPr>
          <w:rFonts w:ascii="Times New Roman" w:hAnsi="Times New Roman"/>
          <w:sz w:val="22"/>
          <w:szCs w:val="22"/>
        </w:rPr>
        <w:t>44.7%</w:t>
      </w:r>
      <w:r>
        <w:rPr>
          <w:rFonts w:ascii="Times New Roman" w:hAnsi="Times New Roman"/>
          <w:sz w:val="22"/>
          <w:szCs w:val="22"/>
        </w:rPr>
        <w:t>)</w:t>
      </w:r>
      <w:r w:rsidR="00E104E9" w:rsidRPr="002249F1">
        <w:rPr>
          <w:rFonts w:ascii="Times New Roman" w:hAnsi="Times New Roman"/>
          <w:sz w:val="22"/>
          <w:szCs w:val="22"/>
        </w:rPr>
        <w:t xml:space="preserve"> of </w:t>
      </w:r>
      <w:r>
        <w:rPr>
          <w:rFonts w:ascii="Times New Roman" w:hAnsi="Times New Roman"/>
          <w:sz w:val="22"/>
          <w:szCs w:val="22"/>
        </w:rPr>
        <w:t>the nation’s</w:t>
      </w:r>
      <w:r w:rsidR="00E104E9" w:rsidRPr="002249F1">
        <w:rPr>
          <w:rFonts w:ascii="Times New Roman" w:hAnsi="Times New Roman"/>
          <w:sz w:val="22"/>
          <w:szCs w:val="22"/>
        </w:rPr>
        <w:t xml:space="preserve"> truck fleet was manufactured before 2003</w:t>
      </w:r>
      <w:r>
        <w:rPr>
          <w:rFonts w:ascii="Times New Roman" w:hAnsi="Times New Roman"/>
          <w:sz w:val="22"/>
          <w:szCs w:val="22"/>
        </w:rPr>
        <w:t xml:space="preserve"> </w:t>
      </w:r>
      <w:r w:rsidRPr="002249F1">
        <w:rPr>
          <w:rFonts w:ascii="Times New Roman" w:hAnsi="Times New Roman"/>
          <w:sz w:val="22"/>
          <w:szCs w:val="22"/>
        </w:rPr>
        <w:t xml:space="preserve">when </w:t>
      </w:r>
      <w:r w:rsidR="00752D7D">
        <w:rPr>
          <w:rFonts w:ascii="Times New Roman" w:hAnsi="Times New Roman"/>
          <w:sz w:val="22"/>
          <w:szCs w:val="22"/>
        </w:rPr>
        <w:t>basic</w:t>
      </w:r>
      <w:r w:rsidRPr="002249F1">
        <w:rPr>
          <w:rFonts w:ascii="Times New Roman" w:hAnsi="Times New Roman"/>
          <w:sz w:val="22"/>
          <w:szCs w:val="22"/>
        </w:rPr>
        <w:t>, or no, exhaust emission regulation existed.</w:t>
      </w:r>
      <w:r>
        <w:rPr>
          <w:rFonts w:ascii="Times New Roman" w:hAnsi="Times New Roman"/>
          <w:sz w:val="22"/>
          <w:szCs w:val="22"/>
        </w:rPr>
        <w:t xml:space="preserve"> This figure consists of</w:t>
      </w:r>
      <w:r w:rsidR="00E104E9" w:rsidRPr="002249F1">
        <w:rPr>
          <w:rFonts w:ascii="Times New Roman" w:hAnsi="Times New Roman"/>
          <w:sz w:val="22"/>
          <w:szCs w:val="22"/>
        </w:rPr>
        <w:t xml:space="preserve"> 127,414 </w:t>
      </w:r>
      <w:r w:rsidRPr="002249F1">
        <w:rPr>
          <w:rFonts w:ascii="Times New Roman" w:hAnsi="Times New Roman"/>
          <w:sz w:val="22"/>
          <w:szCs w:val="22"/>
        </w:rPr>
        <w:t>pre-1996</w:t>
      </w:r>
      <w:r>
        <w:rPr>
          <w:rFonts w:ascii="Times New Roman" w:hAnsi="Times New Roman"/>
          <w:sz w:val="22"/>
          <w:szCs w:val="22"/>
        </w:rPr>
        <w:t xml:space="preserve"> </w:t>
      </w:r>
      <w:r w:rsidR="00E104E9" w:rsidRPr="002249F1">
        <w:rPr>
          <w:rFonts w:ascii="Times New Roman" w:hAnsi="Times New Roman"/>
          <w:sz w:val="22"/>
          <w:szCs w:val="22"/>
        </w:rPr>
        <w:t>trucks</w:t>
      </w:r>
      <w:r>
        <w:rPr>
          <w:rFonts w:ascii="Times New Roman" w:hAnsi="Times New Roman"/>
          <w:sz w:val="22"/>
          <w:szCs w:val="22"/>
        </w:rPr>
        <w:t xml:space="preserve"> (no emission standards) representing </w:t>
      </w:r>
      <w:r w:rsidR="00E104E9" w:rsidRPr="002249F1">
        <w:rPr>
          <w:rFonts w:ascii="Times New Roman" w:hAnsi="Times New Roman"/>
          <w:sz w:val="22"/>
          <w:szCs w:val="22"/>
        </w:rPr>
        <w:t xml:space="preserve">28.1% </w:t>
      </w:r>
      <w:r>
        <w:rPr>
          <w:rFonts w:ascii="Times New Roman" w:hAnsi="Times New Roman"/>
          <w:sz w:val="22"/>
          <w:szCs w:val="22"/>
        </w:rPr>
        <w:t xml:space="preserve">and </w:t>
      </w:r>
      <w:r w:rsidRPr="002249F1">
        <w:rPr>
          <w:rFonts w:ascii="Times New Roman" w:hAnsi="Times New Roman"/>
          <w:sz w:val="22"/>
          <w:szCs w:val="22"/>
        </w:rPr>
        <w:t xml:space="preserve">75,386 trucks, </w:t>
      </w:r>
      <w:r>
        <w:rPr>
          <w:rFonts w:ascii="Times New Roman" w:hAnsi="Times New Roman"/>
          <w:sz w:val="22"/>
          <w:szCs w:val="22"/>
        </w:rPr>
        <w:t xml:space="preserve">or </w:t>
      </w:r>
      <w:r w:rsidRPr="002249F1">
        <w:rPr>
          <w:rFonts w:ascii="Times New Roman" w:hAnsi="Times New Roman"/>
          <w:sz w:val="22"/>
          <w:szCs w:val="22"/>
        </w:rPr>
        <w:t>16.6%</w:t>
      </w:r>
      <w:r>
        <w:rPr>
          <w:rFonts w:ascii="Times New Roman" w:hAnsi="Times New Roman"/>
          <w:sz w:val="22"/>
          <w:szCs w:val="22"/>
        </w:rPr>
        <w:t xml:space="preserve"> </w:t>
      </w:r>
      <w:r w:rsidR="002D0D32">
        <w:rPr>
          <w:rFonts w:ascii="Times New Roman" w:hAnsi="Times New Roman"/>
          <w:sz w:val="22"/>
          <w:szCs w:val="22"/>
        </w:rPr>
        <w:t>being trucks manufactured between 1996 to pre-2003</w:t>
      </w:r>
      <w:r w:rsidR="001F3324">
        <w:rPr>
          <w:rFonts w:ascii="Times New Roman" w:hAnsi="Times New Roman"/>
          <w:sz w:val="22"/>
          <w:szCs w:val="22"/>
        </w:rPr>
        <w:t xml:space="preserve"> (elementary emission control systems employed)</w:t>
      </w:r>
      <w:r w:rsidR="002D0D32">
        <w:rPr>
          <w:rFonts w:ascii="Times New Roman" w:hAnsi="Times New Roman"/>
          <w:sz w:val="22"/>
          <w:szCs w:val="22"/>
        </w:rPr>
        <w:t>.</w:t>
      </w:r>
    </w:p>
    <w:p w14:paraId="3D38EEB6" w14:textId="77777777" w:rsidR="00C900BB" w:rsidRDefault="00C900BB" w:rsidP="00E104E9">
      <w:pPr>
        <w:rPr>
          <w:rFonts w:ascii="Times New Roman" w:hAnsi="Times New Roman"/>
          <w:sz w:val="22"/>
          <w:szCs w:val="22"/>
        </w:rPr>
      </w:pPr>
    </w:p>
    <w:p w14:paraId="4C2A9CC6" w14:textId="77777777" w:rsidR="002D0D32" w:rsidRDefault="00C900BB" w:rsidP="00E104E9">
      <w:pPr>
        <w:rPr>
          <w:rFonts w:ascii="Times New Roman" w:hAnsi="Times New Roman"/>
          <w:sz w:val="22"/>
          <w:szCs w:val="22"/>
        </w:rPr>
      </w:pPr>
      <w:r>
        <w:rPr>
          <w:rFonts w:ascii="Times New Roman" w:hAnsi="Times New Roman"/>
          <w:sz w:val="22"/>
          <w:szCs w:val="22"/>
        </w:rPr>
        <w:t xml:space="preserve">For comparison purposes Appendix A details the average of trucks above 3.5t GVM across various countries. </w:t>
      </w:r>
      <w:r w:rsidR="002D0D32">
        <w:rPr>
          <w:rFonts w:ascii="Times New Roman" w:hAnsi="Times New Roman"/>
          <w:sz w:val="22"/>
          <w:szCs w:val="22"/>
        </w:rPr>
        <w:t xml:space="preserve"> </w:t>
      </w:r>
    </w:p>
    <w:p w14:paraId="19CD3DE9" w14:textId="77777777" w:rsidR="002D0D32" w:rsidRDefault="002D0D32" w:rsidP="00E104E9">
      <w:pPr>
        <w:rPr>
          <w:rFonts w:ascii="Times New Roman" w:hAnsi="Times New Roman"/>
          <w:sz w:val="22"/>
          <w:szCs w:val="22"/>
        </w:rPr>
      </w:pPr>
    </w:p>
    <w:p w14:paraId="71CCCF49" w14:textId="68135478" w:rsidR="00E104E9" w:rsidRPr="005C6646" w:rsidRDefault="00E104E9" w:rsidP="005C6646">
      <w:pPr>
        <w:rPr>
          <w:rFonts w:ascii="Times New Roman" w:hAnsi="Times New Roman"/>
          <w:sz w:val="22"/>
          <w:szCs w:val="22"/>
        </w:rPr>
      </w:pPr>
      <w:r w:rsidRPr="005C6646">
        <w:rPr>
          <w:rFonts w:ascii="Times New Roman" w:hAnsi="Times New Roman"/>
          <w:sz w:val="22"/>
          <w:szCs w:val="22"/>
        </w:rPr>
        <w:t xml:space="preserve">Understanding “why our truck fleet </w:t>
      </w:r>
      <w:r w:rsidR="00C900BB" w:rsidRPr="005C6646">
        <w:rPr>
          <w:rFonts w:ascii="Times New Roman" w:hAnsi="Times New Roman"/>
          <w:sz w:val="22"/>
          <w:szCs w:val="22"/>
        </w:rPr>
        <w:t xml:space="preserve">is </w:t>
      </w:r>
      <w:r w:rsidR="00DC5F79" w:rsidRPr="005C6646">
        <w:rPr>
          <w:rFonts w:ascii="Times New Roman" w:hAnsi="Times New Roman"/>
          <w:sz w:val="22"/>
          <w:szCs w:val="22"/>
        </w:rPr>
        <w:t>so old</w:t>
      </w:r>
      <w:r w:rsidRPr="005C6646">
        <w:rPr>
          <w:rFonts w:ascii="Times New Roman" w:hAnsi="Times New Roman"/>
          <w:sz w:val="22"/>
          <w:szCs w:val="22"/>
        </w:rPr>
        <w:t xml:space="preserve">” is key to modernising the fleet, </w:t>
      </w:r>
      <w:r w:rsidR="00DC5F79" w:rsidRPr="005C6646">
        <w:rPr>
          <w:rFonts w:ascii="Times New Roman" w:hAnsi="Times New Roman"/>
          <w:sz w:val="22"/>
          <w:szCs w:val="22"/>
        </w:rPr>
        <w:t xml:space="preserve">with the benefits of </w:t>
      </w:r>
      <w:r w:rsidRPr="005C6646">
        <w:rPr>
          <w:rFonts w:ascii="Times New Roman" w:hAnsi="Times New Roman"/>
          <w:sz w:val="22"/>
          <w:szCs w:val="22"/>
        </w:rPr>
        <w:t>making it safer</w:t>
      </w:r>
      <w:r w:rsidR="00DC5F79" w:rsidRPr="005C6646">
        <w:rPr>
          <w:rFonts w:ascii="Times New Roman" w:hAnsi="Times New Roman"/>
          <w:sz w:val="22"/>
          <w:szCs w:val="22"/>
        </w:rPr>
        <w:t xml:space="preserve"> for all road users</w:t>
      </w:r>
      <w:r w:rsidRPr="005C6646">
        <w:rPr>
          <w:rFonts w:ascii="Times New Roman" w:hAnsi="Times New Roman"/>
          <w:sz w:val="22"/>
          <w:szCs w:val="22"/>
        </w:rPr>
        <w:t xml:space="preserve">, </w:t>
      </w:r>
      <w:r w:rsidR="00DC5F79" w:rsidRPr="005C6646">
        <w:rPr>
          <w:rFonts w:ascii="Times New Roman" w:hAnsi="Times New Roman"/>
          <w:sz w:val="22"/>
          <w:szCs w:val="22"/>
        </w:rPr>
        <w:t xml:space="preserve">more </w:t>
      </w:r>
      <w:r w:rsidR="00752D7D">
        <w:rPr>
          <w:rFonts w:ascii="Times New Roman" w:hAnsi="Times New Roman"/>
          <w:sz w:val="22"/>
          <w:szCs w:val="22"/>
        </w:rPr>
        <w:t xml:space="preserve">energy </w:t>
      </w:r>
      <w:r w:rsidR="00C900BB" w:rsidRPr="005C6646">
        <w:rPr>
          <w:rFonts w:ascii="Times New Roman" w:hAnsi="Times New Roman"/>
          <w:sz w:val="22"/>
          <w:szCs w:val="22"/>
        </w:rPr>
        <w:t>productive</w:t>
      </w:r>
      <w:r w:rsidR="00DC5F79" w:rsidRPr="005C6646">
        <w:rPr>
          <w:rFonts w:ascii="Times New Roman" w:hAnsi="Times New Roman"/>
          <w:sz w:val="22"/>
          <w:szCs w:val="22"/>
        </w:rPr>
        <w:t xml:space="preserve"> for industry</w:t>
      </w:r>
      <w:r w:rsidR="00C900BB" w:rsidRPr="005C6646">
        <w:rPr>
          <w:rFonts w:ascii="Times New Roman" w:hAnsi="Times New Roman"/>
          <w:sz w:val="22"/>
          <w:szCs w:val="22"/>
        </w:rPr>
        <w:t xml:space="preserve">, </w:t>
      </w:r>
      <w:r w:rsidR="00996917" w:rsidRPr="005C6646">
        <w:rPr>
          <w:rFonts w:ascii="Times New Roman" w:hAnsi="Times New Roman"/>
          <w:sz w:val="22"/>
          <w:szCs w:val="22"/>
        </w:rPr>
        <w:t>and much</w:t>
      </w:r>
      <w:r w:rsidR="00DC5F79" w:rsidRPr="005C6646">
        <w:rPr>
          <w:rFonts w:ascii="Times New Roman" w:hAnsi="Times New Roman"/>
          <w:sz w:val="22"/>
          <w:szCs w:val="22"/>
        </w:rPr>
        <w:t xml:space="preserve"> </w:t>
      </w:r>
      <w:r w:rsidRPr="005C6646">
        <w:rPr>
          <w:rFonts w:ascii="Times New Roman" w:hAnsi="Times New Roman"/>
          <w:sz w:val="22"/>
          <w:szCs w:val="22"/>
        </w:rPr>
        <w:t xml:space="preserve">cleaner and </w:t>
      </w:r>
      <w:r w:rsidR="00DC5F79" w:rsidRPr="005C6646">
        <w:rPr>
          <w:rFonts w:ascii="Times New Roman" w:hAnsi="Times New Roman"/>
          <w:sz w:val="22"/>
          <w:szCs w:val="22"/>
        </w:rPr>
        <w:t xml:space="preserve">more </w:t>
      </w:r>
      <w:r w:rsidRPr="005C6646">
        <w:rPr>
          <w:rFonts w:ascii="Times New Roman" w:hAnsi="Times New Roman"/>
          <w:sz w:val="22"/>
          <w:szCs w:val="22"/>
        </w:rPr>
        <w:t>environmentally friendly</w:t>
      </w:r>
      <w:r w:rsidR="00DC5F79" w:rsidRPr="005C6646">
        <w:rPr>
          <w:rFonts w:ascii="Times New Roman" w:hAnsi="Times New Roman"/>
          <w:sz w:val="22"/>
          <w:szCs w:val="22"/>
        </w:rPr>
        <w:t xml:space="preserve"> for all Australians</w:t>
      </w:r>
      <w:r w:rsidRPr="005C6646">
        <w:rPr>
          <w:rFonts w:ascii="Times New Roman" w:hAnsi="Times New Roman"/>
          <w:sz w:val="22"/>
          <w:szCs w:val="22"/>
        </w:rPr>
        <w:t>.</w:t>
      </w:r>
      <w:r w:rsidR="00DC5F79" w:rsidRPr="005C6646">
        <w:rPr>
          <w:rFonts w:ascii="Times New Roman" w:hAnsi="Times New Roman"/>
          <w:sz w:val="22"/>
          <w:szCs w:val="22"/>
        </w:rPr>
        <w:t xml:space="preserve"> An older truck fleet </w:t>
      </w:r>
      <w:r w:rsidR="00444A4F">
        <w:rPr>
          <w:rFonts w:ascii="Times New Roman" w:hAnsi="Times New Roman"/>
          <w:sz w:val="22"/>
          <w:szCs w:val="22"/>
        </w:rPr>
        <w:t>cannot</w:t>
      </w:r>
      <w:r w:rsidR="00DC5F79" w:rsidRPr="005C6646">
        <w:rPr>
          <w:rFonts w:ascii="Times New Roman" w:hAnsi="Times New Roman"/>
          <w:sz w:val="22"/>
          <w:szCs w:val="22"/>
        </w:rPr>
        <w:t xml:space="preserve"> achiev</w:t>
      </w:r>
      <w:r w:rsidR="00444A4F">
        <w:rPr>
          <w:rFonts w:ascii="Times New Roman" w:hAnsi="Times New Roman"/>
          <w:sz w:val="22"/>
          <w:szCs w:val="22"/>
        </w:rPr>
        <w:t>e</w:t>
      </w:r>
      <w:r w:rsidR="00DC5F79" w:rsidRPr="005C6646">
        <w:rPr>
          <w:rFonts w:ascii="Times New Roman" w:hAnsi="Times New Roman"/>
          <w:sz w:val="22"/>
          <w:szCs w:val="22"/>
        </w:rPr>
        <w:t xml:space="preserve"> these </w:t>
      </w:r>
      <w:r w:rsidR="00752D7D">
        <w:rPr>
          <w:rFonts w:ascii="Times New Roman" w:hAnsi="Times New Roman"/>
          <w:sz w:val="22"/>
          <w:szCs w:val="22"/>
        </w:rPr>
        <w:t>benefits</w:t>
      </w:r>
      <w:r w:rsidR="00DC5F79" w:rsidRPr="005C6646">
        <w:rPr>
          <w:rFonts w:ascii="Times New Roman" w:hAnsi="Times New Roman"/>
          <w:sz w:val="22"/>
          <w:szCs w:val="22"/>
        </w:rPr>
        <w:t>.</w:t>
      </w:r>
    </w:p>
    <w:p w14:paraId="593913D6" w14:textId="77777777" w:rsidR="005C6646" w:rsidRDefault="005C6646" w:rsidP="00E104E9">
      <w:pPr>
        <w:rPr>
          <w:rFonts w:ascii="Times New Roman" w:hAnsi="Times New Roman"/>
          <w:sz w:val="22"/>
          <w:szCs w:val="22"/>
        </w:rPr>
      </w:pPr>
    </w:p>
    <w:p w14:paraId="7DBADD5E" w14:textId="77777777" w:rsidR="00E104E9" w:rsidRDefault="00DC5F79" w:rsidP="00E104E9">
      <w:pPr>
        <w:rPr>
          <w:rFonts w:ascii="Times New Roman" w:hAnsi="Times New Roman"/>
          <w:sz w:val="22"/>
          <w:szCs w:val="22"/>
        </w:rPr>
      </w:pPr>
      <w:r w:rsidRPr="007C2F62">
        <w:rPr>
          <w:rFonts w:ascii="Times New Roman" w:hAnsi="Times New Roman"/>
          <w:sz w:val="22"/>
          <w:szCs w:val="22"/>
        </w:rPr>
        <w:t>The r</w:t>
      </w:r>
      <w:r w:rsidR="00E104E9" w:rsidRPr="007C2F62">
        <w:rPr>
          <w:rFonts w:ascii="Times New Roman" w:hAnsi="Times New Roman"/>
          <w:sz w:val="22"/>
          <w:szCs w:val="22"/>
        </w:rPr>
        <w:t>easons for Australia’s aging truck park include:</w:t>
      </w:r>
    </w:p>
    <w:p w14:paraId="04CB5D2F" w14:textId="77777777" w:rsidR="005C6646" w:rsidRPr="007C2F62" w:rsidRDefault="005C6646" w:rsidP="00E104E9">
      <w:pPr>
        <w:rPr>
          <w:rFonts w:ascii="Times New Roman" w:hAnsi="Times New Roman"/>
          <w:sz w:val="22"/>
          <w:szCs w:val="22"/>
        </w:rPr>
      </w:pPr>
    </w:p>
    <w:p w14:paraId="08C27545" w14:textId="77777777" w:rsidR="005C6646" w:rsidRDefault="00E104E9" w:rsidP="00690ACE">
      <w:pPr>
        <w:pStyle w:val="ListParagraph"/>
        <w:numPr>
          <w:ilvl w:val="0"/>
          <w:numId w:val="24"/>
        </w:numPr>
        <w:spacing w:after="0" w:line="240" w:lineRule="auto"/>
        <w:ind w:left="357" w:firstLine="0"/>
        <w:rPr>
          <w:rFonts w:ascii="Times New Roman" w:hAnsi="Times New Roman"/>
        </w:rPr>
      </w:pPr>
      <w:r w:rsidRPr="005C6646">
        <w:rPr>
          <w:rFonts w:ascii="Times New Roman" w:hAnsi="Times New Roman"/>
        </w:rPr>
        <w:t xml:space="preserve">Freight efficiencies and a company’s “bottom line” profitability. </w:t>
      </w:r>
    </w:p>
    <w:p w14:paraId="27199D74" w14:textId="77777777" w:rsidR="00690ACE" w:rsidRPr="005C6646" w:rsidRDefault="00690ACE" w:rsidP="00690ACE">
      <w:pPr>
        <w:pStyle w:val="ListParagraph"/>
        <w:spacing w:after="0" w:line="240" w:lineRule="auto"/>
        <w:ind w:left="357"/>
        <w:rPr>
          <w:rFonts w:ascii="Times New Roman" w:hAnsi="Times New Roman"/>
        </w:rPr>
      </w:pPr>
    </w:p>
    <w:p w14:paraId="1CBA2643" w14:textId="05494E51" w:rsidR="00E104E9" w:rsidRDefault="00E104E9" w:rsidP="00690ACE">
      <w:pPr>
        <w:rPr>
          <w:rFonts w:ascii="Times New Roman" w:hAnsi="Times New Roman"/>
          <w:sz w:val="22"/>
          <w:szCs w:val="22"/>
        </w:rPr>
      </w:pPr>
      <w:r w:rsidRPr="007C2F62">
        <w:rPr>
          <w:rFonts w:ascii="Times New Roman" w:hAnsi="Times New Roman"/>
          <w:sz w:val="22"/>
          <w:szCs w:val="22"/>
        </w:rPr>
        <w:t xml:space="preserve">New trucks are heavier than old trucks, typically a post 2008 truck is 300kg to 600kg heavier than a pre-2003 truck due to the safety and environmental standards (Australian Design Rules – ADR’s) that </w:t>
      </w:r>
      <w:r w:rsidR="00D36332" w:rsidRPr="007C2F62">
        <w:rPr>
          <w:rFonts w:ascii="Times New Roman" w:hAnsi="Times New Roman"/>
          <w:sz w:val="22"/>
          <w:szCs w:val="22"/>
        </w:rPr>
        <w:t>the new truck</w:t>
      </w:r>
      <w:r w:rsidRPr="007C2F62">
        <w:rPr>
          <w:rFonts w:ascii="Times New Roman" w:hAnsi="Times New Roman"/>
          <w:sz w:val="22"/>
          <w:szCs w:val="22"/>
        </w:rPr>
        <w:t xml:space="preserve"> is required to meet. This simply means that a newer truck cannot carry as much payload as an old truck, this makes the new truck less productive and reduces its “bottom line” profitability for an operator. Losses in this area more than offset any increased profitability that are gained from the better fuel efficiency of a new truck. Some additional mass has been given by the States in Australia for some post-2008 trucks, however typically a new truck is less productive due to its increased TARE mass. The “bottom line” profitability of an alternatively powered or low carbon emitting truck is substantially worse than that of an existing diesel powered truck. The additional weight due to batteries, or storage tanks (natural gas, hydrogen, hydraulic fluid, etc) further reduces the effective payload of these alternatively powered and low carbon emitting trucks, </w:t>
      </w:r>
      <w:r w:rsidR="00DC5F79" w:rsidRPr="007C2F62">
        <w:rPr>
          <w:rFonts w:ascii="Times New Roman" w:hAnsi="Times New Roman"/>
          <w:sz w:val="22"/>
          <w:szCs w:val="22"/>
        </w:rPr>
        <w:t xml:space="preserve">and </w:t>
      </w:r>
      <w:r w:rsidRPr="007C2F62">
        <w:rPr>
          <w:rFonts w:ascii="Times New Roman" w:hAnsi="Times New Roman"/>
          <w:sz w:val="22"/>
          <w:szCs w:val="22"/>
        </w:rPr>
        <w:t xml:space="preserve">coupled with considerably higher initial purchase price, makes for a </w:t>
      </w:r>
      <w:r w:rsidR="00DC5F79" w:rsidRPr="007C2F62">
        <w:rPr>
          <w:rFonts w:ascii="Times New Roman" w:hAnsi="Times New Roman"/>
          <w:sz w:val="22"/>
          <w:szCs w:val="22"/>
        </w:rPr>
        <w:t>less convincing</w:t>
      </w:r>
      <w:r w:rsidRPr="007C2F62">
        <w:rPr>
          <w:rFonts w:ascii="Times New Roman" w:hAnsi="Times New Roman"/>
          <w:sz w:val="22"/>
          <w:szCs w:val="22"/>
        </w:rPr>
        <w:t xml:space="preserve"> business case</w:t>
      </w:r>
      <w:r w:rsidR="00444A4F">
        <w:rPr>
          <w:rFonts w:ascii="Times New Roman" w:hAnsi="Times New Roman"/>
          <w:sz w:val="22"/>
          <w:szCs w:val="22"/>
        </w:rPr>
        <w:t xml:space="preserve"> for an operator</w:t>
      </w:r>
      <w:r w:rsidRPr="007C2F62">
        <w:rPr>
          <w:rFonts w:ascii="Times New Roman" w:hAnsi="Times New Roman"/>
          <w:sz w:val="22"/>
          <w:szCs w:val="22"/>
        </w:rPr>
        <w:t>.</w:t>
      </w:r>
    </w:p>
    <w:p w14:paraId="2C5A97E1" w14:textId="77777777" w:rsidR="005C6646" w:rsidRPr="007C2F62" w:rsidRDefault="005C6646" w:rsidP="005C6646">
      <w:pPr>
        <w:rPr>
          <w:rFonts w:ascii="Times New Roman" w:hAnsi="Times New Roman"/>
          <w:sz w:val="22"/>
          <w:szCs w:val="22"/>
        </w:rPr>
      </w:pPr>
    </w:p>
    <w:p w14:paraId="2A816DC7" w14:textId="2F4C8BFE" w:rsidR="005C6646" w:rsidRPr="00276963" w:rsidRDefault="00E104E9" w:rsidP="00276963">
      <w:pPr>
        <w:pStyle w:val="ListParagraph"/>
        <w:numPr>
          <w:ilvl w:val="0"/>
          <w:numId w:val="24"/>
        </w:numPr>
        <w:rPr>
          <w:rFonts w:ascii="Times New Roman" w:hAnsi="Times New Roman"/>
        </w:rPr>
      </w:pPr>
      <w:r w:rsidRPr="00276963">
        <w:rPr>
          <w:rFonts w:ascii="Times New Roman" w:hAnsi="Times New Roman"/>
        </w:rPr>
        <w:t xml:space="preserve">No second hand market </w:t>
      </w:r>
      <w:r w:rsidR="00D36332" w:rsidRPr="00276963">
        <w:rPr>
          <w:rFonts w:ascii="Times New Roman" w:hAnsi="Times New Roman"/>
        </w:rPr>
        <w:t xml:space="preserve">exists </w:t>
      </w:r>
      <w:r w:rsidRPr="00276963">
        <w:rPr>
          <w:rFonts w:ascii="Times New Roman" w:hAnsi="Times New Roman"/>
        </w:rPr>
        <w:t xml:space="preserve">for Australia’s old trucks. </w:t>
      </w:r>
    </w:p>
    <w:p w14:paraId="425D395E" w14:textId="77777777" w:rsidR="005C6646" w:rsidRPr="005C6646" w:rsidRDefault="005C6646" w:rsidP="005C6646">
      <w:pPr>
        <w:pStyle w:val="ListParagraph"/>
        <w:spacing w:after="0" w:line="240" w:lineRule="auto"/>
        <w:ind w:left="714"/>
        <w:rPr>
          <w:rFonts w:ascii="Times New Roman" w:hAnsi="Times New Roman"/>
        </w:rPr>
      </w:pPr>
    </w:p>
    <w:p w14:paraId="0D6EAF55" w14:textId="684E2568" w:rsidR="00E104E9" w:rsidRPr="00690ACE" w:rsidRDefault="00752D7D" w:rsidP="00690ACE">
      <w:pPr>
        <w:rPr>
          <w:rFonts w:ascii="Times New Roman" w:hAnsi="Times New Roman"/>
          <w:sz w:val="22"/>
          <w:szCs w:val="22"/>
        </w:rPr>
      </w:pPr>
      <w:r>
        <w:rPr>
          <w:rFonts w:ascii="Times New Roman" w:hAnsi="Times New Roman"/>
          <w:sz w:val="22"/>
          <w:szCs w:val="22"/>
        </w:rPr>
        <w:t xml:space="preserve">In </w:t>
      </w:r>
      <w:r w:rsidR="00E104E9" w:rsidRPr="00690ACE">
        <w:rPr>
          <w:rFonts w:ascii="Times New Roman" w:hAnsi="Times New Roman"/>
          <w:sz w:val="22"/>
          <w:szCs w:val="22"/>
        </w:rPr>
        <w:t>Western Europe older trucks are sold into Eastern Europe and Africa</w:t>
      </w:r>
      <w:r>
        <w:rPr>
          <w:rFonts w:ascii="Times New Roman" w:hAnsi="Times New Roman"/>
          <w:sz w:val="22"/>
          <w:szCs w:val="22"/>
        </w:rPr>
        <w:t>. I</w:t>
      </w:r>
      <w:r w:rsidR="00E104E9" w:rsidRPr="00690ACE">
        <w:rPr>
          <w:rFonts w:ascii="Times New Roman" w:hAnsi="Times New Roman"/>
          <w:sz w:val="22"/>
          <w:szCs w:val="22"/>
        </w:rPr>
        <w:t xml:space="preserve">n the USA and Canada older trucks are sold into South America, </w:t>
      </w:r>
      <w:r w:rsidR="00D36332" w:rsidRPr="00690ACE">
        <w:rPr>
          <w:rFonts w:ascii="Times New Roman" w:hAnsi="Times New Roman"/>
          <w:sz w:val="22"/>
          <w:szCs w:val="22"/>
        </w:rPr>
        <w:t>and in</w:t>
      </w:r>
      <w:r w:rsidR="00E104E9" w:rsidRPr="00690ACE">
        <w:rPr>
          <w:rFonts w:ascii="Times New Roman" w:hAnsi="Times New Roman"/>
          <w:sz w:val="22"/>
          <w:szCs w:val="22"/>
        </w:rPr>
        <w:t xml:space="preserve"> Japan older trucks are sold into other less developed countries in the Asia Pacific region</w:t>
      </w:r>
      <w:r>
        <w:rPr>
          <w:rFonts w:ascii="Times New Roman" w:hAnsi="Times New Roman"/>
          <w:sz w:val="22"/>
          <w:szCs w:val="22"/>
        </w:rPr>
        <w:t>.</w:t>
      </w:r>
      <w:r w:rsidR="00E104E9" w:rsidRPr="00690ACE">
        <w:rPr>
          <w:rFonts w:ascii="Times New Roman" w:hAnsi="Times New Roman"/>
          <w:sz w:val="22"/>
          <w:szCs w:val="22"/>
        </w:rPr>
        <w:t xml:space="preserve"> Australia has no viable retirement plan (dumping ground) for older trucks. </w:t>
      </w:r>
      <w:r w:rsidR="00D36332" w:rsidRPr="00690ACE">
        <w:rPr>
          <w:rFonts w:ascii="Times New Roman" w:hAnsi="Times New Roman"/>
          <w:sz w:val="22"/>
          <w:szCs w:val="22"/>
        </w:rPr>
        <w:t xml:space="preserve">The </w:t>
      </w:r>
      <w:r w:rsidR="00444A4F">
        <w:rPr>
          <w:rFonts w:ascii="Times New Roman" w:hAnsi="Times New Roman"/>
          <w:sz w:val="22"/>
          <w:szCs w:val="22"/>
        </w:rPr>
        <w:t xml:space="preserve">low </w:t>
      </w:r>
      <w:r w:rsidR="00D36332" w:rsidRPr="00690ACE">
        <w:rPr>
          <w:rFonts w:ascii="Times New Roman" w:hAnsi="Times New Roman"/>
          <w:sz w:val="22"/>
          <w:szCs w:val="22"/>
        </w:rPr>
        <w:t>s</w:t>
      </w:r>
      <w:r w:rsidR="00E104E9" w:rsidRPr="00690ACE">
        <w:rPr>
          <w:rFonts w:ascii="Times New Roman" w:hAnsi="Times New Roman"/>
          <w:sz w:val="22"/>
          <w:szCs w:val="22"/>
        </w:rPr>
        <w:t xml:space="preserve">crap value for such vehicles is </w:t>
      </w:r>
      <w:r w:rsidR="00D36332" w:rsidRPr="00690ACE">
        <w:rPr>
          <w:rFonts w:ascii="Times New Roman" w:hAnsi="Times New Roman"/>
          <w:sz w:val="22"/>
          <w:szCs w:val="22"/>
        </w:rPr>
        <w:t xml:space="preserve">such that the operator finds </w:t>
      </w:r>
      <w:r w:rsidR="00E104E9" w:rsidRPr="00690ACE">
        <w:rPr>
          <w:rFonts w:ascii="Times New Roman" w:hAnsi="Times New Roman"/>
          <w:sz w:val="22"/>
          <w:szCs w:val="22"/>
        </w:rPr>
        <w:t>it more economically viable to run trucks for much longer in Australia.</w:t>
      </w:r>
    </w:p>
    <w:p w14:paraId="6A48FDBC" w14:textId="77777777" w:rsidR="005C6646" w:rsidRPr="005C6646" w:rsidRDefault="005C6646" w:rsidP="005C6646">
      <w:pPr>
        <w:rPr>
          <w:rFonts w:ascii="Times New Roman" w:hAnsi="Times New Roman"/>
        </w:rPr>
      </w:pPr>
    </w:p>
    <w:p w14:paraId="0D3AF56F" w14:textId="2658FA52" w:rsidR="005C6646" w:rsidRDefault="00752D7D" w:rsidP="00276963">
      <w:pPr>
        <w:pStyle w:val="ListParagraph"/>
        <w:numPr>
          <w:ilvl w:val="0"/>
          <w:numId w:val="24"/>
        </w:numPr>
        <w:spacing w:after="0" w:line="240" w:lineRule="auto"/>
        <w:ind w:left="357" w:firstLine="0"/>
        <w:rPr>
          <w:rFonts w:ascii="Times New Roman" w:hAnsi="Times New Roman"/>
        </w:rPr>
      </w:pPr>
      <w:r>
        <w:rPr>
          <w:rFonts w:ascii="Times New Roman" w:hAnsi="Times New Roman"/>
        </w:rPr>
        <w:t>“</w:t>
      </w:r>
      <w:r w:rsidR="005C6646">
        <w:rPr>
          <w:rFonts w:ascii="Times New Roman" w:hAnsi="Times New Roman"/>
        </w:rPr>
        <w:t>Fit it up</w:t>
      </w:r>
      <w:r w:rsidR="00690ACE">
        <w:rPr>
          <w:rFonts w:ascii="Times New Roman" w:hAnsi="Times New Roman"/>
        </w:rPr>
        <w:t>,</w:t>
      </w:r>
      <w:r w:rsidR="005C6646">
        <w:rPr>
          <w:rFonts w:ascii="Times New Roman" w:hAnsi="Times New Roman"/>
        </w:rPr>
        <w:t xml:space="preserve"> Keep it going</w:t>
      </w:r>
      <w:r>
        <w:rPr>
          <w:rFonts w:ascii="Times New Roman" w:hAnsi="Times New Roman"/>
        </w:rPr>
        <w:t xml:space="preserve">” </w:t>
      </w:r>
      <w:r w:rsidR="005C6646">
        <w:rPr>
          <w:rFonts w:ascii="Times New Roman" w:hAnsi="Times New Roman"/>
        </w:rPr>
        <w:t>culture</w:t>
      </w:r>
    </w:p>
    <w:p w14:paraId="29E65886" w14:textId="77777777" w:rsidR="005C6646" w:rsidRDefault="005C6646" w:rsidP="005C6646">
      <w:pPr>
        <w:pStyle w:val="ListParagraph"/>
        <w:spacing w:after="0" w:line="240" w:lineRule="auto"/>
        <w:ind w:left="357"/>
        <w:rPr>
          <w:rFonts w:ascii="Times New Roman" w:hAnsi="Times New Roman"/>
        </w:rPr>
      </w:pPr>
    </w:p>
    <w:p w14:paraId="04DEE52D" w14:textId="38D50D5F" w:rsidR="00E104E9" w:rsidRPr="00690ACE" w:rsidRDefault="00E104E9" w:rsidP="005C6646">
      <w:pPr>
        <w:rPr>
          <w:rFonts w:ascii="Times New Roman" w:hAnsi="Times New Roman"/>
          <w:sz w:val="22"/>
          <w:szCs w:val="22"/>
        </w:rPr>
      </w:pPr>
      <w:r w:rsidRPr="00690ACE">
        <w:rPr>
          <w:rFonts w:ascii="Times New Roman" w:hAnsi="Times New Roman"/>
          <w:sz w:val="22"/>
          <w:szCs w:val="22"/>
        </w:rPr>
        <w:t xml:space="preserve">A “culture” for the continued replacement of old trucks and hence the updating of Australia’s truck fleet simply does not exist in Australia. While the current culture of “fix it up”, “keep it going” continues, the take-up of new more efficient diesel trucks and new low emission trucks, will remain very poor. This current heavy vehicle purchasing “culture”, or “buying behaviour”, must be addressed by any </w:t>
      </w:r>
      <w:r w:rsidR="00444A4F">
        <w:rPr>
          <w:rFonts w:ascii="Times New Roman" w:hAnsi="Times New Roman"/>
          <w:sz w:val="22"/>
          <w:szCs w:val="22"/>
        </w:rPr>
        <w:t>energy productivity (</w:t>
      </w:r>
      <w:r w:rsidRPr="00690ACE">
        <w:rPr>
          <w:rFonts w:ascii="Times New Roman" w:hAnsi="Times New Roman"/>
          <w:sz w:val="22"/>
          <w:szCs w:val="22"/>
        </w:rPr>
        <w:t>CO</w:t>
      </w:r>
      <w:r w:rsidRPr="00690ACE">
        <w:rPr>
          <w:rFonts w:ascii="Times New Roman" w:hAnsi="Times New Roman"/>
          <w:sz w:val="22"/>
          <w:szCs w:val="22"/>
          <w:vertAlign w:val="subscript"/>
        </w:rPr>
        <w:t>2</w:t>
      </w:r>
      <w:r w:rsidRPr="00690ACE">
        <w:rPr>
          <w:rFonts w:ascii="Times New Roman" w:hAnsi="Times New Roman"/>
          <w:sz w:val="22"/>
          <w:szCs w:val="22"/>
        </w:rPr>
        <w:t xml:space="preserve"> reducing</w:t>
      </w:r>
      <w:r w:rsidR="00276963" w:rsidRPr="00276963">
        <w:rPr>
          <w:rFonts w:ascii="Times New Roman" w:hAnsi="Times New Roman"/>
          <w:color w:val="FF0000"/>
          <w:sz w:val="22"/>
          <w:szCs w:val="22"/>
        </w:rPr>
        <w:t>)</w:t>
      </w:r>
      <w:r w:rsidRPr="00690ACE">
        <w:rPr>
          <w:rFonts w:ascii="Times New Roman" w:hAnsi="Times New Roman"/>
          <w:sz w:val="22"/>
          <w:szCs w:val="22"/>
        </w:rPr>
        <w:t xml:space="preserve"> incentive scheme introduce</w:t>
      </w:r>
      <w:r w:rsidR="00444A4F">
        <w:rPr>
          <w:rFonts w:ascii="Times New Roman" w:hAnsi="Times New Roman"/>
          <w:sz w:val="22"/>
          <w:szCs w:val="22"/>
        </w:rPr>
        <w:t>d</w:t>
      </w:r>
      <w:r w:rsidRPr="00690ACE">
        <w:rPr>
          <w:rFonts w:ascii="Times New Roman" w:hAnsi="Times New Roman"/>
          <w:sz w:val="22"/>
          <w:szCs w:val="22"/>
        </w:rPr>
        <w:t xml:space="preserve"> by </w:t>
      </w:r>
      <w:r w:rsidR="00444A4F">
        <w:rPr>
          <w:rFonts w:ascii="Times New Roman" w:hAnsi="Times New Roman"/>
          <w:sz w:val="22"/>
          <w:szCs w:val="22"/>
        </w:rPr>
        <w:t>the</w:t>
      </w:r>
      <w:r w:rsidRPr="00690ACE">
        <w:rPr>
          <w:rFonts w:ascii="Times New Roman" w:hAnsi="Times New Roman"/>
          <w:sz w:val="22"/>
          <w:szCs w:val="22"/>
        </w:rPr>
        <w:t xml:space="preserve"> Australian government. </w:t>
      </w:r>
    </w:p>
    <w:p w14:paraId="12E100A0" w14:textId="4F6DA2D2" w:rsidR="005C6646" w:rsidRDefault="007C2F62" w:rsidP="00276963">
      <w:pPr>
        <w:pStyle w:val="ListParagraph"/>
        <w:numPr>
          <w:ilvl w:val="0"/>
          <w:numId w:val="24"/>
        </w:numPr>
        <w:spacing w:after="0" w:line="240" w:lineRule="auto"/>
        <w:rPr>
          <w:rFonts w:ascii="Times New Roman" w:hAnsi="Times New Roman"/>
        </w:rPr>
      </w:pPr>
      <w:r w:rsidRPr="005C6646">
        <w:rPr>
          <w:rFonts w:ascii="Times New Roman" w:hAnsi="Times New Roman"/>
        </w:rPr>
        <w:lastRenderedPageBreak/>
        <w:t>Poor t</w:t>
      </w:r>
      <w:r w:rsidR="00E104E9" w:rsidRPr="005C6646">
        <w:rPr>
          <w:rFonts w:ascii="Times New Roman" w:hAnsi="Times New Roman"/>
        </w:rPr>
        <w:t>ake up rate of new technologies (0.1% of total new truck sales)</w:t>
      </w:r>
      <w:r w:rsidRPr="005C6646">
        <w:rPr>
          <w:rFonts w:ascii="Times New Roman" w:hAnsi="Times New Roman"/>
        </w:rPr>
        <w:t xml:space="preserve">. </w:t>
      </w:r>
    </w:p>
    <w:p w14:paraId="5CE1BF82" w14:textId="77777777" w:rsidR="005C6646" w:rsidRPr="005C6646" w:rsidRDefault="005C6646" w:rsidP="005C6646">
      <w:pPr>
        <w:pStyle w:val="ListParagraph"/>
        <w:spacing w:after="0" w:line="240" w:lineRule="auto"/>
        <w:ind w:left="357"/>
        <w:rPr>
          <w:rFonts w:ascii="Times New Roman" w:hAnsi="Times New Roman"/>
        </w:rPr>
      </w:pPr>
    </w:p>
    <w:p w14:paraId="5B7CBFB5" w14:textId="5F61A790" w:rsidR="00E104E9" w:rsidRPr="005C6646" w:rsidRDefault="007C2F62" w:rsidP="005C6646">
      <w:pPr>
        <w:rPr>
          <w:rFonts w:ascii="Times New Roman" w:hAnsi="Times New Roman"/>
          <w:sz w:val="20"/>
          <w:szCs w:val="20"/>
        </w:rPr>
      </w:pPr>
      <w:r w:rsidRPr="005C6646">
        <w:rPr>
          <w:rFonts w:ascii="Times New Roman" w:hAnsi="Times New Roman"/>
          <w:sz w:val="22"/>
          <w:szCs w:val="22"/>
        </w:rPr>
        <w:t>G</w:t>
      </w:r>
      <w:r w:rsidR="00E104E9" w:rsidRPr="005C6646">
        <w:rPr>
          <w:rFonts w:ascii="Times New Roman" w:hAnsi="Times New Roman"/>
          <w:sz w:val="22"/>
          <w:szCs w:val="22"/>
        </w:rPr>
        <w:t>lobally the uptake of alternatively powered and fuelled veh</w:t>
      </w:r>
      <w:r w:rsidR="005C6646" w:rsidRPr="005C6646">
        <w:rPr>
          <w:rFonts w:ascii="Times New Roman" w:hAnsi="Times New Roman"/>
          <w:sz w:val="22"/>
          <w:szCs w:val="22"/>
        </w:rPr>
        <w:t xml:space="preserve">icles, cars and trucks, runs at </w:t>
      </w:r>
      <w:r w:rsidR="00E104E9" w:rsidRPr="005C6646">
        <w:rPr>
          <w:rFonts w:ascii="Times New Roman" w:hAnsi="Times New Roman"/>
          <w:sz w:val="22"/>
          <w:szCs w:val="22"/>
        </w:rPr>
        <w:t>approximately 2 percent of new vehicle sales each year</w:t>
      </w:r>
      <w:r w:rsidRPr="005C6646">
        <w:rPr>
          <w:rFonts w:ascii="Times New Roman" w:hAnsi="Times New Roman"/>
          <w:sz w:val="22"/>
          <w:szCs w:val="22"/>
        </w:rPr>
        <w:t>. T</w:t>
      </w:r>
      <w:r w:rsidR="00E104E9" w:rsidRPr="005C6646">
        <w:rPr>
          <w:rFonts w:ascii="Times New Roman" w:hAnsi="Times New Roman"/>
          <w:sz w:val="22"/>
          <w:szCs w:val="22"/>
        </w:rPr>
        <w:t>here are some stand out performers such as the Netherlands who are well above this</w:t>
      </w:r>
      <w:r w:rsidRPr="005C6646">
        <w:rPr>
          <w:rFonts w:ascii="Times New Roman" w:hAnsi="Times New Roman"/>
          <w:sz w:val="22"/>
          <w:szCs w:val="22"/>
        </w:rPr>
        <w:t xml:space="preserve"> </w:t>
      </w:r>
      <w:r w:rsidR="00E020D5">
        <w:rPr>
          <w:rFonts w:ascii="Times New Roman" w:hAnsi="Times New Roman"/>
          <w:sz w:val="22"/>
          <w:szCs w:val="22"/>
        </w:rPr>
        <w:t xml:space="preserve">norm </w:t>
      </w:r>
      <w:r w:rsidRPr="005C6646">
        <w:rPr>
          <w:rFonts w:ascii="Times New Roman" w:hAnsi="Times New Roman"/>
          <w:sz w:val="22"/>
          <w:szCs w:val="22"/>
        </w:rPr>
        <w:t>(NSW-EPA December 2016)</w:t>
      </w:r>
      <w:r w:rsidR="00E104E9" w:rsidRPr="005C6646">
        <w:rPr>
          <w:rFonts w:ascii="Times New Roman" w:hAnsi="Times New Roman"/>
          <w:sz w:val="22"/>
          <w:szCs w:val="22"/>
        </w:rPr>
        <w:t>. In Australia sales of light passenger vehicles using these technologies runs at about 1 percent per year, while in the heavy vehicle domain TIC’s T-Mark new truck sales data shows the five year average, 2011 to 2015, sales of alternatively powered and fuelled trucks is just 0.3 percent per year. This number plummeted to just 0.1 per</w:t>
      </w:r>
      <w:r w:rsidRPr="005C6646">
        <w:rPr>
          <w:rFonts w:ascii="Times New Roman" w:hAnsi="Times New Roman"/>
          <w:sz w:val="22"/>
          <w:szCs w:val="22"/>
        </w:rPr>
        <w:t>cent of new truck sales in 2016. A</w:t>
      </w:r>
      <w:r w:rsidR="00E104E9" w:rsidRPr="005C6646">
        <w:rPr>
          <w:rFonts w:ascii="Times New Roman" w:hAnsi="Times New Roman"/>
          <w:sz w:val="22"/>
          <w:szCs w:val="22"/>
        </w:rPr>
        <w:t>t year end 31</w:t>
      </w:r>
      <w:r w:rsidR="00E104E9" w:rsidRPr="005C6646">
        <w:rPr>
          <w:rFonts w:ascii="Times New Roman" w:hAnsi="Times New Roman"/>
          <w:sz w:val="22"/>
          <w:szCs w:val="22"/>
          <w:vertAlign w:val="superscript"/>
        </w:rPr>
        <w:t>st</w:t>
      </w:r>
      <w:r w:rsidR="00E104E9" w:rsidRPr="005C6646">
        <w:rPr>
          <w:rFonts w:ascii="Times New Roman" w:hAnsi="Times New Roman"/>
          <w:sz w:val="22"/>
          <w:szCs w:val="22"/>
        </w:rPr>
        <w:t xml:space="preserve"> December 2016 just 32 alt</w:t>
      </w:r>
      <w:r w:rsidR="00D36332" w:rsidRPr="005C6646">
        <w:rPr>
          <w:rFonts w:ascii="Times New Roman" w:hAnsi="Times New Roman"/>
          <w:sz w:val="22"/>
          <w:szCs w:val="22"/>
        </w:rPr>
        <w:t>ernatively powered or</w:t>
      </w:r>
      <w:r w:rsidR="00E104E9" w:rsidRPr="005C6646">
        <w:rPr>
          <w:rFonts w:ascii="Times New Roman" w:hAnsi="Times New Roman"/>
          <w:sz w:val="22"/>
          <w:szCs w:val="22"/>
        </w:rPr>
        <w:t xml:space="preserve"> fuelled trucks had been sold across Australia. The complete lack of incentives by Australian governments for the uptake of low carbon emitting vehicles is a major inhibitor to the uptake of such vehicles in this country. Globally the uptake of low carbon emitting vehicles is generally proportional to the incentives put in place, or the disincentives put in place by governments for high carbon emitting vehicles (</w:t>
      </w:r>
      <w:r w:rsidR="00E020D5">
        <w:rPr>
          <w:rFonts w:ascii="Times New Roman" w:hAnsi="Times New Roman"/>
          <w:sz w:val="22"/>
          <w:szCs w:val="22"/>
        </w:rPr>
        <w:t xml:space="preserve">for example, </w:t>
      </w:r>
      <w:r w:rsidR="00E104E9" w:rsidRPr="005C6646">
        <w:rPr>
          <w:rFonts w:ascii="Times New Roman" w:hAnsi="Times New Roman"/>
          <w:sz w:val="22"/>
          <w:szCs w:val="22"/>
        </w:rPr>
        <w:t>carbon tax on certain fuel types, emission zones that exclude or penalise high carbon emitting vehicles within certain geographical locations, increased registration</w:t>
      </w:r>
      <w:r w:rsidR="00E020D5">
        <w:rPr>
          <w:rFonts w:ascii="Times New Roman" w:hAnsi="Times New Roman"/>
          <w:sz w:val="22"/>
          <w:szCs w:val="22"/>
        </w:rPr>
        <w:t xml:space="preserve"> charges for older vehicles</w:t>
      </w:r>
      <w:r w:rsidR="00E104E9" w:rsidRPr="005C6646">
        <w:rPr>
          <w:rFonts w:ascii="Times New Roman" w:hAnsi="Times New Roman"/>
          <w:sz w:val="22"/>
          <w:szCs w:val="22"/>
        </w:rPr>
        <w:t>).</w:t>
      </w:r>
    </w:p>
    <w:p w14:paraId="5BD368A8" w14:textId="77777777" w:rsidR="00E104E9" w:rsidRPr="00F00DBC" w:rsidRDefault="00E104E9" w:rsidP="005C6646">
      <w:pPr>
        <w:rPr>
          <w:rFonts w:ascii="Times New Roman" w:hAnsi="Times New Roman"/>
          <w:sz w:val="22"/>
          <w:szCs w:val="22"/>
        </w:rPr>
      </w:pPr>
    </w:p>
    <w:p w14:paraId="5862D011" w14:textId="4605FC56" w:rsidR="000B2667" w:rsidRDefault="00E104E9" w:rsidP="005C6646">
      <w:pPr>
        <w:rPr>
          <w:rFonts w:ascii="Times New Roman" w:hAnsi="Times New Roman"/>
          <w:sz w:val="22"/>
          <w:szCs w:val="22"/>
        </w:rPr>
      </w:pPr>
      <w:r w:rsidRPr="00F00DBC">
        <w:rPr>
          <w:rFonts w:ascii="Times New Roman" w:hAnsi="Times New Roman"/>
          <w:sz w:val="22"/>
          <w:szCs w:val="22"/>
        </w:rPr>
        <w:t xml:space="preserve">To overcome the </w:t>
      </w:r>
      <w:r w:rsidR="007C2F62" w:rsidRPr="00F00DBC">
        <w:rPr>
          <w:rFonts w:ascii="Times New Roman" w:hAnsi="Times New Roman"/>
          <w:sz w:val="22"/>
          <w:szCs w:val="22"/>
        </w:rPr>
        <w:t xml:space="preserve">inhibitors to Australia having a more modern truck fleet the Truck Industry Council </w:t>
      </w:r>
      <w:r w:rsidR="00690ACE">
        <w:rPr>
          <w:rFonts w:ascii="Times New Roman" w:hAnsi="Times New Roman"/>
          <w:sz w:val="22"/>
          <w:szCs w:val="22"/>
        </w:rPr>
        <w:t xml:space="preserve">(TIC) </w:t>
      </w:r>
      <w:r w:rsidR="00E36089">
        <w:rPr>
          <w:rFonts w:ascii="Times New Roman" w:hAnsi="Times New Roman"/>
          <w:sz w:val="22"/>
          <w:szCs w:val="22"/>
        </w:rPr>
        <w:t>calls upon the F</w:t>
      </w:r>
      <w:r w:rsidR="007C2F62" w:rsidRPr="00F00DBC">
        <w:rPr>
          <w:rFonts w:ascii="Times New Roman" w:hAnsi="Times New Roman"/>
          <w:sz w:val="22"/>
          <w:szCs w:val="22"/>
        </w:rPr>
        <w:t>ederal Government to provide</w:t>
      </w:r>
      <w:r w:rsidRPr="00F00DBC">
        <w:rPr>
          <w:rFonts w:ascii="Times New Roman" w:hAnsi="Times New Roman"/>
          <w:sz w:val="22"/>
          <w:szCs w:val="22"/>
        </w:rPr>
        <w:t xml:space="preserve"> incentives </w:t>
      </w:r>
      <w:r w:rsidR="007C2F62" w:rsidRPr="00F00DBC">
        <w:rPr>
          <w:rFonts w:ascii="Times New Roman" w:hAnsi="Times New Roman"/>
          <w:sz w:val="22"/>
          <w:szCs w:val="22"/>
        </w:rPr>
        <w:t xml:space="preserve">to </w:t>
      </w:r>
      <w:r w:rsidRPr="00F00DBC">
        <w:rPr>
          <w:rFonts w:ascii="Times New Roman" w:hAnsi="Times New Roman"/>
          <w:sz w:val="22"/>
          <w:szCs w:val="22"/>
        </w:rPr>
        <w:t xml:space="preserve">renew Australia’s truck fleet. </w:t>
      </w:r>
    </w:p>
    <w:p w14:paraId="61D5109D" w14:textId="77777777" w:rsidR="000B2667" w:rsidRDefault="000B2667" w:rsidP="00E104E9">
      <w:pPr>
        <w:rPr>
          <w:rFonts w:ascii="Times New Roman" w:hAnsi="Times New Roman"/>
          <w:sz w:val="22"/>
          <w:szCs w:val="22"/>
        </w:rPr>
      </w:pPr>
    </w:p>
    <w:p w14:paraId="45EB3B37" w14:textId="656B43EC" w:rsidR="00E104E9" w:rsidRPr="00F00DBC" w:rsidRDefault="00E104E9" w:rsidP="00E104E9">
      <w:pPr>
        <w:rPr>
          <w:rFonts w:ascii="Times New Roman" w:hAnsi="Times New Roman"/>
          <w:sz w:val="22"/>
          <w:szCs w:val="22"/>
        </w:rPr>
      </w:pPr>
      <w:r w:rsidRPr="00F00DBC">
        <w:rPr>
          <w:rFonts w:ascii="Times New Roman" w:hAnsi="Times New Roman"/>
          <w:sz w:val="22"/>
          <w:szCs w:val="22"/>
        </w:rPr>
        <w:t>A good (or actually poor) example of this is the Federal Government</w:t>
      </w:r>
      <w:r w:rsidR="00E36089">
        <w:rPr>
          <w:rFonts w:ascii="Times New Roman" w:hAnsi="Times New Roman"/>
          <w:sz w:val="22"/>
          <w:szCs w:val="22"/>
        </w:rPr>
        <w:t>’</w:t>
      </w:r>
      <w:r w:rsidRPr="00F00DBC">
        <w:rPr>
          <w:rFonts w:ascii="Times New Roman" w:hAnsi="Times New Roman"/>
          <w:sz w:val="22"/>
          <w:szCs w:val="22"/>
        </w:rPr>
        <w:t>s Emission Reduction Fund (ERF). A scheme that works well for high carbon intensity emitters, but a scheme that is not suitable for the road transport sector. There has only been one successful ERF “bid” for a road transport operator since the ERF commenced a few years ago. Although the details of the successful bid are governed by confidentiality agreements, media information released by the successful company, a refrigeration freight group, indicates that most of their planned CO</w:t>
      </w:r>
      <w:r w:rsidRPr="00F00DBC">
        <w:rPr>
          <w:rFonts w:ascii="Times New Roman" w:hAnsi="Times New Roman"/>
          <w:sz w:val="22"/>
          <w:szCs w:val="22"/>
          <w:vertAlign w:val="subscript"/>
        </w:rPr>
        <w:t>2</w:t>
      </w:r>
      <w:r w:rsidRPr="00F00DBC">
        <w:rPr>
          <w:rFonts w:ascii="Times New Roman" w:hAnsi="Times New Roman"/>
          <w:sz w:val="22"/>
          <w:szCs w:val="22"/>
        </w:rPr>
        <w:t xml:space="preserve"> reduction will actually come from “modal switching”, moving freight from trucks to rail and while this is a win for </w:t>
      </w:r>
      <w:r w:rsidR="002E78A3" w:rsidRPr="00F00DBC">
        <w:rPr>
          <w:rFonts w:ascii="Times New Roman" w:hAnsi="Times New Roman"/>
          <w:sz w:val="22"/>
          <w:szCs w:val="22"/>
        </w:rPr>
        <w:t>CO</w:t>
      </w:r>
      <w:r w:rsidR="002E78A3" w:rsidRPr="00F00DBC">
        <w:rPr>
          <w:rFonts w:ascii="Times New Roman" w:hAnsi="Times New Roman"/>
          <w:sz w:val="22"/>
          <w:szCs w:val="22"/>
          <w:vertAlign w:val="subscript"/>
        </w:rPr>
        <w:t>2</w:t>
      </w:r>
      <w:r w:rsidRPr="00F00DBC">
        <w:rPr>
          <w:rFonts w:ascii="Times New Roman" w:hAnsi="Times New Roman"/>
          <w:sz w:val="22"/>
          <w:szCs w:val="22"/>
        </w:rPr>
        <w:t xml:space="preserve"> emissions, it is hardly a win for reducing </w:t>
      </w:r>
      <w:r w:rsidR="002E78A3" w:rsidRPr="00F00DBC">
        <w:rPr>
          <w:rFonts w:ascii="Times New Roman" w:hAnsi="Times New Roman"/>
          <w:sz w:val="22"/>
          <w:szCs w:val="22"/>
        </w:rPr>
        <w:t>CO</w:t>
      </w:r>
      <w:r w:rsidR="002E78A3" w:rsidRPr="00F00DBC">
        <w:rPr>
          <w:rFonts w:ascii="Times New Roman" w:hAnsi="Times New Roman"/>
          <w:sz w:val="22"/>
          <w:szCs w:val="22"/>
          <w:vertAlign w:val="subscript"/>
        </w:rPr>
        <w:t>2</w:t>
      </w:r>
      <w:r w:rsidRPr="00F00DBC">
        <w:rPr>
          <w:rFonts w:ascii="Times New Roman" w:hAnsi="Times New Roman"/>
          <w:sz w:val="22"/>
          <w:szCs w:val="22"/>
        </w:rPr>
        <w:t xml:space="preserve"> emissions for trucks. Although the road transport sector is collectively a large </w:t>
      </w:r>
      <w:r w:rsidR="002E78A3" w:rsidRPr="00F00DBC">
        <w:rPr>
          <w:rFonts w:ascii="Times New Roman" w:hAnsi="Times New Roman"/>
          <w:sz w:val="22"/>
          <w:szCs w:val="22"/>
        </w:rPr>
        <w:t>CO</w:t>
      </w:r>
      <w:r w:rsidR="002E78A3" w:rsidRPr="00F00DBC">
        <w:rPr>
          <w:rFonts w:ascii="Times New Roman" w:hAnsi="Times New Roman"/>
          <w:sz w:val="22"/>
          <w:szCs w:val="22"/>
          <w:vertAlign w:val="subscript"/>
        </w:rPr>
        <w:t>2</w:t>
      </w:r>
      <w:r w:rsidRPr="00F00DBC">
        <w:rPr>
          <w:rFonts w:ascii="Times New Roman" w:hAnsi="Times New Roman"/>
          <w:sz w:val="22"/>
          <w:szCs w:val="22"/>
        </w:rPr>
        <w:t xml:space="preserve"> emitter, individual vehicle </w:t>
      </w:r>
      <w:r w:rsidR="00F00DBC" w:rsidRPr="00F00DBC">
        <w:rPr>
          <w:rFonts w:ascii="Times New Roman" w:hAnsi="Times New Roman"/>
          <w:sz w:val="22"/>
          <w:szCs w:val="22"/>
        </w:rPr>
        <w:t>CO</w:t>
      </w:r>
      <w:r w:rsidR="00F00DBC" w:rsidRPr="00F00DBC">
        <w:rPr>
          <w:rFonts w:ascii="Times New Roman" w:hAnsi="Times New Roman"/>
          <w:sz w:val="22"/>
          <w:szCs w:val="22"/>
          <w:vertAlign w:val="subscript"/>
        </w:rPr>
        <w:t xml:space="preserve">2 </w:t>
      </w:r>
      <w:r w:rsidRPr="00F00DBC">
        <w:rPr>
          <w:rFonts w:ascii="Times New Roman" w:hAnsi="Times New Roman"/>
          <w:sz w:val="22"/>
          <w:szCs w:val="22"/>
        </w:rPr>
        <w:t xml:space="preserve">improvements will be quite small and incentive schemes that work for industries such as power generation WON’T work for road transport. </w:t>
      </w:r>
    </w:p>
    <w:p w14:paraId="6C4B8133" w14:textId="77777777" w:rsidR="00E104E9" w:rsidRPr="00F00DBC" w:rsidRDefault="00E104E9" w:rsidP="00E104E9">
      <w:pPr>
        <w:rPr>
          <w:rFonts w:ascii="Times New Roman" w:hAnsi="Times New Roman"/>
          <w:sz w:val="22"/>
          <w:szCs w:val="22"/>
        </w:rPr>
      </w:pPr>
    </w:p>
    <w:p w14:paraId="27A861AA" w14:textId="77777777" w:rsidR="00926255" w:rsidRDefault="00926255" w:rsidP="00414677">
      <w:pPr>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AIM</w:t>
      </w:r>
    </w:p>
    <w:p w14:paraId="01B76C09" w14:textId="77777777" w:rsidR="00E104E9" w:rsidRDefault="00E104E9" w:rsidP="00E104E9">
      <w:pPr>
        <w:rPr>
          <w:rFonts w:ascii="Times New Roman" w:hAnsi="Times New Roman"/>
          <w:sz w:val="22"/>
          <w:szCs w:val="22"/>
        </w:rPr>
      </w:pPr>
    </w:p>
    <w:p w14:paraId="11697620" w14:textId="77777777" w:rsidR="00444A4F" w:rsidRDefault="00E104E9" w:rsidP="00E104E9">
      <w:pPr>
        <w:rPr>
          <w:rFonts w:ascii="Times New Roman" w:hAnsi="Times New Roman"/>
          <w:sz w:val="22"/>
          <w:szCs w:val="22"/>
        </w:rPr>
      </w:pPr>
      <w:r w:rsidRPr="005C240B">
        <w:rPr>
          <w:rFonts w:ascii="Times New Roman" w:hAnsi="Times New Roman"/>
          <w:sz w:val="22"/>
          <w:szCs w:val="22"/>
        </w:rPr>
        <w:t xml:space="preserve">The </w:t>
      </w:r>
      <w:r>
        <w:rPr>
          <w:rFonts w:ascii="Times New Roman" w:hAnsi="Times New Roman"/>
          <w:sz w:val="22"/>
          <w:szCs w:val="22"/>
        </w:rPr>
        <w:t xml:space="preserve">primary </w:t>
      </w:r>
      <w:r w:rsidRPr="005C240B">
        <w:rPr>
          <w:rFonts w:ascii="Times New Roman" w:hAnsi="Times New Roman"/>
          <w:sz w:val="22"/>
          <w:szCs w:val="22"/>
        </w:rPr>
        <w:t xml:space="preserve">aim of this submission is to </w:t>
      </w:r>
      <w:r>
        <w:rPr>
          <w:rFonts w:ascii="Times New Roman" w:hAnsi="Times New Roman"/>
          <w:sz w:val="22"/>
          <w:szCs w:val="22"/>
        </w:rPr>
        <w:t xml:space="preserve">modernise the Australian truck fleet by </w:t>
      </w:r>
      <w:r w:rsidRPr="005C240B">
        <w:rPr>
          <w:rFonts w:ascii="Times New Roman" w:hAnsi="Times New Roman"/>
          <w:sz w:val="22"/>
          <w:szCs w:val="22"/>
        </w:rPr>
        <w:t>accelerat</w:t>
      </w:r>
      <w:r>
        <w:rPr>
          <w:rFonts w:ascii="Times New Roman" w:hAnsi="Times New Roman"/>
          <w:sz w:val="22"/>
          <w:szCs w:val="22"/>
        </w:rPr>
        <w:t>ing</w:t>
      </w:r>
      <w:r w:rsidRPr="005C240B">
        <w:rPr>
          <w:rFonts w:ascii="Times New Roman" w:hAnsi="Times New Roman"/>
          <w:sz w:val="22"/>
          <w:szCs w:val="22"/>
        </w:rPr>
        <w:t xml:space="preserve"> the introduction of </w:t>
      </w:r>
      <w:r>
        <w:rPr>
          <w:rFonts w:ascii="Times New Roman" w:hAnsi="Times New Roman"/>
          <w:sz w:val="22"/>
          <w:szCs w:val="22"/>
        </w:rPr>
        <w:t xml:space="preserve">the latest emission trucks </w:t>
      </w:r>
      <w:r w:rsidRPr="005C240B">
        <w:rPr>
          <w:rFonts w:ascii="Times New Roman" w:hAnsi="Times New Roman"/>
          <w:sz w:val="22"/>
          <w:szCs w:val="22"/>
        </w:rPr>
        <w:t xml:space="preserve">and </w:t>
      </w:r>
      <w:r>
        <w:rPr>
          <w:rFonts w:ascii="Times New Roman" w:hAnsi="Times New Roman"/>
          <w:sz w:val="22"/>
          <w:szCs w:val="22"/>
        </w:rPr>
        <w:t xml:space="preserve">actively promote the take up of advanced more energy efficient technologies. </w:t>
      </w:r>
    </w:p>
    <w:p w14:paraId="1BD278E1" w14:textId="77777777" w:rsidR="00444A4F" w:rsidRDefault="00444A4F" w:rsidP="00E104E9">
      <w:pPr>
        <w:rPr>
          <w:rFonts w:ascii="Times New Roman" w:hAnsi="Times New Roman"/>
          <w:sz w:val="22"/>
          <w:szCs w:val="22"/>
        </w:rPr>
      </w:pPr>
    </w:p>
    <w:p w14:paraId="74B84E5D" w14:textId="2D231BB8" w:rsidR="000B2667" w:rsidRDefault="00E104E9" w:rsidP="00E104E9">
      <w:pPr>
        <w:rPr>
          <w:rFonts w:ascii="Times New Roman" w:hAnsi="Times New Roman"/>
          <w:sz w:val="22"/>
          <w:szCs w:val="22"/>
        </w:rPr>
      </w:pPr>
      <w:r w:rsidRPr="005C240B">
        <w:rPr>
          <w:rFonts w:ascii="Times New Roman" w:hAnsi="Times New Roman"/>
          <w:sz w:val="22"/>
          <w:szCs w:val="22"/>
        </w:rPr>
        <w:t>This submission identifies initiatives the Government can pursue to improve the health of Australians</w:t>
      </w:r>
      <w:r w:rsidR="00C04243">
        <w:rPr>
          <w:rFonts w:ascii="Times New Roman" w:hAnsi="Times New Roman"/>
          <w:sz w:val="22"/>
          <w:szCs w:val="22"/>
        </w:rPr>
        <w:t>,</w:t>
      </w:r>
      <w:r>
        <w:rPr>
          <w:rFonts w:ascii="Times New Roman" w:hAnsi="Times New Roman"/>
          <w:sz w:val="22"/>
          <w:szCs w:val="22"/>
        </w:rPr>
        <w:t xml:space="preserve"> </w:t>
      </w:r>
      <w:r w:rsidRPr="00581EFE">
        <w:rPr>
          <w:rFonts w:ascii="Times New Roman" w:hAnsi="Times New Roman"/>
          <w:sz w:val="22"/>
          <w:szCs w:val="22"/>
        </w:rPr>
        <w:t>particularly in urban areas</w:t>
      </w:r>
      <w:r w:rsidR="00C04243">
        <w:rPr>
          <w:rFonts w:ascii="Times New Roman" w:hAnsi="Times New Roman"/>
          <w:sz w:val="22"/>
          <w:szCs w:val="22"/>
        </w:rPr>
        <w:t>, by</w:t>
      </w:r>
      <w:r>
        <w:rPr>
          <w:rFonts w:ascii="Times New Roman" w:hAnsi="Times New Roman"/>
          <w:sz w:val="22"/>
          <w:szCs w:val="22"/>
        </w:rPr>
        <w:t xml:space="preserve"> reduc</w:t>
      </w:r>
      <w:r w:rsidR="00C04243">
        <w:rPr>
          <w:rFonts w:ascii="Times New Roman" w:hAnsi="Times New Roman"/>
          <w:sz w:val="22"/>
          <w:szCs w:val="22"/>
        </w:rPr>
        <w:t>ing</w:t>
      </w:r>
      <w:r>
        <w:rPr>
          <w:rFonts w:ascii="Times New Roman" w:hAnsi="Times New Roman"/>
          <w:sz w:val="22"/>
          <w:szCs w:val="22"/>
        </w:rPr>
        <w:t xml:space="preserve"> carbon dioxide </w:t>
      </w:r>
      <w:r w:rsidR="00444A4F">
        <w:rPr>
          <w:rFonts w:ascii="Times New Roman" w:hAnsi="Times New Roman"/>
          <w:sz w:val="22"/>
          <w:szCs w:val="22"/>
        </w:rPr>
        <w:t xml:space="preserve">and </w:t>
      </w:r>
      <w:r w:rsidR="00E020D5">
        <w:rPr>
          <w:rFonts w:ascii="Times New Roman" w:hAnsi="Times New Roman"/>
          <w:sz w:val="22"/>
          <w:szCs w:val="22"/>
        </w:rPr>
        <w:t xml:space="preserve">noxious </w:t>
      </w:r>
      <w:r>
        <w:rPr>
          <w:rFonts w:ascii="Times New Roman" w:hAnsi="Times New Roman"/>
          <w:sz w:val="22"/>
          <w:szCs w:val="22"/>
        </w:rPr>
        <w:t>emissions,</w:t>
      </w:r>
      <w:r w:rsidRPr="005C240B">
        <w:rPr>
          <w:rFonts w:ascii="Times New Roman" w:hAnsi="Times New Roman"/>
          <w:sz w:val="22"/>
          <w:szCs w:val="22"/>
        </w:rPr>
        <w:t xml:space="preserve"> while overcoming barriers that reduce the </w:t>
      </w:r>
      <w:r>
        <w:rPr>
          <w:rFonts w:ascii="Times New Roman" w:hAnsi="Times New Roman"/>
          <w:sz w:val="22"/>
          <w:szCs w:val="22"/>
        </w:rPr>
        <w:t>country’s ability to modernise the natio</w:t>
      </w:r>
      <w:r w:rsidR="000B2667">
        <w:rPr>
          <w:rFonts w:ascii="Times New Roman" w:hAnsi="Times New Roman"/>
          <w:sz w:val="22"/>
          <w:szCs w:val="22"/>
        </w:rPr>
        <w:t>n’s truck fleet</w:t>
      </w:r>
      <w:r w:rsidR="00444A4F">
        <w:rPr>
          <w:rFonts w:ascii="Times New Roman" w:hAnsi="Times New Roman"/>
          <w:sz w:val="22"/>
          <w:szCs w:val="22"/>
        </w:rPr>
        <w:t>.</w:t>
      </w:r>
      <w:r w:rsidR="000B2667">
        <w:rPr>
          <w:rFonts w:ascii="Times New Roman" w:hAnsi="Times New Roman"/>
          <w:sz w:val="22"/>
          <w:szCs w:val="22"/>
        </w:rPr>
        <w:t xml:space="preserve"> </w:t>
      </w:r>
      <w:r w:rsidR="00444A4F">
        <w:rPr>
          <w:rFonts w:ascii="Times New Roman" w:hAnsi="Times New Roman"/>
          <w:sz w:val="22"/>
          <w:szCs w:val="22"/>
        </w:rPr>
        <w:t xml:space="preserve">Initiatives </w:t>
      </w:r>
      <w:r w:rsidR="000B2667">
        <w:rPr>
          <w:rFonts w:ascii="Times New Roman" w:hAnsi="Times New Roman"/>
          <w:sz w:val="22"/>
          <w:szCs w:val="22"/>
        </w:rPr>
        <w:t>to reduce heavy vehicle</w:t>
      </w:r>
      <w:r>
        <w:rPr>
          <w:rFonts w:ascii="Times New Roman" w:hAnsi="Times New Roman"/>
          <w:sz w:val="22"/>
          <w:szCs w:val="22"/>
        </w:rPr>
        <w:t xml:space="preserve"> </w:t>
      </w:r>
      <w:r w:rsidR="00C04243">
        <w:rPr>
          <w:rFonts w:ascii="Times New Roman" w:hAnsi="Times New Roman"/>
          <w:sz w:val="22"/>
          <w:szCs w:val="22"/>
        </w:rPr>
        <w:t>fatalities</w:t>
      </w:r>
      <w:r>
        <w:rPr>
          <w:rFonts w:ascii="Times New Roman" w:hAnsi="Times New Roman"/>
          <w:sz w:val="22"/>
          <w:szCs w:val="22"/>
        </w:rPr>
        <w:t xml:space="preserve"> by the take up of safer vehicle technologies</w:t>
      </w:r>
      <w:r w:rsidR="000B2667">
        <w:rPr>
          <w:rFonts w:ascii="Times New Roman" w:hAnsi="Times New Roman"/>
          <w:sz w:val="22"/>
          <w:szCs w:val="22"/>
        </w:rPr>
        <w:t>;</w:t>
      </w:r>
      <w:r>
        <w:rPr>
          <w:rFonts w:ascii="Times New Roman" w:hAnsi="Times New Roman"/>
          <w:sz w:val="22"/>
          <w:szCs w:val="22"/>
        </w:rPr>
        <w:t xml:space="preserve"> </w:t>
      </w:r>
      <w:r w:rsidR="000B2667">
        <w:rPr>
          <w:rFonts w:ascii="Times New Roman" w:hAnsi="Times New Roman"/>
          <w:sz w:val="22"/>
          <w:szCs w:val="22"/>
        </w:rPr>
        <w:t xml:space="preserve">and to improve </w:t>
      </w:r>
      <w:r>
        <w:rPr>
          <w:rFonts w:ascii="Times New Roman" w:hAnsi="Times New Roman"/>
          <w:sz w:val="22"/>
          <w:szCs w:val="22"/>
        </w:rPr>
        <w:t>the efficiency and effectiveness of the nation’s distribution channels</w:t>
      </w:r>
      <w:r w:rsidR="00E36089">
        <w:rPr>
          <w:rFonts w:ascii="Times New Roman" w:hAnsi="Times New Roman"/>
          <w:sz w:val="22"/>
          <w:szCs w:val="22"/>
        </w:rPr>
        <w:t xml:space="preserve"> thus enabling the F</w:t>
      </w:r>
      <w:r w:rsidR="000B2667">
        <w:rPr>
          <w:rFonts w:ascii="Times New Roman" w:hAnsi="Times New Roman"/>
          <w:sz w:val="22"/>
          <w:szCs w:val="22"/>
        </w:rPr>
        <w:t>ederal Government’s record road infrastructure spend</w:t>
      </w:r>
      <w:r w:rsidR="00444A4F">
        <w:rPr>
          <w:rFonts w:ascii="Times New Roman" w:hAnsi="Times New Roman"/>
          <w:sz w:val="22"/>
          <w:szCs w:val="22"/>
        </w:rPr>
        <w:t xml:space="preserve"> to be realised are also presented in this submission</w:t>
      </w:r>
      <w:r>
        <w:rPr>
          <w:rFonts w:ascii="Times New Roman" w:hAnsi="Times New Roman"/>
          <w:sz w:val="22"/>
          <w:szCs w:val="22"/>
        </w:rPr>
        <w:t>.</w:t>
      </w:r>
      <w:r w:rsidRPr="005C240B">
        <w:rPr>
          <w:rFonts w:ascii="Times New Roman" w:hAnsi="Times New Roman"/>
          <w:sz w:val="22"/>
          <w:szCs w:val="22"/>
        </w:rPr>
        <w:t xml:space="preserve"> </w:t>
      </w:r>
    </w:p>
    <w:p w14:paraId="5DA32F5C" w14:textId="77777777" w:rsidR="000B2667" w:rsidRDefault="000B2667" w:rsidP="00E104E9">
      <w:pPr>
        <w:rPr>
          <w:rFonts w:ascii="Times New Roman" w:hAnsi="Times New Roman"/>
          <w:sz w:val="22"/>
          <w:szCs w:val="22"/>
        </w:rPr>
      </w:pPr>
    </w:p>
    <w:p w14:paraId="585CCAA4" w14:textId="29D9A815" w:rsidR="00E104E9" w:rsidRDefault="00E104E9" w:rsidP="00E104E9">
      <w:pPr>
        <w:rPr>
          <w:rFonts w:ascii="Times New Roman" w:hAnsi="Times New Roman"/>
          <w:sz w:val="22"/>
          <w:szCs w:val="22"/>
        </w:rPr>
      </w:pPr>
      <w:r w:rsidRPr="005C240B">
        <w:rPr>
          <w:rFonts w:ascii="Times New Roman" w:hAnsi="Times New Roman"/>
          <w:sz w:val="22"/>
          <w:szCs w:val="22"/>
        </w:rPr>
        <w:t xml:space="preserve">With greenhouse gas emissions from the freight transport sector forecasted to grow strongly to </w:t>
      </w:r>
      <w:r>
        <w:rPr>
          <w:rFonts w:ascii="Times New Roman" w:hAnsi="Times New Roman"/>
          <w:sz w:val="22"/>
          <w:szCs w:val="22"/>
        </w:rPr>
        <w:t>204</w:t>
      </w:r>
      <w:r w:rsidRPr="00581EFE">
        <w:rPr>
          <w:rFonts w:ascii="Times New Roman" w:hAnsi="Times New Roman"/>
          <w:sz w:val="22"/>
          <w:szCs w:val="22"/>
        </w:rPr>
        <w:t>0</w:t>
      </w:r>
      <w:r>
        <w:rPr>
          <w:rFonts w:ascii="Times New Roman" w:hAnsi="Times New Roman"/>
          <w:sz w:val="22"/>
          <w:szCs w:val="22"/>
        </w:rPr>
        <w:t xml:space="preserve"> </w:t>
      </w:r>
      <w:r w:rsidRPr="000B2667">
        <w:rPr>
          <w:rFonts w:ascii="Times New Roman" w:hAnsi="Times New Roman"/>
          <w:sz w:val="22"/>
          <w:szCs w:val="22"/>
        </w:rPr>
        <w:t xml:space="preserve">(NTC Report 2016) </w:t>
      </w:r>
      <w:r w:rsidRPr="005C240B">
        <w:rPr>
          <w:rFonts w:ascii="Times New Roman" w:hAnsi="Times New Roman"/>
          <w:sz w:val="22"/>
          <w:szCs w:val="22"/>
        </w:rPr>
        <w:t xml:space="preserve">the submission aims </w:t>
      </w:r>
      <w:r>
        <w:rPr>
          <w:rFonts w:ascii="Times New Roman" w:hAnsi="Times New Roman"/>
          <w:sz w:val="22"/>
          <w:szCs w:val="22"/>
        </w:rPr>
        <w:t>t</w:t>
      </w:r>
      <w:r w:rsidRPr="005C240B">
        <w:rPr>
          <w:rFonts w:ascii="Times New Roman" w:hAnsi="Times New Roman"/>
          <w:sz w:val="22"/>
          <w:szCs w:val="22"/>
        </w:rPr>
        <w:t>o reduce emission levels from trucks over the longer term and to achieve a reduction in the levels of emissions that are known to be harmful to public health. By achieving the objective of a greener</w:t>
      </w:r>
      <w:r>
        <w:rPr>
          <w:rFonts w:ascii="Times New Roman" w:hAnsi="Times New Roman"/>
          <w:sz w:val="22"/>
          <w:szCs w:val="22"/>
        </w:rPr>
        <w:t>,</w:t>
      </w:r>
      <w:r w:rsidRPr="005C240B">
        <w:rPr>
          <w:rFonts w:ascii="Times New Roman" w:hAnsi="Times New Roman"/>
          <w:sz w:val="22"/>
          <w:szCs w:val="22"/>
        </w:rPr>
        <w:t xml:space="preserve"> </w:t>
      </w:r>
      <w:r>
        <w:rPr>
          <w:rFonts w:ascii="Times New Roman" w:hAnsi="Times New Roman"/>
          <w:sz w:val="22"/>
          <w:szCs w:val="22"/>
        </w:rPr>
        <w:t xml:space="preserve">cleaner </w:t>
      </w:r>
      <w:r w:rsidRPr="005C240B">
        <w:rPr>
          <w:rFonts w:ascii="Times New Roman" w:hAnsi="Times New Roman"/>
          <w:sz w:val="22"/>
          <w:szCs w:val="22"/>
        </w:rPr>
        <w:t>truck fleet the nat</w:t>
      </w:r>
      <w:r>
        <w:rPr>
          <w:rFonts w:ascii="Times New Roman" w:hAnsi="Times New Roman"/>
          <w:sz w:val="22"/>
          <w:szCs w:val="22"/>
        </w:rPr>
        <w:t xml:space="preserve">ion benefits by having a more </w:t>
      </w:r>
      <w:r w:rsidR="00E020D5">
        <w:rPr>
          <w:rFonts w:ascii="Times New Roman" w:hAnsi="Times New Roman"/>
          <w:sz w:val="22"/>
          <w:szCs w:val="22"/>
        </w:rPr>
        <w:t xml:space="preserve">energy </w:t>
      </w:r>
      <w:r>
        <w:rPr>
          <w:rFonts w:ascii="Times New Roman" w:hAnsi="Times New Roman"/>
          <w:sz w:val="22"/>
          <w:szCs w:val="22"/>
        </w:rPr>
        <w:t>productive distribution channel and a healthier</w:t>
      </w:r>
      <w:r w:rsidRPr="005C240B">
        <w:rPr>
          <w:rFonts w:ascii="Times New Roman" w:hAnsi="Times New Roman"/>
          <w:sz w:val="22"/>
          <w:szCs w:val="22"/>
        </w:rPr>
        <w:t xml:space="preserve"> Australian truck fleet that also markets the latest safety technologies mak</w:t>
      </w:r>
      <w:r>
        <w:rPr>
          <w:rFonts w:ascii="Times New Roman" w:hAnsi="Times New Roman"/>
          <w:sz w:val="22"/>
          <w:szCs w:val="22"/>
        </w:rPr>
        <w:t xml:space="preserve">ing </w:t>
      </w:r>
      <w:r w:rsidRPr="005C240B">
        <w:rPr>
          <w:rFonts w:ascii="Times New Roman" w:hAnsi="Times New Roman"/>
          <w:sz w:val="22"/>
          <w:szCs w:val="22"/>
        </w:rPr>
        <w:t xml:space="preserve">road </w:t>
      </w:r>
      <w:r>
        <w:rPr>
          <w:rFonts w:ascii="Times New Roman" w:hAnsi="Times New Roman"/>
          <w:sz w:val="22"/>
          <w:szCs w:val="22"/>
        </w:rPr>
        <w:t xml:space="preserve">travel </w:t>
      </w:r>
      <w:r w:rsidRPr="005C240B">
        <w:rPr>
          <w:rFonts w:ascii="Times New Roman" w:hAnsi="Times New Roman"/>
          <w:sz w:val="22"/>
          <w:szCs w:val="22"/>
        </w:rPr>
        <w:t>safer for all users.</w:t>
      </w:r>
    </w:p>
    <w:p w14:paraId="7AD6D6D5" w14:textId="77777777" w:rsidR="00E104E9" w:rsidRDefault="00E104E9" w:rsidP="00414677">
      <w:pPr>
        <w:rPr>
          <w:rFonts w:ascii="Times New Roman" w:hAnsi="Times New Roman"/>
          <w:sz w:val="22"/>
          <w:szCs w:val="22"/>
        </w:rPr>
      </w:pPr>
    </w:p>
    <w:p w14:paraId="36EB4008" w14:textId="77777777" w:rsidR="00C04243" w:rsidRDefault="00C04243" w:rsidP="00414677">
      <w:pPr>
        <w:rPr>
          <w:rFonts w:ascii="Times New Roman" w:hAnsi="Times New Roman"/>
          <w:sz w:val="22"/>
          <w:szCs w:val="22"/>
        </w:rPr>
      </w:pPr>
    </w:p>
    <w:p w14:paraId="7A0432BE" w14:textId="77777777" w:rsidR="00C04243" w:rsidRPr="00E104E9" w:rsidRDefault="00C04243" w:rsidP="00414677">
      <w:pPr>
        <w:rPr>
          <w:rFonts w:ascii="Times New Roman" w:hAnsi="Times New Roman"/>
          <w:sz w:val="22"/>
          <w:szCs w:val="22"/>
        </w:rPr>
      </w:pPr>
    </w:p>
    <w:p w14:paraId="489C7CE0" w14:textId="77777777" w:rsidR="00996917" w:rsidRDefault="00996917" w:rsidP="00414677">
      <w:pPr>
        <w:rPr>
          <w:rFonts w:ascii="Times New Roman" w:hAnsi="Times New Roman"/>
          <w:b/>
          <w:sz w:val="22"/>
          <w:szCs w:val="22"/>
        </w:rPr>
      </w:pPr>
    </w:p>
    <w:p w14:paraId="366F6BD3" w14:textId="77777777" w:rsidR="00996917" w:rsidRDefault="00996917" w:rsidP="00414677">
      <w:pPr>
        <w:rPr>
          <w:rFonts w:ascii="Times New Roman" w:hAnsi="Times New Roman"/>
          <w:b/>
          <w:sz w:val="22"/>
          <w:szCs w:val="22"/>
        </w:rPr>
      </w:pPr>
    </w:p>
    <w:p w14:paraId="6B885E4F" w14:textId="77777777" w:rsidR="00996917" w:rsidRDefault="00996917" w:rsidP="00414677">
      <w:pPr>
        <w:rPr>
          <w:rFonts w:ascii="Times New Roman" w:hAnsi="Times New Roman"/>
          <w:b/>
          <w:sz w:val="22"/>
          <w:szCs w:val="22"/>
        </w:rPr>
      </w:pPr>
    </w:p>
    <w:p w14:paraId="1EFCA0BE" w14:textId="77777777" w:rsidR="00414677" w:rsidRPr="005E23FA" w:rsidRDefault="00926255" w:rsidP="00414677">
      <w:pPr>
        <w:rPr>
          <w:rFonts w:ascii="Times New Roman" w:hAnsi="Times New Roman"/>
          <w:b/>
          <w:sz w:val="22"/>
          <w:szCs w:val="22"/>
        </w:rPr>
      </w:pPr>
      <w:r>
        <w:rPr>
          <w:rFonts w:ascii="Times New Roman" w:hAnsi="Times New Roman"/>
          <w:b/>
          <w:sz w:val="22"/>
          <w:szCs w:val="22"/>
        </w:rPr>
        <w:lastRenderedPageBreak/>
        <w:t>3</w:t>
      </w:r>
      <w:r w:rsidR="00414677">
        <w:rPr>
          <w:rFonts w:ascii="Times New Roman" w:hAnsi="Times New Roman"/>
          <w:b/>
          <w:sz w:val="22"/>
          <w:szCs w:val="22"/>
        </w:rPr>
        <w:t>.</w:t>
      </w:r>
      <w:r w:rsidR="00414677" w:rsidRPr="005E23FA">
        <w:rPr>
          <w:rFonts w:ascii="Times New Roman" w:hAnsi="Times New Roman"/>
          <w:b/>
          <w:sz w:val="22"/>
          <w:szCs w:val="22"/>
        </w:rPr>
        <w:tab/>
      </w:r>
      <w:r w:rsidR="00690ACE">
        <w:rPr>
          <w:rFonts w:ascii="Times New Roman" w:hAnsi="Times New Roman"/>
          <w:b/>
          <w:sz w:val="22"/>
          <w:szCs w:val="22"/>
        </w:rPr>
        <w:t>2017 Industry Scope</w:t>
      </w:r>
      <w:r w:rsidR="00414677" w:rsidRPr="005E23FA">
        <w:rPr>
          <w:rFonts w:ascii="Times New Roman" w:hAnsi="Times New Roman"/>
          <w:b/>
          <w:sz w:val="22"/>
          <w:szCs w:val="22"/>
        </w:rPr>
        <w:t xml:space="preserve"> </w:t>
      </w:r>
    </w:p>
    <w:p w14:paraId="5CAF5A22" w14:textId="77777777" w:rsidR="00414677" w:rsidRPr="005C240B" w:rsidRDefault="00414677" w:rsidP="00414677">
      <w:pPr>
        <w:rPr>
          <w:rFonts w:ascii="Times New Roman" w:hAnsi="Times New Roman"/>
          <w:sz w:val="22"/>
          <w:szCs w:val="22"/>
        </w:rPr>
      </w:pPr>
    </w:p>
    <w:p w14:paraId="4E21C4A2" w14:textId="53ED49DA" w:rsidR="00414677" w:rsidRPr="00806C96" w:rsidRDefault="00414677" w:rsidP="00414677">
      <w:pPr>
        <w:rPr>
          <w:rFonts w:ascii="Times New Roman" w:hAnsi="Times New Roman"/>
          <w:sz w:val="22"/>
          <w:szCs w:val="22"/>
        </w:rPr>
      </w:pPr>
      <w:r w:rsidRPr="00806C96">
        <w:rPr>
          <w:rFonts w:ascii="Times New Roman" w:hAnsi="Times New Roman"/>
          <w:sz w:val="22"/>
          <w:szCs w:val="22"/>
        </w:rPr>
        <w:t>T</w:t>
      </w:r>
      <w:r w:rsidR="00690ACE">
        <w:rPr>
          <w:rFonts w:ascii="Times New Roman" w:hAnsi="Times New Roman"/>
          <w:sz w:val="22"/>
          <w:szCs w:val="22"/>
        </w:rPr>
        <w:t xml:space="preserve">he Truck Industry Council </w:t>
      </w:r>
      <w:r w:rsidRPr="00806C96">
        <w:rPr>
          <w:rFonts w:ascii="Times New Roman" w:hAnsi="Times New Roman"/>
          <w:sz w:val="22"/>
          <w:szCs w:val="22"/>
        </w:rPr>
        <w:t xml:space="preserve">is an independent, not-for-profit </w:t>
      </w:r>
      <w:r w:rsidR="0050437E">
        <w:rPr>
          <w:rFonts w:ascii="Times New Roman" w:hAnsi="Times New Roman"/>
          <w:sz w:val="22"/>
          <w:szCs w:val="22"/>
        </w:rPr>
        <w:t xml:space="preserve">peak industry </w:t>
      </w:r>
      <w:r w:rsidRPr="00806C96">
        <w:rPr>
          <w:rFonts w:ascii="Times New Roman" w:hAnsi="Times New Roman"/>
          <w:sz w:val="22"/>
          <w:szCs w:val="22"/>
        </w:rPr>
        <w:t xml:space="preserve">organisation representing the united views of truck manufacturers, truck importers, </w:t>
      </w:r>
      <w:r w:rsidR="00C04243">
        <w:rPr>
          <w:rFonts w:ascii="Times New Roman" w:hAnsi="Times New Roman"/>
          <w:sz w:val="22"/>
          <w:szCs w:val="22"/>
        </w:rPr>
        <w:t>heavy vehicle</w:t>
      </w:r>
      <w:r w:rsidRPr="00806C96">
        <w:rPr>
          <w:rFonts w:ascii="Times New Roman" w:hAnsi="Times New Roman"/>
          <w:sz w:val="22"/>
          <w:szCs w:val="22"/>
        </w:rPr>
        <w:t xml:space="preserve"> engine companies and major component suppliers to the Federal Government,</w:t>
      </w:r>
      <w:r>
        <w:rPr>
          <w:rFonts w:ascii="Times New Roman" w:hAnsi="Times New Roman"/>
          <w:sz w:val="22"/>
          <w:szCs w:val="22"/>
        </w:rPr>
        <w:t xml:space="preserve"> State and Territory G</w:t>
      </w:r>
      <w:r w:rsidRPr="00806C96">
        <w:rPr>
          <w:rFonts w:ascii="Times New Roman" w:hAnsi="Times New Roman"/>
          <w:sz w:val="22"/>
          <w:szCs w:val="22"/>
        </w:rPr>
        <w:t xml:space="preserve">overnments, </w:t>
      </w:r>
      <w:r>
        <w:rPr>
          <w:rFonts w:ascii="Times New Roman" w:hAnsi="Times New Roman"/>
          <w:sz w:val="22"/>
          <w:szCs w:val="22"/>
        </w:rPr>
        <w:t>Local Government, Industry and B</w:t>
      </w:r>
      <w:r w:rsidRPr="00806C96">
        <w:rPr>
          <w:rFonts w:ascii="Times New Roman" w:hAnsi="Times New Roman"/>
          <w:sz w:val="22"/>
          <w:szCs w:val="22"/>
        </w:rPr>
        <w:t>usiness associations and the general public.</w:t>
      </w:r>
    </w:p>
    <w:p w14:paraId="0081657B" w14:textId="77777777" w:rsidR="00414677" w:rsidRPr="00806C96" w:rsidRDefault="00414677" w:rsidP="00414677">
      <w:pPr>
        <w:rPr>
          <w:rFonts w:ascii="Times New Roman" w:hAnsi="Times New Roman"/>
          <w:sz w:val="22"/>
          <w:szCs w:val="22"/>
        </w:rPr>
      </w:pPr>
    </w:p>
    <w:p w14:paraId="7F1EBF00" w14:textId="77777777" w:rsidR="00414677" w:rsidRPr="00806C96" w:rsidRDefault="00414677" w:rsidP="00414677">
      <w:pPr>
        <w:rPr>
          <w:rFonts w:ascii="Times New Roman" w:hAnsi="Times New Roman"/>
          <w:sz w:val="22"/>
          <w:szCs w:val="22"/>
        </w:rPr>
      </w:pPr>
      <w:r w:rsidRPr="00806C96">
        <w:rPr>
          <w:rFonts w:ascii="Times New Roman" w:hAnsi="Times New Roman"/>
          <w:sz w:val="22"/>
          <w:szCs w:val="22"/>
        </w:rPr>
        <w:t>Membership of TIC is inclusive of all truck manufacturers and importers/distributors in Australia and currently consists of:</w:t>
      </w:r>
    </w:p>
    <w:p w14:paraId="5992605B" w14:textId="77777777" w:rsidR="00414677" w:rsidRPr="00806C96" w:rsidRDefault="00414677" w:rsidP="00414677">
      <w:pPr>
        <w:rPr>
          <w:rFonts w:ascii="Times New Roman" w:hAnsi="Times New Roman"/>
          <w:sz w:val="22"/>
          <w:szCs w:val="22"/>
        </w:rPr>
      </w:pPr>
    </w:p>
    <w:p w14:paraId="5F876417" w14:textId="77777777" w:rsidR="00414677" w:rsidRPr="00806C96" w:rsidRDefault="00414677" w:rsidP="00414677">
      <w:pPr>
        <w:numPr>
          <w:ilvl w:val="0"/>
          <w:numId w:val="17"/>
        </w:numPr>
        <w:ind w:left="425" w:hanging="425"/>
        <w:rPr>
          <w:rFonts w:ascii="Times New Roman" w:hAnsi="Times New Roman"/>
          <w:sz w:val="22"/>
          <w:szCs w:val="22"/>
        </w:rPr>
      </w:pPr>
      <w:r>
        <w:rPr>
          <w:rFonts w:ascii="Times New Roman" w:hAnsi="Times New Roman"/>
          <w:sz w:val="22"/>
          <w:szCs w:val="22"/>
        </w:rPr>
        <w:t>9</w:t>
      </w:r>
      <w:r w:rsidRPr="00806C96">
        <w:rPr>
          <w:rFonts w:ascii="Times New Roman" w:hAnsi="Times New Roman"/>
          <w:sz w:val="22"/>
          <w:szCs w:val="22"/>
        </w:rPr>
        <w:t xml:space="preserve"> truck manufacturers/dis</w:t>
      </w:r>
      <w:r>
        <w:rPr>
          <w:rFonts w:ascii="Times New Roman" w:hAnsi="Times New Roman"/>
          <w:sz w:val="22"/>
          <w:szCs w:val="22"/>
        </w:rPr>
        <w:t>tributors</w:t>
      </w:r>
      <w:r w:rsidRPr="00581EFE">
        <w:rPr>
          <w:rFonts w:ascii="Times New Roman" w:hAnsi="Times New Roman"/>
          <w:sz w:val="22"/>
          <w:szCs w:val="22"/>
        </w:rPr>
        <w:t xml:space="preserve"> representing 17 brands</w:t>
      </w:r>
    </w:p>
    <w:p w14:paraId="6817A8CF" w14:textId="77777777" w:rsidR="00414677" w:rsidRPr="00806C96" w:rsidRDefault="00414677" w:rsidP="00414677">
      <w:pPr>
        <w:numPr>
          <w:ilvl w:val="0"/>
          <w:numId w:val="17"/>
        </w:numPr>
        <w:ind w:left="425" w:hanging="425"/>
        <w:rPr>
          <w:rFonts w:ascii="Times New Roman" w:hAnsi="Times New Roman"/>
          <w:sz w:val="22"/>
          <w:szCs w:val="22"/>
        </w:rPr>
      </w:pPr>
      <w:r w:rsidRPr="00806C96">
        <w:rPr>
          <w:rFonts w:ascii="Times New Roman" w:hAnsi="Times New Roman"/>
          <w:sz w:val="22"/>
          <w:szCs w:val="22"/>
        </w:rPr>
        <w:t>3 engine and component suppliers.</w:t>
      </w:r>
    </w:p>
    <w:p w14:paraId="6EB400F6" w14:textId="77777777" w:rsidR="00414677" w:rsidRPr="00806C96" w:rsidRDefault="00414677" w:rsidP="00414677">
      <w:pPr>
        <w:rPr>
          <w:rFonts w:ascii="Times New Roman" w:hAnsi="Times New Roman"/>
          <w:sz w:val="22"/>
          <w:szCs w:val="22"/>
        </w:rPr>
      </w:pPr>
    </w:p>
    <w:p w14:paraId="0A95CF90" w14:textId="5F962845" w:rsidR="00414677" w:rsidRPr="00806C96" w:rsidRDefault="00414677" w:rsidP="00414677">
      <w:pPr>
        <w:rPr>
          <w:rFonts w:ascii="Times New Roman" w:hAnsi="Times New Roman"/>
          <w:sz w:val="22"/>
          <w:szCs w:val="22"/>
        </w:rPr>
      </w:pPr>
      <w:r w:rsidRPr="00806C96">
        <w:rPr>
          <w:rFonts w:ascii="Times New Roman" w:hAnsi="Times New Roman"/>
          <w:sz w:val="22"/>
          <w:szCs w:val="22"/>
        </w:rPr>
        <w:t>In 201</w:t>
      </w:r>
      <w:r w:rsidR="00DA115B">
        <w:rPr>
          <w:rFonts w:ascii="Times New Roman" w:hAnsi="Times New Roman"/>
          <w:sz w:val="22"/>
          <w:szCs w:val="22"/>
        </w:rPr>
        <w:t>7</w:t>
      </w:r>
      <w:r w:rsidRPr="00806C96">
        <w:rPr>
          <w:rFonts w:ascii="Times New Roman" w:hAnsi="Times New Roman"/>
          <w:sz w:val="22"/>
          <w:szCs w:val="22"/>
        </w:rPr>
        <w:t xml:space="preserve"> the truck industry is designing, engineering, testing, developing, and manufacturing trucks at </w:t>
      </w:r>
      <w:r>
        <w:rPr>
          <w:rFonts w:ascii="Times New Roman" w:hAnsi="Times New Roman"/>
          <w:sz w:val="22"/>
          <w:szCs w:val="22"/>
        </w:rPr>
        <w:t>three</w:t>
      </w:r>
      <w:r w:rsidRPr="00806C96">
        <w:rPr>
          <w:rFonts w:ascii="Times New Roman" w:hAnsi="Times New Roman"/>
          <w:sz w:val="22"/>
          <w:szCs w:val="22"/>
        </w:rPr>
        <w:t xml:space="preserve"> major locations in Australia</w:t>
      </w:r>
      <w:r>
        <w:rPr>
          <w:rFonts w:ascii="Times New Roman" w:hAnsi="Times New Roman"/>
          <w:sz w:val="22"/>
          <w:szCs w:val="22"/>
        </w:rPr>
        <w:t xml:space="preserve"> </w:t>
      </w:r>
      <w:r w:rsidRPr="00620789">
        <w:rPr>
          <w:rFonts w:ascii="Times New Roman" w:hAnsi="Times New Roman"/>
          <w:sz w:val="22"/>
          <w:szCs w:val="22"/>
          <w:u w:val="single"/>
        </w:rPr>
        <w:t xml:space="preserve">without </w:t>
      </w:r>
      <w:r w:rsidR="00E36089">
        <w:rPr>
          <w:rFonts w:ascii="Times New Roman" w:hAnsi="Times New Roman"/>
          <w:sz w:val="22"/>
          <w:szCs w:val="22"/>
          <w:u w:val="single"/>
        </w:rPr>
        <w:t>F</w:t>
      </w:r>
      <w:r w:rsidR="008B4819" w:rsidRPr="00DA115B">
        <w:rPr>
          <w:rFonts w:ascii="Times New Roman" w:hAnsi="Times New Roman"/>
          <w:sz w:val="22"/>
          <w:szCs w:val="22"/>
          <w:u w:val="single"/>
        </w:rPr>
        <w:t>ederal</w:t>
      </w:r>
      <w:r w:rsidR="008B4819">
        <w:rPr>
          <w:rFonts w:ascii="Times New Roman" w:hAnsi="Times New Roman"/>
          <w:sz w:val="22"/>
          <w:szCs w:val="22"/>
          <w:u w:val="single"/>
        </w:rPr>
        <w:t xml:space="preserve"> </w:t>
      </w:r>
      <w:r w:rsidRPr="00620789">
        <w:rPr>
          <w:rFonts w:ascii="Times New Roman" w:hAnsi="Times New Roman"/>
          <w:sz w:val="22"/>
          <w:szCs w:val="22"/>
          <w:u w:val="single"/>
        </w:rPr>
        <w:t>Government assistance</w:t>
      </w:r>
      <w:r w:rsidRPr="00806C96">
        <w:rPr>
          <w:rFonts w:ascii="Times New Roman" w:hAnsi="Times New Roman"/>
          <w:sz w:val="22"/>
          <w:szCs w:val="22"/>
        </w:rPr>
        <w:t>. The companies involved, and their locations, are:</w:t>
      </w:r>
    </w:p>
    <w:p w14:paraId="304873E5" w14:textId="77777777" w:rsidR="00414677" w:rsidRPr="00806C96" w:rsidRDefault="00414677" w:rsidP="00414677">
      <w:pPr>
        <w:rPr>
          <w:rFonts w:ascii="Times New Roman" w:hAnsi="Times New Roman"/>
          <w:sz w:val="22"/>
          <w:szCs w:val="22"/>
        </w:rPr>
      </w:pPr>
    </w:p>
    <w:p w14:paraId="6692F4F3" w14:textId="77777777" w:rsidR="00414677" w:rsidRPr="00806C96" w:rsidRDefault="00414677" w:rsidP="00414677">
      <w:pPr>
        <w:numPr>
          <w:ilvl w:val="1"/>
          <w:numId w:val="17"/>
        </w:numPr>
        <w:rPr>
          <w:rFonts w:ascii="Times New Roman" w:hAnsi="Times New Roman"/>
          <w:sz w:val="22"/>
          <w:szCs w:val="22"/>
        </w:rPr>
      </w:pPr>
      <w:r w:rsidRPr="00DB115C">
        <w:rPr>
          <w:rFonts w:ascii="Times New Roman" w:hAnsi="Times New Roman"/>
          <w:sz w:val="22"/>
          <w:szCs w:val="22"/>
        </w:rPr>
        <w:t>VOLVO GROUP AUSTRALIA</w:t>
      </w:r>
      <w:r w:rsidRPr="00806C96">
        <w:rPr>
          <w:rFonts w:ascii="Times New Roman" w:hAnsi="Times New Roman"/>
          <w:sz w:val="22"/>
          <w:szCs w:val="22"/>
        </w:rPr>
        <w:t>, manufacturing Volvo and Mack brand trucks at Wacol, Queensland;</w:t>
      </w:r>
    </w:p>
    <w:p w14:paraId="2ECC0989" w14:textId="77777777" w:rsidR="00414677" w:rsidRPr="00806C96" w:rsidRDefault="00414677" w:rsidP="00414677">
      <w:pPr>
        <w:numPr>
          <w:ilvl w:val="1"/>
          <w:numId w:val="17"/>
        </w:numPr>
        <w:spacing w:before="120"/>
        <w:rPr>
          <w:rFonts w:ascii="Times New Roman" w:hAnsi="Times New Roman"/>
          <w:sz w:val="22"/>
          <w:szCs w:val="22"/>
        </w:rPr>
      </w:pPr>
      <w:r w:rsidRPr="00DB115C">
        <w:rPr>
          <w:rFonts w:ascii="Times New Roman" w:hAnsi="Times New Roman"/>
          <w:sz w:val="22"/>
          <w:szCs w:val="22"/>
        </w:rPr>
        <w:t>PACCAR AUSTRALIA</w:t>
      </w:r>
      <w:r w:rsidRPr="00806C96">
        <w:rPr>
          <w:rFonts w:ascii="Times New Roman" w:hAnsi="Times New Roman"/>
          <w:sz w:val="22"/>
          <w:szCs w:val="22"/>
        </w:rPr>
        <w:t xml:space="preserve">, manufacturing Kenworth trucks at Bayswater, Victoria; </w:t>
      </w:r>
    </w:p>
    <w:p w14:paraId="64969EE4" w14:textId="77777777" w:rsidR="00414677" w:rsidRDefault="00414677" w:rsidP="00414677">
      <w:pPr>
        <w:numPr>
          <w:ilvl w:val="1"/>
          <w:numId w:val="17"/>
        </w:numPr>
        <w:spacing w:before="120"/>
        <w:rPr>
          <w:rFonts w:ascii="Times New Roman" w:hAnsi="Times New Roman"/>
          <w:sz w:val="22"/>
          <w:szCs w:val="22"/>
        </w:rPr>
      </w:pPr>
      <w:r w:rsidRPr="00DB115C">
        <w:rPr>
          <w:rFonts w:ascii="Times New Roman" w:hAnsi="Times New Roman"/>
          <w:sz w:val="22"/>
          <w:szCs w:val="22"/>
        </w:rPr>
        <w:t>IVECO TRUCKS AUSTRALIA</w:t>
      </w:r>
      <w:r w:rsidRPr="00806C96">
        <w:rPr>
          <w:rFonts w:ascii="Times New Roman" w:hAnsi="Times New Roman"/>
          <w:sz w:val="22"/>
          <w:szCs w:val="22"/>
        </w:rPr>
        <w:t xml:space="preserve">, manufacturing IVECO trucks at Dandenong, </w:t>
      </w:r>
      <w:r>
        <w:rPr>
          <w:rFonts w:ascii="Times New Roman" w:hAnsi="Times New Roman"/>
          <w:sz w:val="22"/>
          <w:szCs w:val="22"/>
        </w:rPr>
        <w:t>Victoria</w:t>
      </w:r>
      <w:r w:rsidRPr="00806C96">
        <w:rPr>
          <w:rFonts w:ascii="Times New Roman" w:hAnsi="Times New Roman"/>
          <w:sz w:val="22"/>
          <w:szCs w:val="22"/>
        </w:rPr>
        <w:t>.</w:t>
      </w:r>
    </w:p>
    <w:p w14:paraId="015A6DAB" w14:textId="77777777" w:rsidR="00414677" w:rsidRPr="005C240B" w:rsidRDefault="00414677" w:rsidP="00414677">
      <w:pPr>
        <w:rPr>
          <w:rFonts w:ascii="Times New Roman" w:hAnsi="Times New Roman"/>
          <w:sz w:val="22"/>
          <w:szCs w:val="22"/>
        </w:rPr>
      </w:pPr>
    </w:p>
    <w:p w14:paraId="052DEEA0" w14:textId="77777777" w:rsidR="00DA115B" w:rsidRDefault="00414677" w:rsidP="00414677">
      <w:pPr>
        <w:rPr>
          <w:rFonts w:ascii="Times New Roman" w:hAnsi="Times New Roman"/>
          <w:sz w:val="22"/>
          <w:szCs w:val="22"/>
        </w:rPr>
      </w:pPr>
      <w:r w:rsidRPr="005C240B">
        <w:rPr>
          <w:rFonts w:ascii="Times New Roman" w:hAnsi="Times New Roman"/>
          <w:sz w:val="22"/>
          <w:szCs w:val="22"/>
        </w:rPr>
        <w:t xml:space="preserve">These </w:t>
      </w:r>
      <w:r>
        <w:rPr>
          <w:rFonts w:ascii="Times New Roman" w:hAnsi="Times New Roman"/>
          <w:sz w:val="22"/>
          <w:szCs w:val="22"/>
        </w:rPr>
        <w:t>three</w:t>
      </w:r>
      <w:r w:rsidRPr="005C240B">
        <w:rPr>
          <w:rFonts w:ascii="Times New Roman" w:hAnsi="Times New Roman"/>
          <w:sz w:val="22"/>
          <w:szCs w:val="22"/>
        </w:rPr>
        <w:t xml:space="preserve"> plants are necessary to meet the specific requirements of Australian operators who work in conditions unique to anywhere else in the world and with truck importers ensure the efficient transportation of the nation’s growing freight task. The </w:t>
      </w:r>
      <w:r>
        <w:rPr>
          <w:rFonts w:ascii="Times New Roman" w:hAnsi="Times New Roman"/>
          <w:sz w:val="22"/>
          <w:szCs w:val="22"/>
        </w:rPr>
        <w:t xml:space="preserve">three </w:t>
      </w:r>
      <w:r w:rsidRPr="005C240B">
        <w:rPr>
          <w:rFonts w:ascii="Times New Roman" w:hAnsi="Times New Roman"/>
          <w:sz w:val="22"/>
          <w:szCs w:val="22"/>
        </w:rPr>
        <w:t xml:space="preserve">plants </w:t>
      </w:r>
      <w:r>
        <w:rPr>
          <w:rFonts w:ascii="Times New Roman" w:hAnsi="Times New Roman"/>
          <w:sz w:val="22"/>
          <w:szCs w:val="22"/>
        </w:rPr>
        <w:t xml:space="preserve">combined </w:t>
      </w:r>
      <w:r w:rsidRPr="005C240B">
        <w:rPr>
          <w:rFonts w:ascii="Times New Roman" w:hAnsi="Times New Roman"/>
          <w:sz w:val="22"/>
          <w:szCs w:val="22"/>
        </w:rPr>
        <w:t xml:space="preserve">produce </w:t>
      </w:r>
      <w:r w:rsidRPr="00581EFE">
        <w:rPr>
          <w:rFonts w:ascii="Times New Roman" w:hAnsi="Times New Roman"/>
          <w:sz w:val="22"/>
          <w:szCs w:val="22"/>
        </w:rPr>
        <w:t>about 50%</w:t>
      </w:r>
      <w:r w:rsidRPr="00620789">
        <w:rPr>
          <w:rFonts w:ascii="Times New Roman" w:hAnsi="Times New Roman"/>
          <w:color w:val="FF0000"/>
          <w:sz w:val="22"/>
          <w:szCs w:val="22"/>
        </w:rPr>
        <w:t xml:space="preserve"> </w:t>
      </w:r>
      <w:r w:rsidRPr="005C240B">
        <w:rPr>
          <w:rFonts w:ascii="Times New Roman" w:hAnsi="Times New Roman"/>
          <w:sz w:val="22"/>
          <w:szCs w:val="22"/>
        </w:rPr>
        <w:t>of all heavy duty trucks sold in Australia,</w:t>
      </w:r>
      <w:r>
        <w:rPr>
          <w:rStyle w:val="FootnoteReference"/>
          <w:rFonts w:ascii="Times New Roman" w:hAnsi="Times New Roman"/>
          <w:sz w:val="22"/>
          <w:szCs w:val="22"/>
        </w:rPr>
        <w:footnoteReference w:id="1"/>
      </w:r>
      <w:r w:rsidRPr="005C240B">
        <w:rPr>
          <w:rFonts w:ascii="Times New Roman" w:hAnsi="Times New Roman"/>
          <w:sz w:val="22"/>
          <w:szCs w:val="22"/>
        </w:rPr>
        <w:t xml:space="preserve"> and </w:t>
      </w:r>
      <w:r w:rsidR="00135613" w:rsidRPr="00DA115B">
        <w:rPr>
          <w:rFonts w:ascii="Times New Roman" w:hAnsi="Times New Roman"/>
          <w:sz w:val="22"/>
          <w:szCs w:val="22"/>
        </w:rPr>
        <w:t>more than 80%</w:t>
      </w:r>
      <w:r w:rsidR="00135613">
        <w:rPr>
          <w:rFonts w:ascii="Times New Roman" w:hAnsi="Times New Roman"/>
          <w:color w:val="FF0000"/>
          <w:sz w:val="22"/>
          <w:szCs w:val="22"/>
        </w:rPr>
        <w:t xml:space="preserve"> </w:t>
      </w:r>
      <w:r w:rsidRPr="005C240B">
        <w:rPr>
          <w:rFonts w:ascii="Times New Roman" w:hAnsi="Times New Roman"/>
          <w:sz w:val="22"/>
          <w:szCs w:val="22"/>
        </w:rPr>
        <w:t xml:space="preserve">of the </w:t>
      </w:r>
      <w:r>
        <w:rPr>
          <w:rFonts w:ascii="Times New Roman" w:hAnsi="Times New Roman"/>
          <w:sz w:val="22"/>
          <w:szCs w:val="22"/>
        </w:rPr>
        <w:t>heavy haulage</w:t>
      </w:r>
      <w:r w:rsidRPr="005C240B">
        <w:rPr>
          <w:rFonts w:ascii="Times New Roman" w:hAnsi="Times New Roman"/>
          <w:sz w:val="22"/>
          <w:szCs w:val="22"/>
        </w:rPr>
        <w:t xml:space="preserve"> vehicles used in Australia’s mining industry. In addition, the majority of the road trains that service outback Australia are also designed and built in Australia. </w:t>
      </w:r>
    </w:p>
    <w:p w14:paraId="4E2817C3" w14:textId="77777777" w:rsidR="00DA115B" w:rsidRDefault="00DA115B" w:rsidP="00414677">
      <w:pPr>
        <w:rPr>
          <w:rFonts w:ascii="Times New Roman" w:hAnsi="Times New Roman"/>
          <w:sz w:val="22"/>
          <w:szCs w:val="22"/>
        </w:rPr>
      </w:pPr>
    </w:p>
    <w:p w14:paraId="73247C8B" w14:textId="58320003" w:rsidR="0007363D" w:rsidRDefault="00414677" w:rsidP="00414677">
      <w:pPr>
        <w:rPr>
          <w:rFonts w:ascii="Times New Roman" w:hAnsi="Times New Roman"/>
          <w:sz w:val="22"/>
          <w:szCs w:val="22"/>
        </w:rPr>
      </w:pPr>
      <w:r w:rsidRPr="005C240B">
        <w:rPr>
          <w:rFonts w:ascii="Times New Roman" w:hAnsi="Times New Roman"/>
          <w:sz w:val="22"/>
          <w:szCs w:val="22"/>
        </w:rPr>
        <w:t>The</w:t>
      </w:r>
      <w:r w:rsidR="0007363D">
        <w:rPr>
          <w:rFonts w:ascii="Times New Roman" w:hAnsi="Times New Roman"/>
          <w:sz w:val="22"/>
          <w:szCs w:val="22"/>
        </w:rPr>
        <w:t xml:space="preserve"> Australian </w:t>
      </w:r>
      <w:r w:rsidR="00135613" w:rsidRPr="00DA115B">
        <w:rPr>
          <w:rFonts w:ascii="Times New Roman" w:hAnsi="Times New Roman"/>
          <w:sz w:val="22"/>
          <w:szCs w:val="22"/>
        </w:rPr>
        <w:t xml:space="preserve">new </w:t>
      </w:r>
      <w:r w:rsidR="0007363D">
        <w:rPr>
          <w:rFonts w:ascii="Times New Roman" w:hAnsi="Times New Roman"/>
          <w:sz w:val="22"/>
          <w:szCs w:val="22"/>
        </w:rPr>
        <w:t xml:space="preserve">truck market is a </w:t>
      </w:r>
      <w:r w:rsidR="0007363D" w:rsidRPr="00DA115B">
        <w:rPr>
          <w:rFonts w:ascii="Times New Roman" w:hAnsi="Times New Roman"/>
          <w:sz w:val="22"/>
          <w:szCs w:val="22"/>
        </w:rPr>
        <w:t>$3.5</w:t>
      </w:r>
      <w:r w:rsidRPr="00DA115B">
        <w:rPr>
          <w:rFonts w:ascii="Times New Roman" w:hAnsi="Times New Roman"/>
          <w:sz w:val="22"/>
          <w:szCs w:val="22"/>
        </w:rPr>
        <w:t>B</w:t>
      </w:r>
      <w:r w:rsidRPr="005C240B">
        <w:rPr>
          <w:rFonts w:ascii="Times New Roman" w:hAnsi="Times New Roman"/>
          <w:sz w:val="22"/>
          <w:szCs w:val="22"/>
        </w:rPr>
        <w:t xml:space="preserve"> industry with </w:t>
      </w:r>
      <w:r w:rsidR="00DA115B">
        <w:rPr>
          <w:rFonts w:ascii="Times New Roman" w:hAnsi="Times New Roman"/>
          <w:sz w:val="22"/>
          <w:szCs w:val="22"/>
        </w:rPr>
        <w:t>a</w:t>
      </w:r>
      <w:r w:rsidRPr="005C240B">
        <w:rPr>
          <w:rFonts w:ascii="Times New Roman" w:hAnsi="Times New Roman"/>
          <w:sz w:val="22"/>
          <w:szCs w:val="22"/>
        </w:rPr>
        <w:t xml:space="preserve">ncillary activities estimated to have an economic value of a further </w:t>
      </w:r>
      <w:r w:rsidR="00104FC3" w:rsidRPr="00DA115B">
        <w:rPr>
          <w:rFonts w:ascii="Times New Roman" w:hAnsi="Times New Roman"/>
          <w:sz w:val="22"/>
          <w:szCs w:val="22"/>
        </w:rPr>
        <w:t>$6</w:t>
      </w:r>
      <w:r w:rsidRPr="00DA115B">
        <w:rPr>
          <w:rFonts w:ascii="Times New Roman" w:hAnsi="Times New Roman"/>
          <w:sz w:val="22"/>
          <w:szCs w:val="22"/>
        </w:rPr>
        <w:t>B</w:t>
      </w:r>
      <w:r w:rsidRPr="005C240B">
        <w:rPr>
          <w:rFonts w:ascii="Times New Roman" w:hAnsi="Times New Roman"/>
          <w:sz w:val="22"/>
          <w:szCs w:val="22"/>
        </w:rPr>
        <w:t xml:space="preserve">. </w:t>
      </w:r>
      <w:r w:rsidR="00DA115B">
        <w:rPr>
          <w:rFonts w:ascii="Times New Roman" w:hAnsi="Times New Roman"/>
          <w:sz w:val="22"/>
          <w:szCs w:val="22"/>
        </w:rPr>
        <w:t>For the past three years, 2014, 2015 and 2016</w:t>
      </w:r>
      <w:r w:rsidRPr="00581EFE">
        <w:rPr>
          <w:rFonts w:ascii="Times New Roman" w:hAnsi="Times New Roman"/>
          <w:sz w:val="22"/>
          <w:szCs w:val="22"/>
        </w:rPr>
        <w:t xml:space="preserve"> yearly sales have </w:t>
      </w:r>
      <w:r w:rsidR="003E4C3F">
        <w:rPr>
          <w:rFonts w:ascii="Times New Roman" w:hAnsi="Times New Roman"/>
          <w:sz w:val="22"/>
          <w:szCs w:val="22"/>
        </w:rPr>
        <w:t>s</w:t>
      </w:r>
      <w:r w:rsidRPr="00581EFE">
        <w:rPr>
          <w:rFonts w:ascii="Times New Roman" w:hAnsi="Times New Roman"/>
          <w:sz w:val="22"/>
          <w:szCs w:val="22"/>
        </w:rPr>
        <w:t xml:space="preserve">een </w:t>
      </w:r>
      <w:r w:rsidR="003E4C3F">
        <w:rPr>
          <w:rFonts w:ascii="Times New Roman" w:hAnsi="Times New Roman"/>
          <w:sz w:val="22"/>
          <w:szCs w:val="22"/>
        </w:rPr>
        <w:t>little growth with</w:t>
      </w:r>
      <w:r w:rsidRPr="00581EFE">
        <w:rPr>
          <w:rFonts w:ascii="Times New Roman" w:hAnsi="Times New Roman"/>
          <w:sz w:val="22"/>
          <w:szCs w:val="22"/>
        </w:rPr>
        <w:t xml:space="preserve"> </w:t>
      </w:r>
      <w:r w:rsidR="0007363D">
        <w:rPr>
          <w:rFonts w:ascii="Times New Roman" w:hAnsi="Times New Roman"/>
          <w:sz w:val="22"/>
          <w:szCs w:val="22"/>
        </w:rPr>
        <w:t>30,804</w:t>
      </w:r>
      <w:r w:rsidR="00DA115B">
        <w:rPr>
          <w:rFonts w:ascii="Times New Roman" w:hAnsi="Times New Roman"/>
          <w:sz w:val="22"/>
          <w:szCs w:val="22"/>
        </w:rPr>
        <w:t xml:space="preserve"> vehicles, </w:t>
      </w:r>
      <w:r w:rsidR="0007363D">
        <w:rPr>
          <w:rFonts w:ascii="Times New Roman" w:hAnsi="Times New Roman"/>
          <w:sz w:val="22"/>
          <w:szCs w:val="22"/>
        </w:rPr>
        <w:t>32,003</w:t>
      </w:r>
      <w:r w:rsidR="007C5E78">
        <w:rPr>
          <w:rFonts w:ascii="Times New Roman" w:hAnsi="Times New Roman"/>
          <w:sz w:val="22"/>
          <w:szCs w:val="22"/>
        </w:rPr>
        <w:t xml:space="preserve"> vehicles</w:t>
      </w:r>
      <w:r w:rsidR="0007363D">
        <w:rPr>
          <w:rFonts w:ascii="Times New Roman" w:hAnsi="Times New Roman"/>
          <w:sz w:val="22"/>
          <w:szCs w:val="22"/>
        </w:rPr>
        <w:t xml:space="preserve"> </w:t>
      </w:r>
      <w:r w:rsidR="00DA115B">
        <w:rPr>
          <w:rFonts w:ascii="Times New Roman" w:hAnsi="Times New Roman"/>
          <w:sz w:val="22"/>
          <w:szCs w:val="22"/>
        </w:rPr>
        <w:t>and 32</w:t>
      </w:r>
      <w:r w:rsidR="008E3ACA">
        <w:rPr>
          <w:rFonts w:ascii="Times New Roman" w:hAnsi="Times New Roman"/>
          <w:sz w:val="22"/>
          <w:szCs w:val="22"/>
        </w:rPr>
        <w:t>,</w:t>
      </w:r>
      <w:r w:rsidR="00DA115B">
        <w:rPr>
          <w:rFonts w:ascii="Times New Roman" w:hAnsi="Times New Roman"/>
          <w:sz w:val="22"/>
          <w:szCs w:val="22"/>
        </w:rPr>
        <w:t>964</w:t>
      </w:r>
      <w:r w:rsidR="00DA115B" w:rsidRPr="00581EFE">
        <w:rPr>
          <w:rFonts w:ascii="Times New Roman" w:hAnsi="Times New Roman"/>
          <w:sz w:val="22"/>
          <w:szCs w:val="22"/>
        </w:rPr>
        <w:t xml:space="preserve"> </w:t>
      </w:r>
      <w:r w:rsidR="00DA115B">
        <w:rPr>
          <w:rFonts w:ascii="Times New Roman" w:hAnsi="Times New Roman"/>
          <w:sz w:val="22"/>
          <w:szCs w:val="22"/>
        </w:rPr>
        <w:t xml:space="preserve">vehicles </w:t>
      </w:r>
      <w:r w:rsidR="007C5E78">
        <w:rPr>
          <w:rFonts w:ascii="Times New Roman" w:hAnsi="Times New Roman"/>
          <w:sz w:val="22"/>
          <w:szCs w:val="22"/>
        </w:rPr>
        <w:t xml:space="preserve">sold </w:t>
      </w:r>
      <w:r w:rsidRPr="00581EFE">
        <w:rPr>
          <w:rFonts w:ascii="Times New Roman" w:hAnsi="Times New Roman"/>
          <w:sz w:val="22"/>
          <w:szCs w:val="22"/>
        </w:rPr>
        <w:t>respectively. Compared to the pre-GFC year of 2007</w:t>
      </w:r>
      <w:r>
        <w:rPr>
          <w:rFonts w:ascii="Times New Roman" w:hAnsi="Times New Roman"/>
          <w:sz w:val="22"/>
          <w:szCs w:val="22"/>
        </w:rPr>
        <w:t xml:space="preserve"> where 38,131</w:t>
      </w:r>
      <w:r w:rsidRPr="00581EFE">
        <w:rPr>
          <w:rFonts w:ascii="Times New Roman" w:hAnsi="Times New Roman"/>
          <w:sz w:val="22"/>
          <w:szCs w:val="22"/>
        </w:rPr>
        <w:t xml:space="preserve"> vehicles were sold, sales are still down by more than </w:t>
      </w:r>
      <w:r w:rsidR="008E3ACA">
        <w:rPr>
          <w:rFonts w:ascii="Times New Roman" w:hAnsi="Times New Roman"/>
          <w:sz w:val="22"/>
          <w:szCs w:val="22"/>
        </w:rPr>
        <w:t>fifteen (15</w:t>
      </w:r>
      <w:r w:rsidRPr="00581EFE">
        <w:rPr>
          <w:rFonts w:ascii="Times New Roman" w:hAnsi="Times New Roman"/>
          <w:sz w:val="22"/>
          <w:szCs w:val="22"/>
        </w:rPr>
        <w:t xml:space="preserve">) per cent </w:t>
      </w:r>
      <w:r w:rsidR="008E3ACA">
        <w:rPr>
          <w:rFonts w:ascii="Times New Roman" w:hAnsi="Times New Roman"/>
          <w:sz w:val="22"/>
          <w:szCs w:val="22"/>
        </w:rPr>
        <w:t xml:space="preserve">or down </w:t>
      </w:r>
      <w:r w:rsidR="008E3ACA" w:rsidRPr="008E3ACA">
        <w:rPr>
          <w:rFonts w:ascii="Times New Roman" w:hAnsi="Times New Roman"/>
          <w:sz w:val="22"/>
          <w:szCs w:val="22"/>
        </w:rPr>
        <w:t xml:space="preserve">over 5,000 </w:t>
      </w:r>
      <w:r w:rsidR="008E3ACA">
        <w:rPr>
          <w:rFonts w:ascii="Times New Roman" w:hAnsi="Times New Roman"/>
          <w:sz w:val="22"/>
          <w:szCs w:val="22"/>
        </w:rPr>
        <w:t>units</w:t>
      </w:r>
      <w:r w:rsidR="008E3ACA" w:rsidRPr="008E3ACA">
        <w:rPr>
          <w:rFonts w:ascii="Times New Roman" w:hAnsi="Times New Roman"/>
          <w:sz w:val="22"/>
          <w:szCs w:val="22"/>
        </w:rPr>
        <w:t xml:space="preserve"> on the 2007 Australian market peak</w:t>
      </w:r>
      <w:r w:rsidR="008E3ACA">
        <w:rPr>
          <w:rFonts w:ascii="Times New Roman" w:hAnsi="Times New Roman"/>
          <w:sz w:val="22"/>
          <w:szCs w:val="22"/>
        </w:rPr>
        <w:t xml:space="preserve">. On current trends forecasts suggests that sales will not return to pre GFC figures </w:t>
      </w:r>
      <w:r w:rsidR="008E3ACA" w:rsidRPr="00996917">
        <w:rPr>
          <w:rFonts w:ascii="Times New Roman" w:hAnsi="Times New Roman"/>
          <w:sz w:val="22"/>
          <w:szCs w:val="22"/>
        </w:rPr>
        <w:t>until 2025 at the earliest</w:t>
      </w:r>
      <w:r w:rsidR="008E3ACA">
        <w:rPr>
          <w:rFonts w:ascii="Times New Roman" w:hAnsi="Times New Roman"/>
          <w:sz w:val="22"/>
          <w:szCs w:val="22"/>
        </w:rPr>
        <w:t xml:space="preserve"> resulting in an even older average age for the Australian truck fleet. This is not an enviable position for Australia to find itself in.</w:t>
      </w:r>
      <w:r w:rsidRPr="00581EFE">
        <w:rPr>
          <w:rFonts w:ascii="Times New Roman" w:hAnsi="Times New Roman"/>
          <w:sz w:val="22"/>
          <w:szCs w:val="22"/>
        </w:rPr>
        <w:t xml:space="preserve"> </w:t>
      </w:r>
    </w:p>
    <w:p w14:paraId="59CAE63E" w14:textId="77777777" w:rsidR="0007363D" w:rsidRDefault="0007363D" w:rsidP="00414677">
      <w:pPr>
        <w:rPr>
          <w:rFonts w:ascii="Times New Roman" w:hAnsi="Times New Roman"/>
          <w:sz w:val="22"/>
          <w:szCs w:val="22"/>
        </w:rPr>
      </w:pPr>
    </w:p>
    <w:p w14:paraId="57EFBB34" w14:textId="77777777" w:rsidR="00414677" w:rsidRPr="005C240B" w:rsidRDefault="00414677" w:rsidP="00414677">
      <w:pPr>
        <w:rPr>
          <w:rFonts w:ascii="Times New Roman" w:hAnsi="Times New Roman"/>
          <w:sz w:val="22"/>
          <w:szCs w:val="22"/>
        </w:rPr>
      </w:pPr>
      <w:r w:rsidRPr="005C240B">
        <w:rPr>
          <w:rFonts w:ascii="Times New Roman" w:hAnsi="Times New Roman"/>
          <w:sz w:val="22"/>
          <w:szCs w:val="22"/>
        </w:rPr>
        <w:t xml:space="preserve">Truck </w:t>
      </w:r>
      <w:r>
        <w:rPr>
          <w:rFonts w:ascii="Times New Roman" w:hAnsi="Times New Roman"/>
          <w:sz w:val="22"/>
          <w:szCs w:val="22"/>
        </w:rPr>
        <w:t xml:space="preserve">manufacturers </w:t>
      </w:r>
      <w:r w:rsidRPr="005C240B">
        <w:rPr>
          <w:rFonts w:ascii="Times New Roman" w:hAnsi="Times New Roman"/>
          <w:sz w:val="22"/>
          <w:szCs w:val="22"/>
        </w:rPr>
        <w:t>in Australia are majo</w:t>
      </w:r>
      <w:r>
        <w:rPr>
          <w:rFonts w:ascii="Times New Roman" w:hAnsi="Times New Roman"/>
          <w:sz w:val="22"/>
          <w:szCs w:val="22"/>
        </w:rPr>
        <w:t>r employers of skilled and semi-</w:t>
      </w:r>
      <w:r w:rsidRPr="005C240B">
        <w:rPr>
          <w:rFonts w:ascii="Times New Roman" w:hAnsi="Times New Roman"/>
          <w:sz w:val="22"/>
          <w:szCs w:val="22"/>
        </w:rPr>
        <w:t>skilled people (</w:t>
      </w:r>
      <w:r>
        <w:rPr>
          <w:rFonts w:ascii="Times New Roman" w:hAnsi="Times New Roman"/>
          <w:sz w:val="22"/>
          <w:szCs w:val="22"/>
        </w:rPr>
        <w:t>trade</w:t>
      </w:r>
      <w:r w:rsidRPr="005C240B">
        <w:rPr>
          <w:rFonts w:ascii="Times New Roman" w:hAnsi="Times New Roman"/>
          <w:sz w:val="22"/>
          <w:szCs w:val="22"/>
        </w:rPr>
        <w:t xml:space="preserve">, </w:t>
      </w:r>
      <w:r>
        <w:rPr>
          <w:rFonts w:ascii="Times New Roman" w:hAnsi="Times New Roman"/>
          <w:sz w:val="22"/>
          <w:szCs w:val="22"/>
        </w:rPr>
        <w:t>engineering, electronic and information technology</w:t>
      </w:r>
      <w:r w:rsidRPr="005C240B">
        <w:rPr>
          <w:rFonts w:ascii="Times New Roman" w:hAnsi="Times New Roman"/>
          <w:sz w:val="22"/>
          <w:szCs w:val="22"/>
        </w:rPr>
        <w:t xml:space="preserve">) with total </w:t>
      </w:r>
      <w:r>
        <w:rPr>
          <w:rFonts w:ascii="Times New Roman" w:hAnsi="Times New Roman"/>
          <w:sz w:val="22"/>
          <w:szCs w:val="22"/>
        </w:rPr>
        <w:t xml:space="preserve">employment of approximately </w:t>
      </w:r>
      <w:r w:rsidRPr="00581EFE">
        <w:rPr>
          <w:rFonts w:ascii="Times New Roman" w:hAnsi="Times New Roman"/>
          <w:sz w:val="22"/>
          <w:szCs w:val="22"/>
        </w:rPr>
        <w:t>3</w:t>
      </w:r>
      <w:r w:rsidR="00104FC3">
        <w:rPr>
          <w:rFonts w:ascii="Times New Roman" w:hAnsi="Times New Roman"/>
          <w:sz w:val="22"/>
          <w:szCs w:val="22"/>
        </w:rPr>
        <w:t xml:space="preserve">6,000 </w:t>
      </w:r>
      <w:r w:rsidRPr="005C240B">
        <w:rPr>
          <w:rFonts w:ascii="Times New Roman" w:hAnsi="Times New Roman"/>
          <w:sz w:val="22"/>
          <w:szCs w:val="22"/>
        </w:rPr>
        <w:t xml:space="preserve">employed in disciplines such as: </w:t>
      </w:r>
    </w:p>
    <w:p w14:paraId="22ED9C33" w14:textId="77777777" w:rsidR="00414677" w:rsidRPr="005C240B" w:rsidRDefault="00414677" w:rsidP="00414677">
      <w:pPr>
        <w:rPr>
          <w:rFonts w:ascii="Times New Roman" w:hAnsi="Times New Roman"/>
          <w:sz w:val="22"/>
          <w:szCs w:val="22"/>
        </w:rPr>
      </w:pPr>
    </w:p>
    <w:p w14:paraId="108E0FFF" w14:textId="77777777" w:rsidR="00414677" w:rsidRPr="00581EFE" w:rsidRDefault="00414677" w:rsidP="00414677">
      <w:pPr>
        <w:numPr>
          <w:ilvl w:val="0"/>
          <w:numId w:val="5"/>
        </w:numPr>
        <w:tabs>
          <w:tab w:val="clear" w:pos="1636"/>
          <w:tab w:val="num" w:pos="1080"/>
        </w:tabs>
        <w:ind w:hanging="1096"/>
        <w:rPr>
          <w:rFonts w:ascii="Times New Roman" w:hAnsi="Times New Roman"/>
          <w:sz w:val="22"/>
          <w:szCs w:val="22"/>
        </w:rPr>
      </w:pPr>
      <w:r w:rsidRPr="00581EFE">
        <w:rPr>
          <w:rFonts w:ascii="Times New Roman" w:hAnsi="Times New Roman"/>
          <w:sz w:val="22"/>
          <w:szCs w:val="22"/>
        </w:rPr>
        <w:t>Local Truck Manufacturing/As</w:t>
      </w:r>
      <w:r w:rsidR="00104FC3">
        <w:rPr>
          <w:rFonts w:ascii="Times New Roman" w:hAnsi="Times New Roman"/>
          <w:sz w:val="22"/>
          <w:szCs w:val="22"/>
        </w:rPr>
        <w:t>sembly</w:t>
      </w:r>
      <w:r w:rsidR="00104FC3">
        <w:rPr>
          <w:rFonts w:ascii="Times New Roman" w:hAnsi="Times New Roman"/>
          <w:sz w:val="22"/>
          <w:szCs w:val="22"/>
        </w:rPr>
        <w:tab/>
      </w:r>
      <w:r w:rsidR="00104FC3">
        <w:rPr>
          <w:rFonts w:ascii="Times New Roman" w:hAnsi="Times New Roman"/>
          <w:sz w:val="22"/>
          <w:szCs w:val="22"/>
        </w:rPr>
        <w:tab/>
      </w:r>
      <w:r w:rsidR="00104FC3">
        <w:rPr>
          <w:rFonts w:ascii="Times New Roman" w:hAnsi="Times New Roman"/>
          <w:sz w:val="22"/>
          <w:szCs w:val="22"/>
        </w:rPr>
        <w:tab/>
      </w:r>
      <w:r w:rsidR="0007363D">
        <w:rPr>
          <w:rFonts w:ascii="Times New Roman" w:hAnsi="Times New Roman"/>
          <w:sz w:val="22"/>
          <w:szCs w:val="22"/>
        </w:rPr>
        <w:t>4</w:t>
      </w:r>
      <w:r w:rsidR="00104FC3">
        <w:rPr>
          <w:rFonts w:ascii="Times New Roman" w:hAnsi="Times New Roman"/>
          <w:sz w:val="22"/>
          <w:szCs w:val="22"/>
        </w:rPr>
        <w:t>,</w:t>
      </w:r>
      <w:r w:rsidR="00135613">
        <w:rPr>
          <w:rFonts w:ascii="Times New Roman" w:hAnsi="Times New Roman"/>
          <w:sz w:val="22"/>
          <w:szCs w:val="22"/>
        </w:rPr>
        <w:t>01</w:t>
      </w:r>
      <w:r w:rsidR="0007363D">
        <w:rPr>
          <w:rFonts w:ascii="Times New Roman" w:hAnsi="Times New Roman"/>
          <w:sz w:val="22"/>
          <w:szCs w:val="22"/>
        </w:rPr>
        <w:t>0</w:t>
      </w:r>
    </w:p>
    <w:p w14:paraId="35085758" w14:textId="77777777" w:rsidR="00414677" w:rsidRPr="00581EFE" w:rsidRDefault="00414677" w:rsidP="00414677">
      <w:pPr>
        <w:numPr>
          <w:ilvl w:val="0"/>
          <w:numId w:val="5"/>
        </w:numPr>
        <w:tabs>
          <w:tab w:val="clear" w:pos="1636"/>
          <w:tab w:val="num" w:pos="1080"/>
        </w:tabs>
        <w:ind w:hanging="1096"/>
        <w:rPr>
          <w:rFonts w:ascii="Times New Roman" w:hAnsi="Times New Roman"/>
          <w:sz w:val="22"/>
          <w:szCs w:val="22"/>
        </w:rPr>
      </w:pPr>
      <w:r w:rsidRPr="00581EFE">
        <w:rPr>
          <w:rFonts w:ascii="Times New Roman" w:hAnsi="Times New Roman"/>
          <w:sz w:val="22"/>
          <w:szCs w:val="22"/>
        </w:rPr>
        <w:t xml:space="preserve">Importing </w:t>
      </w:r>
      <w:r w:rsidR="00104FC3">
        <w:rPr>
          <w:rFonts w:ascii="Times New Roman" w:hAnsi="Times New Roman"/>
          <w:sz w:val="22"/>
          <w:szCs w:val="22"/>
        </w:rPr>
        <w:t>and Distribution of Trucks</w:t>
      </w:r>
      <w:r w:rsidR="00104FC3">
        <w:rPr>
          <w:rFonts w:ascii="Times New Roman" w:hAnsi="Times New Roman"/>
          <w:sz w:val="22"/>
          <w:szCs w:val="22"/>
        </w:rPr>
        <w:tab/>
      </w:r>
      <w:r w:rsidR="00104FC3">
        <w:rPr>
          <w:rFonts w:ascii="Times New Roman" w:hAnsi="Times New Roman"/>
          <w:sz w:val="22"/>
          <w:szCs w:val="22"/>
        </w:rPr>
        <w:tab/>
      </w:r>
      <w:r w:rsidR="00104FC3">
        <w:rPr>
          <w:rFonts w:ascii="Times New Roman" w:hAnsi="Times New Roman"/>
          <w:sz w:val="22"/>
          <w:szCs w:val="22"/>
        </w:rPr>
        <w:tab/>
      </w:r>
      <w:r w:rsidR="0007363D">
        <w:rPr>
          <w:rFonts w:ascii="Times New Roman" w:hAnsi="Times New Roman"/>
          <w:sz w:val="22"/>
          <w:szCs w:val="22"/>
        </w:rPr>
        <w:t>1</w:t>
      </w:r>
      <w:r w:rsidR="00104FC3">
        <w:rPr>
          <w:rFonts w:ascii="Times New Roman" w:hAnsi="Times New Roman"/>
          <w:sz w:val="22"/>
          <w:szCs w:val="22"/>
        </w:rPr>
        <w:t>,</w:t>
      </w:r>
      <w:r w:rsidR="00135613">
        <w:rPr>
          <w:rFonts w:ascii="Times New Roman" w:hAnsi="Times New Roman"/>
          <w:sz w:val="22"/>
          <w:szCs w:val="22"/>
        </w:rPr>
        <w:t>30</w:t>
      </w:r>
      <w:r w:rsidR="0007363D">
        <w:rPr>
          <w:rFonts w:ascii="Times New Roman" w:hAnsi="Times New Roman"/>
          <w:sz w:val="22"/>
          <w:szCs w:val="22"/>
        </w:rPr>
        <w:t>0</w:t>
      </w:r>
    </w:p>
    <w:p w14:paraId="1C0B9D2B" w14:textId="70E6C406" w:rsidR="00414677" w:rsidRPr="00581EFE" w:rsidRDefault="00414677" w:rsidP="00414677">
      <w:pPr>
        <w:numPr>
          <w:ilvl w:val="0"/>
          <w:numId w:val="5"/>
        </w:numPr>
        <w:tabs>
          <w:tab w:val="clear" w:pos="1636"/>
          <w:tab w:val="num" w:pos="1080"/>
        </w:tabs>
        <w:ind w:hanging="1096"/>
        <w:rPr>
          <w:rFonts w:ascii="Times New Roman" w:hAnsi="Times New Roman"/>
          <w:sz w:val="22"/>
          <w:szCs w:val="22"/>
        </w:rPr>
      </w:pPr>
      <w:r w:rsidRPr="00581EFE">
        <w:rPr>
          <w:rFonts w:ascii="Times New Roman" w:hAnsi="Times New Roman"/>
          <w:sz w:val="22"/>
          <w:szCs w:val="22"/>
        </w:rPr>
        <w:t>Suppliers/Dealers (Sales, Service and Spare Parts)</w:t>
      </w:r>
      <w:r w:rsidR="00104FC3">
        <w:rPr>
          <w:rFonts w:ascii="Times New Roman" w:hAnsi="Times New Roman"/>
          <w:sz w:val="22"/>
          <w:szCs w:val="22"/>
        </w:rPr>
        <w:tab/>
      </w:r>
      <w:r w:rsidR="00104FC3">
        <w:rPr>
          <w:rFonts w:ascii="Times New Roman" w:hAnsi="Times New Roman"/>
          <w:sz w:val="22"/>
          <w:szCs w:val="22"/>
        </w:rPr>
        <w:tab/>
      </w:r>
      <w:r w:rsidR="0007363D">
        <w:rPr>
          <w:rFonts w:ascii="Times New Roman" w:hAnsi="Times New Roman"/>
          <w:sz w:val="22"/>
          <w:szCs w:val="22"/>
        </w:rPr>
        <w:t>27</w:t>
      </w:r>
      <w:r w:rsidR="00104FC3">
        <w:rPr>
          <w:rFonts w:ascii="Times New Roman" w:hAnsi="Times New Roman"/>
          <w:sz w:val="22"/>
          <w:szCs w:val="22"/>
        </w:rPr>
        <w:t>,</w:t>
      </w:r>
      <w:r w:rsidR="0007363D">
        <w:rPr>
          <w:rFonts w:ascii="Times New Roman" w:hAnsi="Times New Roman"/>
          <w:sz w:val="22"/>
          <w:szCs w:val="22"/>
        </w:rPr>
        <w:t>142</w:t>
      </w:r>
      <w:r w:rsidR="00104FC3">
        <w:rPr>
          <w:rFonts w:ascii="Times New Roman" w:hAnsi="Times New Roman"/>
          <w:sz w:val="22"/>
          <w:szCs w:val="22"/>
        </w:rPr>
        <w:t xml:space="preserve"> </w:t>
      </w:r>
    </w:p>
    <w:p w14:paraId="04993811" w14:textId="77777777" w:rsidR="00414677" w:rsidRPr="00581EFE" w:rsidRDefault="00414677" w:rsidP="00414677">
      <w:pPr>
        <w:numPr>
          <w:ilvl w:val="0"/>
          <w:numId w:val="5"/>
        </w:numPr>
        <w:tabs>
          <w:tab w:val="clear" w:pos="1636"/>
          <w:tab w:val="num" w:pos="1080"/>
        </w:tabs>
        <w:ind w:hanging="1096"/>
        <w:rPr>
          <w:rFonts w:ascii="Times New Roman" w:hAnsi="Times New Roman"/>
          <w:sz w:val="22"/>
          <w:szCs w:val="22"/>
        </w:rPr>
      </w:pPr>
      <w:r w:rsidRPr="00581EFE">
        <w:rPr>
          <w:rFonts w:ascii="Times New Roman" w:hAnsi="Times New Roman"/>
          <w:sz w:val="22"/>
          <w:szCs w:val="22"/>
        </w:rPr>
        <w:t xml:space="preserve">Equipment and Body Builders (Trailer, </w:t>
      </w:r>
    </w:p>
    <w:p w14:paraId="0508958F" w14:textId="77777777" w:rsidR="00414677" w:rsidRPr="005C240B" w:rsidRDefault="00414677" w:rsidP="00414677">
      <w:pPr>
        <w:ind w:left="993"/>
        <w:rPr>
          <w:rFonts w:ascii="Times New Roman" w:hAnsi="Times New Roman"/>
          <w:sz w:val="22"/>
          <w:szCs w:val="22"/>
        </w:rPr>
      </w:pPr>
      <w:r w:rsidRPr="00581EFE">
        <w:rPr>
          <w:rFonts w:ascii="Times New Roman" w:hAnsi="Times New Roman"/>
          <w:sz w:val="22"/>
          <w:szCs w:val="22"/>
        </w:rPr>
        <w:t xml:space="preserve"> Tanker, Tippers and Secondary Manufacturers</w:t>
      </w:r>
      <w:r w:rsidR="00104FC3">
        <w:rPr>
          <w:rFonts w:ascii="Times New Roman" w:hAnsi="Times New Roman"/>
          <w:sz w:val="22"/>
          <w:szCs w:val="22"/>
        </w:rPr>
        <w:t>)</w:t>
      </w:r>
      <w:r w:rsidR="00104FC3">
        <w:rPr>
          <w:rFonts w:ascii="Times New Roman" w:hAnsi="Times New Roman"/>
          <w:sz w:val="22"/>
          <w:szCs w:val="22"/>
        </w:rPr>
        <w:tab/>
      </w:r>
      <w:r w:rsidR="00104FC3">
        <w:rPr>
          <w:rFonts w:ascii="Times New Roman" w:hAnsi="Times New Roman"/>
          <w:sz w:val="22"/>
          <w:szCs w:val="22"/>
        </w:rPr>
        <w:tab/>
      </w:r>
      <w:r w:rsidR="0007363D">
        <w:rPr>
          <w:rFonts w:ascii="Times New Roman" w:hAnsi="Times New Roman"/>
          <w:sz w:val="22"/>
          <w:szCs w:val="22"/>
        </w:rPr>
        <w:t>3</w:t>
      </w:r>
      <w:r w:rsidR="00104FC3">
        <w:rPr>
          <w:rFonts w:ascii="Times New Roman" w:hAnsi="Times New Roman"/>
          <w:sz w:val="22"/>
          <w:szCs w:val="22"/>
        </w:rPr>
        <w:t>,</w:t>
      </w:r>
      <w:r w:rsidR="0007363D">
        <w:rPr>
          <w:rFonts w:ascii="Times New Roman" w:hAnsi="Times New Roman"/>
          <w:sz w:val="22"/>
          <w:szCs w:val="22"/>
        </w:rPr>
        <w:t>610</w:t>
      </w:r>
    </w:p>
    <w:p w14:paraId="355E36F6" w14:textId="77777777" w:rsidR="00414677" w:rsidRPr="005C240B" w:rsidRDefault="00414677" w:rsidP="00414677">
      <w:pPr>
        <w:rPr>
          <w:rFonts w:ascii="Times New Roman" w:hAnsi="Times New Roman"/>
          <w:sz w:val="22"/>
          <w:szCs w:val="22"/>
        </w:rPr>
      </w:pPr>
    </w:p>
    <w:p w14:paraId="7A6F550E" w14:textId="13D97DC1" w:rsidR="00414677" w:rsidRPr="009F66F2" w:rsidRDefault="00414677" w:rsidP="00414677">
      <w:pPr>
        <w:rPr>
          <w:rFonts w:ascii="Times New Roman" w:hAnsi="Times New Roman"/>
          <w:sz w:val="22"/>
          <w:szCs w:val="22"/>
        </w:rPr>
      </w:pPr>
      <w:r w:rsidRPr="009F66F2">
        <w:rPr>
          <w:rFonts w:ascii="Times New Roman" w:hAnsi="Times New Roman"/>
          <w:sz w:val="22"/>
          <w:szCs w:val="22"/>
        </w:rPr>
        <w:t xml:space="preserve">TIC’s local truck manufacturers, as well as truck importers and engine companies are well advanced in the design and manufacture of alternatively fuelled trucks, particularly Liquefied Natural Gas (LNG) for heavy duty long distance transport, and Compressed Natural Gas (CNG) </w:t>
      </w:r>
      <w:r w:rsidR="00E876EF" w:rsidRPr="009F66F2">
        <w:rPr>
          <w:rFonts w:ascii="Times New Roman" w:hAnsi="Times New Roman"/>
          <w:sz w:val="22"/>
          <w:szCs w:val="22"/>
        </w:rPr>
        <w:t xml:space="preserve">trucks </w:t>
      </w:r>
      <w:r w:rsidRPr="009F66F2">
        <w:rPr>
          <w:rFonts w:ascii="Times New Roman" w:hAnsi="Times New Roman"/>
          <w:sz w:val="22"/>
          <w:szCs w:val="22"/>
        </w:rPr>
        <w:t>mainly for urban distribution wo</w:t>
      </w:r>
      <w:r w:rsidR="00690ACE" w:rsidRPr="009F66F2">
        <w:rPr>
          <w:rFonts w:ascii="Times New Roman" w:hAnsi="Times New Roman"/>
          <w:sz w:val="22"/>
          <w:szCs w:val="22"/>
        </w:rPr>
        <w:t xml:space="preserve">rk.  Equally </w:t>
      </w:r>
      <w:r w:rsidR="00504C9F" w:rsidRPr="009F66F2">
        <w:rPr>
          <w:rFonts w:ascii="Times New Roman" w:hAnsi="Times New Roman"/>
          <w:sz w:val="22"/>
          <w:szCs w:val="22"/>
        </w:rPr>
        <w:t>TIC m</w:t>
      </w:r>
      <w:r w:rsidR="00E876EF" w:rsidRPr="009F66F2">
        <w:rPr>
          <w:rFonts w:ascii="Times New Roman" w:hAnsi="Times New Roman"/>
          <w:sz w:val="22"/>
          <w:szCs w:val="22"/>
        </w:rPr>
        <w:t xml:space="preserve">embers </w:t>
      </w:r>
      <w:r w:rsidRPr="009F66F2">
        <w:rPr>
          <w:rFonts w:ascii="Times New Roman" w:hAnsi="Times New Roman"/>
          <w:sz w:val="22"/>
          <w:szCs w:val="22"/>
        </w:rPr>
        <w:t xml:space="preserve">are producing </w:t>
      </w:r>
      <w:r w:rsidR="00E876EF" w:rsidRPr="009F66F2">
        <w:rPr>
          <w:rFonts w:ascii="Times New Roman" w:hAnsi="Times New Roman"/>
          <w:sz w:val="22"/>
          <w:szCs w:val="22"/>
        </w:rPr>
        <w:t xml:space="preserve">diesel/electric and diesel/hydraulic </w:t>
      </w:r>
      <w:r w:rsidRPr="009F66F2">
        <w:rPr>
          <w:rFonts w:ascii="Times New Roman" w:hAnsi="Times New Roman"/>
          <w:sz w:val="22"/>
          <w:szCs w:val="22"/>
        </w:rPr>
        <w:t>hybrid trucks that are available today for the Australian market with the immediate benefit of reducing noise levels and consumption rates</w:t>
      </w:r>
      <w:r w:rsidR="00E876EF" w:rsidRPr="009F66F2">
        <w:rPr>
          <w:rFonts w:ascii="Times New Roman" w:hAnsi="Times New Roman"/>
          <w:sz w:val="22"/>
          <w:szCs w:val="22"/>
        </w:rPr>
        <w:t xml:space="preserve"> of </w:t>
      </w:r>
      <w:r w:rsidR="00E876EF" w:rsidRPr="009F66F2">
        <w:rPr>
          <w:rFonts w:ascii="Times New Roman" w:hAnsi="Times New Roman"/>
          <w:sz w:val="22"/>
          <w:szCs w:val="22"/>
        </w:rPr>
        <w:lastRenderedPageBreak/>
        <w:t>diesel</w:t>
      </w:r>
      <w:r w:rsidRPr="009F66F2">
        <w:rPr>
          <w:rFonts w:ascii="Times New Roman" w:hAnsi="Times New Roman"/>
          <w:sz w:val="22"/>
          <w:szCs w:val="22"/>
        </w:rPr>
        <w:t>.</w:t>
      </w:r>
      <w:r w:rsidR="00E876EF" w:rsidRPr="009F66F2">
        <w:rPr>
          <w:rFonts w:ascii="Times New Roman" w:hAnsi="Times New Roman"/>
          <w:sz w:val="22"/>
          <w:szCs w:val="22"/>
        </w:rPr>
        <w:t xml:space="preserve"> </w:t>
      </w:r>
      <w:r w:rsidR="00504C9F" w:rsidRPr="009F66F2">
        <w:rPr>
          <w:rFonts w:ascii="Times New Roman" w:hAnsi="Times New Roman"/>
          <w:sz w:val="22"/>
          <w:szCs w:val="22"/>
        </w:rPr>
        <w:t>In 2016</w:t>
      </w:r>
      <w:r w:rsidR="00690ACE" w:rsidRPr="009F66F2">
        <w:rPr>
          <w:rFonts w:ascii="Times New Roman" w:hAnsi="Times New Roman"/>
          <w:sz w:val="22"/>
          <w:szCs w:val="22"/>
        </w:rPr>
        <w:t>,</w:t>
      </w:r>
      <w:r w:rsidR="00504C9F" w:rsidRPr="009F66F2">
        <w:rPr>
          <w:rFonts w:ascii="Times New Roman" w:hAnsi="Times New Roman"/>
          <w:sz w:val="22"/>
          <w:szCs w:val="22"/>
        </w:rPr>
        <w:t xml:space="preserve"> four (4) TIC members were </w:t>
      </w:r>
      <w:r w:rsidR="007C5E78">
        <w:rPr>
          <w:rFonts w:ascii="Times New Roman" w:hAnsi="Times New Roman"/>
          <w:sz w:val="22"/>
          <w:szCs w:val="22"/>
        </w:rPr>
        <w:t>marketing</w:t>
      </w:r>
      <w:r w:rsidR="00504C9F" w:rsidRPr="009F66F2">
        <w:rPr>
          <w:rFonts w:ascii="Times New Roman" w:hAnsi="Times New Roman"/>
          <w:sz w:val="22"/>
          <w:szCs w:val="22"/>
        </w:rPr>
        <w:t xml:space="preserve"> selected tr</w:t>
      </w:r>
      <w:r w:rsidR="00E020D5">
        <w:rPr>
          <w:rFonts w:ascii="Times New Roman" w:hAnsi="Times New Roman"/>
          <w:sz w:val="22"/>
          <w:szCs w:val="22"/>
        </w:rPr>
        <w:t>uck models in Australia that me</w:t>
      </w:r>
      <w:r w:rsidR="00504C9F" w:rsidRPr="009F66F2">
        <w:rPr>
          <w:rFonts w:ascii="Times New Roman" w:hAnsi="Times New Roman"/>
          <w:sz w:val="22"/>
          <w:szCs w:val="22"/>
        </w:rPr>
        <w:t xml:space="preserve">t Euro 6, or equivalent, exhaust emission regulations, well before the mandating of such standards by </w:t>
      </w:r>
      <w:r w:rsidR="00E36089">
        <w:rPr>
          <w:rFonts w:ascii="Times New Roman" w:hAnsi="Times New Roman"/>
          <w:sz w:val="22"/>
          <w:szCs w:val="22"/>
        </w:rPr>
        <w:t>the F</w:t>
      </w:r>
      <w:r w:rsidR="002854D6" w:rsidRPr="009F66F2">
        <w:rPr>
          <w:rFonts w:ascii="Times New Roman" w:hAnsi="Times New Roman"/>
          <w:sz w:val="22"/>
          <w:szCs w:val="22"/>
        </w:rPr>
        <w:t xml:space="preserve">ederal </w:t>
      </w:r>
      <w:r w:rsidR="00690ACE" w:rsidRPr="009F66F2">
        <w:rPr>
          <w:rFonts w:ascii="Times New Roman" w:hAnsi="Times New Roman"/>
          <w:sz w:val="22"/>
          <w:szCs w:val="22"/>
        </w:rPr>
        <w:t>G</w:t>
      </w:r>
      <w:r w:rsidR="00504C9F" w:rsidRPr="009F66F2">
        <w:rPr>
          <w:rFonts w:ascii="Times New Roman" w:hAnsi="Times New Roman"/>
          <w:sz w:val="22"/>
          <w:szCs w:val="22"/>
        </w:rPr>
        <w:t>overnment</w:t>
      </w:r>
      <w:r w:rsidR="00715863" w:rsidRPr="009F66F2">
        <w:rPr>
          <w:rFonts w:ascii="Times New Roman" w:hAnsi="Times New Roman"/>
          <w:sz w:val="22"/>
          <w:szCs w:val="22"/>
        </w:rPr>
        <w:t>. A</w:t>
      </w:r>
      <w:r w:rsidR="000925D6" w:rsidRPr="009F66F2">
        <w:rPr>
          <w:rFonts w:ascii="Times New Roman" w:hAnsi="Times New Roman"/>
          <w:sz w:val="22"/>
          <w:szCs w:val="22"/>
        </w:rPr>
        <w:t>t least another two (2) TIC members will launch Australian Euro 6 models in 2017</w:t>
      </w:r>
      <w:r w:rsidR="00504C9F" w:rsidRPr="009F66F2">
        <w:rPr>
          <w:rFonts w:ascii="Times New Roman" w:hAnsi="Times New Roman"/>
          <w:sz w:val="22"/>
          <w:szCs w:val="22"/>
        </w:rPr>
        <w:t xml:space="preserve">. </w:t>
      </w:r>
      <w:r w:rsidR="00715863" w:rsidRPr="009F66F2">
        <w:rPr>
          <w:rFonts w:ascii="Times New Roman" w:hAnsi="Times New Roman"/>
          <w:sz w:val="22"/>
          <w:szCs w:val="22"/>
        </w:rPr>
        <w:t>In addition t</w:t>
      </w:r>
      <w:r w:rsidR="00E876EF" w:rsidRPr="009F66F2">
        <w:rPr>
          <w:rFonts w:ascii="Times New Roman" w:hAnsi="Times New Roman"/>
          <w:sz w:val="22"/>
          <w:szCs w:val="22"/>
        </w:rPr>
        <w:t>he first full scale market evaluation of light duty “plug-in” electric trucks in Austra</w:t>
      </w:r>
      <w:r w:rsidR="00504C9F" w:rsidRPr="009F66F2">
        <w:rPr>
          <w:rFonts w:ascii="Times New Roman" w:hAnsi="Times New Roman"/>
          <w:sz w:val="22"/>
          <w:szCs w:val="22"/>
        </w:rPr>
        <w:t>lia by a TIC member company</w:t>
      </w:r>
      <w:r w:rsidR="00715863" w:rsidRPr="009F66F2">
        <w:rPr>
          <w:rFonts w:ascii="Times New Roman" w:hAnsi="Times New Roman"/>
          <w:sz w:val="22"/>
          <w:szCs w:val="22"/>
        </w:rPr>
        <w:t xml:space="preserve"> will commence in 2017</w:t>
      </w:r>
      <w:r w:rsidR="00504C9F" w:rsidRPr="009F66F2">
        <w:rPr>
          <w:rFonts w:ascii="Times New Roman" w:hAnsi="Times New Roman"/>
          <w:sz w:val="22"/>
          <w:szCs w:val="22"/>
        </w:rPr>
        <w:t>.</w:t>
      </w:r>
      <w:r w:rsidR="000925D6" w:rsidRPr="009F66F2">
        <w:rPr>
          <w:rFonts w:ascii="Times New Roman" w:hAnsi="Times New Roman"/>
          <w:sz w:val="22"/>
          <w:szCs w:val="22"/>
        </w:rPr>
        <w:t xml:space="preserve"> </w:t>
      </w:r>
      <w:r w:rsidR="00715863" w:rsidRPr="009F66F2">
        <w:rPr>
          <w:rFonts w:ascii="Times New Roman" w:hAnsi="Times New Roman"/>
          <w:sz w:val="22"/>
          <w:szCs w:val="22"/>
        </w:rPr>
        <w:t>T</w:t>
      </w:r>
      <w:r w:rsidR="000925D6" w:rsidRPr="009F66F2">
        <w:rPr>
          <w:rFonts w:ascii="Times New Roman" w:hAnsi="Times New Roman"/>
          <w:sz w:val="22"/>
          <w:szCs w:val="22"/>
        </w:rPr>
        <w:t>hese alternatively fuelled and/or powered trucks reduce CO</w:t>
      </w:r>
      <w:r w:rsidR="000925D6" w:rsidRPr="009F66F2">
        <w:rPr>
          <w:rFonts w:ascii="Times New Roman" w:hAnsi="Times New Roman"/>
          <w:sz w:val="16"/>
          <w:szCs w:val="16"/>
        </w:rPr>
        <w:t>2</w:t>
      </w:r>
      <w:r w:rsidR="000925D6" w:rsidRPr="009F66F2">
        <w:rPr>
          <w:rFonts w:ascii="Times New Roman" w:hAnsi="Times New Roman"/>
          <w:sz w:val="22"/>
          <w:szCs w:val="22"/>
        </w:rPr>
        <w:t xml:space="preserve"> emissions.</w:t>
      </w:r>
    </w:p>
    <w:p w14:paraId="1C1EE430" w14:textId="77777777" w:rsidR="00104FC3" w:rsidRDefault="00104FC3" w:rsidP="00414677">
      <w:pPr>
        <w:rPr>
          <w:rFonts w:ascii="Times New Roman" w:hAnsi="Times New Roman"/>
          <w:sz w:val="22"/>
          <w:szCs w:val="22"/>
        </w:rPr>
      </w:pPr>
    </w:p>
    <w:p w14:paraId="6824C0B4" w14:textId="77777777" w:rsidR="00414677" w:rsidRPr="003B617E" w:rsidRDefault="00414677" w:rsidP="00414677">
      <w:pPr>
        <w:rPr>
          <w:rFonts w:ascii="Times New Roman" w:hAnsi="Times New Roman"/>
          <w:sz w:val="22"/>
          <w:szCs w:val="22"/>
        </w:rPr>
      </w:pPr>
      <w:r w:rsidRPr="005C240B">
        <w:rPr>
          <w:rFonts w:ascii="Times New Roman" w:hAnsi="Times New Roman"/>
          <w:sz w:val="22"/>
          <w:szCs w:val="22"/>
        </w:rPr>
        <w:t xml:space="preserve">At a time when there is continuing concern over the adverse health effects to Australians from vehicular pollution and significant emphasis on the reduction of greenhouse gas and other noxious emissions the </w:t>
      </w:r>
      <w:r>
        <w:rPr>
          <w:rFonts w:ascii="Times New Roman" w:hAnsi="Times New Roman"/>
          <w:sz w:val="22"/>
          <w:szCs w:val="22"/>
        </w:rPr>
        <w:t>more efficient</w:t>
      </w:r>
      <w:r w:rsidR="00504C9F">
        <w:rPr>
          <w:rFonts w:ascii="Times New Roman" w:hAnsi="Times New Roman"/>
          <w:sz w:val="22"/>
          <w:szCs w:val="22"/>
        </w:rPr>
        <w:t xml:space="preserve">, </w:t>
      </w:r>
      <w:r>
        <w:rPr>
          <w:rFonts w:ascii="Times New Roman" w:hAnsi="Times New Roman"/>
          <w:sz w:val="22"/>
          <w:szCs w:val="22"/>
        </w:rPr>
        <w:t xml:space="preserve">and </w:t>
      </w:r>
      <w:r w:rsidRPr="005C240B">
        <w:rPr>
          <w:rFonts w:ascii="Times New Roman" w:hAnsi="Times New Roman"/>
          <w:sz w:val="22"/>
          <w:szCs w:val="22"/>
        </w:rPr>
        <w:t>alternat</w:t>
      </w:r>
      <w:r w:rsidR="00504C9F">
        <w:rPr>
          <w:rFonts w:ascii="Times New Roman" w:hAnsi="Times New Roman"/>
          <w:sz w:val="22"/>
          <w:szCs w:val="22"/>
        </w:rPr>
        <w:t>ively fuelled and powered,</w:t>
      </w:r>
      <w:r w:rsidRPr="005C240B">
        <w:rPr>
          <w:rFonts w:ascii="Times New Roman" w:hAnsi="Times New Roman"/>
          <w:sz w:val="22"/>
          <w:szCs w:val="22"/>
        </w:rPr>
        <w:t xml:space="preserve"> </w:t>
      </w:r>
      <w:r w:rsidR="00504C9F">
        <w:rPr>
          <w:rFonts w:ascii="Times New Roman" w:hAnsi="Times New Roman"/>
          <w:sz w:val="22"/>
          <w:szCs w:val="22"/>
        </w:rPr>
        <w:t xml:space="preserve">and </w:t>
      </w:r>
      <w:r w:rsidR="00504C9F" w:rsidRPr="009F66F2">
        <w:rPr>
          <w:rFonts w:ascii="Times New Roman" w:hAnsi="Times New Roman"/>
          <w:sz w:val="22"/>
          <w:szCs w:val="22"/>
        </w:rPr>
        <w:t xml:space="preserve">higher emission standard </w:t>
      </w:r>
      <w:r w:rsidR="00E84E8F" w:rsidRPr="009F66F2">
        <w:rPr>
          <w:rFonts w:ascii="Times New Roman" w:hAnsi="Times New Roman"/>
          <w:sz w:val="22"/>
          <w:szCs w:val="22"/>
        </w:rPr>
        <w:t xml:space="preserve">(Euro 6) </w:t>
      </w:r>
      <w:r w:rsidR="00504C9F" w:rsidRPr="009F66F2">
        <w:rPr>
          <w:rFonts w:ascii="Times New Roman" w:hAnsi="Times New Roman"/>
          <w:sz w:val="22"/>
          <w:szCs w:val="22"/>
        </w:rPr>
        <w:t>trucks</w:t>
      </w:r>
      <w:r w:rsidR="00504C9F">
        <w:rPr>
          <w:rFonts w:ascii="Times New Roman" w:hAnsi="Times New Roman"/>
          <w:color w:val="FF0000"/>
          <w:sz w:val="22"/>
          <w:szCs w:val="22"/>
        </w:rPr>
        <w:t xml:space="preserve"> </w:t>
      </w:r>
      <w:r w:rsidRPr="005C240B">
        <w:rPr>
          <w:rFonts w:ascii="Times New Roman" w:hAnsi="Times New Roman"/>
          <w:sz w:val="22"/>
          <w:szCs w:val="22"/>
        </w:rPr>
        <w:t xml:space="preserve">that TIC members are </w:t>
      </w:r>
      <w:r w:rsidR="00504C9F" w:rsidRPr="009F66F2">
        <w:rPr>
          <w:rFonts w:ascii="Times New Roman" w:hAnsi="Times New Roman"/>
          <w:sz w:val="22"/>
          <w:szCs w:val="22"/>
        </w:rPr>
        <w:t>bringing to market</w:t>
      </w:r>
      <w:r w:rsidR="00504C9F">
        <w:rPr>
          <w:rFonts w:ascii="Times New Roman" w:hAnsi="Times New Roman"/>
          <w:color w:val="FF0000"/>
          <w:sz w:val="22"/>
          <w:szCs w:val="22"/>
        </w:rPr>
        <w:t xml:space="preserve"> </w:t>
      </w:r>
      <w:r w:rsidRPr="005C240B">
        <w:rPr>
          <w:rFonts w:ascii="Times New Roman" w:hAnsi="Times New Roman"/>
          <w:sz w:val="22"/>
          <w:szCs w:val="22"/>
        </w:rPr>
        <w:t xml:space="preserve">today </w:t>
      </w:r>
      <w:r w:rsidR="00E84E8F" w:rsidRPr="009F66F2">
        <w:rPr>
          <w:rFonts w:ascii="Times New Roman" w:hAnsi="Times New Roman"/>
          <w:sz w:val="22"/>
          <w:szCs w:val="22"/>
        </w:rPr>
        <w:t xml:space="preserve">should </w:t>
      </w:r>
      <w:r w:rsidR="00E84E8F">
        <w:rPr>
          <w:rFonts w:ascii="Times New Roman" w:hAnsi="Times New Roman"/>
          <w:sz w:val="22"/>
          <w:szCs w:val="22"/>
        </w:rPr>
        <w:t>represent</w:t>
      </w:r>
      <w:r w:rsidRPr="005C240B">
        <w:rPr>
          <w:rFonts w:ascii="Times New Roman" w:hAnsi="Times New Roman"/>
          <w:sz w:val="22"/>
          <w:szCs w:val="22"/>
        </w:rPr>
        <w:t xml:space="preserve"> a major step forward in improving the health of all Australians </w:t>
      </w:r>
      <w:r>
        <w:rPr>
          <w:rFonts w:ascii="Times New Roman" w:hAnsi="Times New Roman"/>
          <w:sz w:val="22"/>
          <w:szCs w:val="22"/>
        </w:rPr>
        <w:t>while</w:t>
      </w:r>
      <w:r w:rsidRPr="005C240B">
        <w:rPr>
          <w:rFonts w:ascii="Times New Roman" w:hAnsi="Times New Roman"/>
          <w:sz w:val="22"/>
          <w:szCs w:val="22"/>
        </w:rPr>
        <w:t xml:space="preserve"> reducing Australia’s road transport carbon </w:t>
      </w:r>
      <w:r w:rsidRPr="005855F2">
        <w:rPr>
          <w:rFonts w:ascii="Times New Roman" w:hAnsi="Times New Roman"/>
          <w:sz w:val="22"/>
          <w:szCs w:val="22"/>
        </w:rPr>
        <w:t xml:space="preserve">footprint and </w:t>
      </w:r>
      <w:r w:rsidRPr="00844F31">
        <w:rPr>
          <w:rFonts w:ascii="Times New Roman" w:hAnsi="Times New Roman"/>
          <w:sz w:val="22"/>
          <w:szCs w:val="22"/>
        </w:rPr>
        <w:t>noxious emissions</w:t>
      </w:r>
      <w:r w:rsidRPr="003B617E">
        <w:rPr>
          <w:rFonts w:ascii="Times New Roman" w:hAnsi="Times New Roman"/>
          <w:sz w:val="22"/>
          <w:szCs w:val="22"/>
        </w:rPr>
        <w:t xml:space="preserve">. </w:t>
      </w:r>
      <w:r w:rsidR="00E84E8F" w:rsidRPr="003B617E">
        <w:rPr>
          <w:rFonts w:ascii="Times New Roman" w:hAnsi="Times New Roman"/>
          <w:sz w:val="22"/>
          <w:szCs w:val="22"/>
        </w:rPr>
        <w:t xml:space="preserve">However, </w:t>
      </w:r>
      <w:r w:rsidR="003B617E" w:rsidRPr="003B617E">
        <w:rPr>
          <w:rFonts w:ascii="Times New Roman" w:hAnsi="Times New Roman"/>
          <w:sz w:val="22"/>
          <w:szCs w:val="22"/>
        </w:rPr>
        <w:t xml:space="preserve">the reality is that </w:t>
      </w:r>
      <w:r w:rsidR="00E84E8F" w:rsidRPr="003B617E">
        <w:rPr>
          <w:rFonts w:ascii="Times New Roman" w:hAnsi="Times New Roman"/>
          <w:sz w:val="22"/>
          <w:szCs w:val="22"/>
        </w:rPr>
        <w:t xml:space="preserve">the take-up </w:t>
      </w:r>
      <w:r w:rsidR="003B617E" w:rsidRPr="003B617E">
        <w:rPr>
          <w:rFonts w:ascii="Times New Roman" w:hAnsi="Times New Roman"/>
          <w:sz w:val="22"/>
          <w:szCs w:val="22"/>
        </w:rPr>
        <w:t xml:space="preserve">rate </w:t>
      </w:r>
      <w:r w:rsidR="00E84E8F" w:rsidRPr="003B617E">
        <w:rPr>
          <w:rFonts w:ascii="Times New Roman" w:hAnsi="Times New Roman"/>
          <w:sz w:val="22"/>
          <w:szCs w:val="22"/>
        </w:rPr>
        <w:t>of these more advanced trucks in Australia is poor.</w:t>
      </w:r>
    </w:p>
    <w:p w14:paraId="6501AD3A" w14:textId="77777777" w:rsidR="00745BBE" w:rsidRDefault="00745BBE" w:rsidP="008078EA">
      <w:pPr>
        <w:rPr>
          <w:rFonts w:ascii="Times New Roman" w:hAnsi="Times New Roman"/>
          <w:sz w:val="22"/>
          <w:szCs w:val="22"/>
        </w:rPr>
      </w:pPr>
    </w:p>
    <w:p w14:paraId="0C5F833C" w14:textId="77777777" w:rsidR="00FE0185" w:rsidRPr="00FE0185" w:rsidRDefault="00FE0185" w:rsidP="008078EA">
      <w:pPr>
        <w:rPr>
          <w:rFonts w:ascii="Times New Roman" w:hAnsi="Times New Roman"/>
          <w:b/>
          <w:sz w:val="22"/>
          <w:szCs w:val="22"/>
        </w:rPr>
      </w:pPr>
      <w:r>
        <w:rPr>
          <w:rFonts w:ascii="Times New Roman" w:hAnsi="Times New Roman"/>
          <w:b/>
          <w:sz w:val="22"/>
          <w:szCs w:val="22"/>
        </w:rPr>
        <w:t xml:space="preserve">4. </w:t>
      </w:r>
      <w:r>
        <w:rPr>
          <w:rFonts w:ascii="Times New Roman" w:hAnsi="Times New Roman"/>
          <w:b/>
          <w:sz w:val="22"/>
          <w:szCs w:val="22"/>
        </w:rPr>
        <w:tab/>
        <w:t>Key Budget Considerations</w:t>
      </w:r>
    </w:p>
    <w:p w14:paraId="473A3D42" w14:textId="77777777" w:rsidR="00FE0185" w:rsidRDefault="00FE0185" w:rsidP="00F21410">
      <w:pPr>
        <w:rPr>
          <w:rFonts w:ascii="Times New Roman" w:hAnsi="Times New Roman"/>
          <w:b/>
          <w:color w:val="FF0000"/>
          <w:sz w:val="22"/>
          <w:szCs w:val="22"/>
        </w:rPr>
      </w:pPr>
    </w:p>
    <w:p w14:paraId="204CEA1D" w14:textId="51371CD7" w:rsidR="00F21410" w:rsidRDefault="00C04243" w:rsidP="006C71F5">
      <w:pPr>
        <w:rPr>
          <w:rFonts w:ascii="Times New Roman" w:hAnsi="Times New Roman"/>
          <w:b/>
          <w:sz w:val="22"/>
          <w:szCs w:val="22"/>
        </w:rPr>
      </w:pPr>
      <w:r>
        <w:rPr>
          <w:rFonts w:ascii="Times New Roman" w:hAnsi="Times New Roman"/>
          <w:b/>
          <w:sz w:val="22"/>
          <w:szCs w:val="22"/>
        </w:rPr>
        <w:t xml:space="preserve">4.1 </w:t>
      </w:r>
      <w:r>
        <w:rPr>
          <w:rFonts w:ascii="Times New Roman" w:hAnsi="Times New Roman"/>
          <w:b/>
          <w:sz w:val="22"/>
          <w:szCs w:val="22"/>
        </w:rPr>
        <w:tab/>
      </w:r>
      <w:r w:rsidR="005643CA">
        <w:rPr>
          <w:rFonts w:ascii="Times New Roman" w:hAnsi="Times New Roman"/>
          <w:b/>
          <w:sz w:val="22"/>
          <w:szCs w:val="22"/>
        </w:rPr>
        <w:t>Increasing Energy Productivity in Australia’s Truck Fleet</w:t>
      </w:r>
      <w:r w:rsidR="009D29C5">
        <w:rPr>
          <w:rFonts w:ascii="Times New Roman" w:hAnsi="Times New Roman"/>
          <w:b/>
          <w:sz w:val="22"/>
          <w:szCs w:val="22"/>
        </w:rPr>
        <w:t xml:space="preserve"> </w:t>
      </w:r>
      <w:r w:rsidR="009D29C5" w:rsidRPr="002D3B4A">
        <w:rPr>
          <w:rFonts w:ascii="Times New Roman" w:hAnsi="Times New Roman"/>
          <w:b/>
          <w:sz w:val="22"/>
          <w:szCs w:val="22"/>
        </w:rPr>
        <w:t>(and reducing CO</w:t>
      </w:r>
      <w:r w:rsidR="009D29C5" w:rsidRPr="002D3B4A">
        <w:rPr>
          <w:rFonts w:ascii="Times New Roman" w:hAnsi="Times New Roman"/>
          <w:b/>
          <w:sz w:val="22"/>
          <w:szCs w:val="22"/>
          <w:vertAlign w:val="subscript"/>
        </w:rPr>
        <w:t>2</w:t>
      </w:r>
      <w:r w:rsidR="009D29C5" w:rsidRPr="002D3B4A">
        <w:rPr>
          <w:rFonts w:ascii="Times New Roman" w:hAnsi="Times New Roman"/>
          <w:b/>
          <w:sz w:val="22"/>
          <w:szCs w:val="22"/>
        </w:rPr>
        <w:t xml:space="preserve"> emissions)</w:t>
      </w:r>
    </w:p>
    <w:p w14:paraId="41BE2BE8" w14:textId="77777777" w:rsidR="00F21410" w:rsidRDefault="00F21410" w:rsidP="00F21410">
      <w:pPr>
        <w:rPr>
          <w:rFonts w:ascii="Times New Roman" w:hAnsi="Times New Roman"/>
          <w:b/>
          <w:sz w:val="22"/>
          <w:szCs w:val="22"/>
        </w:rPr>
      </w:pPr>
    </w:p>
    <w:p w14:paraId="37A74729" w14:textId="77777777" w:rsidR="009D29C5" w:rsidRPr="006C71F5" w:rsidRDefault="009D29C5" w:rsidP="006C71F5">
      <w:pPr>
        <w:rPr>
          <w:rFonts w:ascii="Times New Roman" w:hAnsi="Times New Roman"/>
          <w:sz w:val="22"/>
          <w:szCs w:val="22"/>
        </w:rPr>
      </w:pPr>
      <w:r w:rsidRPr="006C71F5">
        <w:rPr>
          <w:rFonts w:ascii="Times New Roman" w:hAnsi="Times New Roman"/>
          <w:sz w:val="22"/>
          <w:szCs w:val="22"/>
        </w:rPr>
        <w:t>There is no one specific “silver bullet”</w:t>
      </w:r>
      <w:r w:rsidR="003E1A3F" w:rsidRPr="006C71F5">
        <w:rPr>
          <w:rFonts w:ascii="Times New Roman" w:hAnsi="Times New Roman"/>
          <w:sz w:val="22"/>
          <w:szCs w:val="22"/>
        </w:rPr>
        <w:t xml:space="preserve"> that can be used to reduce</w:t>
      </w:r>
      <w:r w:rsidRPr="006C71F5">
        <w:rPr>
          <w:rFonts w:ascii="Times New Roman" w:hAnsi="Times New Roman"/>
          <w:sz w:val="22"/>
          <w:szCs w:val="22"/>
        </w:rPr>
        <w:t xml:space="preserve"> Australia’s road freight CO</w:t>
      </w:r>
      <w:r w:rsidRPr="006C71F5">
        <w:rPr>
          <w:rFonts w:ascii="Times New Roman" w:hAnsi="Times New Roman"/>
          <w:sz w:val="22"/>
          <w:szCs w:val="22"/>
          <w:vertAlign w:val="subscript"/>
        </w:rPr>
        <w:t>2</w:t>
      </w:r>
      <w:r w:rsidRPr="006C71F5">
        <w:rPr>
          <w:rFonts w:ascii="Times New Roman" w:hAnsi="Times New Roman"/>
          <w:sz w:val="22"/>
          <w:szCs w:val="22"/>
        </w:rPr>
        <w:t xml:space="preserve"> emissions, but rather </w:t>
      </w:r>
      <w:r w:rsidR="003E1A3F" w:rsidRPr="006C71F5">
        <w:rPr>
          <w:rFonts w:ascii="Times New Roman" w:hAnsi="Times New Roman"/>
          <w:sz w:val="22"/>
          <w:szCs w:val="22"/>
        </w:rPr>
        <w:t>a series of methods will need to be employed</w:t>
      </w:r>
      <w:r w:rsidRPr="006C71F5">
        <w:rPr>
          <w:rFonts w:ascii="Times New Roman" w:hAnsi="Times New Roman"/>
          <w:sz w:val="22"/>
          <w:szCs w:val="22"/>
        </w:rPr>
        <w:t xml:space="preserve">, that when combined will result in reduced </w:t>
      </w:r>
      <w:r w:rsidR="00BB009C" w:rsidRPr="006C71F5">
        <w:rPr>
          <w:rFonts w:ascii="Times New Roman" w:hAnsi="Times New Roman"/>
          <w:sz w:val="22"/>
          <w:szCs w:val="22"/>
        </w:rPr>
        <w:t>CO</w:t>
      </w:r>
      <w:r w:rsidR="00BB009C" w:rsidRPr="006C71F5">
        <w:rPr>
          <w:rFonts w:ascii="Times New Roman" w:hAnsi="Times New Roman"/>
          <w:sz w:val="22"/>
          <w:szCs w:val="22"/>
          <w:vertAlign w:val="subscript"/>
        </w:rPr>
        <w:t>2</w:t>
      </w:r>
      <w:r w:rsidRPr="006C71F5">
        <w:rPr>
          <w:rFonts w:ascii="Times New Roman" w:hAnsi="Times New Roman"/>
          <w:sz w:val="22"/>
          <w:szCs w:val="22"/>
        </w:rPr>
        <w:t xml:space="preserve"> emissions for a given freight task. The task of reducing </w:t>
      </w:r>
      <w:r w:rsidR="00BB009C" w:rsidRPr="006C71F5">
        <w:rPr>
          <w:rFonts w:ascii="Times New Roman" w:hAnsi="Times New Roman"/>
          <w:sz w:val="22"/>
          <w:szCs w:val="22"/>
        </w:rPr>
        <w:t>CO</w:t>
      </w:r>
      <w:r w:rsidR="00BB009C" w:rsidRPr="006C71F5">
        <w:rPr>
          <w:rFonts w:ascii="Times New Roman" w:hAnsi="Times New Roman"/>
          <w:sz w:val="22"/>
          <w:szCs w:val="22"/>
          <w:vertAlign w:val="subscript"/>
        </w:rPr>
        <w:t>2</w:t>
      </w:r>
      <w:r w:rsidRPr="006C71F5">
        <w:rPr>
          <w:rFonts w:ascii="Times New Roman" w:hAnsi="Times New Roman"/>
          <w:sz w:val="22"/>
          <w:szCs w:val="22"/>
        </w:rPr>
        <w:t xml:space="preserve"> emissions from the road freight sector by in</w:t>
      </w:r>
      <w:r w:rsidR="00687D06" w:rsidRPr="006C71F5">
        <w:rPr>
          <w:rFonts w:ascii="Times New Roman" w:hAnsi="Times New Roman"/>
          <w:sz w:val="22"/>
          <w:szCs w:val="22"/>
        </w:rPr>
        <w:t xml:space="preserve">creasing the efficiency of how </w:t>
      </w:r>
      <w:r w:rsidRPr="006C71F5">
        <w:rPr>
          <w:rFonts w:ascii="Times New Roman" w:hAnsi="Times New Roman"/>
          <w:sz w:val="22"/>
          <w:szCs w:val="22"/>
        </w:rPr>
        <w:t>freight is moved can best be termed as “increased energy productivity</w:t>
      </w:r>
      <w:r w:rsidR="00CD27B8" w:rsidRPr="006C71F5">
        <w:rPr>
          <w:rFonts w:ascii="Times New Roman" w:hAnsi="Times New Roman"/>
          <w:sz w:val="22"/>
          <w:szCs w:val="22"/>
        </w:rPr>
        <w:t>”</w:t>
      </w:r>
      <w:r w:rsidRPr="006C71F5">
        <w:rPr>
          <w:rFonts w:ascii="Times New Roman" w:hAnsi="Times New Roman"/>
          <w:sz w:val="22"/>
          <w:szCs w:val="22"/>
        </w:rPr>
        <w:t>.</w:t>
      </w:r>
    </w:p>
    <w:p w14:paraId="2761CE9B" w14:textId="77777777" w:rsidR="009D29C5" w:rsidRDefault="009D29C5" w:rsidP="006C71F5">
      <w:pPr>
        <w:rPr>
          <w:rFonts w:ascii="Times New Roman" w:hAnsi="Times New Roman"/>
          <w:sz w:val="22"/>
          <w:szCs w:val="22"/>
        </w:rPr>
      </w:pPr>
      <w:r w:rsidRPr="006C71F5">
        <w:rPr>
          <w:rFonts w:ascii="Times New Roman" w:hAnsi="Times New Roman"/>
          <w:sz w:val="22"/>
          <w:szCs w:val="22"/>
        </w:rPr>
        <w:t>Such energy productivity/</w:t>
      </w:r>
      <w:r w:rsidR="00BB009C" w:rsidRPr="006C71F5">
        <w:rPr>
          <w:rFonts w:ascii="Times New Roman" w:hAnsi="Times New Roman"/>
          <w:sz w:val="22"/>
          <w:szCs w:val="22"/>
        </w:rPr>
        <w:t>CO</w:t>
      </w:r>
      <w:r w:rsidR="00BB009C" w:rsidRPr="006C71F5">
        <w:rPr>
          <w:rFonts w:ascii="Times New Roman" w:hAnsi="Times New Roman"/>
          <w:sz w:val="22"/>
          <w:szCs w:val="22"/>
          <w:vertAlign w:val="subscript"/>
        </w:rPr>
        <w:t>2</w:t>
      </w:r>
      <w:r w:rsidRPr="006C71F5">
        <w:rPr>
          <w:rFonts w:ascii="Times New Roman" w:hAnsi="Times New Roman"/>
          <w:sz w:val="22"/>
          <w:szCs w:val="22"/>
        </w:rPr>
        <w:t xml:space="preserve"> reducing </w:t>
      </w:r>
      <w:r w:rsidR="00B04A92" w:rsidRPr="006C71F5">
        <w:rPr>
          <w:rFonts w:ascii="Times New Roman" w:hAnsi="Times New Roman"/>
          <w:sz w:val="22"/>
          <w:szCs w:val="22"/>
        </w:rPr>
        <w:t>methods include:</w:t>
      </w:r>
    </w:p>
    <w:p w14:paraId="01976D28" w14:textId="77777777" w:rsidR="00AF78F1" w:rsidRPr="006C71F5" w:rsidRDefault="00AF78F1" w:rsidP="006C71F5">
      <w:pPr>
        <w:rPr>
          <w:rFonts w:ascii="Times New Roman" w:hAnsi="Times New Roman"/>
          <w:sz w:val="22"/>
          <w:szCs w:val="22"/>
        </w:rPr>
      </w:pPr>
    </w:p>
    <w:p w14:paraId="6E3FDA8F" w14:textId="77777777" w:rsidR="00B04A92" w:rsidRPr="006C71F5" w:rsidRDefault="00B04A92" w:rsidP="00B04A92">
      <w:pPr>
        <w:pStyle w:val="ListParagraph"/>
        <w:numPr>
          <w:ilvl w:val="0"/>
          <w:numId w:val="23"/>
        </w:numPr>
        <w:rPr>
          <w:rFonts w:ascii="Times New Roman" w:hAnsi="Times New Roman"/>
        </w:rPr>
      </w:pPr>
      <w:r w:rsidRPr="006C71F5">
        <w:rPr>
          <w:rFonts w:ascii="Times New Roman" w:hAnsi="Times New Roman"/>
        </w:rPr>
        <w:t>Moving freight on fewer, higher productivity, vehicles</w:t>
      </w:r>
      <w:r w:rsidR="00CD27B8" w:rsidRPr="006C71F5">
        <w:rPr>
          <w:rFonts w:ascii="Times New Roman" w:hAnsi="Times New Roman"/>
        </w:rPr>
        <w:t>. B-Triples, HML, PBS and increased axle masses for trucks are examples.</w:t>
      </w:r>
    </w:p>
    <w:p w14:paraId="22B0A061" w14:textId="77777777" w:rsidR="00B04A92" w:rsidRPr="006C71F5" w:rsidRDefault="00B04A92" w:rsidP="00B04A92">
      <w:pPr>
        <w:pStyle w:val="ListParagraph"/>
        <w:numPr>
          <w:ilvl w:val="0"/>
          <w:numId w:val="23"/>
        </w:numPr>
        <w:rPr>
          <w:rFonts w:ascii="Times New Roman" w:hAnsi="Times New Roman"/>
        </w:rPr>
      </w:pPr>
      <w:r w:rsidRPr="006C71F5">
        <w:rPr>
          <w:rFonts w:ascii="Times New Roman" w:hAnsi="Times New Roman"/>
        </w:rPr>
        <w:t xml:space="preserve">Moving freight during periods of lower traffic </w:t>
      </w:r>
      <w:r w:rsidR="00597DE6" w:rsidRPr="006C71F5">
        <w:rPr>
          <w:rFonts w:ascii="Times New Roman" w:hAnsi="Times New Roman"/>
        </w:rPr>
        <w:t>congestion</w:t>
      </w:r>
      <w:r w:rsidR="00CD27B8" w:rsidRPr="006C71F5">
        <w:rPr>
          <w:rFonts w:ascii="Times New Roman" w:hAnsi="Times New Roman"/>
        </w:rPr>
        <w:t>/density</w:t>
      </w:r>
      <w:r w:rsidRPr="006C71F5">
        <w:rPr>
          <w:rFonts w:ascii="Times New Roman" w:hAnsi="Times New Roman"/>
        </w:rPr>
        <w:t xml:space="preserve">, </w:t>
      </w:r>
      <w:r w:rsidR="00CD27B8" w:rsidRPr="006C71F5">
        <w:rPr>
          <w:rFonts w:ascii="Times New Roman" w:hAnsi="Times New Roman"/>
        </w:rPr>
        <w:t>and/</w:t>
      </w:r>
      <w:r w:rsidRPr="006C71F5">
        <w:rPr>
          <w:rFonts w:ascii="Times New Roman" w:hAnsi="Times New Roman"/>
        </w:rPr>
        <w:t xml:space="preserve">or creating lower traffic </w:t>
      </w:r>
      <w:r w:rsidR="00597DE6" w:rsidRPr="006C71F5">
        <w:rPr>
          <w:rFonts w:ascii="Times New Roman" w:hAnsi="Times New Roman"/>
        </w:rPr>
        <w:t>congestion</w:t>
      </w:r>
      <w:r w:rsidR="00CD27B8" w:rsidRPr="006C71F5">
        <w:rPr>
          <w:rFonts w:ascii="Times New Roman" w:hAnsi="Times New Roman"/>
        </w:rPr>
        <w:t>/density</w:t>
      </w:r>
      <w:r w:rsidRPr="006C71F5">
        <w:rPr>
          <w:rFonts w:ascii="Times New Roman" w:hAnsi="Times New Roman"/>
        </w:rPr>
        <w:t xml:space="preserve"> to enable freight to be delivered faster and more efficiently. Night time deliveries, consolidating freight and connected </w:t>
      </w:r>
      <w:r w:rsidR="00597DE6" w:rsidRPr="006C71F5">
        <w:rPr>
          <w:rFonts w:ascii="Times New Roman" w:hAnsi="Times New Roman"/>
        </w:rPr>
        <w:t>intelligent</w:t>
      </w:r>
      <w:r w:rsidRPr="006C71F5">
        <w:rPr>
          <w:rFonts w:ascii="Times New Roman" w:hAnsi="Times New Roman"/>
        </w:rPr>
        <w:t xml:space="preserve"> transport systems (C-ITS) are examples</w:t>
      </w:r>
      <w:r w:rsidR="00CD27B8" w:rsidRPr="006C71F5">
        <w:rPr>
          <w:rFonts w:ascii="Times New Roman" w:hAnsi="Times New Roman"/>
        </w:rPr>
        <w:t>.</w:t>
      </w:r>
    </w:p>
    <w:p w14:paraId="6D056999" w14:textId="77777777" w:rsidR="00B04A92" w:rsidRPr="006C71F5" w:rsidRDefault="00B04A92" w:rsidP="00B04A92">
      <w:pPr>
        <w:pStyle w:val="ListParagraph"/>
        <w:numPr>
          <w:ilvl w:val="0"/>
          <w:numId w:val="23"/>
        </w:numPr>
        <w:rPr>
          <w:rFonts w:ascii="Times New Roman" w:hAnsi="Times New Roman"/>
        </w:rPr>
      </w:pPr>
      <w:r w:rsidRPr="006C71F5">
        <w:rPr>
          <w:rFonts w:ascii="Times New Roman" w:hAnsi="Times New Roman"/>
        </w:rPr>
        <w:t>Improving the driveline efficiency of trucks and improving the aerodynamic efficiency of both trucks and trailers</w:t>
      </w:r>
      <w:r w:rsidR="00675046" w:rsidRPr="006C71F5">
        <w:rPr>
          <w:rFonts w:ascii="Times New Roman" w:hAnsi="Times New Roman"/>
        </w:rPr>
        <w:t>. The uptake of diesel truck driveline and aerodynamic technologies from overseas countries that are, or will be, mandating fuel efficiency standards for heavy vehicles, the uptake of hybrid and alternatively fuel and powered trucks and increased use of aerodynamic devices on trailers are examples.</w:t>
      </w:r>
    </w:p>
    <w:p w14:paraId="03B113EA" w14:textId="3C29E1A5" w:rsidR="00095234" w:rsidRPr="00AF78F1" w:rsidRDefault="00687D06" w:rsidP="00687D06">
      <w:pPr>
        <w:rPr>
          <w:rFonts w:ascii="Times New Roman" w:hAnsi="Times New Roman"/>
          <w:color w:val="FF0000"/>
          <w:sz w:val="22"/>
          <w:szCs w:val="22"/>
          <w:highlight w:val="green"/>
        </w:rPr>
      </w:pPr>
      <w:r w:rsidRPr="00AF78F1">
        <w:rPr>
          <w:rFonts w:ascii="Times New Roman" w:hAnsi="Times New Roman"/>
          <w:sz w:val="22"/>
          <w:szCs w:val="22"/>
        </w:rPr>
        <w:t xml:space="preserve">Energy productivity has been expressed in this submission as a dollar value for Tonnes of </w:t>
      </w:r>
      <w:r w:rsidR="00BB009C" w:rsidRPr="00AF78F1">
        <w:rPr>
          <w:rFonts w:ascii="Times New Roman" w:hAnsi="Times New Roman"/>
          <w:sz w:val="22"/>
          <w:szCs w:val="22"/>
        </w:rPr>
        <w:t>CO</w:t>
      </w:r>
      <w:r w:rsidR="00BB009C" w:rsidRPr="00AF78F1">
        <w:rPr>
          <w:rFonts w:ascii="Times New Roman" w:hAnsi="Times New Roman"/>
          <w:sz w:val="22"/>
          <w:szCs w:val="22"/>
          <w:vertAlign w:val="subscript"/>
        </w:rPr>
        <w:t>2</w:t>
      </w:r>
      <w:r w:rsidRPr="00AF78F1">
        <w:rPr>
          <w:rFonts w:ascii="Times New Roman" w:hAnsi="Times New Roman"/>
          <w:sz w:val="22"/>
          <w:szCs w:val="22"/>
        </w:rPr>
        <w:t xml:space="preserve"> saved agai</w:t>
      </w:r>
      <w:r w:rsidR="006C71F5" w:rsidRPr="00AF78F1">
        <w:rPr>
          <w:rFonts w:ascii="Times New Roman" w:hAnsi="Times New Roman"/>
          <w:sz w:val="22"/>
          <w:szCs w:val="22"/>
        </w:rPr>
        <w:t>nst Business As Usual (BAU). This</w:t>
      </w:r>
      <w:r w:rsidRPr="00AF78F1">
        <w:rPr>
          <w:rFonts w:ascii="Times New Roman" w:hAnsi="Times New Roman"/>
          <w:sz w:val="22"/>
          <w:szCs w:val="22"/>
        </w:rPr>
        <w:t xml:space="preserve"> measure </w:t>
      </w:r>
      <w:r w:rsidR="006C71F5" w:rsidRPr="00AF78F1">
        <w:rPr>
          <w:rFonts w:ascii="Times New Roman" w:hAnsi="Times New Roman"/>
          <w:sz w:val="22"/>
          <w:szCs w:val="22"/>
        </w:rPr>
        <w:t xml:space="preserve">is used </w:t>
      </w:r>
      <w:r w:rsidRPr="00AF78F1">
        <w:rPr>
          <w:rFonts w:ascii="Times New Roman" w:hAnsi="Times New Roman"/>
          <w:sz w:val="22"/>
          <w:szCs w:val="22"/>
        </w:rPr>
        <w:t xml:space="preserve">as there is currently no specific metric that is universally accepted that captures the dollar value for energy productivity. Australian road freight is quite complex, </w:t>
      </w:r>
      <w:r w:rsidR="006C71F5" w:rsidRPr="00AF78F1">
        <w:rPr>
          <w:rFonts w:ascii="Times New Roman" w:hAnsi="Times New Roman"/>
          <w:sz w:val="22"/>
          <w:szCs w:val="22"/>
        </w:rPr>
        <w:t>comprising of</w:t>
      </w:r>
      <w:r w:rsidR="00E020D5">
        <w:rPr>
          <w:rFonts w:ascii="Times New Roman" w:hAnsi="Times New Roman"/>
          <w:sz w:val="22"/>
          <w:szCs w:val="22"/>
        </w:rPr>
        <w:t>,</w:t>
      </w:r>
      <w:r w:rsidR="006C71F5" w:rsidRPr="00AF78F1">
        <w:rPr>
          <w:rFonts w:ascii="Times New Roman" w:hAnsi="Times New Roman"/>
          <w:sz w:val="22"/>
          <w:szCs w:val="22"/>
        </w:rPr>
        <w:t xml:space="preserve"> for example</w:t>
      </w:r>
      <w:r w:rsidR="00E020D5">
        <w:rPr>
          <w:rFonts w:ascii="Times New Roman" w:hAnsi="Times New Roman"/>
          <w:sz w:val="22"/>
          <w:szCs w:val="22"/>
        </w:rPr>
        <w:t>,</w:t>
      </w:r>
      <w:r w:rsidR="006C71F5" w:rsidRPr="00AF78F1">
        <w:rPr>
          <w:rFonts w:ascii="Times New Roman" w:hAnsi="Times New Roman"/>
          <w:sz w:val="22"/>
          <w:szCs w:val="22"/>
        </w:rPr>
        <w:t xml:space="preserve"> </w:t>
      </w:r>
      <w:r w:rsidRPr="00AF78F1">
        <w:rPr>
          <w:rFonts w:ascii="Times New Roman" w:hAnsi="Times New Roman"/>
          <w:sz w:val="22"/>
          <w:szCs w:val="22"/>
        </w:rPr>
        <w:t xml:space="preserve">a mix of high value items </w:t>
      </w:r>
      <w:r w:rsidR="00095234" w:rsidRPr="00AF78F1">
        <w:rPr>
          <w:rFonts w:ascii="Times New Roman" w:hAnsi="Times New Roman"/>
          <w:sz w:val="22"/>
          <w:szCs w:val="22"/>
        </w:rPr>
        <w:t>such as consumer electronics or</w:t>
      </w:r>
      <w:r w:rsidRPr="00AF78F1">
        <w:rPr>
          <w:rFonts w:ascii="Times New Roman" w:hAnsi="Times New Roman"/>
          <w:sz w:val="22"/>
          <w:szCs w:val="22"/>
        </w:rPr>
        <w:t xml:space="preserve"> </w:t>
      </w:r>
      <w:r w:rsidR="00F61D42" w:rsidRPr="00AF78F1">
        <w:rPr>
          <w:rFonts w:ascii="Times New Roman" w:hAnsi="Times New Roman"/>
          <w:sz w:val="22"/>
          <w:szCs w:val="22"/>
        </w:rPr>
        <w:t>pharmaceutical</w:t>
      </w:r>
      <w:r w:rsidRPr="00AF78F1">
        <w:rPr>
          <w:rFonts w:ascii="Times New Roman" w:hAnsi="Times New Roman"/>
          <w:sz w:val="22"/>
          <w:szCs w:val="22"/>
        </w:rPr>
        <w:t xml:space="preserve"> products </w:t>
      </w:r>
      <w:r w:rsidR="00F61D42" w:rsidRPr="00AF78F1">
        <w:rPr>
          <w:rFonts w:ascii="Times New Roman" w:hAnsi="Times New Roman"/>
          <w:sz w:val="22"/>
          <w:szCs w:val="22"/>
        </w:rPr>
        <w:t>through</w:t>
      </w:r>
      <w:r w:rsidR="003145D7" w:rsidRPr="00AF78F1">
        <w:rPr>
          <w:rFonts w:ascii="Times New Roman" w:hAnsi="Times New Roman"/>
          <w:sz w:val="22"/>
          <w:szCs w:val="22"/>
        </w:rPr>
        <w:t xml:space="preserve"> to low value freight such a</w:t>
      </w:r>
      <w:r w:rsidR="006C71F5" w:rsidRPr="00AF78F1">
        <w:rPr>
          <w:rFonts w:ascii="Times New Roman" w:hAnsi="Times New Roman"/>
          <w:sz w:val="22"/>
          <w:szCs w:val="22"/>
        </w:rPr>
        <w:t>s</w:t>
      </w:r>
      <w:r w:rsidR="003145D7" w:rsidRPr="00AF78F1">
        <w:rPr>
          <w:rFonts w:ascii="Times New Roman" w:hAnsi="Times New Roman"/>
          <w:sz w:val="22"/>
          <w:szCs w:val="22"/>
        </w:rPr>
        <w:t xml:space="preserve"> </w:t>
      </w:r>
      <w:r w:rsidR="008F1717" w:rsidRPr="00AF78F1">
        <w:rPr>
          <w:rFonts w:ascii="Times New Roman" w:hAnsi="Times New Roman"/>
          <w:sz w:val="22"/>
          <w:szCs w:val="22"/>
        </w:rPr>
        <w:t>spoil from a construction site or</w:t>
      </w:r>
      <w:r w:rsidR="003145D7" w:rsidRPr="00AF78F1">
        <w:rPr>
          <w:rFonts w:ascii="Times New Roman" w:hAnsi="Times New Roman"/>
          <w:sz w:val="22"/>
          <w:szCs w:val="22"/>
        </w:rPr>
        <w:t xml:space="preserve"> refuse.</w:t>
      </w:r>
      <w:r w:rsidR="003145D7" w:rsidRPr="00C04243">
        <w:rPr>
          <w:rFonts w:ascii="Times New Roman" w:hAnsi="Times New Roman"/>
          <w:sz w:val="22"/>
          <w:szCs w:val="22"/>
        </w:rPr>
        <w:t xml:space="preserve"> Some freight movements are best measured in tonnes per km, while this measurement is not suitable for light “volume” freight where cubic meters per km is a more appropriate measure.</w:t>
      </w:r>
      <w:r w:rsidR="00095234" w:rsidRPr="00C04243">
        <w:rPr>
          <w:rFonts w:ascii="Times New Roman" w:hAnsi="Times New Roman"/>
          <w:sz w:val="22"/>
          <w:szCs w:val="22"/>
        </w:rPr>
        <w:t xml:space="preserve"> </w:t>
      </w:r>
    </w:p>
    <w:p w14:paraId="3B5598E7" w14:textId="77777777" w:rsidR="00095234" w:rsidRPr="00AF78F1" w:rsidRDefault="00095234" w:rsidP="00687D06">
      <w:pPr>
        <w:rPr>
          <w:rFonts w:ascii="Times New Roman" w:hAnsi="Times New Roman"/>
          <w:color w:val="FF0000"/>
          <w:sz w:val="22"/>
          <w:szCs w:val="22"/>
          <w:highlight w:val="green"/>
        </w:rPr>
      </w:pPr>
    </w:p>
    <w:p w14:paraId="5DD7A5CA" w14:textId="32308806" w:rsidR="00687D06" w:rsidRPr="00061E1C" w:rsidRDefault="00095234" w:rsidP="00687D06">
      <w:pPr>
        <w:rPr>
          <w:rFonts w:ascii="Times New Roman" w:hAnsi="Times New Roman"/>
        </w:rPr>
      </w:pPr>
      <w:r w:rsidRPr="00AF78F1">
        <w:rPr>
          <w:rFonts w:ascii="Times New Roman" w:hAnsi="Times New Roman"/>
          <w:sz w:val="22"/>
          <w:szCs w:val="22"/>
        </w:rPr>
        <w:t xml:space="preserve">As a key recommendation of this submission TIC believes that a suitable metric to quantify and measure energy productivity in the road freight sector needs to be developed. </w:t>
      </w:r>
      <w:r w:rsidR="00E020D5">
        <w:rPr>
          <w:rFonts w:ascii="Times New Roman" w:hAnsi="Times New Roman"/>
          <w:sz w:val="22"/>
          <w:szCs w:val="22"/>
        </w:rPr>
        <w:t>This</w:t>
      </w:r>
      <w:r w:rsidRPr="00AF78F1">
        <w:rPr>
          <w:rFonts w:ascii="Times New Roman" w:hAnsi="Times New Roman"/>
          <w:sz w:val="22"/>
          <w:szCs w:val="22"/>
        </w:rPr>
        <w:t xml:space="preserve"> metric </w:t>
      </w:r>
      <w:r w:rsidR="00E020D5">
        <w:rPr>
          <w:rFonts w:ascii="Times New Roman" w:hAnsi="Times New Roman"/>
          <w:sz w:val="22"/>
          <w:szCs w:val="22"/>
        </w:rPr>
        <w:t xml:space="preserve">being one </w:t>
      </w:r>
      <w:r w:rsidRPr="00AF78F1">
        <w:rPr>
          <w:rFonts w:ascii="Times New Roman" w:hAnsi="Times New Roman"/>
          <w:sz w:val="22"/>
          <w:szCs w:val="22"/>
        </w:rPr>
        <w:t xml:space="preserve">that is universally accepted by both government and industry. For this issue to be progressed, TIC is offering to develop a suitable energy productivity metric, with the assistance of key industry organisations and with liaison with </w:t>
      </w:r>
      <w:r w:rsidR="00E36089">
        <w:rPr>
          <w:rFonts w:ascii="Times New Roman" w:hAnsi="Times New Roman"/>
          <w:sz w:val="22"/>
          <w:szCs w:val="22"/>
        </w:rPr>
        <w:t>the F</w:t>
      </w:r>
      <w:r w:rsidR="006C71F5" w:rsidRPr="00AF78F1">
        <w:rPr>
          <w:rFonts w:ascii="Times New Roman" w:hAnsi="Times New Roman"/>
          <w:sz w:val="22"/>
          <w:szCs w:val="22"/>
        </w:rPr>
        <w:t>ederal G</w:t>
      </w:r>
      <w:r w:rsidRPr="00AF78F1">
        <w:rPr>
          <w:rFonts w:ascii="Times New Roman" w:hAnsi="Times New Roman"/>
          <w:sz w:val="22"/>
          <w:szCs w:val="22"/>
        </w:rPr>
        <w:t>overnment. Such a project would require funding from government.</w:t>
      </w:r>
    </w:p>
    <w:p w14:paraId="3500285A" w14:textId="77777777" w:rsidR="003145D7" w:rsidRPr="00687D06" w:rsidRDefault="003145D7" w:rsidP="00687D06">
      <w:pPr>
        <w:rPr>
          <w:rFonts w:ascii="Times New Roman" w:hAnsi="Times New Roman"/>
          <w:color w:val="FF0000"/>
          <w:highlight w:val="green"/>
        </w:rPr>
      </w:pPr>
    </w:p>
    <w:p w14:paraId="6218C2BC" w14:textId="173C3470" w:rsidR="00CE2CDC" w:rsidRPr="00D43DFA" w:rsidRDefault="00CE2CDC" w:rsidP="00F21410">
      <w:pPr>
        <w:rPr>
          <w:rFonts w:ascii="Times New Roman" w:hAnsi="Times New Roman"/>
          <w:sz w:val="22"/>
          <w:szCs w:val="22"/>
        </w:rPr>
      </w:pPr>
      <w:r w:rsidRPr="00D43DFA">
        <w:rPr>
          <w:rFonts w:ascii="Times New Roman" w:hAnsi="Times New Roman"/>
          <w:sz w:val="22"/>
          <w:szCs w:val="22"/>
        </w:rPr>
        <w:t xml:space="preserve">Moving Australia’s current (and future) freight task using fewer (higher </w:t>
      </w:r>
      <w:r w:rsidR="00B82C98" w:rsidRPr="00D43DFA">
        <w:rPr>
          <w:rFonts w:ascii="Times New Roman" w:hAnsi="Times New Roman"/>
          <w:sz w:val="22"/>
          <w:szCs w:val="22"/>
        </w:rPr>
        <w:t>efficiency</w:t>
      </w:r>
      <w:r w:rsidRPr="00D43DFA">
        <w:rPr>
          <w:rFonts w:ascii="Times New Roman" w:hAnsi="Times New Roman"/>
          <w:sz w:val="22"/>
          <w:szCs w:val="22"/>
        </w:rPr>
        <w:t>) trucks, using a newer (younger) truck fleet</w:t>
      </w:r>
      <w:r w:rsidR="00BA3638" w:rsidRPr="00D43DFA">
        <w:rPr>
          <w:rFonts w:ascii="Times New Roman" w:hAnsi="Times New Roman"/>
          <w:sz w:val="22"/>
          <w:szCs w:val="22"/>
        </w:rPr>
        <w:t xml:space="preserve"> and</w:t>
      </w:r>
      <w:r w:rsidRPr="00D43DFA">
        <w:rPr>
          <w:rFonts w:ascii="Times New Roman" w:hAnsi="Times New Roman"/>
          <w:sz w:val="22"/>
          <w:szCs w:val="22"/>
        </w:rPr>
        <w:t xml:space="preserve"> during periods of less traffic congestion/density</w:t>
      </w:r>
      <w:r w:rsidR="00BA3638" w:rsidRPr="00D43DFA">
        <w:rPr>
          <w:rFonts w:ascii="Times New Roman" w:hAnsi="Times New Roman"/>
          <w:sz w:val="22"/>
          <w:szCs w:val="22"/>
        </w:rPr>
        <w:t xml:space="preserve"> will lead to increased energy productivity, operator direct savings such as reduced fuel use and in turn reduced </w:t>
      </w:r>
      <w:r w:rsidR="00BB009C" w:rsidRPr="00D43DFA">
        <w:rPr>
          <w:rFonts w:ascii="Times New Roman" w:hAnsi="Times New Roman"/>
          <w:sz w:val="22"/>
          <w:szCs w:val="22"/>
        </w:rPr>
        <w:t>CO</w:t>
      </w:r>
      <w:r w:rsidR="00BB009C" w:rsidRPr="00D43DFA">
        <w:rPr>
          <w:rFonts w:ascii="Times New Roman" w:hAnsi="Times New Roman"/>
          <w:sz w:val="22"/>
          <w:szCs w:val="22"/>
          <w:vertAlign w:val="subscript"/>
        </w:rPr>
        <w:t>2</w:t>
      </w:r>
      <w:r w:rsidR="00BA3638" w:rsidRPr="00D43DFA">
        <w:rPr>
          <w:rFonts w:ascii="Times New Roman" w:hAnsi="Times New Roman"/>
          <w:sz w:val="22"/>
          <w:szCs w:val="22"/>
        </w:rPr>
        <w:t xml:space="preserve"> emissions. It will also have</w:t>
      </w:r>
      <w:r w:rsidRPr="00D43DFA">
        <w:rPr>
          <w:rFonts w:ascii="Times New Roman" w:hAnsi="Times New Roman"/>
          <w:sz w:val="22"/>
          <w:szCs w:val="22"/>
        </w:rPr>
        <w:t xml:space="preserve"> positive benefits for other road users and the nation’s </w:t>
      </w:r>
      <w:r w:rsidR="00D43DFA" w:rsidRPr="00D43DFA">
        <w:rPr>
          <w:rFonts w:ascii="Times New Roman" w:hAnsi="Times New Roman"/>
          <w:sz w:val="22"/>
          <w:szCs w:val="22"/>
        </w:rPr>
        <w:t xml:space="preserve">road safety </w:t>
      </w:r>
      <w:r w:rsidR="00D43DFA">
        <w:rPr>
          <w:rFonts w:ascii="Times New Roman" w:hAnsi="Times New Roman"/>
          <w:sz w:val="22"/>
          <w:szCs w:val="22"/>
        </w:rPr>
        <w:t xml:space="preserve">and </w:t>
      </w:r>
      <w:r w:rsidRPr="00D43DFA">
        <w:rPr>
          <w:rFonts w:ascii="Times New Roman" w:hAnsi="Times New Roman"/>
          <w:sz w:val="22"/>
          <w:szCs w:val="22"/>
        </w:rPr>
        <w:t>health</w:t>
      </w:r>
      <w:r w:rsidR="00D43DFA">
        <w:rPr>
          <w:rFonts w:ascii="Times New Roman" w:hAnsi="Times New Roman"/>
          <w:sz w:val="22"/>
          <w:szCs w:val="22"/>
        </w:rPr>
        <w:t xml:space="preserve"> </w:t>
      </w:r>
      <w:r w:rsidRPr="00D43DFA">
        <w:rPr>
          <w:rFonts w:ascii="Times New Roman" w:hAnsi="Times New Roman"/>
          <w:sz w:val="22"/>
          <w:szCs w:val="22"/>
        </w:rPr>
        <w:t>objectives. T</w:t>
      </w:r>
      <w:r w:rsidR="00C04243" w:rsidRPr="00D43DFA">
        <w:rPr>
          <w:rFonts w:ascii="Times New Roman" w:hAnsi="Times New Roman"/>
          <w:sz w:val="22"/>
          <w:szCs w:val="22"/>
        </w:rPr>
        <w:t xml:space="preserve">hese </w:t>
      </w:r>
      <w:r w:rsidRPr="00D43DFA">
        <w:rPr>
          <w:rFonts w:ascii="Times New Roman" w:hAnsi="Times New Roman"/>
          <w:sz w:val="22"/>
          <w:szCs w:val="22"/>
        </w:rPr>
        <w:t xml:space="preserve">road </w:t>
      </w:r>
      <w:r w:rsidRPr="00D43DFA">
        <w:rPr>
          <w:rFonts w:ascii="Times New Roman" w:hAnsi="Times New Roman"/>
          <w:sz w:val="22"/>
          <w:szCs w:val="22"/>
        </w:rPr>
        <w:lastRenderedPageBreak/>
        <w:t xml:space="preserve">safety </w:t>
      </w:r>
      <w:r w:rsidR="00C04243" w:rsidRPr="00D43DFA">
        <w:rPr>
          <w:rFonts w:ascii="Times New Roman" w:hAnsi="Times New Roman"/>
          <w:sz w:val="22"/>
          <w:szCs w:val="22"/>
        </w:rPr>
        <w:t xml:space="preserve">and public health </w:t>
      </w:r>
      <w:r w:rsidRPr="00D43DFA">
        <w:rPr>
          <w:rFonts w:ascii="Times New Roman" w:hAnsi="Times New Roman"/>
          <w:sz w:val="22"/>
          <w:szCs w:val="22"/>
        </w:rPr>
        <w:t xml:space="preserve">benefits will be explored and explained </w:t>
      </w:r>
      <w:r w:rsidR="006C70F9">
        <w:rPr>
          <w:rFonts w:ascii="Times New Roman" w:hAnsi="Times New Roman"/>
          <w:sz w:val="22"/>
          <w:szCs w:val="22"/>
        </w:rPr>
        <w:t xml:space="preserve">below </w:t>
      </w:r>
      <w:r w:rsidRPr="00D43DFA">
        <w:rPr>
          <w:rFonts w:ascii="Times New Roman" w:hAnsi="Times New Roman"/>
          <w:sz w:val="22"/>
          <w:szCs w:val="22"/>
        </w:rPr>
        <w:t xml:space="preserve">in </w:t>
      </w:r>
      <w:r w:rsidR="004D4F67" w:rsidRPr="00D43DFA">
        <w:rPr>
          <w:rFonts w:ascii="Times New Roman" w:hAnsi="Times New Roman"/>
          <w:sz w:val="22"/>
          <w:szCs w:val="22"/>
        </w:rPr>
        <w:t>P</w:t>
      </w:r>
      <w:r w:rsidR="00C04243" w:rsidRPr="00D43DFA">
        <w:rPr>
          <w:rFonts w:ascii="Times New Roman" w:hAnsi="Times New Roman"/>
          <w:sz w:val="22"/>
          <w:szCs w:val="22"/>
        </w:rPr>
        <w:t>oints 4.3</w:t>
      </w:r>
      <w:r w:rsidRPr="00D43DFA">
        <w:rPr>
          <w:rFonts w:ascii="Times New Roman" w:hAnsi="Times New Roman"/>
          <w:sz w:val="22"/>
          <w:szCs w:val="22"/>
        </w:rPr>
        <w:t xml:space="preserve"> and </w:t>
      </w:r>
      <w:r w:rsidR="00D43DFA">
        <w:rPr>
          <w:rFonts w:ascii="Times New Roman" w:hAnsi="Times New Roman"/>
          <w:sz w:val="22"/>
          <w:szCs w:val="22"/>
        </w:rPr>
        <w:t>4.4</w:t>
      </w:r>
      <w:r w:rsidRPr="00D43DFA">
        <w:rPr>
          <w:rFonts w:ascii="Times New Roman" w:hAnsi="Times New Roman"/>
          <w:sz w:val="22"/>
          <w:szCs w:val="22"/>
        </w:rPr>
        <w:t xml:space="preserve"> </w:t>
      </w:r>
      <w:r w:rsidR="00B82C98" w:rsidRPr="00D43DFA">
        <w:rPr>
          <w:rFonts w:ascii="Times New Roman" w:hAnsi="Times New Roman"/>
          <w:sz w:val="22"/>
          <w:szCs w:val="22"/>
        </w:rPr>
        <w:t>respectively</w:t>
      </w:r>
      <w:r w:rsidRPr="00D43DFA">
        <w:rPr>
          <w:rFonts w:ascii="Times New Roman" w:hAnsi="Times New Roman"/>
          <w:sz w:val="22"/>
          <w:szCs w:val="22"/>
        </w:rPr>
        <w:t>.</w:t>
      </w:r>
      <w:r w:rsidR="00FD3F64" w:rsidRPr="00D43DFA">
        <w:rPr>
          <w:rFonts w:ascii="Times New Roman" w:hAnsi="Times New Roman"/>
          <w:sz w:val="22"/>
          <w:szCs w:val="22"/>
        </w:rPr>
        <w:t xml:space="preserve"> </w:t>
      </w:r>
      <w:r w:rsidR="002723AD" w:rsidRPr="00D43DFA">
        <w:rPr>
          <w:rFonts w:ascii="Times New Roman" w:hAnsi="Times New Roman"/>
          <w:sz w:val="22"/>
          <w:szCs w:val="22"/>
        </w:rPr>
        <w:t xml:space="preserve">One example </w:t>
      </w:r>
      <w:r w:rsidR="007C5E78">
        <w:rPr>
          <w:rFonts w:ascii="Times New Roman" w:hAnsi="Times New Roman"/>
          <w:sz w:val="22"/>
          <w:szCs w:val="22"/>
        </w:rPr>
        <w:t xml:space="preserve">that is detailed in this section </w:t>
      </w:r>
      <w:r w:rsidR="002723AD" w:rsidRPr="00D43DFA">
        <w:rPr>
          <w:rFonts w:ascii="Times New Roman" w:hAnsi="Times New Roman"/>
          <w:sz w:val="22"/>
          <w:szCs w:val="22"/>
        </w:rPr>
        <w:t>of</w:t>
      </w:r>
      <w:r w:rsidR="00FD3F64" w:rsidRPr="00D43DFA">
        <w:rPr>
          <w:rFonts w:ascii="Times New Roman" w:hAnsi="Times New Roman"/>
          <w:sz w:val="22"/>
          <w:szCs w:val="22"/>
        </w:rPr>
        <w:t xml:space="preserve"> increased energy productivity</w:t>
      </w:r>
      <w:r w:rsidR="003F6594">
        <w:rPr>
          <w:rFonts w:ascii="Times New Roman" w:hAnsi="Times New Roman"/>
          <w:sz w:val="22"/>
          <w:szCs w:val="22"/>
        </w:rPr>
        <w:t xml:space="preserve">, </w:t>
      </w:r>
      <w:r w:rsidR="003F6594" w:rsidRPr="007C5E78">
        <w:rPr>
          <w:rFonts w:ascii="Times New Roman" w:hAnsi="Times New Roman"/>
          <w:sz w:val="22"/>
          <w:szCs w:val="22"/>
        </w:rPr>
        <w:t xml:space="preserve">the increased use of new PBS Vehicles has been modelled by TIC and </w:t>
      </w:r>
      <w:r w:rsidR="002723AD" w:rsidRPr="00D43DFA">
        <w:rPr>
          <w:rFonts w:ascii="Times New Roman" w:hAnsi="Times New Roman"/>
          <w:sz w:val="22"/>
          <w:szCs w:val="22"/>
        </w:rPr>
        <w:t>expressed as reduced CO</w:t>
      </w:r>
      <w:r w:rsidR="002723AD" w:rsidRPr="00D43DFA">
        <w:rPr>
          <w:rFonts w:ascii="Times New Roman" w:hAnsi="Times New Roman"/>
          <w:sz w:val="22"/>
          <w:szCs w:val="22"/>
          <w:vertAlign w:val="subscript"/>
        </w:rPr>
        <w:t>2</w:t>
      </w:r>
      <w:r w:rsidR="00FD3F64" w:rsidRPr="00D43DFA">
        <w:rPr>
          <w:rFonts w:ascii="Times New Roman" w:hAnsi="Times New Roman"/>
          <w:sz w:val="22"/>
          <w:szCs w:val="22"/>
        </w:rPr>
        <w:t xml:space="preserve"> </w:t>
      </w:r>
      <w:r w:rsidR="003F6594">
        <w:rPr>
          <w:rFonts w:ascii="Times New Roman" w:hAnsi="Times New Roman"/>
          <w:sz w:val="22"/>
          <w:szCs w:val="22"/>
        </w:rPr>
        <w:t>emitted</w:t>
      </w:r>
      <w:r w:rsidR="007C5E78">
        <w:rPr>
          <w:rFonts w:ascii="Times New Roman" w:hAnsi="Times New Roman"/>
          <w:sz w:val="22"/>
          <w:szCs w:val="22"/>
        </w:rPr>
        <w:t>.</w:t>
      </w:r>
      <w:r w:rsidR="003F6594">
        <w:rPr>
          <w:rFonts w:ascii="Times New Roman" w:hAnsi="Times New Roman"/>
          <w:sz w:val="22"/>
          <w:szCs w:val="22"/>
        </w:rPr>
        <w:t xml:space="preserve"> As </w:t>
      </w:r>
      <w:r w:rsidR="00892B5A">
        <w:rPr>
          <w:rFonts w:ascii="Times New Roman" w:hAnsi="Times New Roman"/>
          <w:sz w:val="22"/>
          <w:szCs w:val="22"/>
        </w:rPr>
        <w:t>too are operator direct savings.</w:t>
      </w:r>
    </w:p>
    <w:p w14:paraId="6AF38F6B" w14:textId="77777777" w:rsidR="00CE2CDC" w:rsidRDefault="00CE2CDC" w:rsidP="00F21410">
      <w:pPr>
        <w:rPr>
          <w:rFonts w:ascii="Times New Roman" w:hAnsi="Times New Roman"/>
          <w:color w:val="FF0000"/>
          <w:sz w:val="22"/>
          <w:szCs w:val="22"/>
        </w:rPr>
      </w:pPr>
    </w:p>
    <w:p w14:paraId="668E9762" w14:textId="74C7F999" w:rsidR="003F6594" w:rsidRPr="007C5E78" w:rsidRDefault="00F51A38" w:rsidP="003F6594">
      <w:pPr>
        <w:rPr>
          <w:rFonts w:ascii="Times New Roman" w:hAnsi="Times New Roman"/>
          <w:sz w:val="22"/>
          <w:szCs w:val="22"/>
        </w:rPr>
      </w:pPr>
      <w:r w:rsidRPr="00C65C16">
        <w:rPr>
          <w:rFonts w:ascii="Times New Roman" w:hAnsi="Times New Roman"/>
          <w:sz w:val="22"/>
          <w:szCs w:val="22"/>
        </w:rPr>
        <w:t xml:space="preserve">Ensuring </w:t>
      </w:r>
      <w:r w:rsidR="006C70F9">
        <w:rPr>
          <w:rFonts w:ascii="Times New Roman" w:hAnsi="Times New Roman"/>
          <w:sz w:val="22"/>
          <w:szCs w:val="22"/>
        </w:rPr>
        <w:t xml:space="preserve">that </w:t>
      </w:r>
      <w:r w:rsidRPr="00C65C16">
        <w:rPr>
          <w:rFonts w:ascii="Times New Roman" w:hAnsi="Times New Roman"/>
          <w:sz w:val="22"/>
          <w:szCs w:val="22"/>
        </w:rPr>
        <w:t xml:space="preserve">the </w:t>
      </w:r>
      <w:r w:rsidR="00F21410" w:rsidRPr="00F21410">
        <w:rPr>
          <w:rFonts w:ascii="Times New Roman" w:hAnsi="Times New Roman"/>
          <w:sz w:val="22"/>
          <w:szCs w:val="22"/>
        </w:rPr>
        <w:t xml:space="preserve">improved national truck access regime for new higher productivity vehicles (PBS) </w:t>
      </w:r>
      <w:r w:rsidR="006C70F9">
        <w:rPr>
          <w:rFonts w:ascii="Times New Roman" w:hAnsi="Times New Roman"/>
          <w:sz w:val="22"/>
          <w:szCs w:val="22"/>
        </w:rPr>
        <w:t xml:space="preserve">continues </w:t>
      </w:r>
      <w:r w:rsidR="00F21410" w:rsidRPr="00F21410">
        <w:rPr>
          <w:rFonts w:ascii="Times New Roman" w:hAnsi="Times New Roman"/>
          <w:sz w:val="22"/>
          <w:szCs w:val="22"/>
        </w:rPr>
        <w:t xml:space="preserve">will allow for a </w:t>
      </w:r>
      <w:r>
        <w:rPr>
          <w:rFonts w:ascii="Times New Roman" w:hAnsi="Times New Roman"/>
          <w:sz w:val="22"/>
          <w:szCs w:val="22"/>
        </w:rPr>
        <w:t>considerable</w:t>
      </w:r>
      <w:r w:rsidRPr="00F21410">
        <w:rPr>
          <w:rFonts w:ascii="Times New Roman" w:hAnsi="Times New Roman"/>
          <w:sz w:val="22"/>
          <w:szCs w:val="22"/>
        </w:rPr>
        <w:t xml:space="preserve"> </w:t>
      </w:r>
      <w:r>
        <w:rPr>
          <w:rFonts w:ascii="Times New Roman" w:hAnsi="Times New Roman"/>
          <w:sz w:val="22"/>
          <w:szCs w:val="22"/>
        </w:rPr>
        <w:t>gain</w:t>
      </w:r>
      <w:r w:rsidR="00C65C16">
        <w:rPr>
          <w:rFonts w:ascii="Times New Roman" w:hAnsi="Times New Roman"/>
          <w:sz w:val="22"/>
          <w:szCs w:val="22"/>
        </w:rPr>
        <w:t xml:space="preserve"> in productivity including </w:t>
      </w:r>
      <w:r w:rsidR="00F21410" w:rsidRPr="00F21410">
        <w:rPr>
          <w:rFonts w:ascii="Times New Roman" w:hAnsi="Times New Roman"/>
          <w:sz w:val="22"/>
          <w:szCs w:val="22"/>
        </w:rPr>
        <w:t>improvement</w:t>
      </w:r>
      <w:r w:rsidR="006C70F9">
        <w:rPr>
          <w:rFonts w:ascii="Times New Roman" w:hAnsi="Times New Roman"/>
          <w:sz w:val="22"/>
          <w:szCs w:val="22"/>
        </w:rPr>
        <w:t>s</w:t>
      </w:r>
      <w:r w:rsidR="00F21410" w:rsidRPr="00F21410">
        <w:rPr>
          <w:rFonts w:ascii="Times New Roman" w:hAnsi="Times New Roman"/>
          <w:sz w:val="22"/>
          <w:szCs w:val="22"/>
        </w:rPr>
        <w:t xml:space="preserve"> to the efficiency and effectiveness of the nation’s road distribution channel</w:t>
      </w:r>
      <w:r w:rsidR="006C70F9">
        <w:rPr>
          <w:rFonts w:ascii="Times New Roman" w:hAnsi="Times New Roman"/>
          <w:sz w:val="22"/>
          <w:szCs w:val="22"/>
        </w:rPr>
        <w:t>s</w:t>
      </w:r>
      <w:r w:rsidR="00F21410" w:rsidRPr="00F21410">
        <w:rPr>
          <w:rFonts w:ascii="Times New Roman" w:hAnsi="Times New Roman"/>
          <w:sz w:val="22"/>
          <w:szCs w:val="22"/>
        </w:rPr>
        <w:t>.  This productivity benefit arises from an overall saving in kilometres travelled that comes from</w:t>
      </w:r>
      <w:r w:rsidR="00C65C16">
        <w:rPr>
          <w:rFonts w:ascii="Times New Roman" w:hAnsi="Times New Roman"/>
          <w:sz w:val="22"/>
          <w:szCs w:val="22"/>
        </w:rPr>
        <w:t xml:space="preserve"> the adoption of these vehicles</w:t>
      </w:r>
      <w:r w:rsidR="00F21410" w:rsidRPr="00F21410">
        <w:rPr>
          <w:rFonts w:ascii="Times New Roman" w:hAnsi="Times New Roman"/>
          <w:sz w:val="22"/>
          <w:szCs w:val="22"/>
        </w:rPr>
        <w:t xml:space="preserve"> with their higher capacity payloads</w:t>
      </w:r>
      <w:r w:rsidR="004948CA">
        <w:rPr>
          <w:rFonts w:ascii="Times New Roman" w:hAnsi="Times New Roman"/>
          <w:sz w:val="22"/>
          <w:szCs w:val="22"/>
        </w:rPr>
        <w:t xml:space="preserve"> (mass and/</w:t>
      </w:r>
      <w:r w:rsidR="006C70F9">
        <w:rPr>
          <w:rFonts w:ascii="Times New Roman" w:hAnsi="Times New Roman"/>
          <w:sz w:val="22"/>
          <w:szCs w:val="22"/>
        </w:rPr>
        <w:t xml:space="preserve">or volume). </w:t>
      </w:r>
      <w:r w:rsidR="003F6594" w:rsidRPr="007C5E78">
        <w:rPr>
          <w:rFonts w:ascii="Times New Roman" w:hAnsi="Times New Roman"/>
          <w:sz w:val="22"/>
          <w:szCs w:val="22"/>
        </w:rPr>
        <w:t>TIC’s modelling highlights that kilometre savings are</w:t>
      </w:r>
      <w:r w:rsidR="004948CA" w:rsidRPr="007C5E78">
        <w:rPr>
          <w:rFonts w:ascii="Times New Roman" w:hAnsi="Times New Roman"/>
          <w:sz w:val="22"/>
          <w:szCs w:val="22"/>
        </w:rPr>
        <w:t xml:space="preserve"> significant and range from 1.73</w:t>
      </w:r>
      <w:r w:rsidR="003F6594" w:rsidRPr="007C5E78">
        <w:rPr>
          <w:rFonts w:ascii="Times New Roman" w:hAnsi="Times New Roman"/>
          <w:sz w:val="22"/>
          <w:szCs w:val="22"/>
        </w:rPr>
        <w:t xml:space="preserve"> to 2.77 billion kilometres. Fuel savings through improved productivity would conservatively generate CO</w:t>
      </w:r>
      <w:r w:rsidR="003F6594" w:rsidRPr="007C5E78">
        <w:rPr>
          <w:rFonts w:ascii="Times New Roman" w:hAnsi="Times New Roman"/>
          <w:sz w:val="22"/>
          <w:szCs w:val="22"/>
          <w:vertAlign w:val="subscript"/>
        </w:rPr>
        <w:t>2</w:t>
      </w:r>
      <w:r w:rsidR="003F6594" w:rsidRPr="007C5E78">
        <w:rPr>
          <w:rFonts w:ascii="Times New Roman" w:hAnsi="Times New Roman"/>
          <w:sz w:val="22"/>
          <w:szCs w:val="22"/>
        </w:rPr>
        <w:t xml:space="preserve"> savings from </w:t>
      </w:r>
      <w:r w:rsidR="004948CA" w:rsidRPr="007C5E78">
        <w:rPr>
          <w:rFonts w:ascii="Times New Roman" w:hAnsi="Times New Roman"/>
          <w:sz w:val="22"/>
          <w:szCs w:val="22"/>
        </w:rPr>
        <w:t>1.62</w:t>
      </w:r>
      <w:r w:rsidR="003F6594" w:rsidRPr="007C5E78">
        <w:rPr>
          <w:rFonts w:ascii="Times New Roman" w:hAnsi="Times New Roman"/>
          <w:sz w:val="22"/>
          <w:szCs w:val="22"/>
        </w:rPr>
        <w:t xml:space="preserve"> million tonnes to 2.54 million tonnes.  </w:t>
      </w:r>
    </w:p>
    <w:p w14:paraId="5921624F" w14:textId="77777777" w:rsidR="00FB6F0A" w:rsidRPr="003F6594" w:rsidRDefault="00FB6F0A" w:rsidP="003F6594">
      <w:pPr>
        <w:rPr>
          <w:rFonts w:ascii="Times New Roman" w:hAnsi="Times New Roman"/>
          <w:color w:val="FF0000"/>
          <w:sz w:val="22"/>
          <w:szCs w:val="22"/>
        </w:rPr>
      </w:pPr>
    </w:p>
    <w:p w14:paraId="1CD1F602" w14:textId="1C0481E5" w:rsidR="00F25FD0" w:rsidRPr="007C5E78" w:rsidRDefault="006C70F9" w:rsidP="00F25FD0">
      <w:pPr>
        <w:rPr>
          <w:rFonts w:ascii="Times New Roman" w:hAnsi="Times New Roman"/>
          <w:sz w:val="22"/>
          <w:szCs w:val="22"/>
        </w:rPr>
      </w:pPr>
      <w:r>
        <w:rPr>
          <w:rFonts w:ascii="Times New Roman" w:hAnsi="Times New Roman"/>
          <w:sz w:val="22"/>
          <w:szCs w:val="22"/>
        </w:rPr>
        <w:t>A</w:t>
      </w:r>
      <w:r w:rsidR="00C65C16">
        <w:rPr>
          <w:rFonts w:ascii="Times New Roman" w:hAnsi="Times New Roman"/>
          <w:sz w:val="22"/>
          <w:szCs w:val="22"/>
        </w:rPr>
        <w:t>s a condition of</w:t>
      </w:r>
      <w:r w:rsidR="00F21410" w:rsidRPr="00F21410">
        <w:rPr>
          <w:rFonts w:ascii="Times New Roman" w:hAnsi="Times New Roman"/>
          <w:sz w:val="22"/>
          <w:szCs w:val="22"/>
        </w:rPr>
        <w:t xml:space="preserve"> their</w:t>
      </w:r>
      <w:r w:rsidR="00F21410" w:rsidRPr="00C65C16">
        <w:rPr>
          <w:rFonts w:ascii="Times New Roman" w:hAnsi="Times New Roman"/>
          <w:sz w:val="22"/>
          <w:szCs w:val="22"/>
        </w:rPr>
        <w:t xml:space="preserve"> </w:t>
      </w:r>
      <w:r w:rsidR="00F51A38" w:rsidRPr="00C65C16">
        <w:rPr>
          <w:rFonts w:ascii="Times New Roman" w:hAnsi="Times New Roman"/>
          <w:sz w:val="22"/>
          <w:szCs w:val="22"/>
        </w:rPr>
        <w:t>approval process</w:t>
      </w:r>
      <w:r w:rsidR="00F21410" w:rsidRPr="00C65C16">
        <w:rPr>
          <w:rFonts w:ascii="Times New Roman" w:hAnsi="Times New Roman"/>
          <w:sz w:val="22"/>
          <w:szCs w:val="22"/>
        </w:rPr>
        <w:t xml:space="preserve"> </w:t>
      </w:r>
      <w:r>
        <w:rPr>
          <w:rFonts w:ascii="Times New Roman" w:hAnsi="Times New Roman"/>
          <w:sz w:val="22"/>
          <w:szCs w:val="22"/>
        </w:rPr>
        <w:t xml:space="preserve">PBS Vehicles </w:t>
      </w:r>
      <w:r w:rsidR="00F21410" w:rsidRPr="00F21410">
        <w:rPr>
          <w:rFonts w:ascii="Times New Roman" w:hAnsi="Times New Roman"/>
          <w:sz w:val="22"/>
          <w:szCs w:val="22"/>
        </w:rPr>
        <w:t>are also safer and more en</w:t>
      </w:r>
      <w:r w:rsidR="00282A2E">
        <w:rPr>
          <w:rFonts w:ascii="Times New Roman" w:hAnsi="Times New Roman"/>
          <w:sz w:val="22"/>
          <w:szCs w:val="22"/>
        </w:rPr>
        <w:t xml:space="preserve">vironmentally friendly.  </w:t>
      </w:r>
      <w:r w:rsidR="00282A2E" w:rsidRPr="00F25FD0">
        <w:rPr>
          <w:rFonts w:ascii="Times New Roman" w:hAnsi="Times New Roman"/>
          <w:sz w:val="22"/>
          <w:szCs w:val="22"/>
        </w:rPr>
        <w:t>Table 1</w:t>
      </w:r>
      <w:r w:rsidR="00F21410" w:rsidRPr="00F25FD0">
        <w:rPr>
          <w:rFonts w:ascii="Times New Roman" w:hAnsi="Times New Roman"/>
          <w:sz w:val="22"/>
          <w:szCs w:val="22"/>
        </w:rPr>
        <w:t xml:space="preserve"> presents the findings for the median scenario option for the </w:t>
      </w:r>
      <w:r>
        <w:rPr>
          <w:rFonts w:ascii="Times New Roman" w:hAnsi="Times New Roman"/>
          <w:sz w:val="22"/>
          <w:szCs w:val="22"/>
        </w:rPr>
        <w:t>proposed TIC incentive scheme over 5 years and the ongoing benefits for the following three years.</w:t>
      </w:r>
      <w:r w:rsidR="00F21410" w:rsidRPr="00F25FD0">
        <w:rPr>
          <w:rFonts w:ascii="Times New Roman" w:hAnsi="Times New Roman"/>
          <w:sz w:val="22"/>
          <w:szCs w:val="22"/>
        </w:rPr>
        <w:t xml:space="preserve"> </w:t>
      </w:r>
      <w:r w:rsidR="00846F70" w:rsidRPr="007C5E78">
        <w:rPr>
          <w:rFonts w:ascii="Times New Roman" w:hAnsi="Times New Roman"/>
          <w:sz w:val="22"/>
          <w:szCs w:val="22"/>
        </w:rPr>
        <w:t>A value of $15.86</w:t>
      </w:r>
      <w:r w:rsidR="00D25F3B" w:rsidRPr="007C5E78">
        <w:rPr>
          <w:rFonts w:ascii="Times New Roman" w:hAnsi="Times New Roman"/>
          <w:sz w:val="22"/>
          <w:szCs w:val="22"/>
        </w:rPr>
        <w:t xml:space="preserve"> </w:t>
      </w:r>
      <w:r w:rsidR="00DD7305" w:rsidRPr="007C5E78">
        <w:rPr>
          <w:rFonts w:ascii="Times New Roman" w:hAnsi="Times New Roman"/>
          <w:sz w:val="22"/>
          <w:szCs w:val="22"/>
        </w:rPr>
        <w:t>p</w:t>
      </w:r>
      <w:r w:rsidR="00D25F3B" w:rsidRPr="007C5E78">
        <w:rPr>
          <w:rFonts w:ascii="Times New Roman" w:hAnsi="Times New Roman"/>
          <w:sz w:val="22"/>
          <w:szCs w:val="22"/>
        </w:rPr>
        <w:t>er tonne of CO</w:t>
      </w:r>
      <w:r w:rsidR="00D25F3B" w:rsidRPr="007C5E78">
        <w:rPr>
          <w:rFonts w:ascii="Times New Roman" w:hAnsi="Times New Roman"/>
          <w:sz w:val="16"/>
          <w:szCs w:val="16"/>
        </w:rPr>
        <w:t>2</w:t>
      </w:r>
      <w:r w:rsidR="00D25F3B" w:rsidRPr="007C5E78">
        <w:rPr>
          <w:rFonts w:ascii="Times New Roman" w:hAnsi="Times New Roman"/>
          <w:sz w:val="22"/>
          <w:szCs w:val="22"/>
        </w:rPr>
        <w:t xml:space="preserve"> has been used to convert CO</w:t>
      </w:r>
      <w:r w:rsidR="00D25F3B" w:rsidRPr="007C5E78">
        <w:rPr>
          <w:rFonts w:ascii="Times New Roman" w:hAnsi="Times New Roman"/>
          <w:sz w:val="16"/>
          <w:szCs w:val="16"/>
        </w:rPr>
        <w:t>2</w:t>
      </w:r>
      <w:r w:rsidR="00DD7305" w:rsidRPr="007C5E78">
        <w:rPr>
          <w:rFonts w:ascii="Times New Roman" w:hAnsi="Times New Roman"/>
          <w:sz w:val="22"/>
          <w:szCs w:val="22"/>
        </w:rPr>
        <w:t xml:space="preserve"> savings </w:t>
      </w:r>
      <w:r w:rsidR="00D25F3B" w:rsidRPr="007C5E78">
        <w:rPr>
          <w:rFonts w:ascii="Times New Roman" w:hAnsi="Times New Roman"/>
          <w:sz w:val="22"/>
          <w:szCs w:val="22"/>
        </w:rPr>
        <w:t>to a dollar value</w:t>
      </w:r>
      <w:r w:rsidR="00DD7305" w:rsidRPr="007C5E78">
        <w:rPr>
          <w:rFonts w:ascii="Times New Roman" w:hAnsi="Times New Roman"/>
          <w:sz w:val="22"/>
          <w:szCs w:val="22"/>
        </w:rPr>
        <w:t xml:space="preserve"> (ERF 2015)</w:t>
      </w:r>
      <w:r w:rsidR="00D25F3B" w:rsidRPr="007C5E78">
        <w:rPr>
          <w:rFonts w:ascii="Times New Roman" w:hAnsi="Times New Roman"/>
          <w:sz w:val="22"/>
          <w:szCs w:val="22"/>
        </w:rPr>
        <w:t>.</w:t>
      </w:r>
    </w:p>
    <w:p w14:paraId="5FE29299" w14:textId="77777777" w:rsidR="00FB6F0A" w:rsidRPr="007C5E78" w:rsidRDefault="00FB6F0A" w:rsidP="00F21410">
      <w:pPr>
        <w:rPr>
          <w:rFonts w:ascii="Times New Roman" w:hAnsi="Times New Roman"/>
          <w:sz w:val="22"/>
          <w:szCs w:val="22"/>
        </w:rPr>
      </w:pPr>
    </w:p>
    <w:p w14:paraId="0AB8BD65" w14:textId="287188AE" w:rsidR="00F21410" w:rsidRPr="00F51A38" w:rsidRDefault="00115D21" w:rsidP="00F21410">
      <w:pPr>
        <w:rPr>
          <w:rFonts w:ascii="Times New Roman" w:hAnsi="Times New Roman"/>
          <w:color w:val="FF0000"/>
          <w:sz w:val="22"/>
          <w:szCs w:val="22"/>
        </w:rPr>
      </w:pPr>
      <w:r w:rsidRPr="007C5E78">
        <w:rPr>
          <w:rFonts w:ascii="Times New Roman" w:hAnsi="Times New Roman"/>
          <w:sz w:val="22"/>
          <w:szCs w:val="22"/>
        </w:rPr>
        <w:t>Please note that the CO</w:t>
      </w:r>
      <w:r w:rsidRPr="007C5E78">
        <w:rPr>
          <w:rFonts w:ascii="Times New Roman" w:hAnsi="Times New Roman"/>
          <w:sz w:val="16"/>
          <w:szCs w:val="16"/>
        </w:rPr>
        <w:t xml:space="preserve">2 </w:t>
      </w:r>
      <w:r w:rsidRPr="007C5E78">
        <w:rPr>
          <w:rFonts w:ascii="Times New Roman" w:hAnsi="Times New Roman"/>
          <w:sz w:val="22"/>
          <w:szCs w:val="22"/>
        </w:rPr>
        <w:t>and Operator Direct Savings (Ops) summarised in Table 1 and Appendix B only show the potential savings as a result of an increased uptake of new PBS vehicles (TIC’s modelling thus far). The total gains in energy productivity are potentially much greater, possibly ten times, or more, than detailed below.</w:t>
      </w:r>
      <w:r w:rsidR="004B716D" w:rsidRPr="007C5E78">
        <w:rPr>
          <w:rFonts w:ascii="Times New Roman" w:hAnsi="Times New Roman"/>
          <w:sz w:val="22"/>
          <w:szCs w:val="22"/>
        </w:rPr>
        <w:t xml:space="preserve"> </w:t>
      </w:r>
      <w:r w:rsidR="008715FD" w:rsidRPr="007C5E78">
        <w:rPr>
          <w:rFonts w:ascii="Times New Roman" w:hAnsi="Times New Roman"/>
          <w:sz w:val="22"/>
          <w:szCs w:val="22"/>
        </w:rPr>
        <w:t>Moving freight during periods of lower traffic congestion, increased engine and driveline</w:t>
      </w:r>
      <w:r w:rsidR="00B8556B" w:rsidRPr="007C5E78">
        <w:rPr>
          <w:rFonts w:ascii="Times New Roman" w:hAnsi="Times New Roman"/>
          <w:sz w:val="22"/>
          <w:szCs w:val="22"/>
        </w:rPr>
        <w:t xml:space="preserve"> efficiencies of a</w:t>
      </w:r>
      <w:r w:rsidR="008715FD" w:rsidRPr="007C5E78">
        <w:rPr>
          <w:rFonts w:ascii="Times New Roman" w:hAnsi="Times New Roman"/>
          <w:sz w:val="22"/>
          <w:szCs w:val="22"/>
        </w:rPr>
        <w:t xml:space="preserve"> new</w:t>
      </w:r>
      <w:r w:rsidR="00B8556B" w:rsidRPr="007C5E78">
        <w:rPr>
          <w:rFonts w:ascii="Times New Roman" w:hAnsi="Times New Roman"/>
          <w:sz w:val="22"/>
          <w:szCs w:val="22"/>
        </w:rPr>
        <w:t xml:space="preserve">er truck fleet, </w:t>
      </w:r>
      <w:r w:rsidR="008715FD" w:rsidRPr="007C5E78">
        <w:rPr>
          <w:rFonts w:ascii="Times New Roman" w:hAnsi="Times New Roman"/>
          <w:sz w:val="22"/>
          <w:szCs w:val="22"/>
        </w:rPr>
        <w:t xml:space="preserve">alternatively fuelled and powered trucks and increased axles masses for new trucks to offset increased TARE weight have not been modelled by TIC, </w:t>
      </w:r>
      <w:r w:rsidR="00B8556B" w:rsidRPr="007C5E78">
        <w:rPr>
          <w:rFonts w:ascii="Times New Roman" w:hAnsi="Times New Roman"/>
          <w:sz w:val="22"/>
          <w:szCs w:val="22"/>
        </w:rPr>
        <w:t>primarily</w:t>
      </w:r>
      <w:r w:rsidR="008715FD" w:rsidRPr="007C5E78">
        <w:rPr>
          <w:rFonts w:ascii="Times New Roman" w:hAnsi="Times New Roman"/>
          <w:sz w:val="22"/>
          <w:szCs w:val="22"/>
        </w:rPr>
        <w:t xml:space="preserve"> because there is no</w:t>
      </w:r>
      <w:r w:rsidR="008715FD" w:rsidRPr="007C5E78">
        <w:t xml:space="preserve"> </w:t>
      </w:r>
      <w:r w:rsidR="008715FD" w:rsidRPr="007C5E78">
        <w:rPr>
          <w:rFonts w:ascii="Times New Roman" w:hAnsi="Times New Roman"/>
          <w:sz w:val="22"/>
          <w:szCs w:val="22"/>
        </w:rPr>
        <w:t xml:space="preserve">Government and industry accepted metric to quantify and measure energy productivity in the road freight sector. The lack of a suitable </w:t>
      </w:r>
      <w:r w:rsidR="00E01D08" w:rsidRPr="007C5E78">
        <w:rPr>
          <w:rFonts w:ascii="Times New Roman" w:hAnsi="Times New Roman"/>
          <w:sz w:val="22"/>
          <w:szCs w:val="22"/>
        </w:rPr>
        <w:t xml:space="preserve">energy productivity </w:t>
      </w:r>
      <w:r w:rsidR="008715FD" w:rsidRPr="007C5E78">
        <w:rPr>
          <w:rFonts w:ascii="Times New Roman" w:hAnsi="Times New Roman"/>
          <w:sz w:val="22"/>
          <w:szCs w:val="22"/>
        </w:rPr>
        <w:t xml:space="preserve">metric </w:t>
      </w:r>
      <w:r w:rsidR="00E01D08" w:rsidRPr="007C5E78">
        <w:rPr>
          <w:rFonts w:ascii="Times New Roman" w:hAnsi="Times New Roman"/>
          <w:sz w:val="22"/>
          <w:szCs w:val="22"/>
        </w:rPr>
        <w:t>for road transport significantly hampers the development and review of scenarios that could be used to determine the most beneficial and practical methods to increase Australia’s road transport efficiency and reduce CO</w:t>
      </w:r>
      <w:r w:rsidR="00E01D08" w:rsidRPr="007C5E78">
        <w:rPr>
          <w:rFonts w:ascii="Times New Roman" w:hAnsi="Times New Roman"/>
          <w:sz w:val="16"/>
          <w:szCs w:val="16"/>
        </w:rPr>
        <w:t>2</w:t>
      </w:r>
      <w:r w:rsidR="00E01D08" w:rsidRPr="007C5E78">
        <w:rPr>
          <w:rFonts w:ascii="Times New Roman" w:hAnsi="Times New Roman"/>
          <w:sz w:val="22"/>
          <w:szCs w:val="22"/>
        </w:rPr>
        <w:t xml:space="preserve"> emissions.</w:t>
      </w:r>
    </w:p>
    <w:tbl>
      <w:tblPr>
        <w:tblW w:w="8636" w:type="dxa"/>
        <w:tblLook w:val="04A0" w:firstRow="1" w:lastRow="0" w:firstColumn="1" w:lastColumn="0" w:noHBand="0" w:noVBand="1"/>
      </w:tblPr>
      <w:tblGrid>
        <w:gridCol w:w="986"/>
        <w:gridCol w:w="960"/>
        <w:gridCol w:w="1340"/>
        <w:gridCol w:w="1340"/>
        <w:gridCol w:w="1340"/>
        <w:gridCol w:w="1340"/>
        <w:gridCol w:w="1340"/>
      </w:tblGrid>
      <w:tr w:rsidR="006C70F9" w:rsidRPr="006C70F9" w14:paraId="707CE35D" w14:textId="77777777" w:rsidTr="004B3EB7">
        <w:trPr>
          <w:trHeight w:val="435"/>
        </w:trPr>
        <w:tc>
          <w:tcPr>
            <w:tcW w:w="976" w:type="dxa"/>
            <w:tcBorders>
              <w:top w:val="nil"/>
              <w:left w:val="nil"/>
              <w:bottom w:val="nil"/>
              <w:right w:val="nil"/>
            </w:tcBorders>
            <w:shd w:val="clear" w:color="auto" w:fill="auto"/>
            <w:noWrap/>
            <w:vAlign w:val="bottom"/>
            <w:hideMark/>
          </w:tcPr>
          <w:p w14:paraId="2434DEB3" w14:textId="77777777" w:rsidR="006C70F9" w:rsidRPr="006C70F9" w:rsidRDefault="006C70F9" w:rsidP="006C70F9">
            <w:pPr>
              <w:rPr>
                <w:rFonts w:ascii="Times New Roman" w:eastAsia="Times New Roman" w:hAnsi="Times New Roman"/>
                <w:sz w:val="20"/>
                <w:szCs w:val="20"/>
                <w:lang w:eastAsia="en-AU"/>
              </w:rPr>
            </w:pPr>
          </w:p>
        </w:tc>
        <w:tc>
          <w:tcPr>
            <w:tcW w:w="7660" w:type="dxa"/>
            <w:gridSpan w:val="6"/>
            <w:tcBorders>
              <w:top w:val="nil"/>
              <w:left w:val="nil"/>
              <w:bottom w:val="single" w:sz="8" w:space="0" w:color="auto"/>
              <w:right w:val="nil"/>
            </w:tcBorders>
            <w:shd w:val="clear" w:color="auto" w:fill="auto"/>
            <w:vAlign w:val="center"/>
            <w:hideMark/>
          </w:tcPr>
          <w:p w14:paraId="1B503E90" w14:textId="77777777" w:rsidR="006C70F9" w:rsidRPr="006C70F9" w:rsidRDefault="006C70F9" w:rsidP="006C70F9">
            <w:pPr>
              <w:jc w:val="center"/>
              <w:rPr>
                <w:rFonts w:ascii="Times New Roman" w:eastAsia="Times New Roman" w:hAnsi="Times New Roman"/>
                <w:b/>
                <w:bCs/>
                <w:lang w:eastAsia="en-AU"/>
              </w:rPr>
            </w:pPr>
            <w:r w:rsidRPr="006C70F9">
              <w:rPr>
                <w:rFonts w:ascii="Times New Roman" w:eastAsia="Times New Roman" w:hAnsi="Times New Roman"/>
                <w:b/>
                <w:bCs/>
                <w:lang w:eastAsia="en-AU"/>
              </w:rPr>
              <w:t>Table 1 Impact Assumptions for all Scenarios</w:t>
            </w:r>
          </w:p>
        </w:tc>
      </w:tr>
      <w:tr w:rsidR="006C70F9" w:rsidRPr="006C70F9" w14:paraId="0CC3CBAC" w14:textId="77777777" w:rsidTr="004B3EB7">
        <w:trPr>
          <w:trHeight w:val="315"/>
        </w:trPr>
        <w:tc>
          <w:tcPr>
            <w:tcW w:w="976" w:type="dxa"/>
            <w:tcBorders>
              <w:top w:val="nil"/>
              <w:left w:val="nil"/>
              <w:bottom w:val="nil"/>
              <w:right w:val="nil"/>
            </w:tcBorders>
            <w:shd w:val="clear" w:color="auto" w:fill="auto"/>
            <w:noWrap/>
            <w:vAlign w:val="bottom"/>
            <w:hideMark/>
          </w:tcPr>
          <w:p w14:paraId="022B6AD0" w14:textId="77777777" w:rsidR="006C70F9" w:rsidRPr="006C70F9" w:rsidRDefault="006C70F9" w:rsidP="006C70F9">
            <w:pPr>
              <w:jc w:val="center"/>
              <w:rPr>
                <w:rFonts w:ascii="Calibri" w:eastAsia="Times New Roman" w:hAnsi="Calibri"/>
                <w:b/>
                <w:bCs/>
                <w:sz w:val="32"/>
                <w:szCs w:val="32"/>
                <w:lang w:eastAsia="en-AU"/>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6AD6323" w14:textId="77777777" w:rsidR="006C70F9" w:rsidRPr="006C70F9" w:rsidRDefault="006C70F9" w:rsidP="006C70F9">
            <w:pPr>
              <w:jc w:val="center"/>
              <w:rPr>
                <w:rFonts w:ascii="Times New Roman" w:eastAsia="Times New Roman" w:hAnsi="Times New Roman"/>
                <w:sz w:val="22"/>
                <w:szCs w:val="22"/>
                <w:lang w:eastAsia="en-AU"/>
              </w:rPr>
            </w:pPr>
            <w:r w:rsidRPr="006C70F9">
              <w:rPr>
                <w:rFonts w:ascii="Times New Roman" w:eastAsia="Times New Roman" w:hAnsi="Times New Roman"/>
                <w:sz w:val="22"/>
                <w:szCs w:val="22"/>
                <w:lang w:eastAsia="en-AU"/>
              </w:rPr>
              <w:t>Year</w:t>
            </w:r>
          </w:p>
        </w:tc>
        <w:tc>
          <w:tcPr>
            <w:tcW w:w="6700" w:type="dxa"/>
            <w:gridSpan w:val="5"/>
            <w:tcBorders>
              <w:top w:val="single" w:sz="8" w:space="0" w:color="auto"/>
              <w:left w:val="nil"/>
              <w:bottom w:val="single" w:sz="4" w:space="0" w:color="auto"/>
              <w:right w:val="single" w:sz="8" w:space="0" w:color="000000"/>
            </w:tcBorders>
            <w:shd w:val="clear" w:color="auto" w:fill="auto"/>
            <w:vAlign w:val="center"/>
            <w:hideMark/>
          </w:tcPr>
          <w:p w14:paraId="54C10AAF" w14:textId="77777777" w:rsidR="006C70F9" w:rsidRPr="00462072" w:rsidRDefault="006C70F9" w:rsidP="006C70F9">
            <w:pPr>
              <w:jc w:val="center"/>
              <w:rPr>
                <w:rFonts w:ascii="Times New Roman" w:eastAsia="Times New Roman" w:hAnsi="Times New Roman"/>
                <w:sz w:val="22"/>
                <w:szCs w:val="22"/>
                <w:lang w:eastAsia="en-AU"/>
              </w:rPr>
            </w:pPr>
            <w:r w:rsidRPr="00462072">
              <w:rPr>
                <w:rFonts w:ascii="Times New Roman" w:eastAsia="Times New Roman" w:hAnsi="Times New Roman"/>
                <w:sz w:val="22"/>
                <w:szCs w:val="22"/>
                <w:lang w:eastAsia="en-AU"/>
              </w:rPr>
              <w:t>Medium ($ Million)</w:t>
            </w:r>
          </w:p>
        </w:tc>
      </w:tr>
      <w:tr w:rsidR="006C70F9" w:rsidRPr="006C70F9" w14:paraId="41D1E61E" w14:textId="77777777" w:rsidTr="004B3EB7">
        <w:trPr>
          <w:trHeight w:val="315"/>
        </w:trPr>
        <w:tc>
          <w:tcPr>
            <w:tcW w:w="976" w:type="dxa"/>
            <w:tcBorders>
              <w:top w:val="nil"/>
              <w:left w:val="nil"/>
              <w:bottom w:val="nil"/>
              <w:right w:val="nil"/>
            </w:tcBorders>
            <w:shd w:val="clear" w:color="auto" w:fill="auto"/>
            <w:noWrap/>
            <w:vAlign w:val="bottom"/>
            <w:hideMark/>
          </w:tcPr>
          <w:p w14:paraId="4E692EC5" w14:textId="77777777" w:rsidR="006C70F9" w:rsidRPr="006C70F9" w:rsidRDefault="006C70F9" w:rsidP="006C70F9">
            <w:pPr>
              <w:jc w:val="center"/>
              <w:rPr>
                <w:rFonts w:ascii="Calibri" w:eastAsia="Times New Roman" w:hAnsi="Calibri"/>
                <w:lang w:eastAsia="en-AU"/>
              </w:rPr>
            </w:pPr>
          </w:p>
        </w:tc>
        <w:tc>
          <w:tcPr>
            <w:tcW w:w="960" w:type="dxa"/>
            <w:vMerge/>
            <w:tcBorders>
              <w:top w:val="nil"/>
              <w:left w:val="single" w:sz="8" w:space="0" w:color="auto"/>
              <w:bottom w:val="single" w:sz="8" w:space="0" w:color="000000"/>
              <w:right w:val="single" w:sz="8" w:space="0" w:color="auto"/>
            </w:tcBorders>
            <w:vAlign w:val="center"/>
            <w:hideMark/>
          </w:tcPr>
          <w:p w14:paraId="343418A1" w14:textId="77777777" w:rsidR="006C70F9" w:rsidRPr="006C70F9" w:rsidRDefault="006C70F9" w:rsidP="006C70F9">
            <w:pPr>
              <w:rPr>
                <w:rFonts w:ascii="Calibri" w:eastAsia="Times New Roman" w:hAnsi="Calibri"/>
                <w:lang w:eastAsia="en-AU"/>
              </w:rPr>
            </w:pPr>
          </w:p>
        </w:tc>
        <w:tc>
          <w:tcPr>
            <w:tcW w:w="1340" w:type="dxa"/>
            <w:tcBorders>
              <w:top w:val="nil"/>
              <w:left w:val="nil"/>
              <w:bottom w:val="single" w:sz="8" w:space="0" w:color="auto"/>
              <w:right w:val="single" w:sz="4" w:space="0" w:color="auto"/>
            </w:tcBorders>
            <w:shd w:val="clear" w:color="auto" w:fill="auto"/>
            <w:vAlign w:val="center"/>
            <w:hideMark/>
          </w:tcPr>
          <w:p w14:paraId="4DA1A2E4" w14:textId="77777777" w:rsidR="006C70F9" w:rsidRPr="006C70F9" w:rsidRDefault="006C70F9" w:rsidP="006C70F9">
            <w:pPr>
              <w:jc w:val="center"/>
              <w:rPr>
                <w:rFonts w:ascii="Times New Roman" w:eastAsia="Times New Roman" w:hAnsi="Times New Roman"/>
                <w:b/>
                <w:bCs/>
                <w:sz w:val="20"/>
                <w:szCs w:val="20"/>
                <w:lang w:eastAsia="en-AU"/>
              </w:rPr>
            </w:pPr>
            <w:r w:rsidRPr="006C70F9">
              <w:rPr>
                <w:rFonts w:ascii="Times New Roman" w:eastAsia="Times New Roman" w:hAnsi="Times New Roman"/>
                <w:b/>
                <w:bCs/>
                <w:sz w:val="20"/>
                <w:szCs w:val="20"/>
                <w:lang w:eastAsia="en-AU"/>
              </w:rPr>
              <w:t>Safety</w:t>
            </w:r>
          </w:p>
        </w:tc>
        <w:tc>
          <w:tcPr>
            <w:tcW w:w="1340" w:type="dxa"/>
            <w:tcBorders>
              <w:top w:val="nil"/>
              <w:left w:val="nil"/>
              <w:bottom w:val="single" w:sz="8" w:space="0" w:color="auto"/>
              <w:right w:val="single" w:sz="4" w:space="0" w:color="auto"/>
            </w:tcBorders>
            <w:shd w:val="clear" w:color="auto" w:fill="auto"/>
            <w:vAlign w:val="center"/>
            <w:hideMark/>
          </w:tcPr>
          <w:p w14:paraId="4CF2ECD4" w14:textId="77777777" w:rsidR="006C70F9" w:rsidRPr="006C70F9" w:rsidRDefault="006C70F9" w:rsidP="006C70F9">
            <w:pPr>
              <w:jc w:val="center"/>
              <w:rPr>
                <w:rFonts w:ascii="Times New Roman" w:eastAsia="Times New Roman" w:hAnsi="Times New Roman"/>
                <w:b/>
                <w:bCs/>
                <w:sz w:val="20"/>
                <w:szCs w:val="20"/>
                <w:lang w:eastAsia="en-AU"/>
              </w:rPr>
            </w:pPr>
            <w:r w:rsidRPr="006C70F9">
              <w:rPr>
                <w:rFonts w:ascii="Times New Roman" w:eastAsia="Times New Roman" w:hAnsi="Times New Roman"/>
                <w:b/>
                <w:bCs/>
                <w:sz w:val="20"/>
                <w:szCs w:val="20"/>
                <w:lang w:eastAsia="en-AU"/>
              </w:rPr>
              <w:t>Health</w:t>
            </w:r>
          </w:p>
        </w:tc>
        <w:tc>
          <w:tcPr>
            <w:tcW w:w="1340" w:type="dxa"/>
            <w:tcBorders>
              <w:top w:val="nil"/>
              <w:left w:val="nil"/>
              <w:bottom w:val="single" w:sz="8" w:space="0" w:color="auto"/>
              <w:right w:val="single" w:sz="4" w:space="0" w:color="auto"/>
            </w:tcBorders>
            <w:shd w:val="clear" w:color="auto" w:fill="auto"/>
            <w:vAlign w:val="center"/>
            <w:hideMark/>
          </w:tcPr>
          <w:p w14:paraId="1E745F5A" w14:textId="77777777" w:rsidR="006C70F9" w:rsidRPr="006C70F9" w:rsidRDefault="006C70F9" w:rsidP="006C70F9">
            <w:pPr>
              <w:jc w:val="center"/>
              <w:rPr>
                <w:rFonts w:ascii="Times New Roman" w:eastAsia="Times New Roman" w:hAnsi="Times New Roman"/>
                <w:b/>
                <w:bCs/>
                <w:sz w:val="20"/>
                <w:szCs w:val="20"/>
                <w:lang w:eastAsia="en-AU"/>
              </w:rPr>
            </w:pPr>
            <w:r w:rsidRPr="006C70F9">
              <w:rPr>
                <w:rFonts w:ascii="Times New Roman" w:eastAsia="Times New Roman" w:hAnsi="Times New Roman"/>
                <w:b/>
                <w:bCs/>
                <w:sz w:val="20"/>
                <w:szCs w:val="20"/>
                <w:lang w:eastAsia="en-AU"/>
              </w:rPr>
              <w:t>CO</w:t>
            </w:r>
            <w:r w:rsidRPr="006C70F9">
              <w:rPr>
                <w:rFonts w:ascii="Times New Roman" w:eastAsia="Times New Roman" w:hAnsi="Times New Roman"/>
                <w:b/>
                <w:bCs/>
                <w:sz w:val="20"/>
                <w:szCs w:val="20"/>
                <w:vertAlign w:val="subscript"/>
                <w:lang w:eastAsia="en-AU"/>
              </w:rPr>
              <w:t>2</w:t>
            </w:r>
          </w:p>
        </w:tc>
        <w:tc>
          <w:tcPr>
            <w:tcW w:w="1340" w:type="dxa"/>
            <w:tcBorders>
              <w:top w:val="nil"/>
              <w:left w:val="nil"/>
              <w:bottom w:val="single" w:sz="8" w:space="0" w:color="auto"/>
              <w:right w:val="single" w:sz="4" w:space="0" w:color="auto"/>
            </w:tcBorders>
            <w:shd w:val="clear" w:color="auto" w:fill="auto"/>
            <w:vAlign w:val="center"/>
            <w:hideMark/>
          </w:tcPr>
          <w:p w14:paraId="717ACD78" w14:textId="77777777" w:rsidR="006C70F9" w:rsidRPr="006C70F9" w:rsidRDefault="006C70F9" w:rsidP="006C70F9">
            <w:pPr>
              <w:jc w:val="center"/>
              <w:rPr>
                <w:rFonts w:ascii="Times New Roman" w:eastAsia="Times New Roman" w:hAnsi="Times New Roman"/>
                <w:b/>
                <w:bCs/>
                <w:sz w:val="22"/>
                <w:szCs w:val="22"/>
                <w:lang w:eastAsia="en-AU"/>
              </w:rPr>
            </w:pPr>
            <w:r w:rsidRPr="006C70F9">
              <w:rPr>
                <w:rFonts w:ascii="Times New Roman" w:eastAsia="Times New Roman" w:hAnsi="Times New Roman"/>
                <w:b/>
                <w:bCs/>
                <w:sz w:val="22"/>
                <w:szCs w:val="22"/>
                <w:lang w:eastAsia="en-AU"/>
              </w:rPr>
              <w:t>Ops</w:t>
            </w:r>
          </w:p>
        </w:tc>
        <w:tc>
          <w:tcPr>
            <w:tcW w:w="1340" w:type="dxa"/>
            <w:tcBorders>
              <w:top w:val="nil"/>
              <w:left w:val="nil"/>
              <w:bottom w:val="single" w:sz="8" w:space="0" w:color="auto"/>
              <w:right w:val="single" w:sz="8" w:space="0" w:color="auto"/>
            </w:tcBorders>
            <w:shd w:val="clear" w:color="auto" w:fill="auto"/>
            <w:vAlign w:val="center"/>
            <w:hideMark/>
          </w:tcPr>
          <w:p w14:paraId="0F296344" w14:textId="77777777" w:rsidR="006C70F9" w:rsidRPr="006C70F9" w:rsidRDefault="006C70F9" w:rsidP="006C70F9">
            <w:pPr>
              <w:jc w:val="center"/>
              <w:rPr>
                <w:rFonts w:ascii="Times New Roman" w:eastAsia="Times New Roman" w:hAnsi="Times New Roman"/>
                <w:b/>
                <w:bCs/>
                <w:sz w:val="22"/>
                <w:szCs w:val="22"/>
                <w:lang w:eastAsia="en-AU"/>
              </w:rPr>
            </w:pPr>
            <w:r w:rsidRPr="006C70F9">
              <w:rPr>
                <w:rFonts w:ascii="Times New Roman" w:eastAsia="Times New Roman" w:hAnsi="Times New Roman"/>
                <w:b/>
                <w:bCs/>
                <w:sz w:val="22"/>
                <w:szCs w:val="22"/>
                <w:lang w:eastAsia="en-AU"/>
              </w:rPr>
              <w:t>Total</w:t>
            </w:r>
          </w:p>
        </w:tc>
      </w:tr>
      <w:tr w:rsidR="006C70F9" w:rsidRPr="006C70F9" w14:paraId="0DED7AD7" w14:textId="77777777" w:rsidTr="004B3EB7">
        <w:trPr>
          <w:trHeight w:val="300"/>
        </w:trPr>
        <w:tc>
          <w:tcPr>
            <w:tcW w:w="976" w:type="dxa"/>
            <w:tcBorders>
              <w:top w:val="nil"/>
              <w:left w:val="nil"/>
              <w:bottom w:val="nil"/>
              <w:right w:val="nil"/>
            </w:tcBorders>
            <w:shd w:val="clear" w:color="auto" w:fill="auto"/>
            <w:noWrap/>
            <w:vAlign w:val="bottom"/>
            <w:hideMark/>
          </w:tcPr>
          <w:p w14:paraId="2C75F281" w14:textId="77777777" w:rsidR="006C70F9" w:rsidRPr="006C70F9" w:rsidRDefault="006C70F9" w:rsidP="006C70F9">
            <w:pPr>
              <w:jc w:val="center"/>
              <w:rPr>
                <w:rFonts w:ascii="Calibri" w:eastAsia="Times New Roman" w:hAnsi="Calibri"/>
                <w:b/>
                <w:bCs/>
                <w:sz w:val="22"/>
                <w:szCs w:val="22"/>
                <w:lang w:eastAsia="en-AU"/>
              </w:rPr>
            </w:pPr>
          </w:p>
        </w:tc>
        <w:tc>
          <w:tcPr>
            <w:tcW w:w="960" w:type="dxa"/>
            <w:tcBorders>
              <w:top w:val="nil"/>
              <w:left w:val="single" w:sz="8" w:space="0" w:color="auto"/>
              <w:bottom w:val="nil"/>
              <w:right w:val="single" w:sz="8" w:space="0" w:color="auto"/>
            </w:tcBorders>
            <w:shd w:val="clear" w:color="auto" w:fill="auto"/>
            <w:vAlign w:val="center"/>
            <w:hideMark/>
          </w:tcPr>
          <w:p w14:paraId="43E4FE07"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2017</w:t>
            </w:r>
          </w:p>
        </w:tc>
        <w:tc>
          <w:tcPr>
            <w:tcW w:w="1340" w:type="dxa"/>
            <w:tcBorders>
              <w:top w:val="nil"/>
              <w:left w:val="nil"/>
              <w:bottom w:val="nil"/>
              <w:right w:val="nil"/>
            </w:tcBorders>
            <w:shd w:val="clear" w:color="auto" w:fill="auto"/>
            <w:vAlign w:val="center"/>
            <w:hideMark/>
          </w:tcPr>
          <w:p w14:paraId="42F2311A"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0.0</w:t>
            </w:r>
          </w:p>
        </w:tc>
        <w:tc>
          <w:tcPr>
            <w:tcW w:w="1340" w:type="dxa"/>
            <w:tcBorders>
              <w:top w:val="nil"/>
              <w:left w:val="single" w:sz="4" w:space="0" w:color="auto"/>
              <w:bottom w:val="nil"/>
              <w:right w:val="single" w:sz="4" w:space="0" w:color="auto"/>
            </w:tcBorders>
            <w:shd w:val="clear" w:color="auto" w:fill="auto"/>
            <w:vAlign w:val="center"/>
            <w:hideMark/>
          </w:tcPr>
          <w:p w14:paraId="60529520"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0.0</w:t>
            </w:r>
          </w:p>
        </w:tc>
        <w:tc>
          <w:tcPr>
            <w:tcW w:w="1340" w:type="dxa"/>
            <w:tcBorders>
              <w:top w:val="nil"/>
              <w:left w:val="nil"/>
              <w:bottom w:val="nil"/>
              <w:right w:val="single" w:sz="4" w:space="0" w:color="auto"/>
            </w:tcBorders>
            <w:shd w:val="clear" w:color="auto" w:fill="auto"/>
            <w:vAlign w:val="center"/>
            <w:hideMark/>
          </w:tcPr>
          <w:p w14:paraId="5B2FCEEE"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0.0</w:t>
            </w:r>
          </w:p>
        </w:tc>
        <w:tc>
          <w:tcPr>
            <w:tcW w:w="1340" w:type="dxa"/>
            <w:tcBorders>
              <w:top w:val="nil"/>
              <w:left w:val="nil"/>
              <w:bottom w:val="nil"/>
              <w:right w:val="nil"/>
            </w:tcBorders>
            <w:shd w:val="clear" w:color="auto" w:fill="auto"/>
            <w:vAlign w:val="center"/>
            <w:hideMark/>
          </w:tcPr>
          <w:p w14:paraId="5422664A"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0.0</w:t>
            </w:r>
          </w:p>
        </w:tc>
        <w:tc>
          <w:tcPr>
            <w:tcW w:w="1340" w:type="dxa"/>
            <w:tcBorders>
              <w:top w:val="nil"/>
              <w:left w:val="single" w:sz="4" w:space="0" w:color="auto"/>
              <w:bottom w:val="nil"/>
              <w:right w:val="single" w:sz="8" w:space="0" w:color="auto"/>
            </w:tcBorders>
            <w:shd w:val="clear" w:color="auto" w:fill="auto"/>
            <w:vAlign w:val="center"/>
            <w:hideMark/>
          </w:tcPr>
          <w:p w14:paraId="46BAF8F4"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0.0</w:t>
            </w:r>
          </w:p>
        </w:tc>
      </w:tr>
      <w:tr w:rsidR="006C70F9" w:rsidRPr="006C70F9" w14:paraId="0D0F8EED" w14:textId="77777777" w:rsidTr="004B3EB7">
        <w:trPr>
          <w:trHeight w:val="300"/>
        </w:trPr>
        <w:tc>
          <w:tcPr>
            <w:tcW w:w="976" w:type="dxa"/>
            <w:vMerge w:val="restart"/>
            <w:tcBorders>
              <w:top w:val="nil"/>
              <w:left w:val="nil"/>
              <w:bottom w:val="nil"/>
              <w:right w:val="single" w:sz="8" w:space="0" w:color="auto"/>
            </w:tcBorders>
            <w:shd w:val="clear" w:color="000000" w:fill="C6E0B4"/>
            <w:vAlign w:val="bottom"/>
            <w:hideMark/>
          </w:tcPr>
          <w:p w14:paraId="6A8E478B" w14:textId="77777777" w:rsidR="006C70F9" w:rsidRPr="006C70F9" w:rsidRDefault="006C70F9" w:rsidP="006C70F9">
            <w:pPr>
              <w:jc w:val="center"/>
              <w:rPr>
                <w:rFonts w:ascii="Times New Roman" w:eastAsia="Times New Roman" w:hAnsi="Times New Roman"/>
                <w:color w:val="000000"/>
                <w:sz w:val="22"/>
                <w:szCs w:val="22"/>
                <w:lang w:eastAsia="en-AU"/>
              </w:rPr>
            </w:pPr>
            <w:r w:rsidRPr="006C70F9">
              <w:rPr>
                <w:rFonts w:ascii="Times New Roman" w:eastAsia="Times New Roman" w:hAnsi="Times New Roman"/>
                <w:color w:val="000000"/>
                <w:sz w:val="22"/>
                <w:szCs w:val="22"/>
                <w:lang w:eastAsia="en-AU"/>
              </w:rPr>
              <w:t>National Truck Plan               (5 Years)</w:t>
            </w:r>
          </w:p>
        </w:tc>
        <w:tc>
          <w:tcPr>
            <w:tcW w:w="960" w:type="dxa"/>
            <w:tcBorders>
              <w:top w:val="nil"/>
              <w:left w:val="nil"/>
              <w:bottom w:val="nil"/>
              <w:right w:val="single" w:sz="8" w:space="0" w:color="auto"/>
            </w:tcBorders>
            <w:shd w:val="clear" w:color="000000" w:fill="C6E0B4"/>
            <w:vAlign w:val="center"/>
            <w:hideMark/>
          </w:tcPr>
          <w:p w14:paraId="6F5B9D99"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2018</w:t>
            </w:r>
          </w:p>
        </w:tc>
        <w:tc>
          <w:tcPr>
            <w:tcW w:w="1340" w:type="dxa"/>
            <w:tcBorders>
              <w:top w:val="nil"/>
              <w:left w:val="nil"/>
              <w:bottom w:val="nil"/>
              <w:right w:val="nil"/>
            </w:tcBorders>
            <w:shd w:val="clear" w:color="000000" w:fill="C6E0B4"/>
            <w:vAlign w:val="center"/>
            <w:hideMark/>
          </w:tcPr>
          <w:p w14:paraId="28B9EB52"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12.0</w:t>
            </w:r>
          </w:p>
        </w:tc>
        <w:tc>
          <w:tcPr>
            <w:tcW w:w="1340" w:type="dxa"/>
            <w:tcBorders>
              <w:top w:val="nil"/>
              <w:left w:val="single" w:sz="4" w:space="0" w:color="auto"/>
              <w:bottom w:val="nil"/>
              <w:right w:val="single" w:sz="4" w:space="0" w:color="auto"/>
            </w:tcBorders>
            <w:shd w:val="clear" w:color="000000" w:fill="C6E0B4"/>
            <w:vAlign w:val="center"/>
            <w:hideMark/>
          </w:tcPr>
          <w:p w14:paraId="7F8582A0"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107.1</w:t>
            </w:r>
          </w:p>
        </w:tc>
        <w:tc>
          <w:tcPr>
            <w:tcW w:w="1340" w:type="dxa"/>
            <w:tcBorders>
              <w:top w:val="nil"/>
              <w:left w:val="nil"/>
              <w:bottom w:val="nil"/>
              <w:right w:val="single" w:sz="4" w:space="0" w:color="auto"/>
            </w:tcBorders>
            <w:shd w:val="clear" w:color="000000" w:fill="C6E0B4"/>
            <w:vAlign w:val="center"/>
            <w:hideMark/>
          </w:tcPr>
          <w:p w14:paraId="3FF12C29"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3.8</w:t>
            </w:r>
          </w:p>
        </w:tc>
        <w:tc>
          <w:tcPr>
            <w:tcW w:w="1340" w:type="dxa"/>
            <w:tcBorders>
              <w:top w:val="nil"/>
              <w:left w:val="nil"/>
              <w:bottom w:val="nil"/>
              <w:right w:val="nil"/>
            </w:tcBorders>
            <w:shd w:val="clear" w:color="000000" w:fill="C6E0B4"/>
            <w:vAlign w:val="center"/>
            <w:hideMark/>
          </w:tcPr>
          <w:p w14:paraId="2237FA70"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296.8</w:t>
            </w:r>
          </w:p>
        </w:tc>
        <w:tc>
          <w:tcPr>
            <w:tcW w:w="1340" w:type="dxa"/>
            <w:tcBorders>
              <w:top w:val="nil"/>
              <w:left w:val="single" w:sz="4" w:space="0" w:color="auto"/>
              <w:bottom w:val="nil"/>
              <w:right w:val="single" w:sz="8" w:space="0" w:color="auto"/>
            </w:tcBorders>
            <w:shd w:val="clear" w:color="000000" w:fill="C6E0B4"/>
            <w:vAlign w:val="center"/>
            <w:hideMark/>
          </w:tcPr>
          <w:p w14:paraId="588F507C"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419.7</w:t>
            </w:r>
          </w:p>
        </w:tc>
      </w:tr>
      <w:tr w:rsidR="006C70F9" w:rsidRPr="006C70F9" w14:paraId="2F6C31EC" w14:textId="77777777" w:rsidTr="004B3EB7">
        <w:trPr>
          <w:trHeight w:val="300"/>
        </w:trPr>
        <w:tc>
          <w:tcPr>
            <w:tcW w:w="976" w:type="dxa"/>
            <w:vMerge/>
            <w:tcBorders>
              <w:top w:val="nil"/>
              <w:left w:val="nil"/>
              <w:bottom w:val="nil"/>
              <w:right w:val="single" w:sz="8" w:space="0" w:color="auto"/>
            </w:tcBorders>
            <w:vAlign w:val="center"/>
            <w:hideMark/>
          </w:tcPr>
          <w:p w14:paraId="28EAC076" w14:textId="77777777" w:rsidR="006C70F9" w:rsidRPr="006C70F9" w:rsidRDefault="006C70F9" w:rsidP="006C70F9">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50E648B5"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2019</w:t>
            </w:r>
          </w:p>
        </w:tc>
        <w:tc>
          <w:tcPr>
            <w:tcW w:w="1340" w:type="dxa"/>
            <w:tcBorders>
              <w:top w:val="nil"/>
              <w:left w:val="nil"/>
              <w:bottom w:val="nil"/>
              <w:right w:val="nil"/>
            </w:tcBorders>
            <w:shd w:val="clear" w:color="000000" w:fill="C6E0B4"/>
            <w:vAlign w:val="center"/>
            <w:hideMark/>
          </w:tcPr>
          <w:p w14:paraId="2D80196D"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12.3</w:t>
            </w:r>
          </w:p>
        </w:tc>
        <w:tc>
          <w:tcPr>
            <w:tcW w:w="1340" w:type="dxa"/>
            <w:tcBorders>
              <w:top w:val="nil"/>
              <w:left w:val="single" w:sz="4" w:space="0" w:color="auto"/>
              <w:bottom w:val="nil"/>
              <w:right w:val="single" w:sz="4" w:space="0" w:color="auto"/>
            </w:tcBorders>
            <w:shd w:val="clear" w:color="000000" w:fill="C6E0B4"/>
            <w:vAlign w:val="center"/>
            <w:hideMark/>
          </w:tcPr>
          <w:p w14:paraId="265C43FD"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218.2</w:t>
            </w:r>
          </w:p>
        </w:tc>
        <w:tc>
          <w:tcPr>
            <w:tcW w:w="1340" w:type="dxa"/>
            <w:tcBorders>
              <w:top w:val="nil"/>
              <w:left w:val="nil"/>
              <w:bottom w:val="nil"/>
              <w:right w:val="single" w:sz="4" w:space="0" w:color="auto"/>
            </w:tcBorders>
            <w:shd w:val="clear" w:color="000000" w:fill="C6E0B4"/>
            <w:vAlign w:val="center"/>
            <w:hideMark/>
          </w:tcPr>
          <w:p w14:paraId="3CA90F23"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3.9</w:t>
            </w:r>
          </w:p>
        </w:tc>
        <w:tc>
          <w:tcPr>
            <w:tcW w:w="1340" w:type="dxa"/>
            <w:tcBorders>
              <w:top w:val="nil"/>
              <w:left w:val="nil"/>
              <w:bottom w:val="nil"/>
              <w:right w:val="nil"/>
            </w:tcBorders>
            <w:shd w:val="clear" w:color="000000" w:fill="C6E0B4"/>
            <w:vAlign w:val="center"/>
            <w:hideMark/>
          </w:tcPr>
          <w:p w14:paraId="3CB67D78"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306.9</w:t>
            </w:r>
          </w:p>
        </w:tc>
        <w:tc>
          <w:tcPr>
            <w:tcW w:w="1340" w:type="dxa"/>
            <w:tcBorders>
              <w:top w:val="nil"/>
              <w:left w:val="single" w:sz="4" w:space="0" w:color="auto"/>
              <w:bottom w:val="nil"/>
              <w:right w:val="single" w:sz="8" w:space="0" w:color="auto"/>
            </w:tcBorders>
            <w:shd w:val="clear" w:color="000000" w:fill="C6E0B4"/>
            <w:vAlign w:val="center"/>
            <w:hideMark/>
          </w:tcPr>
          <w:p w14:paraId="3FF83092"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541.3</w:t>
            </w:r>
          </w:p>
        </w:tc>
      </w:tr>
      <w:tr w:rsidR="006C70F9" w:rsidRPr="006C70F9" w14:paraId="1E94F514" w14:textId="77777777" w:rsidTr="004B3EB7">
        <w:trPr>
          <w:trHeight w:val="300"/>
        </w:trPr>
        <w:tc>
          <w:tcPr>
            <w:tcW w:w="976" w:type="dxa"/>
            <w:vMerge/>
            <w:tcBorders>
              <w:top w:val="nil"/>
              <w:left w:val="nil"/>
              <w:bottom w:val="nil"/>
              <w:right w:val="single" w:sz="8" w:space="0" w:color="auto"/>
            </w:tcBorders>
            <w:vAlign w:val="center"/>
            <w:hideMark/>
          </w:tcPr>
          <w:p w14:paraId="64C3FF40" w14:textId="77777777" w:rsidR="006C70F9" w:rsidRPr="006C70F9" w:rsidRDefault="006C70F9" w:rsidP="006C70F9">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4E243641"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2020</w:t>
            </w:r>
          </w:p>
        </w:tc>
        <w:tc>
          <w:tcPr>
            <w:tcW w:w="1340" w:type="dxa"/>
            <w:tcBorders>
              <w:top w:val="nil"/>
              <w:left w:val="nil"/>
              <w:bottom w:val="nil"/>
              <w:right w:val="nil"/>
            </w:tcBorders>
            <w:shd w:val="clear" w:color="000000" w:fill="C6E0B4"/>
            <w:vAlign w:val="center"/>
            <w:hideMark/>
          </w:tcPr>
          <w:p w14:paraId="5E424D0E"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12.7</w:t>
            </w:r>
          </w:p>
        </w:tc>
        <w:tc>
          <w:tcPr>
            <w:tcW w:w="1340" w:type="dxa"/>
            <w:tcBorders>
              <w:top w:val="nil"/>
              <w:left w:val="single" w:sz="4" w:space="0" w:color="auto"/>
              <w:bottom w:val="nil"/>
              <w:right w:val="single" w:sz="4" w:space="0" w:color="auto"/>
            </w:tcBorders>
            <w:shd w:val="clear" w:color="000000" w:fill="C6E0B4"/>
            <w:vAlign w:val="center"/>
            <w:hideMark/>
          </w:tcPr>
          <w:p w14:paraId="3092EC13"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333.8</w:t>
            </w:r>
          </w:p>
        </w:tc>
        <w:tc>
          <w:tcPr>
            <w:tcW w:w="1340" w:type="dxa"/>
            <w:tcBorders>
              <w:top w:val="nil"/>
              <w:left w:val="nil"/>
              <w:bottom w:val="nil"/>
              <w:right w:val="single" w:sz="4" w:space="0" w:color="auto"/>
            </w:tcBorders>
            <w:shd w:val="clear" w:color="000000" w:fill="C6E0B4"/>
            <w:vAlign w:val="center"/>
            <w:hideMark/>
          </w:tcPr>
          <w:p w14:paraId="0F777484"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4.0</w:t>
            </w:r>
          </w:p>
        </w:tc>
        <w:tc>
          <w:tcPr>
            <w:tcW w:w="1340" w:type="dxa"/>
            <w:tcBorders>
              <w:top w:val="nil"/>
              <w:left w:val="nil"/>
              <w:bottom w:val="nil"/>
              <w:right w:val="nil"/>
            </w:tcBorders>
            <w:shd w:val="clear" w:color="000000" w:fill="C6E0B4"/>
            <w:vAlign w:val="center"/>
            <w:hideMark/>
          </w:tcPr>
          <w:p w14:paraId="74BD96BC"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317.3</w:t>
            </w:r>
          </w:p>
        </w:tc>
        <w:tc>
          <w:tcPr>
            <w:tcW w:w="1340" w:type="dxa"/>
            <w:tcBorders>
              <w:top w:val="nil"/>
              <w:left w:val="single" w:sz="4" w:space="0" w:color="auto"/>
              <w:bottom w:val="nil"/>
              <w:right w:val="single" w:sz="8" w:space="0" w:color="auto"/>
            </w:tcBorders>
            <w:shd w:val="clear" w:color="000000" w:fill="C6E0B4"/>
            <w:vAlign w:val="center"/>
            <w:hideMark/>
          </w:tcPr>
          <w:p w14:paraId="284C9FA3"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667.8</w:t>
            </w:r>
          </w:p>
        </w:tc>
      </w:tr>
      <w:tr w:rsidR="006C70F9" w:rsidRPr="006C70F9" w14:paraId="75848FD6" w14:textId="77777777" w:rsidTr="004B3EB7">
        <w:trPr>
          <w:trHeight w:val="300"/>
        </w:trPr>
        <w:tc>
          <w:tcPr>
            <w:tcW w:w="976" w:type="dxa"/>
            <w:vMerge/>
            <w:tcBorders>
              <w:top w:val="nil"/>
              <w:left w:val="nil"/>
              <w:bottom w:val="nil"/>
              <w:right w:val="single" w:sz="8" w:space="0" w:color="auto"/>
            </w:tcBorders>
            <w:vAlign w:val="center"/>
            <w:hideMark/>
          </w:tcPr>
          <w:p w14:paraId="538AB0F8" w14:textId="77777777" w:rsidR="006C70F9" w:rsidRPr="006C70F9" w:rsidRDefault="006C70F9" w:rsidP="006C70F9">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0AB3F67C"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2021</w:t>
            </w:r>
          </w:p>
        </w:tc>
        <w:tc>
          <w:tcPr>
            <w:tcW w:w="1340" w:type="dxa"/>
            <w:tcBorders>
              <w:top w:val="nil"/>
              <w:left w:val="nil"/>
              <w:bottom w:val="nil"/>
              <w:right w:val="nil"/>
            </w:tcBorders>
            <w:shd w:val="clear" w:color="000000" w:fill="C6E0B4"/>
            <w:vAlign w:val="center"/>
            <w:hideMark/>
          </w:tcPr>
          <w:p w14:paraId="3503A51A"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13.1</w:t>
            </w:r>
          </w:p>
        </w:tc>
        <w:tc>
          <w:tcPr>
            <w:tcW w:w="1340" w:type="dxa"/>
            <w:tcBorders>
              <w:top w:val="nil"/>
              <w:left w:val="single" w:sz="4" w:space="0" w:color="auto"/>
              <w:bottom w:val="nil"/>
              <w:right w:val="single" w:sz="4" w:space="0" w:color="auto"/>
            </w:tcBorders>
            <w:shd w:val="clear" w:color="000000" w:fill="C6E0B4"/>
            <w:vAlign w:val="center"/>
            <w:hideMark/>
          </w:tcPr>
          <w:p w14:paraId="67E196CE"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446.8</w:t>
            </w:r>
          </w:p>
        </w:tc>
        <w:tc>
          <w:tcPr>
            <w:tcW w:w="1340" w:type="dxa"/>
            <w:tcBorders>
              <w:top w:val="nil"/>
              <w:left w:val="nil"/>
              <w:bottom w:val="nil"/>
              <w:right w:val="single" w:sz="4" w:space="0" w:color="auto"/>
            </w:tcBorders>
            <w:shd w:val="clear" w:color="000000" w:fill="C6E0B4"/>
            <w:vAlign w:val="center"/>
            <w:hideMark/>
          </w:tcPr>
          <w:p w14:paraId="54635E29"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4.2</w:t>
            </w:r>
          </w:p>
        </w:tc>
        <w:tc>
          <w:tcPr>
            <w:tcW w:w="1340" w:type="dxa"/>
            <w:tcBorders>
              <w:top w:val="nil"/>
              <w:left w:val="nil"/>
              <w:bottom w:val="nil"/>
              <w:right w:val="nil"/>
            </w:tcBorders>
            <w:shd w:val="clear" w:color="000000" w:fill="C6E0B4"/>
            <w:vAlign w:val="center"/>
            <w:hideMark/>
          </w:tcPr>
          <w:p w14:paraId="0320385E"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328.1</w:t>
            </w:r>
          </w:p>
        </w:tc>
        <w:tc>
          <w:tcPr>
            <w:tcW w:w="1340" w:type="dxa"/>
            <w:tcBorders>
              <w:top w:val="nil"/>
              <w:left w:val="single" w:sz="4" w:space="0" w:color="auto"/>
              <w:bottom w:val="nil"/>
              <w:right w:val="single" w:sz="8" w:space="0" w:color="auto"/>
            </w:tcBorders>
            <w:shd w:val="clear" w:color="000000" w:fill="C6E0B4"/>
            <w:vAlign w:val="center"/>
            <w:hideMark/>
          </w:tcPr>
          <w:p w14:paraId="061F3017"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792.2</w:t>
            </w:r>
          </w:p>
        </w:tc>
      </w:tr>
      <w:tr w:rsidR="006C70F9" w:rsidRPr="006C70F9" w14:paraId="603C63DA" w14:textId="77777777" w:rsidTr="004B3EB7">
        <w:trPr>
          <w:trHeight w:val="300"/>
        </w:trPr>
        <w:tc>
          <w:tcPr>
            <w:tcW w:w="976" w:type="dxa"/>
            <w:vMerge/>
            <w:tcBorders>
              <w:top w:val="nil"/>
              <w:left w:val="nil"/>
              <w:bottom w:val="nil"/>
              <w:right w:val="single" w:sz="8" w:space="0" w:color="auto"/>
            </w:tcBorders>
            <w:vAlign w:val="center"/>
            <w:hideMark/>
          </w:tcPr>
          <w:p w14:paraId="798EFF63" w14:textId="77777777" w:rsidR="006C70F9" w:rsidRPr="006C70F9" w:rsidRDefault="006C70F9" w:rsidP="006C70F9">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7DE87737"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2022</w:t>
            </w:r>
          </w:p>
        </w:tc>
        <w:tc>
          <w:tcPr>
            <w:tcW w:w="1340" w:type="dxa"/>
            <w:tcBorders>
              <w:top w:val="nil"/>
              <w:left w:val="nil"/>
              <w:bottom w:val="nil"/>
              <w:right w:val="nil"/>
            </w:tcBorders>
            <w:shd w:val="clear" w:color="000000" w:fill="C6E0B4"/>
            <w:vAlign w:val="center"/>
            <w:hideMark/>
          </w:tcPr>
          <w:p w14:paraId="5A327BBB"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13.5</w:t>
            </w:r>
          </w:p>
        </w:tc>
        <w:tc>
          <w:tcPr>
            <w:tcW w:w="1340" w:type="dxa"/>
            <w:tcBorders>
              <w:top w:val="nil"/>
              <w:left w:val="single" w:sz="4" w:space="0" w:color="auto"/>
              <w:bottom w:val="nil"/>
              <w:right w:val="single" w:sz="4" w:space="0" w:color="auto"/>
            </w:tcBorders>
            <w:shd w:val="clear" w:color="000000" w:fill="C6E0B4"/>
            <w:vAlign w:val="center"/>
            <w:hideMark/>
          </w:tcPr>
          <w:p w14:paraId="5DC18D6C"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430.3</w:t>
            </w:r>
          </w:p>
        </w:tc>
        <w:tc>
          <w:tcPr>
            <w:tcW w:w="1340" w:type="dxa"/>
            <w:tcBorders>
              <w:top w:val="nil"/>
              <w:left w:val="nil"/>
              <w:bottom w:val="nil"/>
              <w:right w:val="single" w:sz="4" w:space="0" w:color="auto"/>
            </w:tcBorders>
            <w:shd w:val="clear" w:color="000000" w:fill="C6E0B4"/>
            <w:vAlign w:val="center"/>
            <w:hideMark/>
          </w:tcPr>
          <w:p w14:paraId="655B55ED"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4.3</w:t>
            </w:r>
          </w:p>
        </w:tc>
        <w:tc>
          <w:tcPr>
            <w:tcW w:w="1340" w:type="dxa"/>
            <w:tcBorders>
              <w:top w:val="nil"/>
              <w:left w:val="nil"/>
              <w:bottom w:val="nil"/>
              <w:right w:val="nil"/>
            </w:tcBorders>
            <w:shd w:val="clear" w:color="000000" w:fill="C6E0B4"/>
            <w:vAlign w:val="center"/>
            <w:hideMark/>
          </w:tcPr>
          <w:p w14:paraId="7BFC624D"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339.3</w:t>
            </w:r>
          </w:p>
        </w:tc>
        <w:tc>
          <w:tcPr>
            <w:tcW w:w="1340" w:type="dxa"/>
            <w:tcBorders>
              <w:top w:val="nil"/>
              <w:left w:val="single" w:sz="4" w:space="0" w:color="auto"/>
              <w:bottom w:val="nil"/>
              <w:right w:val="single" w:sz="8" w:space="0" w:color="auto"/>
            </w:tcBorders>
            <w:shd w:val="clear" w:color="000000" w:fill="C6E0B4"/>
            <w:vAlign w:val="center"/>
            <w:hideMark/>
          </w:tcPr>
          <w:p w14:paraId="1C5411D2"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787.4</w:t>
            </w:r>
          </w:p>
        </w:tc>
      </w:tr>
      <w:tr w:rsidR="006C70F9" w:rsidRPr="006C70F9" w14:paraId="0CBCD1C6" w14:textId="77777777" w:rsidTr="004B3EB7">
        <w:trPr>
          <w:trHeight w:val="315"/>
        </w:trPr>
        <w:tc>
          <w:tcPr>
            <w:tcW w:w="976" w:type="dxa"/>
            <w:tcBorders>
              <w:top w:val="nil"/>
              <w:left w:val="nil"/>
              <w:bottom w:val="nil"/>
              <w:right w:val="single" w:sz="8" w:space="0" w:color="auto"/>
            </w:tcBorders>
            <w:shd w:val="clear" w:color="000000" w:fill="C6E0B4"/>
            <w:vAlign w:val="bottom"/>
            <w:hideMark/>
          </w:tcPr>
          <w:p w14:paraId="07CF95BD" w14:textId="77777777" w:rsidR="006C70F9" w:rsidRPr="006C70F9" w:rsidRDefault="006C70F9" w:rsidP="006C70F9">
            <w:pPr>
              <w:jc w:val="center"/>
              <w:rPr>
                <w:rFonts w:ascii="Calibri" w:eastAsia="Times New Roman" w:hAnsi="Calibri"/>
                <w:color w:val="000000"/>
                <w:sz w:val="22"/>
                <w:szCs w:val="22"/>
                <w:lang w:eastAsia="en-AU"/>
              </w:rPr>
            </w:pPr>
            <w:r w:rsidRPr="006C70F9">
              <w:rPr>
                <w:rFonts w:ascii="Calibri" w:eastAsia="Times New Roman" w:hAnsi="Calibri"/>
                <w:color w:val="000000"/>
                <w:sz w:val="22"/>
                <w:szCs w:val="22"/>
                <w:lang w:eastAsia="en-AU"/>
              </w:rPr>
              <w:t> </w:t>
            </w:r>
          </w:p>
        </w:tc>
        <w:tc>
          <w:tcPr>
            <w:tcW w:w="960" w:type="dxa"/>
            <w:tcBorders>
              <w:top w:val="single" w:sz="4" w:space="0" w:color="auto"/>
              <w:left w:val="nil"/>
              <w:bottom w:val="double" w:sz="6" w:space="0" w:color="auto"/>
              <w:right w:val="single" w:sz="8" w:space="0" w:color="auto"/>
            </w:tcBorders>
            <w:shd w:val="clear" w:color="000000" w:fill="C6E0B4"/>
            <w:vAlign w:val="center"/>
            <w:hideMark/>
          </w:tcPr>
          <w:p w14:paraId="41B02A95"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Sub Total</w:t>
            </w:r>
          </w:p>
        </w:tc>
        <w:tc>
          <w:tcPr>
            <w:tcW w:w="1340" w:type="dxa"/>
            <w:tcBorders>
              <w:top w:val="single" w:sz="4" w:space="0" w:color="auto"/>
              <w:left w:val="nil"/>
              <w:bottom w:val="double" w:sz="6" w:space="0" w:color="auto"/>
              <w:right w:val="nil"/>
            </w:tcBorders>
            <w:shd w:val="clear" w:color="000000" w:fill="C6E0B4"/>
            <w:vAlign w:val="center"/>
            <w:hideMark/>
          </w:tcPr>
          <w:p w14:paraId="1E5E7571"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63.6</w:t>
            </w:r>
          </w:p>
        </w:tc>
        <w:tc>
          <w:tcPr>
            <w:tcW w:w="1340" w:type="dxa"/>
            <w:tcBorders>
              <w:top w:val="single" w:sz="4" w:space="0" w:color="auto"/>
              <w:left w:val="single" w:sz="4" w:space="0" w:color="auto"/>
              <w:bottom w:val="double" w:sz="6" w:space="0" w:color="auto"/>
              <w:right w:val="single" w:sz="4" w:space="0" w:color="auto"/>
            </w:tcBorders>
            <w:shd w:val="clear" w:color="000000" w:fill="C6E0B4"/>
            <w:vAlign w:val="center"/>
            <w:hideMark/>
          </w:tcPr>
          <w:p w14:paraId="28CC2554"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1536.3</w:t>
            </w:r>
          </w:p>
        </w:tc>
        <w:tc>
          <w:tcPr>
            <w:tcW w:w="1340" w:type="dxa"/>
            <w:tcBorders>
              <w:top w:val="single" w:sz="4" w:space="0" w:color="auto"/>
              <w:left w:val="nil"/>
              <w:bottom w:val="double" w:sz="6" w:space="0" w:color="auto"/>
              <w:right w:val="single" w:sz="4" w:space="0" w:color="auto"/>
            </w:tcBorders>
            <w:shd w:val="clear" w:color="000000" w:fill="C6E0B4"/>
            <w:vAlign w:val="center"/>
            <w:hideMark/>
          </w:tcPr>
          <w:p w14:paraId="3AC0C09D"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20.2</w:t>
            </w:r>
          </w:p>
        </w:tc>
        <w:tc>
          <w:tcPr>
            <w:tcW w:w="1340" w:type="dxa"/>
            <w:tcBorders>
              <w:top w:val="single" w:sz="4" w:space="0" w:color="auto"/>
              <w:left w:val="nil"/>
              <w:bottom w:val="double" w:sz="6" w:space="0" w:color="auto"/>
              <w:right w:val="nil"/>
            </w:tcBorders>
            <w:shd w:val="clear" w:color="000000" w:fill="C6E0B4"/>
            <w:vAlign w:val="center"/>
            <w:hideMark/>
          </w:tcPr>
          <w:p w14:paraId="0FAA0A40"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1588.4</w:t>
            </w:r>
          </w:p>
        </w:tc>
        <w:tc>
          <w:tcPr>
            <w:tcW w:w="1340" w:type="dxa"/>
            <w:tcBorders>
              <w:top w:val="single" w:sz="4" w:space="0" w:color="auto"/>
              <w:left w:val="single" w:sz="4" w:space="0" w:color="auto"/>
              <w:bottom w:val="double" w:sz="6" w:space="0" w:color="auto"/>
              <w:right w:val="single" w:sz="8" w:space="0" w:color="auto"/>
            </w:tcBorders>
            <w:shd w:val="clear" w:color="000000" w:fill="C6E0B4"/>
            <w:vAlign w:val="center"/>
            <w:hideMark/>
          </w:tcPr>
          <w:p w14:paraId="0957EA1B"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3208.5</w:t>
            </w:r>
          </w:p>
        </w:tc>
      </w:tr>
      <w:tr w:rsidR="006C70F9" w:rsidRPr="006C70F9" w14:paraId="2D0C66DC" w14:textId="77777777" w:rsidTr="004B3EB7">
        <w:trPr>
          <w:trHeight w:val="315"/>
        </w:trPr>
        <w:tc>
          <w:tcPr>
            <w:tcW w:w="976" w:type="dxa"/>
            <w:vMerge w:val="restart"/>
            <w:tcBorders>
              <w:top w:val="nil"/>
              <w:left w:val="nil"/>
              <w:bottom w:val="nil"/>
              <w:right w:val="single" w:sz="8" w:space="0" w:color="auto"/>
            </w:tcBorders>
            <w:shd w:val="clear" w:color="000000" w:fill="BDD7EE"/>
            <w:vAlign w:val="center"/>
            <w:hideMark/>
          </w:tcPr>
          <w:p w14:paraId="42C842BD" w14:textId="77777777" w:rsidR="006C70F9" w:rsidRPr="006C70F9" w:rsidRDefault="006C70F9" w:rsidP="006C70F9">
            <w:pPr>
              <w:rPr>
                <w:rFonts w:ascii="Times New Roman" w:eastAsia="Times New Roman" w:hAnsi="Times New Roman"/>
                <w:color w:val="000000"/>
                <w:sz w:val="22"/>
                <w:szCs w:val="22"/>
                <w:lang w:eastAsia="en-AU"/>
              </w:rPr>
            </w:pPr>
            <w:r w:rsidRPr="006C70F9">
              <w:rPr>
                <w:rFonts w:ascii="Times New Roman" w:eastAsia="Times New Roman" w:hAnsi="Times New Roman"/>
                <w:color w:val="000000"/>
                <w:sz w:val="22"/>
                <w:szCs w:val="22"/>
                <w:lang w:eastAsia="en-AU"/>
              </w:rPr>
              <w:t>Ongoing Benefits</w:t>
            </w:r>
          </w:p>
        </w:tc>
        <w:tc>
          <w:tcPr>
            <w:tcW w:w="960" w:type="dxa"/>
            <w:tcBorders>
              <w:top w:val="nil"/>
              <w:left w:val="nil"/>
              <w:bottom w:val="nil"/>
              <w:right w:val="single" w:sz="8" w:space="0" w:color="auto"/>
            </w:tcBorders>
            <w:shd w:val="clear" w:color="000000" w:fill="BDD7EE"/>
            <w:vAlign w:val="center"/>
            <w:hideMark/>
          </w:tcPr>
          <w:p w14:paraId="17B53424"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2023</w:t>
            </w:r>
          </w:p>
        </w:tc>
        <w:tc>
          <w:tcPr>
            <w:tcW w:w="1340" w:type="dxa"/>
            <w:tcBorders>
              <w:top w:val="nil"/>
              <w:left w:val="nil"/>
              <w:bottom w:val="nil"/>
              <w:right w:val="nil"/>
            </w:tcBorders>
            <w:shd w:val="clear" w:color="000000" w:fill="BDD7EE"/>
            <w:vAlign w:val="center"/>
            <w:hideMark/>
          </w:tcPr>
          <w:p w14:paraId="1D9DF6A3"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13.9</w:t>
            </w:r>
          </w:p>
        </w:tc>
        <w:tc>
          <w:tcPr>
            <w:tcW w:w="1340" w:type="dxa"/>
            <w:tcBorders>
              <w:top w:val="nil"/>
              <w:left w:val="single" w:sz="4" w:space="0" w:color="auto"/>
              <w:bottom w:val="nil"/>
              <w:right w:val="single" w:sz="4" w:space="0" w:color="auto"/>
            </w:tcBorders>
            <w:shd w:val="clear" w:color="000000" w:fill="BDD7EE"/>
            <w:vAlign w:val="center"/>
            <w:hideMark/>
          </w:tcPr>
          <w:p w14:paraId="500B8F79"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349.4</w:t>
            </w:r>
          </w:p>
        </w:tc>
        <w:tc>
          <w:tcPr>
            <w:tcW w:w="1340" w:type="dxa"/>
            <w:tcBorders>
              <w:top w:val="nil"/>
              <w:left w:val="nil"/>
              <w:bottom w:val="nil"/>
              <w:right w:val="single" w:sz="4" w:space="0" w:color="auto"/>
            </w:tcBorders>
            <w:shd w:val="clear" w:color="000000" w:fill="BDD7EE"/>
            <w:vAlign w:val="center"/>
            <w:hideMark/>
          </w:tcPr>
          <w:p w14:paraId="668C0100"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4.5</w:t>
            </w:r>
          </w:p>
        </w:tc>
        <w:tc>
          <w:tcPr>
            <w:tcW w:w="1340" w:type="dxa"/>
            <w:tcBorders>
              <w:top w:val="nil"/>
              <w:left w:val="nil"/>
              <w:bottom w:val="nil"/>
              <w:right w:val="nil"/>
            </w:tcBorders>
            <w:shd w:val="clear" w:color="000000" w:fill="BDD7EE"/>
            <w:vAlign w:val="center"/>
            <w:hideMark/>
          </w:tcPr>
          <w:p w14:paraId="240F5A5B"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350.8</w:t>
            </w:r>
          </w:p>
        </w:tc>
        <w:tc>
          <w:tcPr>
            <w:tcW w:w="1340" w:type="dxa"/>
            <w:tcBorders>
              <w:top w:val="nil"/>
              <w:left w:val="single" w:sz="4" w:space="0" w:color="auto"/>
              <w:bottom w:val="nil"/>
              <w:right w:val="single" w:sz="8" w:space="0" w:color="auto"/>
            </w:tcBorders>
            <w:shd w:val="clear" w:color="000000" w:fill="BDD7EE"/>
            <w:vAlign w:val="center"/>
            <w:hideMark/>
          </w:tcPr>
          <w:p w14:paraId="7C0A2A79"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718.6</w:t>
            </w:r>
          </w:p>
        </w:tc>
      </w:tr>
      <w:tr w:rsidR="006C70F9" w:rsidRPr="006C70F9" w14:paraId="38B957EE" w14:textId="77777777" w:rsidTr="004B3EB7">
        <w:trPr>
          <w:trHeight w:val="300"/>
        </w:trPr>
        <w:tc>
          <w:tcPr>
            <w:tcW w:w="976" w:type="dxa"/>
            <w:vMerge/>
            <w:tcBorders>
              <w:top w:val="nil"/>
              <w:left w:val="nil"/>
              <w:bottom w:val="nil"/>
              <w:right w:val="single" w:sz="8" w:space="0" w:color="auto"/>
            </w:tcBorders>
            <w:vAlign w:val="center"/>
            <w:hideMark/>
          </w:tcPr>
          <w:p w14:paraId="4FD2C5FC" w14:textId="77777777" w:rsidR="006C70F9" w:rsidRPr="006C70F9" w:rsidRDefault="006C70F9" w:rsidP="006C70F9">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BDD7EE"/>
            <w:vAlign w:val="center"/>
            <w:hideMark/>
          </w:tcPr>
          <w:p w14:paraId="640239FF"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2024</w:t>
            </w:r>
          </w:p>
        </w:tc>
        <w:tc>
          <w:tcPr>
            <w:tcW w:w="1340" w:type="dxa"/>
            <w:tcBorders>
              <w:top w:val="nil"/>
              <w:left w:val="nil"/>
              <w:bottom w:val="nil"/>
              <w:right w:val="nil"/>
            </w:tcBorders>
            <w:shd w:val="clear" w:color="000000" w:fill="BDD7EE"/>
            <w:vAlign w:val="center"/>
            <w:hideMark/>
          </w:tcPr>
          <w:p w14:paraId="4477E997"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14.3</w:t>
            </w:r>
          </w:p>
        </w:tc>
        <w:tc>
          <w:tcPr>
            <w:tcW w:w="1340" w:type="dxa"/>
            <w:tcBorders>
              <w:top w:val="nil"/>
              <w:left w:val="single" w:sz="4" w:space="0" w:color="auto"/>
              <w:bottom w:val="nil"/>
              <w:right w:val="single" w:sz="4" w:space="0" w:color="auto"/>
            </w:tcBorders>
            <w:shd w:val="clear" w:color="000000" w:fill="BDD7EE"/>
            <w:vAlign w:val="center"/>
            <w:hideMark/>
          </w:tcPr>
          <w:p w14:paraId="47492CA8"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271.3</w:t>
            </w:r>
          </w:p>
        </w:tc>
        <w:tc>
          <w:tcPr>
            <w:tcW w:w="1340" w:type="dxa"/>
            <w:tcBorders>
              <w:top w:val="nil"/>
              <w:left w:val="nil"/>
              <w:bottom w:val="nil"/>
              <w:right w:val="single" w:sz="4" w:space="0" w:color="auto"/>
            </w:tcBorders>
            <w:shd w:val="clear" w:color="000000" w:fill="BDD7EE"/>
            <w:vAlign w:val="center"/>
            <w:hideMark/>
          </w:tcPr>
          <w:p w14:paraId="5D430AF6"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4.6</w:t>
            </w:r>
          </w:p>
        </w:tc>
        <w:tc>
          <w:tcPr>
            <w:tcW w:w="1340" w:type="dxa"/>
            <w:tcBorders>
              <w:top w:val="nil"/>
              <w:left w:val="nil"/>
              <w:bottom w:val="nil"/>
              <w:right w:val="nil"/>
            </w:tcBorders>
            <w:shd w:val="clear" w:color="000000" w:fill="BDD7EE"/>
            <w:vAlign w:val="center"/>
            <w:hideMark/>
          </w:tcPr>
          <w:p w14:paraId="700868B7"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362.7</w:t>
            </w:r>
          </w:p>
        </w:tc>
        <w:tc>
          <w:tcPr>
            <w:tcW w:w="1340" w:type="dxa"/>
            <w:tcBorders>
              <w:top w:val="nil"/>
              <w:left w:val="single" w:sz="4" w:space="0" w:color="auto"/>
              <w:bottom w:val="nil"/>
              <w:right w:val="single" w:sz="8" w:space="0" w:color="auto"/>
            </w:tcBorders>
            <w:shd w:val="clear" w:color="000000" w:fill="BDD7EE"/>
            <w:vAlign w:val="center"/>
            <w:hideMark/>
          </w:tcPr>
          <w:p w14:paraId="0DA61D29"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652.9</w:t>
            </w:r>
          </w:p>
        </w:tc>
      </w:tr>
      <w:tr w:rsidR="006C70F9" w:rsidRPr="006C70F9" w14:paraId="6F58BD61" w14:textId="77777777" w:rsidTr="004B3EB7">
        <w:trPr>
          <w:trHeight w:val="300"/>
        </w:trPr>
        <w:tc>
          <w:tcPr>
            <w:tcW w:w="976" w:type="dxa"/>
            <w:vMerge/>
            <w:tcBorders>
              <w:top w:val="nil"/>
              <w:left w:val="nil"/>
              <w:bottom w:val="nil"/>
              <w:right w:val="single" w:sz="8" w:space="0" w:color="auto"/>
            </w:tcBorders>
            <w:vAlign w:val="center"/>
            <w:hideMark/>
          </w:tcPr>
          <w:p w14:paraId="396F1B7B" w14:textId="77777777" w:rsidR="006C70F9" w:rsidRPr="006C70F9" w:rsidRDefault="006C70F9" w:rsidP="006C70F9">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BDD7EE"/>
            <w:vAlign w:val="center"/>
            <w:hideMark/>
          </w:tcPr>
          <w:p w14:paraId="767E053D"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2025</w:t>
            </w:r>
          </w:p>
        </w:tc>
        <w:tc>
          <w:tcPr>
            <w:tcW w:w="1340" w:type="dxa"/>
            <w:tcBorders>
              <w:top w:val="nil"/>
              <w:left w:val="nil"/>
              <w:bottom w:val="nil"/>
              <w:right w:val="nil"/>
            </w:tcBorders>
            <w:shd w:val="clear" w:color="000000" w:fill="BDD7EE"/>
            <w:vAlign w:val="center"/>
            <w:hideMark/>
          </w:tcPr>
          <w:p w14:paraId="5B9BE0E8"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14.7</w:t>
            </w:r>
          </w:p>
        </w:tc>
        <w:tc>
          <w:tcPr>
            <w:tcW w:w="1340" w:type="dxa"/>
            <w:tcBorders>
              <w:top w:val="nil"/>
              <w:left w:val="single" w:sz="4" w:space="0" w:color="auto"/>
              <w:bottom w:val="nil"/>
              <w:right w:val="single" w:sz="4" w:space="0" w:color="auto"/>
            </w:tcBorders>
            <w:shd w:val="clear" w:color="000000" w:fill="BDD7EE"/>
            <w:vAlign w:val="center"/>
            <w:hideMark/>
          </w:tcPr>
          <w:p w14:paraId="061005EB"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196.2</w:t>
            </w:r>
          </w:p>
        </w:tc>
        <w:tc>
          <w:tcPr>
            <w:tcW w:w="1340" w:type="dxa"/>
            <w:tcBorders>
              <w:top w:val="nil"/>
              <w:left w:val="nil"/>
              <w:bottom w:val="nil"/>
              <w:right w:val="single" w:sz="4" w:space="0" w:color="auto"/>
            </w:tcBorders>
            <w:shd w:val="clear" w:color="000000" w:fill="BDD7EE"/>
            <w:vAlign w:val="center"/>
            <w:hideMark/>
          </w:tcPr>
          <w:p w14:paraId="2FBFAF7C"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4.8</w:t>
            </w:r>
          </w:p>
        </w:tc>
        <w:tc>
          <w:tcPr>
            <w:tcW w:w="1340" w:type="dxa"/>
            <w:tcBorders>
              <w:top w:val="nil"/>
              <w:left w:val="nil"/>
              <w:bottom w:val="nil"/>
              <w:right w:val="nil"/>
            </w:tcBorders>
            <w:shd w:val="clear" w:color="000000" w:fill="BDD7EE"/>
            <w:vAlign w:val="center"/>
            <w:hideMark/>
          </w:tcPr>
          <w:p w14:paraId="67BBFAD7" w14:textId="77777777" w:rsidR="006C70F9" w:rsidRPr="006C70F9" w:rsidRDefault="006C70F9" w:rsidP="006C70F9">
            <w:pPr>
              <w:jc w:val="center"/>
              <w:rPr>
                <w:rFonts w:ascii="Times New Roman" w:eastAsia="Times New Roman" w:hAnsi="Times New Roman"/>
                <w:sz w:val="18"/>
                <w:szCs w:val="18"/>
                <w:lang w:eastAsia="en-AU"/>
              </w:rPr>
            </w:pPr>
            <w:r w:rsidRPr="006C70F9">
              <w:rPr>
                <w:rFonts w:ascii="Times New Roman" w:eastAsia="Times New Roman" w:hAnsi="Times New Roman"/>
                <w:sz w:val="18"/>
                <w:szCs w:val="18"/>
                <w:lang w:eastAsia="en-AU"/>
              </w:rPr>
              <w:t>375.0</w:t>
            </w:r>
          </w:p>
        </w:tc>
        <w:tc>
          <w:tcPr>
            <w:tcW w:w="1340" w:type="dxa"/>
            <w:tcBorders>
              <w:top w:val="nil"/>
              <w:left w:val="single" w:sz="4" w:space="0" w:color="auto"/>
              <w:bottom w:val="nil"/>
              <w:right w:val="single" w:sz="8" w:space="0" w:color="auto"/>
            </w:tcBorders>
            <w:shd w:val="clear" w:color="000000" w:fill="BDD7EE"/>
            <w:vAlign w:val="center"/>
            <w:hideMark/>
          </w:tcPr>
          <w:p w14:paraId="3192FF4B"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590.7</w:t>
            </w:r>
          </w:p>
        </w:tc>
      </w:tr>
      <w:tr w:rsidR="006C70F9" w:rsidRPr="006C70F9" w14:paraId="60E30A69" w14:textId="77777777" w:rsidTr="004B3EB7">
        <w:trPr>
          <w:trHeight w:val="315"/>
        </w:trPr>
        <w:tc>
          <w:tcPr>
            <w:tcW w:w="976" w:type="dxa"/>
            <w:tcBorders>
              <w:top w:val="nil"/>
              <w:left w:val="nil"/>
              <w:bottom w:val="nil"/>
              <w:right w:val="nil"/>
            </w:tcBorders>
            <w:shd w:val="clear" w:color="auto" w:fill="auto"/>
            <w:noWrap/>
            <w:vAlign w:val="bottom"/>
            <w:hideMark/>
          </w:tcPr>
          <w:p w14:paraId="3A6629F9" w14:textId="77777777" w:rsidR="006C70F9" w:rsidRPr="006C70F9" w:rsidRDefault="006C70F9" w:rsidP="006C70F9">
            <w:pPr>
              <w:jc w:val="center"/>
              <w:rPr>
                <w:rFonts w:ascii="Calibri" w:eastAsia="Times New Roman" w:hAnsi="Calibri"/>
                <w:b/>
                <w:bCs/>
                <w:sz w:val="18"/>
                <w:szCs w:val="18"/>
                <w:lang w:eastAsia="en-AU"/>
              </w:rPr>
            </w:pPr>
          </w:p>
        </w:tc>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C65197C"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Total</w:t>
            </w:r>
          </w:p>
        </w:tc>
        <w:tc>
          <w:tcPr>
            <w:tcW w:w="1340" w:type="dxa"/>
            <w:tcBorders>
              <w:top w:val="single" w:sz="4" w:space="0" w:color="auto"/>
              <w:left w:val="nil"/>
              <w:bottom w:val="single" w:sz="8" w:space="0" w:color="auto"/>
              <w:right w:val="nil"/>
            </w:tcBorders>
            <w:shd w:val="clear" w:color="auto" w:fill="auto"/>
            <w:vAlign w:val="center"/>
            <w:hideMark/>
          </w:tcPr>
          <w:p w14:paraId="4D8F96B1"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106.5</w:t>
            </w:r>
          </w:p>
        </w:tc>
        <w:tc>
          <w:tcPr>
            <w:tcW w:w="13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894ECD4"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2353.2</w:t>
            </w:r>
          </w:p>
        </w:tc>
        <w:tc>
          <w:tcPr>
            <w:tcW w:w="1340" w:type="dxa"/>
            <w:tcBorders>
              <w:top w:val="single" w:sz="4" w:space="0" w:color="auto"/>
              <w:left w:val="nil"/>
              <w:bottom w:val="single" w:sz="8" w:space="0" w:color="auto"/>
              <w:right w:val="single" w:sz="4" w:space="0" w:color="auto"/>
            </w:tcBorders>
            <w:shd w:val="clear" w:color="auto" w:fill="auto"/>
            <w:vAlign w:val="center"/>
            <w:hideMark/>
          </w:tcPr>
          <w:p w14:paraId="244E4367"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34.1</w:t>
            </w:r>
          </w:p>
        </w:tc>
        <w:tc>
          <w:tcPr>
            <w:tcW w:w="1340" w:type="dxa"/>
            <w:tcBorders>
              <w:top w:val="single" w:sz="4" w:space="0" w:color="auto"/>
              <w:left w:val="nil"/>
              <w:bottom w:val="single" w:sz="8" w:space="0" w:color="auto"/>
              <w:right w:val="single" w:sz="4" w:space="0" w:color="auto"/>
            </w:tcBorders>
            <w:shd w:val="clear" w:color="auto" w:fill="auto"/>
            <w:vAlign w:val="center"/>
            <w:hideMark/>
          </w:tcPr>
          <w:p w14:paraId="697C9DB5"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2676.9</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14:paraId="6CBB1A0B" w14:textId="77777777" w:rsidR="006C70F9" w:rsidRPr="006C70F9" w:rsidRDefault="006C70F9" w:rsidP="006C70F9">
            <w:pPr>
              <w:jc w:val="center"/>
              <w:rPr>
                <w:rFonts w:ascii="Times New Roman" w:eastAsia="Times New Roman" w:hAnsi="Times New Roman"/>
                <w:b/>
                <w:bCs/>
                <w:sz w:val="18"/>
                <w:szCs w:val="18"/>
                <w:lang w:eastAsia="en-AU"/>
              </w:rPr>
            </w:pPr>
            <w:r w:rsidRPr="006C70F9">
              <w:rPr>
                <w:rFonts w:ascii="Times New Roman" w:eastAsia="Times New Roman" w:hAnsi="Times New Roman"/>
                <w:b/>
                <w:bCs/>
                <w:sz w:val="18"/>
                <w:szCs w:val="18"/>
                <w:lang w:eastAsia="en-AU"/>
              </w:rPr>
              <w:t>5170.7</w:t>
            </w:r>
          </w:p>
        </w:tc>
      </w:tr>
      <w:tr w:rsidR="006C70F9" w:rsidRPr="006C70F9" w14:paraId="4E6E3E14" w14:textId="77777777" w:rsidTr="004B3EB7">
        <w:trPr>
          <w:trHeight w:val="300"/>
        </w:trPr>
        <w:tc>
          <w:tcPr>
            <w:tcW w:w="976" w:type="dxa"/>
            <w:tcBorders>
              <w:top w:val="nil"/>
              <w:left w:val="nil"/>
              <w:bottom w:val="nil"/>
              <w:right w:val="nil"/>
            </w:tcBorders>
            <w:shd w:val="clear" w:color="auto" w:fill="auto"/>
            <w:noWrap/>
            <w:vAlign w:val="bottom"/>
            <w:hideMark/>
          </w:tcPr>
          <w:p w14:paraId="01134613" w14:textId="77777777" w:rsidR="006C70F9" w:rsidRPr="006C70F9" w:rsidRDefault="006C70F9" w:rsidP="006C70F9">
            <w:pPr>
              <w:jc w:val="center"/>
              <w:rPr>
                <w:rFonts w:ascii="Calibri" w:eastAsia="Times New Roman" w:hAnsi="Calibri"/>
                <w:b/>
                <w:bCs/>
                <w:sz w:val="18"/>
                <w:szCs w:val="18"/>
                <w:lang w:eastAsia="en-AU"/>
              </w:rPr>
            </w:pPr>
          </w:p>
        </w:tc>
        <w:tc>
          <w:tcPr>
            <w:tcW w:w="960" w:type="dxa"/>
            <w:tcBorders>
              <w:top w:val="nil"/>
              <w:left w:val="nil"/>
              <w:bottom w:val="nil"/>
              <w:right w:val="nil"/>
            </w:tcBorders>
            <w:shd w:val="clear" w:color="auto" w:fill="auto"/>
            <w:noWrap/>
            <w:vAlign w:val="bottom"/>
            <w:hideMark/>
          </w:tcPr>
          <w:p w14:paraId="5B73F7E7" w14:textId="77777777" w:rsidR="006C70F9" w:rsidRPr="006C70F9" w:rsidRDefault="006C70F9" w:rsidP="006C70F9">
            <w:pPr>
              <w:rPr>
                <w:rFonts w:ascii="Times New Roman" w:eastAsia="Times New Roman" w:hAnsi="Times New Roman"/>
                <w:sz w:val="20"/>
                <w:szCs w:val="20"/>
                <w:lang w:eastAsia="en-AU"/>
              </w:rPr>
            </w:pPr>
          </w:p>
        </w:tc>
        <w:tc>
          <w:tcPr>
            <w:tcW w:w="1340" w:type="dxa"/>
            <w:tcBorders>
              <w:top w:val="nil"/>
              <w:left w:val="nil"/>
              <w:bottom w:val="nil"/>
              <w:right w:val="nil"/>
            </w:tcBorders>
            <w:shd w:val="clear" w:color="auto" w:fill="auto"/>
            <w:noWrap/>
            <w:vAlign w:val="bottom"/>
            <w:hideMark/>
          </w:tcPr>
          <w:p w14:paraId="0AFA512F" w14:textId="77777777" w:rsidR="006C70F9" w:rsidRPr="006C70F9" w:rsidRDefault="006C70F9" w:rsidP="006C70F9">
            <w:pPr>
              <w:rPr>
                <w:rFonts w:ascii="Times New Roman" w:eastAsia="Times New Roman" w:hAnsi="Times New Roman"/>
                <w:sz w:val="20"/>
                <w:szCs w:val="20"/>
                <w:lang w:eastAsia="en-AU"/>
              </w:rPr>
            </w:pPr>
          </w:p>
        </w:tc>
        <w:tc>
          <w:tcPr>
            <w:tcW w:w="1340" w:type="dxa"/>
            <w:tcBorders>
              <w:top w:val="nil"/>
              <w:left w:val="nil"/>
              <w:bottom w:val="nil"/>
              <w:right w:val="nil"/>
            </w:tcBorders>
            <w:shd w:val="clear" w:color="auto" w:fill="auto"/>
            <w:noWrap/>
            <w:vAlign w:val="bottom"/>
            <w:hideMark/>
          </w:tcPr>
          <w:p w14:paraId="4009251B" w14:textId="77777777" w:rsidR="006C70F9" w:rsidRPr="006C70F9" w:rsidRDefault="006C70F9" w:rsidP="006C70F9">
            <w:pPr>
              <w:rPr>
                <w:rFonts w:ascii="Times New Roman" w:eastAsia="Times New Roman" w:hAnsi="Times New Roman"/>
                <w:sz w:val="20"/>
                <w:szCs w:val="20"/>
                <w:lang w:eastAsia="en-AU"/>
              </w:rPr>
            </w:pPr>
          </w:p>
        </w:tc>
        <w:tc>
          <w:tcPr>
            <w:tcW w:w="1340" w:type="dxa"/>
            <w:tcBorders>
              <w:top w:val="nil"/>
              <w:left w:val="nil"/>
              <w:bottom w:val="nil"/>
              <w:right w:val="nil"/>
            </w:tcBorders>
            <w:shd w:val="clear" w:color="auto" w:fill="auto"/>
            <w:noWrap/>
            <w:vAlign w:val="bottom"/>
            <w:hideMark/>
          </w:tcPr>
          <w:p w14:paraId="39E15D04" w14:textId="77777777" w:rsidR="006C70F9" w:rsidRPr="006C70F9" w:rsidRDefault="006C70F9" w:rsidP="006C70F9">
            <w:pPr>
              <w:rPr>
                <w:rFonts w:ascii="Times New Roman" w:eastAsia="Times New Roman" w:hAnsi="Times New Roman"/>
                <w:sz w:val="20"/>
                <w:szCs w:val="20"/>
                <w:lang w:eastAsia="en-AU"/>
              </w:rPr>
            </w:pPr>
          </w:p>
        </w:tc>
        <w:tc>
          <w:tcPr>
            <w:tcW w:w="1340" w:type="dxa"/>
            <w:tcBorders>
              <w:top w:val="nil"/>
              <w:left w:val="nil"/>
              <w:bottom w:val="nil"/>
              <w:right w:val="nil"/>
            </w:tcBorders>
            <w:shd w:val="clear" w:color="auto" w:fill="auto"/>
            <w:noWrap/>
            <w:vAlign w:val="bottom"/>
            <w:hideMark/>
          </w:tcPr>
          <w:p w14:paraId="15BA44FD" w14:textId="77777777" w:rsidR="006C70F9" w:rsidRPr="006C70F9" w:rsidRDefault="006C70F9" w:rsidP="006C70F9">
            <w:pPr>
              <w:rPr>
                <w:rFonts w:ascii="Times New Roman" w:eastAsia="Times New Roman" w:hAnsi="Times New Roman"/>
                <w:sz w:val="20"/>
                <w:szCs w:val="20"/>
                <w:lang w:eastAsia="en-AU"/>
              </w:rPr>
            </w:pPr>
          </w:p>
        </w:tc>
        <w:tc>
          <w:tcPr>
            <w:tcW w:w="1340" w:type="dxa"/>
            <w:tcBorders>
              <w:top w:val="nil"/>
              <w:left w:val="nil"/>
              <w:bottom w:val="nil"/>
              <w:right w:val="nil"/>
            </w:tcBorders>
            <w:shd w:val="clear" w:color="auto" w:fill="auto"/>
            <w:noWrap/>
            <w:vAlign w:val="bottom"/>
            <w:hideMark/>
          </w:tcPr>
          <w:p w14:paraId="25F54BEB" w14:textId="77777777" w:rsidR="006C70F9" w:rsidRPr="006C70F9" w:rsidRDefault="006C70F9" w:rsidP="006C70F9">
            <w:pPr>
              <w:rPr>
                <w:rFonts w:ascii="Times New Roman" w:eastAsia="Times New Roman" w:hAnsi="Times New Roman"/>
                <w:sz w:val="20"/>
                <w:szCs w:val="20"/>
                <w:lang w:eastAsia="en-AU"/>
              </w:rPr>
            </w:pPr>
          </w:p>
        </w:tc>
      </w:tr>
    </w:tbl>
    <w:p w14:paraId="34B9BB1D" w14:textId="723D8026" w:rsidR="001132BD" w:rsidRPr="007C5E78" w:rsidRDefault="001132BD" w:rsidP="001132BD">
      <w:pPr>
        <w:rPr>
          <w:rFonts w:ascii="Times New Roman" w:hAnsi="Times New Roman"/>
          <w:b/>
          <w:sz w:val="22"/>
          <w:szCs w:val="22"/>
        </w:rPr>
      </w:pPr>
      <w:r>
        <w:rPr>
          <w:rFonts w:ascii="Times New Roman" w:hAnsi="Times New Roman"/>
          <w:b/>
          <w:sz w:val="22"/>
          <w:szCs w:val="22"/>
        </w:rPr>
        <w:t>4.2</w:t>
      </w:r>
      <w:r w:rsidRPr="005C240B">
        <w:rPr>
          <w:rFonts w:ascii="Times New Roman" w:hAnsi="Times New Roman"/>
          <w:b/>
          <w:sz w:val="22"/>
          <w:szCs w:val="22"/>
        </w:rPr>
        <w:tab/>
      </w:r>
      <w:r>
        <w:rPr>
          <w:rFonts w:ascii="Times New Roman" w:hAnsi="Times New Roman"/>
          <w:b/>
          <w:sz w:val="22"/>
          <w:szCs w:val="22"/>
        </w:rPr>
        <w:t>OPERATOR DIRECT SAVINGS</w:t>
      </w:r>
      <w:r w:rsidR="00D856B2">
        <w:rPr>
          <w:rFonts w:ascii="Times New Roman" w:hAnsi="Times New Roman"/>
          <w:b/>
          <w:sz w:val="22"/>
          <w:szCs w:val="22"/>
        </w:rPr>
        <w:t xml:space="preserve"> </w:t>
      </w:r>
      <w:r w:rsidR="00D856B2" w:rsidRPr="007C5E78">
        <w:rPr>
          <w:rFonts w:ascii="Times New Roman" w:hAnsi="Times New Roman"/>
          <w:b/>
          <w:sz w:val="22"/>
          <w:szCs w:val="22"/>
        </w:rPr>
        <w:t>(Ops)</w:t>
      </w:r>
    </w:p>
    <w:p w14:paraId="1F88B1FB" w14:textId="77777777" w:rsidR="001132BD" w:rsidRDefault="001132BD" w:rsidP="00F25FD0">
      <w:pPr>
        <w:rPr>
          <w:rFonts w:ascii="Times New Roman" w:hAnsi="Times New Roman"/>
          <w:sz w:val="22"/>
          <w:szCs w:val="22"/>
        </w:rPr>
      </w:pPr>
    </w:p>
    <w:p w14:paraId="6A40AD16" w14:textId="15C7BFB5" w:rsidR="00B50E87" w:rsidRDefault="004B3EB7" w:rsidP="00F25FD0">
      <w:pPr>
        <w:rPr>
          <w:rFonts w:ascii="Times New Roman" w:hAnsi="Times New Roman"/>
          <w:sz w:val="22"/>
          <w:szCs w:val="22"/>
        </w:rPr>
      </w:pPr>
      <w:r>
        <w:rPr>
          <w:rFonts w:ascii="Times New Roman" w:hAnsi="Times New Roman"/>
          <w:sz w:val="22"/>
          <w:szCs w:val="22"/>
        </w:rPr>
        <w:t xml:space="preserve">Appendix B provides a more complete analysis of the </w:t>
      </w:r>
      <w:r w:rsidR="00B50E87">
        <w:rPr>
          <w:rFonts w:ascii="Times New Roman" w:hAnsi="Times New Roman"/>
          <w:sz w:val="22"/>
          <w:szCs w:val="22"/>
        </w:rPr>
        <w:t xml:space="preserve">productivity </w:t>
      </w:r>
      <w:r w:rsidR="00243E55">
        <w:rPr>
          <w:rFonts w:ascii="Times New Roman" w:hAnsi="Times New Roman"/>
          <w:sz w:val="22"/>
          <w:szCs w:val="22"/>
        </w:rPr>
        <w:t>benefits</w:t>
      </w:r>
      <w:r>
        <w:rPr>
          <w:rFonts w:ascii="Times New Roman" w:hAnsi="Times New Roman"/>
          <w:sz w:val="22"/>
          <w:szCs w:val="22"/>
        </w:rPr>
        <w:t xml:space="preserve"> </w:t>
      </w:r>
      <w:r w:rsidR="00B50E87">
        <w:rPr>
          <w:rFonts w:ascii="Times New Roman" w:hAnsi="Times New Roman"/>
          <w:sz w:val="22"/>
          <w:szCs w:val="22"/>
        </w:rPr>
        <w:t xml:space="preserve">(low, medium and high range scenarios). </w:t>
      </w:r>
    </w:p>
    <w:p w14:paraId="19D46BD5" w14:textId="77777777" w:rsidR="00B50E87" w:rsidRDefault="00B50E87" w:rsidP="00F25FD0">
      <w:pPr>
        <w:rPr>
          <w:rFonts w:ascii="Times New Roman" w:hAnsi="Times New Roman"/>
          <w:sz w:val="22"/>
          <w:szCs w:val="22"/>
        </w:rPr>
      </w:pPr>
    </w:p>
    <w:p w14:paraId="61126CF8" w14:textId="09573B8F" w:rsidR="00243E55" w:rsidRDefault="002F20F4" w:rsidP="00F21410">
      <w:pPr>
        <w:rPr>
          <w:rFonts w:ascii="Times New Roman" w:hAnsi="Times New Roman"/>
          <w:sz w:val="22"/>
          <w:szCs w:val="22"/>
        </w:rPr>
      </w:pPr>
      <w:r w:rsidRPr="007C5E78">
        <w:rPr>
          <w:rFonts w:ascii="Times New Roman" w:hAnsi="Times New Roman"/>
          <w:sz w:val="22"/>
          <w:szCs w:val="22"/>
        </w:rPr>
        <w:t xml:space="preserve">The modelling undertaken </w:t>
      </w:r>
      <w:r w:rsidR="001F2DDA" w:rsidRPr="007C5E78">
        <w:rPr>
          <w:rFonts w:ascii="Times New Roman" w:hAnsi="Times New Roman"/>
          <w:sz w:val="22"/>
          <w:szCs w:val="22"/>
        </w:rPr>
        <w:t>by TIC and summarised in Table 1 under the headings of</w:t>
      </w:r>
      <w:r w:rsidR="001F2DDA" w:rsidRPr="007C5E78">
        <w:rPr>
          <w:rFonts w:ascii="Times New Roman" w:hAnsi="Times New Roman"/>
          <w:i/>
          <w:sz w:val="22"/>
          <w:szCs w:val="22"/>
        </w:rPr>
        <w:t xml:space="preserve"> Safety</w:t>
      </w:r>
      <w:r w:rsidR="001F2DDA" w:rsidRPr="007C5E78">
        <w:rPr>
          <w:rFonts w:ascii="Times New Roman" w:hAnsi="Times New Roman"/>
          <w:sz w:val="22"/>
          <w:szCs w:val="22"/>
        </w:rPr>
        <w:t xml:space="preserve">, </w:t>
      </w:r>
      <w:r w:rsidR="001F2DDA" w:rsidRPr="007C5E78">
        <w:rPr>
          <w:rFonts w:ascii="Times New Roman" w:hAnsi="Times New Roman"/>
          <w:i/>
          <w:sz w:val="22"/>
          <w:szCs w:val="22"/>
        </w:rPr>
        <w:t>CO</w:t>
      </w:r>
      <w:r w:rsidR="001F2DDA" w:rsidRPr="007C5E78">
        <w:rPr>
          <w:rFonts w:ascii="Times New Roman" w:hAnsi="Times New Roman"/>
          <w:i/>
          <w:sz w:val="16"/>
          <w:szCs w:val="16"/>
        </w:rPr>
        <w:t>2</w:t>
      </w:r>
      <w:r w:rsidR="001F2DDA" w:rsidRPr="007C5E78">
        <w:rPr>
          <w:rFonts w:ascii="Times New Roman" w:hAnsi="Times New Roman"/>
          <w:sz w:val="22"/>
          <w:szCs w:val="22"/>
        </w:rPr>
        <w:t xml:space="preserve"> and </w:t>
      </w:r>
      <w:r w:rsidR="001F2DDA" w:rsidRPr="007C5E78">
        <w:rPr>
          <w:rFonts w:ascii="Times New Roman" w:hAnsi="Times New Roman"/>
          <w:i/>
          <w:sz w:val="22"/>
          <w:szCs w:val="22"/>
        </w:rPr>
        <w:t>Ops</w:t>
      </w:r>
      <w:r w:rsidR="001F2DDA" w:rsidRPr="007C5E78">
        <w:rPr>
          <w:rFonts w:ascii="Times New Roman" w:hAnsi="Times New Roman"/>
          <w:sz w:val="22"/>
          <w:szCs w:val="22"/>
        </w:rPr>
        <w:t xml:space="preserve">, </w:t>
      </w:r>
      <w:r w:rsidR="009861F1" w:rsidRPr="007C5E78">
        <w:rPr>
          <w:rFonts w:ascii="Times New Roman" w:hAnsi="Times New Roman"/>
          <w:sz w:val="22"/>
          <w:szCs w:val="22"/>
        </w:rPr>
        <w:t xml:space="preserve">shows </w:t>
      </w:r>
      <w:r w:rsidR="001F2DDA" w:rsidRPr="007C5E78">
        <w:rPr>
          <w:rFonts w:ascii="Times New Roman" w:hAnsi="Times New Roman"/>
          <w:sz w:val="22"/>
          <w:szCs w:val="22"/>
        </w:rPr>
        <w:t>t</w:t>
      </w:r>
      <w:r w:rsidR="00F25FD0" w:rsidRPr="007C5E78">
        <w:rPr>
          <w:rFonts w:ascii="Times New Roman" w:hAnsi="Times New Roman"/>
          <w:sz w:val="22"/>
          <w:szCs w:val="22"/>
        </w:rPr>
        <w:t>h</w:t>
      </w:r>
      <w:r w:rsidR="00F25FD0" w:rsidRPr="00F25FD0">
        <w:rPr>
          <w:rFonts w:ascii="Times New Roman" w:hAnsi="Times New Roman"/>
          <w:sz w:val="22"/>
          <w:szCs w:val="22"/>
        </w:rPr>
        <w:t xml:space="preserve">e operational cost savings of newer high productivity vehicles will deliver some 95 per cent of the </w:t>
      </w:r>
      <w:r w:rsidR="00F25FD0" w:rsidRPr="00F25FD0">
        <w:rPr>
          <w:rFonts w:ascii="Times New Roman" w:hAnsi="Times New Roman"/>
          <w:sz w:val="22"/>
          <w:szCs w:val="22"/>
        </w:rPr>
        <w:lastRenderedPageBreak/>
        <w:t>total savings involving operational, fatality and CO</w:t>
      </w:r>
      <w:r w:rsidR="00F25FD0" w:rsidRPr="00F25FD0">
        <w:rPr>
          <w:rFonts w:ascii="Times New Roman" w:hAnsi="Times New Roman"/>
          <w:sz w:val="22"/>
          <w:szCs w:val="22"/>
          <w:vertAlign w:val="subscript"/>
        </w:rPr>
        <w:t>2</w:t>
      </w:r>
      <w:r w:rsidR="00F25FD0" w:rsidRPr="00F25FD0">
        <w:rPr>
          <w:rFonts w:ascii="Times New Roman" w:hAnsi="Times New Roman"/>
          <w:sz w:val="22"/>
          <w:szCs w:val="22"/>
        </w:rPr>
        <w:t xml:space="preserve"> benefits.</w:t>
      </w:r>
      <w:r w:rsidR="00B50E87">
        <w:rPr>
          <w:rFonts w:ascii="Times New Roman" w:hAnsi="Times New Roman"/>
          <w:sz w:val="22"/>
          <w:szCs w:val="22"/>
        </w:rPr>
        <w:t xml:space="preserve"> </w:t>
      </w:r>
      <w:r w:rsidR="00F25FD0" w:rsidRPr="00F25FD0">
        <w:rPr>
          <w:rFonts w:ascii="Times New Roman" w:hAnsi="Times New Roman"/>
          <w:sz w:val="22"/>
          <w:szCs w:val="22"/>
        </w:rPr>
        <w:t>The fleet mix, from which the operation be</w:t>
      </w:r>
      <w:r w:rsidR="001F2DDA">
        <w:rPr>
          <w:rFonts w:ascii="Times New Roman" w:hAnsi="Times New Roman"/>
          <w:sz w:val="22"/>
          <w:szCs w:val="22"/>
        </w:rPr>
        <w:t>nefits are generated, involves Rigid T</w:t>
      </w:r>
      <w:r w:rsidR="00F25FD0" w:rsidRPr="00F25FD0">
        <w:rPr>
          <w:rFonts w:ascii="Times New Roman" w:hAnsi="Times New Roman"/>
          <w:sz w:val="22"/>
          <w:szCs w:val="22"/>
        </w:rPr>
        <w:t xml:space="preserve">rucks through to B-Triples, which are Level-3 vehicles. The estimates are somewhat conservative as vehicle combinations such as BAB Quads and other Level-4 vehicles have not </w:t>
      </w:r>
      <w:r w:rsidR="00243E55">
        <w:rPr>
          <w:rFonts w:ascii="Times New Roman" w:hAnsi="Times New Roman"/>
          <w:sz w:val="22"/>
          <w:szCs w:val="22"/>
        </w:rPr>
        <w:t xml:space="preserve">been modelled in this analysis. </w:t>
      </w:r>
    </w:p>
    <w:p w14:paraId="51AF5B14" w14:textId="77777777" w:rsidR="00243E55" w:rsidRDefault="00243E55" w:rsidP="00F21410">
      <w:pPr>
        <w:rPr>
          <w:rFonts w:ascii="Times New Roman" w:hAnsi="Times New Roman"/>
          <w:sz w:val="22"/>
          <w:szCs w:val="22"/>
        </w:rPr>
      </w:pPr>
    </w:p>
    <w:p w14:paraId="21A45FB8" w14:textId="2C54BDB1" w:rsidR="00F21410" w:rsidRPr="00F25FD0" w:rsidRDefault="00F21410" w:rsidP="00F21410">
      <w:pPr>
        <w:rPr>
          <w:rFonts w:ascii="Times New Roman" w:hAnsi="Times New Roman"/>
          <w:sz w:val="22"/>
          <w:szCs w:val="22"/>
        </w:rPr>
      </w:pPr>
      <w:r w:rsidRPr="00F25FD0">
        <w:rPr>
          <w:rFonts w:ascii="Times New Roman" w:hAnsi="Times New Roman"/>
          <w:sz w:val="22"/>
          <w:szCs w:val="22"/>
        </w:rPr>
        <w:t xml:space="preserve">Over the period </w:t>
      </w:r>
      <w:r w:rsidR="00243E55">
        <w:rPr>
          <w:rFonts w:ascii="Times New Roman" w:hAnsi="Times New Roman"/>
          <w:sz w:val="22"/>
          <w:szCs w:val="22"/>
        </w:rPr>
        <w:t>2017</w:t>
      </w:r>
      <w:r w:rsidR="00282A2E" w:rsidRPr="00F25FD0">
        <w:rPr>
          <w:rFonts w:ascii="Times New Roman" w:hAnsi="Times New Roman"/>
          <w:sz w:val="22"/>
          <w:szCs w:val="22"/>
        </w:rPr>
        <w:t xml:space="preserve"> to 2025</w:t>
      </w:r>
      <w:r w:rsidRPr="00F25FD0">
        <w:rPr>
          <w:rFonts w:ascii="Times New Roman" w:hAnsi="Times New Roman"/>
          <w:sz w:val="22"/>
          <w:szCs w:val="22"/>
        </w:rPr>
        <w:t xml:space="preserve">, under the three scenarios </w:t>
      </w:r>
      <w:r w:rsidR="009861F1" w:rsidRPr="007C5E78">
        <w:rPr>
          <w:rFonts w:ascii="Times New Roman" w:hAnsi="Times New Roman"/>
          <w:sz w:val="22"/>
          <w:szCs w:val="22"/>
        </w:rPr>
        <w:t xml:space="preserve">summarised in Appendix B </w:t>
      </w:r>
      <w:r w:rsidRPr="00F25FD0">
        <w:rPr>
          <w:rFonts w:ascii="Times New Roman" w:hAnsi="Times New Roman"/>
          <w:sz w:val="22"/>
          <w:szCs w:val="22"/>
        </w:rPr>
        <w:t>there woul</w:t>
      </w:r>
      <w:r w:rsidR="00243E55">
        <w:rPr>
          <w:rFonts w:ascii="Times New Roman" w:hAnsi="Times New Roman"/>
          <w:sz w:val="22"/>
          <w:szCs w:val="22"/>
        </w:rPr>
        <w:t>d be a benefits range from $3.54</w:t>
      </w:r>
      <w:r w:rsidRPr="00F25FD0">
        <w:rPr>
          <w:rFonts w:ascii="Times New Roman" w:hAnsi="Times New Roman"/>
          <w:sz w:val="22"/>
          <w:szCs w:val="22"/>
        </w:rPr>
        <w:t xml:space="preserve"> billion dollars for the low scenario adoption of new high prod</w:t>
      </w:r>
      <w:r w:rsidR="00013D41" w:rsidRPr="00F25FD0">
        <w:rPr>
          <w:rFonts w:ascii="Times New Roman" w:hAnsi="Times New Roman"/>
          <w:sz w:val="22"/>
          <w:szCs w:val="22"/>
        </w:rPr>
        <w:t>uctivity vehicle technology, to</w:t>
      </w:r>
      <w:r w:rsidRPr="00F25FD0">
        <w:rPr>
          <w:rFonts w:ascii="Times New Roman" w:hAnsi="Times New Roman"/>
          <w:sz w:val="22"/>
          <w:szCs w:val="22"/>
        </w:rPr>
        <w:t xml:space="preserve"> </w:t>
      </w:r>
      <w:r w:rsidR="00243E55">
        <w:rPr>
          <w:rFonts w:ascii="Times New Roman" w:hAnsi="Times New Roman"/>
          <w:sz w:val="22"/>
          <w:szCs w:val="22"/>
        </w:rPr>
        <w:t>$5.17</w:t>
      </w:r>
      <w:r w:rsidR="000E79DD" w:rsidRPr="00F25FD0">
        <w:rPr>
          <w:rFonts w:ascii="Times New Roman" w:hAnsi="Times New Roman"/>
          <w:sz w:val="22"/>
          <w:szCs w:val="22"/>
        </w:rPr>
        <w:t xml:space="preserve"> </w:t>
      </w:r>
      <w:r w:rsidRPr="00F25FD0">
        <w:rPr>
          <w:rFonts w:ascii="Times New Roman" w:hAnsi="Times New Roman"/>
          <w:sz w:val="22"/>
          <w:szCs w:val="22"/>
        </w:rPr>
        <w:t>billion dollars</w:t>
      </w:r>
      <w:r w:rsidR="00243E55">
        <w:rPr>
          <w:rFonts w:ascii="Times New Roman" w:hAnsi="Times New Roman"/>
          <w:sz w:val="22"/>
          <w:szCs w:val="22"/>
        </w:rPr>
        <w:t xml:space="preserve"> for the medium scenario, and $6.78</w:t>
      </w:r>
      <w:r w:rsidRPr="00F25FD0">
        <w:rPr>
          <w:rFonts w:ascii="Times New Roman" w:hAnsi="Times New Roman"/>
          <w:sz w:val="22"/>
          <w:szCs w:val="22"/>
        </w:rPr>
        <w:t xml:space="preserve"> billion dollars for the high scenario. </w:t>
      </w:r>
      <w:r w:rsidR="00243E55" w:rsidRPr="00892B5A">
        <w:rPr>
          <w:rFonts w:ascii="Times New Roman" w:hAnsi="Times New Roman"/>
          <w:sz w:val="22"/>
          <w:szCs w:val="22"/>
        </w:rPr>
        <w:t xml:space="preserve">These figures </w:t>
      </w:r>
      <w:r w:rsidR="00A072D8" w:rsidRPr="00892B5A">
        <w:rPr>
          <w:rFonts w:ascii="Times New Roman" w:hAnsi="Times New Roman"/>
          <w:sz w:val="22"/>
          <w:szCs w:val="22"/>
        </w:rPr>
        <w:t xml:space="preserve">also </w:t>
      </w:r>
      <w:r w:rsidR="00243E55" w:rsidRPr="00892B5A">
        <w:rPr>
          <w:rFonts w:ascii="Times New Roman" w:hAnsi="Times New Roman"/>
          <w:sz w:val="22"/>
          <w:szCs w:val="22"/>
        </w:rPr>
        <w:t>include avoided health costs.</w:t>
      </w:r>
      <w:r w:rsidR="00243E55" w:rsidRPr="009861F1">
        <w:rPr>
          <w:rFonts w:ascii="Times New Roman" w:hAnsi="Times New Roman"/>
          <w:color w:val="FF0000"/>
          <w:sz w:val="22"/>
          <w:szCs w:val="22"/>
        </w:rPr>
        <w:t xml:space="preserve"> </w:t>
      </w:r>
      <w:r w:rsidRPr="00F25FD0">
        <w:rPr>
          <w:rFonts w:ascii="Times New Roman" w:hAnsi="Times New Roman"/>
          <w:sz w:val="22"/>
          <w:szCs w:val="22"/>
        </w:rPr>
        <w:t xml:space="preserve">In all cases it is assumed that a national network for Level 3 vehicles exists and connects capital cities and major regional cities.  </w:t>
      </w:r>
    </w:p>
    <w:p w14:paraId="39F8D71B" w14:textId="77777777" w:rsidR="006818B6" w:rsidRDefault="006818B6" w:rsidP="00F21410">
      <w:pPr>
        <w:rPr>
          <w:rFonts w:ascii="Times New Roman" w:hAnsi="Times New Roman"/>
          <w:color w:val="FF0000"/>
          <w:sz w:val="22"/>
          <w:szCs w:val="22"/>
        </w:rPr>
      </w:pPr>
    </w:p>
    <w:p w14:paraId="5E409270" w14:textId="3C0FEF4B" w:rsidR="00FE0185" w:rsidRPr="005C240B" w:rsidRDefault="00243E55" w:rsidP="00FE0185">
      <w:pPr>
        <w:rPr>
          <w:rFonts w:ascii="Times New Roman" w:hAnsi="Times New Roman"/>
          <w:b/>
          <w:sz w:val="22"/>
          <w:szCs w:val="22"/>
        </w:rPr>
      </w:pPr>
      <w:r>
        <w:rPr>
          <w:rFonts w:ascii="Times New Roman" w:hAnsi="Times New Roman"/>
          <w:b/>
          <w:sz w:val="22"/>
          <w:szCs w:val="22"/>
        </w:rPr>
        <w:t>4.3</w:t>
      </w:r>
      <w:r w:rsidR="00FE0185" w:rsidRPr="005C240B">
        <w:rPr>
          <w:rFonts w:ascii="Times New Roman" w:hAnsi="Times New Roman"/>
          <w:b/>
          <w:sz w:val="22"/>
          <w:szCs w:val="22"/>
        </w:rPr>
        <w:tab/>
        <w:t>SAFER TRUCKS</w:t>
      </w:r>
    </w:p>
    <w:p w14:paraId="6E3EB584" w14:textId="77777777" w:rsidR="00FE0185" w:rsidRPr="005C240B" w:rsidRDefault="00FE0185" w:rsidP="00FE0185">
      <w:pPr>
        <w:rPr>
          <w:rFonts w:ascii="Times New Roman" w:hAnsi="Times New Roman"/>
          <w:sz w:val="22"/>
          <w:szCs w:val="22"/>
        </w:rPr>
      </w:pPr>
    </w:p>
    <w:p w14:paraId="69033B4A" w14:textId="77777777" w:rsidR="008F5E63" w:rsidRDefault="008F5E63" w:rsidP="00FE0185">
      <w:pPr>
        <w:rPr>
          <w:rFonts w:ascii="Times New Roman" w:hAnsi="Times New Roman"/>
          <w:sz w:val="22"/>
          <w:szCs w:val="22"/>
        </w:rPr>
      </w:pPr>
      <w:r>
        <w:rPr>
          <w:rFonts w:ascii="Times New Roman" w:hAnsi="Times New Roman"/>
          <w:sz w:val="22"/>
          <w:szCs w:val="22"/>
        </w:rPr>
        <w:t>T</w:t>
      </w:r>
      <w:r w:rsidR="00FE0185" w:rsidRPr="00AF78F1">
        <w:rPr>
          <w:rFonts w:ascii="Times New Roman" w:hAnsi="Times New Roman"/>
          <w:sz w:val="22"/>
          <w:szCs w:val="22"/>
        </w:rPr>
        <w:t xml:space="preserve">he safety of trucks remains a major concern for the public and government authorities.  </w:t>
      </w:r>
    </w:p>
    <w:p w14:paraId="60EB5051" w14:textId="77777777" w:rsidR="008F5E63" w:rsidRDefault="008F5E63" w:rsidP="00FE0185">
      <w:pPr>
        <w:rPr>
          <w:rFonts w:ascii="Times New Roman" w:hAnsi="Times New Roman"/>
          <w:sz w:val="22"/>
          <w:szCs w:val="22"/>
        </w:rPr>
      </w:pPr>
    </w:p>
    <w:p w14:paraId="3A75CB2A" w14:textId="44922096" w:rsidR="008F5E63" w:rsidRDefault="00FE0185" w:rsidP="00FE0185">
      <w:pPr>
        <w:rPr>
          <w:rFonts w:ascii="Times New Roman" w:hAnsi="Times New Roman"/>
          <w:sz w:val="22"/>
          <w:szCs w:val="22"/>
        </w:rPr>
      </w:pPr>
      <w:r w:rsidRPr="00AF78F1">
        <w:rPr>
          <w:rFonts w:ascii="Times New Roman" w:hAnsi="Times New Roman"/>
          <w:sz w:val="22"/>
          <w:szCs w:val="22"/>
        </w:rPr>
        <w:t xml:space="preserve">Truck manufacturers are committed to building safer trucks making road travel safer for all users.  </w:t>
      </w:r>
      <w:r w:rsidR="00AF78F1" w:rsidRPr="00AF78F1">
        <w:rPr>
          <w:rFonts w:ascii="Times New Roman" w:hAnsi="Times New Roman"/>
          <w:sz w:val="22"/>
          <w:szCs w:val="22"/>
        </w:rPr>
        <w:t>Advanced t</w:t>
      </w:r>
      <w:r w:rsidRPr="00AF78F1">
        <w:rPr>
          <w:rFonts w:ascii="Times New Roman" w:hAnsi="Times New Roman"/>
          <w:sz w:val="22"/>
          <w:szCs w:val="22"/>
        </w:rPr>
        <w:t>echnolog</w:t>
      </w:r>
      <w:r w:rsidR="00AF78F1" w:rsidRPr="00AF78F1">
        <w:rPr>
          <w:rFonts w:ascii="Times New Roman" w:hAnsi="Times New Roman"/>
          <w:sz w:val="22"/>
          <w:szCs w:val="22"/>
        </w:rPr>
        <w:t>ies are</w:t>
      </w:r>
      <w:r w:rsidRPr="00AF78F1">
        <w:rPr>
          <w:rFonts w:ascii="Times New Roman" w:hAnsi="Times New Roman"/>
          <w:sz w:val="22"/>
          <w:szCs w:val="22"/>
        </w:rPr>
        <w:t xml:space="preserve"> now available to assist truck drivers. For example, Lane Assist Systems keep trucks in a chosen lane and </w:t>
      </w:r>
      <w:r w:rsidR="00AF78F1" w:rsidRPr="00AF78F1">
        <w:rPr>
          <w:rFonts w:ascii="Times New Roman" w:hAnsi="Times New Roman"/>
          <w:sz w:val="22"/>
          <w:szCs w:val="22"/>
        </w:rPr>
        <w:t xml:space="preserve">preventing drifting </w:t>
      </w:r>
      <w:r w:rsidRPr="00AF78F1">
        <w:rPr>
          <w:rFonts w:ascii="Times New Roman" w:hAnsi="Times New Roman"/>
          <w:sz w:val="22"/>
          <w:szCs w:val="22"/>
        </w:rPr>
        <w:t>across lanes while adaptive cruise control can significantly reduce rear-end collisions, when combined with advanced emergency braking</w:t>
      </w:r>
      <w:r w:rsidR="00A072D8">
        <w:rPr>
          <w:rFonts w:ascii="Times New Roman" w:hAnsi="Times New Roman"/>
          <w:sz w:val="22"/>
          <w:szCs w:val="22"/>
        </w:rPr>
        <w:t xml:space="preserve"> systems</w:t>
      </w:r>
      <w:r w:rsidRPr="00AF78F1">
        <w:rPr>
          <w:rFonts w:ascii="Times New Roman" w:hAnsi="Times New Roman"/>
          <w:sz w:val="22"/>
          <w:szCs w:val="22"/>
        </w:rPr>
        <w:t xml:space="preserve">.  Electronic Stability Control (ESC) systems reduce the possibility of skidding, jack-knifing, or overturning, whilst </w:t>
      </w:r>
      <w:r w:rsidR="00AF78F1" w:rsidRPr="00AF78F1">
        <w:rPr>
          <w:rFonts w:ascii="Times New Roman" w:hAnsi="Times New Roman"/>
          <w:sz w:val="22"/>
          <w:szCs w:val="22"/>
        </w:rPr>
        <w:t>Electronic</w:t>
      </w:r>
      <w:r w:rsidRPr="00AF78F1">
        <w:rPr>
          <w:rFonts w:ascii="Times New Roman" w:hAnsi="Times New Roman"/>
          <w:sz w:val="22"/>
          <w:szCs w:val="22"/>
        </w:rPr>
        <w:t xml:space="preserve"> Braking Systems (EBS) enhance driving safety in diverse conditions.  Front Underrun Protection Systems (FUPS) prevents the occupants of a car from becoming trapped underneath the truck and will ensure that the safety features of the car are correctly deployed.  These technologies are available now in many truck models but due to cost the uptake is low.  </w:t>
      </w:r>
    </w:p>
    <w:p w14:paraId="18D61C2A" w14:textId="77777777" w:rsidR="008F5E63" w:rsidRDefault="008F5E63" w:rsidP="00FE0185">
      <w:pPr>
        <w:rPr>
          <w:rFonts w:ascii="Times New Roman" w:hAnsi="Times New Roman"/>
          <w:sz w:val="22"/>
          <w:szCs w:val="22"/>
        </w:rPr>
      </w:pPr>
    </w:p>
    <w:p w14:paraId="09A84A08" w14:textId="79F11C5E" w:rsidR="00A072D8" w:rsidRPr="00ED4AB7" w:rsidRDefault="005D56BB" w:rsidP="004B3EB7">
      <w:pPr>
        <w:rPr>
          <w:rFonts w:ascii="Times New Roman" w:hAnsi="Times New Roman"/>
          <w:sz w:val="22"/>
          <w:szCs w:val="22"/>
        </w:rPr>
      </w:pPr>
      <w:r w:rsidRPr="00ED4AB7">
        <w:rPr>
          <w:rFonts w:ascii="Times New Roman" w:hAnsi="Times New Roman"/>
          <w:sz w:val="22"/>
          <w:szCs w:val="22"/>
        </w:rPr>
        <w:t>TIC’s analysis shows t</w:t>
      </w:r>
      <w:r w:rsidR="004B3EB7" w:rsidRPr="00ED4AB7">
        <w:rPr>
          <w:rFonts w:ascii="Times New Roman" w:hAnsi="Times New Roman"/>
          <w:sz w:val="22"/>
          <w:szCs w:val="22"/>
        </w:rPr>
        <w:t>he total number of lives saved range</w:t>
      </w:r>
      <w:r w:rsidRPr="00ED4AB7">
        <w:rPr>
          <w:rFonts w:ascii="Times New Roman" w:hAnsi="Times New Roman"/>
          <w:sz w:val="22"/>
          <w:szCs w:val="22"/>
        </w:rPr>
        <w:t>s</w:t>
      </w:r>
      <w:r w:rsidR="00D72D61" w:rsidRPr="00ED4AB7">
        <w:rPr>
          <w:rFonts w:ascii="Times New Roman" w:hAnsi="Times New Roman"/>
          <w:sz w:val="22"/>
          <w:szCs w:val="22"/>
        </w:rPr>
        <w:t xml:space="preserve"> from 28.1 to 44.4 over the eight</w:t>
      </w:r>
      <w:r w:rsidR="004B3EB7" w:rsidRPr="00ED4AB7">
        <w:rPr>
          <w:rFonts w:ascii="Times New Roman" w:hAnsi="Times New Roman"/>
          <w:sz w:val="22"/>
          <w:szCs w:val="22"/>
        </w:rPr>
        <w:t xml:space="preserve"> year period with a medium scenario expectation of 37.6 lives saved.  This is 4 lives per annum over the analysis period. </w:t>
      </w:r>
      <w:r w:rsidR="001132BD" w:rsidRPr="00ED4AB7">
        <w:rPr>
          <w:rFonts w:ascii="Times New Roman" w:hAnsi="Times New Roman"/>
          <w:sz w:val="22"/>
          <w:szCs w:val="22"/>
        </w:rPr>
        <w:t>In terms of dollar value over the period 2017 to 2025</w:t>
      </w:r>
      <w:r w:rsidR="00FC0031" w:rsidRPr="00ED4AB7">
        <w:rPr>
          <w:rFonts w:ascii="Times New Roman" w:hAnsi="Times New Roman"/>
          <w:sz w:val="22"/>
          <w:szCs w:val="22"/>
        </w:rPr>
        <w:t xml:space="preserve"> and using the Australian Statistical Life cost of $2.83 million</w:t>
      </w:r>
      <w:r w:rsidR="001132BD" w:rsidRPr="00ED4AB7">
        <w:rPr>
          <w:rFonts w:ascii="Times New Roman" w:hAnsi="Times New Roman"/>
          <w:sz w:val="22"/>
          <w:szCs w:val="22"/>
        </w:rPr>
        <w:t>, under the three scenarios presented there would be a benefits range from $79.6 million dollars for the low scenario, to $106.5 million dollars for the medium scenario, and $125.6 million dollars for the high scenario.</w:t>
      </w:r>
    </w:p>
    <w:p w14:paraId="07DF76FC" w14:textId="77777777" w:rsidR="00A072D8" w:rsidRDefault="00A072D8" w:rsidP="004B3EB7">
      <w:pPr>
        <w:rPr>
          <w:rFonts w:ascii="Times New Roman" w:hAnsi="Times New Roman"/>
          <w:sz w:val="22"/>
          <w:szCs w:val="22"/>
        </w:rPr>
      </w:pPr>
    </w:p>
    <w:p w14:paraId="7667220D" w14:textId="77777777" w:rsidR="00A072D8" w:rsidRPr="00AF78F1" w:rsidRDefault="00A072D8" w:rsidP="00A072D8">
      <w:pPr>
        <w:rPr>
          <w:rFonts w:ascii="Times New Roman" w:hAnsi="Times New Roman"/>
          <w:sz w:val="22"/>
          <w:szCs w:val="22"/>
        </w:rPr>
      </w:pPr>
      <w:r w:rsidRPr="00AF78F1">
        <w:rPr>
          <w:rFonts w:ascii="Times New Roman" w:hAnsi="Times New Roman"/>
          <w:sz w:val="22"/>
          <w:szCs w:val="22"/>
        </w:rPr>
        <w:t>A decision to modernise the nation’s truck fleet by means of an investment allowance program means that safer trucks employing the latest advanced technologies will be operating on the country’s road network.</w:t>
      </w:r>
    </w:p>
    <w:p w14:paraId="2986FC30" w14:textId="77777777" w:rsidR="003F6594" w:rsidRDefault="003F6594" w:rsidP="00FE0185">
      <w:pPr>
        <w:rPr>
          <w:rFonts w:ascii="Times New Roman" w:hAnsi="Times New Roman"/>
          <w:sz w:val="22"/>
          <w:szCs w:val="22"/>
        </w:rPr>
      </w:pPr>
    </w:p>
    <w:p w14:paraId="15811196" w14:textId="0FC04AA1" w:rsidR="005643CA" w:rsidRPr="00FE0185" w:rsidRDefault="00185466" w:rsidP="005643CA">
      <w:pPr>
        <w:rPr>
          <w:rFonts w:ascii="Times New Roman" w:hAnsi="Times New Roman"/>
          <w:b/>
          <w:sz w:val="22"/>
          <w:szCs w:val="22"/>
        </w:rPr>
      </w:pPr>
      <w:r>
        <w:rPr>
          <w:rFonts w:ascii="Times New Roman" w:hAnsi="Times New Roman"/>
          <w:b/>
          <w:sz w:val="22"/>
          <w:szCs w:val="22"/>
        </w:rPr>
        <w:t>4.4</w:t>
      </w:r>
      <w:r w:rsidR="00FE0185" w:rsidRPr="00FE0185">
        <w:rPr>
          <w:rFonts w:ascii="Times New Roman" w:hAnsi="Times New Roman"/>
          <w:b/>
          <w:sz w:val="22"/>
          <w:szCs w:val="22"/>
        </w:rPr>
        <w:tab/>
        <w:t>GREENER</w:t>
      </w:r>
      <w:r w:rsidR="00DD3F15">
        <w:rPr>
          <w:rFonts w:ascii="Times New Roman" w:hAnsi="Times New Roman"/>
          <w:b/>
          <w:sz w:val="22"/>
          <w:szCs w:val="22"/>
        </w:rPr>
        <w:t xml:space="preserve"> </w:t>
      </w:r>
      <w:r w:rsidR="005643CA" w:rsidRPr="00FE0185">
        <w:rPr>
          <w:rFonts w:ascii="Times New Roman" w:hAnsi="Times New Roman"/>
          <w:b/>
          <w:sz w:val="22"/>
          <w:szCs w:val="22"/>
        </w:rPr>
        <w:t xml:space="preserve">CLEANER </w:t>
      </w:r>
      <w:r w:rsidR="008078EA" w:rsidRPr="00FE0185">
        <w:rPr>
          <w:rFonts w:ascii="Times New Roman" w:hAnsi="Times New Roman"/>
          <w:b/>
          <w:sz w:val="22"/>
          <w:szCs w:val="22"/>
        </w:rPr>
        <w:t>TRUCKS</w:t>
      </w:r>
      <w:r w:rsidR="00B33FC7" w:rsidRPr="00FE0185">
        <w:rPr>
          <w:rFonts w:ascii="Times New Roman" w:hAnsi="Times New Roman"/>
          <w:b/>
          <w:sz w:val="22"/>
          <w:szCs w:val="22"/>
        </w:rPr>
        <w:t xml:space="preserve"> - </w:t>
      </w:r>
      <w:r w:rsidR="005643CA" w:rsidRPr="00FE0185">
        <w:rPr>
          <w:rFonts w:ascii="Times New Roman" w:hAnsi="Times New Roman"/>
          <w:b/>
          <w:sz w:val="22"/>
          <w:szCs w:val="22"/>
        </w:rPr>
        <w:t>IMPROVING THE HEALTH OF ALL AUSTRALIANS</w:t>
      </w:r>
    </w:p>
    <w:p w14:paraId="138C53B4" w14:textId="77777777" w:rsidR="008078EA" w:rsidRPr="005C240B" w:rsidRDefault="008078EA" w:rsidP="008078EA">
      <w:pPr>
        <w:rPr>
          <w:rFonts w:ascii="Times New Roman" w:hAnsi="Times New Roman"/>
          <w:b/>
          <w:sz w:val="22"/>
          <w:szCs w:val="22"/>
        </w:rPr>
      </w:pPr>
    </w:p>
    <w:p w14:paraId="0973DA50" w14:textId="77777777" w:rsidR="008078EA" w:rsidRPr="005C240B" w:rsidRDefault="008078EA" w:rsidP="008078EA">
      <w:pPr>
        <w:rPr>
          <w:rFonts w:ascii="Times New Roman" w:hAnsi="Times New Roman"/>
          <w:sz w:val="22"/>
          <w:szCs w:val="22"/>
        </w:rPr>
      </w:pPr>
      <w:r w:rsidRPr="005C240B">
        <w:rPr>
          <w:rFonts w:ascii="Times New Roman" w:hAnsi="Times New Roman"/>
          <w:sz w:val="22"/>
          <w:szCs w:val="22"/>
        </w:rPr>
        <w:t xml:space="preserve">The Truck Industry Council </w:t>
      </w:r>
      <w:r w:rsidR="0004047C">
        <w:rPr>
          <w:rFonts w:ascii="Times New Roman" w:hAnsi="Times New Roman"/>
          <w:sz w:val="22"/>
          <w:szCs w:val="22"/>
        </w:rPr>
        <w:t xml:space="preserve">has </w:t>
      </w:r>
      <w:r w:rsidRPr="005C240B">
        <w:rPr>
          <w:rFonts w:ascii="Times New Roman" w:hAnsi="Times New Roman"/>
          <w:sz w:val="22"/>
          <w:szCs w:val="22"/>
        </w:rPr>
        <w:t xml:space="preserve">conducted research into the public’s perception of trucks. </w:t>
      </w:r>
      <w:r w:rsidR="00341039">
        <w:rPr>
          <w:rFonts w:ascii="Times New Roman" w:hAnsi="Times New Roman"/>
          <w:sz w:val="22"/>
          <w:szCs w:val="22"/>
        </w:rPr>
        <w:t xml:space="preserve"> </w:t>
      </w:r>
      <w:r w:rsidRPr="005C240B">
        <w:rPr>
          <w:rFonts w:ascii="Times New Roman" w:hAnsi="Times New Roman"/>
          <w:sz w:val="22"/>
          <w:szCs w:val="22"/>
        </w:rPr>
        <w:t xml:space="preserve">One conclusion from the research was that issues surrounding the role of trucks, current safety standards and environmental impacts are of significant public interest. Of particular interest to policy makers is the conclusion that there was substantial public support for the implementation of stricter standards as they relate to trucks especially in built up areas. </w:t>
      </w:r>
      <w:r w:rsidR="00341039">
        <w:rPr>
          <w:rFonts w:ascii="Times New Roman" w:hAnsi="Times New Roman"/>
          <w:sz w:val="22"/>
          <w:szCs w:val="22"/>
        </w:rPr>
        <w:t xml:space="preserve"> </w:t>
      </w:r>
      <w:r w:rsidRPr="005C240B">
        <w:rPr>
          <w:rFonts w:ascii="Times New Roman" w:hAnsi="Times New Roman"/>
          <w:sz w:val="22"/>
          <w:szCs w:val="22"/>
        </w:rPr>
        <w:t xml:space="preserve">Almost </w:t>
      </w:r>
      <w:r w:rsidR="00D31BD5">
        <w:rPr>
          <w:rFonts w:ascii="Times New Roman" w:hAnsi="Times New Roman"/>
          <w:sz w:val="22"/>
          <w:szCs w:val="22"/>
        </w:rPr>
        <w:t>sixty (</w:t>
      </w:r>
      <w:r w:rsidRPr="005C240B">
        <w:rPr>
          <w:rFonts w:ascii="Times New Roman" w:hAnsi="Times New Roman"/>
          <w:sz w:val="22"/>
          <w:szCs w:val="22"/>
        </w:rPr>
        <w:t>60</w:t>
      </w:r>
      <w:r w:rsidR="00D31BD5">
        <w:rPr>
          <w:rFonts w:ascii="Times New Roman" w:hAnsi="Times New Roman"/>
          <w:sz w:val="22"/>
          <w:szCs w:val="22"/>
        </w:rPr>
        <w:t>)</w:t>
      </w:r>
      <w:r w:rsidRPr="005C240B">
        <w:rPr>
          <w:rFonts w:ascii="Times New Roman" w:hAnsi="Times New Roman"/>
          <w:sz w:val="22"/>
          <w:szCs w:val="22"/>
        </w:rPr>
        <w:t xml:space="preserve"> per</w:t>
      </w:r>
      <w:r w:rsidR="00D31BD5">
        <w:rPr>
          <w:rFonts w:ascii="Times New Roman" w:hAnsi="Times New Roman"/>
          <w:sz w:val="22"/>
          <w:szCs w:val="22"/>
        </w:rPr>
        <w:t xml:space="preserve"> </w:t>
      </w:r>
      <w:r w:rsidRPr="005C240B">
        <w:rPr>
          <w:rFonts w:ascii="Times New Roman" w:hAnsi="Times New Roman"/>
          <w:sz w:val="22"/>
          <w:szCs w:val="22"/>
        </w:rPr>
        <w:t xml:space="preserve">cent of respondents believe that all trucks should have to comply with strict environmental standards before being allowed into built up areas while </w:t>
      </w:r>
      <w:r w:rsidR="00D31BD5">
        <w:rPr>
          <w:rFonts w:ascii="Times New Roman" w:hAnsi="Times New Roman"/>
          <w:sz w:val="22"/>
          <w:szCs w:val="22"/>
        </w:rPr>
        <w:t>seventy-five (</w:t>
      </w:r>
      <w:r w:rsidRPr="005C240B">
        <w:rPr>
          <w:rFonts w:ascii="Times New Roman" w:hAnsi="Times New Roman"/>
          <w:sz w:val="22"/>
          <w:szCs w:val="22"/>
        </w:rPr>
        <w:t>75</w:t>
      </w:r>
      <w:r w:rsidR="00D31BD5">
        <w:rPr>
          <w:rFonts w:ascii="Times New Roman" w:hAnsi="Times New Roman"/>
          <w:sz w:val="22"/>
          <w:szCs w:val="22"/>
        </w:rPr>
        <w:t>)</w:t>
      </w:r>
      <w:r w:rsidRPr="005C240B">
        <w:rPr>
          <w:rFonts w:ascii="Times New Roman" w:hAnsi="Times New Roman"/>
          <w:sz w:val="22"/>
          <w:szCs w:val="22"/>
        </w:rPr>
        <w:t xml:space="preserve"> per</w:t>
      </w:r>
      <w:r w:rsidR="00D31BD5">
        <w:rPr>
          <w:rFonts w:ascii="Times New Roman" w:hAnsi="Times New Roman"/>
          <w:sz w:val="22"/>
          <w:szCs w:val="22"/>
        </w:rPr>
        <w:t xml:space="preserve"> </w:t>
      </w:r>
      <w:r w:rsidRPr="005C240B">
        <w:rPr>
          <w:rFonts w:ascii="Times New Roman" w:hAnsi="Times New Roman"/>
          <w:sz w:val="22"/>
          <w:szCs w:val="22"/>
        </w:rPr>
        <w:t xml:space="preserve">cent believe that a minimum standard of safety features should exist on every truck that operates within cities. </w:t>
      </w:r>
    </w:p>
    <w:p w14:paraId="3C8AF233" w14:textId="77777777" w:rsidR="008078EA" w:rsidRPr="005C240B" w:rsidRDefault="008078EA" w:rsidP="008078EA">
      <w:pPr>
        <w:rPr>
          <w:rFonts w:ascii="Times New Roman" w:hAnsi="Times New Roman"/>
          <w:sz w:val="22"/>
          <w:szCs w:val="22"/>
        </w:rPr>
      </w:pPr>
    </w:p>
    <w:p w14:paraId="397A5EC7" w14:textId="4DAE1102" w:rsidR="008078EA" w:rsidRPr="005C240B" w:rsidRDefault="008078EA" w:rsidP="008078EA">
      <w:pPr>
        <w:rPr>
          <w:rFonts w:ascii="Times New Roman" w:hAnsi="Times New Roman"/>
          <w:sz w:val="22"/>
          <w:szCs w:val="22"/>
        </w:rPr>
      </w:pPr>
      <w:r w:rsidRPr="005C240B">
        <w:rPr>
          <w:rFonts w:ascii="Times New Roman" w:hAnsi="Times New Roman"/>
          <w:sz w:val="22"/>
          <w:szCs w:val="22"/>
        </w:rPr>
        <w:t xml:space="preserve">From this research it is clear that the public want to see </w:t>
      </w:r>
      <w:r w:rsidR="001132BD">
        <w:rPr>
          <w:rFonts w:ascii="Times New Roman" w:hAnsi="Times New Roman"/>
          <w:sz w:val="22"/>
          <w:szCs w:val="22"/>
        </w:rPr>
        <w:t>g</w:t>
      </w:r>
      <w:r w:rsidR="009C6B96">
        <w:rPr>
          <w:rFonts w:ascii="Times New Roman" w:hAnsi="Times New Roman"/>
          <w:sz w:val="22"/>
          <w:szCs w:val="22"/>
        </w:rPr>
        <w:t xml:space="preserve">reener, </w:t>
      </w:r>
      <w:r w:rsidRPr="005C240B">
        <w:rPr>
          <w:rFonts w:ascii="Times New Roman" w:hAnsi="Times New Roman"/>
          <w:sz w:val="22"/>
          <w:szCs w:val="22"/>
        </w:rPr>
        <w:t>cleaner and quieter trucks opera</w:t>
      </w:r>
      <w:r w:rsidR="00F03B66">
        <w:rPr>
          <w:rFonts w:ascii="Times New Roman" w:hAnsi="Times New Roman"/>
          <w:sz w:val="22"/>
          <w:szCs w:val="22"/>
        </w:rPr>
        <w:t xml:space="preserve">ting in urban areas. Survey respondents </w:t>
      </w:r>
      <w:r w:rsidRPr="005C240B">
        <w:rPr>
          <w:rFonts w:ascii="Times New Roman" w:hAnsi="Times New Roman"/>
          <w:sz w:val="22"/>
          <w:szCs w:val="22"/>
        </w:rPr>
        <w:t>fully accept</w:t>
      </w:r>
      <w:r w:rsidR="00AA7C78">
        <w:rPr>
          <w:rFonts w:ascii="Times New Roman" w:hAnsi="Times New Roman"/>
          <w:sz w:val="22"/>
          <w:szCs w:val="22"/>
        </w:rPr>
        <w:t>ed</w:t>
      </w:r>
      <w:r w:rsidRPr="005C240B">
        <w:rPr>
          <w:rFonts w:ascii="Times New Roman" w:hAnsi="Times New Roman"/>
          <w:sz w:val="22"/>
          <w:szCs w:val="22"/>
        </w:rPr>
        <w:t xml:space="preserve"> the need for trucks on our roads, but </w:t>
      </w:r>
      <w:r w:rsidR="00185466">
        <w:rPr>
          <w:rFonts w:ascii="Times New Roman" w:hAnsi="Times New Roman"/>
          <w:sz w:val="22"/>
          <w:szCs w:val="22"/>
        </w:rPr>
        <w:t>are</w:t>
      </w:r>
      <w:r w:rsidRPr="005C240B">
        <w:rPr>
          <w:rFonts w:ascii="Times New Roman" w:hAnsi="Times New Roman"/>
          <w:sz w:val="22"/>
          <w:szCs w:val="22"/>
        </w:rPr>
        <w:t xml:space="preserve"> no longer willing to accept trucks emitting black smoke or </w:t>
      </w:r>
      <w:r w:rsidR="00E020D5">
        <w:rPr>
          <w:rFonts w:ascii="Times New Roman" w:hAnsi="Times New Roman"/>
          <w:sz w:val="22"/>
          <w:szCs w:val="22"/>
        </w:rPr>
        <w:t xml:space="preserve">emitting </w:t>
      </w:r>
      <w:r w:rsidRPr="005C240B">
        <w:rPr>
          <w:rFonts w:ascii="Times New Roman" w:hAnsi="Times New Roman"/>
          <w:sz w:val="22"/>
          <w:szCs w:val="22"/>
        </w:rPr>
        <w:t xml:space="preserve">excessive noise. </w:t>
      </w:r>
      <w:r w:rsidR="00B84CA1">
        <w:rPr>
          <w:rFonts w:ascii="Times New Roman" w:hAnsi="Times New Roman"/>
          <w:sz w:val="22"/>
          <w:szCs w:val="22"/>
        </w:rPr>
        <w:t>I</w:t>
      </w:r>
      <w:r w:rsidRPr="005C240B">
        <w:rPr>
          <w:rFonts w:ascii="Times New Roman" w:hAnsi="Times New Roman"/>
          <w:sz w:val="22"/>
          <w:szCs w:val="22"/>
        </w:rPr>
        <w:t xml:space="preserve">t should be noted that hybrid trucks, due to their frequent use of electric power can operate in a silent </w:t>
      </w:r>
      <w:r w:rsidRPr="00CE7E2D">
        <w:rPr>
          <w:rFonts w:ascii="Times New Roman" w:hAnsi="Times New Roman"/>
          <w:sz w:val="22"/>
          <w:szCs w:val="22"/>
        </w:rPr>
        <w:t xml:space="preserve">mode </w:t>
      </w:r>
      <w:r w:rsidR="00CE7E2D" w:rsidRPr="00F21410">
        <w:rPr>
          <w:rFonts w:ascii="Times New Roman" w:hAnsi="Times New Roman"/>
          <w:sz w:val="22"/>
          <w:szCs w:val="22"/>
        </w:rPr>
        <w:t>and trucks powered by natural gas produce significantly less engine noise than those powered by an equivalent diesel engine,</w:t>
      </w:r>
      <w:r w:rsidR="00CE7E2D">
        <w:rPr>
          <w:rFonts w:ascii="Times New Roman" w:hAnsi="Times New Roman"/>
          <w:sz w:val="22"/>
          <w:szCs w:val="22"/>
        </w:rPr>
        <w:t xml:space="preserve"> </w:t>
      </w:r>
      <w:r w:rsidRPr="005C240B">
        <w:rPr>
          <w:rFonts w:ascii="Times New Roman" w:hAnsi="Times New Roman"/>
          <w:sz w:val="22"/>
          <w:szCs w:val="22"/>
        </w:rPr>
        <w:t xml:space="preserve">reducing </w:t>
      </w:r>
      <w:r w:rsidR="00FF32C0">
        <w:rPr>
          <w:rFonts w:ascii="Times New Roman" w:hAnsi="Times New Roman"/>
          <w:sz w:val="22"/>
          <w:szCs w:val="22"/>
        </w:rPr>
        <w:t xml:space="preserve">further </w:t>
      </w:r>
      <w:r w:rsidRPr="005C240B">
        <w:rPr>
          <w:rFonts w:ascii="Times New Roman" w:hAnsi="Times New Roman"/>
          <w:sz w:val="22"/>
          <w:szCs w:val="22"/>
        </w:rPr>
        <w:t>the impact of noise on the community. Truck manufacturers, in conjunction with Federal and State Go</w:t>
      </w:r>
      <w:r w:rsidR="00AA7C78">
        <w:rPr>
          <w:rFonts w:ascii="Times New Roman" w:hAnsi="Times New Roman"/>
          <w:sz w:val="22"/>
          <w:szCs w:val="22"/>
        </w:rPr>
        <w:t>vernments have, over the past 20</w:t>
      </w:r>
      <w:r w:rsidRPr="005C240B">
        <w:rPr>
          <w:rFonts w:ascii="Times New Roman" w:hAnsi="Times New Roman"/>
          <w:sz w:val="22"/>
          <w:szCs w:val="22"/>
        </w:rPr>
        <w:t xml:space="preserve"> years </w:t>
      </w:r>
      <w:r w:rsidR="0004047C">
        <w:rPr>
          <w:rFonts w:ascii="Times New Roman" w:hAnsi="Times New Roman"/>
          <w:sz w:val="22"/>
          <w:szCs w:val="22"/>
        </w:rPr>
        <w:t>implemented</w:t>
      </w:r>
      <w:r w:rsidRPr="005C240B">
        <w:rPr>
          <w:rFonts w:ascii="Times New Roman" w:hAnsi="Times New Roman"/>
          <w:sz w:val="22"/>
          <w:szCs w:val="22"/>
        </w:rPr>
        <w:t xml:space="preserve"> a program of reducing both exhaust emission levels and noise levels. </w:t>
      </w:r>
      <w:r w:rsidR="00341039">
        <w:rPr>
          <w:rFonts w:ascii="Times New Roman" w:hAnsi="Times New Roman"/>
          <w:sz w:val="22"/>
          <w:szCs w:val="22"/>
        </w:rPr>
        <w:t xml:space="preserve"> </w:t>
      </w:r>
      <w:r w:rsidRPr="005C240B">
        <w:rPr>
          <w:rFonts w:ascii="Times New Roman" w:hAnsi="Times New Roman"/>
          <w:sz w:val="22"/>
          <w:szCs w:val="22"/>
        </w:rPr>
        <w:t xml:space="preserve">The </w:t>
      </w:r>
      <w:r w:rsidR="009C6B96">
        <w:rPr>
          <w:rFonts w:ascii="Times New Roman" w:hAnsi="Times New Roman"/>
          <w:sz w:val="22"/>
          <w:szCs w:val="22"/>
        </w:rPr>
        <w:t>below</w:t>
      </w:r>
      <w:r w:rsidRPr="005C240B">
        <w:rPr>
          <w:rFonts w:ascii="Times New Roman" w:hAnsi="Times New Roman"/>
          <w:sz w:val="22"/>
          <w:szCs w:val="22"/>
        </w:rPr>
        <w:t xml:space="preserve"> table shows the improvement made in reducing exhaust emissions since </w:t>
      </w:r>
      <w:r w:rsidR="00B83A96" w:rsidRPr="00AA7C78">
        <w:rPr>
          <w:rFonts w:ascii="Times New Roman" w:hAnsi="Times New Roman"/>
          <w:sz w:val="22"/>
          <w:szCs w:val="22"/>
        </w:rPr>
        <w:t>1996</w:t>
      </w:r>
      <w:r w:rsidRPr="005C240B">
        <w:rPr>
          <w:rFonts w:ascii="Times New Roman" w:hAnsi="Times New Roman"/>
          <w:sz w:val="22"/>
          <w:szCs w:val="22"/>
        </w:rPr>
        <w:t xml:space="preserve">, </w:t>
      </w:r>
      <w:r w:rsidRPr="00490909">
        <w:rPr>
          <w:rFonts w:ascii="Times New Roman" w:hAnsi="Times New Roman"/>
          <w:color w:val="000000" w:themeColor="text1"/>
          <w:sz w:val="22"/>
          <w:szCs w:val="22"/>
        </w:rPr>
        <w:t xml:space="preserve">and the </w:t>
      </w:r>
      <w:r w:rsidR="00A7451C">
        <w:rPr>
          <w:rFonts w:ascii="Times New Roman" w:hAnsi="Times New Roman"/>
          <w:color w:val="000000" w:themeColor="text1"/>
          <w:sz w:val="22"/>
          <w:szCs w:val="22"/>
        </w:rPr>
        <w:t>current</w:t>
      </w:r>
      <w:r w:rsidRPr="00490909">
        <w:rPr>
          <w:rFonts w:ascii="Times New Roman" w:hAnsi="Times New Roman"/>
          <w:color w:val="000000" w:themeColor="text1"/>
          <w:sz w:val="22"/>
          <w:szCs w:val="22"/>
        </w:rPr>
        <w:t xml:space="preserve"> levels </w:t>
      </w:r>
      <w:r w:rsidR="00AA7C78">
        <w:rPr>
          <w:rFonts w:ascii="Times New Roman" w:hAnsi="Times New Roman"/>
          <w:color w:val="000000" w:themeColor="text1"/>
          <w:sz w:val="22"/>
          <w:szCs w:val="22"/>
        </w:rPr>
        <w:t xml:space="preserve">(ADR 80/03) </w:t>
      </w:r>
      <w:r w:rsidRPr="00490909">
        <w:rPr>
          <w:rFonts w:ascii="Times New Roman" w:hAnsi="Times New Roman"/>
          <w:color w:val="000000" w:themeColor="text1"/>
          <w:sz w:val="22"/>
          <w:szCs w:val="22"/>
        </w:rPr>
        <w:t>introduced in 2010</w:t>
      </w:r>
      <w:r w:rsidR="00341039">
        <w:rPr>
          <w:rFonts w:ascii="Times New Roman" w:hAnsi="Times New Roman"/>
          <w:color w:val="000000" w:themeColor="text1"/>
          <w:sz w:val="22"/>
          <w:szCs w:val="22"/>
        </w:rPr>
        <w:t>-</w:t>
      </w:r>
      <w:r w:rsidRPr="00490909">
        <w:rPr>
          <w:rFonts w:ascii="Times New Roman" w:hAnsi="Times New Roman"/>
          <w:color w:val="000000" w:themeColor="text1"/>
          <w:sz w:val="22"/>
          <w:szCs w:val="22"/>
        </w:rPr>
        <w:t>11</w:t>
      </w:r>
      <w:r w:rsidRPr="005C240B">
        <w:rPr>
          <w:rFonts w:ascii="Times New Roman" w:hAnsi="Times New Roman"/>
          <w:sz w:val="22"/>
          <w:szCs w:val="22"/>
        </w:rPr>
        <w:t>.</w:t>
      </w:r>
    </w:p>
    <w:p w14:paraId="3D86AD3B" w14:textId="77777777" w:rsidR="00AA7C78" w:rsidRDefault="00AA7C78" w:rsidP="008078EA">
      <w:pPr>
        <w:rPr>
          <w:rFonts w:ascii="Times New Roman" w:hAnsi="Times New Roman"/>
          <w:b/>
          <w:sz w:val="22"/>
          <w:szCs w:val="22"/>
        </w:rPr>
      </w:pPr>
    </w:p>
    <w:p w14:paraId="66EAF2AC" w14:textId="77777777" w:rsidR="008078EA" w:rsidRPr="005C240B" w:rsidRDefault="008078EA" w:rsidP="008078EA">
      <w:pPr>
        <w:rPr>
          <w:rFonts w:ascii="Times New Roman" w:hAnsi="Times New Roman"/>
          <w:b/>
          <w:sz w:val="22"/>
          <w:szCs w:val="22"/>
        </w:rPr>
      </w:pPr>
      <w:r w:rsidRPr="005C240B">
        <w:rPr>
          <w:rFonts w:ascii="Times New Roman" w:hAnsi="Times New Roman"/>
          <w:b/>
          <w:sz w:val="22"/>
          <w:szCs w:val="22"/>
        </w:rPr>
        <w:lastRenderedPageBreak/>
        <w:t xml:space="preserve">Table </w:t>
      </w:r>
      <w:r w:rsidR="00282A2E">
        <w:rPr>
          <w:rFonts w:ascii="Times New Roman" w:hAnsi="Times New Roman"/>
          <w:b/>
          <w:sz w:val="22"/>
          <w:szCs w:val="22"/>
        </w:rPr>
        <w:t>3</w:t>
      </w:r>
      <w:r w:rsidRPr="005C240B">
        <w:rPr>
          <w:rFonts w:ascii="Times New Roman" w:hAnsi="Times New Roman"/>
          <w:b/>
          <w:sz w:val="22"/>
          <w:szCs w:val="22"/>
        </w:rPr>
        <w:t xml:space="preserve"> - Reductions in Exhaust Emissions</w:t>
      </w:r>
    </w:p>
    <w:p w14:paraId="5E6C9B7B" w14:textId="77777777" w:rsidR="008078EA" w:rsidRPr="005C240B" w:rsidRDefault="008078EA" w:rsidP="008078EA">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1705"/>
      </w:tblGrid>
      <w:tr w:rsidR="008078EA" w:rsidRPr="002503F1" w14:paraId="2F7EDDB9" w14:textId="77777777" w:rsidTr="002503F1">
        <w:tc>
          <w:tcPr>
            <w:tcW w:w="1704" w:type="dxa"/>
            <w:shd w:val="clear" w:color="auto" w:fill="auto"/>
          </w:tcPr>
          <w:p w14:paraId="0795A636" w14:textId="77777777" w:rsidR="008078EA" w:rsidRPr="002503F1" w:rsidRDefault="008078EA" w:rsidP="002503F1">
            <w:pPr>
              <w:rPr>
                <w:rFonts w:ascii="Times New Roman" w:hAnsi="Times New Roman"/>
                <w:b/>
                <w:sz w:val="22"/>
                <w:szCs w:val="22"/>
              </w:rPr>
            </w:pPr>
            <w:r w:rsidRPr="002503F1">
              <w:rPr>
                <w:rFonts w:ascii="Times New Roman" w:hAnsi="Times New Roman"/>
                <w:b/>
                <w:sz w:val="22"/>
                <w:szCs w:val="22"/>
              </w:rPr>
              <w:t>YEAR</w:t>
            </w:r>
          </w:p>
        </w:tc>
        <w:tc>
          <w:tcPr>
            <w:tcW w:w="1704" w:type="dxa"/>
            <w:shd w:val="clear" w:color="auto" w:fill="auto"/>
          </w:tcPr>
          <w:p w14:paraId="13162802" w14:textId="77777777" w:rsidR="008078EA" w:rsidRPr="002503F1" w:rsidRDefault="008078EA" w:rsidP="002503F1">
            <w:pPr>
              <w:rPr>
                <w:rFonts w:ascii="Times New Roman" w:hAnsi="Times New Roman"/>
                <w:b/>
                <w:sz w:val="22"/>
                <w:szCs w:val="22"/>
              </w:rPr>
            </w:pPr>
            <w:r w:rsidRPr="002503F1">
              <w:rPr>
                <w:rFonts w:ascii="Times New Roman" w:hAnsi="Times New Roman"/>
                <w:b/>
                <w:sz w:val="22"/>
                <w:szCs w:val="22"/>
              </w:rPr>
              <w:t>ADR</w:t>
            </w:r>
          </w:p>
        </w:tc>
        <w:tc>
          <w:tcPr>
            <w:tcW w:w="1704" w:type="dxa"/>
            <w:shd w:val="clear" w:color="auto" w:fill="auto"/>
          </w:tcPr>
          <w:p w14:paraId="540985A7" w14:textId="77777777" w:rsidR="008078EA" w:rsidRPr="002503F1" w:rsidRDefault="008078EA" w:rsidP="002503F1">
            <w:pPr>
              <w:rPr>
                <w:rFonts w:ascii="Times New Roman" w:hAnsi="Times New Roman"/>
                <w:b/>
                <w:sz w:val="22"/>
                <w:szCs w:val="22"/>
              </w:rPr>
            </w:pPr>
            <w:r w:rsidRPr="002503F1">
              <w:rPr>
                <w:rFonts w:ascii="Times New Roman" w:hAnsi="Times New Roman"/>
                <w:b/>
                <w:sz w:val="22"/>
                <w:szCs w:val="22"/>
              </w:rPr>
              <w:t>PM</w:t>
            </w:r>
          </w:p>
        </w:tc>
        <w:tc>
          <w:tcPr>
            <w:tcW w:w="1705" w:type="dxa"/>
            <w:shd w:val="clear" w:color="auto" w:fill="auto"/>
          </w:tcPr>
          <w:p w14:paraId="0C5948F7" w14:textId="77777777" w:rsidR="008078EA" w:rsidRPr="002503F1" w:rsidRDefault="008078EA" w:rsidP="002503F1">
            <w:pPr>
              <w:rPr>
                <w:rFonts w:ascii="Times New Roman" w:hAnsi="Times New Roman"/>
                <w:b/>
                <w:sz w:val="22"/>
                <w:szCs w:val="22"/>
              </w:rPr>
            </w:pPr>
            <w:r w:rsidRPr="002503F1">
              <w:rPr>
                <w:rFonts w:ascii="Times New Roman" w:hAnsi="Times New Roman"/>
                <w:b/>
                <w:sz w:val="22"/>
                <w:szCs w:val="22"/>
              </w:rPr>
              <w:t>NOx</w:t>
            </w:r>
          </w:p>
        </w:tc>
        <w:tc>
          <w:tcPr>
            <w:tcW w:w="1705" w:type="dxa"/>
            <w:shd w:val="clear" w:color="auto" w:fill="auto"/>
          </w:tcPr>
          <w:p w14:paraId="5850D16B" w14:textId="77777777" w:rsidR="008078EA" w:rsidRPr="002503F1" w:rsidRDefault="008078EA" w:rsidP="002503F1">
            <w:pPr>
              <w:rPr>
                <w:rFonts w:ascii="Times New Roman" w:hAnsi="Times New Roman"/>
                <w:b/>
                <w:sz w:val="22"/>
                <w:szCs w:val="22"/>
              </w:rPr>
            </w:pPr>
            <w:r w:rsidRPr="002503F1">
              <w:rPr>
                <w:rFonts w:ascii="Times New Roman" w:hAnsi="Times New Roman"/>
                <w:b/>
                <w:sz w:val="22"/>
                <w:szCs w:val="22"/>
              </w:rPr>
              <w:t>CO</w:t>
            </w:r>
          </w:p>
        </w:tc>
      </w:tr>
      <w:tr w:rsidR="008078EA" w:rsidRPr="002503F1" w14:paraId="31B54DA5" w14:textId="77777777" w:rsidTr="002503F1">
        <w:tc>
          <w:tcPr>
            <w:tcW w:w="1704" w:type="dxa"/>
            <w:shd w:val="clear" w:color="auto" w:fill="auto"/>
          </w:tcPr>
          <w:p w14:paraId="310CD29B" w14:textId="0DD8450B" w:rsidR="008078EA" w:rsidRPr="00AA7C78" w:rsidRDefault="00AA7C78" w:rsidP="002503F1">
            <w:pPr>
              <w:rPr>
                <w:rFonts w:ascii="Times New Roman" w:hAnsi="Times New Roman"/>
                <w:sz w:val="22"/>
                <w:szCs w:val="22"/>
              </w:rPr>
            </w:pPr>
            <w:r w:rsidRPr="00AA7C78">
              <w:rPr>
                <w:rFonts w:ascii="Times New Roman" w:hAnsi="Times New Roman"/>
                <w:sz w:val="22"/>
                <w:szCs w:val="22"/>
              </w:rPr>
              <w:t>Pre</w:t>
            </w:r>
            <w:r w:rsidR="00BE40FD" w:rsidRPr="00AA7C78">
              <w:rPr>
                <w:rFonts w:ascii="Times New Roman" w:hAnsi="Times New Roman"/>
                <w:sz w:val="22"/>
                <w:szCs w:val="22"/>
              </w:rPr>
              <w:t xml:space="preserve"> 1996</w:t>
            </w:r>
          </w:p>
        </w:tc>
        <w:tc>
          <w:tcPr>
            <w:tcW w:w="1704" w:type="dxa"/>
            <w:shd w:val="clear" w:color="auto" w:fill="auto"/>
          </w:tcPr>
          <w:p w14:paraId="53F85A53"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n/a</w:t>
            </w:r>
          </w:p>
        </w:tc>
        <w:tc>
          <w:tcPr>
            <w:tcW w:w="1704" w:type="dxa"/>
            <w:shd w:val="clear" w:color="auto" w:fill="auto"/>
          </w:tcPr>
          <w:p w14:paraId="79AE1012"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1.0</w:t>
            </w:r>
          </w:p>
        </w:tc>
        <w:tc>
          <w:tcPr>
            <w:tcW w:w="1705" w:type="dxa"/>
            <w:shd w:val="clear" w:color="auto" w:fill="auto"/>
          </w:tcPr>
          <w:p w14:paraId="25AB6E4A"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14.5</w:t>
            </w:r>
          </w:p>
        </w:tc>
        <w:tc>
          <w:tcPr>
            <w:tcW w:w="1705" w:type="dxa"/>
            <w:shd w:val="clear" w:color="auto" w:fill="auto"/>
          </w:tcPr>
          <w:p w14:paraId="3CB2C827"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7.0</w:t>
            </w:r>
          </w:p>
        </w:tc>
      </w:tr>
      <w:tr w:rsidR="008078EA" w:rsidRPr="002503F1" w14:paraId="665498F4" w14:textId="77777777" w:rsidTr="002503F1">
        <w:tc>
          <w:tcPr>
            <w:tcW w:w="1704" w:type="dxa"/>
            <w:shd w:val="clear" w:color="auto" w:fill="auto"/>
          </w:tcPr>
          <w:p w14:paraId="137085BD" w14:textId="77777777" w:rsidR="008078EA" w:rsidRPr="00AA7C78" w:rsidRDefault="00BE40FD" w:rsidP="002503F1">
            <w:pPr>
              <w:rPr>
                <w:rFonts w:ascii="Times New Roman" w:hAnsi="Times New Roman"/>
                <w:sz w:val="22"/>
                <w:szCs w:val="22"/>
              </w:rPr>
            </w:pPr>
            <w:r w:rsidRPr="00AA7C78">
              <w:rPr>
                <w:rFonts w:ascii="Times New Roman" w:hAnsi="Times New Roman"/>
                <w:sz w:val="22"/>
                <w:szCs w:val="22"/>
              </w:rPr>
              <w:t>1996 – Pre 2003</w:t>
            </w:r>
          </w:p>
        </w:tc>
        <w:tc>
          <w:tcPr>
            <w:tcW w:w="1704" w:type="dxa"/>
            <w:shd w:val="clear" w:color="auto" w:fill="auto"/>
          </w:tcPr>
          <w:p w14:paraId="5EC7727C"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ADR 70/00</w:t>
            </w:r>
          </w:p>
        </w:tc>
        <w:tc>
          <w:tcPr>
            <w:tcW w:w="1704" w:type="dxa"/>
            <w:shd w:val="clear" w:color="auto" w:fill="auto"/>
          </w:tcPr>
          <w:p w14:paraId="247FDC2F"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0.4</w:t>
            </w:r>
          </w:p>
        </w:tc>
        <w:tc>
          <w:tcPr>
            <w:tcW w:w="1705" w:type="dxa"/>
            <w:shd w:val="clear" w:color="auto" w:fill="auto"/>
          </w:tcPr>
          <w:p w14:paraId="582EC872"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7.6</w:t>
            </w:r>
          </w:p>
        </w:tc>
        <w:tc>
          <w:tcPr>
            <w:tcW w:w="1705" w:type="dxa"/>
            <w:shd w:val="clear" w:color="auto" w:fill="auto"/>
          </w:tcPr>
          <w:p w14:paraId="15CCA14C"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4.5</w:t>
            </w:r>
          </w:p>
        </w:tc>
      </w:tr>
      <w:tr w:rsidR="008078EA" w:rsidRPr="002503F1" w14:paraId="1A1A2883" w14:textId="77777777" w:rsidTr="002503F1">
        <w:tc>
          <w:tcPr>
            <w:tcW w:w="1704" w:type="dxa"/>
            <w:shd w:val="clear" w:color="auto" w:fill="auto"/>
          </w:tcPr>
          <w:p w14:paraId="567CB942" w14:textId="77777777" w:rsidR="008078EA" w:rsidRPr="00AA7C78" w:rsidRDefault="00A3405D">
            <w:pPr>
              <w:rPr>
                <w:rFonts w:ascii="Times New Roman" w:hAnsi="Times New Roman"/>
                <w:sz w:val="22"/>
                <w:szCs w:val="22"/>
              </w:rPr>
            </w:pPr>
            <w:r w:rsidRPr="00AA7C78">
              <w:rPr>
                <w:rFonts w:ascii="Times New Roman" w:hAnsi="Times New Roman"/>
                <w:sz w:val="22"/>
                <w:szCs w:val="22"/>
              </w:rPr>
              <w:t>2003</w:t>
            </w:r>
            <w:r w:rsidR="00BE40FD" w:rsidRPr="00AA7C78">
              <w:rPr>
                <w:rFonts w:ascii="Times New Roman" w:hAnsi="Times New Roman"/>
                <w:sz w:val="22"/>
                <w:szCs w:val="22"/>
              </w:rPr>
              <w:t xml:space="preserve"> – Pre 2008</w:t>
            </w:r>
          </w:p>
        </w:tc>
        <w:tc>
          <w:tcPr>
            <w:tcW w:w="1704" w:type="dxa"/>
            <w:shd w:val="clear" w:color="auto" w:fill="auto"/>
          </w:tcPr>
          <w:p w14:paraId="09DBF30B"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ADR 80/00</w:t>
            </w:r>
          </w:p>
        </w:tc>
        <w:tc>
          <w:tcPr>
            <w:tcW w:w="1704" w:type="dxa"/>
            <w:shd w:val="clear" w:color="auto" w:fill="auto"/>
          </w:tcPr>
          <w:p w14:paraId="5607AD35"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0.1</w:t>
            </w:r>
          </w:p>
        </w:tc>
        <w:tc>
          <w:tcPr>
            <w:tcW w:w="1705" w:type="dxa"/>
            <w:shd w:val="clear" w:color="auto" w:fill="auto"/>
          </w:tcPr>
          <w:p w14:paraId="7F8CBDA4"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5.0</w:t>
            </w:r>
          </w:p>
        </w:tc>
        <w:tc>
          <w:tcPr>
            <w:tcW w:w="1705" w:type="dxa"/>
            <w:shd w:val="clear" w:color="auto" w:fill="auto"/>
          </w:tcPr>
          <w:p w14:paraId="5554324A"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2.0</w:t>
            </w:r>
          </w:p>
        </w:tc>
      </w:tr>
      <w:tr w:rsidR="008078EA" w:rsidRPr="002503F1" w14:paraId="366960F0" w14:textId="77777777" w:rsidTr="002503F1">
        <w:tc>
          <w:tcPr>
            <w:tcW w:w="1704" w:type="dxa"/>
            <w:shd w:val="clear" w:color="auto" w:fill="auto"/>
          </w:tcPr>
          <w:p w14:paraId="7890E514" w14:textId="77777777" w:rsidR="008078EA" w:rsidRPr="00AA7C78" w:rsidRDefault="00A3405D">
            <w:pPr>
              <w:rPr>
                <w:rFonts w:ascii="Times New Roman" w:hAnsi="Times New Roman"/>
                <w:sz w:val="22"/>
                <w:szCs w:val="22"/>
              </w:rPr>
            </w:pPr>
            <w:r w:rsidRPr="00AA7C78">
              <w:rPr>
                <w:rFonts w:ascii="Times New Roman" w:hAnsi="Times New Roman"/>
                <w:sz w:val="22"/>
                <w:szCs w:val="22"/>
              </w:rPr>
              <w:t>200</w:t>
            </w:r>
            <w:r w:rsidR="00BE40FD" w:rsidRPr="00AA7C78">
              <w:rPr>
                <w:rFonts w:ascii="Times New Roman" w:hAnsi="Times New Roman"/>
                <w:sz w:val="22"/>
                <w:szCs w:val="22"/>
              </w:rPr>
              <w:t>8 – Pre 2011</w:t>
            </w:r>
          </w:p>
        </w:tc>
        <w:tc>
          <w:tcPr>
            <w:tcW w:w="1704" w:type="dxa"/>
            <w:shd w:val="clear" w:color="auto" w:fill="auto"/>
          </w:tcPr>
          <w:p w14:paraId="69B13902"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ADR 80/02</w:t>
            </w:r>
          </w:p>
        </w:tc>
        <w:tc>
          <w:tcPr>
            <w:tcW w:w="1704" w:type="dxa"/>
            <w:shd w:val="clear" w:color="auto" w:fill="auto"/>
          </w:tcPr>
          <w:p w14:paraId="4EE4EE99"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0.02</w:t>
            </w:r>
          </w:p>
        </w:tc>
        <w:tc>
          <w:tcPr>
            <w:tcW w:w="1705" w:type="dxa"/>
            <w:shd w:val="clear" w:color="auto" w:fill="auto"/>
          </w:tcPr>
          <w:p w14:paraId="3FA23A80"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3.5</w:t>
            </w:r>
          </w:p>
        </w:tc>
        <w:tc>
          <w:tcPr>
            <w:tcW w:w="1705" w:type="dxa"/>
            <w:shd w:val="clear" w:color="auto" w:fill="auto"/>
          </w:tcPr>
          <w:p w14:paraId="4DAB0EF3"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1.6</w:t>
            </w:r>
          </w:p>
        </w:tc>
      </w:tr>
      <w:tr w:rsidR="008078EA" w:rsidRPr="002503F1" w14:paraId="0F4B834F" w14:textId="77777777" w:rsidTr="002503F1">
        <w:tc>
          <w:tcPr>
            <w:tcW w:w="1704" w:type="dxa"/>
            <w:shd w:val="clear" w:color="auto" w:fill="auto"/>
          </w:tcPr>
          <w:p w14:paraId="03B896CE" w14:textId="77777777" w:rsidR="008078EA" w:rsidRPr="00AA7C78" w:rsidRDefault="00BE40FD" w:rsidP="002503F1">
            <w:pPr>
              <w:rPr>
                <w:rFonts w:ascii="Times New Roman" w:hAnsi="Times New Roman"/>
                <w:sz w:val="22"/>
                <w:szCs w:val="22"/>
              </w:rPr>
            </w:pPr>
            <w:r w:rsidRPr="00AA7C78">
              <w:rPr>
                <w:rFonts w:ascii="Times New Roman" w:hAnsi="Times New Roman"/>
                <w:sz w:val="22"/>
                <w:szCs w:val="22"/>
              </w:rPr>
              <w:t>20</w:t>
            </w:r>
            <w:r w:rsidR="00A3405D" w:rsidRPr="00AA7C78">
              <w:rPr>
                <w:rFonts w:ascii="Times New Roman" w:hAnsi="Times New Roman"/>
                <w:sz w:val="22"/>
                <w:szCs w:val="22"/>
              </w:rPr>
              <w:t>11</w:t>
            </w:r>
            <w:r w:rsidRPr="00AA7C78">
              <w:rPr>
                <w:rFonts w:ascii="Times New Roman" w:hAnsi="Times New Roman"/>
                <w:sz w:val="22"/>
                <w:szCs w:val="22"/>
              </w:rPr>
              <w:t xml:space="preserve"> - </w:t>
            </w:r>
          </w:p>
        </w:tc>
        <w:tc>
          <w:tcPr>
            <w:tcW w:w="1704" w:type="dxa"/>
            <w:shd w:val="clear" w:color="auto" w:fill="auto"/>
          </w:tcPr>
          <w:p w14:paraId="5B7E187A"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ADR 80/03</w:t>
            </w:r>
          </w:p>
        </w:tc>
        <w:tc>
          <w:tcPr>
            <w:tcW w:w="1704" w:type="dxa"/>
            <w:shd w:val="clear" w:color="auto" w:fill="auto"/>
          </w:tcPr>
          <w:p w14:paraId="0F7DF0A4"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0.02</w:t>
            </w:r>
          </w:p>
        </w:tc>
        <w:tc>
          <w:tcPr>
            <w:tcW w:w="1705" w:type="dxa"/>
            <w:shd w:val="clear" w:color="auto" w:fill="auto"/>
          </w:tcPr>
          <w:p w14:paraId="6D8581C4"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2.0</w:t>
            </w:r>
          </w:p>
        </w:tc>
        <w:tc>
          <w:tcPr>
            <w:tcW w:w="1705" w:type="dxa"/>
            <w:shd w:val="clear" w:color="auto" w:fill="auto"/>
          </w:tcPr>
          <w:p w14:paraId="35D03344" w14:textId="77777777" w:rsidR="008078EA" w:rsidRPr="002503F1" w:rsidRDefault="008078EA" w:rsidP="002503F1">
            <w:pPr>
              <w:rPr>
                <w:rFonts w:ascii="Times New Roman" w:hAnsi="Times New Roman"/>
                <w:sz w:val="22"/>
                <w:szCs w:val="22"/>
              </w:rPr>
            </w:pPr>
            <w:r w:rsidRPr="002503F1">
              <w:rPr>
                <w:rFonts w:ascii="Times New Roman" w:hAnsi="Times New Roman"/>
                <w:sz w:val="22"/>
                <w:szCs w:val="22"/>
              </w:rPr>
              <w:t>1.6</w:t>
            </w:r>
          </w:p>
        </w:tc>
      </w:tr>
    </w:tbl>
    <w:p w14:paraId="5EF92BBD" w14:textId="77777777" w:rsidR="008078EA" w:rsidRPr="005C240B" w:rsidRDefault="008078EA" w:rsidP="008078EA">
      <w:pPr>
        <w:rPr>
          <w:rFonts w:ascii="Times New Roman" w:hAnsi="Times New Roman"/>
          <w:sz w:val="22"/>
          <w:szCs w:val="22"/>
        </w:rPr>
      </w:pPr>
    </w:p>
    <w:p w14:paraId="180FDACA" w14:textId="77777777" w:rsidR="008078EA" w:rsidRDefault="008078EA" w:rsidP="008078EA">
      <w:pPr>
        <w:rPr>
          <w:rFonts w:ascii="Times New Roman" w:hAnsi="Times New Roman"/>
          <w:i/>
          <w:sz w:val="16"/>
          <w:szCs w:val="16"/>
        </w:rPr>
      </w:pPr>
      <w:r w:rsidRPr="00343CB3">
        <w:rPr>
          <w:rFonts w:ascii="Times New Roman" w:hAnsi="Times New Roman"/>
          <w:i/>
          <w:sz w:val="16"/>
          <w:szCs w:val="16"/>
        </w:rPr>
        <w:t>The above table shows the exhaust emission levels in g/k</w:t>
      </w:r>
      <w:r w:rsidR="00A3405D">
        <w:rPr>
          <w:rFonts w:ascii="Times New Roman" w:hAnsi="Times New Roman"/>
          <w:i/>
          <w:sz w:val="16"/>
          <w:szCs w:val="16"/>
        </w:rPr>
        <w:t>W</w:t>
      </w:r>
      <w:r w:rsidRPr="00343CB3">
        <w:rPr>
          <w:rFonts w:ascii="Times New Roman" w:hAnsi="Times New Roman"/>
          <w:i/>
          <w:sz w:val="16"/>
          <w:szCs w:val="16"/>
        </w:rPr>
        <w:t>h (grams per kilow</w:t>
      </w:r>
      <w:r w:rsidR="00BE40FD">
        <w:rPr>
          <w:rFonts w:ascii="Times New Roman" w:hAnsi="Times New Roman"/>
          <w:i/>
          <w:sz w:val="16"/>
          <w:szCs w:val="16"/>
        </w:rPr>
        <w:t xml:space="preserve">att hour). The data for pre </w:t>
      </w:r>
      <w:r w:rsidR="00BE40FD" w:rsidRPr="00AA7C78">
        <w:rPr>
          <w:rFonts w:ascii="Times New Roman" w:hAnsi="Times New Roman"/>
          <w:i/>
          <w:sz w:val="16"/>
          <w:szCs w:val="16"/>
        </w:rPr>
        <w:t>1996</w:t>
      </w:r>
      <w:r w:rsidRPr="00AA7C78">
        <w:rPr>
          <w:rFonts w:ascii="Times New Roman" w:hAnsi="Times New Roman"/>
          <w:i/>
          <w:sz w:val="16"/>
          <w:szCs w:val="16"/>
        </w:rPr>
        <w:t xml:space="preserve"> </w:t>
      </w:r>
      <w:r w:rsidRPr="00343CB3">
        <w:rPr>
          <w:rFonts w:ascii="Times New Roman" w:hAnsi="Times New Roman"/>
          <w:i/>
          <w:sz w:val="16"/>
          <w:szCs w:val="16"/>
        </w:rPr>
        <w:t>vehicles is an average, and in many cases would be much higher.</w:t>
      </w:r>
      <w:r w:rsidR="00A3405D">
        <w:rPr>
          <w:rFonts w:ascii="Times New Roman" w:hAnsi="Times New Roman"/>
          <w:i/>
          <w:sz w:val="16"/>
          <w:szCs w:val="16"/>
        </w:rPr>
        <w:t xml:space="preserve">  The </w:t>
      </w:r>
      <w:r w:rsidR="009C6B96">
        <w:rPr>
          <w:rFonts w:ascii="Times New Roman" w:hAnsi="Times New Roman"/>
          <w:i/>
          <w:sz w:val="16"/>
          <w:szCs w:val="16"/>
        </w:rPr>
        <w:t xml:space="preserve">data for other years </w:t>
      </w:r>
      <w:r w:rsidR="00A3405D">
        <w:rPr>
          <w:rFonts w:ascii="Times New Roman" w:hAnsi="Times New Roman"/>
          <w:i/>
          <w:sz w:val="16"/>
          <w:szCs w:val="16"/>
        </w:rPr>
        <w:t>assumes that the engine is built to the applicable “EURO” standard</w:t>
      </w:r>
      <w:r w:rsidR="00A3405D" w:rsidRPr="00ED4AB7">
        <w:rPr>
          <w:rFonts w:ascii="Times New Roman" w:hAnsi="Times New Roman"/>
          <w:i/>
          <w:sz w:val="16"/>
          <w:szCs w:val="16"/>
        </w:rPr>
        <w:t>, and not one of the acceptable equivalent standards from the USA or Japan.</w:t>
      </w:r>
    </w:p>
    <w:p w14:paraId="1242B055" w14:textId="77777777" w:rsidR="00852DCF" w:rsidRPr="00343CB3" w:rsidRDefault="00852DCF" w:rsidP="008078EA">
      <w:pPr>
        <w:rPr>
          <w:rFonts w:ascii="Times New Roman" w:hAnsi="Times New Roman"/>
          <w:i/>
          <w:sz w:val="16"/>
          <w:szCs w:val="16"/>
        </w:rPr>
      </w:pPr>
    </w:p>
    <w:p w14:paraId="6B7C9B08" w14:textId="4C62E21C" w:rsidR="00185466" w:rsidRPr="00185466" w:rsidRDefault="008078EA" w:rsidP="008078EA">
      <w:pPr>
        <w:rPr>
          <w:rFonts w:ascii="Times New Roman" w:hAnsi="Times New Roman"/>
          <w:sz w:val="22"/>
          <w:szCs w:val="22"/>
        </w:rPr>
      </w:pPr>
      <w:r w:rsidRPr="00F21410">
        <w:rPr>
          <w:rFonts w:ascii="Times New Roman" w:hAnsi="Times New Roman"/>
          <w:sz w:val="22"/>
          <w:szCs w:val="22"/>
        </w:rPr>
        <w:t xml:space="preserve">Whilst the above improvements are significant </w:t>
      </w:r>
      <w:r w:rsidRPr="00BE40FD">
        <w:rPr>
          <w:rFonts w:ascii="Times New Roman" w:hAnsi="Times New Roman"/>
          <w:sz w:val="22"/>
          <w:szCs w:val="22"/>
        </w:rPr>
        <w:t xml:space="preserve">(it would take </w:t>
      </w:r>
      <w:r w:rsidR="009C6B96" w:rsidRPr="00BE40FD">
        <w:rPr>
          <w:rFonts w:ascii="Times New Roman" w:hAnsi="Times New Roman"/>
          <w:sz w:val="22"/>
          <w:szCs w:val="22"/>
        </w:rPr>
        <w:t>SIXTY</w:t>
      </w:r>
      <w:r w:rsidR="00A3405D" w:rsidRPr="00BE40FD">
        <w:rPr>
          <w:rFonts w:ascii="Times New Roman" w:hAnsi="Times New Roman"/>
          <w:sz w:val="22"/>
          <w:szCs w:val="22"/>
        </w:rPr>
        <w:t xml:space="preserve"> </w:t>
      </w:r>
      <w:r w:rsidRPr="00BE40FD">
        <w:rPr>
          <w:rFonts w:ascii="Times New Roman" w:hAnsi="Times New Roman"/>
          <w:sz w:val="22"/>
          <w:szCs w:val="22"/>
        </w:rPr>
        <w:t xml:space="preserve">of today’s trucks to emit the </w:t>
      </w:r>
      <w:r w:rsidR="00A3405D" w:rsidRPr="00BE40FD">
        <w:rPr>
          <w:rFonts w:ascii="Times New Roman" w:hAnsi="Times New Roman"/>
          <w:sz w:val="22"/>
          <w:szCs w:val="22"/>
        </w:rPr>
        <w:t xml:space="preserve">PM </w:t>
      </w:r>
      <w:r w:rsidR="00A7451C" w:rsidRPr="00185466">
        <w:rPr>
          <w:rFonts w:ascii="Times New Roman" w:hAnsi="Times New Roman"/>
          <w:sz w:val="22"/>
          <w:szCs w:val="22"/>
        </w:rPr>
        <w:t>emissions of ONE pre 1996</w:t>
      </w:r>
      <w:r w:rsidRPr="00185466">
        <w:rPr>
          <w:rFonts w:ascii="Times New Roman" w:hAnsi="Times New Roman"/>
          <w:sz w:val="22"/>
          <w:szCs w:val="22"/>
        </w:rPr>
        <w:t xml:space="preserve"> truck) Australia has not achieved </w:t>
      </w:r>
      <w:r w:rsidR="00185466" w:rsidRPr="00185466">
        <w:rPr>
          <w:rFonts w:ascii="Times New Roman" w:hAnsi="Times New Roman"/>
          <w:sz w:val="22"/>
          <w:szCs w:val="22"/>
        </w:rPr>
        <w:t>the emission reductions that were forecasted by Government due to the poor take up of new trucks by Australian operators, with almost 45 per cent of the truck fleet meeting no or elementary engine exhaust emission standards.</w:t>
      </w:r>
    </w:p>
    <w:p w14:paraId="00C81E78" w14:textId="77777777" w:rsidR="005643CA" w:rsidRDefault="005643CA" w:rsidP="008078EA">
      <w:pPr>
        <w:rPr>
          <w:rFonts w:ascii="Times New Roman" w:hAnsi="Times New Roman"/>
          <w:sz w:val="22"/>
          <w:szCs w:val="22"/>
        </w:rPr>
      </w:pPr>
    </w:p>
    <w:p w14:paraId="1845917A" w14:textId="77777777" w:rsidR="005643CA" w:rsidRPr="005C240B" w:rsidRDefault="005643CA" w:rsidP="005643CA">
      <w:pPr>
        <w:rPr>
          <w:rFonts w:ascii="Times New Roman" w:hAnsi="Times New Roman"/>
          <w:sz w:val="22"/>
          <w:szCs w:val="22"/>
        </w:rPr>
      </w:pPr>
      <w:r w:rsidRPr="005C240B">
        <w:rPr>
          <w:rFonts w:ascii="Times New Roman" w:hAnsi="Times New Roman"/>
          <w:sz w:val="22"/>
          <w:szCs w:val="22"/>
        </w:rPr>
        <w:t xml:space="preserve">Research suggests a link between common air pollutants and adverse health impacts on human beings. The manifestations of these health effects take the form of mild respiratory difficulties through to the onset of chronic asthma, increased susceptibility to infections, impaired lung function, cardiovascular conditions, loss in the quality of life (morbidity) and premature death (mortality). People with existing asthma are prone to the worsening of their condition. Further, statistics support </w:t>
      </w:r>
      <w:r>
        <w:rPr>
          <w:rFonts w:ascii="Times New Roman" w:hAnsi="Times New Roman"/>
          <w:sz w:val="22"/>
          <w:szCs w:val="22"/>
        </w:rPr>
        <w:t xml:space="preserve">the claim </w:t>
      </w:r>
      <w:r w:rsidRPr="005C240B">
        <w:rPr>
          <w:rFonts w:ascii="Times New Roman" w:hAnsi="Times New Roman"/>
          <w:sz w:val="22"/>
          <w:szCs w:val="22"/>
        </w:rPr>
        <w:t xml:space="preserve">that the adverse effects of air pollutants result in increased hospital admissions, school and kindergarten absences and the increased use of asthma medications. All age profiles are represented in the cohort of people affected </w:t>
      </w:r>
      <w:r>
        <w:rPr>
          <w:rFonts w:ascii="Times New Roman" w:hAnsi="Times New Roman"/>
          <w:sz w:val="22"/>
          <w:szCs w:val="22"/>
        </w:rPr>
        <w:t xml:space="preserve">but </w:t>
      </w:r>
      <w:r w:rsidRPr="005C240B">
        <w:rPr>
          <w:rFonts w:ascii="Times New Roman" w:hAnsi="Times New Roman"/>
          <w:sz w:val="22"/>
          <w:szCs w:val="22"/>
        </w:rPr>
        <w:t>in particular children and the elderly</w:t>
      </w:r>
      <w:r>
        <w:rPr>
          <w:rFonts w:ascii="Times New Roman" w:hAnsi="Times New Roman"/>
          <w:sz w:val="22"/>
          <w:szCs w:val="22"/>
        </w:rPr>
        <w:t xml:space="preserve"> are more prone</w:t>
      </w:r>
      <w:r w:rsidRPr="005C240B">
        <w:rPr>
          <w:rFonts w:ascii="Times New Roman" w:hAnsi="Times New Roman"/>
          <w:sz w:val="22"/>
          <w:szCs w:val="22"/>
        </w:rPr>
        <w:t>.</w:t>
      </w:r>
    </w:p>
    <w:p w14:paraId="3FEAAB6C" w14:textId="77777777" w:rsidR="005643CA" w:rsidRPr="005C240B" w:rsidRDefault="005643CA" w:rsidP="005643CA">
      <w:pPr>
        <w:rPr>
          <w:rFonts w:ascii="Times New Roman" w:hAnsi="Times New Roman"/>
          <w:sz w:val="22"/>
          <w:szCs w:val="22"/>
        </w:rPr>
      </w:pPr>
    </w:p>
    <w:p w14:paraId="28BF12C2" w14:textId="7333C8A3" w:rsidR="005643CA" w:rsidRDefault="005643CA" w:rsidP="005643CA">
      <w:pPr>
        <w:rPr>
          <w:rFonts w:ascii="Times New Roman" w:hAnsi="Times New Roman"/>
          <w:sz w:val="22"/>
          <w:szCs w:val="22"/>
        </w:rPr>
      </w:pPr>
      <w:r w:rsidRPr="005C240B">
        <w:rPr>
          <w:rFonts w:ascii="Times New Roman" w:hAnsi="Times New Roman"/>
          <w:sz w:val="22"/>
          <w:szCs w:val="22"/>
        </w:rPr>
        <w:t>The existing literature shows that long term exposures have more adverse health effects and hence higher cost</w:t>
      </w:r>
      <w:r>
        <w:rPr>
          <w:rFonts w:ascii="Times New Roman" w:hAnsi="Times New Roman"/>
          <w:sz w:val="22"/>
          <w:szCs w:val="22"/>
        </w:rPr>
        <w:t xml:space="preserve"> implications for the community</w:t>
      </w:r>
      <w:r w:rsidRPr="005C240B">
        <w:rPr>
          <w:rFonts w:ascii="Times New Roman" w:hAnsi="Times New Roman"/>
          <w:sz w:val="22"/>
          <w:szCs w:val="22"/>
        </w:rPr>
        <w:t xml:space="preserve"> (BTRE 2005). </w:t>
      </w:r>
      <w:r w:rsidRPr="00581EFE">
        <w:rPr>
          <w:rFonts w:ascii="Times New Roman" w:hAnsi="Times New Roman"/>
          <w:sz w:val="22"/>
          <w:szCs w:val="22"/>
        </w:rPr>
        <w:t>In 2005, the Bureau of Transport and Regional Economics</w:t>
      </w:r>
      <w:r w:rsidRPr="00620789">
        <w:rPr>
          <w:rFonts w:ascii="Times New Roman" w:hAnsi="Times New Roman"/>
          <w:color w:val="FF0000"/>
          <w:sz w:val="22"/>
          <w:szCs w:val="22"/>
        </w:rPr>
        <w:t xml:space="preserve"> </w:t>
      </w:r>
      <w:r w:rsidRPr="005C240B">
        <w:rPr>
          <w:rFonts w:ascii="Times New Roman" w:hAnsi="Times New Roman"/>
          <w:sz w:val="22"/>
          <w:szCs w:val="22"/>
        </w:rPr>
        <w:t xml:space="preserve">reported that </w:t>
      </w:r>
      <w:r w:rsidRPr="00EC3376">
        <w:rPr>
          <w:rFonts w:ascii="Times New Roman" w:hAnsi="Times New Roman"/>
          <w:sz w:val="22"/>
          <w:szCs w:val="22"/>
        </w:rPr>
        <w:t xml:space="preserve">the cost of vehicle air pollution on life and illness was $2.7 Billion (central estimate). </w:t>
      </w:r>
      <w:r>
        <w:rPr>
          <w:rFonts w:ascii="Times New Roman" w:hAnsi="Times New Roman"/>
          <w:sz w:val="22"/>
          <w:szCs w:val="22"/>
        </w:rPr>
        <w:t xml:space="preserve"> </w:t>
      </w:r>
      <w:r w:rsidRPr="005C240B">
        <w:rPr>
          <w:rFonts w:ascii="Times New Roman" w:hAnsi="Times New Roman"/>
          <w:sz w:val="22"/>
          <w:szCs w:val="22"/>
        </w:rPr>
        <w:t>The Bureau released figures suggesting that in the year 2000 premature deaths from vehicle exhaust pollution were between 900 and 2000 people.  ‘Mo</w:t>
      </w:r>
      <w:r>
        <w:rPr>
          <w:rFonts w:ascii="Times New Roman" w:hAnsi="Times New Roman"/>
          <w:sz w:val="22"/>
          <w:szCs w:val="22"/>
        </w:rPr>
        <w:t>r</w:t>
      </w:r>
      <w:r w:rsidRPr="005C240B">
        <w:rPr>
          <w:rFonts w:ascii="Times New Roman" w:hAnsi="Times New Roman"/>
          <w:sz w:val="22"/>
          <w:szCs w:val="22"/>
        </w:rPr>
        <w:t>e than 85 per cent of these early deaths would have occu</w:t>
      </w:r>
      <w:r>
        <w:rPr>
          <w:rFonts w:ascii="Times New Roman" w:hAnsi="Times New Roman"/>
          <w:sz w:val="22"/>
          <w:szCs w:val="22"/>
        </w:rPr>
        <w:t>rred in the capital cities</w:t>
      </w:r>
      <w:r w:rsidRPr="005C240B">
        <w:rPr>
          <w:rFonts w:ascii="Times New Roman" w:hAnsi="Times New Roman"/>
          <w:sz w:val="22"/>
          <w:szCs w:val="22"/>
        </w:rPr>
        <w:t xml:space="preserve"> where over 80 per cent of Australians live’ (BTRE 2005). A further 900 to 4500 morbidity cases were estimated. The report also stated that vehicle exhaust emissions contributed between 1400 and 2000 asthma attacks in Australia each year.</w:t>
      </w:r>
      <w:r w:rsidR="00DD1863">
        <w:rPr>
          <w:rFonts w:ascii="Times New Roman" w:hAnsi="Times New Roman"/>
          <w:sz w:val="22"/>
          <w:szCs w:val="22"/>
        </w:rPr>
        <w:t xml:space="preserve"> A more recent study has not been commissioned by the Bureau at this stage.</w:t>
      </w:r>
      <w:r w:rsidRPr="005C240B">
        <w:rPr>
          <w:rFonts w:ascii="Times New Roman" w:hAnsi="Times New Roman"/>
          <w:sz w:val="22"/>
          <w:szCs w:val="22"/>
        </w:rPr>
        <w:t xml:space="preserve"> </w:t>
      </w:r>
      <w:r>
        <w:rPr>
          <w:rFonts w:ascii="Times New Roman" w:hAnsi="Times New Roman"/>
          <w:sz w:val="22"/>
          <w:szCs w:val="22"/>
        </w:rPr>
        <w:t xml:space="preserve"> </w:t>
      </w:r>
    </w:p>
    <w:p w14:paraId="453F6768" w14:textId="77777777" w:rsidR="005643CA" w:rsidRDefault="005643CA" w:rsidP="005643CA">
      <w:pPr>
        <w:rPr>
          <w:rFonts w:ascii="Times New Roman" w:hAnsi="Times New Roman"/>
          <w:sz w:val="22"/>
          <w:szCs w:val="22"/>
        </w:rPr>
      </w:pPr>
    </w:p>
    <w:p w14:paraId="2C6ECCD6" w14:textId="47833994" w:rsidR="005643CA" w:rsidRPr="002F650F" w:rsidRDefault="005643CA" w:rsidP="005643CA">
      <w:pPr>
        <w:rPr>
          <w:rFonts w:ascii="Times New Roman" w:hAnsi="Times New Roman"/>
          <w:sz w:val="22"/>
          <w:szCs w:val="22"/>
        </w:rPr>
      </w:pPr>
      <w:r>
        <w:rPr>
          <w:rFonts w:ascii="Times New Roman" w:hAnsi="Times New Roman"/>
          <w:sz w:val="22"/>
          <w:szCs w:val="22"/>
        </w:rPr>
        <w:t xml:space="preserve">While trucks represent less than three (3) per cent of new vehicle sales by total units sold, they consume significantly more fuel per unit than other vehicles. TIC has identified that a significant proportion of older model trucks </w:t>
      </w:r>
      <w:r w:rsidRPr="00F21410">
        <w:rPr>
          <w:rFonts w:ascii="Times New Roman" w:hAnsi="Times New Roman"/>
          <w:sz w:val="22"/>
          <w:szCs w:val="22"/>
        </w:rPr>
        <w:t>(i.e. pre 1996)</w:t>
      </w:r>
      <w:r>
        <w:rPr>
          <w:rFonts w:ascii="Times New Roman" w:hAnsi="Times New Roman"/>
          <w:sz w:val="22"/>
          <w:szCs w:val="22"/>
        </w:rPr>
        <w:t xml:space="preserve"> are working in urban areas, where health effects resulting from exhaust emissions are most severe. TIC has estimated that an effective incentive package which accelerates the renewal rate of the truck fleet </w:t>
      </w:r>
      <w:r w:rsidRPr="00F21410">
        <w:rPr>
          <w:rFonts w:ascii="Times New Roman" w:hAnsi="Times New Roman"/>
          <w:sz w:val="22"/>
          <w:szCs w:val="22"/>
        </w:rPr>
        <w:t xml:space="preserve">would save </w:t>
      </w:r>
      <w:r w:rsidRPr="00E303AD">
        <w:rPr>
          <w:rFonts w:ascii="Times New Roman" w:hAnsi="Times New Roman"/>
          <w:sz w:val="22"/>
          <w:szCs w:val="22"/>
        </w:rPr>
        <w:t>$</w:t>
      </w:r>
      <w:r w:rsidR="00ED4AB7">
        <w:rPr>
          <w:rFonts w:ascii="Times New Roman" w:hAnsi="Times New Roman"/>
          <w:sz w:val="22"/>
          <w:szCs w:val="22"/>
        </w:rPr>
        <w:t>1.54</w:t>
      </w:r>
      <w:r w:rsidRPr="00E303AD">
        <w:rPr>
          <w:rFonts w:ascii="Times New Roman" w:hAnsi="Times New Roman"/>
          <w:sz w:val="22"/>
          <w:szCs w:val="22"/>
        </w:rPr>
        <w:t>B</w:t>
      </w:r>
      <w:r w:rsidRPr="00F21410">
        <w:rPr>
          <w:rFonts w:ascii="Times New Roman" w:hAnsi="Times New Roman"/>
          <w:sz w:val="22"/>
          <w:szCs w:val="22"/>
        </w:rPr>
        <w:t xml:space="preserve"> </w:t>
      </w:r>
      <w:r w:rsidR="00E303AD">
        <w:rPr>
          <w:rFonts w:ascii="Times New Roman" w:hAnsi="Times New Roman"/>
          <w:sz w:val="22"/>
          <w:szCs w:val="22"/>
        </w:rPr>
        <w:t xml:space="preserve">over 5 years and $2.35B over eight years </w:t>
      </w:r>
      <w:r w:rsidRPr="00F21410">
        <w:rPr>
          <w:rFonts w:ascii="Times New Roman" w:hAnsi="Times New Roman"/>
          <w:sz w:val="22"/>
          <w:szCs w:val="22"/>
        </w:rPr>
        <w:t>in health costs</w:t>
      </w:r>
      <w:r>
        <w:rPr>
          <w:rFonts w:ascii="Times New Roman" w:hAnsi="Times New Roman"/>
          <w:sz w:val="22"/>
          <w:szCs w:val="22"/>
        </w:rPr>
        <w:t xml:space="preserve"> when compared with a “Business as Usual” approach.</w:t>
      </w:r>
    </w:p>
    <w:p w14:paraId="31B4EF3B" w14:textId="77777777" w:rsidR="005643CA" w:rsidRPr="005C240B" w:rsidRDefault="005643CA" w:rsidP="005643CA">
      <w:pPr>
        <w:rPr>
          <w:rFonts w:ascii="Times New Roman" w:hAnsi="Times New Roman"/>
          <w:sz w:val="22"/>
          <w:szCs w:val="22"/>
        </w:rPr>
      </w:pPr>
    </w:p>
    <w:p w14:paraId="054A7AD6" w14:textId="77777777" w:rsidR="005643CA" w:rsidRDefault="005643CA" w:rsidP="005643CA">
      <w:pPr>
        <w:rPr>
          <w:rFonts w:ascii="Times New Roman" w:hAnsi="Times New Roman"/>
          <w:sz w:val="22"/>
          <w:szCs w:val="22"/>
        </w:rPr>
      </w:pPr>
      <w:r w:rsidRPr="005C240B">
        <w:rPr>
          <w:rFonts w:ascii="Times New Roman" w:hAnsi="Times New Roman"/>
          <w:sz w:val="22"/>
          <w:szCs w:val="22"/>
        </w:rPr>
        <w:t>Supporting the relationship between air pollution and adverse health, the Health Effects Institute (US based) released in January 2010 a landmark study into the health risks associated with ex</w:t>
      </w:r>
      <w:r>
        <w:rPr>
          <w:rFonts w:ascii="Times New Roman" w:hAnsi="Times New Roman"/>
          <w:sz w:val="22"/>
          <w:szCs w:val="22"/>
        </w:rPr>
        <w:t xml:space="preserve">posure to traffic finding that: </w:t>
      </w:r>
    </w:p>
    <w:p w14:paraId="15571366" w14:textId="77777777" w:rsidR="005643CA" w:rsidRDefault="005643CA" w:rsidP="005643CA">
      <w:pPr>
        <w:rPr>
          <w:rFonts w:ascii="Times New Roman" w:hAnsi="Times New Roman"/>
          <w:sz w:val="22"/>
          <w:szCs w:val="22"/>
        </w:rPr>
      </w:pPr>
    </w:p>
    <w:p w14:paraId="488FF79C" w14:textId="77777777" w:rsidR="005643CA" w:rsidRDefault="005643CA" w:rsidP="005643CA">
      <w:pPr>
        <w:numPr>
          <w:ilvl w:val="0"/>
          <w:numId w:val="20"/>
        </w:numPr>
        <w:rPr>
          <w:rFonts w:ascii="Times New Roman" w:hAnsi="Times New Roman"/>
          <w:sz w:val="22"/>
          <w:szCs w:val="22"/>
        </w:rPr>
      </w:pPr>
      <w:r w:rsidRPr="005C240B">
        <w:rPr>
          <w:rFonts w:ascii="Times New Roman" w:hAnsi="Times New Roman"/>
          <w:sz w:val="22"/>
          <w:szCs w:val="22"/>
        </w:rPr>
        <w:t>Air pollution does impact on human health and provides evidence that initiatives aimed at reducing polluti</w:t>
      </w:r>
      <w:r>
        <w:rPr>
          <w:rFonts w:ascii="Times New Roman" w:hAnsi="Times New Roman"/>
          <w:sz w:val="22"/>
          <w:szCs w:val="22"/>
        </w:rPr>
        <w:t xml:space="preserve">on levels should be supported; </w:t>
      </w:r>
    </w:p>
    <w:p w14:paraId="561B076B" w14:textId="77777777" w:rsidR="005643CA" w:rsidRDefault="005643CA" w:rsidP="005643CA">
      <w:pPr>
        <w:numPr>
          <w:ilvl w:val="0"/>
          <w:numId w:val="20"/>
        </w:numPr>
        <w:rPr>
          <w:rFonts w:ascii="Times New Roman" w:hAnsi="Times New Roman"/>
          <w:sz w:val="22"/>
          <w:szCs w:val="22"/>
        </w:rPr>
      </w:pPr>
      <w:r w:rsidRPr="005C240B">
        <w:rPr>
          <w:rFonts w:ascii="Times New Roman" w:hAnsi="Times New Roman"/>
          <w:sz w:val="22"/>
          <w:szCs w:val="22"/>
        </w:rPr>
        <w:t>Children living within 500 metres of a major road or freeway were at gre</w:t>
      </w:r>
      <w:r>
        <w:rPr>
          <w:rFonts w:ascii="Times New Roman" w:hAnsi="Times New Roman"/>
          <w:sz w:val="22"/>
          <w:szCs w:val="22"/>
        </w:rPr>
        <w:t>ater risk of developing asthma;</w:t>
      </w:r>
    </w:p>
    <w:p w14:paraId="65F8755A" w14:textId="77777777" w:rsidR="005643CA" w:rsidRDefault="005643CA" w:rsidP="005643CA">
      <w:pPr>
        <w:numPr>
          <w:ilvl w:val="0"/>
          <w:numId w:val="20"/>
        </w:numPr>
        <w:rPr>
          <w:rFonts w:ascii="Times New Roman" w:hAnsi="Times New Roman"/>
          <w:sz w:val="22"/>
          <w:szCs w:val="22"/>
        </w:rPr>
      </w:pPr>
      <w:r w:rsidRPr="005C240B">
        <w:rPr>
          <w:rFonts w:ascii="Times New Roman" w:hAnsi="Times New Roman"/>
          <w:sz w:val="22"/>
          <w:szCs w:val="22"/>
        </w:rPr>
        <w:t>Those children already with asthma were likely to ha</w:t>
      </w:r>
      <w:r>
        <w:rPr>
          <w:rFonts w:ascii="Times New Roman" w:hAnsi="Times New Roman"/>
          <w:sz w:val="22"/>
          <w:szCs w:val="22"/>
        </w:rPr>
        <w:t xml:space="preserve">ve their condition exacerbated; </w:t>
      </w:r>
    </w:p>
    <w:p w14:paraId="07BAE39A" w14:textId="77777777" w:rsidR="005643CA" w:rsidRDefault="005643CA" w:rsidP="005643CA">
      <w:pPr>
        <w:numPr>
          <w:ilvl w:val="0"/>
          <w:numId w:val="20"/>
        </w:numPr>
        <w:rPr>
          <w:rFonts w:ascii="Times New Roman" w:hAnsi="Times New Roman"/>
          <w:sz w:val="22"/>
          <w:szCs w:val="22"/>
        </w:rPr>
      </w:pPr>
      <w:r w:rsidRPr="005C240B">
        <w:rPr>
          <w:rFonts w:ascii="Times New Roman" w:hAnsi="Times New Roman"/>
          <w:sz w:val="22"/>
          <w:szCs w:val="22"/>
        </w:rPr>
        <w:t>Across all other age groups new asthma cases were likely to be triggere</w:t>
      </w:r>
      <w:r>
        <w:rPr>
          <w:rFonts w:ascii="Times New Roman" w:hAnsi="Times New Roman"/>
          <w:sz w:val="22"/>
          <w:szCs w:val="22"/>
        </w:rPr>
        <w:t xml:space="preserve">d; and </w:t>
      </w:r>
    </w:p>
    <w:p w14:paraId="27BA3F9F" w14:textId="77777777" w:rsidR="005643CA" w:rsidRPr="005C240B" w:rsidRDefault="005643CA" w:rsidP="005643CA">
      <w:pPr>
        <w:numPr>
          <w:ilvl w:val="0"/>
          <w:numId w:val="20"/>
        </w:numPr>
        <w:rPr>
          <w:rFonts w:ascii="Times New Roman" w:hAnsi="Times New Roman"/>
          <w:sz w:val="22"/>
          <w:szCs w:val="22"/>
        </w:rPr>
      </w:pPr>
      <w:r w:rsidRPr="005C240B">
        <w:rPr>
          <w:rFonts w:ascii="Times New Roman" w:hAnsi="Times New Roman"/>
          <w:sz w:val="22"/>
          <w:szCs w:val="22"/>
        </w:rPr>
        <w:t xml:space="preserve">The adult population faced greater likelihood of lung and heart-related illness. </w:t>
      </w:r>
    </w:p>
    <w:p w14:paraId="1A1FE9ED" w14:textId="77777777" w:rsidR="005643CA" w:rsidRPr="005C240B" w:rsidRDefault="005643CA" w:rsidP="005643CA">
      <w:pPr>
        <w:rPr>
          <w:rFonts w:ascii="Times New Roman" w:hAnsi="Times New Roman"/>
          <w:sz w:val="22"/>
          <w:szCs w:val="22"/>
        </w:rPr>
      </w:pPr>
      <w:r w:rsidRPr="005C240B">
        <w:rPr>
          <w:rFonts w:ascii="Times New Roman" w:hAnsi="Times New Roman"/>
          <w:sz w:val="22"/>
          <w:szCs w:val="22"/>
        </w:rPr>
        <w:lastRenderedPageBreak/>
        <w:t>In Victoria alone hundreds of thousands of Victorians live within 500 metres of major roads (Gough D. 2010, www.theage.com.au) and according to the findings of the Health Effects Institute study are at a greater risk of developing adverse health conditions.</w:t>
      </w:r>
    </w:p>
    <w:p w14:paraId="555DD6F4" w14:textId="77777777" w:rsidR="005643CA" w:rsidRDefault="005643CA" w:rsidP="005643CA">
      <w:pPr>
        <w:rPr>
          <w:rFonts w:ascii="Times New Roman" w:hAnsi="Times New Roman"/>
          <w:sz w:val="22"/>
          <w:szCs w:val="22"/>
        </w:rPr>
      </w:pPr>
    </w:p>
    <w:p w14:paraId="0C0C2EC7" w14:textId="77777777" w:rsidR="005643CA" w:rsidRDefault="005643CA" w:rsidP="005643CA">
      <w:pPr>
        <w:rPr>
          <w:rFonts w:ascii="Times New Roman" w:hAnsi="Times New Roman"/>
          <w:sz w:val="22"/>
          <w:szCs w:val="22"/>
        </w:rPr>
      </w:pPr>
      <w:r w:rsidRPr="005C240B">
        <w:rPr>
          <w:rFonts w:ascii="Times New Roman" w:hAnsi="Times New Roman"/>
          <w:sz w:val="22"/>
          <w:szCs w:val="22"/>
        </w:rPr>
        <w:t>There are two main forms of air pollution that are of concern in capital cities. Emissions from vehicles</w:t>
      </w:r>
      <w:r>
        <w:rPr>
          <w:rFonts w:ascii="Times New Roman" w:hAnsi="Times New Roman"/>
          <w:sz w:val="22"/>
          <w:szCs w:val="22"/>
        </w:rPr>
        <w:t>,</w:t>
      </w:r>
      <w:r w:rsidRPr="005C240B">
        <w:rPr>
          <w:rFonts w:ascii="Times New Roman" w:hAnsi="Times New Roman"/>
          <w:sz w:val="22"/>
          <w:szCs w:val="22"/>
        </w:rPr>
        <w:t xml:space="preserve"> for example</w:t>
      </w:r>
      <w:r>
        <w:rPr>
          <w:rFonts w:ascii="Times New Roman" w:hAnsi="Times New Roman"/>
          <w:sz w:val="22"/>
          <w:szCs w:val="22"/>
        </w:rPr>
        <w:t>,</w:t>
      </w:r>
      <w:r w:rsidRPr="005C240B">
        <w:rPr>
          <w:rFonts w:ascii="Times New Roman" w:hAnsi="Times New Roman"/>
          <w:sz w:val="22"/>
          <w:szCs w:val="22"/>
        </w:rPr>
        <w:t xml:space="preserve"> particulate matter (</w:t>
      </w:r>
      <w:r>
        <w:rPr>
          <w:rFonts w:ascii="Times New Roman" w:hAnsi="Times New Roman"/>
          <w:sz w:val="22"/>
          <w:szCs w:val="22"/>
        </w:rPr>
        <w:t>PM or black soot</w:t>
      </w:r>
      <w:r w:rsidRPr="005C240B">
        <w:rPr>
          <w:rFonts w:ascii="Times New Roman" w:hAnsi="Times New Roman"/>
          <w:sz w:val="22"/>
          <w:szCs w:val="22"/>
        </w:rPr>
        <w:t xml:space="preserve">) are known triggers for the onset of asthma, and can cause cancer and cardiovascular disease. </w:t>
      </w:r>
      <w:r>
        <w:rPr>
          <w:rFonts w:ascii="Times New Roman" w:hAnsi="Times New Roman"/>
          <w:sz w:val="22"/>
          <w:szCs w:val="22"/>
        </w:rPr>
        <w:t xml:space="preserve"> Further, the World Health Organisation declared that diesel exhaust emissions are a “known carcinogen” in July 2012, with a special emphasis on the PM produced.  Given that new model trucks complying with ADR 80/</w:t>
      </w:r>
      <w:r w:rsidRPr="00463BDC">
        <w:rPr>
          <w:rFonts w:ascii="Times New Roman" w:hAnsi="Times New Roman"/>
          <w:sz w:val="22"/>
          <w:szCs w:val="22"/>
        </w:rPr>
        <w:t>03 produce 98% less</w:t>
      </w:r>
      <w:r>
        <w:rPr>
          <w:rFonts w:ascii="Times New Roman" w:hAnsi="Times New Roman"/>
          <w:sz w:val="22"/>
          <w:szCs w:val="22"/>
        </w:rPr>
        <w:t xml:space="preserve"> PM than a pre-1996 truck, it is in the government’s interest to encourage the modernisation of the Australian truck fleet. </w:t>
      </w:r>
      <w:r w:rsidRPr="005C240B">
        <w:rPr>
          <w:rFonts w:ascii="Times New Roman" w:hAnsi="Times New Roman"/>
          <w:sz w:val="22"/>
          <w:szCs w:val="22"/>
        </w:rPr>
        <w:t xml:space="preserve">Equally Nitrogen Oxides </w:t>
      </w:r>
      <w:r>
        <w:rPr>
          <w:rFonts w:ascii="Times New Roman" w:hAnsi="Times New Roman"/>
          <w:sz w:val="22"/>
          <w:szCs w:val="22"/>
        </w:rPr>
        <w:t xml:space="preserve">(NOx) </w:t>
      </w:r>
      <w:r w:rsidRPr="005C240B">
        <w:rPr>
          <w:rFonts w:ascii="Times New Roman" w:hAnsi="Times New Roman"/>
          <w:sz w:val="22"/>
          <w:szCs w:val="22"/>
        </w:rPr>
        <w:t xml:space="preserve">have been shown to have a causal relationship with serious health problems such as asthma, respiratory disease and reduced lung function in children </w:t>
      </w:r>
      <w:r w:rsidRPr="00DD1863">
        <w:rPr>
          <w:rFonts w:ascii="Times New Roman" w:hAnsi="Times New Roman"/>
          <w:sz w:val="22"/>
          <w:szCs w:val="22"/>
        </w:rPr>
        <w:t xml:space="preserve">(Blackburn R., </w:t>
      </w:r>
      <w:r w:rsidRPr="00DD1863">
        <w:rPr>
          <w:rFonts w:ascii="Times New Roman" w:hAnsi="Times New Roman"/>
          <w:i/>
          <w:sz w:val="22"/>
          <w:szCs w:val="22"/>
        </w:rPr>
        <w:t xml:space="preserve">Something in the Air’, </w:t>
      </w:r>
      <w:r w:rsidRPr="00DD1863">
        <w:rPr>
          <w:rFonts w:ascii="Times New Roman" w:hAnsi="Times New Roman"/>
          <w:sz w:val="22"/>
          <w:szCs w:val="22"/>
        </w:rPr>
        <w:t>2007)</w:t>
      </w:r>
      <w:r w:rsidRPr="005C240B">
        <w:rPr>
          <w:rFonts w:ascii="Times New Roman" w:hAnsi="Times New Roman"/>
          <w:sz w:val="22"/>
          <w:szCs w:val="22"/>
        </w:rPr>
        <w:t xml:space="preserve">. </w:t>
      </w:r>
      <w:r>
        <w:rPr>
          <w:rFonts w:ascii="Times New Roman" w:hAnsi="Times New Roman"/>
          <w:sz w:val="22"/>
          <w:szCs w:val="22"/>
        </w:rPr>
        <w:t xml:space="preserve"> </w:t>
      </w:r>
    </w:p>
    <w:p w14:paraId="4A6B3D7E" w14:textId="77777777" w:rsidR="005643CA" w:rsidRDefault="005643CA" w:rsidP="005643CA">
      <w:pPr>
        <w:rPr>
          <w:rFonts w:ascii="Times New Roman" w:hAnsi="Times New Roman"/>
          <w:sz w:val="22"/>
          <w:szCs w:val="22"/>
        </w:rPr>
      </w:pPr>
    </w:p>
    <w:p w14:paraId="0F22E344" w14:textId="776AE12D" w:rsidR="005643CA" w:rsidRDefault="005643CA" w:rsidP="005643CA">
      <w:pPr>
        <w:rPr>
          <w:rFonts w:ascii="Times New Roman" w:hAnsi="Times New Roman"/>
          <w:sz w:val="22"/>
          <w:szCs w:val="22"/>
        </w:rPr>
      </w:pPr>
      <w:r w:rsidRPr="00F21410">
        <w:rPr>
          <w:rFonts w:ascii="Times New Roman" w:hAnsi="Times New Roman"/>
          <w:sz w:val="22"/>
          <w:szCs w:val="22"/>
        </w:rPr>
        <w:t>A major cause of air pollution in urban areas is motor vehicle exhaust emissions.</w:t>
      </w:r>
      <w:r w:rsidRPr="005C240B">
        <w:rPr>
          <w:rFonts w:ascii="Times New Roman" w:hAnsi="Times New Roman"/>
          <w:sz w:val="22"/>
          <w:szCs w:val="22"/>
        </w:rPr>
        <w:t xml:space="preserve"> </w:t>
      </w:r>
      <w:r>
        <w:rPr>
          <w:rFonts w:ascii="Times New Roman" w:hAnsi="Times New Roman"/>
          <w:sz w:val="22"/>
          <w:szCs w:val="22"/>
        </w:rPr>
        <w:t xml:space="preserve"> </w:t>
      </w:r>
      <w:r w:rsidRPr="00DD1863">
        <w:rPr>
          <w:rFonts w:ascii="Times New Roman" w:hAnsi="Times New Roman"/>
          <w:sz w:val="22"/>
          <w:szCs w:val="22"/>
        </w:rPr>
        <w:t xml:space="preserve">Transport is the third largest contributor (14 per cent) of greenhouse gas emission in Australia.  Road transport accounts for about 90 per cent of transport emissions, the road freight task component of this being 39 per </w:t>
      </w:r>
      <w:r w:rsidRPr="00BB6567">
        <w:rPr>
          <w:rFonts w:ascii="Times New Roman" w:hAnsi="Times New Roman"/>
          <w:sz w:val="22"/>
          <w:szCs w:val="22"/>
        </w:rPr>
        <w:t xml:space="preserve">cent </w:t>
      </w:r>
      <w:r w:rsidR="00BB6567" w:rsidRPr="00BB6567">
        <w:rPr>
          <w:rFonts w:ascii="Times New Roman" w:hAnsi="Times New Roman"/>
          <w:sz w:val="22"/>
          <w:szCs w:val="22"/>
        </w:rPr>
        <w:t>with predictions that</w:t>
      </w:r>
      <w:r w:rsidRPr="00BB6567">
        <w:rPr>
          <w:rFonts w:ascii="Times New Roman" w:hAnsi="Times New Roman"/>
          <w:sz w:val="22"/>
          <w:szCs w:val="22"/>
        </w:rPr>
        <w:t xml:space="preserve"> </w:t>
      </w:r>
      <w:r w:rsidR="00BB6567">
        <w:rPr>
          <w:rFonts w:ascii="Times New Roman" w:hAnsi="Times New Roman"/>
          <w:sz w:val="22"/>
          <w:szCs w:val="22"/>
        </w:rPr>
        <w:t xml:space="preserve">the </w:t>
      </w:r>
      <w:r w:rsidRPr="00BB6567">
        <w:rPr>
          <w:rFonts w:ascii="Times New Roman" w:hAnsi="Times New Roman"/>
          <w:sz w:val="22"/>
          <w:szCs w:val="22"/>
        </w:rPr>
        <w:t xml:space="preserve">freight transport </w:t>
      </w:r>
      <w:r w:rsidR="00BB6567">
        <w:rPr>
          <w:rFonts w:ascii="Times New Roman" w:hAnsi="Times New Roman"/>
          <w:sz w:val="22"/>
          <w:szCs w:val="22"/>
        </w:rPr>
        <w:t xml:space="preserve">task </w:t>
      </w:r>
      <w:r w:rsidR="00BB6567" w:rsidRPr="00BB6567">
        <w:rPr>
          <w:rFonts w:ascii="Times New Roman" w:hAnsi="Times New Roman"/>
          <w:sz w:val="22"/>
          <w:szCs w:val="22"/>
        </w:rPr>
        <w:t>is expected to grow 26 per cent between 2016</w:t>
      </w:r>
      <w:r w:rsidRPr="00BB6567">
        <w:rPr>
          <w:rFonts w:ascii="Times New Roman" w:hAnsi="Times New Roman"/>
          <w:sz w:val="22"/>
          <w:szCs w:val="22"/>
        </w:rPr>
        <w:t xml:space="preserve"> and 202</w:t>
      </w:r>
      <w:r w:rsidR="00BB6567" w:rsidRPr="00BB6567">
        <w:rPr>
          <w:rFonts w:ascii="Times New Roman" w:hAnsi="Times New Roman"/>
          <w:sz w:val="22"/>
          <w:szCs w:val="22"/>
        </w:rPr>
        <w:t>6</w:t>
      </w:r>
      <w:r w:rsidRPr="00BB6567">
        <w:rPr>
          <w:rFonts w:ascii="Times New Roman" w:hAnsi="Times New Roman"/>
          <w:sz w:val="22"/>
          <w:szCs w:val="22"/>
        </w:rPr>
        <w:t>.</w:t>
      </w:r>
      <w:r w:rsidRPr="00195B77">
        <w:rPr>
          <w:rFonts w:ascii="Times New Roman" w:hAnsi="Times New Roman"/>
          <w:color w:val="FF0000"/>
          <w:sz w:val="22"/>
          <w:szCs w:val="22"/>
        </w:rPr>
        <w:t xml:space="preserve"> </w:t>
      </w:r>
      <w:r>
        <w:rPr>
          <w:rFonts w:ascii="Times New Roman" w:hAnsi="Times New Roman"/>
          <w:sz w:val="22"/>
          <w:szCs w:val="22"/>
        </w:rPr>
        <w:t xml:space="preserve"> </w:t>
      </w:r>
      <w:r w:rsidRPr="005C240B">
        <w:rPr>
          <w:rFonts w:ascii="Times New Roman" w:hAnsi="Times New Roman"/>
          <w:sz w:val="22"/>
          <w:szCs w:val="22"/>
        </w:rPr>
        <w:t>The BTRE</w:t>
      </w:r>
      <w:r>
        <w:rPr>
          <w:rFonts w:ascii="Times New Roman" w:hAnsi="Times New Roman"/>
          <w:sz w:val="22"/>
          <w:szCs w:val="22"/>
        </w:rPr>
        <w:t xml:space="preserve"> (</w:t>
      </w:r>
      <w:r w:rsidRPr="004B0908">
        <w:rPr>
          <w:rFonts w:ascii="Times New Roman" w:hAnsi="Times New Roman"/>
          <w:sz w:val="22"/>
          <w:szCs w:val="22"/>
        </w:rPr>
        <w:t>2005</w:t>
      </w:r>
      <w:r>
        <w:rPr>
          <w:rFonts w:ascii="Times New Roman" w:hAnsi="Times New Roman"/>
          <w:sz w:val="22"/>
          <w:szCs w:val="22"/>
        </w:rPr>
        <w:t>)</w:t>
      </w:r>
      <w:r w:rsidRPr="005C240B">
        <w:rPr>
          <w:rFonts w:ascii="Times New Roman" w:hAnsi="Times New Roman"/>
          <w:sz w:val="22"/>
          <w:szCs w:val="22"/>
        </w:rPr>
        <w:t xml:space="preserve"> notes in its analysis that the long life</w:t>
      </w:r>
      <w:r>
        <w:rPr>
          <w:rFonts w:ascii="Times New Roman" w:hAnsi="Times New Roman"/>
          <w:sz w:val="22"/>
          <w:szCs w:val="22"/>
        </w:rPr>
        <w:t>-</w:t>
      </w:r>
      <w:r w:rsidRPr="005C240B">
        <w:rPr>
          <w:rFonts w:ascii="Times New Roman" w:hAnsi="Times New Roman"/>
          <w:sz w:val="22"/>
          <w:szCs w:val="22"/>
        </w:rPr>
        <w:t>cycle of commercial vehicles dampens the uptake of new technology vehicles, including the latest model diesel engines and predicts low ‘penetration rates for hybrid fuel vehicles’ (p. 46) to the year 2020</w:t>
      </w:r>
      <w:r w:rsidRPr="00F21410">
        <w:rPr>
          <w:rFonts w:ascii="Times New Roman" w:hAnsi="Times New Roman"/>
          <w:sz w:val="22"/>
          <w:szCs w:val="22"/>
        </w:rPr>
        <w:t xml:space="preserve">. </w:t>
      </w:r>
      <w:r w:rsidRPr="00715D97">
        <w:rPr>
          <w:rFonts w:ascii="Times New Roman" w:hAnsi="Times New Roman"/>
          <w:sz w:val="22"/>
          <w:szCs w:val="22"/>
        </w:rPr>
        <w:t>In summary, five (5) per cent of greenhouse gas emissio</w:t>
      </w:r>
      <w:r w:rsidR="00F76B12" w:rsidRPr="00715D97">
        <w:rPr>
          <w:rFonts w:ascii="Times New Roman" w:hAnsi="Times New Roman"/>
          <w:sz w:val="22"/>
          <w:szCs w:val="22"/>
        </w:rPr>
        <w:t>ns originate from trucks, twenty eight (28</w:t>
      </w:r>
      <w:r w:rsidRPr="00715D97">
        <w:rPr>
          <w:rFonts w:ascii="Times New Roman" w:hAnsi="Times New Roman"/>
          <w:sz w:val="22"/>
          <w:szCs w:val="22"/>
        </w:rPr>
        <w:t>) per cent of which are pre 1996 model trucks with no emission controls.</w:t>
      </w:r>
    </w:p>
    <w:p w14:paraId="73D8D1E9" w14:textId="77777777" w:rsidR="00E020D5" w:rsidRDefault="00E020D5" w:rsidP="005643CA">
      <w:pPr>
        <w:rPr>
          <w:rFonts w:ascii="Times New Roman" w:hAnsi="Times New Roman"/>
          <w:sz w:val="22"/>
          <w:szCs w:val="22"/>
        </w:rPr>
      </w:pPr>
    </w:p>
    <w:p w14:paraId="0E19DA2C" w14:textId="2AFB7CED" w:rsidR="00E020D5" w:rsidRPr="00620789" w:rsidRDefault="00E020D5" w:rsidP="005643CA">
      <w:pPr>
        <w:rPr>
          <w:rFonts w:ascii="Times New Roman" w:hAnsi="Times New Roman"/>
          <w:color w:val="FF0000"/>
          <w:sz w:val="22"/>
          <w:szCs w:val="22"/>
        </w:rPr>
      </w:pPr>
      <w:r>
        <w:rPr>
          <w:rFonts w:ascii="Times New Roman" w:hAnsi="Times New Roman"/>
          <w:sz w:val="22"/>
          <w:szCs w:val="22"/>
        </w:rPr>
        <w:t>The Truck I</w:t>
      </w:r>
      <w:r w:rsidR="00E36089">
        <w:rPr>
          <w:rFonts w:ascii="Times New Roman" w:hAnsi="Times New Roman"/>
          <w:sz w:val="22"/>
          <w:szCs w:val="22"/>
        </w:rPr>
        <w:t>ndustry Council calls upon the F</w:t>
      </w:r>
      <w:r>
        <w:rPr>
          <w:rFonts w:ascii="Times New Roman" w:hAnsi="Times New Roman"/>
          <w:sz w:val="22"/>
          <w:szCs w:val="22"/>
        </w:rPr>
        <w:t>ederal Government to develop policies designed to reduce the adverse health impacts that arise from an old Australian truck fleet.</w:t>
      </w:r>
    </w:p>
    <w:p w14:paraId="48756F09" w14:textId="77777777" w:rsidR="005643CA" w:rsidRPr="00F21410" w:rsidRDefault="005643CA" w:rsidP="008078EA">
      <w:pPr>
        <w:rPr>
          <w:rFonts w:ascii="Times New Roman" w:hAnsi="Times New Roman"/>
          <w:sz w:val="22"/>
          <w:szCs w:val="22"/>
        </w:rPr>
      </w:pPr>
    </w:p>
    <w:p w14:paraId="727FB704" w14:textId="77777777" w:rsidR="008078EA" w:rsidRPr="005C240B" w:rsidRDefault="00FE0185" w:rsidP="008078EA">
      <w:pPr>
        <w:rPr>
          <w:rFonts w:ascii="Times New Roman" w:hAnsi="Times New Roman"/>
          <w:sz w:val="22"/>
          <w:szCs w:val="22"/>
        </w:rPr>
      </w:pPr>
      <w:r w:rsidRPr="00FE0185">
        <w:rPr>
          <w:rFonts w:ascii="Times New Roman" w:hAnsi="Times New Roman"/>
          <w:b/>
          <w:sz w:val="22"/>
          <w:szCs w:val="22"/>
        </w:rPr>
        <w:t>5</w:t>
      </w:r>
      <w:r w:rsidR="008078EA" w:rsidRPr="005C240B">
        <w:rPr>
          <w:rFonts w:ascii="Times New Roman" w:hAnsi="Times New Roman"/>
          <w:b/>
          <w:sz w:val="22"/>
          <w:szCs w:val="22"/>
        </w:rPr>
        <w:tab/>
        <w:t>POLICY OPTIONS</w:t>
      </w:r>
    </w:p>
    <w:p w14:paraId="289CF93C" w14:textId="77777777" w:rsidR="008078EA" w:rsidRPr="005C240B" w:rsidRDefault="008078EA" w:rsidP="008078EA">
      <w:pPr>
        <w:rPr>
          <w:rFonts w:ascii="Times New Roman" w:hAnsi="Times New Roman"/>
          <w:sz w:val="22"/>
          <w:szCs w:val="22"/>
        </w:rPr>
      </w:pPr>
    </w:p>
    <w:p w14:paraId="2912321D" w14:textId="1BF8313C" w:rsidR="008078EA" w:rsidRPr="005C240B" w:rsidRDefault="008078EA" w:rsidP="008078EA">
      <w:pPr>
        <w:rPr>
          <w:rFonts w:ascii="Times New Roman" w:hAnsi="Times New Roman"/>
          <w:sz w:val="22"/>
          <w:szCs w:val="22"/>
        </w:rPr>
      </w:pPr>
      <w:r w:rsidRPr="005C240B">
        <w:rPr>
          <w:rFonts w:ascii="Times New Roman" w:hAnsi="Times New Roman"/>
          <w:sz w:val="22"/>
          <w:szCs w:val="22"/>
        </w:rPr>
        <w:t xml:space="preserve">Options to </w:t>
      </w:r>
      <w:r w:rsidR="00632DEC">
        <w:rPr>
          <w:rFonts w:ascii="Times New Roman" w:hAnsi="Times New Roman"/>
          <w:sz w:val="22"/>
          <w:szCs w:val="22"/>
        </w:rPr>
        <w:t>modernise</w:t>
      </w:r>
      <w:r w:rsidRPr="005C240B">
        <w:rPr>
          <w:rFonts w:ascii="Times New Roman" w:hAnsi="Times New Roman"/>
          <w:sz w:val="22"/>
          <w:szCs w:val="22"/>
        </w:rPr>
        <w:t xml:space="preserve"> the nation’s truck fleet </w:t>
      </w:r>
      <w:r w:rsidR="00340304">
        <w:rPr>
          <w:rFonts w:ascii="Times New Roman" w:hAnsi="Times New Roman"/>
          <w:sz w:val="22"/>
          <w:szCs w:val="22"/>
        </w:rPr>
        <w:t xml:space="preserve">making significant health, </w:t>
      </w:r>
      <w:r w:rsidR="006E6968">
        <w:rPr>
          <w:rFonts w:ascii="Times New Roman" w:hAnsi="Times New Roman"/>
          <w:sz w:val="22"/>
          <w:szCs w:val="22"/>
        </w:rPr>
        <w:t xml:space="preserve">environmental, </w:t>
      </w:r>
      <w:r w:rsidR="006E6968" w:rsidRPr="00E541B6">
        <w:rPr>
          <w:rFonts w:ascii="Times New Roman" w:hAnsi="Times New Roman"/>
          <w:sz w:val="22"/>
          <w:szCs w:val="22"/>
        </w:rPr>
        <w:t>safety</w:t>
      </w:r>
      <w:r w:rsidR="00863EF6">
        <w:rPr>
          <w:rFonts w:ascii="Times New Roman" w:hAnsi="Times New Roman"/>
          <w:sz w:val="22"/>
          <w:szCs w:val="22"/>
        </w:rPr>
        <w:t xml:space="preserve"> </w:t>
      </w:r>
      <w:r w:rsidR="00340304">
        <w:rPr>
          <w:rFonts w:ascii="Times New Roman" w:hAnsi="Times New Roman"/>
          <w:sz w:val="22"/>
          <w:szCs w:val="22"/>
        </w:rPr>
        <w:t xml:space="preserve">and productivity </w:t>
      </w:r>
      <w:r w:rsidRPr="005C240B">
        <w:rPr>
          <w:rFonts w:ascii="Times New Roman" w:hAnsi="Times New Roman"/>
          <w:sz w:val="22"/>
          <w:szCs w:val="22"/>
        </w:rPr>
        <w:t>gains include:</w:t>
      </w:r>
    </w:p>
    <w:p w14:paraId="3A1948AB" w14:textId="77777777" w:rsidR="008078EA" w:rsidRPr="005C240B" w:rsidRDefault="008078EA" w:rsidP="008078EA">
      <w:pPr>
        <w:rPr>
          <w:rFonts w:ascii="Times New Roman" w:hAnsi="Times New Roman"/>
          <w:sz w:val="22"/>
          <w:szCs w:val="22"/>
        </w:rPr>
      </w:pPr>
    </w:p>
    <w:p w14:paraId="7705A28E" w14:textId="77777777" w:rsidR="004C7A32" w:rsidRDefault="008078EA" w:rsidP="008078EA">
      <w:pPr>
        <w:numPr>
          <w:ilvl w:val="0"/>
          <w:numId w:val="7"/>
        </w:numPr>
        <w:rPr>
          <w:rFonts w:ascii="Times New Roman" w:hAnsi="Times New Roman"/>
          <w:sz w:val="22"/>
          <w:szCs w:val="22"/>
        </w:rPr>
      </w:pPr>
      <w:r w:rsidRPr="00DD6670">
        <w:rPr>
          <w:rFonts w:ascii="Times New Roman" w:hAnsi="Times New Roman"/>
          <w:sz w:val="22"/>
          <w:szCs w:val="22"/>
        </w:rPr>
        <w:t>Accelerate the introduction of greener</w:t>
      </w:r>
      <w:r w:rsidR="00565D92">
        <w:rPr>
          <w:rFonts w:ascii="Times New Roman" w:hAnsi="Times New Roman"/>
          <w:sz w:val="22"/>
          <w:szCs w:val="22"/>
        </w:rPr>
        <w:t>,</w:t>
      </w:r>
      <w:r w:rsidRPr="00DD6670">
        <w:rPr>
          <w:rFonts w:ascii="Times New Roman" w:hAnsi="Times New Roman"/>
          <w:sz w:val="22"/>
          <w:szCs w:val="22"/>
        </w:rPr>
        <w:t xml:space="preserve"> </w:t>
      </w:r>
      <w:r w:rsidR="00863EF6">
        <w:rPr>
          <w:rFonts w:ascii="Times New Roman" w:hAnsi="Times New Roman"/>
          <w:sz w:val="22"/>
          <w:szCs w:val="22"/>
        </w:rPr>
        <w:t xml:space="preserve">cleaner </w:t>
      </w:r>
      <w:r w:rsidRPr="00DD6670">
        <w:rPr>
          <w:rFonts w:ascii="Times New Roman" w:hAnsi="Times New Roman"/>
          <w:sz w:val="22"/>
          <w:szCs w:val="22"/>
        </w:rPr>
        <w:t xml:space="preserve">technologies by encouraging the purchase of low emission trucks through </w:t>
      </w:r>
      <w:r w:rsidR="00DD6670" w:rsidRPr="00DD6670">
        <w:rPr>
          <w:rFonts w:ascii="Times New Roman" w:hAnsi="Times New Roman"/>
          <w:sz w:val="22"/>
          <w:szCs w:val="22"/>
        </w:rPr>
        <w:t xml:space="preserve">the provision of </w:t>
      </w:r>
    </w:p>
    <w:p w14:paraId="2E3A2B01" w14:textId="7C4C1589" w:rsidR="004C7A32" w:rsidRDefault="00B33138" w:rsidP="004C7A32">
      <w:pPr>
        <w:numPr>
          <w:ilvl w:val="1"/>
          <w:numId w:val="7"/>
        </w:numPr>
        <w:rPr>
          <w:rFonts w:ascii="Times New Roman" w:hAnsi="Times New Roman"/>
          <w:sz w:val="22"/>
          <w:szCs w:val="22"/>
        </w:rPr>
      </w:pPr>
      <w:r w:rsidRPr="00F21410">
        <w:rPr>
          <w:rFonts w:ascii="Times New Roman" w:hAnsi="Times New Roman"/>
          <w:sz w:val="22"/>
          <w:szCs w:val="22"/>
        </w:rPr>
        <w:t>(1)</w:t>
      </w:r>
      <w:r w:rsidR="00565D92" w:rsidRPr="00F21410">
        <w:rPr>
          <w:rFonts w:ascii="Times New Roman" w:hAnsi="Times New Roman"/>
          <w:sz w:val="22"/>
          <w:szCs w:val="22"/>
        </w:rPr>
        <w:t xml:space="preserve"> a thirty (30) per cent investment allowance that offsets the costs associated with the purchase of a</w:t>
      </w:r>
      <w:r w:rsidR="000E5AA5">
        <w:rPr>
          <w:rFonts w:ascii="Times New Roman" w:hAnsi="Times New Roman"/>
          <w:sz w:val="22"/>
          <w:szCs w:val="22"/>
        </w:rPr>
        <w:t xml:space="preserve"> </w:t>
      </w:r>
      <w:r w:rsidR="00565D92" w:rsidRPr="00F21410">
        <w:rPr>
          <w:rFonts w:ascii="Times New Roman" w:hAnsi="Times New Roman"/>
          <w:sz w:val="22"/>
          <w:szCs w:val="22"/>
        </w:rPr>
        <w:t>n</w:t>
      </w:r>
      <w:r w:rsidR="000E5AA5">
        <w:rPr>
          <w:rFonts w:ascii="Times New Roman" w:hAnsi="Times New Roman"/>
          <w:sz w:val="22"/>
          <w:szCs w:val="22"/>
        </w:rPr>
        <w:t>ew</w:t>
      </w:r>
      <w:r w:rsidR="00565D92" w:rsidRPr="00F21410">
        <w:rPr>
          <w:rFonts w:ascii="Times New Roman" w:hAnsi="Times New Roman"/>
          <w:sz w:val="22"/>
          <w:szCs w:val="22"/>
        </w:rPr>
        <w:t xml:space="preserve"> ADR 80/03 diesel only truck and a fifty (50) per cent investment allowance that offsets the costs associated with the purchase of </w:t>
      </w:r>
      <w:r w:rsidR="000E5AA5">
        <w:rPr>
          <w:rFonts w:ascii="Times New Roman" w:hAnsi="Times New Roman"/>
          <w:sz w:val="22"/>
          <w:szCs w:val="22"/>
        </w:rPr>
        <w:t xml:space="preserve">a new </w:t>
      </w:r>
      <w:r w:rsidR="00565D92" w:rsidRPr="00F21410">
        <w:rPr>
          <w:rFonts w:ascii="Times New Roman" w:hAnsi="Times New Roman"/>
          <w:sz w:val="22"/>
          <w:szCs w:val="22"/>
        </w:rPr>
        <w:t xml:space="preserve">alternatively fuelled and powered ADR 80/03 PLUS trucks </w:t>
      </w:r>
      <w:r w:rsidR="00565D92" w:rsidRPr="007710D6">
        <w:rPr>
          <w:rFonts w:ascii="Times New Roman" w:hAnsi="Times New Roman"/>
          <w:sz w:val="22"/>
          <w:szCs w:val="22"/>
        </w:rPr>
        <w:t>for</w:t>
      </w:r>
      <w:r w:rsidR="008727DC" w:rsidRPr="007710D6">
        <w:rPr>
          <w:rFonts w:ascii="Times New Roman" w:hAnsi="Times New Roman"/>
          <w:sz w:val="22"/>
          <w:szCs w:val="22"/>
        </w:rPr>
        <w:t xml:space="preserve"> pre ADR 70/00 (</w:t>
      </w:r>
      <w:r w:rsidR="00F21410" w:rsidRPr="007710D6">
        <w:rPr>
          <w:rFonts w:ascii="Times New Roman" w:hAnsi="Times New Roman"/>
          <w:sz w:val="22"/>
          <w:szCs w:val="22"/>
        </w:rPr>
        <w:t xml:space="preserve">i.e. </w:t>
      </w:r>
      <w:r w:rsidR="008727DC" w:rsidRPr="007710D6">
        <w:rPr>
          <w:rFonts w:ascii="Times New Roman" w:hAnsi="Times New Roman"/>
          <w:sz w:val="22"/>
          <w:szCs w:val="22"/>
        </w:rPr>
        <w:t>pre 1996 approx.)</w:t>
      </w:r>
      <w:r w:rsidR="00565D92" w:rsidRPr="00F21410">
        <w:rPr>
          <w:rFonts w:ascii="Times New Roman" w:hAnsi="Times New Roman"/>
          <w:sz w:val="22"/>
          <w:szCs w:val="22"/>
        </w:rPr>
        <w:t xml:space="preserve"> </w:t>
      </w:r>
      <w:r w:rsidR="008727DC" w:rsidRPr="00F21410">
        <w:rPr>
          <w:rFonts w:ascii="Times New Roman" w:hAnsi="Times New Roman"/>
          <w:sz w:val="22"/>
          <w:szCs w:val="22"/>
        </w:rPr>
        <w:t>t</w:t>
      </w:r>
      <w:r w:rsidR="00C43B42">
        <w:rPr>
          <w:rFonts w:ascii="Times New Roman" w:hAnsi="Times New Roman"/>
          <w:sz w:val="22"/>
          <w:szCs w:val="22"/>
        </w:rPr>
        <w:t>ruck owners effective July 2017</w:t>
      </w:r>
      <w:r w:rsidRPr="00F21410">
        <w:rPr>
          <w:rFonts w:ascii="Times New Roman" w:hAnsi="Times New Roman"/>
          <w:sz w:val="22"/>
          <w:szCs w:val="22"/>
        </w:rPr>
        <w:t xml:space="preserve"> </w:t>
      </w:r>
      <w:r w:rsidR="00565D92">
        <w:rPr>
          <w:rFonts w:ascii="Times New Roman" w:hAnsi="Times New Roman"/>
          <w:sz w:val="22"/>
          <w:szCs w:val="22"/>
        </w:rPr>
        <w:t xml:space="preserve">or </w:t>
      </w:r>
    </w:p>
    <w:p w14:paraId="0890A44D" w14:textId="2CBE972E" w:rsidR="008078EA" w:rsidRPr="00DD6670" w:rsidRDefault="00565D92" w:rsidP="004C7A32">
      <w:pPr>
        <w:numPr>
          <w:ilvl w:val="1"/>
          <w:numId w:val="7"/>
        </w:numPr>
        <w:rPr>
          <w:rFonts w:ascii="Times New Roman" w:hAnsi="Times New Roman"/>
          <w:sz w:val="22"/>
          <w:szCs w:val="22"/>
        </w:rPr>
      </w:pPr>
      <w:r>
        <w:rPr>
          <w:rFonts w:ascii="Times New Roman" w:hAnsi="Times New Roman"/>
          <w:sz w:val="22"/>
          <w:szCs w:val="22"/>
        </w:rPr>
        <w:t xml:space="preserve">(2) </w:t>
      </w:r>
      <w:r w:rsidR="00DD6670" w:rsidRPr="00DD6670">
        <w:rPr>
          <w:rFonts w:ascii="Times New Roman" w:hAnsi="Times New Roman"/>
          <w:sz w:val="22"/>
          <w:szCs w:val="22"/>
        </w:rPr>
        <w:t xml:space="preserve">a </w:t>
      </w:r>
      <w:r w:rsidR="007918FD">
        <w:rPr>
          <w:rFonts w:ascii="Times New Roman" w:hAnsi="Times New Roman"/>
          <w:sz w:val="22"/>
          <w:szCs w:val="22"/>
        </w:rPr>
        <w:t>fifteen (15</w:t>
      </w:r>
      <w:r w:rsidR="00DD6670" w:rsidRPr="00DD6670">
        <w:rPr>
          <w:rFonts w:ascii="Times New Roman" w:hAnsi="Times New Roman"/>
          <w:sz w:val="22"/>
          <w:szCs w:val="22"/>
        </w:rPr>
        <w:t xml:space="preserve">) per cent </w:t>
      </w:r>
      <w:r w:rsidR="00DD6670">
        <w:rPr>
          <w:rFonts w:ascii="Times New Roman" w:hAnsi="Times New Roman"/>
          <w:sz w:val="22"/>
          <w:szCs w:val="22"/>
        </w:rPr>
        <w:t>i</w:t>
      </w:r>
      <w:r w:rsidR="007918FD">
        <w:rPr>
          <w:rFonts w:ascii="Times New Roman" w:hAnsi="Times New Roman"/>
          <w:sz w:val="22"/>
          <w:szCs w:val="22"/>
        </w:rPr>
        <w:t xml:space="preserve">nvestment allowance </w:t>
      </w:r>
      <w:r w:rsidR="00DD6670" w:rsidRPr="00DD6670">
        <w:rPr>
          <w:rFonts w:ascii="Times New Roman" w:hAnsi="Times New Roman"/>
          <w:sz w:val="22"/>
          <w:szCs w:val="22"/>
        </w:rPr>
        <w:t>that offsets the costs associated with the purchase of a</w:t>
      </w:r>
      <w:r w:rsidR="00E36089">
        <w:rPr>
          <w:rFonts w:ascii="Times New Roman" w:hAnsi="Times New Roman"/>
          <w:sz w:val="22"/>
          <w:szCs w:val="22"/>
        </w:rPr>
        <w:t xml:space="preserve"> </w:t>
      </w:r>
      <w:r w:rsidR="00DD6670">
        <w:rPr>
          <w:rFonts w:ascii="Times New Roman" w:hAnsi="Times New Roman"/>
          <w:sz w:val="22"/>
          <w:szCs w:val="22"/>
        </w:rPr>
        <w:t>n</w:t>
      </w:r>
      <w:r w:rsidR="00E36089">
        <w:rPr>
          <w:rFonts w:ascii="Times New Roman" w:hAnsi="Times New Roman"/>
          <w:sz w:val="22"/>
          <w:szCs w:val="22"/>
        </w:rPr>
        <w:t>ew</w:t>
      </w:r>
      <w:r w:rsidR="00DD6670" w:rsidRPr="00DD6670">
        <w:rPr>
          <w:rFonts w:ascii="Times New Roman" w:hAnsi="Times New Roman"/>
          <w:sz w:val="22"/>
          <w:szCs w:val="22"/>
        </w:rPr>
        <w:t xml:space="preserve"> ADR 80/03 diesel only truck </w:t>
      </w:r>
      <w:r w:rsidR="00DD6670">
        <w:rPr>
          <w:rFonts w:ascii="Times New Roman" w:hAnsi="Times New Roman"/>
          <w:sz w:val="22"/>
          <w:szCs w:val="22"/>
        </w:rPr>
        <w:t xml:space="preserve">and a </w:t>
      </w:r>
      <w:r w:rsidR="007918FD">
        <w:rPr>
          <w:rFonts w:ascii="Times New Roman" w:hAnsi="Times New Roman"/>
          <w:sz w:val="22"/>
          <w:szCs w:val="22"/>
        </w:rPr>
        <w:t>twenty-five (25</w:t>
      </w:r>
      <w:r w:rsidR="00DD6670" w:rsidRPr="005C240B">
        <w:rPr>
          <w:rFonts w:ascii="Times New Roman" w:hAnsi="Times New Roman"/>
          <w:sz w:val="22"/>
          <w:szCs w:val="22"/>
        </w:rPr>
        <w:t>) per</w:t>
      </w:r>
      <w:r w:rsidR="00DD6670">
        <w:rPr>
          <w:rFonts w:ascii="Times New Roman" w:hAnsi="Times New Roman"/>
          <w:sz w:val="22"/>
          <w:szCs w:val="22"/>
        </w:rPr>
        <w:t xml:space="preserve"> </w:t>
      </w:r>
      <w:r w:rsidR="00DD6670" w:rsidRPr="005C240B">
        <w:rPr>
          <w:rFonts w:ascii="Times New Roman" w:hAnsi="Times New Roman"/>
          <w:sz w:val="22"/>
          <w:szCs w:val="22"/>
        </w:rPr>
        <w:t>cent investment allowance</w:t>
      </w:r>
      <w:r w:rsidR="00DD6670">
        <w:rPr>
          <w:rFonts w:ascii="Times New Roman" w:hAnsi="Times New Roman"/>
          <w:sz w:val="22"/>
          <w:szCs w:val="22"/>
        </w:rPr>
        <w:t xml:space="preserve"> </w:t>
      </w:r>
      <w:r w:rsidR="00DD6670" w:rsidRPr="00DD6670">
        <w:rPr>
          <w:rFonts w:ascii="Times New Roman" w:hAnsi="Times New Roman"/>
          <w:sz w:val="22"/>
          <w:szCs w:val="22"/>
        </w:rPr>
        <w:t xml:space="preserve">that offsets the costs associated with the purchase of </w:t>
      </w:r>
      <w:r w:rsidR="00E36089">
        <w:rPr>
          <w:rFonts w:ascii="Times New Roman" w:hAnsi="Times New Roman"/>
          <w:sz w:val="22"/>
          <w:szCs w:val="22"/>
        </w:rPr>
        <w:t xml:space="preserve">a new </w:t>
      </w:r>
      <w:r w:rsidR="00DD6670">
        <w:rPr>
          <w:rFonts w:ascii="Times New Roman" w:hAnsi="Times New Roman"/>
          <w:sz w:val="22"/>
          <w:szCs w:val="22"/>
        </w:rPr>
        <w:t xml:space="preserve">alternatively fuelled and powered </w:t>
      </w:r>
      <w:r w:rsidR="00DD6670" w:rsidRPr="00DD6670">
        <w:rPr>
          <w:rFonts w:ascii="Times New Roman" w:hAnsi="Times New Roman"/>
          <w:sz w:val="22"/>
          <w:szCs w:val="22"/>
        </w:rPr>
        <w:t xml:space="preserve">ADR 80/03 </w:t>
      </w:r>
      <w:r w:rsidR="00863EF6">
        <w:rPr>
          <w:rFonts w:ascii="Times New Roman" w:hAnsi="Times New Roman"/>
          <w:sz w:val="22"/>
          <w:szCs w:val="22"/>
        </w:rPr>
        <w:t>PLU</w:t>
      </w:r>
      <w:r w:rsidR="007918FD">
        <w:rPr>
          <w:rFonts w:ascii="Times New Roman" w:hAnsi="Times New Roman"/>
          <w:sz w:val="22"/>
          <w:szCs w:val="22"/>
        </w:rPr>
        <w:t xml:space="preserve">S trucks </w:t>
      </w:r>
      <w:r w:rsidRPr="00F21410">
        <w:rPr>
          <w:rFonts w:ascii="Times New Roman" w:hAnsi="Times New Roman"/>
          <w:sz w:val="22"/>
          <w:szCs w:val="22"/>
        </w:rPr>
        <w:t xml:space="preserve">for </w:t>
      </w:r>
      <w:r w:rsidR="008727DC" w:rsidRPr="00F21410">
        <w:rPr>
          <w:rFonts w:ascii="Times New Roman" w:hAnsi="Times New Roman"/>
          <w:sz w:val="22"/>
          <w:szCs w:val="22"/>
        </w:rPr>
        <w:t>ADR 70/00 and later (</w:t>
      </w:r>
      <w:r w:rsidRPr="00F21410">
        <w:rPr>
          <w:rFonts w:ascii="Times New Roman" w:hAnsi="Times New Roman"/>
          <w:sz w:val="22"/>
          <w:szCs w:val="22"/>
        </w:rPr>
        <w:t>post 1996 operators</w:t>
      </w:r>
      <w:r w:rsidR="008727DC" w:rsidRPr="00F21410">
        <w:rPr>
          <w:rFonts w:ascii="Times New Roman" w:hAnsi="Times New Roman"/>
          <w:sz w:val="22"/>
          <w:szCs w:val="22"/>
        </w:rPr>
        <w:t>)</w:t>
      </w:r>
      <w:r w:rsidRPr="00565D92">
        <w:rPr>
          <w:rFonts w:ascii="Times New Roman" w:hAnsi="Times New Roman"/>
          <w:color w:val="FF0000"/>
          <w:sz w:val="22"/>
          <w:szCs w:val="22"/>
        </w:rPr>
        <w:t xml:space="preserve"> </w:t>
      </w:r>
      <w:r w:rsidR="00C43B42">
        <w:rPr>
          <w:rFonts w:ascii="Times New Roman" w:hAnsi="Times New Roman"/>
          <w:sz w:val="22"/>
          <w:szCs w:val="22"/>
        </w:rPr>
        <w:t>effective July 2017</w:t>
      </w:r>
      <w:r w:rsidR="00863EF6">
        <w:rPr>
          <w:rFonts w:ascii="Times New Roman" w:hAnsi="Times New Roman"/>
          <w:sz w:val="22"/>
          <w:szCs w:val="22"/>
        </w:rPr>
        <w:t>.</w:t>
      </w:r>
    </w:p>
    <w:p w14:paraId="2FFBD6C5" w14:textId="77777777" w:rsidR="00340304" w:rsidRDefault="00340304" w:rsidP="00340304">
      <w:pPr>
        <w:pStyle w:val="ListParagraph"/>
        <w:numPr>
          <w:ilvl w:val="0"/>
          <w:numId w:val="7"/>
        </w:numPr>
        <w:spacing w:after="0" w:line="240" w:lineRule="auto"/>
        <w:ind w:left="697" w:hanging="357"/>
        <w:rPr>
          <w:rFonts w:ascii="Times New Roman" w:hAnsi="Times New Roman"/>
        </w:rPr>
      </w:pPr>
      <w:r w:rsidRPr="00340304">
        <w:rPr>
          <w:rFonts w:ascii="Times New Roman" w:hAnsi="Times New Roman"/>
        </w:rPr>
        <w:t xml:space="preserve">Acknowledging that some operators will not be in a position to purchase a new vehicle, the government could consider providing a </w:t>
      </w:r>
      <w:r w:rsidR="00632DEC">
        <w:rPr>
          <w:rFonts w:ascii="Times New Roman" w:hAnsi="Times New Roman"/>
        </w:rPr>
        <w:t>fifteen (</w:t>
      </w:r>
      <w:r w:rsidRPr="00340304">
        <w:rPr>
          <w:rFonts w:ascii="Times New Roman" w:hAnsi="Times New Roman"/>
        </w:rPr>
        <w:t>15</w:t>
      </w:r>
      <w:r w:rsidR="00DD6670">
        <w:rPr>
          <w:rFonts w:ascii="Times New Roman" w:hAnsi="Times New Roman"/>
        </w:rPr>
        <w:t xml:space="preserve">) per cent </w:t>
      </w:r>
      <w:r w:rsidR="00632DEC">
        <w:rPr>
          <w:rFonts w:ascii="Times New Roman" w:hAnsi="Times New Roman"/>
        </w:rPr>
        <w:t>investment allowance</w:t>
      </w:r>
      <w:r w:rsidRPr="00340304">
        <w:rPr>
          <w:rFonts w:ascii="Times New Roman" w:hAnsi="Times New Roman"/>
        </w:rPr>
        <w:t xml:space="preserve"> towards the purchase of used ADR 80/02 and ADR 80/03 emissions controlled trucks.</w:t>
      </w:r>
    </w:p>
    <w:p w14:paraId="6B6B1144" w14:textId="77777777" w:rsidR="008640B2" w:rsidRDefault="008640B2" w:rsidP="00340304">
      <w:pPr>
        <w:pStyle w:val="ListParagraph"/>
        <w:numPr>
          <w:ilvl w:val="0"/>
          <w:numId w:val="7"/>
        </w:numPr>
        <w:spacing w:after="0" w:line="240" w:lineRule="auto"/>
        <w:ind w:left="697" w:hanging="357"/>
        <w:rPr>
          <w:rFonts w:ascii="Times New Roman" w:hAnsi="Times New Roman"/>
        </w:rPr>
      </w:pPr>
      <w:r>
        <w:rPr>
          <w:rFonts w:ascii="Times New Roman" w:hAnsi="Times New Roman"/>
        </w:rPr>
        <w:t>C</w:t>
      </w:r>
      <w:r w:rsidRPr="005C240B">
        <w:rPr>
          <w:rFonts w:ascii="Times New Roman" w:hAnsi="Times New Roman"/>
        </w:rPr>
        <w:t>OAG to work towards providing green vehicle rebates and reducing uniformly federal and state taxes (registration charges and stamp duty) for low emission trucks.</w:t>
      </w:r>
    </w:p>
    <w:p w14:paraId="05824568" w14:textId="1B6A9499" w:rsidR="006818B6" w:rsidRPr="00902870" w:rsidRDefault="006818B6" w:rsidP="00340304">
      <w:pPr>
        <w:pStyle w:val="ListParagraph"/>
        <w:numPr>
          <w:ilvl w:val="0"/>
          <w:numId w:val="7"/>
        </w:numPr>
        <w:spacing w:after="0" w:line="240" w:lineRule="auto"/>
        <w:ind w:left="697" w:hanging="357"/>
        <w:rPr>
          <w:rFonts w:ascii="Times New Roman" w:hAnsi="Times New Roman"/>
        </w:rPr>
      </w:pPr>
      <w:r w:rsidRPr="00902870">
        <w:rPr>
          <w:rFonts w:ascii="Times New Roman" w:hAnsi="Times New Roman"/>
        </w:rPr>
        <w:t xml:space="preserve">COAG to work towards </w:t>
      </w:r>
      <w:r w:rsidR="00902870" w:rsidRPr="00902870">
        <w:rPr>
          <w:rFonts w:ascii="Times New Roman" w:hAnsi="Times New Roman"/>
        </w:rPr>
        <w:t>measures to offset the operator mass losses of a new truck (higher TARE weight due to ma</w:t>
      </w:r>
      <w:r w:rsidR="00641D9A">
        <w:rPr>
          <w:rFonts w:ascii="Times New Roman" w:hAnsi="Times New Roman"/>
        </w:rPr>
        <w:t>ndated emission and safety devi</w:t>
      </w:r>
      <w:r w:rsidR="00641D9A" w:rsidRPr="00641D9A">
        <w:rPr>
          <w:rFonts w:ascii="Times New Roman" w:hAnsi="Times New Roman"/>
          <w:color w:val="FF0000"/>
        </w:rPr>
        <w:t>c</w:t>
      </w:r>
      <w:r w:rsidR="00902870" w:rsidRPr="00902870">
        <w:rPr>
          <w:rFonts w:ascii="Times New Roman" w:hAnsi="Times New Roman"/>
        </w:rPr>
        <w:t>es fitted to new trucks) by allowing higher axle masses for new ADR 80/03; and 80/03 Plus trucks.</w:t>
      </w:r>
    </w:p>
    <w:p w14:paraId="41DCBB8E" w14:textId="6937834A" w:rsidR="002C56CA" w:rsidRDefault="00902870" w:rsidP="00340304">
      <w:pPr>
        <w:pStyle w:val="ListParagraph"/>
        <w:numPr>
          <w:ilvl w:val="0"/>
          <w:numId w:val="7"/>
        </w:numPr>
        <w:spacing w:after="0" w:line="240" w:lineRule="auto"/>
        <w:ind w:left="697" w:hanging="357"/>
        <w:rPr>
          <w:rFonts w:ascii="Times New Roman" w:hAnsi="Times New Roman"/>
        </w:rPr>
      </w:pPr>
      <w:r>
        <w:rPr>
          <w:rFonts w:ascii="Times New Roman" w:hAnsi="Times New Roman"/>
        </w:rPr>
        <w:t>The Department of Environment</w:t>
      </w:r>
      <w:r w:rsidR="002C56CA">
        <w:rPr>
          <w:rFonts w:ascii="Times New Roman" w:hAnsi="Times New Roman"/>
        </w:rPr>
        <w:t xml:space="preserve"> to provide </w:t>
      </w:r>
      <w:r w:rsidR="002C56CA" w:rsidRPr="00DB115C">
        <w:rPr>
          <w:rFonts w:ascii="Times New Roman" w:hAnsi="Times New Roman"/>
        </w:rPr>
        <w:t>funding for the development of a Government and industry accepted metric to quantify and measure energy productivity in the road freight sector</w:t>
      </w:r>
      <w:r w:rsidR="002C56CA">
        <w:rPr>
          <w:rFonts w:ascii="Times New Roman" w:hAnsi="Times New Roman"/>
        </w:rPr>
        <w:t>.</w:t>
      </w:r>
    </w:p>
    <w:p w14:paraId="71AD693D" w14:textId="564EAFCD" w:rsidR="006818B6" w:rsidRPr="00902870" w:rsidRDefault="006818B6" w:rsidP="00340304">
      <w:pPr>
        <w:pStyle w:val="ListParagraph"/>
        <w:numPr>
          <w:ilvl w:val="0"/>
          <w:numId w:val="7"/>
        </w:numPr>
        <w:spacing w:after="0" w:line="240" w:lineRule="auto"/>
        <w:ind w:left="697" w:hanging="357"/>
        <w:rPr>
          <w:rFonts w:ascii="Times New Roman" w:hAnsi="Times New Roman"/>
        </w:rPr>
      </w:pPr>
      <w:r w:rsidRPr="00902870">
        <w:rPr>
          <w:rFonts w:ascii="Times New Roman" w:hAnsi="Times New Roman"/>
        </w:rPr>
        <w:lastRenderedPageBreak/>
        <w:t xml:space="preserve">COAG to work towards </w:t>
      </w:r>
      <w:r w:rsidR="00C43B42" w:rsidRPr="00902870">
        <w:rPr>
          <w:rFonts w:ascii="Times New Roman" w:hAnsi="Times New Roman"/>
        </w:rPr>
        <w:t xml:space="preserve">a determination where the Road User Charge for operators is based upon </w:t>
      </w:r>
      <w:r w:rsidR="00C45BA3" w:rsidRPr="00902870">
        <w:rPr>
          <w:rFonts w:ascii="Times New Roman" w:hAnsi="Times New Roman"/>
        </w:rPr>
        <w:t xml:space="preserve">a </w:t>
      </w:r>
      <w:r w:rsidRPr="00902870">
        <w:rPr>
          <w:rFonts w:ascii="Times New Roman" w:hAnsi="Times New Roman"/>
        </w:rPr>
        <w:t>Mass Distance Location</w:t>
      </w:r>
      <w:r w:rsidR="00C45BA3" w:rsidRPr="00902870">
        <w:rPr>
          <w:rFonts w:ascii="Times New Roman" w:hAnsi="Times New Roman"/>
        </w:rPr>
        <w:t xml:space="preserve"> charge </w:t>
      </w:r>
      <w:r w:rsidR="00902870" w:rsidRPr="00902870">
        <w:rPr>
          <w:rFonts w:ascii="Times New Roman" w:hAnsi="Times New Roman"/>
        </w:rPr>
        <w:t xml:space="preserve">for the vehicle/freight movement </w:t>
      </w:r>
      <w:r w:rsidR="00C45BA3" w:rsidRPr="00902870">
        <w:rPr>
          <w:rFonts w:ascii="Times New Roman" w:hAnsi="Times New Roman"/>
        </w:rPr>
        <w:t>and an E</w:t>
      </w:r>
      <w:r w:rsidRPr="00902870">
        <w:rPr>
          <w:rFonts w:ascii="Times New Roman" w:hAnsi="Times New Roman"/>
        </w:rPr>
        <w:t>nvironment</w:t>
      </w:r>
      <w:r w:rsidR="00C45BA3" w:rsidRPr="00902870">
        <w:rPr>
          <w:rFonts w:ascii="Times New Roman" w:hAnsi="Times New Roman"/>
        </w:rPr>
        <w:t xml:space="preserve">al and </w:t>
      </w:r>
      <w:r w:rsidRPr="00902870">
        <w:rPr>
          <w:rFonts w:ascii="Times New Roman" w:hAnsi="Times New Roman"/>
        </w:rPr>
        <w:t>Safety</w:t>
      </w:r>
      <w:r w:rsidR="00C45BA3" w:rsidRPr="00902870">
        <w:rPr>
          <w:rFonts w:ascii="Times New Roman" w:hAnsi="Times New Roman"/>
        </w:rPr>
        <w:t xml:space="preserve"> levy</w:t>
      </w:r>
      <w:r w:rsidR="00902870" w:rsidRPr="00902870">
        <w:rPr>
          <w:rFonts w:ascii="Times New Roman" w:hAnsi="Times New Roman"/>
        </w:rPr>
        <w:t xml:space="preserve"> for the truck</w:t>
      </w:r>
      <w:r w:rsidR="00C45BA3" w:rsidRPr="00902870">
        <w:rPr>
          <w:rFonts w:ascii="Times New Roman" w:hAnsi="Times New Roman"/>
        </w:rPr>
        <w:t>.</w:t>
      </w:r>
    </w:p>
    <w:p w14:paraId="24AB4DC9" w14:textId="77777777" w:rsidR="008078EA" w:rsidRPr="008640B2" w:rsidRDefault="008078EA" w:rsidP="008640B2">
      <w:pPr>
        <w:numPr>
          <w:ilvl w:val="0"/>
          <w:numId w:val="9"/>
        </w:numPr>
        <w:rPr>
          <w:rFonts w:ascii="Times New Roman" w:hAnsi="Times New Roman"/>
          <w:sz w:val="22"/>
          <w:szCs w:val="22"/>
        </w:rPr>
      </w:pPr>
      <w:r w:rsidRPr="005C240B">
        <w:rPr>
          <w:rFonts w:ascii="Times New Roman" w:hAnsi="Times New Roman"/>
          <w:sz w:val="22"/>
          <w:szCs w:val="22"/>
        </w:rPr>
        <w:t xml:space="preserve">Enhance R&amp;D funding to truck manufacturers and engine manufacturers to develop a world class alternative fuel and powered truck manufacturing industry for domestic use given Australia’s </w:t>
      </w:r>
      <w:r w:rsidR="00677E02">
        <w:rPr>
          <w:rFonts w:ascii="Times New Roman" w:hAnsi="Times New Roman"/>
          <w:sz w:val="22"/>
          <w:szCs w:val="22"/>
        </w:rPr>
        <w:t>competitive strength as a source of abundant natural gas and noting the nation’s unique transport requirements.</w:t>
      </w:r>
    </w:p>
    <w:p w14:paraId="6ECC08D7" w14:textId="77777777" w:rsidR="00462072" w:rsidRDefault="00462072" w:rsidP="008078EA">
      <w:pPr>
        <w:rPr>
          <w:rFonts w:ascii="Times New Roman" w:hAnsi="Times New Roman"/>
          <w:b/>
          <w:sz w:val="22"/>
          <w:szCs w:val="22"/>
        </w:rPr>
      </w:pPr>
    </w:p>
    <w:p w14:paraId="51A0A229" w14:textId="77777777" w:rsidR="00677E02" w:rsidRDefault="00FE0185" w:rsidP="008078EA">
      <w:pPr>
        <w:rPr>
          <w:rFonts w:ascii="Times New Roman" w:hAnsi="Times New Roman"/>
          <w:b/>
          <w:sz w:val="22"/>
          <w:szCs w:val="22"/>
        </w:rPr>
      </w:pPr>
      <w:r>
        <w:rPr>
          <w:rFonts w:ascii="Times New Roman" w:hAnsi="Times New Roman"/>
          <w:b/>
          <w:sz w:val="22"/>
          <w:szCs w:val="22"/>
        </w:rPr>
        <w:t>6</w:t>
      </w:r>
      <w:r w:rsidR="00677E02">
        <w:rPr>
          <w:rFonts w:ascii="Times New Roman" w:hAnsi="Times New Roman"/>
          <w:b/>
          <w:sz w:val="22"/>
          <w:szCs w:val="22"/>
        </w:rPr>
        <w:t xml:space="preserve">. </w:t>
      </w:r>
      <w:r w:rsidR="00677E02">
        <w:rPr>
          <w:rFonts w:ascii="Times New Roman" w:hAnsi="Times New Roman"/>
          <w:b/>
          <w:sz w:val="22"/>
          <w:szCs w:val="22"/>
        </w:rPr>
        <w:tab/>
        <w:t>CONCLUSION</w:t>
      </w:r>
    </w:p>
    <w:p w14:paraId="1A79E1CD" w14:textId="77777777" w:rsidR="00677E02" w:rsidRDefault="00677E02" w:rsidP="008078EA">
      <w:pPr>
        <w:rPr>
          <w:rFonts w:ascii="Times New Roman" w:hAnsi="Times New Roman"/>
          <w:b/>
          <w:sz w:val="22"/>
          <w:szCs w:val="22"/>
        </w:rPr>
      </w:pPr>
    </w:p>
    <w:p w14:paraId="1EB2AEA1" w14:textId="77777777" w:rsidR="0044166A" w:rsidRDefault="008640B2">
      <w:pPr>
        <w:rPr>
          <w:rFonts w:ascii="Times New Roman" w:hAnsi="Times New Roman"/>
          <w:sz w:val="22"/>
          <w:szCs w:val="22"/>
        </w:rPr>
      </w:pPr>
      <w:r>
        <w:rPr>
          <w:rFonts w:ascii="Times New Roman" w:hAnsi="Times New Roman"/>
          <w:sz w:val="22"/>
          <w:szCs w:val="22"/>
        </w:rPr>
        <w:t>Appropriate</w:t>
      </w:r>
      <w:r w:rsidR="008078EA" w:rsidRPr="005C240B">
        <w:rPr>
          <w:rFonts w:ascii="Times New Roman" w:hAnsi="Times New Roman"/>
          <w:sz w:val="22"/>
          <w:szCs w:val="22"/>
        </w:rPr>
        <w:t xml:space="preserve"> consider</w:t>
      </w:r>
      <w:r>
        <w:rPr>
          <w:rFonts w:ascii="Times New Roman" w:hAnsi="Times New Roman"/>
          <w:sz w:val="22"/>
          <w:szCs w:val="22"/>
        </w:rPr>
        <w:t>ation</w:t>
      </w:r>
      <w:r w:rsidR="008078EA" w:rsidRPr="005C240B">
        <w:rPr>
          <w:rFonts w:ascii="Times New Roman" w:hAnsi="Times New Roman"/>
          <w:sz w:val="22"/>
          <w:szCs w:val="22"/>
        </w:rPr>
        <w:t xml:space="preserve"> </w:t>
      </w:r>
      <w:r>
        <w:rPr>
          <w:rFonts w:ascii="Times New Roman" w:hAnsi="Times New Roman"/>
          <w:sz w:val="22"/>
          <w:szCs w:val="22"/>
        </w:rPr>
        <w:t xml:space="preserve">of these policy options will </w:t>
      </w:r>
      <w:r w:rsidR="00524F1A">
        <w:rPr>
          <w:rFonts w:ascii="Times New Roman" w:hAnsi="Times New Roman"/>
          <w:sz w:val="22"/>
          <w:szCs w:val="22"/>
        </w:rPr>
        <w:t xml:space="preserve">increase the potential for </w:t>
      </w:r>
      <w:r w:rsidR="008078EA" w:rsidRPr="005C240B">
        <w:rPr>
          <w:rFonts w:ascii="Times New Roman" w:hAnsi="Times New Roman"/>
          <w:sz w:val="22"/>
          <w:szCs w:val="22"/>
        </w:rPr>
        <w:t xml:space="preserve">the </w:t>
      </w:r>
      <w:r>
        <w:rPr>
          <w:rFonts w:ascii="Times New Roman" w:hAnsi="Times New Roman"/>
          <w:sz w:val="22"/>
          <w:szCs w:val="22"/>
        </w:rPr>
        <w:t xml:space="preserve">modernisation of the </w:t>
      </w:r>
      <w:r w:rsidR="008078EA" w:rsidRPr="005C240B">
        <w:rPr>
          <w:rFonts w:ascii="Times New Roman" w:hAnsi="Times New Roman"/>
          <w:sz w:val="22"/>
          <w:szCs w:val="22"/>
        </w:rPr>
        <w:t xml:space="preserve">Australian truck fleet </w:t>
      </w:r>
      <w:r>
        <w:rPr>
          <w:rFonts w:ascii="Times New Roman" w:hAnsi="Times New Roman"/>
          <w:sz w:val="22"/>
          <w:szCs w:val="22"/>
        </w:rPr>
        <w:t xml:space="preserve">with the subsequent </w:t>
      </w:r>
      <w:r w:rsidR="00524F1A">
        <w:rPr>
          <w:rFonts w:ascii="Times New Roman" w:hAnsi="Times New Roman"/>
          <w:sz w:val="22"/>
          <w:szCs w:val="22"/>
        </w:rPr>
        <w:t xml:space="preserve">energy productivity </w:t>
      </w:r>
      <w:r w:rsidR="00524F1A" w:rsidRPr="005C240B">
        <w:rPr>
          <w:rFonts w:ascii="Times New Roman" w:hAnsi="Times New Roman"/>
          <w:sz w:val="22"/>
          <w:szCs w:val="22"/>
        </w:rPr>
        <w:t>improvements</w:t>
      </w:r>
      <w:r w:rsidR="00524F1A">
        <w:rPr>
          <w:rFonts w:ascii="Times New Roman" w:hAnsi="Times New Roman"/>
          <w:sz w:val="22"/>
          <w:szCs w:val="22"/>
        </w:rPr>
        <w:t xml:space="preserve">, and </w:t>
      </w:r>
      <w:r>
        <w:rPr>
          <w:rFonts w:ascii="Times New Roman" w:hAnsi="Times New Roman"/>
          <w:sz w:val="22"/>
          <w:szCs w:val="22"/>
        </w:rPr>
        <w:t xml:space="preserve">health, environmental, </w:t>
      </w:r>
      <w:r w:rsidR="00524F1A">
        <w:rPr>
          <w:rFonts w:ascii="Times New Roman" w:hAnsi="Times New Roman"/>
          <w:sz w:val="22"/>
          <w:szCs w:val="22"/>
        </w:rPr>
        <w:t xml:space="preserve">and </w:t>
      </w:r>
      <w:r>
        <w:rPr>
          <w:rFonts w:ascii="Times New Roman" w:hAnsi="Times New Roman"/>
          <w:sz w:val="22"/>
          <w:szCs w:val="22"/>
        </w:rPr>
        <w:t xml:space="preserve">safety </w:t>
      </w:r>
      <w:r w:rsidR="009A1565">
        <w:rPr>
          <w:rFonts w:ascii="Times New Roman" w:hAnsi="Times New Roman"/>
          <w:sz w:val="22"/>
          <w:szCs w:val="22"/>
        </w:rPr>
        <w:t>benefit</w:t>
      </w:r>
      <w:r w:rsidR="00524F1A">
        <w:rPr>
          <w:rFonts w:ascii="Times New Roman" w:hAnsi="Times New Roman"/>
          <w:sz w:val="22"/>
          <w:szCs w:val="22"/>
        </w:rPr>
        <w:t xml:space="preserve">s for </w:t>
      </w:r>
      <w:r w:rsidR="009A1565">
        <w:rPr>
          <w:rFonts w:ascii="Times New Roman" w:hAnsi="Times New Roman"/>
          <w:sz w:val="22"/>
          <w:szCs w:val="22"/>
        </w:rPr>
        <w:t xml:space="preserve">all Australians. </w:t>
      </w:r>
      <w:r w:rsidR="00BD5583">
        <w:rPr>
          <w:rFonts w:ascii="Times New Roman" w:hAnsi="Times New Roman"/>
          <w:sz w:val="22"/>
          <w:szCs w:val="22"/>
        </w:rPr>
        <w:t xml:space="preserve"> </w:t>
      </w:r>
      <w:r w:rsidR="006E6968" w:rsidRPr="000E79DD">
        <w:rPr>
          <w:rFonts w:ascii="Times New Roman" w:hAnsi="Times New Roman"/>
          <w:sz w:val="22"/>
          <w:szCs w:val="22"/>
        </w:rPr>
        <w:t>The benefits of implementing</w:t>
      </w:r>
      <w:r w:rsidR="00A436DA" w:rsidRPr="000E79DD">
        <w:rPr>
          <w:rFonts w:ascii="Times New Roman" w:hAnsi="Times New Roman"/>
          <w:sz w:val="22"/>
          <w:szCs w:val="22"/>
        </w:rPr>
        <w:t xml:space="preserve"> this modernisation </w:t>
      </w:r>
      <w:r w:rsidR="00694F9A" w:rsidRPr="000E79DD">
        <w:rPr>
          <w:rFonts w:ascii="Times New Roman" w:hAnsi="Times New Roman"/>
          <w:sz w:val="22"/>
          <w:szCs w:val="22"/>
        </w:rPr>
        <w:t xml:space="preserve">program </w:t>
      </w:r>
      <w:r w:rsidR="00A436DA" w:rsidRPr="000E79DD">
        <w:rPr>
          <w:rFonts w:ascii="Times New Roman" w:hAnsi="Times New Roman"/>
          <w:sz w:val="22"/>
          <w:szCs w:val="22"/>
        </w:rPr>
        <w:t xml:space="preserve">are identified through the avoided health costs associated with noxious emissions </w:t>
      </w:r>
      <w:r w:rsidR="000E79DD" w:rsidRPr="00CA1D89">
        <w:rPr>
          <w:rFonts w:ascii="Times New Roman" w:hAnsi="Times New Roman"/>
          <w:sz w:val="22"/>
          <w:szCs w:val="22"/>
        </w:rPr>
        <w:t>($</w:t>
      </w:r>
      <w:r w:rsidR="00AB2F1A">
        <w:rPr>
          <w:rFonts w:ascii="Times New Roman" w:hAnsi="Times New Roman"/>
          <w:sz w:val="22"/>
          <w:szCs w:val="22"/>
        </w:rPr>
        <w:t>2353.2</w:t>
      </w:r>
      <w:r w:rsidR="00A436DA" w:rsidRPr="00CA1D89">
        <w:rPr>
          <w:rFonts w:ascii="Times New Roman" w:hAnsi="Times New Roman"/>
          <w:sz w:val="22"/>
          <w:szCs w:val="22"/>
        </w:rPr>
        <w:t xml:space="preserve"> Million Median</w:t>
      </w:r>
      <w:r w:rsidR="00A436DA" w:rsidRPr="000E79DD">
        <w:rPr>
          <w:rFonts w:ascii="Times New Roman" w:hAnsi="Times New Roman"/>
          <w:sz w:val="22"/>
          <w:szCs w:val="22"/>
        </w:rPr>
        <w:t xml:space="preserve">), cost savings to the community through avoided fatalities due to safer </w:t>
      </w:r>
      <w:r w:rsidR="000E79DD" w:rsidRPr="000E79DD">
        <w:rPr>
          <w:rFonts w:ascii="Times New Roman" w:hAnsi="Times New Roman"/>
          <w:sz w:val="22"/>
          <w:szCs w:val="22"/>
        </w:rPr>
        <w:t xml:space="preserve">and more productive trucks </w:t>
      </w:r>
      <w:r w:rsidR="00EC42B5" w:rsidRPr="00CA1D89">
        <w:rPr>
          <w:rFonts w:ascii="Times New Roman" w:hAnsi="Times New Roman"/>
          <w:sz w:val="22"/>
          <w:szCs w:val="22"/>
        </w:rPr>
        <w:t>($1</w:t>
      </w:r>
      <w:r w:rsidR="00AB2F1A">
        <w:rPr>
          <w:rFonts w:ascii="Times New Roman" w:hAnsi="Times New Roman"/>
          <w:sz w:val="22"/>
          <w:szCs w:val="22"/>
        </w:rPr>
        <w:t>06.5</w:t>
      </w:r>
      <w:r w:rsidR="00A436DA" w:rsidRPr="00CA1D89">
        <w:rPr>
          <w:rFonts w:ascii="Times New Roman" w:hAnsi="Times New Roman"/>
          <w:sz w:val="22"/>
          <w:szCs w:val="22"/>
        </w:rPr>
        <w:t xml:space="preserve"> Million Median</w:t>
      </w:r>
      <w:r w:rsidR="00A436DA" w:rsidRPr="000E79DD">
        <w:rPr>
          <w:rFonts w:ascii="Times New Roman" w:hAnsi="Times New Roman"/>
          <w:sz w:val="22"/>
          <w:szCs w:val="22"/>
        </w:rPr>
        <w:t>), reduced carbon dioxide emissions due to higher productivi</w:t>
      </w:r>
      <w:r w:rsidR="000E79DD" w:rsidRPr="000E79DD">
        <w:rPr>
          <w:rFonts w:ascii="Times New Roman" w:hAnsi="Times New Roman"/>
          <w:sz w:val="22"/>
          <w:szCs w:val="22"/>
        </w:rPr>
        <w:t xml:space="preserve">ty rates of modern trucks </w:t>
      </w:r>
      <w:r w:rsidR="000E79DD" w:rsidRPr="00CA1D89">
        <w:rPr>
          <w:rFonts w:ascii="Times New Roman" w:hAnsi="Times New Roman"/>
          <w:sz w:val="22"/>
          <w:szCs w:val="22"/>
        </w:rPr>
        <w:t>($</w:t>
      </w:r>
      <w:r w:rsidR="00AB2F1A">
        <w:rPr>
          <w:rFonts w:ascii="Times New Roman" w:hAnsi="Times New Roman"/>
          <w:sz w:val="22"/>
          <w:szCs w:val="22"/>
        </w:rPr>
        <w:t>34.1</w:t>
      </w:r>
      <w:r w:rsidR="00A436DA" w:rsidRPr="00CA1D89">
        <w:rPr>
          <w:rFonts w:ascii="Times New Roman" w:hAnsi="Times New Roman"/>
          <w:sz w:val="22"/>
          <w:szCs w:val="22"/>
        </w:rPr>
        <w:t xml:space="preserve"> Million</w:t>
      </w:r>
      <w:r w:rsidR="00A436DA" w:rsidRPr="000E79DD">
        <w:rPr>
          <w:rFonts w:ascii="Times New Roman" w:hAnsi="Times New Roman"/>
          <w:sz w:val="22"/>
          <w:szCs w:val="22"/>
        </w:rPr>
        <w:t>), and dire</w:t>
      </w:r>
      <w:r w:rsidR="000E79DD" w:rsidRPr="000E79DD">
        <w:rPr>
          <w:rFonts w:ascii="Times New Roman" w:hAnsi="Times New Roman"/>
          <w:sz w:val="22"/>
          <w:szCs w:val="22"/>
        </w:rPr>
        <w:t xml:space="preserve">ct operator cost savings </w:t>
      </w:r>
      <w:r w:rsidR="000E79DD" w:rsidRPr="00CA1D89">
        <w:rPr>
          <w:rFonts w:ascii="Times New Roman" w:hAnsi="Times New Roman"/>
          <w:sz w:val="22"/>
          <w:szCs w:val="22"/>
        </w:rPr>
        <w:t>($</w:t>
      </w:r>
      <w:r w:rsidR="00AB2F1A">
        <w:rPr>
          <w:rFonts w:ascii="Times New Roman" w:hAnsi="Times New Roman"/>
          <w:sz w:val="22"/>
          <w:szCs w:val="22"/>
        </w:rPr>
        <w:t>2676.9</w:t>
      </w:r>
      <w:r w:rsidR="00A436DA" w:rsidRPr="00CA1D89">
        <w:rPr>
          <w:rFonts w:ascii="Times New Roman" w:hAnsi="Times New Roman"/>
          <w:sz w:val="22"/>
          <w:szCs w:val="22"/>
        </w:rPr>
        <w:t xml:space="preserve"> Million Median).</w:t>
      </w:r>
      <w:r w:rsidR="00A436DA" w:rsidRPr="00BF5ADD">
        <w:rPr>
          <w:rFonts w:ascii="Times New Roman" w:hAnsi="Times New Roman"/>
          <w:sz w:val="22"/>
          <w:szCs w:val="22"/>
        </w:rPr>
        <w:t xml:space="preserve"> </w:t>
      </w:r>
      <w:r w:rsidR="00CC290D">
        <w:rPr>
          <w:rFonts w:ascii="Times New Roman" w:hAnsi="Times New Roman"/>
          <w:sz w:val="22"/>
          <w:szCs w:val="22"/>
        </w:rPr>
        <w:t xml:space="preserve">   </w:t>
      </w:r>
    </w:p>
    <w:p w14:paraId="48489C03" w14:textId="77777777" w:rsidR="0044166A" w:rsidRDefault="0044166A">
      <w:pPr>
        <w:rPr>
          <w:rFonts w:ascii="Times New Roman" w:hAnsi="Times New Roman"/>
          <w:sz w:val="22"/>
          <w:szCs w:val="22"/>
        </w:rPr>
      </w:pPr>
    </w:p>
    <w:p w14:paraId="2495EF1E" w14:textId="77777777" w:rsidR="0044166A" w:rsidRDefault="0044166A">
      <w:pPr>
        <w:rPr>
          <w:rFonts w:ascii="Times New Roman" w:hAnsi="Times New Roman"/>
          <w:sz w:val="22"/>
          <w:szCs w:val="22"/>
        </w:rPr>
      </w:pPr>
    </w:p>
    <w:p w14:paraId="27030514" w14:textId="77777777" w:rsidR="0044166A" w:rsidRDefault="0044166A">
      <w:pPr>
        <w:rPr>
          <w:rFonts w:ascii="Times New Roman" w:hAnsi="Times New Roman"/>
          <w:sz w:val="22"/>
          <w:szCs w:val="22"/>
        </w:rPr>
      </w:pPr>
    </w:p>
    <w:p w14:paraId="39E68611" w14:textId="77777777" w:rsidR="0044166A" w:rsidRDefault="0044166A">
      <w:pPr>
        <w:rPr>
          <w:rFonts w:ascii="Times New Roman" w:hAnsi="Times New Roman"/>
          <w:sz w:val="22"/>
          <w:szCs w:val="22"/>
        </w:rPr>
      </w:pPr>
      <w:r>
        <w:rPr>
          <w:rFonts w:ascii="Times New Roman" w:hAnsi="Times New Roman"/>
          <w:sz w:val="22"/>
          <w:szCs w:val="22"/>
        </w:rPr>
        <w:t>Contact Details:</w:t>
      </w:r>
    </w:p>
    <w:p w14:paraId="565E15AA" w14:textId="77777777" w:rsidR="0044166A" w:rsidRDefault="0044166A">
      <w:pPr>
        <w:rPr>
          <w:rFonts w:ascii="Times New Roman" w:hAnsi="Times New Roman"/>
          <w:sz w:val="22"/>
          <w:szCs w:val="22"/>
        </w:rPr>
      </w:pPr>
    </w:p>
    <w:p w14:paraId="7271F498" w14:textId="77777777" w:rsidR="0044166A" w:rsidRDefault="0044166A">
      <w:pPr>
        <w:rPr>
          <w:rFonts w:ascii="Times New Roman" w:hAnsi="Times New Roman"/>
          <w:sz w:val="22"/>
          <w:szCs w:val="22"/>
        </w:rPr>
      </w:pPr>
      <w:r>
        <w:rPr>
          <w:rFonts w:ascii="Times New Roman" w:hAnsi="Times New Roman"/>
          <w:sz w:val="22"/>
          <w:szCs w:val="22"/>
        </w:rPr>
        <w:t>Dr Anthony J McMullan PhD</w:t>
      </w:r>
    </w:p>
    <w:p w14:paraId="5F9F4A54" w14:textId="77777777" w:rsidR="0044166A" w:rsidRDefault="0044166A">
      <w:pPr>
        <w:rPr>
          <w:rFonts w:ascii="Times New Roman" w:hAnsi="Times New Roman"/>
          <w:sz w:val="22"/>
          <w:szCs w:val="22"/>
        </w:rPr>
      </w:pPr>
      <w:r>
        <w:rPr>
          <w:rFonts w:ascii="Times New Roman" w:hAnsi="Times New Roman"/>
          <w:sz w:val="22"/>
          <w:szCs w:val="22"/>
        </w:rPr>
        <w:t>Chief Executive Officer</w:t>
      </w:r>
    </w:p>
    <w:p w14:paraId="2012630F" w14:textId="77777777" w:rsidR="0044166A" w:rsidRDefault="0044166A">
      <w:pPr>
        <w:rPr>
          <w:rFonts w:ascii="Times New Roman" w:hAnsi="Times New Roman"/>
          <w:sz w:val="22"/>
          <w:szCs w:val="22"/>
        </w:rPr>
      </w:pPr>
      <w:r>
        <w:rPr>
          <w:rFonts w:ascii="Times New Roman" w:hAnsi="Times New Roman"/>
          <w:sz w:val="22"/>
          <w:szCs w:val="22"/>
        </w:rPr>
        <w:t>Truck Industry Council</w:t>
      </w:r>
    </w:p>
    <w:p w14:paraId="6499B8A5" w14:textId="77777777" w:rsidR="00175901" w:rsidRDefault="0044166A">
      <w:pPr>
        <w:rPr>
          <w:rFonts w:ascii="Times New Roman" w:hAnsi="Times New Roman"/>
          <w:sz w:val="22"/>
          <w:szCs w:val="22"/>
        </w:rPr>
      </w:pPr>
      <w:r>
        <w:rPr>
          <w:rFonts w:ascii="Times New Roman" w:hAnsi="Times New Roman"/>
          <w:sz w:val="22"/>
          <w:szCs w:val="22"/>
        </w:rPr>
        <w:t>P.O. Box 1843 Milton Queensland 4069</w:t>
      </w:r>
    </w:p>
    <w:p w14:paraId="2AEEFE49" w14:textId="77777777" w:rsidR="00175901" w:rsidRDefault="00175901">
      <w:pPr>
        <w:rPr>
          <w:rFonts w:ascii="Times New Roman" w:hAnsi="Times New Roman"/>
          <w:sz w:val="22"/>
          <w:szCs w:val="22"/>
        </w:rPr>
      </w:pPr>
      <w:r>
        <w:rPr>
          <w:rFonts w:ascii="Times New Roman" w:hAnsi="Times New Roman"/>
          <w:sz w:val="22"/>
          <w:szCs w:val="22"/>
        </w:rPr>
        <w:t>Phone: 02 6273 3233</w:t>
      </w:r>
    </w:p>
    <w:p w14:paraId="25B11BF6" w14:textId="6F158C2E" w:rsidR="004B3EB7" w:rsidRPr="00AB2F1A" w:rsidRDefault="00175901">
      <w:pPr>
        <w:rPr>
          <w:rFonts w:ascii="Times New Roman" w:hAnsi="Times New Roman"/>
          <w:sz w:val="22"/>
          <w:szCs w:val="22"/>
          <w:highlight w:val="red"/>
        </w:rPr>
      </w:pPr>
      <w:r>
        <w:rPr>
          <w:rFonts w:ascii="Times New Roman" w:hAnsi="Times New Roman"/>
          <w:sz w:val="22"/>
          <w:szCs w:val="22"/>
        </w:rPr>
        <w:t>Mobile: 0427 941 281</w:t>
      </w:r>
      <w:r w:rsidR="004B3EB7">
        <w:rPr>
          <w:rFonts w:ascii="Times New Roman" w:hAnsi="Times New Roman"/>
          <w:color w:val="FF0000"/>
          <w:sz w:val="22"/>
          <w:szCs w:val="22"/>
        </w:rPr>
        <w:br w:type="page"/>
      </w:r>
    </w:p>
    <w:tbl>
      <w:tblPr>
        <w:tblW w:w="9420" w:type="dxa"/>
        <w:tblLook w:val="04A0" w:firstRow="1" w:lastRow="0" w:firstColumn="1" w:lastColumn="0" w:noHBand="0" w:noVBand="1"/>
      </w:tblPr>
      <w:tblGrid>
        <w:gridCol w:w="1600"/>
        <w:gridCol w:w="1780"/>
        <w:gridCol w:w="2780"/>
        <w:gridCol w:w="3260"/>
      </w:tblGrid>
      <w:tr w:rsidR="0085380B" w:rsidRPr="0085380B" w14:paraId="5B954E69" w14:textId="77777777" w:rsidTr="0085380B">
        <w:trPr>
          <w:trHeight w:val="247"/>
        </w:trPr>
        <w:tc>
          <w:tcPr>
            <w:tcW w:w="9420" w:type="dxa"/>
            <w:gridSpan w:val="4"/>
            <w:tcBorders>
              <w:top w:val="nil"/>
              <w:left w:val="nil"/>
              <w:bottom w:val="nil"/>
              <w:right w:val="nil"/>
            </w:tcBorders>
            <w:shd w:val="clear" w:color="auto" w:fill="auto"/>
            <w:vAlign w:val="center"/>
          </w:tcPr>
          <w:p w14:paraId="044C639C" w14:textId="77777777" w:rsidR="0085380B" w:rsidRDefault="004B3EB7" w:rsidP="0085380B">
            <w:pPr>
              <w:rPr>
                <w:rFonts w:ascii="Times New Roman" w:hAnsi="Times New Roman"/>
                <w:b/>
              </w:rPr>
            </w:pPr>
            <w:r w:rsidRPr="00462072">
              <w:rPr>
                <w:rFonts w:ascii="Times New Roman" w:hAnsi="Times New Roman"/>
                <w:b/>
              </w:rPr>
              <w:lastRenderedPageBreak/>
              <w:t>Appendix A</w:t>
            </w:r>
            <w:r w:rsidR="001900F6">
              <w:rPr>
                <w:rFonts w:ascii="Times New Roman" w:hAnsi="Times New Roman"/>
                <w:b/>
              </w:rPr>
              <w:t>.</w:t>
            </w:r>
            <w:r w:rsidR="00462072" w:rsidRPr="00462072">
              <w:rPr>
                <w:rFonts w:ascii="Times New Roman" w:hAnsi="Times New Roman"/>
                <w:b/>
              </w:rPr>
              <w:t xml:space="preserve"> </w:t>
            </w:r>
            <w:r w:rsidR="00462072" w:rsidRPr="00462072">
              <w:rPr>
                <w:rFonts w:ascii="Times New Roman" w:hAnsi="Times New Roman"/>
                <w:b/>
              </w:rPr>
              <w:tab/>
            </w:r>
            <w:r w:rsidR="00462072">
              <w:rPr>
                <w:rFonts w:ascii="Times New Roman" w:hAnsi="Times New Roman"/>
                <w:b/>
              </w:rPr>
              <w:tab/>
            </w:r>
            <w:r w:rsidR="00462072" w:rsidRPr="00462072">
              <w:rPr>
                <w:rFonts w:ascii="Times New Roman" w:hAnsi="Times New Roman"/>
                <w:b/>
              </w:rPr>
              <w:t>Average Age of Heavy V</w:t>
            </w:r>
            <w:r w:rsidR="0085380B" w:rsidRPr="00462072">
              <w:rPr>
                <w:rFonts w:ascii="Times New Roman" w:hAnsi="Times New Roman"/>
                <w:b/>
              </w:rPr>
              <w:t>ehicles above 4.5t GVM</w:t>
            </w:r>
          </w:p>
          <w:p w14:paraId="01961411" w14:textId="77777777" w:rsidR="001900F6" w:rsidRDefault="001900F6" w:rsidP="0085380B">
            <w:pPr>
              <w:rPr>
                <w:rFonts w:ascii="Times New Roman" w:hAnsi="Times New Roman"/>
                <w:b/>
              </w:rPr>
            </w:pPr>
          </w:p>
          <w:p w14:paraId="3A2C9678" w14:textId="1A4305B4" w:rsidR="001900F6" w:rsidRPr="0085380B" w:rsidRDefault="001900F6" w:rsidP="0085380B">
            <w:pPr>
              <w:rPr>
                <w:rFonts w:ascii="Times New Roman" w:eastAsia="Times New Roman" w:hAnsi="Times New Roman"/>
                <w:color w:val="000000"/>
                <w:sz w:val="28"/>
                <w:szCs w:val="28"/>
                <w:lang w:eastAsia="en-AU"/>
              </w:rPr>
            </w:pPr>
          </w:p>
        </w:tc>
      </w:tr>
      <w:tr w:rsidR="0085380B" w:rsidRPr="0085380B" w14:paraId="4B16B799" w14:textId="77777777" w:rsidTr="0085380B">
        <w:trPr>
          <w:trHeight w:val="300"/>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E03A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Country</w:t>
            </w:r>
          </w:p>
        </w:tc>
        <w:tc>
          <w:tcPr>
            <w:tcW w:w="4560" w:type="dxa"/>
            <w:gridSpan w:val="2"/>
            <w:tcBorders>
              <w:top w:val="single" w:sz="4" w:space="0" w:color="auto"/>
              <w:left w:val="nil"/>
              <w:bottom w:val="single" w:sz="4" w:space="0" w:color="auto"/>
              <w:right w:val="single" w:sz="4" w:space="0" w:color="auto"/>
            </w:tcBorders>
            <w:shd w:val="clear" w:color="auto" w:fill="auto"/>
            <w:vAlign w:val="center"/>
            <w:hideMark/>
          </w:tcPr>
          <w:p w14:paraId="0B0F4B5B"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A972E"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Data Source/Comments</w:t>
            </w:r>
          </w:p>
        </w:tc>
      </w:tr>
      <w:tr w:rsidR="0085380B" w:rsidRPr="0085380B" w14:paraId="0D107607" w14:textId="77777777" w:rsidTr="0085380B">
        <w:trPr>
          <w:trHeight w:val="300"/>
        </w:trPr>
        <w:tc>
          <w:tcPr>
            <w:tcW w:w="1600" w:type="dxa"/>
            <w:vMerge/>
            <w:tcBorders>
              <w:top w:val="single" w:sz="4" w:space="0" w:color="auto"/>
              <w:left w:val="single" w:sz="4" w:space="0" w:color="auto"/>
              <w:bottom w:val="single" w:sz="4" w:space="0" w:color="auto"/>
              <w:right w:val="single" w:sz="4" w:space="0" w:color="auto"/>
            </w:tcBorders>
            <w:vAlign w:val="center"/>
            <w:hideMark/>
          </w:tcPr>
          <w:p w14:paraId="418E3409" w14:textId="77777777" w:rsidR="0085380B" w:rsidRPr="001900F6" w:rsidRDefault="0085380B" w:rsidP="0085380B">
            <w:pPr>
              <w:rPr>
                <w:rFonts w:ascii="Times New Roman" w:eastAsia="Times New Roman" w:hAnsi="Times New Roman"/>
                <w:color w:val="000000"/>
                <w:sz w:val="20"/>
                <w:szCs w:val="20"/>
                <w:lang w:eastAsia="en-AU"/>
              </w:rPr>
            </w:pPr>
          </w:p>
        </w:tc>
        <w:tc>
          <w:tcPr>
            <w:tcW w:w="1780" w:type="dxa"/>
            <w:tcBorders>
              <w:top w:val="nil"/>
              <w:left w:val="nil"/>
              <w:bottom w:val="single" w:sz="4" w:space="0" w:color="auto"/>
              <w:right w:val="single" w:sz="4" w:space="0" w:color="auto"/>
            </w:tcBorders>
            <w:shd w:val="clear" w:color="auto" w:fill="auto"/>
            <w:vAlign w:val="center"/>
            <w:hideMark/>
          </w:tcPr>
          <w:p w14:paraId="076F13BE"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2014</w:t>
            </w:r>
          </w:p>
        </w:tc>
        <w:tc>
          <w:tcPr>
            <w:tcW w:w="2780" w:type="dxa"/>
            <w:tcBorders>
              <w:top w:val="nil"/>
              <w:left w:val="nil"/>
              <w:bottom w:val="single" w:sz="4" w:space="0" w:color="auto"/>
              <w:right w:val="single" w:sz="4" w:space="0" w:color="auto"/>
            </w:tcBorders>
            <w:shd w:val="clear" w:color="auto" w:fill="auto"/>
            <w:vAlign w:val="center"/>
            <w:hideMark/>
          </w:tcPr>
          <w:p w14:paraId="4B5504A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2015</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A0C0C8" w14:textId="77777777" w:rsidR="0085380B" w:rsidRPr="001900F6" w:rsidRDefault="0085380B" w:rsidP="0085380B">
            <w:pPr>
              <w:rPr>
                <w:rFonts w:ascii="Times New Roman" w:eastAsia="Times New Roman" w:hAnsi="Times New Roman"/>
                <w:color w:val="000000"/>
                <w:sz w:val="20"/>
                <w:szCs w:val="20"/>
                <w:lang w:eastAsia="en-AU"/>
              </w:rPr>
            </w:pPr>
          </w:p>
        </w:tc>
      </w:tr>
      <w:tr w:rsidR="0085380B" w:rsidRPr="0085380B" w14:paraId="7ACF8821"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4B8C94F4"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Germany</w:t>
            </w:r>
          </w:p>
        </w:tc>
        <w:tc>
          <w:tcPr>
            <w:tcW w:w="1780" w:type="dxa"/>
            <w:tcBorders>
              <w:top w:val="nil"/>
              <w:left w:val="nil"/>
              <w:bottom w:val="single" w:sz="4" w:space="0" w:color="auto"/>
              <w:right w:val="single" w:sz="4" w:space="0" w:color="auto"/>
            </w:tcBorders>
            <w:shd w:val="clear" w:color="auto" w:fill="auto"/>
            <w:vAlign w:val="center"/>
            <w:hideMark/>
          </w:tcPr>
          <w:p w14:paraId="6B3B2722"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 xml:space="preserve">6.7 </w:t>
            </w:r>
            <w:r w:rsidRPr="001900F6">
              <w:rPr>
                <w:rFonts w:ascii="Times New Roman" w:eastAsia="Times New Roman" w:hAnsi="Times New Roman"/>
                <w:b/>
                <w:bCs/>
                <w:sz w:val="20"/>
                <w:szCs w:val="20"/>
                <w:lang w:eastAsia="en-AU"/>
              </w:rPr>
              <w:t>(Includes LCV's, &lt;3.5t GVM)</w:t>
            </w:r>
          </w:p>
        </w:tc>
        <w:tc>
          <w:tcPr>
            <w:tcW w:w="2780" w:type="dxa"/>
            <w:tcBorders>
              <w:top w:val="nil"/>
              <w:left w:val="nil"/>
              <w:bottom w:val="single" w:sz="4" w:space="0" w:color="auto"/>
              <w:right w:val="single" w:sz="4" w:space="0" w:color="auto"/>
            </w:tcBorders>
            <w:shd w:val="clear" w:color="auto" w:fill="auto"/>
            <w:vAlign w:val="center"/>
            <w:hideMark/>
          </w:tcPr>
          <w:p w14:paraId="57594307"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166D512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0AFA1FCD" w14:textId="77777777" w:rsidTr="0085380B">
        <w:trPr>
          <w:trHeight w:val="9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06A64BF5"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Austria</w:t>
            </w:r>
          </w:p>
        </w:tc>
        <w:tc>
          <w:tcPr>
            <w:tcW w:w="1780" w:type="dxa"/>
            <w:tcBorders>
              <w:top w:val="nil"/>
              <w:left w:val="nil"/>
              <w:bottom w:val="single" w:sz="4" w:space="0" w:color="auto"/>
              <w:right w:val="single" w:sz="4" w:space="0" w:color="auto"/>
            </w:tcBorders>
            <w:shd w:val="clear" w:color="auto" w:fill="auto"/>
            <w:vAlign w:val="center"/>
            <w:hideMark/>
          </w:tcPr>
          <w:p w14:paraId="34BCB41F"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 xml:space="preserve">7.05 </w:t>
            </w:r>
            <w:r w:rsidRPr="001900F6">
              <w:rPr>
                <w:rFonts w:ascii="Times New Roman" w:eastAsia="Times New Roman" w:hAnsi="Times New Roman"/>
                <w:b/>
                <w:bCs/>
                <w:sz w:val="20"/>
                <w:szCs w:val="20"/>
                <w:lang w:eastAsia="en-AU"/>
              </w:rPr>
              <w:t>(Includes LCV's, &lt;3.5t GVM)</w:t>
            </w:r>
          </w:p>
        </w:tc>
        <w:tc>
          <w:tcPr>
            <w:tcW w:w="2780" w:type="dxa"/>
            <w:tcBorders>
              <w:top w:val="nil"/>
              <w:left w:val="nil"/>
              <w:bottom w:val="single" w:sz="4" w:space="0" w:color="auto"/>
              <w:right w:val="single" w:sz="4" w:space="0" w:color="auto"/>
            </w:tcBorders>
            <w:shd w:val="clear" w:color="auto" w:fill="auto"/>
            <w:vAlign w:val="center"/>
            <w:hideMark/>
          </w:tcPr>
          <w:p w14:paraId="4656D2FE"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0BE929ED"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1BFB9A39"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38A29F84"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Sweden</w:t>
            </w:r>
          </w:p>
        </w:tc>
        <w:tc>
          <w:tcPr>
            <w:tcW w:w="1780" w:type="dxa"/>
            <w:tcBorders>
              <w:top w:val="nil"/>
              <w:left w:val="nil"/>
              <w:bottom w:val="single" w:sz="4" w:space="0" w:color="auto"/>
              <w:right w:val="single" w:sz="4" w:space="0" w:color="auto"/>
            </w:tcBorders>
            <w:shd w:val="clear" w:color="auto" w:fill="auto"/>
            <w:vAlign w:val="center"/>
            <w:hideMark/>
          </w:tcPr>
          <w:p w14:paraId="51CE4C97"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7.07 (&gt;3.5t GVM)</w:t>
            </w:r>
          </w:p>
        </w:tc>
        <w:tc>
          <w:tcPr>
            <w:tcW w:w="2780" w:type="dxa"/>
            <w:tcBorders>
              <w:top w:val="nil"/>
              <w:left w:val="nil"/>
              <w:bottom w:val="single" w:sz="4" w:space="0" w:color="auto"/>
              <w:right w:val="single" w:sz="4" w:space="0" w:color="auto"/>
            </w:tcBorders>
            <w:shd w:val="clear" w:color="auto" w:fill="auto"/>
            <w:vAlign w:val="center"/>
            <w:hideMark/>
          </w:tcPr>
          <w:p w14:paraId="725D1B3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78E8F493"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7FADDC92"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1E58491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France</w:t>
            </w:r>
          </w:p>
        </w:tc>
        <w:tc>
          <w:tcPr>
            <w:tcW w:w="1780" w:type="dxa"/>
            <w:tcBorders>
              <w:top w:val="nil"/>
              <w:left w:val="nil"/>
              <w:bottom w:val="single" w:sz="4" w:space="0" w:color="auto"/>
              <w:right w:val="single" w:sz="4" w:space="0" w:color="auto"/>
            </w:tcBorders>
            <w:shd w:val="clear" w:color="auto" w:fill="auto"/>
            <w:vAlign w:val="center"/>
            <w:hideMark/>
          </w:tcPr>
          <w:p w14:paraId="3BF7A1CF"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7.3 (&gt;3.5t GVM)</w:t>
            </w:r>
          </w:p>
        </w:tc>
        <w:tc>
          <w:tcPr>
            <w:tcW w:w="2780" w:type="dxa"/>
            <w:tcBorders>
              <w:top w:val="nil"/>
              <w:left w:val="nil"/>
              <w:bottom w:val="single" w:sz="4" w:space="0" w:color="auto"/>
              <w:right w:val="single" w:sz="4" w:space="0" w:color="auto"/>
            </w:tcBorders>
            <w:shd w:val="clear" w:color="auto" w:fill="auto"/>
            <w:vAlign w:val="center"/>
            <w:hideMark/>
          </w:tcPr>
          <w:p w14:paraId="2607687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053FE7D7"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IHS Automotive</w:t>
            </w:r>
          </w:p>
        </w:tc>
      </w:tr>
      <w:tr w:rsidR="0085380B" w:rsidRPr="0085380B" w14:paraId="0FB491DF"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4BF3D974"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Netherlands</w:t>
            </w:r>
          </w:p>
        </w:tc>
        <w:tc>
          <w:tcPr>
            <w:tcW w:w="1780" w:type="dxa"/>
            <w:tcBorders>
              <w:top w:val="nil"/>
              <w:left w:val="nil"/>
              <w:bottom w:val="single" w:sz="4" w:space="0" w:color="auto"/>
              <w:right w:val="single" w:sz="4" w:space="0" w:color="auto"/>
            </w:tcBorders>
            <w:shd w:val="clear" w:color="auto" w:fill="auto"/>
            <w:vAlign w:val="center"/>
            <w:hideMark/>
          </w:tcPr>
          <w:p w14:paraId="64EA2043"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7.4 (&gt;3.5t GVM)</w:t>
            </w:r>
          </w:p>
        </w:tc>
        <w:tc>
          <w:tcPr>
            <w:tcW w:w="2780" w:type="dxa"/>
            <w:tcBorders>
              <w:top w:val="nil"/>
              <w:left w:val="nil"/>
              <w:bottom w:val="single" w:sz="4" w:space="0" w:color="auto"/>
              <w:right w:val="single" w:sz="4" w:space="0" w:color="auto"/>
            </w:tcBorders>
            <w:shd w:val="clear" w:color="auto" w:fill="auto"/>
            <w:vAlign w:val="center"/>
            <w:hideMark/>
          </w:tcPr>
          <w:p w14:paraId="04E4A47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528692A4"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19DD590A" w14:textId="77777777" w:rsidTr="0085380B">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1D4CC7E5"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Denmark</w:t>
            </w:r>
          </w:p>
        </w:tc>
        <w:tc>
          <w:tcPr>
            <w:tcW w:w="1780" w:type="dxa"/>
            <w:tcBorders>
              <w:top w:val="nil"/>
              <w:left w:val="nil"/>
              <w:bottom w:val="single" w:sz="4" w:space="0" w:color="auto"/>
              <w:right w:val="single" w:sz="4" w:space="0" w:color="auto"/>
            </w:tcBorders>
            <w:shd w:val="clear" w:color="auto" w:fill="auto"/>
            <w:vAlign w:val="center"/>
            <w:hideMark/>
          </w:tcPr>
          <w:p w14:paraId="259D524B"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7.5 (&gt;3.5t GVM)</w:t>
            </w:r>
          </w:p>
        </w:tc>
        <w:tc>
          <w:tcPr>
            <w:tcW w:w="2780" w:type="dxa"/>
            <w:tcBorders>
              <w:top w:val="nil"/>
              <w:left w:val="nil"/>
              <w:bottom w:val="single" w:sz="4" w:space="0" w:color="auto"/>
              <w:right w:val="single" w:sz="4" w:space="0" w:color="auto"/>
            </w:tcBorders>
            <w:shd w:val="clear" w:color="auto" w:fill="auto"/>
            <w:vAlign w:val="center"/>
            <w:hideMark/>
          </w:tcPr>
          <w:p w14:paraId="1F6AC045"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5D5ED34F"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0D5891E5" w14:textId="77777777" w:rsidTr="0085380B">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5BAD9837"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Great Britain</w:t>
            </w:r>
          </w:p>
        </w:tc>
        <w:tc>
          <w:tcPr>
            <w:tcW w:w="1780" w:type="dxa"/>
            <w:tcBorders>
              <w:top w:val="nil"/>
              <w:left w:val="nil"/>
              <w:bottom w:val="single" w:sz="4" w:space="0" w:color="auto"/>
              <w:right w:val="single" w:sz="4" w:space="0" w:color="auto"/>
            </w:tcBorders>
            <w:shd w:val="clear" w:color="auto" w:fill="auto"/>
            <w:vAlign w:val="center"/>
            <w:hideMark/>
          </w:tcPr>
          <w:p w14:paraId="2DB5700A"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7.6 (&gt;3.5t GVM)</w:t>
            </w:r>
          </w:p>
        </w:tc>
        <w:tc>
          <w:tcPr>
            <w:tcW w:w="2780" w:type="dxa"/>
            <w:tcBorders>
              <w:top w:val="nil"/>
              <w:left w:val="nil"/>
              <w:bottom w:val="single" w:sz="4" w:space="0" w:color="auto"/>
              <w:right w:val="single" w:sz="4" w:space="0" w:color="auto"/>
            </w:tcBorders>
            <w:shd w:val="clear" w:color="auto" w:fill="auto"/>
            <w:vAlign w:val="center"/>
            <w:hideMark/>
          </w:tcPr>
          <w:p w14:paraId="2498055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77121FBD"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4FB8D34C"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19E1B7F7"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South Africa</w:t>
            </w:r>
          </w:p>
        </w:tc>
        <w:tc>
          <w:tcPr>
            <w:tcW w:w="1780" w:type="dxa"/>
            <w:tcBorders>
              <w:top w:val="nil"/>
              <w:left w:val="nil"/>
              <w:bottom w:val="single" w:sz="4" w:space="0" w:color="auto"/>
              <w:right w:val="single" w:sz="4" w:space="0" w:color="auto"/>
            </w:tcBorders>
            <w:shd w:val="clear" w:color="auto" w:fill="auto"/>
            <w:vAlign w:val="center"/>
            <w:hideMark/>
          </w:tcPr>
          <w:p w14:paraId="035B33EF"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2780" w:type="dxa"/>
            <w:tcBorders>
              <w:top w:val="nil"/>
              <w:left w:val="nil"/>
              <w:bottom w:val="single" w:sz="4" w:space="0" w:color="auto"/>
              <w:right w:val="single" w:sz="4" w:space="0" w:color="auto"/>
            </w:tcBorders>
            <w:shd w:val="clear" w:color="auto" w:fill="auto"/>
            <w:vAlign w:val="center"/>
            <w:hideMark/>
          </w:tcPr>
          <w:p w14:paraId="5CE409F3"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color w:val="000000"/>
                <w:sz w:val="20"/>
                <w:szCs w:val="20"/>
                <w:lang w:eastAsia="en-AU"/>
              </w:rPr>
              <w:t xml:space="preserve">9.8 </w:t>
            </w:r>
            <w:r w:rsidRPr="001900F6">
              <w:rPr>
                <w:rFonts w:ascii="Times New Roman" w:eastAsia="Times New Roman" w:hAnsi="Times New Roman"/>
                <w:sz w:val="20"/>
                <w:szCs w:val="20"/>
                <w:lang w:eastAsia="en-AU"/>
              </w:rPr>
              <w:t>(Includes LCV's, &lt;3.5t GVM)**</w:t>
            </w:r>
            <w:r w:rsidRPr="001900F6">
              <w:rPr>
                <w:rFonts w:ascii="Times New Roman" w:eastAsia="Times New Roman" w:hAnsi="Times New Roman"/>
                <w:b/>
                <w:bCs/>
                <w:sz w:val="20"/>
                <w:szCs w:val="20"/>
                <w:lang w:eastAsia="en-AU"/>
              </w:rPr>
              <w:t xml:space="preserve"> </w:t>
            </w:r>
            <w:r w:rsidRPr="001900F6">
              <w:rPr>
                <w:rFonts w:ascii="Times New Roman" w:eastAsia="Times New Roman" w:hAnsi="Times New Roman"/>
                <w:b/>
                <w:bCs/>
                <w:color w:val="FF0000"/>
                <w:sz w:val="20"/>
                <w:szCs w:val="20"/>
                <w:lang w:eastAsia="en-AU"/>
              </w:rPr>
              <w:t xml:space="preserve">                                    </w:t>
            </w:r>
            <w:r w:rsidRPr="001900F6">
              <w:rPr>
                <w:rFonts w:ascii="Times New Roman" w:eastAsia="Times New Roman" w:hAnsi="Times New Roman"/>
                <w:b/>
                <w:bCs/>
                <w:sz w:val="20"/>
                <w:szCs w:val="20"/>
                <w:lang w:eastAsia="en-AU"/>
              </w:rPr>
              <w:t xml:space="preserve">  8.9 (&gt;3.5t GVM)**</w:t>
            </w:r>
          </w:p>
        </w:tc>
        <w:tc>
          <w:tcPr>
            <w:tcW w:w="3260" w:type="dxa"/>
            <w:tcBorders>
              <w:top w:val="nil"/>
              <w:left w:val="nil"/>
              <w:bottom w:val="single" w:sz="4" w:space="0" w:color="auto"/>
              <w:right w:val="single" w:sz="4" w:space="0" w:color="auto"/>
            </w:tcBorders>
            <w:shd w:val="clear" w:color="auto" w:fill="auto"/>
            <w:vAlign w:val="center"/>
            <w:hideMark/>
          </w:tcPr>
          <w:p w14:paraId="335E9CF9"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NAAMSA January 2017                                                   2016 December data</w:t>
            </w:r>
          </w:p>
        </w:tc>
      </w:tr>
      <w:tr w:rsidR="0085380B" w:rsidRPr="0085380B" w14:paraId="0E40F15F" w14:textId="77777777" w:rsidTr="0085380B">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008EF875"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Belgium</w:t>
            </w:r>
          </w:p>
        </w:tc>
        <w:tc>
          <w:tcPr>
            <w:tcW w:w="1780" w:type="dxa"/>
            <w:tcBorders>
              <w:top w:val="nil"/>
              <w:left w:val="nil"/>
              <w:bottom w:val="single" w:sz="4" w:space="0" w:color="auto"/>
              <w:right w:val="single" w:sz="4" w:space="0" w:color="auto"/>
            </w:tcBorders>
            <w:shd w:val="clear" w:color="auto" w:fill="auto"/>
            <w:vAlign w:val="center"/>
            <w:hideMark/>
          </w:tcPr>
          <w:p w14:paraId="07DE5EEC"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9.4 (&gt;3.5t GVM)</w:t>
            </w:r>
          </w:p>
        </w:tc>
        <w:tc>
          <w:tcPr>
            <w:tcW w:w="2780" w:type="dxa"/>
            <w:tcBorders>
              <w:top w:val="nil"/>
              <w:left w:val="nil"/>
              <w:bottom w:val="single" w:sz="4" w:space="0" w:color="auto"/>
              <w:right w:val="single" w:sz="4" w:space="0" w:color="auto"/>
            </w:tcBorders>
            <w:shd w:val="clear" w:color="auto" w:fill="auto"/>
            <w:vAlign w:val="center"/>
            <w:hideMark/>
          </w:tcPr>
          <w:p w14:paraId="78EC42F9"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1AD23B7D"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1BC871BA" w14:textId="77777777" w:rsidTr="0085380B">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6C787D82"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Japan</w:t>
            </w:r>
          </w:p>
        </w:tc>
        <w:tc>
          <w:tcPr>
            <w:tcW w:w="1780" w:type="dxa"/>
            <w:tcBorders>
              <w:top w:val="nil"/>
              <w:left w:val="nil"/>
              <w:bottom w:val="single" w:sz="4" w:space="0" w:color="auto"/>
              <w:right w:val="single" w:sz="4" w:space="0" w:color="auto"/>
            </w:tcBorders>
            <w:shd w:val="clear" w:color="auto" w:fill="auto"/>
            <w:vAlign w:val="center"/>
            <w:hideMark/>
          </w:tcPr>
          <w:p w14:paraId="6573E6AD"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11.8 (&gt;3.5t GVM)</w:t>
            </w:r>
          </w:p>
        </w:tc>
        <w:tc>
          <w:tcPr>
            <w:tcW w:w="2780" w:type="dxa"/>
            <w:tcBorders>
              <w:top w:val="nil"/>
              <w:left w:val="nil"/>
              <w:bottom w:val="single" w:sz="4" w:space="0" w:color="auto"/>
              <w:right w:val="single" w:sz="4" w:space="0" w:color="auto"/>
            </w:tcBorders>
            <w:shd w:val="clear" w:color="auto" w:fill="auto"/>
            <w:vAlign w:val="center"/>
            <w:hideMark/>
          </w:tcPr>
          <w:p w14:paraId="2A655DD4"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11.9 (&gt;3.5t GVM)</w:t>
            </w:r>
          </w:p>
        </w:tc>
        <w:tc>
          <w:tcPr>
            <w:tcW w:w="3260" w:type="dxa"/>
            <w:tcBorders>
              <w:top w:val="nil"/>
              <w:left w:val="nil"/>
              <w:bottom w:val="single" w:sz="4" w:space="0" w:color="auto"/>
              <w:right w:val="single" w:sz="4" w:space="0" w:color="auto"/>
            </w:tcBorders>
            <w:shd w:val="clear" w:color="auto" w:fill="auto"/>
            <w:vAlign w:val="center"/>
            <w:hideMark/>
          </w:tcPr>
          <w:p w14:paraId="0DCD65D6"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JAMA January 2017</w:t>
            </w:r>
          </w:p>
        </w:tc>
      </w:tr>
      <w:tr w:rsidR="0085380B" w:rsidRPr="0085380B" w14:paraId="5521425A"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73BF9BC6"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Hungary</w:t>
            </w:r>
          </w:p>
        </w:tc>
        <w:tc>
          <w:tcPr>
            <w:tcW w:w="1780" w:type="dxa"/>
            <w:tcBorders>
              <w:top w:val="nil"/>
              <w:left w:val="nil"/>
              <w:bottom w:val="single" w:sz="4" w:space="0" w:color="auto"/>
              <w:right w:val="single" w:sz="4" w:space="0" w:color="auto"/>
            </w:tcBorders>
            <w:shd w:val="clear" w:color="auto" w:fill="auto"/>
            <w:vAlign w:val="center"/>
            <w:hideMark/>
          </w:tcPr>
          <w:p w14:paraId="18C7E568"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12.6 (&gt;3.5t GVM)</w:t>
            </w:r>
          </w:p>
        </w:tc>
        <w:tc>
          <w:tcPr>
            <w:tcW w:w="2780" w:type="dxa"/>
            <w:tcBorders>
              <w:top w:val="nil"/>
              <w:left w:val="nil"/>
              <w:bottom w:val="single" w:sz="4" w:space="0" w:color="auto"/>
              <w:right w:val="single" w:sz="4" w:space="0" w:color="auto"/>
            </w:tcBorders>
            <w:shd w:val="clear" w:color="auto" w:fill="auto"/>
            <w:vAlign w:val="center"/>
            <w:hideMark/>
          </w:tcPr>
          <w:p w14:paraId="47B87E9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0BDDC027"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4CA035CA"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77FB5AA6"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Spain</w:t>
            </w:r>
          </w:p>
        </w:tc>
        <w:tc>
          <w:tcPr>
            <w:tcW w:w="1780" w:type="dxa"/>
            <w:tcBorders>
              <w:top w:val="nil"/>
              <w:left w:val="nil"/>
              <w:bottom w:val="single" w:sz="4" w:space="0" w:color="auto"/>
              <w:right w:val="single" w:sz="4" w:space="0" w:color="auto"/>
            </w:tcBorders>
            <w:shd w:val="clear" w:color="auto" w:fill="auto"/>
            <w:vAlign w:val="center"/>
            <w:hideMark/>
          </w:tcPr>
          <w:p w14:paraId="00D177FD"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12.8 (&gt;3.5t GVM)</w:t>
            </w:r>
          </w:p>
        </w:tc>
        <w:tc>
          <w:tcPr>
            <w:tcW w:w="2780" w:type="dxa"/>
            <w:tcBorders>
              <w:top w:val="nil"/>
              <w:left w:val="nil"/>
              <w:bottom w:val="single" w:sz="4" w:space="0" w:color="auto"/>
              <w:right w:val="single" w:sz="4" w:space="0" w:color="auto"/>
            </w:tcBorders>
            <w:shd w:val="clear" w:color="auto" w:fill="auto"/>
            <w:vAlign w:val="center"/>
            <w:hideMark/>
          </w:tcPr>
          <w:p w14:paraId="7EF4C4C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0F2D0186"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1AC5C045"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393C647E"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Finland</w:t>
            </w:r>
          </w:p>
        </w:tc>
        <w:tc>
          <w:tcPr>
            <w:tcW w:w="1780" w:type="dxa"/>
            <w:tcBorders>
              <w:top w:val="nil"/>
              <w:left w:val="nil"/>
              <w:bottom w:val="single" w:sz="4" w:space="0" w:color="auto"/>
              <w:right w:val="single" w:sz="4" w:space="0" w:color="auto"/>
            </w:tcBorders>
            <w:shd w:val="clear" w:color="auto" w:fill="auto"/>
            <w:vAlign w:val="center"/>
            <w:hideMark/>
          </w:tcPr>
          <w:p w14:paraId="5CE81501"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13.7 (&gt;3.5t GVM)</w:t>
            </w:r>
          </w:p>
        </w:tc>
        <w:tc>
          <w:tcPr>
            <w:tcW w:w="2780" w:type="dxa"/>
            <w:tcBorders>
              <w:top w:val="nil"/>
              <w:left w:val="nil"/>
              <w:bottom w:val="single" w:sz="4" w:space="0" w:color="auto"/>
              <w:right w:val="single" w:sz="4" w:space="0" w:color="auto"/>
            </w:tcBorders>
            <w:shd w:val="clear" w:color="auto" w:fill="auto"/>
            <w:vAlign w:val="center"/>
            <w:hideMark/>
          </w:tcPr>
          <w:p w14:paraId="4E7AC265"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56808045"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73DEAF9A"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2F6DCB71"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Turkey</w:t>
            </w:r>
          </w:p>
        </w:tc>
        <w:tc>
          <w:tcPr>
            <w:tcW w:w="1780" w:type="dxa"/>
            <w:tcBorders>
              <w:top w:val="nil"/>
              <w:left w:val="nil"/>
              <w:bottom w:val="single" w:sz="4" w:space="0" w:color="auto"/>
              <w:right w:val="single" w:sz="4" w:space="0" w:color="auto"/>
            </w:tcBorders>
            <w:shd w:val="clear" w:color="auto" w:fill="auto"/>
            <w:vAlign w:val="center"/>
            <w:hideMark/>
          </w:tcPr>
          <w:p w14:paraId="2222869E"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13.7 (&gt;3.5t GVM)</w:t>
            </w:r>
          </w:p>
        </w:tc>
        <w:tc>
          <w:tcPr>
            <w:tcW w:w="2780" w:type="dxa"/>
            <w:tcBorders>
              <w:top w:val="nil"/>
              <w:left w:val="nil"/>
              <w:bottom w:val="single" w:sz="4" w:space="0" w:color="auto"/>
              <w:right w:val="single" w:sz="4" w:space="0" w:color="auto"/>
            </w:tcBorders>
            <w:shd w:val="clear" w:color="auto" w:fill="auto"/>
            <w:vAlign w:val="center"/>
            <w:hideMark/>
          </w:tcPr>
          <w:p w14:paraId="219329B3"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25B38AC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4B1BF8A8"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4103AE91"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Australia</w:t>
            </w:r>
          </w:p>
        </w:tc>
        <w:tc>
          <w:tcPr>
            <w:tcW w:w="1780" w:type="dxa"/>
            <w:tcBorders>
              <w:top w:val="nil"/>
              <w:left w:val="nil"/>
              <w:bottom w:val="single" w:sz="4" w:space="0" w:color="auto"/>
              <w:right w:val="single" w:sz="4" w:space="0" w:color="auto"/>
            </w:tcBorders>
            <w:shd w:val="clear" w:color="auto" w:fill="auto"/>
            <w:vAlign w:val="center"/>
            <w:hideMark/>
          </w:tcPr>
          <w:p w14:paraId="454CC1D3"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b/>
                <w:bCs/>
                <w:color w:val="000000"/>
                <w:sz w:val="20"/>
                <w:szCs w:val="20"/>
                <w:lang w:eastAsia="en-AU"/>
              </w:rPr>
              <w:t xml:space="preserve">13.8 (13.5t GVM) </w:t>
            </w:r>
            <w:r w:rsidRPr="001900F6">
              <w:rPr>
                <w:rFonts w:ascii="Times New Roman" w:eastAsia="Times New Roman" w:hAnsi="Times New Roman"/>
                <w:color w:val="000000"/>
                <w:sz w:val="20"/>
                <w:szCs w:val="20"/>
                <w:lang w:eastAsia="en-AU"/>
              </w:rPr>
              <w:t xml:space="preserve">                    </w:t>
            </w:r>
            <w:r w:rsidRPr="001900F6">
              <w:rPr>
                <w:rFonts w:ascii="Times New Roman" w:eastAsia="Times New Roman" w:hAnsi="Times New Roman"/>
                <w:color w:val="808080"/>
                <w:sz w:val="20"/>
                <w:szCs w:val="20"/>
                <w:lang w:eastAsia="en-AU"/>
              </w:rPr>
              <w:t>14.7 (&gt;4.5t GVM)</w:t>
            </w:r>
          </w:p>
        </w:tc>
        <w:tc>
          <w:tcPr>
            <w:tcW w:w="2780" w:type="dxa"/>
            <w:tcBorders>
              <w:top w:val="nil"/>
              <w:left w:val="nil"/>
              <w:bottom w:val="single" w:sz="4" w:space="0" w:color="auto"/>
              <w:right w:val="single" w:sz="4" w:space="0" w:color="auto"/>
            </w:tcBorders>
            <w:shd w:val="clear" w:color="auto" w:fill="auto"/>
            <w:vAlign w:val="center"/>
            <w:hideMark/>
          </w:tcPr>
          <w:p w14:paraId="2CB48AA1"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b/>
                <w:bCs/>
                <w:sz w:val="20"/>
                <w:szCs w:val="20"/>
                <w:lang w:eastAsia="en-AU"/>
              </w:rPr>
              <w:t xml:space="preserve">13.9 (&gt;3.5t GVM)   </w:t>
            </w:r>
            <w:r w:rsidRPr="001900F6">
              <w:rPr>
                <w:rFonts w:ascii="Times New Roman" w:eastAsia="Times New Roman" w:hAnsi="Times New Roman"/>
                <w:color w:val="000000"/>
                <w:sz w:val="20"/>
                <w:szCs w:val="20"/>
                <w:lang w:eastAsia="en-AU"/>
              </w:rPr>
              <w:t xml:space="preserve">                         </w:t>
            </w:r>
            <w:r w:rsidRPr="001900F6">
              <w:rPr>
                <w:rFonts w:ascii="Times New Roman" w:eastAsia="Times New Roman" w:hAnsi="Times New Roman"/>
                <w:b/>
                <w:bCs/>
                <w:color w:val="000000"/>
                <w:sz w:val="20"/>
                <w:szCs w:val="20"/>
                <w:lang w:eastAsia="en-AU"/>
              </w:rPr>
              <w:t xml:space="preserve"> 14.8 (&gt;4.5t GVM)</w:t>
            </w:r>
          </w:p>
        </w:tc>
        <w:tc>
          <w:tcPr>
            <w:tcW w:w="3260" w:type="dxa"/>
            <w:tcBorders>
              <w:top w:val="nil"/>
              <w:left w:val="nil"/>
              <w:bottom w:val="single" w:sz="4" w:space="0" w:color="auto"/>
              <w:right w:val="single" w:sz="4" w:space="0" w:color="auto"/>
            </w:tcBorders>
            <w:shd w:val="clear" w:color="auto" w:fill="auto"/>
            <w:vAlign w:val="center"/>
            <w:hideMark/>
          </w:tcPr>
          <w:p w14:paraId="25370733"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Australian Bureau of Statistics</w:t>
            </w:r>
          </w:p>
        </w:tc>
      </w:tr>
      <w:tr w:rsidR="0085380B" w:rsidRPr="0085380B" w14:paraId="280160E5"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0B1F29AA"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USA</w:t>
            </w:r>
          </w:p>
        </w:tc>
        <w:tc>
          <w:tcPr>
            <w:tcW w:w="1780" w:type="dxa"/>
            <w:tcBorders>
              <w:top w:val="nil"/>
              <w:left w:val="nil"/>
              <w:bottom w:val="single" w:sz="4" w:space="0" w:color="auto"/>
              <w:right w:val="single" w:sz="4" w:space="0" w:color="auto"/>
            </w:tcBorders>
            <w:shd w:val="clear" w:color="auto" w:fill="auto"/>
            <w:vAlign w:val="center"/>
            <w:hideMark/>
          </w:tcPr>
          <w:p w14:paraId="458E101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2780" w:type="dxa"/>
            <w:tcBorders>
              <w:top w:val="nil"/>
              <w:left w:val="nil"/>
              <w:bottom w:val="single" w:sz="4" w:space="0" w:color="auto"/>
              <w:right w:val="single" w:sz="4" w:space="0" w:color="auto"/>
            </w:tcBorders>
            <w:shd w:val="clear" w:color="auto" w:fill="auto"/>
            <w:vAlign w:val="center"/>
            <w:hideMark/>
          </w:tcPr>
          <w:p w14:paraId="760AFD37"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b/>
                <w:bCs/>
                <w:color w:val="000000"/>
                <w:sz w:val="20"/>
                <w:szCs w:val="20"/>
                <w:lang w:eastAsia="en-AU"/>
              </w:rPr>
              <w:t xml:space="preserve">14.8 (&gt;6.35t GVM)  </w:t>
            </w:r>
            <w:r w:rsidRPr="001900F6">
              <w:rPr>
                <w:rFonts w:ascii="Times New Roman" w:eastAsia="Times New Roman" w:hAnsi="Times New Roman"/>
                <w:color w:val="000000"/>
                <w:sz w:val="20"/>
                <w:szCs w:val="20"/>
                <w:lang w:eastAsia="en-AU"/>
              </w:rPr>
              <w:t xml:space="preserve">                 </w:t>
            </w:r>
            <w:r w:rsidRPr="001900F6">
              <w:rPr>
                <w:rFonts w:ascii="Times New Roman" w:eastAsia="Times New Roman" w:hAnsi="Times New Roman"/>
                <w:color w:val="808080"/>
                <w:sz w:val="20"/>
                <w:szCs w:val="20"/>
                <w:lang w:eastAsia="en-AU"/>
              </w:rPr>
              <w:t xml:space="preserve">   11.4 (2.72t to 6.35t GVM)</w:t>
            </w:r>
          </w:p>
        </w:tc>
        <w:tc>
          <w:tcPr>
            <w:tcW w:w="3260" w:type="dxa"/>
            <w:tcBorders>
              <w:top w:val="nil"/>
              <w:left w:val="nil"/>
              <w:bottom w:val="single" w:sz="4" w:space="0" w:color="auto"/>
              <w:right w:val="single" w:sz="4" w:space="0" w:color="auto"/>
            </w:tcBorders>
            <w:shd w:val="clear" w:color="auto" w:fill="auto"/>
            <w:vAlign w:val="center"/>
            <w:hideMark/>
          </w:tcPr>
          <w:p w14:paraId="1EA12B28"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 xml:space="preserve"> IHS Automotive/As at 30th June 2015</w:t>
            </w:r>
          </w:p>
        </w:tc>
      </w:tr>
      <w:tr w:rsidR="0085380B" w:rsidRPr="0085380B" w14:paraId="641CD405"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57EEEFFB"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Italy</w:t>
            </w:r>
          </w:p>
        </w:tc>
        <w:tc>
          <w:tcPr>
            <w:tcW w:w="1780" w:type="dxa"/>
            <w:tcBorders>
              <w:top w:val="nil"/>
              <w:left w:val="nil"/>
              <w:bottom w:val="single" w:sz="4" w:space="0" w:color="auto"/>
              <w:right w:val="single" w:sz="4" w:space="0" w:color="auto"/>
            </w:tcBorders>
            <w:shd w:val="clear" w:color="auto" w:fill="auto"/>
            <w:vAlign w:val="center"/>
            <w:hideMark/>
          </w:tcPr>
          <w:p w14:paraId="04795245"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14.6 (&gt;3.5t GVM)</w:t>
            </w:r>
          </w:p>
        </w:tc>
        <w:tc>
          <w:tcPr>
            <w:tcW w:w="2780" w:type="dxa"/>
            <w:tcBorders>
              <w:top w:val="nil"/>
              <w:left w:val="nil"/>
              <w:bottom w:val="single" w:sz="4" w:space="0" w:color="auto"/>
              <w:right w:val="single" w:sz="4" w:space="0" w:color="auto"/>
            </w:tcBorders>
            <w:shd w:val="clear" w:color="auto" w:fill="auto"/>
            <w:vAlign w:val="center"/>
            <w:hideMark/>
          </w:tcPr>
          <w:p w14:paraId="3D55CBA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1F71998F"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02C81FF7"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40FEB23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Portugal</w:t>
            </w:r>
          </w:p>
        </w:tc>
        <w:tc>
          <w:tcPr>
            <w:tcW w:w="1780" w:type="dxa"/>
            <w:tcBorders>
              <w:top w:val="nil"/>
              <w:left w:val="nil"/>
              <w:bottom w:val="single" w:sz="4" w:space="0" w:color="auto"/>
              <w:right w:val="single" w:sz="4" w:space="0" w:color="auto"/>
            </w:tcBorders>
            <w:shd w:val="clear" w:color="auto" w:fill="auto"/>
            <w:vAlign w:val="center"/>
            <w:hideMark/>
          </w:tcPr>
          <w:p w14:paraId="0606A446"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14.7 (&gt;3.5t GVM)</w:t>
            </w:r>
          </w:p>
        </w:tc>
        <w:tc>
          <w:tcPr>
            <w:tcW w:w="2780" w:type="dxa"/>
            <w:tcBorders>
              <w:top w:val="nil"/>
              <w:left w:val="nil"/>
              <w:bottom w:val="single" w:sz="4" w:space="0" w:color="auto"/>
              <w:right w:val="single" w:sz="4" w:space="0" w:color="auto"/>
            </w:tcBorders>
            <w:shd w:val="clear" w:color="auto" w:fill="auto"/>
            <w:vAlign w:val="center"/>
            <w:hideMark/>
          </w:tcPr>
          <w:p w14:paraId="47D8B3D2"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5F776770"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23F6E668"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527EE5E6"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Estonia</w:t>
            </w:r>
          </w:p>
        </w:tc>
        <w:tc>
          <w:tcPr>
            <w:tcW w:w="1780" w:type="dxa"/>
            <w:tcBorders>
              <w:top w:val="nil"/>
              <w:left w:val="nil"/>
              <w:bottom w:val="single" w:sz="4" w:space="0" w:color="auto"/>
              <w:right w:val="single" w:sz="4" w:space="0" w:color="auto"/>
            </w:tcBorders>
            <w:shd w:val="clear" w:color="auto" w:fill="auto"/>
            <w:vAlign w:val="center"/>
            <w:hideMark/>
          </w:tcPr>
          <w:p w14:paraId="694697F9"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17.1 (&gt;3.5t GVM)</w:t>
            </w:r>
          </w:p>
        </w:tc>
        <w:tc>
          <w:tcPr>
            <w:tcW w:w="2780" w:type="dxa"/>
            <w:tcBorders>
              <w:top w:val="nil"/>
              <w:left w:val="nil"/>
              <w:bottom w:val="single" w:sz="4" w:space="0" w:color="auto"/>
              <w:right w:val="single" w:sz="4" w:space="0" w:color="auto"/>
            </w:tcBorders>
            <w:shd w:val="clear" w:color="auto" w:fill="auto"/>
            <w:vAlign w:val="center"/>
            <w:hideMark/>
          </w:tcPr>
          <w:p w14:paraId="5441201F"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617A17FB"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r w:rsidR="0085380B" w:rsidRPr="0085380B" w14:paraId="1DD3E31D" w14:textId="77777777" w:rsidTr="0085380B">
        <w:trPr>
          <w:trHeight w:val="6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51F1DEAD"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Poland</w:t>
            </w:r>
          </w:p>
        </w:tc>
        <w:tc>
          <w:tcPr>
            <w:tcW w:w="1780" w:type="dxa"/>
            <w:tcBorders>
              <w:top w:val="nil"/>
              <w:left w:val="nil"/>
              <w:bottom w:val="single" w:sz="4" w:space="0" w:color="auto"/>
              <w:right w:val="single" w:sz="4" w:space="0" w:color="auto"/>
            </w:tcBorders>
            <w:shd w:val="clear" w:color="auto" w:fill="auto"/>
            <w:vAlign w:val="center"/>
            <w:hideMark/>
          </w:tcPr>
          <w:p w14:paraId="46F863D8" w14:textId="77777777" w:rsidR="0085380B" w:rsidRPr="001900F6" w:rsidRDefault="0085380B" w:rsidP="0085380B">
            <w:pPr>
              <w:jc w:val="center"/>
              <w:rPr>
                <w:rFonts w:ascii="Times New Roman" w:eastAsia="Times New Roman" w:hAnsi="Times New Roman"/>
                <w:b/>
                <w:bCs/>
                <w:color w:val="000000"/>
                <w:sz w:val="20"/>
                <w:szCs w:val="20"/>
                <w:lang w:eastAsia="en-AU"/>
              </w:rPr>
            </w:pPr>
            <w:r w:rsidRPr="001900F6">
              <w:rPr>
                <w:rFonts w:ascii="Times New Roman" w:eastAsia="Times New Roman" w:hAnsi="Times New Roman"/>
                <w:b/>
                <w:bCs/>
                <w:color w:val="000000"/>
                <w:sz w:val="20"/>
                <w:szCs w:val="20"/>
                <w:lang w:eastAsia="en-AU"/>
              </w:rPr>
              <w:t>20.7 (&gt;3.5t GVM)</w:t>
            </w:r>
          </w:p>
        </w:tc>
        <w:tc>
          <w:tcPr>
            <w:tcW w:w="2780" w:type="dxa"/>
            <w:tcBorders>
              <w:top w:val="nil"/>
              <w:left w:val="nil"/>
              <w:bottom w:val="single" w:sz="4" w:space="0" w:color="auto"/>
              <w:right w:val="single" w:sz="4" w:space="0" w:color="auto"/>
            </w:tcBorders>
            <w:shd w:val="clear" w:color="auto" w:fill="auto"/>
            <w:vAlign w:val="center"/>
            <w:hideMark/>
          </w:tcPr>
          <w:p w14:paraId="421B3CDF"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N/A</w:t>
            </w:r>
          </w:p>
        </w:tc>
        <w:tc>
          <w:tcPr>
            <w:tcW w:w="3260" w:type="dxa"/>
            <w:tcBorders>
              <w:top w:val="nil"/>
              <w:left w:val="nil"/>
              <w:bottom w:val="single" w:sz="4" w:space="0" w:color="auto"/>
              <w:right w:val="single" w:sz="4" w:space="0" w:color="auto"/>
            </w:tcBorders>
            <w:shd w:val="clear" w:color="auto" w:fill="auto"/>
            <w:vAlign w:val="center"/>
            <w:hideMark/>
          </w:tcPr>
          <w:p w14:paraId="29FB03F7" w14:textId="77777777" w:rsidR="0085380B" w:rsidRPr="001900F6" w:rsidRDefault="0085380B" w:rsidP="0085380B">
            <w:pPr>
              <w:jc w:val="center"/>
              <w:rPr>
                <w:rFonts w:ascii="Times New Roman" w:eastAsia="Times New Roman" w:hAnsi="Times New Roman"/>
                <w:color w:val="000000"/>
                <w:sz w:val="20"/>
                <w:szCs w:val="20"/>
                <w:lang w:eastAsia="en-AU"/>
              </w:rPr>
            </w:pPr>
            <w:r w:rsidRPr="001900F6">
              <w:rPr>
                <w:rFonts w:ascii="Times New Roman" w:eastAsia="Times New Roman" w:hAnsi="Times New Roman"/>
                <w:color w:val="000000"/>
                <w:sz w:val="20"/>
                <w:szCs w:val="20"/>
                <w:lang w:eastAsia="en-AU"/>
              </w:rPr>
              <w:t>ACEA Vehicles in Use 2009-2014. Published 2016</w:t>
            </w:r>
          </w:p>
        </w:tc>
      </w:tr>
    </w:tbl>
    <w:p w14:paraId="5C75B85F" w14:textId="77777777" w:rsidR="00CA484E" w:rsidRDefault="00CA484E" w:rsidP="004B3EB7">
      <w:pPr>
        <w:rPr>
          <w:rFonts w:ascii="Times New Roman" w:hAnsi="Times New Roman"/>
          <w:b/>
        </w:rPr>
        <w:sectPr w:rsidR="00CA484E" w:rsidSect="00460CF3">
          <w:headerReference w:type="default" r:id="rId16"/>
          <w:footerReference w:type="default" r:id="rId17"/>
          <w:pgSz w:w="11906" w:h="16838"/>
          <w:pgMar w:top="1440" w:right="849" w:bottom="1440" w:left="1440" w:header="708" w:footer="708" w:gutter="0"/>
          <w:cols w:space="708"/>
          <w:titlePg/>
          <w:docGrid w:linePitch="360"/>
        </w:sectPr>
      </w:pPr>
    </w:p>
    <w:p w14:paraId="758C9315" w14:textId="2FB8B7F3" w:rsidR="001900F6" w:rsidRDefault="001900F6" w:rsidP="004B3EB7">
      <w:pPr>
        <w:rPr>
          <w:rFonts w:ascii="Times New Roman" w:hAnsi="Times New Roman"/>
          <w:b/>
        </w:rPr>
      </w:pPr>
    </w:p>
    <w:p w14:paraId="34AD3D5A" w14:textId="3107FB5E" w:rsidR="004B3EB7" w:rsidRDefault="004B3EB7" w:rsidP="004B3EB7">
      <w:pPr>
        <w:rPr>
          <w:rFonts w:ascii="Times New Roman" w:hAnsi="Times New Roman"/>
          <w:color w:val="FF0000"/>
          <w:sz w:val="22"/>
          <w:szCs w:val="22"/>
        </w:rPr>
      </w:pPr>
      <w:r w:rsidRPr="00462072">
        <w:rPr>
          <w:rFonts w:ascii="Times New Roman" w:hAnsi="Times New Roman"/>
          <w:b/>
        </w:rPr>
        <w:t>Appendix B</w:t>
      </w:r>
      <w:r w:rsidR="001900F6">
        <w:rPr>
          <w:rFonts w:ascii="Times New Roman" w:hAnsi="Times New Roman"/>
          <w:b/>
        </w:rPr>
        <w:t>.</w:t>
      </w:r>
      <w:r w:rsidR="00462072">
        <w:rPr>
          <w:rFonts w:ascii="Times New Roman" w:hAnsi="Times New Roman"/>
          <w:b/>
        </w:rPr>
        <w:t xml:space="preserve"> </w:t>
      </w:r>
      <w:r w:rsidR="00462072">
        <w:rPr>
          <w:rFonts w:ascii="Times New Roman" w:hAnsi="Times New Roman"/>
          <w:b/>
        </w:rPr>
        <w:tab/>
      </w:r>
      <w:r w:rsidR="00462072">
        <w:rPr>
          <w:rFonts w:ascii="Times New Roman" w:hAnsi="Times New Roman"/>
          <w:b/>
        </w:rPr>
        <w:tab/>
        <w:t>Table 1A Impact Assumptions for all Scenarios</w:t>
      </w:r>
    </w:p>
    <w:tbl>
      <w:tblPr>
        <w:tblW w:w="12420" w:type="dxa"/>
        <w:tblLook w:val="04A0" w:firstRow="1" w:lastRow="0" w:firstColumn="1" w:lastColumn="0" w:noHBand="0" w:noVBand="1"/>
      </w:tblPr>
      <w:tblGrid>
        <w:gridCol w:w="986"/>
        <w:gridCol w:w="960"/>
        <w:gridCol w:w="750"/>
        <w:gridCol w:w="794"/>
        <w:gridCol w:w="700"/>
        <w:gridCol w:w="711"/>
        <w:gridCol w:w="711"/>
        <w:gridCol w:w="750"/>
        <w:gridCol w:w="794"/>
        <w:gridCol w:w="700"/>
        <w:gridCol w:w="711"/>
        <w:gridCol w:w="711"/>
        <w:gridCol w:w="750"/>
        <w:gridCol w:w="794"/>
        <w:gridCol w:w="700"/>
        <w:gridCol w:w="711"/>
        <w:gridCol w:w="711"/>
      </w:tblGrid>
      <w:tr w:rsidR="004B3EB7" w:rsidRPr="004B3EB7" w14:paraId="4E6DD7CF" w14:textId="77777777" w:rsidTr="004B3EB7">
        <w:trPr>
          <w:trHeight w:val="435"/>
        </w:trPr>
        <w:tc>
          <w:tcPr>
            <w:tcW w:w="960" w:type="dxa"/>
            <w:tcBorders>
              <w:top w:val="nil"/>
              <w:left w:val="nil"/>
              <w:bottom w:val="nil"/>
              <w:right w:val="nil"/>
            </w:tcBorders>
            <w:shd w:val="clear" w:color="auto" w:fill="auto"/>
            <w:noWrap/>
            <w:vAlign w:val="bottom"/>
            <w:hideMark/>
          </w:tcPr>
          <w:p w14:paraId="3102776A" w14:textId="77777777" w:rsidR="004B3EB7" w:rsidRPr="004B3EB7" w:rsidRDefault="004B3EB7" w:rsidP="004B3EB7">
            <w:pPr>
              <w:rPr>
                <w:rFonts w:ascii="Times New Roman" w:eastAsia="Times New Roman" w:hAnsi="Times New Roman"/>
                <w:sz w:val="20"/>
                <w:szCs w:val="20"/>
                <w:lang w:eastAsia="en-AU"/>
              </w:rPr>
            </w:pPr>
          </w:p>
        </w:tc>
        <w:tc>
          <w:tcPr>
            <w:tcW w:w="11460" w:type="dxa"/>
            <w:gridSpan w:val="16"/>
            <w:tcBorders>
              <w:top w:val="nil"/>
              <w:left w:val="nil"/>
              <w:bottom w:val="nil"/>
              <w:right w:val="nil"/>
            </w:tcBorders>
            <w:shd w:val="clear" w:color="auto" w:fill="auto"/>
            <w:vAlign w:val="center"/>
            <w:hideMark/>
          </w:tcPr>
          <w:p w14:paraId="46ABF89F" w14:textId="77777777" w:rsidR="00462072" w:rsidRPr="004B3EB7" w:rsidRDefault="00462072" w:rsidP="00462072">
            <w:pPr>
              <w:jc w:val="center"/>
              <w:rPr>
                <w:rFonts w:ascii="Calibri" w:eastAsia="Times New Roman" w:hAnsi="Calibri"/>
                <w:b/>
                <w:bCs/>
                <w:sz w:val="32"/>
                <w:szCs w:val="32"/>
                <w:lang w:eastAsia="en-AU"/>
              </w:rPr>
            </w:pPr>
          </w:p>
        </w:tc>
      </w:tr>
      <w:tr w:rsidR="004B3EB7" w:rsidRPr="004B3EB7" w14:paraId="3ACCD9D1" w14:textId="77777777" w:rsidTr="004B3EB7">
        <w:trPr>
          <w:trHeight w:val="315"/>
        </w:trPr>
        <w:tc>
          <w:tcPr>
            <w:tcW w:w="960" w:type="dxa"/>
            <w:tcBorders>
              <w:top w:val="nil"/>
              <w:left w:val="nil"/>
              <w:bottom w:val="nil"/>
              <w:right w:val="nil"/>
            </w:tcBorders>
            <w:shd w:val="clear" w:color="auto" w:fill="auto"/>
            <w:noWrap/>
            <w:vAlign w:val="bottom"/>
            <w:hideMark/>
          </w:tcPr>
          <w:p w14:paraId="66FCF730" w14:textId="77777777" w:rsidR="004B3EB7" w:rsidRPr="004B3EB7" w:rsidRDefault="004B3EB7" w:rsidP="004B3EB7">
            <w:pPr>
              <w:jc w:val="center"/>
              <w:rPr>
                <w:rFonts w:ascii="Calibri" w:eastAsia="Times New Roman" w:hAnsi="Calibri"/>
                <w:b/>
                <w:bCs/>
                <w:sz w:val="32"/>
                <w:szCs w:val="32"/>
                <w:lang w:eastAsia="en-AU"/>
              </w:rPr>
            </w:pP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A3E839" w14:textId="77777777" w:rsidR="004B3EB7" w:rsidRPr="00462072" w:rsidRDefault="004B3EB7" w:rsidP="004B3EB7">
            <w:pPr>
              <w:jc w:val="center"/>
              <w:rPr>
                <w:rFonts w:ascii="Times New Roman" w:eastAsia="Times New Roman" w:hAnsi="Times New Roman"/>
                <w:sz w:val="22"/>
                <w:szCs w:val="22"/>
                <w:lang w:eastAsia="en-AU"/>
              </w:rPr>
            </w:pPr>
            <w:r w:rsidRPr="00462072">
              <w:rPr>
                <w:rFonts w:ascii="Times New Roman" w:eastAsia="Times New Roman" w:hAnsi="Times New Roman"/>
                <w:sz w:val="22"/>
                <w:szCs w:val="22"/>
                <w:lang w:eastAsia="en-AU"/>
              </w:rPr>
              <w:t>Year</w:t>
            </w:r>
          </w:p>
        </w:tc>
        <w:tc>
          <w:tcPr>
            <w:tcW w:w="3500" w:type="dxa"/>
            <w:gridSpan w:val="5"/>
            <w:tcBorders>
              <w:top w:val="single" w:sz="8" w:space="0" w:color="auto"/>
              <w:left w:val="nil"/>
              <w:bottom w:val="nil"/>
              <w:right w:val="single" w:sz="8" w:space="0" w:color="000000"/>
            </w:tcBorders>
            <w:shd w:val="clear" w:color="auto" w:fill="auto"/>
            <w:vAlign w:val="center"/>
            <w:hideMark/>
          </w:tcPr>
          <w:p w14:paraId="581088E1" w14:textId="77777777" w:rsidR="004B3EB7" w:rsidRPr="00462072" w:rsidRDefault="004B3EB7" w:rsidP="004B3EB7">
            <w:pPr>
              <w:jc w:val="center"/>
              <w:rPr>
                <w:rFonts w:ascii="Times New Roman" w:eastAsia="Times New Roman" w:hAnsi="Times New Roman"/>
                <w:sz w:val="22"/>
                <w:szCs w:val="22"/>
                <w:lang w:eastAsia="en-AU"/>
              </w:rPr>
            </w:pPr>
            <w:r w:rsidRPr="00462072">
              <w:rPr>
                <w:rFonts w:ascii="Times New Roman" w:eastAsia="Times New Roman" w:hAnsi="Times New Roman"/>
                <w:sz w:val="22"/>
                <w:szCs w:val="22"/>
                <w:lang w:eastAsia="en-AU"/>
              </w:rPr>
              <w:t>Low ($ Million)</w:t>
            </w:r>
          </w:p>
        </w:tc>
        <w:tc>
          <w:tcPr>
            <w:tcW w:w="3500" w:type="dxa"/>
            <w:gridSpan w:val="5"/>
            <w:tcBorders>
              <w:top w:val="single" w:sz="8" w:space="0" w:color="auto"/>
              <w:left w:val="nil"/>
              <w:bottom w:val="single" w:sz="4" w:space="0" w:color="auto"/>
              <w:right w:val="single" w:sz="8" w:space="0" w:color="000000"/>
            </w:tcBorders>
            <w:shd w:val="clear" w:color="auto" w:fill="auto"/>
            <w:vAlign w:val="center"/>
            <w:hideMark/>
          </w:tcPr>
          <w:p w14:paraId="0D600618" w14:textId="77777777" w:rsidR="004B3EB7" w:rsidRPr="00462072" w:rsidRDefault="004B3EB7" w:rsidP="004B3EB7">
            <w:pPr>
              <w:jc w:val="center"/>
              <w:rPr>
                <w:rFonts w:ascii="Times New Roman" w:eastAsia="Times New Roman" w:hAnsi="Times New Roman"/>
                <w:sz w:val="22"/>
                <w:szCs w:val="22"/>
                <w:lang w:eastAsia="en-AU"/>
              </w:rPr>
            </w:pPr>
            <w:r w:rsidRPr="00462072">
              <w:rPr>
                <w:rFonts w:ascii="Times New Roman" w:eastAsia="Times New Roman" w:hAnsi="Times New Roman"/>
                <w:sz w:val="22"/>
                <w:szCs w:val="22"/>
                <w:lang w:eastAsia="en-AU"/>
              </w:rPr>
              <w:t>Medium ($ Million)</w:t>
            </w:r>
          </w:p>
        </w:tc>
        <w:tc>
          <w:tcPr>
            <w:tcW w:w="3500" w:type="dxa"/>
            <w:gridSpan w:val="5"/>
            <w:tcBorders>
              <w:top w:val="single" w:sz="8" w:space="0" w:color="auto"/>
              <w:left w:val="nil"/>
              <w:bottom w:val="single" w:sz="4" w:space="0" w:color="auto"/>
              <w:right w:val="single" w:sz="8" w:space="0" w:color="000000"/>
            </w:tcBorders>
            <w:shd w:val="clear" w:color="auto" w:fill="auto"/>
            <w:vAlign w:val="center"/>
            <w:hideMark/>
          </w:tcPr>
          <w:p w14:paraId="37D67ED7" w14:textId="77777777" w:rsidR="004B3EB7" w:rsidRPr="00462072" w:rsidRDefault="004B3EB7" w:rsidP="004B3EB7">
            <w:pPr>
              <w:jc w:val="center"/>
              <w:rPr>
                <w:rFonts w:ascii="Times New Roman" w:eastAsia="Times New Roman" w:hAnsi="Times New Roman"/>
                <w:sz w:val="22"/>
                <w:szCs w:val="22"/>
                <w:lang w:eastAsia="en-AU"/>
              </w:rPr>
            </w:pPr>
            <w:r w:rsidRPr="00462072">
              <w:rPr>
                <w:rFonts w:ascii="Times New Roman" w:eastAsia="Times New Roman" w:hAnsi="Times New Roman"/>
                <w:sz w:val="22"/>
                <w:szCs w:val="22"/>
                <w:lang w:eastAsia="en-AU"/>
              </w:rPr>
              <w:t>High ($ Million)</w:t>
            </w:r>
          </w:p>
        </w:tc>
      </w:tr>
      <w:tr w:rsidR="004B3EB7" w:rsidRPr="004B3EB7" w14:paraId="46DAAC61" w14:textId="77777777" w:rsidTr="004B3EB7">
        <w:trPr>
          <w:trHeight w:val="315"/>
        </w:trPr>
        <w:tc>
          <w:tcPr>
            <w:tcW w:w="960" w:type="dxa"/>
            <w:tcBorders>
              <w:top w:val="nil"/>
              <w:left w:val="nil"/>
              <w:bottom w:val="nil"/>
              <w:right w:val="nil"/>
            </w:tcBorders>
            <w:shd w:val="clear" w:color="auto" w:fill="auto"/>
            <w:noWrap/>
            <w:vAlign w:val="bottom"/>
            <w:hideMark/>
          </w:tcPr>
          <w:p w14:paraId="5FCD0D5A" w14:textId="77777777" w:rsidR="004B3EB7" w:rsidRPr="004B3EB7" w:rsidRDefault="004B3EB7" w:rsidP="004B3EB7">
            <w:pPr>
              <w:jc w:val="center"/>
              <w:rPr>
                <w:rFonts w:ascii="Calibri" w:eastAsia="Times New Roman" w:hAnsi="Calibri"/>
                <w:lang w:eastAsia="en-A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8861B26" w14:textId="77777777" w:rsidR="004B3EB7" w:rsidRPr="004B3EB7" w:rsidRDefault="004B3EB7" w:rsidP="004B3EB7">
            <w:pPr>
              <w:rPr>
                <w:rFonts w:ascii="Calibri" w:eastAsia="Times New Roman" w:hAnsi="Calibri"/>
                <w:lang w:eastAsia="en-AU"/>
              </w:rPr>
            </w:pPr>
          </w:p>
        </w:tc>
        <w:tc>
          <w:tcPr>
            <w:tcW w:w="700" w:type="dxa"/>
            <w:tcBorders>
              <w:top w:val="single" w:sz="4" w:space="0" w:color="auto"/>
              <w:left w:val="nil"/>
              <w:bottom w:val="single" w:sz="8" w:space="0" w:color="auto"/>
              <w:right w:val="single" w:sz="4" w:space="0" w:color="auto"/>
            </w:tcBorders>
            <w:shd w:val="clear" w:color="auto" w:fill="auto"/>
            <w:vAlign w:val="center"/>
            <w:hideMark/>
          </w:tcPr>
          <w:p w14:paraId="2BCC5866"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Safety</w:t>
            </w:r>
          </w:p>
        </w:tc>
        <w:tc>
          <w:tcPr>
            <w:tcW w:w="700" w:type="dxa"/>
            <w:tcBorders>
              <w:top w:val="single" w:sz="4" w:space="0" w:color="auto"/>
              <w:left w:val="nil"/>
              <w:bottom w:val="single" w:sz="8" w:space="0" w:color="auto"/>
              <w:right w:val="single" w:sz="4" w:space="0" w:color="auto"/>
            </w:tcBorders>
            <w:shd w:val="clear" w:color="auto" w:fill="auto"/>
            <w:vAlign w:val="center"/>
            <w:hideMark/>
          </w:tcPr>
          <w:p w14:paraId="5968017E"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Health</w:t>
            </w:r>
          </w:p>
        </w:tc>
        <w:tc>
          <w:tcPr>
            <w:tcW w:w="700" w:type="dxa"/>
            <w:tcBorders>
              <w:top w:val="single" w:sz="4" w:space="0" w:color="auto"/>
              <w:left w:val="nil"/>
              <w:bottom w:val="single" w:sz="8" w:space="0" w:color="auto"/>
              <w:right w:val="single" w:sz="4" w:space="0" w:color="auto"/>
            </w:tcBorders>
            <w:shd w:val="clear" w:color="auto" w:fill="auto"/>
            <w:noWrap/>
            <w:vAlign w:val="center"/>
            <w:hideMark/>
          </w:tcPr>
          <w:p w14:paraId="060E20B5"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CO</w:t>
            </w:r>
            <w:r w:rsidRPr="00462072">
              <w:rPr>
                <w:rFonts w:ascii="Times New Roman" w:eastAsia="Times New Roman" w:hAnsi="Times New Roman"/>
                <w:b/>
                <w:bCs/>
                <w:sz w:val="20"/>
                <w:szCs w:val="20"/>
                <w:vertAlign w:val="subscript"/>
                <w:lang w:eastAsia="en-AU"/>
              </w:rPr>
              <w:t>2</w:t>
            </w:r>
          </w:p>
        </w:tc>
        <w:tc>
          <w:tcPr>
            <w:tcW w:w="700" w:type="dxa"/>
            <w:tcBorders>
              <w:top w:val="single" w:sz="4" w:space="0" w:color="auto"/>
              <w:left w:val="nil"/>
              <w:bottom w:val="single" w:sz="8" w:space="0" w:color="auto"/>
              <w:right w:val="single" w:sz="4" w:space="0" w:color="auto"/>
            </w:tcBorders>
            <w:shd w:val="clear" w:color="auto" w:fill="auto"/>
            <w:vAlign w:val="center"/>
            <w:hideMark/>
          </w:tcPr>
          <w:p w14:paraId="670982BD"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Ops</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72E97555"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Total</w:t>
            </w:r>
          </w:p>
        </w:tc>
        <w:tc>
          <w:tcPr>
            <w:tcW w:w="700" w:type="dxa"/>
            <w:tcBorders>
              <w:top w:val="nil"/>
              <w:left w:val="nil"/>
              <w:bottom w:val="single" w:sz="8" w:space="0" w:color="auto"/>
              <w:right w:val="single" w:sz="4" w:space="0" w:color="auto"/>
            </w:tcBorders>
            <w:shd w:val="clear" w:color="auto" w:fill="auto"/>
            <w:vAlign w:val="center"/>
            <w:hideMark/>
          </w:tcPr>
          <w:p w14:paraId="01473492"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Safety</w:t>
            </w:r>
          </w:p>
        </w:tc>
        <w:tc>
          <w:tcPr>
            <w:tcW w:w="700" w:type="dxa"/>
            <w:tcBorders>
              <w:top w:val="nil"/>
              <w:left w:val="nil"/>
              <w:bottom w:val="single" w:sz="8" w:space="0" w:color="auto"/>
              <w:right w:val="single" w:sz="4" w:space="0" w:color="auto"/>
            </w:tcBorders>
            <w:shd w:val="clear" w:color="auto" w:fill="auto"/>
            <w:vAlign w:val="center"/>
            <w:hideMark/>
          </w:tcPr>
          <w:p w14:paraId="23B86DBA"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Health</w:t>
            </w:r>
          </w:p>
        </w:tc>
        <w:tc>
          <w:tcPr>
            <w:tcW w:w="700" w:type="dxa"/>
            <w:tcBorders>
              <w:top w:val="nil"/>
              <w:left w:val="nil"/>
              <w:bottom w:val="single" w:sz="8" w:space="0" w:color="auto"/>
              <w:right w:val="single" w:sz="4" w:space="0" w:color="auto"/>
            </w:tcBorders>
            <w:shd w:val="clear" w:color="auto" w:fill="auto"/>
            <w:vAlign w:val="center"/>
            <w:hideMark/>
          </w:tcPr>
          <w:p w14:paraId="7556443F"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CO</w:t>
            </w:r>
            <w:r w:rsidRPr="00462072">
              <w:rPr>
                <w:rFonts w:ascii="Times New Roman" w:eastAsia="Times New Roman" w:hAnsi="Times New Roman"/>
                <w:b/>
                <w:bCs/>
                <w:sz w:val="20"/>
                <w:szCs w:val="20"/>
                <w:vertAlign w:val="subscript"/>
                <w:lang w:eastAsia="en-AU"/>
              </w:rPr>
              <w:t>2</w:t>
            </w:r>
          </w:p>
        </w:tc>
        <w:tc>
          <w:tcPr>
            <w:tcW w:w="700" w:type="dxa"/>
            <w:tcBorders>
              <w:top w:val="nil"/>
              <w:left w:val="nil"/>
              <w:bottom w:val="single" w:sz="8" w:space="0" w:color="auto"/>
              <w:right w:val="single" w:sz="4" w:space="0" w:color="auto"/>
            </w:tcBorders>
            <w:shd w:val="clear" w:color="auto" w:fill="auto"/>
            <w:vAlign w:val="center"/>
            <w:hideMark/>
          </w:tcPr>
          <w:p w14:paraId="09851BC4"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Ops</w:t>
            </w:r>
          </w:p>
        </w:tc>
        <w:tc>
          <w:tcPr>
            <w:tcW w:w="700" w:type="dxa"/>
            <w:tcBorders>
              <w:top w:val="nil"/>
              <w:left w:val="nil"/>
              <w:bottom w:val="single" w:sz="8" w:space="0" w:color="auto"/>
              <w:right w:val="single" w:sz="8" w:space="0" w:color="auto"/>
            </w:tcBorders>
            <w:shd w:val="clear" w:color="auto" w:fill="auto"/>
            <w:vAlign w:val="center"/>
            <w:hideMark/>
          </w:tcPr>
          <w:p w14:paraId="5286D53D"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Total</w:t>
            </w:r>
          </w:p>
        </w:tc>
        <w:tc>
          <w:tcPr>
            <w:tcW w:w="700" w:type="dxa"/>
            <w:tcBorders>
              <w:top w:val="nil"/>
              <w:left w:val="nil"/>
              <w:bottom w:val="single" w:sz="8" w:space="0" w:color="auto"/>
              <w:right w:val="single" w:sz="4" w:space="0" w:color="auto"/>
            </w:tcBorders>
            <w:shd w:val="clear" w:color="auto" w:fill="auto"/>
            <w:vAlign w:val="center"/>
            <w:hideMark/>
          </w:tcPr>
          <w:p w14:paraId="19AF775B"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Safety</w:t>
            </w:r>
          </w:p>
        </w:tc>
        <w:tc>
          <w:tcPr>
            <w:tcW w:w="700" w:type="dxa"/>
            <w:tcBorders>
              <w:top w:val="nil"/>
              <w:left w:val="nil"/>
              <w:bottom w:val="single" w:sz="8" w:space="0" w:color="auto"/>
              <w:right w:val="single" w:sz="4" w:space="0" w:color="auto"/>
            </w:tcBorders>
            <w:shd w:val="clear" w:color="auto" w:fill="auto"/>
            <w:vAlign w:val="center"/>
            <w:hideMark/>
          </w:tcPr>
          <w:p w14:paraId="7B828AA3"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Health</w:t>
            </w:r>
          </w:p>
        </w:tc>
        <w:tc>
          <w:tcPr>
            <w:tcW w:w="700" w:type="dxa"/>
            <w:tcBorders>
              <w:top w:val="nil"/>
              <w:left w:val="nil"/>
              <w:bottom w:val="single" w:sz="8" w:space="0" w:color="auto"/>
              <w:right w:val="single" w:sz="4" w:space="0" w:color="auto"/>
            </w:tcBorders>
            <w:shd w:val="clear" w:color="auto" w:fill="auto"/>
            <w:vAlign w:val="center"/>
            <w:hideMark/>
          </w:tcPr>
          <w:p w14:paraId="5A0D9257"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CO</w:t>
            </w:r>
            <w:r w:rsidRPr="00462072">
              <w:rPr>
                <w:rFonts w:ascii="Times New Roman" w:eastAsia="Times New Roman" w:hAnsi="Times New Roman"/>
                <w:b/>
                <w:bCs/>
                <w:sz w:val="20"/>
                <w:szCs w:val="20"/>
                <w:vertAlign w:val="subscript"/>
                <w:lang w:eastAsia="en-AU"/>
              </w:rPr>
              <w:t>2</w:t>
            </w:r>
          </w:p>
        </w:tc>
        <w:tc>
          <w:tcPr>
            <w:tcW w:w="700" w:type="dxa"/>
            <w:tcBorders>
              <w:top w:val="nil"/>
              <w:left w:val="nil"/>
              <w:bottom w:val="single" w:sz="8" w:space="0" w:color="auto"/>
              <w:right w:val="single" w:sz="4" w:space="0" w:color="auto"/>
            </w:tcBorders>
            <w:shd w:val="clear" w:color="auto" w:fill="auto"/>
            <w:vAlign w:val="center"/>
            <w:hideMark/>
          </w:tcPr>
          <w:p w14:paraId="55B3E8A6"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Ops</w:t>
            </w:r>
          </w:p>
        </w:tc>
        <w:tc>
          <w:tcPr>
            <w:tcW w:w="700" w:type="dxa"/>
            <w:tcBorders>
              <w:top w:val="nil"/>
              <w:left w:val="nil"/>
              <w:bottom w:val="single" w:sz="8" w:space="0" w:color="auto"/>
              <w:right w:val="single" w:sz="8" w:space="0" w:color="auto"/>
            </w:tcBorders>
            <w:shd w:val="clear" w:color="auto" w:fill="auto"/>
            <w:vAlign w:val="center"/>
            <w:hideMark/>
          </w:tcPr>
          <w:p w14:paraId="71F1085C" w14:textId="77777777" w:rsidR="004B3EB7" w:rsidRPr="00462072" w:rsidRDefault="004B3EB7" w:rsidP="004B3EB7">
            <w:pPr>
              <w:jc w:val="center"/>
              <w:rPr>
                <w:rFonts w:ascii="Times New Roman" w:eastAsia="Times New Roman" w:hAnsi="Times New Roman"/>
                <w:b/>
                <w:bCs/>
                <w:sz w:val="20"/>
                <w:szCs w:val="20"/>
                <w:lang w:eastAsia="en-AU"/>
              </w:rPr>
            </w:pPr>
            <w:r w:rsidRPr="00462072">
              <w:rPr>
                <w:rFonts w:ascii="Times New Roman" w:eastAsia="Times New Roman" w:hAnsi="Times New Roman"/>
                <w:b/>
                <w:bCs/>
                <w:sz w:val="20"/>
                <w:szCs w:val="20"/>
                <w:lang w:eastAsia="en-AU"/>
              </w:rPr>
              <w:t>Total</w:t>
            </w:r>
          </w:p>
        </w:tc>
      </w:tr>
      <w:tr w:rsidR="004B3EB7" w:rsidRPr="004B3EB7" w14:paraId="79725DF2" w14:textId="77777777" w:rsidTr="004B3EB7">
        <w:trPr>
          <w:trHeight w:val="300"/>
        </w:trPr>
        <w:tc>
          <w:tcPr>
            <w:tcW w:w="960" w:type="dxa"/>
            <w:tcBorders>
              <w:top w:val="nil"/>
              <w:left w:val="nil"/>
              <w:bottom w:val="nil"/>
              <w:right w:val="nil"/>
            </w:tcBorders>
            <w:shd w:val="clear" w:color="auto" w:fill="auto"/>
            <w:noWrap/>
            <w:vAlign w:val="bottom"/>
            <w:hideMark/>
          </w:tcPr>
          <w:p w14:paraId="4E13E1ED" w14:textId="77777777" w:rsidR="004B3EB7" w:rsidRPr="004B3EB7" w:rsidRDefault="004B3EB7" w:rsidP="004B3EB7">
            <w:pPr>
              <w:jc w:val="center"/>
              <w:rPr>
                <w:rFonts w:ascii="Calibri" w:eastAsia="Times New Roman" w:hAnsi="Calibri"/>
                <w:b/>
                <w:bCs/>
                <w:sz w:val="22"/>
                <w:szCs w:val="22"/>
                <w:lang w:eastAsia="en-AU"/>
              </w:rPr>
            </w:pPr>
          </w:p>
        </w:tc>
        <w:tc>
          <w:tcPr>
            <w:tcW w:w="960" w:type="dxa"/>
            <w:tcBorders>
              <w:top w:val="nil"/>
              <w:left w:val="single" w:sz="8" w:space="0" w:color="auto"/>
              <w:bottom w:val="nil"/>
              <w:right w:val="single" w:sz="8" w:space="0" w:color="auto"/>
            </w:tcBorders>
            <w:shd w:val="clear" w:color="auto" w:fill="auto"/>
            <w:vAlign w:val="center"/>
            <w:hideMark/>
          </w:tcPr>
          <w:p w14:paraId="6BCF0F05"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2017</w:t>
            </w:r>
          </w:p>
        </w:tc>
        <w:tc>
          <w:tcPr>
            <w:tcW w:w="700" w:type="dxa"/>
            <w:tcBorders>
              <w:top w:val="nil"/>
              <w:left w:val="nil"/>
              <w:bottom w:val="nil"/>
              <w:right w:val="nil"/>
            </w:tcBorders>
            <w:shd w:val="clear" w:color="auto" w:fill="auto"/>
            <w:vAlign w:val="center"/>
            <w:hideMark/>
          </w:tcPr>
          <w:p w14:paraId="01802F6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2DA81EC6"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25B151EC"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single" w:sz="4" w:space="0" w:color="auto"/>
            </w:tcBorders>
            <w:shd w:val="clear" w:color="auto" w:fill="auto"/>
            <w:vAlign w:val="center"/>
            <w:hideMark/>
          </w:tcPr>
          <w:p w14:paraId="1EA08E5C"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single" w:sz="8" w:space="0" w:color="auto"/>
            </w:tcBorders>
            <w:shd w:val="clear" w:color="auto" w:fill="auto"/>
            <w:vAlign w:val="center"/>
            <w:hideMark/>
          </w:tcPr>
          <w:p w14:paraId="1082236C"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0.0</w:t>
            </w:r>
          </w:p>
        </w:tc>
        <w:tc>
          <w:tcPr>
            <w:tcW w:w="700" w:type="dxa"/>
            <w:tcBorders>
              <w:top w:val="nil"/>
              <w:left w:val="nil"/>
              <w:bottom w:val="nil"/>
              <w:right w:val="nil"/>
            </w:tcBorders>
            <w:shd w:val="clear" w:color="auto" w:fill="auto"/>
            <w:vAlign w:val="center"/>
            <w:hideMark/>
          </w:tcPr>
          <w:p w14:paraId="6B95A6B5"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67296659"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3A485ED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056B3746"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single" w:sz="4" w:space="0" w:color="auto"/>
              <w:bottom w:val="nil"/>
              <w:right w:val="single" w:sz="8" w:space="0" w:color="auto"/>
            </w:tcBorders>
            <w:shd w:val="clear" w:color="auto" w:fill="auto"/>
            <w:vAlign w:val="center"/>
            <w:hideMark/>
          </w:tcPr>
          <w:p w14:paraId="7D3431BF"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0.0</w:t>
            </w:r>
          </w:p>
        </w:tc>
        <w:tc>
          <w:tcPr>
            <w:tcW w:w="700" w:type="dxa"/>
            <w:tcBorders>
              <w:top w:val="nil"/>
              <w:left w:val="nil"/>
              <w:bottom w:val="nil"/>
              <w:right w:val="nil"/>
            </w:tcBorders>
            <w:shd w:val="clear" w:color="auto" w:fill="auto"/>
            <w:vAlign w:val="center"/>
            <w:hideMark/>
          </w:tcPr>
          <w:p w14:paraId="56656AD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0BC19181"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1BF7C6F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nil"/>
              <w:bottom w:val="nil"/>
              <w:right w:val="nil"/>
            </w:tcBorders>
            <w:shd w:val="clear" w:color="auto" w:fill="auto"/>
            <w:vAlign w:val="center"/>
            <w:hideMark/>
          </w:tcPr>
          <w:p w14:paraId="0B981DE4"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0.0</w:t>
            </w:r>
          </w:p>
        </w:tc>
        <w:tc>
          <w:tcPr>
            <w:tcW w:w="700" w:type="dxa"/>
            <w:tcBorders>
              <w:top w:val="nil"/>
              <w:left w:val="single" w:sz="4" w:space="0" w:color="auto"/>
              <w:bottom w:val="nil"/>
              <w:right w:val="single" w:sz="8" w:space="0" w:color="auto"/>
            </w:tcBorders>
            <w:shd w:val="clear" w:color="auto" w:fill="auto"/>
            <w:vAlign w:val="center"/>
            <w:hideMark/>
          </w:tcPr>
          <w:p w14:paraId="65BF5D7C"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0.0</w:t>
            </w:r>
          </w:p>
        </w:tc>
      </w:tr>
      <w:tr w:rsidR="004B3EB7" w:rsidRPr="004B3EB7" w14:paraId="145AD1A3" w14:textId="77777777" w:rsidTr="004B3EB7">
        <w:trPr>
          <w:trHeight w:val="300"/>
        </w:trPr>
        <w:tc>
          <w:tcPr>
            <w:tcW w:w="960" w:type="dxa"/>
            <w:vMerge w:val="restart"/>
            <w:tcBorders>
              <w:top w:val="nil"/>
              <w:left w:val="nil"/>
              <w:bottom w:val="nil"/>
              <w:right w:val="single" w:sz="8" w:space="0" w:color="auto"/>
            </w:tcBorders>
            <w:shd w:val="clear" w:color="000000" w:fill="C6E0B4"/>
            <w:vAlign w:val="bottom"/>
            <w:hideMark/>
          </w:tcPr>
          <w:p w14:paraId="338B0F71" w14:textId="77777777" w:rsidR="004B3EB7" w:rsidRPr="000E5066" w:rsidRDefault="004B3EB7" w:rsidP="004B3EB7">
            <w:pPr>
              <w:jc w:val="center"/>
              <w:rPr>
                <w:rFonts w:ascii="Times New Roman" w:eastAsia="Times New Roman" w:hAnsi="Times New Roman"/>
                <w:color w:val="000000"/>
                <w:sz w:val="22"/>
                <w:szCs w:val="22"/>
                <w:lang w:eastAsia="en-AU"/>
              </w:rPr>
            </w:pPr>
            <w:r w:rsidRPr="000E5066">
              <w:rPr>
                <w:rFonts w:ascii="Times New Roman" w:eastAsia="Times New Roman" w:hAnsi="Times New Roman"/>
                <w:color w:val="000000"/>
                <w:sz w:val="22"/>
                <w:szCs w:val="22"/>
                <w:lang w:eastAsia="en-AU"/>
              </w:rPr>
              <w:t>National Truck Plan               (5 Years)</w:t>
            </w:r>
          </w:p>
        </w:tc>
        <w:tc>
          <w:tcPr>
            <w:tcW w:w="960" w:type="dxa"/>
            <w:tcBorders>
              <w:top w:val="nil"/>
              <w:left w:val="nil"/>
              <w:bottom w:val="nil"/>
              <w:right w:val="single" w:sz="8" w:space="0" w:color="auto"/>
            </w:tcBorders>
            <w:shd w:val="clear" w:color="000000" w:fill="C6E0B4"/>
            <w:vAlign w:val="center"/>
            <w:hideMark/>
          </w:tcPr>
          <w:p w14:paraId="78DC25B5"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2018</w:t>
            </w:r>
          </w:p>
        </w:tc>
        <w:tc>
          <w:tcPr>
            <w:tcW w:w="700" w:type="dxa"/>
            <w:tcBorders>
              <w:top w:val="nil"/>
              <w:left w:val="nil"/>
              <w:bottom w:val="nil"/>
              <w:right w:val="nil"/>
            </w:tcBorders>
            <w:shd w:val="clear" w:color="000000" w:fill="C6E0B4"/>
            <w:vAlign w:val="center"/>
            <w:hideMark/>
          </w:tcPr>
          <w:p w14:paraId="309F91C8"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8.9</w:t>
            </w:r>
          </w:p>
        </w:tc>
        <w:tc>
          <w:tcPr>
            <w:tcW w:w="700" w:type="dxa"/>
            <w:tcBorders>
              <w:top w:val="nil"/>
              <w:left w:val="nil"/>
              <w:bottom w:val="nil"/>
              <w:right w:val="nil"/>
            </w:tcBorders>
            <w:shd w:val="clear" w:color="000000" w:fill="C6E0B4"/>
            <w:vAlign w:val="center"/>
            <w:hideMark/>
          </w:tcPr>
          <w:p w14:paraId="74A87766"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53.6</w:t>
            </w:r>
          </w:p>
        </w:tc>
        <w:tc>
          <w:tcPr>
            <w:tcW w:w="700" w:type="dxa"/>
            <w:tcBorders>
              <w:top w:val="nil"/>
              <w:left w:val="nil"/>
              <w:bottom w:val="nil"/>
              <w:right w:val="nil"/>
            </w:tcBorders>
            <w:shd w:val="clear" w:color="000000" w:fill="C6E0B4"/>
            <w:noWrap/>
            <w:vAlign w:val="center"/>
            <w:hideMark/>
          </w:tcPr>
          <w:p w14:paraId="7DF98AC6"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2.9</w:t>
            </w:r>
          </w:p>
        </w:tc>
        <w:tc>
          <w:tcPr>
            <w:tcW w:w="700" w:type="dxa"/>
            <w:tcBorders>
              <w:top w:val="nil"/>
              <w:left w:val="nil"/>
              <w:bottom w:val="nil"/>
              <w:right w:val="single" w:sz="4" w:space="0" w:color="auto"/>
            </w:tcBorders>
            <w:shd w:val="clear" w:color="000000" w:fill="C6E0B4"/>
            <w:vAlign w:val="center"/>
            <w:hideMark/>
          </w:tcPr>
          <w:p w14:paraId="694DBE8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218.7</w:t>
            </w:r>
          </w:p>
        </w:tc>
        <w:tc>
          <w:tcPr>
            <w:tcW w:w="700" w:type="dxa"/>
            <w:tcBorders>
              <w:top w:val="nil"/>
              <w:left w:val="nil"/>
              <w:bottom w:val="nil"/>
              <w:right w:val="single" w:sz="8" w:space="0" w:color="auto"/>
            </w:tcBorders>
            <w:shd w:val="clear" w:color="000000" w:fill="C6E0B4"/>
            <w:vAlign w:val="center"/>
            <w:hideMark/>
          </w:tcPr>
          <w:p w14:paraId="6693DAFF"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284.1</w:t>
            </w:r>
          </w:p>
        </w:tc>
        <w:tc>
          <w:tcPr>
            <w:tcW w:w="700" w:type="dxa"/>
            <w:tcBorders>
              <w:top w:val="nil"/>
              <w:left w:val="nil"/>
              <w:bottom w:val="nil"/>
              <w:right w:val="nil"/>
            </w:tcBorders>
            <w:shd w:val="clear" w:color="000000" w:fill="C6E0B4"/>
            <w:vAlign w:val="center"/>
            <w:hideMark/>
          </w:tcPr>
          <w:p w14:paraId="5145562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12.0</w:t>
            </w:r>
          </w:p>
        </w:tc>
        <w:tc>
          <w:tcPr>
            <w:tcW w:w="700" w:type="dxa"/>
            <w:tcBorders>
              <w:top w:val="nil"/>
              <w:left w:val="nil"/>
              <w:bottom w:val="nil"/>
              <w:right w:val="nil"/>
            </w:tcBorders>
            <w:shd w:val="clear" w:color="000000" w:fill="C6E0B4"/>
            <w:vAlign w:val="center"/>
            <w:hideMark/>
          </w:tcPr>
          <w:p w14:paraId="6C0811FA"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107.1</w:t>
            </w:r>
          </w:p>
        </w:tc>
        <w:tc>
          <w:tcPr>
            <w:tcW w:w="700" w:type="dxa"/>
            <w:tcBorders>
              <w:top w:val="nil"/>
              <w:left w:val="nil"/>
              <w:bottom w:val="nil"/>
              <w:right w:val="nil"/>
            </w:tcBorders>
            <w:shd w:val="clear" w:color="000000" w:fill="C6E0B4"/>
            <w:vAlign w:val="center"/>
            <w:hideMark/>
          </w:tcPr>
          <w:p w14:paraId="0CA699E9"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3.8</w:t>
            </w:r>
          </w:p>
        </w:tc>
        <w:tc>
          <w:tcPr>
            <w:tcW w:w="700" w:type="dxa"/>
            <w:tcBorders>
              <w:top w:val="nil"/>
              <w:left w:val="nil"/>
              <w:bottom w:val="nil"/>
              <w:right w:val="nil"/>
            </w:tcBorders>
            <w:shd w:val="clear" w:color="000000" w:fill="C6E0B4"/>
            <w:vAlign w:val="center"/>
            <w:hideMark/>
          </w:tcPr>
          <w:p w14:paraId="6E6B3D4F"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296.8</w:t>
            </w:r>
          </w:p>
        </w:tc>
        <w:tc>
          <w:tcPr>
            <w:tcW w:w="700" w:type="dxa"/>
            <w:tcBorders>
              <w:top w:val="nil"/>
              <w:left w:val="single" w:sz="4" w:space="0" w:color="auto"/>
              <w:bottom w:val="nil"/>
              <w:right w:val="single" w:sz="8" w:space="0" w:color="auto"/>
            </w:tcBorders>
            <w:shd w:val="clear" w:color="000000" w:fill="C6E0B4"/>
            <w:vAlign w:val="center"/>
            <w:hideMark/>
          </w:tcPr>
          <w:p w14:paraId="231BEC59"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419.7</w:t>
            </w:r>
          </w:p>
        </w:tc>
        <w:tc>
          <w:tcPr>
            <w:tcW w:w="700" w:type="dxa"/>
            <w:tcBorders>
              <w:top w:val="nil"/>
              <w:left w:val="nil"/>
              <w:bottom w:val="nil"/>
              <w:right w:val="nil"/>
            </w:tcBorders>
            <w:shd w:val="clear" w:color="000000" w:fill="C6E0B4"/>
            <w:vAlign w:val="center"/>
            <w:hideMark/>
          </w:tcPr>
          <w:p w14:paraId="0146D47F"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14.1</w:t>
            </w:r>
          </w:p>
        </w:tc>
        <w:tc>
          <w:tcPr>
            <w:tcW w:w="700" w:type="dxa"/>
            <w:tcBorders>
              <w:top w:val="nil"/>
              <w:left w:val="nil"/>
              <w:bottom w:val="nil"/>
              <w:right w:val="nil"/>
            </w:tcBorders>
            <w:shd w:val="clear" w:color="000000" w:fill="C6E0B4"/>
            <w:vAlign w:val="center"/>
            <w:hideMark/>
          </w:tcPr>
          <w:p w14:paraId="1552CE8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157.1</w:t>
            </w:r>
          </w:p>
        </w:tc>
        <w:tc>
          <w:tcPr>
            <w:tcW w:w="700" w:type="dxa"/>
            <w:tcBorders>
              <w:top w:val="nil"/>
              <w:left w:val="nil"/>
              <w:bottom w:val="nil"/>
              <w:right w:val="nil"/>
            </w:tcBorders>
            <w:shd w:val="clear" w:color="000000" w:fill="C6E0B4"/>
            <w:vAlign w:val="center"/>
            <w:hideMark/>
          </w:tcPr>
          <w:p w14:paraId="24C9C1F9"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4.5</w:t>
            </w:r>
          </w:p>
        </w:tc>
        <w:tc>
          <w:tcPr>
            <w:tcW w:w="700" w:type="dxa"/>
            <w:tcBorders>
              <w:top w:val="nil"/>
              <w:left w:val="nil"/>
              <w:bottom w:val="nil"/>
              <w:right w:val="nil"/>
            </w:tcBorders>
            <w:shd w:val="clear" w:color="000000" w:fill="C6E0B4"/>
            <w:vAlign w:val="center"/>
            <w:hideMark/>
          </w:tcPr>
          <w:p w14:paraId="6B2343E2"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350.4</w:t>
            </w:r>
          </w:p>
        </w:tc>
        <w:tc>
          <w:tcPr>
            <w:tcW w:w="700" w:type="dxa"/>
            <w:tcBorders>
              <w:top w:val="nil"/>
              <w:left w:val="single" w:sz="4" w:space="0" w:color="auto"/>
              <w:bottom w:val="nil"/>
              <w:right w:val="single" w:sz="8" w:space="0" w:color="auto"/>
            </w:tcBorders>
            <w:shd w:val="clear" w:color="000000" w:fill="C6E0B4"/>
            <w:vAlign w:val="center"/>
            <w:hideMark/>
          </w:tcPr>
          <w:p w14:paraId="42F0362A"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526.1</w:t>
            </w:r>
          </w:p>
        </w:tc>
      </w:tr>
      <w:tr w:rsidR="004B3EB7" w:rsidRPr="004B3EB7" w14:paraId="141854F7" w14:textId="77777777" w:rsidTr="004B3EB7">
        <w:trPr>
          <w:trHeight w:val="300"/>
        </w:trPr>
        <w:tc>
          <w:tcPr>
            <w:tcW w:w="960" w:type="dxa"/>
            <w:vMerge/>
            <w:tcBorders>
              <w:top w:val="nil"/>
              <w:left w:val="nil"/>
              <w:bottom w:val="nil"/>
              <w:right w:val="single" w:sz="8" w:space="0" w:color="auto"/>
            </w:tcBorders>
            <w:vAlign w:val="center"/>
            <w:hideMark/>
          </w:tcPr>
          <w:p w14:paraId="7B290EA9" w14:textId="77777777" w:rsidR="004B3EB7" w:rsidRPr="000E5066" w:rsidRDefault="004B3EB7" w:rsidP="004B3EB7">
            <w:pPr>
              <w:rPr>
                <w:rFonts w:ascii="Times New Roman" w:eastAsia="Times New Roman" w:hAnsi="Times New Roman"/>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71246F4A"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2019</w:t>
            </w:r>
          </w:p>
        </w:tc>
        <w:tc>
          <w:tcPr>
            <w:tcW w:w="700" w:type="dxa"/>
            <w:tcBorders>
              <w:top w:val="nil"/>
              <w:left w:val="nil"/>
              <w:bottom w:val="nil"/>
              <w:right w:val="nil"/>
            </w:tcBorders>
            <w:shd w:val="clear" w:color="000000" w:fill="C6E0B4"/>
            <w:vAlign w:val="center"/>
            <w:hideMark/>
          </w:tcPr>
          <w:p w14:paraId="1DCE5A81"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9.2</w:t>
            </w:r>
          </w:p>
        </w:tc>
        <w:tc>
          <w:tcPr>
            <w:tcW w:w="700" w:type="dxa"/>
            <w:tcBorders>
              <w:top w:val="nil"/>
              <w:left w:val="nil"/>
              <w:bottom w:val="nil"/>
              <w:right w:val="nil"/>
            </w:tcBorders>
            <w:shd w:val="clear" w:color="000000" w:fill="C6E0B4"/>
            <w:vAlign w:val="center"/>
            <w:hideMark/>
          </w:tcPr>
          <w:p w14:paraId="1072BAA4"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109.1</w:t>
            </w:r>
          </w:p>
        </w:tc>
        <w:tc>
          <w:tcPr>
            <w:tcW w:w="700" w:type="dxa"/>
            <w:tcBorders>
              <w:top w:val="nil"/>
              <w:left w:val="nil"/>
              <w:bottom w:val="nil"/>
              <w:right w:val="nil"/>
            </w:tcBorders>
            <w:shd w:val="clear" w:color="000000" w:fill="C6E0B4"/>
            <w:noWrap/>
            <w:vAlign w:val="center"/>
            <w:hideMark/>
          </w:tcPr>
          <w:p w14:paraId="1C6EECC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3.0</w:t>
            </w:r>
          </w:p>
        </w:tc>
        <w:tc>
          <w:tcPr>
            <w:tcW w:w="700" w:type="dxa"/>
            <w:tcBorders>
              <w:top w:val="nil"/>
              <w:left w:val="nil"/>
              <w:bottom w:val="nil"/>
              <w:right w:val="single" w:sz="4" w:space="0" w:color="auto"/>
            </w:tcBorders>
            <w:shd w:val="clear" w:color="000000" w:fill="C6E0B4"/>
            <w:vAlign w:val="center"/>
            <w:hideMark/>
          </w:tcPr>
          <w:p w14:paraId="667DBDB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226.2</w:t>
            </w:r>
          </w:p>
        </w:tc>
        <w:tc>
          <w:tcPr>
            <w:tcW w:w="700" w:type="dxa"/>
            <w:tcBorders>
              <w:top w:val="nil"/>
              <w:left w:val="nil"/>
              <w:bottom w:val="nil"/>
              <w:right w:val="single" w:sz="8" w:space="0" w:color="auto"/>
            </w:tcBorders>
            <w:shd w:val="clear" w:color="000000" w:fill="C6E0B4"/>
            <w:vAlign w:val="center"/>
            <w:hideMark/>
          </w:tcPr>
          <w:p w14:paraId="00E5181D"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347.5</w:t>
            </w:r>
          </w:p>
        </w:tc>
        <w:tc>
          <w:tcPr>
            <w:tcW w:w="700" w:type="dxa"/>
            <w:tcBorders>
              <w:top w:val="nil"/>
              <w:left w:val="nil"/>
              <w:bottom w:val="nil"/>
              <w:right w:val="nil"/>
            </w:tcBorders>
            <w:shd w:val="clear" w:color="000000" w:fill="C6E0B4"/>
            <w:vAlign w:val="center"/>
            <w:hideMark/>
          </w:tcPr>
          <w:p w14:paraId="6FDACE3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12.3</w:t>
            </w:r>
          </w:p>
        </w:tc>
        <w:tc>
          <w:tcPr>
            <w:tcW w:w="700" w:type="dxa"/>
            <w:tcBorders>
              <w:top w:val="nil"/>
              <w:left w:val="nil"/>
              <w:bottom w:val="nil"/>
              <w:right w:val="nil"/>
            </w:tcBorders>
            <w:shd w:val="clear" w:color="000000" w:fill="C6E0B4"/>
            <w:vAlign w:val="center"/>
            <w:hideMark/>
          </w:tcPr>
          <w:p w14:paraId="3825672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218.2</w:t>
            </w:r>
          </w:p>
        </w:tc>
        <w:tc>
          <w:tcPr>
            <w:tcW w:w="700" w:type="dxa"/>
            <w:tcBorders>
              <w:top w:val="nil"/>
              <w:left w:val="nil"/>
              <w:bottom w:val="nil"/>
              <w:right w:val="nil"/>
            </w:tcBorders>
            <w:shd w:val="clear" w:color="000000" w:fill="C6E0B4"/>
            <w:vAlign w:val="center"/>
            <w:hideMark/>
          </w:tcPr>
          <w:p w14:paraId="0DF3F6E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3.9</w:t>
            </w:r>
          </w:p>
        </w:tc>
        <w:tc>
          <w:tcPr>
            <w:tcW w:w="700" w:type="dxa"/>
            <w:tcBorders>
              <w:top w:val="nil"/>
              <w:left w:val="nil"/>
              <w:bottom w:val="nil"/>
              <w:right w:val="nil"/>
            </w:tcBorders>
            <w:shd w:val="clear" w:color="000000" w:fill="C6E0B4"/>
            <w:vAlign w:val="center"/>
            <w:hideMark/>
          </w:tcPr>
          <w:p w14:paraId="6353AF51"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306.9</w:t>
            </w:r>
          </w:p>
        </w:tc>
        <w:tc>
          <w:tcPr>
            <w:tcW w:w="700" w:type="dxa"/>
            <w:tcBorders>
              <w:top w:val="nil"/>
              <w:left w:val="single" w:sz="4" w:space="0" w:color="auto"/>
              <w:bottom w:val="nil"/>
              <w:right w:val="single" w:sz="8" w:space="0" w:color="auto"/>
            </w:tcBorders>
            <w:shd w:val="clear" w:color="000000" w:fill="C6E0B4"/>
            <w:vAlign w:val="center"/>
            <w:hideMark/>
          </w:tcPr>
          <w:p w14:paraId="1C79A77F"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541.3</w:t>
            </w:r>
          </w:p>
        </w:tc>
        <w:tc>
          <w:tcPr>
            <w:tcW w:w="700" w:type="dxa"/>
            <w:tcBorders>
              <w:top w:val="nil"/>
              <w:left w:val="nil"/>
              <w:bottom w:val="nil"/>
              <w:right w:val="nil"/>
            </w:tcBorders>
            <w:shd w:val="clear" w:color="000000" w:fill="C6E0B4"/>
            <w:vAlign w:val="center"/>
            <w:hideMark/>
          </w:tcPr>
          <w:p w14:paraId="021B6A4A"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14.5</w:t>
            </w:r>
          </w:p>
        </w:tc>
        <w:tc>
          <w:tcPr>
            <w:tcW w:w="700" w:type="dxa"/>
            <w:tcBorders>
              <w:top w:val="nil"/>
              <w:left w:val="nil"/>
              <w:bottom w:val="nil"/>
              <w:right w:val="nil"/>
            </w:tcBorders>
            <w:shd w:val="clear" w:color="000000" w:fill="C6E0B4"/>
            <w:vAlign w:val="center"/>
            <w:hideMark/>
          </w:tcPr>
          <w:p w14:paraId="70C9405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320.2</w:t>
            </w:r>
          </w:p>
        </w:tc>
        <w:tc>
          <w:tcPr>
            <w:tcW w:w="700" w:type="dxa"/>
            <w:tcBorders>
              <w:top w:val="nil"/>
              <w:left w:val="nil"/>
              <w:bottom w:val="nil"/>
              <w:right w:val="nil"/>
            </w:tcBorders>
            <w:shd w:val="clear" w:color="000000" w:fill="C6E0B4"/>
            <w:vAlign w:val="center"/>
            <w:hideMark/>
          </w:tcPr>
          <w:p w14:paraId="73B74BC9"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4.6</w:t>
            </w:r>
          </w:p>
        </w:tc>
        <w:tc>
          <w:tcPr>
            <w:tcW w:w="700" w:type="dxa"/>
            <w:tcBorders>
              <w:top w:val="nil"/>
              <w:left w:val="nil"/>
              <w:bottom w:val="nil"/>
              <w:right w:val="nil"/>
            </w:tcBorders>
            <w:shd w:val="clear" w:color="000000" w:fill="C6E0B4"/>
            <w:vAlign w:val="center"/>
            <w:hideMark/>
          </w:tcPr>
          <w:p w14:paraId="59E355A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362.4</w:t>
            </w:r>
          </w:p>
        </w:tc>
        <w:tc>
          <w:tcPr>
            <w:tcW w:w="700" w:type="dxa"/>
            <w:tcBorders>
              <w:top w:val="nil"/>
              <w:left w:val="single" w:sz="4" w:space="0" w:color="auto"/>
              <w:bottom w:val="nil"/>
              <w:right w:val="single" w:sz="8" w:space="0" w:color="auto"/>
            </w:tcBorders>
            <w:shd w:val="clear" w:color="000000" w:fill="C6E0B4"/>
            <w:vAlign w:val="center"/>
            <w:hideMark/>
          </w:tcPr>
          <w:p w14:paraId="015AD133"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701.7</w:t>
            </w:r>
          </w:p>
        </w:tc>
      </w:tr>
      <w:tr w:rsidR="004B3EB7" w:rsidRPr="004B3EB7" w14:paraId="01EB25A2" w14:textId="77777777" w:rsidTr="004B3EB7">
        <w:trPr>
          <w:trHeight w:val="300"/>
        </w:trPr>
        <w:tc>
          <w:tcPr>
            <w:tcW w:w="960" w:type="dxa"/>
            <w:vMerge/>
            <w:tcBorders>
              <w:top w:val="nil"/>
              <w:left w:val="nil"/>
              <w:bottom w:val="nil"/>
              <w:right w:val="single" w:sz="8" w:space="0" w:color="auto"/>
            </w:tcBorders>
            <w:vAlign w:val="center"/>
            <w:hideMark/>
          </w:tcPr>
          <w:p w14:paraId="04804D7E" w14:textId="77777777" w:rsidR="004B3EB7" w:rsidRPr="000E5066" w:rsidRDefault="004B3EB7" w:rsidP="004B3EB7">
            <w:pPr>
              <w:rPr>
                <w:rFonts w:ascii="Times New Roman" w:eastAsia="Times New Roman" w:hAnsi="Times New Roman"/>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49299DDF"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2020</w:t>
            </w:r>
          </w:p>
        </w:tc>
        <w:tc>
          <w:tcPr>
            <w:tcW w:w="700" w:type="dxa"/>
            <w:tcBorders>
              <w:top w:val="nil"/>
              <w:left w:val="nil"/>
              <w:bottom w:val="nil"/>
              <w:right w:val="nil"/>
            </w:tcBorders>
            <w:shd w:val="clear" w:color="000000" w:fill="C6E0B4"/>
            <w:vAlign w:val="center"/>
            <w:hideMark/>
          </w:tcPr>
          <w:p w14:paraId="5C9A53F5"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9.5</w:t>
            </w:r>
          </w:p>
        </w:tc>
        <w:tc>
          <w:tcPr>
            <w:tcW w:w="700" w:type="dxa"/>
            <w:tcBorders>
              <w:top w:val="nil"/>
              <w:left w:val="nil"/>
              <w:bottom w:val="nil"/>
              <w:right w:val="nil"/>
            </w:tcBorders>
            <w:shd w:val="clear" w:color="000000" w:fill="C6E0B4"/>
            <w:vAlign w:val="center"/>
            <w:hideMark/>
          </w:tcPr>
          <w:p w14:paraId="2793BB5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166.9</w:t>
            </w:r>
          </w:p>
        </w:tc>
        <w:tc>
          <w:tcPr>
            <w:tcW w:w="700" w:type="dxa"/>
            <w:tcBorders>
              <w:top w:val="nil"/>
              <w:left w:val="nil"/>
              <w:bottom w:val="nil"/>
              <w:right w:val="nil"/>
            </w:tcBorders>
            <w:shd w:val="clear" w:color="000000" w:fill="C6E0B4"/>
            <w:noWrap/>
            <w:vAlign w:val="center"/>
            <w:hideMark/>
          </w:tcPr>
          <w:p w14:paraId="6987C50F"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3.1</w:t>
            </w:r>
          </w:p>
        </w:tc>
        <w:tc>
          <w:tcPr>
            <w:tcW w:w="700" w:type="dxa"/>
            <w:tcBorders>
              <w:top w:val="nil"/>
              <w:left w:val="nil"/>
              <w:bottom w:val="nil"/>
              <w:right w:val="single" w:sz="4" w:space="0" w:color="auto"/>
            </w:tcBorders>
            <w:shd w:val="clear" w:color="000000" w:fill="C6E0B4"/>
            <w:vAlign w:val="center"/>
            <w:hideMark/>
          </w:tcPr>
          <w:p w14:paraId="189FCE55"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233.9</w:t>
            </w:r>
          </w:p>
        </w:tc>
        <w:tc>
          <w:tcPr>
            <w:tcW w:w="700" w:type="dxa"/>
            <w:tcBorders>
              <w:top w:val="nil"/>
              <w:left w:val="nil"/>
              <w:bottom w:val="nil"/>
              <w:right w:val="single" w:sz="8" w:space="0" w:color="auto"/>
            </w:tcBorders>
            <w:shd w:val="clear" w:color="000000" w:fill="C6E0B4"/>
            <w:vAlign w:val="center"/>
            <w:hideMark/>
          </w:tcPr>
          <w:p w14:paraId="45BB4C59"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413.4</w:t>
            </w:r>
          </w:p>
        </w:tc>
        <w:tc>
          <w:tcPr>
            <w:tcW w:w="700" w:type="dxa"/>
            <w:tcBorders>
              <w:top w:val="nil"/>
              <w:left w:val="nil"/>
              <w:bottom w:val="nil"/>
              <w:right w:val="nil"/>
            </w:tcBorders>
            <w:shd w:val="clear" w:color="000000" w:fill="C6E0B4"/>
            <w:vAlign w:val="center"/>
            <w:hideMark/>
          </w:tcPr>
          <w:p w14:paraId="3D6CD86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12.7</w:t>
            </w:r>
          </w:p>
        </w:tc>
        <w:tc>
          <w:tcPr>
            <w:tcW w:w="700" w:type="dxa"/>
            <w:tcBorders>
              <w:top w:val="nil"/>
              <w:left w:val="nil"/>
              <w:bottom w:val="nil"/>
              <w:right w:val="nil"/>
            </w:tcBorders>
            <w:shd w:val="clear" w:color="000000" w:fill="C6E0B4"/>
            <w:vAlign w:val="center"/>
            <w:hideMark/>
          </w:tcPr>
          <w:p w14:paraId="13B61094"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333.8</w:t>
            </w:r>
          </w:p>
        </w:tc>
        <w:tc>
          <w:tcPr>
            <w:tcW w:w="700" w:type="dxa"/>
            <w:tcBorders>
              <w:top w:val="nil"/>
              <w:left w:val="nil"/>
              <w:bottom w:val="nil"/>
              <w:right w:val="nil"/>
            </w:tcBorders>
            <w:shd w:val="clear" w:color="000000" w:fill="C6E0B4"/>
            <w:vAlign w:val="center"/>
            <w:hideMark/>
          </w:tcPr>
          <w:p w14:paraId="4AA6C399"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4.0</w:t>
            </w:r>
          </w:p>
        </w:tc>
        <w:tc>
          <w:tcPr>
            <w:tcW w:w="700" w:type="dxa"/>
            <w:tcBorders>
              <w:top w:val="nil"/>
              <w:left w:val="nil"/>
              <w:bottom w:val="nil"/>
              <w:right w:val="nil"/>
            </w:tcBorders>
            <w:shd w:val="clear" w:color="000000" w:fill="C6E0B4"/>
            <w:vAlign w:val="center"/>
            <w:hideMark/>
          </w:tcPr>
          <w:p w14:paraId="7AAAA982"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317.3</w:t>
            </w:r>
          </w:p>
        </w:tc>
        <w:tc>
          <w:tcPr>
            <w:tcW w:w="700" w:type="dxa"/>
            <w:tcBorders>
              <w:top w:val="nil"/>
              <w:left w:val="single" w:sz="4" w:space="0" w:color="auto"/>
              <w:bottom w:val="nil"/>
              <w:right w:val="single" w:sz="8" w:space="0" w:color="auto"/>
            </w:tcBorders>
            <w:shd w:val="clear" w:color="000000" w:fill="C6E0B4"/>
            <w:vAlign w:val="center"/>
            <w:hideMark/>
          </w:tcPr>
          <w:p w14:paraId="0035D3C5"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667.8</w:t>
            </w:r>
          </w:p>
        </w:tc>
        <w:tc>
          <w:tcPr>
            <w:tcW w:w="700" w:type="dxa"/>
            <w:tcBorders>
              <w:top w:val="nil"/>
              <w:left w:val="nil"/>
              <w:bottom w:val="nil"/>
              <w:right w:val="nil"/>
            </w:tcBorders>
            <w:shd w:val="clear" w:color="000000" w:fill="C6E0B4"/>
            <w:vAlign w:val="center"/>
            <w:hideMark/>
          </w:tcPr>
          <w:p w14:paraId="2C09E3A4"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15.0</w:t>
            </w:r>
          </w:p>
        </w:tc>
        <w:tc>
          <w:tcPr>
            <w:tcW w:w="700" w:type="dxa"/>
            <w:tcBorders>
              <w:top w:val="nil"/>
              <w:left w:val="nil"/>
              <w:bottom w:val="nil"/>
              <w:right w:val="nil"/>
            </w:tcBorders>
            <w:shd w:val="clear" w:color="000000" w:fill="C6E0B4"/>
            <w:vAlign w:val="center"/>
            <w:hideMark/>
          </w:tcPr>
          <w:p w14:paraId="126ED17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489.7</w:t>
            </w:r>
          </w:p>
        </w:tc>
        <w:tc>
          <w:tcPr>
            <w:tcW w:w="700" w:type="dxa"/>
            <w:tcBorders>
              <w:top w:val="nil"/>
              <w:left w:val="nil"/>
              <w:bottom w:val="nil"/>
              <w:right w:val="nil"/>
            </w:tcBorders>
            <w:shd w:val="clear" w:color="000000" w:fill="C6E0B4"/>
            <w:vAlign w:val="center"/>
            <w:hideMark/>
          </w:tcPr>
          <w:p w14:paraId="40667DA6"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4.8</w:t>
            </w:r>
          </w:p>
        </w:tc>
        <w:tc>
          <w:tcPr>
            <w:tcW w:w="700" w:type="dxa"/>
            <w:tcBorders>
              <w:top w:val="nil"/>
              <w:left w:val="nil"/>
              <w:bottom w:val="nil"/>
              <w:right w:val="nil"/>
            </w:tcBorders>
            <w:shd w:val="clear" w:color="000000" w:fill="C6E0B4"/>
            <w:vAlign w:val="center"/>
            <w:hideMark/>
          </w:tcPr>
          <w:p w14:paraId="36EF24B8"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374.7</w:t>
            </w:r>
          </w:p>
        </w:tc>
        <w:tc>
          <w:tcPr>
            <w:tcW w:w="700" w:type="dxa"/>
            <w:tcBorders>
              <w:top w:val="nil"/>
              <w:left w:val="single" w:sz="4" w:space="0" w:color="auto"/>
              <w:bottom w:val="nil"/>
              <w:right w:val="single" w:sz="8" w:space="0" w:color="auto"/>
            </w:tcBorders>
            <w:shd w:val="clear" w:color="000000" w:fill="C6E0B4"/>
            <w:vAlign w:val="center"/>
            <w:hideMark/>
          </w:tcPr>
          <w:p w14:paraId="0F607167"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884.2</w:t>
            </w:r>
          </w:p>
        </w:tc>
      </w:tr>
      <w:tr w:rsidR="004B3EB7" w:rsidRPr="004B3EB7" w14:paraId="2CE8BB87" w14:textId="77777777" w:rsidTr="004B3EB7">
        <w:trPr>
          <w:trHeight w:val="300"/>
        </w:trPr>
        <w:tc>
          <w:tcPr>
            <w:tcW w:w="960" w:type="dxa"/>
            <w:vMerge/>
            <w:tcBorders>
              <w:top w:val="nil"/>
              <w:left w:val="nil"/>
              <w:bottom w:val="nil"/>
              <w:right w:val="single" w:sz="8" w:space="0" w:color="auto"/>
            </w:tcBorders>
            <w:vAlign w:val="center"/>
            <w:hideMark/>
          </w:tcPr>
          <w:p w14:paraId="350F6795" w14:textId="77777777" w:rsidR="004B3EB7" w:rsidRPr="000E5066" w:rsidRDefault="004B3EB7" w:rsidP="004B3EB7">
            <w:pPr>
              <w:rPr>
                <w:rFonts w:ascii="Times New Roman" w:eastAsia="Times New Roman" w:hAnsi="Times New Roman"/>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2B058DA8"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2021</w:t>
            </w:r>
          </w:p>
        </w:tc>
        <w:tc>
          <w:tcPr>
            <w:tcW w:w="700" w:type="dxa"/>
            <w:tcBorders>
              <w:top w:val="nil"/>
              <w:left w:val="nil"/>
              <w:bottom w:val="nil"/>
              <w:right w:val="nil"/>
            </w:tcBorders>
            <w:shd w:val="clear" w:color="000000" w:fill="C6E0B4"/>
            <w:vAlign w:val="center"/>
            <w:hideMark/>
          </w:tcPr>
          <w:p w14:paraId="0F183E4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9.8</w:t>
            </w:r>
          </w:p>
        </w:tc>
        <w:tc>
          <w:tcPr>
            <w:tcW w:w="700" w:type="dxa"/>
            <w:tcBorders>
              <w:top w:val="nil"/>
              <w:left w:val="nil"/>
              <w:bottom w:val="nil"/>
              <w:right w:val="nil"/>
            </w:tcBorders>
            <w:shd w:val="clear" w:color="000000" w:fill="C6E0B4"/>
            <w:vAlign w:val="center"/>
            <w:hideMark/>
          </w:tcPr>
          <w:p w14:paraId="301AC26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223.4</w:t>
            </w:r>
          </w:p>
        </w:tc>
        <w:tc>
          <w:tcPr>
            <w:tcW w:w="700" w:type="dxa"/>
            <w:tcBorders>
              <w:top w:val="nil"/>
              <w:left w:val="nil"/>
              <w:bottom w:val="nil"/>
              <w:right w:val="nil"/>
            </w:tcBorders>
            <w:shd w:val="clear" w:color="000000" w:fill="C6E0B4"/>
            <w:noWrap/>
            <w:vAlign w:val="center"/>
            <w:hideMark/>
          </w:tcPr>
          <w:p w14:paraId="0DA0A64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3.2</w:t>
            </w:r>
          </w:p>
        </w:tc>
        <w:tc>
          <w:tcPr>
            <w:tcW w:w="700" w:type="dxa"/>
            <w:tcBorders>
              <w:top w:val="nil"/>
              <w:left w:val="nil"/>
              <w:bottom w:val="nil"/>
              <w:right w:val="single" w:sz="4" w:space="0" w:color="auto"/>
            </w:tcBorders>
            <w:shd w:val="clear" w:color="000000" w:fill="C6E0B4"/>
            <w:vAlign w:val="center"/>
            <w:hideMark/>
          </w:tcPr>
          <w:p w14:paraId="67171EB2"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241.8</w:t>
            </w:r>
          </w:p>
        </w:tc>
        <w:tc>
          <w:tcPr>
            <w:tcW w:w="700" w:type="dxa"/>
            <w:tcBorders>
              <w:top w:val="nil"/>
              <w:left w:val="nil"/>
              <w:bottom w:val="nil"/>
              <w:right w:val="single" w:sz="8" w:space="0" w:color="auto"/>
            </w:tcBorders>
            <w:shd w:val="clear" w:color="000000" w:fill="C6E0B4"/>
            <w:vAlign w:val="center"/>
            <w:hideMark/>
          </w:tcPr>
          <w:p w14:paraId="7D018201"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478.2</w:t>
            </w:r>
          </w:p>
        </w:tc>
        <w:tc>
          <w:tcPr>
            <w:tcW w:w="700" w:type="dxa"/>
            <w:tcBorders>
              <w:top w:val="nil"/>
              <w:left w:val="nil"/>
              <w:bottom w:val="nil"/>
              <w:right w:val="nil"/>
            </w:tcBorders>
            <w:shd w:val="clear" w:color="000000" w:fill="C6E0B4"/>
            <w:vAlign w:val="center"/>
            <w:hideMark/>
          </w:tcPr>
          <w:p w14:paraId="3DE55D6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13.1</w:t>
            </w:r>
          </w:p>
        </w:tc>
        <w:tc>
          <w:tcPr>
            <w:tcW w:w="700" w:type="dxa"/>
            <w:tcBorders>
              <w:top w:val="nil"/>
              <w:left w:val="nil"/>
              <w:bottom w:val="nil"/>
              <w:right w:val="nil"/>
            </w:tcBorders>
            <w:shd w:val="clear" w:color="000000" w:fill="C6E0B4"/>
            <w:vAlign w:val="center"/>
            <w:hideMark/>
          </w:tcPr>
          <w:p w14:paraId="233DB1D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446.8</w:t>
            </w:r>
          </w:p>
        </w:tc>
        <w:tc>
          <w:tcPr>
            <w:tcW w:w="700" w:type="dxa"/>
            <w:tcBorders>
              <w:top w:val="nil"/>
              <w:left w:val="nil"/>
              <w:bottom w:val="nil"/>
              <w:right w:val="nil"/>
            </w:tcBorders>
            <w:shd w:val="clear" w:color="000000" w:fill="C6E0B4"/>
            <w:vAlign w:val="center"/>
            <w:hideMark/>
          </w:tcPr>
          <w:p w14:paraId="10DCEC30"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4.2</w:t>
            </w:r>
          </w:p>
        </w:tc>
        <w:tc>
          <w:tcPr>
            <w:tcW w:w="700" w:type="dxa"/>
            <w:tcBorders>
              <w:top w:val="nil"/>
              <w:left w:val="nil"/>
              <w:bottom w:val="nil"/>
              <w:right w:val="nil"/>
            </w:tcBorders>
            <w:shd w:val="clear" w:color="000000" w:fill="C6E0B4"/>
            <w:vAlign w:val="center"/>
            <w:hideMark/>
          </w:tcPr>
          <w:p w14:paraId="065DA7CF"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328.1</w:t>
            </w:r>
          </w:p>
        </w:tc>
        <w:tc>
          <w:tcPr>
            <w:tcW w:w="700" w:type="dxa"/>
            <w:tcBorders>
              <w:top w:val="nil"/>
              <w:left w:val="single" w:sz="4" w:space="0" w:color="auto"/>
              <w:bottom w:val="nil"/>
              <w:right w:val="single" w:sz="8" w:space="0" w:color="auto"/>
            </w:tcBorders>
            <w:shd w:val="clear" w:color="000000" w:fill="C6E0B4"/>
            <w:vAlign w:val="center"/>
            <w:hideMark/>
          </w:tcPr>
          <w:p w14:paraId="51FB76C8"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792.2</w:t>
            </w:r>
          </w:p>
        </w:tc>
        <w:tc>
          <w:tcPr>
            <w:tcW w:w="700" w:type="dxa"/>
            <w:tcBorders>
              <w:top w:val="nil"/>
              <w:left w:val="nil"/>
              <w:bottom w:val="nil"/>
              <w:right w:val="nil"/>
            </w:tcBorders>
            <w:shd w:val="clear" w:color="000000" w:fill="C6E0B4"/>
            <w:vAlign w:val="center"/>
            <w:hideMark/>
          </w:tcPr>
          <w:p w14:paraId="3708B48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15.4</w:t>
            </w:r>
          </w:p>
        </w:tc>
        <w:tc>
          <w:tcPr>
            <w:tcW w:w="700" w:type="dxa"/>
            <w:tcBorders>
              <w:top w:val="nil"/>
              <w:left w:val="nil"/>
              <w:bottom w:val="nil"/>
              <w:right w:val="nil"/>
            </w:tcBorders>
            <w:shd w:val="clear" w:color="000000" w:fill="C6E0B4"/>
            <w:vAlign w:val="center"/>
            <w:hideMark/>
          </w:tcPr>
          <w:p w14:paraId="640302D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655.6</w:t>
            </w:r>
          </w:p>
        </w:tc>
        <w:tc>
          <w:tcPr>
            <w:tcW w:w="700" w:type="dxa"/>
            <w:tcBorders>
              <w:top w:val="nil"/>
              <w:left w:val="nil"/>
              <w:bottom w:val="nil"/>
              <w:right w:val="nil"/>
            </w:tcBorders>
            <w:shd w:val="clear" w:color="000000" w:fill="C6E0B4"/>
            <w:vAlign w:val="center"/>
            <w:hideMark/>
          </w:tcPr>
          <w:p w14:paraId="629039AF"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4.9</w:t>
            </w:r>
          </w:p>
        </w:tc>
        <w:tc>
          <w:tcPr>
            <w:tcW w:w="700" w:type="dxa"/>
            <w:tcBorders>
              <w:top w:val="nil"/>
              <w:left w:val="nil"/>
              <w:bottom w:val="nil"/>
              <w:right w:val="nil"/>
            </w:tcBorders>
            <w:shd w:val="clear" w:color="000000" w:fill="C6E0B4"/>
            <w:vAlign w:val="center"/>
            <w:hideMark/>
          </w:tcPr>
          <w:p w14:paraId="5201D10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387.4</w:t>
            </w:r>
          </w:p>
        </w:tc>
        <w:tc>
          <w:tcPr>
            <w:tcW w:w="700" w:type="dxa"/>
            <w:tcBorders>
              <w:top w:val="nil"/>
              <w:left w:val="single" w:sz="4" w:space="0" w:color="auto"/>
              <w:bottom w:val="nil"/>
              <w:right w:val="single" w:sz="8" w:space="0" w:color="auto"/>
            </w:tcBorders>
            <w:shd w:val="clear" w:color="000000" w:fill="C6E0B4"/>
            <w:vAlign w:val="center"/>
            <w:hideMark/>
          </w:tcPr>
          <w:p w14:paraId="2ABCED4F"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1063.3</w:t>
            </w:r>
          </w:p>
        </w:tc>
      </w:tr>
      <w:tr w:rsidR="004B3EB7" w:rsidRPr="004B3EB7" w14:paraId="0E16FAB1" w14:textId="77777777" w:rsidTr="004B3EB7">
        <w:trPr>
          <w:trHeight w:val="300"/>
        </w:trPr>
        <w:tc>
          <w:tcPr>
            <w:tcW w:w="960" w:type="dxa"/>
            <w:vMerge/>
            <w:tcBorders>
              <w:top w:val="nil"/>
              <w:left w:val="nil"/>
              <w:bottom w:val="nil"/>
              <w:right w:val="single" w:sz="8" w:space="0" w:color="auto"/>
            </w:tcBorders>
            <w:vAlign w:val="center"/>
            <w:hideMark/>
          </w:tcPr>
          <w:p w14:paraId="776EFCFC" w14:textId="77777777" w:rsidR="004B3EB7" w:rsidRPr="000E5066" w:rsidRDefault="004B3EB7" w:rsidP="004B3EB7">
            <w:pPr>
              <w:rPr>
                <w:rFonts w:ascii="Times New Roman" w:eastAsia="Times New Roman" w:hAnsi="Times New Roman"/>
                <w:color w:val="000000"/>
                <w:sz w:val="22"/>
                <w:szCs w:val="22"/>
                <w:lang w:eastAsia="en-AU"/>
              </w:rPr>
            </w:pPr>
          </w:p>
        </w:tc>
        <w:tc>
          <w:tcPr>
            <w:tcW w:w="960" w:type="dxa"/>
            <w:tcBorders>
              <w:top w:val="nil"/>
              <w:left w:val="nil"/>
              <w:bottom w:val="nil"/>
              <w:right w:val="single" w:sz="8" w:space="0" w:color="auto"/>
            </w:tcBorders>
            <w:shd w:val="clear" w:color="000000" w:fill="C6E0B4"/>
            <w:vAlign w:val="center"/>
            <w:hideMark/>
          </w:tcPr>
          <w:p w14:paraId="77EC52A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2022</w:t>
            </w:r>
          </w:p>
        </w:tc>
        <w:tc>
          <w:tcPr>
            <w:tcW w:w="700" w:type="dxa"/>
            <w:tcBorders>
              <w:top w:val="nil"/>
              <w:left w:val="nil"/>
              <w:bottom w:val="nil"/>
              <w:right w:val="nil"/>
            </w:tcBorders>
            <w:shd w:val="clear" w:color="000000" w:fill="C6E0B4"/>
            <w:vAlign w:val="center"/>
            <w:hideMark/>
          </w:tcPr>
          <w:p w14:paraId="402C658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10.1</w:t>
            </w:r>
          </w:p>
        </w:tc>
        <w:tc>
          <w:tcPr>
            <w:tcW w:w="700" w:type="dxa"/>
            <w:tcBorders>
              <w:top w:val="nil"/>
              <w:left w:val="nil"/>
              <w:bottom w:val="nil"/>
              <w:right w:val="nil"/>
            </w:tcBorders>
            <w:shd w:val="clear" w:color="000000" w:fill="C6E0B4"/>
            <w:vAlign w:val="center"/>
            <w:hideMark/>
          </w:tcPr>
          <w:p w14:paraId="023FCC2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215.2</w:t>
            </w:r>
          </w:p>
        </w:tc>
        <w:tc>
          <w:tcPr>
            <w:tcW w:w="700" w:type="dxa"/>
            <w:tcBorders>
              <w:top w:val="nil"/>
              <w:left w:val="nil"/>
              <w:bottom w:val="nil"/>
              <w:right w:val="nil"/>
            </w:tcBorders>
            <w:shd w:val="clear" w:color="000000" w:fill="C6E0B4"/>
            <w:noWrap/>
            <w:vAlign w:val="center"/>
            <w:hideMark/>
          </w:tcPr>
          <w:p w14:paraId="6488B5E8"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3.3</w:t>
            </w:r>
          </w:p>
        </w:tc>
        <w:tc>
          <w:tcPr>
            <w:tcW w:w="700" w:type="dxa"/>
            <w:tcBorders>
              <w:top w:val="nil"/>
              <w:left w:val="nil"/>
              <w:bottom w:val="nil"/>
              <w:right w:val="single" w:sz="4" w:space="0" w:color="auto"/>
            </w:tcBorders>
            <w:shd w:val="clear" w:color="000000" w:fill="C6E0B4"/>
            <w:vAlign w:val="center"/>
            <w:hideMark/>
          </w:tcPr>
          <w:p w14:paraId="6BB7842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250.0</w:t>
            </w:r>
          </w:p>
        </w:tc>
        <w:tc>
          <w:tcPr>
            <w:tcW w:w="700" w:type="dxa"/>
            <w:tcBorders>
              <w:top w:val="nil"/>
              <w:left w:val="nil"/>
              <w:bottom w:val="nil"/>
              <w:right w:val="single" w:sz="8" w:space="0" w:color="auto"/>
            </w:tcBorders>
            <w:shd w:val="clear" w:color="000000" w:fill="C6E0B4"/>
            <w:vAlign w:val="center"/>
            <w:hideMark/>
          </w:tcPr>
          <w:p w14:paraId="7A55110C"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478.6</w:t>
            </w:r>
          </w:p>
        </w:tc>
        <w:tc>
          <w:tcPr>
            <w:tcW w:w="700" w:type="dxa"/>
            <w:tcBorders>
              <w:top w:val="nil"/>
              <w:left w:val="nil"/>
              <w:bottom w:val="nil"/>
              <w:right w:val="nil"/>
            </w:tcBorders>
            <w:shd w:val="clear" w:color="000000" w:fill="C6E0B4"/>
            <w:vAlign w:val="center"/>
            <w:hideMark/>
          </w:tcPr>
          <w:p w14:paraId="2C7BED9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13.5</w:t>
            </w:r>
          </w:p>
        </w:tc>
        <w:tc>
          <w:tcPr>
            <w:tcW w:w="700" w:type="dxa"/>
            <w:tcBorders>
              <w:top w:val="nil"/>
              <w:left w:val="nil"/>
              <w:bottom w:val="nil"/>
              <w:right w:val="nil"/>
            </w:tcBorders>
            <w:shd w:val="clear" w:color="000000" w:fill="C6E0B4"/>
            <w:vAlign w:val="center"/>
            <w:hideMark/>
          </w:tcPr>
          <w:p w14:paraId="2955EFC1"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430.3</w:t>
            </w:r>
          </w:p>
        </w:tc>
        <w:tc>
          <w:tcPr>
            <w:tcW w:w="700" w:type="dxa"/>
            <w:tcBorders>
              <w:top w:val="nil"/>
              <w:left w:val="nil"/>
              <w:bottom w:val="nil"/>
              <w:right w:val="nil"/>
            </w:tcBorders>
            <w:shd w:val="clear" w:color="000000" w:fill="C6E0B4"/>
            <w:vAlign w:val="center"/>
            <w:hideMark/>
          </w:tcPr>
          <w:p w14:paraId="60DB804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4.3</w:t>
            </w:r>
          </w:p>
        </w:tc>
        <w:tc>
          <w:tcPr>
            <w:tcW w:w="700" w:type="dxa"/>
            <w:tcBorders>
              <w:top w:val="nil"/>
              <w:left w:val="nil"/>
              <w:bottom w:val="nil"/>
              <w:right w:val="nil"/>
            </w:tcBorders>
            <w:shd w:val="clear" w:color="000000" w:fill="C6E0B4"/>
            <w:vAlign w:val="center"/>
            <w:hideMark/>
          </w:tcPr>
          <w:p w14:paraId="5FD5E4DC"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339.3</w:t>
            </w:r>
          </w:p>
        </w:tc>
        <w:tc>
          <w:tcPr>
            <w:tcW w:w="700" w:type="dxa"/>
            <w:tcBorders>
              <w:top w:val="nil"/>
              <w:left w:val="single" w:sz="4" w:space="0" w:color="auto"/>
              <w:bottom w:val="nil"/>
              <w:right w:val="single" w:sz="8" w:space="0" w:color="auto"/>
            </w:tcBorders>
            <w:shd w:val="clear" w:color="000000" w:fill="C6E0B4"/>
            <w:vAlign w:val="center"/>
            <w:hideMark/>
          </w:tcPr>
          <w:p w14:paraId="2BB9B26D"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787.4</w:t>
            </w:r>
          </w:p>
        </w:tc>
        <w:tc>
          <w:tcPr>
            <w:tcW w:w="700" w:type="dxa"/>
            <w:tcBorders>
              <w:top w:val="nil"/>
              <w:left w:val="nil"/>
              <w:bottom w:val="nil"/>
              <w:right w:val="nil"/>
            </w:tcBorders>
            <w:shd w:val="clear" w:color="000000" w:fill="C6E0B4"/>
            <w:vAlign w:val="center"/>
            <w:hideMark/>
          </w:tcPr>
          <w:p w14:paraId="0DFEC5A9"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15.9</w:t>
            </w:r>
          </w:p>
        </w:tc>
        <w:tc>
          <w:tcPr>
            <w:tcW w:w="700" w:type="dxa"/>
            <w:tcBorders>
              <w:top w:val="nil"/>
              <w:left w:val="nil"/>
              <w:bottom w:val="nil"/>
              <w:right w:val="nil"/>
            </w:tcBorders>
            <w:shd w:val="clear" w:color="000000" w:fill="C6E0B4"/>
            <w:vAlign w:val="center"/>
            <w:hideMark/>
          </w:tcPr>
          <w:p w14:paraId="01F19181"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630.8</w:t>
            </w:r>
          </w:p>
        </w:tc>
        <w:tc>
          <w:tcPr>
            <w:tcW w:w="700" w:type="dxa"/>
            <w:tcBorders>
              <w:top w:val="nil"/>
              <w:left w:val="nil"/>
              <w:bottom w:val="nil"/>
              <w:right w:val="nil"/>
            </w:tcBorders>
            <w:shd w:val="clear" w:color="000000" w:fill="C6E0B4"/>
            <w:vAlign w:val="center"/>
            <w:hideMark/>
          </w:tcPr>
          <w:p w14:paraId="2B67C2A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5.1</w:t>
            </w:r>
          </w:p>
        </w:tc>
        <w:tc>
          <w:tcPr>
            <w:tcW w:w="700" w:type="dxa"/>
            <w:tcBorders>
              <w:top w:val="nil"/>
              <w:left w:val="nil"/>
              <w:bottom w:val="nil"/>
              <w:right w:val="nil"/>
            </w:tcBorders>
            <w:shd w:val="clear" w:color="000000" w:fill="C6E0B4"/>
            <w:vAlign w:val="center"/>
            <w:hideMark/>
          </w:tcPr>
          <w:p w14:paraId="46A44542"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400.6</w:t>
            </w:r>
          </w:p>
        </w:tc>
        <w:tc>
          <w:tcPr>
            <w:tcW w:w="700" w:type="dxa"/>
            <w:tcBorders>
              <w:top w:val="nil"/>
              <w:left w:val="single" w:sz="4" w:space="0" w:color="auto"/>
              <w:bottom w:val="nil"/>
              <w:right w:val="single" w:sz="8" w:space="0" w:color="auto"/>
            </w:tcBorders>
            <w:shd w:val="clear" w:color="000000" w:fill="C6E0B4"/>
            <w:vAlign w:val="center"/>
            <w:hideMark/>
          </w:tcPr>
          <w:p w14:paraId="2701E0BA"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1052.4</w:t>
            </w:r>
          </w:p>
        </w:tc>
      </w:tr>
      <w:tr w:rsidR="004B3EB7" w:rsidRPr="004B3EB7" w14:paraId="74A234CB" w14:textId="77777777" w:rsidTr="004B3EB7">
        <w:trPr>
          <w:trHeight w:val="315"/>
        </w:trPr>
        <w:tc>
          <w:tcPr>
            <w:tcW w:w="960" w:type="dxa"/>
            <w:tcBorders>
              <w:top w:val="nil"/>
              <w:left w:val="nil"/>
              <w:bottom w:val="nil"/>
              <w:right w:val="single" w:sz="8" w:space="0" w:color="auto"/>
            </w:tcBorders>
            <w:shd w:val="clear" w:color="000000" w:fill="C6E0B4"/>
            <w:vAlign w:val="bottom"/>
            <w:hideMark/>
          </w:tcPr>
          <w:p w14:paraId="229C17D8" w14:textId="77777777" w:rsidR="004B3EB7" w:rsidRPr="000E5066" w:rsidRDefault="004B3EB7" w:rsidP="004B3EB7">
            <w:pPr>
              <w:jc w:val="center"/>
              <w:rPr>
                <w:rFonts w:ascii="Times New Roman" w:eastAsia="Times New Roman" w:hAnsi="Times New Roman"/>
                <w:color w:val="000000"/>
                <w:sz w:val="22"/>
                <w:szCs w:val="22"/>
                <w:lang w:eastAsia="en-AU"/>
              </w:rPr>
            </w:pPr>
            <w:r w:rsidRPr="000E5066">
              <w:rPr>
                <w:rFonts w:ascii="Times New Roman" w:eastAsia="Times New Roman" w:hAnsi="Times New Roman"/>
                <w:color w:val="000000"/>
                <w:sz w:val="22"/>
                <w:szCs w:val="22"/>
                <w:lang w:eastAsia="en-AU"/>
              </w:rPr>
              <w:t> </w:t>
            </w:r>
          </w:p>
        </w:tc>
        <w:tc>
          <w:tcPr>
            <w:tcW w:w="960" w:type="dxa"/>
            <w:tcBorders>
              <w:top w:val="single" w:sz="4" w:space="0" w:color="auto"/>
              <w:left w:val="nil"/>
              <w:bottom w:val="double" w:sz="6" w:space="0" w:color="auto"/>
              <w:right w:val="single" w:sz="8" w:space="0" w:color="auto"/>
            </w:tcBorders>
            <w:shd w:val="clear" w:color="000000" w:fill="C6E0B4"/>
            <w:vAlign w:val="center"/>
            <w:hideMark/>
          </w:tcPr>
          <w:p w14:paraId="594B6E24"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Sub Total</w:t>
            </w:r>
          </w:p>
        </w:tc>
        <w:tc>
          <w:tcPr>
            <w:tcW w:w="700" w:type="dxa"/>
            <w:tcBorders>
              <w:top w:val="single" w:sz="4" w:space="0" w:color="auto"/>
              <w:left w:val="nil"/>
              <w:bottom w:val="double" w:sz="6" w:space="0" w:color="auto"/>
              <w:right w:val="nil"/>
            </w:tcBorders>
            <w:shd w:val="clear" w:color="000000" w:fill="C6E0B4"/>
            <w:vAlign w:val="center"/>
            <w:hideMark/>
          </w:tcPr>
          <w:p w14:paraId="3DCD4F84"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57.9</w:t>
            </w:r>
          </w:p>
        </w:tc>
        <w:tc>
          <w:tcPr>
            <w:tcW w:w="700" w:type="dxa"/>
            <w:tcBorders>
              <w:top w:val="single" w:sz="4" w:space="0" w:color="auto"/>
              <w:left w:val="nil"/>
              <w:bottom w:val="double" w:sz="6" w:space="0" w:color="auto"/>
              <w:right w:val="nil"/>
            </w:tcBorders>
            <w:shd w:val="clear" w:color="000000" w:fill="C6E0B4"/>
            <w:vAlign w:val="center"/>
            <w:hideMark/>
          </w:tcPr>
          <w:p w14:paraId="08705F23"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768.1</w:t>
            </w:r>
          </w:p>
        </w:tc>
        <w:tc>
          <w:tcPr>
            <w:tcW w:w="700" w:type="dxa"/>
            <w:tcBorders>
              <w:top w:val="single" w:sz="4" w:space="0" w:color="auto"/>
              <w:left w:val="nil"/>
              <w:bottom w:val="double" w:sz="6" w:space="0" w:color="auto"/>
              <w:right w:val="nil"/>
            </w:tcBorders>
            <w:shd w:val="clear" w:color="000000" w:fill="C6E0B4"/>
            <w:vAlign w:val="center"/>
            <w:hideMark/>
          </w:tcPr>
          <w:p w14:paraId="59FE6F92"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18.9</w:t>
            </w:r>
          </w:p>
        </w:tc>
        <w:tc>
          <w:tcPr>
            <w:tcW w:w="700" w:type="dxa"/>
            <w:tcBorders>
              <w:top w:val="single" w:sz="4" w:space="0" w:color="auto"/>
              <w:left w:val="nil"/>
              <w:bottom w:val="double" w:sz="6" w:space="0" w:color="auto"/>
              <w:right w:val="nil"/>
            </w:tcBorders>
            <w:shd w:val="clear" w:color="000000" w:fill="C6E0B4"/>
            <w:vAlign w:val="center"/>
            <w:hideMark/>
          </w:tcPr>
          <w:p w14:paraId="110B142D"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1429.1</w:t>
            </w:r>
          </w:p>
        </w:tc>
        <w:tc>
          <w:tcPr>
            <w:tcW w:w="700" w:type="dxa"/>
            <w:tcBorders>
              <w:top w:val="single" w:sz="4" w:space="0" w:color="auto"/>
              <w:left w:val="single" w:sz="4" w:space="0" w:color="auto"/>
              <w:bottom w:val="double" w:sz="6" w:space="0" w:color="auto"/>
              <w:right w:val="single" w:sz="8" w:space="0" w:color="auto"/>
            </w:tcBorders>
            <w:shd w:val="clear" w:color="000000" w:fill="C6E0B4"/>
            <w:vAlign w:val="center"/>
            <w:hideMark/>
          </w:tcPr>
          <w:p w14:paraId="7111B78B"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2274.0</w:t>
            </w:r>
          </w:p>
        </w:tc>
        <w:tc>
          <w:tcPr>
            <w:tcW w:w="700" w:type="dxa"/>
            <w:tcBorders>
              <w:top w:val="single" w:sz="4" w:space="0" w:color="auto"/>
              <w:left w:val="nil"/>
              <w:bottom w:val="double" w:sz="6" w:space="0" w:color="auto"/>
              <w:right w:val="nil"/>
            </w:tcBorders>
            <w:shd w:val="clear" w:color="000000" w:fill="C6E0B4"/>
            <w:vAlign w:val="center"/>
            <w:hideMark/>
          </w:tcPr>
          <w:p w14:paraId="4FBB4E59"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63.6</w:t>
            </w:r>
          </w:p>
        </w:tc>
        <w:tc>
          <w:tcPr>
            <w:tcW w:w="700" w:type="dxa"/>
            <w:tcBorders>
              <w:top w:val="single" w:sz="4" w:space="0" w:color="auto"/>
              <w:left w:val="nil"/>
              <w:bottom w:val="double" w:sz="6" w:space="0" w:color="auto"/>
              <w:right w:val="nil"/>
            </w:tcBorders>
            <w:shd w:val="clear" w:color="000000" w:fill="C6E0B4"/>
            <w:vAlign w:val="center"/>
            <w:hideMark/>
          </w:tcPr>
          <w:p w14:paraId="5FB99A1A"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1536.3</w:t>
            </w:r>
          </w:p>
        </w:tc>
        <w:tc>
          <w:tcPr>
            <w:tcW w:w="700" w:type="dxa"/>
            <w:tcBorders>
              <w:top w:val="single" w:sz="4" w:space="0" w:color="auto"/>
              <w:left w:val="nil"/>
              <w:bottom w:val="double" w:sz="6" w:space="0" w:color="auto"/>
              <w:right w:val="nil"/>
            </w:tcBorders>
            <w:shd w:val="clear" w:color="000000" w:fill="C6E0B4"/>
            <w:vAlign w:val="center"/>
            <w:hideMark/>
          </w:tcPr>
          <w:p w14:paraId="6E59B541"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20.2</w:t>
            </w:r>
          </w:p>
        </w:tc>
        <w:tc>
          <w:tcPr>
            <w:tcW w:w="700" w:type="dxa"/>
            <w:tcBorders>
              <w:top w:val="single" w:sz="4" w:space="0" w:color="auto"/>
              <w:left w:val="nil"/>
              <w:bottom w:val="double" w:sz="6" w:space="0" w:color="auto"/>
              <w:right w:val="nil"/>
            </w:tcBorders>
            <w:shd w:val="clear" w:color="000000" w:fill="C6E0B4"/>
            <w:vAlign w:val="center"/>
            <w:hideMark/>
          </w:tcPr>
          <w:p w14:paraId="028B6857"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1588.4</w:t>
            </w:r>
          </w:p>
        </w:tc>
        <w:tc>
          <w:tcPr>
            <w:tcW w:w="700" w:type="dxa"/>
            <w:tcBorders>
              <w:top w:val="single" w:sz="4" w:space="0" w:color="auto"/>
              <w:left w:val="single" w:sz="4" w:space="0" w:color="auto"/>
              <w:bottom w:val="double" w:sz="6" w:space="0" w:color="auto"/>
              <w:right w:val="single" w:sz="8" w:space="0" w:color="auto"/>
            </w:tcBorders>
            <w:shd w:val="clear" w:color="000000" w:fill="C6E0B4"/>
            <w:vAlign w:val="center"/>
            <w:hideMark/>
          </w:tcPr>
          <w:p w14:paraId="392E9079"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3208.5</w:t>
            </w:r>
          </w:p>
        </w:tc>
        <w:tc>
          <w:tcPr>
            <w:tcW w:w="700" w:type="dxa"/>
            <w:tcBorders>
              <w:top w:val="single" w:sz="4" w:space="0" w:color="auto"/>
              <w:left w:val="nil"/>
              <w:bottom w:val="double" w:sz="6" w:space="0" w:color="auto"/>
              <w:right w:val="nil"/>
            </w:tcBorders>
            <w:shd w:val="clear" w:color="000000" w:fill="C6E0B4"/>
            <w:vAlign w:val="center"/>
            <w:hideMark/>
          </w:tcPr>
          <w:p w14:paraId="4A6934A5"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74.9</w:t>
            </w:r>
          </w:p>
        </w:tc>
        <w:tc>
          <w:tcPr>
            <w:tcW w:w="700" w:type="dxa"/>
            <w:tcBorders>
              <w:top w:val="single" w:sz="4" w:space="0" w:color="auto"/>
              <w:left w:val="nil"/>
              <w:bottom w:val="double" w:sz="6" w:space="0" w:color="auto"/>
              <w:right w:val="nil"/>
            </w:tcBorders>
            <w:shd w:val="clear" w:color="000000" w:fill="C6E0B4"/>
            <w:vAlign w:val="center"/>
            <w:hideMark/>
          </w:tcPr>
          <w:p w14:paraId="411581BF"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2253.4</w:t>
            </w:r>
          </w:p>
        </w:tc>
        <w:tc>
          <w:tcPr>
            <w:tcW w:w="700" w:type="dxa"/>
            <w:tcBorders>
              <w:top w:val="single" w:sz="4" w:space="0" w:color="auto"/>
              <w:left w:val="nil"/>
              <w:bottom w:val="double" w:sz="6" w:space="0" w:color="auto"/>
              <w:right w:val="nil"/>
            </w:tcBorders>
            <w:shd w:val="clear" w:color="000000" w:fill="C6E0B4"/>
            <w:vAlign w:val="center"/>
            <w:hideMark/>
          </w:tcPr>
          <w:p w14:paraId="711F5420"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23.9</w:t>
            </w:r>
          </w:p>
        </w:tc>
        <w:tc>
          <w:tcPr>
            <w:tcW w:w="700" w:type="dxa"/>
            <w:tcBorders>
              <w:top w:val="single" w:sz="4" w:space="0" w:color="auto"/>
              <w:left w:val="nil"/>
              <w:bottom w:val="double" w:sz="6" w:space="0" w:color="auto"/>
              <w:right w:val="nil"/>
            </w:tcBorders>
            <w:shd w:val="clear" w:color="000000" w:fill="C6E0B4"/>
            <w:vAlign w:val="center"/>
            <w:hideMark/>
          </w:tcPr>
          <w:p w14:paraId="59EB445D"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1875.5</w:t>
            </w:r>
          </w:p>
        </w:tc>
        <w:tc>
          <w:tcPr>
            <w:tcW w:w="700" w:type="dxa"/>
            <w:tcBorders>
              <w:top w:val="single" w:sz="4" w:space="0" w:color="auto"/>
              <w:left w:val="single" w:sz="4" w:space="0" w:color="auto"/>
              <w:bottom w:val="double" w:sz="6" w:space="0" w:color="auto"/>
              <w:right w:val="single" w:sz="8" w:space="0" w:color="auto"/>
            </w:tcBorders>
            <w:shd w:val="clear" w:color="000000" w:fill="C6E0B4"/>
            <w:vAlign w:val="center"/>
            <w:hideMark/>
          </w:tcPr>
          <w:p w14:paraId="31AA7DA0"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4227.7</w:t>
            </w:r>
          </w:p>
        </w:tc>
      </w:tr>
      <w:tr w:rsidR="004B3EB7" w:rsidRPr="004B3EB7" w14:paraId="46AA508B" w14:textId="77777777" w:rsidTr="004B3EB7">
        <w:trPr>
          <w:trHeight w:val="315"/>
        </w:trPr>
        <w:tc>
          <w:tcPr>
            <w:tcW w:w="960" w:type="dxa"/>
            <w:vMerge w:val="restart"/>
            <w:tcBorders>
              <w:top w:val="nil"/>
              <w:left w:val="nil"/>
              <w:bottom w:val="nil"/>
              <w:right w:val="single" w:sz="8" w:space="0" w:color="auto"/>
            </w:tcBorders>
            <w:shd w:val="clear" w:color="000000" w:fill="BDD7EE"/>
            <w:vAlign w:val="center"/>
            <w:hideMark/>
          </w:tcPr>
          <w:p w14:paraId="0DD04F81" w14:textId="77777777" w:rsidR="004B3EB7" w:rsidRPr="000E5066" w:rsidRDefault="004B3EB7" w:rsidP="004B3EB7">
            <w:pPr>
              <w:rPr>
                <w:rFonts w:ascii="Times New Roman" w:eastAsia="Times New Roman" w:hAnsi="Times New Roman"/>
                <w:color w:val="000000"/>
                <w:sz w:val="22"/>
                <w:szCs w:val="22"/>
                <w:lang w:eastAsia="en-AU"/>
              </w:rPr>
            </w:pPr>
            <w:r w:rsidRPr="000E5066">
              <w:rPr>
                <w:rFonts w:ascii="Times New Roman" w:eastAsia="Times New Roman" w:hAnsi="Times New Roman"/>
                <w:color w:val="000000"/>
                <w:sz w:val="22"/>
                <w:szCs w:val="22"/>
                <w:lang w:eastAsia="en-AU"/>
              </w:rPr>
              <w:t>Ongoing Benefits</w:t>
            </w:r>
          </w:p>
        </w:tc>
        <w:tc>
          <w:tcPr>
            <w:tcW w:w="960" w:type="dxa"/>
            <w:tcBorders>
              <w:top w:val="nil"/>
              <w:left w:val="nil"/>
              <w:bottom w:val="nil"/>
              <w:right w:val="single" w:sz="8" w:space="0" w:color="auto"/>
            </w:tcBorders>
            <w:shd w:val="clear" w:color="000000" w:fill="BDD7EE"/>
            <w:vAlign w:val="center"/>
            <w:hideMark/>
          </w:tcPr>
          <w:p w14:paraId="0B86AFC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2023</w:t>
            </w:r>
          </w:p>
        </w:tc>
        <w:tc>
          <w:tcPr>
            <w:tcW w:w="700" w:type="dxa"/>
            <w:tcBorders>
              <w:top w:val="nil"/>
              <w:left w:val="nil"/>
              <w:bottom w:val="nil"/>
              <w:right w:val="nil"/>
            </w:tcBorders>
            <w:shd w:val="clear" w:color="000000" w:fill="BDD7EE"/>
            <w:vAlign w:val="center"/>
            <w:hideMark/>
          </w:tcPr>
          <w:p w14:paraId="49131E31"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10.4</w:t>
            </w:r>
          </w:p>
        </w:tc>
        <w:tc>
          <w:tcPr>
            <w:tcW w:w="700" w:type="dxa"/>
            <w:tcBorders>
              <w:top w:val="nil"/>
              <w:left w:val="nil"/>
              <w:bottom w:val="nil"/>
              <w:right w:val="nil"/>
            </w:tcBorders>
            <w:shd w:val="clear" w:color="000000" w:fill="BDD7EE"/>
            <w:vAlign w:val="center"/>
            <w:hideMark/>
          </w:tcPr>
          <w:p w14:paraId="7D7A2C04"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174.7</w:t>
            </w:r>
          </w:p>
        </w:tc>
        <w:tc>
          <w:tcPr>
            <w:tcW w:w="700" w:type="dxa"/>
            <w:tcBorders>
              <w:top w:val="nil"/>
              <w:left w:val="nil"/>
              <w:bottom w:val="nil"/>
              <w:right w:val="nil"/>
            </w:tcBorders>
            <w:shd w:val="clear" w:color="000000" w:fill="BDD7EE"/>
            <w:noWrap/>
            <w:vAlign w:val="center"/>
            <w:hideMark/>
          </w:tcPr>
          <w:p w14:paraId="52F79D1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3.4</w:t>
            </w:r>
          </w:p>
        </w:tc>
        <w:tc>
          <w:tcPr>
            <w:tcW w:w="700" w:type="dxa"/>
            <w:tcBorders>
              <w:top w:val="nil"/>
              <w:left w:val="nil"/>
              <w:bottom w:val="nil"/>
              <w:right w:val="single" w:sz="4" w:space="0" w:color="auto"/>
            </w:tcBorders>
            <w:shd w:val="clear" w:color="000000" w:fill="BDD7EE"/>
            <w:vAlign w:val="center"/>
            <w:hideMark/>
          </w:tcPr>
          <w:p w14:paraId="0051B30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258.5</w:t>
            </w:r>
          </w:p>
        </w:tc>
        <w:tc>
          <w:tcPr>
            <w:tcW w:w="700" w:type="dxa"/>
            <w:tcBorders>
              <w:top w:val="nil"/>
              <w:left w:val="nil"/>
              <w:bottom w:val="nil"/>
              <w:right w:val="single" w:sz="8" w:space="0" w:color="auto"/>
            </w:tcBorders>
            <w:shd w:val="clear" w:color="000000" w:fill="BDD7EE"/>
            <w:vAlign w:val="center"/>
            <w:hideMark/>
          </w:tcPr>
          <w:p w14:paraId="594EC8B2"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447.0</w:t>
            </w:r>
          </w:p>
        </w:tc>
        <w:tc>
          <w:tcPr>
            <w:tcW w:w="700" w:type="dxa"/>
            <w:tcBorders>
              <w:top w:val="nil"/>
              <w:left w:val="nil"/>
              <w:bottom w:val="nil"/>
              <w:right w:val="nil"/>
            </w:tcBorders>
            <w:shd w:val="clear" w:color="000000" w:fill="BDD7EE"/>
            <w:vAlign w:val="center"/>
            <w:hideMark/>
          </w:tcPr>
          <w:p w14:paraId="3E763FB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13.9</w:t>
            </w:r>
          </w:p>
        </w:tc>
        <w:tc>
          <w:tcPr>
            <w:tcW w:w="700" w:type="dxa"/>
            <w:tcBorders>
              <w:top w:val="nil"/>
              <w:left w:val="nil"/>
              <w:bottom w:val="nil"/>
              <w:right w:val="nil"/>
            </w:tcBorders>
            <w:shd w:val="clear" w:color="000000" w:fill="BDD7EE"/>
            <w:vAlign w:val="center"/>
            <w:hideMark/>
          </w:tcPr>
          <w:p w14:paraId="59780D2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349.4</w:t>
            </w:r>
          </w:p>
        </w:tc>
        <w:tc>
          <w:tcPr>
            <w:tcW w:w="700" w:type="dxa"/>
            <w:tcBorders>
              <w:top w:val="nil"/>
              <w:left w:val="nil"/>
              <w:bottom w:val="nil"/>
              <w:right w:val="nil"/>
            </w:tcBorders>
            <w:shd w:val="clear" w:color="000000" w:fill="BDD7EE"/>
            <w:vAlign w:val="center"/>
            <w:hideMark/>
          </w:tcPr>
          <w:p w14:paraId="6D9E572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4.5</w:t>
            </w:r>
          </w:p>
        </w:tc>
        <w:tc>
          <w:tcPr>
            <w:tcW w:w="700" w:type="dxa"/>
            <w:tcBorders>
              <w:top w:val="nil"/>
              <w:left w:val="nil"/>
              <w:bottom w:val="nil"/>
              <w:right w:val="nil"/>
            </w:tcBorders>
            <w:shd w:val="clear" w:color="000000" w:fill="BDD7EE"/>
            <w:vAlign w:val="center"/>
            <w:hideMark/>
          </w:tcPr>
          <w:p w14:paraId="6E8365C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350.8</w:t>
            </w:r>
          </w:p>
        </w:tc>
        <w:tc>
          <w:tcPr>
            <w:tcW w:w="700" w:type="dxa"/>
            <w:tcBorders>
              <w:top w:val="nil"/>
              <w:left w:val="single" w:sz="4" w:space="0" w:color="auto"/>
              <w:bottom w:val="nil"/>
              <w:right w:val="single" w:sz="8" w:space="0" w:color="auto"/>
            </w:tcBorders>
            <w:shd w:val="clear" w:color="000000" w:fill="BDD7EE"/>
            <w:vAlign w:val="center"/>
            <w:hideMark/>
          </w:tcPr>
          <w:p w14:paraId="41E3D2F7"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718.6</w:t>
            </w:r>
          </w:p>
        </w:tc>
        <w:tc>
          <w:tcPr>
            <w:tcW w:w="700" w:type="dxa"/>
            <w:tcBorders>
              <w:top w:val="nil"/>
              <w:left w:val="nil"/>
              <w:bottom w:val="nil"/>
              <w:right w:val="nil"/>
            </w:tcBorders>
            <w:shd w:val="clear" w:color="000000" w:fill="BDD7EE"/>
            <w:vAlign w:val="center"/>
            <w:hideMark/>
          </w:tcPr>
          <w:p w14:paraId="5C21219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16.4</w:t>
            </w:r>
          </w:p>
        </w:tc>
        <w:tc>
          <w:tcPr>
            <w:tcW w:w="700" w:type="dxa"/>
            <w:tcBorders>
              <w:top w:val="nil"/>
              <w:left w:val="nil"/>
              <w:bottom w:val="nil"/>
              <w:right w:val="nil"/>
            </w:tcBorders>
            <w:shd w:val="clear" w:color="000000" w:fill="BDD7EE"/>
            <w:vAlign w:val="center"/>
            <w:hideMark/>
          </w:tcPr>
          <w:p w14:paraId="7E11E80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512.6</w:t>
            </w:r>
          </w:p>
        </w:tc>
        <w:tc>
          <w:tcPr>
            <w:tcW w:w="700" w:type="dxa"/>
            <w:tcBorders>
              <w:top w:val="nil"/>
              <w:left w:val="nil"/>
              <w:bottom w:val="nil"/>
              <w:right w:val="nil"/>
            </w:tcBorders>
            <w:shd w:val="clear" w:color="000000" w:fill="BDD7EE"/>
            <w:vAlign w:val="center"/>
            <w:hideMark/>
          </w:tcPr>
          <w:p w14:paraId="10005142"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5.3</w:t>
            </w:r>
          </w:p>
        </w:tc>
        <w:tc>
          <w:tcPr>
            <w:tcW w:w="700" w:type="dxa"/>
            <w:tcBorders>
              <w:top w:val="nil"/>
              <w:left w:val="nil"/>
              <w:bottom w:val="nil"/>
              <w:right w:val="nil"/>
            </w:tcBorders>
            <w:shd w:val="clear" w:color="000000" w:fill="BDD7EE"/>
            <w:vAlign w:val="center"/>
            <w:hideMark/>
          </w:tcPr>
          <w:p w14:paraId="773A014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414.2</w:t>
            </w:r>
          </w:p>
        </w:tc>
        <w:tc>
          <w:tcPr>
            <w:tcW w:w="700" w:type="dxa"/>
            <w:tcBorders>
              <w:top w:val="nil"/>
              <w:left w:val="single" w:sz="4" w:space="0" w:color="auto"/>
              <w:bottom w:val="nil"/>
              <w:right w:val="single" w:sz="8" w:space="0" w:color="auto"/>
            </w:tcBorders>
            <w:shd w:val="clear" w:color="000000" w:fill="BDD7EE"/>
            <w:vAlign w:val="center"/>
            <w:hideMark/>
          </w:tcPr>
          <w:p w14:paraId="0750ED3F"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948.5</w:t>
            </w:r>
          </w:p>
        </w:tc>
      </w:tr>
      <w:tr w:rsidR="004B3EB7" w:rsidRPr="004B3EB7" w14:paraId="5CD289C3" w14:textId="77777777" w:rsidTr="004B3EB7">
        <w:trPr>
          <w:trHeight w:val="300"/>
        </w:trPr>
        <w:tc>
          <w:tcPr>
            <w:tcW w:w="960" w:type="dxa"/>
            <w:vMerge/>
            <w:tcBorders>
              <w:top w:val="nil"/>
              <w:left w:val="nil"/>
              <w:bottom w:val="nil"/>
              <w:right w:val="single" w:sz="8" w:space="0" w:color="auto"/>
            </w:tcBorders>
            <w:vAlign w:val="center"/>
            <w:hideMark/>
          </w:tcPr>
          <w:p w14:paraId="0EE0C95A" w14:textId="77777777" w:rsidR="004B3EB7" w:rsidRPr="004B3EB7" w:rsidRDefault="004B3EB7" w:rsidP="004B3EB7">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BDD7EE"/>
            <w:vAlign w:val="center"/>
            <w:hideMark/>
          </w:tcPr>
          <w:p w14:paraId="609947E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2024</w:t>
            </w:r>
          </w:p>
        </w:tc>
        <w:tc>
          <w:tcPr>
            <w:tcW w:w="700" w:type="dxa"/>
            <w:tcBorders>
              <w:top w:val="nil"/>
              <w:left w:val="nil"/>
              <w:bottom w:val="nil"/>
              <w:right w:val="nil"/>
            </w:tcBorders>
            <w:shd w:val="clear" w:color="000000" w:fill="BDD7EE"/>
            <w:vAlign w:val="center"/>
            <w:hideMark/>
          </w:tcPr>
          <w:p w14:paraId="73684A52"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10.7</w:t>
            </w:r>
          </w:p>
        </w:tc>
        <w:tc>
          <w:tcPr>
            <w:tcW w:w="700" w:type="dxa"/>
            <w:tcBorders>
              <w:top w:val="nil"/>
              <w:left w:val="nil"/>
              <w:bottom w:val="nil"/>
              <w:right w:val="nil"/>
            </w:tcBorders>
            <w:shd w:val="clear" w:color="000000" w:fill="BDD7EE"/>
            <w:vAlign w:val="center"/>
            <w:hideMark/>
          </w:tcPr>
          <w:p w14:paraId="02F8311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135.7</w:t>
            </w:r>
          </w:p>
        </w:tc>
        <w:tc>
          <w:tcPr>
            <w:tcW w:w="700" w:type="dxa"/>
            <w:tcBorders>
              <w:top w:val="nil"/>
              <w:left w:val="nil"/>
              <w:bottom w:val="nil"/>
              <w:right w:val="nil"/>
            </w:tcBorders>
            <w:shd w:val="clear" w:color="000000" w:fill="BDD7EE"/>
            <w:noWrap/>
            <w:vAlign w:val="center"/>
            <w:hideMark/>
          </w:tcPr>
          <w:p w14:paraId="067FF83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3.5</w:t>
            </w:r>
          </w:p>
        </w:tc>
        <w:tc>
          <w:tcPr>
            <w:tcW w:w="700" w:type="dxa"/>
            <w:tcBorders>
              <w:top w:val="nil"/>
              <w:left w:val="nil"/>
              <w:bottom w:val="nil"/>
              <w:right w:val="single" w:sz="4" w:space="0" w:color="auto"/>
            </w:tcBorders>
            <w:shd w:val="clear" w:color="000000" w:fill="BDD7EE"/>
            <w:vAlign w:val="center"/>
            <w:hideMark/>
          </w:tcPr>
          <w:p w14:paraId="76629DBD"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267.3</w:t>
            </w:r>
          </w:p>
        </w:tc>
        <w:tc>
          <w:tcPr>
            <w:tcW w:w="700" w:type="dxa"/>
            <w:tcBorders>
              <w:top w:val="nil"/>
              <w:left w:val="nil"/>
              <w:bottom w:val="nil"/>
              <w:right w:val="single" w:sz="8" w:space="0" w:color="auto"/>
            </w:tcBorders>
            <w:shd w:val="clear" w:color="000000" w:fill="BDD7EE"/>
            <w:vAlign w:val="center"/>
            <w:hideMark/>
          </w:tcPr>
          <w:p w14:paraId="404A563C"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417.2</w:t>
            </w:r>
          </w:p>
        </w:tc>
        <w:tc>
          <w:tcPr>
            <w:tcW w:w="700" w:type="dxa"/>
            <w:tcBorders>
              <w:top w:val="nil"/>
              <w:left w:val="nil"/>
              <w:bottom w:val="nil"/>
              <w:right w:val="nil"/>
            </w:tcBorders>
            <w:shd w:val="clear" w:color="000000" w:fill="BDD7EE"/>
            <w:vAlign w:val="center"/>
            <w:hideMark/>
          </w:tcPr>
          <w:p w14:paraId="7EDB0CCA"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14.3</w:t>
            </w:r>
          </w:p>
        </w:tc>
        <w:tc>
          <w:tcPr>
            <w:tcW w:w="700" w:type="dxa"/>
            <w:tcBorders>
              <w:top w:val="nil"/>
              <w:left w:val="nil"/>
              <w:bottom w:val="nil"/>
              <w:right w:val="nil"/>
            </w:tcBorders>
            <w:shd w:val="clear" w:color="000000" w:fill="BDD7EE"/>
            <w:vAlign w:val="center"/>
            <w:hideMark/>
          </w:tcPr>
          <w:p w14:paraId="3486AF26"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271.3</w:t>
            </w:r>
          </w:p>
        </w:tc>
        <w:tc>
          <w:tcPr>
            <w:tcW w:w="700" w:type="dxa"/>
            <w:tcBorders>
              <w:top w:val="nil"/>
              <w:left w:val="nil"/>
              <w:bottom w:val="nil"/>
              <w:right w:val="nil"/>
            </w:tcBorders>
            <w:shd w:val="clear" w:color="000000" w:fill="BDD7EE"/>
            <w:vAlign w:val="center"/>
            <w:hideMark/>
          </w:tcPr>
          <w:p w14:paraId="2DFA11C2"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4.6</w:t>
            </w:r>
          </w:p>
        </w:tc>
        <w:tc>
          <w:tcPr>
            <w:tcW w:w="700" w:type="dxa"/>
            <w:tcBorders>
              <w:top w:val="nil"/>
              <w:left w:val="nil"/>
              <w:bottom w:val="nil"/>
              <w:right w:val="nil"/>
            </w:tcBorders>
            <w:shd w:val="clear" w:color="000000" w:fill="BDD7EE"/>
            <w:vAlign w:val="center"/>
            <w:hideMark/>
          </w:tcPr>
          <w:p w14:paraId="6D8807D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362.7</w:t>
            </w:r>
          </w:p>
        </w:tc>
        <w:tc>
          <w:tcPr>
            <w:tcW w:w="700" w:type="dxa"/>
            <w:tcBorders>
              <w:top w:val="nil"/>
              <w:left w:val="single" w:sz="4" w:space="0" w:color="auto"/>
              <w:bottom w:val="nil"/>
              <w:right w:val="single" w:sz="8" w:space="0" w:color="auto"/>
            </w:tcBorders>
            <w:shd w:val="clear" w:color="000000" w:fill="BDD7EE"/>
            <w:vAlign w:val="center"/>
            <w:hideMark/>
          </w:tcPr>
          <w:p w14:paraId="16A2483C"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652.9</w:t>
            </w:r>
          </w:p>
        </w:tc>
        <w:tc>
          <w:tcPr>
            <w:tcW w:w="700" w:type="dxa"/>
            <w:tcBorders>
              <w:top w:val="nil"/>
              <w:left w:val="nil"/>
              <w:bottom w:val="nil"/>
              <w:right w:val="nil"/>
            </w:tcBorders>
            <w:shd w:val="clear" w:color="000000" w:fill="BDD7EE"/>
            <w:vAlign w:val="center"/>
            <w:hideMark/>
          </w:tcPr>
          <w:p w14:paraId="6AB9DA05"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16.9</w:t>
            </w:r>
          </w:p>
        </w:tc>
        <w:tc>
          <w:tcPr>
            <w:tcW w:w="700" w:type="dxa"/>
            <w:tcBorders>
              <w:top w:val="nil"/>
              <w:left w:val="nil"/>
              <w:bottom w:val="nil"/>
              <w:right w:val="nil"/>
            </w:tcBorders>
            <w:shd w:val="clear" w:color="000000" w:fill="BDD7EE"/>
            <w:vAlign w:val="center"/>
            <w:hideMark/>
          </w:tcPr>
          <w:p w14:paraId="76EDE2C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398.6</w:t>
            </w:r>
          </w:p>
        </w:tc>
        <w:tc>
          <w:tcPr>
            <w:tcW w:w="700" w:type="dxa"/>
            <w:tcBorders>
              <w:top w:val="nil"/>
              <w:left w:val="nil"/>
              <w:bottom w:val="nil"/>
              <w:right w:val="nil"/>
            </w:tcBorders>
            <w:shd w:val="clear" w:color="000000" w:fill="BDD7EE"/>
            <w:vAlign w:val="center"/>
            <w:hideMark/>
          </w:tcPr>
          <w:p w14:paraId="1F22F5BE"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5.5</w:t>
            </w:r>
          </w:p>
        </w:tc>
        <w:tc>
          <w:tcPr>
            <w:tcW w:w="700" w:type="dxa"/>
            <w:tcBorders>
              <w:top w:val="nil"/>
              <w:left w:val="nil"/>
              <w:bottom w:val="nil"/>
              <w:right w:val="nil"/>
            </w:tcBorders>
            <w:shd w:val="clear" w:color="000000" w:fill="BDD7EE"/>
            <w:vAlign w:val="center"/>
            <w:hideMark/>
          </w:tcPr>
          <w:p w14:paraId="1B3A4C1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428.3</w:t>
            </w:r>
          </w:p>
        </w:tc>
        <w:tc>
          <w:tcPr>
            <w:tcW w:w="700" w:type="dxa"/>
            <w:tcBorders>
              <w:top w:val="nil"/>
              <w:left w:val="single" w:sz="4" w:space="0" w:color="auto"/>
              <w:bottom w:val="nil"/>
              <w:right w:val="single" w:sz="8" w:space="0" w:color="auto"/>
            </w:tcBorders>
            <w:shd w:val="clear" w:color="000000" w:fill="BDD7EE"/>
            <w:vAlign w:val="center"/>
            <w:hideMark/>
          </w:tcPr>
          <w:p w14:paraId="26852469"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849.3</w:t>
            </w:r>
          </w:p>
        </w:tc>
      </w:tr>
      <w:tr w:rsidR="004B3EB7" w:rsidRPr="004B3EB7" w14:paraId="00850926" w14:textId="77777777" w:rsidTr="004B3EB7">
        <w:trPr>
          <w:trHeight w:val="300"/>
        </w:trPr>
        <w:tc>
          <w:tcPr>
            <w:tcW w:w="960" w:type="dxa"/>
            <w:vMerge/>
            <w:tcBorders>
              <w:top w:val="nil"/>
              <w:left w:val="nil"/>
              <w:bottom w:val="nil"/>
              <w:right w:val="single" w:sz="8" w:space="0" w:color="auto"/>
            </w:tcBorders>
            <w:vAlign w:val="center"/>
            <w:hideMark/>
          </w:tcPr>
          <w:p w14:paraId="13FBF1D5" w14:textId="77777777" w:rsidR="004B3EB7" w:rsidRPr="004B3EB7" w:rsidRDefault="004B3EB7" w:rsidP="004B3EB7">
            <w:pPr>
              <w:rPr>
                <w:rFonts w:ascii="Calibri" w:eastAsia="Times New Roman" w:hAnsi="Calibri"/>
                <w:color w:val="000000"/>
                <w:sz w:val="22"/>
                <w:szCs w:val="22"/>
                <w:lang w:eastAsia="en-AU"/>
              </w:rPr>
            </w:pPr>
          </w:p>
        </w:tc>
        <w:tc>
          <w:tcPr>
            <w:tcW w:w="960" w:type="dxa"/>
            <w:tcBorders>
              <w:top w:val="nil"/>
              <w:left w:val="nil"/>
              <w:bottom w:val="nil"/>
              <w:right w:val="single" w:sz="8" w:space="0" w:color="auto"/>
            </w:tcBorders>
            <w:shd w:val="clear" w:color="000000" w:fill="BDD7EE"/>
            <w:vAlign w:val="center"/>
            <w:hideMark/>
          </w:tcPr>
          <w:p w14:paraId="437932C0"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2025</w:t>
            </w:r>
          </w:p>
        </w:tc>
        <w:tc>
          <w:tcPr>
            <w:tcW w:w="700" w:type="dxa"/>
            <w:tcBorders>
              <w:top w:val="nil"/>
              <w:left w:val="nil"/>
              <w:bottom w:val="nil"/>
              <w:right w:val="nil"/>
            </w:tcBorders>
            <w:shd w:val="clear" w:color="000000" w:fill="BDD7EE"/>
            <w:vAlign w:val="center"/>
            <w:hideMark/>
          </w:tcPr>
          <w:p w14:paraId="1B9CB656"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11.0</w:t>
            </w:r>
          </w:p>
        </w:tc>
        <w:tc>
          <w:tcPr>
            <w:tcW w:w="700" w:type="dxa"/>
            <w:tcBorders>
              <w:top w:val="nil"/>
              <w:left w:val="nil"/>
              <w:bottom w:val="nil"/>
              <w:right w:val="nil"/>
            </w:tcBorders>
            <w:shd w:val="clear" w:color="000000" w:fill="BDD7EE"/>
            <w:vAlign w:val="center"/>
            <w:hideMark/>
          </w:tcPr>
          <w:p w14:paraId="660BB8C3"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98.1</w:t>
            </w:r>
          </w:p>
        </w:tc>
        <w:tc>
          <w:tcPr>
            <w:tcW w:w="700" w:type="dxa"/>
            <w:tcBorders>
              <w:top w:val="nil"/>
              <w:left w:val="nil"/>
              <w:bottom w:val="nil"/>
              <w:right w:val="nil"/>
            </w:tcBorders>
            <w:shd w:val="clear" w:color="000000" w:fill="BDD7EE"/>
            <w:noWrap/>
            <w:vAlign w:val="center"/>
            <w:hideMark/>
          </w:tcPr>
          <w:p w14:paraId="6ABC0188"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3.6</w:t>
            </w:r>
          </w:p>
        </w:tc>
        <w:tc>
          <w:tcPr>
            <w:tcW w:w="700" w:type="dxa"/>
            <w:tcBorders>
              <w:top w:val="nil"/>
              <w:left w:val="nil"/>
              <w:bottom w:val="nil"/>
              <w:right w:val="single" w:sz="4" w:space="0" w:color="auto"/>
            </w:tcBorders>
            <w:shd w:val="clear" w:color="000000" w:fill="BDD7EE"/>
            <w:vAlign w:val="center"/>
            <w:hideMark/>
          </w:tcPr>
          <w:p w14:paraId="49939F70"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276.4</w:t>
            </w:r>
          </w:p>
        </w:tc>
        <w:tc>
          <w:tcPr>
            <w:tcW w:w="700" w:type="dxa"/>
            <w:tcBorders>
              <w:top w:val="nil"/>
              <w:left w:val="nil"/>
              <w:bottom w:val="nil"/>
              <w:right w:val="single" w:sz="8" w:space="0" w:color="auto"/>
            </w:tcBorders>
            <w:shd w:val="clear" w:color="000000" w:fill="BDD7EE"/>
            <w:vAlign w:val="center"/>
            <w:hideMark/>
          </w:tcPr>
          <w:p w14:paraId="3F586E25"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389.1</w:t>
            </w:r>
          </w:p>
        </w:tc>
        <w:tc>
          <w:tcPr>
            <w:tcW w:w="700" w:type="dxa"/>
            <w:tcBorders>
              <w:top w:val="nil"/>
              <w:left w:val="nil"/>
              <w:bottom w:val="nil"/>
              <w:right w:val="nil"/>
            </w:tcBorders>
            <w:shd w:val="clear" w:color="000000" w:fill="BDD7EE"/>
            <w:vAlign w:val="center"/>
            <w:hideMark/>
          </w:tcPr>
          <w:p w14:paraId="3E864ED8"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14.7</w:t>
            </w:r>
          </w:p>
        </w:tc>
        <w:tc>
          <w:tcPr>
            <w:tcW w:w="700" w:type="dxa"/>
            <w:tcBorders>
              <w:top w:val="nil"/>
              <w:left w:val="nil"/>
              <w:bottom w:val="nil"/>
              <w:right w:val="nil"/>
            </w:tcBorders>
            <w:shd w:val="clear" w:color="000000" w:fill="BDD7EE"/>
            <w:vAlign w:val="center"/>
            <w:hideMark/>
          </w:tcPr>
          <w:p w14:paraId="418B804C"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196.2</w:t>
            </w:r>
          </w:p>
        </w:tc>
        <w:tc>
          <w:tcPr>
            <w:tcW w:w="700" w:type="dxa"/>
            <w:tcBorders>
              <w:top w:val="nil"/>
              <w:left w:val="nil"/>
              <w:bottom w:val="nil"/>
              <w:right w:val="nil"/>
            </w:tcBorders>
            <w:shd w:val="clear" w:color="000000" w:fill="BDD7EE"/>
            <w:vAlign w:val="center"/>
            <w:hideMark/>
          </w:tcPr>
          <w:p w14:paraId="1FC5B68F"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4.8</w:t>
            </w:r>
          </w:p>
        </w:tc>
        <w:tc>
          <w:tcPr>
            <w:tcW w:w="700" w:type="dxa"/>
            <w:tcBorders>
              <w:top w:val="nil"/>
              <w:left w:val="nil"/>
              <w:bottom w:val="nil"/>
              <w:right w:val="nil"/>
            </w:tcBorders>
            <w:shd w:val="clear" w:color="000000" w:fill="BDD7EE"/>
            <w:vAlign w:val="center"/>
            <w:hideMark/>
          </w:tcPr>
          <w:p w14:paraId="7EF94258"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375.0</w:t>
            </w:r>
          </w:p>
        </w:tc>
        <w:tc>
          <w:tcPr>
            <w:tcW w:w="700" w:type="dxa"/>
            <w:tcBorders>
              <w:top w:val="nil"/>
              <w:left w:val="single" w:sz="4" w:space="0" w:color="auto"/>
              <w:bottom w:val="nil"/>
              <w:right w:val="single" w:sz="8" w:space="0" w:color="auto"/>
            </w:tcBorders>
            <w:shd w:val="clear" w:color="000000" w:fill="BDD7EE"/>
            <w:vAlign w:val="center"/>
            <w:hideMark/>
          </w:tcPr>
          <w:p w14:paraId="3B73253A"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590.7</w:t>
            </w:r>
          </w:p>
        </w:tc>
        <w:tc>
          <w:tcPr>
            <w:tcW w:w="700" w:type="dxa"/>
            <w:tcBorders>
              <w:top w:val="nil"/>
              <w:left w:val="nil"/>
              <w:bottom w:val="nil"/>
              <w:right w:val="nil"/>
            </w:tcBorders>
            <w:shd w:val="clear" w:color="000000" w:fill="BDD7EE"/>
            <w:vAlign w:val="center"/>
            <w:hideMark/>
          </w:tcPr>
          <w:p w14:paraId="4B67F444"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17.4</w:t>
            </w:r>
          </w:p>
        </w:tc>
        <w:tc>
          <w:tcPr>
            <w:tcW w:w="700" w:type="dxa"/>
            <w:tcBorders>
              <w:top w:val="nil"/>
              <w:left w:val="nil"/>
              <w:bottom w:val="nil"/>
              <w:right w:val="nil"/>
            </w:tcBorders>
            <w:shd w:val="clear" w:color="000000" w:fill="BDD7EE"/>
            <w:vAlign w:val="center"/>
            <w:hideMark/>
          </w:tcPr>
          <w:p w14:paraId="6E12B881"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289.0</w:t>
            </w:r>
          </w:p>
        </w:tc>
        <w:tc>
          <w:tcPr>
            <w:tcW w:w="700" w:type="dxa"/>
            <w:tcBorders>
              <w:top w:val="nil"/>
              <w:left w:val="nil"/>
              <w:bottom w:val="nil"/>
              <w:right w:val="nil"/>
            </w:tcBorders>
            <w:shd w:val="clear" w:color="000000" w:fill="BDD7EE"/>
            <w:vAlign w:val="center"/>
            <w:hideMark/>
          </w:tcPr>
          <w:p w14:paraId="5F3D2AF7"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5.6</w:t>
            </w:r>
          </w:p>
        </w:tc>
        <w:tc>
          <w:tcPr>
            <w:tcW w:w="700" w:type="dxa"/>
            <w:tcBorders>
              <w:top w:val="nil"/>
              <w:left w:val="nil"/>
              <w:bottom w:val="nil"/>
              <w:right w:val="nil"/>
            </w:tcBorders>
            <w:shd w:val="clear" w:color="000000" w:fill="BDD7EE"/>
            <w:vAlign w:val="center"/>
            <w:hideMark/>
          </w:tcPr>
          <w:p w14:paraId="48A63A8B" w14:textId="77777777" w:rsidR="004B3EB7" w:rsidRPr="00462072" w:rsidRDefault="004B3EB7" w:rsidP="004B3EB7">
            <w:pPr>
              <w:jc w:val="center"/>
              <w:rPr>
                <w:rFonts w:ascii="Times New Roman" w:eastAsia="Times New Roman" w:hAnsi="Times New Roman"/>
                <w:sz w:val="18"/>
                <w:szCs w:val="18"/>
                <w:lang w:eastAsia="en-AU"/>
              </w:rPr>
            </w:pPr>
            <w:r w:rsidRPr="00462072">
              <w:rPr>
                <w:rFonts w:ascii="Times New Roman" w:eastAsia="Times New Roman" w:hAnsi="Times New Roman"/>
                <w:sz w:val="18"/>
                <w:szCs w:val="18"/>
                <w:lang w:eastAsia="en-AU"/>
              </w:rPr>
              <w:t>442.9</w:t>
            </w:r>
          </w:p>
        </w:tc>
        <w:tc>
          <w:tcPr>
            <w:tcW w:w="700" w:type="dxa"/>
            <w:tcBorders>
              <w:top w:val="nil"/>
              <w:left w:val="single" w:sz="4" w:space="0" w:color="auto"/>
              <w:bottom w:val="nil"/>
              <w:right w:val="single" w:sz="8" w:space="0" w:color="auto"/>
            </w:tcBorders>
            <w:shd w:val="clear" w:color="000000" w:fill="BDD7EE"/>
            <w:vAlign w:val="center"/>
            <w:hideMark/>
          </w:tcPr>
          <w:p w14:paraId="2C20C728"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754.9</w:t>
            </w:r>
          </w:p>
        </w:tc>
      </w:tr>
      <w:tr w:rsidR="004B3EB7" w:rsidRPr="004B3EB7" w14:paraId="3F960B53" w14:textId="77777777" w:rsidTr="004B3EB7">
        <w:trPr>
          <w:trHeight w:val="315"/>
        </w:trPr>
        <w:tc>
          <w:tcPr>
            <w:tcW w:w="960" w:type="dxa"/>
            <w:tcBorders>
              <w:top w:val="nil"/>
              <w:left w:val="nil"/>
              <w:bottom w:val="nil"/>
              <w:right w:val="nil"/>
            </w:tcBorders>
            <w:shd w:val="clear" w:color="auto" w:fill="auto"/>
            <w:noWrap/>
            <w:vAlign w:val="bottom"/>
            <w:hideMark/>
          </w:tcPr>
          <w:p w14:paraId="0ABCB274" w14:textId="77777777" w:rsidR="004B3EB7" w:rsidRPr="004B3EB7" w:rsidRDefault="004B3EB7" w:rsidP="004B3EB7">
            <w:pPr>
              <w:jc w:val="center"/>
              <w:rPr>
                <w:rFonts w:ascii="Calibri" w:eastAsia="Times New Roman" w:hAnsi="Calibri"/>
                <w:b/>
                <w:bCs/>
                <w:sz w:val="18"/>
                <w:szCs w:val="18"/>
                <w:lang w:eastAsia="en-AU"/>
              </w:rPr>
            </w:pPr>
          </w:p>
        </w:tc>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416AFBD"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Total</w:t>
            </w:r>
          </w:p>
        </w:tc>
        <w:tc>
          <w:tcPr>
            <w:tcW w:w="700" w:type="dxa"/>
            <w:tcBorders>
              <w:top w:val="single" w:sz="4" w:space="0" w:color="auto"/>
              <w:left w:val="nil"/>
              <w:bottom w:val="single" w:sz="8" w:space="0" w:color="auto"/>
              <w:right w:val="nil"/>
            </w:tcBorders>
            <w:shd w:val="clear" w:color="auto" w:fill="auto"/>
            <w:vAlign w:val="center"/>
            <w:hideMark/>
          </w:tcPr>
          <w:p w14:paraId="756088FC"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79.6</w:t>
            </w:r>
          </w:p>
        </w:tc>
        <w:tc>
          <w:tcPr>
            <w:tcW w:w="700" w:type="dxa"/>
            <w:tcBorders>
              <w:top w:val="single" w:sz="4" w:space="0" w:color="auto"/>
              <w:left w:val="nil"/>
              <w:bottom w:val="single" w:sz="8" w:space="0" w:color="auto"/>
              <w:right w:val="nil"/>
            </w:tcBorders>
            <w:shd w:val="clear" w:color="auto" w:fill="auto"/>
            <w:vAlign w:val="center"/>
            <w:hideMark/>
          </w:tcPr>
          <w:p w14:paraId="13743142"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1176.6</w:t>
            </w:r>
          </w:p>
        </w:tc>
        <w:tc>
          <w:tcPr>
            <w:tcW w:w="700" w:type="dxa"/>
            <w:tcBorders>
              <w:top w:val="single" w:sz="4" w:space="0" w:color="auto"/>
              <w:left w:val="nil"/>
              <w:bottom w:val="single" w:sz="8" w:space="0" w:color="auto"/>
              <w:right w:val="nil"/>
            </w:tcBorders>
            <w:shd w:val="clear" w:color="auto" w:fill="auto"/>
            <w:vAlign w:val="center"/>
            <w:hideMark/>
          </w:tcPr>
          <w:p w14:paraId="6B927D07"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26.0</w:t>
            </w:r>
          </w:p>
        </w:tc>
        <w:tc>
          <w:tcPr>
            <w:tcW w:w="700" w:type="dxa"/>
            <w:tcBorders>
              <w:top w:val="single" w:sz="4" w:space="0" w:color="auto"/>
              <w:left w:val="nil"/>
              <w:bottom w:val="single" w:sz="8" w:space="0" w:color="auto"/>
              <w:right w:val="nil"/>
            </w:tcBorders>
            <w:shd w:val="clear" w:color="auto" w:fill="auto"/>
            <w:vAlign w:val="center"/>
            <w:hideMark/>
          </w:tcPr>
          <w:p w14:paraId="6DD35D64"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1972.8</w:t>
            </w:r>
          </w:p>
        </w:tc>
        <w:tc>
          <w:tcPr>
            <w:tcW w:w="70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60B2BC3D"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3544.5</w:t>
            </w:r>
          </w:p>
        </w:tc>
        <w:tc>
          <w:tcPr>
            <w:tcW w:w="700" w:type="dxa"/>
            <w:tcBorders>
              <w:top w:val="single" w:sz="4" w:space="0" w:color="auto"/>
              <w:left w:val="nil"/>
              <w:bottom w:val="single" w:sz="8" w:space="0" w:color="auto"/>
              <w:right w:val="nil"/>
            </w:tcBorders>
            <w:shd w:val="clear" w:color="auto" w:fill="auto"/>
            <w:vAlign w:val="center"/>
            <w:hideMark/>
          </w:tcPr>
          <w:p w14:paraId="43EC5431"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106.5</w:t>
            </w:r>
          </w:p>
        </w:tc>
        <w:tc>
          <w:tcPr>
            <w:tcW w:w="700" w:type="dxa"/>
            <w:tcBorders>
              <w:top w:val="single" w:sz="4" w:space="0" w:color="auto"/>
              <w:left w:val="nil"/>
              <w:bottom w:val="single" w:sz="8" w:space="0" w:color="auto"/>
              <w:right w:val="nil"/>
            </w:tcBorders>
            <w:shd w:val="clear" w:color="auto" w:fill="auto"/>
            <w:vAlign w:val="center"/>
            <w:hideMark/>
          </w:tcPr>
          <w:p w14:paraId="5C66A215"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2353.2</w:t>
            </w:r>
          </w:p>
        </w:tc>
        <w:tc>
          <w:tcPr>
            <w:tcW w:w="700" w:type="dxa"/>
            <w:tcBorders>
              <w:top w:val="single" w:sz="4" w:space="0" w:color="auto"/>
              <w:left w:val="nil"/>
              <w:bottom w:val="single" w:sz="8" w:space="0" w:color="auto"/>
              <w:right w:val="nil"/>
            </w:tcBorders>
            <w:shd w:val="clear" w:color="auto" w:fill="auto"/>
            <w:vAlign w:val="center"/>
            <w:hideMark/>
          </w:tcPr>
          <w:p w14:paraId="6864E800"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34.1</w:t>
            </w:r>
          </w:p>
        </w:tc>
        <w:tc>
          <w:tcPr>
            <w:tcW w:w="700" w:type="dxa"/>
            <w:tcBorders>
              <w:top w:val="single" w:sz="4" w:space="0" w:color="auto"/>
              <w:left w:val="nil"/>
              <w:bottom w:val="single" w:sz="8" w:space="0" w:color="auto"/>
              <w:right w:val="single" w:sz="4" w:space="0" w:color="auto"/>
            </w:tcBorders>
            <w:shd w:val="clear" w:color="auto" w:fill="auto"/>
            <w:vAlign w:val="center"/>
            <w:hideMark/>
          </w:tcPr>
          <w:p w14:paraId="0225492E"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2676.9</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6B7522E1"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5170.7</w:t>
            </w:r>
          </w:p>
        </w:tc>
        <w:tc>
          <w:tcPr>
            <w:tcW w:w="700" w:type="dxa"/>
            <w:tcBorders>
              <w:top w:val="single" w:sz="4" w:space="0" w:color="auto"/>
              <w:left w:val="nil"/>
              <w:bottom w:val="single" w:sz="8" w:space="0" w:color="auto"/>
              <w:right w:val="nil"/>
            </w:tcBorders>
            <w:shd w:val="clear" w:color="auto" w:fill="auto"/>
            <w:vAlign w:val="center"/>
            <w:hideMark/>
          </w:tcPr>
          <w:p w14:paraId="07C80249"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125.6</w:t>
            </w:r>
          </w:p>
        </w:tc>
        <w:tc>
          <w:tcPr>
            <w:tcW w:w="700" w:type="dxa"/>
            <w:tcBorders>
              <w:top w:val="single" w:sz="4" w:space="0" w:color="auto"/>
              <w:left w:val="nil"/>
              <w:bottom w:val="single" w:sz="8" w:space="0" w:color="auto"/>
              <w:right w:val="nil"/>
            </w:tcBorders>
            <w:shd w:val="clear" w:color="auto" w:fill="auto"/>
            <w:vAlign w:val="center"/>
            <w:hideMark/>
          </w:tcPr>
          <w:p w14:paraId="1F0C6E55"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3453.6</w:t>
            </w:r>
          </w:p>
        </w:tc>
        <w:tc>
          <w:tcPr>
            <w:tcW w:w="700" w:type="dxa"/>
            <w:tcBorders>
              <w:top w:val="single" w:sz="4" w:space="0" w:color="auto"/>
              <w:left w:val="nil"/>
              <w:bottom w:val="single" w:sz="8" w:space="0" w:color="auto"/>
              <w:right w:val="nil"/>
            </w:tcBorders>
            <w:shd w:val="clear" w:color="auto" w:fill="auto"/>
            <w:vAlign w:val="center"/>
            <w:hideMark/>
          </w:tcPr>
          <w:p w14:paraId="3AF1751E"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40.3</w:t>
            </w:r>
          </w:p>
        </w:tc>
        <w:tc>
          <w:tcPr>
            <w:tcW w:w="700" w:type="dxa"/>
            <w:tcBorders>
              <w:top w:val="single" w:sz="4" w:space="0" w:color="auto"/>
              <w:left w:val="nil"/>
              <w:bottom w:val="single" w:sz="8" w:space="0" w:color="auto"/>
              <w:right w:val="nil"/>
            </w:tcBorders>
            <w:shd w:val="clear" w:color="auto" w:fill="auto"/>
            <w:vAlign w:val="center"/>
            <w:hideMark/>
          </w:tcPr>
          <w:p w14:paraId="5C26C940"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3160.9</w:t>
            </w:r>
          </w:p>
        </w:tc>
        <w:tc>
          <w:tcPr>
            <w:tcW w:w="70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70395C8" w14:textId="77777777" w:rsidR="004B3EB7" w:rsidRPr="00462072" w:rsidRDefault="004B3EB7" w:rsidP="004B3EB7">
            <w:pPr>
              <w:jc w:val="center"/>
              <w:rPr>
                <w:rFonts w:ascii="Times New Roman" w:eastAsia="Times New Roman" w:hAnsi="Times New Roman"/>
                <w:b/>
                <w:bCs/>
                <w:sz w:val="18"/>
                <w:szCs w:val="18"/>
                <w:lang w:eastAsia="en-AU"/>
              </w:rPr>
            </w:pPr>
            <w:r w:rsidRPr="00462072">
              <w:rPr>
                <w:rFonts w:ascii="Times New Roman" w:eastAsia="Times New Roman" w:hAnsi="Times New Roman"/>
                <w:b/>
                <w:bCs/>
                <w:sz w:val="18"/>
                <w:szCs w:val="18"/>
                <w:lang w:eastAsia="en-AU"/>
              </w:rPr>
              <w:t>6780.4</w:t>
            </w:r>
          </w:p>
        </w:tc>
      </w:tr>
      <w:tr w:rsidR="004B3EB7" w:rsidRPr="004B3EB7" w14:paraId="0688440B" w14:textId="77777777" w:rsidTr="004B3EB7">
        <w:trPr>
          <w:trHeight w:val="300"/>
        </w:trPr>
        <w:tc>
          <w:tcPr>
            <w:tcW w:w="960" w:type="dxa"/>
            <w:tcBorders>
              <w:top w:val="nil"/>
              <w:left w:val="nil"/>
              <w:bottom w:val="nil"/>
              <w:right w:val="nil"/>
            </w:tcBorders>
            <w:shd w:val="clear" w:color="auto" w:fill="auto"/>
            <w:noWrap/>
            <w:vAlign w:val="bottom"/>
            <w:hideMark/>
          </w:tcPr>
          <w:p w14:paraId="7A3D37AE" w14:textId="77777777" w:rsidR="004B3EB7" w:rsidRPr="004B3EB7" w:rsidRDefault="004B3EB7" w:rsidP="004B3EB7">
            <w:pPr>
              <w:jc w:val="center"/>
              <w:rPr>
                <w:rFonts w:ascii="Calibri" w:eastAsia="Times New Roman" w:hAnsi="Calibri"/>
                <w:b/>
                <w:bCs/>
                <w:sz w:val="18"/>
                <w:szCs w:val="18"/>
                <w:lang w:eastAsia="en-AU"/>
              </w:rPr>
            </w:pPr>
          </w:p>
        </w:tc>
        <w:tc>
          <w:tcPr>
            <w:tcW w:w="960" w:type="dxa"/>
            <w:tcBorders>
              <w:top w:val="nil"/>
              <w:left w:val="nil"/>
              <w:bottom w:val="nil"/>
              <w:right w:val="nil"/>
            </w:tcBorders>
            <w:shd w:val="clear" w:color="auto" w:fill="auto"/>
            <w:noWrap/>
            <w:vAlign w:val="bottom"/>
            <w:hideMark/>
          </w:tcPr>
          <w:p w14:paraId="198E07D2"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78CED5A2"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31E69998"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769F2BDD"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5362C0B5"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0E87D0AD"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0B5D2610"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0F89E38C"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37EB1A06"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51521971"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55A6E5E8"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7ECED7A9"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60345B30"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539B36C0"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04903653" w14:textId="77777777" w:rsidR="004B3EB7" w:rsidRPr="004B3EB7" w:rsidRDefault="004B3EB7" w:rsidP="004B3EB7">
            <w:pPr>
              <w:rPr>
                <w:rFonts w:ascii="Times New Roman" w:eastAsia="Times New Roman" w:hAnsi="Times New Roman"/>
                <w:sz w:val="20"/>
                <w:szCs w:val="20"/>
                <w:lang w:eastAsia="en-AU"/>
              </w:rPr>
            </w:pPr>
          </w:p>
        </w:tc>
        <w:tc>
          <w:tcPr>
            <w:tcW w:w="700" w:type="dxa"/>
            <w:tcBorders>
              <w:top w:val="nil"/>
              <w:left w:val="nil"/>
              <w:bottom w:val="nil"/>
              <w:right w:val="nil"/>
            </w:tcBorders>
            <w:shd w:val="clear" w:color="auto" w:fill="auto"/>
            <w:noWrap/>
            <w:vAlign w:val="bottom"/>
            <w:hideMark/>
          </w:tcPr>
          <w:p w14:paraId="2B80C813" w14:textId="77777777" w:rsidR="004B3EB7" w:rsidRPr="004B3EB7" w:rsidRDefault="004B3EB7" w:rsidP="004B3EB7">
            <w:pPr>
              <w:rPr>
                <w:rFonts w:ascii="Times New Roman" w:eastAsia="Times New Roman" w:hAnsi="Times New Roman"/>
                <w:sz w:val="20"/>
                <w:szCs w:val="20"/>
                <w:lang w:eastAsia="en-AU"/>
              </w:rPr>
            </w:pPr>
          </w:p>
        </w:tc>
      </w:tr>
    </w:tbl>
    <w:p w14:paraId="22B24EDD" w14:textId="77777777" w:rsidR="004B3EB7" w:rsidRPr="00565D92" w:rsidRDefault="004B3EB7" w:rsidP="004B3EB7">
      <w:pPr>
        <w:rPr>
          <w:rFonts w:ascii="Times New Roman" w:hAnsi="Times New Roman"/>
          <w:color w:val="FF0000"/>
          <w:sz w:val="22"/>
          <w:szCs w:val="22"/>
        </w:rPr>
      </w:pPr>
    </w:p>
    <w:sectPr w:rsidR="004B3EB7" w:rsidRPr="00565D92" w:rsidSect="00CA484E">
      <w:pgSz w:w="16838" w:h="11906" w:orient="landscape"/>
      <w:pgMar w:top="1440" w:right="1440" w:bottom="84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9CFDA" w14:textId="77777777" w:rsidR="000F7020" w:rsidRDefault="000F7020" w:rsidP="008078EA">
      <w:r>
        <w:separator/>
      </w:r>
    </w:p>
  </w:endnote>
  <w:endnote w:type="continuationSeparator" w:id="0">
    <w:p w14:paraId="7364FDF9" w14:textId="77777777" w:rsidR="000F7020" w:rsidRDefault="000F7020" w:rsidP="0080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717EA" w14:textId="77777777" w:rsidR="003E4C3F" w:rsidRDefault="003E4C3F" w:rsidP="00780B0D">
    <w:pPr>
      <w:pStyle w:val="Footer"/>
      <w:jc w:val="center"/>
    </w:pPr>
    <w:r w:rsidRPr="00780B0D">
      <w:rPr>
        <w:rStyle w:val="PageNumber"/>
        <w:rFonts w:ascii="Times New Roman" w:hAnsi="Times New Roman"/>
      </w:rPr>
      <w:t xml:space="preserve">Page </w:t>
    </w:r>
    <w:r w:rsidRPr="00780B0D">
      <w:rPr>
        <w:rStyle w:val="PageNumber"/>
        <w:rFonts w:ascii="Times New Roman" w:hAnsi="Times New Roman"/>
      </w:rPr>
      <w:fldChar w:fldCharType="begin"/>
    </w:r>
    <w:r w:rsidRPr="00780B0D">
      <w:rPr>
        <w:rStyle w:val="PageNumber"/>
        <w:rFonts w:ascii="Times New Roman" w:hAnsi="Times New Roman"/>
      </w:rPr>
      <w:instrText xml:space="preserve"> PAGE </w:instrText>
    </w:r>
    <w:r w:rsidRPr="00780B0D">
      <w:rPr>
        <w:rStyle w:val="PageNumber"/>
        <w:rFonts w:ascii="Times New Roman" w:hAnsi="Times New Roman"/>
      </w:rPr>
      <w:fldChar w:fldCharType="separate"/>
    </w:r>
    <w:r w:rsidR="001E3C49">
      <w:rPr>
        <w:rStyle w:val="PageNumber"/>
        <w:rFonts w:ascii="Times New Roman" w:hAnsi="Times New Roman"/>
        <w:noProof/>
      </w:rPr>
      <w:t>2</w:t>
    </w:r>
    <w:r w:rsidRPr="00780B0D">
      <w:rPr>
        <w:rStyle w:val="PageNumber"/>
        <w:rFonts w:ascii="Times New Roman" w:hAnsi="Times New Roman"/>
      </w:rPr>
      <w:fldChar w:fldCharType="end"/>
    </w:r>
    <w:r w:rsidRPr="00780B0D">
      <w:rPr>
        <w:rStyle w:val="PageNumber"/>
        <w:rFonts w:ascii="Times New Roman" w:hAnsi="Times New Roman"/>
      </w:rPr>
      <w:t xml:space="preserve"> of </w:t>
    </w:r>
    <w:r w:rsidRPr="00780B0D">
      <w:rPr>
        <w:rStyle w:val="PageNumber"/>
        <w:rFonts w:ascii="Times New Roman" w:hAnsi="Times New Roman"/>
      </w:rPr>
      <w:fldChar w:fldCharType="begin"/>
    </w:r>
    <w:r w:rsidRPr="00780B0D">
      <w:rPr>
        <w:rStyle w:val="PageNumber"/>
        <w:rFonts w:ascii="Times New Roman" w:hAnsi="Times New Roman"/>
      </w:rPr>
      <w:instrText xml:space="preserve"> NUMPAGES </w:instrText>
    </w:r>
    <w:r w:rsidRPr="00780B0D">
      <w:rPr>
        <w:rStyle w:val="PageNumber"/>
        <w:rFonts w:ascii="Times New Roman" w:hAnsi="Times New Roman"/>
      </w:rPr>
      <w:fldChar w:fldCharType="separate"/>
    </w:r>
    <w:r w:rsidR="001E3C49">
      <w:rPr>
        <w:rStyle w:val="PageNumber"/>
        <w:rFonts w:ascii="Times New Roman" w:hAnsi="Times New Roman"/>
        <w:noProof/>
      </w:rPr>
      <w:t>14</w:t>
    </w:r>
    <w:r w:rsidRPr="00780B0D">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0FD6D" w14:textId="77777777" w:rsidR="000F7020" w:rsidRDefault="000F7020" w:rsidP="008078EA">
      <w:r>
        <w:separator/>
      </w:r>
    </w:p>
  </w:footnote>
  <w:footnote w:type="continuationSeparator" w:id="0">
    <w:p w14:paraId="75576D5F" w14:textId="77777777" w:rsidR="000F7020" w:rsidRDefault="000F7020" w:rsidP="008078EA">
      <w:r>
        <w:continuationSeparator/>
      </w:r>
    </w:p>
  </w:footnote>
  <w:footnote w:id="1">
    <w:p w14:paraId="4A61477D" w14:textId="77777777" w:rsidR="003E4C3F" w:rsidRPr="00581EFE" w:rsidRDefault="003E4C3F" w:rsidP="00414677">
      <w:pPr>
        <w:pStyle w:val="FootnoteText"/>
        <w:rPr>
          <w:rFonts w:ascii="Times New Roman" w:hAnsi="Times New Roman"/>
          <w:sz w:val="18"/>
          <w:lang w:val="en-US"/>
        </w:rPr>
      </w:pPr>
      <w:r w:rsidRPr="00581EFE">
        <w:rPr>
          <w:rStyle w:val="FootnoteReference"/>
          <w:rFonts w:ascii="Times New Roman" w:hAnsi="Times New Roman"/>
          <w:sz w:val="18"/>
        </w:rPr>
        <w:footnoteRef/>
      </w:r>
      <w:r w:rsidRPr="00581EFE">
        <w:rPr>
          <w:rFonts w:ascii="Times New Roman" w:hAnsi="Times New Roman"/>
          <w:sz w:val="18"/>
        </w:rPr>
        <w:t xml:space="preserve"> </w:t>
      </w:r>
      <w:r w:rsidRPr="00581EFE">
        <w:rPr>
          <w:rFonts w:ascii="Times New Roman" w:hAnsi="Times New Roman"/>
          <w:sz w:val="18"/>
          <w:lang w:val="en-US"/>
        </w:rPr>
        <w:t>Source:  TIC T-Mark Truck Market historical sales data for full cal</w:t>
      </w:r>
      <w:r>
        <w:rPr>
          <w:rFonts w:ascii="Times New Roman" w:hAnsi="Times New Roman"/>
          <w:sz w:val="18"/>
          <w:lang w:val="en-US"/>
        </w:rPr>
        <w:t>endar year 2016</w:t>
      </w:r>
      <w:r w:rsidRPr="00581EFE">
        <w:rPr>
          <w:rFonts w:ascii="Times New Roman" w:hAnsi="Times New Roman"/>
          <w:sz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73AE" w14:textId="2A4EA631" w:rsidR="003E4C3F" w:rsidRPr="00780B0D" w:rsidRDefault="003E4C3F">
    <w:pPr>
      <w:pStyle w:val="Header"/>
      <w:rPr>
        <w:rFonts w:ascii="Times New Roman" w:hAnsi="Times New Roman"/>
        <w:sz w:val="20"/>
        <w:szCs w:val="20"/>
      </w:rPr>
    </w:pPr>
    <w:r>
      <w:rPr>
        <w:rFonts w:ascii="Times New Roman" w:hAnsi="Times New Roman"/>
        <w:sz w:val="20"/>
        <w:szCs w:val="20"/>
      </w:rPr>
      <w:tab/>
      <w:t>Truck Industry Council Budget Submission 2017/18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1838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019F"/>
    <w:multiLevelType w:val="hybridMultilevel"/>
    <w:tmpl w:val="C1B4A8EC"/>
    <w:lvl w:ilvl="0" w:tplc="C2C0CE94">
      <w:start w:val="1"/>
      <w:numFmt w:val="bullet"/>
      <w:lvlText w:val=""/>
      <w:lvlJc w:val="left"/>
      <w:pPr>
        <w:tabs>
          <w:tab w:val="num" w:pos="720"/>
        </w:tabs>
        <w:ind w:left="720" w:hanging="360"/>
      </w:pPr>
      <w:rPr>
        <w:rFonts w:ascii="Wingdings" w:hAnsi="Wingdings" w:hint="default"/>
        <w:color w:val="000000"/>
        <w:sz w:val="16"/>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026161FD"/>
    <w:multiLevelType w:val="hybridMultilevel"/>
    <w:tmpl w:val="E1F65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ED2B1A"/>
    <w:multiLevelType w:val="hybridMultilevel"/>
    <w:tmpl w:val="8B70BF2E"/>
    <w:lvl w:ilvl="0" w:tplc="DFD220CE">
      <w:start w:val="1"/>
      <w:numFmt w:val="bullet"/>
      <w:lvlText w:val="•"/>
      <w:lvlJc w:val="left"/>
      <w:pPr>
        <w:tabs>
          <w:tab w:val="num" w:pos="720"/>
        </w:tabs>
        <w:ind w:left="720" w:hanging="360"/>
      </w:pPr>
      <w:rPr>
        <w:rFonts w:ascii="Times New Roman" w:hAnsi="Times New Roman" w:hint="default"/>
      </w:rPr>
    </w:lvl>
    <w:lvl w:ilvl="1" w:tplc="C7C09EB8" w:tentative="1">
      <w:start w:val="1"/>
      <w:numFmt w:val="bullet"/>
      <w:lvlText w:val="•"/>
      <w:lvlJc w:val="left"/>
      <w:pPr>
        <w:tabs>
          <w:tab w:val="num" w:pos="1440"/>
        </w:tabs>
        <w:ind w:left="1440" w:hanging="360"/>
      </w:pPr>
      <w:rPr>
        <w:rFonts w:ascii="Times New Roman" w:hAnsi="Times New Roman" w:hint="default"/>
      </w:rPr>
    </w:lvl>
    <w:lvl w:ilvl="2" w:tplc="77044B8C" w:tentative="1">
      <w:start w:val="1"/>
      <w:numFmt w:val="bullet"/>
      <w:lvlText w:val="•"/>
      <w:lvlJc w:val="left"/>
      <w:pPr>
        <w:tabs>
          <w:tab w:val="num" w:pos="2160"/>
        </w:tabs>
        <w:ind w:left="2160" w:hanging="360"/>
      </w:pPr>
      <w:rPr>
        <w:rFonts w:ascii="Times New Roman" w:hAnsi="Times New Roman" w:hint="default"/>
      </w:rPr>
    </w:lvl>
    <w:lvl w:ilvl="3" w:tplc="C3E23B5C" w:tentative="1">
      <w:start w:val="1"/>
      <w:numFmt w:val="bullet"/>
      <w:lvlText w:val="•"/>
      <w:lvlJc w:val="left"/>
      <w:pPr>
        <w:tabs>
          <w:tab w:val="num" w:pos="2880"/>
        </w:tabs>
        <w:ind w:left="2880" w:hanging="360"/>
      </w:pPr>
      <w:rPr>
        <w:rFonts w:ascii="Times New Roman" w:hAnsi="Times New Roman" w:hint="default"/>
      </w:rPr>
    </w:lvl>
    <w:lvl w:ilvl="4" w:tplc="C81ED0DE" w:tentative="1">
      <w:start w:val="1"/>
      <w:numFmt w:val="bullet"/>
      <w:lvlText w:val="•"/>
      <w:lvlJc w:val="left"/>
      <w:pPr>
        <w:tabs>
          <w:tab w:val="num" w:pos="3600"/>
        </w:tabs>
        <w:ind w:left="3600" w:hanging="360"/>
      </w:pPr>
      <w:rPr>
        <w:rFonts w:ascii="Times New Roman" w:hAnsi="Times New Roman" w:hint="default"/>
      </w:rPr>
    </w:lvl>
    <w:lvl w:ilvl="5" w:tplc="5AB09126" w:tentative="1">
      <w:start w:val="1"/>
      <w:numFmt w:val="bullet"/>
      <w:lvlText w:val="•"/>
      <w:lvlJc w:val="left"/>
      <w:pPr>
        <w:tabs>
          <w:tab w:val="num" w:pos="4320"/>
        </w:tabs>
        <w:ind w:left="4320" w:hanging="360"/>
      </w:pPr>
      <w:rPr>
        <w:rFonts w:ascii="Times New Roman" w:hAnsi="Times New Roman" w:hint="default"/>
      </w:rPr>
    </w:lvl>
    <w:lvl w:ilvl="6" w:tplc="E8127D92" w:tentative="1">
      <w:start w:val="1"/>
      <w:numFmt w:val="bullet"/>
      <w:lvlText w:val="•"/>
      <w:lvlJc w:val="left"/>
      <w:pPr>
        <w:tabs>
          <w:tab w:val="num" w:pos="5040"/>
        </w:tabs>
        <w:ind w:left="5040" w:hanging="360"/>
      </w:pPr>
      <w:rPr>
        <w:rFonts w:ascii="Times New Roman" w:hAnsi="Times New Roman" w:hint="default"/>
      </w:rPr>
    </w:lvl>
    <w:lvl w:ilvl="7" w:tplc="C61CA5E6" w:tentative="1">
      <w:start w:val="1"/>
      <w:numFmt w:val="bullet"/>
      <w:lvlText w:val="•"/>
      <w:lvlJc w:val="left"/>
      <w:pPr>
        <w:tabs>
          <w:tab w:val="num" w:pos="5760"/>
        </w:tabs>
        <w:ind w:left="5760" w:hanging="360"/>
      </w:pPr>
      <w:rPr>
        <w:rFonts w:ascii="Times New Roman" w:hAnsi="Times New Roman" w:hint="default"/>
      </w:rPr>
    </w:lvl>
    <w:lvl w:ilvl="8" w:tplc="DC9AA91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7651EE"/>
    <w:multiLevelType w:val="hybridMultilevel"/>
    <w:tmpl w:val="D71E1536"/>
    <w:lvl w:ilvl="0" w:tplc="8752F4F0">
      <w:start w:val="1"/>
      <w:numFmt w:val="bullet"/>
      <w:lvlText w:val=""/>
      <w:lvlJc w:val="left"/>
      <w:pPr>
        <w:tabs>
          <w:tab w:val="num" w:pos="1636"/>
        </w:tabs>
        <w:ind w:left="16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EE4855"/>
    <w:multiLevelType w:val="hybridMultilevel"/>
    <w:tmpl w:val="51EE71A4"/>
    <w:lvl w:ilvl="0" w:tplc="C2C0CE94">
      <w:start w:val="1"/>
      <w:numFmt w:val="bullet"/>
      <w:lvlText w:val=""/>
      <w:lvlJc w:val="left"/>
      <w:pPr>
        <w:ind w:left="361" w:hanging="360"/>
      </w:pPr>
      <w:rPr>
        <w:rFonts w:ascii="Wingdings" w:hAnsi="Wingdings" w:hint="default"/>
        <w:color w:val="000000"/>
        <w:sz w:val="16"/>
      </w:rPr>
    </w:lvl>
    <w:lvl w:ilvl="1" w:tplc="0C090003">
      <w:start w:val="1"/>
      <w:numFmt w:val="bullet"/>
      <w:lvlText w:val="o"/>
      <w:lvlJc w:val="left"/>
      <w:pPr>
        <w:ind w:left="1081" w:hanging="360"/>
      </w:pPr>
      <w:rPr>
        <w:rFonts w:ascii="Courier New" w:hAnsi="Courier New" w:cs="Times New Roman" w:hint="default"/>
      </w:rPr>
    </w:lvl>
    <w:lvl w:ilvl="2" w:tplc="0C090005">
      <w:start w:val="1"/>
      <w:numFmt w:val="bullet"/>
      <w:lvlText w:val=""/>
      <w:lvlJc w:val="left"/>
      <w:pPr>
        <w:ind w:left="1801" w:hanging="360"/>
      </w:pPr>
      <w:rPr>
        <w:rFonts w:ascii="Wingdings" w:hAnsi="Wingdings" w:hint="default"/>
      </w:rPr>
    </w:lvl>
    <w:lvl w:ilvl="3" w:tplc="0C090001">
      <w:start w:val="1"/>
      <w:numFmt w:val="bullet"/>
      <w:lvlText w:val=""/>
      <w:lvlJc w:val="left"/>
      <w:pPr>
        <w:ind w:left="2521" w:hanging="360"/>
      </w:pPr>
      <w:rPr>
        <w:rFonts w:ascii="Symbol" w:hAnsi="Symbol" w:hint="default"/>
      </w:rPr>
    </w:lvl>
    <w:lvl w:ilvl="4" w:tplc="0C090003">
      <w:start w:val="1"/>
      <w:numFmt w:val="bullet"/>
      <w:lvlText w:val="o"/>
      <w:lvlJc w:val="left"/>
      <w:pPr>
        <w:ind w:left="3241" w:hanging="360"/>
      </w:pPr>
      <w:rPr>
        <w:rFonts w:ascii="Courier New" w:hAnsi="Courier New" w:cs="Times New Roman" w:hint="default"/>
      </w:rPr>
    </w:lvl>
    <w:lvl w:ilvl="5" w:tplc="0C090005">
      <w:start w:val="1"/>
      <w:numFmt w:val="bullet"/>
      <w:lvlText w:val=""/>
      <w:lvlJc w:val="left"/>
      <w:pPr>
        <w:ind w:left="3961" w:hanging="360"/>
      </w:pPr>
      <w:rPr>
        <w:rFonts w:ascii="Wingdings" w:hAnsi="Wingdings" w:hint="default"/>
      </w:rPr>
    </w:lvl>
    <w:lvl w:ilvl="6" w:tplc="0C090001">
      <w:start w:val="1"/>
      <w:numFmt w:val="bullet"/>
      <w:lvlText w:val=""/>
      <w:lvlJc w:val="left"/>
      <w:pPr>
        <w:ind w:left="4681" w:hanging="360"/>
      </w:pPr>
      <w:rPr>
        <w:rFonts w:ascii="Symbol" w:hAnsi="Symbol" w:hint="default"/>
      </w:rPr>
    </w:lvl>
    <w:lvl w:ilvl="7" w:tplc="0C090003">
      <w:start w:val="1"/>
      <w:numFmt w:val="bullet"/>
      <w:lvlText w:val="o"/>
      <w:lvlJc w:val="left"/>
      <w:pPr>
        <w:ind w:left="5401" w:hanging="360"/>
      </w:pPr>
      <w:rPr>
        <w:rFonts w:ascii="Courier New" w:hAnsi="Courier New" w:cs="Times New Roman" w:hint="default"/>
      </w:rPr>
    </w:lvl>
    <w:lvl w:ilvl="8" w:tplc="0C090005">
      <w:start w:val="1"/>
      <w:numFmt w:val="bullet"/>
      <w:lvlText w:val=""/>
      <w:lvlJc w:val="left"/>
      <w:pPr>
        <w:ind w:left="6121" w:hanging="360"/>
      </w:pPr>
      <w:rPr>
        <w:rFonts w:ascii="Wingdings" w:hAnsi="Wingdings" w:hint="default"/>
      </w:rPr>
    </w:lvl>
  </w:abstractNum>
  <w:abstractNum w:abstractNumId="6">
    <w:nsid w:val="18C20D17"/>
    <w:multiLevelType w:val="hybridMultilevel"/>
    <w:tmpl w:val="A8B48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DB6938"/>
    <w:multiLevelType w:val="hybridMultilevel"/>
    <w:tmpl w:val="CEBC7E7E"/>
    <w:lvl w:ilvl="0" w:tplc="8752F4F0">
      <w:start w:val="1"/>
      <w:numFmt w:val="bullet"/>
      <w:lvlText w:val=""/>
      <w:lvlJc w:val="left"/>
      <w:pPr>
        <w:tabs>
          <w:tab w:val="num" w:pos="1636"/>
        </w:tabs>
        <w:ind w:left="16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F23009"/>
    <w:multiLevelType w:val="hybridMultilevel"/>
    <w:tmpl w:val="FE44FA3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024248D"/>
    <w:multiLevelType w:val="hybridMultilevel"/>
    <w:tmpl w:val="BA68CB1E"/>
    <w:lvl w:ilvl="0" w:tplc="8752F4F0">
      <w:start w:val="1"/>
      <w:numFmt w:val="bullet"/>
      <w:lvlText w:val=""/>
      <w:lvlJc w:val="left"/>
      <w:pPr>
        <w:ind w:left="720" w:hanging="360"/>
      </w:pPr>
      <w:rPr>
        <w:rFonts w:ascii="Symbol" w:hAnsi="Symbol" w:hint="default"/>
      </w:rPr>
    </w:lvl>
    <w:lvl w:ilvl="1" w:tplc="8752F4F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425626"/>
    <w:multiLevelType w:val="hybridMultilevel"/>
    <w:tmpl w:val="67049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7AF6B2F"/>
    <w:multiLevelType w:val="hybridMultilevel"/>
    <w:tmpl w:val="D6A87950"/>
    <w:lvl w:ilvl="0" w:tplc="0C090015">
      <w:start w:val="1"/>
      <w:numFmt w:val="upp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EF03C01"/>
    <w:multiLevelType w:val="hybridMultilevel"/>
    <w:tmpl w:val="765AE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E369D6"/>
    <w:multiLevelType w:val="hybridMultilevel"/>
    <w:tmpl w:val="E5D22DAC"/>
    <w:lvl w:ilvl="0" w:tplc="4E10520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DD41385"/>
    <w:multiLevelType w:val="hybridMultilevel"/>
    <w:tmpl w:val="1542EBF8"/>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5">
    <w:nsid w:val="4E7070AB"/>
    <w:multiLevelType w:val="hybridMultilevel"/>
    <w:tmpl w:val="3F96BDB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nsid w:val="5861544E"/>
    <w:multiLevelType w:val="hybridMultilevel"/>
    <w:tmpl w:val="F2589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122625"/>
    <w:multiLevelType w:val="hybridMultilevel"/>
    <w:tmpl w:val="3C46D8EE"/>
    <w:lvl w:ilvl="0" w:tplc="8752F4F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AF646F"/>
    <w:multiLevelType w:val="hybridMultilevel"/>
    <w:tmpl w:val="62B05484"/>
    <w:lvl w:ilvl="0" w:tplc="4E10520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9732C17"/>
    <w:multiLevelType w:val="hybridMultilevel"/>
    <w:tmpl w:val="70F4BF76"/>
    <w:lvl w:ilvl="0" w:tplc="8752F4F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F531074"/>
    <w:multiLevelType w:val="hybridMultilevel"/>
    <w:tmpl w:val="F03268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71907DE8"/>
    <w:multiLevelType w:val="hybridMultilevel"/>
    <w:tmpl w:val="EC38CF8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73892354"/>
    <w:multiLevelType w:val="hybridMultilevel"/>
    <w:tmpl w:val="F5A082D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4041AC8"/>
    <w:multiLevelType w:val="hybridMultilevel"/>
    <w:tmpl w:val="4DC863D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5E35548"/>
    <w:multiLevelType w:val="hybridMultilevel"/>
    <w:tmpl w:val="43F43DF8"/>
    <w:lvl w:ilvl="0" w:tplc="A70C1AEC">
      <w:start w:val="3"/>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ACE142E"/>
    <w:multiLevelType w:val="hybridMultilevel"/>
    <w:tmpl w:val="A10CEC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D8A6BD9"/>
    <w:multiLevelType w:val="hybridMultilevel"/>
    <w:tmpl w:val="868C5374"/>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abstractNumId w:val="11"/>
  </w:num>
  <w:num w:numId="2">
    <w:abstractNumId w:val="26"/>
  </w:num>
  <w:num w:numId="3">
    <w:abstractNumId w:val="3"/>
  </w:num>
  <w:num w:numId="4">
    <w:abstractNumId w:val="4"/>
  </w:num>
  <w:num w:numId="5">
    <w:abstractNumId w:val="7"/>
  </w:num>
  <w:num w:numId="6">
    <w:abstractNumId w:val="10"/>
  </w:num>
  <w:num w:numId="7">
    <w:abstractNumId w:val="8"/>
  </w:num>
  <w:num w:numId="8">
    <w:abstractNumId w:val="23"/>
  </w:num>
  <w:num w:numId="9">
    <w:abstractNumId w:val="22"/>
  </w:num>
  <w:num w:numId="10">
    <w:abstractNumId w:val="21"/>
  </w:num>
  <w:num w:numId="11">
    <w:abstractNumId w:val="18"/>
  </w:num>
  <w:num w:numId="12">
    <w:abstractNumId w:val="13"/>
  </w:num>
  <w:num w:numId="13">
    <w:abstractNumId w:val="15"/>
  </w:num>
  <w:num w:numId="14">
    <w:abstractNumId w:val="5"/>
  </w:num>
  <w:num w:numId="15">
    <w:abstractNumId w:val="5"/>
  </w:num>
  <w:num w:numId="16">
    <w:abstractNumId w:val="16"/>
  </w:num>
  <w:num w:numId="17">
    <w:abstractNumId w:val="1"/>
  </w:num>
  <w:num w:numId="18">
    <w:abstractNumId w:val="1"/>
  </w:num>
  <w:num w:numId="19">
    <w:abstractNumId w:val="14"/>
  </w:num>
  <w:num w:numId="20">
    <w:abstractNumId w:val="12"/>
  </w:num>
  <w:num w:numId="21">
    <w:abstractNumId w:val="0"/>
  </w:num>
  <w:num w:numId="22">
    <w:abstractNumId w:val="24"/>
  </w:num>
  <w:num w:numId="23">
    <w:abstractNumId w:val="6"/>
  </w:num>
  <w:num w:numId="24">
    <w:abstractNumId w:val="25"/>
  </w:num>
  <w:num w:numId="25">
    <w:abstractNumId w:val="2"/>
  </w:num>
  <w:num w:numId="26">
    <w:abstractNumId w:val="19"/>
  </w:num>
  <w:num w:numId="27">
    <w:abstractNumId w:val="17"/>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93"/>
    <w:rsid w:val="00006853"/>
    <w:rsid w:val="00007AB7"/>
    <w:rsid w:val="00013D41"/>
    <w:rsid w:val="000205C7"/>
    <w:rsid w:val="00027D6A"/>
    <w:rsid w:val="0004047C"/>
    <w:rsid w:val="00040C68"/>
    <w:rsid w:val="00061E1C"/>
    <w:rsid w:val="00063BFB"/>
    <w:rsid w:val="00064AF6"/>
    <w:rsid w:val="0007363D"/>
    <w:rsid w:val="0008577C"/>
    <w:rsid w:val="000925D6"/>
    <w:rsid w:val="000932DA"/>
    <w:rsid w:val="00095234"/>
    <w:rsid w:val="000B2667"/>
    <w:rsid w:val="000B29FC"/>
    <w:rsid w:val="000B57EA"/>
    <w:rsid w:val="000C05D8"/>
    <w:rsid w:val="000C200D"/>
    <w:rsid w:val="000C3D90"/>
    <w:rsid w:val="000C5EF9"/>
    <w:rsid w:val="000D030D"/>
    <w:rsid w:val="000E5066"/>
    <w:rsid w:val="000E5AA5"/>
    <w:rsid w:val="000E79DD"/>
    <w:rsid w:val="000E7EF6"/>
    <w:rsid w:val="000F182E"/>
    <w:rsid w:val="000F7020"/>
    <w:rsid w:val="00104A31"/>
    <w:rsid w:val="00104FC3"/>
    <w:rsid w:val="001132BD"/>
    <w:rsid w:val="00115D21"/>
    <w:rsid w:val="00134127"/>
    <w:rsid w:val="00135613"/>
    <w:rsid w:val="00144073"/>
    <w:rsid w:val="0014685D"/>
    <w:rsid w:val="00147461"/>
    <w:rsid w:val="001521BA"/>
    <w:rsid w:val="00175901"/>
    <w:rsid w:val="00185466"/>
    <w:rsid w:val="001900F6"/>
    <w:rsid w:val="00195B77"/>
    <w:rsid w:val="001972F7"/>
    <w:rsid w:val="001B4ADD"/>
    <w:rsid w:val="001B4FEE"/>
    <w:rsid w:val="001C1B73"/>
    <w:rsid w:val="001E3C49"/>
    <w:rsid w:val="001E47D2"/>
    <w:rsid w:val="001E5DB3"/>
    <w:rsid w:val="001F2DDA"/>
    <w:rsid w:val="001F3324"/>
    <w:rsid w:val="00200B3C"/>
    <w:rsid w:val="00205FE9"/>
    <w:rsid w:val="00212BF3"/>
    <w:rsid w:val="00220B37"/>
    <w:rsid w:val="00222E05"/>
    <w:rsid w:val="002249F1"/>
    <w:rsid w:val="00231570"/>
    <w:rsid w:val="0023727F"/>
    <w:rsid w:val="002372AE"/>
    <w:rsid w:val="00243E55"/>
    <w:rsid w:val="002503F1"/>
    <w:rsid w:val="002507A6"/>
    <w:rsid w:val="00256F1E"/>
    <w:rsid w:val="00263116"/>
    <w:rsid w:val="0026440B"/>
    <w:rsid w:val="002723AD"/>
    <w:rsid w:val="00272599"/>
    <w:rsid w:val="00276963"/>
    <w:rsid w:val="00280F66"/>
    <w:rsid w:val="0028221E"/>
    <w:rsid w:val="0028291A"/>
    <w:rsid w:val="00282A2E"/>
    <w:rsid w:val="002854D6"/>
    <w:rsid w:val="0028677B"/>
    <w:rsid w:val="002936F1"/>
    <w:rsid w:val="00294C94"/>
    <w:rsid w:val="002B4B84"/>
    <w:rsid w:val="002B675D"/>
    <w:rsid w:val="002C0578"/>
    <w:rsid w:val="002C33CB"/>
    <w:rsid w:val="002C56CA"/>
    <w:rsid w:val="002D0D32"/>
    <w:rsid w:val="002D3A91"/>
    <w:rsid w:val="002D3B4A"/>
    <w:rsid w:val="002D4583"/>
    <w:rsid w:val="002E2E79"/>
    <w:rsid w:val="002E5A53"/>
    <w:rsid w:val="002E78A3"/>
    <w:rsid w:val="002F20F4"/>
    <w:rsid w:val="002F650F"/>
    <w:rsid w:val="002F76F1"/>
    <w:rsid w:val="00300F19"/>
    <w:rsid w:val="003031E7"/>
    <w:rsid w:val="003038C9"/>
    <w:rsid w:val="003145D7"/>
    <w:rsid w:val="00315FC4"/>
    <w:rsid w:val="00325055"/>
    <w:rsid w:val="003272DF"/>
    <w:rsid w:val="00332498"/>
    <w:rsid w:val="0033375A"/>
    <w:rsid w:val="003372CC"/>
    <w:rsid w:val="00340304"/>
    <w:rsid w:val="00341039"/>
    <w:rsid w:val="00341E63"/>
    <w:rsid w:val="00343CB3"/>
    <w:rsid w:val="00365F04"/>
    <w:rsid w:val="00373826"/>
    <w:rsid w:val="00390E1A"/>
    <w:rsid w:val="003A22D8"/>
    <w:rsid w:val="003A3B46"/>
    <w:rsid w:val="003B0A61"/>
    <w:rsid w:val="003B5B18"/>
    <w:rsid w:val="003B617E"/>
    <w:rsid w:val="003D1053"/>
    <w:rsid w:val="003D330B"/>
    <w:rsid w:val="003D3369"/>
    <w:rsid w:val="003E1A3F"/>
    <w:rsid w:val="003E4C3F"/>
    <w:rsid w:val="003F11C0"/>
    <w:rsid w:val="003F6594"/>
    <w:rsid w:val="00401FC8"/>
    <w:rsid w:val="00414677"/>
    <w:rsid w:val="00416C9F"/>
    <w:rsid w:val="00422E1C"/>
    <w:rsid w:val="00427DC3"/>
    <w:rsid w:val="00433753"/>
    <w:rsid w:val="004338F0"/>
    <w:rsid w:val="0044166A"/>
    <w:rsid w:val="00444A4F"/>
    <w:rsid w:val="004561B2"/>
    <w:rsid w:val="00460CF3"/>
    <w:rsid w:val="00462072"/>
    <w:rsid w:val="00463BDC"/>
    <w:rsid w:val="00464F8B"/>
    <w:rsid w:val="004725F7"/>
    <w:rsid w:val="004750E4"/>
    <w:rsid w:val="00480BF3"/>
    <w:rsid w:val="00490909"/>
    <w:rsid w:val="004948CA"/>
    <w:rsid w:val="004A2FCC"/>
    <w:rsid w:val="004B0908"/>
    <w:rsid w:val="004B3EB7"/>
    <w:rsid w:val="004B716D"/>
    <w:rsid w:val="004C58E0"/>
    <w:rsid w:val="004C6616"/>
    <w:rsid w:val="004C7A32"/>
    <w:rsid w:val="004D4F67"/>
    <w:rsid w:val="004E2792"/>
    <w:rsid w:val="004E41FD"/>
    <w:rsid w:val="0050437E"/>
    <w:rsid w:val="005047B9"/>
    <w:rsid w:val="00504C9F"/>
    <w:rsid w:val="00516B7D"/>
    <w:rsid w:val="00522D57"/>
    <w:rsid w:val="00524F1A"/>
    <w:rsid w:val="00535D35"/>
    <w:rsid w:val="005643CA"/>
    <w:rsid w:val="00565D92"/>
    <w:rsid w:val="00581EFE"/>
    <w:rsid w:val="005855F2"/>
    <w:rsid w:val="00594793"/>
    <w:rsid w:val="00597DE6"/>
    <w:rsid w:val="005C240B"/>
    <w:rsid w:val="005C6646"/>
    <w:rsid w:val="005D56BB"/>
    <w:rsid w:val="005E06DF"/>
    <w:rsid w:val="005E23FA"/>
    <w:rsid w:val="005E59B0"/>
    <w:rsid w:val="005F1757"/>
    <w:rsid w:val="005F6D1B"/>
    <w:rsid w:val="00620789"/>
    <w:rsid w:val="00632DA0"/>
    <w:rsid w:val="00632DEC"/>
    <w:rsid w:val="00641D9A"/>
    <w:rsid w:val="00646045"/>
    <w:rsid w:val="00647599"/>
    <w:rsid w:val="00656928"/>
    <w:rsid w:val="006648AF"/>
    <w:rsid w:val="006739DE"/>
    <w:rsid w:val="00675046"/>
    <w:rsid w:val="00677530"/>
    <w:rsid w:val="00677E02"/>
    <w:rsid w:val="006818B6"/>
    <w:rsid w:val="00687D06"/>
    <w:rsid w:val="00690ACE"/>
    <w:rsid w:val="00694F9A"/>
    <w:rsid w:val="006A1993"/>
    <w:rsid w:val="006B1DB8"/>
    <w:rsid w:val="006B3E8D"/>
    <w:rsid w:val="006B6CBC"/>
    <w:rsid w:val="006C1649"/>
    <w:rsid w:val="006C70F9"/>
    <w:rsid w:val="006C71F5"/>
    <w:rsid w:val="006D2B49"/>
    <w:rsid w:val="006E20E3"/>
    <w:rsid w:val="006E4991"/>
    <w:rsid w:val="006E6968"/>
    <w:rsid w:val="007056DE"/>
    <w:rsid w:val="007134B5"/>
    <w:rsid w:val="00715863"/>
    <w:rsid w:val="00715D97"/>
    <w:rsid w:val="00730E31"/>
    <w:rsid w:val="00733509"/>
    <w:rsid w:val="0073442D"/>
    <w:rsid w:val="00745BBE"/>
    <w:rsid w:val="00752D7D"/>
    <w:rsid w:val="00762DA5"/>
    <w:rsid w:val="00763944"/>
    <w:rsid w:val="007640EC"/>
    <w:rsid w:val="007710D6"/>
    <w:rsid w:val="00776ECF"/>
    <w:rsid w:val="00780B0D"/>
    <w:rsid w:val="007918FD"/>
    <w:rsid w:val="007A2FD5"/>
    <w:rsid w:val="007A5368"/>
    <w:rsid w:val="007B17D1"/>
    <w:rsid w:val="007C2F62"/>
    <w:rsid w:val="007C4040"/>
    <w:rsid w:val="007C5E78"/>
    <w:rsid w:val="007D6913"/>
    <w:rsid w:val="007E0C53"/>
    <w:rsid w:val="007F3CB4"/>
    <w:rsid w:val="007F7493"/>
    <w:rsid w:val="00801DAB"/>
    <w:rsid w:val="00806C96"/>
    <w:rsid w:val="008078EA"/>
    <w:rsid w:val="00817FD4"/>
    <w:rsid w:val="008209E6"/>
    <w:rsid w:val="0082144E"/>
    <w:rsid w:val="00844F31"/>
    <w:rsid w:val="00846F70"/>
    <w:rsid w:val="00851450"/>
    <w:rsid w:val="00852D6F"/>
    <w:rsid w:val="00852DCF"/>
    <w:rsid w:val="0085380B"/>
    <w:rsid w:val="00863EF6"/>
    <w:rsid w:val="008640B2"/>
    <w:rsid w:val="008715FD"/>
    <w:rsid w:val="008727DC"/>
    <w:rsid w:val="0087345D"/>
    <w:rsid w:val="00881052"/>
    <w:rsid w:val="008839C7"/>
    <w:rsid w:val="00885AE7"/>
    <w:rsid w:val="00892B5A"/>
    <w:rsid w:val="008A3D87"/>
    <w:rsid w:val="008B3A03"/>
    <w:rsid w:val="008B4819"/>
    <w:rsid w:val="008E0B2D"/>
    <w:rsid w:val="008E3ACA"/>
    <w:rsid w:val="008F1717"/>
    <w:rsid w:val="008F588B"/>
    <w:rsid w:val="008F5E63"/>
    <w:rsid w:val="008F7B95"/>
    <w:rsid w:val="00902870"/>
    <w:rsid w:val="009167D2"/>
    <w:rsid w:val="0091773A"/>
    <w:rsid w:val="00926255"/>
    <w:rsid w:val="00951CE5"/>
    <w:rsid w:val="009710BF"/>
    <w:rsid w:val="00976A83"/>
    <w:rsid w:val="009861F1"/>
    <w:rsid w:val="00994252"/>
    <w:rsid w:val="00996917"/>
    <w:rsid w:val="009A1565"/>
    <w:rsid w:val="009C0185"/>
    <w:rsid w:val="009C18D6"/>
    <w:rsid w:val="009C6B96"/>
    <w:rsid w:val="009D29C5"/>
    <w:rsid w:val="009E7950"/>
    <w:rsid w:val="009F66F2"/>
    <w:rsid w:val="00A01CCB"/>
    <w:rsid w:val="00A072D8"/>
    <w:rsid w:val="00A12DBD"/>
    <w:rsid w:val="00A3405D"/>
    <w:rsid w:val="00A342BA"/>
    <w:rsid w:val="00A35ABE"/>
    <w:rsid w:val="00A436DA"/>
    <w:rsid w:val="00A44CFE"/>
    <w:rsid w:val="00A665BB"/>
    <w:rsid w:val="00A7451C"/>
    <w:rsid w:val="00A854FF"/>
    <w:rsid w:val="00A859E3"/>
    <w:rsid w:val="00A92846"/>
    <w:rsid w:val="00AA105D"/>
    <w:rsid w:val="00AA7C78"/>
    <w:rsid w:val="00AB2F1A"/>
    <w:rsid w:val="00AB64FF"/>
    <w:rsid w:val="00AB7E29"/>
    <w:rsid w:val="00AC338D"/>
    <w:rsid w:val="00AD06CB"/>
    <w:rsid w:val="00AD55B0"/>
    <w:rsid w:val="00AE30DA"/>
    <w:rsid w:val="00AF78F1"/>
    <w:rsid w:val="00B04A92"/>
    <w:rsid w:val="00B054A6"/>
    <w:rsid w:val="00B06413"/>
    <w:rsid w:val="00B12C9F"/>
    <w:rsid w:val="00B133F3"/>
    <w:rsid w:val="00B23A7F"/>
    <w:rsid w:val="00B26767"/>
    <w:rsid w:val="00B27A07"/>
    <w:rsid w:val="00B33138"/>
    <w:rsid w:val="00B33FC7"/>
    <w:rsid w:val="00B44308"/>
    <w:rsid w:val="00B50E87"/>
    <w:rsid w:val="00B641C3"/>
    <w:rsid w:val="00B661F2"/>
    <w:rsid w:val="00B76799"/>
    <w:rsid w:val="00B82C98"/>
    <w:rsid w:val="00B83A96"/>
    <w:rsid w:val="00B84CA1"/>
    <w:rsid w:val="00B8556B"/>
    <w:rsid w:val="00B86147"/>
    <w:rsid w:val="00B939D8"/>
    <w:rsid w:val="00B97533"/>
    <w:rsid w:val="00BA3638"/>
    <w:rsid w:val="00BB009C"/>
    <w:rsid w:val="00BB6567"/>
    <w:rsid w:val="00BC1277"/>
    <w:rsid w:val="00BD5583"/>
    <w:rsid w:val="00BE40FD"/>
    <w:rsid w:val="00BF5ADD"/>
    <w:rsid w:val="00C0175D"/>
    <w:rsid w:val="00C02D24"/>
    <w:rsid w:val="00C04243"/>
    <w:rsid w:val="00C15221"/>
    <w:rsid w:val="00C34C2D"/>
    <w:rsid w:val="00C36B27"/>
    <w:rsid w:val="00C4306D"/>
    <w:rsid w:val="00C43B42"/>
    <w:rsid w:val="00C442B1"/>
    <w:rsid w:val="00C45BA3"/>
    <w:rsid w:val="00C47580"/>
    <w:rsid w:val="00C51600"/>
    <w:rsid w:val="00C55DFF"/>
    <w:rsid w:val="00C644DE"/>
    <w:rsid w:val="00C65C16"/>
    <w:rsid w:val="00C7777B"/>
    <w:rsid w:val="00C77A00"/>
    <w:rsid w:val="00C83DF5"/>
    <w:rsid w:val="00C900BB"/>
    <w:rsid w:val="00CA035C"/>
    <w:rsid w:val="00CA0AE4"/>
    <w:rsid w:val="00CA1D89"/>
    <w:rsid w:val="00CA484E"/>
    <w:rsid w:val="00CA6C1A"/>
    <w:rsid w:val="00CC290D"/>
    <w:rsid w:val="00CC4D0D"/>
    <w:rsid w:val="00CD27B8"/>
    <w:rsid w:val="00CE2CDC"/>
    <w:rsid w:val="00CE7E2D"/>
    <w:rsid w:val="00CF5461"/>
    <w:rsid w:val="00D04514"/>
    <w:rsid w:val="00D04C3A"/>
    <w:rsid w:val="00D21D83"/>
    <w:rsid w:val="00D25F3B"/>
    <w:rsid w:val="00D31BD5"/>
    <w:rsid w:val="00D36332"/>
    <w:rsid w:val="00D3790C"/>
    <w:rsid w:val="00D424FD"/>
    <w:rsid w:val="00D43DFA"/>
    <w:rsid w:val="00D452BA"/>
    <w:rsid w:val="00D72D61"/>
    <w:rsid w:val="00D74B6E"/>
    <w:rsid w:val="00D856B2"/>
    <w:rsid w:val="00D94512"/>
    <w:rsid w:val="00DA115B"/>
    <w:rsid w:val="00DB115C"/>
    <w:rsid w:val="00DB6CEE"/>
    <w:rsid w:val="00DB73DD"/>
    <w:rsid w:val="00DB7919"/>
    <w:rsid w:val="00DC14BA"/>
    <w:rsid w:val="00DC5F79"/>
    <w:rsid w:val="00DD1863"/>
    <w:rsid w:val="00DD3F05"/>
    <w:rsid w:val="00DD3F15"/>
    <w:rsid w:val="00DD6670"/>
    <w:rsid w:val="00DD7305"/>
    <w:rsid w:val="00DF1070"/>
    <w:rsid w:val="00DF74AD"/>
    <w:rsid w:val="00E01758"/>
    <w:rsid w:val="00E01D08"/>
    <w:rsid w:val="00E020D5"/>
    <w:rsid w:val="00E104E9"/>
    <w:rsid w:val="00E234E8"/>
    <w:rsid w:val="00E275D4"/>
    <w:rsid w:val="00E303AD"/>
    <w:rsid w:val="00E32D71"/>
    <w:rsid w:val="00E34676"/>
    <w:rsid w:val="00E36089"/>
    <w:rsid w:val="00E43230"/>
    <w:rsid w:val="00E541B6"/>
    <w:rsid w:val="00E55F73"/>
    <w:rsid w:val="00E56B9E"/>
    <w:rsid w:val="00E800FD"/>
    <w:rsid w:val="00E84E8F"/>
    <w:rsid w:val="00E876EF"/>
    <w:rsid w:val="00EA52F5"/>
    <w:rsid w:val="00EA5E99"/>
    <w:rsid w:val="00EC20FD"/>
    <w:rsid w:val="00EC3376"/>
    <w:rsid w:val="00EC42B5"/>
    <w:rsid w:val="00ED4AB7"/>
    <w:rsid w:val="00EF3CDE"/>
    <w:rsid w:val="00F00701"/>
    <w:rsid w:val="00F00DBC"/>
    <w:rsid w:val="00F03B66"/>
    <w:rsid w:val="00F0420F"/>
    <w:rsid w:val="00F0623E"/>
    <w:rsid w:val="00F0797B"/>
    <w:rsid w:val="00F10295"/>
    <w:rsid w:val="00F12D01"/>
    <w:rsid w:val="00F21410"/>
    <w:rsid w:val="00F25FD0"/>
    <w:rsid w:val="00F33462"/>
    <w:rsid w:val="00F422F7"/>
    <w:rsid w:val="00F4286D"/>
    <w:rsid w:val="00F51A38"/>
    <w:rsid w:val="00F53AE3"/>
    <w:rsid w:val="00F60164"/>
    <w:rsid w:val="00F60C8D"/>
    <w:rsid w:val="00F61D42"/>
    <w:rsid w:val="00F6604D"/>
    <w:rsid w:val="00F66B52"/>
    <w:rsid w:val="00F741EA"/>
    <w:rsid w:val="00F760DE"/>
    <w:rsid w:val="00F76B12"/>
    <w:rsid w:val="00F93EF5"/>
    <w:rsid w:val="00FA46DC"/>
    <w:rsid w:val="00FA6EEB"/>
    <w:rsid w:val="00FB6F0A"/>
    <w:rsid w:val="00FC0031"/>
    <w:rsid w:val="00FD3F64"/>
    <w:rsid w:val="00FD565A"/>
    <w:rsid w:val="00FD6C7C"/>
    <w:rsid w:val="00FE0185"/>
    <w:rsid w:val="00FE27B0"/>
    <w:rsid w:val="00FE342B"/>
    <w:rsid w:val="00FF1F59"/>
    <w:rsid w:val="00FF32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B0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93"/>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8EA"/>
    <w:pPr>
      <w:tabs>
        <w:tab w:val="center" w:pos="4513"/>
        <w:tab w:val="right" w:pos="9026"/>
      </w:tabs>
    </w:pPr>
  </w:style>
  <w:style w:type="character" w:customStyle="1" w:styleId="HeaderChar">
    <w:name w:val="Header Char"/>
    <w:link w:val="Header"/>
    <w:uiPriority w:val="99"/>
    <w:rsid w:val="008078EA"/>
    <w:rPr>
      <w:rFonts w:ascii="Cambria" w:eastAsia="Cambria" w:hAnsi="Cambria"/>
      <w:sz w:val="24"/>
      <w:szCs w:val="24"/>
      <w:lang w:eastAsia="en-US"/>
    </w:rPr>
  </w:style>
  <w:style w:type="paragraph" w:styleId="Footer">
    <w:name w:val="footer"/>
    <w:basedOn w:val="Normal"/>
    <w:link w:val="FooterChar"/>
    <w:uiPriority w:val="99"/>
    <w:unhideWhenUsed/>
    <w:rsid w:val="008078EA"/>
    <w:pPr>
      <w:tabs>
        <w:tab w:val="center" w:pos="4513"/>
        <w:tab w:val="right" w:pos="9026"/>
      </w:tabs>
    </w:pPr>
  </w:style>
  <w:style w:type="character" w:customStyle="1" w:styleId="FooterChar">
    <w:name w:val="Footer Char"/>
    <w:link w:val="Footer"/>
    <w:uiPriority w:val="99"/>
    <w:rsid w:val="008078EA"/>
    <w:rPr>
      <w:rFonts w:ascii="Cambria" w:eastAsia="Cambria" w:hAnsi="Cambria"/>
      <w:sz w:val="24"/>
      <w:szCs w:val="24"/>
      <w:lang w:eastAsia="en-US"/>
    </w:rPr>
  </w:style>
  <w:style w:type="table" w:styleId="TableGrid">
    <w:name w:val="Table Grid"/>
    <w:basedOn w:val="TableNormal"/>
    <w:rsid w:val="008078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0175D"/>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0C5EF9"/>
    <w:rPr>
      <w:rFonts w:ascii="Tahoma" w:hAnsi="Tahoma" w:cs="Tahoma"/>
      <w:sz w:val="16"/>
      <w:szCs w:val="16"/>
    </w:rPr>
  </w:style>
  <w:style w:type="character" w:customStyle="1" w:styleId="BalloonTextChar">
    <w:name w:val="Balloon Text Char"/>
    <w:link w:val="BalloonText"/>
    <w:uiPriority w:val="99"/>
    <w:semiHidden/>
    <w:rsid w:val="000C5EF9"/>
    <w:rPr>
      <w:rFonts w:ascii="Tahoma" w:eastAsia="Cambria" w:hAnsi="Tahoma" w:cs="Tahoma"/>
      <w:sz w:val="16"/>
      <w:szCs w:val="16"/>
      <w:lang w:eastAsia="en-US"/>
    </w:rPr>
  </w:style>
  <w:style w:type="paragraph" w:styleId="FootnoteText">
    <w:name w:val="footnote text"/>
    <w:basedOn w:val="Normal"/>
    <w:link w:val="FootnoteTextChar"/>
    <w:uiPriority w:val="99"/>
    <w:unhideWhenUsed/>
    <w:rsid w:val="003B5B18"/>
  </w:style>
  <w:style w:type="character" w:customStyle="1" w:styleId="FootnoteTextChar">
    <w:name w:val="Footnote Text Char"/>
    <w:basedOn w:val="DefaultParagraphFont"/>
    <w:link w:val="FootnoteText"/>
    <w:uiPriority w:val="99"/>
    <w:rsid w:val="003B5B18"/>
    <w:rPr>
      <w:rFonts w:ascii="Cambria" w:eastAsia="Cambria" w:hAnsi="Cambria"/>
      <w:sz w:val="24"/>
      <w:szCs w:val="24"/>
    </w:rPr>
  </w:style>
  <w:style w:type="character" w:styleId="FootnoteReference">
    <w:name w:val="footnote reference"/>
    <w:basedOn w:val="DefaultParagraphFont"/>
    <w:uiPriority w:val="99"/>
    <w:unhideWhenUsed/>
    <w:rsid w:val="003B5B18"/>
    <w:rPr>
      <w:vertAlign w:val="superscript"/>
    </w:rPr>
  </w:style>
  <w:style w:type="character" w:styleId="PageNumber">
    <w:name w:val="page number"/>
    <w:basedOn w:val="DefaultParagraphFont"/>
    <w:uiPriority w:val="99"/>
    <w:semiHidden/>
    <w:unhideWhenUsed/>
    <w:rsid w:val="00780B0D"/>
  </w:style>
  <w:style w:type="character" w:styleId="CommentReference">
    <w:name w:val="annotation reference"/>
    <w:basedOn w:val="DefaultParagraphFont"/>
    <w:uiPriority w:val="99"/>
    <w:semiHidden/>
    <w:unhideWhenUsed/>
    <w:rsid w:val="006C71F5"/>
    <w:rPr>
      <w:sz w:val="16"/>
      <w:szCs w:val="16"/>
    </w:rPr>
  </w:style>
  <w:style w:type="paragraph" w:styleId="CommentText">
    <w:name w:val="annotation text"/>
    <w:basedOn w:val="Normal"/>
    <w:link w:val="CommentTextChar"/>
    <w:uiPriority w:val="99"/>
    <w:semiHidden/>
    <w:unhideWhenUsed/>
    <w:rsid w:val="006C71F5"/>
    <w:rPr>
      <w:sz w:val="20"/>
      <w:szCs w:val="20"/>
    </w:rPr>
  </w:style>
  <w:style w:type="character" w:customStyle="1" w:styleId="CommentTextChar">
    <w:name w:val="Comment Text Char"/>
    <w:basedOn w:val="DefaultParagraphFont"/>
    <w:link w:val="CommentText"/>
    <w:uiPriority w:val="99"/>
    <w:semiHidden/>
    <w:rsid w:val="006C71F5"/>
    <w:rPr>
      <w:rFonts w:ascii="Cambria" w:eastAsia="Cambria" w:hAnsi="Cambria"/>
    </w:rPr>
  </w:style>
  <w:style w:type="paragraph" w:styleId="CommentSubject">
    <w:name w:val="annotation subject"/>
    <w:basedOn w:val="CommentText"/>
    <w:next w:val="CommentText"/>
    <w:link w:val="CommentSubjectChar"/>
    <w:uiPriority w:val="99"/>
    <w:semiHidden/>
    <w:unhideWhenUsed/>
    <w:rsid w:val="006C71F5"/>
    <w:rPr>
      <w:b/>
      <w:bCs/>
    </w:rPr>
  </w:style>
  <w:style w:type="character" w:customStyle="1" w:styleId="CommentSubjectChar">
    <w:name w:val="Comment Subject Char"/>
    <w:basedOn w:val="CommentTextChar"/>
    <w:link w:val="CommentSubject"/>
    <w:uiPriority w:val="99"/>
    <w:semiHidden/>
    <w:rsid w:val="006C71F5"/>
    <w:rPr>
      <w:rFonts w:ascii="Cambria" w:eastAsia="Cambria" w:hAnsi="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93"/>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8EA"/>
    <w:pPr>
      <w:tabs>
        <w:tab w:val="center" w:pos="4513"/>
        <w:tab w:val="right" w:pos="9026"/>
      </w:tabs>
    </w:pPr>
  </w:style>
  <w:style w:type="character" w:customStyle="1" w:styleId="HeaderChar">
    <w:name w:val="Header Char"/>
    <w:link w:val="Header"/>
    <w:uiPriority w:val="99"/>
    <w:rsid w:val="008078EA"/>
    <w:rPr>
      <w:rFonts w:ascii="Cambria" w:eastAsia="Cambria" w:hAnsi="Cambria"/>
      <w:sz w:val="24"/>
      <w:szCs w:val="24"/>
      <w:lang w:eastAsia="en-US"/>
    </w:rPr>
  </w:style>
  <w:style w:type="paragraph" w:styleId="Footer">
    <w:name w:val="footer"/>
    <w:basedOn w:val="Normal"/>
    <w:link w:val="FooterChar"/>
    <w:uiPriority w:val="99"/>
    <w:unhideWhenUsed/>
    <w:rsid w:val="008078EA"/>
    <w:pPr>
      <w:tabs>
        <w:tab w:val="center" w:pos="4513"/>
        <w:tab w:val="right" w:pos="9026"/>
      </w:tabs>
    </w:pPr>
  </w:style>
  <w:style w:type="character" w:customStyle="1" w:styleId="FooterChar">
    <w:name w:val="Footer Char"/>
    <w:link w:val="Footer"/>
    <w:uiPriority w:val="99"/>
    <w:rsid w:val="008078EA"/>
    <w:rPr>
      <w:rFonts w:ascii="Cambria" w:eastAsia="Cambria" w:hAnsi="Cambria"/>
      <w:sz w:val="24"/>
      <w:szCs w:val="24"/>
      <w:lang w:eastAsia="en-US"/>
    </w:rPr>
  </w:style>
  <w:style w:type="table" w:styleId="TableGrid">
    <w:name w:val="Table Grid"/>
    <w:basedOn w:val="TableNormal"/>
    <w:rsid w:val="008078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0175D"/>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0C5EF9"/>
    <w:rPr>
      <w:rFonts w:ascii="Tahoma" w:hAnsi="Tahoma" w:cs="Tahoma"/>
      <w:sz w:val="16"/>
      <w:szCs w:val="16"/>
    </w:rPr>
  </w:style>
  <w:style w:type="character" w:customStyle="1" w:styleId="BalloonTextChar">
    <w:name w:val="Balloon Text Char"/>
    <w:link w:val="BalloonText"/>
    <w:uiPriority w:val="99"/>
    <w:semiHidden/>
    <w:rsid w:val="000C5EF9"/>
    <w:rPr>
      <w:rFonts w:ascii="Tahoma" w:eastAsia="Cambria" w:hAnsi="Tahoma" w:cs="Tahoma"/>
      <w:sz w:val="16"/>
      <w:szCs w:val="16"/>
      <w:lang w:eastAsia="en-US"/>
    </w:rPr>
  </w:style>
  <w:style w:type="paragraph" w:styleId="FootnoteText">
    <w:name w:val="footnote text"/>
    <w:basedOn w:val="Normal"/>
    <w:link w:val="FootnoteTextChar"/>
    <w:uiPriority w:val="99"/>
    <w:unhideWhenUsed/>
    <w:rsid w:val="003B5B18"/>
  </w:style>
  <w:style w:type="character" w:customStyle="1" w:styleId="FootnoteTextChar">
    <w:name w:val="Footnote Text Char"/>
    <w:basedOn w:val="DefaultParagraphFont"/>
    <w:link w:val="FootnoteText"/>
    <w:uiPriority w:val="99"/>
    <w:rsid w:val="003B5B18"/>
    <w:rPr>
      <w:rFonts w:ascii="Cambria" w:eastAsia="Cambria" w:hAnsi="Cambria"/>
      <w:sz w:val="24"/>
      <w:szCs w:val="24"/>
    </w:rPr>
  </w:style>
  <w:style w:type="character" w:styleId="FootnoteReference">
    <w:name w:val="footnote reference"/>
    <w:basedOn w:val="DefaultParagraphFont"/>
    <w:uiPriority w:val="99"/>
    <w:unhideWhenUsed/>
    <w:rsid w:val="003B5B18"/>
    <w:rPr>
      <w:vertAlign w:val="superscript"/>
    </w:rPr>
  </w:style>
  <w:style w:type="character" w:styleId="PageNumber">
    <w:name w:val="page number"/>
    <w:basedOn w:val="DefaultParagraphFont"/>
    <w:uiPriority w:val="99"/>
    <w:semiHidden/>
    <w:unhideWhenUsed/>
    <w:rsid w:val="00780B0D"/>
  </w:style>
  <w:style w:type="character" w:styleId="CommentReference">
    <w:name w:val="annotation reference"/>
    <w:basedOn w:val="DefaultParagraphFont"/>
    <w:uiPriority w:val="99"/>
    <w:semiHidden/>
    <w:unhideWhenUsed/>
    <w:rsid w:val="006C71F5"/>
    <w:rPr>
      <w:sz w:val="16"/>
      <w:szCs w:val="16"/>
    </w:rPr>
  </w:style>
  <w:style w:type="paragraph" w:styleId="CommentText">
    <w:name w:val="annotation text"/>
    <w:basedOn w:val="Normal"/>
    <w:link w:val="CommentTextChar"/>
    <w:uiPriority w:val="99"/>
    <w:semiHidden/>
    <w:unhideWhenUsed/>
    <w:rsid w:val="006C71F5"/>
    <w:rPr>
      <w:sz w:val="20"/>
      <w:szCs w:val="20"/>
    </w:rPr>
  </w:style>
  <w:style w:type="character" w:customStyle="1" w:styleId="CommentTextChar">
    <w:name w:val="Comment Text Char"/>
    <w:basedOn w:val="DefaultParagraphFont"/>
    <w:link w:val="CommentText"/>
    <w:uiPriority w:val="99"/>
    <w:semiHidden/>
    <w:rsid w:val="006C71F5"/>
    <w:rPr>
      <w:rFonts w:ascii="Cambria" w:eastAsia="Cambria" w:hAnsi="Cambria"/>
    </w:rPr>
  </w:style>
  <w:style w:type="paragraph" w:styleId="CommentSubject">
    <w:name w:val="annotation subject"/>
    <w:basedOn w:val="CommentText"/>
    <w:next w:val="CommentText"/>
    <w:link w:val="CommentSubjectChar"/>
    <w:uiPriority w:val="99"/>
    <w:semiHidden/>
    <w:unhideWhenUsed/>
    <w:rsid w:val="006C71F5"/>
    <w:rPr>
      <w:b/>
      <w:bCs/>
    </w:rPr>
  </w:style>
  <w:style w:type="character" w:customStyle="1" w:styleId="CommentSubjectChar">
    <w:name w:val="Comment Subject Char"/>
    <w:basedOn w:val="CommentTextChar"/>
    <w:link w:val="CommentSubject"/>
    <w:uiPriority w:val="99"/>
    <w:semiHidden/>
    <w:rsid w:val="006C71F5"/>
    <w:rPr>
      <w:rFonts w:ascii="Cambria" w:eastAsia="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682">
      <w:bodyDiv w:val="1"/>
      <w:marLeft w:val="0"/>
      <w:marRight w:val="0"/>
      <w:marTop w:val="0"/>
      <w:marBottom w:val="0"/>
      <w:divBdr>
        <w:top w:val="none" w:sz="0" w:space="0" w:color="auto"/>
        <w:left w:val="none" w:sz="0" w:space="0" w:color="auto"/>
        <w:bottom w:val="none" w:sz="0" w:space="0" w:color="auto"/>
        <w:right w:val="none" w:sz="0" w:space="0" w:color="auto"/>
      </w:divBdr>
    </w:div>
    <w:div w:id="153224111">
      <w:bodyDiv w:val="1"/>
      <w:marLeft w:val="0"/>
      <w:marRight w:val="0"/>
      <w:marTop w:val="0"/>
      <w:marBottom w:val="0"/>
      <w:divBdr>
        <w:top w:val="none" w:sz="0" w:space="0" w:color="auto"/>
        <w:left w:val="none" w:sz="0" w:space="0" w:color="auto"/>
        <w:bottom w:val="none" w:sz="0" w:space="0" w:color="auto"/>
        <w:right w:val="none" w:sz="0" w:space="0" w:color="auto"/>
      </w:divBdr>
    </w:div>
    <w:div w:id="189153264">
      <w:bodyDiv w:val="1"/>
      <w:marLeft w:val="0"/>
      <w:marRight w:val="0"/>
      <w:marTop w:val="0"/>
      <w:marBottom w:val="0"/>
      <w:divBdr>
        <w:top w:val="none" w:sz="0" w:space="0" w:color="auto"/>
        <w:left w:val="none" w:sz="0" w:space="0" w:color="auto"/>
        <w:bottom w:val="none" w:sz="0" w:space="0" w:color="auto"/>
        <w:right w:val="none" w:sz="0" w:space="0" w:color="auto"/>
      </w:divBdr>
    </w:div>
    <w:div w:id="405348931">
      <w:bodyDiv w:val="1"/>
      <w:marLeft w:val="0"/>
      <w:marRight w:val="0"/>
      <w:marTop w:val="0"/>
      <w:marBottom w:val="0"/>
      <w:divBdr>
        <w:top w:val="none" w:sz="0" w:space="0" w:color="auto"/>
        <w:left w:val="none" w:sz="0" w:space="0" w:color="auto"/>
        <w:bottom w:val="none" w:sz="0" w:space="0" w:color="auto"/>
        <w:right w:val="none" w:sz="0" w:space="0" w:color="auto"/>
      </w:divBdr>
    </w:div>
    <w:div w:id="1077556430">
      <w:bodyDiv w:val="1"/>
      <w:marLeft w:val="0"/>
      <w:marRight w:val="0"/>
      <w:marTop w:val="0"/>
      <w:marBottom w:val="0"/>
      <w:divBdr>
        <w:top w:val="none" w:sz="0" w:space="0" w:color="auto"/>
        <w:left w:val="none" w:sz="0" w:space="0" w:color="auto"/>
        <w:bottom w:val="none" w:sz="0" w:space="0" w:color="auto"/>
        <w:right w:val="none" w:sz="0" w:space="0" w:color="auto"/>
      </w:divBdr>
    </w:div>
    <w:div w:id="1124423452">
      <w:bodyDiv w:val="1"/>
      <w:marLeft w:val="0"/>
      <w:marRight w:val="0"/>
      <w:marTop w:val="0"/>
      <w:marBottom w:val="0"/>
      <w:divBdr>
        <w:top w:val="none" w:sz="0" w:space="0" w:color="auto"/>
        <w:left w:val="none" w:sz="0" w:space="0" w:color="auto"/>
        <w:bottom w:val="none" w:sz="0" w:space="0" w:color="auto"/>
        <w:right w:val="none" w:sz="0" w:space="0" w:color="auto"/>
      </w:divBdr>
    </w:div>
    <w:div w:id="1303269254">
      <w:bodyDiv w:val="1"/>
      <w:marLeft w:val="0"/>
      <w:marRight w:val="0"/>
      <w:marTop w:val="0"/>
      <w:marBottom w:val="0"/>
      <w:divBdr>
        <w:top w:val="none" w:sz="0" w:space="0" w:color="auto"/>
        <w:left w:val="none" w:sz="0" w:space="0" w:color="auto"/>
        <w:bottom w:val="none" w:sz="0" w:space="0" w:color="auto"/>
        <w:right w:val="none" w:sz="0" w:space="0" w:color="auto"/>
      </w:divBdr>
    </w:div>
    <w:div w:id="1320377351">
      <w:bodyDiv w:val="1"/>
      <w:marLeft w:val="0"/>
      <w:marRight w:val="0"/>
      <w:marTop w:val="0"/>
      <w:marBottom w:val="0"/>
      <w:divBdr>
        <w:top w:val="none" w:sz="0" w:space="0" w:color="auto"/>
        <w:left w:val="none" w:sz="0" w:space="0" w:color="auto"/>
        <w:bottom w:val="none" w:sz="0" w:space="0" w:color="auto"/>
        <w:right w:val="none" w:sz="0" w:space="0" w:color="auto"/>
      </w:divBdr>
    </w:div>
    <w:div w:id="1409771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2017FG-94-5955</_dlc_DocId>
    <TaxCatchAll xmlns="e544e5cc-ab70-42e1-849e-1a0f8bb1f4ef">
      <Value>2</Value>
    </TaxCatchAll>
    <_dlc_DocIdUrl xmlns="e544e5cc-ab70-42e1-849e-1a0f8bb1f4ef">
      <Url>http://tweb/sites/fg/bpd/_layouts/15/DocIdRedir.aspx?ID=2017FG-94-5955</Url>
      <Description>2017FG-94-5955</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8D0E-A859-477D-BBA7-A9EB5A1BCF15}">
  <ds:schemaRefs>
    <ds:schemaRef ds:uri="http://schemas.microsoft.com/office/2006/metadata/properties"/>
    <ds:schemaRef ds:uri="http://schemas.microsoft.com/sharepoint/v3"/>
    <ds:schemaRef ds:uri="e544e5cc-ab70-42e1-849e-1a0f8bb1f4ef"/>
    <ds:schemaRef ds:uri="43a7eba2-7c75-424c-9682-3d9e41d868ee"/>
    <ds:schemaRef ds:uri="http://schemas.microsoft.com/office/infopath/2007/PartnerControls"/>
    <ds:schemaRef ds:uri="http://purl.org/dc/elements/1.1/"/>
    <ds:schemaRef ds:uri="http://schemas.openxmlformats.org/package/2006/metadata/core-properties"/>
    <ds:schemaRef ds:uri="http://schemas.microsoft.com/sharepoint/v4"/>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C707F0A-D086-439F-BD07-9B9A0F78B15E}">
  <ds:schemaRefs>
    <ds:schemaRef ds:uri="http://schemas.microsoft.com/sharepoint/v3/contenttype/forms"/>
  </ds:schemaRefs>
</ds:datastoreItem>
</file>

<file path=customXml/itemProps3.xml><?xml version="1.0" encoding="utf-8"?>
<ds:datastoreItem xmlns:ds="http://schemas.openxmlformats.org/officeDocument/2006/customXml" ds:itemID="{4C3CD81E-FB16-4778-B77A-26E465AFBFDA}">
  <ds:schemaRefs>
    <ds:schemaRef ds:uri="office.server.policy"/>
  </ds:schemaRefs>
</ds:datastoreItem>
</file>

<file path=customXml/itemProps4.xml><?xml version="1.0" encoding="utf-8"?>
<ds:datastoreItem xmlns:ds="http://schemas.openxmlformats.org/officeDocument/2006/customXml" ds:itemID="{92740FED-9AD9-4B0E-BCFF-D96E7727E587}">
  <ds:schemaRefs>
    <ds:schemaRef ds:uri="http://schemas.microsoft.com/sharepoint/events"/>
  </ds:schemaRefs>
</ds:datastoreItem>
</file>

<file path=customXml/itemProps5.xml><?xml version="1.0" encoding="utf-8"?>
<ds:datastoreItem xmlns:ds="http://schemas.openxmlformats.org/officeDocument/2006/customXml" ds:itemID="{3DE5180B-E0C5-4A40-AC02-9A5D48D19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1CA263-25CB-4049-B5CE-1B9E8098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5887</Words>
  <Characters>33561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 Industry Council - 2017-18 Pre-Budget Submission</dc:title>
  <dc:creator>tony</dc:creator>
  <cp:lastModifiedBy>Hansen, Kim</cp:lastModifiedBy>
  <cp:revision>13</cp:revision>
  <cp:lastPrinted>2017-02-02T05:00:00Z</cp:lastPrinted>
  <dcterms:created xsi:type="dcterms:W3CDTF">2017-01-31T22:42:00Z</dcterms:created>
  <dcterms:modified xsi:type="dcterms:W3CDTF">2017-02-14T04:32:00Z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f0c671d4-5171-4865-a6b5-faf1ddece47f</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{f0c671d4-5171-4865-a6b5-faf1ddece47f}</vt:lpwstr>
  </property>
  <property fmtid="{D5CDD505-2E9C-101B-9397-08002B2CF9AE}" pid="9" name="RecordPoint_ActiveItemWebId">
    <vt:lpwstr>{2af1fd9f-9360-4de3-abf2-ccd65f89a90c}</vt:lpwstr>
  </property>
  <property fmtid="{D5CDD505-2E9C-101B-9397-08002B2CF9AE}" pid="10" name="RecordPoint_RecordNumberSubmitted">
    <vt:lpwstr>R0001206038</vt:lpwstr>
  </property>
  <property fmtid="{D5CDD505-2E9C-101B-9397-08002B2CF9AE}" pid="11" name="RecordPoint_SubmissionCompleted">
    <vt:lpwstr>2017-02-08T12:08:46.0835776+11:00</vt:lpwstr>
  </property>
</Properties>
</file>