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B83" w:rsidRDefault="00FC1B83" w:rsidP="00FC1B83">
      <w:pPr>
        <w:pStyle w:val="Title"/>
      </w:pPr>
      <w:bookmarkStart w:id="0" w:name="_GoBack"/>
      <w:bookmarkEnd w:id="0"/>
    </w:p>
    <w:p w:rsidR="00FC1B83" w:rsidRDefault="00FC1B83" w:rsidP="00FC1B83">
      <w:pPr>
        <w:sectPr w:rsidR="00FC1B83" w:rsidSect="00FC1B83">
          <w:headerReference w:type="default" r:id="rId14"/>
          <w:footerReference w:type="default" r:id="rId15"/>
          <w:footerReference w:type="first" r:id="rId16"/>
          <w:pgSz w:w="11906" w:h="16838" w:code="9"/>
          <w:pgMar w:top="1440" w:right="1440" w:bottom="1440" w:left="1440" w:header="1134" w:footer="680" w:gutter="0"/>
          <w:cols w:space="708"/>
          <w:titlePg/>
          <w:docGrid w:linePitch="360"/>
        </w:sectPr>
      </w:pPr>
    </w:p>
    <w:p w:rsidR="00FC1B83" w:rsidRDefault="00FC1B83" w:rsidP="00FC1B83"/>
    <w:p w:rsidR="00FC1B83" w:rsidRDefault="00FC1B83" w:rsidP="00FC1B83"/>
    <w:p w:rsidR="00FC1B83" w:rsidRDefault="00FC1B83" w:rsidP="00FC1B83"/>
    <w:p w:rsidR="00FC1B83" w:rsidRDefault="006D28CB" w:rsidP="00FC1B83">
      <w:r>
        <w:rPr>
          <w:noProof/>
          <w:lang w:eastAsia="en-AU"/>
        </w:rPr>
        <w:drawing>
          <wp:inline distT="0" distB="0" distL="0" distR="0">
            <wp:extent cx="2640429" cy="532130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quered-pattern.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40429" cy="5321300"/>
                    </a:xfrm>
                    <a:prstGeom prst="rect">
                      <a:avLst/>
                    </a:prstGeom>
                  </pic:spPr>
                </pic:pic>
              </a:graphicData>
            </a:graphic>
          </wp:inline>
        </w:drawing>
      </w:r>
    </w:p>
    <w:p w:rsidR="00FC1B83" w:rsidRDefault="00FC1B83" w:rsidP="00FC1B83"/>
    <w:p w:rsidR="00FC1B83" w:rsidRDefault="00FC1B83" w:rsidP="00FC1B83"/>
    <w:p w:rsidR="004A1A17" w:rsidRDefault="004A1A17" w:rsidP="00FC1B83"/>
    <w:p w:rsidR="004A1A17" w:rsidRDefault="004A1A17" w:rsidP="00FC1B83"/>
    <w:p w:rsidR="004A1A17" w:rsidRDefault="004A1A17" w:rsidP="00FC1B83"/>
    <w:p w:rsidR="004A1A17" w:rsidRDefault="004A1A17" w:rsidP="00FC1B83"/>
    <w:p w:rsidR="004A1A17" w:rsidRDefault="004A1A17" w:rsidP="00FC1B83"/>
    <w:p w:rsidR="004A1A17" w:rsidRDefault="004A1A17" w:rsidP="00FC1B83"/>
    <w:p w:rsidR="004A1A17" w:rsidRDefault="004A1A17" w:rsidP="00FC1B83"/>
    <w:p w:rsidR="004A1A17" w:rsidRDefault="004A1A17" w:rsidP="00FC1B83"/>
    <w:p w:rsidR="004A1A17" w:rsidRDefault="004A1A17" w:rsidP="00FC1B83"/>
    <w:p w:rsidR="004A1A17" w:rsidRDefault="004A1A17" w:rsidP="00FC1B83"/>
    <w:p w:rsidR="004A1A17" w:rsidRDefault="004A1A17" w:rsidP="00FC1B83"/>
    <w:p w:rsidR="00FC1B83" w:rsidRDefault="00FC1B83" w:rsidP="00FC1B83"/>
    <w:p w:rsidR="00FC1B83" w:rsidRDefault="00FC1B83" w:rsidP="00FC1B83"/>
    <w:p w:rsidR="006D28CB" w:rsidRDefault="006D28CB" w:rsidP="00FC1B83"/>
    <w:p w:rsidR="006D28CB" w:rsidRDefault="006D28CB" w:rsidP="00FC1B83"/>
    <w:p w:rsidR="006D28CB" w:rsidRDefault="006D28CB" w:rsidP="006D28CB">
      <w:pPr>
        <w:pStyle w:val="Heading1"/>
        <w:jc w:val="right"/>
      </w:pPr>
      <w:bookmarkStart w:id="1" w:name="_Toc441649800"/>
      <w:bookmarkStart w:id="2" w:name="_Toc442868979"/>
    </w:p>
    <w:p w:rsidR="006D28CB" w:rsidRDefault="00F91244" w:rsidP="006D28CB">
      <w:pPr>
        <w:pStyle w:val="Heading1"/>
      </w:pPr>
      <w:sdt>
        <w:sdtPr>
          <w:alias w:val="Category"/>
          <w:tag w:val=""/>
          <w:id w:val="-443771098"/>
          <w:placeholder>
            <w:docPart w:val="A9E5363913BD4021BB6FCA5DC06F2F78"/>
          </w:placeholder>
          <w:dataBinding w:prefixMappings="xmlns:ns0='http://purl.org/dc/elements/1.1/' xmlns:ns1='http://schemas.openxmlformats.org/package/2006/metadata/core-properties' " w:xpath="/ns1:coreProperties[1]/ns1:category[1]" w:storeItemID="{6C3C8BC8-F283-45AE-878A-BAB7291924A1}"/>
          <w:text/>
        </w:sdtPr>
        <w:sdtEndPr/>
        <w:sdtContent>
          <w:r w:rsidR="006D28CB">
            <w:t>Submission</w:t>
          </w:r>
        </w:sdtContent>
      </w:sdt>
      <w:r w:rsidR="006D28CB">
        <w:t xml:space="preserve"> to:</w:t>
      </w:r>
      <w:bookmarkEnd w:id="1"/>
      <w:bookmarkEnd w:id="2"/>
    </w:p>
    <w:p w:rsidR="006D28CB" w:rsidRDefault="00F91244" w:rsidP="006D28CB">
      <w:pPr>
        <w:pStyle w:val="Title"/>
        <w:jc w:val="left"/>
      </w:pPr>
      <w:sdt>
        <w:sdtPr>
          <w:alias w:val="Title"/>
          <w:tag w:val=""/>
          <w:id w:val="-1492241789"/>
          <w:placeholder>
            <w:docPart w:val="1C7A1D1BEF484ECD8BDE0BFD6CF2D6A0"/>
          </w:placeholder>
          <w:dataBinding w:prefixMappings="xmlns:ns0='http://purl.org/dc/elements/1.1/' xmlns:ns1='http://schemas.openxmlformats.org/package/2006/metadata/core-properties' " w:xpath="/ns1:coreProperties[1]/ns0:title[1]" w:storeItemID="{6C3C8BC8-F283-45AE-878A-BAB7291924A1}"/>
          <w:text/>
        </w:sdtPr>
        <w:sdtEndPr/>
        <w:sdtContent>
          <w:r>
            <w:t>Society of Hospital Pharmacists of Australia - 2017-18 Pre-Budget Submission</w:t>
          </w:r>
        </w:sdtContent>
      </w:sdt>
    </w:p>
    <w:p w:rsidR="006D28CB" w:rsidRDefault="006D28CB" w:rsidP="006D28CB"/>
    <w:p w:rsidR="00FC1B83" w:rsidRDefault="00FC1B83" w:rsidP="00FC1B83"/>
    <w:p w:rsidR="00FC1B83" w:rsidRDefault="00FC1B83" w:rsidP="00FC1B83">
      <w:r>
        <w:t>The Society of Hospital Pharmacists of Australia</w:t>
      </w:r>
    </w:p>
    <w:p w:rsidR="00FC1B83" w:rsidRDefault="00FC1B83" w:rsidP="00FC1B83"/>
    <w:p w:rsidR="004A1A17" w:rsidRDefault="004A1A17" w:rsidP="004A1A17">
      <w:pPr>
        <w:pStyle w:val="Heading1"/>
      </w:pPr>
      <w:bookmarkStart w:id="3" w:name="_Toc442868980"/>
    </w:p>
    <w:p w:rsidR="004A1A17" w:rsidRDefault="004A1A17" w:rsidP="004A1A17">
      <w:pPr>
        <w:pStyle w:val="Heading1"/>
      </w:pPr>
    </w:p>
    <w:p w:rsidR="004A1A17" w:rsidRDefault="004A1A17" w:rsidP="004A1A17">
      <w:pPr>
        <w:pStyle w:val="Heading1"/>
      </w:pPr>
    </w:p>
    <w:p w:rsidR="004A1A17" w:rsidRDefault="004A1A17" w:rsidP="004A1A17">
      <w:pPr>
        <w:pStyle w:val="Heading1"/>
      </w:pPr>
    </w:p>
    <w:p w:rsidR="004A1A17" w:rsidRDefault="004A1A17" w:rsidP="004A1A17">
      <w:pPr>
        <w:pStyle w:val="Heading1"/>
      </w:pPr>
    </w:p>
    <w:p w:rsidR="004A1A17" w:rsidRDefault="004A1A17" w:rsidP="004A1A17">
      <w:pPr>
        <w:pStyle w:val="Heading1"/>
      </w:pPr>
    </w:p>
    <w:p w:rsidR="004A1A17" w:rsidRDefault="004A1A17" w:rsidP="004A1A17">
      <w:pPr>
        <w:pStyle w:val="Heading1"/>
      </w:pPr>
      <w:r>
        <w:t>Date</w:t>
      </w:r>
      <w:bookmarkEnd w:id="3"/>
      <w:r w:rsidR="008033E3">
        <w:t xml:space="preserve"> 18 January 2017</w:t>
      </w:r>
    </w:p>
    <w:p w:rsidR="004A1A17" w:rsidRDefault="004A1A17" w:rsidP="004A1A17"/>
    <w:p w:rsidR="004A1A17" w:rsidRDefault="004A1A17" w:rsidP="004A1A17">
      <w:r>
        <w:t>For further information:</w:t>
      </w:r>
    </w:p>
    <w:p w:rsidR="004A1A17" w:rsidRDefault="004A1A17" w:rsidP="00FC1B83"/>
    <w:p w:rsidR="008033E3" w:rsidRDefault="008033E3" w:rsidP="00FC1B83">
      <w:r>
        <w:t>Kristin Michaels</w:t>
      </w:r>
    </w:p>
    <w:p w:rsidR="008033E3" w:rsidRDefault="008033E3" w:rsidP="00FC1B83">
      <w:r>
        <w:t>Chief Executive Officer</w:t>
      </w:r>
    </w:p>
    <w:p w:rsidR="008033E3" w:rsidRDefault="00F91244" w:rsidP="00FC1B83">
      <w:hyperlink r:id="rId18" w:history="1">
        <w:r w:rsidR="008033E3" w:rsidRPr="00044288">
          <w:rPr>
            <w:rStyle w:val="Hyperlink"/>
          </w:rPr>
          <w:t>ceo@shpa.org.au</w:t>
        </w:r>
      </w:hyperlink>
      <w:r w:rsidR="008033E3">
        <w:t xml:space="preserve"> </w:t>
      </w:r>
    </w:p>
    <w:p w:rsidR="00FC1B83" w:rsidRDefault="00FC1B83" w:rsidP="00FC1B83"/>
    <w:p w:rsidR="00FC1B83" w:rsidRDefault="00FC1B83" w:rsidP="00FC1B83">
      <w:pPr>
        <w:spacing w:after="160" w:line="259" w:lineRule="auto"/>
      </w:pPr>
      <w:r>
        <w:br w:type="page"/>
      </w:r>
    </w:p>
    <w:p w:rsidR="00FC1B83" w:rsidRDefault="00FC1B83" w:rsidP="00FC1B83">
      <w:pPr>
        <w:rPr>
          <w:rFonts w:cs="Arial"/>
          <w:sz w:val="17"/>
          <w:szCs w:val="17"/>
        </w:rPr>
        <w:sectPr w:rsidR="00FC1B83" w:rsidSect="008308A9">
          <w:type w:val="continuous"/>
          <w:pgSz w:w="11906" w:h="16838" w:code="9"/>
          <w:pgMar w:top="1440" w:right="1440" w:bottom="1440" w:left="1440" w:header="1134" w:footer="680" w:gutter="0"/>
          <w:cols w:num="2" w:space="708"/>
          <w:titlePg/>
          <w:docGrid w:linePitch="360"/>
        </w:sectPr>
      </w:pPr>
    </w:p>
    <w:p w:rsidR="00FC1B83" w:rsidRDefault="00FC1B83" w:rsidP="00FC1B83">
      <w:pPr>
        <w:rPr>
          <w:rFonts w:cs="Arial"/>
          <w:sz w:val="17"/>
          <w:szCs w:val="17"/>
        </w:rPr>
      </w:pPr>
    </w:p>
    <w:p w:rsidR="008033E3" w:rsidRPr="00AE5908" w:rsidRDefault="008033E3" w:rsidP="008033E3">
      <w:pPr>
        <w:pStyle w:val="Heading1"/>
      </w:pPr>
      <w:r w:rsidRPr="00AE5908">
        <w:t>Introduction</w:t>
      </w:r>
    </w:p>
    <w:p w:rsidR="008033E3" w:rsidRDefault="008033E3" w:rsidP="008033E3">
      <w:pPr>
        <w:rPr>
          <w:rFonts w:cs="Arial"/>
          <w:color w:val="auto"/>
          <w:szCs w:val="22"/>
        </w:rPr>
      </w:pPr>
    </w:p>
    <w:p w:rsidR="008033E3" w:rsidRDefault="008033E3" w:rsidP="008033E3">
      <w:pPr>
        <w:rPr>
          <w:rFonts w:cs="Arial"/>
          <w:color w:val="auto"/>
          <w:szCs w:val="22"/>
        </w:rPr>
      </w:pPr>
      <w:r w:rsidRPr="00AE5908">
        <w:rPr>
          <w:rFonts w:cs="Arial"/>
          <w:color w:val="auto"/>
          <w:szCs w:val="22"/>
        </w:rPr>
        <w:t xml:space="preserve">In order to produce better health outcomes for Australians, and a greater return on Australia’s health budget, </w:t>
      </w:r>
      <w:r>
        <w:rPr>
          <w:rFonts w:cs="Arial"/>
          <w:color w:val="auto"/>
          <w:szCs w:val="22"/>
        </w:rPr>
        <w:t xml:space="preserve">The </w:t>
      </w:r>
      <w:r w:rsidRPr="00AE5908">
        <w:rPr>
          <w:rFonts w:cs="Arial"/>
          <w:color w:val="auto"/>
          <w:szCs w:val="22"/>
        </w:rPr>
        <w:t>S</w:t>
      </w:r>
      <w:r>
        <w:rPr>
          <w:rFonts w:cs="Arial"/>
          <w:color w:val="auto"/>
          <w:szCs w:val="22"/>
        </w:rPr>
        <w:t xml:space="preserve">ociety of </w:t>
      </w:r>
      <w:r w:rsidRPr="00AE5908">
        <w:rPr>
          <w:rFonts w:cs="Arial"/>
          <w:color w:val="auto"/>
          <w:szCs w:val="22"/>
        </w:rPr>
        <w:t>H</w:t>
      </w:r>
      <w:r>
        <w:rPr>
          <w:rFonts w:cs="Arial"/>
          <w:color w:val="auto"/>
          <w:szCs w:val="22"/>
        </w:rPr>
        <w:t xml:space="preserve">ospital </w:t>
      </w:r>
      <w:r w:rsidRPr="00AE5908">
        <w:rPr>
          <w:rFonts w:cs="Arial"/>
          <w:color w:val="auto"/>
          <w:szCs w:val="22"/>
        </w:rPr>
        <w:t>P</w:t>
      </w:r>
      <w:r>
        <w:rPr>
          <w:rFonts w:cs="Arial"/>
          <w:color w:val="auto"/>
          <w:szCs w:val="22"/>
        </w:rPr>
        <w:t xml:space="preserve">harmacists of </w:t>
      </w:r>
      <w:r w:rsidRPr="00AE5908">
        <w:rPr>
          <w:rFonts w:cs="Arial"/>
          <w:color w:val="auto"/>
          <w:szCs w:val="22"/>
        </w:rPr>
        <w:t>A</w:t>
      </w:r>
      <w:r>
        <w:rPr>
          <w:rFonts w:cs="Arial"/>
          <w:color w:val="auto"/>
          <w:szCs w:val="22"/>
        </w:rPr>
        <w:t>ustralia (SHPA)</w:t>
      </w:r>
      <w:r w:rsidRPr="00AE5908">
        <w:rPr>
          <w:rFonts w:cs="Arial"/>
          <w:color w:val="auto"/>
          <w:szCs w:val="22"/>
        </w:rPr>
        <w:t xml:space="preserve"> believes that funding for medicines and pharmacy services should focus upon the achievement of health outcomes, rather than volumetric measures of </w:t>
      </w:r>
      <w:r>
        <w:rPr>
          <w:rFonts w:cs="Arial"/>
          <w:color w:val="auto"/>
          <w:szCs w:val="22"/>
        </w:rPr>
        <w:t xml:space="preserve">prescription dispensing and </w:t>
      </w:r>
      <w:r w:rsidRPr="00AE5908">
        <w:rPr>
          <w:rFonts w:cs="Arial"/>
          <w:color w:val="auto"/>
          <w:szCs w:val="22"/>
        </w:rPr>
        <w:t xml:space="preserve">delivery of services. </w:t>
      </w:r>
    </w:p>
    <w:p w:rsidR="008033E3" w:rsidRPr="00AE5908" w:rsidRDefault="008033E3" w:rsidP="008033E3">
      <w:pPr>
        <w:rPr>
          <w:rFonts w:cs="Arial"/>
          <w:color w:val="auto"/>
          <w:szCs w:val="22"/>
        </w:rPr>
      </w:pPr>
    </w:p>
    <w:p w:rsidR="008033E3" w:rsidRDefault="008033E3" w:rsidP="008033E3">
      <w:pPr>
        <w:rPr>
          <w:rFonts w:cs="Arial"/>
          <w:color w:val="auto"/>
          <w:szCs w:val="22"/>
        </w:rPr>
      </w:pPr>
      <w:r>
        <w:rPr>
          <w:rFonts w:cs="Arial"/>
          <w:color w:val="auto"/>
          <w:szCs w:val="22"/>
        </w:rPr>
        <w:t xml:space="preserve">Funding medicines and pharmacy services is a substantial component of the federal health budget ($4.5 billion through the Pharmaceutical Benefits Scheme alone). Silos of funding, divided between community and hospital services, provide few opportunities </w:t>
      </w:r>
      <w:r w:rsidRPr="00AE5908">
        <w:rPr>
          <w:rFonts w:cs="Arial"/>
          <w:color w:val="auto"/>
          <w:szCs w:val="22"/>
        </w:rPr>
        <w:t>for the voices of expert practitioners in medicines management to outline efficiencies</w:t>
      </w:r>
      <w:r>
        <w:rPr>
          <w:rFonts w:cs="Arial"/>
          <w:color w:val="auto"/>
          <w:szCs w:val="22"/>
        </w:rPr>
        <w:t>, innovations</w:t>
      </w:r>
      <w:r w:rsidRPr="00AE5908">
        <w:rPr>
          <w:rFonts w:cs="Arial"/>
          <w:color w:val="auto"/>
          <w:szCs w:val="22"/>
        </w:rPr>
        <w:t xml:space="preserve"> and improvements</w:t>
      </w:r>
      <w:r>
        <w:rPr>
          <w:rFonts w:cs="Arial"/>
          <w:color w:val="auto"/>
          <w:szCs w:val="22"/>
        </w:rPr>
        <w:t xml:space="preserve"> to the allocation of funding which would ensure expenditure results in the achievement of quality health outcomes</w:t>
      </w:r>
      <w:r w:rsidRPr="00AE5908">
        <w:rPr>
          <w:rFonts w:cs="Arial"/>
          <w:color w:val="auto"/>
          <w:szCs w:val="22"/>
        </w:rPr>
        <w:t xml:space="preserve">. </w:t>
      </w:r>
      <w:r>
        <w:rPr>
          <w:rFonts w:cs="Arial"/>
          <w:color w:val="auto"/>
          <w:szCs w:val="22"/>
        </w:rPr>
        <w:t>SHPA members are well aware of the pressures of health funding and believe that unnecessary duplication and poor integration of pharmacist services between hospital and community care contributes to this expense.</w:t>
      </w:r>
    </w:p>
    <w:p w:rsidR="008033E3" w:rsidRDefault="008033E3" w:rsidP="008033E3">
      <w:pPr>
        <w:rPr>
          <w:rFonts w:cs="Arial"/>
          <w:color w:val="auto"/>
          <w:szCs w:val="22"/>
        </w:rPr>
      </w:pPr>
    </w:p>
    <w:p w:rsidR="008033E3" w:rsidRDefault="008033E3" w:rsidP="008033E3">
      <w:pPr>
        <w:rPr>
          <w:rFonts w:cs="Arial"/>
          <w:color w:val="auto"/>
          <w:szCs w:val="22"/>
        </w:rPr>
      </w:pPr>
      <w:r w:rsidRPr="00AE5908">
        <w:rPr>
          <w:rFonts w:cs="Arial"/>
          <w:color w:val="auto"/>
          <w:szCs w:val="22"/>
        </w:rPr>
        <w:t xml:space="preserve">SHPA is taking the opportunity presented by the </w:t>
      </w:r>
      <w:r>
        <w:rPr>
          <w:rFonts w:cs="Arial"/>
          <w:color w:val="auto"/>
          <w:szCs w:val="22"/>
        </w:rPr>
        <w:t>f</w:t>
      </w:r>
      <w:r w:rsidRPr="00AE5908">
        <w:rPr>
          <w:rFonts w:cs="Arial"/>
          <w:color w:val="auto"/>
          <w:szCs w:val="22"/>
        </w:rPr>
        <w:t xml:space="preserve">ederal </w:t>
      </w:r>
      <w:r>
        <w:rPr>
          <w:rFonts w:cs="Arial"/>
          <w:color w:val="auto"/>
          <w:szCs w:val="22"/>
        </w:rPr>
        <w:t>b</w:t>
      </w:r>
      <w:r w:rsidRPr="00AE5908">
        <w:rPr>
          <w:rFonts w:cs="Arial"/>
          <w:color w:val="auto"/>
          <w:szCs w:val="22"/>
        </w:rPr>
        <w:t>udget call for submissions to flag key are</w:t>
      </w:r>
      <w:r>
        <w:rPr>
          <w:rFonts w:cs="Arial"/>
          <w:color w:val="auto"/>
          <w:szCs w:val="22"/>
        </w:rPr>
        <w:t>as of federal health policy</w:t>
      </w:r>
      <w:r w:rsidRPr="00AE5908">
        <w:rPr>
          <w:rFonts w:cs="Arial"/>
          <w:color w:val="auto"/>
          <w:szCs w:val="22"/>
        </w:rPr>
        <w:t xml:space="preserve"> where changes to budgeted funding could drive significant improvements in line with Australian federal government objectives. </w:t>
      </w:r>
    </w:p>
    <w:p w:rsidR="008033E3" w:rsidRDefault="008033E3" w:rsidP="008033E3">
      <w:pPr>
        <w:rPr>
          <w:rFonts w:cs="Arial"/>
          <w:color w:val="auto"/>
          <w:szCs w:val="22"/>
        </w:rPr>
      </w:pPr>
    </w:p>
    <w:p w:rsidR="008033E3" w:rsidRDefault="008033E3" w:rsidP="008033E3">
      <w:pPr>
        <w:rPr>
          <w:rFonts w:cs="Arial"/>
          <w:color w:val="auto"/>
          <w:szCs w:val="22"/>
        </w:rPr>
      </w:pPr>
      <w:r>
        <w:rPr>
          <w:rFonts w:cs="Arial"/>
          <w:color w:val="auto"/>
          <w:szCs w:val="22"/>
        </w:rPr>
        <w:t>In particular hospital pharmacists are keen to contribute to the achievement of core government policies such as Health Care Homes through better collaboration between hospital pharmacists and primary care services at times of patient transition. This is especially relevant for patients classified as Tier 2 and 3 whose level of complexity includes a high risk of acute care and emergency department admission. The inclusion of practice</w:t>
      </w:r>
      <w:r>
        <w:rPr>
          <w:rFonts w:cs="Arial"/>
          <w:color w:val="auto"/>
          <w:szCs w:val="22"/>
        </w:rPr>
        <w:noBreakHyphen/>
        <w:t xml:space="preserve">based pharmacists in general practice, and revision of elements of </w:t>
      </w:r>
      <w:r w:rsidRPr="002D1B03">
        <w:rPr>
          <w:rFonts w:cs="Arial"/>
          <w:color w:val="auto"/>
          <w:szCs w:val="22"/>
        </w:rPr>
        <w:t>Closing The Gap Pharmaceutical Benefits Scheme Co-payment Measure</w:t>
      </w:r>
      <w:r>
        <w:rPr>
          <w:rFonts w:cs="Arial"/>
          <w:color w:val="auto"/>
          <w:szCs w:val="22"/>
        </w:rPr>
        <w:t>,</w:t>
      </w:r>
      <w:r w:rsidRPr="002D1B03">
        <w:rPr>
          <w:rFonts w:cs="Arial"/>
          <w:color w:val="auto"/>
          <w:szCs w:val="22"/>
        </w:rPr>
        <w:t xml:space="preserve"> </w:t>
      </w:r>
      <w:r>
        <w:rPr>
          <w:rFonts w:cs="Arial"/>
          <w:color w:val="auto"/>
          <w:szCs w:val="22"/>
        </w:rPr>
        <w:t>would improve this provision of care.</w:t>
      </w:r>
    </w:p>
    <w:p w:rsidR="008033E3" w:rsidRDefault="008033E3" w:rsidP="008033E3">
      <w:pPr>
        <w:rPr>
          <w:rFonts w:cs="Arial"/>
          <w:color w:val="auto"/>
          <w:szCs w:val="22"/>
        </w:rPr>
      </w:pPr>
    </w:p>
    <w:p w:rsidR="008033E3" w:rsidRPr="001C4FE9" w:rsidRDefault="008033E3" w:rsidP="008033E3">
      <w:pPr>
        <w:autoSpaceDE w:val="0"/>
        <w:autoSpaceDN w:val="0"/>
        <w:adjustRightInd w:val="0"/>
        <w:rPr>
          <w:rFonts w:cs="Arial"/>
          <w:szCs w:val="22"/>
        </w:rPr>
      </w:pPr>
      <w:r>
        <w:rPr>
          <w:rFonts w:cs="Arial"/>
          <w:szCs w:val="22"/>
        </w:rPr>
        <w:t>Pharmacists are also keen to see reduced red-tape related to the funding of medicines and pharmacy services. Pharmacy, which dispenses medicines and provides clinical services to patients,</w:t>
      </w:r>
      <w:r w:rsidRPr="00D45BC1">
        <w:rPr>
          <w:rFonts w:cs="Arial"/>
          <w:szCs w:val="22"/>
        </w:rPr>
        <w:t xml:space="preserve"> has always been a complex area, however as use of </w:t>
      </w:r>
      <w:r>
        <w:rPr>
          <w:rFonts w:cs="Arial"/>
          <w:szCs w:val="22"/>
        </w:rPr>
        <w:t xml:space="preserve">federally-funded </w:t>
      </w:r>
      <w:r w:rsidRPr="00D45BC1">
        <w:rPr>
          <w:rFonts w:cs="Arial"/>
          <w:szCs w:val="22"/>
        </w:rPr>
        <w:t>P</w:t>
      </w:r>
      <w:r>
        <w:rPr>
          <w:rFonts w:cs="Arial"/>
          <w:szCs w:val="22"/>
        </w:rPr>
        <w:t>BS</w:t>
      </w:r>
      <w:r w:rsidRPr="00D45BC1">
        <w:rPr>
          <w:rFonts w:cs="Arial"/>
          <w:szCs w:val="22"/>
        </w:rPr>
        <w:t xml:space="preserve"> medicines grow, the complications of adhering to funding requirements are becoming more onerous. Changes in the C</w:t>
      </w:r>
      <w:r>
        <w:rPr>
          <w:rFonts w:cs="Arial"/>
          <w:szCs w:val="22"/>
        </w:rPr>
        <w:t xml:space="preserve">ommunity </w:t>
      </w:r>
      <w:r w:rsidRPr="00D45BC1">
        <w:rPr>
          <w:rFonts w:cs="Arial"/>
          <w:szCs w:val="22"/>
        </w:rPr>
        <w:t>P</w:t>
      </w:r>
      <w:r>
        <w:rPr>
          <w:rFonts w:cs="Arial"/>
          <w:szCs w:val="22"/>
        </w:rPr>
        <w:t xml:space="preserve">harmacy </w:t>
      </w:r>
      <w:r w:rsidRPr="00D45BC1">
        <w:rPr>
          <w:rFonts w:cs="Arial"/>
          <w:szCs w:val="22"/>
        </w:rPr>
        <w:t>A</w:t>
      </w:r>
      <w:r>
        <w:rPr>
          <w:rFonts w:cs="Arial"/>
          <w:szCs w:val="22"/>
        </w:rPr>
        <w:t xml:space="preserve">greement, negotiated between the federal government and the Pharmacy Guild of Australia, directs activities of </w:t>
      </w:r>
      <w:r w:rsidRPr="00D45BC1">
        <w:rPr>
          <w:rFonts w:cs="Arial"/>
          <w:szCs w:val="22"/>
        </w:rPr>
        <w:t xml:space="preserve">private </w:t>
      </w:r>
      <w:r>
        <w:rPr>
          <w:rFonts w:cs="Arial"/>
          <w:szCs w:val="22"/>
        </w:rPr>
        <w:t>hospital-based services but</w:t>
      </w:r>
      <w:r w:rsidRPr="00D45BC1">
        <w:rPr>
          <w:rFonts w:cs="Arial"/>
          <w:szCs w:val="22"/>
        </w:rPr>
        <w:t xml:space="preserve"> also directly impact</w:t>
      </w:r>
      <w:r>
        <w:rPr>
          <w:rFonts w:cs="Arial"/>
          <w:szCs w:val="22"/>
        </w:rPr>
        <w:t>s</w:t>
      </w:r>
      <w:r w:rsidRPr="00D45BC1">
        <w:rPr>
          <w:rFonts w:cs="Arial"/>
          <w:szCs w:val="22"/>
        </w:rPr>
        <w:t xml:space="preserve"> public</w:t>
      </w:r>
      <w:r>
        <w:rPr>
          <w:rFonts w:cs="Arial"/>
          <w:szCs w:val="22"/>
        </w:rPr>
        <w:t>-</w:t>
      </w:r>
      <w:r w:rsidRPr="00D45BC1">
        <w:rPr>
          <w:rFonts w:cs="Arial"/>
          <w:szCs w:val="22"/>
        </w:rPr>
        <w:t xml:space="preserve">hospital-based services. </w:t>
      </w:r>
      <w:r>
        <w:rPr>
          <w:rFonts w:cs="Arial"/>
          <w:color w:val="auto"/>
          <w:szCs w:val="22"/>
        </w:rPr>
        <w:t xml:space="preserve">SHPA members oversee 20% of the federal government’s PBS expenditure each year. </w:t>
      </w:r>
      <w:r>
        <w:rPr>
          <w:rFonts w:cs="Arial"/>
          <w:szCs w:val="22"/>
        </w:rPr>
        <w:t>As an illustration, there are 14 different factors which influence the PBS funding of a medicine for each patient, which must be reviewed and decided by a pharmacist for every prescription.</w:t>
      </w:r>
    </w:p>
    <w:p w:rsidR="008033E3" w:rsidRDefault="008033E3" w:rsidP="008033E3">
      <w:pPr>
        <w:rPr>
          <w:rFonts w:cs="Arial"/>
          <w:color w:val="auto"/>
          <w:szCs w:val="22"/>
        </w:rPr>
      </w:pPr>
    </w:p>
    <w:p w:rsidR="008033E3" w:rsidRDefault="008033E3" w:rsidP="008033E3">
      <w:pPr>
        <w:rPr>
          <w:rFonts w:eastAsiaTheme="majorEastAsia"/>
          <w:b/>
          <w:color w:val="auto"/>
          <w:sz w:val="32"/>
          <w:szCs w:val="32"/>
        </w:rPr>
      </w:pPr>
      <w:r>
        <w:rPr>
          <w:rFonts w:cs="Arial"/>
          <w:color w:val="auto"/>
          <w:szCs w:val="22"/>
        </w:rPr>
        <w:t xml:space="preserve">Hospital pharmacists are patient-centred advocates for clinical excellence and quality medicines management. SHPA is the national membership organisation for more than 4,000 pharmacists, associates and pharmacists in training working in Australia’s public and private hospital system. </w:t>
      </w:r>
      <w:r>
        <w:rPr>
          <w:color w:val="auto"/>
        </w:rPr>
        <w:br w:type="page"/>
      </w:r>
    </w:p>
    <w:p w:rsidR="008033E3" w:rsidRPr="008033E3" w:rsidRDefault="008033E3" w:rsidP="008033E3">
      <w:pPr>
        <w:pStyle w:val="Heading1"/>
      </w:pPr>
      <w:r w:rsidRPr="008033E3">
        <w:lastRenderedPageBreak/>
        <w:t>Recommendations</w:t>
      </w:r>
    </w:p>
    <w:p w:rsidR="008033E3" w:rsidRPr="008033E3" w:rsidRDefault="008033E3" w:rsidP="008033E3"/>
    <w:p w:rsidR="008033E3" w:rsidRPr="00880F10" w:rsidRDefault="008033E3" w:rsidP="008033E3">
      <w:pPr>
        <w:numPr>
          <w:ilvl w:val="0"/>
          <w:numId w:val="20"/>
        </w:numPr>
        <w:contextualSpacing/>
        <w:rPr>
          <w:rFonts w:cs="Arial"/>
          <w:b/>
          <w:color w:val="auto"/>
          <w:szCs w:val="22"/>
        </w:rPr>
      </w:pPr>
      <w:r w:rsidRPr="00880F10">
        <w:rPr>
          <w:rFonts w:cs="Arial"/>
          <w:b/>
          <w:color w:val="7030A0"/>
          <w:szCs w:val="22"/>
        </w:rPr>
        <w:t>Negotiation of future pharmacy remuneration</w:t>
      </w:r>
    </w:p>
    <w:p w:rsidR="008033E3" w:rsidRPr="00D6284A" w:rsidRDefault="008033E3" w:rsidP="008033E3">
      <w:pPr>
        <w:pStyle w:val="ListParagraph"/>
        <w:numPr>
          <w:ilvl w:val="1"/>
          <w:numId w:val="20"/>
        </w:numPr>
        <w:rPr>
          <w:rFonts w:cs="Arial"/>
          <w:color w:val="auto"/>
          <w:szCs w:val="22"/>
        </w:rPr>
      </w:pPr>
      <w:r w:rsidRPr="00D6284A">
        <w:rPr>
          <w:rFonts w:cs="Arial"/>
          <w:color w:val="auto"/>
          <w:szCs w:val="22"/>
        </w:rPr>
        <w:t xml:space="preserve">Include a range of stakeholders, including SHPA, in the negotiation of remuneration for pharmacy services where our members are strongly involved. </w:t>
      </w:r>
    </w:p>
    <w:p w:rsidR="008033E3" w:rsidRPr="00AE5908" w:rsidRDefault="008033E3" w:rsidP="008033E3">
      <w:pPr>
        <w:rPr>
          <w:rFonts w:cs="Arial"/>
          <w:color w:val="auto"/>
          <w:szCs w:val="22"/>
        </w:rPr>
      </w:pPr>
    </w:p>
    <w:p w:rsidR="008033E3" w:rsidRPr="00D6284A" w:rsidRDefault="008033E3" w:rsidP="008033E3">
      <w:pPr>
        <w:pStyle w:val="ListParagraph"/>
        <w:numPr>
          <w:ilvl w:val="1"/>
          <w:numId w:val="20"/>
        </w:numPr>
        <w:rPr>
          <w:rFonts w:cs="Arial"/>
          <w:color w:val="auto"/>
          <w:szCs w:val="22"/>
        </w:rPr>
      </w:pPr>
      <w:r w:rsidRPr="00D6284A">
        <w:rPr>
          <w:rFonts w:cs="Arial"/>
          <w:color w:val="auto"/>
          <w:szCs w:val="22"/>
        </w:rPr>
        <w:t>Remove the</w:t>
      </w:r>
      <w:r>
        <w:rPr>
          <w:rFonts w:cs="Arial"/>
          <w:color w:val="auto"/>
          <w:szCs w:val="22"/>
        </w:rPr>
        <w:t xml:space="preserve"> arbitrary cap of </w:t>
      </w:r>
      <w:r w:rsidRPr="00D6284A">
        <w:rPr>
          <w:rFonts w:cs="Arial"/>
          <w:color w:val="auto"/>
          <w:szCs w:val="22"/>
        </w:rPr>
        <w:t>20</w:t>
      </w:r>
      <w:r>
        <w:rPr>
          <w:rFonts w:cs="Arial"/>
          <w:color w:val="auto"/>
          <w:szCs w:val="22"/>
        </w:rPr>
        <w:t xml:space="preserve"> services per month</w:t>
      </w:r>
      <w:r w:rsidRPr="00D6284A">
        <w:rPr>
          <w:rFonts w:cs="Arial"/>
          <w:color w:val="auto"/>
          <w:szCs w:val="22"/>
        </w:rPr>
        <w:t xml:space="preserve"> </w:t>
      </w:r>
      <w:r>
        <w:rPr>
          <w:rFonts w:cs="Arial"/>
          <w:color w:val="auto"/>
          <w:szCs w:val="22"/>
        </w:rPr>
        <w:t xml:space="preserve">for the </w:t>
      </w:r>
      <w:r w:rsidRPr="00D6284A">
        <w:rPr>
          <w:rFonts w:cs="Arial"/>
          <w:color w:val="auto"/>
          <w:szCs w:val="22"/>
        </w:rPr>
        <w:t>provision of Home Medicine Reviews</w:t>
      </w:r>
      <w:r>
        <w:rPr>
          <w:rFonts w:cs="Arial"/>
          <w:color w:val="auto"/>
          <w:szCs w:val="22"/>
        </w:rPr>
        <w:t xml:space="preserve"> conducted </w:t>
      </w:r>
      <w:r w:rsidRPr="00D6284A">
        <w:rPr>
          <w:rFonts w:cs="Arial"/>
          <w:color w:val="auto"/>
          <w:szCs w:val="22"/>
        </w:rPr>
        <w:t>by accredited pharmacists in regional and rural areas for patients over 70 years of age</w:t>
      </w:r>
      <w:r>
        <w:rPr>
          <w:rFonts w:cs="Arial"/>
          <w:color w:val="auto"/>
          <w:szCs w:val="22"/>
        </w:rPr>
        <w:t>, as funded through the Community Pharmacy Agreement</w:t>
      </w:r>
      <w:r w:rsidRPr="00D6284A">
        <w:rPr>
          <w:rFonts w:cs="Arial"/>
          <w:color w:val="auto"/>
          <w:szCs w:val="22"/>
        </w:rPr>
        <w:t>.</w:t>
      </w:r>
    </w:p>
    <w:p w:rsidR="008033E3" w:rsidRPr="00AE5908" w:rsidRDefault="008033E3" w:rsidP="008033E3">
      <w:pPr>
        <w:rPr>
          <w:rFonts w:cs="Arial"/>
          <w:color w:val="auto"/>
          <w:szCs w:val="22"/>
        </w:rPr>
      </w:pPr>
    </w:p>
    <w:p w:rsidR="008033E3" w:rsidRPr="00880F10" w:rsidRDefault="008033E3" w:rsidP="008033E3">
      <w:pPr>
        <w:pStyle w:val="ListParagraph"/>
        <w:numPr>
          <w:ilvl w:val="0"/>
          <w:numId w:val="20"/>
        </w:numPr>
        <w:rPr>
          <w:b/>
          <w:color w:val="auto"/>
        </w:rPr>
      </w:pPr>
      <w:r w:rsidRPr="00880F10">
        <w:rPr>
          <w:rFonts w:cs="Arial"/>
          <w:b/>
          <w:color w:val="7030A0"/>
          <w:szCs w:val="22"/>
        </w:rPr>
        <w:t>Support pharmacy in primary health care</w:t>
      </w:r>
    </w:p>
    <w:p w:rsidR="008033E3" w:rsidRPr="001C4FE9" w:rsidRDefault="008033E3" w:rsidP="008033E3">
      <w:pPr>
        <w:pStyle w:val="ListParagraph"/>
        <w:numPr>
          <w:ilvl w:val="1"/>
          <w:numId w:val="20"/>
        </w:numPr>
        <w:rPr>
          <w:rFonts w:cs="Arial"/>
          <w:color w:val="auto"/>
          <w:szCs w:val="22"/>
        </w:rPr>
      </w:pPr>
      <w:r>
        <w:rPr>
          <w:rFonts w:cs="Arial"/>
          <w:color w:val="auto"/>
          <w:szCs w:val="22"/>
        </w:rPr>
        <w:t xml:space="preserve">Fund pharmacists with relevant experience and accreditation to work in primary healthcare settings such as general practice through the Medicare Benefits Schedule, or the provision of funding incentives for General Practices. </w:t>
      </w:r>
    </w:p>
    <w:p w:rsidR="008033E3" w:rsidRPr="00880F10" w:rsidRDefault="008033E3" w:rsidP="008033E3">
      <w:pPr>
        <w:rPr>
          <w:rFonts w:cs="Arial"/>
          <w:b/>
          <w:color w:val="auto"/>
          <w:szCs w:val="22"/>
        </w:rPr>
      </w:pPr>
    </w:p>
    <w:p w:rsidR="008033E3" w:rsidRPr="00880F10" w:rsidRDefault="008033E3" w:rsidP="008033E3">
      <w:pPr>
        <w:numPr>
          <w:ilvl w:val="0"/>
          <w:numId w:val="20"/>
        </w:numPr>
        <w:contextualSpacing/>
        <w:rPr>
          <w:rFonts w:cs="Arial"/>
          <w:b/>
          <w:color w:val="7030A0"/>
          <w:szCs w:val="22"/>
        </w:rPr>
      </w:pPr>
      <w:r w:rsidRPr="00880F10">
        <w:rPr>
          <w:rFonts w:cs="Arial"/>
          <w:b/>
          <w:color w:val="7030A0"/>
          <w:szCs w:val="22"/>
        </w:rPr>
        <w:t>Improve Indigenous access to pharmacy services</w:t>
      </w:r>
    </w:p>
    <w:p w:rsidR="008033E3" w:rsidRPr="00D6284A" w:rsidRDefault="008033E3" w:rsidP="008033E3">
      <w:pPr>
        <w:pStyle w:val="ListParagraph"/>
        <w:numPr>
          <w:ilvl w:val="1"/>
          <w:numId w:val="20"/>
        </w:numPr>
        <w:rPr>
          <w:rFonts w:cs="Arial"/>
          <w:color w:val="auto"/>
          <w:szCs w:val="22"/>
        </w:rPr>
      </w:pPr>
      <w:r w:rsidRPr="00D6284A">
        <w:rPr>
          <w:rFonts w:cs="Arial"/>
          <w:color w:val="auto"/>
          <w:szCs w:val="22"/>
        </w:rPr>
        <w:t>Review arrangements and eligibility criteria for the Closing The Gap Pharmaceutical Benefits Scheme Co-payment Measure and the Section 100 Remote Area Aboriginal Health Services Program to improve the delivery of medicines and pharmacy services to all Aboriginal and Torres Strait Islander patients being discharged from public hospitals.</w:t>
      </w:r>
    </w:p>
    <w:p w:rsidR="008033E3" w:rsidRPr="00AE5908" w:rsidRDefault="008033E3" w:rsidP="008033E3">
      <w:pPr>
        <w:ind w:left="720"/>
        <w:contextualSpacing/>
        <w:rPr>
          <w:rFonts w:cs="Arial"/>
          <w:color w:val="auto"/>
          <w:szCs w:val="22"/>
        </w:rPr>
      </w:pPr>
    </w:p>
    <w:p w:rsidR="008033E3" w:rsidRPr="00D6284A" w:rsidRDefault="008033E3" w:rsidP="008033E3">
      <w:pPr>
        <w:pStyle w:val="ListParagraph"/>
        <w:numPr>
          <w:ilvl w:val="1"/>
          <w:numId w:val="20"/>
        </w:numPr>
        <w:rPr>
          <w:rFonts w:cs="Arial"/>
          <w:color w:val="auto"/>
          <w:szCs w:val="22"/>
        </w:rPr>
      </w:pPr>
      <w:r w:rsidRPr="00D6284A">
        <w:rPr>
          <w:rFonts w:cs="Arial"/>
          <w:color w:val="auto"/>
          <w:szCs w:val="22"/>
        </w:rPr>
        <w:t xml:space="preserve">Fund clinical pharmacist positions in Aboriginal Health Services to provide greater </w:t>
      </w:r>
      <w:r>
        <w:rPr>
          <w:rFonts w:cs="Arial"/>
          <w:color w:val="auto"/>
          <w:szCs w:val="22"/>
        </w:rPr>
        <w:t>access to</w:t>
      </w:r>
      <w:r w:rsidRPr="00D6284A">
        <w:rPr>
          <w:rFonts w:cs="Arial"/>
          <w:color w:val="auto"/>
          <w:szCs w:val="22"/>
        </w:rPr>
        <w:t xml:space="preserve"> pharmacy services </w:t>
      </w:r>
      <w:r>
        <w:rPr>
          <w:rFonts w:cs="Arial"/>
          <w:color w:val="auto"/>
          <w:szCs w:val="22"/>
        </w:rPr>
        <w:t>for</w:t>
      </w:r>
      <w:r w:rsidRPr="00D6284A">
        <w:rPr>
          <w:rFonts w:cs="Arial"/>
          <w:color w:val="auto"/>
          <w:szCs w:val="22"/>
        </w:rPr>
        <w:t xml:space="preserve"> Aboriginal </w:t>
      </w:r>
      <w:r>
        <w:rPr>
          <w:rFonts w:cs="Arial"/>
          <w:color w:val="auto"/>
          <w:szCs w:val="22"/>
        </w:rPr>
        <w:t xml:space="preserve">and Torres Strait Islander </w:t>
      </w:r>
      <w:r w:rsidRPr="00D6284A">
        <w:rPr>
          <w:rFonts w:cs="Arial"/>
          <w:color w:val="auto"/>
          <w:szCs w:val="22"/>
        </w:rPr>
        <w:t xml:space="preserve">consumers to enable pharmacists to effectively manage the provision of medicines, Quality Use of Medicines activities, to reduce medicine misadventure and achieve Closing </w:t>
      </w:r>
      <w:r>
        <w:rPr>
          <w:rFonts w:cs="Arial"/>
          <w:color w:val="auto"/>
          <w:szCs w:val="22"/>
        </w:rPr>
        <w:t>T</w:t>
      </w:r>
      <w:r w:rsidRPr="00D6284A">
        <w:rPr>
          <w:rFonts w:cs="Arial"/>
          <w:color w:val="auto"/>
          <w:szCs w:val="22"/>
        </w:rPr>
        <w:t xml:space="preserve">he Gap objectives. </w:t>
      </w:r>
    </w:p>
    <w:p w:rsidR="008033E3" w:rsidRPr="00880F10" w:rsidRDefault="008033E3" w:rsidP="008033E3">
      <w:pPr>
        <w:contextualSpacing/>
        <w:rPr>
          <w:rFonts w:cs="Arial"/>
          <w:b/>
          <w:color w:val="auto"/>
          <w:szCs w:val="22"/>
        </w:rPr>
      </w:pPr>
    </w:p>
    <w:p w:rsidR="008033E3" w:rsidRPr="00880F10" w:rsidRDefault="008033E3" w:rsidP="008033E3">
      <w:pPr>
        <w:pStyle w:val="ListParagraph"/>
        <w:numPr>
          <w:ilvl w:val="0"/>
          <w:numId w:val="20"/>
        </w:numPr>
        <w:rPr>
          <w:rFonts w:cs="Arial"/>
          <w:b/>
          <w:color w:val="7030A0"/>
          <w:szCs w:val="22"/>
        </w:rPr>
      </w:pPr>
      <w:r w:rsidRPr="00880F10">
        <w:rPr>
          <w:rFonts w:cs="Arial"/>
          <w:b/>
          <w:color w:val="7030A0"/>
          <w:szCs w:val="22"/>
        </w:rPr>
        <w:t xml:space="preserve">Fund innovation </w:t>
      </w:r>
      <w:r>
        <w:rPr>
          <w:rFonts w:cs="Arial"/>
          <w:b/>
          <w:color w:val="7030A0"/>
          <w:szCs w:val="22"/>
        </w:rPr>
        <w:t>to improve care in</w:t>
      </w:r>
      <w:r w:rsidRPr="00880F10">
        <w:rPr>
          <w:rFonts w:cs="Arial"/>
          <w:b/>
          <w:color w:val="7030A0"/>
          <w:szCs w:val="22"/>
        </w:rPr>
        <w:t xml:space="preserve"> pharmacy </w:t>
      </w:r>
    </w:p>
    <w:p w:rsidR="008033E3" w:rsidRPr="0098786E" w:rsidRDefault="008033E3" w:rsidP="008033E3">
      <w:pPr>
        <w:pStyle w:val="ListParagraph"/>
        <w:numPr>
          <w:ilvl w:val="1"/>
          <w:numId w:val="20"/>
        </w:numPr>
        <w:rPr>
          <w:rFonts w:cs="Arial"/>
          <w:color w:val="auto"/>
          <w:szCs w:val="22"/>
        </w:rPr>
      </w:pPr>
      <w:r w:rsidRPr="0098786E">
        <w:rPr>
          <w:rFonts w:cs="Arial"/>
          <w:color w:val="auto"/>
          <w:szCs w:val="22"/>
        </w:rPr>
        <w:t>Fund a pilot of a hospital</w:t>
      </w:r>
      <w:r>
        <w:rPr>
          <w:rFonts w:cs="Arial"/>
          <w:color w:val="auto"/>
          <w:szCs w:val="22"/>
        </w:rPr>
        <w:t>-</w:t>
      </w:r>
      <w:r w:rsidRPr="0098786E">
        <w:rPr>
          <w:rFonts w:cs="Arial"/>
          <w:color w:val="auto"/>
          <w:szCs w:val="22"/>
        </w:rPr>
        <w:t>directed liaison service aligned with UK’s New Medicines Service which saw an improvement in medicine adherence by 10%, to ensure that pharmacy continues to grow its services for the benefit of the health of the Australian community.</w:t>
      </w:r>
    </w:p>
    <w:p w:rsidR="008033E3" w:rsidRDefault="008033E3" w:rsidP="008033E3">
      <w:pPr>
        <w:contextualSpacing/>
        <w:rPr>
          <w:rFonts w:cs="Arial"/>
          <w:color w:val="auto"/>
          <w:szCs w:val="22"/>
        </w:rPr>
      </w:pPr>
    </w:p>
    <w:p w:rsidR="008033E3" w:rsidRPr="00D6284A" w:rsidRDefault="008033E3" w:rsidP="008033E3">
      <w:pPr>
        <w:pStyle w:val="ListParagraph"/>
        <w:numPr>
          <w:ilvl w:val="1"/>
          <w:numId w:val="20"/>
        </w:numPr>
        <w:rPr>
          <w:rFonts w:cs="Arial"/>
          <w:color w:val="auto"/>
          <w:szCs w:val="22"/>
        </w:rPr>
      </w:pPr>
      <w:r w:rsidRPr="00D6284A">
        <w:rPr>
          <w:rFonts w:cs="Arial"/>
          <w:color w:val="auto"/>
          <w:szCs w:val="22"/>
        </w:rPr>
        <w:t>Fund a pilot program to test the effectiveness of enabling pharmacists to prescribe in hospital settings as part of a collaborative practice model.</w:t>
      </w:r>
    </w:p>
    <w:p w:rsidR="008033E3" w:rsidRPr="00880F10" w:rsidRDefault="008033E3" w:rsidP="008033E3">
      <w:pPr>
        <w:rPr>
          <w:rFonts w:cs="Arial"/>
          <w:b/>
          <w:color w:val="auto"/>
          <w:szCs w:val="22"/>
        </w:rPr>
      </w:pPr>
    </w:p>
    <w:p w:rsidR="008033E3" w:rsidRPr="00880F10" w:rsidRDefault="008033E3" w:rsidP="008033E3">
      <w:pPr>
        <w:numPr>
          <w:ilvl w:val="0"/>
          <w:numId w:val="20"/>
        </w:numPr>
        <w:contextualSpacing/>
        <w:rPr>
          <w:rFonts w:cs="Arial"/>
          <w:b/>
          <w:color w:val="7030A0"/>
          <w:szCs w:val="22"/>
        </w:rPr>
      </w:pPr>
      <w:r w:rsidRPr="00880F10">
        <w:rPr>
          <w:rFonts w:cs="Arial"/>
          <w:b/>
          <w:color w:val="7030A0"/>
          <w:szCs w:val="22"/>
        </w:rPr>
        <w:t>Consider public hospital funding</w:t>
      </w:r>
    </w:p>
    <w:p w:rsidR="008033E3" w:rsidRPr="00D6284A" w:rsidRDefault="008033E3" w:rsidP="008033E3">
      <w:pPr>
        <w:pStyle w:val="ListParagraph"/>
        <w:numPr>
          <w:ilvl w:val="1"/>
          <w:numId w:val="20"/>
        </w:numPr>
        <w:rPr>
          <w:rFonts w:cs="Arial"/>
          <w:color w:val="auto"/>
          <w:szCs w:val="22"/>
        </w:rPr>
      </w:pPr>
      <w:r w:rsidRPr="00D6284A">
        <w:rPr>
          <w:rFonts w:cs="Arial"/>
          <w:color w:val="auto"/>
          <w:szCs w:val="22"/>
        </w:rPr>
        <w:t xml:space="preserve">Encourage New South Wales and the Australian Capital Territory </w:t>
      </w:r>
      <w:r>
        <w:rPr>
          <w:rFonts w:cs="Arial"/>
          <w:color w:val="auto"/>
          <w:szCs w:val="22"/>
        </w:rPr>
        <w:t xml:space="preserve">jurisdictional </w:t>
      </w:r>
      <w:r w:rsidRPr="00D6284A">
        <w:rPr>
          <w:rFonts w:cs="Arial"/>
          <w:color w:val="auto"/>
          <w:szCs w:val="22"/>
        </w:rPr>
        <w:t>government</w:t>
      </w:r>
      <w:r>
        <w:rPr>
          <w:rFonts w:cs="Arial"/>
          <w:color w:val="auto"/>
          <w:szCs w:val="22"/>
        </w:rPr>
        <w:t>s</w:t>
      </w:r>
      <w:r w:rsidRPr="00D6284A">
        <w:rPr>
          <w:rFonts w:cs="Arial"/>
          <w:color w:val="auto"/>
          <w:szCs w:val="22"/>
        </w:rPr>
        <w:t xml:space="preserve"> to adopt the </w:t>
      </w:r>
      <w:r>
        <w:rPr>
          <w:rFonts w:cs="Arial"/>
          <w:color w:val="auto"/>
          <w:szCs w:val="22"/>
        </w:rPr>
        <w:t xml:space="preserve">PBS </w:t>
      </w:r>
      <w:r w:rsidRPr="00003EB0">
        <w:rPr>
          <w:rFonts w:cs="Arial"/>
          <w:color w:val="auto"/>
          <w:szCs w:val="22"/>
        </w:rPr>
        <w:t>Public Hospital Pharmaceutical Reforms</w:t>
      </w:r>
      <w:r w:rsidRPr="00D6284A">
        <w:rPr>
          <w:rFonts w:cs="Arial"/>
          <w:color w:val="auto"/>
          <w:szCs w:val="22"/>
        </w:rPr>
        <w:t xml:space="preserve"> remuneration model for outpatient medicines (including chemotherapy) in order to support better quality patient care and supply of 30 days of necessary medicines.</w:t>
      </w:r>
    </w:p>
    <w:p w:rsidR="008033E3" w:rsidRPr="00AE5908" w:rsidRDefault="008033E3" w:rsidP="008033E3">
      <w:pPr>
        <w:rPr>
          <w:rFonts w:cs="Arial"/>
          <w:color w:val="auto"/>
          <w:szCs w:val="22"/>
        </w:rPr>
      </w:pPr>
    </w:p>
    <w:p w:rsidR="008033E3" w:rsidRPr="008033E3" w:rsidRDefault="009A7F33" w:rsidP="008033E3">
      <w:pPr>
        <w:pStyle w:val="ListParagraph"/>
        <w:numPr>
          <w:ilvl w:val="1"/>
          <w:numId w:val="20"/>
        </w:numPr>
        <w:rPr>
          <w:rFonts w:cs="Arial"/>
          <w:color w:val="auto"/>
          <w:szCs w:val="22"/>
        </w:rPr>
      </w:pPr>
      <w:r w:rsidRPr="009A7F33">
        <w:rPr>
          <w:rFonts w:cs="Arial"/>
          <w:color w:val="auto"/>
          <w:szCs w:val="22"/>
        </w:rPr>
        <w:t>Provide an incentive for pharmacist services in Principal Referrer Hospitals to be offered after hours and on weekends in order to improve patient care</w:t>
      </w:r>
      <w:r w:rsidR="008033E3" w:rsidRPr="008033E3">
        <w:rPr>
          <w:rFonts w:cs="Arial"/>
          <w:color w:val="auto"/>
          <w:szCs w:val="22"/>
        </w:rPr>
        <w:t xml:space="preserve">.  </w:t>
      </w:r>
    </w:p>
    <w:p w:rsidR="008033E3" w:rsidRDefault="008033E3" w:rsidP="008033E3">
      <w:pPr>
        <w:spacing w:after="160" w:line="259" w:lineRule="auto"/>
        <w:rPr>
          <w:rFonts w:eastAsiaTheme="majorEastAsia"/>
          <w:b/>
          <w:color w:val="404040" w:themeColor="text1" w:themeTint="BF"/>
          <w:sz w:val="32"/>
          <w:szCs w:val="32"/>
        </w:rPr>
      </w:pPr>
      <w:r>
        <w:br w:type="page"/>
      </w:r>
    </w:p>
    <w:p w:rsidR="008033E3" w:rsidRPr="00AE5908" w:rsidRDefault="008033E3" w:rsidP="008033E3">
      <w:pPr>
        <w:pStyle w:val="Heading1"/>
      </w:pPr>
      <w:r w:rsidRPr="00AE5908">
        <w:lastRenderedPageBreak/>
        <w:t xml:space="preserve">Policy discussion </w:t>
      </w:r>
    </w:p>
    <w:p w:rsidR="008033E3" w:rsidRPr="00AE5908" w:rsidRDefault="008033E3" w:rsidP="008033E3">
      <w:pPr>
        <w:rPr>
          <w:rFonts w:cs="Arial"/>
          <w:color w:val="auto"/>
          <w:szCs w:val="22"/>
        </w:rPr>
      </w:pPr>
    </w:p>
    <w:p w:rsidR="008033E3" w:rsidRPr="00AE5908" w:rsidRDefault="008033E3" w:rsidP="008033E3">
      <w:pPr>
        <w:numPr>
          <w:ilvl w:val="0"/>
          <w:numId w:val="21"/>
        </w:numPr>
        <w:contextualSpacing/>
        <w:rPr>
          <w:rFonts w:cs="Arial"/>
          <w:b/>
          <w:color w:val="7030A0"/>
          <w:szCs w:val="22"/>
        </w:rPr>
      </w:pPr>
      <w:r>
        <w:rPr>
          <w:rFonts w:cs="Arial"/>
          <w:b/>
          <w:color w:val="7030A0"/>
          <w:szCs w:val="22"/>
        </w:rPr>
        <w:t>N</w:t>
      </w:r>
      <w:r w:rsidRPr="00AE5908">
        <w:rPr>
          <w:rFonts w:cs="Arial"/>
          <w:b/>
          <w:color w:val="7030A0"/>
          <w:szCs w:val="22"/>
        </w:rPr>
        <w:t xml:space="preserve">egotiation of </w:t>
      </w:r>
      <w:r>
        <w:rPr>
          <w:rFonts w:cs="Arial"/>
          <w:b/>
          <w:color w:val="7030A0"/>
          <w:szCs w:val="22"/>
        </w:rPr>
        <w:t xml:space="preserve">future pharmacy remuneration </w:t>
      </w:r>
    </w:p>
    <w:p w:rsidR="008033E3" w:rsidRPr="00AE5908" w:rsidRDefault="008033E3" w:rsidP="008033E3">
      <w:pPr>
        <w:rPr>
          <w:rFonts w:cs="Arial"/>
          <w:color w:val="auto"/>
          <w:szCs w:val="22"/>
        </w:rPr>
      </w:pPr>
    </w:p>
    <w:p w:rsidR="008033E3" w:rsidRPr="00AE5908" w:rsidRDefault="008033E3" w:rsidP="008033E3">
      <w:pPr>
        <w:rPr>
          <w:rFonts w:cs="Arial"/>
          <w:i/>
          <w:color w:val="auto"/>
          <w:szCs w:val="22"/>
        </w:rPr>
      </w:pPr>
      <w:r>
        <w:rPr>
          <w:rFonts w:cs="Arial"/>
          <w:i/>
          <w:color w:val="auto"/>
          <w:szCs w:val="22"/>
        </w:rPr>
        <w:t>1.1 Include</w:t>
      </w:r>
      <w:r w:rsidRPr="00AE5908">
        <w:rPr>
          <w:rFonts w:cs="Arial"/>
          <w:i/>
          <w:color w:val="auto"/>
          <w:szCs w:val="22"/>
        </w:rPr>
        <w:t xml:space="preserve"> a range of stakeholders, including SHPA, in the negotiation of the Pharmaceutical Benefits Scheme remuneration for pharmacy services</w:t>
      </w:r>
      <w:r>
        <w:rPr>
          <w:rFonts w:cs="Arial"/>
          <w:i/>
          <w:color w:val="auto"/>
          <w:szCs w:val="22"/>
        </w:rPr>
        <w:t xml:space="preserve"> where our members are strongly involved.</w:t>
      </w:r>
    </w:p>
    <w:p w:rsidR="008033E3" w:rsidRPr="00AE5908" w:rsidRDefault="008033E3" w:rsidP="008033E3">
      <w:pPr>
        <w:rPr>
          <w:rFonts w:cs="Arial"/>
          <w:color w:val="auto"/>
          <w:szCs w:val="22"/>
        </w:rPr>
      </w:pPr>
    </w:p>
    <w:p w:rsidR="008033E3" w:rsidRPr="00AE5908" w:rsidRDefault="008033E3" w:rsidP="008033E3">
      <w:pPr>
        <w:rPr>
          <w:rFonts w:cs="Arial"/>
          <w:color w:val="auto"/>
          <w:szCs w:val="22"/>
        </w:rPr>
      </w:pPr>
      <w:r w:rsidRPr="00AE5908">
        <w:rPr>
          <w:rFonts w:cs="Arial"/>
          <w:color w:val="auto"/>
          <w:szCs w:val="22"/>
        </w:rPr>
        <w:t xml:space="preserve">In Australia pharmacy services have traditionally been divided into largely separate spheres of pharmacy activity: those within a community retail pharmacy; and those in institutional setting such as hospitals. However the remuneration of medicines and associated pharmacy services as delivered to outpatients and in clinics by hospital pharmacists is traditionally negotiated exclusively with The Pharmacy Guild of Australia, a membership organisation reflecting the interests of pharmacists who own community pharmacies. This is despite the fact that </w:t>
      </w:r>
      <w:hyperlink r:id="rId19" w:history="1">
        <w:r w:rsidRPr="00AD2C05">
          <w:rPr>
            <w:rStyle w:val="Hyperlink"/>
            <w:rFonts w:cs="Arial"/>
            <w:szCs w:val="22"/>
          </w:rPr>
          <w:t>twenty per cent of PBS expenditure</w:t>
        </w:r>
      </w:hyperlink>
      <w:r w:rsidRPr="00AE5908">
        <w:rPr>
          <w:rFonts w:cs="Arial"/>
          <w:color w:val="auto"/>
          <w:szCs w:val="22"/>
        </w:rPr>
        <w:t xml:space="preserve"> is managed by pharmacists in public or private hospitals. </w:t>
      </w:r>
      <w:r>
        <w:rPr>
          <w:rFonts w:cs="Arial"/>
          <w:color w:val="auto"/>
          <w:szCs w:val="22"/>
        </w:rPr>
        <w:t>This statistic has risen steadily year on year and will continue as highly specialised and expensive medicines continue to be listed on the PBS while regular medicines (commonly dispensed by community pharmacies) will no longer attract government subsidy due to a combination of Price Disclosure policies and increased co-payments against CPI.</w:t>
      </w:r>
    </w:p>
    <w:p w:rsidR="008033E3" w:rsidRPr="00AE5908" w:rsidRDefault="008033E3" w:rsidP="008033E3">
      <w:pPr>
        <w:rPr>
          <w:rFonts w:cs="Arial"/>
          <w:color w:val="auto"/>
          <w:szCs w:val="22"/>
        </w:rPr>
      </w:pPr>
    </w:p>
    <w:p w:rsidR="008033E3" w:rsidRPr="00AE5908" w:rsidRDefault="008033E3" w:rsidP="008033E3">
      <w:pPr>
        <w:rPr>
          <w:rFonts w:cs="Arial"/>
          <w:color w:val="auto"/>
          <w:szCs w:val="22"/>
        </w:rPr>
      </w:pPr>
      <w:r w:rsidRPr="00AE5908">
        <w:rPr>
          <w:rFonts w:cs="Arial"/>
          <w:color w:val="auto"/>
          <w:szCs w:val="22"/>
        </w:rPr>
        <w:t>SHPA awaits the recommendations of the Phar</w:t>
      </w:r>
      <w:r>
        <w:rPr>
          <w:rFonts w:cs="Arial"/>
          <w:color w:val="auto"/>
          <w:szCs w:val="22"/>
        </w:rPr>
        <w:t>macy Remuneration Review in mid-</w:t>
      </w:r>
      <w:r w:rsidRPr="00AE5908">
        <w:rPr>
          <w:rFonts w:cs="Arial"/>
          <w:color w:val="auto"/>
          <w:szCs w:val="22"/>
        </w:rPr>
        <w:t xml:space="preserve">2017 and welcomes greater involvement with the development of the remuneration framework for pharmacy. </w:t>
      </w:r>
      <w:r>
        <w:rPr>
          <w:rFonts w:cs="Arial"/>
          <w:color w:val="auto"/>
          <w:szCs w:val="22"/>
        </w:rPr>
        <w:t xml:space="preserve">This would enable hospital pharmacists to advocate for savings related to reducing red-tape associated with the cumbersome funding of medicines and the inefficient funding of pharmacy services in the community.  This is discussed in more detail in our </w:t>
      </w:r>
      <w:hyperlink r:id="rId20" w:history="1">
        <w:r w:rsidRPr="00153FCD">
          <w:rPr>
            <w:rStyle w:val="Hyperlink"/>
            <w:rFonts w:cs="Arial"/>
            <w:szCs w:val="22"/>
          </w:rPr>
          <w:t>submission to the Pharmacy Remuneration and Regulation Review</w:t>
        </w:r>
      </w:hyperlink>
      <w:r>
        <w:rPr>
          <w:rFonts w:cs="Arial"/>
          <w:color w:val="auto"/>
          <w:szCs w:val="22"/>
        </w:rPr>
        <w:t xml:space="preserve">. </w:t>
      </w:r>
    </w:p>
    <w:p w:rsidR="008033E3" w:rsidRPr="00AE5908" w:rsidRDefault="008033E3" w:rsidP="008033E3">
      <w:pPr>
        <w:rPr>
          <w:rFonts w:cs="Arial"/>
          <w:color w:val="auto"/>
          <w:szCs w:val="22"/>
        </w:rPr>
      </w:pPr>
    </w:p>
    <w:p w:rsidR="008033E3" w:rsidRPr="00AE5908" w:rsidRDefault="008033E3" w:rsidP="008033E3">
      <w:pPr>
        <w:rPr>
          <w:rFonts w:cs="Arial"/>
          <w:i/>
          <w:color w:val="auto"/>
          <w:szCs w:val="22"/>
        </w:rPr>
      </w:pPr>
      <w:r>
        <w:rPr>
          <w:rFonts w:cs="Arial"/>
          <w:i/>
          <w:color w:val="auto"/>
          <w:szCs w:val="22"/>
        </w:rPr>
        <w:t xml:space="preserve">1.2 </w:t>
      </w:r>
      <w:r w:rsidRPr="00AE5908">
        <w:rPr>
          <w:rFonts w:cs="Arial"/>
          <w:i/>
          <w:color w:val="auto"/>
          <w:szCs w:val="22"/>
        </w:rPr>
        <w:t xml:space="preserve">Remove the </w:t>
      </w:r>
      <w:r>
        <w:rPr>
          <w:rFonts w:cs="Arial"/>
          <w:i/>
          <w:color w:val="auto"/>
          <w:szCs w:val="22"/>
        </w:rPr>
        <w:t xml:space="preserve">20 person </w:t>
      </w:r>
      <w:r w:rsidRPr="00AE5908">
        <w:rPr>
          <w:rFonts w:cs="Arial"/>
          <w:i/>
          <w:color w:val="auto"/>
          <w:szCs w:val="22"/>
        </w:rPr>
        <w:t>cap on the provision of funding for H</w:t>
      </w:r>
      <w:r>
        <w:rPr>
          <w:rFonts w:cs="Arial"/>
          <w:i/>
          <w:color w:val="auto"/>
          <w:szCs w:val="22"/>
        </w:rPr>
        <w:t>ome Medicine Reviews</w:t>
      </w:r>
      <w:r w:rsidRPr="00AE5908">
        <w:rPr>
          <w:rFonts w:cs="Arial"/>
          <w:i/>
          <w:color w:val="auto"/>
          <w:szCs w:val="22"/>
        </w:rPr>
        <w:t xml:space="preserve"> in regional and rural areas for patients over 70 years of age</w:t>
      </w:r>
      <w:r>
        <w:rPr>
          <w:rFonts w:cs="Arial"/>
          <w:i/>
          <w:color w:val="auto"/>
          <w:szCs w:val="22"/>
        </w:rPr>
        <w:t>, as funded through the Community Pharmacy Agreement</w:t>
      </w:r>
      <w:r w:rsidRPr="00AE5908">
        <w:rPr>
          <w:rFonts w:cs="Arial"/>
          <w:i/>
          <w:color w:val="auto"/>
          <w:szCs w:val="22"/>
        </w:rPr>
        <w:t>.</w:t>
      </w:r>
    </w:p>
    <w:p w:rsidR="008033E3" w:rsidRPr="00AE5908" w:rsidRDefault="008033E3" w:rsidP="008033E3">
      <w:pPr>
        <w:rPr>
          <w:rFonts w:cs="Arial"/>
          <w:color w:val="auto"/>
          <w:szCs w:val="22"/>
        </w:rPr>
      </w:pPr>
    </w:p>
    <w:p w:rsidR="008033E3" w:rsidRDefault="008033E3" w:rsidP="008033E3">
      <w:pPr>
        <w:rPr>
          <w:rFonts w:cs="Arial"/>
          <w:color w:val="auto"/>
          <w:szCs w:val="22"/>
        </w:rPr>
      </w:pPr>
      <w:r w:rsidRPr="00AE5908">
        <w:rPr>
          <w:rFonts w:cs="Arial"/>
          <w:color w:val="auto"/>
          <w:szCs w:val="22"/>
        </w:rPr>
        <w:t>Introduction of funding for</w:t>
      </w:r>
      <w:r>
        <w:rPr>
          <w:rFonts w:cs="Arial"/>
          <w:color w:val="auto"/>
          <w:szCs w:val="22"/>
        </w:rPr>
        <w:t xml:space="preserve"> the</w:t>
      </w:r>
      <w:r w:rsidRPr="00AE5908">
        <w:rPr>
          <w:rFonts w:cs="Arial"/>
          <w:color w:val="auto"/>
          <w:szCs w:val="22"/>
        </w:rPr>
        <w:t xml:space="preserve"> Home Medic</w:t>
      </w:r>
      <w:r>
        <w:rPr>
          <w:rFonts w:cs="Arial"/>
          <w:color w:val="auto"/>
          <w:szCs w:val="22"/>
        </w:rPr>
        <w:t>ines</w:t>
      </w:r>
      <w:r w:rsidRPr="00AE5908">
        <w:rPr>
          <w:rFonts w:cs="Arial"/>
          <w:color w:val="auto"/>
          <w:szCs w:val="22"/>
        </w:rPr>
        <w:t xml:space="preserve"> Review</w:t>
      </w:r>
      <w:r>
        <w:rPr>
          <w:rFonts w:cs="Arial"/>
          <w:color w:val="auto"/>
          <w:szCs w:val="22"/>
        </w:rPr>
        <w:t xml:space="preserve"> Program (HMR)</w:t>
      </w:r>
      <w:r w:rsidRPr="00AE5908">
        <w:rPr>
          <w:rFonts w:cs="Arial"/>
          <w:color w:val="auto"/>
          <w:szCs w:val="22"/>
        </w:rPr>
        <w:t xml:space="preserve"> in </w:t>
      </w:r>
      <w:r>
        <w:rPr>
          <w:rFonts w:cs="Arial"/>
          <w:color w:val="auto"/>
          <w:szCs w:val="22"/>
        </w:rPr>
        <w:t>2001</w:t>
      </w:r>
      <w:r w:rsidRPr="00AE5908">
        <w:rPr>
          <w:rFonts w:cs="Arial"/>
          <w:color w:val="auto"/>
          <w:szCs w:val="22"/>
        </w:rPr>
        <w:t xml:space="preserve"> </w:t>
      </w:r>
      <w:r>
        <w:rPr>
          <w:rFonts w:cs="Arial"/>
          <w:color w:val="auto"/>
          <w:szCs w:val="22"/>
        </w:rPr>
        <w:t xml:space="preserve">through the Community Pharmacy Agreement </w:t>
      </w:r>
      <w:r w:rsidRPr="00AE5908">
        <w:rPr>
          <w:rFonts w:cs="Arial"/>
          <w:color w:val="auto"/>
          <w:szCs w:val="22"/>
        </w:rPr>
        <w:t>recognised the value of pharmacist conducted reviews of medicines</w:t>
      </w:r>
      <w:r>
        <w:rPr>
          <w:rFonts w:cs="Arial"/>
          <w:color w:val="auto"/>
          <w:szCs w:val="22"/>
        </w:rPr>
        <w:t xml:space="preserve"> in collaboration with GPs</w:t>
      </w:r>
      <w:r w:rsidRPr="00AE5908">
        <w:rPr>
          <w:rFonts w:cs="Arial"/>
          <w:color w:val="auto"/>
          <w:szCs w:val="22"/>
        </w:rPr>
        <w:t xml:space="preserve"> in reducing misadventure and subsequent patient harm as demonstrated by </w:t>
      </w:r>
      <w:hyperlink r:id="rId21" w:history="1">
        <w:r w:rsidRPr="00855971">
          <w:rPr>
            <w:rStyle w:val="Hyperlink"/>
            <w:rFonts w:cs="Arial"/>
            <w:szCs w:val="22"/>
          </w:rPr>
          <w:t>230,000 medicine-related hospital admissions each year</w:t>
        </w:r>
      </w:hyperlink>
      <w:r w:rsidRPr="00AE5908">
        <w:rPr>
          <w:rFonts w:cs="Arial"/>
          <w:color w:val="auto"/>
          <w:szCs w:val="22"/>
        </w:rPr>
        <w:t xml:space="preserve">. </w:t>
      </w:r>
      <w:r>
        <w:rPr>
          <w:rFonts w:cs="Arial"/>
          <w:color w:val="auto"/>
          <w:szCs w:val="22"/>
        </w:rPr>
        <w:t xml:space="preserve">Research conducted at a major hospital network in metropolitan Melbourne demonstrated that </w:t>
      </w:r>
      <w:hyperlink r:id="rId22" w:history="1">
        <w:r w:rsidRPr="00A56E5C">
          <w:rPr>
            <w:rStyle w:val="Hyperlink"/>
            <w:rFonts w:cs="Arial"/>
            <w:szCs w:val="22"/>
          </w:rPr>
          <w:t>pharmacist</w:t>
        </w:r>
        <w:r w:rsidRPr="00A56E5C">
          <w:rPr>
            <w:rStyle w:val="Hyperlink"/>
            <w:rFonts w:cs="Arial"/>
            <w:szCs w:val="22"/>
          </w:rPr>
          <w:noBreakHyphen/>
          <w:t>led medication reviews reduced the prevalence of unplanned hospital admissions</w:t>
        </w:r>
      </w:hyperlink>
      <w:r>
        <w:rPr>
          <w:rFonts w:cs="Arial"/>
          <w:color w:val="auto"/>
          <w:szCs w:val="22"/>
        </w:rPr>
        <w:t xml:space="preserve"> and presentations to the emergency department. </w:t>
      </w:r>
    </w:p>
    <w:p w:rsidR="008033E3" w:rsidRDefault="008033E3" w:rsidP="008033E3">
      <w:pPr>
        <w:rPr>
          <w:rFonts w:cs="Arial"/>
          <w:color w:val="auto"/>
          <w:szCs w:val="22"/>
        </w:rPr>
      </w:pPr>
    </w:p>
    <w:p w:rsidR="008033E3" w:rsidRDefault="008033E3" w:rsidP="008033E3">
      <w:pPr>
        <w:rPr>
          <w:rFonts w:cs="Arial"/>
          <w:color w:val="auto"/>
          <w:szCs w:val="22"/>
        </w:rPr>
      </w:pPr>
      <w:r>
        <w:rPr>
          <w:rFonts w:cs="Arial"/>
          <w:color w:val="auto"/>
          <w:szCs w:val="22"/>
        </w:rPr>
        <w:t xml:space="preserve">SHPA believes HMRs have potential to play a valuable role in improving health outcomes for a population that has </w:t>
      </w:r>
      <w:hyperlink r:id="rId23" w:history="1">
        <w:r w:rsidRPr="00506220">
          <w:rPr>
            <w:rStyle w:val="Hyperlink"/>
            <w:rFonts w:cs="Arial"/>
            <w:szCs w:val="22"/>
          </w:rPr>
          <w:t>higher health needs and poorer health outcomes than their metropolitan counterparts</w:t>
        </w:r>
      </w:hyperlink>
      <w:r>
        <w:rPr>
          <w:rFonts w:cs="Arial"/>
          <w:color w:val="auto"/>
          <w:szCs w:val="22"/>
        </w:rPr>
        <w:t xml:space="preserve">, however access to HMRs remains a significant barrier. </w:t>
      </w:r>
    </w:p>
    <w:p w:rsidR="008033E3" w:rsidRDefault="008033E3" w:rsidP="008033E3">
      <w:pPr>
        <w:rPr>
          <w:rFonts w:cs="Arial"/>
          <w:color w:val="auto"/>
          <w:szCs w:val="22"/>
        </w:rPr>
      </w:pPr>
    </w:p>
    <w:p w:rsidR="008033E3" w:rsidRDefault="008033E3" w:rsidP="008033E3">
      <w:pPr>
        <w:rPr>
          <w:rFonts w:cs="Arial"/>
          <w:color w:val="auto"/>
          <w:szCs w:val="22"/>
        </w:rPr>
      </w:pPr>
      <w:r w:rsidRPr="00AE5908">
        <w:rPr>
          <w:rFonts w:cs="Arial"/>
          <w:color w:val="auto"/>
          <w:szCs w:val="22"/>
        </w:rPr>
        <w:t>Since</w:t>
      </w:r>
      <w:r>
        <w:rPr>
          <w:rFonts w:cs="Arial"/>
          <w:color w:val="auto"/>
          <w:szCs w:val="22"/>
        </w:rPr>
        <w:t xml:space="preserve"> early 2013, to rein in a projected overspend for the HMR Program which represented less than 0.5% of the entire Fifth Community Pharmacy Agreement budget,</w:t>
      </w:r>
      <w:r w:rsidRPr="00AE5908">
        <w:rPr>
          <w:rFonts w:cs="Arial"/>
          <w:color w:val="auto"/>
          <w:szCs w:val="22"/>
        </w:rPr>
        <w:t xml:space="preserve"> a</w:t>
      </w:r>
      <w:r>
        <w:rPr>
          <w:rFonts w:cs="Arial"/>
          <w:color w:val="auto"/>
          <w:szCs w:val="22"/>
        </w:rPr>
        <w:t>n arbitrary</w:t>
      </w:r>
      <w:r w:rsidRPr="00AE5908">
        <w:rPr>
          <w:rFonts w:cs="Arial"/>
          <w:color w:val="auto"/>
          <w:szCs w:val="22"/>
        </w:rPr>
        <w:t xml:space="preserve"> cap </w:t>
      </w:r>
      <w:r>
        <w:rPr>
          <w:rFonts w:cs="Arial"/>
          <w:color w:val="auto"/>
          <w:szCs w:val="22"/>
        </w:rPr>
        <w:t>was</w:t>
      </w:r>
      <w:r w:rsidRPr="00AE5908">
        <w:rPr>
          <w:rFonts w:cs="Arial"/>
          <w:color w:val="auto"/>
          <w:szCs w:val="22"/>
        </w:rPr>
        <w:t xml:space="preserve"> </w:t>
      </w:r>
      <w:r>
        <w:rPr>
          <w:rFonts w:cs="Arial"/>
          <w:color w:val="auto"/>
          <w:szCs w:val="22"/>
        </w:rPr>
        <w:t>introduced across the board</w:t>
      </w:r>
      <w:r w:rsidRPr="00AE5908">
        <w:rPr>
          <w:rFonts w:cs="Arial"/>
          <w:color w:val="auto"/>
          <w:szCs w:val="22"/>
        </w:rPr>
        <w:t xml:space="preserve"> </w:t>
      </w:r>
      <w:r>
        <w:rPr>
          <w:rFonts w:cs="Arial"/>
          <w:color w:val="auto"/>
          <w:szCs w:val="22"/>
        </w:rPr>
        <w:t>limiting</w:t>
      </w:r>
      <w:r w:rsidRPr="00AE5908">
        <w:rPr>
          <w:rFonts w:cs="Arial"/>
          <w:color w:val="auto"/>
          <w:szCs w:val="22"/>
        </w:rPr>
        <w:t xml:space="preserve"> the number of HMRs a</w:t>
      </w:r>
      <w:r>
        <w:rPr>
          <w:rFonts w:cs="Arial"/>
          <w:color w:val="auto"/>
          <w:szCs w:val="22"/>
        </w:rPr>
        <w:t>n</w:t>
      </w:r>
      <w:r w:rsidRPr="00AE5908">
        <w:rPr>
          <w:rFonts w:cs="Arial"/>
          <w:color w:val="auto"/>
          <w:szCs w:val="22"/>
        </w:rPr>
        <w:t xml:space="preserve"> </w:t>
      </w:r>
      <w:r>
        <w:rPr>
          <w:rFonts w:cs="Arial"/>
          <w:color w:val="auto"/>
          <w:szCs w:val="22"/>
        </w:rPr>
        <w:t xml:space="preserve">accredited </w:t>
      </w:r>
      <w:r w:rsidRPr="00AE5908">
        <w:rPr>
          <w:rFonts w:cs="Arial"/>
          <w:color w:val="auto"/>
          <w:szCs w:val="22"/>
        </w:rPr>
        <w:t>pharmacist can conduct per month</w:t>
      </w:r>
      <w:r>
        <w:rPr>
          <w:rFonts w:cs="Arial"/>
          <w:color w:val="auto"/>
          <w:szCs w:val="22"/>
        </w:rPr>
        <w:t xml:space="preserve"> due to concerns about excessive claims in metropolitan areas.</w:t>
      </w:r>
    </w:p>
    <w:p w:rsidR="008033E3" w:rsidRDefault="008033E3" w:rsidP="008033E3">
      <w:pPr>
        <w:rPr>
          <w:rFonts w:cs="Arial"/>
          <w:color w:val="auto"/>
          <w:szCs w:val="22"/>
        </w:rPr>
      </w:pPr>
    </w:p>
    <w:p w:rsidR="008033E3" w:rsidRDefault="008033E3" w:rsidP="008033E3">
      <w:pPr>
        <w:rPr>
          <w:rFonts w:cs="Arial"/>
          <w:color w:val="auto"/>
          <w:szCs w:val="22"/>
        </w:rPr>
      </w:pPr>
      <w:r>
        <w:rPr>
          <w:rFonts w:cs="Arial"/>
          <w:color w:val="auto"/>
          <w:szCs w:val="22"/>
        </w:rPr>
        <w:lastRenderedPageBreak/>
        <w:t xml:space="preserve">SHPA believes this cap is having a significantly negative impact on people living in regional and rural areas and should be removed. In rural and regional Australia there is a </w:t>
      </w:r>
      <w:r w:rsidRPr="00AE5908">
        <w:rPr>
          <w:rFonts w:cs="Arial"/>
          <w:color w:val="auto"/>
          <w:szCs w:val="22"/>
        </w:rPr>
        <w:t>poor ratio of HMR accredited pharmacists</w:t>
      </w:r>
      <w:r>
        <w:rPr>
          <w:rFonts w:cs="Arial"/>
          <w:color w:val="auto"/>
          <w:szCs w:val="22"/>
        </w:rPr>
        <w:t xml:space="preserve"> and typically m</w:t>
      </w:r>
      <w:r w:rsidRPr="00AE5908">
        <w:rPr>
          <w:rFonts w:cs="Arial"/>
          <w:color w:val="auto"/>
          <w:szCs w:val="22"/>
        </w:rPr>
        <w:t xml:space="preserve">ultiple </w:t>
      </w:r>
      <w:r>
        <w:rPr>
          <w:rFonts w:cs="Arial"/>
          <w:color w:val="auto"/>
          <w:szCs w:val="22"/>
        </w:rPr>
        <w:t>g</w:t>
      </w:r>
      <w:r w:rsidRPr="00AE5908">
        <w:rPr>
          <w:rFonts w:cs="Arial"/>
          <w:color w:val="auto"/>
          <w:szCs w:val="22"/>
        </w:rPr>
        <w:t xml:space="preserve">eneral </w:t>
      </w:r>
      <w:r>
        <w:rPr>
          <w:rFonts w:cs="Arial"/>
          <w:color w:val="auto"/>
          <w:szCs w:val="22"/>
        </w:rPr>
        <w:t>p</w:t>
      </w:r>
      <w:r w:rsidRPr="00AE5908">
        <w:rPr>
          <w:rFonts w:cs="Arial"/>
          <w:color w:val="auto"/>
          <w:szCs w:val="22"/>
        </w:rPr>
        <w:t>ractitioners often refer eligible patients to a single accredited pharmacist</w:t>
      </w:r>
      <w:r>
        <w:rPr>
          <w:rFonts w:cs="Arial"/>
          <w:color w:val="auto"/>
          <w:szCs w:val="22"/>
        </w:rPr>
        <w:t>. There is also a larger proportion of high risk patients due to the demographics of older populations in regional areas. However once the accredited pharmacist</w:t>
      </w:r>
      <w:r w:rsidRPr="00AE5908">
        <w:rPr>
          <w:rFonts w:cs="Arial"/>
          <w:color w:val="auto"/>
          <w:szCs w:val="22"/>
        </w:rPr>
        <w:t xml:space="preserve"> in a regional centre</w:t>
      </w:r>
      <w:r>
        <w:rPr>
          <w:rFonts w:cs="Arial"/>
          <w:color w:val="auto"/>
          <w:szCs w:val="22"/>
        </w:rPr>
        <w:t xml:space="preserve"> has conducted 20 reviews they must put all others off. </w:t>
      </w:r>
      <w:r w:rsidRPr="00AE5908">
        <w:rPr>
          <w:rFonts w:cs="Arial"/>
          <w:color w:val="auto"/>
          <w:szCs w:val="22"/>
        </w:rPr>
        <w:t xml:space="preserve"> As medicine misuse</w:t>
      </w:r>
      <w:r>
        <w:rPr>
          <w:rFonts w:cs="Arial"/>
          <w:color w:val="auto"/>
          <w:szCs w:val="22"/>
        </w:rPr>
        <w:t xml:space="preserve"> and adverse effects from medicines</w:t>
      </w:r>
      <w:r w:rsidRPr="00AE5908">
        <w:rPr>
          <w:rFonts w:cs="Arial"/>
          <w:color w:val="auto"/>
          <w:szCs w:val="22"/>
        </w:rPr>
        <w:t xml:space="preserve"> </w:t>
      </w:r>
      <w:r>
        <w:rPr>
          <w:rFonts w:cs="Arial"/>
          <w:color w:val="auto"/>
          <w:szCs w:val="22"/>
        </w:rPr>
        <w:t xml:space="preserve">uses </w:t>
      </w:r>
      <w:r w:rsidRPr="00AE5908">
        <w:rPr>
          <w:rFonts w:cs="Arial"/>
          <w:color w:val="auto"/>
          <w:szCs w:val="22"/>
        </w:rPr>
        <w:t xml:space="preserve">becomes increasingly risky </w:t>
      </w:r>
      <w:r>
        <w:rPr>
          <w:rFonts w:cs="Arial"/>
          <w:color w:val="auto"/>
          <w:szCs w:val="22"/>
        </w:rPr>
        <w:t xml:space="preserve">for patients </w:t>
      </w:r>
      <w:r w:rsidRPr="00AE5908">
        <w:rPr>
          <w:rFonts w:cs="Arial"/>
          <w:color w:val="auto"/>
          <w:szCs w:val="22"/>
        </w:rPr>
        <w:t>over time</w:t>
      </w:r>
      <w:r>
        <w:rPr>
          <w:rFonts w:cs="Arial"/>
          <w:color w:val="auto"/>
          <w:szCs w:val="22"/>
        </w:rPr>
        <w:t>,</w:t>
      </w:r>
      <w:r w:rsidRPr="00AE5908">
        <w:rPr>
          <w:rFonts w:cs="Arial"/>
          <w:color w:val="auto"/>
          <w:szCs w:val="22"/>
        </w:rPr>
        <w:t xml:space="preserve"> this delay can be costly.</w:t>
      </w:r>
    </w:p>
    <w:p w:rsidR="008033E3" w:rsidRDefault="008033E3" w:rsidP="008033E3">
      <w:pPr>
        <w:rPr>
          <w:rFonts w:cs="Arial"/>
          <w:color w:val="auto"/>
          <w:szCs w:val="22"/>
        </w:rPr>
      </w:pPr>
    </w:p>
    <w:p w:rsidR="008033E3" w:rsidRPr="00AE5908" w:rsidRDefault="008033E3" w:rsidP="008033E3">
      <w:pPr>
        <w:rPr>
          <w:rFonts w:cs="Arial"/>
          <w:color w:val="auto"/>
          <w:szCs w:val="22"/>
        </w:rPr>
      </w:pPr>
      <w:r>
        <w:rPr>
          <w:rFonts w:cs="Arial"/>
          <w:color w:val="auto"/>
          <w:szCs w:val="22"/>
        </w:rPr>
        <w:t xml:space="preserve">In addition many areas have no local accredited pharmacist so they must organise for one to visit which the cap reduces incentive. Frequently there is excessive demand for reviews as well as substantial physical distance to be travelled. Greater flexibility in travel costs, in volume of reviews and in mode of delivery such as telehealth, could all make a key contribution to improving the health outcomes of rural Australians. </w:t>
      </w:r>
    </w:p>
    <w:p w:rsidR="008033E3" w:rsidRPr="00E463AD" w:rsidRDefault="008033E3" w:rsidP="008033E3">
      <w:pPr>
        <w:rPr>
          <w:rFonts w:cs="Arial"/>
          <w:b/>
          <w:color w:val="auto"/>
          <w:szCs w:val="22"/>
        </w:rPr>
      </w:pPr>
    </w:p>
    <w:p w:rsidR="008033E3" w:rsidRPr="00E463AD" w:rsidRDefault="008033E3" w:rsidP="008033E3">
      <w:pPr>
        <w:numPr>
          <w:ilvl w:val="0"/>
          <w:numId w:val="21"/>
        </w:numPr>
        <w:contextualSpacing/>
        <w:rPr>
          <w:rFonts w:cs="Arial"/>
          <w:b/>
          <w:color w:val="7030A0"/>
          <w:szCs w:val="22"/>
        </w:rPr>
      </w:pPr>
      <w:r w:rsidRPr="00E463AD">
        <w:rPr>
          <w:rFonts w:cs="Arial"/>
          <w:b/>
          <w:color w:val="7030A0"/>
          <w:szCs w:val="22"/>
        </w:rPr>
        <w:t>Support pharmacy in primary health care</w:t>
      </w:r>
    </w:p>
    <w:p w:rsidR="008033E3" w:rsidRPr="00AE5908" w:rsidRDefault="008033E3" w:rsidP="008033E3">
      <w:pPr>
        <w:rPr>
          <w:rFonts w:cs="Arial"/>
          <w:color w:val="auto"/>
          <w:szCs w:val="22"/>
        </w:rPr>
      </w:pPr>
    </w:p>
    <w:p w:rsidR="008033E3" w:rsidRPr="00AE5908" w:rsidRDefault="008033E3" w:rsidP="008033E3">
      <w:pPr>
        <w:rPr>
          <w:rFonts w:cs="Arial"/>
          <w:i/>
          <w:color w:val="auto"/>
          <w:szCs w:val="22"/>
        </w:rPr>
      </w:pPr>
      <w:r>
        <w:rPr>
          <w:rFonts w:cs="Arial"/>
          <w:i/>
          <w:color w:val="auto"/>
          <w:szCs w:val="22"/>
        </w:rPr>
        <w:t xml:space="preserve">2.1 Fund pharmacists with relevant experience and accreditation to work in primacy health care settings such as general practice through the Medicare Benefits Schedule, or the provision of funding incentives for general practices. </w:t>
      </w:r>
    </w:p>
    <w:p w:rsidR="008033E3" w:rsidRDefault="008033E3" w:rsidP="008033E3">
      <w:pPr>
        <w:rPr>
          <w:rFonts w:cs="Arial"/>
          <w:color w:val="auto"/>
          <w:szCs w:val="22"/>
        </w:rPr>
      </w:pPr>
    </w:p>
    <w:p w:rsidR="008565D3" w:rsidRDefault="008033E3" w:rsidP="008033E3">
      <w:pPr>
        <w:rPr>
          <w:rFonts w:cs="Arial"/>
          <w:color w:val="auto"/>
          <w:szCs w:val="22"/>
        </w:rPr>
      </w:pPr>
      <w:r w:rsidRPr="00AE5908">
        <w:rPr>
          <w:rFonts w:cs="Arial"/>
          <w:color w:val="auto"/>
          <w:szCs w:val="22"/>
        </w:rPr>
        <w:t xml:space="preserve">SHPA </w:t>
      </w:r>
      <w:r>
        <w:rPr>
          <w:rFonts w:cs="Arial"/>
          <w:color w:val="auto"/>
          <w:szCs w:val="22"/>
        </w:rPr>
        <w:t xml:space="preserve">supports </w:t>
      </w:r>
      <w:r w:rsidRPr="00AE5908">
        <w:rPr>
          <w:rFonts w:cs="Arial"/>
          <w:color w:val="auto"/>
          <w:szCs w:val="22"/>
        </w:rPr>
        <w:t>increased utilisation of pharmacists in primary health care</w:t>
      </w:r>
      <w:r>
        <w:rPr>
          <w:rFonts w:cs="Arial"/>
          <w:color w:val="auto"/>
          <w:szCs w:val="22"/>
        </w:rPr>
        <w:t xml:space="preserve"> in settings such general practice</w:t>
      </w:r>
      <w:r w:rsidRPr="00AE5908">
        <w:rPr>
          <w:rFonts w:cs="Arial"/>
          <w:color w:val="auto"/>
          <w:szCs w:val="22"/>
        </w:rPr>
        <w:t xml:space="preserve">. Analysis by </w:t>
      </w:r>
      <w:hyperlink r:id="rId24" w:history="1">
        <w:r w:rsidRPr="008202C5">
          <w:rPr>
            <w:rStyle w:val="Hyperlink"/>
            <w:rFonts w:cs="Arial"/>
            <w:szCs w:val="22"/>
          </w:rPr>
          <w:t>Deloitte Access Economics</w:t>
        </w:r>
      </w:hyperlink>
      <w:r w:rsidRPr="00AE5908">
        <w:rPr>
          <w:rFonts w:cs="Arial"/>
          <w:color w:val="auto"/>
          <w:szCs w:val="22"/>
        </w:rPr>
        <w:t xml:space="preserve"> stated that each dollar invested in integrating a non-dispensing pharmacist into general practice clinics could return $1.56. This positive finding aligns with developing best practice internationally which has seen the incorporation of pharmacists in the UK, USA, New Zealand and Canada</w:t>
      </w:r>
      <w:r>
        <w:rPr>
          <w:rFonts w:cs="Arial"/>
          <w:color w:val="auto"/>
          <w:szCs w:val="22"/>
        </w:rPr>
        <w:t xml:space="preserve"> and supports the successful implementation of the Health Care Home program which focuses on coordinated comprehensive care</w:t>
      </w:r>
      <w:r w:rsidRPr="00AE5908">
        <w:rPr>
          <w:rFonts w:cs="Arial"/>
          <w:color w:val="auto"/>
          <w:szCs w:val="22"/>
        </w:rPr>
        <w:t xml:space="preserve">. </w:t>
      </w:r>
    </w:p>
    <w:p w:rsidR="008565D3" w:rsidRDefault="008565D3" w:rsidP="008033E3">
      <w:pPr>
        <w:rPr>
          <w:rFonts w:cs="Arial"/>
          <w:color w:val="auto"/>
          <w:szCs w:val="22"/>
        </w:rPr>
      </w:pPr>
    </w:p>
    <w:p w:rsidR="008033E3" w:rsidRPr="00AE5908" w:rsidRDefault="008033E3" w:rsidP="008033E3">
      <w:pPr>
        <w:rPr>
          <w:rFonts w:cs="Arial"/>
          <w:color w:val="auto"/>
          <w:szCs w:val="22"/>
        </w:rPr>
      </w:pPr>
      <w:r w:rsidRPr="00AE5908">
        <w:rPr>
          <w:rFonts w:cs="Arial"/>
          <w:color w:val="auto"/>
          <w:szCs w:val="22"/>
        </w:rPr>
        <w:t xml:space="preserve">In general practice settings, </w:t>
      </w:r>
      <w:hyperlink r:id="rId25" w:history="1">
        <w:r w:rsidRPr="008202C5">
          <w:rPr>
            <w:rStyle w:val="Hyperlink"/>
            <w:rFonts w:cs="Arial"/>
            <w:szCs w:val="22"/>
          </w:rPr>
          <w:t>experienced pharmacists can provide a range of cognitive services</w:t>
        </w:r>
      </w:hyperlink>
      <w:r w:rsidRPr="00AE5908">
        <w:rPr>
          <w:rFonts w:cs="Arial"/>
          <w:color w:val="auto"/>
          <w:szCs w:val="22"/>
        </w:rPr>
        <w:t xml:space="preserve"> that support treatment for chronic diseases</w:t>
      </w:r>
      <w:r>
        <w:rPr>
          <w:rFonts w:cs="Arial"/>
          <w:color w:val="auto"/>
          <w:szCs w:val="22"/>
        </w:rPr>
        <w:t>;</w:t>
      </w:r>
      <w:r w:rsidRPr="00AE5908">
        <w:rPr>
          <w:rFonts w:cs="Arial"/>
          <w:color w:val="auto"/>
          <w:szCs w:val="22"/>
        </w:rPr>
        <w:t xml:space="preserve"> </w:t>
      </w:r>
      <w:r>
        <w:rPr>
          <w:rFonts w:cs="Arial"/>
          <w:color w:val="auto"/>
          <w:szCs w:val="22"/>
        </w:rPr>
        <w:t xml:space="preserve">review medications; </w:t>
      </w:r>
      <w:r w:rsidRPr="00AE5908">
        <w:rPr>
          <w:rFonts w:cs="Arial"/>
          <w:color w:val="auto"/>
          <w:szCs w:val="22"/>
        </w:rPr>
        <w:t>monitor medicine-related side effects</w:t>
      </w:r>
      <w:r>
        <w:rPr>
          <w:rFonts w:cs="Arial"/>
          <w:color w:val="auto"/>
          <w:szCs w:val="22"/>
        </w:rPr>
        <w:t>, especially relevant</w:t>
      </w:r>
      <w:r w:rsidRPr="00AE5908">
        <w:rPr>
          <w:rFonts w:cs="Arial"/>
          <w:color w:val="auto"/>
          <w:szCs w:val="22"/>
        </w:rPr>
        <w:t xml:space="preserve"> for mental health medicines which impac</w:t>
      </w:r>
      <w:r>
        <w:rPr>
          <w:rFonts w:cs="Arial"/>
          <w:color w:val="auto"/>
          <w:szCs w:val="22"/>
        </w:rPr>
        <w:t>t negatively on physical health;</w:t>
      </w:r>
      <w:r w:rsidRPr="00AE5908">
        <w:rPr>
          <w:rFonts w:cs="Arial"/>
          <w:color w:val="auto"/>
          <w:szCs w:val="22"/>
        </w:rPr>
        <w:t xml:space="preserve"> </w:t>
      </w:r>
      <w:r>
        <w:rPr>
          <w:rFonts w:cs="Arial"/>
          <w:color w:val="auto"/>
          <w:szCs w:val="22"/>
        </w:rPr>
        <w:t xml:space="preserve">and </w:t>
      </w:r>
      <w:r w:rsidRPr="00AE5908">
        <w:rPr>
          <w:rFonts w:cs="Arial"/>
          <w:color w:val="auto"/>
          <w:szCs w:val="22"/>
        </w:rPr>
        <w:t>provide additional patient counselling for people taking new medicines or with special needs.</w:t>
      </w:r>
      <w:r>
        <w:rPr>
          <w:rFonts w:cs="Arial"/>
          <w:color w:val="auto"/>
          <w:szCs w:val="22"/>
        </w:rPr>
        <w:t xml:space="preserve"> Due to the highly clinical nature of pharmac</w:t>
      </w:r>
      <w:r w:rsidR="008565D3">
        <w:rPr>
          <w:rFonts w:cs="Arial"/>
          <w:color w:val="auto"/>
          <w:szCs w:val="22"/>
        </w:rPr>
        <w:t>ist</w:t>
      </w:r>
      <w:r>
        <w:rPr>
          <w:rFonts w:cs="Arial"/>
          <w:color w:val="auto"/>
          <w:szCs w:val="22"/>
        </w:rPr>
        <w:t xml:space="preserve"> consults in primary health care, SHPA believes accreditation would be beneficial for pharmacists intending to be employed in general practice. </w:t>
      </w:r>
      <w:r w:rsidRPr="00AE5908">
        <w:rPr>
          <w:rFonts w:cs="Arial"/>
          <w:color w:val="auto"/>
          <w:szCs w:val="22"/>
        </w:rPr>
        <w:t xml:space="preserve"> </w:t>
      </w:r>
    </w:p>
    <w:p w:rsidR="008033E3" w:rsidRPr="00AE5908" w:rsidRDefault="008033E3" w:rsidP="008033E3">
      <w:pPr>
        <w:rPr>
          <w:rFonts w:cs="Arial"/>
          <w:color w:val="auto"/>
          <w:szCs w:val="22"/>
        </w:rPr>
      </w:pPr>
    </w:p>
    <w:p w:rsidR="008033E3" w:rsidRPr="00AE5908" w:rsidRDefault="008033E3" w:rsidP="008033E3">
      <w:pPr>
        <w:rPr>
          <w:rFonts w:cs="Arial"/>
          <w:color w:val="auto"/>
          <w:szCs w:val="22"/>
        </w:rPr>
      </w:pPr>
    </w:p>
    <w:p w:rsidR="008033E3" w:rsidRPr="00E463AD" w:rsidRDefault="008033E3" w:rsidP="008033E3">
      <w:pPr>
        <w:numPr>
          <w:ilvl w:val="0"/>
          <w:numId w:val="21"/>
        </w:numPr>
        <w:contextualSpacing/>
        <w:rPr>
          <w:rFonts w:cs="Arial"/>
          <w:b/>
          <w:color w:val="7030A0"/>
          <w:szCs w:val="22"/>
        </w:rPr>
      </w:pPr>
      <w:r w:rsidRPr="00E463AD">
        <w:rPr>
          <w:rFonts w:cs="Arial"/>
          <w:b/>
          <w:color w:val="7030A0"/>
          <w:szCs w:val="22"/>
        </w:rPr>
        <w:t>Improve Indigenous access to pharmacy services</w:t>
      </w:r>
    </w:p>
    <w:p w:rsidR="008033E3" w:rsidRPr="00AE5908" w:rsidRDefault="008033E3" w:rsidP="008033E3">
      <w:pPr>
        <w:rPr>
          <w:rFonts w:cs="Arial"/>
          <w:color w:val="auto"/>
          <w:szCs w:val="22"/>
        </w:rPr>
      </w:pPr>
    </w:p>
    <w:p w:rsidR="008033E3" w:rsidRPr="00AE5908" w:rsidRDefault="008033E3" w:rsidP="008033E3">
      <w:pPr>
        <w:rPr>
          <w:rFonts w:cs="Arial"/>
          <w:i/>
          <w:color w:val="auto"/>
          <w:szCs w:val="22"/>
        </w:rPr>
      </w:pPr>
      <w:r>
        <w:rPr>
          <w:rFonts w:cs="Arial"/>
          <w:i/>
          <w:color w:val="auto"/>
          <w:szCs w:val="22"/>
        </w:rPr>
        <w:t xml:space="preserve">3.1 </w:t>
      </w:r>
      <w:r w:rsidRPr="00AE5908">
        <w:rPr>
          <w:rFonts w:cs="Arial"/>
          <w:i/>
          <w:color w:val="auto"/>
          <w:szCs w:val="22"/>
        </w:rPr>
        <w:t>Review funding for the Closing The Gap Pharmaceutical Benefits Scheme Measure (the Measure) to improve the delivery of medicines and pharmacy services to all Aboriginal and Torres Strait Islander patients being discharged from public hospitals.</w:t>
      </w:r>
    </w:p>
    <w:p w:rsidR="008033E3" w:rsidRPr="00AE5908" w:rsidRDefault="008033E3" w:rsidP="008033E3">
      <w:pPr>
        <w:rPr>
          <w:rFonts w:cs="Arial"/>
          <w:color w:val="auto"/>
          <w:szCs w:val="22"/>
        </w:rPr>
      </w:pPr>
    </w:p>
    <w:p w:rsidR="008033E3" w:rsidRPr="00AE5908" w:rsidRDefault="008033E3" w:rsidP="008033E3">
      <w:pPr>
        <w:rPr>
          <w:rFonts w:cs="Arial"/>
          <w:color w:val="auto"/>
          <w:szCs w:val="22"/>
        </w:rPr>
      </w:pPr>
      <w:r w:rsidRPr="00AE5908">
        <w:rPr>
          <w:rFonts w:cs="Arial"/>
          <w:color w:val="auto"/>
          <w:szCs w:val="22"/>
        </w:rPr>
        <w:t>Si</w:t>
      </w:r>
      <w:r>
        <w:rPr>
          <w:rFonts w:cs="Arial"/>
          <w:color w:val="auto"/>
          <w:szCs w:val="22"/>
        </w:rPr>
        <w:t xml:space="preserve">nce they were implemented in 2010 the </w:t>
      </w:r>
      <w:r w:rsidRPr="00AE5908">
        <w:rPr>
          <w:rFonts w:cs="Arial"/>
          <w:color w:val="auto"/>
          <w:szCs w:val="22"/>
        </w:rPr>
        <w:t>Measure and RAAHS s100 program have significantly improved the access of Aboriginal and Torres Strait Islander people to medicines and pharmacy services. However, despite their admirable aims</w:t>
      </w:r>
      <w:r>
        <w:rPr>
          <w:rFonts w:cs="Arial"/>
          <w:color w:val="auto"/>
          <w:szCs w:val="22"/>
        </w:rPr>
        <w:t>,</w:t>
      </w:r>
      <w:r w:rsidRPr="00AE5908">
        <w:rPr>
          <w:rFonts w:cs="Arial"/>
          <w:color w:val="auto"/>
          <w:szCs w:val="22"/>
        </w:rPr>
        <w:t xml:space="preserve"> as both the CTG and the RAAHS programs are limited by location</w:t>
      </w:r>
      <w:r>
        <w:rPr>
          <w:rFonts w:cs="Arial"/>
          <w:color w:val="auto"/>
          <w:szCs w:val="22"/>
        </w:rPr>
        <w:t>,</w:t>
      </w:r>
      <w:r w:rsidRPr="00AE5908">
        <w:rPr>
          <w:rFonts w:cs="Arial"/>
          <w:color w:val="auto"/>
          <w:szCs w:val="22"/>
        </w:rPr>
        <w:t xml:space="preserve"> they do not adequately cover the needs of cont</w:t>
      </w:r>
      <w:r>
        <w:rPr>
          <w:rFonts w:cs="Arial"/>
          <w:color w:val="auto"/>
          <w:szCs w:val="22"/>
        </w:rPr>
        <w:t>emporary Australian communities</w:t>
      </w:r>
      <w:r w:rsidRPr="00AE5908">
        <w:rPr>
          <w:rFonts w:cs="Arial"/>
          <w:color w:val="auto"/>
          <w:szCs w:val="22"/>
        </w:rPr>
        <w:t xml:space="preserve">. Substantial gaps still remain around the access of people away from home whether visiting family in a regional town or receiving treatment for </w:t>
      </w:r>
      <w:r w:rsidRPr="00AE5908">
        <w:rPr>
          <w:rFonts w:cs="Arial"/>
          <w:color w:val="auto"/>
          <w:szCs w:val="22"/>
        </w:rPr>
        <w:lastRenderedPageBreak/>
        <w:t>serious illness in a metropol</w:t>
      </w:r>
      <w:r>
        <w:rPr>
          <w:rFonts w:cs="Arial"/>
          <w:color w:val="auto"/>
          <w:szCs w:val="22"/>
        </w:rPr>
        <w:t>itan hospital. In these common</w:t>
      </w:r>
      <w:r w:rsidRPr="00AE5908">
        <w:rPr>
          <w:rFonts w:cs="Arial"/>
          <w:color w:val="auto"/>
          <w:szCs w:val="22"/>
        </w:rPr>
        <w:t xml:space="preserve"> situations Aboriginal and Torres Strait Islande</w:t>
      </w:r>
      <w:r>
        <w:rPr>
          <w:rFonts w:cs="Arial"/>
          <w:color w:val="auto"/>
          <w:szCs w:val="22"/>
        </w:rPr>
        <w:t>r people are subject to typical hospital</w:t>
      </w:r>
      <w:r w:rsidRPr="00AE5908">
        <w:rPr>
          <w:rFonts w:cs="Arial"/>
          <w:color w:val="auto"/>
          <w:szCs w:val="22"/>
        </w:rPr>
        <w:t xml:space="preserve"> pharmacy service delivery which limits the provision of essential medicines</w:t>
      </w:r>
      <w:r>
        <w:rPr>
          <w:rFonts w:cs="Arial"/>
          <w:color w:val="auto"/>
          <w:szCs w:val="22"/>
        </w:rPr>
        <w:t xml:space="preserve"> on discharge</w:t>
      </w:r>
      <w:r w:rsidRPr="00AE5908">
        <w:rPr>
          <w:rFonts w:cs="Arial"/>
          <w:color w:val="auto"/>
          <w:szCs w:val="22"/>
        </w:rPr>
        <w:t xml:space="preserve">, even though the CTG Measure recognise that this </w:t>
      </w:r>
      <w:r>
        <w:rPr>
          <w:rFonts w:cs="Arial"/>
          <w:color w:val="auto"/>
          <w:szCs w:val="22"/>
        </w:rPr>
        <w:t xml:space="preserve">group </w:t>
      </w:r>
      <w:r w:rsidRPr="00AE5908">
        <w:rPr>
          <w:rFonts w:cs="Arial"/>
          <w:color w:val="auto"/>
          <w:szCs w:val="22"/>
        </w:rPr>
        <w:t xml:space="preserve">do require special access. Revising </w:t>
      </w:r>
      <w:r>
        <w:rPr>
          <w:rFonts w:cs="Arial"/>
          <w:color w:val="auto"/>
          <w:szCs w:val="22"/>
        </w:rPr>
        <w:t xml:space="preserve">elements of </w:t>
      </w:r>
      <w:r w:rsidRPr="00AE5908">
        <w:rPr>
          <w:rFonts w:cs="Arial"/>
          <w:color w:val="auto"/>
          <w:szCs w:val="22"/>
        </w:rPr>
        <w:t>the CTG</w:t>
      </w:r>
      <w:r>
        <w:rPr>
          <w:rFonts w:cs="Arial"/>
          <w:color w:val="auto"/>
          <w:szCs w:val="22"/>
        </w:rPr>
        <w:t xml:space="preserve"> Measure to increase </w:t>
      </w:r>
      <w:r w:rsidRPr="00AE5908">
        <w:rPr>
          <w:rFonts w:cs="Arial"/>
          <w:color w:val="auto"/>
          <w:szCs w:val="22"/>
        </w:rPr>
        <w:t>access to medicines for Aboriginal and Torres Strait Islander peop</w:t>
      </w:r>
      <w:r>
        <w:rPr>
          <w:rFonts w:cs="Arial"/>
          <w:color w:val="auto"/>
          <w:szCs w:val="22"/>
        </w:rPr>
        <w:t>le regardless of their location</w:t>
      </w:r>
      <w:r w:rsidRPr="00AE5908">
        <w:rPr>
          <w:rFonts w:cs="Arial"/>
          <w:color w:val="auto"/>
          <w:szCs w:val="22"/>
        </w:rPr>
        <w:t xml:space="preserve"> would ensure greater achievement of the public health aim. </w:t>
      </w:r>
      <w:r>
        <w:rPr>
          <w:rFonts w:cs="Arial"/>
          <w:color w:val="auto"/>
          <w:szCs w:val="22"/>
        </w:rPr>
        <w:t>The</w:t>
      </w:r>
      <w:r w:rsidRPr="00AE5908">
        <w:rPr>
          <w:rFonts w:cs="Arial"/>
          <w:color w:val="auto"/>
          <w:szCs w:val="22"/>
        </w:rPr>
        <w:t>s</w:t>
      </w:r>
      <w:r>
        <w:rPr>
          <w:rFonts w:cs="Arial"/>
          <w:color w:val="auto"/>
          <w:szCs w:val="22"/>
        </w:rPr>
        <w:t>e</w:t>
      </w:r>
      <w:r w:rsidRPr="00AE5908">
        <w:rPr>
          <w:rFonts w:cs="Arial"/>
          <w:color w:val="auto"/>
          <w:szCs w:val="22"/>
        </w:rPr>
        <w:t xml:space="preserve"> could include:</w:t>
      </w:r>
    </w:p>
    <w:p w:rsidR="008033E3" w:rsidRPr="00AE5908" w:rsidRDefault="008033E3" w:rsidP="008033E3">
      <w:pPr>
        <w:rPr>
          <w:rFonts w:cs="Arial"/>
          <w:color w:val="auto"/>
          <w:szCs w:val="22"/>
        </w:rPr>
      </w:pPr>
    </w:p>
    <w:p w:rsidR="008033E3" w:rsidRPr="00AE5908" w:rsidRDefault="008033E3" w:rsidP="008033E3">
      <w:pPr>
        <w:pStyle w:val="ListParagraph"/>
        <w:numPr>
          <w:ilvl w:val="1"/>
          <w:numId w:val="22"/>
        </w:numPr>
        <w:rPr>
          <w:rFonts w:cs="Arial"/>
          <w:color w:val="auto"/>
          <w:szCs w:val="22"/>
        </w:rPr>
      </w:pPr>
      <w:r w:rsidRPr="00AE5908">
        <w:rPr>
          <w:rFonts w:cs="Arial"/>
          <w:color w:val="auto"/>
          <w:szCs w:val="22"/>
        </w:rPr>
        <w:t xml:space="preserve">Enable hospitals discharging patients registered as Closing The Gap patients to access the Closing The Gap funding necessary to provide a complete medication supply and Dose Administration Aids as required. </w:t>
      </w:r>
    </w:p>
    <w:p w:rsidR="008033E3" w:rsidRPr="00AE5908" w:rsidRDefault="008033E3" w:rsidP="008033E3">
      <w:pPr>
        <w:ind w:left="720"/>
        <w:rPr>
          <w:rFonts w:cs="Arial"/>
          <w:color w:val="auto"/>
          <w:szCs w:val="22"/>
        </w:rPr>
      </w:pPr>
    </w:p>
    <w:p w:rsidR="008033E3" w:rsidRPr="00AE5908" w:rsidRDefault="008033E3" w:rsidP="008033E3">
      <w:pPr>
        <w:pStyle w:val="ListParagraph"/>
        <w:numPr>
          <w:ilvl w:val="1"/>
          <w:numId w:val="22"/>
        </w:numPr>
        <w:rPr>
          <w:rFonts w:cs="Arial"/>
          <w:color w:val="auto"/>
          <w:szCs w:val="22"/>
        </w:rPr>
      </w:pPr>
      <w:r w:rsidRPr="00AE5908">
        <w:rPr>
          <w:rFonts w:cs="Arial"/>
          <w:color w:val="auto"/>
          <w:szCs w:val="22"/>
        </w:rPr>
        <w:t xml:space="preserve">Revise registration of patients for Closing The Gap PBS co-payment measure, to </w:t>
      </w:r>
      <w:r>
        <w:rPr>
          <w:rFonts w:cs="Arial"/>
          <w:color w:val="auto"/>
          <w:szCs w:val="22"/>
        </w:rPr>
        <w:t xml:space="preserve">also </w:t>
      </w:r>
      <w:r w:rsidRPr="00AE5908">
        <w:rPr>
          <w:rFonts w:cs="Arial"/>
          <w:color w:val="auto"/>
          <w:szCs w:val="22"/>
        </w:rPr>
        <w:t xml:space="preserve">include patients typically accessing medicines through Remote Area Aboriginal Health Services, to enable consistent and adequate medicine supply at times of hospital discharge. </w:t>
      </w:r>
    </w:p>
    <w:p w:rsidR="008033E3" w:rsidRPr="00AE5908" w:rsidRDefault="008033E3" w:rsidP="008033E3">
      <w:pPr>
        <w:ind w:left="720"/>
        <w:rPr>
          <w:rFonts w:cs="Arial"/>
          <w:color w:val="auto"/>
          <w:szCs w:val="22"/>
        </w:rPr>
      </w:pPr>
    </w:p>
    <w:p w:rsidR="008033E3" w:rsidRPr="00AE5908" w:rsidRDefault="008033E3" w:rsidP="008033E3">
      <w:pPr>
        <w:pStyle w:val="ListParagraph"/>
        <w:numPr>
          <w:ilvl w:val="1"/>
          <w:numId w:val="22"/>
        </w:numPr>
        <w:rPr>
          <w:rFonts w:cs="Arial"/>
          <w:color w:val="auto"/>
          <w:szCs w:val="22"/>
        </w:rPr>
      </w:pPr>
      <w:r w:rsidRPr="00AE5908">
        <w:rPr>
          <w:rFonts w:cs="Arial"/>
          <w:color w:val="auto"/>
          <w:szCs w:val="22"/>
        </w:rPr>
        <w:t xml:space="preserve">Revise the prescriber categories for Closing The Gap prescriptions to include both Remote Area Aboriginal Health Services and </w:t>
      </w:r>
      <w:r>
        <w:rPr>
          <w:rFonts w:cs="Arial"/>
          <w:color w:val="auto"/>
          <w:szCs w:val="22"/>
        </w:rPr>
        <w:t>h</w:t>
      </w:r>
      <w:r w:rsidRPr="00AE5908">
        <w:rPr>
          <w:rFonts w:cs="Arial"/>
          <w:color w:val="auto"/>
          <w:szCs w:val="22"/>
        </w:rPr>
        <w:t xml:space="preserve">ospitals to enable provision of key medicines to Aboriginal and Torres Strait Islander patients regardless of setting. </w:t>
      </w:r>
    </w:p>
    <w:p w:rsidR="008033E3" w:rsidRPr="00AE5908" w:rsidRDefault="008033E3" w:rsidP="008033E3">
      <w:pPr>
        <w:ind w:left="720"/>
        <w:rPr>
          <w:rFonts w:cs="Arial"/>
          <w:color w:val="auto"/>
          <w:szCs w:val="22"/>
        </w:rPr>
      </w:pPr>
    </w:p>
    <w:p w:rsidR="008033E3" w:rsidRPr="00AE5908" w:rsidRDefault="008033E3" w:rsidP="008033E3">
      <w:pPr>
        <w:pStyle w:val="ListParagraph"/>
        <w:numPr>
          <w:ilvl w:val="1"/>
          <w:numId w:val="22"/>
        </w:numPr>
        <w:rPr>
          <w:rFonts w:cs="Arial"/>
          <w:color w:val="auto"/>
          <w:szCs w:val="22"/>
        </w:rPr>
      </w:pPr>
      <w:r w:rsidRPr="00AE5908">
        <w:rPr>
          <w:rFonts w:cs="Arial"/>
          <w:color w:val="auto"/>
          <w:szCs w:val="22"/>
        </w:rPr>
        <w:t xml:space="preserve">Add the provision of Dose Administration Aids to the list of medicines funded through Closing The Gap and s100 remuneration programs to improve the safe adherence of medicines by patients at high risk of medicines misadventure. </w:t>
      </w:r>
    </w:p>
    <w:p w:rsidR="008033E3" w:rsidRDefault="008033E3" w:rsidP="008033E3">
      <w:pPr>
        <w:rPr>
          <w:rFonts w:cs="Arial"/>
          <w:color w:val="auto"/>
          <w:szCs w:val="22"/>
        </w:rPr>
      </w:pPr>
    </w:p>
    <w:p w:rsidR="008033E3" w:rsidRDefault="008033E3" w:rsidP="008033E3">
      <w:pPr>
        <w:rPr>
          <w:rFonts w:cs="Arial"/>
          <w:color w:val="auto"/>
          <w:szCs w:val="22"/>
        </w:rPr>
      </w:pPr>
      <w:r w:rsidRPr="00D6284A">
        <w:rPr>
          <w:rFonts w:cs="Arial"/>
          <w:i/>
          <w:color w:val="auto"/>
          <w:szCs w:val="22"/>
        </w:rPr>
        <w:t xml:space="preserve">3.2 Fund clinical pharmacist positions in Aboriginal Health Services to provide greater provision of pharmacy services to Aboriginal </w:t>
      </w:r>
      <w:r>
        <w:rPr>
          <w:rFonts w:cs="Arial"/>
          <w:i/>
          <w:color w:val="auto"/>
          <w:szCs w:val="22"/>
        </w:rPr>
        <w:t xml:space="preserve">and Torres Strait Islander </w:t>
      </w:r>
      <w:r w:rsidRPr="00D6284A">
        <w:rPr>
          <w:rFonts w:cs="Arial"/>
          <w:i/>
          <w:color w:val="auto"/>
          <w:szCs w:val="22"/>
        </w:rPr>
        <w:t>consumers to enable pharmacists to effectively manage the provision of medicines, Quality Use of Medicines activities, to reduce medicine misadventure and achieve Closing the Gap objectives</w:t>
      </w:r>
      <w:r w:rsidRPr="0043417A">
        <w:rPr>
          <w:rFonts w:cs="Arial"/>
          <w:color w:val="auto"/>
          <w:szCs w:val="22"/>
        </w:rPr>
        <w:t xml:space="preserve">. </w:t>
      </w:r>
      <w:r>
        <w:rPr>
          <w:rFonts w:cs="Arial"/>
          <w:color w:val="auto"/>
          <w:szCs w:val="22"/>
        </w:rPr>
        <w:t xml:space="preserve"> </w:t>
      </w:r>
    </w:p>
    <w:p w:rsidR="008033E3" w:rsidRPr="00DF6951" w:rsidRDefault="008033E3" w:rsidP="008033E3">
      <w:pPr>
        <w:rPr>
          <w:rFonts w:cs="Arial"/>
          <w:color w:val="auto"/>
          <w:szCs w:val="22"/>
        </w:rPr>
      </w:pPr>
    </w:p>
    <w:p w:rsidR="008033E3" w:rsidRPr="00DF6951" w:rsidRDefault="008033E3" w:rsidP="008033E3">
      <w:pPr>
        <w:spacing w:after="160"/>
        <w:contextualSpacing/>
        <w:rPr>
          <w:rFonts w:cs="Arial"/>
          <w:color w:val="auto"/>
          <w:szCs w:val="22"/>
        </w:rPr>
      </w:pPr>
      <w:r w:rsidRPr="00DF6951">
        <w:rPr>
          <w:rFonts w:cs="Arial"/>
          <w:color w:val="auto"/>
          <w:szCs w:val="22"/>
        </w:rPr>
        <w:t>Access to pharmacy services remain</w:t>
      </w:r>
      <w:r>
        <w:rPr>
          <w:rFonts w:cs="Arial"/>
          <w:color w:val="auto"/>
          <w:szCs w:val="22"/>
        </w:rPr>
        <w:t>s</w:t>
      </w:r>
      <w:r w:rsidRPr="00DF6951">
        <w:rPr>
          <w:rFonts w:cs="Arial"/>
          <w:color w:val="auto"/>
          <w:szCs w:val="22"/>
        </w:rPr>
        <w:t xml:space="preserve"> a challenge for people living in regional and remote areas. </w:t>
      </w:r>
      <w:r w:rsidRPr="00DF6951">
        <w:rPr>
          <w:rFonts w:eastAsiaTheme="majorEastAsia" w:cs="Arial"/>
          <w:szCs w:val="22"/>
        </w:rPr>
        <w:t xml:space="preserve">Data from the Australian Institute of Health and Welfare (AIHW) illustrates that access to the </w:t>
      </w:r>
      <w:hyperlink r:id="rId26" w:history="1">
        <w:r w:rsidRPr="00003EB0">
          <w:rPr>
            <w:rStyle w:val="Hyperlink"/>
            <w:rFonts w:eastAsiaTheme="majorEastAsia" w:cs="Arial"/>
            <w:szCs w:val="22"/>
          </w:rPr>
          <w:t>pharmacy workforce is poor in very remote and outer regional areas</w:t>
        </w:r>
      </w:hyperlink>
      <w:r w:rsidRPr="00DF6951">
        <w:rPr>
          <w:rFonts w:eastAsiaTheme="majorEastAsia" w:cs="Arial"/>
          <w:szCs w:val="22"/>
        </w:rPr>
        <w:t>, and proximity to a pharmacy is inversely related to a patient’s remoteness</w:t>
      </w:r>
      <w:r>
        <w:rPr>
          <w:rFonts w:eastAsiaTheme="majorEastAsia" w:cs="Arial"/>
          <w:szCs w:val="22"/>
        </w:rPr>
        <w:t>. For Aboriginal and Torres Strait</w:t>
      </w:r>
      <w:r w:rsidRPr="00DF6951">
        <w:rPr>
          <w:rFonts w:eastAsiaTheme="majorEastAsia" w:cs="Arial"/>
          <w:szCs w:val="22"/>
        </w:rPr>
        <w:t xml:space="preserve"> </w:t>
      </w:r>
      <w:r>
        <w:rPr>
          <w:rFonts w:eastAsiaTheme="majorEastAsia" w:cs="Arial"/>
          <w:szCs w:val="22"/>
        </w:rPr>
        <w:t xml:space="preserve">Islander </w:t>
      </w:r>
      <w:r w:rsidRPr="00DF6951">
        <w:rPr>
          <w:rFonts w:eastAsiaTheme="majorEastAsia" w:cs="Arial"/>
          <w:szCs w:val="22"/>
        </w:rPr>
        <w:t>people this situation is exacerbated by</w:t>
      </w:r>
      <w:r w:rsidRPr="00DF6951">
        <w:rPr>
          <w:rFonts w:cs="Arial"/>
          <w:color w:val="auto"/>
          <w:szCs w:val="22"/>
        </w:rPr>
        <w:t xml:space="preserve"> higher rates of chronic conditions and multiple comorbidities, resulting in more complex medication needs compared to the general population. This means that clinical pharmacy skills in medicines management including counselling and patient education, medication reviews and collaboration with the broader healthcare team are potentially even more valuable. </w:t>
      </w:r>
      <w:r>
        <w:rPr>
          <w:rFonts w:cs="Arial"/>
          <w:color w:val="auto"/>
          <w:szCs w:val="22"/>
        </w:rPr>
        <w:t xml:space="preserve">SHPA supports an increase of funding for Aboriginal Health Services to enable greater employment of pharmacists, either through hospital liaison roles or in community, to provide expert medicine dispensing, patient counselling and medicines review for Aboriginal and Torres Strait Islander communities. </w:t>
      </w:r>
    </w:p>
    <w:p w:rsidR="008033E3" w:rsidRDefault="008033E3">
      <w:pPr>
        <w:spacing w:after="160" w:line="259" w:lineRule="auto"/>
        <w:rPr>
          <w:rFonts w:cs="Arial"/>
          <w:color w:val="auto"/>
          <w:szCs w:val="22"/>
        </w:rPr>
      </w:pPr>
      <w:r>
        <w:rPr>
          <w:rFonts w:cs="Arial"/>
          <w:color w:val="auto"/>
          <w:szCs w:val="22"/>
        </w:rPr>
        <w:br w:type="page"/>
      </w:r>
    </w:p>
    <w:p w:rsidR="008033E3" w:rsidRPr="00E463AD" w:rsidRDefault="008033E3" w:rsidP="008033E3">
      <w:pPr>
        <w:pStyle w:val="ListParagraph"/>
        <w:numPr>
          <w:ilvl w:val="0"/>
          <w:numId w:val="21"/>
        </w:numPr>
        <w:rPr>
          <w:rFonts w:cs="Arial"/>
          <w:b/>
          <w:color w:val="auto"/>
          <w:szCs w:val="22"/>
        </w:rPr>
      </w:pPr>
      <w:r w:rsidRPr="00E463AD">
        <w:rPr>
          <w:rFonts w:cs="Arial"/>
          <w:b/>
          <w:color w:val="7030A0"/>
          <w:szCs w:val="22"/>
        </w:rPr>
        <w:lastRenderedPageBreak/>
        <w:t>Fund innovation in pharmacy</w:t>
      </w:r>
    </w:p>
    <w:p w:rsidR="008033E3" w:rsidRDefault="008033E3" w:rsidP="008033E3">
      <w:pPr>
        <w:rPr>
          <w:rFonts w:cs="Arial"/>
          <w:color w:val="auto"/>
          <w:szCs w:val="22"/>
        </w:rPr>
      </w:pPr>
    </w:p>
    <w:p w:rsidR="008033E3" w:rsidRPr="00D6284A" w:rsidRDefault="008033E3" w:rsidP="008033E3">
      <w:pPr>
        <w:rPr>
          <w:rFonts w:cs="Arial"/>
          <w:i/>
          <w:color w:val="auto"/>
          <w:szCs w:val="22"/>
        </w:rPr>
      </w:pPr>
      <w:r>
        <w:rPr>
          <w:rFonts w:cs="Arial"/>
          <w:i/>
          <w:color w:val="auto"/>
          <w:szCs w:val="22"/>
        </w:rPr>
        <w:t>4.1 Fund a pilot of a hospital-</w:t>
      </w:r>
      <w:r w:rsidRPr="00D6284A">
        <w:rPr>
          <w:rFonts w:cs="Arial"/>
          <w:i/>
          <w:color w:val="auto"/>
          <w:szCs w:val="22"/>
        </w:rPr>
        <w:t xml:space="preserve">directed liaison service aligned with UK’s </w:t>
      </w:r>
      <w:hyperlink r:id="rId27" w:history="1">
        <w:r w:rsidRPr="00D6284A">
          <w:rPr>
            <w:rStyle w:val="Hyperlink"/>
            <w:rFonts w:cs="Arial"/>
            <w:i/>
            <w:szCs w:val="22"/>
          </w:rPr>
          <w:t>New Medicines Service</w:t>
        </w:r>
      </w:hyperlink>
      <w:r w:rsidRPr="00D6284A">
        <w:rPr>
          <w:rFonts w:cs="Arial"/>
          <w:i/>
          <w:color w:val="auto"/>
          <w:szCs w:val="22"/>
        </w:rPr>
        <w:t xml:space="preserve"> which saw an improvement in medicine adherence by 10%, to ensure that pharmacy continues to grow its services for the benefit of the health of the Australian community.</w:t>
      </w:r>
    </w:p>
    <w:p w:rsidR="008033E3" w:rsidRPr="00AE5908" w:rsidRDefault="008033E3" w:rsidP="008033E3">
      <w:pPr>
        <w:rPr>
          <w:rFonts w:cs="Arial"/>
          <w:color w:val="auto"/>
          <w:szCs w:val="22"/>
        </w:rPr>
      </w:pPr>
    </w:p>
    <w:p w:rsidR="008033E3" w:rsidRDefault="008033E3" w:rsidP="008033E3">
      <w:pPr>
        <w:rPr>
          <w:rFonts w:cs="Arial"/>
          <w:color w:val="auto"/>
          <w:szCs w:val="22"/>
        </w:rPr>
      </w:pPr>
      <w:r w:rsidRPr="00AE5908">
        <w:rPr>
          <w:rFonts w:cs="Arial"/>
          <w:color w:val="auto"/>
          <w:szCs w:val="22"/>
        </w:rPr>
        <w:t>As the burden of chronic disease grows the need for personalised and timely medicines management services increases. Self-management of medicines is key to prevention of complex and costly flare-ups of chronic conditions, and to reduce the risk of medicines misadventure for people taking courses of chemotherapy medicines. A New Medicines Support Service would identify people diagnosed with flagged conditions beginning a new medicine as they are discharged from hospital for either a face</w:t>
      </w:r>
      <w:r>
        <w:rPr>
          <w:rFonts w:cs="Arial"/>
          <w:color w:val="auto"/>
          <w:szCs w:val="22"/>
        </w:rPr>
        <w:t>-</w:t>
      </w:r>
      <w:r w:rsidRPr="00AE5908">
        <w:rPr>
          <w:rFonts w:cs="Arial"/>
          <w:color w:val="auto"/>
          <w:szCs w:val="22"/>
        </w:rPr>
        <w:t>to</w:t>
      </w:r>
      <w:r>
        <w:rPr>
          <w:rFonts w:cs="Arial"/>
          <w:color w:val="auto"/>
          <w:szCs w:val="22"/>
        </w:rPr>
        <w:t>-</w:t>
      </w:r>
      <w:r w:rsidRPr="00AE5908">
        <w:rPr>
          <w:rFonts w:cs="Arial"/>
          <w:color w:val="auto"/>
          <w:szCs w:val="22"/>
        </w:rPr>
        <w:t xml:space="preserve">face or telehealth consultation. </w:t>
      </w:r>
    </w:p>
    <w:p w:rsidR="008033E3" w:rsidRDefault="008033E3" w:rsidP="008033E3">
      <w:pPr>
        <w:rPr>
          <w:rFonts w:cs="Arial"/>
          <w:color w:val="auto"/>
          <w:szCs w:val="22"/>
        </w:rPr>
      </w:pPr>
    </w:p>
    <w:p w:rsidR="008033E3" w:rsidRPr="00AE5908" w:rsidRDefault="008033E3" w:rsidP="008033E3">
      <w:pPr>
        <w:rPr>
          <w:rFonts w:cs="Arial"/>
          <w:i/>
          <w:color w:val="auto"/>
          <w:szCs w:val="22"/>
        </w:rPr>
      </w:pPr>
      <w:r>
        <w:rPr>
          <w:rFonts w:cs="Arial"/>
          <w:i/>
          <w:color w:val="auto"/>
          <w:szCs w:val="22"/>
        </w:rPr>
        <w:t xml:space="preserve">4.2 </w:t>
      </w:r>
      <w:r w:rsidRPr="00AE5908">
        <w:rPr>
          <w:rFonts w:cs="Arial"/>
          <w:i/>
          <w:color w:val="auto"/>
          <w:szCs w:val="22"/>
        </w:rPr>
        <w:t>Fund a pilot program to test the effectiveness of enabling pharmacists to prescribe in hospital settings as part of a collabora</w:t>
      </w:r>
      <w:r>
        <w:rPr>
          <w:rFonts w:cs="Arial"/>
          <w:i/>
          <w:color w:val="auto"/>
          <w:szCs w:val="22"/>
        </w:rPr>
        <w:t>tive practice model</w:t>
      </w:r>
      <w:r w:rsidRPr="00AE5908">
        <w:rPr>
          <w:rFonts w:cs="Arial"/>
          <w:i/>
          <w:color w:val="auto"/>
          <w:szCs w:val="22"/>
        </w:rPr>
        <w:t>.</w:t>
      </w:r>
    </w:p>
    <w:p w:rsidR="008033E3" w:rsidRPr="00AE5908" w:rsidRDefault="008033E3" w:rsidP="008033E3">
      <w:pPr>
        <w:rPr>
          <w:rFonts w:cs="Arial"/>
          <w:color w:val="auto"/>
          <w:szCs w:val="22"/>
        </w:rPr>
      </w:pPr>
    </w:p>
    <w:p w:rsidR="008033E3" w:rsidRPr="00AE5908" w:rsidRDefault="008033E3" w:rsidP="008033E3">
      <w:pPr>
        <w:rPr>
          <w:rFonts w:cs="Arial"/>
          <w:color w:val="auto"/>
          <w:szCs w:val="22"/>
        </w:rPr>
      </w:pPr>
      <w:r w:rsidRPr="00AE5908">
        <w:rPr>
          <w:rFonts w:cs="Arial"/>
          <w:color w:val="auto"/>
          <w:szCs w:val="22"/>
        </w:rPr>
        <w:t xml:space="preserve">Substantial evidence has demonstrated that non-medical prescribing by pharmacists and nurses for acute and chronic disease management can be an asset for patient care, and of </w:t>
      </w:r>
      <w:hyperlink r:id="rId28" w:history="1">
        <w:r w:rsidRPr="00AC0073">
          <w:rPr>
            <w:rStyle w:val="Hyperlink"/>
            <w:rFonts w:cs="Arial"/>
            <w:szCs w:val="22"/>
          </w:rPr>
          <w:t>equal quality and safety as medical prescribing</w:t>
        </w:r>
      </w:hyperlink>
      <w:r>
        <w:rPr>
          <w:rFonts w:cs="Arial"/>
          <w:color w:val="auto"/>
          <w:szCs w:val="22"/>
        </w:rPr>
        <w:t>. P</w:t>
      </w:r>
      <w:r w:rsidRPr="00AE5908">
        <w:rPr>
          <w:rFonts w:cs="Arial"/>
          <w:color w:val="auto"/>
          <w:szCs w:val="22"/>
        </w:rPr>
        <w:t>articular</w:t>
      </w:r>
      <w:r>
        <w:rPr>
          <w:rFonts w:cs="Arial"/>
          <w:color w:val="auto"/>
          <w:szCs w:val="22"/>
        </w:rPr>
        <w:t>ly</w:t>
      </w:r>
      <w:r w:rsidRPr="00AE5908">
        <w:rPr>
          <w:rFonts w:cs="Arial"/>
          <w:color w:val="auto"/>
          <w:szCs w:val="22"/>
        </w:rPr>
        <w:t xml:space="preserve"> SHPA is keen to see pharmacists able to prescribe medicines as part of their existing bedside clinical duties in a hospital setting. </w:t>
      </w:r>
      <w:r>
        <w:rPr>
          <w:rFonts w:cs="Arial"/>
          <w:color w:val="auto"/>
          <w:szCs w:val="22"/>
        </w:rPr>
        <w:t>In a hospital setting n</w:t>
      </w:r>
      <w:r w:rsidRPr="00AE5908">
        <w:rPr>
          <w:rFonts w:cs="Arial"/>
          <w:color w:val="auto"/>
          <w:szCs w:val="22"/>
        </w:rPr>
        <w:t>on-medical prescribers have</w:t>
      </w:r>
      <w:r>
        <w:rPr>
          <w:rFonts w:cs="Arial"/>
          <w:color w:val="auto"/>
          <w:szCs w:val="22"/>
        </w:rPr>
        <w:t xml:space="preserve"> convenient</w:t>
      </w:r>
      <w:r w:rsidRPr="00AE5908">
        <w:rPr>
          <w:rFonts w:cs="Arial"/>
          <w:color w:val="auto"/>
          <w:szCs w:val="22"/>
        </w:rPr>
        <w:t xml:space="preserve"> access to medical support to facilitate a collaborative practice model. This approach is supported by</w:t>
      </w:r>
      <w:r>
        <w:rPr>
          <w:rFonts w:cs="Arial"/>
          <w:color w:val="auto"/>
          <w:szCs w:val="22"/>
        </w:rPr>
        <w:t xml:space="preserve"> the then</w:t>
      </w:r>
      <w:r w:rsidRPr="00AE5908">
        <w:rPr>
          <w:rFonts w:cs="Arial"/>
          <w:color w:val="auto"/>
          <w:szCs w:val="22"/>
        </w:rPr>
        <w:t xml:space="preserve"> Health Workforce Australia’s </w:t>
      </w:r>
      <w:hyperlink r:id="rId29" w:history="1">
        <w:r w:rsidRPr="00AC0073">
          <w:rPr>
            <w:rStyle w:val="Hyperlink"/>
            <w:rFonts w:cs="Arial"/>
            <w:szCs w:val="22"/>
          </w:rPr>
          <w:t>Health Professionals Prescribing Pathway</w:t>
        </w:r>
      </w:hyperlink>
      <w:r w:rsidRPr="00AE5908">
        <w:rPr>
          <w:rFonts w:cs="Arial"/>
          <w:color w:val="auto"/>
          <w:szCs w:val="22"/>
        </w:rPr>
        <w:t xml:space="preserve"> mode</w:t>
      </w:r>
      <w:r>
        <w:rPr>
          <w:rFonts w:cs="Arial"/>
          <w:color w:val="auto"/>
          <w:szCs w:val="22"/>
        </w:rPr>
        <w:t xml:space="preserve">l of collaborative prescribing and the </w:t>
      </w:r>
      <w:hyperlink r:id="rId30" w:history="1">
        <w:r w:rsidRPr="00AC0073">
          <w:rPr>
            <w:rStyle w:val="Hyperlink"/>
            <w:rFonts w:cs="Arial"/>
            <w:szCs w:val="22"/>
          </w:rPr>
          <w:t>National Prescribing Service’s Prescribing Competencies Framework</w:t>
        </w:r>
      </w:hyperlink>
      <w:r>
        <w:rPr>
          <w:rFonts w:cs="Arial"/>
          <w:color w:val="auto"/>
          <w:szCs w:val="22"/>
        </w:rPr>
        <w:t xml:space="preserve"> which is adaptable for all health professionals.</w:t>
      </w:r>
    </w:p>
    <w:p w:rsidR="008033E3" w:rsidRPr="00E463AD" w:rsidRDefault="008033E3" w:rsidP="008033E3">
      <w:pPr>
        <w:rPr>
          <w:rFonts w:cs="Arial"/>
          <w:b/>
          <w:color w:val="auto"/>
          <w:szCs w:val="22"/>
        </w:rPr>
      </w:pPr>
    </w:p>
    <w:p w:rsidR="008033E3" w:rsidRPr="00E463AD" w:rsidRDefault="008033E3" w:rsidP="008033E3">
      <w:pPr>
        <w:numPr>
          <w:ilvl w:val="0"/>
          <w:numId w:val="21"/>
        </w:numPr>
        <w:contextualSpacing/>
        <w:rPr>
          <w:rFonts w:cs="Arial"/>
          <w:b/>
          <w:color w:val="7030A0"/>
          <w:szCs w:val="22"/>
        </w:rPr>
      </w:pPr>
      <w:r w:rsidRPr="00E463AD">
        <w:rPr>
          <w:rFonts w:cs="Arial"/>
          <w:b/>
          <w:color w:val="7030A0"/>
          <w:szCs w:val="22"/>
        </w:rPr>
        <w:t>Consider public hospital funding</w:t>
      </w:r>
    </w:p>
    <w:p w:rsidR="008033E3" w:rsidRPr="00AE5908" w:rsidRDefault="008033E3" w:rsidP="008033E3">
      <w:pPr>
        <w:rPr>
          <w:rFonts w:cs="Arial"/>
          <w:color w:val="auto"/>
          <w:szCs w:val="22"/>
        </w:rPr>
      </w:pPr>
    </w:p>
    <w:p w:rsidR="008033E3" w:rsidRPr="00AE5908" w:rsidRDefault="008033E3" w:rsidP="008033E3">
      <w:pPr>
        <w:rPr>
          <w:rFonts w:cs="Arial"/>
          <w:i/>
          <w:color w:val="auto"/>
          <w:szCs w:val="22"/>
        </w:rPr>
      </w:pPr>
      <w:r>
        <w:rPr>
          <w:rFonts w:cs="Arial"/>
          <w:i/>
          <w:color w:val="auto"/>
          <w:szCs w:val="22"/>
        </w:rPr>
        <w:t xml:space="preserve">5.1 </w:t>
      </w:r>
      <w:r w:rsidRPr="00AE5908">
        <w:rPr>
          <w:rFonts w:cs="Arial"/>
          <w:i/>
          <w:color w:val="auto"/>
          <w:szCs w:val="22"/>
        </w:rPr>
        <w:t xml:space="preserve">Encourage New South Wales and the Australian Capital Territory </w:t>
      </w:r>
      <w:r>
        <w:rPr>
          <w:rFonts w:cs="Arial"/>
          <w:i/>
          <w:color w:val="auto"/>
          <w:szCs w:val="22"/>
        </w:rPr>
        <w:t>jurisdictional</w:t>
      </w:r>
      <w:r w:rsidRPr="00AE5908">
        <w:rPr>
          <w:rFonts w:cs="Arial"/>
          <w:i/>
          <w:color w:val="auto"/>
          <w:szCs w:val="22"/>
        </w:rPr>
        <w:t xml:space="preserve"> government</w:t>
      </w:r>
      <w:r>
        <w:rPr>
          <w:rFonts w:cs="Arial"/>
          <w:i/>
          <w:color w:val="auto"/>
          <w:szCs w:val="22"/>
        </w:rPr>
        <w:t>s</w:t>
      </w:r>
      <w:r w:rsidRPr="00AE5908">
        <w:rPr>
          <w:rFonts w:cs="Arial"/>
          <w:i/>
          <w:color w:val="auto"/>
          <w:szCs w:val="22"/>
        </w:rPr>
        <w:t xml:space="preserve"> to adopt the </w:t>
      </w:r>
      <w:r>
        <w:rPr>
          <w:rFonts w:cs="Arial"/>
          <w:i/>
          <w:color w:val="auto"/>
          <w:szCs w:val="22"/>
        </w:rPr>
        <w:t xml:space="preserve">PBS </w:t>
      </w:r>
      <w:r w:rsidRPr="001F34BD">
        <w:rPr>
          <w:rFonts w:cs="Arial"/>
          <w:i/>
          <w:color w:val="auto"/>
          <w:szCs w:val="22"/>
        </w:rPr>
        <w:t>Public Hospital Pharmaceutical Reforms</w:t>
      </w:r>
      <w:r w:rsidRPr="00AE5908">
        <w:rPr>
          <w:rFonts w:cs="Arial"/>
          <w:i/>
          <w:color w:val="auto"/>
          <w:szCs w:val="22"/>
        </w:rPr>
        <w:t xml:space="preserve"> remuneration model for </w:t>
      </w:r>
      <w:r>
        <w:rPr>
          <w:rFonts w:cs="Arial"/>
          <w:i/>
          <w:color w:val="auto"/>
          <w:szCs w:val="22"/>
        </w:rPr>
        <w:t xml:space="preserve">discharge and </w:t>
      </w:r>
      <w:r w:rsidRPr="00AE5908">
        <w:rPr>
          <w:rFonts w:cs="Arial"/>
          <w:i/>
          <w:color w:val="auto"/>
          <w:szCs w:val="22"/>
        </w:rPr>
        <w:t>outpatient medicines (including chemotherapy) in order to support better quality patient care and supply of 30 days of necessary medicines.</w:t>
      </w:r>
    </w:p>
    <w:p w:rsidR="008033E3" w:rsidRPr="00AE5908" w:rsidRDefault="008033E3" w:rsidP="008033E3">
      <w:pPr>
        <w:rPr>
          <w:rFonts w:cs="Arial"/>
          <w:color w:val="auto"/>
          <w:szCs w:val="22"/>
        </w:rPr>
      </w:pPr>
    </w:p>
    <w:p w:rsidR="008033E3" w:rsidRDefault="008033E3" w:rsidP="008033E3">
      <w:pPr>
        <w:rPr>
          <w:rFonts w:cs="Arial"/>
          <w:color w:val="auto"/>
          <w:szCs w:val="22"/>
        </w:rPr>
      </w:pPr>
      <w:r w:rsidRPr="00AE5908">
        <w:rPr>
          <w:rFonts w:cs="Arial"/>
          <w:color w:val="auto"/>
          <w:szCs w:val="22"/>
        </w:rPr>
        <w:t xml:space="preserve">Feedback from </w:t>
      </w:r>
      <w:r>
        <w:rPr>
          <w:rFonts w:cs="Arial"/>
          <w:color w:val="auto"/>
          <w:szCs w:val="22"/>
        </w:rPr>
        <w:t xml:space="preserve">New South Wales and Australian Capital Territory </w:t>
      </w:r>
      <w:r w:rsidRPr="00AE5908">
        <w:rPr>
          <w:rFonts w:cs="Arial"/>
          <w:color w:val="auto"/>
          <w:szCs w:val="22"/>
        </w:rPr>
        <w:t xml:space="preserve">SHPA members, including </w:t>
      </w:r>
      <w:r>
        <w:rPr>
          <w:rFonts w:cs="Arial"/>
          <w:color w:val="auto"/>
          <w:szCs w:val="22"/>
        </w:rPr>
        <w:t>d</w:t>
      </w:r>
      <w:r w:rsidRPr="00AE5908">
        <w:rPr>
          <w:rFonts w:cs="Arial"/>
          <w:color w:val="auto"/>
          <w:szCs w:val="22"/>
        </w:rPr>
        <w:t xml:space="preserve">irectors of </w:t>
      </w:r>
      <w:r>
        <w:rPr>
          <w:rFonts w:cs="Arial"/>
          <w:color w:val="auto"/>
          <w:szCs w:val="22"/>
        </w:rPr>
        <w:t>p</w:t>
      </w:r>
      <w:r w:rsidRPr="00AE5908">
        <w:rPr>
          <w:rFonts w:cs="Arial"/>
          <w:color w:val="auto"/>
          <w:szCs w:val="22"/>
        </w:rPr>
        <w:t>harmacy, has indicated ongoing concern at the detrimental effect</w:t>
      </w:r>
      <w:r>
        <w:rPr>
          <w:rFonts w:cs="Arial"/>
          <w:color w:val="auto"/>
          <w:szCs w:val="22"/>
        </w:rPr>
        <w:t xml:space="preserve"> and inherent risks of rehospitalisation</w:t>
      </w:r>
      <w:r w:rsidRPr="00AE5908">
        <w:rPr>
          <w:rFonts w:cs="Arial"/>
          <w:color w:val="auto"/>
          <w:szCs w:val="22"/>
        </w:rPr>
        <w:t xml:space="preserve"> </w:t>
      </w:r>
      <w:r>
        <w:rPr>
          <w:rFonts w:cs="Arial"/>
          <w:color w:val="auto"/>
          <w:szCs w:val="22"/>
        </w:rPr>
        <w:t>for</w:t>
      </w:r>
      <w:r w:rsidRPr="00AE5908">
        <w:rPr>
          <w:rFonts w:cs="Arial"/>
          <w:color w:val="auto"/>
          <w:szCs w:val="22"/>
        </w:rPr>
        <w:t xml:space="preserve"> patients</w:t>
      </w:r>
      <w:r>
        <w:rPr>
          <w:rFonts w:cs="Arial"/>
          <w:color w:val="auto"/>
          <w:szCs w:val="22"/>
        </w:rPr>
        <w:t xml:space="preserve">. This is due to poor transitions-of-care arrangements after </w:t>
      </w:r>
      <w:r w:rsidRPr="00AE5908">
        <w:rPr>
          <w:rFonts w:cs="Arial"/>
          <w:color w:val="auto"/>
          <w:szCs w:val="22"/>
        </w:rPr>
        <w:t xml:space="preserve">serious health </w:t>
      </w:r>
      <w:r>
        <w:rPr>
          <w:rFonts w:cs="Arial"/>
          <w:color w:val="auto"/>
          <w:szCs w:val="22"/>
        </w:rPr>
        <w:t>episodes</w:t>
      </w:r>
      <w:r w:rsidRPr="00AE5908">
        <w:rPr>
          <w:rFonts w:cs="Arial"/>
          <w:color w:val="auto"/>
          <w:szCs w:val="22"/>
        </w:rPr>
        <w:t xml:space="preserve"> in New South Wales and the Australian Capital Territory due to their </w:t>
      </w:r>
      <w:r>
        <w:rPr>
          <w:rFonts w:cs="Arial"/>
          <w:color w:val="auto"/>
          <w:szCs w:val="22"/>
        </w:rPr>
        <w:t xml:space="preserve">public hospitals’ </w:t>
      </w:r>
      <w:r w:rsidRPr="00AE5908">
        <w:rPr>
          <w:rFonts w:cs="Arial"/>
          <w:color w:val="auto"/>
          <w:szCs w:val="22"/>
        </w:rPr>
        <w:t>continued exclusion from the Pharmaceutical Benefits Sc</w:t>
      </w:r>
      <w:r>
        <w:rPr>
          <w:rFonts w:cs="Arial"/>
          <w:color w:val="auto"/>
          <w:szCs w:val="22"/>
        </w:rPr>
        <w:t xml:space="preserve">heme. </w:t>
      </w:r>
    </w:p>
    <w:p w:rsidR="008033E3" w:rsidRDefault="008033E3" w:rsidP="008033E3">
      <w:pPr>
        <w:rPr>
          <w:rFonts w:cs="Arial"/>
          <w:color w:val="auto"/>
          <w:szCs w:val="22"/>
        </w:rPr>
      </w:pPr>
    </w:p>
    <w:p w:rsidR="008033E3" w:rsidRDefault="008033E3" w:rsidP="008033E3">
      <w:pPr>
        <w:rPr>
          <w:rFonts w:cs="Arial"/>
          <w:color w:val="auto"/>
          <w:szCs w:val="22"/>
        </w:rPr>
      </w:pPr>
      <w:r>
        <w:rPr>
          <w:rFonts w:cs="Arial"/>
          <w:color w:val="auto"/>
          <w:szCs w:val="22"/>
        </w:rPr>
        <w:t xml:space="preserve">Since the adoption of the PBS </w:t>
      </w:r>
      <w:r w:rsidRPr="00003EB0">
        <w:rPr>
          <w:rFonts w:cs="Arial"/>
          <w:color w:val="auto"/>
          <w:szCs w:val="22"/>
        </w:rPr>
        <w:t>Public Hospital Pharmaceutical Reforms</w:t>
      </w:r>
      <w:r w:rsidRPr="00AE5908">
        <w:rPr>
          <w:rFonts w:cs="Arial"/>
          <w:color w:val="auto"/>
          <w:szCs w:val="22"/>
        </w:rPr>
        <w:t xml:space="preserve"> in all other states and territories in the </w:t>
      </w:r>
      <w:r>
        <w:rPr>
          <w:rFonts w:cs="Arial"/>
          <w:color w:val="auto"/>
          <w:szCs w:val="22"/>
        </w:rPr>
        <w:t>last decade</w:t>
      </w:r>
      <w:r w:rsidRPr="00AE5908">
        <w:rPr>
          <w:rFonts w:cs="Arial"/>
          <w:color w:val="auto"/>
          <w:szCs w:val="22"/>
        </w:rPr>
        <w:t xml:space="preserve">, </w:t>
      </w:r>
      <w:r>
        <w:rPr>
          <w:rFonts w:cs="Arial"/>
          <w:color w:val="auto"/>
          <w:szCs w:val="22"/>
        </w:rPr>
        <w:t>public hospital patients receiving care as an outpatient, including chemotherapy, are able to access their medicines free of charge at their hospital.  P</w:t>
      </w:r>
      <w:r w:rsidRPr="00AE5908">
        <w:rPr>
          <w:rFonts w:cs="Arial"/>
          <w:color w:val="auto"/>
          <w:szCs w:val="22"/>
        </w:rPr>
        <w:t>atients being discharged from public hospitals</w:t>
      </w:r>
      <w:r>
        <w:rPr>
          <w:rFonts w:cs="Arial"/>
          <w:color w:val="auto"/>
          <w:szCs w:val="22"/>
        </w:rPr>
        <w:t xml:space="preserve"> are also</w:t>
      </w:r>
      <w:r w:rsidRPr="00AE5908">
        <w:rPr>
          <w:rFonts w:cs="Arial"/>
          <w:color w:val="auto"/>
          <w:szCs w:val="22"/>
        </w:rPr>
        <w:t xml:space="preserve"> able to access</w:t>
      </w:r>
      <w:r>
        <w:rPr>
          <w:rFonts w:cs="Arial"/>
          <w:color w:val="auto"/>
          <w:szCs w:val="22"/>
        </w:rPr>
        <w:t xml:space="preserve"> one-month supply of PBS medicines</w:t>
      </w:r>
      <w:r w:rsidRPr="00AE5908">
        <w:rPr>
          <w:rFonts w:cs="Arial"/>
          <w:color w:val="auto"/>
          <w:szCs w:val="22"/>
        </w:rPr>
        <w:t xml:space="preserve"> subsidised by the federal government. This ensures a consistent standard of care for vulnerable people, and reduces the need for individuals to immediately seek an appointment with their </w:t>
      </w:r>
      <w:r>
        <w:rPr>
          <w:rFonts w:cs="Arial"/>
          <w:color w:val="auto"/>
          <w:szCs w:val="22"/>
        </w:rPr>
        <w:t>g</w:t>
      </w:r>
      <w:r w:rsidRPr="00AE5908">
        <w:rPr>
          <w:rFonts w:cs="Arial"/>
          <w:color w:val="auto"/>
          <w:szCs w:val="22"/>
        </w:rPr>
        <w:t xml:space="preserve">eneral </w:t>
      </w:r>
      <w:r>
        <w:rPr>
          <w:rFonts w:cs="Arial"/>
          <w:color w:val="auto"/>
          <w:szCs w:val="22"/>
        </w:rPr>
        <w:t>p</w:t>
      </w:r>
      <w:r w:rsidRPr="00AE5908">
        <w:rPr>
          <w:rFonts w:cs="Arial"/>
          <w:color w:val="auto"/>
          <w:szCs w:val="22"/>
        </w:rPr>
        <w:t xml:space="preserve">ractitioner on discharge from hospital. </w:t>
      </w:r>
    </w:p>
    <w:p w:rsidR="008033E3" w:rsidRDefault="008033E3" w:rsidP="008033E3">
      <w:pPr>
        <w:rPr>
          <w:rFonts w:cs="Arial"/>
          <w:color w:val="auto"/>
          <w:szCs w:val="22"/>
        </w:rPr>
      </w:pPr>
    </w:p>
    <w:p w:rsidR="008033E3" w:rsidRPr="00AE5908" w:rsidRDefault="008033E3" w:rsidP="008033E3">
      <w:pPr>
        <w:rPr>
          <w:rFonts w:cs="Arial"/>
          <w:color w:val="auto"/>
          <w:szCs w:val="22"/>
        </w:rPr>
      </w:pPr>
      <w:r w:rsidRPr="00AE5908">
        <w:rPr>
          <w:rFonts w:cs="Arial"/>
          <w:color w:val="auto"/>
          <w:szCs w:val="22"/>
        </w:rPr>
        <w:t>D</w:t>
      </w:r>
      <w:r>
        <w:rPr>
          <w:rFonts w:cs="Arial"/>
          <w:color w:val="auto"/>
          <w:szCs w:val="22"/>
        </w:rPr>
        <w:t>espite recent moves by the NSW G</w:t>
      </w:r>
      <w:r w:rsidRPr="00AE5908">
        <w:rPr>
          <w:rFonts w:cs="Arial"/>
          <w:color w:val="auto"/>
          <w:szCs w:val="22"/>
        </w:rPr>
        <w:t xml:space="preserve">overnment which prevent some charges being issued, </w:t>
      </w:r>
      <w:r>
        <w:rPr>
          <w:rFonts w:cs="Arial"/>
          <w:color w:val="auto"/>
          <w:szCs w:val="22"/>
        </w:rPr>
        <w:t>access to medicines for</w:t>
      </w:r>
      <w:r w:rsidRPr="00AE5908">
        <w:rPr>
          <w:rFonts w:cs="Arial"/>
          <w:color w:val="auto"/>
          <w:szCs w:val="22"/>
        </w:rPr>
        <w:t xml:space="preserve"> Australians not living in participating states/territories remains</w:t>
      </w:r>
      <w:r>
        <w:rPr>
          <w:rFonts w:cs="Arial"/>
          <w:color w:val="auto"/>
          <w:szCs w:val="22"/>
        </w:rPr>
        <w:t xml:space="preserve"> a </w:t>
      </w:r>
      <w:r>
        <w:rPr>
          <w:rFonts w:cs="Arial"/>
          <w:color w:val="auto"/>
          <w:szCs w:val="22"/>
        </w:rPr>
        <w:lastRenderedPageBreak/>
        <w:t>challenge, with 7-day supply and invoices a common occurrence</w:t>
      </w:r>
      <w:r w:rsidRPr="00AE5908">
        <w:rPr>
          <w:rFonts w:cs="Arial"/>
          <w:color w:val="auto"/>
          <w:szCs w:val="22"/>
        </w:rPr>
        <w:t xml:space="preserve">. SHPA feels strongly that our NSW and ACT patients would receive safer, better quality care, if the NSW and ACT </w:t>
      </w:r>
      <w:r>
        <w:rPr>
          <w:rFonts w:cs="Arial"/>
          <w:color w:val="auto"/>
          <w:szCs w:val="22"/>
        </w:rPr>
        <w:t>jurisdictional governments</w:t>
      </w:r>
      <w:r w:rsidRPr="00AE5908">
        <w:rPr>
          <w:rFonts w:cs="Arial"/>
          <w:color w:val="auto"/>
          <w:szCs w:val="22"/>
        </w:rPr>
        <w:t xml:space="preserve"> made </w:t>
      </w:r>
      <w:r>
        <w:rPr>
          <w:rFonts w:cs="Arial"/>
          <w:color w:val="auto"/>
          <w:szCs w:val="22"/>
        </w:rPr>
        <w:t>signing up to the</w:t>
      </w:r>
      <w:r w:rsidRPr="00AE5908">
        <w:rPr>
          <w:rFonts w:cs="Arial"/>
          <w:color w:val="auto"/>
          <w:szCs w:val="22"/>
        </w:rPr>
        <w:t xml:space="preserve"> PBS </w:t>
      </w:r>
      <w:r>
        <w:rPr>
          <w:rFonts w:cs="Arial"/>
          <w:color w:val="auto"/>
          <w:szCs w:val="22"/>
        </w:rPr>
        <w:t xml:space="preserve">Reforms </w:t>
      </w:r>
      <w:r w:rsidRPr="00AE5908">
        <w:rPr>
          <w:rFonts w:cs="Arial"/>
          <w:color w:val="auto"/>
          <w:szCs w:val="22"/>
        </w:rPr>
        <w:t xml:space="preserve">a priority. Therefore we encourage the federal government to make all efforts to enable this to occur. </w:t>
      </w:r>
    </w:p>
    <w:p w:rsidR="008033E3" w:rsidRPr="00AE5908" w:rsidRDefault="008033E3" w:rsidP="008033E3">
      <w:pPr>
        <w:rPr>
          <w:rFonts w:cs="Arial"/>
          <w:color w:val="auto"/>
          <w:szCs w:val="22"/>
        </w:rPr>
      </w:pPr>
    </w:p>
    <w:p w:rsidR="008033E3" w:rsidRPr="00AE5908" w:rsidRDefault="008033E3" w:rsidP="008033E3">
      <w:pPr>
        <w:rPr>
          <w:rFonts w:cs="Arial"/>
          <w:i/>
          <w:color w:val="auto"/>
          <w:szCs w:val="22"/>
        </w:rPr>
      </w:pPr>
      <w:r>
        <w:rPr>
          <w:rFonts w:cs="Arial"/>
          <w:i/>
          <w:color w:val="auto"/>
          <w:szCs w:val="22"/>
        </w:rPr>
        <w:t xml:space="preserve">5.2 </w:t>
      </w:r>
      <w:r w:rsidRPr="00AE5908">
        <w:rPr>
          <w:rFonts w:cs="Arial"/>
          <w:i/>
          <w:color w:val="auto"/>
          <w:szCs w:val="22"/>
        </w:rPr>
        <w:t>Provide an incentive for pharmac</w:t>
      </w:r>
      <w:r w:rsidR="008565D3">
        <w:rPr>
          <w:rFonts w:cs="Arial"/>
          <w:i/>
          <w:color w:val="auto"/>
          <w:szCs w:val="22"/>
        </w:rPr>
        <w:t>ist</w:t>
      </w:r>
      <w:r w:rsidRPr="00AE5908">
        <w:rPr>
          <w:rFonts w:cs="Arial"/>
          <w:i/>
          <w:color w:val="auto"/>
          <w:szCs w:val="22"/>
        </w:rPr>
        <w:t xml:space="preserve"> services in Principal Referr</w:t>
      </w:r>
      <w:r>
        <w:rPr>
          <w:rFonts w:cs="Arial"/>
          <w:i/>
          <w:color w:val="auto"/>
          <w:szCs w:val="22"/>
        </w:rPr>
        <w:t>al</w:t>
      </w:r>
      <w:r w:rsidRPr="00AE5908">
        <w:rPr>
          <w:rFonts w:cs="Arial"/>
          <w:i/>
          <w:color w:val="auto"/>
          <w:szCs w:val="22"/>
        </w:rPr>
        <w:t xml:space="preserve"> Hospitals to be offered </w:t>
      </w:r>
      <w:r>
        <w:rPr>
          <w:rFonts w:cs="Arial"/>
          <w:i/>
          <w:color w:val="auto"/>
          <w:szCs w:val="22"/>
        </w:rPr>
        <w:t>after hours and on weekends</w:t>
      </w:r>
      <w:r w:rsidRPr="00AE5908">
        <w:rPr>
          <w:rFonts w:cs="Arial"/>
          <w:i/>
          <w:color w:val="auto"/>
          <w:szCs w:val="22"/>
        </w:rPr>
        <w:t xml:space="preserve"> in order to i</w:t>
      </w:r>
      <w:r>
        <w:rPr>
          <w:rFonts w:cs="Arial"/>
          <w:i/>
          <w:color w:val="auto"/>
          <w:szCs w:val="22"/>
        </w:rPr>
        <w:t>mprove patient care</w:t>
      </w:r>
    </w:p>
    <w:p w:rsidR="008033E3" w:rsidRDefault="008033E3" w:rsidP="008033E3">
      <w:pPr>
        <w:rPr>
          <w:rFonts w:cs="Arial"/>
          <w:color w:val="auto"/>
          <w:szCs w:val="22"/>
        </w:rPr>
      </w:pPr>
    </w:p>
    <w:p w:rsidR="008033E3" w:rsidRDefault="008033E3" w:rsidP="008033E3">
      <w:pPr>
        <w:rPr>
          <w:rFonts w:cs="Arial"/>
          <w:color w:val="auto"/>
          <w:szCs w:val="22"/>
        </w:rPr>
      </w:pPr>
      <w:r w:rsidRPr="00AE5908">
        <w:rPr>
          <w:rFonts w:cs="Arial"/>
          <w:color w:val="auto"/>
          <w:szCs w:val="22"/>
        </w:rPr>
        <w:t xml:space="preserve">Internationally, </w:t>
      </w:r>
      <w:hyperlink r:id="rId31" w:history="1">
        <w:r w:rsidRPr="00003EB0">
          <w:rPr>
            <w:rStyle w:val="Hyperlink"/>
            <w:rFonts w:cs="Arial"/>
            <w:szCs w:val="22"/>
          </w:rPr>
          <w:t>providing</w:t>
        </w:r>
        <w:r>
          <w:rPr>
            <w:rStyle w:val="Hyperlink"/>
            <w:rFonts w:cs="Arial"/>
            <w:szCs w:val="22"/>
          </w:rPr>
          <w:t xml:space="preserve"> extended weekend and after hours</w:t>
        </w:r>
        <w:r w:rsidRPr="00003EB0">
          <w:rPr>
            <w:rStyle w:val="Hyperlink"/>
            <w:rFonts w:cs="Arial"/>
            <w:szCs w:val="22"/>
          </w:rPr>
          <w:t xml:space="preserve"> pharmacy services to patients in major hospitals</w:t>
        </w:r>
      </w:hyperlink>
      <w:r w:rsidRPr="00AE5908">
        <w:rPr>
          <w:rFonts w:cs="Arial"/>
          <w:color w:val="auto"/>
          <w:szCs w:val="22"/>
        </w:rPr>
        <w:t xml:space="preserve"> has increasingly been recognised as </w:t>
      </w:r>
      <w:r>
        <w:rPr>
          <w:rFonts w:cs="Arial"/>
          <w:color w:val="auto"/>
          <w:szCs w:val="22"/>
        </w:rPr>
        <w:t xml:space="preserve">routine </w:t>
      </w:r>
      <w:r w:rsidRPr="00AE5908">
        <w:rPr>
          <w:rFonts w:cs="Arial"/>
          <w:color w:val="auto"/>
          <w:szCs w:val="22"/>
        </w:rPr>
        <w:t>practice</w:t>
      </w:r>
      <w:r>
        <w:rPr>
          <w:rFonts w:cs="Arial"/>
          <w:color w:val="auto"/>
          <w:szCs w:val="22"/>
        </w:rPr>
        <w:t xml:space="preserve"> to improve the quality and safety of patient care</w:t>
      </w:r>
      <w:r w:rsidRPr="00AE5908">
        <w:rPr>
          <w:rFonts w:cs="Arial"/>
          <w:color w:val="auto"/>
          <w:szCs w:val="22"/>
        </w:rPr>
        <w:t xml:space="preserve">. </w:t>
      </w:r>
      <w:r>
        <w:rPr>
          <w:rFonts w:cs="Arial"/>
          <w:color w:val="auto"/>
          <w:szCs w:val="22"/>
        </w:rPr>
        <w:t xml:space="preserve">Research </w:t>
      </w:r>
      <w:hyperlink r:id="rId32" w:history="1">
        <w:r w:rsidRPr="00A86C91">
          <w:rPr>
            <w:rStyle w:val="Hyperlink"/>
            <w:rFonts w:cs="Arial"/>
            <w:szCs w:val="22"/>
          </w:rPr>
          <w:t>internationally</w:t>
        </w:r>
      </w:hyperlink>
      <w:r>
        <w:rPr>
          <w:rFonts w:cs="Arial"/>
          <w:color w:val="auto"/>
          <w:szCs w:val="22"/>
        </w:rPr>
        <w:t xml:space="preserve"> and </w:t>
      </w:r>
      <w:hyperlink r:id="rId33" w:history="1">
        <w:r w:rsidRPr="00A86C91">
          <w:rPr>
            <w:rStyle w:val="Hyperlink"/>
            <w:rFonts w:cs="Arial"/>
            <w:szCs w:val="22"/>
          </w:rPr>
          <w:t>locally</w:t>
        </w:r>
      </w:hyperlink>
      <w:r>
        <w:rPr>
          <w:rFonts w:cs="Arial"/>
          <w:color w:val="auto"/>
          <w:szCs w:val="22"/>
        </w:rPr>
        <w:t xml:space="preserve"> indicates that patient mortality is higher over weekends, where there is reduced clinical services compared to traditional business hours. </w:t>
      </w:r>
      <w:r w:rsidRPr="00AE5908">
        <w:rPr>
          <w:rFonts w:cs="Arial"/>
          <w:color w:val="auto"/>
          <w:szCs w:val="22"/>
        </w:rPr>
        <w:t>In some smaller hospital in rural areas</w:t>
      </w:r>
      <w:r>
        <w:rPr>
          <w:rFonts w:cs="Arial"/>
          <w:color w:val="auto"/>
          <w:szCs w:val="22"/>
        </w:rPr>
        <w:t>,</w:t>
      </w:r>
      <w:r w:rsidRPr="00AE5908">
        <w:rPr>
          <w:rFonts w:cs="Arial"/>
          <w:color w:val="auto"/>
          <w:szCs w:val="22"/>
        </w:rPr>
        <w:t xml:space="preserve"> great effort has gone into utilising technology (internet and automation) to ensure round the clock access to pharmacy services to </w:t>
      </w:r>
      <w:hyperlink r:id="rId34" w:history="1">
        <w:r w:rsidRPr="00A86C91">
          <w:rPr>
            <w:rStyle w:val="Hyperlink"/>
            <w:rFonts w:cs="Arial"/>
            <w:szCs w:val="22"/>
          </w:rPr>
          <w:t>maximise patient safety</w:t>
        </w:r>
      </w:hyperlink>
      <w:r w:rsidRPr="00AE5908">
        <w:rPr>
          <w:rFonts w:cs="Arial"/>
          <w:color w:val="auto"/>
          <w:szCs w:val="22"/>
        </w:rPr>
        <w:t xml:space="preserve">. </w:t>
      </w:r>
    </w:p>
    <w:p w:rsidR="008033E3" w:rsidRDefault="008033E3" w:rsidP="008033E3">
      <w:pPr>
        <w:rPr>
          <w:rFonts w:cs="Arial"/>
          <w:color w:val="auto"/>
          <w:szCs w:val="22"/>
        </w:rPr>
      </w:pPr>
    </w:p>
    <w:p w:rsidR="008565D3" w:rsidRDefault="008033E3" w:rsidP="008565D3">
      <w:pPr>
        <w:spacing w:after="160"/>
        <w:rPr>
          <w:rFonts w:cs="Arial"/>
          <w:color w:val="auto"/>
          <w:szCs w:val="22"/>
        </w:rPr>
      </w:pPr>
      <w:r w:rsidRPr="002D1B03">
        <w:rPr>
          <w:rFonts w:cs="Arial"/>
          <w:color w:val="auto"/>
          <w:szCs w:val="22"/>
        </w:rPr>
        <w:t xml:space="preserve">A </w:t>
      </w:r>
      <w:hyperlink r:id="rId35" w:history="1">
        <w:r w:rsidRPr="002D1B03">
          <w:rPr>
            <w:rStyle w:val="Hyperlink"/>
            <w:rFonts w:cs="Arial"/>
            <w:szCs w:val="22"/>
          </w:rPr>
          <w:t>major Australian hospital-based study</w:t>
        </w:r>
      </w:hyperlink>
      <w:r>
        <w:rPr>
          <w:rFonts w:cs="Arial"/>
          <w:color w:val="auto"/>
          <w:szCs w:val="22"/>
        </w:rPr>
        <w:t xml:space="preserve"> </w:t>
      </w:r>
      <w:r w:rsidRPr="002D1B03">
        <w:rPr>
          <w:rFonts w:cs="Arial"/>
          <w:color w:val="auto"/>
          <w:szCs w:val="22"/>
        </w:rPr>
        <w:t>found that for every dollar spent on a</w:t>
      </w:r>
      <w:r>
        <w:rPr>
          <w:rFonts w:cs="Arial"/>
          <w:color w:val="auto"/>
          <w:szCs w:val="22"/>
        </w:rPr>
        <w:t xml:space="preserve"> </w:t>
      </w:r>
      <w:r w:rsidRPr="002D1B03">
        <w:rPr>
          <w:rFonts w:cs="Arial"/>
          <w:color w:val="auto"/>
          <w:szCs w:val="22"/>
        </w:rPr>
        <w:t xml:space="preserve">clinical </w:t>
      </w:r>
      <w:r>
        <w:rPr>
          <w:rFonts w:cs="Arial"/>
          <w:color w:val="auto"/>
          <w:szCs w:val="22"/>
        </w:rPr>
        <w:t>p</w:t>
      </w:r>
      <w:r w:rsidRPr="002D1B03">
        <w:rPr>
          <w:rFonts w:cs="Arial"/>
          <w:color w:val="auto"/>
          <w:szCs w:val="22"/>
        </w:rPr>
        <w:t>harmacist to initiate changes</w:t>
      </w:r>
      <w:r>
        <w:rPr>
          <w:rFonts w:cs="Arial"/>
          <w:color w:val="auto"/>
          <w:szCs w:val="22"/>
        </w:rPr>
        <w:t xml:space="preserve"> </w:t>
      </w:r>
      <w:r w:rsidRPr="002D1B03">
        <w:rPr>
          <w:rFonts w:cs="Arial"/>
          <w:color w:val="auto"/>
          <w:szCs w:val="22"/>
        </w:rPr>
        <w:t>in medicines therapy or management,</w:t>
      </w:r>
      <w:r>
        <w:rPr>
          <w:rFonts w:cs="Arial"/>
          <w:color w:val="auto"/>
          <w:szCs w:val="22"/>
        </w:rPr>
        <w:t xml:space="preserve"> </w:t>
      </w:r>
      <w:r w:rsidRPr="002D1B03">
        <w:rPr>
          <w:rFonts w:cs="Arial"/>
          <w:color w:val="auto"/>
          <w:szCs w:val="22"/>
        </w:rPr>
        <w:t>approximately $23 was saved on length of</w:t>
      </w:r>
      <w:r>
        <w:rPr>
          <w:rFonts w:cs="Arial"/>
          <w:color w:val="auto"/>
          <w:szCs w:val="22"/>
        </w:rPr>
        <w:t xml:space="preserve"> </w:t>
      </w:r>
      <w:r w:rsidRPr="002D1B03">
        <w:rPr>
          <w:rFonts w:cs="Arial"/>
          <w:color w:val="auto"/>
          <w:szCs w:val="22"/>
        </w:rPr>
        <w:t>stay, readmission probability, medicines,</w:t>
      </w:r>
      <w:r>
        <w:rPr>
          <w:rFonts w:cs="Arial"/>
          <w:color w:val="auto"/>
          <w:szCs w:val="22"/>
        </w:rPr>
        <w:t xml:space="preserve"> </w:t>
      </w:r>
      <w:r w:rsidRPr="002D1B03">
        <w:rPr>
          <w:rFonts w:cs="Arial"/>
          <w:color w:val="auto"/>
          <w:szCs w:val="22"/>
        </w:rPr>
        <w:t xml:space="preserve">medical procedures and </w:t>
      </w:r>
      <w:r>
        <w:rPr>
          <w:rFonts w:cs="Arial"/>
          <w:color w:val="auto"/>
          <w:szCs w:val="22"/>
        </w:rPr>
        <w:t xml:space="preserve">  </w:t>
      </w:r>
      <w:r w:rsidRPr="002D1B03">
        <w:rPr>
          <w:rFonts w:cs="Arial"/>
          <w:color w:val="auto"/>
          <w:szCs w:val="22"/>
        </w:rPr>
        <w:t>laboratory</w:t>
      </w:r>
      <w:r>
        <w:rPr>
          <w:rFonts w:cs="Arial"/>
          <w:color w:val="auto"/>
          <w:szCs w:val="22"/>
        </w:rPr>
        <w:t xml:space="preserve"> </w:t>
      </w:r>
      <w:r w:rsidRPr="002D1B03">
        <w:rPr>
          <w:rFonts w:cs="Arial"/>
          <w:color w:val="auto"/>
          <w:szCs w:val="22"/>
        </w:rPr>
        <w:t>monitoring</w:t>
      </w:r>
      <w:r>
        <w:rPr>
          <w:rFonts w:cs="Arial"/>
          <w:color w:val="auto"/>
          <w:szCs w:val="22"/>
        </w:rPr>
        <w:t xml:space="preserve">. Supporting hospital pharmacies to transition to extended-hours clinical services (including after hours and at weekend) would enable hospital pharmacists to achieve the principles espoused in </w:t>
      </w:r>
      <w:hyperlink r:id="rId36" w:history="1">
        <w:r w:rsidRPr="009B2885">
          <w:rPr>
            <w:rStyle w:val="Hyperlink"/>
            <w:rFonts w:cs="Arial"/>
            <w:szCs w:val="22"/>
          </w:rPr>
          <w:t>SHPA’s Standards of Practice for Clinical Pharmacy Services.</w:t>
        </w:r>
      </w:hyperlink>
      <w:r>
        <w:rPr>
          <w:rFonts w:cs="Arial"/>
          <w:color w:val="auto"/>
          <w:szCs w:val="22"/>
        </w:rPr>
        <w:t xml:space="preserve"> </w:t>
      </w:r>
    </w:p>
    <w:p w:rsidR="008565D3" w:rsidRDefault="008565D3" w:rsidP="008033E3">
      <w:pPr>
        <w:rPr>
          <w:b/>
        </w:rPr>
      </w:pPr>
    </w:p>
    <w:p w:rsidR="008033E3" w:rsidRPr="00797712" w:rsidRDefault="008033E3" w:rsidP="008033E3">
      <w:pPr>
        <w:rPr>
          <w:b/>
        </w:rPr>
      </w:pPr>
      <w:r w:rsidRPr="00797712">
        <w:rPr>
          <w:b/>
        </w:rPr>
        <w:t>References</w:t>
      </w:r>
      <w:r>
        <w:rPr>
          <w:b/>
        </w:rPr>
        <w:t xml:space="preserve"> (in order of use)</w:t>
      </w:r>
    </w:p>
    <w:p w:rsidR="008033E3" w:rsidRDefault="008033E3" w:rsidP="008033E3"/>
    <w:p w:rsidR="008033E3" w:rsidRPr="006B3EFB" w:rsidRDefault="008033E3" w:rsidP="008033E3">
      <w:pPr>
        <w:rPr>
          <w:rStyle w:val="selectable"/>
          <w:sz w:val="20"/>
          <w:szCs w:val="22"/>
        </w:rPr>
      </w:pPr>
      <w:r w:rsidRPr="006B3EFB">
        <w:rPr>
          <w:rStyle w:val="selectable"/>
          <w:sz w:val="20"/>
          <w:szCs w:val="22"/>
        </w:rPr>
        <w:t xml:space="preserve">Department of Health (2017). </w:t>
      </w:r>
      <w:r w:rsidRPr="006B3EFB">
        <w:rPr>
          <w:rStyle w:val="selectable"/>
          <w:i/>
          <w:iCs/>
          <w:sz w:val="20"/>
          <w:szCs w:val="22"/>
        </w:rPr>
        <w:t>Pharmaceutical Benefits Scheme (PBS) | PBS Statistics</w:t>
      </w:r>
      <w:r w:rsidRPr="006B3EFB">
        <w:rPr>
          <w:rStyle w:val="selectable"/>
          <w:sz w:val="20"/>
          <w:szCs w:val="22"/>
        </w:rPr>
        <w:t xml:space="preserve">. </w:t>
      </w:r>
      <w:r w:rsidRPr="006B3EFB">
        <w:rPr>
          <w:rStyle w:val="selectable"/>
          <w:i/>
          <w:iCs/>
          <w:sz w:val="20"/>
          <w:szCs w:val="22"/>
        </w:rPr>
        <w:t>Pbs.gov.au</w:t>
      </w:r>
      <w:r w:rsidRPr="006B3EFB">
        <w:rPr>
          <w:rStyle w:val="selectable"/>
          <w:sz w:val="20"/>
          <w:szCs w:val="22"/>
        </w:rPr>
        <w:t xml:space="preserve">. Retrieved 10 January 2017, from </w:t>
      </w:r>
      <w:hyperlink r:id="rId37" w:history="1">
        <w:r w:rsidRPr="006B3EFB">
          <w:rPr>
            <w:rStyle w:val="Hyperlink"/>
            <w:sz w:val="20"/>
            <w:szCs w:val="22"/>
          </w:rPr>
          <w:t>http://www.pbs.gov.au/info/browse/statistics</w:t>
        </w:r>
      </w:hyperlink>
    </w:p>
    <w:p w:rsidR="008033E3" w:rsidRPr="006B3EFB" w:rsidRDefault="008033E3" w:rsidP="008033E3">
      <w:pPr>
        <w:rPr>
          <w:sz w:val="20"/>
          <w:szCs w:val="22"/>
        </w:rPr>
      </w:pPr>
    </w:p>
    <w:p w:rsidR="008033E3" w:rsidRDefault="008033E3" w:rsidP="008033E3">
      <w:pPr>
        <w:rPr>
          <w:sz w:val="20"/>
          <w:szCs w:val="22"/>
        </w:rPr>
      </w:pPr>
      <w:r w:rsidRPr="006B3EFB">
        <w:rPr>
          <w:sz w:val="20"/>
          <w:szCs w:val="22"/>
        </w:rPr>
        <w:t>Australian Commission on Safety and Quality in Health Care (2013), Literature Review: Medication Safety in Australia. ACSQHC, Sydney</w:t>
      </w:r>
    </w:p>
    <w:p w:rsidR="008033E3" w:rsidRDefault="008033E3" w:rsidP="008033E3">
      <w:pPr>
        <w:rPr>
          <w:sz w:val="20"/>
          <w:szCs w:val="22"/>
        </w:rPr>
      </w:pPr>
    </w:p>
    <w:p w:rsidR="008033E3" w:rsidRPr="006B3EFB" w:rsidRDefault="008033E3" w:rsidP="008033E3">
      <w:pPr>
        <w:rPr>
          <w:sz w:val="20"/>
          <w:szCs w:val="22"/>
        </w:rPr>
      </w:pPr>
      <w:r w:rsidRPr="00A56E5C">
        <w:rPr>
          <w:sz w:val="20"/>
          <w:szCs w:val="22"/>
        </w:rPr>
        <w:t>Hanna, M., Larmour, I., Wilson, S., &amp; O'Leary, K. (2016). The impact of a hospital outreach medication review service on hospital readmission and emergency department attendances. Journal Of Pharmacy Practice And Research, 46(2), 112-121.</w:t>
      </w:r>
    </w:p>
    <w:p w:rsidR="008033E3" w:rsidRPr="006B3EFB" w:rsidRDefault="008033E3" w:rsidP="008033E3">
      <w:pPr>
        <w:rPr>
          <w:sz w:val="20"/>
          <w:szCs w:val="22"/>
        </w:rPr>
      </w:pPr>
    </w:p>
    <w:p w:rsidR="008033E3" w:rsidRPr="006B3EFB" w:rsidRDefault="008033E3" w:rsidP="008033E3">
      <w:pPr>
        <w:rPr>
          <w:rStyle w:val="selectable"/>
          <w:sz w:val="20"/>
          <w:szCs w:val="22"/>
        </w:rPr>
      </w:pPr>
      <w:r w:rsidRPr="006B3EFB">
        <w:rPr>
          <w:rStyle w:val="selectable"/>
          <w:sz w:val="20"/>
          <w:szCs w:val="22"/>
        </w:rPr>
        <w:t xml:space="preserve">Australian Institute of Health and Welfare (2016). </w:t>
      </w:r>
      <w:r w:rsidRPr="006B3EFB">
        <w:rPr>
          <w:rStyle w:val="selectable"/>
          <w:i/>
          <w:iCs/>
          <w:sz w:val="20"/>
          <w:szCs w:val="22"/>
        </w:rPr>
        <w:t>Impact of rurality on health status (AIHW)</w:t>
      </w:r>
      <w:r w:rsidRPr="006B3EFB">
        <w:rPr>
          <w:rStyle w:val="selectable"/>
          <w:sz w:val="20"/>
          <w:szCs w:val="22"/>
        </w:rPr>
        <w:t xml:space="preserve">. Retrieved 10 January 2017, from </w:t>
      </w:r>
      <w:hyperlink r:id="rId38" w:history="1">
        <w:r w:rsidRPr="006B3EFB">
          <w:rPr>
            <w:rStyle w:val="Hyperlink"/>
            <w:sz w:val="20"/>
            <w:szCs w:val="22"/>
          </w:rPr>
          <w:t>http://www.aihw.gov.au/rural-health-impact-of-rurality/</w:t>
        </w:r>
      </w:hyperlink>
    </w:p>
    <w:p w:rsidR="008033E3" w:rsidRPr="006B3EFB" w:rsidRDefault="008033E3" w:rsidP="008033E3">
      <w:pPr>
        <w:rPr>
          <w:sz w:val="20"/>
          <w:szCs w:val="22"/>
        </w:rPr>
      </w:pPr>
    </w:p>
    <w:p w:rsidR="008033E3" w:rsidRPr="006B3EFB" w:rsidRDefault="008033E3" w:rsidP="008033E3">
      <w:pPr>
        <w:rPr>
          <w:sz w:val="20"/>
          <w:szCs w:val="22"/>
        </w:rPr>
      </w:pPr>
      <w:r w:rsidRPr="006B3EFB">
        <w:rPr>
          <w:sz w:val="20"/>
          <w:szCs w:val="22"/>
        </w:rPr>
        <w:t xml:space="preserve">Deloitte Access Economics (2015) Analysis of non-dispensing pharmacists in general practice clinics. DAE, Canberra. </w:t>
      </w:r>
    </w:p>
    <w:p w:rsidR="008033E3" w:rsidRPr="006B3EFB" w:rsidRDefault="008033E3" w:rsidP="008033E3">
      <w:pPr>
        <w:rPr>
          <w:sz w:val="20"/>
          <w:szCs w:val="22"/>
        </w:rPr>
      </w:pPr>
    </w:p>
    <w:p w:rsidR="008033E3" w:rsidRPr="006B3EFB" w:rsidRDefault="008033E3" w:rsidP="008033E3">
      <w:pPr>
        <w:rPr>
          <w:rStyle w:val="selectable"/>
          <w:sz w:val="20"/>
          <w:szCs w:val="22"/>
        </w:rPr>
      </w:pPr>
      <w:r w:rsidRPr="006B3EFB">
        <w:rPr>
          <w:rStyle w:val="selectable"/>
          <w:sz w:val="20"/>
          <w:szCs w:val="22"/>
        </w:rPr>
        <w:t xml:space="preserve">Royal Pharmaceutical Society (2016). </w:t>
      </w:r>
      <w:r w:rsidRPr="006B3EFB">
        <w:rPr>
          <w:rStyle w:val="selectable"/>
          <w:i/>
          <w:iCs/>
          <w:sz w:val="20"/>
          <w:szCs w:val="22"/>
        </w:rPr>
        <w:t>All you need to know about GP practice pharmacists</w:t>
      </w:r>
      <w:r w:rsidRPr="006B3EFB">
        <w:rPr>
          <w:rStyle w:val="selectable"/>
          <w:sz w:val="20"/>
          <w:szCs w:val="22"/>
        </w:rPr>
        <w:t xml:space="preserve">. Retrieved 9 January 2017, from </w:t>
      </w:r>
      <w:hyperlink r:id="rId39" w:history="1">
        <w:r w:rsidRPr="006B3EFB">
          <w:rPr>
            <w:rStyle w:val="Hyperlink"/>
            <w:sz w:val="20"/>
            <w:szCs w:val="22"/>
          </w:rPr>
          <w:t>http://www.pharmaceutical-journal.com/careers/career-feature/all-you-need-to-know-about-gp-practice-pharmacists/20201042.article</w:t>
        </w:r>
      </w:hyperlink>
      <w:r w:rsidRPr="006B3EFB">
        <w:rPr>
          <w:rStyle w:val="selectable"/>
          <w:sz w:val="20"/>
          <w:szCs w:val="22"/>
        </w:rPr>
        <w:t xml:space="preserve"> </w:t>
      </w:r>
    </w:p>
    <w:p w:rsidR="008033E3" w:rsidRPr="006B3EFB" w:rsidRDefault="008033E3" w:rsidP="008033E3">
      <w:pPr>
        <w:rPr>
          <w:sz w:val="20"/>
          <w:szCs w:val="22"/>
        </w:rPr>
      </w:pPr>
    </w:p>
    <w:p w:rsidR="008033E3" w:rsidRPr="006B3EFB" w:rsidRDefault="008033E3" w:rsidP="008033E3">
      <w:pPr>
        <w:rPr>
          <w:sz w:val="20"/>
          <w:szCs w:val="22"/>
        </w:rPr>
      </w:pPr>
      <w:r w:rsidRPr="006B3EFB">
        <w:rPr>
          <w:rStyle w:val="selectable"/>
          <w:sz w:val="20"/>
          <w:szCs w:val="22"/>
        </w:rPr>
        <w:t xml:space="preserve">Latter, S., Maben, J., Myall, M., &amp; Young, A. (2007). Evaluating the clinical appropriateness of nurses' prescribing practice: method development and findings from an expert panel analysis. </w:t>
      </w:r>
      <w:r>
        <w:rPr>
          <w:rStyle w:val="selectable"/>
          <w:i/>
          <w:iCs/>
          <w:sz w:val="20"/>
          <w:szCs w:val="22"/>
        </w:rPr>
        <w:t>Quality and Safety i</w:t>
      </w:r>
      <w:r w:rsidRPr="006B3EFB">
        <w:rPr>
          <w:rStyle w:val="selectable"/>
          <w:i/>
          <w:iCs/>
          <w:sz w:val="20"/>
          <w:szCs w:val="22"/>
        </w:rPr>
        <w:t>n Health Care</w:t>
      </w:r>
      <w:r w:rsidRPr="006B3EFB">
        <w:rPr>
          <w:rStyle w:val="selectable"/>
          <w:sz w:val="20"/>
          <w:szCs w:val="22"/>
        </w:rPr>
        <w:t xml:space="preserve">, </w:t>
      </w:r>
      <w:r w:rsidRPr="006B3EFB">
        <w:rPr>
          <w:rStyle w:val="selectable"/>
          <w:i/>
          <w:iCs/>
          <w:sz w:val="20"/>
          <w:szCs w:val="22"/>
        </w:rPr>
        <w:t>16</w:t>
      </w:r>
      <w:r w:rsidRPr="006B3EFB">
        <w:rPr>
          <w:rStyle w:val="selectable"/>
          <w:sz w:val="20"/>
          <w:szCs w:val="22"/>
        </w:rPr>
        <w:t xml:space="preserve">(6), 415-421. </w:t>
      </w:r>
    </w:p>
    <w:p w:rsidR="008033E3" w:rsidRPr="006B3EFB" w:rsidRDefault="008033E3" w:rsidP="008033E3">
      <w:pPr>
        <w:rPr>
          <w:sz w:val="20"/>
          <w:szCs w:val="22"/>
        </w:rPr>
      </w:pPr>
    </w:p>
    <w:p w:rsidR="008033E3" w:rsidRPr="006B3EFB" w:rsidRDefault="008033E3" w:rsidP="008033E3">
      <w:pPr>
        <w:rPr>
          <w:sz w:val="20"/>
          <w:szCs w:val="22"/>
        </w:rPr>
      </w:pPr>
      <w:r w:rsidRPr="006B3EFB">
        <w:rPr>
          <w:sz w:val="20"/>
          <w:szCs w:val="22"/>
        </w:rPr>
        <w:t>Health Workforce Australia (2013). Health Professionals Prescribing Pathway (HPPP) Project – Final Report. HWA, Adelaide.</w:t>
      </w:r>
    </w:p>
    <w:p w:rsidR="008033E3" w:rsidRPr="006B3EFB" w:rsidRDefault="008033E3" w:rsidP="008033E3">
      <w:pPr>
        <w:rPr>
          <w:sz w:val="20"/>
          <w:szCs w:val="22"/>
        </w:rPr>
      </w:pPr>
    </w:p>
    <w:p w:rsidR="008033E3" w:rsidRPr="006B3EFB" w:rsidRDefault="008033E3" w:rsidP="008033E3">
      <w:pPr>
        <w:rPr>
          <w:sz w:val="20"/>
          <w:szCs w:val="22"/>
        </w:rPr>
      </w:pPr>
      <w:r w:rsidRPr="006B3EFB">
        <w:rPr>
          <w:sz w:val="20"/>
          <w:szCs w:val="22"/>
        </w:rPr>
        <w:t>National Prescribing Service Limited (2012) NPS: Better choices, Better health. Competencies required to prescribe medicines: putting quality use of medicines into practice. Sydney.</w:t>
      </w:r>
    </w:p>
    <w:p w:rsidR="008033E3" w:rsidRPr="006B3EFB" w:rsidRDefault="008033E3" w:rsidP="008033E3">
      <w:pPr>
        <w:rPr>
          <w:sz w:val="20"/>
          <w:szCs w:val="22"/>
        </w:rPr>
      </w:pPr>
    </w:p>
    <w:p w:rsidR="008033E3" w:rsidRPr="006B3EFB" w:rsidRDefault="008033E3" w:rsidP="008033E3">
      <w:pPr>
        <w:rPr>
          <w:sz w:val="20"/>
          <w:szCs w:val="22"/>
        </w:rPr>
      </w:pPr>
      <w:r w:rsidRPr="006B3EFB">
        <w:rPr>
          <w:sz w:val="20"/>
          <w:szCs w:val="22"/>
        </w:rPr>
        <w:t>Australian Institute of Health and Welfare 2016. Spatial distribution of the supply of the clinical health workforce 2014: relationship to the distribution of the Indigenous population. Cat. no. IHW 170. Canberra: AIHW</w:t>
      </w:r>
    </w:p>
    <w:p w:rsidR="008033E3" w:rsidRPr="006B3EFB" w:rsidRDefault="008033E3" w:rsidP="008033E3">
      <w:pPr>
        <w:rPr>
          <w:sz w:val="20"/>
          <w:szCs w:val="22"/>
        </w:rPr>
      </w:pPr>
    </w:p>
    <w:p w:rsidR="008033E3" w:rsidRPr="006B3EFB" w:rsidRDefault="008033E3" w:rsidP="008033E3">
      <w:pPr>
        <w:rPr>
          <w:sz w:val="20"/>
        </w:rPr>
      </w:pPr>
      <w:r w:rsidRPr="006B3EFB">
        <w:rPr>
          <w:sz w:val="20"/>
        </w:rPr>
        <w:t>Elliott R, Boyd M, Waring J et al (2014) Understanding and appraising the new medicines service in the NHS in England. Nottingham</w:t>
      </w:r>
      <w:r>
        <w:rPr>
          <w:sz w:val="20"/>
        </w:rPr>
        <w:t xml:space="preserve"> University School of Pharmacy.</w:t>
      </w:r>
    </w:p>
    <w:p w:rsidR="008033E3" w:rsidRPr="006B3EFB" w:rsidRDefault="008033E3" w:rsidP="008033E3">
      <w:pPr>
        <w:rPr>
          <w:sz w:val="20"/>
          <w:szCs w:val="22"/>
        </w:rPr>
      </w:pPr>
    </w:p>
    <w:p w:rsidR="008033E3" w:rsidRPr="006B3EFB" w:rsidRDefault="008033E3" w:rsidP="008033E3">
      <w:pPr>
        <w:rPr>
          <w:sz w:val="20"/>
          <w:szCs w:val="22"/>
        </w:rPr>
      </w:pPr>
      <w:r w:rsidRPr="006B3EFB">
        <w:rPr>
          <w:sz w:val="20"/>
          <w:szCs w:val="22"/>
        </w:rPr>
        <w:t xml:space="preserve">National Health Service England (2016) Transformation of seven day clinical pharmacy services in acute hospitals. NHS England, London. </w:t>
      </w:r>
    </w:p>
    <w:p w:rsidR="008033E3" w:rsidRPr="006B3EFB" w:rsidRDefault="008033E3" w:rsidP="008033E3">
      <w:pPr>
        <w:rPr>
          <w:sz w:val="20"/>
          <w:szCs w:val="22"/>
        </w:rPr>
      </w:pPr>
    </w:p>
    <w:p w:rsidR="008033E3" w:rsidRPr="006B3EFB" w:rsidRDefault="008033E3" w:rsidP="008033E3">
      <w:pPr>
        <w:rPr>
          <w:rStyle w:val="selectable"/>
          <w:sz w:val="20"/>
        </w:rPr>
      </w:pPr>
      <w:r w:rsidRPr="006B3EFB">
        <w:rPr>
          <w:rStyle w:val="selectable"/>
          <w:sz w:val="20"/>
        </w:rPr>
        <w:t xml:space="preserve">Freemantle, N., Richardson, M., Wood, J., Ray, D., Khosla, S., &amp; Shahian, D. et al. (2012). Weekend hospitalization and additional risk of death: An analysis of inpatient data. </w:t>
      </w:r>
      <w:r w:rsidRPr="006B3EFB">
        <w:rPr>
          <w:rStyle w:val="selectable"/>
          <w:i/>
          <w:iCs/>
          <w:sz w:val="20"/>
        </w:rPr>
        <w:t>JRSM</w:t>
      </w:r>
      <w:r w:rsidRPr="006B3EFB">
        <w:rPr>
          <w:rStyle w:val="selectable"/>
          <w:sz w:val="20"/>
        </w:rPr>
        <w:t xml:space="preserve">, </w:t>
      </w:r>
      <w:r w:rsidRPr="006B3EFB">
        <w:rPr>
          <w:rStyle w:val="selectable"/>
          <w:i/>
          <w:iCs/>
          <w:sz w:val="20"/>
        </w:rPr>
        <w:t>105</w:t>
      </w:r>
      <w:r w:rsidRPr="006B3EFB">
        <w:rPr>
          <w:rStyle w:val="selectable"/>
          <w:sz w:val="20"/>
        </w:rPr>
        <w:t>(2), 74-84.</w:t>
      </w:r>
    </w:p>
    <w:p w:rsidR="008033E3" w:rsidRPr="006B3EFB" w:rsidRDefault="008033E3" w:rsidP="008033E3">
      <w:pPr>
        <w:rPr>
          <w:rStyle w:val="selectable"/>
          <w:sz w:val="20"/>
        </w:rPr>
      </w:pPr>
    </w:p>
    <w:p w:rsidR="008033E3" w:rsidRPr="006B3EFB" w:rsidRDefault="008033E3" w:rsidP="008033E3">
      <w:pPr>
        <w:rPr>
          <w:sz w:val="20"/>
          <w:szCs w:val="22"/>
        </w:rPr>
      </w:pPr>
      <w:r w:rsidRPr="006B3EFB">
        <w:rPr>
          <w:rStyle w:val="selectable"/>
          <w:sz w:val="20"/>
        </w:rPr>
        <w:t xml:space="preserve">Clarke, M., Wills, R., Bowman, R., Zimmerman, P., Fong, K., Coory, M., &amp; Yang, I. (2010). Exploratory study of the ‘weekend effect’ for acute medical admissions to public hospitals in Queensland, Australia. </w:t>
      </w:r>
      <w:r w:rsidRPr="006B3EFB">
        <w:rPr>
          <w:rStyle w:val="selectable"/>
          <w:i/>
          <w:iCs/>
          <w:sz w:val="20"/>
        </w:rPr>
        <w:t>Internal Medicine Journal</w:t>
      </w:r>
      <w:r w:rsidRPr="006B3EFB">
        <w:rPr>
          <w:rStyle w:val="selectable"/>
          <w:sz w:val="20"/>
        </w:rPr>
        <w:t xml:space="preserve">, </w:t>
      </w:r>
      <w:r w:rsidRPr="006B3EFB">
        <w:rPr>
          <w:rStyle w:val="selectable"/>
          <w:i/>
          <w:iCs/>
          <w:sz w:val="20"/>
        </w:rPr>
        <w:t>40</w:t>
      </w:r>
      <w:r w:rsidRPr="006B3EFB">
        <w:rPr>
          <w:rStyle w:val="selectable"/>
          <w:sz w:val="20"/>
        </w:rPr>
        <w:t>(11), 777-783.</w:t>
      </w:r>
    </w:p>
    <w:p w:rsidR="008033E3" w:rsidRPr="006B3EFB" w:rsidRDefault="008033E3" w:rsidP="008033E3">
      <w:pPr>
        <w:rPr>
          <w:sz w:val="20"/>
          <w:szCs w:val="22"/>
        </w:rPr>
      </w:pPr>
    </w:p>
    <w:p w:rsidR="008033E3" w:rsidRDefault="008033E3" w:rsidP="008033E3">
      <w:pPr>
        <w:rPr>
          <w:rStyle w:val="selectable"/>
          <w:sz w:val="20"/>
        </w:rPr>
      </w:pPr>
      <w:r w:rsidRPr="006B3EFB">
        <w:rPr>
          <w:rStyle w:val="selectable"/>
          <w:sz w:val="20"/>
        </w:rPr>
        <w:t xml:space="preserve">Stratton, T., Worley, M., Schmidt, M., &amp; Dudzik, M. (2008). Implementing after-hours pharmacy coverage for critical access hospitals in northeast Minnesota. </w:t>
      </w:r>
      <w:r w:rsidRPr="006B3EFB">
        <w:rPr>
          <w:rStyle w:val="selectable"/>
          <w:i/>
          <w:iCs/>
          <w:sz w:val="20"/>
        </w:rPr>
        <w:t>American Journal Of Health-System Pharmacy</w:t>
      </w:r>
      <w:r w:rsidRPr="006B3EFB">
        <w:rPr>
          <w:rStyle w:val="selectable"/>
          <w:sz w:val="20"/>
        </w:rPr>
        <w:t xml:space="preserve">, </w:t>
      </w:r>
      <w:r w:rsidRPr="006B3EFB">
        <w:rPr>
          <w:rStyle w:val="selectable"/>
          <w:i/>
          <w:iCs/>
          <w:sz w:val="20"/>
        </w:rPr>
        <w:t>65</w:t>
      </w:r>
      <w:r w:rsidRPr="006B3EFB">
        <w:rPr>
          <w:rStyle w:val="selectable"/>
          <w:sz w:val="20"/>
        </w:rPr>
        <w:t>(18), 1727-1734.</w:t>
      </w:r>
    </w:p>
    <w:p w:rsidR="008033E3" w:rsidRDefault="008033E3" w:rsidP="008033E3">
      <w:pPr>
        <w:rPr>
          <w:rStyle w:val="selectable"/>
          <w:sz w:val="20"/>
        </w:rPr>
      </w:pPr>
    </w:p>
    <w:p w:rsidR="008033E3" w:rsidRDefault="008033E3" w:rsidP="008033E3">
      <w:pPr>
        <w:rPr>
          <w:sz w:val="20"/>
        </w:rPr>
      </w:pPr>
      <w:r w:rsidRPr="002D1B03">
        <w:rPr>
          <w:sz w:val="20"/>
        </w:rPr>
        <w:t>Dooley MJ, Allen KM, Doecke CJ, Galbraith KJ, Taylor GR, Bright J, Carey DL. A prospective multicentre study of pharmacist</w:t>
      </w:r>
      <w:r>
        <w:rPr>
          <w:sz w:val="20"/>
        </w:rPr>
        <w:t xml:space="preserve"> </w:t>
      </w:r>
      <w:r w:rsidRPr="002D1B03">
        <w:rPr>
          <w:sz w:val="20"/>
        </w:rPr>
        <w:t>initiated changes to drug therapy and patient management in acute care government funded hospitals. Br J Clin Pharmacol</w:t>
      </w:r>
      <w:r>
        <w:rPr>
          <w:sz w:val="20"/>
        </w:rPr>
        <w:t xml:space="preserve"> </w:t>
      </w:r>
      <w:r w:rsidRPr="002D1B03">
        <w:rPr>
          <w:sz w:val="20"/>
        </w:rPr>
        <w:t>2004; 57: 513–21.</w:t>
      </w:r>
    </w:p>
    <w:p w:rsidR="008033E3" w:rsidRDefault="008033E3" w:rsidP="008033E3">
      <w:pPr>
        <w:rPr>
          <w:sz w:val="20"/>
        </w:rPr>
      </w:pPr>
    </w:p>
    <w:p w:rsidR="008033E3" w:rsidRPr="006B3EFB" w:rsidRDefault="008033E3" w:rsidP="008033E3">
      <w:pPr>
        <w:rPr>
          <w:sz w:val="20"/>
        </w:rPr>
      </w:pPr>
      <w:r w:rsidRPr="009B2885">
        <w:rPr>
          <w:sz w:val="20"/>
        </w:rPr>
        <w:t>SHPA. (2013, June). Standards of Practice for Clinical Pharmacy Standards. Journal of Pharmacy Practice &amp; Research, 43, Supplement.</w:t>
      </w:r>
    </w:p>
    <w:p w:rsidR="008E17E4" w:rsidRPr="00FC1B83" w:rsidRDefault="008E17E4" w:rsidP="008033E3"/>
    <w:sectPr w:rsidR="008E17E4" w:rsidRPr="00FC1B83" w:rsidSect="00012409">
      <w:footerReference w:type="default" r:id="rId40"/>
      <w:footerReference w:type="first" r:id="rId41"/>
      <w:pgSz w:w="11906" w:h="16838" w:code="9"/>
      <w:pgMar w:top="1440" w:right="1440" w:bottom="1440" w:left="1440" w:header="1134"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33E3" w:rsidRDefault="008033E3" w:rsidP="00E80D62">
      <w:r>
        <w:separator/>
      </w:r>
    </w:p>
    <w:p w:rsidR="008033E3" w:rsidRDefault="008033E3"/>
  </w:endnote>
  <w:endnote w:type="continuationSeparator" w:id="0">
    <w:p w:rsidR="008033E3" w:rsidRDefault="008033E3" w:rsidP="00E80D62">
      <w:r>
        <w:continuationSeparator/>
      </w:r>
    </w:p>
    <w:p w:rsidR="008033E3" w:rsidRDefault="008033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Minion Pro">
    <w:panose1 w:val="00000000000000000000"/>
    <w:charset w:val="00"/>
    <w:family w:val="roman"/>
    <w:notTrueType/>
    <w:pitch w:val="variable"/>
    <w:sig w:usb0="60000287" w:usb1="00000001" w:usb2="00000000" w:usb3="00000000" w:csb0="0000019F" w:csb1="00000000"/>
  </w:font>
  <w:font w:name="UniversLTStd">
    <w:altName w:val="MS Gothic"/>
    <w:panose1 w:val="00000000000000000000"/>
    <w:charset w:val="80"/>
    <w:family w:val="swiss"/>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B83" w:rsidRPr="00DA527E" w:rsidRDefault="00FC1B83" w:rsidP="00972F9C">
    <w:pPr>
      <w:pStyle w:val="Footer"/>
      <w:contextualSpacing/>
      <w:jc w:val="right"/>
      <w:rPr>
        <w:rFonts w:cs="Arial"/>
        <w:b/>
      </w:rPr>
    </w:pPr>
  </w:p>
  <w:p w:rsidR="00FC1B83" w:rsidRPr="00DA527E" w:rsidRDefault="00FC1B83" w:rsidP="00972F9C">
    <w:pPr>
      <w:pStyle w:val="Footer"/>
      <w:contextualSpacing/>
      <w:jc w:val="right"/>
      <w:rPr>
        <w:rFonts w:cs="Arial"/>
        <w:b/>
      </w:rPr>
    </w:pPr>
  </w:p>
  <w:p w:rsidR="00FC1B83" w:rsidRPr="00DA527E" w:rsidRDefault="00FC1B83" w:rsidP="00972F9C">
    <w:pPr>
      <w:pStyle w:val="Footer"/>
      <w:contextualSpacing/>
      <w:jc w:val="right"/>
      <w:rPr>
        <w:rFonts w:cs="Arial"/>
        <w:b/>
      </w:rPr>
    </w:pPr>
  </w:p>
  <w:p w:rsidR="00FC1B83" w:rsidRPr="00DA527E" w:rsidRDefault="00FC1B83" w:rsidP="00972F9C">
    <w:pPr>
      <w:pStyle w:val="Footer"/>
      <w:contextualSpacing/>
      <w:jc w:val="right"/>
      <w:rPr>
        <w:rFonts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3"/>
      <w:gridCol w:w="521"/>
    </w:tblGrid>
    <w:tr w:rsidR="00FC1B83" w:rsidRPr="00DA527E" w:rsidTr="00C03CB7">
      <w:tc>
        <w:tcPr>
          <w:tcW w:w="8505" w:type="dxa"/>
          <w:tcBorders>
            <w:right w:val="single" w:sz="12" w:space="0" w:color="ED7D31" w:themeColor="accent2"/>
          </w:tcBorders>
          <w:noWrap/>
          <w:tcMar>
            <w:left w:w="0" w:type="dxa"/>
            <w:right w:w="113" w:type="dxa"/>
          </w:tcMar>
        </w:tcPr>
        <w:p w:rsidR="00FC1B83" w:rsidRPr="00DA527E" w:rsidRDefault="00FC1B83" w:rsidP="0076223D">
          <w:pPr>
            <w:pStyle w:val="Footer"/>
            <w:jc w:val="right"/>
            <w:rPr>
              <w:rFonts w:cs="Arial"/>
              <w:b/>
              <w:color w:val="333333"/>
            </w:rPr>
          </w:pPr>
          <w:r w:rsidRPr="00DA527E">
            <w:rPr>
              <w:rFonts w:cs="Arial"/>
              <w:b/>
              <w:color w:val="333333"/>
            </w:rPr>
            <w:t>The Society of Hospital Pharmacists of Australia</w:t>
          </w:r>
        </w:p>
      </w:tc>
      <w:tc>
        <w:tcPr>
          <w:tcW w:w="521" w:type="dxa"/>
          <w:tcBorders>
            <w:left w:val="single" w:sz="12" w:space="0" w:color="ED7D31" w:themeColor="accent2"/>
          </w:tcBorders>
          <w:noWrap/>
        </w:tcPr>
        <w:p w:rsidR="00FC1B83" w:rsidRPr="00DA527E" w:rsidRDefault="00A53E46" w:rsidP="00904DEC">
          <w:pPr>
            <w:pStyle w:val="Footer"/>
            <w:jc w:val="right"/>
            <w:rPr>
              <w:rFonts w:cs="Arial"/>
              <w:b/>
              <w:color w:val="333333"/>
            </w:rPr>
          </w:pPr>
          <w:r w:rsidRPr="00DA527E">
            <w:rPr>
              <w:rFonts w:cs="Arial"/>
              <w:b/>
              <w:color w:val="333333"/>
            </w:rPr>
            <w:fldChar w:fldCharType="begin"/>
          </w:r>
          <w:r w:rsidR="00FC1B83" w:rsidRPr="00DA527E">
            <w:rPr>
              <w:rFonts w:cs="Arial"/>
              <w:b/>
              <w:color w:val="333333"/>
            </w:rPr>
            <w:instrText xml:space="preserve"> PAGE   \* MERGEFORMAT </w:instrText>
          </w:r>
          <w:r w:rsidRPr="00DA527E">
            <w:rPr>
              <w:rFonts w:cs="Arial"/>
              <w:b/>
              <w:color w:val="333333"/>
            </w:rPr>
            <w:fldChar w:fldCharType="separate"/>
          </w:r>
          <w:r w:rsidR="00FC1B83">
            <w:rPr>
              <w:rFonts w:cs="Arial"/>
              <w:b/>
              <w:noProof/>
              <w:color w:val="333333"/>
            </w:rPr>
            <w:t>4</w:t>
          </w:r>
          <w:r w:rsidRPr="00DA527E">
            <w:rPr>
              <w:rFonts w:cs="Arial"/>
              <w:b/>
              <w:noProof/>
              <w:color w:val="333333"/>
            </w:rPr>
            <w:fldChar w:fldCharType="end"/>
          </w:r>
        </w:p>
      </w:tc>
    </w:tr>
  </w:tbl>
  <w:p w:rsidR="00FC1B83" w:rsidRPr="00DA527E" w:rsidRDefault="00FC1B83" w:rsidP="00904DEC">
    <w:pPr>
      <w:pStyle w:val="Footer"/>
      <w:jc w:val="right"/>
      <w:rPr>
        <w:rFonts w:cs="Arial"/>
        <w:b/>
        <w:noProof/>
        <w:color w:val="333333"/>
      </w:rPr>
    </w:pPr>
    <w:r w:rsidRPr="00DA527E">
      <w:rPr>
        <w:rFonts w:cs="Arial"/>
        <w:b/>
        <w:color w:val="333333"/>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B83" w:rsidRPr="00DA527E" w:rsidRDefault="00FC1B83" w:rsidP="00725478">
    <w:pPr>
      <w:pStyle w:val="Footer"/>
      <w:contextualSpacing/>
      <w:rPr>
        <w:rFonts w:cs="Arial"/>
        <w:color w:val="7F7F7F" w:themeColor="text1" w:themeTint="80"/>
      </w:rPr>
    </w:pPr>
    <w:r>
      <w:rPr>
        <w:noProof/>
        <w:lang w:eastAsia="en-AU"/>
      </w:rPr>
      <w:drawing>
        <wp:anchor distT="0" distB="0" distL="114300" distR="114300" simplePos="0" relativeHeight="251661312" behindDoc="0" locked="0" layoutInCell="1" allowOverlap="1">
          <wp:simplePos x="0" y="0"/>
          <wp:positionH relativeFrom="column">
            <wp:posOffset>-161925</wp:posOffset>
          </wp:positionH>
          <wp:positionV relativeFrom="paragraph">
            <wp:posOffset>130810</wp:posOffset>
          </wp:positionV>
          <wp:extent cx="1419225" cy="456832"/>
          <wp:effectExtent l="0" t="0" r="0" b="635"/>
          <wp:wrapNone/>
          <wp:docPr id="4" name="Picture 4" descr="op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ption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9225" cy="456832"/>
                  </a:xfrm>
                  <a:prstGeom prst="rect">
                    <a:avLst/>
                  </a:prstGeom>
                  <a:noFill/>
                  <a:ln>
                    <a:noFill/>
                  </a:ln>
                </pic:spPr>
              </pic:pic>
            </a:graphicData>
          </a:graphic>
        </wp:anchor>
      </w:drawing>
    </w:r>
  </w:p>
  <w:p w:rsidR="00FC1B83" w:rsidRPr="00DA527E" w:rsidRDefault="00FC1B83" w:rsidP="002A655F">
    <w:pPr>
      <w:pStyle w:val="Footer"/>
      <w:pBdr>
        <w:right w:val="single" w:sz="18" w:space="4" w:color="ED7D31" w:themeColor="accent2"/>
      </w:pBdr>
      <w:spacing w:before="480"/>
      <w:ind w:left="-567"/>
      <w:contextualSpacing/>
      <w:jc w:val="right"/>
      <w:rPr>
        <w:rFonts w:cs="Arial"/>
        <w:b/>
      </w:rPr>
    </w:pPr>
    <w:r w:rsidRPr="00DA527E">
      <w:rPr>
        <w:rFonts w:cs="Arial"/>
        <w:b/>
      </w:rPr>
      <w:t>The Society of Hospital Pharmacists of Australia</w:t>
    </w:r>
  </w:p>
  <w:p w:rsidR="00FC1B83" w:rsidRPr="00DA527E" w:rsidRDefault="00FC1B83" w:rsidP="00592E6E">
    <w:pPr>
      <w:pStyle w:val="Footer"/>
      <w:pBdr>
        <w:right w:val="single" w:sz="18" w:space="4" w:color="ED7D31" w:themeColor="accent2"/>
      </w:pBdr>
      <w:ind w:left="-567"/>
      <w:contextualSpacing/>
      <w:jc w:val="right"/>
      <w:rPr>
        <w:rFonts w:cs="Arial"/>
        <w:b/>
        <w:color w:val="333333"/>
        <w:sz w:val="14"/>
        <w:szCs w:val="14"/>
      </w:rPr>
    </w:pPr>
    <w:r w:rsidRPr="00DA527E">
      <w:rPr>
        <w:rFonts w:cs="Arial"/>
        <w:color w:val="333333"/>
        <w:sz w:val="14"/>
        <w:szCs w:val="14"/>
      </w:rPr>
      <w:tab/>
    </w:r>
    <w:r w:rsidRPr="00DA527E">
      <w:rPr>
        <w:rFonts w:cs="Arial"/>
        <w:color w:val="333333"/>
        <w:sz w:val="14"/>
        <w:szCs w:val="14"/>
      </w:rPr>
      <w:tab/>
      <w:t>PO Box 1774 Collingwood Victoria 3066 Australia – 03 9486 0177</w:t>
    </w:r>
  </w:p>
  <w:p w:rsidR="00FC1B83" w:rsidRPr="00DA527E" w:rsidRDefault="00F91244" w:rsidP="00592E6E">
    <w:pPr>
      <w:pStyle w:val="Footer"/>
      <w:pBdr>
        <w:right w:val="single" w:sz="18" w:space="4" w:color="ED7D31" w:themeColor="accent2"/>
      </w:pBdr>
      <w:ind w:left="-567"/>
      <w:contextualSpacing/>
      <w:jc w:val="right"/>
      <w:rPr>
        <w:rFonts w:cs="Arial"/>
        <w:color w:val="333333"/>
        <w:sz w:val="14"/>
        <w:szCs w:val="14"/>
      </w:rPr>
    </w:pPr>
    <w:hyperlink r:id="rId2" w:history="1">
      <w:r w:rsidR="00FC1B83" w:rsidRPr="00DA527E">
        <w:rPr>
          <w:rStyle w:val="Hyperlink"/>
          <w:rFonts w:cs="Arial"/>
          <w:color w:val="333333"/>
          <w:sz w:val="14"/>
          <w:szCs w:val="14"/>
          <w:u w:val="none"/>
        </w:rPr>
        <w:t>http://shpa.org.au</w:t>
      </w:r>
    </w:hyperlink>
    <w:r w:rsidR="00FC1B83" w:rsidRPr="00DA527E">
      <w:rPr>
        <w:rFonts w:cs="Arial"/>
        <w:color w:val="333333"/>
        <w:sz w:val="14"/>
        <w:szCs w:val="14"/>
      </w:rPr>
      <w:t xml:space="preserve"> - </w:t>
    </w:r>
    <w:hyperlink r:id="rId3" w:history="1">
      <w:r w:rsidR="00FC1B83" w:rsidRPr="00DA527E">
        <w:rPr>
          <w:rStyle w:val="Hyperlink"/>
          <w:rFonts w:cs="Arial"/>
          <w:color w:val="333333"/>
          <w:sz w:val="14"/>
          <w:szCs w:val="14"/>
          <w:u w:val="none"/>
        </w:rPr>
        <w:t>shpa@shpa.org.au</w:t>
      </w:r>
    </w:hyperlink>
    <w:r w:rsidR="00FC1B83" w:rsidRPr="00DA527E">
      <w:rPr>
        <w:rFonts w:cs="Arial"/>
        <w:color w:val="333333"/>
        <w:sz w:val="14"/>
        <w:szCs w:val="14"/>
      </w:rPr>
      <w:t xml:space="preserve"> – ABN: 54 004 553 806  </w:t>
    </w:r>
  </w:p>
  <w:p w:rsidR="00FC1B83" w:rsidRPr="00DA527E" w:rsidRDefault="00FC1B83" w:rsidP="00592E6E">
    <w:pPr>
      <w:pStyle w:val="Footer"/>
      <w:tabs>
        <w:tab w:val="clear" w:pos="4513"/>
        <w:tab w:val="clear" w:pos="9026"/>
        <w:tab w:val="left" w:pos="8513"/>
      </w:tabs>
      <w:spacing w:before="120"/>
      <w:ind w:right="-567"/>
      <w:contextualSpacing/>
      <w:rPr>
        <w:rFonts w:cs="Arial"/>
        <w:color w:val="7F7F7F" w:themeColor="text1" w:themeTint="80"/>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4E5" w:rsidRPr="00DA527E" w:rsidRDefault="00BC74E5" w:rsidP="00BC74E5">
    <w:pPr>
      <w:pStyle w:val="Footer"/>
      <w:contextualSpacing/>
      <w:jc w:val="right"/>
      <w:rPr>
        <w:rFonts w:cs="Arial"/>
        <w:b/>
      </w:rPr>
    </w:pPr>
  </w:p>
  <w:p w:rsidR="00BC74E5" w:rsidRPr="00DA527E" w:rsidRDefault="00BC74E5" w:rsidP="00BC74E5">
    <w:pPr>
      <w:pStyle w:val="Footer"/>
      <w:contextualSpacing/>
      <w:jc w:val="right"/>
      <w:rPr>
        <w:rFonts w:cs="Arial"/>
        <w:b/>
      </w:rPr>
    </w:pPr>
  </w:p>
  <w:p w:rsidR="00BC74E5" w:rsidRPr="00DA527E" w:rsidRDefault="00BC74E5" w:rsidP="00BC74E5">
    <w:pPr>
      <w:pStyle w:val="Footer"/>
      <w:contextualSpacing/>
      <w:jc w:val="right"/>
      <w:rPr>
        <w:rFonts w:cs="Arial"/>
        <w:b/>
      </w:rPr>
    </w:pPr>
  </w:p>
  <w:p w:rsidR="00BC74E5" w:rsidRPr="00DA527E" w:rsidRDefault="00BC74E5" w:rsidP="00BC74E5">
    <w:pPr>
      <w:pStyle w:val="Footer"/>
      <w:contextualSpacing/>
      <w:jc w:val="center"/>
      <w:rPr>
        <w:rFonts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3"/>
      <w:gridCol w:w="521"/>
    </w:tblGrid>
    <w:tr w:rsidR="00BC74E5" w:rsidRPr="00DA527E" w:rsidTr="00BC74E5">
      <w:tc>
        <w:tcPr>
          <w:tcW w:w="8505" w:type="dxa"/>
          <w:tcBorders>
            <w:right w:val="single" w:sz="12" w:space="0" w:color="ED7D31" w:themeColor="accent2"/>
          </w:tcBorders>
          <w:noWrap/>
          <w:tcMar>
            <w:left w:w="0" w:type="dxa"/>
            <w:right w:w="113" w:type="dxa"/>
          </w:tcMar>
        </w:tcPr>
        <w:p w:rsidR="00BC74E5" w:rsidRPr="00DA527E" w:rsidRDefault="00BC74E5" w:rsidP="00BC74E5">
          <w:pPr>
            <w:pStyle w:val="FooterTitle"/>
          </w:pPr>
          <w:r w:rsidRPr="00DA527E">
            <w:t>The Society of Hospital Pharmacists of Australia</w:t>
          </w:r>
        </w:p>
      </w:tc>
      <w:tc>
        <w:tcPr>
          <w:tcW w:w="521" w:type="dxa"/>
          <w:tcBorders>
            <w:left w:val="single" w:sz="12" w:space="0" w:color="ED7D31" w:themeColor="accent2"/>
          </w:tcBorders>
          <w:noWrap/>
        </w:tcPr>
        <w:p w:rsidR="00BC74E5" w:rsidRPr="00DA527E" w:rsidRDefault="00A53E46" w:rsidP="00FC1B83">
          <w:pPr>
            <w:jc w:val="right"/>
          </w:pPr>
          <w:r w:rsidRPr="00DA527E">
            <w:fldChar w:fldCharType="begin"/>
          </w:r>
          <w:r w:rsidR="00BC74E5" w:rsidRPr="00DA527E">
            <w:instrText xml:space="preserve"> PAGE   \* MERGEFORMAT </w:instrText>
          </w:r>
          <w:r w:rsidRPr="00DA527E">
            <w:fldChar w:fldCharType="separate"/>
          </w:r>
          <w:r w:rsidR="00F91244">
            <w:rPr>
              <w:noProof/>
            </w:rPr>
            <w:t>3</w:t>
          </w:r>
          <w:r w:rsidRPr="00DA527E">
            <w:rPr>
              <w:noProof/>
            </w:rPr>
            <w:fldChar w:fldCharType="end"/>
          </w:r>
        </w:p>
      </w:tc>
    </w:tr>
  </w:tbl>
  <w:p w:rsidR="00904DEC" w:rsidRPr="00BC74E5" w:rsidRDefault="00BC74E5" w:rsidP="00BC74E5">
    <w:pPr>
      <w:pStyle w:val="Footer"/>
      <w:jc w:val="right"/>
      <w:rPr>
        <w:rFonts w:cs="Arial"/>
        <w:b/>
        <w:noProof/>
        <w:color w:val="333333"/>
      </w:rPr>
    </w:pPr>
    <w:r w:rsidRPr="00DA527E">
      <w:rPr>
        <w:rFonts w:cs="Arial"/>
        <w:b/>
        <w:color w:val="333333"/>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757" w:rsidRPr="00DA527E" w:rsidRDefault="00532757" w:rsidP="00532757">
    <w:pPr>
      <w:pStyle w:val="Footer"/>
      <w:contextualSpacing/>
      <w:rPr>
        <w:rFonts w:cs="Arial"/>
        <w:color w:val="7F7F7F" w:themeColor="text1" w:themeTint="80"/>
      </w:rPr>
    </w:pPr>
    <w:r>
      <w:rPr>
        <w:noProof/>
        <w:lang w:eastAsia="en-AU"/>
      </w:rPr>
      <w:drawing>
        <wp:anchor distT="0" distB="0" distL="114300" distR="114300" simplePos="0" relativeHeight="251659264" behindDoc="0" locked="0" layoutInCell="1" allowOverlap="1">
          <wp:simplePos x="0" y="0"/>
          <wp:positionH relativeFrom="column">
            <wp:posOffset>-161925</wp:posOffset>
          </wp:positionH>
          <wp:positionV relativeFrom="paragraph">
            <wp:posOffset>130810</wp:posOffset>
          </wp:positionV>
          <wp:extent cx="1419225" cy="456832"/>
          <wp:effectExtent l="0" t="0" r="0" b="635"/>
          <wp:wrapNone/>
          <wp:docPr id="1" name="Picture 1" descr="op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ption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9225" cy="456832"/>
                  </a:xfrm>
                  <a:prstGeom prst="rect">
                    <a:avLst/>
                  </a:prstGeom>
                  <a:noFill/>
                  <a:ln>
                    <a:noFill/>
                  </a:ln>
                </pic:spPr>
              </pic:pic>
            </a:graphicData>
          </a:graphic>
        </wp:anchor>
      </w:drawing>
    </w:r>
  </w:p>
  <w:p w:rsidR="00532757" w:rsidRPr="00DA527E" w:rsidRDefault="00532757" w:rsidP="00532757">
    <w:pPr>
      <w:pStyle w:val="Footer"/>
      <w:pBdr>
        <w:right w:val="single" w:sz="18" w:space="4" w:color="ED7D31" w:themeColor="accent2"/>
      </w:pBdr>
      <w:spacing w:before="480"/>
      <w:ind w:left="-567"/>
      <w:contextualSpacing/>
      <w:jc w:val="right"/>
      <w:rPr>
        <w:rFonts w:cs="Arial"/>
        <w:b/>
      </w:rPr>
    </w:pPr>
    <w:r w:rsidRPr="00DA527E">
      <w:rPr>
        <w:rFonts w:cs="Arial"/>
        <w:b/>
      </w:rPr>
      <w:t>The Society of Hospital Pharmacists of Australia</w:t>
    </w:r>
  </w:p>
  <w:p w:rsidR="00532757" w:rsidRPr="00DA527E" w:rsidRDefault="00532757" w:rsidP="00532757">
    <w:pPr>
      <w:pStyle w:val="Footer"/>
      <w:pBdr>
        <w:right w:val="single" w:sz="18" w:space="4" w:color="ED7D31" w:themeColor="accent2"/>
      </w:pBdr>
      <w:ind w:left="-567"/>
      <w:contextualSpacing/>
      <w:jc w:val="right"/>
      <w:rPr>
        <w:rFonts w:cs="Arial"/>
        <w:b/>
        <w:color w:val="333333"/>
        <w:sz w:val="14"/>
        <w:szCs w:val="14"/>
      </w:rPr>
    </w:pPr>
    <w:r w:rsidRPr="00DA527E">
      <w:rPr>
        <w:rFonts w:cs="Arial"/>
        <w:color w:val="333333"/>
        <w:sz w:val="14"/>
        <w:szCs w:val="14"/>
      </w:rPr>
      <w:tab/>
    </w:r>
    <w:r w:rsidRPr="00DA527E">
      <w:rPr>
        <w:rFonts w:cs="Arial"/>
        <w:color w:val="333333"/>
        <w:sz w:val="14"/>
        <w:szCs w:val="14"/>
      </w:rPr>
      <w:tab/>
      <w:t>PO Box 1774 Collingwood Victoria 3066 Australia – 03 9486 0177</w:t>
    </w:r>
  </w:p>
  <w:p w:rsidR="00532757" w:rsidRPr="00DA527E" w:rsidRDefault="00F91244" w:rsidP="00532757">
    <w:pPr>
      <w:pStyle w:val="Footer"/>
      <w:pBdr>
        <w:right w:val="single" w:sz="18" w:space="4" w:color="ED7D31" w:themeColor="accent2"/>
      </w:pBdr>
      <w:ind w:left="-567"/>
      <w:contextualSpacing/>
      <w:jc w:val="right"/>
      <w:rPr>
        <w:rFonts w:cs="Arial"/>
        <w:color w:val="333333"/>
        <w:sz w:val="14"/>
        <w:szCs w:val="14"/>
      </w:rPr>
    </w:pPr>
    <w:hyperlink r:id="rId2" w:history="1">
      <w:r w:rsidR="00532757" w:rsidRPr="00DA527E">
        <w:rPr>
          <w:rStyle w:val="Hyperlink"/>
          <w:rFonts w:cs="Arial"/>
          <w:color w:val="333333"/>
          <w:sz w:val="14"/>
          <w:szCs w:val="14"/>
          <w:u w:val="none"/>
        </w:rPr>
        <w:t>http://shpa.org.au</w:t>
      </w:r>
    </w:hyperlink>
    <w:r w:rsidR="00532757" w:rsidRPr="00DA527E">
      <w:rPr>
        <w:rFonts w:cs="Arial"/>
        <w:color w:val="333333"/>
        <w:sz w:val="14"/>
        <w:szCs w:val="14"/>
      </w:rPr>
      <w:t xml:space="preserve"> - </w:t>
    </w:r>
    <w:hyperlink r:id="rId3" w:history="1">
      <w:r w:rsidR="00532757" w:rsidRPr="00DA527E">
        <w:rPr>
          <w:rStyle w:val="Hyperlink"/>
          <w:rFonts w:cs="Arial"/>
          <w:color w:val="333333"/>
          <w:sz w:val="14"/>
          <w:szCs w:val="14"/>
          <w:u w:val="none"/>
        </w:rPr>
        <w:t>shpa@shpa.org.au</w:t>
      </w:r>
    </w:hyperlink>
    <w:r w:rsidR="00532757" w:rsidRPr="00DA527E">
      <w:rPr>
        <w:rFonts w:cs="Arial"/>
        <w:color w:val="333333"/>
        <w:sz w:val="14"/>
        <w:szCs w:val="14"/>
      </w:rPr>
      <w:t xml:space="preserve"> – ABN: 54 004 553 806  </w:t>
    </w:r>
  </w:p>
  <w:p w:rsidR="00532757" w:rsidRPr="00DA527E" w:rsidRDefault="00532757" w:rsidP="00532757">
    <w:pPr>
      <w:pStyle w:val="Footer"/>
      <w:tabs>
        <w:tab w:val="clear" w:pos="4513"/>
        <w:tab w:val="clear" w:pos="9026"/>
        <w:tab w:val="left" w:pos="8513"/>
      </w:tabs>
      <w:spacing w:before="120"/>
      <w:ind w:right="-567"/>
      <w:contextualSpacing/>
      <w:rPr>
        <w:rFonts w:cs="Arial"/>
        <w:color w:val="7F7F7F" w:themeColor="text1" w:themeTint="80"/>
        <w:sz w:val="14"/>
        <w:szCs w:val="14"/>
      </w:rPr>
    </w:pPr>
  </w:p>
  <w:p w:rsidR="00012409" w:rsidRPr="00532757" w:rsidRDefault="00012409" w:rsidP="005327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33E3" w:rsidRDefault="008033E3" w:rsidP="00E80D62">
      <w:r>
        <w:separator/>
      </w:r>
    </w:p>
    <w:p w:rsidR="008033E3" w:rsidRDefault="008033E3"/>
  </w:footnote>
  <w:footnote w:type="continuationSeparator" w:id="0">
    <w:p w:rsidR="008033E3" w:rsidRDefault="008033E3" w:rsidP="00E80D62">
      <w:r>
        <w:continuationSeparator/>
      </w:r>
    </w:p>
    <w:p w:rsidR="008033E3" w:rsidRDefault="008033E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B83" w:rsidRPr="00DA527E" w:rsidRDefault="00F91244" w:rsidP="002A655F">
    <w:pPr>
      <w:pStyle w:val="Header"/>
      <w:rPr>
        <w:rFonts w:eastAsia="UniversLTStd" w:cs="Arial"/>
        <w:color w:val="666666"/>
      </w:rPr>
    </w:pPr>
    <w:sdt>
      <w:sdtPr>
        <w:rPr>
          <w:rFonts w:eastAsia="UniversLTStd" w:cs="Arial"/>
          <w:color w:val="666666"/>
        </w:rPr>
        <w:alias w:val="Category"/>
        <w:tag w:val=""/>
        <w:id w:val="733666013"/>
        <w:placeholder>
          <w:docPart w:val="AF11102DAC7146FDA630B28EE528A293"/>
        </w:placeholder>
        <w:dataBinding w:prefixMappings="xmlns:ns0='http://purl.org/dc/elements/1.1/' xmlns:ns1='http://schemas.openxmlformats.org/package/2006/metadata/core-properties' " w:xpath="/ns1:coreProperties[1]/ns1:category[1]" w:storeItemID="{6C3C8BC8-F283-45AE-878A-BAB7291924A1}"/>
        <w:text/>
      </w:sdtPr>
      <w:sdtEndPr/>
      <w:sdtContent>
        <w:r w:rsidR="00FC1B83">
          <w:rPr>
            <w:rFonts w:eastAsia="UniversLTStd" w:cs="Arial"/>
            <w:color w:val="666666"/>
          </w:rPr>
          <w:t>Submission</w:t>
        </w:r>
      </w:sdtContent>
    </w:sdt>
    <w:r w:rsidR="00FC1B83">
      <w:rPr>
        <w:rFonts w:eastAsia="UniversLTStd" w:cs="Arial"/>
        <w:color w:val="666666"/>
      </w:rPr>
      <w:t xml:space="preserve"> to </w:t>
    </w:r>
    <w:sdt>
      <w:sdtPr>
        <w:rPr>
          <w:rFonts w:eastAsia="UniversLTStd" w:cs="Arial"/>
          <w:color w:val="666666"/>
        </w:rPr>
        <w:alias w:val="Title"/>
        <w:id w:val="-1226603178"/>
        <w:placeholder>
          <w:docPart w:val="AF5408415E7348F9AB6CB5168BBB88CD"/>
        </w:placeholder>
        <w:dataBinding w:prefixMappings="xmlns:ns0='http://schemas.openxmlformats.org/package/2006/metadata/core-properties' xmlns:ns1='http://purl.org/dc/elements/1.1/'" w:xpath="/ns0:coreProperties[1]/ns1:title[1]" w:storeItemID="{6C3C8BC8-F283-45AE-878A-BAB7291924A1}"/>
        <w:text/>
      </w:sdtPr>
      <w:sdtEndPr/>
      <w:sdtContent>
        <w:r>
          <w:rPr>
            <w:rFonts w:eastAsia="UniversLTStd" w:cs="Arial"/>
            <w:color w:val="666666"/>
          </w:rPr>
          <w:t>Society of Hospital Pharmacists of Australia - 2017-18 Pre-Budget Submission</w:t>
        </w:r>
      </w:sdtContent>
    </w:sdt>
  </w:p>
  <w:p w:rsidR="00FC1B83" w:rsidRPr="00DA527E" w:rsidRDefault="00FC1B83" w:rsidP="002A655F">
    <w:pPr>
      <w:pStyle w:val="Header"/>
      <w:rPr>
        <w:rFonts w:cs="Arial"/>
        <w:color w:val="333333"/>
      </w:rPr>
    </w:pPr>
  </w:p>
  <w:p w:rsidR="00FC1B83" w:rsidRPr="00DA527E" w:rsidRDefault="00FC1B83" w:rsidP="002A655F">
    <w:pPr>
      <w:pStyle w:val="Header"/>
      <w:rPr>
        <w:rFonts w:cs="Arial"/>
        <w:color w:val="33333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A52395E"/>
    <w:lvl w:ilvl="0">
      <w:start w:val="1"/>
      <w:numFmt w:val="decimal"/>
      <w:lvlText w:val="%1."/>
      <w:lvlJc w:val="left"/>
      <w:pPr>
        <w:tabs>
          <w:tab w:val="num" w:pos="1492"/>
        </w:tabs>
        <w:ind w:left="1492" w:hanging="360"/>
      </w:pPr>
    </w:lvl>
  </w:abstractNum>
  <w:abstractNum w:abstractNumId="1">
    <w:nsid w:val="FFFFFF7D"/>
    <w:multiLevelType w:val="singleLevel"/>
    <w:tmpl w:val="00D8D6C6"/>
    <w:lvl w:ilvl="0">
      <w:start w:val="1"/>
      <w:numFmt w:val="decimal"/>
      <w:lvlText w:val="%1."/>
      <w:lvlJc w:val="left"/>
      <w:pPr>
        <w:tabs>
          <w:tab w:val="num" w:pos="1209"/>
        </w:tabs>
        <w:ind w:left="1209" w:hanging="360"/>
      </w:pPr>
    </w:lvl>
  </w:abstractNum>
  <w:abstractNum w:abstractNumId="2">
    <w:nsid w:val="FFFFFF7E"/>
    <w:multiLevelType w:val="singleLevel"/>
    <w:tmpl w:val="66B2304E"/>
    <w:lvl w:ilvl="0">
      <w:start w:val="1"/>
      <w:numFmt w:val="decimal"/>
      <w:lvlText w:val="%1."/>
      <w:lvlJc w:val="left"/>
      <w:pPr>
        <w:tabs>
          <w:tab w:val="num" w:pos="926"/>
        </w:tabs>
        <w:ind w:left="926" w:hanging="360"/>
      </w:pPr>
    </w:lvl>
  </w:abstractNum>
  <w:abstractNum w:abstractNumId="3">
    <w:nsid w:val="FFFFFF7F"/>
    <w:multiLevelType w:val="singleLevel"/>
    <w:tmpl w:val="7CD204A6"/>
    <w:lvl w:ilvl="0">
      <w:start w:val="1"/>
      <w:numFmt w:val="decimal"/>
      <w:lvlText w:val="%1."/>
      <w:lvlJc w:val="left"/>
      <w:pPr>
        <w:tabs>
          <w:tab w:val="num" w:pos="643"/>
        </w:tabs>
        <w:ind w:left="643" w:hanging="360"/>
      </w:pPr>
    </w:lvl>
  </w:abstractNum>
  <w:abstractNum w:abstractNumId="4">
    <w:nsid w:val="FFFFFF80"/>
    <w:multiLevelType w:val="singleLevel"/>
    <w:tmpl w:val="AE9AF76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52A6C48"/>
    <w:lvl w:ilvl="0">
      <w:start w:val="1"/>
      <w:numFmt w:val="bullet"/>
      <w:pStyle w:val="ListBullet4"/>
      <w:lvlText w:val=""/>
      <w:lvlJc w:val="left"/>
      <w:pPr>
        <w:ind w:left="1209" w:hanging="360"/>
      </w:pPr>
      <w:rPr>
        <w:rFonts w:ascii="Wingdings" w:hAnsi="Wingdings" w:hint="default"/>
      </w:rPr>
    </w:lvl>
  </w:abstractNum>
  <w:abstractNum w:abstractNumId="6">
    <w:nsid w:val="FFFFFF82"/>
    <w:multiLevelType w:val="singleLevel"/>
    <w:tmpl w:val="9D24090E"/>
    <w:lvl w:ilvl="0">
      <w:start w:val="1"/>
      <w:numFmt w:val="bullet"/>
      <w:pStyle w:val="ListBullet3"/>
      <w:lvlText w:val=""/>
      <w:lvlJc w:val="left"/>
      <w:pPr>
        <w:ind w:left="926" w:hanging="360"/>
      </w:pPr>
      <w:rPr>
        <w:rFonts w:ascii="Wingdings" w:hAnsi="Wingdings" w:hint="default"/>
      </w:rPr>
    </w:lvl>
  </w:abstractNum>
  <w:abstractNum w:abstractNumId="7">
    <w:nsid w:val="FFFFFF83"/>
    <w:multiLevelType w:val="singleLevel"/>
    <w:tmpl w:val="CEB480EA"/>
    <w:lvl w:ilvl="0">
      <w:start w:val="1"/>
      <w:numFmt w:val="bullet"/>
      <w:pStyle w:val="ListBullet2"/>
      <w:lvlText w:val=""/>
      <w:lvlJc w:val="left"/>
      <w:pPr>
        <w:ind w:left="643" w:hanging="360"/>
      </w:pPr>
      <w:rPr>
        <w:rFonts w:ascii="Wingdings" w:hAnsi="Wingdings" w:hint="default"/>
      </w:rPr>
    </w:lvl>
  </w:abstractNum>
  <w:abstractNum w:abstractNumId="8">
    <w:nsid w:val="FFFFFF88"/>
    <w:multiLevelType w:val="singleLevel"/>
    <w:tmpl w:val="99802E5E"/>
    <w:lvl w:ilvl="0">
      <w:start w:val="1"/>
      <w:numFmt w:val="decimal"/>
      <w:lvlText w:val="%1."/>
      <w:lvlJc w:val="left"/>
      <w:pPr>
        <w:tabs>
          <w:tab w:val="num" w:pos="360"/>
        </w:tabs>
        <w:ind w:left="360" w:hanging="360"/>
      </w:pPr>
    </w:lvl>
  </w:abstractNum>
  <w:abstractNum w:abstractNumId="9">
    <w:nsid w:val="FFFFFF89"/>
    <w:multiLevelType w:val="singleLevel"/>
    <w:tmpl w:val="9524F558"/>
    <w:lvl w:ilvl="0">
      <w:start w:val="1"/>
      <w:numFmt w:val="bullet"/>
      <w:pStyle w:val="ListBullet"/>
      <w:lvlText w:val=""/>
      <w:lvlJc w:val="left"/>
      <w:pPr>
        <w:ind w:left="360" w:hanging="360"/>
      </w:pPr>
      <w:rPr>
        <w:rFonts w:ascii="Wingdings" w:hAnsi="Wingdings" w:hint="default"/>
      </w:rPr>
    </w:lvl>
  </w:abstractNum>
  <w:abstractNum w:abstractNumId="10">
    <w:nsid w:val="05775705"/>
    <w:multiLevelType w:val="hybridMultilevel"/>
    <w:tmpl w:val="688400E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05C90E26"/>
    <w:multiLevelType w:val="hybridMultilevel"/>
    <w:tmpl w:val="1092019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06F63DF5"/>
    <w:multiLevelType w:val="hybridMultilevel"/>
    <w:tmpl w:val="BE44D25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08ED115E"/>
    <w:multiLevelType w:val="hybridMultilevel"/>
    <w:tmpl w:val="F5E847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A1074EF"/>
    <w:multiLevelType w:val="hybridMultilevel"/>
    <w:tmpl w:val="797286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0125A3A"/>
    <w:multiLevelType w:val="multilevel"/>
    <w:tmpl w:val="28883FB6"/>
    <w:lvl w:ilvl="0">
      <w:start w:val="1"/>
      <w:numFmt w:val="decimal"/>
      <w:lvlText w:val="%1."/>
      <w:lvlJc w:val="left"/>
      <w:pPr>
        <w:ind w:left="720" w:hanging="360"/>
      </w:pPr>
      <w:rPr>
        <w:rFonts w:hint="default"/>
        <w:b/>
        <w:color w:val="7030A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nsid w:val="47F37779"/>
    <w:multiLevelType w:val="hybridMultilevel"/>
    <w:tmpl w:val="5502C5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A073D46"/>
    <w:multiLevelType w:val="hybridMultilevel"/>
    <w:tmpl w:val="C1904A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5FED3FAF"/>
    <w:multiLevelType w:val="hybridMultilevel"/>
    <w:tmpl w:val="10C0EF40"/>
    <w:lvl w:ilvl="0" w:tplc="11E03D4C">
      <w:start w:val="1"/>
      <w:numFmt w:val="decimal"/>
      <w:lvlText w:val="%1."/>
      <w:lvlJc w:val="left"/>
      <w:pPr>
        <w:ind w:left="720" w:hanging="360"/>
      </w:pPr>
      <w:rPr>
        <w:rFonts w:hint="default"/>
        <w:color w:val="7030A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6810733A"/>
    <w:multiLevelType w:val="hybridMultilevel"/>
    <w:tmpl w:val="96A0246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68C0542C"/>
    <w:multiLevelType w:val="hybridMultilevel"/>
    <w:tmpl w:val="B96E25B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7532401E"/>
    <w:multiLevelType w:val="hybridMultilevel"/>
    <w:tmpl w:val="19C0233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19"/>
  </w:num>
  <w:num w:numId="3">
    <w:abstractNumId w:val="21"/>
  </w:num>
  <w:num w:numId="4">
    <w:abstractNumId w:val="1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1"/>
  </w:num>
  <w:num w:numId="16">
    <w:abstractNumId w:val="17"/>
  </w:num>
  <w:num w:numId="17">
    <w:abstractNumId w:val="14"/>
  </w:num>
  <w:num w:numId="18">
    <w:abstractNumId w:val="12"/>
  </w:num>
  <w:num w:numId="19">
    <w:abstractNumId w:val="20"/>
  </w:num>
  <w:num w:numId="20">
    <w:abstractNumId w:val="15"/>
  </w:num>
  <w:num w:numId="21">
    <w:abstractNumId w:val="18"/>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2"/>
  </w:compat>
  <w:rsids>
    <w:rsidRoot w:val="00A53E46"/>
    <w:rsid w:val="00012409"/>
    <w:rsid w:val="00027896"/>
    <w:rsid w:val="000529C6"/>
    <w:rsid w:val="00076BDF"/>
    <w:rsid w:val="00086E17"/>
    <w:rsid w:val="000A2A81"/>
    <w:rsid w:val="000A510C"/>
    <w:rsid w:val="000C05A2"/>
    <w:rsid w:val="000D12C2"/>
    <w:rsid w:val="000D295F"/>
    <w:rsid w:val="0012404F"/>
    <w:rsid w:val="001A1E22"/>
    <w:rsid w:val="001C7C55"/>
    <w:rsid w:val="00216633"/>
    <w:rsid w:val="0025412B"/>
    <w:rsid w:val="0025419C"/>
    <w:rsid w:val="002A655F"/>
    <w:rsid w:val="002B5226"/>
    <w:rsid w:val="002D79B6"/>
    <w:rsid w:val="002E5D22"/>
    <w:rsid w:val="00317E75"/>
    <w:rsid w:val="00335E73"/>
    <w:rsid w:val="003A306C"/>
    <w:rsid w:val="003F0A69"/>
    <w:rsid w:val="00436D79"/>
    <w:rsid w:val="00462469"/>
    <w:rsid w:val="004A1A17"/>
    <w:rsid w:val="004D3344"/>
    <w:rsid w:val="00532757"/>
    <w:rsid w:val="00545FC1"/>
    <w:rsid w:val="00592E6E"/>
    <w:rsid w:val="005A3267"/>
    <w:rsid w:val="005B16FD"/>
    <w:rsid w:val="005D314A"/>
    <w:rsid w:val="0067009F"/>
    <w:rsid w:val="006879A7"/>
    <w:rsid w:val="006D28CB"/>
    <w:rsid w:val="00725478"/>
    <w:rsid w:val="0073528C"/>
    <w:rsid w:val="00741D8F"/>
    <w:rsid w:val="0076223D"/>
    <w:rsid w:val="007A24AE"/>
    <w:rsid w:val="007B3332"/>
    <w:rsid w:val="007E13C9"/>
    <w:rsid w:val="008033E3"/>
    <w:rsid w:val="008068CF"/>
    <w:rsid w:val="00822EC0"/>
    <w:rsid w:val="008408C5"/>
    <w:rsid w:val="008565D3"/>
    <w:rsid w:val="00890ECA"/>
    <w:rsid w:val="008B6A31"/>
    <w:rsid w:val="008D06CE"/>
    <w:rsid w:val="008E17E4"/>
    <w:rsid w:val="00902C3A"/>
    <w:rsid w:val="00902D9B"/>
    <w:rsid w:val="00904DEC"/>
    <w:rsid w:val="00924A06"/>
    <w:rsid w:val="00960AD1"/>
    <w:rsid w:val="00972F9C"/>
    <w:rsid w:val="009A7F33"/>
    <w:rsid w:val="009B20AB"/>
    <w:rsid w:val="009E0827"/>
    <w:rsid w:val="009E2B70"/>
    <w:rsid w:val="00A028F8"/>
    <w:rsid w:val="00A1365A"/>
    <w:rsid w:val="00A53E46"/>
    <w:rsid w:val="00A75816"/>
    <w:rsid w:val="00A81ECC"/>
    <w:rsid w:val="00A850B0"/>
    <w:rsid w:val="00A93C9E"/>
    <w:rsid w:val="00AB2353"/>
    <w:rsid w:val="00AC66C2"/>
    <w:rsid w:val="00AD37F3"/>
    <w:rsid w:val="00B12495"/>
    <w:rsid w:val="00B24349"/>
    <w:rsid w:val="00B27D8D"/>
    <w:rsid w:val="00B41573"/>
    <w:rsid w:val="00BC74E5"/>
    <w:rsid w:val="00BD7774"/>
    <w:rsid w:val="00BF6081"/>
    <w:rsid w:val="00C17043"/>
    <w:rsid w:val="00C2168E"/>
    <w:rsid w:val="00CE6645"/>
    <w:rsid w:val="00D61763"/>
    <w:rsid w:val="00D76B39"/>
    <w:rsid w:val="00DA527E"/>
    <w:rsid w:val="00DA5FBB"/>
    <w:rsid w:val="00DC2722"/>
    <w:rsid w:val="00DC3D41"/>
    <w:rsid w:val="00DD6993"/>
    <w:rsid w:val="00E01BF6"/>
    <w:rsid w:val="00E27140"/>
    <w:rsid w:val="00E40986"/>
    <w:rsid w:val="00E432CE"/>
    <w:rsid w:val="00E53E30"/>
    <w:rsid w:val="00E5629D"/>
    <w:rsid w:val="00E80D62"/>
    <w:rsid w:val="00E94081"/>
    <w:rsid w:val="00F05889"/>
    <w:rsid w:val="00F32FD1"/>
    <w:rsid w:val="00F822C5"/>
    <w:rsid w:val="00F91244"/>
    <w:rsid w:val="00FA6F0F"/>
    <w:rsid w:val="00FB1DE1"/>
    <w:rsid w:val="00FC1B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C1B83"/>
    <w:pPr>
      <w:spacing w:after="0" w:line="240" w:lineRule="auto"/>
    </w:pPr>
    <w:rPr>
      <w:rFonts w:ascii="Arial" w:hAnsi="Arial"/>
      <w:color w:val="000000"/>
      <w:szCs w:val="20"/>
    </w:rPr>
  </w:style>
  <w:style w:type="paragraph" w:styleId="Heading1">
    <w:name w:val="heading 1"/>
    <w:basedOn w:val="Normal"/>
    <w:next w:val="Normal"/>
    <w:link w:val="Heading1Char"/>
    <w:uiPriority w:val="1"/>
    <w:qFormat/>
    <w:rsid w:val="00436D79"/>
    <w:pPr>
      <w:keepNext/>
      <w:keepLines/>
      <w:spacing w:before="240"/>
      <w:outlineLvl w:val="0"/>
    </w:pPr>
    <w:rPr>
      <w:rFonts w:eastAsiaTheme="majorEastAsia"/>
      <w:b/>
      <w:color w:val="404040" w:themeColor="text1" w:themeTint="BF"/>
      <w:sz w:val="32"/>
      <w:szCs w:val="32"/>
    </w:rPr>
  </w:style>
  <w:style w:type="paragraph" w:styleId="Heading2">
    <w:name w:val="heading 2"/>
    <w:basedOn w:val="Normal"/>
    <w:next w:val="Normal"/>
    <w:link w:val="Heading2Char"/>
    <w:uiPriority w:val="9"/>
    <w:unhideWhenUsed/>
    <w:qFormat/>
    <w:rsid w:val="00436D79"/>
    <w:pPr>
      <w:keepNext/>
      <w:keepLines/>
      <w:spacing w:before="40"/>
      <w:outlineLvl w:val="1"/>
    </w:pPr>
    <w:rPr>
      <w:rFonts w:eastAsiaTheme="majorEastAsia"/>
      <w:b/>
      <w:color w:val="404040" w:themeColor="text1" w:themeTint="BF"/>
      <w:sz w:val="28"/>
      <w:szCs w:val="26"/>
    </w:rPr>
  </w:style>
  <w:style w:type="paragraph" w:styleId="Heading3">
    <w:name w:val="heading 3"/>
    <w:basedOn w:val="Normal"/>
    <w:next w:val="Normal"/>
    <w:link w:val="Heading3Char"/>
    <w:uiPriority w:val="9"/>
    <w:unhideWhenUsed/>
    <w:qFormat/>
    <w:rsid w:val="00436D79"/>
    <w:pPr>
      <w:keepNext/>
      <w:keepLines/>
      <w:spacing w:before="40"/>
      <w:outlineLvl w:val="2"/>
    </w:pPr>
    <w:rPr>
      <w:rFonts w:eastAsiaTheme="majorEastAsia"/>
      <w:b/>
      <w:color w:val="404040" w:themeColor="text1" w:themeTint="BF"/>
      <w:sz w:val="24"/>
      <w:szCs w:val="24"/>
    </w:rPr>
  </w:style>
  <w:style w:type="paragraph" w:styleId="Heading4">
    <w:name w:val="heading 4"/>
    <w:basedOn w:val="Normal"/>
    <w:next w:val="Normal"/>
    <w:link w:val="Heading4Char"/>
    <w:uiPriority w:val="9"/>
    <w:unhideWhenUsed/>
    <w:qFormat/>
    <w:rsid w:val="00436D79"/>
    <w:pPr>
      <w:keepNext/>
      <w:keepLines/>
      <w:spacing w:before="40"/>
      <w:outlineLvl w:val="3"/>
    </w:pPr>
    <w:rPr>
      <w:rFonts w:eastAsiaTheme="majorEastAsia" w:cstheme="majorBidi"/>
      <w:b/>
      <w:iCs/>
      <w:color w:val="404040" w:themeColor="text1" w:themeTint="BF"/>
    </w:rPr>
  </w:style>
  <w:style w:type="paragraph" w:styleId="Heading5">
    <w:name w:val="heading 5"/>
    <w:basedOn w:val="Normal"/>
    <w:next w:val="Normal"/>
    <w:link w:val="Heading5Char"/>
    <w:uiPriority w:val="9"/>
    <w:unhideWhenUsed/>
    <w:rsid w:val="00E40986"/>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rsid w:val="00E40986"/>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C2168E"/>
    <w:pPr>
      <w:spacing w:after="0" w:line="240" w:lineRule="auto"/>
    </w:pPr>
  </w:style>
  <w:style w:type="paragraph" w:styleId="Title">
    <w:name w:val="Title"/>
    <w:basedOn w:val="Normal"/>
    <w:next w:val="Normal"/>
    <w:link w:val="TitleChar"/>
    <w:qFormat/>
    <w:rsid w:val="006D28CB"/>
    <w:pPr>
      <w:contextualSpacing/>
      <w:jc w:val="right"/>
    </w:pPr>
    <w:rPr>
      <w:rFonts w:eastAsiaTheme="majorEastAsia"/>
      <w:b/>
      <w:color w:val="663399"/>
      <w:spacing w:val="-10"/>
      <w:kern w:val="28"/>
      <w:sz w:val="44"/>
      <w:szCs w:val="56"/>
    </w:rPr>
  </w:style>
  <w:style w:type="character" w:customStyle="1" w:styleId="TitleChar">
    <w:name w:val="Title Char"/>
    <w:basedOn w:val="DefaultParagraphFont"/>
    <w:link w:val="Title"/>
    <w:rsid w:val="006D28CB"/>
    <w:rPr>
      <w:rFonts w:ascii="Arial" w:eastAsiaTheme="majorEastAsia" w:hAnsi="Arial"/>
      <w:b/>
      <w:color w:val="663399"/>
      <w:spacing w:val="-10"/>
      <w:kern w:val="28"/>
      <w:sz w:val="44"/>
      <w:szCs w:val="56"/>
    </w:rPr>
  </w:style>
  <w:style w:type="character" w:customStyle="1" w:styleId="Heading1Char">
    <w:name w:val="Heading 1 Char"/>
    <w:basedOn w:val="DefaultParagraphFont"/>
    <w:link w:val="Heading1"/>
    <w:uiPriority w:val="1"/>
    <w:rsid w:val="00086E17"/>
    <w:rPr>
      <w:rFonts w:ascii="Arial" w:eastAsiaTheme="majorEastAsia" w:hAnsi="Arial"/>
      <w:b/>
      <w:color w:val="404040" w:themeColor="text1" w:themeTint="BF"/>
      <w:sz w:val="32"/>
      <w:szCs w:val="32"/>
    </w:rPr>
  </w:style>
  <w:style w:type="character" w:customStyle="1" w:styleId="Heading2Char">
    <w:name w:val="Heading 2 Char"/>
    <w:basedOn w:val="DefaultParagraphFont"/>
    <w:link w:val="Heading2"/>
    <w:uiPriority w:val="9"/>
    <w:rsid w:val="00086E17"/>
    <w:rPr>
      <w:rFonts w:ascii="Arial" w:eastAsiaTheme="majorEastAsia" w:hAnsi="Arial"/>
      <w:b/>
      <w:color w:val="404040" w:themeColor="text1" w:themeTint="BF"/>
      <w:sz w:val="28"/>
      <w:szCs w:val="26"/>
    </w:rPr>
  </w:style>
  <w:style w:type="paragraph" w:styleId="Subtitle">
    <w:name w:val="Subtitle"/>
    <w:aliases w:val="Subtitle &amp; Header"/>
    <w:basedOn w:val="Normal"/>
    <w:next w:val="Normal"/>
    <w:link w:val="SubtitleChar"/>
    <w:uiPriority w:val="1"/>
    <w:qFormat/>
    <w:rsid w:val="007A24AE"/>
    <w:pPr>
      <w:numPr>
        <w:ilvl w:val="1"/>
      </w:numPr>
    </w:pPr>
    <w:rPr>
      <w:rFonts w:eastAsiaTheme="minorEastAsia"/>
      <w:color w:val="595959" w:themeColor="text1" w:themeTint="A6"/>
      <w:spacing w:val="15"/>
    </w:rPr>
  </w:style>
  <w:style w:type="character" w:customStyle="1" w:styleId="SubtitleChar">
    <w:name w:val="Subtitle Char"/>
    <w:aliases w:val="Subtitle &amp; Header Char"/>
    <w:basedOn w:val="DefaultParagraphFont"/>
    <w:link w:val="Subtitle"/>
    <w:uiPriority w:val="1"/>
    <w:rsid w:val="00BC74E5"/>
    <w:rPr>
      <w:rFonts w:ascii="Arial" w:eastAsiaTheme="minorEastAsia" w:hAnsi="Arial"/>
      <w:color w:val="595959" w:themeColor="text1" w:themeTint="A6"/>
      <w:spacing w:val="15"/>
      <w:szCs w:val="20"/>
    </w:rPr>
  </w:style>
  <w:style w:type="character" w:customStyle="1" w:styleId="Heading3Char">
    <w:name w:val="Heading 3 Char"/>
    <w:basedOn w:val="DefaultParagraphFont"/>
    <w:link w:val="Heading3"/>
    <w:uiPriority w:val="9"/>
    <w:rsid w:val="00436D79"/>
    <w:rPr>
      <w:rFonts w:ascii="Arial" w:eastAsiaTheme="majorEastAsia" w:hAnsi="Arial"/>
      <w:b/>
      <w:color w:val="404040" w:themeColor="text1" w:themeTint="BF"/>
      <w:sz w:val="24"/>
      <w:szCs w:val="24"/>
    </w:rPr>
  </w:style>
  <w:style w:type="character" w:styleId="Strong">
    <w:name w:val="Strong"/>
    <w:basedOn w:val="DefaultParagraphFont"/>
    <w:uiPriority w:val="22"/>
    <w:rsid w:val="00E40986"/>
    <w:rPr>
      <w:b/>
      <w:bCs/>
    </w:rPr>
  </w:style>
  <w:style w:type="paragraph" w:styleId="Quote">
    <w:name w:val="Quote"/>
    <w:basedOn w:val="Normal"/>
    <w:next w:val="Normal"/>
    <w:link w:val="QuoteChar"/>
    <w:uiPriority w:val="29"/>
    <w:rsid w:val="00E40986"/>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40986"/>
    <w:rPr>
      <w:i/>
      <w:iCs/>
      <w:color w:val="404040" w:themeColor="text1" w:themeTint="BF"/>
    </w:rPr>
  </w:style>
  <w:style w:type="character" w:customStyle="1" w:styleId="Heading4Char">
    <w:name w:val="Heading 4 Char"/>
    <w:basedOn w:val="DefaultParagraphFont"/>
    <w:link w:val="Heading4"/>
    <w:uiPriority w:val="9"/>
    <w:rsid w:val="00436D79"/>
    <w:rPr>
      <w:rFonts w:ascii="Arial" w:eastAsiaTheme="majorEastAsia" w:hAnsi="Arial" w:cstheme="majorBidi"/>
      <w:b/>
      <w:iCs/>
      <w:color w:val="404040" w:themeColor="text1" w:themeTint="BF"/>
      <w:szCs w:val="20"/>
    </w:rPr>
  </w:style>
  <w:style w:type="character" w:customStyle="1" w:styleId="Heading5Char">
    <w:name w:val="Heading 5 Char"/>
    <w:basedOn w:val="DefaultParagraphFont"/>
    <w:link w:val="Heading5"/>
    <w:uiPriority w:val="9"/>
    <w:rsid w:val="00E40986"/>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E40986"/>
    <w:rPr>
      <w:rFonts w:asciiTheme="majorHAnsi" w:eastAsiaTheme="majorEastAsia" w:hAnsiTheme="majorHAnsi" w:cstheme="majorBidi"/>
      <w:color w:val="1F4D78" w:themeColor="accent1" w:themeShade="7F"/>
    </w:rPr>
  </w:style>
  <w:style w:type="paragraph" w:styleId="Header">
    <w:name w:val="header"/>
    <w:basedOn w:val="Normal"/>
    <w:link w:val="HeaderChar"/>
    <w:uiPriority w:val="99"/>
    <w:unhideWhenUsed/>
    <w:rsid w:val="00E80D62"/>
    <w:pPr>
      <w:tabs>
        <w:tab w:val="center" w:pos="4513"/>
        <w:tab w:val="right" w:pos="9026"/>
      </w:tabs>
    </w:pPr>
  </w:style>
  <w:style w:type="character" w:customStyle="1" w:styleId="HeaderChar">
    <w:name w:val="Header Char"/>
    <w:basedOn w:val="DefaultParagraphFont"/>
    <w:link w:val="Header"/>
    <w:uiPriority w:val="99"/>
    <w:rsid w:val="00E80D62"/>
    <w:rPr>
      <w:rFonts w:ascii="Arial" w:hAnsi="Arial" w:cs="Arial"/>
    </w:rPr>
  </w:style>
  <w:style w:type="paragraph" w:styleId="Footer">
    <w:name w:val="footer"/>
    <w:basedOn w:val="Normal"/>
    <w:link w:val="FooterChar"/>
    <w:uiPriority w:val="99"/>
    <w:unhideWhenUsed/>
    <w:rsid w:val="00E80D62"/>
    <w:pPr>
      <w:tabs>
        <w:tab w:val="center" w:pos="4513"/>
        <w:tab w:val="right" w:pos="9026"/>
      </w:tabs>
    </w:pPr>
  </w:style>
  <w:style w:type="character" w:customStyle="1" w:styleId="FooterChar">
    <w:name w:val="Footer Char"/>
    <w:basedOn w:val="DefaultParagraphFont"/>
    <w:link w:val="Footer"/>
    <w:uiPriority w:val="99"/>
    <w:rsid w:val="00E80D62"/>
    <w:rPr>
      <w:rFonts w:ascii="Arial" w:hAnsi="Arial" w:cs="Arial"/>
    </w:rPr>
  </w:style>
  <w:style w:type="character" w:styleId="Hyperlink">
    <w:name w:val="Hyperlink"/>
    <w:basedOn w:val="DefaultParagraphFont"/>
    <w:uiPriority w:val="99"/>
    <w:unhideWhenUsed/>
    <w:rsid w:val="00E80D62"/>
    <w:rPr>
      <w:color w:val="0563C1" w:themeColor="hyperlink"/>
      <w:u w:val="single"/>
    </w:rPr>
  </w:style>
  <w:style w:type="character" w:customStyle="1" w:styleId="apple-converted-space">
    <w:name w:val="apple-converted-space"/>
    <w:basedOn w:val="DefaultParagraphFont"/>
    <w:rsid w:val="00E80D62"/>
  </w:style>
  <w:style w:type="paragraph" w:styleId="BalloonText">
    <w:name w:val="Balloon Text"/>
    <w:basedOn w:val="Normal"/>
    <w:link w:val="BalloonTextChar"/>
    <w:uiPriority w:val="99"/>
    <w:semiHidden/>
    <w:unhideWhenUsed/>
    <w:rsid w:val="003F0A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0A69"/>
    <w:rPr>
      <w:rFonts w:ascii="Segoe UI" w:hAnsi="Segoe UI" w:cs="Segoe UI"/>
      <w:sz w:val="18"/>
      <w:szCs w:val="18"/>
    </w:rPr>
  </w:style>
  <w:style w:type="paragraph" w:customStyle="1" w:styleId="BasicParagraph">
    <w:name w:val="[Basic Paragraph]"/>
    <w:basedOn w:val="Normal"/>
    <w:uiPriority w:val="99"/>
    <w:rsid w:val="003F0A69"/>
    <w:pPr>
      <w:autoSpaceDE w:val="0"/>
      <w:autoSpaceDN w:val="0"/>
      <w:adjustRightInd w:val="0"/>
      <w:spacing w:line="288" w:lineRule="auto"/>
      <w:textAlignment w:val="center"/>
    </w:pPr>
    <w:rPr>
      <w:rFonts w:ascii="Minion Pro" w:hAnsi="Minion Pro" w:cs="Minion Pro"/>
      <w:sz w:val="24"/>
      <w:szCs w:val="24"/>
      <w:lang w:val="en-GB"/>
    </w:rPr>
  </w:style>
  <w:style w:type="paragraph" w:styleId="ListParagraph">
    <w:name w:val="List Paragraph"/>
    <w:basedOn w:val="Normal"/>
    <w:uiPriority w:val="34"/>
    <w:qFormat/>
    <w:rsid w:val="00DA5FBB"/>
    <w:pPr>
      <w:ind w:left="720"/>
      <w:contextualSpacing/>
    </w:pPr>
    <w:rPr>
      <w:rFonts w:eastAsia="Times New Roman" w:cs="Times New Roman"/>
    </w:rPr>
  </w:style>
  <w:style w:type="paragraph" w:styleId="NormalWeb">
    <w:name w:val="Normal (Web)"/>
    <w:basedOn w:val="Normal"/>
    <w:link w:val="NormalWebChar"/>
    <w:uiPriority w:val="99"/>
    <w:unhideWhenUsed/>
    <w:rsid w:val="00DA5FBB"/>
    <w:pPr>
      <w:spacing w:before="100" w:beforeAutospacing="1" w:after="100" w:afterAutospacing="1"/>
    </w:pPr>
    <w:rPr>
      <w:rFonts w:ascii="Times New Roman" w:eastAsia="Times New Roman" w:hAnsi="Times New Roman" w:cs="Times New Roman"/>
      <w:sz w:val="24"/>
      <w:szCs w:val="24"/>
      <w:lang w:eastAsia="en-AU"/>
    </w:rPr>
  </w:style>
  <w:style w:type="table" w:styleId="TableGrid">
    <w:name w:val="Table Grid"/>
    <w:basedOn w:val="TableNormal"/>
    <w:uiPriority w:val="39"/>
    <w:rsid w:val="00670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D3344"/>
    <w:rPr>
      <w:color w:val="808080"/>
    </w:rPr>
  </w:style>
  <w:style w:type="paragraph" w:styleId="ListBullet">
    <w:name w:val="List Bullet"/>
    <w:basedOn w:val="Normal"/>
    <w:uiPriority w:val="99"/>
    <w:unhideWhenUsed/>
    <w:rsid w:val="00BF6081"/>
    <w:pPr>
      <w:numPr>
        <w:numId w:val="5"/>
      </w:numPr>
      <w:contextualSpacing/>
    </w:pPr>
  </w:style>
  <w:style w:type="paragraph" w:styleId="ListBullet2">
    <w:name w:val="List Bullet 2"/>
    <w:basedOn w:val="Normal"/>
    <w:uiPriority w:val="99"/>
    <w:semiHidden/>
    <w:unhideWhenUsed/>
    <w:rsid w:val="00BF6081"/>
    <w:pPr>
      <w:numPr>
        <w:numId w:val="6"/>
      </w:numPr>
      <w:contextualSpacing/>
    </w:pPr>
  </w:style>
  <w:style w:type="character" w:customStyle="1" w:styleId="NormalWebChar">
    <w:name w:val="Normal (Web) Char"/>
    <w:basedOn w:val="DefaultParagraphFont"/>
    <w:link w:val="NormalWeb"/>
    <w:uiPriority w:val="99"/>
    <w:rsid w:val="00AB2353"/>
    <w:rPr>
      <w:rFonts w:ascii="Times New Roman" w:eastAsia="Times New Roman" w:hAnsi="Times New Roman" w:cs="Times New Roman"/>
      <w:color w:val="000000"/>
      <w:sz w:val="24"/>
      <w:szCs w:val="24"/>
      <w:lang w:eastAsia="en-AU"/>
    </w:rPr>
  </w:style>
  <w:style w:type="paragraph" w:styleId="ListBullet3">
    <w:name w:val="List Bullet 3"/>
    <w:basedOn w:val="Normal"/>
    <w:uiPriority w:val="99"/>
    <w:semiHidden/>
    <w:unhideWhenUsed/>
    <w:rsid w:val="00BF6081"/>
    <w:pPr>
      <w:numPr>
        <w:numId w:val="7"/>
      </w:numPr>
      <w:contextualSpacing/>
    </w:pPr>
  </w:style>
  <w:style w:type="paragraph" w:styleId="ListBullet4">
    <w:name w:val="List Bullet 4"/>
    <w:basedOn w:val="Normal"/>
    <w:uiPriority w:val="99"/>
    <w:semiHidden/>
    <w:unhideWhenUsed/>
    <w:rsid w:val="00BF6081"/>
    <w:pPr>
      <w:numPr>
        <w:numId w:val="8"/>
      </w:numPr>
      <w:contextualSpacing/>
    </w:pPr>
  </w:style>
  <w:style w:type="table" w:customStyle="1" w:styleId="ListTable3">
    <w:name w:val="List Table 3"/>
    <w:aliases w:val="SHPA Table 2016"/>
    <w:basedOn w:val="TableNormal"/>
    <w:uiPriority w:val="48"/>
    <w:rsid w:val="00545FC1"/>
    <w:pPr>
      <w:spacing w:after="0" w:line="240" w:lineRule="auto"/>
    </w:pPr>
    <w:rPr>
      <w:rFonts w:ascii="Arial" w:hAnsi="Arial"/>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cPr>
      <w:shd w:val="clear" w:color="auto" w:fill="FFFFFF" w:themeFill="background1"/>
    </w:tc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Refandcc">
    <w:name w:val="Ref and cc"/>
    <w:basedOn w:val="Normal"/>
    <w:link w:val="RefandccChar"/>
    <w:qFormat/>
    <w:rsid w:val="00FA6F0F"/>
    <w:pPr>
      <w:spacing w:after="210" w:line="210" w:lineRule="atLeast"/>
      <w:jc w:val="both"/>
    </w:pPr>
    <w:rPr>
      <w:rFonts w:eastAsia="Times New Roman" w:cs="Arial"/>
      <w:color w:val="595959" w:themeColor="text1" w:themeTint="A6"/>
      <w:sz w:val="18"/>
      <w:szCs w:val="22"/>
      <w:lang w:eastAsia="en-AU"/>
    </w:rPr>
  </w:style>
  <w:style w:type="table" w:customStyle="1" w:styleId="GridTable4">
    <w:name w:val="Grid Table 4"/>
    <w:aliases w:val="SHPa Table"/>
    <w:basedOn w:val="TableNormal"/>
    <w:uiPriority w:val="49"/>
    <w:rsid w:val="008E17E4"/>
    <w:pPr>
      <w:spacing w:after="0" w:line="240" w:lineRule="auto"/>
    </w:pPr>
    <w:rPr>
      <w:rFonts w:ascii="Arial" w:hAnsi="Ari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cPr>
      <w:tcMar>
        <w:top w:w="108" w:type="dxa"/>
        <w:bottom w:w="108" w:type="dxa"/>
      </w:tcMar>
    </w:tcPr>
    <w:tblStylePr w:type="firstRow">
      <w:rPr>
        <w:rFonts w:ascii="Arial" w:hAnsi="Arial"/>
        <w:b/>
        <w:bCs/>
        <w:color w:val="FFFFFF" w:themeColor="background1"/>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rFonts w:ascii="Arial" w:hAnsi="Arial"/>
        <w:b w:val="0"/>
        <w:bCs/>
        <w:sz w:val="22"/>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HPATabler">
    <w:name w:val="SHPA Tabler"/>
    <w:basedOn w:val="TableNormal"/>
    <w:uiPriority w:val="99"/>
    <w:rsid w:val="00902C3A"/>
    <w:pPr>
      <w:spacing w:after="0" w:line="240" w:lineRule="auto"/>
    </w:pPr>
    <w:rPr>
      <w:rFonts w:ascii="Arial" w:hAnsi="Arial"/>
    </w:rPr>
    <w:tblPr>
      <w:tblStyleRowBandSize w:val="1"/>
      <w:tblStyleColBandSize w:val="1"/>
      <w:tblBorders>
        <w:left w:val="single" w:sz="4" w:space="0" w:color="auto"/>
        <w:bottom w:val="single" w:sz="4" w:space="0" w:color="auto"/>
        <w:right w:val="single" w:sz="4" w:space="0" w:color="auto"/>
        <w:insideV w:val="single" w:sz="4" w:space="0" w:color="auto"/>
      </w:tblBorders>
      <w:tblCellMar>
        <w:top w:w="108" w:type="dxa"/>
        <w:bottom w:w="108" w:type="dxa"/>
      </w:tblCellMar>
    </w:tblPr>
    <w:tcPr>
      <w:shd w:val="clear" w:color="auto" w:fill="BFBFBF" w:themeFill="background1" w:themeFillShade="BF"/>
      <w:tcMar>
        <w:top w:w="108" w:type="dxa"/>
        <w:bottom w:w="108" w:type="dxa"/>
      </w:tcMar>
      <w:vAlign w:val="center"/>
    </w:tcPr>
    <w:tblStylePr w:type="firstRow">
      <w:pPr>
        <w:jc w:val="left"/>
      </w:pPr>
      <w:rPr>
        <w:rFonts w:ascii="Arial" w:hAnsi="Arial"/>
        <w:b/>
        <w:color w:val="FFFFFF" w:themeColor="background1"/>
        <w:sz w:val="18"/>
      </w:rPr>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D9D9D9" w:themeFill="background1" w:themeFillShade="D9"/>
      </w:tcPr>
    </w:tblStylePr>
    <w:tblStylePr w:type="lastRow">
      <w:tblPr/>
      <w:tcPr>
        <w:tcBorders>
          <w:bottom w:val="nil"/>
        </w:tcBorders>
        <w:shd w:val="clear" w:color="auto" w:fill="BFBFBF" w:themeFill="background1" w:themeFillShade="BF"/>
      </w:tc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customStyle="1" w:styleId="ListTable2Accent1">
    <w:name w:val="List Table 2 Accent 1"/>
    <w:basedOn w:val="TableNormal"/>
    <w:uiPriority w:val="47"/>
    <w:rsid w:val="001C7C55"/>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Resourcescontent">
    <w:name w:val="Resources content"/>
    <w:basedOn w:val="Subtitle"/>
    <w:link w:val="ResourcescontentChar"/>
    <w:rsid w:val="00FA6F0F"/>
    <w:rPr>
      <w:rFonts w:cs="Arial"/>
      <w:sz w:val="18"/>
      <w:szCs w:val="18"/>
    </w:rPr>
  </w:style>
  <w:style w:type="character" w:customStyle="1" w:styleId="RefandccChar">
    <w:name w:val="Ref and cc Char"/>
    <w:basedOn w:val="DefaultParagraphFont"/>
    <w:link w:val="Refandcc"/>
    <w:rsid w:val="00FA6F0F"/>
    <w:rPr>
      <w:rFonts w:ascii="Arial" w:eastAsia="Times New Roman" w:hAnsi="Arial" w:cs="Arial"/>
      <w:color w:val="595959" w:themeColor="text1" w:themeTint="A6"/>
      <w:sz w:val="18"/>
      <w:lang w:eastAsia="en-AU"/>
    </w:rPr>
  </w:style>
  <w:style w:type="character" w:customStyle="1" w:styleId="ResourcescontentChar">
    <w:name w:val="Resources content Char"/>
    <w:basedOn w:val="SubtitleChar"/>
    <w:link w:val="Resourcescontent"/>
    <w:rsid w:val="00FA6F0F"/>
    <w:rPr>
      <w:rFonts w:ascii="Arial" w:eastAsiaTheme="minorEastAsia" w:hAnsi="Arial" w:cs="Arial"/>
      <w:color w:val="595959" w:themeColor="text1" w:themeTint="A6"/>
      <w:spacing w:val="15"/>
      <w:sz w:val="18"/>
      <w:szCs w:val="18"/>
    </w:rPr>
  </w:style>
  <w:style w:type="paragraph" w:customStyle="1" w:styleId="FooterTitle">
    <w:name w:val="Footer Title"/>
    <w:basedOn w:val="Footer"/>
    <w:link w:val="FooterTitleChar"/>
    <w:uiPriority w:val="2"/>
    <w:qFormat/>
    <w:rsid w:val="00086E17"/>
    <w:pPr>
      <w:pBdr>
        <w:right w:val="single" w:sz="18" w:space="4" w:color="ED7D31" w:themeColor="accent2"/>
      </w:pBdr>
      <w:ind w:left="-567"/>
      <w:contextualSpacing/>
      <w:jc w:val="right"/>
    </w:pPr>
    <w:rPr>
      <w:rFonts w:cs="Arial"/>
      <w:b/>
    </w:rPr>
  </w:style>
  <w:style w:type="paragraph" w:customStyle="1" w:styleId="Footertext">
    <w:name w:val="Footer text"/>
    <w:basedOn w:val="Footer"/>
    <w:link w:val="FootertextChar"/>
    <w:uiPriority w:val="3"/>
    <w:qFormat/>
    <w:rsid w:val="00086E17"/>
    <w:pPr>
      <w:pBdr>
        <w:right w:val="single" w:sz="18" w:space="4" w:color="ED7D31" w:themeColor="accent2"/>
      </w:pBdr>
      <w:ind w:left="-567"/>
      <w:contextualSpacing/>
      <w:jc w:val="right"/>
    </w:pPr>
    <w:rPr>
      <w:rFonts w:cs="Arial"/>
      <w:color w:val="333333"/>
      <w:sz w:val="14"/>
      <w:szCs w:val="14"/>
    </w:rPr>
  </w:style>
  <w:style w:type="character" w:customStyle="1" w:styleId="FooterTitleChar">
    <w:name w:val="Footer Title Char"/>
    <w:basedOn w:val="FooterChar"/>
    <w:link w:val="FooterTitle"/>
    <w:uiPriority w:val="2"/>
    <w:rsid w:val="00BC74E5"/>
    <w:rPr>
      <w:rFonts w:ascii="Arial" w:hAnsi="Arial" w:cs="Arial"/>
      <w:b/>
      <w:color w:val="000000"/>
      <w:szCs w:val="20"/>
    </w:rPr>
  </w:style>
  <w:style w:type="character" w:customStyle="1" w:styleId="FootertextChar">
    <w:name w:val="Footer text Char"/>
    <w:basedOn w:val="FooterChar"/>
    <w:link w:val="Footertext"/>
    <w:uiPriority w:val="3"/>
    <w:rsid w:val="00086E17"/>
    <w:rPr>
      <w:rFonts w:ascii="Arial" w:hAnsi="Arial" w:cs="Arial"/>
      <w:color w:val="333333"/>
      <w:sz w:val="14"/>
      <w:szCs w:val="14"/>
    </w:rPr>
  </w:style>
  <w:style w:type="paragraph" w:styleId="TOCHeading">
    <w:name w:val="TOC Heading"/>
    <w:basedOn w:val="Heading1"/>
    <w:next w:val="Normal"/>
    <w:uiPriority w:val="39"/>
    <w:unhideWhenUsed/>
    <w:qFormat/>
    <w:rsid w:val="00FC1B83"/>
    <w:pPr>
      <w:spacing w:line="259" w:lineRule="auto"/>
      <w:outlineLvl w:val="9"/>
    </w:pPr>
    <w:rPr>
      <w:rFonts w:asciiTheme="majorHAnsi" w:hAnsiTheme="majorHAnsi" w:cstheme="majorBidi"/>
      <w:b w:val="0"/>
      <w:color w:val="2E74B5" w:themeColor="accent1" w:themeShade="BF"/>
      <w:lang w:val="en-US"/>
    </w:rPr>
  </w:style>
  <w:style w:type="paragraph" w:styleId="TOC1">
    <w:name w:val="toc 1"/>
    <w:basedOn w:val="Normal"/>
    <w:next w:val="Normal"/>
    <w:autoRedefine/>
    <w:uiPriority w:val="39"/>
    <w:unhideWhenUsed/>
    <w:rsid w:val="00FC1B83"/>
    <w:pPr>
      <w:spacing w:after="100"/>
    </w:pPr>
  </w:style>
  <w:style w:type="paragraph" w:styleId="TOC2">
    <w:name w:val="toc 2"/>
    <w:basedOn w:val="Normal"/>
    <w:next w:val="Normal"/>
    <w:autoRedefine/>
    <w:uiPriority w:val="39"/>
    <w:unhideWhenUsed/>
    <w:rsid w:val="00FC1B83"/>
    <w:pPr>
      <w:spacing w:after="100"/>
      <w:ind w:left="220"/>
    </w:pPr>
  </w:style>
  <w:style w:type="character" w:customStyle="1" w:styleId="selectable">
    <w:name w:val="selectable"/>
    <w:basedOn w:val="DefaultParagraphFont"/>
    <w:rsid w:val="008033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601033">
      <w:bodyDiv w:val="1"/>
      <w:marLeft w:val="0"/>
      <w:marRight w:val="0"/>
      <w:marTop w:val="0"/>
      <w:marBottom w:val="0"/>
      <w:divBdr>
        <w:top w:val="none" w:sz="0" w:space="0" w:color="auto"/>
        <w:left w:val="none" w:sz="0" w:space="0" w:color="auto"/>
        <w:bottom w:val="none" w:sz="0" w:space="0" w:color="auto"/>
        <w:right w:val="none" w:sz="0" w:space="0" w:color="auto"/>
      </w:divBdr>
    </w:div>
    <w:div w:id="1272250896">
      <w:bodyDiv w:val="1"/>
      <w:marLeft w:val="0"/>
      <w:marRight w:val="0"/>
      <w:marTop w:val="0"/>
      <w:marBottom w:val="0"/>
      <w:divBdr>
        <w:top w:val="none" w:sz="0" w:space="0" w:color="auto"/>
        <w:left w:val="none" w:sz="0" w:space="0" w:color="auto"/>
        <w:bottom w:val="none" w:sz="0" w:space="0" w:color="auto"/>
        <w:right w:val="none" w:sz="0" w:space="0" w:color="auto"/>
      </w:divBdr>
    </w:div>
    <w:div w:id="1289045568">
      <w:bodyDiv w:val="1"/>
      <w:marLeft w:val="0"/>
      <w:marRight w:val="0"/>
      <w:marTop w:val="0"/>
      <w:marBottom w:val="0"/>
      <w:divBdr>
        <w:top w:val="none" w:sz="0" w:space="0" w:color="auto"/>
        <w:left w:val="none" w:sz="0" w:space="0" w:color="auto"/>
        <w:bottom w:val="none" w:sz="0" w:space="0" w:color="auto"/>
        <w:right w:val="none" w:sz="0" w:space="0" w:color="auto"/>
      </w:divBdr>
    </w:div>
    <w:div w:id="1830630533">
      <w:bodyDiv w:val="1"/>
      <w:marLeft w:val="0"/>
      <w:marRight w:val="0"/>
      <w:marTop w:val="0"/>
      <w:marBottom w:val="0"/>
      <w:divBdr>
        <w:top w:val="none" w:sz="0" w:space="0" w:color="auto"/>
        <w:left w:val="none" w:sz="0" w:space="0" w:color="auto"/>
        <w:bottom w:val="none" w:sz="0" w:space="0" w:color="auto"/>
        <w:right w:val="none" w:sz="0" w:space="0" w:color="auto"/>
      </w:divBdr>
    </w:div>
    <w:div w:id="1869100407">
      <w:bodyDiv w:val="1"/>
      <w:marLeft w:val="0"/>
      <w:marRight w:val="0"/>
      <w:marTop w:val="0"/>
      <w:marBottom w:val="0"/>
      <w:divBdr>
        <w:top w:val="none" w:sz="0" w:space="0" w:color="auto"/>
        <w:left w:val="none" w:sz="0" w:space="0" w:color="auto"/>
        <w:bottom w:val="none" w:sz="0" w:space="0" w:color="auto"/>
        <w:right w:val="none" w:sz="0" w:space="0" w:color="auto"/>
      </w:divBdr>
    </w:div>
    <w:div w:id="206124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mailto:ceo@shpa.org.au" TargetMode="External"/><Relationship Id="rId26" Type="http://schemas.openxmlformats.org/officeDocument/2006/relationships/hyperlink" Target="http://www.aihw.gov.au/publication-detail/?id=60129557665" TargetMode="External"/><Relationship Id="rId39" Type="http://schemas.openxmlformats.org/officeDocument/2006/relationships/hyperlink" Target="http://www.pharmaceutical-journal.com/careers/career-feature/all-you-need-to-know-about-gp-practice-pharmacists/20201042.article" TargetMode="External"/><Relationship Id="rId3" Type="http://schemas.openxmlformats.org/officeDocument/2006/relationships/customXml" Target="../customXml/item3.xml"/><Relationship Id="rId21" Type="http://schemas.openxmlformats.org/officeDocument/2006/relationships/hyperlink" Target="https://safetyandquality.gov.au/wp-content/uploads/2014/02/Literature-Review-Medication-Safety-in-Australia-2013.pdf" TargetMode="External"/><Relationship Id="rId34" Type="http://schemas.openxmlformats.org/officeDocument/2006/relationships/hyperlink" Target="https://www.ncbi.nlm.nih.gov/pubmed/18768999" TargetMode="External"/><Relationship Id="rId42"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image" Target="media/image2.jpeg"/><Relationship Id="rId25" Type="http://schemas.openxmlformats.org/officeDocument/2006/relationships/hyperlink" Target="http://www.pharmaceutical-journal.com/careers/career-feature/all-you-need-to-know-about-gp-practice-pharmacists/20201042.article" TargetMode="External"/><Relationship Id="rId33" Type="http://schemas.openxmlformats.org/officeDocument/2006/relationships/hyperlink" Target="http://onlinelibrary.wiley.com/doi/10.1111/j.1445-5994.2009.02067.x/full" TargetMode="External"/><Relationship Id="rId38" Type="http://schemas.openxmlformats.org/officeDocument/2006/relationships/hyperlink" Target="http://www.aihw.gov.au/rural-health-impact-of-rurality/"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shpa.org.au/resources/shpa-submission-to-review-of-pharmacy-remuneration-and-regulation-review-september-2016" TargetMode="External"/><Relationship Id="rId29" Type="http://schemas.openxmlformats.org/officeDocument/2006/relationships/hyperlink" Target="http://content.webarchive.nla.gov.au/gov/wayback/20140125181619/http:/www.hwa.gov.au/sites/uploads/HPPP-Final-Report-November-2013.pdf" TargetMode="Externa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2.deloitte.com/au/en/pages/economics/articles/analysis-non-dispensing-pharmacists-general-practice-clinics.html" TargetMode="External"/><Relationship Id="rId32" Type="http://schemas.openxmlformats.org/officeDocument/2006/relationships/hyperlink" Target="http://journals.sagepub.com/doi/abs/10.1258/jrsm.2012.120009" TargetMode="External"/><Relationship Id="rId37" Type="http://schemas.openxmlformats.org/officeDocument/2006/relationships/hyperlink" Target="http://www.pbs.gov.au/info/browse/statistics" TargetMode="External"/><Relationship Id="rId40"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www.aihw.gov.au/rural-health-impact-of-rurality/" TargetMode="External"/><Relationship Id="rId28" Type="http://schemas.openxmlformats.org/officeDocument/2006/relationships/hyperlink" Target="https://www.ncbi.nlm.nih.gov/pmc/articles/PMC2653174/" TargetMode="External"/><Relationship Id="rId36" Type="http://schemas.openxmlformats.org/officeDocument/2006/relationships/hyperlink" Target="https://www.shpa.org.au/resources/standards-of-practice-for-clinical-pharmacy-services" TargetMode="External"/><Relationship Id="rId10" Type="http://schemas.openxmlformats.org/officeDocument/2006/relationships/settings" Target="settings.xml"/><Relationship Id="rId19" Type="http://schemas.openxmlformats.org/officeDocument/2006/relationships/hyperlink" Target="http://www.pbs.gov.au/info/browse/statistics" TargetMode="External"/><Relationship Id="rId31" Type="http://schemas.openxmlformats.org/officeDocument/2006/relationships/hyperlink" Target="https://www.england.nhs.uk/wp-content/uploads/2016/09/7ds-clinical-pharmacy-acute-hosp.pdf"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hyperlink" Target="http://onlinelibrary.wiley.com/doi/10.1002/jppr.1173/abstract" TargetMode="External"/><Relationship Id="rId27" Type="http://schemas.openxmlformats.org/officeDocument/2006/relationships/hyperlink" Target="http://www.nottingham.ac.uk/~pazmjb/nms/downloads/report/files/assets/basic-html/index.html" TargetMode="External"/><Relationship Id="rId30" Type="http://schemas.openxmlformats.org/officeDocument/2006/relationships/hyperlink" Target="http://www.nps.org.au/health-professionals/cpd/prescribing-competencies-framework" TargetMode="External"/><Relationship Id="rId35" Type="http://schemas.openxmlformats.org/officeDocument/2006/relationships/hyperlink" Target="https://www.ncbi.nlm.nih.gov/pmc/articles/PMC1884463/" TargetMode="External"/><Relationship Id="rId43"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3" Type="http://schemas.openxmlformats.org/officeDocument/2006/relationships/hyperlink" Target="mailto:shpa@shpa.org.au" TargetMode="External"/><Relationship Id="rId2" Type="http://schemas.openxmlformats.org/officeDocument/2006/relationships/hyperlink" Target="http://shpa.org.au" TargetMode="External"/><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3" Type="http://schemas.openxmlformats.org/officeDocument/2006/relationships/hyperlink" Target="mailto:shpa@shpa.org.au" TargetMode="External"/><Relationship Id="rId2" Type="http://schemas.openxmlformats.org/officeDocument/2006/relationships/hyperlink" Target="http://shpa.org.au"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9E5363913BD4021BB6FCA5DC06F2F78"/>
        <w:category>
          <w:name w:val="General"/>
          <w:gallery w:val="placeholder"/>
        </w:category>
        <w:types>
          <w:type w:val="bbPlcHdr"/>
        </w:types>
        <w:behaviors>
          <w:behavior w:val="content"/>
        </w:behaviors>
        <w:guid w:val="{5B4DCF70-7511-4417-8306-DD08129C2ED1}"/>
      </w:docPartPr>
      <w:docPartBody>
        <w:p w:rsidR="002F2459" w:rsidRDefault="00991399">
          <w:pPr>
            <w:pStyle w:val="A9E5363913BD4021BB6FCA5DC06F2F78"/>
          </w:pPr>
          <w:r w:rsidRPr="003079DE">
            <w:rPr>
              <w:rStyle w:val="PlaceholderText"/>
            </w:rPr>
            <w:t>[Category]</w:t>
          </w:r>
        </w:p>
      </w:docPartBody>
    </w:docPart>
    <w:docPart>
      <w:docPartPr>
        <w:name w:val="1C7A1D1BEF484ECD8BDE0BFD6CF2D6A0"/>
        <w:category>
          <w:name w:val="General"/>
          <w:gallery w:val="placeholder"/>
        </w:category>
        <w:types>
          <w:type w:val="bbPlcHdr"/>
        </w:types>
        <w:behaviors>
          <w:behavior w:val="content"/>
        </w:behaviors>
        <w:guid w:val="{CE05D56C-CB6B-4A1C-B61A-E350BA34A3BC}"/>
      </w:docPartPr>
      <w:docPartBody>
        <w:p w:rsidR="002F2459" w:rsidRDefault="00991399">
          <w:pPr>
            <w:pStyle w:val="1C7A1D1BEF484ECD8BDE0BFD6CF2D6A0"/>
          </w:pPr>
          <w:r w:rsidRPr="003079DE">
            <w:rPr>
              <w:rStyle w:val="PlaceholderText"/>
            </w:rPr>
            <w:t>[Title]</w:t>
          </w:r>
        </w:p>
      </w:docPartBody>
    </w:docPart>
    <w:docPart>
      <w:docPartPr>
        <w:name w:val="AF11102DAC7146FDA630B28EE528A293"/>
        <w:category>
          <w:name w:val="General"/>
          <w:gallery w:val="placeholder"/>
        </w:category>
        <w:types>
          <w:type w:val="bbPlcHdr"/>
        </w:types>
        <w:behaviors>
          <w:behavior w:val="content"/>
        </w:behaviors>
        <w:guid w:val="{27A87638-90D0-4F85-BBC5-D2DF010C822F}"/>
      </w:docPartPr>
      <w:docPartBody>
        <w:p w:rsidR="002F2459" w:rsidRDefault="00991399">
          <w:pPr>
            <w:pStyle w:val="AF11102DAC7146FDA630B28EE528A293"/>
          </w:pPr>
          <w:r w:rsidRPr="003079DE">
            <w:rPr>
              <w:rStyle w:val="PlaceholderText"/>
            </w:rPr>
            <w:t>[Title]</w:t>
          </w:r>
        </w:p>
      </w:docPartBody>
    </w:docPart>
    <w:docPart>
      <w:docPartPr>
        <w:name w:val="AF5408415E7348F9AB6CB5168BBB88CD"/>
        <w:category>
          <w:name w:val="General"/>
          <w:gallery w:val="placeholder"/>
        </w:category>
        <w:types>
          <w:type w:val="bbPlcHdr"/>
        </w:types>
        <w:behaviors>
          <w:behavior w:val="content"/>
        </w:behaviors>
        <w:guid w:val="{5B6BC370-1F97-4DB2-997A-3948A1DAF93D}"/>
      </w:docPartPr>
      <w:docPartBody>
        <w:p w:rsidR="002F2459" w:rsidRDefault="00991399">
          <w:pPr>
            <w:pStyle w:val="AF5408415E7348F9AB6CB5168BBB88CD"/>
          </w:pPr>
          <w:r w:rsidRPr="002823C6">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Minion Pro">
    <w:panose1 w:val="00000000000000000000"/>
    <w:charset w:val="00"/>
    <w:family w:val="roman"/>
    <w:notTrueType/>
    <w:pitch w:val="variable"/>
    <w:sig w:usb0="60000287" w:usb1="00000001" w:usb2="00000000" w:usb3="00000000" w:csb0="0000019F" w:csb1="00000000"/>
  </w:font>
  <w:font w:name="UniversLTStd">
    <w:altName w:val="MS Gothic"/>
    <w:panose1 w:val="00000000000000000000"/>
    <w:charset w:val="80"/>
    <w:family w:val="swiss"/>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991399"/>
    <w:rsid w:val="002F2459"/>
    <w:rsid w:val="009913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4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1399"/>
    <w:rPr>
      <w:color w:val="808080"/>
    </w:rPr>
  </w:style>
  <w:style w:type="paragraph" w:customStyle="1" w:styleId="A9E5363913BD4021BB6FCA5DC06F2F78">
    <w:name w:val="A9E5363913BD4021BB6FCA5DC06F2F78"/>
    <w:rsid w:val="002F2459"/>
  </w:style>
  <w:style w:type="paragraph" w:customStyle="1" w:styleId="1C7A1D1BEF484ECD8BDE0BFD6CF2D6A0">
    <w:name w:val="1C7A1D1BEF484ECD8BDE0BFD6CF2D6A0"/>
    <w:rsid w:val="002F2459"/>
  </w:style>
  <w:style w:type="paragraph" w:customStyle="1" w:styleId="AF11102DAC7146FDA630B28EE528A293">
    <w:name w:val="AF11102DAC7146FDA630B28EE528A293"/>
    <w:rsid w:val="002F2459"/>
  </w:style>
  <w:style w:type="paragraph" w:customStyle="1" w:styleId="AF5408415E7348F9AB6CB5168BBB88CD">
    <w:name w:val="AF5408415E7348F9AB6CB5168BBB88CD"/>
    <w:rsid w:val="002F2459"/>
  </w:style>
  <w:style w:type="paragraph" w:customStyle="1" w:styleId="86EF52284E3445188DF4BF88D73B28A3">
    <w:name w:val="86EF52284E3445188DF4BF88D73B28A3"/>
    <w:rsid w:val="0099139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AA289C5F133E1341A012D9EF10AD38C2" ma:contentTypeVersion="330" ma:contentTypeDescription=" " ma:contentTypeScope="" ma:versionID="87315eb050651833be796d60fa8af194">
  <xsd:schema xmlns:xsd="http://www.w3.org/2001/XMLSchema" xmlns:xs="http://www.w3.org/2001/XMLSchema" xmlns:p="http://schemas.microsoft.com/office/2006/metadata/properties" xmlns:ns1="http://schemas.microsoft.com/sharepoint/v3" xmlns:ns2="e544e5cc-ab70-42e1-849e-1a0f8bb1f4ef" xmlns:ns3="43a7eba2-7c75-424c-9682-3d9e41d868ee" xmlns:ns4="http://schemas.microsoft.com/sharepoint/v4" targetNamespace="http://schemas.microsoft.com/office/2006/metadata/properties" ma:root="true" ma:fieldsID="d7cc0718220867b387911a2fe33b9cda" ns1:_="" ns2:_="" ns3:_="" ns4:_="">
    <xsd:import namespace="http://schemas.microsoft.com/sharepoint/v3"/>
    <xsd:import namespace="e544e5cc-ab70-42e1-849e-1a0f8bb1f4ef"/>
    <xsd:import namespace="43a7eba2-7c75-424c-9682-3d9e41d868e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element ref="ns3:Pressure_x002f_Measu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2;#TSY RA-8748 - Retain as national archives|243f2231-dbfc-4282-b24a-c9b768286bd0"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3a7eba2-7c75-424c-9682-3d9e41d868ee" elementFormDefault="qualified">
    <xsd:import namespace="http://schemas.microsoft.com/office/2006/documentManagement/types"/>
    <xsd:import namespace="http://schemas.microsoft.com/office/infopath/2007/PartnerControls"/>
    <xsd:element name="Pressure_x002f_Measure" ma:index="18" nillable="true" ma:displayName="Pressure/Measure" ma:internalName="Pressure_x002f_Measur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f3269563-16d6-4c6e-bcec-78fd73168974">
      <p:Name>Auditing</p:Name>
      <p:Description>Audits user actions on documents and list items to the Audit Log.</p:Description>
      <p:CustomData>
        <Audit>
          <Update/>
          <View/>
          <CheckInOut/>
          <MoveCopy/>
          <DeleteRestore/>
        </Audit>
      </p:CustomData>
    </p:PolicyItem>
  </p:PolicyItems>
</p:Policy>
</file>

<file path=customXml/item4.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5.xml><?xml version="1.0" encoding="utf-8"?>
<p:properties xmlns:p="http://schemas.microsoft.com/office/2006/metadata/properties" xmlns:xsi="http://www.w3.org/2001/XMLSchema-instance" xmlns:pc="http://schemas.microsoft.com/office/infopath/2007/PartnerControls">
  <documentManagement>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RA-8748 - Retain as national archives</TermName>
          <TermId xmlns="http://schemas.microsoft.com/office/infopath/2007/PartnerControls">243f2231-dbfc-4282-b24a-c9b768286bd0</TermId>
        </TermInfo>
      </Terms>
    </lb508a4dc5e84436a0fe496b536466aa>
    <_dlc_DocId xmlns="e544e5cc-ab70-42e1-849e-1a0f8bb1f4ef">2017FG-94-5905</_dlc_DocId>
    <TaxCatchAll xmlns="e544e5cc-ab70-42e1-849e-1a0f8bb1f4ef">
      <Value>2</Value>
    </TaxCatchAll>
    <_dlc_DocIdUrl xmlns="e544e5cc-ab70-42e1-849e-1a0f8bb1f4ef">
      <Url>http://tweb/sites/fg/bpd/_layouts/15/DocIdRedir.aspx?ID=2017FG-94-5905</Url>
      <Description>2017FG-94-5905</Description>
    </_dlc_DocIdUrl>
    <IconOverlay xmlns="http://schemas.microsoft.com/sharepoint/v4" xsi:nil="true"/>
    <Pressure_x002f_Measure xmlns="43a7eba2-7c75-424c-9682-3d9e41d868ee"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9B499-C596-4DAA-A24D-A4E8F545BC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44e5cc-ab70-42e1-849e-1a0f8bb1f4ef"/>
    <ds:schemaRef ds:uri="43a7eba2-7c75-424c-9682-3d9e41d868e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EADD64-9E82-46F7-AA8A-827B66369944}">
  <ds:schemaRefs>
    <ds:schemaRef ds:uri="http://schemas.microsoft.com/sharepoint/v3/contenttype/forms"/>
  </ds:schemaRefs>
</ds:datastoreItem>
</file>

<file path=customXml/itemProps3.xml><?xml version="1.0" encoding="utf-8"?>
<ds:datastoreItem xmlns:ds="http://schemas.openxmlformats.org/officeDocument/2006/customXml" ds:itemID="{ABBDF18B-E1A3-4551-A6A3-033729951776}">
  <ds:schemaRefs>
    <ds:schemaRef ds:uri="office.server.policy"/>
  </ds:schemaRefs>
</ds:datastoreItem>
</file>

<file path=customXml/itemProps4.xml><?xml version="1.0" encoding="utf-8"?>
<ds:datastoreItem xmlns:ds="http://schemas.openxmlformats.org/officeDocument/2006/customXml" ds:itemID="{B825A2B8-6A85-43BB-AD1E-F5B4E8560335}">
  <ds:schemaRefs>
    <ds:schemaRef ds:uri="http://schemas.microsoft.com/sharepoint/events"/>
  </ds:schemaRefs>
</ds:datastoreItem>
</file>

<file path=customXml/itemProps5.xml><?xml version="1.0" encoding="utf-8"?>
<ds:datastoreItem xmlns:ds="http://schemas.openxmlformats.org/officeDocument/2006/customXml" ds:itemID="{70BAE9A9-6C46-4EB7-92A8-374B1DEB3C88}">
  <ds:schemaRefs>
    <ds:schemaRef ds:uri="http://purl.org/dc/elements/1.1/"/>
    <ds:schemaRef ds:uri="http://purl.org/dc/dcmitype/"/>
    <ds:schemaRef ds:uri="http://www.w3.org/XML/1998/namespace"/>
    <ds:schemaRef ds:uri="http://purl.org/dc/terms/"/>
    <ds:schemaRef ds:uri="43a7eba2-7c75-424c-9682-3d9e41d868ee"/>
    <ds:schemaRef ds:uri="http://schemas.microsoft.com/sharepoint/v4"/>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e544e5cc-ab70-42e1-849e-1a0f8bb1f4ef"/>
    <ds:schemaRef ds:uri="http://schemas.microsoft.com/sharepoint/v3"/>
  </ds:schemaRefs>
</ds:datastoreItem>
</file>

<file path=customXml/itemProps6.xml><?xml version="1.0" encoding="utf-8"?>
<ds:datastoreItem xmlns:ds="http://schemas.openxmlformats.org/officeDocument/2006/customXml" ds:itemID="{4774D84E-2314-4D09-9B14-5D8C0173F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3814</Words>
  <Characters>21740</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Federal Budget 2017-18</vt:lpstr>
    </vt:vector>
  </TitlesOfParts>
  <Company/>
  <LinksUpToDate>false</LinksUpToDate>
  <CharactersWithSpaces>25503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Society of Hospital Pharmacists of Australia - 2017-18 Pre-Budget Submission</dc:title>
  <dc:creator>snewman</dc:creator>
  <cp:lastModifiedBy>Hansen, Kim</cp:lastModifiedBy>
  <cp:revision>3</cp:revision>
  <cp:lastPrinted>2016-03-01T00:03:00Z</cp:lastPrinted>
  <dcterms:created xsi:type="dcterms:W3CDTF">2017-01-18T03:00:00Z</dcterms:created>
  <dcterms:modified xsi:type="dcterms:W3CDTF">2017-02-14T04:40:00Z</dcterms:modified>
  <cp:category>Submission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0x010100348D01E61E107C4DA4B97E380EA20D4700AA289C5F133E1341A012D9EF10AD38C2</vt:lpwstr>
  </property>
  <property fmtid="{D5CDD505-2E9C-101B-9397-08002B2CF9AE}" pid="3" name="TSYRecordClass">
    <vt:lpwstr>2;#TSY RA-8748 - Retain as national archives|243f2231-dbfc-4282-b24a-c9b768286bd0</vt:lpwstr>
  </property>
  <property fmtid="{D5CDD505-2E9C-101B-9397-08002B2CF9AE}" pid="4" name="_dlc_DocIdItemGuid">
    <vt:lpwstr>9f433ddd-ecaa-4e85-89a5-d5d4a7bcd991</vt:lpwstr>
  </property>
  <property fmtid="{D5CDD505-2E9C-101B-9397-08002B2CF9AE}" pid="5" name="RecordPoint_WorkflowType">
    <vt:lpwstr>ActiveSubmitStub</vt:lpwstr>
  </property>
  <property fmtid="{D5CDD505-2E9C-101B-9397-08002B2CF9AE}" pid="6" name="RecordPoint_ActiveItemSiteId">
    <vt:lpwstr>{a3a280d1-e8f1-4ce7-94f0-aaa2322da0dd}</vt:lpwstr>
  </property>
  <property fmtid="{D5CDD505-2E9C-101B-9397-08002B2CF9AE}" pid="7" name="RecordPoint_ActiveItemListId">
    <vt:lpwstr>{43a7eba2-7c75-424c-9682-3d9e41d868ee}</vt:lpwstr>
  </property>
  <property fmtid="{D5CDD505-2E9C-101B-9397-08002B2CF9AE}" pid="8" name="RecordPoint_ActiveItemUniqueId">
    <vt:lpwstr>{9f433ddd-ecaa-4e85-89a5-d5d4a7bcd991}</vt:lpwstr>
  </property>
  <property fmtid="{D5CDD505-2E9C-101B-9397-08002B2CF9AE}" pid="9" name="RecordPoint_ActiveItemWebId">
    <vt:lpwstr>{2af1fd9f-9360-4de3-abf2-ccd65f89a90c}</vt:lpwstr>
  </property>
  <property fmtid="{D5CDD505-2E9C-101B-9397-08002B2CF9AE}" pid="10" name="RecordPoint_RecordNumberSubmitted">
    <vt:lpwstr>R0001205876</vt:lpwstr>
  </property>
  <property fmtid="{D5CDD505-2E9C-101B-9397-08002B2CF9AE}" pid="11" name="RecordPoint_SubmissionCompleted">
    <vt:lpwstr>2017-02-08T11:22:47.3791391+11:00</vt:lpwstr>
  </property>
</Properties>
</file>