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A5" w:rsidRPr="00F5236C" w:rsidRDefault="00F93A78" w:rsidP="00E41749">
      <w:pPr>
        <w:jc w:val="center"/>
        <w:rPr>
          <w:b/>
          <w:color w:val="660066"/>
          <w:sz w:val="28"/>
          <w:szCs w:val="28"/>
        </w:rPr>
      </w:pPr>
      <w:bookmarkStart w:id="0" w:name="_GoBack"/>
      <w:bookmarkEnd w:id="0"/>
      <w:r w:rsidRPr="00F5236C">
        <w:rPr>
          <w:b/>
          <w:noProof/>
          <w:sz w:val="28"/>
          <w:szCs w:val="28"/>
          <w:lang w:eastAsia="en-AU"/>
        </w:rPr>
        <w:drawing>
          <wp:anchor distT="0" distB="0" distL="114300" distR="114300" simplePos="0" relativeHeight="251661312" behindDoc="0" locked="0" layoutInCell="1" allowOverlap="1" wp14:anchorId="6AB693B3" wp14:editId="794D1CDB">
            <wp:simplePos x="0" y="0"/>
            <wp:positionH relativeFrom="column">
              <wp:posOffset>4930140</wp:posOffset>
            </wp:positionH>
            <wp:positionV relativeFrom="paragraph">
              <wp:posOffset>-215265</wp:posOffset>
            </wp:positionV>
            <wp:extent cx="1137285" cy="1137285"/>
            <wp:effectExtent l="0" t="0" r="571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EU avatar 110px.jpg"/>
                    <pic:cNvPicPr/>
                  </pic:nvPicPr>
                  <pic:blipFill>
                    <a:blip r:embed="rId14">
                      <a:extLst>
                        <a:ext uri="{28A0092B-C50C-407E-A947-70E740481C1C}">
                          <a14:useLocalDpi xmlns:a14="http://schemas.microsoft.com/office/drawing/2010/main" val="0"/>
                        </a:ext>
                      </a:extLst>
                    </a:blip>
                    <a:stretch>
                      <a:fillRect/>
                    </a:stretch>
                  </pic:blipFill>
                  <pic:spPr>
                    <a:xfrm>
                      <a:off x="0" y="0"/>
                      <a:ext cx="1137285" cy="1137285"/>
                    </a:xfrm>
                    <a:prstGeom prst="rect">
                      <a:avLst/>
                    </a:prstGeom>
                  </pic:spPr>
                </pic:pic>
              </a:graphicData>
            </a:graphic>
            <wp14:sizeRelH relativeFrom="page">
              <wp14:pctWidth>0</wp14:pctWidth>
            </wp14:sizeRelH>
            <wp14:sizeRelV relativeFrom="page">
              <wp14:pctHeight>0</wp14:pctHeight>
            </wp14:sizeRelV>
          </wp:anchor>
        </w:drawing>
      </w:r>
      <w:r w:rsidR="00A253A5" w:rsidRPr="00F5236C">
        <w:rPr>
          <w:b/>
          <w:color w:val="660066"/>
          <w:sz w:val="28"/>
          <w:szCs w:val="28"/>
        </w:rPr>
        <w:t>National Tertiary Education Union (NTEU)</w:t>
      </w:r>
      <w:r w:rsidRPr="00F5236C">
        <w:rPr>
          <w:b/>
          <w:noProof/>
          <w:sz w:val="28"/>
          <w:szCs w:val="28"/>
          <w:lang w:eastAsia="en-AU"/>
        </w:rPr>
        <w:t xml:space="preserve"> </w:t>
      </w:r>
    </w:p>
    <w:p w:rsidR="00091850" w:rsidRPr="00F5236C" w:rsidRDefault="00E41749" w:rsidP="00A253A5">
      <w:pPr>
        <w:jc w:val="center"/>
        <w:rPr>
          <w:b/>
          <w:i/>
          <w:color w:val="660066"/>
          <w:sz w:val="24"/>
          <w:szCs w:val="24"/>
        </w:rPr>
      </w:pPr>
      <w:r w:rsidRPr="00F5236C">
        <w:rPr>
          <w:b/>
          <w:i/>
          <w:color w:val="660066"/>
          <w:sz w:val="24"/>
          <w:szCs w:val="24"/>
        </w:rPr>
        <w:t>201</w:t>
      </w:r>
      <w:r w:rsidR="00FD4972">
        <w:rPr>
          <w:b/>
          <w:i/>
          <w:color w:val="660066"/>
          <w:sz w:val="24"/>
          <w:szCs w:val="24"/>
        </w:rPr>
        <w:t>7</w:t>
      </w:r>
      <w:r w:rsidRPr="00F5236C">
        <w:rPr>
          <w:b/>
          <w:i/>
          <w:color w:val="660066"/>
          <w:sz w:val="24"/>
          <w:szCs w:val="24"/>
        </w:rPr>
        <w:t>-1</w:t>
      </w:r>
      <w:r w:rsidR="00FD4972">
        <w:rPr>
          <w:b/>
          <w:i/>
          <w:color w:val="660066"/>
          <w:sz w:val="24"/>
          <w:szCs w:val="24"/>
        </w:rPr>
        <w:t>8</w:t>
      </w:r>
      <w:r w:rsidRPr="00F5236C">
        <w:rPr>
          <w:b/>
          <w:i/>
          <w:color w:val="660066"/>
          <w:sz w:val="24"/>
          <w:szCs w:val="24"/>
        </w:rPr>
        <w:t xml:space="preserve"> Pre-Budget Submission</w:t>
      </w:r>
    </w:p>
    <w:p w:rsidR="002B53E8" w:rsidRDefault="002B53E8" w:rsidP="00872496">
      <w:pPr>
        <w:rPr>
          <w:b/>
          <w:sz w:val="24"/>
          <w:szCs w:val="24"/>
        </w:rPr>
      </w:pPr>
    </w:p>
    <w:p w:rsidR="002B53E8" w:rsidRPr="002B53E8" w:rsidRDefault="002B53E8" w:rsidP="002B53E8">
      <w:pPr>
        <w:rPr>
          <w:b/>
          <w:sz w:val="24"/>
          <w:szCs w:val="24"/>
        </w:rPr>
      </w:pPr>
      <w:r>
        <w:rPr>
          <w:b/>
          <w:sz w:val="24"/>
          <w:szCs w:val="24"/>
        </w:rPr>
        <w:t>Overview</w:t>
      </w:r>
    </w:p>
    <w:p w:rsidR="002B53E8" w:rsidRDefault="002B53E8" w:rsidP="002B53E8">
      <w:pPr>
        <w:rPr>
          <w:sz w:val="20"/>
          <w:szCs w:val="20"/>
        </w:rPr>
      </w:pPr>
      <w:r>
        <w:rPr>
          <w:sz w:val="20"/>
          <w:szCs w:val="20"/>
        </w:rPr>
        <w:t>Despite many false starts and missteps</w:t>
      </w:r>
      <w:r w:rsidR="00D1724B">
        <w:rPr>
          <w:sz w:val="20"/>
          <w:szCs w:val="20"/>
        </w:rPr>
        <w:t>,</w:t>
      </w:r>
      <w:r>
        <w:rPr>
          <w:sz w:val="20"/>
          <w:szCs w:val="20"/>
        </w:rPr>
        <w:t xml:space="preserve"> the </w:t>
      </w:r>
      <w:r w:rsidR="00D74116">
        <w:rPr>
          <w:sz w:val="20"/>
          <w:szCs w:val="20"/>
        </w:rPr>
        <w:t>Government</w:t>
      </w:r>
      <w:r>
        <w:rPr>
          <w:sz w:val="20"/>
          <w:szCs w:val="20"/>
        </w:rPr>
        <w:t>’s plans for higher education remain larg</w:t>
      </w:r>
      <w:r w:rsidR="00914EE5">
        <w:rPr>
          <w:sz w:val="20"/>
          <w:szCs w:val="20"/>
        </w:rPr>
        <w:t xml:space="preserve">ely unchanged from the plans </w:t>
      </w:r>
      <w:r>
        <w:rPr>
          <w:sz w:val="20"/>
          <w:szCs w:val="20"/>
        </w:rPr>
        <w:t>anno</w:t>
      </w:r>
      <w:r w:rsidR="00D1724B">
        <w:rPr>
          <w:sz w:val="20"/>
          <w:szCs w:val="20"/>
        </w:rPr>
        <w:t xml:space="preserve">unced in the 2014 Budget, where the </w:t>
      </w:r>
      <w:r w:rsidR="00A2276D">
        <w:rPr>
          <w:sz w:val="20"/>
          <w:szCs w:val="20"/>
        </w:rPr>
        <w:t xml:space="preserve">policy agenda </w:t>
      </w:r>
      <w:r w:rsidR="00D1724B">
        <w:rPr>
          <w:sz w:val="20"/>
          <w:szCs w:val="20"/>
        </w:rPr>
        <w:t xml:space="preserve">was, and continues to be, </w:t>
      </w:r>
      <w:r>
        <w:rPr>
          <w:sz w:val="20"/>
          <w:szCs w:val="20"/>
        </w:rPr>
        <w:t xml:space="preserve">primarily motivated by the goal of saving $2.5billion of public investment over </w:t>
      </w:r>
      <w:r w:rsidR="00A2276D">
        <w:rPr>
          <w:sz w:val="20"/>
          <w:szCs w:val="20"/>
        </w:rPr>
        <w:t>four years. Unfortunately</w:t>
      </w:r>
      <w:r w:rsidR="00D1724B">
        <w:rPr>
          <w:sz w:val="20"/>
          <w:szCs w:val="20"/>
        </w:rPr>
        <w:t>, these</w:t>
      </w:r>
      <w:r w:rsidR="00A2276D">
        <w:rPr>
          <w:sz w:val="20"/>
          <w:szCs w:val="20"/>
        </w:rPr>
        <w:t xml:space="preserve"> savings seem to be viewed solely through the lens of further shifting</w:t>
      </w:r>
      <w:r>
        <w:rPr>
          <w:sz w:val="20"/>
          <w:szCs w:val="20"/>
        </w:rPr>
        <w:t xml:space="preserve"> the </w:t>
      </w:r>
      <w:r w:rsidR="00A2276D">
        <w:rPr>
          <w:sz w:val="20"/>
          <w:szCs w:val="20"/>
        </w:rPr>
        <w:t xml:space="preserve">funding </w:t>
      </w:r>
      <w:r>
        <w:rPr>
          <w:sz w:val="20"/>
          <w:szCs w:val="20"/>
        </w:rPr>
        <w:t xml:space="preserve">burden away from the public and onto the shoulders of students and their families by making </w:t>
      </w:r>
      <w:r w:rsidR="00A2276D">
        <w:rPr>
          <w:sz w:val="20"/>
          <w:szCs w:val="20"/>
        </w:rPr>
        <w:t>undergr</w:t>
      </w:r>
      <w:r w:rsidR="00FE77D1">
        <w:rPr>
          <w:sz w:val="20"/>
          <w:szCs w:val="20"/>
        </w:rPr>
        <w:t>a</w:t>
      </w:r>
      <w:r w:rsidR="00A2276D">
        <w:rPr>
          <w:sz w:val="20"/>
          <w:szCs w:val="20"/>
        </w:rPr>
        <w:t>du</w:t>
      </w:r>
      <w:r w:rsidR="00FE77D1">
        <w:rPr>
          <w:sz w:val="20"/>
          <w:szCs w:val="20"/>
        </w:rPr>
        <w:t>a</w:t>
      </w:r>
      <w:r w:rsidR="00A2276D">
        <w:rPr>
          <w:sz w:val="20"/>
          <w:szCs w:val="20"/>
        </w:rPr>
        <w:t xml:space="preserve">te domestic </w:t>
      </w:r>
      <w:r>
        <w:rPr>
          <w:sz w:val="20"/>
          <w:szCs w:val="20"/>
        </w:rPr>
        <w:t>stud</w:t>
      </w:r>
      <w:r w:rsidR="00D1724B">
        <w:rPr>
          <w:sz w:val="20"/>
          <w:szCs w:val="20"/>
        </w:rPr>
        <w:t>ents pay more for their degrees. This is</w:t>
      </w:r>
      <w:r>
        <w:rPr>
          <w:sz w:val="20"/>
          <w:szCs w:val="20"/>
        </w:rPr>
        <w:t xml:space="preserve"> despite the fact that Australia already has one of the lowest levels of public investment in tertiary education in the world </w:t>
      </w:r>
      <w:r w:rsidR="00D74116">
        <w:rPr>
          <w:sz w:val="20"/>
          <w:szCs w:val="20"/>
        </w:rPr>
        <w:t>while conversely,</w:t>
      </w:r>
      <w:r>
        <w:rPr>
          <w:sz w:val="20"/>
          <w:szCs w:val="20"/>
        </w:rPr>
        <w:t xml:space="preserve"> our students </w:t>
      </w:r>
      <w:r w:rsidR="00D1724B">
        <w:rPr>
          <w:sz w:val="20"/>
          <w:szCs w:val="20"/>
        </w:rPr>
        <w:t xml:space="preserve">pay amongst the highest fees in the OECD.  Furthermore, </w:t>
      </w:r>
      <w:r w:rsidR="00914EE5">
        <w:rPr>
          <w:sz w:val="20"/>
          <w:szCs w:val="20"/>
        </w:rPr>
        <w:t>i</w:t>
      </w:r>
      <w:r w:rsidR="00A2276D">
        <w:rPr>
          <w:sz w:val="20"/>
          <w:szCs w:val="20"/>
        </w:rPr>
        <w:t xml:space="preserve">nternational and post graduate coursework students </w:t>
      </w:r>
      <w:r w:rsidR="00D1724B">
        <w:rPr>
          <w:sz w:val="20"/>
          <w:szCs w:val="20"/>
        </w:rPr>
        <w:t>already</w:t>
      </w:r>
      <w:r w:rsidR="00A2276D">
        <w:rPr>
          <w:sz w:val="20"/>
          <w:szCs w:val="20"/>
        </w:rPr>
        <w:t xml:space="preserve"> pay very</w:t>
      </w:r>
      <w:r w:rsidR="00D1724B">
        <w:rPr>
          <w:sz w:val="20"/>
          <w:szCs w:val="20"/>
        </w:rPr>
        <w:t xml:space="preserve"> high </w:t>
      </w:r>
      <w:r w:rsidR="007B6C59">
        <w:rPr>
          <w:sz w:val="20"/>
          <w:szCs w:val="20"/>
        </w:rPr>
        <w:t xml:space="preserve">upfront </w:t>
      </w:r>
      <w:r w:rsidR="00D1724B">
        <w:rPr>
          <w:sz w:val="20"/>
          <w:szCs w:val="20"/>
        </w:rPr>
        <w:t xml:space="preserve">fees, </w:t>
      </w:r>
      <w:r w:rsidR="007B6C59">
        <w:rPr>
          <w:sz w:val="20"/>
          <w:szCs w:val="20"/>
        </w:rPr>
        <w:t>which can be</w:t>
      </w:r>
      <w:r w:rsidR="00D1724B">
        <w:rPr>
          <w:sz w:val="20"/>
          <w:szCs w:val="20"/>
        </w:rPr>
        <w:t xml:space="preserve"> significantly higher than $100,000.</w:t>
      </w:r>
      <w:r w:rsidR="00A2276D">
        <w:rPr>
          <w:sz w:val="20"/>
          <w:szCs w:val="20"/>
        </w:rPr>
        <w:t xml:space="preserve"> </w:t>
      </w:r>
      <w:r>
        <w:rPr>
          <w:sz w:val="20"/>
          <w:szCs w:val="20"/>
        </w:rPr>
        <w:t xml:space="preserve">The </w:t>
      </w:r>
      <w:r w:rsidR="00D74116">
        <w:rPr>
          <w:sz w:val="20"/>
          <w:szCs w:val="20"/>
        </w:rPr>
        <w:t>Government</w:t>
      </w:r>
      <w:r>
        <w:rPr>
          <w:sz w:val="20"/>
          <w:szCs w:val="20"/>
        </w:rPr>
        <w:t xml:space="preserve"> also seems insistent </w:t>
      </w:r>
      <w:r w:rsidR="00A2276D">
        <w:rPr>
          <w:sz w:val="20"/>
          <w:szCs w:val="20"/>
        </w:rPr>
        <w:t xml:space="preserve">upon pursuing their policy of </w:t>
      </w:r>
      <w:r>
        <w:rPr>
          <w:sz w:val="20"/>
          <w:szCs w:val="20"/>
        </w:rPr>
        <w:t>opening up public funding to private, including for-profit, providers, despite the demonstrable failure of such a poli</w:t>
      </w:r>
      <w:r w:rsidR="00A2276D">
        <w:rPr>
          <w:sz w:val="20"/>
          <w:szCs w:val="20"/>
        </w:rPr>
        <w:t xml:space="preserve">cy framework in relation to VET, which the </w:t>
      </w:r>
      <w:r w:rsidR="00D74116">
        <w:rPr>
          <w:sz w:val="20"/>
          <w:szCs w:val="20"/>
        </w:rPr>
        <w:t>Government</w:t>
      </w:r>
      <w:r w:rsidR="00914EE5">
        <w:rPr>
          <w:sz w:val="20"/>
          <w:szCs w:val="20"/>
        </w:rPr>
        <w:t xml:space="preserve"> has now addressed in legislation in late 2016.</w:t>
      </w:r>
    </w:p>
    <w:p w:rsidR="002B53E8" w:rsidRDefault="00EB6D20" w:rsidP="002B53E8">
      <w:pPr>
        <w:rPr>
          <w:sz w:val="20"/>
          <w:szCs w:val="20"/>
        </w:rPr>
      </w:pPr>
      <w:r>
        <w:rPr>
          <w:sz w:val="20"/>
          <w:szCs w:val="20"/>
        </w:rPr>
        <w:t xml:space="preserve">While the NTEU welcomes the </w:t>
      </w:r>
      <w:r w:rsidR="00D74116">
        <w:rPr>
          <w:sz w:val="20"/>
          <w:szCs w:val="20"/>
        </w:rPr>
        <w:t>Government</w:t>
      </w:r>
      <w:r w:rsidR="002B53E8">
        <w:rPr>
          <w:sz w:val="20"/>
          <w:szCs w:val="20"/>
        </w:rPr>
        <w:t>’s decision to abandon full fee deregulation</w:t>
      </w:r>
      <w:r w:rsidR="007B6C59">
        <w:rPr>
          <w:sz w:val="20"/>
          <w:szCs w:val="20"/>
        </w:rPr>
        <w:t>,</w:t>
      </w:r>
      <w:r w:rsidR="002B53E8">
        <w:rPr>
          <w:sz w:val="20"/>
          <w:szCs w:val="20"/>
        </w:rPr>
        <w:t xml:space="preserve"> we remain opposed</w:t>
      </w:r>
      <w:r w:rsidR="00F5236C">
        <w:rPr>
          <w:sz w:val="20"/>
          <w:szCs w:val="20"/>
        </w:rPr>
        <w:t>, for the reason</w:t>
      </w:r>
      <w:r w:rsidR="00794929">
        <w:rPr>
          <w:sz w:val="20"/>
          <w:szCs w:val="20"/>
        </w:rPr>
        <w:t>s</w:t>
      </w:r>
      <w:r w:rsidR="00F5236C">
        <w:rPr>
          <w:sz w:val="20"/>
          <w:szCs w:val="20"/>
        </w:rPr>
        <w:t xml:space="preserve"> outlined below, to </w:t>
      </w:r>
      <w:r w:rsidR="007B6C59">
        <w:rPr>
          <w:sz w:val="20"/>
          <w:szCs w:val="20"/>
        </w:rPr>
        <w:t xml:space="preserve">a number of the </w:t>
      </w:r>
      <w:r w:rsidR="00D74116">
        <w:rPr>
          <w:sz w:val="20"/>
          <w:szCs w:val="20"/>
        </w:rPr>
        <w:t>Government</w:t>
      </w:r>
      <w:r w:rsidR="007B6C59">
        <w:rPr>
          <w:sz w:val="20"/>
          <w:szCs w:val="20"/>
        </w:rPr>
        <w:t xml:space="preserve">’s </w:t>
      </w:r>
      <w:r w:rsidR="002B53E8">
        <w:rPr>
          <w:sz w:val="20"/>
          <w:szCs w:val="20"/>
        </w:rPr>
        <w:t>specific plans</w:t>
      </w:r>
      <w:r w:rsidR="007B6C59">
        <w:rPr>
          <w:sz w:val="20"/>
          <w:szCs w:val="20"/>
        </w:rPr>
        <w:t>,</w:t>
      </w:r>
      <w:r w:rsidR="002B53E8">
        <w:rPr>
          <w:sz w:val="20"/>
          <w:szCs w:val="20"/>
        </w:rPr>
        <w:t xml:space="preserve"> including:</w:t>
      </w:r>
    </w:p>
    <w:p w:rsidR="00F5236C" w:rsidRDefault="00794929" w:rsidP="002B53E8">
      <w:pPr>
        <w:pStyle w:val="ListParagraph"/>
        <w:numPr>
          <w:ilvl w:val="0"/>
          <w:numId w:val="15"/>
        </w:numPr>
        <w:rPr>
          <w:sz w:val="20"/>
          <w:szCs w:val="20"/>
        </w:rPr>
      </w:pPr>
      <w:r>
        <w:rPr>
          <w:sz w:val="20"/>
          <w:szCs w:val="20"/>
        </w:rPr>
        <w:t xml:space="preserve">a </w:t>
      </w:r>
      <w:r w:rsidR="00F5236C">
        <w:rPr>
          <w:sz w:val="20"/>
          <w:szCs w:val="20"/>
        </w:rPr>
        <w:t xml:space="preserve">20% cut to funding per Commonwealth supported place (CSPs) and any increase in student contributions, </w:t>
      </w:r>
    </w:p>
    <w:p w:rsidR="00F5236C" w:rsidRDefault="00F5236C" w:rsidP="002B53E8">
      <w:pPr>
        <w:pStyle w:val="ListParagraph"/>
        <w:numPr>
          <w:ilvl w:val="0"/>
          <w:numId w:val="15"/>
        </w:numPr>
        <w:rPr>
          <w:sz w:val="20"/>
          <w:szCs w:val="20"/>
        </w:rPr>
      </w:pPr>
      <w:r>
        <w:rPr>
          <w:sz w:val="20"/>
          <w:szCs w:val="20"/>
        </w:rPr>
        <w:t>the expansion of the demand driven system to private providers,</w:t>
      </w:r>
    </w:p>
    <w:p w:rsidR="00F5236C" w:rsidRDefault="00F5236C" w:rsidP="002B53E8">
      <w:pPr>
        <w:pStyle w:val="ListParagraph"/>
        <w:numPr>
          <w:ilvl w:val="0"/>
          <w:numId w:val="15"/>
        </w:numPr>
        <w:rPr>
          <w:sz w:val="20"/>
          <w:szCs w:val="20"/>
        </w:rPr>
      </w:pPr>
      <w:r>
        <w:rPr>
          <w:sz w:val="20"/>
          <w:szCs w:val="20"/>
        </w:rPr>
        <w:t>the partial fee deregulation through the introduction of flagship courses,</w:t>
      </w:r>
    </w:p>
    <w:p w:rsidR="00F5236C" w:rsidRDefault="00F5236C" w:rsidP="002B53E8">
      <w:pPr>
        <w:pStyle w:val="ListParagraph"/>
        <w:numPr>
          <w:ilvl w:val="0"/>
          <w:numId w:val="15"/>
        </w:numPr>
        <w:rPr>
          <w:sz w:val="20"/>
          <w:szCs w:val="20"/>
        </w:rPr>
      </w:pPr>
      <w:r>
        <w:rPr>
          <w:sz w:val="20"/>
          <w:szCs w:val="20"/>
        </w:rPr>
        <w:t xml:space="preserve">the introduction of a universal HELP loan fee for all students, and </w:t>
      </w:r>
    </w:p>
    <w:p w:rsidR="002B53E8" w:rsidRPr="002B53E8" w:rsidRDefault="00F5236C" w:rsidP="002B53E8">
      <w:pPr>
        <w:pStyle w:val="ListParagraph"/>
        <w:numPr>
          <w:ilvl w:val="0"/>
          <w:numId w:val="15"/>
        </w:numPr>
        <w:rPr>
          <w:sz w:val="20"/>
          <w:szCs w:val="20"/>
        </w:rPr>
      </w:pPr>
      <w:r>
        <w:rPr>
          <w:sz w:val="20"/>
          <w:szCs w:val="20"/>
        </w:rPr>
        <w:t xml:space="preserve">the repurposing of $3.7bilion balance of Education Investment Fund (EIF).   </w:t>
      </w:r>
    </w:p>
    <w:p w:rsidR="002B53E8" w:rsidRDefault="002B53E8" w:rsidP="002B53E8">
      <w:pPr>
        <w:rPr>
          <w:sz w:val="20"/>
          <w:szCs w:val="20"/>
        </w:rPr>
      </w:pPr>
      <w:r>
        <w:rPr>
          <w:sz w:val="20"/>
          <w:szCs w:val="20"/>
        </w:rPr>
        <w:t xml:space="preserve">The </w:t>
      </w:r>
      <w:r w:rsidR="006B4222">
        <w:rPr>
          <w:sz w:val="20"/>
          <w:szCs w:val="20"/>
        </w:rPr>
        <w:t xml:space="preserve">NTEU’s alternative approach (initially </w:t>
      </w:r>
      <w:r>
        <w:rPr>
          <w:sz w:val="20"/>
          <w:szCs w:val="20"/>
        </w:rPr>
        <w:t xml:space="preserve">outlined in the </w:t>
      </w:r>
      <w:hyperlink r:id="rId15" w:history="1">
        <w:r w:rsidRPr="00465164">
          <w:rPr>
            <w:rStyle w:val="Hyperlink"/>
            <w:sz w:val="20"/>
            <w:szCs w:val="20"/>
          </w:rPr>
          <w:t>NTEU’s 2015 Pre-Budget Budget submission</w:t>
        </w:r>
      </w:hyperlink>
      <w:r>
        <w:rPr>
          <w:sz w:val="20"/>
          <w:szCs w:val="20"/>
        </w:rPr>
        <w:t xml:space="preserve">) which </w:t>
      </w:r>
      <w:r w:rsidR="006B4222">
        <w:rPr>
          <w:sz w:val="20"/>
          <w:szCs w:val="20"/>
        </w:rPr>
        <w:t>proposes</w:t>
      </w:r>
      <w:r>
        <w:rPr>
          <w:sz w:val="20"/>
          <w:szCs w:val="20"/>
        </w:rPr>
        <w:t xml:space="preserve"> a better planned and managed higher education framework through the use of  Public Accountability Agreements (PAAs) is given some support by the findings of a L.H Martin Institute paper entitled </w:t>
      </w:r>
      <w:hyperlink r:id="rId16" w:history="1">
        <w:r w:rsidRPr="00F036B5">
          <w:rPr>
            <w:rStyle w:val="Hyperlink"/>
            <w:i/>
            <w:sz w:val="20"/>
            <w:szCs w:val="20"/>
          </w:rPr>
          <w:t>Domestic Student Load and Financing</w:t>
        </w:r>
      </w:hyperlink>
      <w:r>
        <w:rPr>
          <w:i/>
          <w:sz w:val="20"/>
          <w:szCs w:val="20"/>
        </w:rPr>
        <w:t xml:space="preserve">.  </w:t>
      </w:r>
      <w:r w:rsidRPr="009143A0">
        <w:rPr>
          <w:sz w:val="20"/>
          <w:szCs w:val="20"/>
        </w:rPr>
        <w:t xml:space="preserve">The NTEU’s proposed framework would help </w:t>
      </w:r>
      <w:r>
        <w:rPr>
          <w:sz w:val="20"/>
          <w:szCs w:val="20"/>
        </w:rPr>
        <w:t xml:space="preserve">provide a way of resolving </w:t>
      </w:r>
      <w:r w:rsidRPr="009143A0">
        <w:rPr>
          <w:sz w:val="20"/>
          <w:szCs w:val="20"/>
        </w:rPr>
        <w:t xml:space="preserve">some </w:t>
      </w:r>
      <w:r>
        <w:rPr>
          <w:sz w:val="20"/>
          <w:szCs w:val="20"/>
        </w:rPr>
        <w:t xml:space="preserve">very </w:t>
      </w:r>
      <w:r w:rsidRPr="009143A0">
        <w:rPr>
          <w:sz w:val="20"/>
          <w:szCs w:val="20"/>
        </w:rPr>
        <w:t xml:space="preserve">important policy </w:t>
      </w:r>
      <w:r>
        <w:rPr>
          <w:sz w:val="20"/>
          <w:szCs w:val="20"/>
        </w:rPr>
        <w:t xml:space="preserve">questions </w:t>
      </w:r>
      <w:r w:rsidRPr="009143A0">
        <w:rPr>
          <w:sz w:val="20"/>
          <w:szCs w:val="20"/>
        </w:rPr>
        <w:t xml:space="preserve">raised </w:t>
      </w:r>
      <w:r>
        <w:rPr>
          <w:sz w:val="20"/>
          <w:szCs w:val="20"/>
        </w:rPr>
        <w:t xml:space="preserve">in </w:t>
      </w:r>
      <w:r w:rsidRPr="009143A0">
        <w:rPr>
          <w:sz w:val="20"/>
          <w:szCs w:val="20"/>
        </w:rPr>
        <w:t>this paper</w:t>
      </w:r>
      <w:r>
        <w:rPr>
          <w:sz w:val="20"/>
          <w:szCs w:val="20"/>
        </w:rPr>
        <w:t>,</w:t>
      </w:r>
      <w:r w:rsidRPr="009143A0">
        <w:rPr>
          <w:sz w:val="20"/>
          <w:szCs w:val="20"/>
        </w:rPr>
        <w:t xml:space="preserve"> including:</w:t>
      </w:r>
    </w:p>
    <w:p w:rsidR="002B53E8" w:rsidRPr="00F6019D" w:rsidRDefault="002B53E8" w:rsidP="002B53E8">
      <w:pPr>
        <w:pStyle w:val="ListParagraph"/>
        <w:numPr>
          <w:ilvl w:val="0"/>
          <w:numId w:val="13"/>
        </w:numPr>
        <w:rPr>
          <w:i/>
          <w:sz w:val="20"/>
          <w:szCs w:val="20"/>
        </w:rPr>
      </w:pPr>
      <w:r w:rsidRPr="00F6019D">
        <w:rPr>
          <w:i/>
          <w:sz w:val="20"/>
          <w:szCs w:val="20"/>
        </w:rPr>
        <w:t>Are universities adequately accountable for demonstrating that their quest for growth is in the national interest and has not been at the expense of quality?</w:t>
      </w:r>
    </w:p>
    <w:p w:rsidR="002B53E8" w:rsidRPr="00F6019D" w:rsidRDefault="002B53E8" w:rsidP="002B53E8">
      <w:pPr>
        <w:pStyle w:val="ListParagraph"/>
        <w:numPr>
          <w:ilvl w:val="0"/>
          <w:numId w:val="13"/>
        </w:numPr>
        <w:rPr>
          <w:i/>
          <w:sz w:val="20"/>
          <w:szCs w:val="20"/>
        </w:rPr>
      </w:pPr>
      <w:r w:rsidRPr="00F6019D">
        <w:rPr>
          <w:i/>
          <w:sz w:val="20"/>
          <w:szCs w:val="20"/>
        </w:rPr>
        <w:t>Is it in the public interest that teaching and learning funding continue to be allocated exclusively on the basis of student load?</w:t>
      </w:r>
    </w:p>
    <w:p w:rsidR="002B53E8" w:rsidRDefault="002B53E8" w:rsidP="002B53E8">
      <w:pPr>
        <w:pStyle w:val="ListParagraph"/>
        <w:numPr>
          <w:ilvl w:val="0"/>
          <w:numId w:val="13"/>
        </w:numPr>
        <w:rPr>
          <w:i/>
          <w:sz w:val="20"/>
          <w:szCs w:val="20"/>
        </w:rPr>
      </w:pPr>
      <w:r w:rsidRPr="00F6019D">
        <w:rPr>
          <w:i/>
          <w:sz w:val="20"/>
          <w:szCs w:val="20"/>
        </w:rPr>
        <w:t xml:space="preserve">What policy measures might </w:t>
      </w:r>
      <w:r w:rsidR="00D74116">
        <w:rPr>
          <w:i/>
          <w:sz w:val="20"/>
          <w:szCs w:val="20"/>
        </w:rPr>
        <w:t>Government</w:t>
      </w:r>
      <w:r w:rsidRPr="00F6019D">
        <w:rPr>
          <w:i/>
          <w:sz w:val="20"/>
          <w:szCs w:val="20"/>
        </w:rPr>
        <w:t xml:space="preserve"> contemplate to strengthen capability across the sector?</w:t>
      </w:r>
    </w:p>
    <w:p w:rsidR="00F5236C" w:rsidRDefault="00F5236C">
      <w:pPr>
        <w:rPr>
          <w:b/>
          <w:sz w:val="24"/>
          <w:szCs w:val="24"/>
        </w:rPr>
      </w:pPr>
      <w:r>
        <w:rPr>
          <w:b/>
          <w:sz w:val="24"/>
          <w:szCs w:val="24"/>
        </w:rPr>
        <w:br w:type="page"/>
      </w:r>
    </w:p>
    <w:p w:rsidR="00126BC5" w:rsidRPr="009F0C93" w:rsidRDefault="002B53E8" w:rsidP="00872496">
      <w:pPr>
        <w:rPr>
          <w:b/>
          <w:sz w:val="24"/>
          <w:szCs w:val="24"/>
        </w:rPr>
      </w:pPr>
      <w:r>
        <w:rPr>
          <w:b/>
          <w:sz w:val="24"/>
          <w:szCs w:val="24"/>
        </w:rPr>
        <w:lastRenderedPageBreak/>
        <w:t>Background</w:t>
      </w:r>
    </w:p>
    <w:p w:rsidR="00091850" w:rsidRPr="00117A80" w:rsidRDefault="00406BA5" w:rsidP="00872496">
      <w:pPr>
        <w:rPr>
          <w:sz w:val="20"/>
          <w:szCs w:val="20"/>
        </w:rPr>
      </w:pPr>
      <w:r>
        <w:rPr>
          <w:sz w:val="20"/>
          <w:szCs w:val="20"/>
        </w:rPr>
        <w:t xml:space="preserve">As part of </w:t>
      </w:r>
      <w:r w:rsidR="00091850" w:rsidRPr="00117A80">
        <w:rPr>
          <w:sz w:val="20"/>
          <w:szCs w:val="20"/>
        </w:rPr>
        <w:t>the 2016-17 Federal Budget</w:t>
      </w:r>
      <w:r w:rsidR="00506C56" w:rsidRPr="00117A80">
        <w:rPr>
          <w:sz w:val="20"/>
          <w:szCs w:val="20"/>
        </w:rPr>
        <w:t xml:space="preserve">, </w:t>
      </w:r>
      <w:r w:rsidR="00A75DD4">
        <w:rPr>
          <w:sz w:val="20"/>
          <w:szCs w:val="20"/>
        </w:rPr>
        <w:t xml:space="preserve">the Turnbull </w:t>
      </w:r>
      <w:r w:rsidR="00D74116">
        <w:rPr>
          <w:sz w:val="20"/>
          <w:szCs w:val="20"/>
        </w:rPr>
        <w:t>Government</w:t>
      </w:r>
      <w:r w:rsidR="00B3747C">
        <w:rPr>
          <w:sz w:val="20"/>
          <w:szCs w:val="20"/>
        </w:rPr>
        <w:t xml:space="preserve"> announced that it was</w:t>
      </w:r>
      <w:r w:rsidR="006C65E8">
        <w:rPr>
          <w:sz w:val="20"/>
          <w:szCs w:val="20"/>
        </w:rPr>
        <w:t>:</w:t>
      </w:r>
    </w:p>
    <w:p w:rsidR="00126BC5" w:rsidRPr="00117A80" w:rsidRDefault="00B3747C" w:rsidP="00872496">
      <w:pPr>
        <w:pStyle w:val="ListParagraph"/>
        <w:numPr>
          <w:ilvl w:val="0"/>
          <w:numId w:val="2"/>
        </w:numPr>
        <w:rPr>
          <w:sz w:val="20"/>
          <w:szCs w:val="20"/>
        </w:rPr>
      </w:pPr>
      <w:r>
        <w:rPr>
          <w:sz w:val="20"/>
          <w:szCs w:val="20"/>
        </w:rPr>
        <w:t>abandoning</w:t>
      </w:r>
      <w:r w:rsidR="00091850" w:rsidRPr="00117A80">
        <w:rPr>
          <w:sz w:val="20"/>
          <w:szCs w:val="20"/>
        </w:rPr>
        <w:t xml:space="preserve"> plans to “fully” deregulate </w:t>
      </w:r>
      <w:r w:rsidR="007A44AE" w:rsidRPr="00117A80">
        <w:rPr>
          <w:sz w:val="20"/>
          <w:szCs w:val="20"/>
        </w:rPr>
        <w:t>university fees</w:t>
      </w:r>
      <w:r w:rsidR="00A75DD4">
        <w:rPr>
          <w:sz w:val="20"/>
          <w:szCs w:val="20"/>
        </w:rPr>
        <w:t>;</w:t>
      </w:r>
      <w:r w:rsidR="00126BC5" w:rsidRPr="00117A80">
        <w:rPr>
          <w:sz w:val="20"/>
          <w:szCs w:val="20"/>
        </w:rPr>
        <w:t xml:space="preserve"> and </w:t>
      </w:r>
    </w:p>
    <w:p w:rsidR="00091850" w:rsidRPr="00117A80" w:rsidRDefault="00B3747C" w:rsidP="00872496">
      <w:pPr>
        <w:pStyle w:val="ListParagraph"/>
        <w:numPr>
          <w:ilvl w:val="0"/>
          <w:numId w:val="2"/>
        </w:numPr>
        <w:rPr>
          <w:sz w:val="20"/>
          <w:szCs w:val="20"/>
        </w:rPr>
      </w:pPr>
      <w:r>
        <w:rPr>
          <w:sz w:val="20"/>
          <w:szCs w:val="20"/>
        </w:rPr>
        <w:t>delaying the implementation of their higher education policy package</w:t>
      </w:r>
      <w:r w:rsidR="007A44AE" w:rsidRPr="00117A80">
        <w:rPr>
          <w:sz w:val="20"/>
          <w:szCs w:val="20"/>
        </w:rPr>
        <w:t xml:space="preserve"> by yet another year </w:t>
      </w:r>
      <w:r w:rsidR="00506C56" w:rsidRPr="00117A80">
        <w:rPr>
          <w:sz w:val="20"/>
          <w:szCs w:val="20"/>
        </w:rPr>
        <w:t xml:space="preserve">to allow for </w:t>
      </w:r>
      <w:r w:rsidR="007A44AE" w:rsidRPr="00117A80">
        <w:rPr>
          <w:sz w:val="20"/>
          <w:szCs w:val="20"/>
        </w:rPr>
        <w:t>further consultation.</w:t>
      </w:r>
    </w:p>
    <w:p w:rsidR="00B3747C" w:rsidRDefault="00B3747C" w:rsidP="00872496">
      <w:pPr>
        <w:rPr>
          <w:sz w:val="20"/>
          <w:szCs w:val="20"/>
        </w:rPr>
      </w:pPr>
      <w:r>
        <w:rPr>
          <w:sz w:val="20"/>
          <w:szCs w:val="20"/>
        </w:rPr>
        <w:t>T</w:t>
      </w:r>
      <w:r w:rsidR="007A44AE" w:rsidRPr="00117A80">
        <w:rPr>
          <w:sz w:val="20"/>
          <w:szCs w:val="20"/>
        </w:rPr>
        <w:t>o facilitate further consultation</w:t>
      </w:r>
      <w:r w:rsidR="00117A80" w:rsidRPr="00117A80">
        <w:rPr>
          <w:sz w:val="20"/>
          <w:szCs w:val="20"/>
        </w:rPr>
        <w:t>,</w:t>
      </w:r>
      <w:r w:rsidR="007A44AE" w:rsidRPr="00117A80">
        <w:rPr>
          <w:sz w:val="20"/>
          <w:szCs w:val="20"/>
        </w:rPr>
        <w:t xml:space="preserve"> the </w:t>
      </w:r>
      <w:r w:rsidR="00D41AAA" w:rsidRPr="00117A80">
        <w:rPr>
          <w:sz w:val="20"/>
          <w:szCs w:val="20"/>
        </w:rPr>
        <w:t xml:space="preserve">Minister for Education and Training, Senator Simon Birmingham, </w:t>
      </w:r>
      <w:r w:rsidR="007A44AE" w:rsidRPr="00117A80">
        <w:rPr>
          <w:sz w:val="20"/>
          <w:szCs w:val="20"/>
        </w:rPr>
        <w:t xml:space="preserve">released a discussion paper entitled, </w:t>
      </w:r>
      <w:r w:rsidR="007A44AE" w:rsidRPr="00117A80">
        <w:rPr>
          <w:i/>
          <w:sz w:val="20"/>
          <w:szCs w:val="20"/>
        </w:rPr>
        <w:t>Driving Innovation, Fairness and Excellence in Higher Education</w:t>
      </w:r>
      <w:r w:rsidR="00794929">
        <w:rPr>
          <w:sz w:val="20"/>
          <w:szCs w:val="20"/>
        </w:rPr>
        <w:t>.  The discussion paper proposed</w:t>
      </w:r>
      <w:r w:rsidR="007A44AE" w:rsidRPr="00117A80">
        <w:rPr>
          <w:sz w:val="20"/>
          <w:szCs w:val="20"/>
        </w:rPr>
        <w:t xml:space="preserve"> </w:t>
      </w:r>
      <w:r w:rsidR="00126BC5" w:rsidRPr="00117A80">
        <w:rPr>
          <w:sz w:val="20"/>
          <w:szCs w:val="20"/>
        </w:rPr>
        <w:t xml:space="preserve">a series of </w:t>
      </w:r>
      <w:r w:rsidR="007A44AE" w:rsidRPr="00117A80">
        <w:rPr>
          <w:sz w:val="20"/>
          <w:szCs w:val="20"/>
        </w:rPr>
        <w:t>policy options</w:t>
      </w:r>
      <w:r w:rsidR="00794929">
        <w:rPr>
          <w:sz w:val="20"/>
          <w:szCs w:val="20"/>
        </w:rPr>
        <w:t xml:space="preserve"> on</w:t>
      </w:r>
      <w:r w:rsidR="00117A80" w:rsidRPr="00117A80">
        <w:rPr>
          <w:sz w:val="20"/>
          <w:szCs w:val="20"/>
        </w:rPr>
        <w:t xml:space="preserve"> speci</w:t>
      </w:r>
      <w:r w:rsidR="00A75DD4">
        <w:rPr>
          <w:sz w:val="20"/>
          <w:szCs w:val="20"/>
        </w:rPr>
        <w:t>fic policy issues</w:t>
      </w:r>
      <w:r w:rsidR="00824592">
        <w:rPr>
          <w:sz w:val="20"/>
          <w:szCs w:val="20"/>
        </w:rPr>
        <w:t>,</w:t>
      </w:r>
      <w:r w:rsidR="00A75DD4">
        <w:rPr>
          <w:sz w:val="20"/>
          <w:szCs w:val="20"/>
        </w:rPr>
        <w:t xml:space="preserve"> including:</w:t>
      </w:r>
    </w:p>
    <w:p w:rsidR="00B3747C" w:rsidRPr="00FD1D96" w:rsidRDefault="007A44AE" w:rsidP="00FD1D96">
      <w:pPr>
        <w:pStyle w:val="ListParagraph"/>
        <w:numPr>
          <w:ilvl w:val="0"/>
          <w:numId w:val="14"/>
        </w:numPr>
        <w:rPr>
          <w:sz w:val="20"/>
          <w:szCs w:val="20"/>
        </w:rPr>
      </w:pPr>
      <w:r w:rsidRPr="00FD1D96">
        <w:rPr>
          <w:sz w:val="20"/>
          <w:szCs w:val="20"/>
        </w:rPr>
        <w:t>the coverage of the demand driven system</w:t>
      </w:r>
      <w:r w:rsidR="00117A80" w:rsidRPr="00FD1D96">
        <w:rPr>
          <w:sz w:val="20"/>
          <w:szCs w:val="20"/>
        </w:rPr>
        <w:t>;</w:t>
      </w:r>
      <w:r w:rsidRPr="00FD1D96">
        <w:rPr>
          <w:sz w:val="20"/>
          <w:szCs w:val="20"/>
        </w:rPr>
        <w:t xml:space="preserve"> </w:t>
      </w:r>
    </w:p>
    <w:p w:rsidR="00B3747C" w:rsidRPr="00FD1D96" w:rsidRDefault="007A44AE" w:rsidP="00FD1D96">
      <w:pPr>
        <w:pStyle w:val="ListParagraph"/>
        <w:numPr>
          <w:ilvl w:val="0"/>
          <w:numId w:val="14"/>
        </w:numPr>
        <w:rPr>
          <w:sz w:val="20"/>
          <w:szCs w:val="20"/>
        </w:rPr>
      </w:pPr>
      <w:r w:rsidRPr="00FD1D96">
        <w:rPr>
          <w:sz w:val="20"/>
          <w:szCs w:val="20"/>
        </w:rPr>
        <w:t>equity support and funding</w:t>
      </w:r>
      <w:r w:rsidR="00117A80" w:rsidRPr="00FD1D96">
        <w:rPr>
          <w:sz w:val="20"/>
          <w:szCs w:val="20"/>
        </w:rPr>
        <w:t>;</w:t>
      </w:r>
      <w:r w:rsidR="0008202C" w:rsidRPr="00FD1D96">
        <w:rPr>
          <w:sz w:val="20"/>
          <w:szCs w:val="20"/>
        </w:rPr>
        <w:t xml:space="preserve"> </w:t>
      </w:r>
    </w:p>
    <w:p w:rsidR="00B3747C" w:rsidRPr="00FD1D96" w:rsidRDefault="000A19EA" w:rsidP="00FD1D96">
      <w:pPr>
        <w:pStyle w:val="ListParagraph"/>
        <w:numPr>
          <w:ilvl w:val="0"/>
          <w:numId w:val="14"/>
        </w:numPr>
        <w:rPr>
          <w:sz w:val="20"/>
          <w:szCs w:val="20"/>
        </w:rPr>
      </w:pPr>
      <w:r w:rsidRPr="00FD1D96">
        <w:rPr>
          <w:sz w:val="20"/>
          <w:szCs w:val="20"/>
        </w:rPr>
        <w:t xml:space="preserve">the provision of higher </w:t>
      </w:r>
      <w:r w:rsidR="00317344" w:rsidRPr="00FD1D96">
        <w:rPr>
          <w:sz w:val="20"/>
          <w:szCs w:val="20"/>
        </w:rPr>
        <w:t>education for</w:t>
      </w:r>
      <w:r w:rsidRPr="00FD1D96">
        <w:rPr>
          <w:sz w:val="20"/>
          <w:szCs w:val="20"/>
        </w:rPr>
        <w:t xml:space="preserve"> regional Australia</w:t>
      </w:r>
      <w:r w:rsidR="00117A80" w:rsidRPr="00FD1D96">
        <w:rPr>
          <w:sz w:val="20"/>
          <w:szCs w:val="20"/>
        </w:rPr>
        <w:t>;</w:t>
      </w:r>
      <w:r w:rsidR="0008202C" w:rsidRPr="00FD1D96">
        <w:rPr>
          <w:sz w:val="20"/>
          <w:szCs w:val="20"/>
        </w:rPr>
        <w:t xml:space="preserve"> </w:t>
      </w:r>
    </w:p>
    <w:p w:rsidR="00B3747C" w:rsidRPr="00FD1D96" w:rsidRDefault="000A19EA" w:rsidP="00FD1D96">
      <w:pPr>
        <w:pStyle w:val="ListParagraph"/>
        <w:numPr>
          <w:ilvl w:val="0"/>
          <w:numId w:val="14"/>
        </w:numPr>
        <w:rPr>
          <w:sz w:val="20"/>
          <w:szCs w:val="20"/>
        </w:rPr>
      </w:pPr>
      <w:r w:rsidRPr="00FD1D96">
        <w:rPr>
          <w:sz w:val="20"/>
          <w:szCs w:val="20"/>
        </w:rPr>
        <w:t>partial fee deregulation</w:t>
      </w:r>
      <w:r w:rsidR="00117A80" w:rsidRPr="00FD1D96">
        <w:rPr>
          <w:sz w:val="20"/>
          <w:szCs w:val="20"/>
        </w:rPr>
        <w:t>;</w:t>
      </w:r>
      <w:r w:rsidR="00F51788" w:rsidRPr="00FD1D96">
        <w:rPr>
          <w:sz w:val="20"/>
          <w:szCs w:val="20"/>
        </w:rPr>
        <w:t xml:space="preserve"> </w:t>
      </w:r>
    </w:p>
    <w:p w:rsidR="00B3747C" w:rsidRPr="00FD1D96" w:rsidRDefault="00641095" w:rsidP="00FD1D96">
      <w:pPr>
        <w:pStyle w:val="ListParagraph"/>
        <w:numPr>
          <w:ilvl w:val="0"/>
          <w:numId w:val="14"/>
        </w:numPr>
        <w:rPr>
          <w:sz w:val="20"/>
          <w:szCs w:val="20"/>
        </w:rPr>
      </w:pPr>
      <w:r>
        <w:rPr>
          <w:sz w:val="20"/>
          <w:szCs w:val="20"/>
        </w:rPr>
        <w:t>g</w:t>
      </w:r>
      <w:r w:rsidR="00D74116">
        <w:rPr>
          <w:sz w:val="20"/>
          <w:szCs w:val="20"/>
        </w:rPr>
        <w:t>overnment</w:t>
      </w:r>
      <w:r w:rsidR="00F51788" w:rsidRPr="00FD1D96">
        <w:rPr>
          <w:sz w:val="20"/>
          <w:szCs w:val="20"/>
        </w:rPr>
        <w:t xml:space="preserve"> and </w:t>
      </w:r>
      <w:r w:rsidR="000A19EA" w:rsidRPr="00FD1D96">
        <w:rPr>
          <w:sz w:val="20"/>
          <w:szCs w:val="20"/>
        </w:rPr>
        <w:t>student contribution amounts</w:t>
      </w:r>
      <w:r w:rsidR="00117A80" w:rsidRPr="00FD1D96">
        <w:rPr>
          <w:sz w:val="20"/>
          <w:szCs w:val="20"/>
        </w:rPr>
        <w:t>;</w:t>
      </w:r>
      <w:r w:rsidR="00F51788" w:rsidRPr="00FD1D96">
        <w:rPr>
          <w:sz w:val="20"/>
          <w:szCs w:val="20"/>
        </w:rPr>
        <w:t xml:space="preserve"> and </w:t>
      </w:r>
    </w:p>
    <w:p w:rsidR="000A19EA" w:rsidRPr="00FD1D96" w:rsidRDefault="00F51788" w:rsidP="00FD1D96">
      <w:pPr>
        <w:pStyle w:val="ListParagraph"/>
        <w:numPr>
          <w:ilvl w:val="0"/>
          <w:numId w:val="14"/>
        </w:numPr>
        <w:rPr>
          <w:sz w:val="20"/>
          <w:szCs w:val="20"/>
        </w:rPr>
      </w:pPr>
      <w:r w:rsidRPr="00FD1D96">
        <w:rPr>
          <w:sz w:val="20"/>
          <w:szCs w:val="20"/>
        </w:rPr>
        <w:t>r</w:t>
      </w:r>
      <w:r w:rsidR="000A19EA" w:rsidRPr="00FD1D96">
        <w:rPr>
          <w:sz w:val="20"/>
          <w:szCs w:val="20"/>
        </w:rPr>
        <w:t xml:space="preserve">eining in the costs of </w:t>
      </w:r>
      <w:r w:rsidR="00D41AAA" w:rsidRPr="00FD1D96">
        <w:rPr>
          <w:sz w:val="20"/>
          <w:szCs w:val="20"/>
        </w:rPr>
        <w:t>the Higher Education Loans Programme (</w:t>
      </w:r>
      <w:r w:rsidR="000A19EA" w:rsidRPr="00FD1D96">
        <w:rPr>
          <w:sz w:val="20"/>
          <w:szCs w:val="20"/>
        </w:rPr>
        <w:t>HELP</w:t>
      </w:r>
      <w:r w:rsidR="00D41AAA" w:rsidRPr="00FD1D96">
        <w:rPr>
          <w:sz w:val="20"/>
          <w:szCs w:val="20"/>
        </w:rPr>
        <w:t>)</w:t>
      </w:r>
      <w:r w:rsidR="000A19EA" w:rsidRPr="00FD1D96">
        <w:rPr>
          <w:sz w:val="20"/>
          <w:szCs w:val="20"/>
        </w:rPr>
        <w:t>.</w:t>
      </w:r>
    </w:p>
    <w:p w:rsidR="00CD76C8" w:rsidRPr="00117A80" w:rsidRDefault="00D41AAA" w:rsidP="00872496">
      <w:pPr>
        <w:rPr>
          <w:sz w:val="20"/>
          <w:szCs w:val="20"/>
        </w:rPr>
      </w:pPr>
      <w:r w:rsidRPr="00117A80">
        <w:rPr>
          <w:sz w:val="20"/>
          <w:szCs w:val="20"/>
        </w:rPr>
        <w:t>Cr</w:t>
      </w:r>
      <w:r w:rsidR="00117A80" w:rsidRPr="00117A80">
        <w:rPr>
          <w:sz w:val="20"/>
          <w:szCs w:val="20"/>
        </w:rPr>
        <w:t>ucially</w:t>
      </w:r>
      <w:r w:rsidR="00A75DD4">
        <w:rPr>
          <w:sz w:val="20"/>
          <w:szCs w:val="20"/>
        </w:rPr>
        <w:t xml:space="preserve">, </w:t>
      </w:r>
      <w:r w:rsidR="00117A80" w:rsidRPr="00117A80">
        <w:rPr>
          <w:sz w:val="20"/>
          <w:szCs w:val="20"/>
        </w:rPr>
        <w:t>however</w:t>
      </w:r>
      <w:r w:rsidRPr="00117A80">
        <w:rPr>
          <w:sz w:val="20"/>
          <w:szCs w:val="20"/>
        </w:rPr>
        <w:t>, a</w:t>
      </w:r>
      <w:r w:rsidR="000A19EA" w:rsidRPr="00117A80">
        <w:rPr>
          <w:sz w:val="20"/>
          <w:szCs w:val="20"/>
        </w:rPr>
        <w:t xml:space="preserve">ll </w:t>
      </w:r>
      <w:r w:rsidR="00126BC5" w:rsidRPr="00117A80">
        <w:rPr>
          <w:sz w:val="20"/>
          <w:szCs w:val="20"/>
        </w:rPr>
        <w:t xml:space="preserve">of the policy </w:t>
      </w:r>
      <w:r w:rsidR="000A19EA" w:rsidRPr="00117A80">
        <w:rPr>
          <w:sz w:val="20"/>
          <w:szCs w:val="20"/>
        </w:rPr>
        <w:t xml:space="preserve">options </w:t>
      </w:r>
      <w:r w:rsidRPr="00117A80">
        <w:rPr>
          <w:sz w:val="20"/>
          <w:szCs w:val="20"/>
        </w:rPr>
        <w:t xml:space="preserve">are </w:t>
      </w:r>
      <w:r w:rsidR="00091850" w:rsidRPr="00117A80">
        <w:rPr>
          <w:i/>
          <w:sz w:val="20"/>
          <w:szCs w:val="20"/>
        </w:rPr>
        <w:t>“subject to the financial sustainability savings outlined in the budget”</w:t>
      </w:r>
      <w:r w:rsidR="000A19EA" w:rsidRPr="00117A80">
        <w:rPr>
          <w:i/>
          <w:sz w:val="20"/>
          <w:szCs w:val="20"/>
        </w:rPr>
        <w:t>.</w:t>
      </w:r>
      <w:r w:rsidR="000A19EA" w:rsidRPr="00117A80">
        <w:rPr>
          <w:sz w:val="20"/>
          <w:szCs w:val="20"/>
        </w:rPr>
        <w:t xml:space="preserve">  </w:t>
      </w:r>
      <w:r w:rsidR="00B3747C">
        <w:rPr>
          <w:sz w:val="20"/>
          <w:szCs w:val="20"/>
        </w:rPr>
        <w:t xml:space="preserve">NTEU </w:t>
      </w:r>
      <w:r w:rsidR="00117A80" w:rsidRPr="00117A80">
        <w:rPr>
          <w:sz w:val="20"/>
          <w:szCs w:val="20"/>
        </w:rPr>
        <w:t>understand</w:t>
      </w:r>
      <w:r w:rsidR="00B3747C">
        <w:rPr>
          <w:sz w:val="20"/>
          <w:szCs w:val="20"/>
        </w:rPr>
        <w:t>s that</w:t>
      </w:r>
      <w:r w:rsidR="00117A80" w:rsidRPr="00117A80">
        <w:rPr>
          <w:sz w:val="20"/>
          <w:szCs w:val="20"/>
        </w:rPr>
        <w:t xml:space="preserve"> t</w:t>
      </w:r>
      <w:r w:rsidR="000A19EA" w:rsidRPr="00117A80">
        <w:rPr>
          <w:sz w:val="20"/>
          <w:szCs w:val="20"/>
        </w:rPr>
        <w:t xml:space="preserve">he </w:t>
      </w:r>
      <w:r w:rsidR="00117A80" w:rsidRPr="00117A80">
        <w:rPr>
          <w:sz w:val="20"/>
          <w:szCs w:val="20"/>
        </w:rPr>
        <w:t>su</w:t>
      </w:r>
      <w:r w:rsidR="000A19EA" w:rsidRPr="00117A80">
        <w:rPr>
          <w:sz w:val="20"/>
          <w:szCs w:val="20"/>
        </w:rPr>
        <w:t>stainab</w:t>
      </w:r>
      <w:r w:rsidR="00B3747C">
        <w:rPr>
          <w:sz w:val="20"/>
          <w:szCs w:val="20"/>
        </w:rPr>
        <w:t xml:space="preserve">ility measures outlined in the </w:t>
      </w:r>
      <w:r w:rsidR="00A75DD4">
        <w:rPr>
          <w:sz w:val="20"/>
          <w:szCs w:val="20"/>
        </w:rPr>
        <w:t>F</w:t>
      </w:r>
      <w:r w:rsidR="00B3747C">
        <w:rPr>
          <w:sz w:val="20"/>
          <w:szCs w:val="20"/>
        </w:rPr>
        <w:t xml:space="preserve">ederal </w:t>
      </w:r>
      <w:r w:rsidR="00A75DD4">
        <w:rPr>
          <w:sz w:val="20"/>
          <w:szCs w:val="20"/>
        </w:rPr>
        <w:t>B</w:t>
      </w:r>
      <w:r w:rsidR="000A19EA" w:rsidRPr="00117A80">
        <w:rPr>
          <w:sz w:val="20"/>
          <w:szCs w:val="20"/>
        </w:rPr>
        <w:t xml:space="preserve">udget equate to </w:t>
      </w:r>
      <w:r w:rsidR="00824592">
        <w:rPr>
          <w:sz w:val="20"/>
          <w:szCs w:val="20"/>
        </w:rPr>
        <w:t>a total saving</w:t>
      </w:r>
      <w:r w:rsidR="000A19EA" w:rsidRPr="00117A80">
        <w:rPr>
          <w:sz w:val="20"/>
          <w:szCs w:val="20"/>
        </w:rPr>
        <w:t xml:space="preserve"> of $</w:t>
      </w:r>
      <w:r w:rsidRPr="00117A80">
        <w:rPr>
          <w:sz w:val="20"/>
          <w:szCs w:val="20"/>
        </w:rPr>
        <w:t>2</w:t>
      </w:r>
      <w:r w:rsidR="000A19EA" w:rsidRPr="00117A80">
        <w:rPr>
          <w:sz w:val="20"/>
          <w:szCs w:val="20"/>
        </w:rPr>
        <w:t>.5billion</w:t>
      </w:r>
      <w:r w:rsidR="00117A80" w:rsidRPr="00117A80">
        <w:rPr>
          <w:sz w:val="20"/>
          <w:szCs w:val="20"/>
        </w:rPr>
        <w:t xml:space="preserve"> in cash balance terms </w:t>
      </w:r>
      <w:r w:rsidR="000A19EA" w:rsidRPr="00117A80">
        <w:rPr>
          <w:sz w:val="20"/>
          <w:szCs w:val="20"/>
        </w:rPr>
        <w:t xml:space="preserve">over the </w:t>
      </w:r>
      <w:r w:rsidR="00725972" w:rsidRPr="00117A80">
        <w:rPr>
          <w:sz w:val="20"/>
          <w:szCs w:val="20"/>
        </w:rPr>
        <w:t>next four years</w:t>
      </w:r>
      <w:r w:rsidR="000A19EA" w:rsidRPr="00117A80">
        <w:rPr>
          <w:sz w:val="20"/>
          <w:szCs w:val="20"/>
        </w:rPr>
        <w:t>.</w:t>
      </w:r>
    </w:p>
    <w:p w:rsidR="00F54E66" w:rsidRPr="00117A80" w:rsidRDefault="00126BC5" w:rsidP="00872496">
      <w:pPr>
        <w:rPr>
          <w:sz w:val="20"/>
          <w:szCs w:val="20"/>
        </w:rPr>
      </w:pPr>
      <w:r w:rsidRPr="00117A80">
        <w:rPr>
          <w:sz w:val="20"/>
          <w:szCs w:val="20"/>
        </w:rPr>
        <w:t>T</w:t>
      </w:r>
      <w:r w:rsidR="00F51788" w:rsidRPr="00117A80">
        <w:rPr>
          <w:sz w:val="20"/>
          <w:szCs w:val="20"/>
        </w:rPr>
        <w:t xml:space="preserve">he NTEU’s </w:t>
      </w:r>
      <w:r w:rsidR="00B3747C">
        <w:rPr>
          <w:sz w:val="20"/>
          <w:szCs w:val="20"/>
        </w:rPr>
        <w:t xml:space="preserve">immediate </w:t>
      </w:r>
      <w:r w:rsidRPr="00117A80">
        <w:rPr>
          <w:sz w:val="20"/>
          <w:szCs w:val="20"/>
        </w:rPr>
        <w:t xml:space="preserve">response to </w:t>
      </w:r>
      <w:r w:rsidR="00B3747C">
        <w:rPr>
          <w:sz w:val="20"/>
          <w:szCs w:val="20"/>
        </w:rPr>
        <w:t xml:space="preserve">the </w:t>
      </w:r>
      <w:r w:rsidR="00D74116">
        <w:rPr>
          <w:sz w:val="20"/>
          <w:szCs w:val="20"/>
        </w:rPr>
        <w:t>Government</w:t>
      </w:r>
      <w:r w:rsidR="00F51788" w:rsidRPr="00117A80">
        <w:rPr>
          <w:sz w:val="20"/>
          <w:szCs w:val="20"/>
        </w:rPr>
        <w:t xml:space="preserve">’s budget announcements </w:t>
      </w:r>
      <w:r w:rsidR="00F54E66" w:rsidRPr="00117A80">
        <w:rPr>
          <w:sz w:val="20"/>
          <w:szCs w:val="20"/>
        </w:rPr>
        <w:t xml:space="preserve">and the </w:t>
      </w:r>
      <w:r w:rsidRPr="00117A80">
        <w:rPr>
          <w:sz w:val="20"/>
          <w:szCs w:val="20"/>
        </w:rPr>
        <w:t xml:space="preserve">release of the </w:t>
      </w:r>
      <w:r w:rsidR="00F54E66" w:rsidRPr="00117A80">
        <w:rPr>
          <w:i/>
          <w:sz w:val="20"/>
          <w:szCs w:val="20"/>
        </w:rPr>
        <w:t>Driving Innovation</w:t>
      </w:r>
      <w:r w:rsidR="00F54E66" w:rsidRPr="00117A80">
        <w:rPr>
          <w:sz w:val="20"/>
          <w:szCs w:val="20"/>
        </w:rPr>
        <w:t xml:space="preserve"> </w:t>
      </w:r>
      <w:r w:rsidR="00B3747C">
        <w:rPr>
          <w:sz w:val="20"/>
          <w:szCs w:val="20"/>
        </w:rPr>
        <w:t>paper wa</w:t>
      </w:r>
      <w:r w:rsidR="00117A80" w:rsidRPr="00117A80">
        <w:rPr>
          <w:sz w:val="20"/>
          <w:szCs w:val="20"/>
        </w:rPr>
        <w:t xml:space="preserve">s that they </w:t>
      </w:r>
      <w:r w:rsidRPr="00117A80">
        <w:rPr>
          <w:sz w:val="20"/>
          <w:szCs w:val="20"/>
        </w:rPr>
        <w:t>amount</w:t>
      </w:r>
      <w:r w:rsidR="00B3747C">
        <w:rPr>
          <w:sz w:val="20"/>
          <w:szCs w:val="20"/>
        </w:rPr>
        <w:t>ed</w:t>
      </w:r>
      <w:r w:rsidR="00117A80" w:rsidRPr="00117A80">
        <w:rPr>
          <w:sz w:val="20"/>
          <w:szCs w:val="20"/>
        </w:rPr>
        <w:t xml:space="preserve"> </w:t>
      </w:r>
      <w:r w:rsidRPr="00117A80">
        <w:rPr>
          <w:sz w:val="20"/>
          <w:szCs w:val="20"/>
        </w:rPr>
        <w:t xml:space="preserve">to little </w:t>
      </w:r>
      <w:r w:rsidR="00F51788" w:rsidRPr="00117A80">
        <w:rPr>
          <w:sz w:val="20"/>
          <w:szCs w:val="20"/>
        </w:rPr>
        <w:t xml:space="preserve">more </w:t>
      </w:r>
      <w:r w:rsidR="00B3747C">
        <w:rPr>
          <w:sz w:val="20"/>
          <w:szCs w:val="20"/>
        </w:rPr>
        <w:t xml:space="preserve">than </w:t>
      </w:r>
      <w:r w:rsidRPr="00117A80">
        <w:rPr>
          <w:sz w:val="20"/>
          <w:szCs w:val="20"/>
        </w:rPr>
        <w:t xml:space="preserve">an overtly </w:t>
      </w:r>
      <w:r w:rsidR="00CD76C8" w:rsidRPr="00117A80">
        <w:rPr>
          <w:sz w:val="20"/>
          <w:szCs w:val="20"/>
        </w:rPr>
        <w:t>political manoeuvr</w:t>
      </w:r>
      <w:r w:rsidRPr="00117A80">
        <w:rPr>
          <w:sz w:val="20"/>
          <w:szCs w:val="20"/>
        </w:rPr>
        <w:t>e</w:t>
      </w:r>
      <w:r w:rsidR="00824592">
        <w:rPr>
          <w:sz w:val="20"/>
          <w:szCs w:val="20"/>
        </w:rPr>
        <w:t>, primarily</w:t>
      </w:r>
      <w:r w:rsidR="00F54E66" w:rsidRPr="00117A80">
        <w:rPr>
          <w:sz w:val="20"/>
          <w:szCs w:val="20"/>
        </w:rPr>
        <w:t xml:space="preserve"> </w:t>
      </w:r>
      <w:r w:rsidR="00B3747C">
        <w:rPr>
          <w:sz w:val="20"/>
          <w:szCs w:val="20"/>
        </w:rPr>
        <w:t xml:space="preserve">designed </w:t>
      </w:r>
      <w:r w:rsidRPr="00117A80">
        <w:rPr>
          <w:sz w:val="20"/>
          <w:szCs w:val="20"/>
        </w:rPr>
        <w:t>to r</w:t>
      </w:r>
      <w:r w:rsidR="00CD76C8" w:rsidRPr="00117A80">
        <w:rPr>
          <w:sz w:val="20"/>
          <w:szCs w:val="20"/>
        </w:rPr>
        <w:t>emov</w:t>
      </w:r>
      <w:r w:rsidRPr="00117A80">
        <w:rPr>
          <w:sz w:val="20"/>
          <w:szCs w:val="20"/>
        </w:rPr>
        <w:t>e</w:t>
      </w:r>
      <w:r w:rsidR="00F54E66" w:rsidRPr="00117A80">
        <w:rPr>
          <w:sz w:val="20"/>
          <w:szCs w:val="20"/>
        </w:rPr>
        <w:t xml:space="preserve"> </w:t>
      </w:r>
      <w:r w:rsidR="008F5459">
        <w:rPr>
          <w:sz w:val="20"/>
          <w:szCs w:val="20"/>
        </w:rPr>
        <w:t xml:space="preserve">criticism of </w:t>
      </w:r>
      <w:r w:rsidR="00117A80" w:rsidRPr="00117A80">
        <w:rPr>
          <w:sz w:val="20"/>
          <w:szCs w:val="20"/>
        </w:rPr>
        <w:t xml:space="preserve">the </w:t>
      </w:r>
      <w:r w:rsidR="00B3747C">
        <w:rPr>
          <w:sz w:val="20"/>
          <w:szCs w:val="20"/>
        </w:rPr>
        <w:t>Coalition’s</w:t>
      </w:r>
      <w:r w:rsidR="00117A80" w:rsidRPr="00117A80">
        <w:rPr>
          <w:sz w:val="20"/>
          <w:szCs w:val="20"/>
        </w:rPr>
        <w:t xml:space="preserve"> plans to deregulate </w:t>
      </w:r>
      <w:r w:rsidR="00B3747C">
        <w:rPr>
          <w:sz w:val="20"/>
          <w:szCs w:val="20"/>
        </w:rPr>
        <w:t xml:space="preserve">fees and </w:t>
      </w:r>
      <w:r w:rsidR="008F5459">
        <w:rPr>
          <w:sz w:val="20"/>
          <w:szCs w:val="20"/>
        </w:rPr>
        <w:t>extract</w:t>
      </w:r>
      <w:r w:rsidR="00B3747C">
        <w:rPr>
          <w:sz w:val="20"/>
          <w:szCs w:val="20"/>
        </w:rPr>
        <w:t xml:space="preserve"> </w:t>
      </w:r>
      <w:r w:rsidR="00B3747C" w:rsidRPr="00117A80">
        <w:rPr>
          <w:sz w:val="20"/>
          <w:szCs w:val="20"/>
        </w:rPr>
        <w:t>higher education</w:t>
      </w:r>
      <w:r w:rsidR="00B3747C">
        <w:rPr>
          <w:sz w:val="20"/>
          <w:szCs w:val="20"/>
        </w:rPr>
        <w:t xml:space="preserve"> funding </w:t>
      </w:r>
      <w:r w:rsidR="00F51788" w:rsidRPr="00117A80">
        <w:rPr>
          <w:sz w:val="20"/>
          <w:szCs w:val="20"/>
        </w:rPr>
        <w:t xml:space="preserve">from </w:t>
      </w:r>
      <w:r w:rsidR="00CD76C8" w:rsidRPr="00117A80">
        <w:rPr>
          <w:sz w:val="20"/>
          <w:szCs w:val="20"/>
        </w:rPr>
        <w:t>the 2016 election</w:t>
      </w:r>
      <w:r w:rsidR="008F5459">
        <w:rPr>
          <w:sz w:val="20"/>
          <w:szCs w:val="20"/>
        </w:rPr>
        <w:t xml:space="preserve"> policy</w:t>
      </w:r>
      <w:r w:rsidR="00CD76C8" w:rsidRPr="00117A80">
        <w:rPr>
          <w:sz w:val="20"/>
          <w:szCs w:val="20"/>
        </w:rPr>
        <w:t xml:space="preserve"> debate</w:t>
      </w:r>
      <w:r w:rsidR="00F51788" w:rsidRPr="00117A80">
        <w:rPr>
          <w:sz w:val="20"/>
          <w:szCs w:val="20"/>
        </w:rPr>
        <w:t>.</w:t>
      </w:r>
      <w:r w:rsidR="00F54E66" w:rsidRPr="00117A80">
        <w:rPr>
          <w:sz w:val="20"/>
          <w:szCs w:val="20"/>
        </w:rPr>
        <w:t xml:space="preserve">  </w:t>
      </w:r>
      <w:r w:rsidRPr="00117A80">
        <w:rPr>
          <w:sz w:val="20"/>
          <w:szCs w:val="20"/>
        </w:rPr>
        <w:t xml:space="preserve"> </w:t>
      </w:r>
    </w:p>
    <w:p w:rsidR="00126BC5" w:rsidRPr="007753CD" w:rsidRDefault="009F0C93" w:rsidP="00872496">
      <w:pPr>
        <w:rPr>
          <w:b/>
        </w:rPr>
      </w:pPr>
      <w:r>
        <w:rPr>
          <w:b/>
        </w:rPr>
        <w:t xml:space="preserve">The </w:t>
      </w:r>
      <w:r w:rsidR="00D74116">
        <w:rPr>
          <w:b/>
        </w:rPr>
        <w:t>Government</w:t>
      </w:r>
      <w:r>
        <w:rPr>
          <w:b/>
        </w:rPr>
        <w:t>’s plan for higher e</w:t>
      </w:r>
      <w:r w:rsidR="00126BC5" w:rsidRPr="007753CD">
        <w:rPr>
          <w:b/>
        </w:rPr>
        <w:t xml:space="preserve">ducation </w:t>
      </w:r>
    </w:p>
    <w:p w:rsidR="00EF4B2D" w:rsidRPr="00117A80" w:rsidRDefault="00B3747C" w:rsidP="00872496">
      <w:pPr>
        <w:rPr>
          <w:sz w:val="20"/>
          <w:szCs w:val="20"/>
        </w:rPr>
      </w:pPr>
      <w:r>
        <w:rPr>
          <w:sz w:val="20"/>
          <w:szCs w:val="20"/>
        </w:rPr>
        <w:t xml:space="preserve">While the </w:t>
      </w:r>
      <w:r w:rsidR="00D74116">
        <w:rPr>
          <w:sz w:val="20"/>
          <w:szCs w:val="20"/>
        </w:rPr>
        <w:t>Government</w:t>
      </w:r>
      <w:r>
        <w:rPr>
          <w:sz w:val="20"/>
          <w:szCs w:val="20"/>
        </w:rPr>
        <w:t xml:space="preserve"> </w:t>
      </w:r>
      <w:r w:rsidR="00117A80" w:rsidRPr="00117A80">
        <w:rPr>
          <w:sz w:val="20"/>
          <w:szCs w:val="20"/>
        </w:rPr>
        <w:t xml:space="preserve">has indicated that </w:t>
      </w:r>
      <w:r>
        <w:rPr>
          <w:sz w:val="20"/>
          <w:szCs w:val="20"/>
        </w:rPr>
        <w:t>they are</w:t>
      </w:r>
      <w:r w:rsidR="00117A80" w:rsidRPr="00117A80">
        <w:rPr>
          <w:sz w:val="20"/>
          <w:szCs w:val="20"/>
        </w:rPr>
        <w:t xml:space="preserve"> p</w:t>
      </w:r>
      <w:r w:rsidR="00F54E66" w:rsidRPr="00117A80">
        <w:rPr>
          <w:sz w:val="20"/>
          <w:szCs w:val="20"/>
        </w:rPr>
        <w:t xml:space="preserve">repared to consider tinkering </w:t>
      </w:r>
      <w:r w:rsidR="00EF4B2D" w:rsidRPr="00117A80">
        <w:rPr>
          <w:sz w:val="20"/>
          <w:szCs w:val="20"/>
        </w:rPr>
        <w:t>w</w:t>
      </w:r>
      <w:r w:rsidR="00F54E66" w:rsidRPr="00117A80">
        <w:rPr>
          <w:sz w:val="20"/>
          <w:szCs w:val="20"/>
        </w:rPr>
        <w:t xml:space="preserve">ith details of </w:t>
      </w:r>
      <w:r w:rsidR="00EF4B2D" w:rsidRPr="00117A80">
        <w:rPr>
          <w:sz w:val="20"/>
          <w:szCs w:val="20"/>
        </w:rPr>
        <w:t>individual policies, the fundamental</w:t>
      </w:r>
      <w:r w:rsidR="00A75DD4">
        <w:rPr>
          <w:sz w:val="20"/>
          <w:szCs w:val="20"/>
        </w:rPr>
        <w:t xml:space="preserve"> goals </w:t>
      </w:r>
      <w:r w:rsidR="00EF4B2D" w:rsidRPr="00117A80">
        <w:rPr>
          <w:sz w:val="20"/>
          <w:szCs w:val="20"/>
        </w:rPr>
        <w:t>remain:</w:t>
      </w:r>
    </w:p>
    <w:p w:rsidR="00EF4B2D" w:rsidRPr="00117A80" w:rsidRDefault="00A75DD4" w:rsidP="00872496">
      <w:pPr>
        <w:pStyle w:val="ListParagraph"/>
        <w:numPr>
          <w:ilvl w:val="0"/>
          <w:numId w:val="4"/>
        </w:numPr>
        <w:rPr>
          <w:sz w:val="20"/>
          <w:szCs w:val="20"/>
        </w:rPr>
      </w:pPr>
      <w:r>
        <w:rPr>
          <w:sz w:val="20"/>
          <w:szCs w:val="20"/>
        </w:rPr>
        <w:t xml:space="preserve">to </w:t>
      </w:r>
      <w:r w:rsidR="00EF4B2D" w:rsidRPr="00117A80">
        <w:rPr>
          <w:sz w:val="20"/>
          <w:szCs w:val="20"/>
        </w:rPr>
        <w:t>cut public investment in higher education</w:t>
      </w:r>
      <w:r w:rsidR="00B3747C">
        <w:rPr>
          <w:sz w:val="20"/>
          <w:szCs w:val="20"/>
        </w:rPr>
        <w:t>;</w:t>
      </w:r>
    </w:p>
    <w:p w:rsidR="00EF4B2D" w:rsidRPr="00117A80" w:rsidRDefault="00A75DD4" w:rsidP="00872496">
      <w:pPr>
        <w:pStyle w:val="ListParagraph"/>
        <w:numPr>
          <w:ilvl w:val="0"/>
          <w:numId w:val="4"/>
        </w:numPr>
        <w:rPr>
          <w:sz w:val="20"/>
          <w:szCs w:val="20"/>
        </w:rPr>
      </w:pPr>
      <w:r>
        <w:rPr>
          <w:sz w:val="20"/>
          <w:szCs w:val="20"/>
        </w:rPr>
        <w:t xml:space="preserve">to </w:t>
      </w:r>
      <w:r w:rsidR="00B3747C">
        <w:rPr>
          <w:sz w:val="20"/>
          <w:szCs w:val="20"/>
        </w:rPr>
        <w:t>make students pay more;</w:t>
      </w:r>
      <w:r w:rsidR="00EF4B2D" w:rsidRPr="00117A80">
        <w:rPr>
          <w:sz w:val="20"/>
          <w:szCs w:val="20"/>
        </w:rPr>
        <w:t xml:space="preserve"> and</w:t>
      </w:r>
    </w:p>
    <w:p w:rsidR="00EF4B2D" w:rsidRPr="00117A80" w:rsidRDefault="00A75DD4" w:rsidP="00872496">
      <w:pPr>
        <w:pStyle w:val="ListParagraph"/>
        <w:numPr>
          <w:ilvl w:val="0"/>
          <w:numId w:val="4"/>
        </w:numPr>
        <w:rPr>
          <w:sz w:val="20"/>
          <w:szCs w:val="20"/>
        </w:rPr>
      </w:pPr>
      <w:r>
        <w:rPr>
          <w:sz w:val="20"/>
          <w:szCs w:val="20"/>
        </w:rPr>
        <w:t xml:space="preserve">to </w:t>
      </w:r>
      <w:r w:rsidR="00506C56" w:rsidRPr="00117A80">
        <w:rPr>
          <w:sz w:val="20"/>
          <w:szCs w:val="20"/>
        </w:rPr>
        <w:t xml:space="preserve">introduce a fully contestable market model into higher education by </w:t>
      </w:r>
      <w:r w:rsidR="00EF4B2D" w:rsidRPr="00117A80">
        <w:rPr>
          <w:sz w:val="20"/>
          <w:szCs w:val="20"/>
        </w:rPr>
        <w:t>allow</w:t>
      </w:r>
      <w:r w:rsidR="00B3747C">
        <w:rPr>
          <w:sz w:val="20"/>
          <w:szCs w:val="20"/>
        </w:rPr>
        <w:t>ing</w:t>
      </w:r>
      <w:r w:rsidR="00EF4B2D" w:rsidRPr="00117A80">
        <w:rPr>
          <w:sz w:val="20"/>
          <w:szCs w:val="20"/>
        </w:rPr>
        <w:t xml:space="preserve"> private for-profit p</w:t>
      </w:r>
      <w:r w:rsidR="00105E9B">
        <w:rPr>
          <w:sz w:val="20"/>
          <w:szCs w:val="20"/>
        </w:rPr>
        <w:t>roviders to access</w:t>
      </w:r>
      <w:r w:rsidR="0018598E">
        <w:rPr>
          <w:sz w:val="20"/>
          <w:szCs w:val="20"/>
        </w:rPr>
        <w:t xml:space="preserve"> Commonwealth Supported P</w:t>
      </w:r>
      <w:r w:rsidR="00EF4B2D" w:rsidRPr="00117A80">
        <w:rPr>
          <w:sz w:val="20"/>
          <w:szCs w:val="20"/>
        </w:rPr>
        <w:t>laces</w:t>
      </w:r>
      <w:r w:rsidR="001E59AC">
        <w:rPr>
          <w:sz w:val="20"/>
          <w:szCs w:val="20"/>
        </w:rPr>
        <w:t xml:space="preserve"> (CSPs)</w:t>
      </w:r>
      <w:r w:rsidR="00EF4B2D" w:rsidRPr="00117A80">
        <w:rPr>
          <w:sz w:val="20"/>
          <w:szCs w:val="20"/>
        </w:rPr>
        <w:t>.</w:t>
      </w:r>
    </w:p>
    <w:p w:rsidR="00EF4B2D" w:rsidRPr="00117A80" w:rsidRDefault="00EF4B2D" w:rsidP="00872496">
      <w:pPr>
        <w:rPr>
          <w:sz w:val="20"/>
          <w:szCs w:val="20"/>
        </w:rPr>
      </w:pPr>
      <w:r w:rsidRPr="00117A80">
        <w:rPr>
          <w:sz w:val="20"/>
          <w:szCs w:val="20"/>
        </w:rPr>
        <w:t>The NTEU remains fundamentally opposed to this plan because:</w:t>
      </w:r>
    </w:p>
    <w:p w:rsidR="00EF4B2D" w:rsidRPr="00117A80" w:rsidRDefault="00EF4B2D" w:rsidP="00872496">
      <w:pPr>
        <w:pStyle w:val="ListParagraph"/>
        <w:numPr>
          <w:ilvl w:val="0"/>
          <w:numId w:val="5"/>
        </w:numPr>
        <w:rPr>
          <w:sz w:val="20"/>
          <w:szCs w:val="20"/>
        </w:rPr>
      </w:pPr>
      <w:r w:rsidRPr="00117A80">
        <w:rPr>
          <w:sz w:val="20"/>
          <w:szCs w:val="20"/>
        </w:rPr>
        <w:t>Australia</w:t>
      </w:r>
      <w:r w:rsidR="00506C56" w:rsidRPr="00117A80">
        <w:rPr>
          <w:sz w:val="20"/>
          <w:szCs w:val="20"/>
        </w:rPr>
        <w:t>’s</w:t>
      </w:r>
      <w:r w:rsidRPr="00117A80">
        <w:rPr>
          <w:sz w:val="20"/>
          <w:szCs w:val="20"/>
        </w:rPr>
        <w:t xml:space="preserve"> level of public investment in tertiary education is</w:t>
      </w:r>
      <w:r w:rsidR="00A253A5" w:rsidRPr="00117A80">
        <w:rPr>
          <w:sz w:val="20"/>
          <w:szCs w:val="20"/>
        </w:rPr>
        <w:t xml:space="preserve"> </w:t>
      </w:r>
      <w:r w:rsidR="00E822B8">
        <w:rPr>
          <w:sz w:val="20"/>
          <w:szCs w:val="20"/>
        </w:rPr>
        <w:t xml:space="preserve">already </w:t>
      </w:r>
      <w:r w:rsidR="00A253A5" w:rsidRPr="00117A80">
        <w:rPr>
          <w:sz w:val="20"/>
          <w:szCs w:val="20"/>
        </w:rPr>
        <w:t>amongst the lowest in the OECD (see Figure 1)</w:t>
      </w:r>
      <w:r w:rsidR="001E59AC">
        <w:rPr>
          <w:sz w:val="20"/>
          <w:szCs w:val="20"/>
        </w:rPr>
        <w:t>;</w:t>
      </w:r>
    </w:p>
    <w:p w:rsidR="00EF4B2D" w:rsidRPr="00117A80" w:rsidRDefault="00EF4B2D" w:rsidP="00872496">
      <w:pPr>
        <w:pStyle w:val="ListParagraph"/>
        <w:numPr>
          <w:ilvl w:val="0"/>
          <w:numId w:val="5"/>
        </w:numPr>
        <w:rPr>
          <w:sz w:val="20"/>
          <w:szCs w:val="20"/>
        </w:rPr>
      </w:pPr>
      <w:r w:rsidRPr="00117A80">
        <w:rPr>
          <w:sz w:val="20"/>
          <w:szCs w:val="20"/>
        </w:rPr>
        <w:t>Australian students already pay amongst the highest fees in the world to study at a public university</w:t>
      </w:r>
      <w:r w:rsidR="00A253A5" w:rsidRPr="00117A80">
        <w:rPr>
          <w:sz w:val="20"/>
          <w:szCs w:val="20"/>
        </w:rPr>
        <w:t xml:space="preserve"> (see Figure 2)</w:t>
      </w:r>
      <w:r w:rsidR="001E59AC">
        <w:rPr>
          <w:sz w:val="20"/>
          <w:szCs w:val="20"/>
        </w:rPr>
        <w:t>;</w:t>
      </w:r>
      <w:r w:rsidRPr="00117A80">
        <w:rPr>
          <w:sz w:val="20"/>
          <w:szCs w:val="20"/>
        </w:rPr>
        <w:t xml:space="preserve"> and</w:t>
      </w:r>
    </w:p>
    <w:p w:rsidR="00506C56" w:rsidRPr="00117A80" w:rsidRDefault="00317344" w:rsidP="00872496">
      <w:pPr>
        <w:pStyle w:val="ListParagraph"/>
        <w:numPr>
          <w:ilvl w:val="0"/>
          <w:numId w:val="5"/>
        </w:numPr>
        <w:rPr>
          <w:sz w:val="20"/>
          <w:szCs w:val="20"/>
        </w:rPr>
      </w:pPr>
      <w:r w:rsidRPr="00117A80">
        <w:rPr>
          <w:sz w:val="20"/>
          <w:szCs w:val="20"/>
        </w:rPr>
        <w:t>the fully contestable mar</w:t>
      </w:r>
      <w:r w:rsidR="001E59AC">
        <w:rPr>
          <w:sz w:val="20"/>
          <w:szCs w:val="20"/>
        </w:rPr>
        <w:t xml:space="preserve">ket policy framework in </w:t>
      </w:r>
      <w:r w:rsidRPr="00117A80">
        <w:rPr>
          <w:sz w:val="20"/>
          <w:szCs w:val="20"/>
        </w:rPr>
        <w:t xml:space="preserve">vocational education and training (VET) has been a </w:t>
      </w:r>
      <w:r w:rsidR="00506C56" w:rsidRPr="00117A80">
        <w:rPr>
          <w:sz w:val="20"/>
          <w:szCs w:val="20"/>
        </w:rPr>
        <w:t>complete</w:t>
      </w:r>
      <w:r w:rsidRPr="00117A80">
        <w:rPr>
          <w:sz w:val="20"/>
          <w:szCs w:val="20"/>
        </w:rPr>
        <w:t xml:space="preserve"> failure</w:t>
      </w:r>
      <w:r w:rsidR="007753CD">
        <w:rPr>
          <w:sz w:val="20"/>
          <w:szCs w:val="20"/>
        </w:rPr>
        <w:t xml:space="preserve"> for students, the community, industry and </w:t>
      </w:r>
      <w:r w:rsidR="00D74116">
        <w:rPr>
          <w:sz w:val="20"/>
          <w:szCs w:val="20"/>
        </w:rPr>
        <w:t>Government</w:t>
      </w:r>
      <w:r w:rsidR="007753CD">
        <w:rPr>
          <w:sz w:val="20"/>
          <w:szCs w:val="20"/>
        </w:rPr>
        <w:t>s</w:t>
      </w:r>
      <w:r w:rsidRPr="00117A80">
        <w:rPr>
          <w:sz w:val="20"/>
          <w:szCs w:val="20"/>
        </w:rPr>
        <w:t>.</w:t>
      </w:r>
      <w:r w:rsidR="00506C56" w:rsidRPr="00117A80">
        <w:rPr>
          <w:sz w:val="20"/>
          <w:szCs w:val="20"/>
        </w:rPr>
        <w:t xml:space="preserve"> </w:t>
      </w:r>
    </w:p>
    <w:p w:rsidR="009F68DC" w:rsidRDefault="00506C56" w:rsidP="00872496">
      <w:pPr>
        <w:rPr>
          <w:sz w:val="20"/>
          <w:szCs w:val="20"/>
        </w:rPr>
      </w:pPr>
      <w:r w:rsidRPr="00117A80">
        <w:rPr>
          <w:sz w:val="20"/>
          <w:szCs w:val="20"/>
        </w:rPr>
        <w:t xml:space="preserve">The only substantial policy change announced </w:t>
      </w:r>
      <w:r w:rsidR="00E822B8">
        <w:rPr>
          <w:sz w:val="20"/>
          <w:szCs w:val="20"/>
        </w:rPr>
        <w:t>in the 2016-17 Budget</w:t>
      </w:r>
      <w:r w:rsidRPr="00117A80">
        <w:rPr>
          <w:sz w:val="20"/>
          <w:szCs w:val="20"/>
        </w:rPr>
        <w:t xml:space="preserve"> was to abandon </w:t>
      </w:r>
      <w:r w:rsidR="00A827A8">
        <w:rPr>
          <w:sz w:val="20"/>
          <w:szCs w:val="20"/>
        </w:rPr>
        <w:t>the</w:t>
      </w:r>
      <w:r w:rsidRPr="00117A80">
        <w:rPr>
          <w:sz w:val="20"/>
          <w:szCs w:val="20"/>
        </w:rPr>
        <w:t xml:space="preserve"> policy to </w:t>
      </w:r>
      <w:r w:rsidR="009F68DC" w:rsidRPr="00117A80">
        <w:rPr>
          <w:sz w:val="20"/>
          <w:szCs w:val="20"/>
        </w:rPr>
        <w:t>“</w:t>
      </w:r>
      <w:r w:rsidRPr="00117A80">
        <w:rPr>
          <w:sz w:val="20"/>
          <w:szCs w:val="20"/>
        </w:rPr>
        <w:t>fully</w:t>
      </w:r>
      <w:r w:rsidR="009F68DC" w:rsidRPr="00117A80">
        <w:rPr>
          <w:sz w:val="20"/>
          <w:szCs w:val="20"/>
        </w:rPr>
        <w:t>”</w:t>
      </w:r>
      <w:r w:rsidRPr="00117A80">
        <w:rPr>
          <w:sz w:val="20"/>
          <w:szCs w:val="20"/>
        </w:rPr>
        <w:t xml:space="preserve"> deregulate </w:t>
      </w:r>
      <w:r w:rsidR="006A2DDE">
        <w:rPr>
          <w:sz w:val="20"/>
          <w:szCs w:val="20"/>
        </w:rPr>
        <w:t>domestic undergraduate</w:t>
      </w:r>
      <w:r w:rsidRPr="00117A80">
        <w:rPr>
          <w:sz w:val="20"/>
          <w:szCs w:val="20"/>
        </w:rPr>
        <w:t xml:space="preserve"> fees</w:t>
      </w:r>
      <w:r w:rsidR="009F68DC" w:rsidRPr="00117A80">
        <w:rPr>
          <w:sz w:val="20"/>
          <w:szCs w:val="20"/>
        </w:rPr>
        <w:t xml:space="preserve"> because of public concerns “</w:t>
      </w:r>
      <w:r w:rsidR="009F68DC" w:rsidRPr="00117A80">
        <w:rPr>
          <w:i/>
          <w:sz w:val="20"/>
          <w:szCs w:val="20"/>
        </w:rPr>
        <w:t>about the perceived cost of potential higher education fees</w:t>
      </w:r>
      <w:r w:rsidR="009F68DC" w:rsidRPr="00117A80">
        <w:rPr>
          <w:sz w:val="20"/>
          <w:szCs w:val="20"/>
        </w:rPr>
        <w:t>”</w:t>
      </w:r>
      <w:r w:rsidRPr="00117A80">
        <w:rPr>
          <w:sz w:val="20"/>
          <w:szCs w:val="20"/>
        </w:rPr>
        <w:t xml:space="preserve">. </w:t>
      </w:r>
      <w:r w:rsidR="009F68DC" w:rsidRPr="00117A80">
        <w:rPr>
          <w:sz w:val="20"/>
          <w:szCs w:val="20"/>
        </w:rPr>
        <w:t xml:space="preserve">  However, the </w:t>
      </w:r>
      <w:r w:rsidR="009F68DC" w:rsidRPr="00E16D2C">
        <w:rPr>
          <w:sz w:val="20"/>
          <w:szCs w:val="20"/>
        </w:rPr>
        <w:t xml:space="preserve">NTEU’s </w:t>
      </w:r>
      <w:r w:rsidR="00E16D2C" w:rsidRPr="00E16D2C">
        <w:rPr>
          <w:sz w:val="20"/>
          <w:szCs w:val="20"/>
        </w:rPr>
        <w:t xml:space="preserve">latest </w:t>
      </w:r>
      <w:r w:rsidR="00FE77D1">
        <w:rPr>
          <w:sz w:val="20"/>
          <w:szCs w:val="20"/>
        </w:rPr>
        <w:t xml:space="preserve">analysis </w:t>
      </w:r>
      <w:r w:rsidR="00D46FCD">
        <w:rPr>
          <w:sz w:val="20"/>
          <w:szCs w:val="20"/>
        </w:rPr>
        <w:t xml:space="preserve">shows that </w:t>
      </w:r>
      <w:r w:rsidR="00FE77D1">
        <w:rPr>
          <w:sz w:val="20"/>
          <w:szCs w:val="20"/>
        </w:rPr>
        <w:t xml:space="preserve">the </w:t>
      </w:r>
      <w:r w:rsidR="00D46FCD">
        <w:rPr>
          <w:sz w:val="20"/>
          <w:szCs w:val="20"/>
        </w:rPr>
        <w:t xml:space="preserve">proposal to </w:t>
      </w:r>
      <w:r w:rsidR="009F68DC" w:rsidRPr="00117A80">
        <w:rPr>
          <w:sz w:val="20"/>
          <w:szCs w:val="20"/>
        </w:rPr>
        <w:t>introduc</w:t>
      </w:r>
      <w:r w:rsidR="00D46FCD">
        <w:rPr>
          <w:sz w:val="20"/>
          <w:szCs w:val="20"/>
        </w:rPr>
        <w:t>e</w:t>
      </w:r>
      <w:r w:rsidR="009F68DC" w:rsidRPr="00117A80">
        <w:rPr>
          <w:sz w:val="20"/>
          <w:szCs w:val="20"/>
        </w:rPr>
        <w:t xml:space="preserve"> so-called “flagship” courses, for which universities could charge higher fees, would create the perfect e</w:t>
      </w:r>
      <w:r w:rsidR="001E59AC">
        <w:rPr>
          <w:sz w:val="20"/>
          <w:szCs w:val="20"/>
        </w:rPr>
        <w:t>nvironment for even higher fees</w:t>
      </w:r>
      <w:r w:rsidR="00824592">
        <w:rPr>
          <w:sz w:val="20"/>
          <w:szCs w:val="20"/>
        </w:rPr>
        <w:t xml:space="preserve">.  The </w:t>
      </w:r>
      <w:r w:rsidR="00D74116">
        <w:rPr>
          <w:sz w:val="20"/>
          <w:szCs w:val="20"/>
        </w:rPr>
        <w:t>Government</w:t>
      </w:r>
      <w:r w:rsidR="00D46FCD">
        <w:rPr>
          <w:sz w:val="20"/>
          <w:szCs w:val="20"/>
        </w:rPr>
        <w:t xml:space="preserve"> even recognises this danger by acknowledging that any such proposal might need to be accompanied by some mechanism or regulation </w:t>
      </w:r>
      <w:r w:rsidR="00FE77D1">
        <w:rPr>
          <w:sz w:val="20"/>
          <w:szCs w:val="20"/>
        </w:rPr>
        <w:t xml:space="preserve">to </w:t>
      </w:r>
      <w:r w:rsidR="00D46FCD">
        <w:rPr>
          <w:sz w:val="20"/>
          <w:szCs w:val="20"/>
        </w:rPr>
        <w:t>limit the scope of fee increases</w:t>
      </w:r>
      <w:r w:rsidR="00E16D2C">
        <w:rPr>
          <w:sz w:val="20"/>
          <w:szCs w:val="20"/>
        </w:rPr>
        <w:t xml:space="preserve">.  </w:t>
      </w:r>
    </w:p>
    <w:p w:rsidR="00A253A5" w:rsidRDefault="00884DC5" w:rsidP="00165A85">
      <w:pPr>
        <w:rPr>
          <w:b/>
        </w:rPr>
      </w:pPr>
      <w:r w:rsidRPr="00A253A5">
        <w:rPr>
          <w:b/>
          <w:noProof/>
          <w:lang w:eastAsia="en-AU"/>
        </w:rPr>
        <w:lastRenderedPageBreak/>
        <w:drawing>
          <wp:anchor distT="0" distB="0" distL="114300" distR="114300" simplePos="0" relativeHeight="251658240" behindDoc="0" locked="0" layoutInCell="1" allowOverlap="1" wp14:anchorId="587C2C94" wp14:editId="2EC715BD">
            <wp:simplePos x="0" y="0"/>
            <wp:positionH relativeFrom="column">
              <wp:posOffset>-30480</wp:posOffset>
            </wp:positionH>
            <wp:positionV relativeFrom="paragraph">
              <wp:posOffset>422910</wp:posOffset>
            </wp:positionV>
            <wp:extent cx="6048375" cy="395033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48375" cy="3950335"/>
                    </a:xfrm>
                    <a:prstGeom prst="rect">
                      <a:avLst/>
                    </a:prstGeom>
                    <a:noFill/>
                  </pic:spPr>
                </pic:pic>
              </a:graphicData>
            </a:graphic>
            <wp14:sizeRelH relativeFrom="margin">
              <wp14:pctWidth>0</wp14:pctWidth>
            </wp14:sizeRelH>
            <wp14:sizeRelV relativeFrom="margin">
              <wp14:pctHeight>0</wp14:pctHeight>
            </wp14:sizeRelV>
          </wp:anchor>
        </w:drawing>
      </w:r>
      <w:r w:rsidR="00117A80" w:rsidRPr="00117A80">
        <w:rPr>
          <w:sz w:val="20"/>
          <w:szCs w:val="20"/>
        </w:rPr>
        <w:t xml:space="preserve">  </w:t>
      </w:r>
      <w:r w:rsidR="00431E7B">
        <w:rPr>
          <w:noProof/>
          <w:lang w:eastAsia="en-AU"/>
        </w:rPr>
        <mc:AlternateContent>
          <mc:Choice Requires="wps">
            <w:drawing>
              <wp:anchor distT="0" distB="0" distL="114300" distR="114300" simplePos="0" relativeHeight="251660288" behindDoc="0" locked="0" layoutInCell="1" allowOverlap="1" wp14:anchorId="2699C3AF" wp14:editId="73F4EA1C">
                <wp:simplePos x="0" y="0"/>
                <wp:positionH relativeFrom="column">
                  <wp:posOffset>6350</wp:posOffset>
                </wp:positionH>
                <wp:positionV relativeFrom="paragraph">
                  <wp:posOffset>115570</wp:posOffset>
                </wp:positionV>
                <wp:extent cx="5948680" cy="30289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8680" cy="302895"/>
                        </a:xfrm>
                        <a:prstGeom prst="rect">
                          <a:avLst/>
                        </a:prstGeom>
                        <a:solidFill>
                          <a:prstClr val="white"/>
                        </a:solidFill>
                        <a:ln>
                          <a:noFill/>
                        </a:ln>
                        <a:effectLst/>
                      </wps:spPr>
                      <wps:txbx>
                        <w:txbxContent>
                          <w:p w:rsidR="002B134C" w:rsidRPr="00A253A5" w:rsidRDefault="002B134C" w:rsidP="00A253A5">
                            <w:pPr>
                              <w:pStyle w:val="Caption"/>
                              <w:rPr>
                                <w:noProof/>
                                <w:color w:val="auto"/>
                                <w:sz w:val="22"/>
                                <w:szCs w:val="22"/>
                              </w:rPr>
                            </w:pPr>
                            <w:r w:rsidRPr="00A253A5">
                              <w:rPr>
                                <w:color w:val="auto"/>
                                <w:sz w:val="22"/>
                                <w:szCs w:val="22"/>
                              </w:rPr>
                              <w:t xml:space="preserve">Figure </w:t>
                            </w:r>
                            <w:r w:rsidR="00223B89">
                              <w:rPr>
                                <w:color w:val="auto"/>
                                <w:sz w:val="22"/>
                                <w:szCs w:val="22"/>
                              </w:rPr>
                              <w:fldChar w:fldCharType="begin"/>
                            </w:r>
                            <w:r w:rsidR="00223B89">
                              <w:rPr>
                                <w:color w:val="auto"/>
                                <w:sz w:val="22"/>
                                <w:szCs w:val="22"/>
                              </w:rPr>
                              <w:instrText xml:space="preserve"> SEQ Figure \* ALPHABETIC </w:instrText>
                            </w:r>
                            <w:r w:rsidR="00223B89">
                              <w:rPr>
                                <w:color w:val="auto"/>
                                <w:sz w:val="22"/>
                                <w:szCs w:val="22"/>
                              </w:rPr>
                              <w:fldChar w:fldCharType="separate"/>
                            </w:r>
                            <w:r w:rsidR="009909B6">
                              <w:rPr>
                                <w:noProof/>
                                <w:color w:val="auto"/>
                                <w:sz w:val="22"/>
                                <w:szCs w:val="22"/>
                              </w:rPr>
                              <w:t>A</w:t>
                            </w:r>
                            <w:r w:rsidR="00223B89">
                              <w:rPr>
                                <w:color w:val="auto"/>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699C3AF" id="_x0000_t202" coordsize="21600,21600" o:spt="202" path="m,l,21600r21600,l21600,xe">
                <v:stroke joinstyle="miter"/>
                <v:path gradientshapeok="t" o:connecttype="rect"/>
              </v:shapetype>
              <v:shape id="Text Box 4" o:spid="_x0000_s1026" type="#_x0000_t202" style="position:absolute;margin-left:.5pt;margin-top:9.1pt;width:468.4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" stroked="f">
                <v:path arrowok="t"/>
                <v:textbox inset="0,0,0,0">
                  <w:txbxContent>
                    <w:p w:rsidR="002B134C" w:rsidRPr="00A253A5" w:rsidRDefault="002B134C" w:rsidP="00A253A5">
                      <w:pPr>
                        <w:pStyle w:val="Caption"/>
                        <w:rPr>
                          <w:noProof/>
                          <w:color w:val="auto"/>
                          <w:sz w:val="22"/>
                          <w:szCs w:val="22"/>
                        </w:rPr>
                      </w:pPr>
                      <w:r w:rsidRPr="00A253A5">
                        <w:rPr>
                          <w:color w:val="auto"/>
                          <w:sz w:val="22"/>
                          <w:szCs w:val="22"/>
                        </w:rPr>
                        <w:t xml:space="preserve">Figure </w:t>
                      </w:r>
                      <w:r w:rsidR="00223B89">
                        <w:rPr>
                          <w:color w:val="auto"/>
                          <w:sz w:val="22"/>
                          <w:szCs w:val="22"/>
                        </w:rPr>
                        <w:fldChar w:fldCharType="begin"/>
                      </w:r>
                      <w:r w:rsidR="00223B89">
                        <w:rPr>
                          <w:color w:val="auto"/>
                          <w:sz w:val="22"/>
                          <w:szCs w:val="22"/>
                        </w:rPr>
                        <w:instrText xml:space="preserve"> SEQ Figure \* ALPHABETIC </w:instrText>
                      </w:r>
                      <w:r w:rsidR="00223B89">
                        <w:rPr>
                          <w:color w:val="auto"/>
                          <w:sz w:val="22"/>
                          <w:szCs w:val="22"/>
                        </w:rPr>
                        <w:fldChar w:fldCharType="separate"/>
                      </w:r>
                      <w:r w:rsidR="009909B6">
                        <w:rPr>
                          <w:noProof/>
                          <w:color w:val="auto"/>
                          <w:sz w:val="22"/>
                          <w:szCs w:val="22"/>
                        </w:rPr>
                        <w:t>A</w:t>
                      </w:r>
                      <w:r w:rsidR="00223B89">
                        <w:rPr>
                          <w:color w:val="auto"/>
                          <w:sz w:val="22"/>
                          <w:szCs w:val="22"/>
                        </w:rPr>
                        <w:fldChar w:fldCharType="end"/>
                      </w:r>
                    </w:p>
                  </w:txbxContent>
                </v:textbox>
              </v:shape>
            </w:pict>
          </mc:Fallback>
        </mc:AlternateContent>
      </w:r>
    </w:p>
    <w:p w:rsidR="00F5236C" w:rsidRDefault="00F5236C" w:rsidP="005572E7">
      <w:pPr>
        <w:rPr>
          <w:b/>
        </w:rPr>
      </w:pPr>
    </w:p>
    <w:p w:rsidR="00A253A5" w:rsidRPr="00A253A5" w:rsidRDefault="00A253A5" w:rsidP="005572E7">
      <w:pPr>
        <w:rPr>
          <w:b/>
        </w:rPr>
      </w:pPr>
      <w:r w:rsidRPr="00A253A5">
        <w:rPr>
          <w:b/>
        </w:rPr>
        <w:t xml:space="preserve">Figure </w:t>
      </w:r>
      <w:r w:rsidR="00223B89">
        <w:rPr>
          <w:b/>
        </w:rPr>
        <w:fldChar w:fldCharType="begin"/>
      </w:r>
      <w:r w:rsidR="00223B89">
        <w:rPr>
          <w:b/>
        </w:rPr>
        <w:instrText xml:space="preserve"> SEQ Figure \* ALPHABETIC </w:instrText>
      </w:r>
      <w:r w:rsidR="00223B89">
        <w:rPr>
          <w:b/>
        </w:rPr>
        <w:fldChar w:fldCharType="separate"/>
      </w:r>
      <w:r w:rsidR="009909B6">
        <w:rPr>
          <w:b/>
          <w:noProof/>
        </w:rPr>
        <w:t>B</w:t>
      </w:r>
      <w:r w:rsidR="00223B89">
        <w:rPr>
          <w:b/>
        </w:rPr>
        <w:fldChar w:fldCharType="end"/>
      </w:r>
    </w:p>
    <w:p w:rsidR="00F5236C" w:rsidRDefault="00A253A5" w:rsidP="0018598E">
      <w:pPr>
        <w:rPr>
          <w:b/>
        </w:rPr>
      </w:pPr>
      <w:r>
        <w:rPr>
          <w:noProof/>
          <w:lang w:eastAsia="en-AU"/>
        </w:rPr>
        <w:drawing>
          <wp:inline distT="0" distB="0" distL="0" distR="0" wp14:anchorId="03C92938" wp14:editId="573F0D01">
            <wp:extent cx="6073945" cy="3964727"/>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3458" cy="3977464"/>
                    </a:xfrm>
                    <a:prstGeom prst="rect">
                      <a:avLst/>
                    </a:prstGeom>
                    <a:noFill/>
                  </pic:spPr>
                </pic:pic>
              </a:graphicData>
            </a:graphic>
          </wp:inline>
        </w:drawing>
      </w:r>
    </w:p>
    <w:p w:rsidR="0018598E" w:rsidRPr="00FD1D96" w:rsidRDefault="00F5236C" w:rsidP="0018598E">
      <w:r>
        <w:rPr>
          <w:b/>
          <w:sz w:val="24"/>
          <w:szCs w:val="24"/>
        </w:rPr>
        <w:br w:type="page"/>
      </w:r>
      <w:r w:rsidR="0018598E" w:rsidRPr="009F0C93">
        <w:rPr>
          <w:b/>
          <w:sz w:val="24"/>
          <w:szCs w:val="24"/>
        </w:rPr>
        <w:lastRenderedPageBreak/>
        <w:t xml:space="preserve">An alternative framework </w:t>
      </w:r>
    </w:p>
    <w:p w:rsidR="0018598E" w:rsidRDefault="0018598E" w:rsidP="0018598E">
      <w:pPr>
        <w:rPr>
          <w:sz w:val="20"/>
          <w:szCs w:val="20"/>
        </w:rPr>
      </w:pPr>
      <w:r>
        <w:rPr>
          <w:sz w:val="20"/>
          <w:szCs w:val="20"/>
        </w:rPr>
        <w:t xml:space="preserve">While </w:t>
      </w:r>
      <w:r w:rsidR="00794929">
        <w:rPr>
          <w:sz w:val="20"/>
          <w:szCs w:val="20"/>
        </w:rPr>
        <w:t xml:space="preserve">agreeing that </w:t>
      </w:r>
      <w:r>
        <w:rPr>
          <w:sz w:val="20"/>
          <w:szCs w:val="20"/>
        </w:rPr>
        <w:t>individuals derive a direct benefit from participating in higher education, the NTEU believes that higher education</w:t>
      </w:r>
      <w:r w:rsidR="00E20BEC">
        <w:rPr>
          <w:sz w:val="20"/>
          <w:szCs w:val="20"/>
        </w:rPr>
        <w:t>,</w:t>
      </w:r>
      <w:r>
        <w:rPr>
          <w:sz w:val="20"/>
          <w:szCs w:val="20"/>
        </w:rPr>
        <w:t xml:space="preserve"> like all other forms of education</w:t>
      </w:r>
      <w:r w:rsidR="00E20BEC">
        <w:rPr>
          <w:sz w:val="20"/>
          <w:szCs w:val="20"/>
        </w:rPr>
        <w:t>,</w:t>
      </w:r>
      <w:r>
        <w:rPr>
          <w:sz w:val="20"/>
          <w:szCs w:val="20"/>
        </w:rPr>
        <w:t xml:space="preserve"> essentially </w:t>
      </w:r>
      <w:r w:rsidR="00FE77D1">
        <w:rPr>
          <w:sz w:val="20"/>
          <w:szCs w:val="20"/>
        </w:rPr>
        <w:t xml:space="preserve">remains </w:t>
      </w:r>
      <w:r>
        <w:rPr>
          <w:sz w:val="20"/>
          <w:szCs w:val="20"/>
        </w:rPr>
        <w:t>a public good</w:t>
      </w:r>
      <w:r w:rsidR="00FE77D1">
        <w:rPr>
          <w:sz w:val="20"/>
          <w:szCs w:val="20"/>
        </w:rPr>
        <w:t xml:space="preserve"> from which the whole of society benefits economically, socially and culturally</w:t>
      </w:r>
      <w:r>
        <w:rPr>
          <w:sz w:val="20"/>
          <w:szCs w:val="20"/>
        </w:rPr>
        <w:t>.</w:t>
      </w:r>
    </w:p>
    <w:p w:rsidR="007A4A3A" w:rsidRDefault="00FE77D1" w:rsidP="00200AA7">
      <w:pPr>
        <w:rPr>
          <w:sz w:val="20"/>
          <w:szCs w:val="20"/>
        </w:rPr>
      </w:pPr>
      <w:r>
        <w:rPr>
          <w:sz w:val="20"/>
          <w:szCs w:val="20"/>
        </w:rPr>
        <w:t xml:space="preserve">As recent experience in vocational education and training (VET) has shown, </w:t>
      </w:r>
      <w:r w:rsidR="0018598E">
        <w:rPr>
          <w:sz w:val="20"/>
          <w:szCs w:val="20"/>
        </w:rPr>
        <w:t xml:space="preserve">education is far too important to be left to the market. The </w:t>
      </w:r>
      <w:r w:rsidR="00D74116">
        <w:rPr>
          <w:sz w:val="20"/>
          <w:szCs w:val="20"/>
        </w:rPr>
        <w:t>Government</w:t>
      </w:r>
      <w:r w:rsidR="0018598E" w:rsidRPr="00117A80">
        <w:rPr>
          <w:sz w:val="20"/>
          <w:szCs w:val="20"/>
        </w:rPr>
        <w:t xml:space="preserve">’s </w:t>
      </w:r>
      <w:r w:rsidR="00571429">
        <w:rPr>
          <w:sz w:val="20"/>
          <w:szCs w:val="20"/>
        </w:rPr>
        <w:t xml:space="preserve">plans </w:t>
      </w:r>
      <w:r>
        <w:rPr>
          <w:sz w:val="20"/>
          <w:szCs w:val="20"/>
        </w:rPr>
        <w:t xml:space="preserve">for a </w:t>
      </w:r>
      <w:r w:rsidR="0018598E" w:rsidRPr="00117A80">
        <w:rPr>
          <w:sz w:val="20"/>
          <w:szCs w:val="20"/>
        </w:rPr>
        <w:t xml:space="preserve">market driven framework </w:t>
      </w:r>
      <w:r>
        <w:rPr>
          <w:sz w:val="20"/>
          <w:szCs w:val="20"/>
        </w:rPr>
        <w:t xml:space="preserve">for higher education </w:t>
      </w:r>
      <w:r w:rsidR="0018598E">
        <w:rPr>
          <w:sz w:val="20"/>
          <w:szCs w:val="20"/>
        </w:rPr>
        <w:t xml:space="preserve">must </w:t>
      </w:r>
      <w:r w:rsidR="0018598E" w:rsidRPr="00117A80">
        <w:rPr>
          <w:sz w:val="20"/>
          <w:szCs w:val="20"/>
        </w:rPr>
        <w:t>be abandoned</w:t>
      </w:r>
      <w:r w:rsidR="0018598E">
        <w:rPr>
          <w:sz w:val="20"/>
          <w:szCs w:val="20"/>
        </w:rPr>
        <w:t>.  Australia needs a well-</w:t>
      </w:r>
      <w:r w:rsidR="0018598E" w:rsidRPr="00117A80">
        <w:rPr>
          <w:sz w:val="20"/>
          <w:szCs w:val="20"/>
        </w:rPr>
        <w:t xml:space="preserve">planned and managed </w:t>
      </w:r>
      <w:r w:rsidR="0018598E">
        <w:rPr>
          <w:sz w:val="20"/>
          <w:szCs w:val="20"/>
        </w:rPr>
        <w:t xml:space="preserve">higher education </w:t>
      </w:r>
      <w:r w:rsidR="0018598E" w:rsidRPr="00117A80">
        <w:rPr>
          <w:sz w:val="20"/>
          <w:szCs w:val="20"/>
        </w:rPr>
        <w:t>system</w:t>
      </w:r>
      <w:r w:rsidR="0018598E">
        <w:rPr>
          <w:sz w:val="20"/>
          <w:szCs w:val="20"/>
        </w:rPr>
        <w:t xml:space="preserve">.  This could be achieved </w:t>
      </w:r>
      <w:r w:rsidR="0018598E" w:rsidRPr="00117A80">
        <w:rPr>
          <w:sz w:val="20"/>
          <w:szCs w:val="20"/>
        </w:rPr>
        <w:t>through the use of</w:t>
      </w:r>
      <w:r w:rsidR="00E42781">
        <w:rPr>
          <w:sz w:val="20"/>
          <w:szCs w:val="20"/>
        </w:rPr>
        <w:t xml:space="preserve"> a</w:t>
      </w:r>
      <w:r w:rsidR="0018598E" w:rsidRPr="00117A80">
        <w:rPr>
          <w:sz w:val="20"/>
          <w:szCs w:val="20"/>
        </w:rPr>
        <w:t xml:space="preserve"> Public Accountability </w:t>
      </w:r>
      <w:r w:rsidR="0018598E">
        <w:rPr>
          <w:sz w:val="20"/>
          <w:szCs w:val="20"/>
        </w:rPr>
        <w:t>Agreement (PAA) f</w:t>
      </w:r>
      <w:r w:rsidR="0018598E" w:rsidRPr="00117A80">
        <w:rPr>
          <w:sz w:val="20"/>
          <w:szCs w:val="20"/>
        </w:rPr>
        <w:t xml:space="preserve">ramework, </w:t>
      </w:r>
      <w:r w:rsidR="0018598E">
        <w:rPr>
          <w:sz w:val="20"/>
          <w:szCs w:val="20"/>
        </w:rPr>
        <w:t>as outlined in the NTEU</w:t>
      </w:r>
      <w:r w:rsidR="00E42781">
        <w:rPr>
          <w:sz w:val="20"/>
          <w:szCs w:val="20"/>
        </w:rPr>
        <w:t>’s</w:t>
      </w:r>
      <w:r w:rsidR="0018598E">
        <w:rPr>
          <w:sz w:val="20"/>
          <w:szCs w:val="20"/>
        </w:rPr>
        <w:t xml:space="preserve"> 201</w:t>
      </w:r>
      <w:r w:rsidR="00D46FCD">
        <w:rPr>
          <w:sz w:val="20"/>
          <w:szCs w:val="20"/>
        </w:rPr>
        <w:t>5</w:t>
      </w:r>
      <w:r w:rsidR="0018598E">
        <w:rPr>
          <w:sz w:val="20"/>
          <w:szCs w:val="20"/>
        </w:rPr>
        <w:t xml:space="preserve"> Budget Submission</w:t>
      </w:r>
      <w:r w:rsidR="0018598E" w:rsidRPr="0018598E">
        <w:rPr>
          <w:sz w:val="20"/>
          <w:szCs w:val="20"/>
        </w:rPr>
        <w:t xml:space="preserve"> </w:t>
      </w:r>
      <w:r w:rsidR="0018598E" w:rsidRPr="00200AA7">
        <w:rPr>
          <w:sz w:val="20"/>
          <w:szCs w:val="20"/>
        </w:rPr>
        <w:t>entitled</w:t>
      </w:r>
      <w:r w:rsidR="00D46FCD">
        <w:rPr>
          <w:sz w:val="20"/>
          <w:szCs w:val="20"/>
        </w:rPr>
        <w:t>:</w:t>
      </w:r>
      <w:r w:rsidR="0018598E">
        <w:rPr>
          <w:sz w:val="20"/>
          <w:szCs w:val="20"/>
        </w:rPr>
        <w:t xml:space="preserve"> </w:t>
      </w:r>
      <w:hyperlink r:id="rId19" w:history="1">
        <w:r w:rsidR="0018598E" w:rsidRPr="00D46FCD">
          <w:rPr>
            <w:rStyle w:val="Hyperlink"/>
            <w:i/>
            <w:sz w:val="20"/>
            <w:szCs w:val="20"/>
          </w:rPr>
          <w:t>Towards a sustainable policy framework for Australian higher education</w:t>
        </w:r>
      </w:hyperlink>
      <w:r w:rsidR="0018598E" w:rsidRPr="004E1739">
        <w:rPr>
          <w:color w:val="FF0000"/>
          <w:sz w:val="20"/>
          <w:szCs w:val="20"/>
        </w:rPr>
        <w:t>.</w:t>
      </w:r>
      <w:r w:rsidR="00E16D2C">
        <w:rPr>
          <w:color w:val="FF0000"/>
          <w:sz w:val="20"/>
          <w:szCs w:val="20"/>
        </w:rPr>
        <w:t xml:space="preserve"> </w:t>
      </w:r>
    </w:p>
    <w:p w:rsidR="00794929" w:rsidRDefault="003B69BE" w:rsidP="003B69BE">
      <w:pPr>
        <w:rPr>
          <w:sz w:val="20"/>
          <w:szCs w:val="20"/>
        </w:rPr>
      </w:pPr>
      <w:r w:rsidRPr="0018598E">
        <w:rPr>
          <w:sz w:val="20"/>
          <w:szCs w:val="20"/>
        </w:rPr>
        <w:t xml:space="preserve">The </w:t>
      </w:r>
      <w:r>
        <w:rPr>
          <w:sz w:val="20"/>
          <w:szCs w:val="20"/>
        </w:rPr>
        <w:t xml:space="preserve">complete and utter </w:t>
      </w:r>
      <w:r w:rsidRPr="0018598E">
        <w:rPr>
          <w:sz w:val="20"/>
          <w:szCs w:val="20"/>
        </w:rPr>
        <w:t xml:space="preserve">failure of the market driven approach to the funding and regulation of </w:t>
      </w:r>
      <w:r>
        <w:rPr>
          <w:sz w:val="20"/>
          <w:szCs w:val="20"/>
        </w:rPr>
        <w:t>VET</w:t>
      </w:r>
      <w:r w:rsidRPr="0018598E">
        <w:rPr>
          <w:sz w:val="20"/>
          <w:szCs w:val="20"/>
        </w:rPr>
        <w:t xml:space="preserve"> </w:t>
      </w:r>
      <w:r>
        <w:rPr>
          <w:sz w:val="20"/>
          <w:szCs w:val="20"/>
        </w:rPr>
        <w:t xml:space="preserve">was </w:t>
      </w:r>
      <w:r w:rsidR="00824592">
        <w:rPr>
          <w:sz w:val="20"/>
          <w:szCs w:val="20"/>
        </w:rPr>
        <w:t xml:space="preserve">explicitly acknowledged by the </w:t>
      </w:r>
      <w:r w:rsidR="00D74116">
        <w:rPr>
          <w:sz w:val="20"/>
          <w:szCs w:val="20"/>
        </w:rPr>
        <w:t>Government</w:t>
      </w:r>
      <w:r>
        <w:rPr>
          <w:sz w:val="20"/>
          <w:szCs w:val="20"/>
        </w:rPr>
        <w:t>’s decision in October 2016 to abandon the VET FEE HELP scheme and replace it with a new VET Student Loan Fee scheme.</w:t>
      </w:r>
      <w:r w:rsidRPr="00794929">
        <w:rPr>
          <w:sz w:val="20"/>
          <w:szCs w:val="20"/>
        </w:rPr>
        <w:t xml:space="preserve">  </w:t>
      </w:r>
    </w:p>
    <w:p w:rsidR="0018598E" w:rsidRDefault="00794929" w:rsidP="00200AA7">
      <w:pPr>
        <w:rPr>
          <w:sz w:val="20"/>
          <w:szCs w:val="20"/>
        </w:rPr>
      </w:pPr>
      <w:r>
        <w:rPr>
          <w:sz w:val="20"/>
          <w:szCs w:val="20"/>
        </w:rPr>
        <w:t>Interestingly, t</w:t>
      </w:r>
      <w:r w:rsidR="003B69BE" w:rsidRPr="00794929">
        <w:rPr>
          <w:sz w:val="20"/>
          <w:szCs w:val="20"/>
        </w:rPr>
        <w:t xml:space="preserve">he new VET scheme is more prescriptive than the NTEU’s alternative framework for higher education.  The new VET arrangements place strict limits on the </w:t>
      </w:r>
      <w:r w:rsidR="00824592">
        <w:rPr>
          <w:sz w:val="20"/>
          <w:szCs w:val="20"/>
        </w:rPr>
        <w:t xml:space="preserve">number of students entitled to </w:t>
      </w:r>
      <w:r w:rsidR="00D74116">
        <w:rPr>
          <w:sz w:val="20"/>
          <w:szCs w:val="20"/>
        </w:rPr>
        <w:t>Government</w:t>
      </w:r>
      <w:r w:rsidR="003B69BE" w:rsidRPr="00794929">
        <w:rPr>
          <w:sz w:val="20"/>
          <w:szCs w:val="20"/>
        </w:rPr>
        <w:t xml:space="preserve"> loans based on past levels of enrolments and student attrition rates. </w:t>
      </w:r>
      <w:r w:rsidR="0018598E">
        <w:rPr>
          <w:sz w:val="20"/>
          <w:szCs w:val="20"/>
        </w:rPr>
        <w:t xml:space="preserve">Under the NTEU’s </w:t>
      </w:r>
      <w:r>
        <w:rPr>
          <w:sz w:val="20"/>
          <w:szCs w:val="20"/>
        </w:rPr>
        <w:t xml:space="preserve">proposed </w:t>
      </w:r>
      <w:r w:rsidR="0018598E">
        <w:rPr>
          <w:sz w:val="20"/>
          <w:szCs w:val="20"/>
        </w:rPr>
        <w:t xml:space="preserve">PAA framework, </w:t>
      </w:r>
      <w:r w:rsidR="00571429">
        <w:rPr>
          <w:sz w:val="20"/>
          <w:szCs w:val="20"/>
        </w:rPr>
        <w:t xml:space="preserve">there would not be any caps on the number of students an individual university could enrol. </w:t>
      </w:r>
      <w:r w:rsidR="003B69BE">
        <w:rPr>
          <w:sz w:val="20"/>
          <w:szCs w:val="20"/>
        </w:rPr>
        <w:t xml:space="preserve"> </w:t>
      </w:r>
      <w:r w:rsidR="00571429">
        <w:rPr>
          <w:sz w:val="20"/>
          <w:szCs w:val="20"/>
        </w:rPr>
        <w:t>E</w:t>
      </w:r>
      <w:r w:rsidR="0018598E">
        <w:rPr>
          <w:sz w:val="20"/>
          <w:szCs w:val="20"/>
        </w:rPr>
        <w:t xml:space="preserve">ach university would be able to enrol as many students as it likes, but in doing so it would have to  demonstrate that it has the physical, staffing and support resources to </w:t>
      </w:r>
      <w:r w:rsidR="00571429">
        <w:rPr>
          <w:sz w:val="20"/>
          <w:szCs w:val="20"/>
        </w:rPr>
        <w:t>ensure</w:t>
      </w:r>
      <w:r w:rsidR="0018598E">
        <w:rPr>
          <w:sz w:val="20"/>
          <w:szCs w:val="20"/>
        </w:rPr>
        <w:t xml:space="preserve"> that every student enrolled has the opportunity to succeed in graduating and finding employment. </w:t>
      </w:r>
    </w:p>
    <w:p w:rsidR="00635C02" w:rsidRDefault="00635C02" w:rsidP="00635C02">
      <w:pPr>
        <w:shd w:val="clear" w:color="auto" w:fill="FFFFFF" w:themeFill="background1"/>
        <w:rPr>
          <w:sz w:val="20"/>
          <w:szCs w:val="20"/>
        </w:rPr>
      </w:pPr>
      <w:r w:rsidRPr="0040065B">
        <w:rPr>
          <w:sz w:val="20"/>
          <w:szCs w:val="20"/>
        </w:rPr>
        <w:t xml:space="preserve">The release of the latest analysis of higher education completion rates on 18 January 2017 </w:t>
      </w:r>
      <w:r w:rsidR="0040065B" w:rsidRPr="0040065B">
        <w:rPr>
          <w:sz w:val="20"/>
          <w:szCs w:val="20"/>
        </w:rPr>
        <w:t>(</w:t>
      </w:r>
      <w:r w:rsidR="0040065B">
        <w:rPr>
          <w:sz w:val="20"/>
          <w:szCs w:val="20"/>
        </w:rPr>
        <w:t>See Attachment A)</w:t>
      </w:r>
      <w:r w:rsidR="0040065B" w:rsidRPr="0040065B">
        <w:rPr>
          <w:rStyle w:val="Hyperlink"/>
          <w:i/>
          <w:sz w:val="20"/>
          <w:szCs w:val="20"/>
        </w:rPr>
        <w:t xml:space="preserve"> </w:t>
      </w:r>
      <w:r w:rsidRPr="0040065B">
        <w:rPr>
          <w:sz w:val="20"/>
          <w:szCs w:val="20"/>
        </w:rPr>
        <w:t>provides further evidence of a need for a</w:t>
      </w:r>
      <w:r>
        <w:rPr>
          <w:sz w:val="20"/>
          <w:szCs w:val="20"/>
        </w:rPr>
        <w:t xml:space="preserve"> policy framework which is capable of adapting to a diverse range of institutions with very different missions and student cohorts.  </w:t>
      </w:r>
    </w:p>
    <w:p w:rsidR="0040065B" w:rsidRDefault="00635C02" w:rsidP="00635C02">
      <w:pPr>
        <w:shd w:val="clear" w:color="auto" w:fill="FFFFFF" w:themeFill="background1"/>
        <w:rPr>
          <w:color w:val="000000" w:themeColor="text1"/>
          <w:sz w:val="20"/>
          <w:szCs w:val="20"/>
        </w:rPr>
      </w:pPr>
      <w:r>
        <w:rPr>
          <w:sz w:val="20"/>
          <w:szCs w:val="20"/>
        </w:rPr>
        <w:t>Completion rates also provide a good example of where the Government</w:t>
      </w:r>
      <w:r w:rsidRPr="00E313B0">
        <w:rPr>
          <w:sz w:val="20"/>
          <w:szCs w:val="20"/>
        </w:rPr>
        <w:t>’s new VET scheme is more prescriptive than the NTEU</w:t>
      </w:r>
      <w:r>
        <w:rPr>
          <w:sz w:val="20"/>
          <w:szCs w:val="20"/>
        </w:rPr>
        <w:t xml:space="preserve">’s alternative </w:t>
      </w:r>
      <w:r w:rsidRPr="00E313B0">
        <w:rPr>
          <w:sz w:val="20"/>
          <w:szCs w:val="20"/>
        </w:rPr>
        <w:t>framework</w:t>
      </w:r>
      <w:r>
        <w:rPr>
          <w:sz w:val="20"/>
          <w:szCs w:val="20"/>
        </w:rPr>
        <w:t xml:space="preserve"> can be illustrated in relation to the </w:t>
      </w:r>
      <w:r w:rsidRPr="00E313B0">
        <w:rPr>
          <w:sz w:val="20"/>
          <w:szCs w:val="20"/>
        </w:rPr>
        <w:t>relationship between completion rates and eligibility of studen</w:t>
      </w:r>
      <w:r>
        <w:rPr>
          <w:sz w:val="20"/>
          <w:szCs w:val="20"/>
        </w:rPr>
        <w:t>ts to access income contingent Government</w:t>
      </w:r>
      <w:r w:rsidRPr="00E313B0">
        <w:rPr>
          <w:sz w:val="20"/>
          <w:szCs w:val="20"/>
        </w:rPr>
        <w:t xml:space="preserve"> loans to cover tuition fees.</w:t>
      </w:r>
      <w:r>
        <w:rPr>
          <w:sz w:val="20"/>
          <w:szCs w:val="20"/>
        </w:rPr>
        <w:t xml:space="preserve">  </w:t>
      </w:r>
      <w:r w:rsidRPr="00E313B0">
        <w:rPr>
          <w:color w:val="000000" w:themeColor="text1"/>
          <w:sz w:val="20"/>
          <w:szCs w:val="20"/>
        </w:rPr>
        <w:t>Under the new VET Student Loan scheme, the number of students eligible for new loans</w:t>
      </w:r>
      <w:r>
        <w:rPr>
          <w:color w:val="000000" w:themeColor="text1"/>
          <w:sz w:val="20"/>
          <w:szCs w:val="20"/>
        </w:rPr>
        <w:t xml:space="preserve"> can be </w:t>
      </w:r>
      <w:r w:rsidRPr="00E313B0">
        <w:rPr>
          <w:color w:val="000000" w:themeColor="text1"/>
          <w:sz w:val="20"/>
          <w:szCs w:val="20"/>
        </w:rPr>
        <w:t xml:space="preserve">directly </w:t>
      </w:r>
      <w:r>
        <w:rPr>
          <w:color w:val="000000" w:themeColor="text1"/>
          <w:sz w:val="20"/>
          <w:szCs w:val="20"/>
        </w:rPr>
        <w:t xml:space="preserve">tied </w:t>
      </w:r>
      <w:r w:rsidRPr="00E313B0">
        <w:rPr>
          <w:color w:val="000000" w:themeColor="text1"/>
          <w:sz w:val="20"/>
          <w:szCs w:val="20"/>
        </w:rPr>
        <w:t>to student completion rates in preceding years.  The NTEU believes that such an approach would be far too blunt if applied to higher education because its fails to take into account the different circumstances and student cohorts of different universities.</w:t>
      </w:r>
    </w:p>
    <w:p w:rsidR="0040065B" w:rsidRDefault="0040065B" w:rsidP="0040065B">
      <w:pPr>
        <w:pStyle w:val="Heading1"/>
        <w:shd w:val="clear" w:color="auto" w:fill="FFFFFF" w:themeFill="background1"/>
        <w:spacing w:before="0" w:beforeAutospacing="0" w:after="75" w:afterAutospacing="0" w:line="288" w:lineRule="atLeast"/>
        <w:rPr>
          <w:rFonts w:ascii="Arial" w:hAnsi="Arial" w:cs="Arial"/>
          <w:b w:val="0"/>
          <w:sz w:val="20"/>
          <w:szCs w:val="20"/>
        </w:rPr>
      </w:pPr>
      <w:r w:rsidRPr="0040065B">
        <w:rPr>
          <w:rFonts w:ascii="Arial" w:hAnsi="Arial" w:cs="Arial"/>
          <w:b w:val="0"/>
          <w:bCs w:val="0"/>
          <w:color w:val="000000" w:themeColor="text1"/>
          <w:sz w:val="20"/>
          <w:szCs w:val="20"/>
        </w:rPr>
        <w:t xml:space="preserve">The NTEU is concerned that the adoption of universal completion rates, as is being applied to the VET sector  would not only fail to capture these important differences, but would also provide a perverse incentive for universities to put pressure on staff to improve student completion rates, for purely financial reasons rather than pedagogy.   </w:t>
      </w:r>
      <w:r w:rsidRPr="0040065B">
        <w:rPr>
          <w:rFonts w:ascii="Arial" w:hAnsi="Arial" w:cs="Arial"/>
          <w:b w:val="0"/>
          <w:sz w:val="20"/>
          <w:szCs w:val="20"/>
        </w:rPr>
        <w:t xml:space="preserve">Such an approach will lead to flawed outcomes; the NTEU’s proposed PAA’s would allow the individual circumstances of each institution to be taken into account in determining if, and how, completion rates would be used to demonstrate how an institution was achieving its objectives.   </w:t>
      </w:r>
    </w:p>
    <w:p w:rsidR="0040065B" w:rsidRDefault="0040065B" w:rsidP="0040065B">
      <w:pPr>
        <w:pStyle w:val="Heading1"/>
        <w:shd w:val="clear" w:color="auto" w:fill="FFFFFF" w:themeFill="background1"/>
        <w:spacing w:before="0" w:beforeAutospacing="0" w:after="75" w:afterAutospacing="0" w:line="288" w:lineRule="atLeast"/>
        <w:rPr>
          <w:rFonts w:ascii="Arial" w:hAnsi="Arial" w:cs="Arial"/>
          <w:b w:val="0"/>
          <w:sz w:val="20"/>
          <w:szCs w:val="20"/>
        </w:rPr>
      </w:pPr>
    </w:p>
    <w:p w:rsidR="00C8321F" w:rsidRPr="0040065B" w:rsidRDefault="00200AA7" w:rsidP="0040065B">
      <w:pPr>
        <w:pStyle w:val="Heading1"/>
        <w:shd w:val="clear" w:color="auto" w:fill="FFFFFF" w:themeFill="background1"/>
        <w:spacing w:before="0" w:beforeAutospacing="0" w:after="75" w:afterAutospacing="0" w:line="288" w:lineRule="atLeast"/>
        <w:rPr>
          <w:rFonts w:ascii="Arial" w:hAnsi="Arial" w:cs="Arial"/>
          <w:b w:val="0"/>
          <w:sz w:val="20"/>
          <w:szCs w:val="20"/>
        </w:rPr>
      </w:pPr>
      <w:r w:rsidRPr="0040065B">
        <w:rPr>
          <w:rFonts w:ascii="Arial" w:hAnsi="Arial" w:cs="Arial"/>
          <w:b w:val="0"/>
          <w:sz w:val="20"/>
          <w:szCs w:val="20"/>
        </w:rPr>
        <w:t xml:space="preserve">As pointed </w:t>
      </w:r>
      <w:r w:rsidR="0018598E" w:rsidRPr="0040065B">
        <w:rPr>
          <w:rFonts w:ascii="Arial" w:hAnsi="Arial" w:cs="Arial"/>
          <w:b w:val="0"/>
          <w:sz w:val="20"/>
          <w:szCs w:val="20"/>
        </w:rPr>
        <w:t>out in the NTEU</w:t>
      </w:r>
      <w:r w:rsidRPr="0040065B">
        <w:rPr>
          <w:rFonts w:ascii="Arial" w:hAnsi="Arial" w:cs="Arial"/>
          <w:b w:val="0"/>
          <w:sz w:val="20"/>
          <w:szCs w:val="20"/>
        </w:rPr>
        <w:t xml:space="preserve"> 201</w:t>
      </w:r>
      <w:r w:rsidR="00D46FCD" w:rsidRPr="0040065B">
        <w:rPr>
          <w:rFonts w:ascii="Arial" w:hAnsi="Arial" w:cs="Arial"/>
          <w:b w:val="0"/>
          <w:sz w:val="20"/>
          <w:szCs w:val="20"/>
        </w:rPr>
        <w:t>5</w:t>
      </w:r>
      <w:r w:rsidRPr="0040065B">
        <w:rPr>
          <w:rFonts w:ascii="Arial" w:hAnsi="Arial" w:cs="Arial"/>
          <w:b w:val="0"/>
          <w:sz w:val="20"/>
          <w:szCs w:val="20"/>
        </w:rPr>
        <w:t xml:space="preserve"> Budget Submission</w:t>
      </w:r>
      <w:r w:rsidRPr="0040065B">
        <w:rPr>
          <w:rFonts w:ascii="Arial" w:hAnsi="Arial" w:cs="Arial"/>
          <w:b w:val="0"/>
          <w:i/>
          <w:sz w:val="20"/>
          <w:szCs w:val="20"/>
        </w:rPr>
        <w:t>,</w:t>
      </w:r>
      <w:r w:rsidRPr="0040065B">
        <w:rPr>
          <w:rFonts w:ascii="Arial" w:hAnsi="Arial" w:cs="Arial"/>
          <w:b w:val="0"/>
          <w:sz w:val="20"/>
          <w:szCs w:val="20"/>
        </w:rPr>
        <w:t xml:space="preserve"> </w:t>
      </w:r>
      <w:r w:rsidR="008F5459" w:rsidRPr="0040065B">
        <w:rPr>
          <w:rFonts w:ascii="Arial" w:hAnsi="Arial" w:cs="Arial"/>
          <w:b w:val="0"/>
          <w:sz w:val="20"/>
          <w:szCs w:val="20"/>
        </w:rPr>
        <w:t>if the demand driven system is</w:t>
      </w:r>
      <w:r w:rsidRPr="0040065B">
        <w:rPr>
          <w:rFonts w:ascii="Arial" w:hAnsi="Arial" w:cs="Arial"/>
          <w:b w:val="0"/>
          <w:sz w:val="20"/>
          <w:szCs w:val="20"/>
        </w:rPr>
        <w:t xml:space="preserve"> extended to sub-degree and postgraduate qualifications and to non-uni</w:t>
      </w:r>
      <w:r w:rsidR="0018598E" w:rsidRPr="0040065B">
        <w:rPr>
          <w:rFonts w:ascii="Arial" w:hAnsi="Arial" w:cs="Arial"/>
          <w:b w:val="0"/>
          <w:sz w:val="20"/>
          <w:szCs w:val="20"/>
        </w:rPr>
        <w:t>versity providers</w:t>
      </w:r>
      <w:r w:rsidR="008F5459" w:rsidRPr="0040065B">
        <w:rPr>
          <w:rFonts w:ascii="Arial" w:hAnsi="Arial" w:cs="Arial"/>
          <w:b w:val="0"/>
          <w:sz w:val="20"/>
          <w:szCs w:val="20"/>
        </w:rPr>
        <w:t>,</w:t>
      </w:r>
      <w:r w:rsidR="0018598E" w:rsidRPr="0040065B">
        <w:rPr>
          <w:rFonts w:ascii="Arial" w:hAnsi="Arial" w:cs="Arial"/>
          <w:b w:val="0"/>
          <w:sz w:val="20"/>
          <w:szCs w:val="20"/>
        </w:rPr>
        <w:t xml:space="preserve"> i</w:t>
      </w:r>
      <w:r w:rsidR="008F5459" w:rsidRPr="0040065B">
        <w:rPr>
          <w:rFonts w:ascii="Arial" w:hAnsi="Arial" w:cs="Arial"/>
          <w:b w:val="0"/>
          <w:sz w:val="20"/>
          <w:szCs w:val="20"/>
        </w:rPr>
        <w:t>t is</w:t>
      </w:r>
      <w:r w:rsidRPr="0040065B">
        <w:rPr>
          <w:rFonts w:ascii="Arial" w:hAnsi="Arial" w:cs="Arial"/>
          <w:b w:val="0"/>
          <w:sz w:val="20"/>
          <w:szCs w:val="20"/>
        </w:rPr>
        <w:t xml:space="preserve"> unsusta</w:t>
      </w:r>
      <w:r w:rsidR="00C8321F" w:rsidRPr="0040065B">
        <w:rPr>
          <w:rFonts w:ascii="Arial" w:hAnsi="Arial" w:cs="Arial"/>
          <w:b w:val="0"/>
          <w:sz w:val="20"/>
          <w:szCs w:val="20"/>
        </w:rPr>
        <w:t>inable</w:t>
      </w:r>
      <w:r w:rsidRPr="0040065B">
        <w:rPr>
          <w:rFonts w:ascii="Arial" w:hAnsi="Arial" w:cs="Arial"/>
          <w:b w:val="0"/>
          <w:sz w:val="20"/>
          <w:szCs w:val="20"/>
        </w:rPr>
        <w:t xml:space="preserve">. </w:t>
      </w:r>
      <w:r w:rsidR="00C8321F" w:rsidRPr="0040065B">
        <w:rPr>
          <w:rFonts w:ascii="Arial" w:hAnsi="Arial" w:cs="Arial"/>
          <w:b w:val="0"/>
          <w:sz w:val="20"/>
          <w:szCs w:val="20"/>
        </w:rPr>
        <w:t>As the experience in VET has clearly demonstrated</w:t>
      </w:r>
      <w:r w:rsidR="008F5459" w:rsidRPr="0040065B">
        <w:rPr>
          <w:rFonts w:ascii="Arial" w:hAnsi="Arial" w:cs="Arial"/>
          <w:b w:val="0"/>
          <w:sz w:val="20"/>
          <w:szCs w:val="20"/>
        </w:rPr>
        <w:t>,</w:t>
      </w:r>
      <w:r w:rsidR="00C8321F" w:rsidRPr="0040065B">
        <w:rPr>
          <w:rFonts w:ascii="Arial" w:hAnsi="Arial" w:cs="Arial"/>
          <w:b w:val="0"/>
          <w:sz w:val="20"/>
          <w:szCs w:val="20"/>
        </w:rPr>
        <w:t xml:space="preserve"> a fully contestable fund</w:t>
      </w:r>
      <w:r w:rsidR="0018598E" w:rsidRPr="0040065B">
        <w:rPr>
          <w:rFonts w:ascii="Arial" w:hAnsi="Arial" w:cs="Arial"/>
          <w:b w:val="0"/>
          <w:sz w:val="20"/>
          <w:szCs w:val="20"/>
        </w:rPr>
        <w:t xml:space="preserve">ing and regulatory framework will </w:t>
      </w:r>
      <w:r w:rsidR="003B69BE" w:rsidRPr="0040065B">
        <w:rPr>
          <w:rFonts w:ascii="Arial" w:hAnsi="Arial" w:cs="Arial"/>
          <w:b w:val="0"/>
          <w:sz w:val="20"/>
          <w:szCs w:val="20"/>
        </w:rPr>
        <w:t xml:space="preserve">quickly </w:t>
      </w:r>
      <w:r w:rsidR="0018598E" w:rsidRPr="0040065B">
        <w:rPr>
          <w:rFonts w:ascii="Arial" w:hAnsi="Arial" w:cs="Arial"/>
          <w:b w:val="0"/>
          <w:sz w:val="20"/>
          <w:szCs w:val="20"/>
        </w:rPr>
        <w:t xml:space="preserve">become </w:t>
      </w:r>
      <w:r w:rsidR="00C8321F" w:rsidRPr="0040065B">
        <w:rPr>
          <w:rFonts w:ascii="Arial" w:hAnsi="Arial" w:cs="Arial"/>
          <w:b w:val="0"/>
          <w:sz w:val="20"/>
          <w:szCs w:val="20"/>
        </w:rPr>
        <w:t xml:space="preserve">fiscally, institutionally and individually unsustainable.  </w:t>
      </w:r>
      <w:r w:rsidR="003B69BE" w:rsidRPr="0040065B">
        <w:rPr>
          <w:rFonts w:ascii="Arial" w:hAnsi="Arial" w:cs="Arial"/>
          <w:b w:val="0"/>
          <w:sz w:val="20"/>
          <w:szCs w:val="20"/>
        </w:rPr>
        <w:t xml:space="preserve">As has been the experience in VET, the </w:t>
      </w:r>
      <w:r w:rsidR="00E46C92" w:rsidRPr="0040065B">
        <w:rPr>
          <w:rFonts w:ascii="Arial" w:hAnsi="Arial" w:cs="Arial"/>
          <w:b w:val="0"/>
          <w:sz w:val="20"/>
          <w:szCs w:val="20"/>
        </w:rPr>
        <w:t>NTEU’s</w:t>
      </w:r>
      <w:r w:rsidR="00C8321F" w:rsidRPr="0040065B">
        <w:rPr>
          <w:rFonts w:ascii="Arial" w:hAnsi="Arial" w:cs="Arial"/>
          <w:b w:val="0"/>
          <w:sz w:val="20"/>
          <w:szCs w:val="20"/>
        </w:rPr>
        <w:t xml:space="preserve"> analysis show</w:t>
      </w:r>
      <w:r w:rsidR="003B69BE" w:rsidRPr="0040065B">
        <w:rPr>
          <w:rFonts w:ascii="Arial" w:hAnsi="Arial" w:cs="Arial"/>
          <w:b w:val="0"/>
          <w:sz w:val="20"/>
          <w:szCs w:val="20"/>
        </w:rPr>
        <w:t>s</w:t>
      </w:r>
      <w:r w:rsidR="00C8321F" w:rsidRPr="0040065B">
        <w:rPr>
          <w:rFonts w:ascii="Arial" w:hAnsi="Arial" w:cs="Arial"/>
          <w:b w:val="0"/>
          <w:sz w:val="20"/>
          <w:szCs w:val="20"/>
        </w:rPr>
        <w:t xml:space="preserve"> that </w:t>
      </w:r>
      <w:r w:rsidR="00422ECC" w:rsidRPr="0040065B">
        <w:rPr>
          <w:rFonts w:ascii="Arial" w:hAnsi="Arial" w:cs="Arial"/>
          <w:b w:val="0"/>
          <w:sz w:val="20"/>
          <w:szCs w:val="20"/>
        </w:rPr>
        <w:t>such</w:t>
      </w:r>
      <w:r w:rsidR="00C8321F" w:rsidRPr="0040065B">
        <w:rPr>
          <w:rFonts w:ascii="Arial" w:hAnsi="Arial" w:cs="Arial"/>
          <w:b w:val="0"/>
          <w:sz w:val="20"/>
          <w:szCs w:val="20"/>
        </w:rPr>
        <w:t xml:space="preserve"> </w:t>
      </w:r>
      <w:r w:rsidR="003B69BE" w:rsidRPr="0040065B">
        <w:rPr>
          <w:rFonts w:ascii="Arial" w:hAnsi="Arial" w:cs="Arial"/>
          <w:b w:val="0"/>
          <w:sz w:val="20"/>
          <w:szCs w:val="20"/>
        </w:rPr>
        <w:t xml:space="preserve">an </w:t>
      </w:r>
      <w:r w:rsidR="00C8321F" w:rsidRPr="0040065B">
        <w:rPr>
          <w:rFonts w:ascii="Arial" w:hAnsi="Arial" w:cs="Arial"/>
          <w:b w:val="0"/>
          <w:sz w:val="20"/>
          <w:szCs w:val="20"/>
        </w:rPr>
        <w:t xml:space="preserve">expansion of the system would lead to budget blowouts, </w:t>
      </w:r>
      <w:r w:rsidR="008F5459" w:rsidRPr="0040065B">
        <w:rPr>
          <w:rFonts w:ascii="Arial" w:hAnsi="Arial" w:cs="Arial"/>
          <w:b w:val="0"/>
          <w:sz w:val="20"/>
          <w:szCs w:val="20"/>
        </w:rPr>
        <w:t xml:space="preserve">which in turn would </w:t>
      </w:r>
      <w:r w:rsidR="00422ECC" w:rsidRPr="0040065B">
        <w:rPr>
          <w:rFonts w:ascii="Arial" w:hAnsi="Arial" w:cs="Arial"/>
          <w:b w:val="0"/>
          <w:sz w:val="20"/>
          <w:szCs w:val="20"/>
        </w:rPr>
        <w:t xml:space="preserve">most likely </w:t>
      </w:r>
      <w:r w:rsidR="008F5459" w:rsidRPr="0040065B">
        <w:rPr>
          <w:rFonts w:ascii="Arial" w:hAnsi="Arial" w:cs="Arial"/>
          <w:b w:val="0"/>
          <w:sz w:val="20"/>
          <w:szCs w:val="20"/>
        </w:rPr>
        <w:t xml:space="preserve">result in </w:t>
      </w:r>
      <w:r w:rsidR="00C8321F" w:rsidRPr="0040065B">
        <w:rPr>
          <w:rFonts w:ascii="Arial" w:hAnsi="Arial" w:cs="Arial"/>
          <w:b w:val="0"/>
          <w:sz w:val="20"/>
          <w:szCs w:val="20"/>
        </w:rPr>
        <w:t xml:space="preserve">cuts to funding per student and </w:t>
      </w:r>
      <w:r w:rsidR="008F5459" w:rsidRPr="0040065B">
        <w:rPr>
          <w:rFonts w:ascii="Arial" w:hAnsi="Arial" w:cs="Arial"/>
          <w:b w:val="0"/>
          <w:sz w:val="20"/>
          <w:szCs w:val="20"/>
        </w:rPr>
        <w:t xml:space="preserve">further cost shifts to students through </w:t>
      </w:r>
      <w:r w:rsidR="00C8321F" w:rsidRPr="0040065B">
        <w:rPr>
          <w:rFonts w:ascii="Arial" w:hAnsi="Arial" w:cs="Arial"/>
          <w:b w:val="0"/>
          <w:sz w:val="20"/>
          <w:szCs w:val="20"/>
        </w:rPr>
        <w:t xml:space="preserve">increased contributions. </w:t>
      </w:r>
    </w:p>
    <w:p w:rsidR="0040065B" w:rsidRDefault="0040065B" w:rsidP="0040065B">
      <w:pPr>
        <w:rPr>
          <w:sz w:val="20"/>
          <w:szCs w:val="20"/>
        </w:rPr>
      </w:pPr>
    </w:p>
    <w:p w:rsidR="00B336C8" w:rsidRPr="0040065B" w:rsidRDefault="00794929" w:rsidP="0040065B">
      <w:pPr>
        <w:rPr>
          <w:sz w:val="20"/>
          <w:szCs w:val="20"/>
        </w:rPr>
      </w:pPr>
      <w:r w:rsidRPr="0040065B">
        <w:rPr>
          <w:sz w:val="20"/>
          <w:szCs w:val="20"/>
        </w:rPr>
        <w:t>T</w:t>
      </w:r>
      <w:r w:rsidR="00C248D3" w:rsidRPr="0040065B">
        <w:rPr>
          <w:sz w:val="20"/>
          <w:szCs w:val="20"/>
        </w:rPr>
        <w:t xml:space="preserve">he </w:t>
      </w:r>
      <w:r w:rsidR="00D74116" w:rsidRPr="0040065B">
        <w:rPr>
          <w:sz w:val="20"/>
          <w:szCs w:val="20"/>
        </w:rPr>
        <w:t>Government</w:t>
      </w:r>
      <w:r w:rsidR="003B69BE" w:rsidRPr="0040065B">
        <w:rPr>
          <w:sz w:val="20"/>
          <w:szCs w:val="20"/>
        </w:rPr>
        <w:t xml:space="preserve"> </w:t>
      </w:r>
      <w:r w:rsidR="00EC4C93">
        <w:rPr>
          <w:sz w:val="20"/>
          <w:szCs w:val="20"/>
        </w:rPr>
        <w:t>must</w:t>
      </w:r>
      <w:r w:rsidR="003B69BE" w:rsidRPr="0040065B">
        <w:rPr>
          <w:sz w:val="20"/>
          <w:szCs w:val="20"/>
        </w:rPr>
        <w:t xml:space="preserve"> learn </w:t>
      </w:r>
      <w:r w:rsidR="00EC4C93">
        <w:rPr>
          <w:sz w:val="20"/>
          <w:szCs w:val="20"/>
        </w:rPr>
        <w:t>heed</w:t>
      </w:r>
      <w:r w:rsidR="003B69BE" w:rsidRPr="0040065B">
        <w:rPr>
          <w:sz w:val="20"/>
          <w:szCs w:val="20"/>
        </w:rPr>
        <w:t xml:space="preserve"> its own </w:t>
      </w:r>
      <w:r w:rsidR="00EC4C93">
        <w:rPr>
          <w:sz w:val="20"/>
          <w:szCs w:val="20"/>
        </w:rPr>
        <w:t xml:space="preserve">experience of full market contestability in </w:t>
      </w:r>
      <w:r w:rsidR="003B69BE" w:rsidRPr="0040065B">
        <w:rPr>
          <w:sz w:val="20"/>
          <w:szCs w:val="20"/>
        </w:rPr>
        <w:t>VET.  W</w:t>
      </w:r>
      <w:r w:rsidR="00022218" w:rsidRPr="0040065B">
        <w:rPr>
          <w:sz w:val="20"/>
          <w:szCs w:val="20"/>
        </w:rPr>
        <w:t xml:space="preserve">e </w:t>
      </w:r>
      <w:r w:rsidR="003B69BE" w:rsidRPr="0040065B">
        <w:rPr>
          <w:sz w:val="20"/>
          <w:szCs w:val="20"/>
        </w:rPr>
        <w:t xml:space="preserve">propose </w:t>
      </w:r>
      <w:r w:rsidR="00022218" w:rsidRPr="0040065B">
        <w:rPr>
          <w:sz w:val="20"/>
          <w:szCs w:val="20"/>
        </w:rPr>
        <w:t xml:space="preserve">an alternative funding and regulatory framework </w:t>
      </w:r>
      <w:r w:rsidR="00B336C8" w:rsidRPr="0040065B">
        <w:rPr>
          <w:sz w:val="20"/>
          <w:szCs w:val="20"/>
        </w:rPr>
        <w:t xml:space="preserve">designed to </w:t>
      </w:r>
      <w:r w:rsidR="00C248D3" w:rsidRPr="0040065B">
        <w:rPr>
          <w:sz w:val="20"/>
          <w:szCs w:val="20"/>
        </w:rPr>
        <w:t>mitigate</w:t>
      </w:r>
      <w:r w:rsidR="00571429" w:rsidRPr="0040065B">
        <w:rPr>
          <w:sz w:val="20"/>
          <w:szCs w:val="20"/>
        </w:rPr>
        <w:t xml:space="preserve"> </w:t>
      </w:r>
      <w:r w:rsidR="00022218" w:rsidRPr="0040065B">
        <w:rPr>
          <w:sz w:val="20"/>
          <w:szCs w:val="20"/>
        </w:rPr>
        <w:t>the risks of a market driven approach</w:t>
      </w:r>
      <w:r w:rsidR="008F5459" w:rsidRPr="0040065B">
        <w:rPr>
          <w:sz w:val="20"/>
          <w:szCs w:val="20"/>
        </w:rPr>
        <w:t>,</w:t>
      </w:r>
      <w:r w:rsidR="00022218" w:rsidRPr="0040065B">
        <w:rPr>
          <w:sz w:val="20"/>
          <w:szCs w:val="20"/>
        </w:rPr>
        <w:t xml:space="preserve"> </w:t>
      </w:r>
      <w:r w:rsidR="00B336C8" w:rsidRPr="0040065B">
        <w:rPr>
          <w:sz w:val="20"/>
          <w:szCs w:val="20"/>
        </w:rPr>
        <w:t xml:space="preserve">without losing the </w:t>
      </w:r>
      <w:r w:rsidR="00022218" w:rsidRPr="0040065B">
        <w:rPr>
          <w:sz w:val="20"/>
          <w:szCs w:val="20"/>
        </w:rPr>
        <w:t xml:space="preserve">flexibility and </w:t>
      </w:r>
      <w:r w:rsidR="00B336C8" w:rsidRPr="0040065B">
        <w:rPr>
          <w:sz w:val="20"/>
          <w:szCs w:val="20"/>
        </w:rPr>
        <w:t xml:space="preserve">capacity </w:t>
      </w:r>
      <w:r w:rsidR="00A75DD4" w:rsidRPr="0040065B">
        <w:rPr>
          <w:sz w:val="20"/>
          <w:szCs w:val="20"/>
        </w:rPr>
        <w:t xml:space="preserve">to </w:t>
      </w:r>
      <w:r w:rsidR="00B336C8" w:rsidRPr="0040065B">
        <w:rPr>
          <w:sz w:val="20"/>
          <w:szCs w:val="20"/>
        </w:rPr>
        <w:t>respond to chang</w:t>
      </w:r>
      <w:r w:rsidR="00406BA5" w:rsidRPr="0040065B">
        <w:rPr>
          <w:sz w:val="20"/>
          <w:szCs w:val="20"/>
        </w:rPr>
        <w:t xml:space="preserve">ing </w:t>
      </w:r>
      <w:r w:rsidR="00B336C8" w:rsidRPr="0040065B">
        <w:rPr>
          <w:sz w:val="20"/>
          <w:szCs w:val="20"/>
        </w:rPr>
        <w:t>circumstances.</w:t>
      </w:r>
    </w:p>
    <w:p w:rsidR="00C8321F" w:rsidRDefault="00C8321F" w:rsidP="00C8321F">
      <w:pPr>
        <w:spacing w:after="0"/>
        <w:jc w:val="both"/>
        <w:rPr>
          <w:sz w:val="20"/>
          <w:szCs w:val="20"/>
        </w:rPr>
      </w:pPr>
      <w:r>
        <w:rPr>
          <w:sz w:val="20"/>
          <w:szCs w:val="20"/>
        </w:rPr>
        <w:lastRenderedPageBreak/>
        <w:t xml:space="preserve">In </w:t>
      </w:r>
      <w:r w:rsidR="00A75DD4">
        <w:rPr>
          <w:sz w:val="20"/>
          <w:szCs w:val="20"/>
        </w:rPr>
        <w:t xml:space="preserve">summary </w:t>
      </w:r>
      <w:r>
        <w:rPr>
          <w:sz w:val="20"/>
          <w:szCs w:val="20"/>
        </w:rPr>
        <w:t>the framework being proposed by the NTEU would:</w:t>
      </w:r>
    </w:p>
    <w:p w:rsidR="00C8321F" w:rsidRPr="00C8321F" w:rsidRDefault="00C8321F" w:rsidP="00C8321F">
      <w:pPr>
        <w:pStyle w:val="ListParagraph"/>
        <w:numPr>
          <w:ilvl w:val="0"/>
          <w:numId w:val="11"/>
        </w:numPr>
        <w:spacing w:after="0"/>
        <w:jc w:val="both"/>
        <w:rPr>
          <w:sz w:val="20"/>
          <w:szCs w:val="20"/>
        </w:rPr>
      </w:pPr>
      <w:r w:rsidRPr="00C8321F">
        <w:rPr>
          <w:sz w:val="20"/>
          <w:szCs w:val="20"/>
        </w:rPr>
        <w:t>maintain the cap on fees universities can charge for Commonwealth Supported places (CSPs)</w:t>
      </w:r>
      <w:r w:rsidR="00A75DD4">
        <w:rPr>
          <w:sz w:val="20"/>
          <w:szCs w:val="20"/>
        </w:rPr>
        <w:t>;</w:t>
      </w:r>
      <w:r w:rsidRPr="00C8321F">
        <w:rPr>
          <w:sz w:val="20"/>
          <w:szCs w:val="20"/>
        </w:rPr>
        <w:t xml:space="preserve"> </w:t>
      </w:r>
    </w:p>
    <w:p w:rsidR="00C8321F" w:rsidRPr="00C8321F" w:rsidRDefault="00C8321F" w:rsidP="00C8321F">
      <w:pPr>
        <w:pStyle w:val="ListParagraph"/>
        <w:numPr>
          <w:ilvl w:val="0"/>
          <w:numId w:val="11"/>
        </w:numPr>
        <w:spacing w:after="0"/>
        <w:jc w:val="both"/>
        <w:rPr>
          <w:sz w:val="20"/>
          <w:szCs w:val="20"/>
        </w:rPr>
      </w:pPr>
      <w:r w:rsidRPr="00C8321F">
        <w:rPr>
          <w:sz w:val="20"/>
          <w:szCs w:val="20"/>
        </w:rPr>
        <w:t>restrict eligibility for CSPs to public higher education providers</w:t>
      </w:r>
      <w:r w:rsidR="00A75DD4">
        <w:rPr>
          <w:sz w:val="20"/>
          <w:szCs w:val="20"/>
        </w:rPr>
        <w:t>;</w:t>
      </w:r>
      <w:r w:rsidRPr="00C8321F">
        <w:rPr>
          <w:sz w:val="20"/>
          <w:szCs w:val="20"/>
        </w:rPr>
        <w:t xml:space="preserve"> </w:t>
      </w:r>
    </w:p>
    <w:p w:rsidR="00C8321F" w:rsidRPr="00C8321F" w:rsidRDefault="00C8321F" w:rsidP="00C8321F">
      <w:pPr>
        <w:pStyle w:val="ListParagraph"/>
        <w:numPr>
          <w:ilvl w:val="0"/>
          <w:numId w:val="11"/>
        </w:numPr>
        <w:spacing w:after="0"/>
        <w:jc w:val="both"/>
        <w:rPr>
          <w:sz w:val="20"/>
          <w:szCs w:val="20"/>
        </w:rPr>
      </w:pPr>
      <w:r w:rsidRPr="00C8321F">
        <w:rPr>
          <w:sz w:val="20"/>
          <w:szCs w:val="20"/>
        </w:rPr>
        <w:t>use Public Accountability Agreements (PAAs) as the basis of flexible and coordinated oversight for the allocation of CSPs</w:t>
      </w:r>
      <w:r w:rsidR="00A75DD4">
        <w:rPr>
          <w:sz w:val="20"/>
          <w:szCs w:val="20"/>
        </w:rPr>
        <w:t>;</w:t>
      </w:r>
      <w:r w:rsidRPr="00C8321F">
        <w:rPr>
          <w:sz w:val="20"/>
          <w:szCs w:val="20"/>
        </w:rPr>
        <w:t xml:space="preserve"> and </w:t>
      </w:r>
    </w:p>
    <w:p w:rsidR="00C8321F" w:rsidRPr="00C8321F" w:rsidRDefault="00C8321F" w:rsidP="00C8321F">
      <w:pPr>
        <w:pStyle w:val="ListParagraph"/>
        <w:numPr>
          <w:ilvl w:val="0"/>
          <w:numId w:val="10"/>
        </w:numPr>
        <w:spacing w:after="0"/>
        <w:jc w:val="both"/>
        <w:rPr>
          <w:sz w:val="20"/>
          <w:szCs w:val="20"/>
        </w:rPr>
      </w:pPr>
      <w:r w:rsidRPr="00C8321F">
        <w:rPr>
          <w:sz w:val="20"/>
          <w:szCs w:val="20"/>
        </w:rPr>
        <w:t>establish an independent agency or council with statutory planning and funding responsibilities to negotiate and administer PAAs.</w:t>
      </w:r>
    </w:p>
    <w:p w:rsidR="00C8321F" w:rsidRDefault="00C8321F" w:rsidP="00C8321F">
      <w:pPr>
        <w:spacing w:after="0"/>
        <w:jc w:val="both"/>
        <w:rPr>
          <w:sz w:val="20"/>
          <w:szCs w:val="20"/>
        </w:rPr>
      </w:pPr>
    </w:p>
    <w:p w:rsidR="00E16D2C" w:rsidRDefault="00F5236C" w:rsidP="00B336C8">
      <w:pPr>
        <w:spacing w:after="0"/>
        <w:jc w:val="both"/>
        <w:rPr>
          <w:sz w:val="20"/>
          <w:szCs w:val="20"/>
        </w:rPr>
      </w:pPr>
      <w:r>
        <w:rPr>
          <w:sz w:val="20"/>
          <w:szCs w:val="20"/>
        </w:rPr>
        <w:t>It is important to emphasise that u</w:t>
      </w:r>
      <w:r w:rsidR="00C8321F">
        <w:rPr>
          <w:sz w:val="20"/>
          <w:szCs w:val="20"/>
        </w:rPr>
        <w:t xml:space="preserve">nder the proposed framework </w:t>
      </w:r>
      <w:r w:rsidR="00EC4C93">
        <w:rPr>
          <w:sz w:val="20"/>
          <w:szCs w:val="20"/>
        </w:rPr>
        <w:t xml:space="preserve">hard </w:t>
      </w:r>
      <w:r w:rsidR="0044554B">
        <w:rPr>
          <w:sz w:val="20"/>
          <w:szCs w:val="20"/>
        </w:rPr>
        <w:t xml:space="preserve">caps </w:t>
      </w:r>
      <w:r w:rsidR="00EC4C93">
        <w:rPr>
          <w:sz w:val="20"/>
          <w:szCs w:val="20"/>
        </w:rPr>
        <w:t xml:space="preserve">would not be </w:t>
      </w:r>
      <w:r w:rsidR="0044554B">
        <w:rPr>
          <w:sz w:val="20"/>
          <w:szCs w:val="20"/>
        </w:rPr>
        <w:t xml:space="preserve">placed on the number of students each university would be allowed to enrol. The independent council would be responsible for coordinating and moderating PAAs. Unlike the old system where the number of places would be allocated </w:t>
      </w:r>
      <w:r w:rsidR="0018598E">
        <w:rPr>
          <w:sz w:val="20"/>
          <w:szCs w:val="20"/>
        </w:rPr>
        <w:t>by the Commonwealth</w:t>
      </w:r>
      <w:r w:rsidR="0044554B">
        <w:rPr>
          <w:sz w:val="20"/>
          <w:szCs w:val="20"/>
        </w:rPr>
        <w:t>, the NTEU’s proposal would be a system of planned and managed soft caps which would take into account not only the capacity of the system to provide all students with a high quality educational experience</w:t>
      </w:r>
      <w:r w:rsidR="00EC4C93">
        <w:rPr>
          <w:sz w:val="20"/>
          <w:szCs w:val="20"/>
        </w:rPr>
        <w:t>,</w:t>
      </w:r>
      <w:r w:rsidR="0044554B">
        <w:rPr>
          <w:sz w:val="20"/>
          <w:szCs w:val="20"/>
        </w:rPr>
        <w:t xml:space="preserve"> but also ensure that they graduate with the appropr</w:t>
      </w:r>
      <w:r w:rsidR="00EC4C93">
        <w:rPr>
          <w:sz w:val="20"/>
          <w:szCs w:val="20"/>
        </w:rPr>
        <w:t xml:space="preserve">iate skills to make them </w:t>
      </w:r>
      <w:r w:rsidR="0044554B">
        <w:rPr>
          <w:sz w:val="20"/>
          <w:szCs w:val="20"/>
        </w:rPr>
        <w:t>employable.</w:t>
      </w:r>
    </w:p>
    <w:p w:rsidR="00E16D2C" w:rsidRDefault="00E16D2C" w:rsidP="00B336C8">
      <w:pPr>
        <w:spacing w:after="0"/>
        <w:jc w:val="both"/>
        <w:rPr>
          <w:sz w:val="20"/>
          <w:szCs w:val="20"/>
        </w:rPr>
      </w:pPr>
    </w:p>
    <w:p w:rsidR="00286CF4" w:rsidRDefault="00E16D2C" w:rsidP="00B336C8">
      <w:pPr>
        <w:spacing w:after="0"/>
        <w:jc w:val="both"/>
        <w:rPr>
          <w:sz w:val="20"/>
          <w:szCs w:val="20"/>
        </w:rPr>
      </w:pPr>
      <w:r>
        <w:rPr>
          <w:sz w:val="20"/>
          <w:szCs w:val="20"/>
        </w:rPr>
        <w:t>A better planned and managed system</w:t>
      </w:r>
      <w:r w:rsidR="00BF2CD8">
        <w:rPr>
          <w:sz w:val="20"/>
          <w:szCs w:val="20"/>
        </w:rPr>
        <w:t>,</w:t>
      </w:r>
      <w:r>
        <w:rPr>
          <w:sz w:val="20"/>
          <w:szCs w:val="20"/>
        </w:rPr>
        <w:t xml:space="preserve"> as proposed by the NTEU</w:t>
      </w:r>
      <w:r w:rsidR="00BF2CD8">
        <w:rPr>
          <w:sz w:val="20"/>
          <w:szCs w:val="20"/>
        </w:rPr>
        <w:t>,</w:t>
      </w:r>
      <w:r>
        <w:rPr>
          <w:sz w:val="20"/>
          <w:szCs w:val="20"/>
        </w:rPr>
        <w:t xml:space="preserve"> would not only ensure that all students enrolling in university were given the opportunity to succeed</w:t>
      </w:r>
      <w:r w:rsidR="00F82AC3">
        <w:rPr>
          <w:sz w:val="20"/>
          <w:szCs w:val="20"/>
        </w:rPr>
        <w:t>, i</w:t>
      </w:r>
      <w:r w:rsidR="00D83F88">
        <w:rPr>
          <w:sz w:val="20"/>
          <w:szCs w:val="20"/>
        </w:rPr>
        <w:t xml:space="preserve">t would also give the Commonwealth greater certainty over the level of public expenditure on higher education (unlike </w:t>
      </w:r>
      <w:r w:rsidR="00A75DD4">
        <w:rPr>
          <w:sz w:val="20"/>
          <w:szCs w:val="20"/>
        </w:rPr>
        <w:t xml:space="preserve">the </w:t>
      </w:r>
      <w:r w:rsidR="00D83F88">
        <w:rPr>
          <w:sz w:val="20"/>
          <w:szCs w:val="20"/>
        </w:rPr>
        <w:t xml:space="preserve">current situation which effectively gives universities a blank cheque) and </w:t>
      </w:r>
      <w:r w:rsidR="00F82AC3">
        <w:rPr>
          <w:sz w:val="20"/>
          <w:szCs w:val="20"/>
        </w:rPr>
        <w:t>give</w:t>
      </w:r>
      <w:r w:rsidR="00A75DD4">
        <w:rPr>
          <w:sz w:val="20"/>
          <w:szCs w:val="20"/>
        </w:rPr>
        <w:t>s</w:t>
      </w:r>
      <w:r w:rsidR="00D83F88">
        <w:rPr>
          <w:sz w:val="20"/>
          <w:szCs w:val="20"/>
        </w:rPr>
        <w:t xml:space="preserve"> industry and the public greater confidence in our universities.</w:t>
      </w:r>
      <w:r w:rsidR="0044554B">
        <w:rPr>
          <w:sz w:val="20"/>
          <w:szCs w:val="20"/>
        </w:rPr>
        <w:t xml:space="preserve">  </w:t>
      </w:r>
      <w:r w:rsidR="00286CF4">
        <w:rPr>
          <w:sz w:val="20"/>
          <w:szCs w:val="20"/>
        </w:rPr>
        <w:t xml:space="preserve"> </w:t>
      </w:r>
    </w:p>
    <w:p w:rsidR="00B336C8" w:rsidRDefault="00286CF4" w:rsidP="00B336C8">
      <w:pPr>
        <w:spacing w:after="0"/>
        <w:jc w:val="both"/>
      </w:pPr>
      <w:r>
        <w:rPr>
          <w:sz w:val="20"/>
          <w:szCs w:val="20"/>
        </w:rPr>
        <w:t xml:space="preserve">  </w:t>
      </w:r>
      <w:r w:rsidR="00B336C8">
        <w:t xml:space="preserve">  </w:t>
      </w:r>
    </w:p>
    <w:p w:rsidR="0018598E" w:rsidRPr="00345B2B" w:rsidRDefault="00406BA5" w:rsidP="00872496">
      <w:pPr>
        <w:rPr>
          <w:sz w:val="28"/>
          <w:szCs w:val="28"/>
        </w:rPr>
      </w:pPr>
      <w:r w:rsidRPr="00345B2B">
        <w:rPr>
          <w:b/>
          <w:sz w:val="28"/>
          <w:szCs w:val="28"/>
        </w:rPr>
        <w:t>Sp</w:t>
      </w:r>
      <w:r w:rsidR="009F0C93" w:rsidRPr="00345B2B">
        <w:rPr>
          <w:b/>
          <w:sz w:val="28"/>
          <w:szCs w:val="28"/>
        </w:rPr>
        <w:t xml:space="preserve">ecific </w:t>
      </w:r>
      <w:r w:rsidR="00E41749" w:rsidRPr="00345B2B">
        <w:rPr>
          <w:b/>
          <w:sz w:val="28"/>
          <w:szCs w:val="28"/>
        </w:rPr>
        <w:t xml:space="preserve">policy </w:t>
      </w:r>
      <w:r w:rsidR="009F0C93" w:rsidRPr="00345B2B">
        <w:rPr>
          <w:b/>
          <w:sz w:val="28"/>
          <w:szCs w:val="28"/>
        </w:rPr>
        <w:t>issues</w:t>
      </w:r>
    </w:p>
    <w:p w:rsidR="0024529F" w:rsidRDefault="00A75DD4">
      <w:pPr>
        <w:rPr>
          <w:b/>
        </w:rPr>
      </w:pPr>
      <w:r>
        <w:rPr>
          <w:sz w:val="20"/>
          <w:szCs w:val="20"/>
        </w:rPr>
        <w:t>The f</w:t>
      </w:r>
      <w:r w:rsidR="00944BF1">
        <w:rPr>
          <w:sz w:val="20"/>
          <w:szCs w:val="20"/>
        </w:rPr>
        <w:t>ollowing is the NTEU</w:t>
      </w:r>
      <w:r w:rsidR="009C0117">
        <w:rPr>
          <w:sz w:val="20"/>
          <w:szCs w:val="20"/>
        </w:rPr>
        <w:t xml:space="preserve">’s response to each of </w:t>
      </w:r>
      <w:r>
        <w:rPr>
          <w:sz w:val="20"/>
          <w:szCs w:val="20"/>
        </w:rPr>
        <w:t xml:space="preserve">the </w:t>
      </w:r>
      <w:r w:rsidR="009C0117">
        <w:rPr>
          <w:sz w:val="20"/>
          <w:szCs w:val="20"/>
        </w:rPr>
        <w:t xml:space="preserve">policy issues </w:t>
      </w:r>
      <w:r w:rsidR="00D46FCD">
        <w:rPr>
          <w:sz w:val="20"/>
          <w:szCs w:val="20"/>
        </w:rPr>
        <w:t xml:space="preserve">which remain to be resolved in relation to higher education policy </w:t>
      </w:r>
      <w:r w:rsidR="00C248D3">
        <w:rPr>
          <w:sz w:val="20"/>
          <w:szCs w:val="20"/>
        </w:rPr>
        <w:t xml:space="preserve">and funding as outlined in the </w:t>
      </w:r>
      <w:r w:rsidR="00D74116">
        <w:rPr>
          <w:sz w:val="20"/>
          <w:szCs w:val="20"/>
        </w:rPr>
        <w:t>Government</w:t>
      </w:r>
      <w:r w:rsidR="00D46FCD">
        <w:rPr>
          <w:sz w:val="20"/>
          <w:szCs w:val="20"/>
        </w:rPr>
        <w:t xml:space="preserve">’s </w:t>
      </w:r>
      <w:r w:rsidR="00D46FCD" w:rsidRPr="003B69BE">
        <w:rPr>
          <w:i/>
          <w:sz w:val="20"/>
          <w:szCs w:val="20"/>
        </w:rPr>
        <w:t>Driving Innovation</w:t>
      </w:r>
      <w:r w:rsidR="00D46FCD">
        <w:rPr>
          <w:sz w:val="20"/>
          <w:szCs w:val="20"/>
        </w:rPr>
        <w:t xml:space="preserve"> discussion paper</w:t>
      </w:r>
      <w:r w:rsidR="009C0117">
        <w:rPr>
          <w:sz w:val="20"/>
          <w:szCs w:val="20"/>
        </w:rPr>
        <w:t xml:space="preserve">.  </w:t>
      </w:r>
    </w:p>
    <w:p w:rsidR="006F047E" w:rsidRDefault="006F047E" w:rsidP="00872496">
      <w:pPr>
        <w:rPr>
          <w:b/>
        </w:rPr>
      </w:pPr>
      <w:r w:rsidRPr="006F047E">
        <w:rPr>
          <w:b/>
        </w:rPr>
        <w:t>Expansion of the demand driven system</w:t>
      </w:r>
    </w:p>
    <w:p w:rsidR="006F047E" w:rsidRDefault="006F047E" w:rsidP="00872496">
      <w:pPr>
        <w:rPr>
          <w:sz w:val="20"/>
          <w:szCs w:val="20"/>
        </w:rPr>
      </w:pPr>
      <w:r>
        <w:rPr>
          <w:sz w:val="20"/>
          <w:szCs w:val="20"/>
        </w:rPr>
        <w:t xml:space="preserve">The </w:t>
      </w:r>
      <w:r w:rsidR="00D74116">
        <w:rPr>
          <w:sz w:val="20"/>
          <w:szCs w:val="20"/>
        </w:rPr>
        <w:t>Government</w:t>
      </w:r>
      <w:r w:rsidR="00C248D3">
        <w:rPr>
          <w:sz w:val="20"/>
          <w:szCs w:val="20"/>
        </w:rPr>
        <w:t>’s</w:t>
      </w:r>
      <w:r w:rsidR="003B69BE">
        <w:rPr>
          <w:sz w:val="20"/>
          <w:szCs w:val="20"/>
        </w:rPr>
        <w:t xml:space="preserve"> plans are for </w:t>
      </w:r>
      <w:r>
        <w:rPr>
          <w:sz w:val="20"/>
          <w:szCs w:val="20"/>
        </w:rPr>
        <w:t xml:space="preserve">the demand driven system </w:t>
      </w:r>
      <w:r w:rsidR="003B69BE">
        <w:rPr>
          <w:sz w:val="20"/>
          <w:szCs w:val="20"/>
        </w:rPr>
        <w:t xml:space="preserve">to be </w:t>
      </w:r>
      <w:r>
        <w:rPr>
          <w:sz w:val="20"/>
          <w:szCs w:val="20"/>
        </w:rPr>
        <w:t>expanded to include:</w:t>
      </w:r>
    </w:p>
    <w:p w:rsidR="001F3EAA" w:rsidRDefault="006F047E" w:rsidP="006F047E">
      <w:pPr>
        <w:pStyle w:val="ListParagraph"/>
        <w:numPr>
          <w:ilvl w:val="0"/>
          <w:numId w:val="6"/>
        </w:numPr>
        <w:rPr>
          <w:sz w:val="20"/>
          <w:szCs w:val="20"/>
        </w:rPr>
      </w:pPr>
      <w:r>
        <w:rPr>
          <w:sz w:val="20"/>
          <w:szCs w:val="20"/>
        </w:rPr>
        <w:t>all registered higher education providers, includi</w:t>
      </w:r>
      <w:r w:rsidR="00A75DD4">
        <w:rPr>
          <w:sz w:val="20"/>
          <w:szCs w:val="20"/>
        </w:rPr>
        <w:t>ng for</w:t>
      </w:r>
      <w:r w:rsidR="00406BA5">
        <w:rPr>
          <w:sz w:val="20"/>
          <w:szCs w:val="20"/>
        </w:rPr>
        <w:t>-</w:t>
      </w:r>
      <w:r w:rsidR="00A75DD4">
        <w:rPr>
          <w:sz w:val="20"/>
          <w:szCs w:val="20"/>
        </w:rPr>
        <w:t>profit</w:t>
      </w:r>
      <w:r w:rsidR="00406BA5">
        <w:rPr>
          <w:sz w:val="20"/>
          <w:szCs w:val="20"/>
        </w:rPr>
        <w:t xml:space="preserve"> </w:t>
      </w:r>
      <w:r w:rsidR="00A75DD4">
        <w:rPr>
          <w:sz w:val="20"/>
          <w:szCs w:val="20"/>
        </w:rPr>
        <w:t>private providers:</w:t>
      </w:r>
    </w:p>
    <w:p w:rsidR="006F047E" w:rsidRDefault="006F047E" w:rsidP="006F047E">
      <w:pPr>
        <w:pStyle w:val="ListParagraph"/>
        <w:numPr>
          <w:ilvl w:val="0"/>
          <w:numId w:val="6"/>
        </w:numPr>
        <w:rPr>
          <w:sz w:val="20"/>
          <w:szCs w:val="20"/>
        </w:rPr>
      </w:pPr>
      <w:r>
        <w:rPr>
          <w:sz w:val="20"/>
          <w:szCs w:val="20"/>
        </w:rPr>
        <w:t>sub-bachelor level higher education qualifications</w:t>
      </w:r>
      <w:r w:rsidR="00A75DD4">
        <w:rPr>
          <w:sz w:val="20"/>
          <w:szCs w:val="20"/>
        </w:rPr>
        <w:t>;</w:t>
      </w:r>
      <w:r>
        <w:rPr>
          <w:sz w:val="20"/>
          <w:szCs w:val="20"/>
        </w:rPr>
        <w:t xml:space="preserve"> and/or</w:t>
      </w:r>
    </w:p>
    <w:p w:rsidR="006F047E" w:rsidRDefault="006F047E" w:rsidP="006F047E">
      <w:pPr>
        <w:pStyle w:val="ListParagraph"/>
        <w:numPr>
          <w:ilvl w:val="0"/>
          <w:numId w:val="6"/>
        </w:numPr>
        <w:rPr>
          <w:sz w:val="20"/>
          <w:szCs w:val="20"/>
        </w:rPr>
      </w:pPr>
      <w:r>
        <w:rPr>
          <w:sz w:val="20"/>
          <w:szCs w:val="20"/>
        </w:rPr>
        <w:t>postgraduate course work qualifications.</w:t>
      </w:r>
    </w:p>
    <w:p w:rsidR="00081FCA" w:rsidRDefault="006F047E" w:rsidP="006F047E">
      <w:pPr>
        <w:rPr>
          <w:sz w:val="20"/>
          <w:szCs w:val="20"/>
        </w:rPr>
      </w:pPr>
      <w:r>
        <w:rPr>
          <w:sz w:val="20"/>
          <w:szCs w:val="20"/>
        </w:rPr>
        <w:t>The overwhelming evidence from the vocational education and training (VET) sector s</w:t>
      </w:r>
      <w:r w:rsidR="000A1F9A">
        <w:rPr>
          <w:sz w:val="20"/>
          <w:szCs w:val="20"/>
        </w:rPr>
        <w:t xml:space="preserve">hows that, </w:t>
      </w:r>
      <w:r w:rsidR="00081FCA">
        <w:rPr>
          <w:sz w:val="20"/>
          <w:szCs w:val="20"/>
        </w:rPr>
        <w:t xml:space="preserve">even </w:t>
      </w:r>
      <w:r>
        <w:rPr>
          <w:sz w:val="20"/>
          <w:szCs w:val="20"/>
        </w:rPr>
        <w:t xml:space="preserve">with the regulation in place, </w:t>
      </w:r>
      <w:r w:rsidR="00081FCA">
        <w:rPr>
          <w:sz w:val="20"/>
          <w:szCs w:val="20"/>
        </w:rPr>
        <w:t>a fully contestable market in tertiary education fail</w:t>
      </w:r>
      <w:r w:rsidR="000A1F9A">
        <w:rPr>
          <w:sz w:val="20"/>
          <w:szCs w:val="20"/>
        </w:rPr>
        <w:t>s</w:t>
      </w:r>
      <w:r w:rsidR="00081FCA">
        <w:rPr>
          <w:sz w:val="20"/>
          <w:szCs w:val="20"/>
        </w:rPr>
        <w:t xml:space="preserve"> to </w:t>
      </w:r>
      <w:r w:rsidR="000A1F9A">
        <w:rPr>
          <w:sz w:val="20"/>
          <w:szCs w:val="20"/>
        </w:rPr>
        <w:t>plan for</w:t>
      </w:r>
      <w:r w:rsidR="006D42EB">
        <w:rPr>
          <w:sz w:val="20"/>
          <w:szCs w:val="20"/>
        </w:rPr>
        <w:t>,</w:t>
      </w:r>
      <w:r w:rsidR="000A1F9A">
        <w:rPr>
          <w:sz w:val="20"/>
          <w:szCs w:val="20"/>
        </w:rPr>
        <w:t xml:space="preserve"> or deliver adequately</w:t>
      </w:r>
      <w:r w:rsidR="006D42EB">
        <w:rPr>
          <w:sz w:val="20"/>
          <w:szCs w:val="20"/>
        </w:rPr>
        <w:t>,</w:t>
      </w:r>
      <w:r w:rsidR="000A1F9A">
        <w:rPr>
          <w:sz w:val="20"/>
          <w:szCs w:val="20"/>
        </w:rPr>
        <w:t xml:space="preserve"> qualified graduates into</w:t>
      </w:r>
      <w:r w:rsidR="00081FCA">
        <w:rPr>
          <w:sz w:val="20"/>
          <w:szCs w:val="20"/>
        </w:rPr>
        <w:t xml:space="preserve"> areas of skills shortage. </w:t>
      </w:r>
      <w:r w:rsidR="00C248D3">
        <w:rPr>
          <w:sz w:val="20"/>
          <w:szCs w:val="20"/>
        </w:rPr>
        <w:t>The</w:t>
      </w:r>
      <w:r w:rsidR="006B3AC9">
        <w:rPr>
          <w:sz w:val="20"/>
          <w:szCs w:val="20"/>
        </w:rPr>
        <w:t xml:space="preserve"> focus </w:t>
      </w:r>
      <w:r w:rsidR="00C248D3">
        <w:rPr>
          <w:sz w:val="20"/>
          <w:szCs w:val="20"/>
        </w:rPr>
        <w:t xml:space="preserve">of many providers </w:t>
      </w:r>
      <w:r w:rsidR="006B3AC9">
        <w:rPr>
          <w:sz w:val="20"/>
          <w:szCs w:val="20"/>
        </w:rPr>
        <w:t>is upon marketing the most profitable courses to students prepared to sign on</w:t>
      </w:r>
      <w:r w:rsidR="00C248D3">
        <w:rPr>
          <w:sz w:val="20"/>
          <w:szCs w:val="20"/>
        </w:rPr>
        <w:t>,</w:t>
      </w:r>
      <w:r w:rsidR="006B3AC9">
        <w:rPr>
          <w:sz w:val="20"/>
          <w:szCs w:val="20"/>
        </w:rPr>
        <w:t xml:space="preserve"> without verifiable assurances of </w:t>
      </w:r>
      <w:r w:rsidR="00FF5654">
        <w:rPr>
          <w:sz w:val="20"/>
          <w:szCs w:val="20"/>
        </w:rPr>
        <w:t xml:space="preserve">course quality or </w:t>
      </w:r>
      <w:r w:rsidR="006B3AC9">
        <w:rPr>
          <w:sz w:val="20"/>
          <w:szCs w:val="20"/>
        </w:rPr>
        <w:t>career outcomes.</w:t>
      </w:r>
    </w:p>
    <w:p w:rsidR="00081FCA" w:rsidRDefault="00081FCA" w:rsidP="006F047E">
      <w:pPr>
        <w:rPr>
          <w:sz w:val="20"/>
          <w:szCs w:val="20"/>
        </w:rPr>
      </w:pPr>
      <w:r>
        <w:rPr>
          <w:sz w:val="20"/>
          <w:szCs w:val="20"/>
        </w:rPr>
        <w:t>The risks associat</w:t>
      </w:r>
      <w:r w:rsidR="006D42EB">
        <w:rPr>
          <w:sz w:val="20"/>
          <w:szCs w:val="20"/>
        </w:rPr>
        <w:t>ed with opening up the demand driven system</w:t>
      </w:r>
      <w:r>
        <w:rPr>
          <w:sz w:val="20"/>
          <w:szCs w:val="20"/>
        </w:rPr>
        <w:t xml:space="preserve"> </w:t>
      </w:r>
      <w:r w:rsidR="006D42EB">
        <w:rPr>
          <w:sz w:val="20"/>
          <w:szCs w:val="20"/>
        </w:rPr>
        <w:t xml:space="preserve">to </w:t>
      </w:r>
      <w:r>
        <w:rPr>
          <w:sz w:val="20"/>
          <w:szCs w:val="20"/>
        </w:rPr>
        <w:t xml:space="preserve">all higher education providers </w:t>
      </w:r>
      <w:r w:rsidR="006B3AC9">
        <w:rPr>
          <w:sz w:val="20"/>
          <w:szCs w:val="20"/>
        </w:rPr>
        <w:t xml:space="preserve">are too great </w:t>
      </w:r>
      <w:r>
        <w:rPr>
          <w:sz w:val="20"/>
          <w:szCs w:val="20"/>
        </w:rPr>
        <w:t xml:space="preserve">and should not proceed. </w:t>
      </w:r>
      <w:r w:rsidR="00FF5654">
        <w:rPr>
          <w:sz w:val="20"/>
          <w:szCs w:val="20"/>
        </w:rPr>
        <w:t xml:space="preserve">It would also be unsustainably expensive </w:t>
      </w:r>
      <w:r w:rsidR="00BF2CD8">
        <w:rPr>
          <w:sz w:val="20"/>
          <w:szCs w:val="20"/>
        </w:rPr>
        <w:t xml:space="preserve">and </w:t>
      </w:r>
      <w:r w:rsidR="00FF5654">
        <w:rPr>
          <w:sz w:val="20"/>
          <w:szCs w:val="20"/>
        </w:rPr>
        <w:t>wasteful</w:t>
      </w:r>
      <w:r w:rsidR="00BF2CD8">
        <w:rPr>
          <w:sz w:val="20"/>
          <w:szCs w:val="20"/>
        </w:rPr>
        <w:t>,</w:t>
      </w:r>
      <w:r w:rsidR="00FF5654">
        <w:rPr>
          <w:sz w:val="20"/>
          <w:szCs w:val="20"/>
        </w:rPr>
        <w:t xml:space="preserve"> as</w:t>
      </w:r>
      <w:r w:rsidR="00BF2CD8">
        <w:rPr>
          <w:sz w:val="20"/>
          <w:szCs w:val="20"/>
        </w:rPr>
        <w:t xml:space="preserve"> public</w:t>
      </w:r>
      <w:r w:rsidR="00FF5654">
        <w:rPr>
          <w:sz w:val="20"/>
          <w:szCs w:val="20"/>
        </w:rPr>
        <w:t xml:space="preserve"> funds </w:t>
      </w:r>
      <w:r w:rsidR="00BF2CD8">
        <w:rPr>
          <w:sz w:val="20"/>
          <w:szCs w:val="20"/>
        </w:rPr>
        <w:t>are</w:t>
      </w:r>
      <w:r w:rsidR="00FF5654">
        <w:rPr>
          <w:sz w:val="20"/>
          <w:szCs w:val="20"/>
        </w:rPr>
        <w:t xml:space="preserve"> drained </w:t>
      </w:r>
      <w:r w:rsidR="00BF2CD8">
        <w:rPr>
          <w:sz w:val="20"/>
          <w:szCs w:val="20"/>
        </w:rPr>
        <w:t>for</w:t>
      </w:r>
      <w:r w:rsidR="00FF5654">
        <w:rPr>
          <w:sz w:val="20"/>
          <w:szCs w:val="20"/>
        </w:rPr>
        <w:t xml:space="preserve"> </w:t>
      </w:r>
      <w:r w:rsidR="00BF2CD8">
        <w:rPr>
          <w:sz w:val="20"/>
          <w:szCs w:val="20"/>
        </w:rPr>
        <w:t xml:space="preserve">private provider </w:t>
      </w:r>
      <w:r w:rsidR="00FF5654">
        <w:rPr>
          <w:sz w:val="20"/>
          <w:szCs w:val="20"/>
        </w:rPr>
        <w:t xml:space="preserve">profits </w:t>
      </w:r>
      <w:r w:rsidR="00A75DD4">
        <w:rPr>
          <w:sz w:val="20"/>
          <w:szCs w:val="20"/>
        </w:rPr>
        <w:t xml:space="preserve">while the level of </w:t>
      </w:r>
      <w:r w:rsidR="00FF5654">
        <w:rPr>
          <w:sz w:val="20"/>
          <w:szCs w:val="20"/>
        </w:rPr>
        <w:t xml:space="preserve">student </w:t>
      </w:r>
      <w:r w:rsidR="00A75DD4">
        <w:rPr>
          <w:sz w:val="20"/>
          <w:szCs w:val="20"/>
        </w:rPr>
        <w:t xml:space="preserve">debt would </w:t>
      </w:r>
      <w:r w:rsidR="00FF5654">
        <w:rPr>
          <w:sz w:val="20"/>
          <w:szCs w:val="20"/>
        </w:rPr>
        <w:t>grow</w:t>
      </w:r>
      <w:r w:rsidR="00A75DD4">
        <w:rPr>
          <w:sz w:val="20"/>
          <w:szCs w:val="20"/>
        </w:rPr>
        <w:t xml:space="preserve"> at an accelerating rate</w:t>
      </w:r>
      <w:r w:rsidR="00FF5654">
        <w:rPr>
          <w:sz w:val="20"/>
          <w:szCs w:val="20"/>
        </w:rPr>
        <w:t>.</w:t>
      </w:r>
      <w:r w:rsidR="00635C02">
        <w:rPr>
          <w:sz w:val="20"/>
          <w:szCs w:val="20"/>
        </w:rPr>
        <w:t xml:space="preserve">  The results of the latest higher education studen</w:t>
      </w:r>
      <w:r w:rsidR="00EC4C93">
        <w:rPr>
          <w:sz w:val="20"/>
          <w:szCs w:val="20"/>
        </w:rPr>
        <w:t>t completion rates also provide</w:t>
      </w:r>
      <w:r w:rsidR="00635C02">
        <w:rPr>
          <w:sz w:val="20"/>
          <w:szCs w:val="20"/>
        </w:rPr>
        <w:t xml:space="preserve"> further evidence that completion rates for students enrolled with non-university higher education providers have significantly lower completion rates than public universities.  The </w:t>
      </w:r>
      <w:r w:rsidR="00635C02" w:rsidRPr="002B1C92">
        <w:rPr>
          <w:sz w:val="20"/>
          <w:szCs w:val="20"/>
        </w:rPr>
        <w:t xml:space="preserve">data </w:t>
      </w:r>
      <w:r w:rsidR="002B1C92" w:rsidRPr="002B1C92">
        <w:rPr>
          <w:sz w:val="20"/>
          <w:szCs w:val="20"/>
        </w:rPr>
        <w:t>(see Attachment A)</w:t>
      </w:r>
      <w:r w:rsidR="002B1C92" w:rsidRPr="002B1C92">
        <w:rPr>
          <w:color w:val="FF0000"/>
          <w:sz w:val="20"/>
          <w:szCs w:val="20"/>
        </w:rPr>
        <w:t xml:space="preserve"> </w:t>
      </w:r>
      <w:r w:rsidR="002B1C92">
        <w:rPr>
          <w:sz w:val="20"/>
          <w:szCs w:val="20"/>
        </w:rPr>
        <w:t>s</w:t>
      </w:r>
      <w:r w:rsidR="00635C02">
        <w:rPr>
          <w:sz w:val="20"/>
          <w:szCs w:val="20"/>
        </w:rPr>
        <w:t>how</w:t>
      </w:r>
      <w:r w:rsidR="002B1C92">
        <w:rPr>
          <w:sz w:val="20"/>
          <w:szCs w:val="20"/>
        </w:rPr>
        <w:t>s</w:t>
      </w:r>
      <w:r w:rsidR="00635C02">
        <w:rPr>
          <w:sz w:val="20"/>
          <w:szCs w:val="20"/>
        </w:rPr>
        <w:t xml:space="preserve"> that four </w:t>
      </w:r>
      <w:r w:rsidR="00EC4C93">
        <w:rPr>
          <w:sz w:val="20"/>
          <w:szCs w:val="20"/>
        </w:rPr>
        <w:t xml:space="preserve">years </w:t>
      </w:r>
      <w:r w:rsidR="00635C02">
        <w:rPr>
          <w:sz w:val="20"/>
          <w:szCs w:val="20"/>
        </w:rPr>
        <w:t xml:space="preserve">after enrolling 79.5% of student that enrolled in public university in 2011 had either completed their degree or where still enrolled </w:t>
      </w:r>
      <w:r w:rsidR="002B1C92">
        <w:rPr>
          <w:sz w:val="20"/>
          <w:szCs w:val="20"/>
        </w:rPr>
        <w:t xml:space="preserve">compared to only 58.3% for non-university providers.   Perhaps the most disturbing finding was that only one-in-three (33.5%) students who enrolled in an external course with a non-university provider in 2011 had either completed their degree or was still enrolled.  In other words, two-in-three such students had dropped out.  </w:t>
      </w:r>
      <w:r w:rsidR="00635C02">
        <w:rPr>
          <w:sz w:val="20"/>
          <w:szCs w:val="20"/>
        </w:rPr>
        <w:t xml:space="preserve">   </w:t>
      </w:r>
    </w:p>
    <w:p w:rsidR="00081FCA" w:rsidRDefault="00081FCA" w:rsidP="006F047E">
      <w:pPr>
        <w:rPr>
          <w:sz w:val="20"/>
          <w:szCs w:val="20"/>
        </w:rPr>
      </w:pPr>
      <w:r>
        <w:rPr>
          <w:sz w:val="20"/>
          <w:szCs w:val="20"/>
        </w:rPr>
        <w:t>While the NTEU understands that current funding arrangements might be providing a perverse incentive for universities to enrol academically under</w:t>
      </w:r>
      <w:r w:rsidR="00FF5654">
        <w:rPr>
          <w:sz w:val="20"/>
          <w:szCs w:val="20"/>
        </w:rPr>
        <w:t>-prepared students in bachelor</w:t>
      </w:r>
      <w:r>
        <w:rPr>
          <w:sz w:val="20"/>
          <w:szCs w:val="20"/>
        </w:rPr>
        <w:t xml:space="preserve"> level qualifications, the solution to this issue is </w:t>
      </w:r>
      <w:r w:rsidR="00FF5654">
        <w:rPr>
          <w:sz w:val="20"/>
          <w:szCs w:val="20"/>
        </w:rPr>
        <w:t>not to expand</w:t>
      </w:r>
      <w:r>
        <w:rPr>
          <w:sz w:val="20"/>
          <w:szCs w:val="20"/>
        </w:rPr>
        <w:t xml:space="preserve"> the </w:t>
      </w:r>
      <w:r w:rsidR="009B5742">
        <w:rPr>
          <w:sz w:val="20"/>
          <w:szCs w:val="20"/>
        </w:rPr>
        <w:t>demand driven system</w:t>
      </w:r>
      <w:r>
        <w:rPr>
          <w:sz w:val="20"/>
          <w:szCs w:val="20"/>
        </w:rPr>
        <w:t xml:space="preserve"> to include all sub-degree higher education qualifications.</w:t>
      </w:r>
    </w:p>
    <w:p w:rsidR="000B7CD4" w:rsidRDefault="00081FCA" w:rsidP="006F047E">
      <w:pPr>
        <w:rPr>
          <w:sz w:val="20"/>
          <w:szCs w:val="20"/>
        </w:rPr>
      </w:pPr>
      <w:r>
        <w:rPr>
          <w:sz w:val="20"/>
          <w:szCs w:val="20"/>
        </w:rPr>
        <w:t>The way to deal with this issue is to strengthen and expand existing alternative or enabling programmes offered by universities.  The big</w:t>
      </w:r>
      <w:r w:rsidR="00BF2CD8">
        <w:rPr>
          <w:sz w:val="20"/>
          <w:szCs w:val="20"/>
        </w:rPr>
        <w:t xml:space="preserve"> advantage of enabling program</w:t>
      </w:r>
      <w:r w:rsidR="003B69BE">
        <w:rPr>
          <w:sz w:val="20"/>
          <w:szCs w:val="20"/>
        </w:rPr>
        <w:t>me</w:t>
      </w:r>
      <w:r w:rsidR="00BF2CD8">
        <w:rPr>
          <w:sz w:val="20"/>
          <w:szCs w:val="20"/>
        </w:rPr>
        <w:t>s</w:t>
      </w:r>
      <w:r>
        <w:rPr>
          <w:sz w:val="20"/>
          <w:szCs w:val="20"/>
        </w:rPr>
        <w:t xml:space="preserve"> is that they are </w:t>
      </w:r>
      <w:r w:rsidR="00FF5654">
        <w:rPr>
          <w:sz w:val="20"/>
          <w:szCs w:val="20"/>
        </w:rPr>
        <w:t xml:space="preserve">generally </w:t>
      </w:r>
      <w:r>
        <w:rPr>
          <w:sz w:val="20"/>
          <w:szCs w:val="20"/>
        </w:rPr>
        <w:t>free</w:t>
      </w:r>
      <w:r w:rsidR="004E66B7">
        <w:rPr>
          <w:sz w:val="20"/>
          <w:szCs w:val="20"/>
        </w:rPr>
        <w:t xml:space="preserve"> or low cost</w:t>
      </w:r>
      <w:r>
        <w:rPr>
          <w:sz w:val="20"/>
          <w:szCs w:val="20"/>
        </w:rPr>
        <w:t xml:space="preserve"> to students. </w:t>
      </w:r>
      <w:r w:rsidR="0024529F">
        <w:rPr>
          <w:sz w:val="20"/>
          <w:szCs w:val="20"/>
        </w:rPr>
        <w:t xml:space="preserve"> </w:t>
      </w:r>
      <w:r>
        <w:rPr>
          <w:sz w:val="20"/>
          <w:szCs w:val="20"/>
        </w:rPr>
        <w:lastRenderedPageBreak/>
        <w:t xml:space="preserve">Expanding the </w:t>
      </w:r>
      <w:r w:rsidR="004E66B7">
        <w:rPr>
          <w:sz w:val="20"/>
          <w:szCs w:val="20"/>
        </w:rPr>
        <w:t>demand driven system</w:t>
      </w:r>
      <w:r>
        <w:rPr>
          <w:sz w:val="20"/>
          <w:szCs w:val="20"/>
        </w:rPr>
        <w:t xml:space="preserve"> to sub-degree qualifications would mean that students who </w:t>
      </w:r>
      <w:r w:rsidR="00EC4C93">
        <w:rPr>
          <w:sz w:val="20"/>
          <w:szCs w:val="20"/>
        </w:rPr>
        <w:t xml:space="preserve">are currently enrolled in low or no fee </w:t>
      </w:r>
      <w:r w:rsidR="0024529F">
        <w:rPr>
          <w:sz w:val="20"/>
          <w:szCs w:val="20"/>
        </w:rPr>
        <w:t xml:space="preserve">enabling programmes would </w:t>
      </w:r>
      <w:r w:rsidR="000B7CD4">
        <w:rPr>
          <w:sz w:val="20"/>
          <w:szCs w:val="20"/>
        </w:rPr>
        <w:t xml:space="preserve">be incurring </w:t>
      </w:r>
      <w:r w:rsidR="00095335">
        <w:rPr>
          <w:sz w:val="20"/>
          <w:szCs w:val="20"/>
        </w:rPr>
        <w:t xml:space="preserve">substantial </w:t>
      </w:r>
      <w:r w:rsidR="0024529F">
        <w:rPr>
          <w:sz w:val="20"/>
          <w:szCs w:val="20"/>
        </w:rPr>
        <w:t xml:space="preserve">HELP </w:t>
      </w:r>
      <w:r w:rsidR="000B7CD4">
        <w:rPr>
          <w:sz w:val="20"/>
          <w:szCs w:val="20"/>
        </w:rPr>
        <w:t>debt</w:t>
      </w:r>
      <w:r w:rsidR="00095335">
        <w:rPr>
          <w:sz w:val="20"/>
          <w:szCs w:val="20"/>
        </w:rPr>
        <w:t>s</w:t>
      </w:r>
      <w:r w:rsidR="00A75DD4">
        <w:rPr>
          <w:sz w:val="20"/>
          <w:szCs w:val="20"/>
        </w:rPr>
        <w:t xml:space="preserve">. </w:t>
      </w:r>
      <w:r w:rsidR="00D66930">
        <w:rPr>
          <w:sz w:val="20"/>
          <w:szCs w:val="20"/>
        </w:rPr>
        <w:t xml:space="preserve"> The success and importance of free enabling programmes, especially for disadvantaged students, is highlighted in a recent National Centre for Student Equity Centre report entitled: </w:t>
      </w:r>
      <w:r w:rsidR="00D66930" w:rsidRPr="00D66930">
        <w:rPr>
          <w:i/>
          <w:sz w:val="20"/>
          <w:szCs w:val="20"/>
        </w:rPr>
        <w:t>Pathways to Higher Education: The efficacy of enabling and sub-bachelor pathways for disadvantaged students.</w:t>
      </w:r>
      <w:r w:rsidR="00D66930">
        <w:rPr>
          <w:sz w:val="20"/>
          <w:szCs w:val="20"/>
        </w:rPr>
        <w:t xml:space="preserve">  </w:t>
      </w:r>
    </w:p>
    <w:p w:rsidR="00081FCA" w:rsidRDefault="000B7CD4" w:rsidP="006F047E">
      <w:pPr>
        <w:rPr>
          <w:sz w:val="20"/>
          <w:szCs w:val="20"/>
        </w:rPr>
      </w:pPr>
      <w:r>
        <w:rPr>
          <w:sz w:val="20"/>
          <w:szCs w:val="20"/>
        </w:rPr>
        <w:t xml:space="preserve">The </w:t>
      </w:r>
      <w:r w:rsidR="0024529F">
        <w:rPr>
          <w:sz w:val="20"/>
          <w:szCs w:val="20"/>
        </w:rPr>
        <w:t>expansion of</w:t>
      </w:r>
      <w:r w:rsidR="004E66B7">
        <w:rPr>
          <w:sz w:val="20"/>
          <w:szCs w:val="20"/>
        </w:rPr>
        <w:t xml:space="preserve"> enabling programmes c</w:t>
      </w:r>
      <w:r w:rsidR="0024529F">
        <w:rPr>
          <w:sz w:val="20"/>
          <w:szCs w:val="20"/>
        </w:rPr>
        <w:t xml:space="preserve">ould be funded by savings achieved by not expanding the </w:t>
      </w:r>
      <w:r w:rsidR="004E66B7">
        <w:rPr>
          <w:sz w:val="20"/>
          <w:szCs w:val="20"/>
        </w:rPr>
        <w:t>demand driven system</w:t>
      </w:r>
      <w:r w:rsidR="0024529F">
        <w:rPr>
          <w:sz w:val="20"/>
          <w:szCs w:val="20"/>
        </w:rPr>
        <w:t xml:space="preserve"> to private providers.</w:t>
      </w:r>
      <w:r w:rsidR="00EC4C93">
        <w:rPr>
          <w:sz w:val="20"/>
          <w:szCs w:val="20"/>
        </w:rPr>
        <w:t xml:space="preserve"> </w:t>
      </w:r>
      <w:r w:rsidR="00081FCA">
        <w:rPr>
          <w:sz w:val="20"/>
          <w:szCs w:val="20"/>
        </w:rPr>
        <w:t xml:space="preserve">  </w:t>
      </w:r>
    </w:p>
    <w:p w:rsidR="000B7CD4" w:rsidRDefault="00406BA5" w:rsidP="006F047E">
      <w:pPr>
        <w:rPr>
          <w:sz w:val="20"/>
          <w:szCs w:val="20"/>
        </w:rPr>
      </w:pPr>
      <w:r>
        <w:rPr>
          <w:sz w:val="20"/>
          <w:szCs w:val="20"/>
        </w:rPr>
        <w:t>In order to avoid gaming and price gouging by providers, t</w:t>
      </w:r>
      <w:r w:rsidR="000B7CD4">
        <w:rPr>
          <w:sz w:val="20"/>
          <w:szCs w:val="20"/>
        </w:rPr>
        <w:t xml:space="preserve">he only circumstances in which the </w:t>
      </w:r>
      <w:r w:rsidR="004E66B7">
        <w:rPr>
          <w:sz w:val="20"/>
          <w:szCs w:val="20"/>
        </w:rPr>
        <w:t xml:space="preserve">demand driven system </w:t>
      </w:r>
      <w:r w:rsidR="000B7CD4">
        <w:rPr>
          <w:sz w:val="20"/>
          <w:szCs w:val="20"/>
        </w:rPr>
        <w:t xml:space="preserve">should be expanded to postgraduate course work qualifications </w:t>
      </w:r>
      <w:r w:rsidR="00D66930">
        <w:rPr>
          <w:sz w:val="20"/>
          <w:szCs w:val="20"/>
        </w:rPr>
        <w:t xml:space="preserve">is </w:t>
      </w:r>
      <w:r w:rsidR="000B7CD4">
        <w:rPr>
          <w:sz w:val="20"/>
          <w:szCs w:val="20"/>
        </w:rPr>
        <w:t>where:</w:t>
      </w:r>
    </w:p>
    <w:p w:rsidR="000B7CD4" w:rsidRDefault="000B7CD4" w:rsidP="000B7CD4">
      <w:pPr>
        <w:pStyle w:val="ListParagraph"/>
        <w:numPr>
          <w:ilvl w:val="0"/>
          <w:numId w:val="7"/>
        </w:numPr>
        <w:rPr>
          <w:sz w:val="20"/>
          <w:szCs w:val="20"/>
        </w:rPr>
      </w:pPr>
      <w:r>
        <w:rPr>
          <w:sz w:val="20"/>
          <w:szCs w:val="20"/>
        </w:rPr>
        <w:t xml:space="preserve">such a qualification is the equivalent </w:t>
      </w:r>
      <w:r w:rsidR="00BF2CD8">
        <w:rPr>
          <w:sz w:val="20"/>
          <w:szCs w:val="20"/>
        </w:rPr>
        <w:t xml:space="preserve">of  </w:t>
      </w:r>
      <w:r>
        <w:rPr>
          <w:sz w:val="20"/>
          <w:szCs w:val="20"/>
        </w:rPr>
        <w:t xml:space="preserve">an undergraduate qualification </w:t>
      </w:r>
      <w:r w:rsidR="00BF2CD8">
        <w:rPr>
          <w:sz w:val="20"/>
          <w:szCs w:val="20"/>
        </w:rPr>
        <w:t>that is</w:t>
      </w:r>
      <w:r>
        <w:rPr>
          <w:sz w:val="20"/>
          <w:szCs w:val="20"/>
        </w:rPr>
        <w:t xml:space="preserve"> the recognised entry standard into a given profession</w:t>
      </w:r>
      <w:r w:rsidR="00095335">
        <w:rPr>
          <w:sz w:val="20"/>
          <w:szCs w:val="20"/>
        </w:rPr>
        <w:t>;</w:t>
      </w:r>
      <w:r w:rsidR="003B69BE">
        <w:rPr>
          <w:sz w:val="20"/>
          <w:szCs w:val="20"/>
        </w:rPr>
        <w:t xml:space="preserve"> and </w:t>
      </w:r>
    </w:p>
    <w:p w:rsidR="000B7CD4" w:rsidRDefault="000B7CD4" w:rsidP="000B7CD4">
      <w:pPr>
        <w:pStyle w:val="ListParagraph"/>
        <w:numPr>
          <w:ilvl w:val="0"/>
          <w:numId w:val="7"/>
        </w:numPr>
        <w:rPr>
          <w:sz w:val="20"/>
          <w:szCs w:val="20"/>
        </w:rPr>
      </w:pPr>
      <w:r>
        <w:rPr>
          <w:sz w:val="20"/>
          <w:szCs w:val="20"/>
        </w:rPr>
        <w:t xml:space="preserve">the fees for such </w:t>
      </w:r>
      <w:r w:rsidR="00B46F68">
        <w:rPr>
          <w:sz w:val="20"/>
          <w:szCs w:val="20"/>
        </w:rPr>
        <w:t xml:space="preserve">professional postgraduate </w:t>
      </w:r>
      <w:r>
        <w:rPr>
          <w:sz w:val="20"/>
          <w:szCs w:val="20"/>
        </w:rPr>
        <w:t xml:space="preserve">qualifications are capped </w:t>
      </w:r>
      <w:r w:rsidR="00B46F68">
        <w:rPr>
          <w:sz w:val="20"/>
          <w:szCs w:val="20"/>
        </w:rPr>
        <w:t xml:space="preserve">at the same rate as for equivalent </w:t>
      </w:r>
      <w:r>
        <w:rPr>
          <w:sz w:val="20"/>
          <w:szCs w:val="20"/>
        </w:rPr>
        <w:t>undergraduate qualifications</w:t>
      </w:r>
      <w:r w:rsidR="00134D31">
        <w:rPr>
          <w:sz w:val="20"/>
          <w:szCs w:val="20"/>
        </w:rPr>
        <w:t>. To illustrate an example,</w:t>
      </w:r>
      <w:r w:rsidR="0024529F">
        <w:rPr>
          <w:sz w:val="20"/>
          <w:szCs w:val="20"/>
        </w:rPr>
        <w:t xml:space="preserve"> a </w:t>
      </w:r>
      <w:r w:rsidR="00B46F68">
        <w:rPr>
          <w:sz w:val="20"/>
          <w:szCs w:val="20"/>
        </w:rPr>
        <w:t>pos</w:t>
      </w:r>
      <w:r w:rsidR="00EC4C93">
        <w:rPr>
          <w:sz w:val="20"/>
          <w:szCs w:val="20"/>
        </w:rPr>
        <w:t>tgraduate M</w:t>
      </w:r>
      <w:r w:rsidR="00B46F68">
        <w:rPr>
          <w:sz w:val="20"/>
          <w:szCs w:val="20"/>
        </w:rPr>
        <w:t>aster</w:t>
      </w:r>
      <w:r w:rsidR="00095335">
        <w:rPr>
          <w:sz w:val="20"/>
          <w:szCs w:val="20"/>
        </w:rPr>
        <w:t>s</w:t>
      </w:r>
      <w:r w:rsidR="00B46F68">
        <w:rPr>
          <w:sz w:val="20"/>
          <w:szCs w:val="20"/>
        </w:rPr>
        <w:t xml:space="preserve"> qualification in law would be capped at </w:t>
      </w:r>
      <w:r w:rsidR="00134D31">
        <w:rPr>
          <w:sz w:val="20"/>
          <w:szCs w:val="20"/>
        </w:rPr>
        <w:t xml:space="preserve">2017 values, currently </w:t>
      </w:r>
      <w:r w:rsidR="00B46F68">
        <w:rPr>
          <w:sz w:val="20"/>
          <w:szCs w:val="20"/>
        </w:rPr>
        <w:t>$10,</w:t>
      </w:r>
      <w:r w:rsidR="00406BA5">
        <w:rPr>
          <w:sz w:val="20"/>
          <w:szCs w:val="20"/>
        </w:rPr>
        <w:t>596</w:t>
      </w:r>
      <w:r w:rsidR="00B46F68">
        <w:rPr>
          <w:sz w:val="20"/>
          <w:szCs w:val="20"/>
        </w:rPr>
        <w:t>.</w:t>
      </w:r>
    </w:p>
    <w:p w:rsidR="000B7CD4" w:rsidRPr="00FF5654" w:rsidRDefault="000B7CD4" w:rsidP="006F047E">
      <w:pPr>
        <w:rPr>
          <w:b/>
        </w:rPr>
      </w:pPr>
      <w:r w:rsidRPr="00FF5654">
        <w:rPr>
          <w:b/>
        </w:rPr>
        <w:t>Better targeted equity funding and support</w:t>
      </w:r>
    </w:p>
    <w:p w:rsidR="000B7CD4" w:rsidRPr="000B7CD4" w:rsidRDefault="000B7CD4" w:rsidP="006F047E">
      <w:pPr>
        <w:rPr>
          <w:sz w:val="20"/>
          <w:szCs w:val="20"/>
        </w:rPr>
      </w:pPr>
      <w:r w:rsidRPr="000B7CD4">
        <w:rPr>
          <w:sz w:val="20"/>
          <w:szCs w:val="20"/>
        </w:rPr>
        <w:t xml:space="preserve">The NTEU </w:t>
      </w:r>
      <w:r>
        <w:rPr>
          <w:sz w:val="20"/>
          <w:szCs w:val="20"/>
        </w:rPr>
        <w:t>agree</w:t>
      </w:r>
      <w:r w:rsidR="00FF5654">
        <w:rPr>
          <w:sz w:val="20"/>
          <w:szCs w:val="20"/>
        </w:rPr>
        <w:t>s</w:t>
      </w:r>
      <w:r>
        <w:rPr>
          <w:sz w:val="20"/>
          <w:szCs w:val="20"/>
        </w:rPr>
        <w:t xml:space="preserve"> that equi</w:t>
      </w:r>
      <w:r w:rsidR="00FF5654">
        <w:rPr>
          <w:sz w:val="20"/>
          <w:szCs w:val="20"/>
        </w:rPr>
        <w:t>ty funding and support program</w:t>
      </w:r>
      <w:r>
        <w:rPr>
          <w:sz w:val="20"/>
          <w:szCs w:val="20"/>
        </w:rPr>
        <w:t>s need to be better funded and targeted.  Public Accounta</w:t>
      </w:r>
      <w:r w:rsidR="00FF5654">
        <w:rPr>
          <w:sz w:val="20"/>
          <w:szCs w:val="20"/>
        </w:rPr>
        <w:t xml:space="preserve">bility Agreements </w:t>
      </w:r>
      <w:r w:rsidR="004E66B7">
        <w:rPr>
          <w:sz w:val="20"/>
          <w:szCs w:val="20"/>
        </w:rPr>
        <w:t xml:space="preserve">(PAAs) </w:t>
      </w:r>
      <w:r w:rsidR="00FF5654">
        <w:rPr>
          <w:sz w:val="20"/>
          <w:szCs w:val="20"/>
        </w:rPr>
        <w:t>c</w:t>
      </w:r>
      <w:r>
        <w:rPr>
          <w:sz w:val="20"/>
          <w:szCs w:val="20"/>
        </w:rPr>
        <w:t xml:space="preserve">ould be used to ensure that individual universities clearly </w:t>
      </w:r>
      <w:r w:rsidR="008A209B">
        <w:rPr>
          <w:sz w:val="20"/>
          <w:szCs w:val="20"/>
        </w:rPr>
        <w:t xml:space="preserve">articulate </w:t>
      </w:r>
      <w:r>
        <w:rPr>
          <w:sz w:val="20"/>
          <w:szCs w:val="20"/>
        </w:rPr>
        <w:t xml:space="preserve">particular </w:t>
      </w:r>
      <w:r w:rsidR="008A209B">
        <w:rPr>
          <w:sz w:val="20"/>
          <w:szCs w:val="20"/>
        </w:rPr>
        <w:t xml:space="preserve">initiatives as well as specify targets for </w:t>
      </w:r>
      <w:r>
        <w:rPr>
          <w:sz w:val="20"/>
          <w:szCs w:val="20"/>
        </w:rPr>
        <w:t xml:space="preserve">the participation and success rates for </w:t>
      </w:r>
      <w:r w:rsidR="00FF5654">
        <w:rPr>
          <w:sz w:val="20"/>
          <w:szCs w:val="20"/>
        </w:rPr>
        <w:t xml:space="preserve">specific </w:t>
      </w:r>
      <w:r w:rsidR="008A209B">
        <w:rPr>
          <w:sz w:val="20"/>
          <w:szCs w:val="20"/>
        </w:rPr>
        <w:t xml:space="preserve">equity groups.  </w:t>
      </w:r>
      <w:r>
        <w:rPr>
          <w:sz w:val="20"/>
          <w:szCs w:val="20"/>
        </w:rPr>
        <w:t xml:space="preserve">      </w:t>
      </w:r>
    </w:p>
    <w:p w:rsidR="000B7CD4" w:rsidRPr="00E60DC4" w:rsidRDefault="008A209B" w:rsidP="006F047E">
      <w:pPr>
        <w:rPr>
          <w:b/>
        </w:rPr>
      </w:pPr>
      <w:r w:rsidRPr="00E60DC4">
        <w:rPr>
          <w:b/>
        </w:rPr>
        <w:t>Regional universities</w:t>
      </w:r>
    </w:p>
    <w:p w:rsidR="008A209B" w:rsidRDefault="008A209B" w:rsidP="006F047E">
      <w:pPr>
        <w:rPr>
          <w:sz w:val="20"/>
          <w:szCs w:val="20"/>
        </w:rPr>
      </w:pPr>
      <w:r w:rsidRPr="008A209B">
        <w:rPr>
          <w:sz w:val="20"/>
          <w:szCs w:val="20"/>
        </w:rPr>
        <w:t xml:space="preserve">The NTEU agrees with the establishment of </w:t>
      </w:r>
      <w:r w:rsidR="00FF5654">
        <w:rPr>
          <w:sz w:val="20"/>
          <w:szCs w:val="20"/>
        </w:rPr>
        <w:t xml:space="preserve">a </w:t>
      </w:r>
      <w:r>
        <w:rPr>
          <w:sz w:val="20"/>
          <w:szCs w:val="20"/>
        </w:rPr>
        <w:t xml:space="preserve">specific fund for the development </w:t>
      </w:r>
      <w:r w:rsidR="00E60DC4">
        <w:rPr>
          <w:sz w:val="20"/>
          <w:szCs w:val="20"/>
        </w:rPr>
        <w:t xml:space="preserve">and support </w:t>
      </w:r>
      <w:r>
        <w:rPr>
          <w:sz w:val="20"/>
          <w:szCs w:val="20"/>
        </w:rPr>
        <w:t xml:space="preserve">of regional universities and campuses.  </w:t>
      </w:r>
      <w:r w:rsidR="0061586F">
        <w:rPr>
          <w:sz w:val="20"/>
          <w:szCs w:val="20"/>
        </w:rPr>
        <w:t xml:space="preserve">Regional campuses have a very student cohort of students when compared to those based in capital cities and as the evidence presented in the </w:t>
      </w:r>
      <w:r w:rsidR="0061586F" w:rsidRPr="0040065B">
        <w:rPr>
          <w:i/>
          <w:sz w:val="20"/>
          <w:szCs w:val="20"/>
        </w:rPr>
        <w:t>Completion rates of domestic bachelor students 200</w:t>
      </w:r>
      <w:r w:rsidR="0040065B" w:rsidRPr="0040065B">
        <w:rPr>
          <w:i/>
          <w:sz w:val="20"/>
          <w:szCs w:val="20"/>
        </w:rPr>
        <w:t>6</w:t>
      </w:r>
      <w:r w:rsidR="0061586F" w:rsidRPr="0040065B">
        <w:rPr>
          <w:i/>
          <w:sz w:val="20"/>
          <w:szCs w:val="20"/>
        </w:rPr>
        <w:t>-201</w:t>
      </w:r>
      <w:r w:rsidR="0040065B" w:rsidRPr="0040065B">
        <w:rPr>
          <w:i/>
          <w:sz w:val="20"/>
          <w:szCs w:val="20"/>
        </w:rPr>
        <w:t>4</w:t>
      </w:r>
      <w:r w:rsidR="0061586F" w:rsidRPr="0040065B">
        <w:rPr>
          <w:i/>
          <w:sz w:val="20"/>
          <w:szCs w:val="20"/>
        </w:rPr>
        <w:t>: A cohort analysis</w:t>
      </w:r>
      <w:r w:rsidR="0061586F">
        <w:rPr>
          <w:sz w:val="20"/>
          <w:szCs w:val="20"/>
        </w:rPr>
        <w:t xml:space="preserve">  released on 18 January 2017</w:t>
      </w:r>
      <w:r w:rsidR="002B1C92">
        <w:rPr>
          <w:sz w:val="20"/>
          <w:szCs w:val="20"/>
        </w:rPr>
        <w:t xml:space="preserve"> (Attachment A)</w:t>
      </w:r>
      <w:r w:rsidR="0061586F">
        <w:rPr>
          <w:sz w:val="20"/>
          <w:szCs w:val="20"/>
        </w:rPr>
        <w:t xml:space="preserve"> shows, this is a major influence on student completion rates.  </w:t>
      </w:r>
      <w:r>
        <w:rPr>
          <w:sz w:val="20"/>
          <w:szCs w:val="20"/>
        </w:rPr>
        <w:t>Again PAAs could be used to allow each eligible university to negotiate how any such additional funding would be best used to suit their particular circumstances.</w:t>
      </w:r>
    </w:p>
    <w:p w:rsidR="004E66B7" w:rsidRDefault="00E60DC4" w:rsidP="006F047E">
      <w:pPr>
        <w:rPr>
          <w:sz w:val="20"/>
          <w:szCs w:val="20"/>
        </w:rPr>
      </w:pPr>
      <w:r>
        <w:rPr>
          <w:sz w:val="20"/>
          <w:szCs w:val="20"/>
        </w:rPr>
        <w:t xml:space="preserve">In addition to supporting regional universities, the NTEU encourages the </w:t>
      </w:r>
      <w:r w:rsidR="00D74116">
        <w:rPr>
          <w:sz w:val="20"/>
          <w:szCs w:val="20"/>
        </w:rPr>
        <w:t>Government</w:t>
      </w:r>
      <w:r>
        <w:rPr>
          <w:sz w:val="20"/>
          <w:szCs w:val="20"/>
        </w:rPr>
        <w:t xml:space="preserve"> to develop policies which provide better student income support to students from regional and remote Aust</w:t>
      </w:r>
      <w:r w:rsidR="00FF5654">
        <w:rPr>
          <w:sz w:val="20"/>
          <w:szCs w:val="20"/>
        </w:rPr>
        <w:t>r</w:t>
      </w:r>
      <w:r>
        <w:rPr>
          <w:sz w:val="20"/>
          <w:szCs w:val="20"/>
        </w:rPr>
        <w:t>alia</w:t>
      </w:r>
      <w:r w:rsidR="0061586F">
        <w:rPr>
          <w:sz w:val="20"/>
          <w:szCs w:val="20"/>
        </w:rPr>
        <w:t xml:space="preserve">. </w:t>
      </w:r>
      <w:r>
        <w:rPr>
          <w:sz w:val="20"/>
          <w:szCs w:val="20"/>
        </w:rPr>
        <w:t xml:space="preserve"> </w:t>
      </w:r>
    </w:p>
    <w:p w:rsidR="008A209B" w:rsidRDefault="008A209B" w:rsidP="006F047E">
      <w:pPr>
        <w:rPr>
          <w:b/>
        </w:rPr>
      </w:pPr>
      <w:r w:rsidRPr="008A209B">
        <w:rPr>
          <w:b/>
        </w:rPr>
        <w:t xml:space="preserve">Partial deregulation of fees – </w:t>
      </w:r>
      <w:r w:rsidR="00E41749">
        <w:rPr>
          <w:b/>
        </w:rPr>
        <w:t>“</w:t>
      </w:r>
      <w:r w:rsidRPr="008A209B">
        <w:rPr>
          <w:b/>
        </w:rPr>
        <w:t>flagship</w:t>
      </w:r>
      <w:r w:rsidR="00E41749">
        <w:rPr>
          <w:b/>
        </w:rPr>
        <w:t>”</w:t>
      </w:r>
      <w:r w:rsidRPr="008A209B">
        <w:rPr>
          <w:b/>
        </w:rPr>
        <w:t xml:space="preserve"> courses</w:t>
      </w:r>
    </w:p>
    <w:p w:rsidR="00B46F68" w:rsidRDefault="009D4654" w:rsidP="006F047E">
      <w:pPr>
        <w:rPr>
          <w:sz w:val="20"/>
          <w:szCs w:val="20"/>
        </w:rPr>
      </w:pPr>
      <w:r>
        <w:rPr>
          <w:sz w:val="20"/>
          <w:szCs w:val="20"/>
        </w:rPr>
        <w:t xml:space="preserve">The proposal to establish </w:t>
      </w:r>
      <w:r w:rsidR="008A209B">
        <w:rPr>
          <w:sz w:val="20"/>
          <w:szCs w:val="20"/>
        </w:rPr>
        <w:t>flagship courses would create the perfect environment for $100,000 degrees</w:t>
      </w:r>
      <w:r w:rsidR="007D10DF">
        <w:rPr>
          <w:sz w:val="20"/>
          <w:szCs w:val="20"/>
        </w:rPr>
        <w:t xml:space="preserve"> and is recognised across much of the sector as well as publicly as a cynical policy wedge which would inevitably lead to further deregulation</w:t>
      </w:r>
      <w:r w:rsidR="006D0F35">
        <w:rPr>
          <w:sz w:val="20"/>
          <w:szCs w:val="20"/>
        </w:rPr>
        <w:t>.</w:t>
      </w:r>
      <w:r w:rsidR="008A209B">
        <w:rPr>
          <w:sz w:val="20"/>
          <w:szCs w:val="20"/>
        </w:rPr>
        <w:t xml:space="preserve"> The irony </w:t>
      </w:r>
      <w:r w:rsidR="00FF5654">
        <w:rPr>
          <w:sz w:val="20"/>
          <w:szCs w:val="20"/>
        </w:rPr>
        <w:t xml:space="preserve">is that the </w:t>
      </w:r>
      <w:r w:rsidR="00D74116">
        <w:rPr>
          <w:sz w:val="20"/>
          <w:szCs w:val="20"/>
        </w:rPr>
        <w:t>Government</w:t>
      </w:r>
      <w:r w:rsidR="008A209B">
        <w:rPr>
          <w:sz w:val="20"/>
          <w:szCs w:val="20"/>
        </w:rPr>
        <w:t xml:space="preserve"> recognises this problem and has indicated that some form of </w:t>
      </w:r>
      <w:r w:rsidR="00B46F68">
        <w:rPr>
          <w:sz w:val="20"/>
          <w:szCs w:val="20"/>
        </w:rPr>
        <w:t xml:space="preserve">market intervention would be </w:t>
      </w:r>
      <w:r w:rsidR="008A209B">
        <w:rPr>
          <w:sz w:val="20"/>
          <w:szCs w:val="20"/>
        </w:rPr>
        <w:t>needed to restrain excessive prices rises.</w:t>
      </w:r>
      <w:r w:rsidR="00B46F68">
        <w:rPr>
          <w:sz w:val="20"/>
          <w:szCs w:val="20"/>
        </w:rPr>
        <w:t xml:space="preserve"> </w:t>
      </w:r>
    </w:p>
    <w:p w:rsidR="00DB2965" w:rsidRDefault="00FF5654" w:rsidP="006F047E">
      <w:pPr>
        <w:rPr>
          <w:sz w:val="20"/>
          <w:szCs w:val="20"/>
        </w:rPr>
      </w:pPr>
      <w:r>
        <w:rPr>
          <w:sz w:val="20"/>
          <w:szCs w:val="20"/>
        </w:rPr>
        <w:t>T</w:t>
      </w:r>
      <w:r w:rsidR="008A209B">
        <w:rPr>
          <w:sz w:val="20"/>
          <w:szCs w:val="20"/>
        </w:rPr>
        <w:t xml:space="preserve">he introduction of flagship courses </w:t>
      </w:r>
      <w:r w:rsidR="009D4654">
        <w:rPr>
          <w:sz w:val="20"/>
          <w:szCs w:val="20"/>
        </w:rPr>
        <w:t>should be rejected on a several grounds</w:t>
      </w:r>
      <w:r w:rsidR="006D0F35">
        <w:rPr>
          <w:sz w:val="20"/>
          <w:szCs w:val="20"/>
        </w:rPr>
        <w:t>,</w:t>
      </w:r>
      <w:r w:rsidR="009D4654">
        <w:rPr>
          <w:sz w:val="20"/>
          <w:szCs w:val="20"/>
        </w:rPr>
        <w:t xml:space="preserve"> including</w:t>
      </w:r>
      <w:r w:rsidR="00DB2965">
        <w:rPr>
          <w:sz w:val="20"/>
          <w:szCs w:val="20"/>
        </w:rPr>
        <w:t>:</w:t>
      </w:r>
    </w:p>
    <w:p w:rsidR="00DB2965" w:rsidRDefault="00FF5654" w:rsidP="00DB2965">
      <w:pPr>
        <w:pStyle w:val="ListParagraph"/>
        <w:numPr>
          <w:ilvl w:val="0"/>
          <w:numId w:val="8"/>
        </w:numPr>
        <w:rPr>
          <w:sz w:val="20"/>
          <w:szCs w:val="20"/>
        </w:rPr>
      </w:pPr>
      <w:r>
        <w:rPr>
          <w:sz w:val="20"/>
          <w:szCs w:val="20"/>
        </w:rPr>
        <w:t xml:space="preserve">it would </w:t>
      </w:r>
      <w:r w:rsidR="00DB2965">
        <w:rPr>
          <w:sz w:val="20"/>
          <w:szCs w:val="20"/>
        </w:rPr>
        <w:t>establish a tier</w:t>
      </w:r>
      <w:r>
        <w:rPr>
          <w:sz w:val="20"/>
          <w:szCs w:val="20"/>
        </w:rPr>
        <w:t>ed</w:t>
      </w:r>
      <w:r w:rsidR="00DB2965">
        <w:rPr>
          <w:sz w:val="20"/>
          <w:szCs w:val="20"/>
        </w:rPr>
        <w:t xml:space="preserve"> system of standard and superior (flagship) </w:t>
      </w:r>
      <w:r>
        <w:rPr>
          <w:sz w:val="20"/>
          <w:szCs w:val="20"/>
        </w:rPr>
        <w:t>program</w:t>
      </w:r>
      <w:r w:rsidR="00DB2965">
        <w:rPr>
          <w:sz w:val="20"/>
          <w:szCs w:val="20"/>
        </w:rPr>
        <w:t>s</w:t>
      </w:r>
      <w:r w:rsidR="006D0F35">
        <w:rPr>
          <w:sz w:val="20"/>
          <w:szCs w:val="20"/>
        </w:rPr>
        <w:t>,</w:t>
      </w:r>
      <w:r w:rsidR="00DB2965">
        <w:rPr>
          <w:sz w:val="20"/>
          <w:szCs w:val="20"/>
        </w:rPr>
        <w:t xml:space="preserve"> where entry into the superior </w:t>
      </w:r>
      <w:r w:rsidR="004E66B7">
        <w:rPr>
          <w:sz w:val="20"/>
          <w:szCs w:val="20"/>
        </w:rPr>
        <w:t>program</w:t>
      </w:r>
      <w:r w:rsidR="00B46F68">
        <w:rPr>
          <w:sz w:val="20"/>
          <w:szCs w:val="20"/>
        </w:rPr>
        <w:t>s</w:t>
      </w:r>
      <w:r w:rsidR="00DB2965">
        <w:rPr>
          <w:sz w:val="20"/>
          <w:szCs w:val="20"/>
        </w:rPr>
        <w:t xml:space="preserve"> will be determined by willingness and ability to pay</w:t>
      </w:r>
      <w:r>
        <w:rPr>
          <w:sz w:val="20"/>
          <w:szCs w:val="20"/>
        </w:rPr>
        <w:t>, rather than merit;</w:t>
      </w:r>
    </w:p>
    <w:p w:rsidR="00DB2965" w:rsidRDefault="00FF5654" w:rsidP="00DB2965">
      <w:pPr>
        <w:pStyle w:val="ListParagraph"/>
        <w:numPr>
          <w:ilvl w:val="0"/>
          <w:numId w:val="8"/>
        </w:numPr>
        <w:rPr>
          <w:sz w:val="20"/>
          <w:szCs w:val="20"/>
        </w:rPr>
      </w:pPr>
      <w:r>
        <w:rPr>
          <w:sz w:val="20"/>
          <w:szCs w:val="20"/>
        </w:rPr>
        <w:t>m</w:t>
      </w:r>
      <w:r w:rsidR="00DB2965">
        <w:rPr>
          <w:sz w:val="20"/>
          <w:szCs w:val="20"/>
        </w:rPr>
        <w:t>any students will end up paying significantly more, in some cases mor</w:t>
      </w:r>
      <w:r>
        <w:rPr>
          <w:sz w:val="20"/>
          <w:szCs w:val="20"/>
        </w:rPr>
        <w:t xml:space="preserve">e than $100,000 for a flagship </w:t>
      </w:r>
      <w:r w:rsidR="00DB2965">
        <w:rPr>
          <w:sz w:val="20"/>
          <w:szCs w:val="20"/>
        </w:rPr>
        <w:t>degree</w:t>
      </w:r>
      <w:r w:rsidR="004E66B7">
        <w:rPr>
          <w:sz w:val="20"/>
          <w:szCs w:val="20"/>
        </w:rPr>
        <w:t>;</w:t>
      </w:r>
      <w:r w:rsidR="00DB2965">
        <w:rPr>
          <w:sz w:val="20"/>
          <w:szCs w:val="20"/>
        </w:rPr>
        <w:t xml:space="preserve"> and</w:t>
      </w:r>
    </w:p>
    <w:p w:rsidR="00DB2965" w:rsidRDefault="00DB2965" w:rsidP="00DB2965">
      <w:pPr>
        <w:pStyle w:val="ListParagraph"/>
        <w:numPr>
          <w:ilvl w:val="0"/>
          <w:numId w:val="8"/>
        </w:numPr>
        <w:rPr>
          <w:sz w:val="20"/>
          <w:szCs w:val="20"/>
        </w:rPr>
      </w:pPr>
      <w:r>
        <w:rPr>
          <w:sz w:val="20"/>
          <w:szCs w:val="20"/>
        </w:rPr>
        <w:t xml:space="preserve">any attempts to “indirectly” </w:t>
      </w:r>
      <w:r w:rsidR="00095335">
        <w:rPr>
          <w:sz w:val="20"/>
          <w:szCs w:val="20"/>
        </w:rPr>
        <w:t xml:space="preserve">intervene in </w:t>
      </w:r>
      <w:r>
        <w:rPr>
          <w:sz w:val="20"/>
          <w:szCs w:val="20"/>
        </w:rPr>
        <w:t xml:space="preserve">price </w:t>
      </w:r>
      <w:r w:rsidR="00095335">
        <w:rPr>
          <w:sz w:val="20"/>
          <w:szCs w:val="20"/>
        </w:rPr>
        <w:t xml:space="preserve">setting </w:t>
      </w:r>
      <w:r>
        <w:rPr>
          <w:sz w:val="20"/>
          <w:szCs w:val="20"/>
        </w:rPr>
        <w:t xml:space="preserve">will </w:t>
      </w:r>
      <w:r w:rsidR="00095335">
        <w:rPr>
          <w:sz w:val="20"/>
          <w:szCs w:val="20"/>
        </w:rPr>
        <w:t xml:space="preserve">distort </w:t>
      </w:r>
      <w:r>
        <w:rPr>
          <w:sz w:val="20"/>
          <w:szCs w:val="20"/>
        </w:rPr>
        <w:t xml:space="preserve">the way </w:t>
      </w:r>
      <w:r w:rsidR="00095335">
        <w:rPr>
          <w:sz w:val="20"/>
          <w:szCs w:val="20"/>
        </w:rPr>
        <w:t xml:space="preserve">such </w:t>
      </w:r>
      <w:r>
        <w:rPr>
          <w:sz w:val="20"/>
          <w:szCs w:val="20"/>
        </w:rPr>
        <w:t xml:space="preserve">places are allocated. </w:t>
      </w:r>
    </w:p>
    <w:p w:rsidR="00DB2965" w:rsidRDefault="003F7DDD" w:rsidP="00DB2965">
      <w:pPr>
        <w:rPr>
          <w:b/>
        </w:rPr>
      </w:pPr>
      <w:r>
        <w:rPr>
          <w:b/>
        </w:rPr>
        <w:t xml:space="preserve">Student – </w:t>
      </w:r>
      <w:r w:rsidR="00D74116">
        <w:rPr>
          <w:b/>
        </w:rPr>
        <w:t>Government</w:t>
      </w:r>
      <w:r>
        <w:rPr>
          <w:b/>
        </w:rPr>
        <w:t xml:space="preserve"> contribution a</w:t>
      </w:r>
      <w:r w:rsidR="00DB2965" w:rsidRPr="00DB2965">
        <w:rPr>
          <w:b/>
        </w:rPr>
        <w:t>mounts</w:t>
      </w:r>
    </w:p>
    <w:p w:rsidR="00DB2965" w:rsidRDefault="00DB2965" w:rsidP="00DB2965">
      <w:pPr>
        <w:rPr>
          <w:sz w:val="20"/>
          <w:szCs w:val="20"/>
        </w:rPr>
      </w:pPr>
      <w:r w:rsidRPr="00DB2965">
        <w:rPr>
          <w:sz w:val="20"/>
          <w:szCs w:val="20"/>
        </w:rPr>
        <w:t xml:space="preserve">As </w:t>
      </w:r>
      <w:r>
        <w:rPr>
          <w:sz w:val="20"/>
          <w:szCs w:val="20"/>
        </w:rPr>
        <w:t>noted above</w:t>
      </w:r>
      <w:r w:rsidR="00763D7C">
        <w:rPr>
          <w:sz w:val="20"/>
          <w:szCs w:val="20"/>
        </w:rPr>
        <w:t>,</w:t>
      </w:r>
      <w:r>
        <w:rPr>
          <w:sz w:val="20"/>
          <w:szCs w:val="20"/>
        </w:rPr>
        <w:t xml:space="preserve"> the primary </w:t>
      </w:r>
      <w:r w:rsidR="009D4654">
        <w:rPr>
          <w:sz w:val="20"/>
          <w:szCs w:val="20"/>
        </w:rPr>
        <w:t xml:space="preserve">rationale for </w:t>
      </w:r>
      <w:r w:rsidR="00D74116">
        <w:rPr>
          <w:sz w:val="20"/>
          <w:szCs w:val="20"/>
        </w:rPr>
        <w:t>Government</w:t>
      </w:r>
      <w:r>
        <w:rPr>
          <w:sz w:val="20"/>
          <w:szCs w:val="20"/>
        </w:rPr>
        <w:t xml:space="preserve">’s higher education </w:t>
      </w:r>
      <w:r w:rsidR="009D4654">
        <w:rPr>
          <w:sz w:val="20"/>
          <w:szCs w:val="20"/>
        </w:rPr>
        <w:t xml:space="preserve">plans is driven by the objective of </w:t>
      </w:r>
      <w:r>
        <w:rPr>
          <w:sz w:val="20"/>
          <w:szCs w:val="20"/>
        </w:rPr>
        <w:t>reduc</w:t>
      </w:r>
      <w:r w:rsidR="009D4654">
        <w:rPr>
          <w:sz w:val="20"/>
          <w:szCs w:val="20"/>
        </w:rPr>
        <w:t xml:space="preserve">ing </w:t>
      </w:r>
      <w:r>
        <w:rPr>
          <w:sz w:val="20"/>
          <w:szCs w:val="20"/>
        </w:rPr>
        <w:t xml:space="preserve">the level of public investment </w:t>
      </w:r>
      <w:r w:rsidR="009D4654">
        <w:rPr>
          <w:sz w:val="20"/>
          <w:szCs w:val="20"/>
        </w:rPr>
        <w:t>per student and make students pay more for their education</w:t>
      </w:r>
      <w:r>
        <w:rPr>
          <w:sz w:val="20"/>
          <w:szCs w:val="20"/>
        </w:rPr>
        <w:t xml:space="preserve">.  </w:t>
      </w:r>
      <w:r w:rsidR="007D10DF">
        <w:rPr>
          <w:sz w:val="20"/>
          <w:szCs w:val="20"/>
        </w:rPr>
        <w:t>As</w:t>
      </w:r>
      <w:r w:rsidR="009D4654">
        <w:rPr>
          <w:sz w:val="20"/>
          <w:szCs w:val="20"/>
        </w:rPr>
        <w:t xml:space="preserve"> the NTEU has</w:t>
      </w:r>
      <w:r w:rsidR="007D10DF">
        <w:rPr>
          <w:sz w:val="20"/>
          <w:szCs w:val="20"/>
        </w:rPr>
        <w:t xml:space="preserve"> argued above</w:t>
      </w:r>
      <w:r w:rsidR="009D4654">
        <w:rPr>
          <w:sz w:val="20"/>
          <w:szCs w:val="20"/>
        </w:rPr>
        <w:t>, t</w:t>
      </w:r>
      <w:r w:rsidR="00F2317C">
        <w:rPr>
          <w:sz w:val="20"/>
          <w:szCs w:val="20"/>
        </w:rPr>
        <w:t xml:space="preserve">his position cannot be justified on the basis </w:t>
      </w:r>
      <w:r>
        <w:rPr>
          <w:sz w:val="20"/>
          <w:szCs w:val="20"/>
        </w:rPr>
        <w:t xml:space="preserve">that Australia already has one of the lowest </w:t>
      </w:r>
      <w:r>
        <w:rPr>
          <w:sz w:val="20"/>
          <w:szCs w:val="20"/>
        </w:rPr>
        <w:lastRenderedPageBreak/>
        <w:t xml:space="preserve">levels of public investment </w:t>
      </w:r>
      <w:r w:rsidR="00F2317C">
        <w:rPr>
          <w:sz w:val="20"/>
          <w:szCs w:val="20"/>
        </w:rPr>
        <w:t xml:space="preserve">and that Australian students pay amongst the highest fees to attend a public university </w:t>
      </w:r>
      <w:r>
        <w:rPr>
          <w:sz w:val="20"/>
          <w:szCs w:val="20"/>
        </w:rPr>
        <w:t>in the OECD (Figure</w:t>
      </w:r>
      <w:r w:rsidR="00F2317C">
        <w:rPr>
          <w:sz w:val="20"/>
          <w:szCs w:val="20"/>
        </w:rPr>
        <w:t>s</w:t>
      </w:r>
      <w:r>
        <w:rPr>
          <w:sz w:val="20"/>
          <w:szCs w:val="20"/>
        </w:rPr>
        <w:t xml:space="preserve"> 1</w:t>
      </w:r>
      <w:r w:rsidR="00F2317C">
        <w:rPr>
          <w:sz w:val="20"/>
          <w:szCs w:val="20"/>
        </w:rPr>
        <w:t xml:space="preserve"> and 2).</w:t>
      </w:r>
      <w:r>
        <w:rPr>
          <w:sz w:val="20"/>
          <w:szCs w:val="20"/>
        </w:rPr>
        <w:t xml:space="preserve">  </w:t>
      </w:r>
    </w:p>
    <w:p w:rsidR="008A209B" w:rsidRDefault="00F2317C" w:rsidP="00DB2965">
      <w:pPr>
        <w:rPr>
          <w:sz w:val="20"/>
          <w:szCs w:val="20"/>
        </w:rPr>
      </w:pPr>
      <w:r>
        <w:rPr>
          <w:sz w:val="20"/>
          <w:szCs w:val="20"/>
        </w:rPr>
        <w:t xml:space="preserve">While the NTEU will continue to strongly oppose any cuts to the current average </w:t>
      </w:r>
      <w:r w:rsidR="00D74116">
        <w:rPr>
          <w:sz w:val="20"/>
          <w:szCs w:val="20"/>
        </w:rPr>
        <w:t>Government</w:t>
      </w:r>
      <w:r w:rsidR="00147F04">
        <w:rPr>
          <w:sz w:val="20"/>
          <w:szCs w:val="20"/>
        </w:rPr>
        <w:t xml:space="preserve"> </w:t>
      </w:r>
      <w:r>
        <w:rPr>
          <w:sz w:val="20"/>
          <w:szCs w:val="20"/>
        </w:rPr>
        <w:t xml:space="preserve">contribution </w:t>
      </w:r>
      <w:r w:rsidR="009D4654">
        <w:rPr>
          <w:sz w:val="20"/>
          <w:szCs w:val="20"/>
        </w:rPr>
        <w:t xml:space="preserve">per student </w:t>
      </w:r>
      <w:r>
        <w:rPr>
          <w:sz w:val="20"/>
          <w:szCs w:val="20"/>
        </w:rPr>
        <w:t>(</w:t>
      </w:r>
      <w:r w:rsidR="00147F04">
        <w:rPr>
          <w:sz w:val="20"/>
          <w:szCs w:val="20"/>
        </w:rPr>
        <w:t xml:space="preserve">approximately 60%) </w:t>
      </w:r>
      <w:r>
        <w:rPr>
          <w:sz w:val="20"/>
          <w:szCs w:val="20"/>
        </w:rPr>
        <w:t xml:space="preserve">we </w:t>
      </w:r>
      <w:r w:rsidR="00541EFE">
        <w:rPr>
          <w:sz w:val="20"/>
          <w:szCs w:val="20"/>
        </w:rPr>
        <w:t>agree that there is a</w:t>
      </w:r>
      <w:r>
        <w:rPr>
          <w:sz w:val="20"/>
          <w:szCs w:val="20"/>
        </w:rPr>
        <w:t xml:space="preserve"> need to review current cluster funding arrangements.  </w:t>
      </w:r>
      <w:r w:rsidR="00095335">
        <w:rPr>
          <w:sz w:val="20"/>
          <w:szCs w:val="20"/>
        </w:rPr>
        <w:t>The need for such a review was identified by t</w:t>
      </w:r>
      <w:r>
        <w:rPr>
          <w:sz w:val="20"/>
          <w:szCs w:val="20"/>
        </w:rPr>
        <w:t>he Lomax-Smith Base funding review</w:t>
      </w:r>
      <w:r w:rsidR="00095335">
        <w:rPr>
          <w:sz w:val="20"/>
          <w:szCs w:val="20"/>
        </w:rPr>
        <w:t xml:space="preserve"> </w:t>
      </w:r>
      <w:r w:rsidR="00BF04F8">
        <w:rPr>
          <w:sz w:val="20"/>
          <w:szCs w:val="20"/>
        </w:rPr>
        <w:t xml:space="preserve">(2011) </w:t>
      </w:r>
      <w:r w:rsidR="00095335">
        <w:rPr>
          <w:sz w:val="20"/>
          <w:szCs w:val="20"/>
        </w:rPr>
        <w:t xml:space="preserve">which highlighted a significant misalignment between funding rates and costs of delivery.  The NTEU also supports the </w:t>
      </w:r>
      <w:r w:rsidR="00147F04">
        <w:rPr>
          <w:sz w:val="20"/>
          <w:szCs w:val="20"/>
        </w:rPr>
        <w:t xml:space="preserve">Lomax-Smith </w:t>
      </w:r>
      <w:r w:rsidR="00095335">
        <w:rPr>
          <w:sz w:val="20"/>
          <w:szCs w:val="20"/>
        </w:rPr>
        <w:t xml:space="preserve">recommended that cluster funding </w:t>
      </w:r>
      <w:r>
        <w:rPr>
          <w:sz w:val="20"/>
          <w:szCs w:val="20"/>
        </w:rPr>
        <w:t xml:space="preserve">should cover the costs of </w:t>
      </w:r>
      <w:r w:rsidR="00095335">
        <w:rPr>
          <w:sz w:val="20"/>
          <w:szCs w:val="20"/>
        </w:rPr>
        <w:t xml:space="preserve">both </w:t>
      </w:r>
      <w:r>
        <w:rPr>
          <w:sz w:val="20"/>
          <w:szCs w:val="20"/>
        </w:rPr>
        <w:t xml:space="preserve">teaching </w:t>
      </w:r>
      <w:r w:rsidR="00095335">
        <w:rPr>
          <w:sz w:val="20"/>
          <w:szCs w:val="20"/>
        </w:rPr>
        <w:t xml:space="preserve">and </w:t>
      </w:r>
      <w:r>
        <w:rPr>
          <w:sz w:val="20"/>
          <w:szCs w:val="20"/>
        </w:rPr>
        <w:t>basic research capability.</w:t>
      </w:r>
      <w:r w:rsidR="00530D4D">
        <w:rPr>
          <w:sz w:val="20"/>
          <w:szCs w:val="20"/>
        </w:rPr>
        <w:t xml:space="preserve"> </w:t>
      </w:r>
    </w:p>
    <w:p w:rsidR="008F1E6A" w:rsidRDefault="008F1E6A" w:rsidP="00DB2965">
      <w:pPr>
        <w:rPr>
          <w:b/>
        </w:rPr>
      </w:pPr>
      <w:r>
        <w:rPr>
          <w:b/>
        </w:rPr>
        <w:t>Student information</w:t>
      </w:r>
    </w:p>
    <w:p w:rsidR="008F1E6A" w:rsidRPr="008F1E6A" w:rsidRDefault="00406BA5" w:rsidP="00DB2965">
      <w:pPr>
        <w:rPr>
          <w:sz w:val="20"/>
          <w:szCs w:val="20"/>
        </w:rPr>
      </w:pPr>
      <w:r>
        <w:rPr>
          <w:sz w:val="20"/>
          <w:szCs w:val="20"/>
        </w:rPr>
        <w:t>S</w:t>
      </w:r>
      <w:r w:rsidR="008F1E6A">
        <w:rPr>
          <w:sz w:val="20"/>
          <w:szCs w:val="20"/>
        </w:rPr>
        <w:t>tudent</w:t>
      </w:r>
      <w:r w:rsidR="00807D04">
        <w:rPr>
          <w:sz w:val="20"/>
          <w:szCs w:val="20"/>
        </w:rPr>
        <w:t>s</w:t>
      </w:r>
      <w:r w:rsidR="008F1E6A">
        <w:rPr>
          <w:sz w:val="20"/>
          <w:szCs w:val="20"/>
        </w:rPr>
        <w:t xml:space="preserve"> deserve access to more consistent and reliable information to help them </w:t>
      </w:r>
      <w:r w:rsidR="00807D04">
        <w:rPr>
          <w:sz w:val="20"/>
          <w:szCs w:val="20"/>
        </w:rPr>
        <w:t>make informed choices about what and where they want to study, the mode of delivery, their eligibility and career outcomes.</w:t>
      </w:r>
      <w:r w:rsidR="008F1E6A">
        <w:rPr>
          <w:sz w:val="20"/>
          <w:szCs w:val="20"/>
        </w:rPr>
        <w:t xml:space="preserve">  While we support efforts to provide students with better and more accurate objective information on employability and earnings, we have </w:t>
      </w:r>
      <w:r w:rsidR="00763D7C">
        <w:rPr>
          <w:sz w:val="20"/>
          <w:szCs w:val="20"/>
        </w:rPr>
        <w:t>serious</w:t>
      </w:r>
      <w:r w:rsidR="008F1E6A">
        <w:rPr>
          <w:sz w:val="20"/>
          <w:szCs w:val="20"/>
        </w:rPr>
        <w:t xml:space="preserve"> concerns about the inclusion of any subjective information such as student and/or employer satisfaction surveys.  The information provided to students should be factual and verifiable</w:t>
      </w:r>
      <w:r w:rsidR="00820006">
        <w:rPr>
          <w:sz w:val="20"/>
          <w:szCs w:val="20"/>
        </w:rPr>
        <w:t>,</w:t>
      </w:r>
      <w:r w:rsidR="008F1E6A">
        <w:rPr>
          <w:sz w:val="20"/>
          <w:szCs w:val="20"/>
        </w:rPr>
        <w:t xml:space="preserve"> and not be a quasi-marketing exercise on behalf of individual universities.       </w:t>
      </w:r>
    </w:p>
    <w:p w:rsidR="00E60DC4" w:rsidRDefault="003F7DDD" w:rsidP="00DB2965">
      <w:pPr>
        <w:rPr>
          <w:b/>
        </w:rPr>
      </w:pPr>
      <w:r>
        <w:rPr>
          <w:b/>
        </w:rPr>
        <w:t>Financially s</w:t>
      </w:r>
      <w:r w:rsidR="00E60DC4">
        <w:rPr>
          <w:b/>
        </w:rPr>
        <w:t xml:space="preserve">ustainable </w:t>
      </w:r>
      <w:r w:rsidR="00007C20" w:rsidRPr="00E60DC4">
        <w:rPr>
          <w:b/>
        </w:rPr>
        <w:t>H</w:t>
      </w:r>
      <w:r w:rsidR="00807D04">
        <w:rPr>
          <w:b/>
        </w:rPr>
        <w:t xml:space="preserve">igher Education </w:t>
      </w:r>
      <w:r w:rsidR="008F5E11">
        <w:rPr>
          <w:b/>
        </w:rPr>
        <w:t>Loans Programme</w:t>
      </w:r>
      <w:r w:rsidR="00E60DC4">
        <w:rPr>
          <w:b/>
        </w:rPr>
        <w:t xml:space="preserve"> (HELP)</w:t>
      </w:r>
    </w:p>
    <w:p w:rsidR="00E60DC4" w:rsidRDefault="00E60DC4" w:rsidP="00DB2965">
      <w:pPr>
        <w:rPr>
          <w:sz w:val="20"/>
          <w:szCs w:val="20"/>
        </w:rPr>
      </w:pPr>
      <w:r w:rsidRPr="00E60DC4">
        <w:rPr>
          <w:sz w:val="20"/>
          <w:szCs w:val="20"/>
        </w:rPr>
        <w:t xml:space="preserve">The </w:t>
      </w:r>
      <w:r w:rsidR="00406BA5" w:rsidRPr="00406BA5">
        <w:rPr>
          <w:i/>
          <w:sz w:val="20"/>
          <w:szCs w:val="20"/>
        </w:rPr>
        <w:t>Driving Innovation</w:t>
      </w:r>
      <w:r w:rsidR="00406BA5">
        <w:rPr>
          <w:sz w:val="20"/>
          <w:szCs w:val="20"/>
        </w:rPr>
        <w:t xml:space="preserve"> </w:t>
      </w:r>
      <w:r w:rsidRPr="00E60DC4">
        <w:rPr>
          <w:sz w:val="20"/>
          <w:szCs w:val="20"/>
        </w:rPr>
        <w:t xml:space="preserve">paper outlines a number of policy options aimed at improving the fairness and </w:t>
      </w:r>
      <w:r w:rsidR="00807D04">
        <w:rPr>
          <w:sz w:val="20"/>
          <w:szCs w:val="20"/>
        </w:rPr>
        <w:t>financial sustainability of HELP</w:t>
      </w:r>
      <w:r w:rsidRPr="00E60DC4">
        <w:rPr>
          <w:sz w:val="20"/>
          <w:szCs w:val="20"/>
        </w:rPr>
        <w:t xml:space="preserve"> including:</w:t>
      </w:r>
    </w:p>
    <w:p w:rsidR="00F2317C" w:rsidRDefault="00E60DC4" w:rsidP="00E60DC4">
      <w:pPr>
        <w:pStyle w:val="ListParagraph"/>
        <w:numPr>
          <w:ilvl w:val="0"/>
          <w:numId w:val="9"/>
        </w:numPr>
        <w:rPr>
          <w:sz w:val="20"/>
          <w:szCs w:val="20"/>
        </w:rPr>
      </w:pPr>
      <w:r>
        <w:rPr>
          <w:sz w:val="20"/>
          <w:szCs w:val="20"/>
        </w:rPr>
        <w:t>the introduction of consistent loan fee arrangements for all students</w:t>
      </w:r>
      <w:r w:rsidR="00807D04">
        <w:rPr>
          <w:sz w:val="20"/>
          <w:szCs w:val="20"/>
        </w:rPr>
        <w:t>;</w:t>
      </w:r>
    </w:p>
    <w:p w:rsidR="00E60DC4" w:rsidRDefault="00E60DC4" w:rsidP="00E60DC4">
      <w:pPr>
        <w:pStyle w:val="ListParagraph"/>
        <w:numPr>
          <w:ilvl w:val="0"/>
          <w:numId w:val="9"/>
        </w:numPr>
        <w:rPr>
          <w:sz w:val="20"/>
          <w:szCs w:val="20"/>
        </w:rPr>
      </w:pPr>
      <w:r>
        <w:rPr>
          <w:sz w:val="20"/>
          <w:szCs w:val="20"/>
        </w:rPr>
        <w:t>changes to repayment thresholds and rules</w:t>
      </w:r>
      <w:r w:rsidR="00807D04">
        <w:rPr>
          <w:sz w:val="20"/>
          <w:szCs w:val="20"/>
        </w:rPr>
        <w:t>; and</w:t>
      </w:r>
    </w:p>
    <w:p w:rsidR="00E60DC4" w:rsidRDefault="00E60DC4" w:rsidP="00E60DC4">
      <w:pPr>
        <w:pStyle w:val="ListParagraph"/>
        <w:numPr>
          <w:ilvl w:val="0"/>
          <w:numId w:val="9"/>
        </w:numPr>
        <w:rPr>
          <w:sz w:val="20"/>
          <w:szCs w:val="20"/>
        </w:rPr>
      </w:pPr>
      <w:r>
        <w:rPr>
          <w:sz w:val="20"/>
          <w:szCs w:val="20"/>
        </w:rPr>
        <w:t>the introduction of renewable lifetime limits for FEE HELP loans.</w:t>
      </w:r>
    </w:p>
    <w:p w:rsidR="00693049" w:rsidRDefault="00406BA5" w:rsidP="00E60DC4">
      <w:pPr>
        <w:rPr>
          <w:sz w:val="20"/>
          <w:szCs w:val="20"/>
        </w:rPr>
      </w:pPr>
      <w:r>
        <w:rPr>
          <w:sz w:val="20"/>
          <w:szCs w:val="20"/>
        </w:rPr>
        <w:t>However b</w:t>
      </w:r>
      <w:r w:rsidR="00E60DC4">
        <w:rPr>
          <w:sz w:val="20"/>
          <w:szCs w:val="20"/>
        </w:rPr>
        <w:t xml:space="preserve">efore addressing these </w:t>
      </w:r>
      <w:r>
        <w:rPr>
          <w:sz w:val="20"/>
          <w:szCs w:val="20"/>
        </w:rPr>
        <w:t xml:space="preserve">proposals, </w:t>
      </w:r>
      <w:r w:rsidR="00E60DC4">
        <w:rPr>
          <w:sz w:val="20"/>
          <w:szCs w:val="20"/>
        </w:rPr>
        <w:t xml:space="preserve">the NTEU </w:t>
      </w:r>
      <w:r w:rsidR="00807D04">
        <w:rPr>
          <w:sz w:val="20"/>
          <w:szCs w:val="20"/>
        </w:rPr>
        <w:t xml:space="preserve">emphasises </w:t>
      </w:r>
      <w:r w:rsidR="00E60DC4">
        <w:rPr>
          <w:sz w:val="20"/>
          <w:szCs w:val="20"/>
        </w:rPr>
        <w:t>that the best and most obvious way to ensure the financial sustainability of the HELP scheme</w:t>
      </w:r>
      <w:r w:rsidR="00304657">
        <w:rPr>
          <w:sz w:val="20"/>
          <w:szCs w:val="20"/>
        </w:rPr>
        <w:t xml:space="preserve"> is to </w:t>
      </w:r>
      <w:r w:rsidR="00E60DC4">
        <w:rPr>
          <w:sz w:val="20"/>
          <w:szCs w:val="20"/>
        </w:rPr>
        <w:t>limi</w:t>
      </w:r>
      <w:r w:rsidR="00304657">
        <w:rPr>
          <w:sz w:val="20"/>
          <w:szCs w:val="20"/>
        </w:rPr>
        <w:t>t</w:t>
      </w:r>
      <w:r w:rsidR="00E60DC4">
        <w:rPr>
          <w:sz w:val="20"/>
          <w:szCs w:val="20"/>
        </w:rPr>
        <w:t xml:space="preserve"> the level of fees students are charged</w:t>
      </w:r>
      <w:r w:rsidR="008F5E11">
        <w:rPr>
          <w:sz w:val="20"/>
          <w:szCs w:val="20"/>
        </w:rPr>
        <w:t xml:space="preserve">.  Lower fees </w:t>
      </w:r>
      <w:r w:rsidR="00820006">
        <w:rPr>
          <w:sz w:val="20"/>
          <w:szCs w:val="20"/>
        </w:rPr>
        <w:t>reduce</w:t>
      </w:r>
      <w:r w:rsidR="008F5E11">
        <w:rPr>
          <w:sz w:val="20"/>
          <w:szCs w:val="20"/>
        </w:rPr>
        <w:t xml:space="preserve"> average HELP debts.  The lower the average </w:t>
      </w:r>
      <w:r w:rsidR="00E60DC4">
        <w:rPr>
          <w:sz w:val="20"/>
          <w:szCs w:val="20"/>
        </w:rPr>
        <w:t xml:space="preserve">HELP </w:t>
      </w:r>
      <w:r w:rsidR="008F5E11">
        <w:rPr>
          <w:sz w:val="20"/>
          <w:szCs w:val="20"/>
        </w:rPr>
        <w:t xml:space="preserve">debt, the lower the </w:t>
      </w:r>
      <w:r w:rsidR="00E60DC4">
        <w:rPr>
          <w:sz w:val="20"/>
          <w:szCs w:val="20"/>
        </w:rPr>
        <w:t>proportion</w:t>
      </w:r>
      <w:r w:rsidR="00820006">
        <w:rPr>
          <w:sz w:val="20"/>
          <w:szCs w:val="20"/>
        </w:rPr>
        <w:t xml:space="preserve"> of</w:t>
      </w:r>
      <w:r w:rsidR="00E60DC4">
        <w:rPr>
          <w:sz w:val="20"/>
          <w:szCs w:val="20"/>
        </w:rPr>
        <w:t xml:space="preserve"> that </w:t>
      </w:r>
      <w:r w:rsidR="008F5E11">
        <w:rPr>
          <w:sz w:val="20"/>
          <w:szCs w:val="20"/>
        </w:rPr>
        <w:t xml:space="preserve">debt that </w:t>
      </w:r>
      <w:r w:rsidR="00820006">
        <w:rPr>
          <w:sz w:val="20"/>
          <w:szCs w:val="20"/>
        </w:rPr>
        <w:t>may</w:t>
      </w:r>
      <w:r w:rsidR="008F5E11">
        <w:rPr>
          <w:sz w:val="20"/>
          <w:szCs w:val="20"/>
        </w:rPr>
        <w:t xml:space="preserve"> not be repaid</w:t>
      </w:r>
      <w:r w:rsidR="00431E7B">
        <w:rPr>
          <w:sz w:val="20"/>
          <w:szCs w:val="20"/>
        </w:rPr>
        <w:t xml:space="preserve">. This </w:t>
      </w:r>
      <w:r w:rsidR="00D66930">
        <w:rPr>
          <w:sz w:val="20"/>
          <w:szCs w:val="20"/>
        </w:rPr>
        <w:t>would significantly</w:t>
      </w:r>
      <w:r w:rsidR="00431E7B">
        <w:rPr>
          <w:sz w:val="20"/>
          <w:szCs w:val="20"/>
        </w:rPr>
        <w:t xml:space="preserve"> lower the </w:t>
      </w:r>
      <w:r w:rsidR="008F5E11">
        <w:rPr>
          <w:sz w:val="20"/>
          <w:szCs w:val="20"/>
        </w:rPr>
        <w:t xml:space="preserve">costs to the </w:t>
      </w:r>
      <w:r w:rsidR="00431E7B">
        <w:rPr>
          <w:sz w:val="20"/>
          <w:szCs w:val="20"/>
        </w:rPr>
        <w:t>B</w:t>
      </w:r>
      <w:r w:rsidR="008F5E11">
        <w:rPr>
          <w:sz w:val="20"/>
          <w:szCs w:val="20"/>
        </w:rPr>
        <w:t>udget of operating HELP</w:t>
      </w:r>
      <w:r>
        <w:rPr>
          <w:sz w:val="20"/>
          <w:szCs w:val="20"/>
        </w:rPr>
        <w:t xml:space="preserve"> which recent analyses by both the Parliamentary Budget Office and the Grattan Institute (see below) have shown to </w:t>
      </w:r>
      <w:r w:rsidR="007D10DF">
        <w:rPr>
          <w:sz w:val="20"/>
          <w:szCs w:val="20"/>
        </w:rPr>
        <w:t xml:space="preserve">be </w:t>
      </w:r>
      <w:r>
        <w:rPr>
          <w:sz w:val="20"/>
          <w:szCs w:val="20"/>
        </w:rPr>
        <w:t>increasing at an unsustainable rate</w:t>
      </w:r>
      <w:r w:rsidR="008F5E11">
        <w:rPr>
          <w:sz w:val="20"/>
          <w:szCs w:val="20"/>
        </w:rPr>
        <w:t>.</w:t>
      </w:r>
    </w:p>
    <w:p w:rsidR="00E41749" w:rsidRPr="00E41749" w:rsidRDefault="00E41749" w:rsidP="00E60DC4">
      <w:pPr>
        <w:rPr>
          <w:b/>
          <w:i/>
          <w:sz w:val="20"/>
          <w:szCs w:val="20"/>
        </w:rPr>
      </w:pPr>
      <w:r w:rsidRPr="00E41749">
        <w:rPr>
          <w:b/>
          <w:i/>
          <w:sz w:val="20"/>
          <w:szCs w:val="20"/>
        </w:rPr>
        <w:t xml:space="preserve">HELP Loan Fees </w:t>
      </w:r>
    </w:p>
    <w:p w:rsidR="001F0580" w:rsidRDefault="00304657" w:rsidP="00E60DC4">
      <w:pPr>
        <w:rPr>
          <w:sz w:val="20"/>
          <w:szCs w:val="20"/>
        </w:rPr>
      </w:pPr>
      <w:r>
        <w:rPr>
          <w:sz w:val="20"/>
          <w:szCs w:val="20"/>
        </w:rPr>
        <w:t xml:space="preserve">The NTEU supports the </w:t>
      </w:r>
      <w:r w:rsidR="00D74116">
        <w:rPr>
          <w:sz w:val="20"/>
          <w:szCs w:val="20"/>
        </w:rPr>
        <w:t>Government</w:t>
      </w:r>
      <w:r w:rsidR="00693049">
        <w:rPr>
          <w:sz w:val="20"/>
          <w:szCs w:val="20"/>
        </w:rPr>
        <w:t xml:space="preserve">’s current policy to abolish 20% or 25% loan fees charged to different categories of students in receipt of VET-FEE HELP and FEE HELP loans.  We agree that </w:t>
      </w:r>
      <w:r w:rsidR="001F0580">
        <w:rPr>
          <w:sz w:val="20"/>
          <w:szCs w:val="20"/>
        </w:rPr>
        <w:t xml:space="preserve">it is not fair that a student be asked to pay a quasi-interest payment on their student loans </w:t>
      </w:r>
      <w:r>
        <w:rPr>
          <w:sz w:val="20"/>
          <w:szCs w:val="20"/>
        </w:rPr>
        <w:t>si</w:t>
      </w:r>
      <w:r w:rsidR="001F0580">
        <w:rPr>
          <w:sz w:val="20"/>
          <w:szCs w:val="20"/>
        </w:rPr>
        <w:t>mply because they choose to study somewhere other than at a public Australian university.</w:t>
      </w:r>
    </w:p>
    <w:p w:rsidR="009D4654" w:rsidRDefault="00304657" w:rsidP="00E60DC4">
      <w:pPr>
        <w:rPr>
          <w:sz w:val="20"/>
          <w:szCs w:val="20"/>
        </w:rPr>
      </w:pPr>
      <w:r>
        <w:rPr>
          <w:sz w:val="20"/>
          <w:szCs w:val="20"/>
        </w:rPr>
        <w:t xml:space="preserve">The NTEU, </w:t>
      </w:r>
      <w:r w:rsidR="001F0580">
        <w:rPr>
          <w:sz w:val="20"/>
          <w:szCs w:val="20"/>
        </w:rPr>
        <w:t>however</w:t>
      </w:r>
      <w:r>
        <w:rPr>
          <w:sz w:val="20"/>
          <w:szCs w:val="20"/>
        </w:rPr>
        <w:t>,</w:t>
      </w:r>
      <w:r w:rsidR="001F0580">
        <w:rPr>
          <w:sz w:val="20"/>
          <w:szCs w:val="20"/>
        </w:rPr>
        <w:t xml:space="preserve"> strongly oppose</w:t>
      </w:r>
      <w:r>
        <w:rPr>
          <w:sz w:val="20"/>
          <w:szCs w:val="20"/>
        </w:rPr>
        <w:t>s the suggestion</w:t>
      </w:r>
      <w:r w:rsidR="001F0580">
        <w:rPr>
          <w:sz w:val="20"/>
          <w:szCs w:val="20"/>
        </w:rPr>
        <w:t xml:space="preserve"> that this situation is made fairer by charging all students loan fees</w:t>
      </w:r>
      <w:r w:rsidR="009D4654">
        <w:rPr>
          <w:sz w:val="20"/>
          <w:szCs w:val="20"/>
        </w:rPr>
        <w:t xml:space="preserve"> </w:t>
      </w:r>
      <w:r w:rsidR="00C024D4">
        <w:rPr>
          <w:sz w:val="20"/>
          <w:szCs w:val="20"/>
        </w:rPr>
        <w:t xml:space="preserve">including the 15% fee </w:t>
      </w:r>
      <w:r w:rsidR="009D4654">
        <w:rPr>
          <w:sz w:val="20"/>
          <w:szCs w:val="20"/>
        </w:rPr>
        <w:t>proposed by Grattan Institute</w:t>
      </w:r>
      <w:r w:rsidR="00C024D4">
        <w:rPr>
          <w:sz w:val="20"/>
          <w:szCs w:val="20"/>
        </w:rPr>
        <w:t>’</w:t>
      </w:r>
      <w:r w:rsidR="009D4654">
        <w:rPr>
          <w:sz w:val="20"/>
          <w:szCs w:val="20"/>
        </w:rPr>
        <w:t xml:space="preserve">s </w:t>
      </w:r>
      <w:hyperlink r:id="rId20" w:history="1">
        <w:r w:rsidR="009D4654" w:rsidRPr="00C024D4">
          <w:rPr>
            <w:rStyle w:val="Hyperlink"/>
            <w:i/>
            <w:sz w:val="20"/>
            <w:szCs w:val="20"/>
          </w:rPr>
          <w:t xml:space="preserve">Shared Interest: A Universal </w:t>
        </w:r>
        <w:r w:rsidR="00C024D4" w:rsidRPr="00C024D4">
          <w:rPr>
            <w:rStyle w:val="Hyperlink"/>
            <w:i/>
            <w:sz w:val="20"/>
            <w:szCs w:val="20"/>
          </w:rPr>
          <w:t>Loan Fee</w:t>
        </w:r>
      </w:hyperlink>
      <w:r w:rsidR="00C024D4">
        <w:rPr>
          <w:sz w:val="20"/>
          <w:szCs w:val="20"/>
        </w:rPr>
        <w:t xml:space="preserve"> for HELP report published in December 2016. </w:t>
      </w:r>
      <w:r w:rsidR="001F0580">
        <w:rPr>
          <w:sz w:val="20"/>
          <w:szCs w:val="20"/>
        </w:rPr>
        <w:t xml:space="preserve"> </w:t>
      </w:r>
      <w:r w:rsidR="009D4654">
        <w:rPr>
          <w:sz w:val="20"/>
          <w:szCs w:val="20"/>
        </w:rPr>
        <w:t xml:space="preserve">  </w:t>
      </w:r>
    </w:p>
    <w:p w:rsidR="007D10DF" w:rsidRDefault="001F0580" w:rsidP="00E60DC4">
      <w:pPr>
        <w:rPr>
          <w:sz w:val="20"/>
          <w:szCs w:val="20"/>
        </w:rPr>
      </w:pPr>
      <w:r>
        <w:rPr>
          <w:sz w:val="20"/>
          <w:szCs w:val="20"/>
        </w:rPr>
        <w:t xml:space="preserve">The </w:t>
      </w:r>
      <w:r w:rsidR="00C024D4">
        <w:rPr>
          <w:sz w:val="20"/>
          <w:szCs w:val="20"/>
        </w:rPr>
        <w:t xml:space="preserve">imposition of any such loan fee </w:t>
      </w:r>
      <w:r>
        <w:rPr>
          <w:sz w:val="20"/>
          <w:szCs w:val="20"/>
        </w:rPr>
        <w:t>existence of an administrative loan fee</w:t>
      </w:r>
      <w:r w:rsidR="00C024D4">
        <w:rPr>
          <w:sz w:val="20"/>
          <w:szCs w:val="20"/>
        </w:rPr>
        <w:t xml:space="preserve"> would increase the cost of a university for education for most students (that is</w:t>
      </w:r>
      <w:r w:rsidR="00D57B78">
        <w:rPr>
          <w:sz w:val="20"/>
          <w:szCs w:val="20"/>
        </w:rPr>
        <w:t>,</w:t>
      </w:r>
      <w:r w:rsidR="00C024D4">
        <w:rPr>
          <w:sz w:val="20"/>
          <w:szCs w:val="20"/>
        </w:rPr>
        <w:t xml:space="preserve"> for those who cannot afford to pay upfront) without providing the university without one additional cent to improve the quality of that student’s learning experience. This also has equity implications by </w:t>
      </w:r>
      <w:r>
        <w:rPr>
          <w:sz w:val="20"/>
          <w:szCs w:val="20"/>
        </w:rPr>
        <w:t xml:space="preserve">effectively </w:t>
      </w:r>
      <w:r w:rsidR="008F5E11">
        <w:rPr>
          <w:sz w:val="20"/>
          <w:szCs w:val="20"/>
        </w:rPr>
        <w:t>provid</w:t>
      </w:r>
      <w:r w:rsidR="00C024D4">
        <w:rPr>
          <w:sz w:val="20"/>
          <w:szCs w:val="20"/>
        </w:rPr>
        <w:t xml:space="preserve">ing </w:t>
      </w:r>
      <w:r>
        <w:rPr>
          <w:sz w:val="20"/>
          <w:szCs w:val="20"/>
        </w:rPr>
        <w:t xml:space="preserve">a discount for someone who is </w:t>
      </w:r>
      <w:r w:rsidR="00147F04">
        <w:rPr>
          <w:sz w:val="20"/>
          <w:szCs w:val="20"/>
        </w:rPr>
        <w:t xml:space="preserve">in </w:t>
      </w:r>
      <w:r>
        <w:rPr>
          <w:sz w:val="20"/>
          <w:szCs w:val="20"/>
        </w:rPr>
        <w:t>a position to pay their fees upfront</w:t>
      </w:r>
      <w:r w:rsidR="00BA2C36">
        <w:rPr>
          <w:sz w:val="20"/>
          <w:szCs w:val="20"/>
        </w:rPr>
        <w:t>.  If you pay upfront, you don’t incur a HELP debt and therefore do not have t</w:t>
      </w:r>
      <w:r w:rsidR="00147F04">
        <w:rPr>
          <w:sz w:val="20"/>
          <w:szCs w:val="20"/>
        </w:rPr>
        <w:t>o</w:t>
      </w:r>
      <w:r w:rsidR="00BA2C36">
        <w:rPr>
          <w:sz w:val="20"/>
          <w:szCs w:val="20"/>
        </w:rPr>
        <w:t xml:space="preserve"> pay the loan fee.  </w:t>
      </w:r>
      <w:r>
        <w:rPr>
          <w:sz w:val="20"/>
          <w:szCs w:val="20"/>
        </w:rPr>
        <w:t xml:space="preserve"> </w:t>
      </w:r>
    </w:p>
    <w:p w:rsidR="00E41749" w:rsidRPr="00E41749" w:rsidRDefault="00E41749" w:rsidP="00E60DC4">
      <w:pPr>
        <w:rPr>
          <w:b/>
          <w:i/>
          <w:sz w:val="20"/>
          <w:szCs w:val="20"/>
        </w:rPr>
      </w:pPr>
      <w:r>
        <w:rPr>
          <w:b/>
          <w:i/>
          <w:sz w:val="20"/>
          <w:szCs w:val="20"/>
        </w:rPr>
        <w:t>Removal of l</w:t>
      </w:r>
      <w:r w:rsidRPr="00E41749">
        <w:rPr>
          <w:b/>
          <w:i/>
          <w:sz w:val="20"/>
          <w:szCs w:val="20"/>
        </w:rPr>
        <w:t xml:space="preserve">ifetime limits of loans </w:t>
      </w:r>
    </w:p>
    <w:p w:rsidR="001D40FB" w:rsidRDefault="001F0580" w:rsidP="00E60DC4">
      <w:pPr>
        <w:rPr>
          <w:sz w:val="20"/>
          <w:szCs w:val="20"/>
        </w:rPr>
      </w:pPr>
      <w:r>
        <w:rPr>
          <w:sz w:val="20"/>
          <w:szCs w:val="20"/>
        </w:rPr>
        <w:t xml:space="preserve">The NTEU is </w:t>
      </w:r>
      <w:r w:rsidR="00BA2C36">
        <w:rPr>
          <w:sz w:val="20"/>
          <w:szCs w:val="20"/>
        </w:rPr>
        <w:t xml:space="preserve">also </w:t>
      </w:r>
      <w:r>
        <w:rPr>
          <w:sz w:val="20"/>
          <w:szCs w:val="20"/>
        </w:rPr>
        <w:t xml:space="preserve">strongly opposed to </w:t>
      </w:r>
      <w:r w:rsidR="00205B06">
        <w:rPr>
          <w:sz w:val="20"/>
          <w:szCs w:val="20"/>
        </w:rPr>
        <w:t xml:space="preserve">the </w:t>
      </w:r>
      <w:r>
        <w:rPr>
          <w:sz w:val="20"/>
          <w:szCs w:val="20"/>
        </w:rPr>
        <w:t xml:space="preserve">proposition that </w:t>
      </w:r>
      <w:r w:rsidR="00BA2C36">
        <w:rPr>
          <w:sz w:val="20"/>
          <w:szCs w:val="20"/>
        </w:rPr>
        <w:t xml:space="preserve">the </w:t>
      </w:r>
      <w:r>
        <w:rPr>
          <w:sz w:val="20"/>
          <w:szCs w:val="20"/>
        </w:rPr>
        <w:t>existing lifetime limits on FEE HELP loans of $99,389 (or $1</w:t>
      </w:r>
      <w:r w:rsidR="00BA2C36">
        <w:rPr>
          <w:sz w:val="20"/>
          <w:szCs w:val="20"/>
        </w:rPr>
        <w:t>2</w:t>
      </w:r>
      <w:r>
        <w:rPr>
          <w:sz w:val="20"/>
          <w:szCs w:val="20"/>
        </w:rPr>
        <w:t xml:space="preserve">4,238 for medical related courses) be abolished or be able to be topped up (renewed) once it had been paid down.  </w:t>
      </w:r>
      <w:r w:rsidR="001D40FB">
        <w:rPr>
          <w:sz w:val="20"/>
          <w:szCs w:val="20"/>
        </w:rPr>
        <w:t xml:space="preserve">The removal </w:t>
      </w:r>
      <w:r w:rsidR="00E41749">
        <w:rPr>
          <w:sz w:val="20"/>
          <w:szCs w:val="20"/>
        </w:rPr>
        <w:t xml:space="preserve">or </w:t>
      </w:r>
      <w:r w:rsidR="001D40FB">
        <w:rPr>
          <w:sz w:val="20"/>
          <w:szCs w:val="20"/>
        </w:rPr>
        <w:t xml:space="preserve">renewal of these limits </w:t>
      </w:r>
      <w:r>
        <w:rPr>
          <w:sz w:val="20"/>
          <w:szCs w:val="20"/>
        </w:rPr>
        <w:t xml:space="preserve">together with the operation of the income contingent nature of HELP </w:t>
      </w:r>
      <w:r w:rsidR="001D40FB">
        <w:rPr>
          <w:sz w:val="20"/>
          <w:szCs w:val="20"/>
        </w:rPr>
        <w:t>loans would provide a strong incentive for fees to rise</w:t>
      </w:r>
      <w:r w:rsidR="00BA2C36">
        <w:rPr>
          <w:sz w:val="20"/>
          <w:szCs w:val="20"/>
        </w:rPr>
        <w:t xml:space="preserve"> for full fee qualifications</w:t>
      </w:r>
      <w:r w:rsidR="001D40FB">
        <w:rPr>
          <w:sz w:val="20"/>
          <w:szCs w:val="20"/>
        </w:rPr>
        <w:t>.</w:t>
      </w:r>
    </w:p>
    <w:p w:rsidR="00E41749" w:rsidRPr="00E41749" w:rsidRDefault="00E41749" w:rsidP="00E60DC4">
      <w:pPr>
        <w:rPr>
          <w:b/>
          <w:i/>
          <w:sz w:val="20"/>
          <w:szCs w:val="20"/>
        </w:rPr>
      </w:pPr>
      <w:r w:rsidRPr="00E41749">
        <w:rPr>
          <w:b/>
          <w:i/>
          <w:sz w:val="20"/>
          <w:szCs w:val="20"/>
        </w:rPr>
        <w:lastRenderedPageBreak/>
        <w:t xml:space="preserve">Household liability </w:t>
      </w:r>
    </w:p>
    <w:p w:rsidR="00820006" w:rsidRDefault="00BA2C36" w:rsidP="00E60DC4">
      <w:pPr>
        <w:rPr>
          <w:sz w:val="20"/>
          <w:szCs w:val="20"/>
        </w:rPr>
      </w:pPr>
      <w:r>
        <w:rPr>
          <w:sz w:val="20"/>
          <w:szCs w:val="20"/>
        </w:rPr>
        <w:t>S</w:t>
      </w:r>
      <w:r w:rsidR="001D40FB">
        <w:rPr>
          <w:sz w:val="20"/>
          <w:szCs w:val="20"/>
        </w:rPr>
        <w:t xml:space="preserve">uggestions that HELP debts be made a household liability and/or paid from </w:t>
      </w:r>
      <w:r w:rsidR="00304657">
        <w:rPr>
          <w:sz w:val="20"/>
          <w:szCs w:val="20"/>
        </w:rPr>
        <w:t xml:space="preserve">a </w:t>
      </w:r>
      <w:r w:rsidR="001D40FB">
        <w:rPr>
          <w:sz w:val="20"/>
          <w:szCs w:val="20"/>
        </w:rPr>
        <w:t>deceased estate</w:t>
      </w:r>
      <w:r>
        <w:rPr>
          <w:sz w:val="20"/>
          <w:szCs w:val="20"/>
        </w:rPr>
        <w:t xml:space="preserve"> are also strongly opposed by the NTEU</w:t>
      </w:r>
      <w:r w:rsidR="001D40FB">
        <w:rPr>
          <w:sz w:val="20"/>
          <w:szCs w:val="20"/>
        </w:rPr>
        <w:t xml:space="preserve">.  Such suggestions violate the fundamental nature of HELP, </w:t>
      </w:r>
      <w:r w:rsidR="00D57B78">
        <w:rPr>
          <w:sz w:val="20"/>
          <w:szCs w:val="20"/>
        </w:rPr>
        <w:t>in that</w:t>
      </w:r>
      <w:r w:rsidR="001D40FB">
        <w:rPr>
          <w:sz w:val="20"/>
          <w:szCs w:val="20"/>
        </w:rPr>
        <w:t xml:space="preserve"> only those who directly benefit from higher education should be asked to pay for it. Therefore, if a person does not earn</w:t>
      </w:r>
      <w:r w:rsidR="00D66930">
        <w:rPr>
          <w:sz w:val="20"/>
          <w:szCs w:val="20"/>
        </w:rPr>
        <w:t xml:space="preserve"> sufficient</w:t>
      </w:r>
      <w:r w:rsidR="001D40FB">
        <w:rPr>
          <w:sz w:val="20"/>
          <w:szCs w:val="20"/>
        </w:rPr>
        <w:t xml:space="preserve"> income over their working lives to repay their HELP debts</w:t>
      </w:r>
      <w:r w:rsidR="007D10DF">
        <w:rPr>
          <w:sz w:val="20"/>
          <w:szCs w:val="20"/>
        </w:rPr>
        <w:t>, the debt should not be inherited.</w:t>
      </w:r>
      <w:r w:rsidR="001D40FB">
        <w:rPr>
          <w:sz w:val="20"/>
          <w:szCs w:val="20"/>
        </w:rPr>
        <w:t xml:space="preserve">   </w:t>
      </w:r>
    </w:p>
    <w:p w:rsidR="00E41749" w:rsidRPr="00E41749" w:rsidRDefault="00E41749" w:rsidP="00E60DC4">
      <w:pPr>
        <w:rPr>
          <w:b/>
          <w:i/>
          <w:sz w:val="20"/>
          <w:szCs w:val="20"/>
        </w:rPr>
      </w:pPr>
      <w:r w:rsidRPr="00E41749">
        <w:rPr>
          <w:b/>
          <w:i/>
          <w:sz w:val="20"/>
          <w:szCs w:val="20"/>
        </w:rPr>
        <w:t>Limiting courses</w:t>
      </w:r>
    </w:p>
    <w:p w:rsidR="00E60DC4" w:rsidRPr="00E60DC4" w:rsidRDefault="00820006" w:rsidP="00E60DC4">
      <w:pPr>
        <w:rPr>
          <w:sz w:val="20"/>
          <w:szCs w:val="20"/>
        </w:rPr>
      </w:pPr>
      <w:r>
        <w:rPr>
          <w:sz w:val="20"/>
          <w:szCs w:val="20"/>
        </w:rPr>
        <w:t xml:space="preserve">The NTEU is also </w:t>
      </w:r>
      <w:r w:rsidR="00A80C05">
        <w:rPr>
          <w:sz w:val="20"/>
          <w:szCs w:val="20"/>
        </w:rPr>
        <w:t xml:space="preserve">strongly </w:t>
      </w:r>
      <w:r>
        <w:rPr>
          <w:sz w:val="20"/>
          <w:szCs w:val="20"/>
        </w:rPr>
        <w:t xml:space="preserve">opposed to the denial of </w:t>
      </w:r>
      <w:r w:rsidR="00A80C05">
        <w:rPr>
          <w:sz w:val="20"/>
          <w:szCs w:val="20"/>
        </w:rPr>
        <w:t xml:space="preserve">any </w:t>
      </w:r>
      <w:r>
        <w:rPr>
          <w:sz w:val="20"/>
          <w:szCs w:val="20"/>
        </w:rPr>
        <w:t>access to HELP for</w:t>
      </w:r>
      <w:r w:rsidR="00A80C05">
        <w:rPr>
          <w:sz w:val="20"/>
          <w:szCs w:val="20"/>
        </w:rPr>
        <w:t xml:space="preserve"> university studies being undertaken by</w:t>
      </w:r>
      <w:r>
        <w:rPr>
          <w:sz w:val="20"/>
          <w:szCs w:val="20"/>
        </w:rPr>
        <w:t xml:space="preserve"> a student</w:t>
      </w:r>
      <w:r w:rsidR="00A80C05">
        <w:rPr>
          <w:sz w:val="20"/>
          <w:szCs w:val="20"/>
        </w:rPr>
        <w:t>,</w:t>
      </w:r>
      <w:r>
        <w:rPr>
          <w:sz w:val="20"/>
          <w:szCs w:val="20"/>
        </w:rPr>
        <w:t xml:space="preserve"> based on </w:t>
      </w:r>
      <w:r w:rsidR="00A80C05">
        <w:rPr>
          <w:sz w:val="20"/>
          <w:szCs w:val="20"/>
        </w:rPr>
        <w:t xml:space="preserve">their choice of course, </w:t>
      </w:r>
      <w:r>
        <w:rPr>
          <w:sz w:val="20"/>
          <w:szCs w:val="20"/>
        </w:rPr>
        <w:t xml:space="preserve">age and/or perceived working capacity. </w:t>
      </w:r>
      <w:r w:rsidR="00E41749">
        <w:rPr>
          <w:sz w:val="20"/>
          <w:szCs w:val="20"/>
        </w:rPr>
        <w:t xml:space="preserve"> </w:t>
      </w:r>
      <w:r w:rsidR="00912FA4">
        <w:rPr>
          <w:sz w:val="20"/>
          <w:szCs w:val="20"/>
        </w:rPr>
        <w:t xml:space="preserve">The complexities of determining which courses should or should not be eligible for public funding has already arisen in relation to radical changes proposed for VET.  </w:t>
      </w:r>
      <w:r w:rsidR="00A80C05">
        <w:rPr>
          <w:sz w:val="20"/>
          <w:szCs w:val="20"/>
        </w:rPr>
        <w:t>Leaving aside the problems of determining what makes a university level course ‘recreational’, there are serious issues around</w:t>
      </w:r>
      <w:r w:rsidR="001D40FB">
        <w:rPr>
          <w:sz w:val="20"/>
          <w:szCs w:val="20"/>
        </w:rPr>
        <w:t xml:space="preserve"> </w:t>
      </w:r>
      <w:r w:rsidR="00A80C05">
        <w:rPr>
          <w:sz w:val="20"/>
          <w:szCs w:val="20"/>
        </w:rPr>
        <w:t>discrimination and access</w:t>
      </w:r>
      <w:r w:rsidR="00D57B78">
        <w:rPr>
          <w:sz w:val="20"/>
          <w:szCs w:val="20"/>
        </w:rPr>
        <w:t>. The</w:t>
      </w:r>
      <w:r w:rsidR="00912FA4">
        <w:rPr>
          <w:sz w:val="20"/>
          <w:szCs w:val="20"/>
        </w:rPr>
        <w:t xml:space="preserve"> NTEU is of the view that the best way to ensure the legitimacy of any course offered by a university would through the use of PAAs </w:t>
      </w:r>
      <w:r w:rsidR="00A80C05">
        <w:rPr>
          <w:sz w:val="20"/>
          <w:szCs w:val="20"/>
        </w:rPr>
        <w:t xml:space="preserve">. </w:t>
      </w:r>
      <w:r w:rsidR="00E41749">
        <w:rPr>
          <w:sz w:val="20"/>
          <w:szCs w:val="20"/>
        </w:rPr>
        <w:t xml:space="preserve">  </w:t>
      </w:r>
      <w:r w:rsidR="00A80C05">
        <w:rPr>
          <w:sz w:val="20"/>
          <w:szCs w:val="20"/>
        </w:rPr>
        <w:t xml:space="preserve"> </w:t>
      </w:r>
      <w:r w:rsidR="001D40FB">
        <w:rPr>
          <w:sz w:val="20"/>
          <w:szCs w:val="20"/>
        </w:rPr>
        <w:t xml:space="preserve"> </w:t>
      </w:r>
      <w:r w:rsidR="001F0580">
        <w:rPr>
          <w:sz w:val="20"/>
          <w:szCs w:val="20"/>
        </w:rPr>
        <w:t xml:space="preserve">  </w:t>
      </w:r>
      <w:r w:rsidR="00693049">
        <w:rPr>
          <w:sz w:val="20"/>
          <w:szCs w:val="20"/>
        </w:rPr>
        <w:t xml:space="preserve">    </w:t>
      </w:r>
      <w:r w:rsidR="00E60DC4">
        <w:rPr>
          <w:sz w:val="20"/>
          <w:szCs w:val="20"/>
        </w:rPr>
        <w:t xml:space="preserve">   </w:t>
      </w:r>
    </w:p>
    <w:p w:rsidR="006F2A65" w:rsidRPr="00F5236C" w:rsidRDefault="006F2A65">
      <w:pPr>
        <w:rPr>
          <w:b/>
          <w:sz w:val="24"/>
          <w:szCs w:val="24"/>
        </w:rPr>
      </w:pPr>
      <w:r w:rsidRPr="00F5236C">
        <w:rPr>
          <w:b/>
          <w:sz w:val="24"/>
          <w:szCs w:val="24"/>
        </w:rPr>
        <w:t>Education Investment Fund</w:t>
      </w:r>
    </w:p>
    <w:p w:rsidR="00C024D4" w:rsidRDefault="006F2A65">
      <w:pPr>
        <w:rPr>
          <w:sz w:val="20"/>
          <w:szCs w:val="20"/>
        </w:rPr>
      </w:pPr>
      <w:r w:rsidRPr="006F2A65">
        <w:rPr>
          <w:sz w:val="20"/>
          <w:szCs w:val="20"/>
        </w:rPr>
        <w:t xml:space="preserve">The NTEU notes with some concern that </w:t>
      </w:r>
      <w:r>
        <w:rPr>
          <w:sz w:val="20"/>
          <w:szCs w:val="20"/>
        </w:rPr>
        <w:t>dec</w:t>
      </w:r>
      <w:r w:rsidR="00F50C49">
        <w:rPr>
          <w:sz w:val="20"/>
          <w:szCs w:val="20"/>
        </w:rPr>
        <w:t>ision included in the 2106-17 MY</w:t>
      </w:r>
      <w:r>
        <w:rPr>
          <w:sz w:val="20"/>
          <w:szCs w:val="20"/>
        </w:rPr>
        <w:t xml:space="preserve">EFO to </w:t>
      </w:r>
      <w:r w:rsidR="002B53E8">
        <w:rPr>
          <w:sz w:val="20"/>
          <w:szCs w:val="20"/>
        </w:rPr>
        <w:t xml:space="preserve">re-purpose the $3.7billion balance of Education Investment Fund (EIF) to the funding of the National Disability Insurance Scheme (NDIS).  </w:t>
      </w:r>
      <w:r w:rsidR="00F50C49">
        <w:rPr>
          <w:sz w:val="20"/>
          <w:szCs w:val="20"/>
        </w:rPr>
        <w:t xml:space="preserve">Pitching the NDIS against the EIF is a cynical exercise and is viewed as such by education and disability advocates. </w:t>
      </w:r>
      <w:r w:rsidR="002B53E8">
        <w:rPr>
          <w:sz w:val="20"/>
          <w:szCs w:val="20"/>
        </w:rPr>
        <w:t>The funds in the EIF should be used for the purposes of supporting education and research including the provision of national research infrastructure</w:t>
      </w:r>
      <w:r w:rsidR="00D57B78">
        <w:rPr>
          <w:sz w:val="20"/>
          <w:szCs w:val="20"/>
        </w:rPr>
        <w:t>,</w:t>
      </w:r>
      <w:r w:rsidR="002B53E8">
        <w:rPr>
          <w:sz w:val="20"/>
          <w:szCs w:val="20"/>
        </w:rPr>
        <w:t xml:space="preserve"> as outlined in the 2016 National Research Infrastructure Roadmap.</w:t>
      </w:r>
    </w:p>
    <w:p w:rsidR="00F5236C" w:rsidRPr="00345B2B" w:rsidRDefault="0061586F">
      <w:pPr>
        <w:rPr>
          <w:b/>
          <w:sz w:val="28"/>
          <w:szCs w:val="28"/>
        </w:rPr>
      </w:pPr>
      <w:r w:rsidRPr="00345B2B">
        <w:rPr>
          <w:b/>
          <w:sz w:val="28"/>
          <w:szCs w:val="28"/>
        </w:rPr>
        <w:t>Conclusion</w:t>
      </w:r>
    </w:p>
    <w:p w:rsidR="00660898" w:rsidRDefault="0061586F">
      <w:pPr>
        <w:rPr>
          <w:sz w:val="20"/>
          <w:szCs w:val="20"/>
        </w:rPr>
      </w:pPr>
      <w:r>
        <w:rPr>
          <w:sz w:val="20"/>
          <w:szCs w:val="20"/>
        </w:rPr>
        <w:t>Virtually everyone involved in the sector agrees that Australia’s current higher education pol</w:t>
      </w:r>
      <w:r w:rsidR="00D57B78">
        <w:rPr>
          <w:sz w:val="20"/>
          <w:szCs w:val="20"/>
        </w:rPr>
        <w:t xml:space="preserve">icies are unsustainable.   However, the </w:t>
      </w:r>
      <w:r w:rsidR="00D74116">
        <w:rPr>
          <w:sz w:val="20"/>
          <w:szCs w:val="20"/>
        </w:rPr>
        <w:t>Government</w:t>
      </w:r>
      <w:r>
        <w:rPr>
          <w:sz w:val="20"/>
          <w:szCs w:val="20"/>
        </w:rPr>
        <w:t>’s attempts</w:t>
      </w:r>
      <w:r w:rsidR="00660898">
        <w:rPr>
          <w:sz w:val="20"/>
          <w:szCs w:val="20"/>
        </w:rPr>
        <w:t xml:space="preserve"> </w:t>
      </w:r>
      <w:r>
        <w:rPr>
          <w:sz w:val="20"/>
          <w:szCs w:val="20"/>
        </w:rPr>
        <w:t xml:space="preserve">to </w:t>
      </w:r>
      <w:r w:rsidR="000514F1">
        <w:rPr>
          <w:sz w:val="20"/>
          <w:szCs w:val="20"/>
        </w:rPr>
        <w:t xml:space="preserve">use a market based approach to </w:t>
      </w:r>
      <w:r>
        <w:rPr>
          <w:sz w:val="20"/>
          <w:szCs w:val="20"/>
        </w:rPr>
        <w:t xml:space="preserve">address </w:t>
      </w:r>
      <w:r w:rsidR="000514F1">
        <w:rPr>
          <w:sz w:val="20"/>
          <w:szCs w:val="20"/>
        </w:rPr>
        <w:t>the challenges facing higher education</w:t>
      </w:r>
      <w:r w:rsidR="00D57B78">
        <w:rPr>
          <w:sz w:val="20"/>
          <w:szCs w:val="20"/>
        </w:rPr>
        <w:t>,</w:t>
      </w:r>
      <w:r w:rsidR="000514F1">
        <w:rPr>
          <w:sz w:val="20"/>
          <w:szCs w:val="20"/>
        </w:rPr>
        <w:t xml:space="preserve"> </w:t>
      </w:r>
      <w:r w:rsidR="00D57B78">
        <w:rPr>
          <w:sz w:val="20"/>
          <w:szCs w:val="20"/>
        </w:rPr>
        <w:t>first introduced in 2014 Federal Budget and which include giving non-university, for-prof</w:t>
      </w:r>
      <w:r w:rsidR="005D5E14">
        <w:rPr>
          <w:sz w:val="20"/>
          <w:szCs w:val="20"/>
        </w:rPr>
        <w:t>i</w:t>
      </w:r>
      <w:r w:rsidR="00D57B78">
        <w:rPr>
          <w:sz w:val="20"/>
          <w:szCs w:val="20"/>
        </w:rPr>
        <w:t>t provider</w:t>
      </w:r>
      <w:r w:rsidR="005D5E14">
        <w:rPr>
          <w:sz w:val="20"/>
          <w:szCs w:val="20"/>
        </w:rPr>
        <w:t>s</w:t>
      </w:r>
      <w:r w:rsidR="00D57B78">
        <w:rPr>
          <w:sz w:val="20"/>
          <w:szCs w:val="20"/>
        </w:rPr>
        <w:t xml:space="preserve"> access to </w:t>
      </w:r>
      <w:r w:rsidR="000514F1">
        <w:rPr>
          <w:sz w:val="20"/>
          <w:szCs w:val="20"/>
        </w:rPr>
        <w:t>public funding and allowing universities and other</w:t>
      </w:r>
      <w:r w:rsidR="00D57B78">
        <w:rPr>
          <w:sz w:val="20"/>
          <w:szCs w:val="20"/>
        </w:rPr>
        <w:t>s</w:t>
      </w:r>
      <w:r w:rsidR="000514F1">
        <w:rPr>
          <w:sz w:val="20"/>
          <w:szCs w:val="20"/>
        </w:rPr>
        <w:t xml:space="preserve"> to charge whatever they </w:t>
      </w:r>
      <w:r w:rsidR="00D57B78">
        <w:rPr>
          <w:sz w:val="20"/>
          <w:szCs w:val="20"/>
        </w:rPr>
        <w:t xml:space="preserve">wish </w:t>
      </w:r>
      <w:r w:rsidR="00660898">
        <w:rPr>
          <w:sz w:val="20"/>
          <w:szCs w:val="20"/>
        </w:rPr>
        <w:t>for degrees, have not only been shattered by its experiences of such a policy framework in VET but have also been soundly rejected by the Parliament.</w:t>
      </w:r>
    </w:p>
    <w:p w:rsidR="00BF04F8" w:rsidRDefault="00BF04F8">
      <w:pPr>
        <w:rPr>
          <w:sz w:val="20"/>
          <w:szCs w:val="20"/>
        </w:rPr>
      </w:pPr>
      <w:r>
        <w:rPr>
          <w:sz w:val="20"/>
          <w:szCs w:val="20"/>
        </w:rPr>
        <w:t xml:space="preserve">Given that the </w:t>
      </w:r>
      <w:r w:rsidR="00D74116">
        <w:rPr>
          <w:sz w:val="20"/>
          <w:szCs w:val="20"/>
        </w:rPr>
        <w:t>Government</w:t>
      </w:r>
      <w:r>
        <w:rPr>
          <w:sz w:val="20"/>
          <w:szCs w:val="20"/>
        </w:rPr>
        <w:t xml:space="preserve">’s market based policies have been proven to be too risky for the quality and reputation of Australia’s higher education system, the question remains as to what policy framework should be followed. </w:t>
      </w:r>
    </w:p>
    <w:p w:rsidR="00F5236C" w:rsidRPr="00F5236C" w:rsidRDefault="00BF04F8">
      <w:pPr>
        <w:rPr>
          <w:sz w:val="20"/>
          <w:szCs w:val="20"/>
        </w:rPr>
      </w:pPr>
      <w:r>
        <w:rPr>
          <w:sz w:val="20"/>
          <w:szCs w:val="20"/>
        </w:rPr>
        <w:t xml:space="preserve">The </w:t>
      </w:r>
      <w:r w:rsidR="005D5E14">
        <w:rPr>
          <w:sz w:val="20"/>
          <w:szCs w:val="20"/>
        </w:rPr>
        <w:t xml:space="preserve">NTEU </w:t>
      </w:r>
      <w:r>
        <w:rPr>
          <w:sz w:val="20"/>
          <w:szCs w:val="20"/>
        </w:rPr>
        <w:t xml:space="preserve">has and will continue to advocate for a policy and funding framework which is well planned and well managed (as opposed to the chaos of the market) as well as being sufficiently flexible and adaptable to respond to changing business, societal and student demands.  Such a framework could be achieved through the use of Public Accountability Agreements (PAA’s) as first proposed in our </w:t>
      </w:r>
      <w:hyperlink r:id="rId21" w:history="1">
        <w:r w:rsidRPr="00BF04F8">
          <w:rPr>
            <w:rStyle w:val="Hyperlink"/>
            <w:sz w:val="20"/>
            <w:szCs w:val="20"/>
          </w:rPr>
          <w:t>2015 Pre-Budget Budget submission</w:t>
        </w:r>
      </w:hyperlink>
      <w:r>
        <w:rPr>
          <w:sz w:val="20"/>
          <w:szCs w:val="20"/>
        </w:rPr>
        <w:t xml:space="preserve">.          </w:t>
      </w:r>
    </w:p>
    <w:p w:rsidR="00635C02" w:rsidRDefault="00635C02">
      <w:pPr>
        <w:rPr>
          <w:b/>
        </w:rPr>
      </w:pPr>
      <w:r>
        <w:rPr>
          <w:b/>
        </w:rPr>
        <w:br w:type="page"/>
      </w:r>
    </w:p>
    <w:p w:rsidR="00FD7C30" w:rsidRDefault="002B1C92" w:rsidP="009909B6">
      <w:pPr>
        <w:shd w:val="clear" w:color="auto" w:fill="FFFFFF" w:themeFill="background1"/>
        <w:jc w:val="center"/>
        <w:rPr>
          <w:b/>
          <w:sz w:val="24"/>
          <w:szCs w:val="24"/>
        </w:rPr>
      </w:pPr>
      <w:r w:rsidRPr="004838AA">
        <w:rPr>
          <w:b/>
          <w:sz w:val="24"/>
          <w:szCs w:val="24"/>
        </w:rPr>
        <w:lastRenderedPageBreak/>
        <w:t>A</w:t>
      </w:r>
      <w:r w:rsidR="004838AA">
        <w:rPr>
          <w:b/>
          <w:sz w:val="24"/>
          <w:szCs w:val="24"/>
        </w:rPr>
        <w:t xml:space="preserve">TTACHMENT </w:t>
      </w:r>
      <w:r w:rsidRPr="004838AA">
        <w:rPr>
          <w:b/>
          <w:sz w:val="24"/>
          <w:szCs w:val="24"/>
        </w:rPr>
        <w:t xml:space="preserve"> A</w:t>
      </w:r>
    </w:p>
    <w:p w:rsidR="00635C02" w:rsidRPr="009909B6" w:rsidRDefault="00635C02" w:rsidP="009909B6">
      <w:pPr>
        <w:shd w:val="clear" w:color="auto" w:fill="FFFFFF" w:themeFill="background1"/>
        <w:jc w:val="center"/>
        <w:rPr>
          <w:b/>
          <w:sz w:val="24"/>
          <w:szCs w:val="24"/>
        </w:rPr>
      </w:pPr>
      <w:r w:rsidRPr="009909B6">
        <w:rPr>
          <w:b/>
          <w:sz w:val="24"/>
          <w:szCs w:val="24"/>
        </w:rPr>
        <w:t>Completion Rates</w:t>
      </w:r>
    </w:p>
    <w:p w:rsidR="00635C02" w:rsidRDefault="002B1C92"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color w:val="000000" w:themeColor="text1"/>
          <w:sz w:val="20"/>
          <w:szCs w:val="20"/>
        </w:rPr>
        <w:t xml:space="preserve">The following provides an overview of the results contained in the Department of Education and Training’s latest analysis of </w:t>
      </w:r>
      <w:r w:rsidR="0040065B">
        <w:rPr>
          <w:rFonts w:ascii="Arial" w:hAnsi="Arial" w:cs="Arial"/>
          <w:b w:val="0"/>
          <w:color w:val="000000" w:themeColor="text1"/>
          <w:sz w:val="20"/>
          <w:szCs w:val="20"/>
        </w:rPr>
        <w:t xml:space="preserve">higher education completion rates released on 18 January 2017, entitled </w:t>
      </w:r>
      <w:hyperlink r:id="rId22" w:history="1">
        <w:r w:rsidR="00635C02" w:rsidRPr="00E313B0">
          <w:rPr>
            <w:rStyle w:val="Hyperlink"/>
            <w:rFonts w:ascii="Arial" w:hAnsi="Arial" w:cs="Arial"/>
            <w:b w:val="0"/>
            <w:bCs w:val="0"/>
            <w:i/>
            <w:sz w:val="20"/>
            <w:szCs w:val="20"/>
          </w:rPr>
          <w:t>Completion rates of domestic bachelor students 200</w:t>
        </w:r>
        <w:r w:rsidR="00DF3F7A">
          <w:rPr>
            <w:rStyle w:val="Hyperlink"/>
            <w:rFonts w:ascii="Arial" w:hAnsi="Arial" w:cs="Arial"/>
            <w:b w:val="0"/>
            <w:bCs w:val="0"/>
            <w:i/>
            <w:sz w:val="20"/>
            <w:szCs w:val="20"/>
          </w:rPr>
          <w:t>5</w:t>
        </w:r>
        <w:r w:rsidR="00635C02" w:rsidRPr="00E313B0">
          <w:rPr>
            <w:rStyle w:val="Hyperlink"/>
            <w:rFonts w:ascii="Arial" w:hAnsi="Arial" w:cs="Arial"/>
            <w:b w:val="0"/>
            <w:bCs w:val="0"/>
            <w:i/>
            <w:sz w:val="20"/>
            <w:szCs w:val="20"/>
          </w:rPr>
          <w:t>-201</w:t>
        </w:r>
        <w:r w:rsidR="0040065B">
          <w:rPr>
            <w:rStyle w:val="Hyperlink"/>
            <w:rFonts w:ascii="Arial" w:hAnsi="Arial" w:cs="Arial"/>
            <w:b w:val="0"/>
            <w:bCs w:val="0"/>
            <w:i/>
            <w:sz w:val="20"/>
            <w:szCs w:val="20"/>
          </w:rPr>
          <w:t>4</w:t>
        </w:r>
        <w:r w:rsidR="00635C02" w:rsidRPr="00E313B0">
          <w:rPr>
            <w:rStyle w:val="Hyperlink"/>
            <w:rFonts w:ascii="Arial" w:hAnsi="Arial" w:cs="Arial"/>
            <w:b w:val="0"/>
            <w:bCs w:val="0"/>
            <w:i/>
            <w:sz w:val="20"/>
            <w:szCs w:val="20"/>
          </w:rPr>
          <w:t>: A cohort analysis</w:t>
        </w:r>
      </w:hyperlink>
      <w:r w:rsidR="00635C02" w:rsidRPr="00E313B0">
        <w:rPr>
          <w:rFonts w:ascii="Arial" w:hAnsi="Arial" w:cs="Arial"/>
          <w:b w:val="0"/>
          <w:bCs w:val="0"/>
          <w:color w:val="000000" w:themeColor="text1"/>
          <w:sz w:val="20"/>
          <w:szCs w:val="20"/>
        </w:rPr>
        <w:t>.</w:t>
      </w:r>
    </w:p>
    <w:p w:rsidR="0040065B" w:rsidRDefault="0040065B"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p>
    <w:p w:rsidR="0040065B" w:rsidRPr="00DF3F7A" w:rsidRDefault="0040065B" w:rsidP="009909B6">
      <w:pPr>
        <w:pStyle w:val="Heading1"/>
        <w:shd w:val="clear" w:color="auto" w:fill="FFFFFF" w:themeFill="background1"/>
        <w:spacing w:before="0" w:beforeAutospacing="0" w:after="75" w:afterAutospacing="0" w:line="276" w:lineRule="auto"/>
        <w:rPr>
          <w:rFonts w:ascii="Arial" w:hAnsi="Arial" w:cs="Arial"/>
          <w:bCs w:val="0"/>
          <w:color w:val="000000" w:themeColor="text1"/>
          <w:sz w:val="24"/>
          <w:szCs w:val="24"/>
        </w:rPr>
      </w:pPr>
      <w:r w:rsidRPr="00DF3F7A">
        <w:rPr>
          <w:rFonts w:ascii="Arial" w:hAnsi="Arial" w:cs="Arial"/>
          <w:bCs w:val="0"/>
          <w:color w:val="000000" w:themeColor="text1"/>
          <w:sz w:val="24"/>
          <w:szCs w:val="24"/>
        </w:rPr>
        <w:t xml:space="preserve">Nine Year Completion Rates at Public Universities (2006-2014) </w:t>
      </w:r>
    </w:p>
    <w:p w:rsidR="00223B89" w:rsidRDefault="00FD7C30"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Figures  A  and B </w:t>
      </w:r>
      <w:r w:rsidR="0040065B">
        <w:rPr>
          <w:rFonts w:ascii="Arial" w:hAnsi="Arial" w:cs="Arial"/>
          <w:b w:val="0"/>
          <w:bCs w:val="0"/>
          <w:color w:val="000000" w:themeColor="text1"/>
          <w:sz w:val="20"/>
          <w:szCs w:val="20"/>
        </w:rPr>
        <w:t xml:space="preserve">shows the proportion of students that enrolled in a public </w:t>
      </w:r>
      <w:r w:rsidR="00223B89">
        <w:rPr>
          <w:rFonts w:ascii="Arial" w:hAnsi="Arial" w:cs="Arial"/>
          <w:b w:val="0"/>
          <w:bCs w:val="0"/>
          <w:color w:val="000000" w:themeColor="text1"/>
          <w:sz w:val="20"/>
          <w:szCs w:val="20"/>
        </w:rPr>
        <w:t>university (Table A provider) in 2006 who in 2014 had either completed their qualifications or who were still enrolled.</w:t>
      </w:r>
    </w:p>
    <w:p w:rsidR="00223B89" w:rsidRDefault="00223B89"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p>
    <w:p w:rsidR="00223B89" w:rsidRPr="00FD7C30" w:rsidRDefault="00223B89" w:rsidP="009909B6">
      <w:pPr>
        <w:pStyle w:val="Heading1"/>
        <w:shd w:val="clear" w:color="auto" w:fill="FFFFFF" w:themeFill="background1"/>
        <w:spacing w:before="0" w:beforeAutospacing="0" w:after="75" w:afterAutospacing="0" w:line="276" w:lineRule="auto"/>
        <w:rPr>
          <w:rFonts w:ascii="Arial" w:hAnsi="Arial" w:cs="Arial"/>
          <w:bCs w:val="0"/>
          <w:i/>
          <w:color w:val="000000" w:themeColor="text1"/>
          <w:sz w:val="22"/>
          <w:szCs w:val="22"/>
        </w:rPr>
      </w:pPr>
      <w:r w:rsidRPr="00FD7C30">
        <w:rPr>
          <w:rFonts w:ascii="Arial" w:hAnsi="Arial" w:cs="Arial"/>
          <w:bCs w:val="0"/>
          <w:i/>
          <w:color w:val="000000" w:themeColor="text1"/>
          <w:sz w:val="22"/>
          <w:szCs w:val="22"/>
        </w:rPr>
        <w:t>Student Characteristics</w:t>
      </w:r>
    </w:p>
    <w:p w:rsidR="00223B89" w:rsidRDefault="004838AA"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Figure </w:t>
      </w:r>
      <w:r w:rsidR="00223B89">
        <w:rPr>
          <w:rFonts w:ascii="Arial" w:hAnsi="Arial" w:cs="Arial"/>
          <w:b w:val="0"/>
          <w:bCs w:val="0"/>
          <w:color w:val="000000" w:themeColor="text1"/>
          <w:sz w:val="20"/>
          <w:szCs w:val="20"/>
        </w:rPr>
        <w:t xml:space="preserve"> A shows that the following student characteristics had a significant influence on student completion rates:</w:t>
      </w:r>
    </w:p>
    <w:p w:rsidR="00223B89" w:rsidRDefault="00223B89"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mode of study  -  external students significantly to have completed or still be enrolled when compared to internal (campus based) or mixed mode students</w:t>
      </w:r>
    </w:p>
    <w:p w:rsidR="00223B89" w:rsidRDefault="00223B89"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type of attendance  - part-time much lower rates than full-time,</w:t>
      </w:r>
    </w:p>
    <w:p w:rsidR="00223B89" w:rsidRDefault="00223B89"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age -  older students much less likely to complete or still be enrolled, </w:t>
      </w:r>
    </w:p>
    <w:p w:rsidR="00223B89" w:rsidRDefault="00223B89"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sidRPr="00223B89">
        <w:rPr>
          <w:rFonts w:ascii="Arial" w:hAnsi="Arial" w:cs="Arial"/>
          <w:b w:val="0"/>
          <w:bCs w:val="0"/>
          <w:color w:val="000000" w:themeColor="text1"/>
          <w:sz w:val="20"/>
          <w:szCs w:val="20"/>
        </w:rPr>
        <w:t xml:space="preserve">Indigenous students – far less likely to complete than </w:t>
      </w:r>
      <w:r>
        <w:rPr>
          <w:rFonts w:ascii="Arial" w:hAnsi="Arial" w:cs="Arial"/>
          <w:b w:val="0"/>
          <w:bCs w:val="0"/>
          <w:color w:val="000000" w:themeColor="text1"/>
          <w:sz w:val="20"/>
          <w:szCs w:val="20"/>
        </w:rPr>
        <w:t>n</w:t>
      </w:r>
      <w:r w:rsidRPr="00223B89">
        <w:rPr>
          <w:rFonts w:ascii="Arial" w:hAnsi="Arial" w:cs="Arial"/>
          <w:b w:val="0"/>
          <w:bCs w:val="0"/>
          <w:color w:val="000000" w:themeColor="text1"/>
          <w:sz w:val="20"/>
          <w:szCs w:val="20"/>
        </w:rPr>
        <w:t>on-Indigenous students</w:t>
      </w:r>
    </w:p>
    <w:p w:rsidR="004838AA" w:rsidRDefault="004838AA"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Socio-economic status (SES) – student with higher ATARs more likely to be enrolled or have completed,</w:t>
      </w:r>
    </w:p>
    <w:p w:rsidR="004838AA" w:rsidRDefault="004838AA" w:rsidP="009909B6">
      <w:pPr>
        <w:pStyle w:val="Heading1"/>
        <w:numPr>
          <w:ilvl w:val="0"/>
          <w:numId w:val="16"/>
        </w:numPr>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geographic background – student from regional and remote areas far less likely to have completed or still be enrolled.</w:t>
      </w:r>
    </w:p>
    <w:p w:rsidR="004838AA" w:rsidRDefault="004838AA"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Figure B show the proportion of students who had completed or were still enrolled after nine years (2006-2014) by different entry score (ATAR) and by broad field of study.  The data show that having completed or still being enrolled increases with ATAR as well variations between fields of study.</w:t>
      </w:r>
    </w:p>
    <w:p w:rsidR="009909B6" w:rsidRDefault="009909B6"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p>
    <w:p w:rsidR="009909B6" w:rsidRPr="00FD7C30" w:rsidRDefault="009909B6" w:rsidP="009909B6">
      <w:pPr>
        <w:pStyle w:val="Heading1"/>
        <w:shd w:val="clear" w:color="auto" w:fill="FFFFFF" w:themeFill="background1"/>
        <w:spacing w:before="0" w:beforeAutospacing="0" w:after="75" w:afterAutospacing="0" w:line="276" w:lineRule="auto"/>
        <w:rPr>
          <w:rFonts w:ascii="Arial" w:hAnsi="Arial" w:cs="Arial"/>
          <w:bCs w:val="0"/>
          <w:i/>
          <w:color w:val="000000" w:themeColor="text1"/>
          <w:sz w:val="22"/>
          <w:szCs w:val="22"/>
        </w:rPr>
      </w:pPr>
      <w:r w:rsidRPr="00FD7C30">
        <w:rPr>
          <w:rFonts w:ascii="Arial" w:hAnsi="Arial" w:cs="Arial"/>
          <w:bCs w:val="0"/>
          <w:i/>
          <w:color w:val="000000" w:themeColor="text1"/>
          <w:sz w:val="22"/>
          <w:szCs w:val="22"/>
        </w:rPr>
        <w:t>Institutional Variations</w:t>
      </w:r>
    </w:p>
    <w:p w:rsidR="009909B6" w:rsidRDefault="009909B6" w:rsidP="009909B6">
      <w:pPr>
        <w:rPr>
          <w:bCs/>
          <w:color w:val="000000" w:themeColor="text1"/>
          <w:sz w:val="20"/>
          <w:szCs w:val="20"/>
        </w:rPr>
      </w:pPr>
      <w:r w:rsidRPr="009909B6">
        <w:rPr>
          <w:bCs/>
          <w:color w:val="000000" w:themeColor="text1"/>
          <w:sz w:val="20"/>
          <w:szCs w:val="20"/>
        </w:rPr>
        <w:t xml:space="preserve">Given the very different students cohorts of different universities one would expect that there to be significant variation in </w:t>
      </w:r>
      <w:r w:rsidR="00FD7C30">
        <w:rPr>
          <w:bCs/>
          <w:color w:val="000000" w:themeColor="text1"/>
          <w:sz w:val="20"/>
          <w:szCs w:val="20"/>
        </w:rPr>
        <w:t xml:space="preserve">nine year </w:t>
      </w:r>
      <w:r w:rsidRPr="009909B6">
        <w:rPr>
          <w:bCs/>
          <w:color w:val="000000" w:themeColor="text1"/>
          <w:sz w:val="20"/>
          <w:szCs w:val="20"/>
        </w:rPr>
        <w:t>completion rates between institutions as the data in Figure C clearly shows.  F</w:t>
      </w:r>
      <w:r w:rsidR="00FD7C30">
        <w:rPr>
          <w:bCs/>
          <w:color w:val="000000" w:themeColor="text1"/>
          <w:sz w:val="20"/>
          <w:szCs w:val="20"/>
        </w:rPr>
        <w:t>o</w:t>
      </w:r>
      <w:r w:rsidRPr="009909B6">
        <w:rPr>
          <w:bCs/>
          <w:color w:val="000000" w:themeColor="text1"/>
          <w:sz w:val="20"/>
          <w:szCs w:val="20"/>
        </w:rPr>
        <w:t>ur universities (Melbourne, Sydney, UWA and ANU) had completion rates above 85% compared to two universities with completion rates below 50% (CQU and USQ).</w:t>
      </w:r>
    </w:p>
    <w:p w:rsidR="009909B6" w:rsidRPr="00DF3F7A" w:rsidRDefault="009909B6" w:rsidP="009909B6">
      <w:pPr>
        <w:rPr>
          <w:b/>
          <w:bCs/>
          <w:color w:val="000000" w:themeColor="text1"/>
          <w:sz w:val="24"/>
          <w:szCs w:val="24"/>
        </w:rPr>
      </w:pPr>
      <w:r w:rsidRPr="00DF3F7A">
        <w:rPr>
          <w:b/>
          <w:bCs/>
          <w:color w:val="000000" w:themeColor="text1"/>
          <w:sz w:val="24"/>
          <w:szCs w:val="24"/>
        </w:rPr>
        <w:t>Public Universities vs Non-University Higher Education Providers</w:t>
      </w:r>
    </w:p>
    <w:p w:rsidR="001053EF" w:rsidRDefault="009909B6" w:rsidP="00DF3F7A">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sidRPr="009909B6">
        <w:rPr>
          <w:rFonts w:ascii="Arial" w:hAnsi="Arial" w:cs="Arial"/>
          <w:b w:val="0"/>
          <w:bCs w:val="0"/>
          <w:color w:val="000000" w:themeColor="text1"/>
          <w:sz w:val="20"/>
          <w:szCs w:val="20"/>
        </w:rPr>
        <w:t>Figure D compares the proportion of student that had completed or were still enrolled in 2014 after initially enrolling in 2011 (four year rates</w:t>
      </w:r>
      <w:r w:rsidRPr="009909B6">
        <w:rPr>
          <w:rStyle w:val="FootnoteReference"/>
          <w:rFonts w:ascii="Arial" w:hAnsi="Arial" w:cs="Arial"/>
          <w:b w:val="0"/>
          <w:bCs w:val="0"/>
          <w:color w:val="000000" w:themeColor="text1"/>
          <w:sz w:val="20"/>
          <w:szCs w:val="20"/>
        </w:rPr>
        <w:footnoteReference w:id="1"/>
      </w:r>
      <w:r w:rsidRPr="009909B6">
        <w:rPr>
          <w:rFonts w:ascii="Arial" w:hAnsi="Arial" w:cs="Arial"/>
          <w:b w:val="0"/>
          <w:bCs w:val="0"/>
          <w:color w:val="000000" w:themeColor="text1"/>
          <w:sz w:val="20"/>
          <w:szCs w:val="20"/>
        </w:rPr>
        <w:t xml:space="preserve">) between public universities (Table A) and non-university higher education providers by different student characteristics.  </w:t>
      </w:r>
      <w:r>
        <w:rPr>
          <w:rFonts w:ascii="Arial" w:hAnsi="Arial" w:cs="Arial"/>
          <w:b w:val="0"/>
          <w:bCs w:val="0"/>
          <w:color w:val="000000" w:themeColor="text1"/>
          <w:sz w:val="20"/>
          <w:szCs w:val="20"/>
        </w:rPr>
        <w:t xml:space="preserve">The data clearly shows that completions and on-going enrolments after four years for non-university providers </w:t>
      </w:r>
      <w:r w:rsidR="001053EF">
        <w:rPr>
          <w:rFonts w:ascii="Arial" w:hAnsi="Arial" w:cs="Arial"/>
          <w:b w:val="0"/>
          <w:bCs w:val="0"/>
          <w:color w:val="000000" w:themeColor="text1"/>
          <w:sz w:val="20"/>
          <w:szCs w:val="20"/>
        </w:rPr>
        <w:t xml:space="preserve">are </w:t>
      </w:r>
      <w:r>
        <w:rPr>
          <w:rFonts w:ascii="Arial" w:hAnsi="Arial" w:cs="Arial"/>
          <w:b w:val="0"/>
          <w:bCs w:val="0"/>
          <w:color w:val="000000" w:themeColor="text1"/>
          <w:sz w:val="20"/>
          <w:szCs w:val="20"/>
        </w:rPr>
        <w:t>significantly lower than for public universities</w:t>
      </w:r>
      <w:r w:rsidR="001053EF">
        <w:rPr>
          <w:rFonts w:ascii="Arial" w:hAnsi="Arial" w:cs="Arial"/>
          <w:b w:val="0"/>
          <w:bCs w:val="0"/>
          <w:color w:val="000000" w:themeColor="text1"/>
          <w:sz w:val="20"/>
          <w:szCs w:val="20"/>
        </w:rPr>
        <w:t xml:space="preserve"> across </w:t>
      </w:r>
      <w:r w:rsidR="00DF3F7A">
        <w:rPr>
          <w:rFonts w:ascii="Arial" w:hAnsi="Arial" w:cs="Arial"/>
          <w:b w:val="0"/>
          <w:bCs w:val="0"/>
          <w:color w:val="000000" w:themeColor="text1"/>
          <w:sz w:val="20"/>
          <w:szCs w:val="20"/>
        </w:rPr>
        <w:t>virtually every criteria including</w:t>
      </w:r>
      <w:r w:rsidR="001053EF">
        <w:rPr>
          <w:rFonts w:ascii="Arial" w:hAnsi="Arial" w:cs="Arial"/>
          <w:b w:val="0"/>
          <w:bCs w:val="0"/>
          <w:color w:val="000000" w:themeColor="text1"/>
          <w:sz w:val="20"/>
          <w:szCs w:val="20"/>
        </w:rPr>
        <w:t>:</w:t>
      </w:r>
      <w:r w:rsidR="00DF3F7A">
        <w:rPr>
          <w:rFonts w:ascii="Arial" w:hAnsi="Arial" w:cs="Arial"/>
          <w:b w:val="0"/>
          <w:bCs w:val="0"/>
          <w:color w:val="000000" w:themeColor="text1"/>
          <w:sz w:val="20"/>
          <w:szCs w:val="20"/>
        </w:rPr>
        <w:t xml:space="preserve"> domestic and overseas students</w:t>
      </w:r>
      <w:r w:rsidR="001053EF">
        <w:rPr>
          <w:rFonts w:ascii="Arial" w:hAnsi="Arial" w:cs="Arial"/>
          <w:b w:val="0"/>
          <w:bCs w:val="0"/>
          <w:color w:val="000000" w:themeColor="text1"/>
          <w:sz w:val="20"/>
          <w:szCs w:val="20"/>
        </w:rPr>
        <w:t>;</w:t>
      </w:r>
      <w:r w:rsidR="00DF3F7A">
        <w:rPr>
          <w:rFonts w:ascii="Arial" w:hAnsi="Arial" w:cs="Arial"/>
          <w:b w:val="0"/>
          <w:bCs w:val="0"/>
          <w:color w:val="000000" w:themeColor="text1"/>
          <w:sz w:val="20"/>
          <w:szCs w:val="20"/>
        </w:rPr>
        <w:t xml:space="preserve"> mode of delivery</w:t>
      </w:r>
      <w:r w:rsidR="001053EF">
        <w:rPr>
          <w:rFonts w:ascii="Arial" w:hAnsi="Arial" w:cs="Arial"/>
          <w:b w:val="0"/>
          <w:bCs w:val="0"/>
          <w:color w:val="000000" w:themeColor="text1"/>
          <w:sz w:val="20"/>
          <w:szCs w:val="20"/>
        </w:rPr>
        <w:t>;</w:t>
      </w:r>
      <w:r w:rsidR="00DF3F7A">
        <w:rPr>
          <w:rFonts w:ascii="Arial" w:hAnsi="Arial" w:cs="Arial"/>
          <w:b w:val="0"/>
          <w:bCs w:val="0"/>
          <w:color w:val="000000" w:themeColor="text1"/>
          <w:sz w:val="20"/>
          <w:szCs w:val="20"/>
        </w:rPr>
        <w:t xml:space="preserve"> type of attendance</w:t>
      </w:r>
      <w:r w:rsidR="001053EF">
        <w:rPr>
          <w:rFonts w:ascii="Arial" w:hAnsi="Arial" w:cs="Arial"/>
          <w:b w:val="0"/>
          <w:bCs w:val="0"/>
          <w:color w:val="000000" w:themeColor="text1"/>
          <w:sz w:val="20"/>
          <w:szCs w:val="20"/>
        </w:rPr>
        <w:t>;</w:t>
      </w:r>
      <w:r w:rsidR="00DF3F7A">
        <w:rPr>
          <w:rFonts w:ascii="Arial" w:hAnsi="Arial" w:cs="Arial"/>
          <w:b w:val="0"/>
          <w:bCs w:val="0"/>
          <w:color w:val="000000" w:themeColor="text1"/>
          <w:sz w:val="20"/>
          <w:szCs w:val="20"/>
        </w:rPr>
        <w:t xml:space="preserve"> age</w:t>
      </w:r>
      <w:r w:rsidR="001053EF">
        <w:rPr>
          <w:rFonts w:ascii="Arial" w:hAnsi="Arial" w:cs="Arial"/>
          <w:b w:val="0"/>
          <w:bCs w:val="0"/>
          <w:color w:val="000000" w:themeColor="text1"/>
          <w:sz w:val="20"/>
          <w:szCs w:val="20"/>
        </w:rPr>
        <w:t xml:space="preserve">; </w:t>
      </w:r>
      <w:r w:rsidR="00DF3F7A">
        <w:rPr>
          <w:rFonts w:ascii="Arial" w:hAnsi="Arial" w:cs="Arial"/>
          <w:b w:val="0"/>
          <w:bCs w:val="0"/>
          <w:color w:val="000000" w:themeColor="text1"/>
          <w:sz w:val="20"/>
          <w:szCs w:val="20"/>
        </w:rPr>
        <w:t xml:space="preserve">and SES status.  </w:t>
      </w:r>
    </w:p>
    <w:p w:rsidR="009909B6" w:rsidRPr="009909B6" w:rsidRDefault="00DF3F7A" w:rsidP="00DF3F7A">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In summary a student who enrolled with a non-university provider in 2011 was for more likely to have dropped out by 2014 </w:t>
      </w:r>
      <w:r w:rsidR="001053EF">
        <w:rPr>
          <w:rFonts w:ascii="Arial" w:hAnsi="Arial" w:cs="Arial"/>
          <w:b w:val="0"/>
          <w:bCs w:val="0"/>
          <w:color w:val="000000" w:themeColor="text1"/>
          <w:sz w:val="20"/>
          <w:szCs w:val="20"/>
        </w:rPr>
        <w:t xml:space="preserve">when compared </w:t>
      </w:r>
      <w:r>
        <w:rPr>
          <w:rFonts w:ascii="Arial" w:hAnsi="Arial" w:cs="Arial"/>
          <w:b w:val="0"/>
          <w:bCs w:val="0"/>
          <w:color w:val="000000" w:themeColor="text1"/>
          <w:sz w:val="20"/>
          <w:szCs w:val="20"/>
        </w:rPr>
        <w:t xml:space="preserve">to someone enrolling at public university.      </w:t>
      </w:r>
    </w:p>
    <w:p w:rsidR="00223B89" w:rsidRPr="00223B89" w:rsidRDefault="004838AA"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r>
        <w:rPr>
          <w:rFonts w:ascii="Arial" w:hAnsi="Arial" w:cs="Arial"/>
          <w:b w:val="0"/>
          <w:bCs w:val="0"/>
          <w:color w:val="000000" w:themeColor="text1"/>
          <w:sz w:val="20"/>
          <w:szCs w:val="20"/>
        </w:rPr>
        <w:t xml:space="preserve">        </w:t>
      </w:r>
      <w:r w:rsidR="00223B89" w:rsidRPr="00223B89">
        <w:rPr>
          <w:rFonts w:ascii="Arial" w:hAnsi="Arial" w:cs="Arial"/>
          <w:b w:val="0"/>
          <w:bCs w:val="0"/>
          <w:color w:val="000000" w:themeColor="text1"/>
          <w:sz w:val="20"/>
          <w:szCs w:val="20"/>
        </w:rPr>
        <w:t xml:space="preserve">       </w:t>
      </w:r>
    </w:p>
    <w:p w:rsidR="00223B89" w:rsidRDefault="00223B89" w:rsidP="009909B6">
      <w:pPr>
        <w:pStyle w:val="Heading1"/>
        <w:shd w:val="clear" w:color="auto" w:fill="FFFFFF" w:themeFill="background1"/>
        <w:spacing w:before="0" w:beforeAutospacing="0" w:after="75" w:afterAutospacing="0" w:line="276" w:lineRule="auto"/>
        <w:rPr>
          <w:rFonts w:ascii="Arial" w:hAnsi="Arial" w:cs="Arial"/>
          <w:b w:val="0"/>
          <w:bCs w:val="0"/>
          <w:color w:val="000000" w:themeColor="text1"/>
          <w:sz w:val="20"/>
          <w:szCs w:val="20"/>
        </w:rPr>
      </w:pPr>
    </w:p>
    <w:p w:rsidR="004838AA" w:rsidRDefault="004838AA"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p>
    <w:p w:rsidR="004838AA" w:rsidRDefault="004838AA"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p>
    <w:p w:rsidR="00223B89" w:rsidRDefault="00223B89" w:rsidP="00223B89">
      <w:pPr>
        <w:pStyle w:val="Caption"/>
        <w:keepNext/>
      </w:pPr>
      <w:r>
        <w:lastRenderedPageBreak/>
        <w:t>Figure A</w:t>
      </w:r>
    </w:p>
    <w:p w:rsidR="0040065B" w:rsidRPr="00E313B0" w:rsidRDefault="00223B89"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r>
        <w:rPr>
          <w:rFonts w:ascii="Arial" w:hAnsi="Arial" w:cs="Arial"/>
          <w:b w:val="0"/>
          <w:bCs w:val="0"/>
          <w:noProof/>
          <w:color w:val="000000" w:themeColor="text1"/>
          <w:sz w:val="20"/>
          <w:szCs w:val="20"/>
        </w:rPr>
        <w:drawing>
          <wp:inline distT="0" distB="0" distL="0" distR="0" wp14:anchorId="4EB008A2">
            <wp:extent cx="6115765" cy="400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9275" cy="4002796"/>
                    </a:xfrm>
                    <a:prstGeom prst="rect">
                      <a:avLst/>
                    </a:prstGeom>
                    <a:noFill/>
                  </pic:spPr>
                </pic:pic>
              </a:graphicData>
            </a:graphic>
          </wp:inline>
        </w:drawing>
      </w:r>
      <w:r>
        <w:rPr>
          <w:rFonts w:ascii="Arial" w:hAnsi="Arial" w:cs="Arial"/>
          <w:b w:val="0"/>
          <w:bCs w:val="0"/>
          <w:color w:val="000000" w:themeColor="text1"/>
          <w:sz w:val="20"/>
          <w:szCs w:val="20"/>
        </w:rPr>
        <w:t xml:space="preserve">    </w:t>
      </w:r>
    </w:p>
    <w:p w:rsidR="004838AA" w:rsidRDefault="004838AA" w:rsidP="004838AA">
      <w:pPr>
        <w:pStyle w:val="Caption"/>
        <w:keepNext/>
      </w:pPr>
      <w:r>
        <w:t>Figure B</w:t>
      </w:r>
    </w:p>
    <w:p w:rsidR="004838AA" w:rsidRDefault="004838AA"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r>
        <w:rPr>
          <w:rFonts w:ascii="Arial" w:hAnsi="Arial" w:cs="Arial"/>
          <w:b w:val="0"/>
          <w:bCs w:val="0"/>
          <w:noProof/>
          <w:color w:val="000000" w:themeColor="text1"/>
          <w:sz w:val="20"/>
          <w:szCs w:val="20"/>
        </w:rPr>
        <w:drawing>
          <wp:inline distT="0" distB="0" distL="0" distR="0" wp14:anchorId="0B72D577">
            <wp:extent cx="6159448" cy="40290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63046" cy="4031429"/>
                    </a:xfrm>
                    <a:prstGeom prst="rect">
                      <a:avLst/>
                    </a:prstGeom>
                    <a:noFill/>
                  </pic:spPr>
                </pic:pic>
              </a:graphicData>
            </a:graphic>
          </wp:inline>
        </w:drawing>
      </w:r>
    </w:p>
    <w:p w:rsidR="004838AA" w:rsidRDefault="004838AA">
      <w:pPr>
        <w:rPr>
          <w:rFonts w:eastAsia="Times New Roman"/>
          <w:color w:val="000000" w:themeColor="text1"/>
          <w:kern w:val="36"/>
          <w:sz w:val="20"/>
          <w:szCs w:val="20"/>
          <w:lang w:eastAsia="en-AU"/>
        </w:rPr>
      </w:pPr>
      <w:r>
        <w:rPr>
          <w:b/>
          <w:bCs/>
          <w:color w:val="000000" w:themeColor="text1"/>
          <w:sz w:val="20"/>
          <w:szCs w:val="20"/>
        </w:rPr>
        <w:br w:type="page"/>
      </w:r>
    </w:p>
    <w:p w:rsidR="009909B6" w:rsidRDefault="009909B6" w:rsidP="009909B6">
      <w:pPr>
        <w:pStyle w:val="Caption"/>
        <w:keepNext/>
      </w:pPr>
      <w:r>
        <w:lastRenderedPageBreak/>
        <w:t xml:space="preserve">Figure </w:t>
      </w:r>
      <w:r w:rsidR="00AC550C">
        <w:fldChar w:fldCharType="begin"/>
      </w:r>
      <w:r w:rsidR="00AC550C">
        <w:instrText xml:space="preserve"> SEQ Figure \* ALPHABETIC </w:instrText>
      </w:r>
      <w:r w:rsidR="00AC550C">
        <w:fldChar w:fldCharType="separate"/>
      </w:r>
      <w:r>
        <w:rPr>
          <w:noProof/>
        </w:rPr>
        <w:t>C</w:t>
      </w:r>
      <w:r w:rsidR="00AC550C">
        <w:rPr>
          <w:noProof/>
        </w:rPr>
        <w:fldChar w:fldCharType="end"/>
      </w:r>
    </w:p>
    <w:p w:rsidR="00635C02" w:rsidRDefault="004838AA"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r>
        <w:rPr>
          <w:rFonts w:ascii="Arial" w:hAnsi="Arial" w:cs="Arial"/>
          <w:b w:val="0"/>
          <w:bCs w:val="0"/>
          <w:noProof/>
          <w:color w:val="000000" w:themeColor="text1"/>
          <w:sz w:val="20"/>
          <w:szCs w:val="20"/>
        </w:rPr>
        <w:drawing>
          <wp:inline distT="0" distB="0" distL="0" distR="0" wp14:anchorId="0BB6BFFF">
            <wp:extent cx="6222514" cy="4070329"/>
            <wp:effectExtent l="0" t="0" r="698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31384" cy="4076131"/>
                    </a:xfrm>
                    <a:prstGeom prst="rect">
                      <a:avLst/>
                    </a:prstGeom>
                    <a:noFill/>
                  </pic:spPr>
                </pic:pic>
              </a:graphicData>
            </a:graphic>
          </wp:inline>
        </w:drawing>
      </w:r>
    </w:p>
    <w:p w:rsidR="009909B6" w:rsidRDefault="009909B6" w:rsidP="009909B6">
      <w:pPr>
        <w:pStyle w:val="Caption"/>
        <w:keepNext/>
      </w:pPr>
      <w:r>
        <w:t xml:space="preserve">Figure </w:t>
      </w:r>
      <w:r w:rsidR="00AC550C">
        <w:fldChar w:fldCharType="begin"/>
      </w:r>
      <w:r w:rsidR="00AC550C">
        <w:instrText xml:space="preserve"> SEQ Figure \* ALPHABETIC </w:instrText>
      </w:r>
      <w:r w:rsidR="00AC550C">
        <w:fldChar w:fldCharType="separate"/>
      </w:r>
      <w:r>
        <w:rPr>
          <w:noProof/>
        </w:rPr>
        <w:t>D</w:t>
      </w:r>
      <w:r w:rsidR="00AC550C">
        <w:rPr>
          <w:noProof/>
        </w:rPr>
        <w:fldChar w:fldCharType="end"/>
      </w:r>
    </w:p>
    <w:p w:rsidR="009909B6" w:rsidRPr="00E313B0" w:rsidRDefault="009909B6" w:rsidP="00635C02">
      <w:pPr>
        <w:pStyle w:val="Heading1"/>
        <w:shd w:val="clear" w:color="auto" w:fill="FFFFFF" w:themeFill="background1"/>
        <w:spacing w:before="0" w:beforeAutospacing="0" w:after="75" w:afterAutospacing="0" w:line="288" w:lineRule="atLeast"/>
        <w:rPr>
          <w:rFonts w:ascii="Arial" w:hAnsi="Arial" w:cs="Arial"/>
          <w:b w:val="0"/>
          <w:bCs w:val="0"/>
          <w:color w:val="000000" w:themeColor="text1"/>
          <w:sz w:val="20"/>
          <w:szCs w:val="20"/>
        </w:rPr>
      </w:pPr>
      <w:r>
        <w:rPr>
          <w:rFonts w:ascii="Arial" w:hAnsi="Arial" w:cs="Arial"/>
          <w:b w:val="0"/>
          <w:bCs w:val="0"/>
          <w:noProof/>
          <w:color w:val="000000" w:themeColor="text1"/>
          <w:sz w:val="20"/>
          <w:szCs w:val="20"/>
        </w:rPr>
        <w:drawing>
          <wp:inline distT="0" distB="0" distL="0" distR="0" wp14:anchorId="60E67AB6">
            <wp:extent cx="6138255" cy="401521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40766" cy="4016854"/>
                    </a:xfrm>
                    <a:prstGeom prst="rect">
                      <a:avLst/>
                    </a:prstGeom>
                    <a:noFill/>
                  </pic:spPr>
                </pic:pic>
              </a:graphicData>
            </a:graphic>
          </wp:inline>
        </w:drawing>
      </w:r>
    </w:p>
    <w:sectPr w:rsidR="009909B6" w:rsidRPr="00E313B0" w:rsidSect="00E41749">
      <w:footerReference w:type="default" r:id="rId27"/>
      <w:pgSz w:w="11906" w:h="16838"/>
      <w:pgMar w:top="993" w:right="849" w:bottom="141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C4" w:rsidRDefault="00B55FC4" w:rsidP="004E1739">
      <w:pPr>
        <w:spacing w:after="0" w:line="240" w:lineRule="auto"/>
      </w:pPr>
      <w:r>
        <w:separator/>
      </w:r>
    </w:p>
  </w:endnote>
  <w:endnote w:type="continuationSeparator" w:id="0">
    <w:p w:rsidR="00B55FC4" w:rsidRDefault="00B55FC4" w:rsidP="004E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65458"/>
      <w:docPartObj>
        <w:docPartGallery w:val="Page Numbers (Bottom of Page)"/>
        <w:docPartUnique/>
      </w:docPartObj>
    </w:sdtPr>
    <w:sdtEndPr>
      <w:rPr>
        <w:noProof/>
        <w:sz w:val="18"/>
        <w:szCs w:val="18"/>
      </w:rPr>
    </w:sdtEndPr>
    <w:sdtContent>
      <w:p w:rsidR="002B134C" w:rsidRPr="00884DC5" w:rsidRDefault="002B134C">
        <w:pPr>
          <w:pStyle w:val="Footer"/>
          <w:jc w:val="center"/>
          <w:rPr>
            <w:sz w:val="18"/>
            <w:szCs w:val="18"/>
          </w:rPr>
        </w:pPr>
        <w:r w:rsidRPr="00884DC5">
          <w:rPr>
            <w:sz w:val="18"/>
            <w:szCs w:val="18"/>
          </w:rPr>
          <w:fldChar w:fldCharType="begin"/>
        </w:r>
        <w:r w:rsidRPr="00884DC5">
          <w:rPr>
            <w:sz w:val="18"/>
            <w:szCs w:val="18"/>
          </w:rPr>
          <w:instrText xml:space="preserve"> PAGE   \* MERGEFORMAT </w:instrText>
        </w:r>
        <w:r w:rsidRPr="00884DC5">
          <w:rPr>
            <w:sz w:val="18"/>
            <w:szCs w:val="18"/>
          </w:rPr>
          <w:fldChar w:fldCharType="separate"/>
        </w:r>
        <w:r w:rsidR="00AC550C">
          <w:rPr>
            <w:noProof/>
            <w:sz w:val="18"/>
            <w:szCs w:val="18"/>
          </w:rPr>
          <w:t>1</w:t>
        </w:r>
        <w:r w:rsidRPr="00884DC5">
          <w:rPr>
            <w:noProof/>
            <w:sz w:val="18"/>
            <w:szCs w:val="18"/>
          </w:rPr>
          <w:fldChar w:fldCharType="end"/>
        </w:r>
      </w:p>
    </w:sdtContent>
  </w:sdt>
  <w:p w:rsidR="002B134C" w:rsidRPr="00884DC5" w:rsidRDefault="002B134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C4" w:rsidRDefault="00B55FC4" w:rsidP="004E1739">
      <w:pPr>
        <w:spacing w:after="0" w:line="240" w:lineRule="auto"/>
      </w:pPr>
      <w:r>
        <w:separator/>
      </w:r>
    </w:p>
  </w:footnote>
  <w:footnote w:type="continuationSeparator" w:id="0">
    <w:p w:rsidR="00B55FC4" w:rsidRDefault="00B55FC4" w:rsidP="004E1739">
      <w:pPr>
        <w:spacing w:after="0" w:line="240" w:lineRule="auto"/>
      </w:pPr>
      <w:r>
        <w:continuationSeparator/>
      </w:r>
    </w:p>
  </w:footnote>
  <w:footnote w:id="1">
    <w:p w:rsidR="009909B6" w:rsidRDefault="009909B6">
      <w:pPr>
        <w:pStyle w:val="FootnoteText"/>
      </w:pPr>
      <w:r>
        <w:rPr>
          <w:rStyle w:val="FootnoteReference"/>
        </w:rPr>
        <w:footnoteRef/>
      </w:r>
      <w:r>
        <w:t xml:space="preserve"> Nine year rates not published for non-university providers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410"/>
    <w:multiLevelType w:val="hybridMultilevel"/>
    <w:tmpl w:val="DA7C65D6"/>
    <w:lvl w:ilvl="0" w:tplc="0C090001">
      <w:start w:val="1"/>
      <w:numFmt w:val="bullet"/>
      <w:lvlText w:val=""/>
      <w:lvlJc w:val="left"/>
      <w:pPr>
        <w:ind w:left="997" w:hanging="360"/>
      </w:pPr>
      <w:rPr>
        <w:rFonts w:ascii="Symbol" w:hAnsi="Symbol" w:hint="default"/>
      </w:rPr>
    </w:lvl>
    <w:lvl w:ilvl="1" w:tplc="0C090003" w:tentative="1">
      <w:start w:val="1"/>
      <w:numFmt w:val="bullet"/>
      <w:lvlText w:val="o"/>
      <w:lvlJc w:val="left"/>
      <w:pPr>
        <w:ind w:left="1717" w:hanging="360"/>
      </w:pPr>
      <w:rPr>
        <w:rFonts w:ascii="Courier New" w:hAnsi="Courier New" w:cs="Courier New" w:hint="default"/>
      </w:rPr>
    </w:lvl>
    <w:lvl w:ilvl="2" w:tplc="0C090005" w:tentative="1">
      <w:start w:val="1"/>
      <w:numFmt w:val="bullet"/>
      <w:lvlText w:val=""/>
      <w:lvlJc w:val="left"/>
      <w:pPr>
        <w:ind w:left="2437" w:hanging="360"/>
      </w:pPr>
      <w:rPr>
        <w:rFonts w:ascii="Wingdings" w:hAnsi="Wingdings" w:hint="default"/>
      </w:rPr>
    </w:lvl>
    <w:lvl w:ilvl="3" w:tplc="0C090001" w:tentative="1">
      <w:start w:val="1"/>
      <w:numFmt w:val="bullet"/>
      <w:lvlText w:val=""/>
      <w:lvlJc w:val="left"/>
      <w:pPr>
        <w:ind w:left="3157" w:hanging="360"/>
      </w:pPr>
      <w:rPr>
        <w:rFonts w:ascii="Symbol" w:hAnsi="Symbol" w:hint="default"/>
      </w:rPr>
    </w:lvl>
    <w:lvl w:ilvl="4" w:tplc="0C090003" w:tentative="1">
      <w:start w:val="1"/>
      <w:numFmt w:val="bullet"/>
      <w:lvlText w:val="o"/>
      <w:lvlJc w:val="left"/>
      <w:pPr>
        <w:ind w:left="3877" w:hanging="360"/>
      </w:pPr>
      <w:rPr>
        <w:rFonts w:ascii="Courier New" w:hAnsi="Courier New" w:cs="Courier New" w:hint="default"/>
      </w:rPr>
    </w:lvl>
    <w:lvl w:ilvl="5" w:tplc="0C090005" w:tentative="1">
      <w:start w:val="1"/>
      <w:numFmt w:val="bullet"/>
      <w:lvlText w:val=""/>
      <w:lvlJc w:val="left"/>
      <w:pPr>
        <w:ind w:left="4597" w:hanging="360"/>
      </w:pPr>
      <w:rPr>
        <w:rFonts w:ascii="Wingdings" w:hAnsi="Wingdings" w:hint="default"/>
      </w:rPr>
    </w:lvl>
    <w:lvl w:ilvl="6" w:tplc="0C090001" w:tentative="1">
      <w:start w:val="1"/>
      <w:numFmt w:val="bullet"/>
      <w:lvlText w:val=""/>
      <w:lvlJc w:val="left"/>
      <w:pPr>
        <w:ind w:left="5317" w:hanging="360"/>
      </w:pPr>
      <w:rPr>
        <w:rFonts w:ascii="Symbol" w:hAnsi="Symbol" w:hint="default"/>
      </w:rPr>
    </w:lvl>
    <w:lvl w:ilvl="7" w:tplc="0C090003" w:tentative="1">
      <w:start w:val="1"/>
      <w:numFmt w:val="bullet"/>
      <w:lvlText w:val="o"/>
      <w:lvlJc w:val="left"/>
      <w:pPr>
        <w:ind w:left="6037" w:hanging="360"/>
      </w:pPr>
      <w:rPr>
        <w:rFonts w:ascii="Courier New" w:hAnsi="Courier New" w:cs="Courier New" w:hint="default"/>
      </w:rPr>
    </w:lvl>
    <w:lvl w:ilvl="8" w:tplc="0C090005" w:tentative="1">
      <w:start w:val="1"/>
      <w:numFmt w:val="bullet"/>
      <w:lvlText w:val=""/>
      <w:lvlJc w:val="left"/>
      <w:pPr>
        <w:ind w:left="6757" w:hanging="360"/>
      </w:pPr>
      <w:rPr>
        <w:rFonts w:ascii="Wingdings" w:hAnsi="Wingdings" w:hint="default"/>
      </w:rPr>
    </w:lvl>
  </w:abstractNum>
  <w:abstractNum w:abstractNumId="1">
    <w:nsid w:val="084F7FB4"/>
    <w:multiLevelType w:val="hybridMultilevel"/>
    <w:tmpl w:val="F5F8B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2F752D"/>
    <w:multiLevelType w:val="hybridMultilevel"/>
    <w:tmpl w:val="AD042668"/>
    <w:lvl w:ilvl="0" w:tplc="05C0D568">
      <w:start w:val="2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125D65"/>
    <w:multiLevelType w:val="hybridMultilevel"/>
    <w:tmpl w:val="3014CF1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nsid w:val="19CC63F3"/>
    <w:multiLevelType w:val="hybridMultilevel"/>
    <w:tmpl w:val="77128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B63510A"/>
    <w:multiLevelType w:val="hybridMultilevel"/>
    <w:tmpl w:val="7CCC3EB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nsid w:val="21707D11"/>
    <w:multiLevelType w:val="hybridMultilevel"/>
    <w:tmpl w:val="AEC0A47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7">
    <w:nsid w:val="29197127"/>
    <w:multiLevelType w:val="hybridMultilevel"/>
    <w:tmpl w:val="5BA8B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BCE3E86"/>
    <w:multiLevelType w:val="hybridMultilevel"/>
    <w:tmpl w:val="AAE0FA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F526C22"/>
    <w:multiLevelType w:val="hybridMultilevel"/>
    <w:tmpl w:val="23501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116CC4"/>
    <w:multiLevelType w:val="hybridMultilevel"/>
    <w:tmpl w:val="F3C46A1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nsid w:val="5E65167F"/>
    <w:multiLevelType w:val="hybridMultilevel"/>
    <w:tmpl w:val="5D6449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0597289"/>
    <w:multiLevelType w:val="hybridMultilevel"/>
    <w:tmpl w:val="A582E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20A76E8"/>
    <w:multiLevelType w:val="hybridMultilevel"/>
    <w:tmpl w:val="FF38907A"/>
    <w:lvl w:ilvl="0" w:tplc="0C090001">
      <w:start w:val="1"/>
      <w:numFmt w:val="bullet"/>
      <w:lvlText w:val=""/>
      <w:lvlJc w:val="left"/>
      <w:pPr>
        <w:ind w:left="1215" w:hanging="360"/>
      </w:pPr>
      <w:rPr>
        <w:rFonts w:ascii="Symbol" w:hAnsi="Symbol"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14">
    <w:nsid w:val="66AE7723"/>
    <w:multiLevelType w:val="hybridMultilevel"/>
    <w:tmpl w:val="7DA8F3F0"/>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5">
    <w:nsid w:val="6D4842E8"/>
    <w:multiLevelType w:val="hybridMultilevel"/>
    <w:tmpl w:val="02EEC7A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DD375C1"/>
    <w:multiLevelType w:val="hybridMultilevel"/>
    <w:tmpl w:val="7D4680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6"/>
  </w:num>
  <w:num w:numId="4">
    <w:abstractNumId w:val="12"/>
  </w:num>
  <w:num w:numId="5">
    <w:abstractNumId w:val="7"/>
  </w:num>
  <w:num w:numId="6">
    <w:abstractNumId w:val="8"/>
  </w:num>
  <w:num w:numId="7">
    <w:abstractNumId w:val="15"/>
  </w:num>
  <w:num w:numId="8">
    <w:abstractNumId w:val="1"/>
  </w:num>
  <w:num w:numId="9">
    <w:abstractNumId w:val="10"/>
  </w:num>
  <w:num w:numId="10">
    <w:abstractNumId w:val="3"/>
  </w:num>
  <w:num w:numId="11">
    <w:abstractNumId w:val="6"/>
  </w:num>
  <w:num w:numId="12">
    <w:abstractNumId w:val="2"/>
  </w:num>
  <w:num w:numId="13">
    <w:abstractNumId w:val="0"/>
  </w:num>
  <w:num w:numId="14">
    <w:abstractNumId w:val="11"/>
  </w:num>
  <w:num w:numId="15">
    <w:abstractNumId w:val="9"/>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21"/>
    <w:rsid w:val="00007C20"/>
    <w:rsid w:val="00022218"/>
    <w:rsid w:val="000514F1"/>
    <w:rsid w:val="00057CA1"/>
    <w:rsid w:val="00081FCA"/>
    <w:rsid w:val="0008202C"/>
    <w:rsid w:val="00091850"/>
    <w:rsid w:val="00095335"/>
    <w:rsid w:val="000A19EA"/>
    <w:rsid w:val="000A1F9A"/>
    <w:rsid w:val="000B7CD4"/>
    <w:rsid w:val="000D20D2"/>
    <w:rsid w:val="001053EF"/>
    <w:rsid w:val="00105E9B"/>
    <w:rsid w:val="00117A80"/>
    <w:rsid w:val="00126BC5"/>
    <w:rsid w:val="00134550"/>
    <w:rsid w:val="00134D31"/>
    <w:rsid w:val="001457EA"/>
    <w:rsid w:val="00147F04"/>
    <w:rsid w:val="00165A85"/>
    <w:rsid w:val="0018598E"/>
    <w:rsid w:val="00196A32"/>
    <w:rsid w:val="001C3FDD"/>
    <w:rsid w:val="001D40FB"/>
    <w:rsid w:val="001E59AC"/>
    <w:rsid w:val="001F0580"/>
    <w:rsid w:val="001F3EAA"/>
    <w:rsid w:val="00200AA7"/>
    <w:rsid w:val="00205B06"/>
    <w:rsid w:val="00216259"/>
    <w:rsid w:val="00223B89"/>
    <w:rsid w:val="00234048"/>
    <w:rsid w:val="0024529F"/>
    <w:rsid w:val="002663CE"/>
    <w:rsid w:val="00273899"/>
    <w:rsid w:val="00286CF4"/>
    <w:rsid w:val="002B134C"/>
    <w:rsid w:val="002B1C92"/>
    <w:rsid w:val="002B53E8"/>
    <w:rsid w:val="002F7003"/>
    <w:rsid w:val="00304657"/>
    <w:rsid w:val="00307B34"/>
    <w:rsid w:val="00317344"/>
    <w:rsid w:val="00344696"/>
    <w:rsid w:val="00345B2B"/>
    <w:rsid w:val="00346883"/>
    <w:rsid w:val="00360D30"/>
    <w:rsid w:val="003B69BE"/>
    <w:rsid w:val="003F7DDD"/>
    <w:rsid w:val="0040065B"/>
    <w:rsid w:val="00406BA5"/>
    <w:rsid w:val="00422ECC"/>
    <w:rsid w:val="00431E7B"/>
    <w:rsid w:val="0044554B"/>
    <w:rsid w:val="00465164"/>
    <w:rsid w:val="004838AA"/>
    <w:rsid w:val="004B49A3"/>
    <w:rsid w:val="004E1739"/>
    <w:rsid w:val="004E66B7"/>
    <w:rsid w:val="004F5B6D"/>
    <w:rsid w:val="00506C56"/>
    <w:rsid w:val="00515521"/>
    <w:rsid w:val="00530D4D"/>
    <w:rsid w:val="00541EFE"/>
    <w:rsid w:val="005572E7"/>
    <w:rsid w:val="00571429"/>
    <w:rsid w:val="00594570"/>
    <w:rsid w:val="0059798D"/>
    <w:rsid w:val="005D4371"/>
    <w:rsid w:val="005D5E14"/>
    <w:rsid w:val="005D6598"/>
    <w:rsid w:val="0061586F"/>
    <w:rsid w:val="00635C02"/>
    <w:rsid w:val="00641095"/>
    <w:rsid w:val="00660898"/>
    <w:rsid w:val="00693049"/>
    <w:rsid w:val="006A2DDE"/>
    <w:rsid w:val="006B3AC9"/>
    <w:rsid w:val="006B4222"/>
    <w:rsid w:val="006C65E8"/>
    <w:rsid w:val="006C7CDD"/>
    <w:rsid w:val="006D0F35"/>
    <w:rsid w:val="006D3897"/>
    <w:rsid w:val="006D42EB"/>
    <w:rsid w:val="006E5781"/>
    <w:rsid w:val="006F047E"/>
    <w:rsid w:val="006F2A65"/>
    <w:rsid w:val="007037CD"/>
    <w:rsid w:val="00725972"/>
    <w:rsid w:val="007301D7"/>
    <w:rsid w:val="0074504F"/>
    <w:rsid w:val="00763D7C"/>
    <w:rsid w:val="007753CD"/>
    <w:rsid w:val="00794929"/>
    <w:rsid w:val="007A44AE"/>
    <w:rsid w:val="007A4A3A"/>
    <w:rsid w:val="007B6C59"/>
    <w:rsid w:val="007D10DF"/>
    <w:rsid w:val="007E1EEB"/>
    <w:rsid w:val="007E4CF3"/>
    <w:rsid w:val="008004CB"/>
    <w:rsid w:val="00807D04"/>
    <w:rsid w:val="00820006"/>
    <w:rsid w:val="00822FDE"/>
    <w:rsid w:val="00824592"/>
    <w:rsid w:val="00830AAF"/>
    <w:rsid w:val="00840846"/>
    <w:rsid w:val="00872496"/>
    <w:rsid w:val="00884DC5"/>
    <w:rsid w:val="00895367"/>
    <w:rsid w:val="00895408"/>
    <w:rsid w:val="008A209B"/>
    <w:rsid w:val="008B4666"/>
    <w:rsid w:val="008E4316"/>
    <w:rsid w:val="008F1E6A"/>
    <w:rsid w:val="008F5459"/>
    <w:rsid w:val="008F5E11"/>
    <w:rsid w:val="00912FA4"/>
    <w:rsid w:val="009143A0"/>
    <w:rsid w:val="00914EE5"/>
    <w:rsid w:val="00934485"/>
    <w:rsid w:val="00940AA3"/>
    <w:rsid w:val="00944BF1"/>
    <w:rsid w:val="009719AA"/>
    <w:rsid w:val="00986C23"/>
    <w:rsid w:val="0098768B"/>
    <w:rsid w:val="009909B6"/>
    <w:rsid w:val="009B3634"/>
    <w:rsid w:val="009B5742"/>
    <w:rsid w:val="009C0117"/>
    <w:rsid w:val="009D4654"/>
    <w:rsid w:val="009E5220"/>
    <w:rsid w:val="009F0C93"/>
    <w:rsid w:val="009F26E3"/>
    <w:rsid w:val="009F68DC"/>
    <w:rsid w:val="00A0172D"/>
    <w:rsid w:val="00A22652"/>
    <w:rsid w:val="00A2276D"/>
    <w:rsid w:val="00A253A5"/>
    <w:rsid w:val="00A75DD4"/>
    <w:rsid w:val="00A80C05"/>
    <w:rsid w:val="00A827A8"/>
    <w:rsid w:val="00A85C30"/>
    <w:rsid w:val="00AC550C"/>
    <w:rsid w:val="00B20D7E"/>
    <w:rsid w:val="00B336C8"/>
    <w:rsid w:val="00B35599"/>
    <w:rsid w:val="00B3747C"/>
    <w:rsid w:val="00B44843"/>
    <w:rsid w:val="00B46F68"/>
    <w:rsid w:val="00B55FC4"/>
    <w:rsid w:val="00B96E1A"/>
    <w:rsid w:val="00BA2C36"/>
    <w:rsid w:val="00BB0571"/>
    <w:rsid w:val="00BE689C"/>
    <w:rsid w:val="00BE6F1C"/>
    <w:rsid w:val="00BF04F8"/>
    <w:rsid w:val="00BF2CD8"/>
    <w:rsid w:val="00C024D4"/>
    <w:rsid w:val="00C248D3"/>
    <w:rsid w:val="00C77D7B"/>
    <w:rsid w:val="00C82075"/>
    <w:rsid w:val="00C8321F"/>
    <w:rsid w:val="00CD76C8"/>
    <w:rsid w:val="00CE775C"/>
    <w:rsid w:val="00D1724B"/>
    <w:rsid w:val="00D41AAA"/>
    <w:rsid w:val="00D46FCD"/>
    <w:rsid w:val="00D57B78"/>
    <w:rsid w:val="00D66930"/>
    <w:rsid w:val="00D74116"/>
    <w:rsid w:val="00D75E79"/>
    <w:rsid w:val="00D83F88"/>
    <w:rsid w:val="00D975AC"/>
    <w:rsid w:val="00DB2965"/>
    <w:rsid w:val="00DD5C94"/>
    <w:rsid w:val="00DF3F7A"/>
    <w:rsid w:val="00E024B8"/>
    <w:rsid w:val="00E162EC"/>
    <w:rsid w:val="00E16D2C"/>
    <w:rsid w:val="00E20BEC"/>
    <w:rsid w:val="00E313B0"/>
    <w:rsid w:val="00E41749"/>
    <w:rsid w:val="00E42781"/>
    <w:rsid w:val="00E44472"/>
    <w:rsid w:val="00E46C92"/>
    <w:rsid w:val="00E50AE6"/>
    <w:rsid w:val="00E60DC4"/>
    <w:rsid w:val="00E822B8"/>
    <w:rsid w:val="00EB6D20"/>
    <w:rsid w:val="00EC482A"/>
    <w:rsid w:val="00EC4C93"/>
    <w:rsid w:val="00EF4B2D"/>
    <w:rsid w:val="00F036B5"/>
    <w:rsid w:val="00F2317C"/>
    <w:rsid w:val="00F50C49"/>
    <w:rsid w:val="00F51788"/>
    <w:rsid w:val="00F5236C"/>
    <w:rsid w:val="00F52C8F"/>
    <w:rsid w:val="00F54E66"/>
    <w:rsid w:val="00F6019D"/>
    <w:rsid w:val="00F664CD"/>
    <w:rsid w:val="00F82AC3"/>
    <w:rsid w:val="00F93A78"/>
    <w:rsid w:val="00FA0D81"/>
    <w:rsid w:val="00FD1D96"/>
    <w:rsid w:val="00FD4972"/>
    <w:rsid w:val="00FD7C30"/>
    <w:rsid w:val="00FE08F3"/>
    <w:rsid w:val="00FE77D1"/>
    <w:rsid w:val="00FF56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5521"/>
    <w:pPr>
      <w:ind w:left="720"/>
      <w:contextualSpacing/>
    </w:pPr>
  </w:style>
  <w:style w:type="paragraph" w:styleId="TOC2">
    <w:name w:val="toc 2"/>
    <w:basedOn w:val="Normal"/>
    <w:next w:val="Normal"/>
    <w:autoRedefine/>
    <w:uiPriority w:val="39"/>
    <w:unhideWhenUsed/>
    <w:rsid w:val="007A44AE"/>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rsid w:val="007A44AE"/>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rsid w:val="007A44AE"/>
    <w:pPr>
      <w:spacing w:after="100"/>
      <w:ind w:left="440"/>
    </w:pPr>
    <w:rPr>
      <w:rFonts w:asciiTheme="minorHAnsi" w:eastAsiaTheme="minorEastAsia" w:hAnsiTheme="minorHAnsi" w:cstheme="minorBidi"/>
    </w:rPr>
  </w:style>
  <w:style w:type="character" w:styleId="Hyperlink">
    <w:name w:val="Hyperlink"/>
    <w:basedOn w:val="DefaultParagraphFont"/>
    <w:uiPriority w:val="99"/>
    <w:unhideWhenUsed/>
    <w:rsid w:val="007A44AE"/>
    <w:rPr>
      <w:color w:val="5376A8"/>
      <w:u w:val="single"/>
    </w:rPr>
  </w:style>
  <w:style w:type="paragraph" w:styleId="BalloonText">
    <w:name w:val="Balloon Text"/>
    <w:basedOn w:val="Normal"/>
    <w:link w:val="BalloonTextChar"/>
    <w:uiPriority w:val="99"/>
    <w:semiHidden/>
    <w:unhideWhenUsed/>
    <w:rsid w:val="009F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DC"/>
    <w:rPr>
      <w:rFonts w:ascii="Tahoma" w:hAnsi="Tahoma" w:cs="Tahoma"/>
      <w:sz w:val="16"/>
      <w:szCs w:val="16"/>
    </w:rPr>
  </w:style>
  <w:style w:type="paragraph" w:styleId="Caption">
    <w:name w:val="caption"/>
    <w:basedOn w:val="Normal"/>
    <w:next w:val="Normal"/>
    <w:uiPriority w:val="35"/>
    <w:unhideWhenUsed/>
    <w:qFormat/>
    <w:rsid w:val="00A253A5"/>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C8321F"/>
  </w:style>
  <w:style w:type="paragraph" w:styleId="Header">
    <w:name w:val="header"/>
    <w:basedOn w:val="Normal"/>
    <w:link w:val="HeaderChar"/>
    <w:uiPriority w:val="99"/>
    <w:unhideWhenUsed/>
    <w:rsid w:val="004E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39"/>
  </w:style>
  <w:style w:type="paragraph" w:styleId="Footer">
    <w:name w:val="footer"/>
    <w:basedOn w:val="Normal"/>
    <w:link w:val="FooterChar"/>
    <w:uiPriority w:val="99"/>
    <w:unhideWhenUsed/>
    <w:rsid w:val="004E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39"/>
  </w:style>
  <w:style w:type="character" w:customStyle="1" w:styleId="Heading1Char">
    <w:name w:val="Heading 1 Char"/>
    <w:basedOn w:val="DefaultParagraphFont"/>
    <w:link w:val="Heading1"/>
    <w:uiPriority w:val="9"/>
    <w:rsid w:val="00E313B0"/>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990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9B6"/>
    <w:rPr>
      <w:sz w:val="20"/>
      <w:szCs w:val="20"/>
    </w:rPr>
  </w:style>
  <w:style w:type="character" w:styleId="FootnoteReference">
    <w:name w:val="footnote reference"/>
    <w:basedOn w:val="DefaultParagraphFont"/>
    <w:uiPriority w:val="99"/>
    <w:semiHidden/>
    <w:unhideWhenUsed/>
    <w:rsid w:val="009909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15521"/>
    <w:pPr>
      <w:ind w:left="720"/>
      <w:contextualSpacing/>
    </w:pPr>
  </w:style>
  <w:style w:type="paragraph" w:styleId="TOC2">
    <w:name w:val="toc 2"/>
    <w:basedOn w:val="Normal"/>
    <w:next w:val="Normal"/>
    <w:autoRedefine/>
    <w:uiPriority w:val="39"/>
    <w:unhideWhenUsed/>
    <w:rsid w:val="007A44AE"/>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rsid w:val="007A44AE"/>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rsid w:val="007A44AE"/>
    <w:pPr>
      <w:spacing w:after="100"/>
      <w:ind w:left="440"/>
    </w:pPr>
    <w:rPr>
      <w:rFonts w:asciiTheme="minorHAnsi" w:eastAsiaTheme="minorEastAsia" w:hAnsiTheme="minorHAnsi" w:cstheme="minorBidi"/>
    </w:rPr>
  </w:style>
  <w:style w:type="character" w:styleId="Hyperlink">
    <w:name w:val="Hyperlink"/>
    <w:basedOn w:val="DefaultParagraphFont"/>
    <w:uiPriority w:val="99"/>
    <w:unhideWhenUsed/>
    <w:rsid w:val="007A44AE"/>
    <w:rPr>
      <w:color w:val="5376A8"/>
      <w:u w:val="single"/>
    </w:rPr>
  </w:style>
  <w:style w:type="paragraph" w:styleId="BalloonText">
    <w:name w:val="Balloon Text"/>
    <w:basedOn w:val="Normal"/>
    <w:link w:val="BalloonTextChar"/>
    <w:uiPriority w:val="99"/>
    <w:semiHidden/>
    <w:unhideWhenUsed/>
    <w:rsid w:val="009F6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8DC"/>
    <w:rPr>
      <w:rFonts w:ascii="Tahoma" w:hAnsi="Tahoma" w:cs="Tahoma"/>
      <w:sz w:val="16"/>
      <w:szCs w:val="16"/>
    </w:rPr>
  </w:style>
  <w:style w:type="paragraph" w:styleId="Caption">
    <w:name w:val="caption"/>
    <w:basedOn w:val="Normal"/>
    <w:next w:val="Normal"/>
    <w:uiPriority w:val="35"/>
    <w:unhideWhenUsed/>
    <w:qFormat/>
    <w:rsid w:val="00A253A5"/>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C8321F"/>
  </w:style>
  <w:style w:type="paragraph" w:styleId="Header">
    <w:name w:val="header"/>
    <w:basedOn w:val="Normal"/>
    <w:link w:val="HeaderChar"/>
    <w:uiPriority w:val="99"/>
    <w:unhideWhenUsed/>
    <w:rsid w:val="004E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739"/>
  </w:style>
  <w:style w:type="paragraph" w:styleId="Footer">
    <w:name w:val="footer"/>
    <w:basedOn w:val="Normal"/>
    <w:link w:val="FooterChar"/>
    <w:uiPriority w:val="99"/>
    <w:unhideWhenUsed/>
    <w:rsid w:val="004E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739"/>
  </w:style>
  <w:style w:type="character" w:customStyle="1" w:styleId="Heading1Char">
    <w:name w:val="Heading 1 Char"/>
    <w:basedOn w:val="DefaultParagraphFont"/>
    <w:link w:val="Heading1"/>
    <w:uiPriority w:val="9"/>
    <w:rsid w:val="00E313B0"/>
    <w:rPr>
      <w:rFonts w:ascii="Times New Roman" w:eastAsia="Times New Roman" w:hAnsi="Times New Roman" w:cs="Times New Roman"/>
      <w:b/>
      <w:bCs/>
      <w:kern w:val="36"/>
      <w:sz w:val="48"/>
      <w:szCs w:val="48"/>
      <w:lang w:eastAsia="en-AU"/>
    </w:rPr>
  </w:style>
  <w:style w:type="paragraph" w:styleId="FootnoteText">
    <w:name w:val="footnote text"/>
    <w:basedOn w:val="Normal"/>
    <w:link w:val="FootnoteTextChar"/>
    <w:uiPriority w:val="99"/>
    <w:semiHidden/>
    <w:unhideWhenUsed/>
    <w:rsid w:val="00990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9B6"/>
    <w:rPr>
      <w:sz w:val="20"/>
      <w:szCs w:val="20"/>
    </w:rPr>
  </w:style>
  <w:style w:type="character" w:styleId="FootnoteReference">
    <w:name w:val="footnote reference"/>
    <w:basedOn w:val="DefaultParagraphFont"/>
    <w:uiPriority w:val="99"/>
    <w:semiHidden/>
    <w:unhideWhenUsed/>
    <w:rsid w:val="00990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42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nteu.org.au/library/view/id/6064"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lhmartininstitute.edu.au/insights-blog/2016/06/229-domestic-student-load-and-financing-trends-for-the-deregulated-demand-driven-australian-universities" TargetMode="External"/><Relationship Id="rId20" Type="http://schemas.openxmlformats.org/officeDocument/2006/relationships/hyperlink" Target="https://grattan.edu.au/report/shared-interest-a-universal-loan-fee-for-hel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hyperlink" Target="http://www.nteu.org.au/library/view/id/6652"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teu.org.au/library/view/id/6652"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yperlink" Target="https://docs.education.gov.au/node/3681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2017FG-94-5817</_dlc_DocId>
    <TaxCatchAll xmlns="e544e5cc-ab70-42e1-849e-1a0f8bb1f4ef">
      <Value>2</Value>
    </TaxCatchAll>
    <_dlc_DocIdUrl xmlns="e544e5cc-ab70-42e1-849e-1a0f8bb1f4ef">
      <Url>http://tweb/sites/fg/bpd/_layouts/15/DocIdRedir.aspx?ID=2017FG-94-5817</Url>
      <Description>2017FG-94-5817</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1EFD0-E7B7-48CA-8885-725E3353CDD6}">
  <ds:schemaRefs>
    <ds:schemaRef ds:uri="http://schemas.microsoft.com/sharepoint/events"/>
  </ds:schemaRefs>
</ds:datastoreItem>
</file>

<file path=customXml/itemProps2.xml><?xml version="1.0" encoding="utf-8"?>
<ds:datastoreItem xmlns:ds="http://schemas.openxmlformats.org/officeDocument/2006/customXml" ds:itemID="{988E22F3-3B55-4516-820F-4C6AF4E7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B6B63-C327-40F7-B17B-1DA85824BAC2}">
  <ds:schemaRefs>
    <ds:schemaRef ds:uri="http://www.w3.org/XML/1998/namespace"/>
    <ds:schemaRef ds:uri="http://purl.org/dc/terms/"/>
    <ds:schemaRef ds:uri="http://schemas.microsoft.com/sharepoint/v4"/>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544e5cc-ab70-42e1-849e-1a0f8bb1f4ef"/>
    <ds:schemaRef ds:uri="http://schemas.microsoft.com/office/2006/documentManagement/types"/>
    <ds:schemaRef ds:uri="43a7eba2-7c75-424c-9682-3d9e41d868ee"/>
    <ds:schemaRef ds:uri="http://schemas.microsoft.com/sharepoint/v3"/>
    <ds:schemaRef ds:uri="http://purl.org/dc/dcmitype/"/>
  </ds:schemaRefs>
</ds:datastoreItem>
</file>

<file path=customXml/itemProps4.xml><?xml version="1.0" encoding="utf-8"?>
<ds:datastoreItem xmlns:ds="http://schemas.openxmlformats.org/officeDocument/2006/customXml" ds:itemID="{6A257422-18CE-447E-BCD2-4BB1FB9E513D}">
  <ds:schemaRefs>
    <ds:schemaRef ds:uri="http://schemas.microsoft.com/sharepoint/v3/contenttype/forms"/>
  </ds:schemaRefs>
</ds:datastoreItem>
</file>

<file path=customXml/itemProps5.xml><?xml version="1.0" encoding="utf-8"?>
<ds:datastoreItem xmlns:ds="http://schemas.openxmlformats.org/officeDocument/2006/customXml" ds:itemID="{EEB431FA-EC75-4479-BC0B-38573D9F2F0A}">
  <ds:schemaRefs>
    <ds:schemaRef ds:uri="office.server.policy"/>
  </ds:schemaRefs>
</ds:datastoreItem>
</file>

<file path=customXml/itemProps6.xml><?xml version="1.0" encoding="utf-8"?>
<ds:datastoreItem xmlns:ds="http://schemas.openxmlformats.org/officeDocument/2006/customXml" ds:itemID="{23786486-2EA6-4E1B-88A1-1D9038F4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NTEU</Company>
  <LinksUpToDate>false</LinksUpToDate>
  <CharactersWithSpaces>28403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Tertiary Education Union - 2017-18 Pre-Budget Submission</dc:title>
  <dc:creator>Paul Kniest</dc:creator>
  <cp:lastModifiedBy>Hansen, Kim</cp:lastModifiedBy>
  <cp:revision>4</cp:revision>
  <dcterms:created xsi:type="dcterms:W3CDTF">2017-01-19T02:13:00Z</dcterms:created>
  <dcterms:modified xsi:type="dcterms:W3CDTF">2017-02-14T04:39:00Z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2bb51cb5-ed80-4e68-91c0-40ed51d23330</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{2bb51cb5-ed80-4e68-91c0-40ed51d23330}</vt:lpwstr>
  </property>
  <property fmtid="{D5CDD505-2E9C-101B-9397-08002B2CF9AE}" pid="9" name="RecordPoint_ActiveItemWebId">
    <vt:lpwstr>{2af1fd9f-9360-4de3-abf2-ccd65f89a90c}</vt:lpwstr>
  </property>
  <property fmtid="{D5CDD505-2E9C-101B-9397-08002B2CF9AE}" pid="10" name="RecordPoint_RecordNumberSubmitted">
    <vt:lpwstr>R0001205731</vt:lpwstr>
  </property>
  <property fmtid="{D5CDD505-2E9C-101B-9397-08002B2CF9AE}" pid="11" name="RecordPoint_SubmissionCompleted">
    <vt:lpwstr>2017-02-08T10:58:00.5488341+11:00</vt:lpwstr>
  </property>
</Properties>
</file>