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0B98D6" w14:textId="77777777" w:rsidR="00C560C6" w:rsidRDefault="003B546D">
      <w:r w:rsidRPr="0019015B">
        <w:rPr>
          <w:noProof/>
          <w:lang w:val="en-AU" w:eastAsia="en-AU"/>
        </w:rPr>
        <mc:AlternateContent>
          <mc:Choice Requires="wps">
            <w:drawing>
              <wp:anchor distT="0" distB="0" distL="114300" distR="114300" simplePos="0" relativeHeight="251656192" behindDoc="0" locked="0" layoutInCell="1" allowOverlap="1" wp14:anchorId="568F7B0A" wp14:editId="1C095DC1">
                <wp:simplePos x="0" y="0"/>
                <wp:positionH relativeFrom="column">
                  <wp:posOffset>0</wp:posOffset>
                </wp:positionH>
                <wp:positionV relativeFrom="paragraph">
                  <wp:posOffset>152400</wp:posOffset>
                </wp:positionV>
                <wp:extent cx="5715000" cy="2654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5000" cy="2654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CCA53E9" w14:textId="475BEC2D" w:rsidR="000B1C05" w:rsidRPr="00F15400" w:rsidRDefault="000B1C05" w:rsidP="0019015B">
                            <w:pPr>
                              <w:jc w:val="right"/>
                              <w:rPr>
                                <w:rFonts w:ascii="Arial" w:hAnsi="Arial" w:cs="Arial"/>
                                <w:b/>
                                <w:color w:val="FFFFFF" w:themeColor="background1"/>
                                <w:sz w:val="36"/>
                                <w:szCs w:val="22"/>
                              </w:rPr>
                            </w:pPr>
                            <w:r w:rsidRPr="00F15400">
                              <w:rPr>
                                <w:rFonts w:ascii="Arial" w:hAnsi="Arial" w:cs="Arial"/>
                                <w:b/>
                                <w:color w:val="FFFFFF" w:themeColor="background1"/>
                                <w:sz w:val="36"/>
                                <w:szCs w:val="22"/>
                              </w:rPr>
                              <w:t>Submission to Australian Government</w:t>
                            </w:r>
                          </w:p>
                          <w:p w14:paraId="3901E617" w14:textId="77777777" w:rsidR="000B1C05" w:rsidRPr="00F15400" w:rsidRDefault="000B1C05" w:rsidP="0019015B">
                            <w:pPr>
                              <w:jc w:val="right"/>
                              <w:rPr>
                                <w:rFonts w:ascii="Arial" w:hAnsi="Arial" w:cs="Arial"/>
                                <w:b/>
                                <w:color w:val="FFFFFF" w:themeColor="background1"/>
                                <w:sz w:val="14"/>
                                <w:szCs w:val="22"/>
                              </w:rPr>
                            </w:pPr>
                          </w:p>
                          <w:p w14:paraId="66B24824" w14:textId="3849283E" w:rsidR="000B1C05" w:rsidRPr="00F15400" w:rsidRDefault="000B1C05" w:rsidP="00EB4650">
                            <w:pPr>
                              <w:jc w:val="right"/>
                              <w:rPr>
                                <w:rFonts w:ascii="Arial" w:hAnsi="Arial" w:cs="Arial"/>
                                <w:b/>
                                <w:color w:val="FFFFFF" w:themeColor="background1"/>
                                <w:sz w:val="56"/>
                                <w:szCs w:val="56"/>
                              </w:rPr>
                            </w:pPr>
                            <w:r>
                              <w:rPr>
                                <w:rFonts w:ascii="Arial" w:hAnsi="Arial" w:cs="Arial"/>
                                <w:b/>
                                <w:color w:val="FFFFFF" w:themeColor="background1"/>
                                <w:sz w:val="56"/>
                                <w:szCs w:val="56"/>
                              </w:rPr>
                              <w:t>Federal Budget 2017-2018</w:t>
                            </w:r>
                          </w:p>
                          <w:p w14:paraId="60E7E05D" w14:textId="77777777" w:rsidR="000B1C05" w:rsidRPr="00EB4650" w:rsidRDefault="000B1C05" w:rsidP="0019015B">
                            <w:pPr>
                              <w:jc w:val="right"/>
                              <w:rPr>
                                <w:rFonts w:ascii="Arial" w:hAnsi="Arial" w:cs="Arial"/>
                                <w:color w:val="FFFFFF" w:themeColor="background1"/>
                                <w:sz w:val="56"/>
                                <w:szCs w:val="56"/>
                              </w:rPr>
                            </w:pPr>
                          </w:p>
                          <w:p w14:paraId="3A97359D" w14:textId="77777777" w:rsidR="000B1C05" w:rsidRPr="00F551BD" w:rsidRDefault="000B1C05" w:rsidP="0019015B">
                            <w:pPr>
                              <w:jc w:val="right"/>
                              <w:rPr>
                                <w:rFonts w:ascii="Arial" w:hAnsi="Arial" w:cs="Arial"/>
                                <w:color w:val="FFFFFF" w:themeColor="background1"/>
                              </w:rPr>
                            </w:pPr>
                          </w:p>
                          <w:p w14:paraId="55F09C1B" w14:textId="77777777" w:rsidR="000B1C05" w:rsidRPr="00F551BD" w:rsidRDefault="000B1C05" w:rsidP="0019015B">
                            <w:pPr>
                              <w:jc w:val="right"/>
                              <w:rPr>
                                <w:rFonts w:ascii="Arial" w:hAnsi="Arial" w:cs="Arial"/>
                                <w:color w:val="FFFFFF" w:themeColor="background1"/>
                              </w:rPr>
                            </w:pPr>
                          </w:p>
                          <w:p w14:paraId="0AA18A02" w14:textId="77777777" w:rsidR="000B1C05" w:rsidRPr="00F551BD" w:rsidRDefault="000B1C05" w:rsidP="0019015B">
                            <w:pPr>
                              <w:jc w:val="right"/>
                              <w:rPr>
                                <w:rFonts w:ascii="Arial" w:hAnsi="Arial" w:cs="Arial"/>
                                <w:color w:val="FFFFFF" w:themeColor="background1"/>
                              </w:rPr>
                            </w:pPr>
                          </w:p>
                          <w:p w14:paraId="72382C2A" w14:textId="77777777" w:rsidR="000B1C05" w:rsidRPr="00F551BD" w:rsidRDefault="000B1C05" w:rsidP="0019015B">
                            <w:pPr>
                              <w:jc w:val="right"/>
                              <w:rPr>
                                <w:rFonts w:ascii="Arial" w:hAnsi="Arial" w:cs="Arial"/>
                                <w:color w:val="FFFFFF" w:themeColor="background1"/>
                              </w:rPr>
                            </w:pPr>
                          </w:p>
                          <w:p w14:paraId="7003455C" w14:textId="77777777" w:rsidR="000B1C05" w:rsidRPr="00F551BD" w:rsidRDefault="000B1C05" w:rsidP="0019015B">
                            <w:pPr>
                              <w:jc w:val="right"/>
                              <w:rPr>
                                <w:rFonts w:ascii="Arial" w:hAnsi="Arial" w:cs="Arial"/>
                                <w:color w:val="FFFFFF" w:themeColor="background1"/>
                              </w:rPr>
                            </w:pPr>
                          </w:p>
                          <w:p w14:paraId="4888CF3C" w14:textId="77777777" w:rsidR="000B1C05" w:rsidRPr="00F551BD" w:rsidRDefault="000B1C05" w:rsidP="0019015B">
                            <w:pPr>
                              <w:jc w:val="right"/>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68F7B0A" id="_x0000_t202" coordsize="21600,21600" o:spt="202" path="m,l,21600r21600,l21600,xe">
                <v:stroke joinstyle="miter"/>
                <v:path gradientshapeok="t" o:connecttype="rect"/>
              </v:shapetype>
              <v:shape id="Text Box 9" o:spid="_x0000_s1026" type="#_x0000_t202" style="position:absolute;margin-left:0;margin-top:12pt;width:450pt;height:20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uqgIAAK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" filled="f" stroked="f">
                <v:textbox>
                  <w:txbxContent>
                    <w:p w14:paraId="3CCA53E9" w14:textId="475BEC2D" w:rsidR="000B1C05" w:rsidRPr="00F15400" w:rsidRDefault="000B1C05" w:rsidP="0019015B">
                      <w:pPr>
                        <w:jc w:val="right"/>
                        <w:rPr>
                          <w:rFonts w:ascii="Arial" w:hAnsi="Arial" w:cs="Arial"/>
                          <w:b/>
                          <w:color w:val="FFFFFF" w:themeColor="background1"/>
                          <w:sz w:val="36"/>
                          <w:szCs w:val="22"/>
                        </w:rPr>
                      </w:pPr>
                      <w:r w:rsidRPr="00F15400">
                        <w:rPr>
                          <w:rFonts w:ascii="Arial" w:hAnsi="Arial" w:cs="Arial"/>
                          <w:b/>
                          <w:color w:val="FFFFFF" w:themeColor="background1"/>
                          <w:sz w:val="36"/>
                          <w:szCs w:val="22"/>
                        </w:rPr>
                        <w:t>Submission to Australian Government</w:t>
                      </w:r>
                    </w:p>
                    <w:p w14:paraId="3901E617" w14:textId="77777777" w:rsidR="000B1C05" w:rsidRPr="00F15400" w:rsidRDefault="000B1C05" w:rsidP="0019015B">
                      <w:pPr>
                        <w:jc w:val="right"/>
                        <w:rPr>
                          <w:rFonts w:ascii="Arial" w:hAnsi="Arial" w:cs="Arial"/>
                          <w:b/>
                          <w:color w:val="FFFFFF" w:themeColor="background1"/>
                          <w:sz w:val="14"/>
                          <w:szCs w:val="22"/>
                        </w:rPr>
                      </w:pPr>
                    </w:p>
                    <w:p w14:paraId="66B24824" w14:textId="3849283E" w:rsidR="000B1C05" w:rsidRPr="00F15400" w:rsidRDefault="000B1C05" w:rsidP="00EB4650">
                      <w:pPr>
                        <w:jc w:val="right"/>
                        <w:rPr>
                          <w:rFonts w:ascii="Arial" w:hAnsi="Arial" w:cs="Arial"/>
                          <w:b/>
                          <w:color w:val="FFFFFF" w:themeColor="background1"/>
                          <w:sz w:val="56"/>
                          <w:szCs w:val="56"/>
                        </w:rPr>
                      </w:pPr>
                      <w:r>
                        <w:rPr>
                          <w:rFonts w:ascii="Arial" w:hAnsi="Arial" w:cs="Arial"/>
                          <w:b/>
                          <w:color w:val="FFFFFF" w:themeColor="background1"/>
                          <w:sz w:val="56"/>
                          <w:szCs w:val="56"/>
                        </w:rPr>
                        <w:t>Federal Budget 2017-2018</w:t>
                      </w:r>
                    </w:p>
                    <w:p w14:paraId="60E7E05D" w14:textId="77777777" w:rsidR="000B1C05" w:rsidRPr="00EB4650" w:rsidRDefault="000B1C05" w:rsidP="0019015B">
                      <w:pPr>
                        <w:jc w:val="right"/>
                        <w:rPr>
                          <w:rFonts w:ascii="Arial" w:hAnsi="Arial" w:cs="Arial"/>
                          <w:color w:val="FFFFFF" w:themeColor="background1"/>
                          <w:sz w:val="56"/>
                          <w:szCs w:val="56"/>
                        </w:rPr>
                      </w:pPr>
                    </w:p>
                    <w:p w14:paraId="3A97359D" w14:textId="77777777" w:rsidR="000B1C05" w:rsidRPr="00F551BD" w:rsidRDefault="000B1C05" w:rsidP="0019015B">
                      <w:pPr>
                        <w:jc w:val="right"/>
                        <w:rPr>
                          <w:rFonts w:ascii="Arial" w:hAnsi="Arial" w:cs="Arial"/>
                          <w:color w:val="FFFFFF" w:themeColor="background1"/>
                        </w:rPr>
                      </w:pPr>
                    </w:p>
                    <w:p w14:paraId="55F09C1B" w14:textId="77777777" w:rsidR="000B1C05" w:rsidRPr="00F551BD" w:rsidRDefault="000B1C05" w:rsidP="0019015B">
                      <w:pPr>
                        <w:jc w:val="right"/>
                        <w:rPr>
                          <w:rFonts w:ascii="Arial" w:hAnsi="Arial" w:cs="Arial"/>
                          <w:color w:val="FFFFFF" w:themeColor="background1"/>
                        </w:rPr>
                      </w:pPr>
                    </w:p>
                    <w:p w14:paraId="0AA18A02" w14:textId="77777777" w:rsidR="000B1C05" w:rsidRPr="00F551BD" w:rsidRDefault="000B1C05" w:rsidP="0019015B">
                      <w:pPr>
                        <w:jc w:val="right"/>
                        <w:rPr>
                          <w:rFonts w:ascii="Arial" w:hAnsi="Arial" w:cs="Arial"/>
                          <w:color w:val="FFFFFF" w:themeColor="background1"/>
                        </w:rPr>
                      </w:pPr>
                    </w:p>
                    <w:p w14:paraId="72382C2A" w14:textId="77777777" w:rsidR="000B1C05" w:rsidRPr="00F551BD" w:rsidRDefault="000B1C05" w:rsidP="0019015B">
                      <w:pPr>
                        <w:jc w:val="right"/>
                        <w:rPr>
                          <w:rFonts w:ascii="Arial" w:hAnsi="Arial" w:cs="Arial"/>
                          <w:color w:val="FFFFFF" w:themeColor="background1"/>
                        </w:rPr>
                      </w:pPr>
                    </w:p>
                    <w:p w14:paraId="7003455C" w14:textId="77777777" w:rsidR="000B1C05" w:rsidRPr="00F551BD" w:rsidRDefault="000B1C05" w:rsidP="0019015B">
                      <w:pPr>
                        <w:jc w:val="right"/>
                        <w:rPr>
                          <w:rFonts w:ascii="Arial" w:hAnsi="Arial" w:cs="Arial"/>
                          <w:color w:val="FFFFFF" w:themeColor="background1"/>
                        </w:rPr>
                      </w:pPr>
                    </w:p>
                    <w:p w14:paraId="4888CF3C" w14:textId="77777777" w:rsidR="000B1C05" w:rsidRPr="00F551BD" w:rsidRDefault="000B1C05" w:rsidP="0019015B">
                      <w:pPr>
                        <w:jc w:val="right"/>
                        <w:rPr>
                          <w:rFonts w:ascii="Arial" w:hAnsi="Arial" w:cs="Arial"/>
                          <w:color w:val="FFFFFF" w:themeColor="background1"/>
                        </w:rPr>
                      </w:pPr>
                    </w:p>
                  </w:txbxContent>
                </v:textbox>
              </v:shape>
            </w:pict>
          </mc:Fallback>
        </mc:AlternateContent>
      </w:r>
      <w:r>
        <w:rPr>
          <w:noProof/>
          <w:lang w:val="en-AU" w:eastAsia="en-AU"/>
        </w:rPr>
        <w:drawing>
          <wp:anchor distT="0" distB="0" distL="114300" distR="114300" simplePos="0" relativeHeight="251654144" behindDoc="1" locked="0" layoutInCell="1" allowOverlap="1" wp14:anchorId="3C3B0206" wp14:editId="2E5E87E9">
            <wp:simplePos x="0" y="0"/>
            <wp:positionH relativeFrom="column">
              <wp:posOffset>-914400</wp:posOffset>
            </wp:positionH>
            <wp:positionV relativeFrom="paragraph">
              <wp:posOffset>-914400</wp:posOffset>
            </wp:positionV>
            <wp:extent cx="7567930" cy="1070546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2.jpg"/>
                    <pic:cNvPicPr/>
                  </pic:nvPicPr>
                  <pic:blipFill>
                    <a:blip r:embed="rId14">
                      <a:extLst>
                        <a:ext uri="{28A0092B-C50C-407E-A947-70E740481C1C}">
                          <a14:useLocalDpi xmlns:a14="http://schemas.microsoft.com/office/drawing/2010/main" val="0"/>
                        </a:ext>
                      </a:extLst>
                    </a:blip>
                    <a:stretch>
                      <a:fillRect/>
                    </a:stretch>
                  </pic:blipFill>
                  <pic:spPr>
                    <a:xfrm>
                      <a:off x="0" y="0"/>
                      <a:ext cx="7567930" cy="10705465"/>
                    </a:xfrm>
                    <a:prstGeom prst="rect">
                      <a:avLst/>
                    </a:prstGeom>
                  </pic:spPr>
                </pic:pic>
              </a:graphicData>
            </a:graphic>
            <wp14:sizeRelH relativeFrom="page">
              <wp14:pctWidth>0</wp14:pctWidth>
            </wp14:sizeRelH>
            <wp14:sizeRelV relativeFrom="page">
              <wp14:pctHeight>0</wp14:pctHeight>
            </wp14:sizeRelV>
          </wp:anchor>
        </w:drawing>
      </w:r>
    </w:p>
    <w:p w14:paraId="4CF3540F" w14:textId="4F673452" w:rsidR="00170A54" w:rsidRDefault="00170A54"/>
    <w:p w14:paraId="2DECA947" w14:textId="77777777" w:rsidR="00170A54" w:rsidRDefault="00170A54"/>
    <w:p w14:paraId="6B26DCDC" w14:textId="77777777" w:rsidR="00170A54" w:rsidRDefault="00170A54"/>
    <w:p w14:paraId="4CF3DC7B" w14:textId="77777777" w:rsidR="00170A54" w:rsidRDefault="00170A54"/>
    <w:p w14:paraId="425E3E90" w14:textId="77777777" w:rsidR="00170A54" w:rsidRDefault="00170A54"/>
    <w:p w14:paraId="3492F906" w14:textId="77777777" w:rsidR="00170A54" w:rsidRDefault="00170A54"/>
    <w:p w14:paraId="05682570" w14:textId="77777777" w:rsidR="00170A54" w:rsidRDefault="00170A54"/>
    <w:p w14:paraId="0770ED64" w14:textId="77777777" w:rsidR="00170A54" w:rsidRDefault="00170A54"/>
    <w:p w14:paraId="124FD58B" w14:textId="77777777" w:rsidR="00170A54" w:rsidRDefault="00170A54"/>
    <w:p w14:paraId="1BC00286" w14:textId="77777777" w:rsidR="00170A54" w:rsidRDefault="00170A54"/>
    <w:p w14:paraId="302D9E08" w14:textId="77777777" w:rsidR="00170A54" w:rsidRDefault="00170A54"/>
    <w:p w14:paraId="61145A18" w14:textId="77777777" w:rsidR="00170A54" w:rsidRDefault="00170A54"/>
    <w:p w14:paraId="64D1259B" w14:textId="77777777" w:rsidR="00170A54" w:rsidRDefault="00170A54"/>
    <w:p w14:paraId="469C91CF" w14:textId="77777777" w:rsidR="00170A54" w:rsidRDefault="00170A54"/>
    <w:p w14:paraId="7F929E9E" w14:textId="77777777" w:rsidR="00170A54" w:rsidRDefault="00170A54"/>
    <w:p w14:paraId="36DC0D3C" w14:textId="77777777" w:rsidR="00170A54" w:rsidRDefault="00170A54"/>
    <w:p w14:paraId="32F477C3" w14:textId="77777777" w:rsidR="00170A54" w:rsidRDefault="00170A54"/>
    <w:p w14:paraId="67A339D2" w14:textId="77777777" w:rsidR="00170A54" w:rsidRDefault="00170A54"/>
    <w:p w14:paraId="7BEE2027" w14:textId="77777777" w:rsidR="00170A54" w:rsidRDefault="00170A54"/>
    <w:p w14:paraId="79546376" w14:textId="77777777" w:rsidR="00170A54" w:rsidRDefault="00170A54"/>
    <w:p w14:paraId="3578AA44" w14:textId="77777777" w:rsidR="00170A54" w:rsidRDefault="00170A54"/>
    <w:p w14:paraId="7128CB0A" w14:textId="77777777" w:rsidR="00170A54" w:rsidRDefault="00170A54"/>
    <w:p w14:paraId="450244C1" w14:textId="77777777" w:rsidR="00170A54" w:rsidRDefault="00170A54"/>
    <w:p w14:paraId="03147F5A" w14:textId="77777777" w:rsidR="00170A54" w:rsidRDefault="00170A54"/>
    <w:p w14:paraId="44664E00" w14:textId="77777777" w:rsidR="00170A54" w:rsidRDefault="00170A54"/>
    <w:p w14:paraId="23CB3996" w14:textId="77777777" w:rsidR="00170A54" w:rsidRDefault="00170A54"/>
    <w:p w14:paraId="466CE2F8" w14:textId="77777777" w:rsidR="00170A54" w:rsidRDefault="00170A54"/>
    <w:p w14:paraId="5A4C15C4" w14:textId="77777777" w:rsidR="00170A54" w:rsidRDefault="00170A54"/>
    <w:p w14:paraId="33EBD998" w14:textId="77777777" w:rsidR="00170A54" w:rsidRDefault="00170A54"/>
    <w:p w14:paraId="7A076A71" w14:textId="77777777" w:rsidR="00170A54" w:rsidRDefault="00170A54"/>
    <w:p w14:paraId="098B632C" w14:textId="77777777" w:rsidR="00170A54" w:rsidRDefault="00170A54"/>
    <w:p w14:paraId="436834AC" w14:textId="77777777" w:rsidR="00170A54" w:rsidRDefault="00170A54"/>
    <w:p w14:paraId="0FB99257" w14:textId="77777777" w:rsidR="00170A54" w:rsidRDefault="00170A54"/>
    <w:p w14:paraId="5D2FBDA4" w14:textId="77777777" w:rsidR="00170A54" w:rsidRDefault="00170A54"/>
    <w:p w14:paraId="0B8B1299" w14:textId="77777777" w:rsidR="00170A54" w:rsidRDefault="00170A54"/>
    <w:p w14:paraId="71553F23" w14:textId="77777777" w:rsidR="00170A54" w:rsidRDefault="00170A54"/>
    <w:p w14:paraId="6E640D76" w14:textId="77777777" w:rsidR="00170A54" w:rsidRDefault="00170A54"/>
    <w:p w14:paraId="0F654981" w14:textId="77777777" w:rsidR="00170A54" w:rsidRDefault="00170A54"/>
    <w:p w14:paraId="3BC1810D" w14:textId="77777777" w:rsidR="00170A54" w:rsidRDefault="00170A54"/>
    <w:p w14:paraId="0980A97E" w14:textId="77777777" w:rsidR="00170A54" w:rsidRDefault="00170A54"/>
    <w:p w14:paraId="27F2EB1E" w14:textId="77777777" w:rsidR="00170A54" w:rsidRDefault="00170A54"/>
    <w:p w14:paraId="2D32950C" w14:textId="77777777" w:rsidR="00170A54" w:rsidRDefault="00170A54"/>
    <w:p w14:paraId="088CBB37" w14:textId="77777777" w:rsidR="00170A54" w:rsidRDefault="00170A54"/>
    <w:p w14:paraId="19F6D5E5" w14:textId="77777777" w:rsidR="00170A54" w:rsidRDefault="00170A54"/>
    <w:p w14:paraId="2D786C6A" w14:textId="77777777" w:rsidR="00170A54" w:rsidRDefault="00C1000E">
      <w:r>
        <w:rPr>
          <w:noProof/>
          <w:lang w:val="en-AU" w:eastAsia="en-AU"/>
        </w:rPr>
        <w:drawing>
          <wp:anchor distT="0" distB="0" distL="114300" distR="114300" simplePos="0" relativeHeight="251657216" behindDoc="0" locked="0" layoutInCell="1" allowOverlap="1" wp14:anchorId="6AA2687F" wp14:editId="7BCE0CBA">
            <wp:simplePos x="0" y="0"/>
            <wp:positionH relativeFrom="column">
              <wp:posOffset>-423545</wp:posOffset>
            </wp:positionH>
            <wp:positionV relativeFrom="paragraph">
              <wp:posOffset>74930</wp:posOffset>
            </wp:positionV>
            <wp:extent cx="1109345" cy="1167130"/>
            <wp:effectExtent l="0" t="0" r="825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934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3D726" w14:textId="77777777" w:rsidR="00170A54" w:rsidRDefault="00170A54"/>
    <w:p w14:paraId="62C1D94B" w14:textId="77777777" w:rsidR="00170A54" w:rsidRDefault="00170A54"/>
    <w:p w14:paraId="41BA0244" w14:textId="77777777" w:rsidR="00170A54" w:rsidRDefault="00170A54"/>
    <w:p w14:paraId="17F5B363" w14:textId="77777777" w:rsidR="00E33AFC" w:rsidRDefault="00E33AFC" w:rsidP="003B546D">
      <w:pPr>
        <w:pStyle w:val="TOCHeading"/>
        <w:spacing w:line="360" w:lineRule="auto"/>
        <w:rPr>
          <w:rFonts w:asciiTheme="minorHAnsi" w:eastAsiaTheme="minorEastAsia" w:hAnsiTheme="minorHAnsi" w:cstheme="minorBidi"/>
          <w:b w:val="0"/>
          <w:bCs w:val="0"/>
          <w:color w:val="5373B0"/>
          <w:sz w:val="24"/>
          <w:szCs w:val="24"/>
          <w:lang w:val="en-GB"/>
        </w:rPr>
      </w:pPr>
      <w:r>
        <w:rPr>
          <w:noProof/>
          <w:color w:val="5373B0"/>
          <w:lang w:val="en-AU" w:eastAsia="en-AU"/>
        </w:rPr>
        <w:lastRenderedPageBreak/>
        <mc:AlternateContent>
          <mc:Choice Requires="wps">
            <w:drawing>
              <wp:anchor distT="0" distB="0" distL="114300" distR="114300" simplePos="0" relativeHeight="251661312" behindDoc="1" locked="0" layoutInCell="1" allowOverlap="1" wp14:anchorId="6E5DF51B" wp14:editId="65A4F6D4">
                <wp:simplePos x="0" y="0"/>
                <wp:positionH relativeFrom="column">
                  <wp:posOffset>-957189</wp:posOffset>
                </wp:positionH>
                <wp:positionV relativeFrom="paragraph">
                  <wp:posOffset>-926123</wp:posOffset>
                </wp:positionV>
                <wp:extent cx="7620000" cy="10752455"/>
                <wp:effectExtent l="0" t="0" r="0" b="0"/>
                <wp:wrapNone/>
                <wp:docPr id="5" name="Rectangle 5"/>
                <wp:cNvGraphicFramePr/>
                <a:graphic xmlns:a="http://schemas.openxmlformats.org/drawingml/2006/main">
                  <a:graphicData uri="http://schemas.microsoft.com/office/word/2010/wordprocessingShape">
                    <wps:wsp>
                      <wps:cNvSpPr/>
                      <wps:spPr>
                        <a:xfrm>
                          <a:off x="0" y="0"/>
                          <a:ext cx="7620000" cy="10752455"/>
                        </a:xfrm>
                        <a:prstGeom prst="rect">
                          <a:avLst/>
                        </a:prstGeom>
                        <a:solidFill>
                          <a:srgbClr val="338FD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648FE6" id="Rectangle 5" o:spid="_x0000_s1026" style="position:absolute;margin-left:-75.35pt;margin-top:-72.9pt;width:600pt;height:84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" fillcolor="#338fde" stroked="f"/>
            </w:pict>
          </mc:Fallback>
        </mc:AlternateContent>
      </w:r>
    </w:p>
    <w:p w14:paraId="47EF97C9" w14:textId="77777777" w:rsidR="00E33AFC" w:rsidRDefault="00E33AFC" w:rsidP="00E33AFC">
      <w:pPr>
        <w:rPr>
          <w:b/>
          <w:bCs/>
          <w:color w:val="5373B0"/>
        </w:rPr>
      </w:pPr>
    </w:p>
    <w:p w14:paraId="4D9EC40C" w14:textId="77777777" w:rsidR="00E33AFC" w:rsidRDefault="00E33AFC" w:rsidP="00E33AFC">
      <w:pPr>
        <w:rPr>
          <w:b/>
          <w:bCs/>
          <w:color w:val="5373B0"/>
        </w:rPr>
      </w:pPr>
    </w:p>
    <w:p w14:paraId="5ED3EBE1" w14:textId="77777777" w:rsidR="00E33AFC" w:rsidRDefault="00E33AFC" w:rsidP="00E33AFC">
      <w:pPr>
        <w:rPr>
          <w:b/>
          <w:bCs/>
          <w:color w:val="5373B0"/>
        </w:rPr>
      </w:pPr>
    </w:p>
    <w:p w14:paraId="030D09AF" w14:textId="77777777" w:rsidR="00E33AFC" w:rsidRDefault="00E33AFC" w:rsidP="00E33AFC">
      <w:pPr>
        <w:rPr>
          <w:b/>
          <w:bCs/>
          <w:color w:val="5373B0"/>
        </w:rPr>
      </w:pPr>
    </w:p>
    <w:p w14:paraId="2639241D" w14:textId="77777777" w:rsidR="00E33AFC" w:rsidRDefault="00E33AFC" w:rsidP="00E33AFC">
      <w:pPr>
        <w:rPr>
          <w:b/>
          <w:bCs/>
          <w:color w:val="5373B0"/>
        </w:rPr>
      </w:pPr>
    </w:p>
    <w:p w14:paraId="792B4673" w14:textId="77777777" w:rsidR="00E33AFC" w:rsidRDefault="00E33AFC" w:rsidP="00E33AFC">
      <w:pPr>
        <w:rPr>
          <w:b/>
          <w:bCs/>
          <w:color w:val="5373B0"/>
        </w:rPr>
      </w:pPr>
    </w:p>
    <w:p w14:paraId="0C3A996D" w14:textId="77777777" w:rsidR="00E33AFC" w:rsidRDefault="00E33AFC" w:rsidP="00E33AFC">
      <w:pPr>
        <w:rPr>
          <w:b/>
          <w:bCs/>
          <w:color w:val="5373B0"/>
        </w:rPr>
      </w:pPr>
    </w:p>
    <w:p w14:paraId="3F1C9096" w14:textId="77777777" w:rsidR="00E33AFC" w:rsidRDefault="00E33AFC" w:rsidP="00E33AFC">
      <w:pPr>
        <w:rPr>
          <w:b/>
          <w:bCs/>
          <w:color w:val="5373B0"/>
        </w:rPr>
      </w:pPr>
    </w:p>
    <w:p w14:paraId="45E3A7DA" w14:textId="77777777" w:rsidR="00E33AFC" w:rsidRDefault="00E33AFC" w:rsidP="00E33AFC">
      <w:pPr>
        <w:rPr>
          <w:b/>
          <w:bCs/>
          <w:color w:val="5373B0"/>
        </w:rPr>
      </w:pPr>
    </w:p>
    <w:p w14:paraId="49AB3C79" w14:textId="77777777" w:rsidR="00E33AFC" w:rsidRDefault="00E33AFC" w:rsidP="00E33AFC">
      <w:pPr>
        <w:rPr>
          <w:b/>
          <w:bCs/>
          <w:color w:val="5373B0"/>
        </w:rPr>
      </w:pPr>
    </w:p>
    <w:p w14:paraId="493BC579" w14:textId="77777777" w:rsidR="00E33AFC" w:rsidRDefault="00E33AFC" w:rsidP="00E33AFC">
      <w:pPr>
        <w:rPr>
          <w:b/>
          <w:bCs/>
          <w:color w:val="5373B0"/>
        </w:rPr>
      </w:pPr>
    </w:p>
    <w:p w14:paraId="151392CB" w14:textId="77777777" w:rsidR="00E33AFC" w:rsidRDefault="00E33AFC" w:rsidP="00E33AFC">
      <w:pPr>
        <w:rPr>
          <w:b/>
          <w:bCs/>
          <w:color w:val="5373B0"/>
        </w:rPr>
      </w:pPr>
    </w:p>
    <w:p w14:paraId="2AF33570" w14:textId="77777777" w:rsidR="00E33AFC" w:rsidRDefault="00E33AFC" w:rsidP="00E33AFC">
      <w:pPr>
        <w:rPr>
          <w:b/>
          <w:bCs/>
          <w:color w:val="5373B0"/>
        </w:rPr>
      </w:pPr>
    </w:p>
    <w:p w14:paraId="4F55CC4C" w14:textId="77777777" w:rsidR="00E33AFC" w:rsidRDefault="00E33AFC" w:rsidP="00E33AFC">
      <w:pPr>
        <w:rPr>
          <w:b/>
          <w:bCs/>
          <w:color w:val="5373B0"/>
        </w:rPr>
      </w:pPr>
    </w:p>
    <w:p w14:paraId="298B6BCF" w14:textId="77777777" w:rsidR="00E33AFC" w:rsidRDefault="00E33AFC" w:rsidP="00E33AFC">
      <w:pPr>
        <w:rPr>
          <w:b/>
          <w:bCs/>
          <w:color w:val="5373B0"/>
        </w:rPr>
      </w:pPr>
    </w:p>
    <w:p w14:paraId="64B3A2C3" w14:textId="77777777" w:rsidR="00E33AFC" w:rsidRDefault="00E33AFC" w:rsidP="00E33AFC">
      <w:pPr>
        <w:rPr>
          <w:b/>
          <w:bCs/>
          <w:color w:val="5373B0"/>
        </w:rPr>
      </w:pPr>
    </w:p>
    <w:p w14:paraId="5A780661" w14:textId="77777777" w:rsidR="00E33AFC" w:rsidRDefault="00E33AFC" w:rsidP="00E33AFC">
      <w:pPr>
        <w:rPr>
          <w:b/>
          <w:bCs/>
          <w:color w:val="5373B0"/>
        </w:rPr>
      </w:pPr>
    </w:p>
    <w:p w14:paraId="49999486" w14:textId="77777777" w:rsidR="00E33AFC" w:rsidRDefault="00E33AFC" w:rsidP="00E33AFC">
      <w:pPr>
        <w:rPr>
          <w:b/>
          <w:bCs/>
          <w:color w:val="5373B0"/>
        </w:rPr>
      </w:pPr>
    </w:p>
    <w:p w14:paraId="23E3B7FE" w14:textId="77777777" w:rsidR="00E33AFC" w:rsidRDefault="00E33AFC" w:rsidP="00E33AFC">
      <w:pPr>
        <w:rPr>
          <w:b/>
          <w:bCs/>
          <w:color w:val="5373B0"/>
        </w:rPr>
      </w:pPr>
    </w:p>
    <w:p w14:paraId="7216408B" w14:textId="77777777" w:rsidR="00E33AFC" w:rsidRDefault="00E33AFC" w:rsidP="00E33AFC">
      <w:pPr>
        <w:rPr>
          <w:b/>
          <w:bCs/>
          <w:color w:val="5373B0"/>
        </w:rPr>
      </w:pPr>
    </w:p>
    <w:p w14:paraId="5AB71A51" w14:textId="77777777" w:rsidR="00E33AFC" w:rsidRDefault="00E33AFC" w:rsidP="00E33AFC">
      <w:pPr>
        <w:rPr>
          <w:b/>
          <w:bCs/>
          <w:color w:val="5373B0"/>
        </w:rPr>
      </w:pPr>
    </w:p>
    <w:p w14:paraId="3D797F26" w14:textId="77777777" w:rsidR="00E33AFC" w:rsidRDefault="00E33AFC" w:rsidP="00E33AFC">
      <w:pPr>
        <w:rPr>
          <w:b/>
          <w:bCs/>
          <w:color w:val="5373B0"/>
        </w:rPr>
      </w:pPr>
    </w:p>
    <w:p w14:paraId="790FB9F4" w14:textId="77777777" w:rsidR="00E33AFC" w:rsidRDefault="00E33AFC" w:rsidP="00E33AFC">
      <w:pPr>
        <w:rPr>
          <w:b/>
          <w:bCs/>
          <w:color w:val="5373B0"/>
        </w:rPr>
      </w:pPr>
    </w:p>
    <w:p w14:paraId="6B5DCE15" w14:textId="77777777" w:rsidR="00E33AFC" w:rsidRDefault="00E33AFC" w:rsidP="00E33AFC">
      <w:pPr>
        <w:rPr>
          <w:b/>
          <w:bCs/>
          <w:color w:val="5373B0"/>
        </w:rPr>
      </w:pPr>
    </w:p>
    <w:p w14:paraId="08B7F2FE" w14:textId="77777777" w:rsidR="00E33AFC" w:rsidRDefault="00E33AFC" w:rsidP="00E33AFC">
      <w:pPr>
        <w:rPr>
          <w:b/>
          <w:bCs/>
          <w:color w:val="5373B0"/>
        </w:rPr>
      </w:pPr>
    </w:p>
    <w:p w14:paraId="13F1BB64" w14:textId="77777777" w:rsidR="00E33AFC" w:rsidRDefault="00E33AFC" w:rsidP="00E33AFC">
      <w:pPr>
        <w:rPr>
          <w:b/>
          <w:bCs/>
          <w:color w:val="5373B0"/>
        </w:rPr>
      </w:pPr>
    </w:p>
    <w:p w14:paraId="3BAE98E3" w14:textId="77777777" w:rsidR="00E33AFC" w:rsidRDefault="00E33AFC" w:rsidP="00E33AFC">
      <w:pPr>
        <w:rPr>
          <w:b/>
          <w:bCs/>
          <w:color w:val="5373B0"/>
        </w:rPr>
      </w:pPr>
    </w:p>
    <w:p w14:paraId="342C00BA" w14:textId="77777777" w:rsidR="00E33AFC" w:rsidRDefault="00E33AFC" w:rsidP="00E33AFC">
      <w:pPr>
        <w:rPr>
          <w:b/>
          <w:bCs/>
          <w:color w:val="5373B0"/>
        </w:rPr>
      </w:pPr>
    </w:p>
    <w:p w14:paraId="1724A542" w14:textId="77777777" w:rsidR="00E33AFC" w:rsidRDefault="00E33AFC" w:rsidP="00E33AFC">
      <w:pPr>
        <w:rPr>
          <w:b/>
          <w:bCs/>
          <w:color w:val="5373B0"/>
        </w:rPr>
      </w:pPr>
    </w:p>
    <w:p w14:paraId="73E4859A" w14:textId="77777777" w:rsidR="00E33AFC" w:rsidRDefault="00E33AFC" w:rsidP="00E33AFC">
      <w:pPr>
        <w:rPr>
          <w:b/>
          <w:bCs/>
          <w:color w:val="5373B0"/>
        </w:rPr>
      </w:pPr>
    </w:p>
    <w:p w14:paraId="20E660BB" w14:textId="77777777" w:rsidR="00E33AFC" w:rsidRDefault="0059348A" w:rsidP="0059348A">
      <w:pPr>
        <w:tabs>
          <w:tab w:val="left" w:pos="3009"/>
        </w:tabs>
        <w:rPr>
          <w:b/>
          <w:bCs/>
          <w:color w:val="5373B0"/>
        </w:rPr>
      </w:pPr>
      <w:r>
        <w:rPr>
          <w:b/>
          <w:bCs/>
          <w:color w:val="5373B0"/>
        </w:rPr>
        <w:tab/>
      </w:r>
    </w:p>
    <w:p w14:paraId="41199C1B" w14:textId="77777777" w:rsidR="0059348A" w:rsidRDefault="0059348A" w:rsidP="0059348A">
      <w:pPr>
        <w:tabs>
          <w:tab w:val="left" w:pos="3009"/>
        </w:tabs>
        <w:rPr>
          <w:b/>
          <w:bCs/>
          <w:color w:val="5373B0"/>
        </w:rPr>
      </w:pPr>
    </w:p>
    <w:p w14:paraId="0E869E2A" w14:textId="77777777" w:rsidR="0059348A" w:rsidRDefault="0059348A" w:rsidP="0059348A">
      <w:pPr>
        <w:tabs>
          <w:tab w:val="left" w:pos="3009"/>
        </w:tabs>
        <w:rPr>
          <w:b/>
          <w:bCs/>
          <w:color w:val="5373B0"/>
        </w:rPr>
      </w:pPr>
    </w:p>
    <w:p w14:paraId="5D6E6961" w14:textId="77777777" w:rsidR="0059348A" w:rsidRDefault="0059348A" w:rsidP="0059348A">
      <w:pPr>
        <w:tabs>
          <w:tab w:val="left" w:pos="3009"/>
        </w:tabs>
        <w:rPr>
          <w:b/>
          <w:bCs/>
          <w:color w:val="5373B0"/>
        </w:rPr>
      </w:pPr>
    </w:p>
    <w:p w14:paraId="6FCD89F3" w14:textId="77777777" w:rsidR="0059348A" w:rsidRDefault="0059348A" w:rsidP="0059348A">
      <w:pPr>
        <w:tabs>
          <w:tab w:val="left" w:pos="3009"/>
        </w:tabs>
        <w:rPr>
          <w:b/>
          <w:bCs/>
          <w:color w:val="5373B0"/>
        </w:rPr>
      </w:pPr>
    </w:p>
    <w:p w14:paraId="3B3215B4" w14:textId="77777777" w:rsidR="0059348A" w:rsidRDefault="0059348A" w:rsidP="0059348A">
      <w:pPr>
        <w:tabs>
          <w:tab w:val="left" w:pos="3009"/>
        </w:tabs>
        <w:rPr>
          <w:b/>
          <w:bCs/>
          <w:color w:val="5373B0"/>
        </w:rPr>
      </w:pPr>
    </w:p>
    <w:p w14:paraId="0B777FEC" w14:textId="77777777" w:rsidR="0059348A" w:rsidRDefault="00CA1312" w:rsidP="0059348A">
      <w:pPr>
        <w:tabs>
          <w:tab w:val="left" w:pos="3009"/>
        </w:tabs>
        <w:rPr>
          <w:b/>
          <w:bCs/>
          <w:color w:val="5373B0"/>
        </w:rPr>
      </w:pPr>
      <w:r w:rsidRPr="00D84F49">
        <w:rPr>
          <w:noProof/>
          <w:color w:val="5373B0"/>
          <w:sz w:val="28"/>
          <w:lang w:val="en-AU" w:eastAsia="en-AU"/>
        </w:rPr>
        <mc:AlternateContent>
          <mc:Choice Requires="wps">
            <w:drawing>
              <wp:anchor distT="0" distB="0" distL="114300" distR="114300" simplePos="0" relativeHeight="251662336" behindDoc="0" locked="0" layoutInCell="1" allowOverlap="1" wp14:anchorId="43D335B5" wp14:editId="049E18E2">
                <wp:simplePos x="0" y="0"/>
                <wp:positionH relativeFrom="column">
                  <wp:posOffset>-571500</wp:posOffset>
                </wp:positionH>
                <wp:positionV relativeFrom="paragraph">
                  <wp:posOffset>95250</wp:posOffset>
                </wp:positionV>
                <wp:extent cx="4343400" cy="280606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343400" cy="2806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64454FE" w14:textId="5CC74238"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 xml:space="preserve">National Association of Community Legal Centres  </w:t>
                            </w:r>
                          </w:p>
                          <w:p w14:paraId="4A722C70" w14:textId="77777777" w:rsidR="000B1C05" w:rsidRPr="00F15400" w:rsidRDefault="000B1C05" w:rsidP="00CC12D7">
                            <w:pPr>
                              <w:rPr>
                                <w:rFonts w:ascii="Arial" w:hAnsi="Arial"/>
                                <w:b/>
                                <w:color w:val="FFFFFF" w:themeColor="background1"/>
                                <w:sz w:val="22"/>
                              </w:rPr>
                            </w:pPr>
                          </w:p>
                          <w:p w14:paraId="4744F8B8" w14:textId="6B390315" w:rsidR="000B1C05" w:rsidRPr="00F15400" w:rsidRDefault="000B1C05" w:rsidP="00F05A69">
                            <w:pPr>
                              <w:rPr>
                                <w:rFonts w:ascii="Arial" w:hAnsi="Arial"/>
                                <w:b/>
                                <w:color w:val="FFFFFF" w:themeColor="background1"/>
                                <w:sz w:val="22"/>
                              </w:rPr>
                            </w:pPr>
                            <w:r w:rsidRPr="00F15400">
                              <w:rPr>
                                <w:rFonts w:ascii="Arial" w:hAnsi="Arial"/>
                                <w:b/>
                                <w:color w:val="FFFFFF" w:themeColor="background1"/>
                                <w:sz w:val="22"/>
                              </w:rPr>
                              <w:t xml:space="preserve">ABN 67 757 001 303  ACN 163 101 737 </w:t>
                            </w:r>
                          </w:p>
                          <w:p w14:paraId="3C068D4D" w14:textId="77777777" w:rsidR="000B1C05" w:rsidRPr="00F15400" w:rsidRDefault="000B1C05" w:rsidP="00CC12D7">
                            <w:pPr>
                              <w:rPr>
                                <w:rFonts w:ascii="Arial" w:hAnsi="Arial"/>
                                <w:b/>
                                <w:color w:val="FFFFFF" w:themeColor="background1"/>
                                <w:sz w:val="22"/>
                              </w:rPr>
                            </w:pPr>
                          </w:p>
                          <w:p w14:paraId="3A1A7EB4" w14:textId="54750352"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Tel: 61 2 9264 9595</w:t>
                            </w:r>
                            <w:r w:rsidRPr="00F15400">
                              <w:rPr>
                                <w:rFonts w:ascii="Arial" w:hAnsi="Arial"/>
                                <w:b/>
                                <w:color w:val="FFFFFF" w:themeColor="background1"/>
                                <w:sz w:val="22"/>
                              </w:rPr>
                              <w:br/>
                              <w:t xml:space="preserve">Fax: 61 2 9264 9594  </w:t>
                            </w:r>
                          </w:p>
                          <w:p w14:paraId="10A9CA02" w14:textId="05381B1E"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Email: naclc@clc.net.au</w:t>
                            </w:r>
                          </w:p>
                          <w:p w14:paraId="5CB75D41" w14:textId="77777777"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Web: www.naclc.org.au</w:t>
                            </w:r>
                            <w:r w:rsidRPr="00F15400">
                              <w:rPr>
                                <w:rFonts w:ascii="Arial" w:hAnsi="Arial"/>
                                <w:b/>
                                <w:color w:val="FFFFFF" w:themeColor="background1"/>
                                <w:sz w:val="22"/>
                              </w:rPr>
                              <w:br/>
                            </w:r>
                          </w:p>
                          <w:p w14:paraId="01817F1A" w14:textId="77777777" w:rsidR="000B1C05" w:rsidRPr="00F15400" w:rsidRDefault="000B1C05" w:rsidP="00CC12D7">
                            <w:pPr>
                              <w:rPr>
                                <w:rFonts w:ascii="Arial" w:hAnsi="Arial"/>
                                <w:b/>
                                <w:color w:val="FFFFFF" w:themeColor="background1"/>
                                <w:sz w:val="20"/>
                              </w:rPr>
                            </w:pPr>
                            <w:r w:rsidRPr="00F15400">
                              <w:rPr>
                                <w:rFonts w:ascii="Arial" w:hAnsi="Arial"/>
                                <w:b/>
                                <w:color w:val="FFFFFF" w:themeColor="background1"/>
                                <w:sz w:val="22"/>
                              </w:rPr>
                              <w:t>Mail: PO Box A2245 Sydney South NSW 1235 Australia</w:t>
                            </w:r>
                            <w:r w:rsidRPr="00F15400">
                              <w:rPr>
                                <w:rFonts w:ascii="Arial" w:hAnsi="Arial"/>
                                <w:b/>
                                <w:color w:val="FFFFFF" w:themeColor="background1"/>
                                <w:sz w:val="20"/>
                              </w:rPr>
                              <w:t xml:space="preserve"> </w:t>
                            </w:r>
                          </w:p>
                          <w:p w14:paraId="5FF5BEEB" w14:textId="77777777" w:rsidR="000B1C05" w:rsidRPr="00F15400" w:rsidRDefault="000B1C05" w:rsidP="00CC12D7">
                            <w:pPr>
                              <w:rPr>
                                <w:rFonts w:ascii="Arial" w:hAnsi="Arial"/>
                                <w:b/>
                                <w:color w:val="FFFFFF" w:themeColor="background1"/>
                                <w:sz w:val="20"/>
                              </w:rPr>
                            </w:pPr>
                          </w:p>
                          <w:p w14:paraId="71AA193B" w14:textId="77777777"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 xml:space="preserve">      @naclccomms</w:t>
                            </w:r>
                          </w:p>
                          <w:p w14:paraId="2596EC43" w14:textId="77777777" w:rsidR="000B1C05" w:rsidRPr="00D84F49" w:rsidRDefault="000B1C05" w:rsidP="00CC12D7">
                            <w:pPr>
                              <w:rPr>
                                <w:color w:val="FFFFFF" w:themeColor="background1"/>
                                <w:sz w:val="32"/>
                              </w:rPr>
                            </w:pPr>
                          </w:p>
                          <w:p w14:paraId="29F29BAF" w14:textId="77777777" w:rsidR="000B1C05" w:rsidRPr="00D84F49" w:rsidRDefault="000B1C05" w:rsidP="00CC12D7">
                            <w:pPr>
                              <w:spacing w:line="276" w:lineRule="auto"/>
                              <w:rPr>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D335B5" id="Text Box 19" o:spid="_x0000_s1027" type="#_x0000_t202" style="position:absolute;margin-left:-45pt;margin-top:7.5pt;width:342pt;height:2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" filled="f" stroked="f">
                <v:textbox>
                  <w:txbxContent>
                    <w:p w14:paraId="164454FE" w14:textId="5CC74238"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 xml:space="preserve">National Association of Community Legal Centres  </w:t>
                      </w:r>
                    </w:p>
                    <w:p w14:paraId="4A722C70" w14:textId="77777777" w:rsidR="000B1C05" w:rsidRPr="00F15400" w:rsidRDefault="000B1C05" w:rsidP="00CC12D7">
                      <w:pPr>
                        <w:rPr>
                          <w:rFonts w:ascii="Arial" w:hAnsi="Arial"/>
                          <w:b/>
                          <w:color w:val="FFFFFF" w:themeColor="background1"/>
                          <w:sz w:val="22"/>
                        </w:rPr>
                      </w:pPr>
                    </w:p>
                    <w:p w14:paraId="4744F8B8" w14:textId="6B390315" w:rsidR="000B1C05" w:rsidRPr="00F15400" w:rsidRDefault="000B1C05" w:rsidP="00F05A69">
                      <w:pPr>
                        <w:rPr>
                          <w:rFonts w:ascii="Arial" w:hAnsi="Arial"/>
                          <w:b/>
                          <w:color w:val="FFFFFF" w:themeColor="background1"/>
                          <w:sz w:val="22"/>
                        </w:rPr>
                      </w:pPr>
                      <w:r w:rsidRPr="00F15400">
                        <w:rPr>
                          <w:rFonts w:ascii="Arial" w:hAnsi="Arial"/>
                          <w:b/>
                          <w:color w:val="FFFFFF" w:themeColor="background1"/>
                          <w:sz w:val="22"/>
                        </w:rPr>
                        <w:t xml:space="preserve">ABN 67 757 001 303  ACN 163 101 737 </w:t>
                      </w:r>
                    </w:p>
                    <w:p w14:paraId="3C068D4D" w14:textId="77777777" w:rsidR="000B1C05" w:rsidRPr="00F15400" w:rsidRDefault="000B1C05" w:rsidP="00CC12D7">
                      <w:pPr>
                        <w:rPr>
                          <w:rFonts w:ascii="Arial" w:hAnsi="Arial"/>
                          <w:b/>
                          <w:color w:val="FFFFFF" w:themeColor="background1"/>
                          <w:sz w:val="22"/>
                        </w:rPr>
                      </w:pPr>
                    </w:p>
                    <w:p w14:paraId="3A1A7EB4" w14:textId="54750352"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Tel: 61 2 9264 9595</w:t>
                      </w:r>
                      <w:r w:rsidRPr="00F15400">
                        <w:rPr>
                          <w:rFonts w:ascii="Arial" w:hAnsi="Arial"/>
                          <w:b/>
                          <w:color w:val="FFFFFF" w:themeColor="background1"/>
                          <w:sz w:val="22"/>
                        </w:rPr>
                        <w:br/>
                        <w:t xml:space="preserve">Fax: 61 2 9264 9594  </w:t>
                      </w:r>
                    </w:p>
                    <w:p w14:paraId="10A9CA02" w14:textId="05381B1E"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Email: naclc@clc.net.au</w:t>
                      </w:r>
                    </w:p>
                    <w:p w14:paraId="5CB75D41" w14:textId="77777777"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Web: www.naclc.org.au</w:t>
                      </w:r>
                      <w:r w:rsidRPr="00F15400">
                        <w:rPr>
                          <w:rFonts w:ascii="Arial" w:hAnsi="Arial"/>
                          <w:b/>
                          <w:color w:val="FFFFFF" w:themeColor="background1"/>
                          <w:sz w:val="22"/>
                        </w:rPr>
                        <w:br/>
                      </w:r>
                    </w:p>
                    <w:p w14:paraId="01817F1A" w14:textId="77777777" w:rsidR="000B1C05" w:rsidRPr="00F15400" w:rsidRDefault="000B1C05" w:rsidP="00CC12D7">
                      <w:pPr>
                        <w:rPr>
                          <w:rFonts w:ascii="Arial" w:hAnsi="Arial"/>
                          <w:b/>
                          <w:color w:val="FFFFFF" w:themeColor="background1"/>
                          <w:sz w:val="20"/>
                        </w:rPr>
                      </w:pPr>
                      <w:r w:rsidRPr="00F15400">
                        <w:rPr>
                          <w:rFonts w:ascii="Arial" w:hAnsi="Arial"/>
                          <w:b/>
                          <w:color w:val="FFFFFF" w:themeColor="background1"/>
                          <w:sz w:val="22"/>
                        </w:rPr>
                        <w:t>Mail: PO Box A2245 Sydney South NSW 1235 Australia</w:t>
                      </w:r>
                      <w:r w:rsidRPr="00F15400">
                        <w:rPr>
                          <w:rFonts w:ascii="Arial" w:hAnsi="Arial"/>
                          <w:b/>
                          <w:color w:val="FFFFFF" w:themeColor="background1"/>
                          <w:sz w:val="20"/>
                        </w:rPr>
                        <w:t xml:space="preserve"> </w:t>
                      </w:r>
                    </w:p>
                    <w:p w14:paraId="5FF5BEEB" w14:textId="77777777" w:rsidR="000B1C05" w:rsidRPr="00F15400" w:rsidRDefault="000B1C05" w:rsidP="00CC12D7">
                      <w:pPr>
                        <w:rPr>
                          <w:rFonts w:ascii="Arial" w:hAnsi="Arial"/>
                          <w:b/>
                          <w:color w:val="FFFFFF" w:themeColor="background1"/>
                          <w:sz w:val="20"/>
                        </w:rPr>
                      </w:pPr>
                    </w:p>
                    <w:p w14:paraId="71AA193B" w14:textId="77777777" w:rsidR="000B1C05" w:rsidRPr="00F15400" w:rsidRDefault="000B1C05" w:rsidP="00CC12D7">
                      <w:pPr>
                        <w:rPr>
                          <w:rFonts w:ascii="Arial" w:hAnsi="Arial"/>
                          <w:b/>
                          <w:color w:val="FFFFFF" w:themeColor="background1"/>
                          <w:sz w:val="22"/>
                        </w:rPr>
                      </w:pPr>
                      <w:r w:rsidRPr="00F15400">
                        <w:rPr>
                          <w:rFonts w:ascii="Arial" w:hAnsi="Arial"/>
                          <w:b/>
                          <w:color w:val="FFFFFF" w:themeColor="background1"/>
                          <w:sz w:val="22"/>
                        </w:rPr>
                        <w:t xml:space="preserve">      @naclccomms</w:t>
                      </w:r>
                    </w:p>
                    <w:p w14:paraId="2596EC43" w14:textId="77777777" w:rsidR="000B1C05" w:rsidRPr="00D84F49" w:rsidRDefault="000B1C05" w:rsidP="00CC12D7">
                      <w:pPr>
                        <w:rPr>
                          <w:color w:val="FFFFFF" w:themeColor="background1"/>
                          <w:sz w:val="32"/>
                        </w:rPr>
                      </w:pPr>
                    </w:p>
                    <w:p w14:paraId="29F29BAF" w14:textId="77777777" w:rsidR="000B1C05" w:rsidRPr="00D84F49" w:rsidRDefault="000B1C05" w:rsidP="00CC12D7">
                      <w:pPr>
                        <w:spacing w:line="276" w:lineRule="auto"/>
                        <w:rPr>
                          <w:sz w:val="28"/>
                          <w:szCs w:val="22"/>
                        </w:rPr>
                      </w:pPr>
                    </w:p>
                  </w:txbxContent>
                </v:textbox>
              </v:shape>
            </w:pict>
          </mc:Fallback>
        </mc:AlternateContent>
      </w:r>
    </w:p>
    <w:p w14:paraId="027338EF" w14:textId="77777777" w:rsidR="0059348A" w:rsidRDefault="0059348A" w:rsidP="0059348A">
      <w:pPr>
        <w:tabs>
          <w:tab w:val="left" w:pos="3009"/>
        </w:tabs>
        <w:rPr>
          <w:b/>
          <w:bCs/>
          <w:color w:val="5373B0"/>
        </w:rPr>
      </w:pPr>
    </w:p>
    <w:p w14:paraId="195BE525" w14:textId="77777777" w:rsidR="0059348A" w:rsidRDefault="0059348A" w:rsidP="0059348A">
      <w:pPr>
        <w:tabs>
          <w:tab w:val="left" w:pos="3009"/>
        </w:tabs>
        <w:rPr>
          <w:b/>
          <w:bCs/>
          <w:color w:val="5373B0"/>
        </w:rPr>
      </w:pPr>
    </w:p>
    <w:p w14:paraId="75727862" w14:textId="77777777" w:rsidR="0059348A" w:rsidRDefault="0059348A" w:rsidP="0059348A">
      <w:pPr>
        <w:tabs>
          <w:tab w:val="left" w:pos="3009"/>
        </w:tabs>
        <w:rPr>
          <w:b/>
          <w:bCs/>
          <w:color w:val="5373B0"/>
        </w:rPr>
      </w:pPr>
    </w:p>
    <w:p w14:paraId="4381446F" w14:textId="77777777" w:rsidR="0059348A" w:rsidRDefault="0059348A" w:rsidP="0059348A">
      <w:pPr>
        <w:tabs>
          <w:tab w:val="left" w:pos="3009"/>
        </w:tabs>
        <w:rPr>
          <w:b/>
          <w:bCs/>
          <w:color w:val="5373B0"/>
        </w:rPr>
      </w:pPr>
    </w:p>
    <w:p w14:paraId="512B217A" w14:textId="77777777" w:rsidR="0059348A" w:rsidRDefault="0059348A" w:rsidP="0059348A">
      <w:pPr>
        <w:tabs>
          <w:tab w:val="left" w:pos="3009"/>
        </w:tabs>
        <w:rPr>
          <w:b/>
          <w:bCs/>
          <w:color w:val="5373B0"/>
        </w:rPr>
      </w:pPr>
    </w:p>
    <w:p w14:paraId="7EB02646" w14:textId="77777777" w:rsidR="0059348A" w:rsidRDefault="0059348A" w:rsidP="0059348A">
      <w:pPr>
        <w:tabs>
          <w:tab w:val="left" w:pos="3009"/>
        </w:tabs>
        <w:rPr>
          <w:b/>
          <w:bCs/>
          <w:color w:val="5373B0"/>
        </w:rPr>
      </w:pPr>
    </w:p>
    <w:p w14:paraId="46B94D48" w14:textId="77777777" w:rsidR="0059348A" w:rsidRDefault="0059348A" w:rsidP="0059348A">
      <w:pPr>
        <w:tabs>
          <w:tab w:val="left" w:pos="3009"/>
        </w:tabs>
        <w:rPr>
          <w:b/>
          <w:bCs/>
          <w:color w:val="5373B0"/>
        </w:rPr>
      </w:pPr>
    </w:p>
    <w:p w14:paraId="4DD694C1" w14:textId="77777777" w:rsidR="0059348A" w:rsidRDefault="0059348A" w:rsidP="0059348A">
      <w:pPr>
        <w:tabs>
          <w:tab w:val="left" w:pos="3009"/>
        </w:tabs>
        <w:rPr>
          <w:b/>
          <w:bCs/>
          <w:color w:val="5373B0"/>
        </w:rPr>
      </w:pPr>
    </w:p>
    <w:p w14:paraId="3C158289" w14:textId="562F584F" w:rsidR="0059348A" w:rsidRDefault="00F05A69" w:rsidP="0059348A">
      <w:pPr>
        <w:tabs>
          <w:tab w:val="left" w:pos="3009"/>
        </w:tabs>
        <w:rPr>
          <w:b/>
          <w:bCs/>
          <w:color w:val="5373B0"/>
        </w:rPr>
      </w:pPr>
      <w:r>
        <w:rPr>
          <w:rFonts w:ascii="Arial" w:hAnsi="Arial" w:cs="Arial"/>
          <w:noProof/>
          <w:color w:val="FFFFFF" w:themeColor="background1"/>
          <w:lang w:val="en-AU" w:eastAsia="en-AU"/>
        </w:rPr>
        <w:drawing>
          <wp:anchor distT="0" distB="0" distL="114300" distR="114300" simplePos="0" relativeHeight="251658240" behindDoc="0" locked="0" layoutInCell="1" allowOverlap="1" wp14:anchorId="1F24E6F5" wp14:editId="402D3EDD">
            <wp:simplePos x="0" y="0"/>
            <wp:positionH relativeFrom="column">
              <wp:posOffset>-491490</wp:posOffset>
            </wp:positionH>
            <wp:positionV relativeFrom="paragraph">
              <wp:posOffset>261620</wp:posOffset>
            </wp:positionV>
            <wp:extent cx="184299" cy="18708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witter icon.png"/>
                    <pic:cNvPicPr/>
                  </pic:nvPicPr>
                  <pic:blipFill>
                    <a:blip r:embed="rId16" cstate="print">
                      <a:extLst>
                        <a:ext uri="{28A0092B-C50C-407E-A947-70E740481C1C}">
                          <a14:useLocalDpi xmlns:a14="http://schemas.microsoft.com/office/drawing/2010/main"/>
                        </a:ext>
                      </a:extLst>
                    </a:blip>
                    <a:stretch>
                      <a:fillRect/>
                    </a:stretch>
                  </pic:blipFill>
                  <pic:spPr>
                    <a:xfrm>
                      <a:off x="0" y="0"/>
                      <a:ext cx="184299" cy="187081"/>
                    </a:xfrm>
                    <a:prstGeom prst="rect">
                      <a:avLst/>
                    </a:prstGeom>
                  </pic:spPr>
                </pic:pic>
              </a:graphicData>
            </a:graphic>
            <wp14:sizeRelH relativeFrom="page">
              <wp14:pctWidth>0</wp14:pctWidth>
            </wp14:sizeRelH>
            <wp14:sizeRelV relativeFrom="page">
              <wp14:pctHeight>0</wp14:pctHeight>
            </wp14:sizeRelV>
          </wp:anchor>
        </w:drawing>
      </w:r>
    </w:p>
    <w:p w14:paraId="203D941E" w14:textId="65FA80E2" w:rsidR="0059348A" w:rsidRDefault="0059348A" w:rsidP="0059348A">
      <w:pPr>
        <w:tabs>
          <w:tab w:val="left" w:pos="3009"/>
        </w:tabs>
        <w:rPr>
          <w:b/>
          <w:bCs/>
          <w:color w:val="5373B0"/>
        </w:rPr>
      </w:pPr>
    </w:p>
    <w:p w14:paraId="75680E46" w14:textId="06B1746E" w:rsidR="00E33AFC" w:rsidRDefault="00E33AFC" w:rsidP="00CA1312">
      <w:pPr>
        <w:tabs>
          <w:tab w:val="left" w:pos="3009"/>
        </w:tabs>
        <w:rPr>
          <w:b/>
          <w:bCs/>
          <w:color w:val="5373B0"/>
        </w:rPr>
      </w:pPr>
    </w:p>
    <w:sdt>
      <w:sdtPr>
        <w:rPr>
          <w:b/>
          <w:bCs/>
          <w:color w:val="5373B0"/>
        </w:rPr>
        <w:id w:val="390161371"/>
        <w:docPartObj>
          <w:docPartGallery w:val="Table of Contents"/>
          <w:docPartUnique/>
        </w:docPartObj>
      </w:sdtPr>
      <w:sdtEndPr>
        <w:rPr>
          <w:rFonts w:ascii="Arial" w:hAnsi="Arial" w:cs="Arial"/>
          <w:b w:val="0"/>
          <w:bCs w:val="0"/>
          <w:noProof/>
        </w:rPr>
      </w:sdtEndPr>
      <w:sdtContent>
        <w:p w14:paraId="33F8894B" w14:textId="77777777" w:rsidR="003B546D" w:rsidRPr="00CA1312" w:rsidRDefault="003B546D" w:rsidP="00CA1312">
          <w:r w:rsidRPr="00B857AD">
            <w:rPr>
              <w:rFonts w:ascii="Arial" w:hAnsi="Arial"/>
              <w:color w:val="06378A"/>
              <w:sz w:val="50"/>
            </w:rPr>
            <w:t>Contents</w:t>
          </w:r>
        </w:p>
        <w:p w14:paraId="60B7D172" w14:textId="77777777" w:rsidR="003B546D" w:rsidRPr="0022306E" w:rsidRDefault="003B546D" w:rsidP="003B546D"/>
        <w:p w14:paraId="231A9AB6" w14:textId="77777777" w:rsidR="000F130F" w:rsidRDefault="003B546D">
          <w:pPr>
            <w:pStyle w:val="TOC1"/>
            <w:rPr>
              <w:rFonts w:asciiTheme="minorHAnsi" w:hAnsiTheme="minorHAnsi" w:cstheme="minorBidi"/>
              <w:b w:val="0"/>
              <w:color w:val="auto"/>
              <w:sz w:val="22"/>
              <w:lang w:val="en-AU" w:eastAsia="en-AU"/>
            </w:rPr>
          </w:pPr>
          <w:r w:rsidRPr="0022306E">
            <w:rPr>
              <w:color w:val="5373B0"/>
            </w:rPr>
            <w:fldChar w:fldCharType="begin"/>
          </w:r>
          <w:r w:rsidRPr="0022306E">
            <w:rPr>
              <w:color w:val="5373B0"/>
            </w:rPr>
            <w:instrText xml:space="preserve"> TOC \o "1-3" \h \z \u </w:instrText>
          </w:r>
          <w:r w:rsidRPr="0022306E">
            <w:rPr>
              <w:color w:val="5373B0"/>
            </w:rPr>
            <w:fldChar w:fldCharType="separate"/>
          </w:r>
          <w:hyperlink w:anchor="_Toc472606634" w:history="1">
            <w:r w:rsidR="000F130F" w:rsidRPr="00441702">
              <w:rPr>
                <w:rStyle w:val="Hyperlink"/>
              </w:rPr>
              <w:t>Overview</w:t>
            </w:r>
            <w:r w:rsidR="000F130F">
              <w:rPr>
                <w:webHidden/>
              </w:rPr>
              <w:tab/>
            </w:r>
            <w:r w:rsidR="000F130F">
              <w:rPr>
                <w:webHidden/>
              </w:rPr>
              <w:fldChar w:fldCharType="begin"/>
            </w:r>
            <w:r w:rsidR="000F130F">
              <w:rPr>
                <w:webHidden/>
              </w:rPr>
              <w:instrText xml:space="preserve"> PAGEREF _Toc472606634 \h </w:instrText>
            </w:r>
            <w:r w:rsidR="000F130F">
              <w:rPr>
                <w:webHidden/>
              </w:rPr>
            </w:r>
            <w:r w:rsidR="000F130F">
              <w:rPr>
                <w:webHidden/>
              </w:rPr>
              <w:fldChar w:fldCharType="separate"/>
            </w:r>
            <w:r w:rsidR="000F130F">
              <w:rPr>
                <w:webHidden/>
              </w:rPr>
              <w:t>1</w:t>
            </w:r>
            <w:r w:rsidR="000F130F">
              <w:rPr>
                <w:webHidden/>
              </w:rPr>
              <w:fldChar w:fldCharType="end"/>
            </w:r>
          </w:hyperlink>
        </w:p>
        <w:p w14:paraId="4EADFD94" w14:textId="77777777" w:rsidR="000F130F" w:rsidRDefault="00C7566E">
          <w:pPr>
            <w:pStyle w:val="TOC1"/>
            <w:rPr>
              <w:rFonts w:asciiTheme="minorHAnsi" w:hAnsiTheme="minorHAnsi" w:cstheme="minorBidi"/>
              <w:b w:val="0"/>
              <w:color w:val="auto"/>
              <w:sz w:val="22"/>
              <w:lang w:val="en-AU" w:eastAsia="en-AU"/>
            </w:rPr>
          </w:pPr>
          <w:hyperlink w:anchor="_Toc472606635" w:history="1">
            <w:r w:rsidR="000F130F" w:rsidRPr="00441702">
              <w:rPr>
                <w:rStyle w:val="Hyperlink"/>
              </w:rPr>
              <w:t>Recommendations</w:t>
            </w:r>
            <w:r w:rsidR="000F130F">
              <w:rPr>
                <w:webHidden/>
              </w:rPr>
              <w:tab/>
            </w:r>
            <w:r w:rsidR="000F130F">
              <w:rPr>
                <w:webHidden/>
              </w:rPr>
              <w:fldChar w:fldCharType="begin"/>
            </w:r>
            <w:r w:rsidR="000F130F">
              <w:rPr>
                <w:webHidden/>
              </w:rPr>
              <w:instrText xml:space="preserve"> PAGEREF _Toc472606635 \h </w:instrText>
            </w:r>
            <w:r w:rsidR="000F130F">
              <w:rPr>
                <w:webHidden/>
              </w:rPr>
            </w:r>
            <w:r w:rsidR="000F130F">
              <w:rPr>
                <w:webHidden/>
              </w:rPr>
              <w:fldChar w:fldCharType="separate"/>
            </w:r>
            <w:r w:rsidR="000F130F">
              <w:rPr>
                <w:webHidden/>
              </w:rPr>
              <w:t>3</w:t>
            </w:r>
            <w:r w:rsidR="000F130F">
              <w:rPr>
                <w:webHidden/>
              </w:rPr>
              <w:fldChar w:fldCharType="end"/>
            </w:r>
          </w:hyperlink>
        </w:p>
        <w:p w14:paraId="03E5EFDC" w14:textId="77777777" w:rsidR="000F130F" w:rsidRDefault="00C7566E">
          <w:pPr>
            <w:pStyle w:val="TOC1"/>
            <w:rPr>
              <w:rFonts w:asciiTheme="minorHAnsi" w:hAnsiTheme="minorHAnsi" w:cstheme="minorBidi"/>
              <w:b w:val="0"/>
              <w:color w:val="auto"/>
              <w:sz w:val="22"/>
              <w:lang w:val="en-AU" w:eastAsia="en-AU"/>
            </w:rPr>
          </w:pPr>
          <w:hyperlink w:anchor="_Toc472606636" w:history="1">
            <w:r w:rsidR="000F130F" w:rsidRPr="00441702">
              <w:rPr>
                <w:rStyle w:val="Hyperlink"/>
              </w:rPr>
              <w:t>Improving Access to Legal Assistance in Australia</w:t>
            </w:r>
            <w:r w:rsidR="000F130F">
              <w:rPr>
                <w:webHidden/>
              </w:rPr>
              <w:tab/>
            </w:r>
            <w:r w:rsidR="000F130F">
              <w:rPr>
                <w:webHidden/>
              </w:rPr>
              <w:fldChar w:fldCharType="begin"/>
            </w:r>
            <w:r w:rsidR="000F130F">
              <w:rPr>
                <w:webHidden/>
              </w:rPr>
              <w:instrText xml:space="preserve"> PAGEREF _Toc472606636 \h </w:instrText>
            </w:r>
            <w:r w:rsidR="000F130F">
              <w:rPr>
                <w:webHidden/>
              </w:rPr>
            </w:r>
            <w:r w:rsidR="000F130F">
              <w:rPr>
                <w:webHidden/>
              </w:rPr>
              <w:fldChar w:fldCharType="separate"/>
            </w:r>
            <w:r w:rsidR="000F130F">
              <w:rPr>
                <w:webHidden/>
              </w:rPr>
              <w:t>4</w:t>
            </w:r>
            <w:r w:rsidR="000F130F">
              <w:rPr>
                <w:webHidden/>
              </w:rPr>
              <w:fldChar w:fldCharType="end"/>
            </w:r>
          </w:hyperlink>
        </w:p>
        <w:p w14:paraId="272F7D47" w14:textId="77777777" w:rsidR="000F130F" w:rsidRDefault="00C7566E">
          <w:pPr>
            <w:pStyle w:val="TOC2"/>
            <w:rPr>
              <w:rFonts w:asciiTheme="minorHAnsi" w:hAnsiTheme="minorHAnsi" w:cstheme="minorBidi"/>
              <w:color w:val="auto"/>
              <w:lang w:val="en-AU" w:eastAsia="en-AU"/>
            </w:rPr>
          </w:pPr>
          <w:hyperlink w:anchor="_Toc472606637" w:history="1">
            <w:r w:rsidR="000F130F" w:rsidRPr="00441702">
              <w:rPr>
                <w:rStyle w:val="Hyperlink"/>
              </w:rPr>
              <w:t>What is the Problem?</w:t>
            </w:r>
            <w:r w:rsidR="000F130F">
              <w:rPr>
                <w:webHidden/>
              </w:rPr>
              <w:tab/>
            </w:r>
            <w:r w:rsidR="000F130F">
              <w:rPr>
                <w:webHidden/>
              </w:rPr>
              <w:fldChar w:fldCharType="begin"/>
            </w:r>
            <w:r w:rsidR="000F130F">
              <w:rPr>
                <w:webHidden/>
              </w:rPr>
              <w:instrText xml:space="preserve"> PAGEREF _Toc472606637 \h </w:instrText>
            </w:r>
            <w:r w:rsidR="000F130F">
              <w:rPr>
                <w:webHidden/>
              </w:rPr>
            </w:r>
            <w:r w:rsidR="000F130F">
              <w:rPr>
                <w:webHidden/>
              </w:rPr>
              <w:fldChar w:fldCharType="separate"/>
            </w:r>
            <w:r w:rsidR="000F130F">
              <w:rPr>
                <w:webHidden/>
              </w:rPr>
              <w:t>4</w:t>
            </w:r>
            <w:r w:rsidR="000F130F">
              <w:rPr>
                <w:webHidden/>
              </w:rPr>
              <w:fldChar w:fldCharType="end"/>
            </w:r>
          </w:hyperlink>
        </w:p>
        <w:p w14:paraId="63E5C2AA" w14:textId="77777777" w:rsidR="000F130F" w:rsidRDefault="00C7566E">
          <w:pPr>
            <w:pStyle w:val="TOC2"/>
            <w:rPr>
              <w:rFonts w:asciiTheme="minorHAnsi" w:hAnsiTheme="minorHAnsi" w:cstheme="minorBidi"/>
              <w:color w:val="auto"/>
              <w:lang w:val="en-AU" w:eastAsia="en-AU"/>
            </w:rPr>
          </w:pPr>
          <w:hyperlink w:anchor="_Toc472606638" w:history="1">
            <w:r w:rsidR="000F130F" w:rsidRPr="00441702">
              <w:rPr>
                <w:rStyle w:val="Hyperlink"/>
              </w:rPr>
              <w:t>What Are Community Legal Centres and How Do They Help?</w:t>
            </w:r>
            <w:r w:rsidR="000F130F">
              <w:rPr>
                <w:webHidden/>
              </w:rPr>
              <w:tab/>
            </w:r>
            <w:r w:rsidR="000F130F">
              <w:rPr>
                <w:webHidden/>
              </w:rPr>
              <w:fldChar w:fldCharType="begin"/>
            </w:r>
            <w:r w:rsidR="000F130F">
              <w:rPr>
                <w:webHidden/>
              </w:rPr>
              <w:instrText xml:space="preserve"> PAGEREF _Toc472606638 \h </w:instrText>
            </w:r>
            <w:r w:rsidR="000F130F">
              <w:rPr>
                <w:webHidden/>
              </w:rPr>
            </w:r>
            <w:r w:rsidR="000F130F">
              <w:rPr>
                <w:webHidden/>
              </w:rPr>
              <w:fldChar w:fldCharType="separate"/>
            </w:r>
            <w:r w:rsidR="000F130F">
              <w:rPr>
                <w:webHidden/>
              </w:rPr>
              <w:t>4</w:t>
            </w:r>
            <w:r w:rsidR="000F130F">
              <w:rPr>
                <w:webHidden/>
              </w:rPr>
              <w:fldChar w:fldCharType="end"/>
            </w:r>
          </w:hyperlink>
        </w:p>
        <w:p w14:paraId="0069E49B" w14:textId="77777777" w:rsidR="000F130F" w:rsidRDefault="00C7566E">
          <w:pPr>
            <w:pStyle w:val="TOC2"/>
            <w:rPr>
              <w:rFonts w:asciiTheme="minorHAnsi" w:hAnsiTheme="minorHAnsi" w:cstheme="minorBidi"/>
              <w:color w:val="auto"/>
              <w:lang w:val="en-AU" w:eastAsia="en-AU"/>
            </w:rPr>
          </w:pPr>
          <w:hyperlink w:anchor="_Toc472606639" w:history="1">
            <w:r w:rsidR="000F130F" w:rsidRPr="00441702">
              <w:rPr>
                <w:rStyle w:val="Hyperlink"/>
              </w:rPr>
              <w:t>What Challenges Exist in Solving the Problem?</w:t>
            </w:r>
            <w:r w:rsidR="000F130F">
              <w:rPr>
                <w:webHidden/>
              </w:rPr>
              <w:tab/>
            </w:r>
            <w:r w:rsidR="000F130F">
              <w:rPr>
                <w:webHidden/>
              </w:rPr>
              <w:fldChar w:fldCharType="begin"/>
            </w:r>
            <w:r w:rsidR="000F130F">
              <w:rPr>
                <w:webHidden/>
              </w:rPr>
              <w:instrText xml:space="preserve"> PAGEREF _Toc472606639 \h </w:instrText>
            </w:r>
            <w:r w:rsidR="000F130F">
              <w:rPr>
                <w:webHidden/>
              </w:rPr>
            </w:r>
            <w:r w:rsidR="000F130F">
              <w:rPr>
                <w:webHidden/>
              </w:rPr>
              <w:fldChar w:fldCharType="separate"/>
            </w:r>
            <w:r w:rsidR="000F130F">
              <w:rPr>
                <w:webHidden/>
              </w:rPr>
              <w:t>5</w:t>
            </w:r>
            <w:r w:rsidR="000F130F">
              <w:rPr>
                <w:webHidden/>
              </w:rPr>
              <w:fldChar w:fldCharType="end"/>
            </w:r>
          </w:hyperlink>
        </w:p>
        <w:p w14:paraId="7973B08C" w14:textId="77777777" w:rsidR="000F130F" w:rsidRDefault="00C7566E">
          <w:pPr>
            <w:pStyle w:val="TOC3"/>
            <w:rPr>
              <w:noProof/>
              <w:lang w:val="en-AU" w:eastAsia="en-AU"/>
            </w:rPr>
          </w:pPr>
          <w:hyperlink w:anchor="_Toc472606640" w:history="1">
            <w:r w:rsidR="000F130F" w:rsidRPr="00441702">
              <w:rPr>
                <w:rStyle w:val="Hyperlink"/>
                <w:noProof/>
              </w:rPr>
              <w:t>Funding for Community Legal Centres</w:t>
            </w:r>
            <w:r w:rsidR="000F130F">
              <w:rPr>
                <w:noProof/>
                <w:webHidden/>
              </w:rPr>
              <w:tab/>
            </w:r>
            <w:r w:rsidR="000F130F">
              <w:rPr>
                <w:noProof/>
                <w:webHidden/>
              </w:rPr>
              <w:fldChar w:fldCharType="begin"/>
            </w:r>
            <w:r w:rsidR="000F130F">
              <w:rPr>
                <w:noProof/>
                <w:webHidden/>
              </w:rPr>
              <w:instrText xml:space="preserve"> PAGEREF _Toc472606640 \h </w:instrText>
            </w:r>
            <w:r w:rsidR="000F130F">
              <w:rPr>
                <w:noProof/>
                <w:webHidden/>
              </w:rPr>
            </w:r>
            <w:r w:rsidR="000F130F">
              <w:rPr>
                <w:noProof/>
                <w:webHidden/>
              </w:rPr>
              <w:fldChar w:fldCharType="separate"/>
            </w:r>
            <w:r w:rsidR="000F130F">
              <w:rPr>
                <w:noProof/>
                <w:webHidden/>
              </w:rPr>
              <w:t>5</w:t>
            </w:r>
            <w:r w:rsidR="000F130F">
              <w:rPr>
                <w:noProof/>
                <w:webHidden/>
              </w:rPr>
              <w:fldChar w:fldCharType="end"/>
            </w:r>
          </w:hyperlink>
        </w:p>
        <w:p w14:paraId="6648EB70" w14:textId="77777777" w:rsidR="000F130F" w:rsidRDefault="00C7566E">
          <w:pPr>
            <w:pStyle w:val="TOC1"/>
            <w:rPr>
              <w:rFonts w:asciiTheme="minorHAnsi" w:hAnsiTheme="minorHAnsi" w:cstheme="minorBidi"/>
              <w:b w:val="0"/>
              <w:color w:val="auto"/>
              <w:sz w:val="22"/>
              <w:lang w:val="en-AU" w:eastAsia="en-AU"/>
            </w:rPr>
          </w:pPr>
          <w:hyperlink w:anchor="_Toc472606641" w:history="1">
            <w:r w:rsidR="000F130F" w:rsidRPr="00441702">
              <w:rPr>
                <w:rStyle w:val="Hyperlink"/>
              </w:rPr>
              <w:t>What Is Needed?</w:t>
            </w:r>
            <w:r w:rsidR="000F130F">
              <w:rPr>
                <w:webHidden/>
              </w:rPr>
              <w:tab/>
            </w:r>
            <w:r w:rsidR="000F130F">
              <w:rPr>
                <w:webHidden/>
              </w:rPr>
              <w:fldChar w:fldCharType="begin"/>
            </w:r>
            <w:r w:rsidR="000F130F">
              <w:rPr>
                <w:webHidden/>
              </w:rPr>
              <w:instrText xml:space="preserve"> PAGEREF _Toc472606641 \h </w:instrText>
            </w:r>
            <w:r w:rsidR="000F130F">
              <w:rPr>
                <w:webHidden/>
              </w:rPr>
            </w:r>
            <w:r w:rsidR="000F130F">
              <w:rPr>
                <w:webHidden/>
              </w:rPr>
              <w:fldChar w:fldCharType="separate"/>
            </w:r>
            <w:r w:rsidR="000F130F">
              <w:rPr>
                <w:webHidden/>
              </w:rPr>
              <w:t>10</w:t>
            </w:r>
            <w:r w:rsidR="000F130F">
              <w:rPr>
                <w:webHidden/>
              </w:rPr>
              <w:fldChar w:fldCharType="end"/>
            </w:r>
          </w:hyperlink>
        </w:p>
        <w:p w14:paraId="167D043A" w14:textId="77777777" w:rsidR="000F130F" w:rsidRDefault="00C7566E">
          <w:pPr>
            <w:pStyle w:val="TOC2"/>
            <w:rPr>
              <w:rFonts w:asciiTheme="minorHAnsi" w:hAnsiTheme="minorHAnsi" w:cstheme="minorBidi"/>
              <w:color w:val="auto"/>
              <w:lang w:val="en-AU" w:eastAsia="en-AU"/>
            </w:rPr>
          </w:pPr>
          <w:hyperlink w:anchor="_Toc472606642" w:history="1">
            <w:r w:rsidR="000F130F" w:rsidRPr="00441702">
              <w:rPr>
                <w:rStyle w:val="Hyperlink"/>
              </w:rPr>
              <w:t>Community Legal Centres</w:t>
            </w:r>
            <w:r w:rsidR="000F130F">
              <w:rPr>
                <w:webHidden/>
              </w:rPr>
              <w:tab/>
            </w:r>
            <w:r w:rsidR="000F130F">
              <w:rPr>
                <w:webHidden/>
              </w:rPr>
              <w:fldChar w:fldCharType="begin"/>
            </w:r>
            <w:r w:rsidR="000F130F">
              <w:rPr>
                <w:webHidden/>
              </w:rPr>
              <w:instrText xml:space="preserve"> PAGEREF _Toc472606642 \h </w:instrText>
            </w:r>
            <w:r w:rsidR="000F130F">
              <w:rPr>
                <w:webHidden/>
              </w:rPr>
            </w:r>
            <w:r w:rsidR="000F130F">
              <w:rPr>
                <w:webHidden/>
              </w:rPr>
              <w:fldChar w:fldCharType="separate"/>
            </w:r>
            <w:r w:rsidR="000F130F">
              <w:rPr>
                <w:webHidden/>
              </w:rPr>
              <w:t>10</w:t>
            </w:r>
            <w:r w:rsidR="000F130F">
              <w:rPr>
                <w:webHidden/>
              </w:rPr>
              <w:fldChar w:fldCharType="end"/>
            </w:r>
          </w:hyperlink>
        </w:p>
        <w:p w14:paraId="5517E50F" w14:textId="77777777" w:rsidR="000F130F" w:rsidRDefault="00C7566E">
          <w:pPr>
            <w:pStyle w:val="TOC3"/>
            <w:tabs>
              <w:tab w:val="left" w:pos="880"/>
            </w:tabs>
            <w:rPr>
              <w:noProof/>
              <w:lang w:val="en-AU" w:eastAsia="en-AU"/>
            </w:rPr>
          </w:pPr>
          <w:hyperlink w:anchor="_Toc472606643" w:history="1">
            <w:r w:rsidR="000F130F" w:rsidRPr="00441702">
              <w:rPr>
                <w:rStyle w:val="Hyperlink"/>
                <w:noProof/>
              </w:rPr>
              <w:t>1.</w:t>
            </w:r>
            <w:r w:rsidR="000F130F">
              <w:rPr>
                <w:noProof/>
                <w:lang w:val="en-AU" w:eastAsia="en-AU"/>
              </w:rPr>
              <w:tab/>
            </w:r>
            <w:r w:rsidR="000F130F" w:rsidRPr="00441702">
              <w:rPr>
                <w:rStyle w:val="Hyperlink"/>
                <w:noProof/>
              </w:rPr>
              <w:t>Reversal of funding cuts</w:t>
            </w:r>
            <w:r w:rsidR="000F130F">
              <w:rPr>
                <w:noProof/>
                <w:webHidden/>
              </w:rPr>
              <w:tab/>
            </w:r>
            <w:r w:rsidR="000F130F">
              <w:rPr>
                <w:noProof/>
                <w:webHidden/>
              </w:rPr>
              <w:fldChar w:fldCharType="begin"/>
            </w:r>
            <w:r w:rsidR="000F130F">
              <w:rPr>
                <w:noProof/>
                <w:webHidden/>
              </w:rPr>
              <w:instrText xml:space="preserve"> PAGEREF _Toc472606643 \h </w:instrText>
            </w:r>
            <w:r w:rsidR="000F130F">
              <w:rPr>
                <w:noProof/>
                <w:webHidden/>
              </w:rPr>
            </w:r>
            <w:r w:rsidR="000F130F">
              <w:rPr>
                <w:noProof/>
                <w:webHidden/>
              </w:rPr>
              <w:fldChar w:fldCharType="separate"/>
            </w:r>
            <w:r w:rsidR="000F130F">
              <w:rPr>
                <w:noProof/>
                <w:webHidden/>
              </w:rPr>
              <w:t>11</w:t>
            </w:r>
            <w:r w:rsidR="000F130F">
              <w:rPr>
                <w:noProof/>
                <w:webHidden/>
              </w:rPr>
              <w:fldChar w:fldCharType="end"/>
            </w:r>
          </w:hyperlink>
        </w:p>
        <w:p w14:paraId="10BB4EF0" w14:textId="77777777" w:rsidR="000F130F" w:rsidRDefault="00C7566E">
          <w:pPr>
            <w:pStyle w:val="TOC3"/>
            <w:tabs>
              <w:tab w:val="left" w:pos="880"/>
            </w:tabs>
            <w:rPr>
              <w:noProof/>
              <w:lang w:val="en-AU" w:eastAsia="en-AU"/>
            </w:rPr>
          </w:pPr>
          <w:hyperlink w:anchor="_Toc472606644" w:history="1">
            <w:r w:rsidR="000F130F" w:rsidRPr="00441702">
              <w:rPr>
                <w:rStyle w:val="Hyperlink"/>
                <w:noProof/>
              </w:rPr>
              <w:t>2.</w:t>
            </w:r>
            <w:r w:rsidR="000F130F">
              <w:rPr>
                <w:noProof/>
                <w:lang w:val="en-AU" w:eastAsia="en-AU"/>
              </w:rPr>
              <w:tab/>
            </w:r>
            <w:r w:rsidR="000F130F" w:rsidRPr="00441702">
              <w:rPr>
                <w:rStyle w:val="Hyperlink"/>
                <w:noProof/>
              </w:rPr>
              <w:t>Immediate injection of funding consistent with Productivity Commission recommendation</w:t>
            </w:r>
            <w:r w:rsidR="000F130F">
              <w:rPr>
                <w:noProof/>
                <w:webHidden/>
              </w:rPr>
              <w:tab/>
            </w:r>
            <w:r w:rsidR="000F130F">
              <w:rPr>
                <w:noProof/>
                <w:webHidden/>
              </w:rPr>
              <w:fldChar w:fldCharType="begin"/>
            </w:r>
            <w:r w:rsidR="000F130F">
              <w:rPr>
                <w:noProof/>
                <w:webHidden/>
              </w:rPr>
              <w:instrText xml:space="preserve"> PAGEREF _Toc472606644 \h </w:instrText>
            </w:r>
            <w:r w:rsidR="000F130F">
              <w:rPr>
                <w:noProof/>
                <w:webHidden/>
              </w:rPr>
            </w:r>
            <w:r w:rsidR="000F130F">
              <w:rPr>
                <w:noProof/>
                <w:webHidden/>
              </w:rPr>
              <w:fldChar w:fldCharType="separate"/>
            </w:r>
            <w:r w:rsidR="000F130F">
              <w:rPr>
                <w:noProof/>
                <w:webHidden/>
              </w:rPr>
              <w:t>11</w:t>
            </w:r>
            <w:r w:rsidR="000F130F">
              <w:rPr>
                <w:noProof/>
                <w:webHidden/>
              </w:rPr>
              <w:fldChar w:fldCharType="end"/>
            </w:r>
          </w:hyperlink>
        </w:p>
        <w:p w14:paraId="7CD00288" w14:textId="77777777" w:rsidR="000F130F" w:rsidRDefault="00C7566E">
          <w:pPr>
            <w:pStyle w:val="TOC3"/>
            <w:tabs>
              <w:tab w:val="left" w:pos="880"/>
            </w:tabs>
            <w:rPr>
              <w:noProof/>
              <w:lang w:val="en-AU" w:eastAsia="en-AU"/>
            </w:rPr>
          </w:pPr>
          <w:hyperlink w:anchor="_Toc472606645" w:history="1">
            <w:r w:rsidR="000F130F" w:rsidRPr="00441702">
              <w:rPr>
                <w:rStyle w:val="Hyperlink"/>
                <w:noProof/>
              </w:rPr>
              <w:t>3.</w:t>
            </w:r>
            <w:r w:rsidR="000F130F">
              <w:rPr>
                <w:noProof/>
                <w:lang w:val="en-AU" w:eastAsia="en-AU"/>
              </w:rPr>
              <w:tab/>
            </w:r>
            <w:r w:rsidR="000F130F" w:rsidRPr="00441702">
              <w:rPr>
                <w:rStyle w:val="Hyperlink"/>
                <w:noProof/>
                <w:shd w:val="clear" w:color="auto" w:fill="FFFFFF"/>
              </w:rPr>
              <w:t>Determine the appropriate quantum of funding</w:t>
            </w:r>
            <w:r w:rsidR="000F130F">
              <w:rPr>
                <w:noProof/>
                <w:webHidden/>
              </w:rPr>
              <w:tab/>
            </w:r>
            <w:r w:rsidR="000F130F">
              <w:rPr>
                <w:noProof/>
                <w:webHidden/>
              </w:rPr>
              <w:fldChar w:fldCharType="begin"/>
            </w:r>
            <w:r w:rsidR="000F130F">
              <w:rPr>
                <w:noProof/>
                <w:webHidden/>
              </w:rPr>
              <w:instrText xml:space="preserve"> PAGEREF _Toc472606645 \h </w:instrText>
            </w:r>
            <w:r w:rsidR="000F130F">
              <w:rPr>
                <w:noProof/>
                <w:webHidden/>
              </w:rPr>
            </w:r>
            <w:r w:rsidR="000F130F">
              <w:rPr>
                <w:noProof/>
                <w:webHidden/>
              </w:rPr>
              <w:fldChar w:fldCharType="separate"/>
            </w:r>
            <w:r w:rsidR="000F130F">
              <w:rPr>
                <w:noProof/>
                <w:webHidden/>
              </w:rPr>
              <w:t>11</w:t>
            </w:r>
            <w:r w:rsidR="000F130F">
              <w:rPr>
                <w:noProof/>
                <w:webHidden/>
              </w:rPr>
              <w:fldChar w:fldCharType="end"/>
            </w:r>
          </w:hyperlink>
        </w:p>
        <w:p w14:paraId="52FE2832" w14:textId="77777777" w:rsidR="000F130F" w:rsidRDefault="00C7566E">
          <w:pPr>
            <w:pStyle w:val="TOC2"/>
            <w:rPr>
              <w:rFonts w:asciiTheme="minorHAnsi" w:hAnsiTheme="minorHAnsi" w:cstheme="minorBidi"/>
              <w:color w:val="auto"/>
              <w:lang w:val="en-AU" w:eastAsia="en-AU"/>
            </w:rPr>
          </w:pPr>
          <w:hyperlink w:anchor="_Toc472606646" w:history="1">
            <w:r w:rsidR="000F130F" w:rsidRPr="00441702">
              <w:rPr>
                <w:rStyle w:val="Hyperlink"/>
              </w:rPr>
              <w:t>National and Jurisdictional Support and Coordination</w:t>
            </w:r>
            <w:r w:rsidR="000F130F">
              <w:rPr>
                <w:webHidden/>
              </w:rPr>
              <w:tab/>
            </w:r>
            <w:r w:rsidR="000F130F">
              <w:rPr>
                <w:webHidden/>
              </w:rPr>
              <w:fldChar w:fldCharType="begin"/>
            </w:r>
            <w:r w:rsidR="000F130F">
              <w:rPr>
                <w:webHidden/>
              </w:rPr>
              <w:instrText xml:space="preserve"> PAGEREF _Toc472606646 \h </w:instrText>
            </w:r>
            <w:r w:rsidR="000F130F">
              <w:rPr>
                <w:webHidden/>
              </w:rPr>
            </w:r>
            <w:r w:rsidR="000F130F">
              <w:rPr>
                <w:webHidden/>
              </w:rPr>
              <w:fldChar w:fldCharType="separate"/>
            </w:r>
            <w:r w:rsidR="000F130F">
              <w:rPr>
                <w:webHidden/>
              </w:rPr>
              <w:t>12</w:t>
            </w:r>
            <w:r w:rsidR="000F130F">
              <w:rPr>
                <w:webHidden/>
              </w:rPr>
              <w:fldChar w:fldCharType="end"/>
            </w:r>
          </w:hyperlink>
        </w:p>
        <w:p w14:paraId="7B58EBB0" w14:textId="77777777" w:rsidR="000F130F" w:rsidRDefault="00C7566E">
          <w:pPr>
            <w:pStyle w:val="TOC2"/>
            <w:rPr>
              <w:rFonts w:asciiTheme="minorHAnsi" w:hAnsiTheme="minorHAnsi" w:cstheme="minorBidi"/>
              <w:color w:val="auto"/>
              <w:lang w:val="en-AU" w:eastAsia="en-AU"/>
            </w:rPr>
          </w:pPr>
          <w:hyperlink w:anchor="_Toc472606647" w:history="1">
            <w:r w:rsidR="000F130F" w:rsidRPr="00441702">
              <w:rPr>
                <w:rStyle w:val="Hyperlink"/>
              </w:rPr>
              <w:t>Community-Controlled Services for Aboriginal and Torres Strait Islander Peoples</w:t>
            </w:r>
            <w:r w:rsidR="000F130F">
              <w:rPr>
                <w:webHidden/>
              </w:rPr>
              <w:tab/>
            </w:r>
            <w:r w:rsidR="000F130F">
              <w:rPr>
                <w:webHidden/>
              </w:rPr>
              <w:fldChar w:fldCharType="begin"/>
            </w:r>
            <w:r w:rsidR="000F130F">
              <w:rPr>
                <w:webHidden/>
              </w:rPr>
              <w:instrText xml:space="preserve"> PAGEREF _Toc472606647 \h </w:instrText>
            </w:r>
            <w:r w:rsidR="000F130F">
              <w:rPr>
                <w:webHidden/>
              </w:rPr>
            </w:r>
            <w:r w:rsidR="000F130F">
              <w:rPr>
                <w:webHidden/>
              </w:rPr>
              <w:fldChar w:fldCharType="separate"/>
            </w:r>
            <w:r w:rsidR="000F130F">
              <w:rPr>
                <w:webHidden/>
              </w:rPr>
              <w:t>13</w:t>
            </w:r>
            <w:r w:rsidR="000F130F">
              <w:rPr>
                <w:webHidden/>
              </w:rPr>
              <w:fldChar w:fldCharType="end"/>
            </w:r>
          </w:hyperlink>
        </w:p>
        <w:p w14:paraId="1D56C3DD" w14:textId="77777777" w:rsidR="000F130F" w:rsidRDefault="00C7566E">
          <w:pPr>
            <w:pStyle w:val="TOC3"/>
            <w:rPr>
              <w:noProof/>
              <w:lang w:val="en-AU" w:eastAsia="en-AU"/>
            </w:rPr>
          </w:pPr>
          <w:hyperlink w:anchor="_Toc472606648" w:history="1">
            <w:r w:rsidR="000F130F" w:rsidRPr="00441702">
              <w:rPr>
                <w:rStyle w:val="Hyperlink"/>
                <w:noProof/>
              </w:rPr>
              <w:t>Family Violence Prevention Legal Services</w:t>
            </w:r>
            <w:r w:rsidR="000F130F">
              <w:rPr>
                <w:noProof/>
                <w:webHidden/>
              </w:rPr>
              <w:tab/>
            </w:r>
            <w:r w:rsidR="000F130F">
              <w:rPr>
                <w:noProof/>
                <w:webHidden/>
              </w:rPr>
              <w:fldChar w:fldCharType="begin"/>
            </w:r>
            <w:r w:rsidR="000F130F">
              <w:rPr>
                <w:noProof/>
                <w:webHidden/>
              </w:rPr>
              <w:instrText xml:space="preserve"> PAGEREF _Toc472606648 \h </w:instrText>
            </w:r>
            <w:r w:rsidR="000F130F">
              <w:rPr>
                <w:noProof/>
                <w:webHidden/>
              </w:rPr>
            </w:r>
            <w:r w:rsidR="000F130F">
              <w:rPr>
                <w:noProof/>
                <w:webHidden/>
              </w:rPr>
              <w:fldChar w:fldCharType="separate"/>
            </w:r>
            <w:r w:rsidR="000F130F">
              <w:rPr>
                <w:noProof/>
                <w:webHidden/>
              </w:rPr>
              <w:t>13</w:t>
            </w:r>
            <w:r w:rsidR="000F130F">
              <w:rPr>
                <w:noProof/>
                <w:webHidden/>
              </w:rPr>
              <w:fldChar w:fldCharType="end"/>
            </w:r>
          </w:hyperlink>
        </w:p>
        <w:p w14:paraId="24A4B1C1" w14:textId="77777777" w:rsidR="000F130F" w:rsidRDefault="00C7566E">
          <w:pPr>
            <w:pStyle w:val="TOC3"/>
            <w:rPr>
              <w:noProof/>
              <w:lang w:val="en-AU" w:eastAsia="en-AU"/>
            </w:rPr>
          </w:pPr>
          <w:hyperlink w:anchor="_Toc472606649" w:history="1">
            <w:r w:rsidR="000F130F" w:rsidRPr="00441702">
              <w:rPr>
                <w:rStyle w:val="Hyperlink"/>
                <w:noProof/>
              </w:rPr>
              <w:t>Aboriginal and Torres Strait Islander Legal Services</w:t>
            </w:r>
            <w:r w:rsidR="000F130F">
              <w:rPr>
                <w:noProof/>
                <w:webHidden/>
              </w:rPr>
              <w:tab/>
            </w:r>
            <w:r w:rsidR="000F130F">
              <w:rPr>
                <w:noProof/>
                <w:webHidden/>
              </w:rPr>
              <w:fldChar w:fldCharType="begin"/>
            </w:r>
            <w:r w:rsidR="000F130F">
              <w:rPr>
                <w:noProof/>
                <w:webHidden/>
              </w:rPr>
              <w:instrText xml:space="preserve"> PAGEREF _Toc472606649 \h </w:instrText>
            </w:r>
            <w:r w:rsidR="000F130F">
              <w:rPr>
                <w:noProof/>
                <w:webHidden/>
              </w:rPr>
            </w:r>
            <w:r w:rsidR="000F130F">
              <w:rPr>
                <w:noProof/>
                <w:webHidden/>
              </w:rPr>
              <w:fldChar w:fldCharType="separate"/>
            </w:r>
            <w:r w:rsidR="000F130F">
              <w:rPr>
                <w:noProof/>
                <w:webHidden/>
              </w:rPr>
              <w:t>14</w:t>
            </w:r>
            <w:r w:rsidR="000F130F">
              <w:rPr>
                <w:noProof/>
                <w:webHidden/>
              </w:rPr>
              <w:fldChar w:fldCharType="end"/>
            </w:r>
          </w:hyperlink>
        </w:p>
        <w:p w14:paraId="5D4402FE" w14:textId="77777777" w:rsidR="000F130F" w:rsidRDefault="00C7566E">
          <w:pPr>
            <w:pStyle w:val="TOC2"/>
            <w:rPr>
              <w:rFonts w:asciiTheme="minorHAnsi" w:hAnsiTheme="minorHAnsi" w:cstheme="minorBidi"/>
              <w:color w:val="auto"/>
              <w:lang w:val="en-AU" w:eastAsia="en-AU"/>
            </w:rPr>
          </w:pPr>
          <w:hyperlink w:anchor="_Toc472606650" w:history="1">
            <w:r w:rsidR="000F130F" w:rsidRPr="00441702">
              <w:rPr>
                <w:rStyle w:val="Hyperlink"/>
              </w:rPr>
              <w:t>Legal Aid Commissions</w:t>
            </w:r>
            <w:r w:rsidR="000F130F">
              <w:rPr>
                <w:webHidden/>
              </w:rPr>
              <w:tab/>
            </w:r>
            <w:r w:rsidR="000F130F">
              <w:rPr>
                <w:webHidden/>
              </w:rPr>
              <w:fldChar w:fldCharType="begin"/>
            </w:r>
            <w:r w:rsidR="000F130F">
              <w:rPr>
                <w:webHidden/>
              </w:rPr>
              <w:instrText xml:space="preserve"> PAGEREF _Toc472606650 \h </w:instrText>
            </w:r>
            <w:r w:rsidR="000F130F">
              <w:rPr>
                <w:webHidden/>
              </w:rPr>
            </w:r>
            <w:r w:rsidR="000F130F">
              <w:rPr>
                <w:webHidden/>
              </w:rPr>
              <w:fldChar w:fldCharType="separate"/>
            </w:r>
            <w:r w:rsidR="000F130F">
              <w:rPr>
                <w:webHidden/>
              </w:rPr>
              <w:t>15</w:t>
            </w:r>
            <w:r w:rsidR="000F130F">
              <w:rPr>
                <w:webHidden/>
              </w:rPr>
              <w:fldChar w:fldCharType="end"/>
            </w:r>
          </w:hyperlink>
        </w:p>
        <w:p w14:paraId="1533A7DD" w14:textId="77777777" w:rsidR="000F130F" w:rsidRDefault="00C7566E">
          <w:pPr>
            <w:pStyle w:val="TOC2"/>
            <w:rPr>
              <w:rFonts w:asciiTheme="minorHAnsi" w:hAnsiTheme="minorHAnsi" w:cstheme="minorBidi"/>
              <w:color w:val="auto"/>
              <w:lang w:val="en-AU" w:eastAsia="en-AU"/>
            </w:rPr>
          </w:pPr>
          <w:hyperlink w:anchor="_Toc472606651" w:history="1">
            <w:r w:rsidR="000F130F" w:rsidRPr="00441702">
              <w:rPr>
                <w:rStyle w:val="Hyperlink"/>
                <w:shd w:val="clear" w:color="auto" w:fill="FFFFFF"/>
              </w:rPr>
              <w:t>Appendix 1: Table of NPA Funding</w:t>
            </w:r>
            <w:r w:rsidR="000F130F">
              <w:rPr>
                <w:webHidden/>
              </w:rPr>
              <w:tab/>
            </w:r>
            <w:r w:rsidR="000F130F">
              <w:rPr>
                <w:webHidden/>
              </w:rPr>
              <w:fldChar w:fldCharType="begin"/>
            </w:r>
            <w:r w:rsidR="000F130F">
              <w:rPr>
                <w:webHidden/>
              </w:rPr>
              <w:instrText xml:space="preserve"> PAGEREF _Toc472606651 \h </w:instrText>
            </w:r>
            <w:r w:rsidR="000F130F">
              <w:rPr>
                <w:webHidden/>
              </w:rPr>
            </w:r>
            <w:r w:rsidR="000F130F">
              <w:rPr>
                <w:webHidden/>
              </w:rPr>
              <w:fldChar w:fldCharType="separate"/>
            </w:r>
            <w:r w:rsidR="000F130F">
              <w:rPr>
                <w:webHidden/>
              </w:rPr>
              <w:t>16</w:t>
            </w:r>
            <w:r w:rsidR="000F130F">
              <w:rPr>
                <w:webHidden/>
              </w:rPr>
              <w:fldChar w:fldCharType="end"/>
            </w:r>
          </w:hyperlink>
        </w:p>
        <w:p w14:paraId="61801E5F" w14:textId="77777777" w:rsidR="003B546D" w:rsidRPr="00B16752" w:rsidRDefault="003B546D" w:rsidP="003B546D">
          <w:pPr>
            <w:spacing w:line="276" w:lineRule="auto"/>
            <w:rPr>
              <w:rFonts w:ascii="Arial" w:hAnsi="Arial" w:cs="Arial"/>
              <w:color w:val="5373B0"/>
            </w:rPr>
          </w:pPr>
          <w:r w:rsidRPr="0022306E">
            <w:rPr>
              <w:rFonts w:ascii="Arial" w:hAnsi="Arial" w:cs="Arial"/>
              <w:b/>
              <w:bCs/>
              <w:noProof/>
              <w:color w:val="5373B0"/>
            </w:rPr>
            <w:fldChar w:fldCharType="end"/>
          </w:r>
        </w:p>
      </w:sdtContent>
    </w:sdt>
    <w:p w14:paraId="0B1A0977" w14:textId="77777777" w:rsidR="003B546D" w:rsidRPr="00B16752" w:rsidRDefault="003B546D" w:rsidP="003B546D">
      <w:pPr>
        <w:spacing w:line="360" w:lineRule="auto"/>
        <w:rPr>
          <w:rFonts w:ascii="Arial" w:hAnsi="Arial" w:cs="Arial"/>
          <w:color w:val="5373B0"/>
        </w:rPr>
      </w:pPr>
    </w:p>
    <w:p w14:paraId="00E9E3BD" w14:textId="77777777" w:rsidR="003B546D" w:rsidRPr="00B16752" w:rsidRDefault="003B546D" w:rsidP="003B546D">
      <w:pPr>
        <w:spacing w:line="360" w:lineRule="auto"/>
        <w:rPr>
          <w:rFonts w:ascii="Arial" w:hAnsi="Arial" w:cs="Arial"/>
          <w:color w:val="5373B0"/>
        </w:rPr>
      </w:pPr>
    </w:p>
    <w:p w14:paraId="2ED0D02E" w14:textId="77777777" w:rsidR="003B546D" w:rsidRPr="006312C0" w:rsidRDefault="003B546D" w:rsidP="003B546D">
      <w:pPr>
        <w:rPr>
          <w:color w:val="5373B0"/>
        </w:rPr>
      </w:pPr>
    </w:p>
    <w:p w14:paraId="784DFB28" w14:textId="77777777" w:rsidR="003B546D" w:rsidRPr="006312C0" w:rsidRDefault="003B546D" w:rsidP="003B546D">
      <w:pPr>
        <w:rPr>
          <w:color w:val="5373B0"/>
        </w:rPr>
        <w:sectPr w:rsidR="003B546D" w:rsidRPr="006312C0" w:rsidSect="00340F04">
          <w:footerReference w:type="even" r:id="rId17"/>
          <w:footerReference w:type="default" r:id="rId18"/>
          <w:pgSz w:w="11900" w:h="16840"/>
          <w:pgMar w:top="1440" w:right="1440" w:bottom="1440" w:left="1440" w:header="708" w:footer="708" w:gutter="0"/>
          <w:pgNumType w:start="0"/>
          <w:cols w:space="708"/>
          <w:docGrid w:linePitch="360"/>
        </w:sectPr>
      </w:pPr>
    </w:p>
    <w:p w14:paraId="62A92EDB" w14:textId="40B60815" w:rsidR="003B546D" w:rsidRPr="006F6EF2" w:rsidRDefault="00223D4A" w:rsidP="006F6EF2">
      <w:pPr>
        <w:pStyle w:val="Heading1"/>
      </w:pPr>
      <w:bookmarkStart w:id="1" w:name="_Toc472606634"/>
      <w:r>
        <w:lastRenderedPageBreak/>
        <w:t>Overview</w:t>
      </w:r>
      <w:bookmarkEnd w:id="1"/>
      <w:r>
        <w:t xml:space="preserve"> </w:t>
      </w:r>
    </w:p>
    <w:p w14:paraId="7AD3011C" w14:textId="77777777" w:rsidR="0073740B" w:rsidRDefault="0073740B" w:rsidP="0073740B"/>
    <w:p w14:paraId="2215AF38" w14:textId="77777777" w:rsidR="009B014F" w:rsidRDefault="00B22502" w:rsidP="00E80632">
      <w:pPr>
        <w:rPr>
          <w:sz w:val="22"/>
          <w:szCs w:val="22"/>
        </w:rPr>
      </w:pPr>
      <w:r>
        <w:rPr>
          <w:sz w:val="22"/>
          <w:szCs w:val="22"/>
        </w:rPr>
        <w:t>This submission is made by the</w:t>
      </w:r>
      <w:r w:rsidR="004447A8" w:rsidRPr="009D3290">
        <w:rPr>
          <w:sz w:val="22"/>
          <w:szCs w:val="22"/>
        </w:rPr>
        <w:t xml:space="preserve"> National Association of Community Legal Centres (NACLC)</w:t>
      </w:r>
      <w:r>
        <w:rPr>
          <w:sz w:val="22"/>
          <w:szCs w:val="22"/>
        </w:rPr>
        <w:t>, which</w:t>
      </w:r>
      <w:r w:rsidR="004447A8" w:rsidRPr="009D3290">
        <w:rPr>
          <w:sz w:val="22"/>
          <w:szCs w:val="22"/>
        </w:rPr>
        <w:t xml:space="preserve"> is the peak body for Community Legal </w:t>
      </w:r>
      <w:r>
        <w:rPr>
          <w:sz w:val="22"/>
          <w:szCs w:val="22"/>
        </w:rPr>
        <w:t>Centres (CLCs) in Australia,</w:t>
      </w:r>
      <w:r w:rsidR="008A3231">
        <w:rPr>
          <w:rStyle w:val="FootnoteReference"/>
          <w:sz w:val="22"/>
          <w:szCs w:val="22"/>
        </w:rPr>
        <w:footnoteReference w:id="1"/>
      </w:r>
      <w:r>
        <w:rPr>
          <w:sz w:val="22"/>
          <w:szCs w:val="22"/>
        </w:rPr>
        <w:t xml:space="preserve"> to inform Federal Government priorities and decisions with respe</w:t>
      </w:r>
      <w:r w:rsidR="00D0431B">
        <w:rPr>
          <w:sz w:val="22"/>
          <w:szCs w:val="22"/>
        </w:rPr>
        <w:t>ct to the 2017-2018</w:t>
      </w:r>
      <w:r>
        <w:rPr>
          <w:sz w:val="22"/>
          <w:szCs w:val="22"/>
        </w:rPr>
        <w:t xml:space="preserve"> Federal Budget. </w:t>
      </w:r>
      <w:r w:rsidR="0084455A">
        <w:rPr>
          <w:sz w:val="22"/>
          <w:szCs w:val="22"/>
        </w:rPr>
        <w:t xml:space="preserve"> </w:t>
      </w:r>
    </w:p>
    <w:p w14:paraId="6C3C2C25" w14:textId="77777777" w:rsidR="009B014F" w:rsidRDefault="009B014F" w:rsidP="00E80632">
      <w:pPr>
        <w:rPr>
          <w:sz w:val="22"/>
          <w:szCs w:val="22"/>
        </w:rPr>
      </w:pPr>
    </w:p>
    <w:p w14:paraId="5362CA62" w14:textId="6ABAB3A8" w:rsidR="00DA707F" w:rsidRDefault="0084455A" w:rsidP="00E80632">
      <w:pPr>
        <w:rPr>
          <w:sz w:val="22"/>
          <w:szCs w:val="22"/>
        </w:rPr>
      </w:pPr>
      <w:r>
        <w:rPr>
          <w:sz w:val="22"/>
          <w:szCs w:val="22"/>
        </w:rPr>
        <w:t>This submissi</w:t>
      </w:r>
      <w:r w:rsidR="008C725F">
        <w:rPr>
          <w:sz w:val="22"/>
          <w:szCs w:val="22"/>
        </w:rPr>
        <w:t>on is brief</w:t>
      </w:r>
      <w:r>
        <w:rPr>
          <w:sz w:val="22"/>
          <w:szCs w:val="22"/>
        </w:rPr>
        <w:t xml:space="preserve"> and builds on the</w:t>
      </w:r>
      <w:r w:rsidR="008C725F">
        <w:rPr>
          <w:sz w:val="22"/>
          <w:szCs w:val="22"/>
        </w:rPr>
        <w:t xml:space="preserve"> more detailed</w:t>
      </w:r>
      <w:r>
        <w:rPr>
          <w:sz w:val="22"/>
          <w:szCs w:val="22"/>
        </w:rPr>
        <w:t xml:space="preserve"> submission NACLC made in relation to the 2016-2017 Federal Budget</w:t>
      </w:r>
      <w:r w:rsidR="008C725F">
        <w:rPr>
          <w:sz w:val="22"/>
          <w:szCs w:val="22"/>
        </w:rPr>
        <w:t xml:space="preserve"> that provides further detail on many of the key issues identified</w:t>
      </w:r>
      <w:r w:rsidR="009B014F">
        <w:rPr>
          <w:sz w:val="22"/>
          <w:szCs w:val="22"/>
        </w:rPr>
        <w:t>.</w:t>
      </w:r>
      <w:r>
        <w:rPr>
          <w:rStyle w:val="FootnoteReference"/>
          <w:sz w:val="22"/>
          <w:szCs w:val="22"/>
        </w:rPr>
        <w:footnoteReference w:id="2"/>
      </w:r>
    </w:p>
    <w:p w14:paraId="6DAE1DA8" w14:textId="77777777" w:rsidR="008C725F" w:rsidRDefault="008C725F" w:rsidP="00E80632">
      <w:pPr>
        <w:rPr>
          <w:sz w:val="22"/>
          <w:szCs w:val="22"/>
        </w:rPr>
      </w:pPr>
    </w:p>
    <w:p w14:paraId="3B140C67" w14:textId="06EA2BF3" w:rsidR="00B50082" w:rsidRDefault="008C725F" w:rsidP="00E80632">
      <w:pPr>
        <w:rPr>
          <w:sz w:val="22"/>
          <w:szCs w:val="22"/>
        </w:rPr>
      </w:pPr>
      <w:r>
        <w:rPr>
          <w:sz w:val="22"/>
          <w:szCs w:val="22"/>
        </w:rPr>
        <w:t xml:space="preserve">On 1 July 2017, Commonwealth funding for CLCs across Australia </w:t>
      </w:r>
      <w:r w:rsidR="00262FC9">
        <w:rPr>
          <w:sz w:val="22"/>
          <w:szCs w:val="22"/>
        </w:rPr>
        <w:t xml:space="preserve">under the </w:t>
      </w:r>
      <w:r w:rsidR="00262FC9" w:rsidRPr="00B357A6">
        <w:rPr>
          <w:sz w:val="22"/>
          <w:szCs w:val="22"/>
        </w:rPr>
        <w:t xml:space="preserve">National Partnership Agreement on Legal Assistance Services 2015-2020 (NPA) </w:t>
      </w:r>
      <w:r>
        <w:rPr>
          <w:sz w:val="22"/>
          <w:szCs w:val="22"/>
        </w:rPr>
        <w:t>will reduce by $12.1 million (equivalent to approximately 30% of total</w:t>
      </w:r>
      <w:r w:rsidR="00262FC9">
        <w:rPr>
          <w:sz w:val="22"/>
          <w:szCs w:val="22"/>
        </w:rPr>
        <w:t xml:space="preserve"> Commonwealth</w:t>
      </w:r>
      <w:r w:rsidR="009D2BE8">
        <w:rPr>
          <w:sz w:val="22"/>
          <w:szCs w:val="22"/>
        </w:rPr>
        <w:t xml:space="preserve"> funding for CLCs) from its 2016</w:t>
      </w:r>
      <w:r w:rsidR="00262FC9">
        <w:rPr>
          <w:sz w:val="22"/>
          <w:szCs w:val="22"/>
        </w:rPr>
        <w:t>-2017 level.</w:t>
      </w:r>
      <w:r>
        <w:rPr>
          <w:sz w:val="22"/>
          <w:szCs w:val="22"/>
        </w:rPr>
        <w:t xml:space="preserve"> This reduction will have a significant impact on the ability of the almost 190 CLCs around Australia to continue to provide vital frontline legal assistance to those who most need it.  </w:t>
      </w:r>
    </w:p>
    <w:p w14:paraId="480F4634" w14:textId="77777777" w:rsidR="00B50082" w:rsidRDefault="00B50082" w:rsidP="00E80632">
      <w:pPr>
        <w:rPr>
          <w:sz w:val="22"/>
          <w:szCs w:val="22"/>
        </w:rPr>
      </w:pPr>
    </w:p>
    <w:p w14:paraId="2A6A6949" w14:textId="5A917E14" w:rsidR="008C725F" w:rsidRPr="00A352AB" w:rsidRDefault="008C725F" w:rsidP="00E80632">
      <w:pPr>
        <w:rPr>
          <w:sz w:val="22"/>
          <w:szCs w:val="22"/>
        </w:rPr>
      </w:pPr>
      <w:r>
        <w:rPr>
          <w:sz w:val="22"/>
          <w:szCs w:val="22"/>
        </w:rPr>
        <w:t xml:space="preserve">This Federal Budget presents the final formal opportunity for the </w:t>
      </w:r>
      <w:r w:rsidR="007B4AE7">
        <w:rPr>
          <w:sz w:val="22"/>
          <w:szCs w:val="22"/>
        </w:rPr>
        <w:t xml:space="preserve">Federal </w:t>
      </w:r>
      <w:r>
        <w:rPr>
          <w:sz w:val="22"/>
          <w:szCs w:val="22"/>
        </w:rPr>
        <w:t>Government to reverse the funding cliff and preserve crucial access to legal assistance across Australia for over 200,000 people each year</w:t>
      </w:r>
      <w:r w:rsidR="00BF4ABB">
        <w:rPr>
          <w:sz w:val="22"/>
          <w:szCs w:val="22"/>
        </w:rPr>
        <w:t xml:space="preserve"> and fund access for </w:t>
      </w:r>
      <w:r w:rsidR="009B014F">
        <w:rPr>
          <w:sz w:val="22"/>
          <w:szCs w:val="22"/>
        </w:rPr>
        <w:t xml:space="preserve">many more, including the </w:t>
      </w:r>
      <w:r w:rsidR="00BF4ABB">
        <w:rPr>
          <w:sz w:val="22"/>
          <w:szCs w:val="22"/>
        </w:rPr>
        <w:t xml:space="preserve">over 160,000 additional people turned away by centres each year. </w:t>
      </w:r>
    </w:p>
    <w:p w14:paraId="79F8A5D5" w14:textId="77777777" w:rsidR="008C725F" w:rsidRDefault="008C725F" w:rsidP="00893985">
      <w:pPr>
        <w:rPr>
          <w:sz w:val="22"/>
          <w:szCs w:val="22"/>
        </w:rPr>
      </w:pPr>
    </w:p>
    <w:p w14:paraId="30A7ED69" w14:textId="6F936482" w:rsidR="00BF4ABB" w:rsidRDefault="00893985" w:rsidP="00893985">
      <w:pPr>
        <w:rPr>
          <w:sz w:val="22"/>
          <w:szCs w:val="22"/>
        </w:rPr>
      </w:pPr>
      <w:r>
        <w:rPr>
          <w:sz w:val="22"/>
          <w:szCs w:val="22"/>
        </w:rPr>
        <w:t xml:space="preserve">CLCs </w:t>
      </w:r>
      <w:r w:rsidR="0078135F" w:rsidRPr="00C662AF">
        <w:rPr>
          <w:sz w:val="22"/>
          <w:szCs w:val="22"/>
        </w:rPr>
        <w:t>are efficient and innovative providers of free legal assistance to vulnerable and disadvantaged members of the community</w:t>
      </w:r>
      <w:r w:rsidR="00BF4ABB">
        <w:rPr>
          <w:sz w:val="22"/>
          <w:szCs w:val="22"/>
        </w:rPr>
        <w:t xml:space="preserve">. </w:t>
      </w:r>
      <w:r w:rsidR="00BF4ABB" w:rsidRPr="00C662AF">
        <w:rPr>
          <w:sz w:val="22"/>
          <w:szCs w:val="22"/>
        </w:rPr>
        <w:t xml:space="preserve">Unresolved legal problems generate a range of flow-on effects, including multiple and related problems and significant costs to the government and broader community. Community legal centres, as part of the legal assistance sector, play a crucial and effective role in assisting people resolve their legal problems and in meeting </w:t>
      </w:r>
      <w:r w:rsidR="00BF4ABB">
        <w:rPr>
          <w:sz w:val="22"/>
          <w:szCs w:val="22"/>
        </w:rPr>
        <w:t xml:space="preserve">rising demand for legal assistance. </w:t>
      </w:r>
      <w:r w:rsidR="00BF4ABB" w:rsidRPr="00C662AF">
        <w:rPr>
          <w:sz w:val="22"/>
          <w:szCs w:val="22"/>
        </w:rPr>
        <w:t xml:space="preserve"> </w:t>
      </w:r>
    </w:p>
    <w:p w14:paraId="31CA1F23" w14:textId="77777777" w:rsidR="00BF4ABB" w:rsidRDefault="00BF4ABB" w:rsidP="00893985">
      <w:pPr>
        <w:rPr>
          <w:sz w:val="22"/>
          <w:szCs w:val="22"/>
        </w:rPr>
      </w:pPr>
    </w:p>
    <w:p w14:paraId="2177F75F" w14:textId="354BA372" w:rsidR="0078135F" w:rsidRDefault="00BF4ABB" w:rsidP="00893985">
      <w:pPr>
        <w:rPr>
          <w:sz w:val="22"/>
          <w:szCs w:val="22"/>
        </w:rPr>
      </w:pPr>
      <w:r>
        <w:rPr>
          <w:sz w:val="22"/>
          <w:szCs w:val="22"/>
        </w:rPr>
        <w:t>The</w:t>
      </w:r>
      <w:r w:rsidR="0078135F" w:rsidRPr="00C662AF">
        <w:rPr>
          <w:sz w:val="22"/>
          <w:szCs w:val="22"/>
        </w:rPr>
        <w:t xml:space="preserve"> work of CLCs generates savings to governments and the community as a whole. </w:t>
      </w:r>
      <w:r w:rsidR="006E1A95">
        <w:rPr>
          <w:sz w:val="22"/>
          <w:szCs w:val="22"/>
        </w:rPr>
        <w:t>As</w:t>
      </w:r>
      <w:r w:rsidR="0078135F" w:rsidRPr="00C662AF">
        <w:rPr>
          <w:sz w:val="22"/>
          <w:szCs w:val="22"/>
        </w:rPr>
        <w:t xml:space="preserve"> the Productivity Commission has noted, ‘legal assistance services can prevent or reduce the escalation of legal problems, which in turn can mean reduced costs to the justice system and lower costs to other taxpayer funded services (in areas such as health, housing and social security payments)</w:t>
      </w:r>
      <w:r w:rsidR="00BB6F58">
        <w:rPr>
          <w:sz w:val="22"/>
          <w:szCs w:val="22"/>
        </w:rPr>
        <w:t>.’</w:t>
      </w:r>
      <w:r w:rsidR="0078135F" w:rsidRPr="00C662AF">
        <w:rPr>
          <w:rStyle w:val="FootnoteReference"/>
          <w:sz w:val="22"/>
          <w:szCs w:val="22"/>
        </w:rPr>
        <w:footnoteReference w:id="3"/>
      </w:r>
      <w:r w:rsidR="0078135F" w:rsidRPr="00C662AF">
        <w:rPr>
          <w:sz w:val="22"/>
          <w:szCs w:val="22"/>
        </w:rPr>
        <w:t xml:space="preserve"> </w:t>
      </w:r>
    </w:p>
    <w:p w14:paraId="6E14A8E1" w14:textId="77777777" w:rsidR="009D2BE8" w:rsidRDefault="009D2BE8" w:rsidP="00893985">
      <w:pPr>
        <w:rPr>
          <w:sz w:val="22"/>
          <w:szCs w:val="22"/>
        </w:rPr>
      </w:pPr>
    </w:p>
    <w:p w14:paraId="299FB288" w14:textId="25872F2A" w:rsidR="009D2BE8" w:rsidRDefault="009D2BE8" w:rsidP="00893985">
      <w:pPr>
        <w:rPr>
          <w:sz w:val="22"/>
          <w:szCs w:val="22"/>
        </w:rPr>
      </w:pPr>
      <w:r>
        <w:rPr>
          <w:sz w:val="22"/>
          <w:szCs w:val="22"/>
        </w:rPr>
        <w:t xml:space="preserve">While some additional Commonwealth funding for family violence-related services has been welcome, it </w:t>
      </w:r>
      <w:r w:rsidRPr="000837A7">
        <w:rPr>
          <w:sz w:val="22"/>
          <w:szCs w:val="22"/>
        </w:rPr>
        <w:t>does not offset the broader funding cliff from 1 July 2017. Indeed, some of the CLCs that received the</w:t>
      </w:r>
      <w:r>
        <w:rPr>
          <w:sz w:val="22"/>
          <w:szCs w:val="22"/>
        </w:rPr>
        <w:t xml:space="preserve"> specific</w:t>
      </w:r>
      <w:r w:rsidRPr="000837A7">
        <w:rPr>
          <w:sz w:val="22"/>
          <w:szCs w:val="22"/>
        </w:rPr>
        <w:t xml:space="preserve"> funding are likely to receive funding cuts greater than the amount of family violence-specific funding they r</w:t>
      </w:r>
      <w:r>
        <w:rPr>
          <w:sz w:val="22"/>
          <w:szCs w:val="22"/>
        </w:rPr>
        <w:t>eceived, during the same period.</w:t>
      </w:r>
    </w:p>
    <w:p w14:paraId="51702C61" w14:textId="77777777" w:rsidR="008C725F" w:rsidRDefault="008C725F" w:rsidP="00E80632">
      <w:pPr>
        <w:rPr>
          <w:sz w:val="22"/>
          <w:szCs w:val="22"/>
        </w:rPr>
      </w:pPr>
    </w:p>
    <w:p w14:paraId="71FADDFE" w14:textId="4E292224" w:rsidR="000837A7" w:rsidRDefault="007B4AE7" w:rsidP="00E80632">
      <w:pPr>
        <w:rPr>
          <w:sz w:val="22"/>
          <w:szCs w:val="22"/>
        </w:rPr>
      </w:pPr>
      <w:r>
        <w:rPr>
          <w:sz w:val="22"/>
          <w:szCs w:val="22"/>
        </w:rPr>
        <w:t xml:space="preserve">The Federal </w:t>
      </w:r>
      <w:r w:rsidR="008C725F">
        <w:rPr>
          <w:sz w:val="22"/>
          <w:szCs w:val="22"/>
        </w:rPr>
        <w:t>Government</w:t>
      </w:r>
      <w:r w:rsidR="00711634">
        <w:rPr>
          <w:sz w:val="22"/>
          <w:szCs w:val="22"/>
        </w:rPr>
        <w:t xml:space="preserve"> is not and</w:t>
      </w:r>
      <w:r w:rsidR="008C725F">
        <w:rPr>
          <w:sz w:val="22"/>
          <w:szCs w:val="22"/>
        </w:rPr>
        <w:t xml:space="preserve"> should not be alone in funding or supporting CLCs. </w:t>
      </w:r>
      <w:r w:rsidR="00711634">
        <w:rPr>
          <w:sz w:val="22"/>
          <w:szCs w:val="22"/>
        </w:rPr>
        <w:t xml:space="preserve">NACLC and its members are acutely aware of inconsistent funding of CLCs by State and Territory Governments and of the inadequacy of State and Territory funding in many jurisdictions. </w:t>
      </w:r>
      <w:r w:rsidR="008C725F">
        <w:rPr>
          <w:sz w:val="22"/>
          <w:szCs w:val="22"/>
        </w:rPr>
        <w:t>Similarly, the sector is working hard to ensure it continues to be</w:t>
      </w:r>
      <w:r w:rsidR="00711634">
        <w:rPr>
          <w:sz w:val="22"/>
          <w:szCs w:val="22"/>
        </w:rPr>
        <w:t xml:space="preserve"> efficient and innovative and at exploring</w:t>
      </w:r>
      <w:r w:rsidR="008C725F">
        <w:rPr>
          <w:sz w:val="22"/>
          <w:szCs w:val="22"/>
        </w:rPr>
        <w:t xml:space="preserve"> ways t</w:t>
      </w:r>
      <w:r w:rsidR="002F260B">
        <w:rPr>
          <w:sz w:val="22"/>
          <w:szCs w:val="22"/>
        </w:rPr>
        <w:t xml:space="preserve">o maximise available resources. </w:t>
      </w:r>
    </w:p>
    <w:p w14:paraId="5DAB534C" w14:textId="77777777" w:rsidR="008C725F" w:rsidRDefault="008C725F" w:rsidP="00E80632">
      <w:pPr>
        <w:rPr>
          <w:sz w:val="22"/>
          <w:szCs w:val="22"/>
        </w:rPr>
      </w:pPr>
    </w:p>
    <w:p w14:paraId="6478E85E" w14:textId="1B0FAEA6" w:rsidR="004041AB" w:rsidRDefault="008C725F" w:rsidP="00A352AB">
      <w:pPr>
        <w:rPr>
          <w:sz w:val="22"/>
          <w:szCs w:val="22"/>
        </w:rPr>
      </w:pPr>
      <w:r>
        <w:rPr>
          <w:sz w:val="22"/>
          <w:szCs w:val="22"/>
        </w:rPr>
        <w:t>NACLC recognises the challenges that the current economic environment poses,</w:t>
      </w:r>
      <w:r w:rsidR="000837A7">
        <w:rPr>
          <w:sz w:val="22"/>
          <w:szCs w:val="22"/>
        </w:rPr>
        <w:t xml:space="preserve"> however</w:t>
      </w:r>
      <w:r>
        <w:rPr>
          <w:sz w:val="22"/>
          <w:szCs w:val="22"/>
        </w:rPr>
        <w:t xml:space="preserve"> a</w:t>
      </w:r>
      <w:r w:rsidR="007B4AE7">
        <w:rPr>
          <w:sz w:val="22"/>
          <w:szCs w:val="22"/>
        </w:rPr>
        <w:t xml:space="preserve"> relatively</w:t>
      </w:r>
      <w:r w:rsidR="00711634">
        <w:rPr>
          <w:sz w:val="22"/>
          <w:szCs w:val="22"/>
        </w:rPr>
        <w:t xml:space="preserve"> small investment (in Federal Budget terms) </w:t>
      </w:r>
      <w:r>
        <w:rPr>
          <w:sz w:val="22"/>
          <w:szCs w:val="22"/>
        </w:rPr>
        <w:t>in CLCs and the legal assistance sector by the</w:t>
      </w:r>
      <w:r w:rsidR="007B4AE7">
        <w:rPr>
          <w:sz w:val="22"/>
          <w:szCs w:val="22"/>
        </w:rPr>
        <w:t xml:space="preserve"> Federal</w:t>
      </w:r>
      <w:r>
        <w:rPr>
          <w:sz w:val="22"/>
          <w:szCs w:val="22"/>
        </w:rPr>
        <w:t xml:space="preserve"> Government will have significant direct benefits for people accessing legal help, and downstream benefits for the justice system and in a range of other areas of government spending.</w:t>
      </w:r>
    </w:p>
    <w:p w14:paraId="40CC29AA" w14:textId="5716AAFE" w:rsidR="00B56A97" w:rsidRDefault="007B4AE7" w:rsidP="00A352AB">
      <w:pPr>
        <w:rPr>
          <w:sz w:val="22"/>
          <w:szCs w:val="22"/>
        </w:rPr>
      </w:pPr>
      <w:r>
        <w:rPr>
          <w:sz w:val="22"/>
          <w:szCs w:val="22"/>
        </w:rPr>
        <w:t>Accordingly, in</w:t>
      </w:r>
      <w:r w:rsidR="00AA1D63" w:rsidRPr="00A352AB">
        <w:rPr>
          <w:sz w:val="22"/>
          <w:szCs w:val="22"/>
        </w:rPr>
        <w:t xml:space="preserve"> this submission NACLC makes a number of recommendations. </w:t>
      </w:r>
      <w:r w:rsidR="009D2BE8">
        <w:rPr>
          <w:sz w:val="22"/>
          <w:szCs w:val="22"/>
        </w:rPr>
        <w:t>In particular, NACLC recommends:</w:t>
      </w:r>
    </w:p>
    <w:p w14:paraId="736740E9" w14:textId="3FF1322A" w:rsidR="00B56A97" w:rsidRDefault="00B56A97" w:rsidP="00341912">
      <w:pPr>
        <w:pStyle w:val="ListParagraph"/>
        <w:numPr>
          <w:ilvl w:val="0"/>
          <w:numId w:val="8"/>
        </w:numPr>
        <w:rPr>
          <w:sz w:val="22"/>
          <w:szCs w:val="22"/>
        </w:rPr>
      </w:pPr>
      <w:r>
        <w:rPr>
          <w:sz w:val="22"/>
          <w:szCs w:val="22"/>
        </w:rPr>
        <w:t>re</w:t>
      </w:r>
      <w:r w:rsidR="00BF4ABB">
        <w:rPr>
          <w:sz w:val="22"/>
          <w:szCs w:val="22"/>
        </w:rPr>
        <w:t>versal of the national funding cliff facing C</w:t>
      </w:r>
      <w:r>
        <w:rPr>
          <w:sz w:val="22"/>
          <w:szCs w:val="22"/>
        </w:rPr>
        <w:t xml:space="preserve">LCs under the </w:t>
      </w:r>
      <w:r w:rsidRPr="005041F7">
        <w:rPr>
          <w:sz w:val="22"/>
          <w:szCs w:val="22"/>
        </w:rPr>
        <w:t>National Partnership Agreement on Legal Assistance</w:t>
      </w:r>
      <w:r>
        <w:rPr>
          <w:sz w:val="22"/>
          <w:szCs w:val="22"/>
        </w:rPr>
        <w:t xml:space="preserve"> amounting to $34.83 million over </w:t>
      </w:r>
      <w:r w:rsidR="00893985">
        <w:rPr>
          <w:sz w:val="22"/>
          <w:szCs w:val="22"/>
        </w:rPr>
        <w:t xml:space="preserve">the period </w:t>
      </w:r>
      <w:r>
        <w:rPr>
          <w:sz w:val="22"/>
          <w:szCs w:val="22"/>
        </w:rPr>
        <w:t>2017-18 to 2019-2020</w:t>
      </w:r>
      <w:r w:rsidR="000C4FDF">
        <w:rPr>
          <w:sz w:val="22"/>
          <w:szCs w:val="22"/>
        </w:rPr>
        <w:t>; and</w:t>
      </w:r>
      <w:r>
        <w:rPr>
          <w:sz w:val="22"/>
          <w:szCs w:val="22"/>
        </w:rPr>
        <w:t xml:space="preserve"> </w:t>
      </w:r>
    </w:p>
    <w:p w14:paraId="1E939229" w14:textId="77777777" w:rsidR="002F260B" w:rsidRDefault="00B56A97" w:rsidP="00262FC9">
      <w:pPr>
        <w:pStyle w:val="ListParagraph"/>
        <w:numPr>
          <w:ilvl w:val="0"/>
          <w:numId w:val="8"/>
        </w:numPr>
        <w:rPr>
          <w:sz w:val="22"/>
          <w:szCs w:val="22"/>
        </w:rPr>
      </w:pPr>
      <w:r>
        <w:rPr>
          <w:sz w:val="22"/>
          <w:szCs w:val="22"/>
        </w:rPr>
        <w:t>an immediate injection of $120 million per year into the legal assistance sector, consistent with the recommendation made by the Productivity Commission</w:t>
      </w:r>
      <w:r w:rsidR="0071221B">
        <w:rPr>
          <w:sz w:val="22"/>
          <w:szCs w:val="22"/>
        </w:rPr>
        <w:t>, including at a minimum $14.4 million per year to CLCs</w:t>
      </w:r>
      <w:r w:rsidR="007B4AE7">
        <w:rPr>
          <w:sz w:val="22"/>
          <w:szCs w:val="22"/>
        </w:rPr>
        <w:t>,</w:t>
      </w:r>
      <w:r w:rsidR="0071221B">
        <w:rPr>
          <w:sz w:val="22"/>
          <w:szCs w:val="22"/>
        </w:rPr>
        <w:t xml:space="preserve"> which over </w:t>
      </w:r>
      <w:r w:rsidR="0071221B" w:rsidRPr="0071221B">
        <w:rPr>
          <w:sz w:val="22"/>
          <w:szCs w:val="22"/>
        </w:rPr>
        <w:t>the remaining period of the NPA, until 2019-2020,</w:t>
      </w:r>
      <w:r w:rsidR="0071221B">
        <w:rPr>
          <w:sz w:val="22"/>
          <w:szCs w:val="22"/>
        </w:rPr>
        <w:t xml:space="preserve"> </w:t>
      </w:r>
      <w:r w:rsidR="0071221B" w:rsidRPr="0071221B">
        <w:rPr>
          <w:sz w:val="22"/>
          <w:szCs w:val="22"/>
        </w:rPr>
        <w:t>would equate to an additional $</w:t>
      </w:r>
      <w:r w:rsidR="007B4AE7">
        <w:rPr>
          <w:sz w:val="22"/>
          <w:szCs w:val="22"/>
        </w:rPr>
        <w:t>43.2</w:t>
      </w:r>
      <w:r w:rsidR="0071221B" w:rsidRPr="0071221B">
        <w:rPr>
          <w:sz w:val="22"/>
          <w:szCs w:val="22"/>
        </w:rPr>
        <w:t xml:space="preserve"> million. </w:t>
      </w:r>
    </w:p>
    <w:p w14:paraId="026E1309" w14:textId="77777777" w:rsidR="009D2BE8" w:rsidRDefault="009D2BE8" w:rsidP="009D2BE8">
      <w:pPr>
        <w:rPr>
          <w:sz w:val="22"/>
          <w:szCs w:val="22"/>
        </w:rPr>
      </w:pPr>
    </w:p>
    <w:p w14:paraId="6FE7A743" w14:textId="53DCEBF4" w:rsidR="00CE6E7A" w:rsidRPr="009D2BE8" w:rsidRDefault="009D2BE8" w:rsidP="009D2BE8">
      <w:pPr>
        <w:rPr>
          <w:sz w:val="22"/>
          <w:szCs w:val="22"/>
        </w:rPr>
      </w:pPr>
      <w:r>
        <w:rPr>
          <w:sz w:val="22"/>
          <w:szCs w:val="22"/>
        </w:rPr>
        <w:t xml:space="preserve">This equates to </w:t>
      </w:r>
      <w:r w:rsidRPr="009D2BE8">
        <w:rPr>
          <w:sz w:val="22"/>
          <w:szCs w:val="22"/>
        </w:rPr>
        <w:t xml:space="preserve">an additional Federal Government investment of </w:t>
      </w:r>
      <w:r w:rsidR="000837A7" w:rsidRPr="009D2BE8">
        <w:rPr>
          <w:sz w:val="22"/>
          <w:szCs w:val="22"/>
        </w:rPr>
        <w:t>$78</w:t>
      </w:r>
      <w:r w:rsidR="00262FC9" w:rsidRPr="009D2BE8">
        <w:rPr>
          <w:sz w:val="22"/>
          <w:szCs w:val="22"/>
        </w:rPr>
        <w:t>.03 million in CLCs nationally between 2017-2018 and 2019-2020</w:t>
      </w:r>
      <w:r w:rsidR="000837A7" w:rsidRPr="009D2BE8">
        <w:rPr>
          <w:sz w:val="22"/>
          <w:szCs w:val="22"/>
        </w:rPr>
        <w:t xml:space="preserve">. </w:t>
      </w:r>
      <w:r w:rsidR="00262FC9" w:rsidRPr="009D2BE8">
        <w:rPr>
          <w:sz w:val="22"/>
          <w:szCs w:val="22"/>
        </w:rPr>
        <w:t xml:space="preserve"> </w:t>
      </w:r>
    </w:p>
    <w:p w14:paraId="15C62531" w14:textId="77777777" w:rsidR="00B50082" w:rsidRDefault="00B50082" w:rsidP="0071221B">
      <w:pPr>
        <w:rPr>
          <w:sz w:val="22"/>
          <w:szCs w:val="22"/>
        </w:rPr>
      </w:pPr>
    </w:p>
    <w:p w14:paraId="2508B146" w14:textId="240EF20F" w:rsidR="00CE6E7A" w:rsidRDefault="00DD2896" w:rsidP="0071221B">
      <w:pPr>
        <w:rPr>
          <w:b/>
          <w:sz w:val="22"/>
          <w:szCs w:val="22"/>
        </w:rPr>
      </w:pPr>
      <w:r>
        <w:rPr>
          <w:b/>
          <w:sz w:val="22"/>
          <w:szCs w:val="22"/>
        </w:rPr>
        <w:t>Table of</w:t>
      </w:r>
      <w:r w:rsidR="00CE6E7A">
        <w:rPr>
          <w:b/>
          <w:sz w:val="22"/>
          <w:szCs w:val="22"/>
        </w:rPr>
        <w:t xml:space="preserve"> Proposed New Expenditure for Community Legal Centres</w:t>
      </w:r>
    </w:p>
    <w:p w14:paraId="29B7C3A2" w14:textId="77777777" w:rsidR="00CE6E7A" w:rsidRDefault="00CE6E7A" w:rsidP="0071221B">
      <w:pPr>
        <w:rPr>
          <w:b/>
          <w:sz w:val="22"/>
          <w:szCs w:val="22"/>
        </w:rPr>
      </w:pPr>
    </w:p>
    <w:tbl>
      <w:tblPr>
        <w:tblStyle w:val="TableGrid"/>
        <w:tblW w:w="0" w:type="auto"/>
        <w:tblLook w:val="04A0" w:firstRow="1" w:lastRow="0" w:firstColumn="1" w:lastColumn="0" w:noHBand="0" w:noVBand="1"/>
      </w:tblPr>
      <w:tblGrid>
        <w:gridCol w:w="2196"/>
        <w:gridCol w:w="2040"/>
        <w:gridCol w:w="2040"/>
        <w:gridCol w:w="1850"/>
        <w:gridCol w:w="1604"/>
      </w:tblGrid>
      <w:tr w:rsidR="00CE6E7A" w14:paraId="4A03B2DF" w14:textId="78F45555" w:rsidTr="00CE6E7A">
        <w:tc>
          <w:tcPr>
            <w:tcW w:w="2196" w:type="dxa"/>
            <w:shd w:val="clear" w:color="auto" w:fill="C6D9F1" w:themeFill="text2" w:themeFillTint="33"/>
          </w:tcPr>
          <w:p w14:paraId="31B4BEBA" w14:textId="77777777" w:rsidR="00CE6E7A" w:rsidRDefault="00CE6E7A" w:rsidP="00CE6E7A">
            <w:pPr>
              <w:rPr>
                <w:b/>
                <w:sz w:val="22"/>
                <w:szCs w:val="22"/>
              </w:rPr>
            </w:pPr>
            <w:r>
              <w:rPr>
                <w:b/>
                <w:sz w:val="22"/>
                <w:szCs w:val="22"/>
              </w:rPr>
              <w:t xml:space="preserve">Proposed Budget Measure </w:t>
            </w:r>
          </w:p>
          <w:p w14:paraId="09973AC0" w14:textId="77777777" w:rsidR="00CE6E7A" w:rsidRDefault="00CE6E7A" w:rsidP="0071221B">
            <w:pPr>
              <w:rPr>
                <w:b/>
                <w:sz w:val="22"/>
                <w:szCs w:val="22"/>
              </w:rPr>
            </w:pPr>
          </w:p>
        </w:tc>
        <w:tc>
          <w:tcPr>
            <w:tcW w:w="2040" w:type="dxa"/>
            <w:shd w:val="clear" w:color="auto" w:fill="C6D9F1" w:themeFill="text2" w:themeFillTint="33"/>
          </w:tcPr>
          <w:p w14:paraId="1ECA198B" w14:textId="77777777" w:rsidR="00CE6E7A" w:rsidRDefault="00CE6E7A" w:rsidP="0071221B">
            <w:pPr>
              <w:rPr>
                <w:b/>
                <w:sz w:val="22"/>
                <w:szCs w:val="22"/>
              </w:rPr>
            </w:pPr>
            <w:r>
              <w:rPr>
                <w:b/>
                <w:sz w:val="22"/>
                <w:szCs w:val="22"/>
              </w:rPr>
              <w:t>2017-2018</w:t>
            </w:r>
          </w:p>
          <w:p w14:paraId="09B59532" w14:textId="4A42A4B0" w:rsidR="009D2BE8" w:rsidRPr="009D2BE8" w:rsidRDefault="009D2BE8" w:rsidP="0071221B">
            <w:pPr>
              <w:rPr>
                <w:i/>
                <w:sz w:val="22"/>
                <w:szCs w:val="22"/>
              </w:rPr>
            </w:pPr>
            <w:r w:rsidRPr="009D2BE8">
              <w:rPr>
                <w:i/>
                <w:sz w:val="22"/>
                <w:szCs w:val="22"/>
              </w:rPr>
              <w:t>Amount ($ Million)</w:t>
            </w:r>
          </w:p>
        </w:tc>
        <w:tc>
          <w:tcPr>
            <w:tcW w:w="2040" w:type="dxa"/>
            <w:shd w:val="clear" w:color="auto" w:fill="C6D9F1" w:themeFill="text2" w:themeFillTint="33"/>
          </w:tcPr>
          <w:p w14:paraId="1629508B" w14:textId="536295CC" w:rsidR="00CE6E7A" w:rsidRDefault="00CE6E7A" w:rsidP="0071221B">
            <w:pPr>
              <w:rPr>
                <w:b/>
                <w:sz w:val="22"/>
                <w:szCs w:val="22"/>
              </w:rPr>
            </w:pPr>
            <w:r>
              <w:rPr>
                <w:b/>
                <w:sz w:val="22"/>
                <w:szCs w:val="22"/>
              </w:rPr>
              <w:t xml:space="preserve">2018-2019 </w:t>
            </w:r>
            <w:r w:rsidRPr="009D2BE8">
              <w:rPr>
                <w:i/>
                <w:sz w:val="22"/>
                <w:szCs w:val="22"/>
              </w:rPr>
              <w:t>Amount ($ Million)</w:t>
            </w:r>
            <w:r>
              <w:rPr>
                <w:b/>
                <w:sz w:val="22"/>
                <w:szCs w:val="22"/>
              </w:rPr>
              <w:t xml:space="preserve"> </w:t>
            </w:r>
          </w:p>
        </w:tc>
        <w:tc>
          <w:tcPr>
            <w:tcW w:w="1850" w:type="dxa"/>
            <w:shd w:val="clear" w:color="auto" w:fill="C6D9F1" w:themeFill="text2" w:themeFillTint="33"/>
          </w:tcPr>
          <w:p w14:paraId="550173EB" w14:textId="0A94FC7A" w:rsidR="00CE6E7A" w:rsidRDefault="009D2BE8" w:rsidP="0071221B">
            <w:pPr>
              <w:rPr>
                <w:b/>
                <w:sz w:val="22"/>
                <w:szCs w:val="22"/>
              </w:rPr>
            </w:pPr>
            <w:r>
              <w:rPr>
                <w:b/>
                <w:sz w:val="22"/>
                <w:szCs w:val="22"/>
              </w:rPr>
              <w:t xml:space="preserve">2019-2020 </w:t>
            </w:r>
            <w:r>
              <w:rPr>
                <w:i/>
                <w:sz w:val="22"/>
                <w:szCs w:val="22"/>
              </w:rPr>
              <w:t xml:space="preserve">Amount ($ </w:t>
            </w:r>
            <w:r w:rsidR="00CE6E7A" w:rsidRPr="009D2BE8">
              <w:rPr>
                <w:i/>
                <w:sz w:val="22"/>
                <w:szCs w:val="22"/>
              </w:rPr>
              <w:t>Million)</w:t>
            </w:r>
          </w:p>
        </w:tc>
        <w:tc>
          <w:tcPr>
            <w:tcW w:w="1604" w:type="dxa"/>
            <w:shd w:val="clear" w:color="auto" w:fill="C6D9F1" w:themeFill="text2" w:themeFillTint="33"/>
          </w:tcPr>
          <w:p w14:paraId="507A94F0" w14:textId="5427A93C" w:rsidR="00CE6E7A" w:rsidRDefault="00CE6E7A" w:rsidP="0071221B">
            <w:pPr>
              <w:rPr>
                <w:b/>
                <w:sz w:val="22"/>
                <w:szCs w:val="22"/>
              </w:rPr>
            </w:pPr>
            <w:r>
              <w:rPr>
                <w:b/>
                <w:sz w:val="22"/>
                <w:szCs w:val="22"/>
              </w:rPr>
              <w:t>Total</w:t>
            </w:r>
          </w:p>
        </w:tc>
      </w:tr>
      <w:tr w:rsidR="00CE6E7A" w14:paraId="1E969588" w14:textId="09B0AD28" w:rsidTr="00CE6E7A">
        <w:tc>
          <w:tcPr>
            <w:tcW w:w="2196" w:type="dxa"/>
          </w:tcPr>
          <w:p w14:paraId="0AF1EEB4" w14:textId="5D530A32" w:rsidR="00CE6E7A" w:rsidRDefault="00CE6E7A" w:rsidP="00CE6E7A">
            <w:pPr>
              <w:rPr>
                <w:b/>
                <w:sz w:val="22"/>
                <w:szCs w:val="22"/>
              </w:rPr>
            </w:pPr>
            <w:r>
              <w:rPr>
                <w:b/>
                <w:sz w:val="22"/>
                <w:szCs w:val="22"/>
              </w:rPr>
              <w:t>Restoration of N</w:t>
            </w:r>
            <w:r w:rsidR="009D2BE8">
              <w:rPr>
                <w:b/>
                <w:sz w:val="22"/>
                <w:szCs w:val="22"/>
              </w:rPr>
              <w:t>PA Funding Reduction</w:t>
            </w:r>
          </w:p>
        </w:tc>
        <w:tc>
          <w:tcPr>
            <w:tcW w:w="2040" w:type="dxa"/>
          </w:tcPr>
          <w:p w14:paraId="7E5F331F" w14:textId="57050EA2" w:rsidR="00CE6E7A" w:rsidRDefault="00CE6E7A" w:rsidP="00CE6E7A">
            <w:pPr>
              <w:rPr>
                <w:b/>
                <w:sz w:val="22"/>
                <w:szCs w:val="22"/>
              </w:rPr>
            </w:pPr>
            <w:r>
              <w:rPr>
                <w:sz w:val="22"/>
                <w:szCs w:val="22"/>
              </w:rPr>
              <w:t>$12.1 m</w:t>
            </w:r>
          </w:p>
        </w:tc>
        <w:tc>
          <w:tcPr>
            <w:tcW w:w="2040" w:type="dxa"/>
          </w:tcPr>
          <w:p w14:paraId="25393442" w14:textId="780F3DE1" w:rsidR="00CE6E7A" w:rsidRDefault="00CE6E7A" w:rsidP="00CE6E7A">
            <w:pPr>
              <w:rPr>
                <w:b/>
                <w:sz w:val="22"/>
                <w:szCs w:val="22"/>
              </w:rPr>
            </w:pPr>
            <w:r>
              <w:rPr>
                <w:sz w:val="22"/>
                <w:szCs w:val="22"/>
              </w:rPr>
              <w:t>$11.6 m</w:t>
            </w:r>
          </w:p>
        </w:tc>
        <w:tc>
          <w:tcPr>
            <w:tcW w:w="1850" w:type="dxa"/>
          </w:tcPr>
          <w:p w14:paraId="3DFE200D" w14:textId="7BC5E98E" w:rsidR="00CE6E7A" w:rsidRDefault="00CE6E7A" w:rsidP="00CE6E7A">
            <w:pPr>
              <w:rPr>
                <w:b/>
                <w:sz w:val="22"/>
                <w:szCs w:val="22"/>
              </w:rPr>
            </w:pPr>
            <w:r>
              <w:rPr>
                <w:sz w:val="22"/>
                <w:szCs w:val="22"/>
              </w:rPr>
              <w:t>$11.13 m</w:t>
            </w:r>
          </w:p>
        </w:tc>
        <w:tc>
          <w:tcPr>
            <w:tcW w:w="1604" w:type="dxa"/>
          </w:tcPr>
          <w:p w14:paraId="59EF9592" w14:textId="729DE07F" w:rsidR="00CE6E7A" w:rsidRDefault="00CE6E7A" w:rsidP="00CE6E7A">
            <w:pPr>
              <w:rPr>
                <w:b/>
                <w:sz w:val="22"/>
                <w:szCs w:val="22"/>
              </w:rPr>
            </w:pPr>
            <w:r>
              <w:rPr>
                <w:sz w:val="22"/>
                <w:szCs w:val="22"/>
              </w:rPr>
              <w:t>$34.83 m</w:t>
            </w:r>
          </w:p>
        </w:tc>
      </w:tr>
      <w:tr w:rsidR="00CE6E7A" w14:paraId="2FFF88D0" w14:textId="5749EB2A" w:rsidTr="00CE6E7A">
        <w:tc>
          <w:tcPr>
            <w:tcW w:w="2196" w:type="dxa"/>
          </w:tcPr>
          <w:p w14:paraId="11F335CF" w14:textId="0452D5FB" w:rsidR="00CE6E7A" w:rsidRDefault="00CE6E7A" w:rsidP="00CE6E7A">
            <w:pPr>
              <w:rPr>
                <w:b/>
                <w:sz w:val="22"/>
                <w:szCs w:val="22"/>
              </w:rPr>
            </w:pPr>
            <w:r>
              <w:rPr>
                <w:b/>
                <w:sz w:val="22"/>
                <w:szCs w:val="22"/>
              </w:rPr>
              <w:t xml:space="preserve">PC Recommended Amount </w:t>
            </w:r>
          </w:p>
        </w:tc>
        <w:tc>
          <w:tcPr>
            <w:tcW w:w="2040" w:type="dxa"/>
          </w:tcPr>
          <w:p w14:paraId="3A6410E7" w14:textId="57A677FF" w:rsidR="00CE6E7A" w:rsidRDefault="00CE6E7A" w:rsidP="00CE6E7A">
            <w:pPr>
              <w:rPr>
                <w:b/>
                <w:sz w:val="22"/>
                <w:szCs w:val="22"/>
              </w:rPr>
            </w:pPr>
            <w:r>
              <w:rPr>
                <w:sz w:val="22"/>
                <w:szCs w:val="22"/>
              </w:rPr>
              <w:t>$14.4 m</w:t>
            </w:r>
          </w:p>
        </w:tc>
        <w:tc>
          <w:tcPr>
            <w:tcW w:w="2040" w:type="dxa"/>
          </w:tcPr>
          <w:p w14:paraId="2BE94B6E" w14:textId="285645EF" w:rsidR="00CE6E7A" w:rsidRDefault="00CE6E7A" w:rsidP="00CE6E7A">
            <w:pPr>
              <w:rPr>
                <w:b/>
                <w:sz w:val="22"/>
                <w:szCs w:val="22"/>
              </w:rPr>
            </w:pPr>
            <w:r>
              <w:rPr>
                <w:sz w:val="22"/>
                <w:szCs w:val="22"/>
              </w:rPr>
              <w:t>$14.4 m</w:t>
            </w:r>
          </w:p>
        </w:tc>
        <w:tc>
          <w:tcPr>
            <w:tcW w:w="1850" w:type="dxa"/>
          </w:tcPr>
          <w:p w14:paraId="4E2228C4" w14:textId="10C5A291" w:rsidR="00CE6E7A" w:rsidRDefault="00CE6E7A" w:rsidP="00CE6E7A">
            <w:pPr>
              <w:rPr>
                <w:b/>
                <w:sz w:val="22"/>
                <w:szCs w:val="22"/>
              </w:rPr>
            </w:pPr>
            <w:r>
              <w:rPr>
                <w:sz w:val="22"/>
                <w:szCs w:val="22"/>
              </w:rPr>
              <w:t>$14.4 m</w:t>
            </w:r>
          </w:p>
        </w:tc>
        <w:tc>
          <w:tcPr>
            <w:tcW w:w="1604" w:type="dxa"/>
          </w:tcPr>
          <w:p w14:paraId="49CF7E07" w14:textId="08FA45C2" w:rsidR="00CE6E7A" w:rsidRDefault="00CE6E7A" w:rsidP="00CE6E7A">
            <w:pPr>
              <w:rPr>
                <w:b/>
                <w:sz w:val="22"/>
                <w:szCs w:val="22"/>
              </w:rPr>
            </w:pPr>
            <w:r>
              <w:rPr>
                <w:sz w:val="22"/>
                <w:szCs w:val="22"/>
              </w:rPr>
              <w:t>$43.2 m</w:t>
            </w:r>
          </w:p>
        </w:tc>
      </w:tr>
      <w:tr w:rsidR="00CE6E7A" w14:paraId="5FEFF49A" w14:textId="67E3F7AA" w:rsidTr="00CE6E7A">
        <w:tc>
          <w:tcPr>
            <w:tcW w:w="2196" w:type="dxa"/>
          </w:tcPr>
          <w:p w14:paraId="5CF1DBA6" w14:textId="77777777" w:rsidR="00CE6E7A" w:rsidRDefault="00CE6E7A" w:rsidP="00CE6E7A">
            <w:pPr>
              <w:rPr>
                <w:b/>
                <w:sz w:val="22"/>
                <w:szCs w:val="22"/>
              </w:rPr>
            </w:pPr>
          </w:p>
        </w:tc>
        <w:tc>
          <w:tcPr>
            <w:tcW w:w="2040" w:type="dxa"/>
          </w:tcPr>
          <w:p w14:paraId="458457C1" w14:textId="77777777" w:rsidR="00CE6E7A" w:rsidRDefault="00CE6E7A" w:rsidP="00CE6E7A">
            <w:pPr>
              <w:rPr>
                <w:b/>
                <w:sz w:val="22"/>
                <w:szCs w:val="22"/>
              </w:rPr>
            </w:pPr>
          </w:p>
        </w:tc>
        <w:tc>
          <w:tcPr>
            <w:tcW w:w="2040" w:type="dxa"/>
          </w:tcPr>
          <w:p w14:paraId="012768E6" w14:textId="77777777" w:rsidR="00CE6E7A" w:rsidRDefault="00CE6E7A" w:rsidP="00CE6E7A">
            <w:pPr>
              <w:rPr>
                <w:b/>
                <w:sz w:val="22"/>
                <w:szCs w:val="22"/>
              </w:rPr>
            </w:pPr>
          </w:p>
        </w:tc>
        <w:tc>
          <w:tcPr>
            <w:tcW w:w="1850" w:type="dxa"/>
          </w:tcPr>
          <w:p w14:paraId="2FDF2D13" w14:textId="77777777" w:rsidR="00CE6E7A" w:rsidRDefault="00CE6E7A" w:rsidP="00CE6E7A">
            <w:pPr>
              <w:rPr>
                <w:b/>
                <w:sz w:val="22"/>
                <w:szCs w:val="22"/>
              </w:rPr>
            </w:pPr>
          </w:p>
        </w:tc>
        <w:tc>
          <w:tcPr>
            <w:tcW w:w="1604" w:type="dxa"/>
          </w:tcPr>
          <w:p w14:paraId="2FA11138" w14:textId="77777777" w:rsidR="00CE6E7A" w:rsidRDefault="00CE6E7A" w:rsidP="00CE6E7A">
            <w:pPr>
              <w:rPr>
                <w:b/>
                <w:sz w:val="22"/>
                <w:szCs w:val="22"/>
              </w:rPr>
            </w:pPr>
          </w:p>
        </w:tc>
      </w:tr>
      <w:tr w:rsidR="00CE6E7A" w14:paraId="1648E441" w14:textId="511E70BA" w:rsidTr="00CE6E7A">
        <w:tc>
          <w:tcPr>
            <w:tcW w:w="2196" w:type="dxa"/>
          </w:tcPr>
          <w:p w14:paraId="1387A8DE" w14:textId="5B73B5C1" w:rsidR="00CE6E7A" w:rsidRDefault="00CE6E7A" w:rsidP="00CE6E7A">
            <w:pPr>
              <w:rPr>
                <w:b/>
                <w:sz w:val="22"/>
                <w:szCs w:val="22"/>
              </w:rPr>
            </w:pPr>
            <w:r>
              <w:rPr>
                <w:b/>
                <w:sz w:val="22"/>
                <w:szCs w:val="22"/>
              </w:rPr>
              <w:t xml:space="preserve">Total </w:t>
            </w:r>
          </w:p>
        </w:tc>
        <w:tc>
          <w:tcPr>
            <w:tcW w:w="2040" w:type="dxa"/>
          </w:tcPr>
          <w:p w14:paraId="56660152" w14:textId="061B37B0" w:rsidR="00CE6E7A" w:rsidRDefault="00CE6E7A" w:rsidP="00CE6E7A">
            <w:pPr>
              <w:rPr>
                <w:b/>
                <w:sz w:val="22"/>
                <w:szCs w:val="22"/>
              </w:rPr>
            </w:pPr>
            <w:r>
              <w:rPr>
                <w:sz w:val="22"/>
                <w:szCs w:val="22"/>
              </w:rPr>
              <w:t>$26.5 m</w:t>
            </w:r>
          </w:p>
        </w:tc>
        <w:tc>
          <w:tcPr>
            <w:tcW w:w="2040" w:type="dxa"/>
          </w:tcPr>
          <w:p w14:paraId="224D9B3B" w14:textId="5D3420EB" w:rsidR="00CE6E7A" w:rsidRDefault="00CE6E7A" w:rsidP="00CE6E7A">
            <w:pPr>
              <w:rPr>
                <w:b/>
                <w:sz w:val="22"/>
                <w:szCs w:val="22"/>
              </w:rPr>
            </w:pPr>
            <w:r>
              <w:rPr>
                <w:sz w:val="22"/>
                <w:szCs w:val="22"/>
              </w:rPr>
              <w:t>$26 m</w:t>
            </w:r>
          </w:p>
        </w:tc>
        <w:tc>
          <w:tcPr>
            <w:tcW w:w="1850" w:type="dxa"/>
          </w:tcPr>
          <w:p w14:paraId="300A3D3A" w14:textId="04600CD7" w:rsidR="00CE6E7A" w:rsidRDefault="00AA41C1" w:rsidP="00CE6E7A">
            <w:pPr>
              <w:rPr>
                <w:b/>
                <w:sz w:val="22"/>
                <w:szCs w:val="22"/>
              </w:rPr>
            </w:pPr>
            <w:r>
              <w:rPr>
                <w:sz w:val="22"/>
                <w:szCs w:val="22"/>
              </w:rPr>
              <w:t>$25.53</w:t>
            </w:r>
            <w:r w:rsidR="00CE6E7A">
              <w:rPr>
                <w:sz w:val="22"/>
                <w:szCs w:val="22"/>
              </w:rPr>
              <w:t xml:space="preserve"> m</w:t>
            </w:r>
          </w:p>
        </w:tc>
        <w:tc>
          <w:tcPr>
            <w:tcW w:w="1604" w:type="dxa"/>
          </w:tcPr>
          <w:p w14:paraId="17D7722E" w14:textId="7148948C" w:rsidR="00CE6E7A" w:rsidRPr="00CE6E7A" w:rsidRDefault="00AA41C1" w:rsidP="00CE6E7A">
            <w:pPr>
              <w:rPr>
                <w:b/>
                <w:sz w:val="22"/>
                <w:szCs w:val="22"/>
              </w:rPr>
            </w:pPr>
            <w:r>
              <w:rPr>
                <w:b/>
                <w:sz w:val="22"/>
                <w:szCs w:val="22"/>
              </w:rPr>
              <w:t>$78</w:t>
            </w:r>
            <w:r w:rsidR="00CE6E7A" w:rsidRPr="00CE6E7A">
              <w:rPr>
                <w:b/>
                <w:sz w:val="22"/>
                <w:szCs w:val="22"/>
              </w:rPr>
              <w:t>.03 m</w:t>
            </w:r>
          </w:p>
        </w:tc>
      </w:tr>
    </w:tbl>
    <w:p w14:paraId="51D7D389" w14:textId="10944B06" w:rsidR="00DD2896" w:rsidRPr="00CE6E7A" w:rsidRDefault="00CE6E7A" w:rsidP="0071221B">
      <w:pPr>
        <w:rPr>
          <w:b/>
          <w:sz w:val="22"/>
          <w:szCs w:val="22"/>
        </w:rPr>
      </w:pPr>
      <w:r>
        <w:rPr>
          <w:b/>
          <w:sz w:val="22"/>
          <w:szCs w:val="22"/>
        </w:rPr>
        <w:t xml:space="preserve"> </w:t>
      </w:r>
    </w:p>
    <w:p w14:paraId="180D750C" w14:textId="2D16E4D5" w:rsidR="00B56A97" w:rsidRPr="0071221B" w:rsidRDefault="00BF4ABB" w:rsidP="0071221B">
      <w:pPr>
        <w:rPr>
          <w:sz w:val="22"/>
          <w:szCs w:val="22"/>
        </w:rPr>
      </w:pPr>
      <w:r>
        <w:rPr>
          <w:sz w:val="22"/>
          <w:szCs w:val="22"/>
        </w:rPr>
        <w:t xml:space="preserve">In addition, </w:t>
      </w:r>
      <w:r w:rsidR="0071221B">
        <w:rPr>
          <w:sz w:val="22"/>
          <w:szCs w:val="22"/>
        </w:rPr>
        <w:t>N</w:t>
      </w:r>
      <w:r>
        <w:rPr>
          <w:sz w:val="22"/>
          <w:szCs w:val="22"/>
        </w:rPr>
        <w:t xml:space="preserve">ACLC </w:t>
      </w:r>
      <w:r w:rsidR="0071221B">
        <w:rPr>
          <w:sz w:val="22"/>
          <w:szCs w:val="22"/>
        </w:rPr>
        <w:t xml:space="preserve">recommends </w:t>
      </w:r>
      <w:r w:rsidR="00B56A97" w:rsidRPr="0071221B">
        <w:rPr>
          <w:sz w:val="22"/>
          <w:szCs w:val="22"/>
        </w:rPr>
        <w:t>development of an appropriate process for determining adequate and sustainable longer-term funding contributions to the</w:t>
      </w:r>
      <w:r w:rsidR="001D1CDC">
        <w:rPr>
          <w:sz w:val="22"/>
          <w:szCs w:val="22"/>
        </w:rPr>
        <w:t xml:space="preserve"> legal assistance</w:t>
      </w:r>
      <w:r w:rsidR="00B56A97" w:rsidRPr="0071221B">
        <w:rPr>
          <w:sz w:val="22"/>
          <w:szCs w:val="22"/>
        </w:rPr>
        <w:t xml:space="preserve"> sector by both Federal and State and Territory Governments, in consultation with the sector</w:t>
      </w:r>
      <w:r w:rsidR="001D1CDC">
        <w:rPr>
          <w:sz w:val="22"/>
          <w:szCs w:val="22"/>
        </w:rPr>
        <w:t xml:space="preserve"> as well as making a </w:t>
      </w:r>
      <w:r w:rsidR="00CE6E7A">
        <w:rPr>
          <w:sz w:val="22"/>
          <w:szCs w:val="22"/>
        </w:rPr>
        <w:t xml:space="preserve">number of other recommendations. </w:t>
      </w:r>
    </w:p>
    <w:p w14:paraId="7215F689" w14:textId="77777777" w:rsidR="00E80632" w:rsidRPr="00A352AB" w:rsidRDefault="00E80632" w:rsidP="00E80632">
      <w:pPr>
        <w:rPr>
          <w:rFonts w:cs="Cambria"/>
          <w:sz w:val="22"/>
          <w:szCs w:val="22"/>
          <w:lang w:val="en-US"/>
        </w:rPr>
      </w:pPr>
    </w:p>
    <w:p w14:paraId="0EF56EA6" w14:textId="22D869F1" w:rsidR="00B56A97" w:rsidRDefault="00B56A97" w:rsidP="00E80632">
      <w:pPr>
        <w:rPr>
          <w:rFonts w:cs="Cambria"/>
          <w:sz w:val="22"/>
          <w:szCs w:val="22"/>
          <w:lang w:val="en-US"/>
        </w:rPr>
      </w:pPr>
      <w:r>
        <w:rPr>
          <w:rFonts w:cs="Cambria"/>
          <w:sz w:val="22"/>
          <w:szCs w:val="22"/>
          <w:lang w:val="en-US"/>
        </w:rPr>
        <w:t xml:space="preserve">NACLC also makes a number of recommendations </w:t>
      </w:r>
      <w:r w:rsidR="008555C2">
        <w:rPr>
          <w:rFonts w:cs="Cambria"/>
          <w:sz w:val="22"/>
          <w:szCs w:val="22"/>
          <w:lang w:val="en-US"/>
        </w:rPr>
        <w:t xml:space="preserve">in relation to </w:t>
      </w:r>
      <w:r>
        <w:rPr>
          <w:rFonts w:cs="Cambria"/>
          <w:sz w:val="22"/>
          <w:szCs w:val="22"/>
          <w:lang w:val="en-US"/>
        </w:rPr>
        <w:t>Family Violence Prevention Legal Services and Aboriginal and Torres</w:t>
      </w:r>
      <w:r w:rsidR="008555C2">
        <w:rPr>
          <w:rFonts w:cs="Cambria"/>
          <w:sz w:val="22"/>
          <w:szCs w:val="22"/>
          <w:lang w:val="en-US"/>
        </w:rPr>
        <w:t xml:space="preserve"> Strait Islander Legal Services, based on the 201</w:t>
      </w:r>
      <w:r w:rsidR="00BF4ABB">
        <w:rPr>
          <w:rFonts w:cs="Cambria"/>
          <w:sz w:val="22"/>
          <w:szCs w:val="22"/>
          <w:lang w:val="en-US"/>
        </w:rPr>
        <w:t>7-2018</w:t>
      </w:r>
      <w:r w:rsidR="008555C2">
        <w:rPr>
          <w:rFonts w:cs="Cambria"/>
          <w:sz w:val="22"/>
          <w:szCs w:val="22"/>
          <w:lang w:val="en-US"/>
        </w:rPr>
        <w:t xml:space="preserve"> Federal</w:t>
      </w:r>
      <w:r w:rsidR="00D57C40">
        <w:rPr>
          <w:rFonts w:cs="Cambria"/>
          <w:sz w:val="22"/>
          <w:szCs w:val="22"/>
          <w:lang w:val="en-US"/>
        </w:rPr>
        <w:t xml:space="preserve"> Budget submissions made by</w:t>
      </w:r>
      <w:r w:rsidR="008C05D0">
        <w:rPr>
          <w:rFonts w:cs="Cambria"/>
          <w:sz w:val="22"/>
          <w:szCs w:val="22"/>
          <w:lang w:val="en-US"/>
        </w:rPr>
        <w:t xml:space="preserve"> National Family Violence Prevention Legal Services and</w:t>
      </w:r>
      <w:r w:rsidR="00D57C40">
        <w:rPr>
          <w:rFonts w:cs="Cambria"/>
          <w:sz w:val="22"/>
          <w:szCs w:val="22"/>
          <w:lang w:val="en-US"/>
        </w:rPr>
        <w:t xml:space="preserve"> </w:t>
      </w:r>
      <w:r w:rsidR="008555C2">
        <w:rPr>
          <w:rFonts w:cs="Cambria"/>
          <w:sz w:val="22"/>
          <w:szCs w:val="22"/>
          <w:lang w:val="en-US"/>
        </w:rPr>
        <w:t>National Aboriginal and Torres Strait Islander Legal</w:t>
      </w:r>
      <w:r w:rsidR="008C05D0">
        <w:rPr>
          <w:rFonts w:cs="Cambria"/>
          <w:sz w:val="22"/>
          <w:szCs w:val="22"/>
          <w:lang w:val="en-US"/>
        </w:rPr>
        <w:t xml:space="preserve"> Services, which NACLC endorses. </w:t>
      </w:r>
      <w:r w:rsidR="00D57C40">
        <w:rPr>
          <w:rFonts w:cs="Cambria"/>
          <w:sz w:val="22"/>
          <w:szCs w:val="22"/>
          <w:lang w:val="en-US"/>
        </w:rPr>
        <w:t xml:space="preserve"> </w:t>
      </w:r>
    </w:p>
    <w:p w14:paraId="11F38825" w14:textId="77777777" w:rsidR="00B56A97" w:rsidRDefault="00B56A97" w:rsidP="00E80632">
      <w:pPr>
        <w:rPr>
          <w:rFonts w:cs="Cambria"/>
          <w:sz w:val="22"/>
          <w:szCs w:val="22"/>
          <w:lang w:val="en-US"/>
        </w:rPr>
      </w:pPr>
    </w:p>
    <w:p w14:paraId="5A192F1E" w14:textId="74505740" w:rsidR="007F0FC4" w:rsidRPr="00A352AB" w:rsidRDefault="007F0FC4" w:rsidP="00E80632">
      <w:pPr>
        <w:rPr>
          <w:rFonts w:cs="Times"/>
          <w:sz w:val="22"/>
          <w:szCs w:val="22"/>
          <w:lang w:val="en-US"/>
        </w:rPr>
      </w:pPr>
      <w:r w:rsidRPr="00A352AB">
        <w:rPr>
          <w:rFonts w:cs="Cambria"/>
          <w:sz w:val="22"/>
          <w:szCs w:val="22"/>
          <w:lang w:val="en-US"/>
        </w:rPr>
        <w:t>NACLC would welcome the opportunity to</w:t>
      </w:r>
      <w:r w:rsidR="00E80632" w:rsidRPr="00A352AB">
        <w:rPr>
          <w:rFonts w:cs="Cambria"/>
          <w:sz w:val="22"/>
          <w:szCs w:val="22"/>
          <w:lang w:val="en-US"/>
        </w:rPr>
        <w:t xml:space="preserve"> engage further with the </w:t>
      </w:r>
      <w:r w:rsidR="008555C2">
        <w:rPr>
          <w:rFonts w:cs="Cambria"/>
          <w:sz w:val="22"/>
          <w:szCs w:val="22"/>
          <w:lang w:val="en-US"/>
        </w:rPr>
        <w:t xml:space="preserve">Treasury </w:t>
      </w:r>
      <w:r w:rsidR="00E80632" w:rsidRPr="00A352AB">
        <w:rPr>
          <w:rFonts w:cs="Cambria"/>
          <w:sz w:val="22"/>
          <w:szCs w:val="22"/>
          <w:lang w:val="en-US"/>
        </w:rPr>
        <w:t xml:space="preserve">in relation to these issues. </w:t>
      </w:r>
      <w:r w:rsidRPr="00A352AB">
        <w:rPr>
          <w:rFonts w:cs="Cambria"/>
          <w:sz w:val="22"/>
          <w:szCs w:val="22"/>
          <w:lang w:val="en-US"/>
        </w:rPr>
        <w:t xml:space="preserve"> The most appropriate contact person for this submission is: </w:t>
      </w:r>
      <w:r w:rsidRPr="00A352AB">
        <w:rPr>
          <w:rFonts w:ascii="MS Mincho" w:eastAsia="MS Mincho" w:hAnsi="MS Mincho" w:cs="MS Mincho"/>
          <w:sz w:val="22"/>
          <w:szCs w:val="22"/>
          <w:lang w:val="en-US"/>
        </w:rPr>
        <w:t> </w:t>
      </w:r>
    </w:p>
    <w:p w14:paraId="5E27C8F7" w14:textId="77777777" w:rsidR="005501ED" w:rsidRPr="004C5404" w:rsidRDefault="005501ED" w:rsidP="00E80632">
      <w:pPr>
        <w:rPr>
          <w:sz w:val="22"/>
          <w:szCs w:val="22"/>
        </w:rPr>
      </w:pPr>
    </w:p>
    <w:p w14:paraId="6B16B3FD" w14:textId="6B88826C" w:rsidR="005501ED" w:rsidRPr="004C5404" w:rsidRDefault="005501ED" w:rsidP="00E80632">
      <w:pPr>
        <w:rPr>
          <w:sz w:val="22"/>
          <w:szCs w:val="22"/>
        </w:rPr>
      </w:pPr>
      <w:r w:rsidRPr="004C5404">
        <w:rPr>
          <w:sz w:val="22"/>
          <w:szCs w:val="22"/>
        </w:rPr>
        <w:t>Amanda Alford</w:t>
      </w:r>
    </w:p>
    <w:p w14:paraId="1081DB0F" w14:textId="420CA565" w:rsidR="00050854" w:rsidRPr="004C5404" w:rsidRDefault="004C5404" w:rsidP="00E80632">
      <w:pPr>
        <w:rPr>
          <w:sz w:val="22"/>
          <w:szCs w:val="22"/>
        </w:rPr>
      </w:pPr>
      <w:r>
        <w:rPr>
          <w:sz w:val="22"/>
          <w:szCs w:val="22"/>
        </w:rPr>
        <w:t>Director Policy &amp;</w:t>
      </w:r>
      <w:r w:rsidR="005501ED" w:rsidRPr="004C5404">
        <w:rPr>
          <w:sz w:val="22"/>
          <w:szCs w:val="22"/>
        </w:rPr>
        <w:t xml:space="preserve"> A</w:t>
      </w:r>
      <w:r w:rsidR="00784723" w:rsidRPr="004C5404">
        <w:rPr>
          <w:sz w:val="22"/>
          <w:szCs w:val="22"/>
        </w:rPr>
        <w:t>dvocacy</w:t>
      </w:r>
    </w:p>
    <w:p w14:paraId="3C150CB8" w14:textId="74095A29" w:rsidR="005501ED" w:rsidRPr="004C5404" w:rsidRDefault="005501ED" w:rsidP="00E80632">
      <w:pPr>
        <w:rPr>
          <w:sz w:val="22"/>
          <w:szCs w:val="22"/>
        </w:rPr>
      </w:pPr>
      <w:r w:rsidRPr="004C5404">
        <w:rPr>
          <w:sz w:val="22"/>
          <w:szCs w:val="22"/>
        </w:rPr>
        <w:t>Ph: (02) 9264 9595</w:t>
      </w:r>
      <w:r w:rsidR="002938BA">
        <w:rPr>
          <w:sz w:val="22"/>
          <w:szCs w:val="22"/>
        </w:rPr>
        <w:t>/0421 028 645</w:t>
      </w:r>
    </w:p>
    <w:p w14:paraId="7B7FA6D0" w14:textId="468D5E8F" w:rsidR="00C662AF" w:rsidRPr="000837A7" w:rsidRDefault="005501ED">
      <w:r>
        <w:t xml:space="preserve">Email: </w:t>
      </w:r>
      <w:hyperlink r:id="rId19" w:history="1">
        <w:r w:rsidRPr="00AC7016">
          <w:rPr>
            <w:rStyle w:val="Hyperlink"/>
          </w:rPr>
          <w:t>amanda_alford@clc.net.au</w:t>
        </w:r>
      </w:hyperlink>
      <w:r w:rsidR="00C662AF">
        <w:br w:type="page"/>
      </w:r>
    </w:p>
    <w:p w14:paraId="211CE978" w14:textId="1262D08B" w:rsidR="00B11300" w:rsidRDefault="00223D4A" w:rsidP="00B11300">
      <w:pPr>
        <w:pStyle w:val="Heading1"/>
      </w:pPr>
      <w:bookmarkStart w:id="2" w:name="_Toc472606635"/>
      <w:r>
        <w:t>Recommendations</w:t>
      </w:r>
      <w:bookmarkEnd w:id="2"/>
    </w:p>
    <w:p w14:paraId="162222D5" w14:textId="77777777" w:rsidR="00C662AF" w:rsidRDefault="00C662AF" w:rsidP="00C662AF">
      <w:pPr>
        <w:rPr>
          <w:b/>
          <w:sz w:val="22"/>
          <w:szCs w:val="22"/>
        </w:rPr>
      </w:pPr>
    </w:p>
    <w:p w14:paraId="63EE2304" w14:textId="3B45C181" w:rsidR="00553487" w:rsidRDefault="00553487" w:rsidP="00C662AF">
      <w:pPr>
        <w:rPr>
          <w:b/>
          <w:sz w:val="22"/>
          <w:szCs w:val="22"/>
        </w:rPr>
      </w:pPr>
      <w:r>
        <w:rPr>
          <w:b/>
          <w:sz w:val="22"/>
          <w:szCs w:val="22"/>
        </w:rPr>
        <w:t>Community Legal Centre</w:t>
      </w:r>
      <w:r w:rsidR="009B014F">
        <w:rPr>
          <w:b/>
          <w:sz w:val="22"/>
          <w:szCs w:val="22"/>
        </w:rPr>
        <w:t>s</w:t>
      </w:r>
    </w:p>
    <w:p w14:paraId="5663914A" w14:textId="77777777" w:rsidR="00553487" w:rsidRDefault="00553487" w:rsidP="00C662AF">
      <w:pPr>
        <w:rPr>
          <w:b/>
          <w:sz w:val="22"/>
          <w:szCs w:val="22"/>
        </w:rPr>
      </w:pPr>
    </w:p>
    <w:p w14:paraId="45097033" w14:textId="41C24F28" w:rsidR="00C662AF" w:rsidRDefault="00C662AF" w:rsidP="00C662AF">
      <w:pPr>
        <w:rPr>
          <w:sz w:val="22"/>
          <w:szCs w:val="22"/>
        </w:rPr>
      </w:pPr>
      <w:r w:rsidRPr="000C4FA8">
        <w:rPr>
          <w:b/>
          <w:sz w:val="22"/>
          <w:szCs w:val="22"/>
        </w:rPr>
        <w:t>Recommendation</w:t>
      </w:r>
      <w:r w:rsidR="00944537">
        <w:rPr>
          <w:b/>
          <w:sz w:val="22"/>
          <w:szCs w:val="22"/>
        </w:rPr>
        <w:t xml:space="preserve"> 1</w:t>
      </w:r>
      <w:r w:rsidRPr="000C4FA8">
        <w:rPr>
          <w:b/>
          <w:sz w:val="22"/>
          <w:szCs w:val="22"/>
        </w:rPr>
        <w:t xml:space="preserve">: </w:t>
      </w:r>
      <w:r>
        <w:rPr>
          <w:sz w:val="22"/>
          <w:szCs w:val="22"/>
        </w:rPr>
        <w:t>R</w:t>
      </w:r>
      <w:r w:rsidRPr="005041F7">
        <w:rPr>
          <w:sz w:val="22"/>
          <w:szCs w:val="22"/>
        </w:rPr>
        <w:t xml:space="preserve">everse the $12.1 million </w:t>
      </w:r>
      <w:r w:rsidR="00BF4ABB">
        <w:rPr>
          <w:sz w:val="22"/>
          <w:szCs w:val="22"/>
        </w:rPr>
        <w:t>reduction in funding</w:t>
      </w:r>
      <w:r w:rsidRPr="005041F7">
        <w:rPr>
          <w:sz w:val="22"/>
          <w:szCs w:val="22"/>
        </w:rPr>
        <w:t xml:space="preserve"> to Community Legal Centres nationally in 2017-2018</w:t>
      </w:r>
      <w:r w:rsidR="00893985">
        <w:rPr>
          <w:sz w:val="22"/>
          <w:szCs w:val="22"/>
        </w:rPr>
        <w:t xml:space="preserve">, </w:t>
      </w:r>
      <w:r w:rsidRPr="005041F7">
        <w:rPr>
          <w:sz w:val="22"/>
          <w:szCs w:val="22"/>
        </w:rPr>
        <w:t>the $11.6 million cut in 2018-2019</w:t>
      </w:r>
      <w:r w:rsidR="00313A39">
        <w:rPr>
          <w:sz w:val="22"/>
          <w:szCs w:val="22"/>
        </w:rPr>
        <w:t xml:space="preserve"> and the</w:t>
      </w:r>
      <w:r w:rsidR="00893985">
        <w:rPr>
          <w:sz w:val="22"/>
          <w:szCs w:val="22"/>
          <w:shd w:val="clear" w:color="auto" w:fill="FFFFFF"/>
        </w:rPr>
        <w:t xml:space="preserve"> $11.13 million cut in 2019-2020 (amounting to a </w:t>
      </w:r>
      <w:r w:rsidR="00893985">
        <w:rPr>
          <w:sz w:val="22"/>
          <w:szCs w:val="22"/>
        </w:rPr>
        <w:t>$34.83 million cut over the period 2017-18 to 2019-2020</w:t>
      </w:r>
      <w:r w:rsidR="00893985">
        <w:rPr>
          <w:sz w:val="22"/>
          <w:szCs w:val="22"/>
          <w:shd w:val="clear" w:color="auto" w:fill="FFFFFF"/>
        </w:rPr>
        <w:t xml:space="preserve">) </w:t>
      </w:r>
      <w:r w:rsidRPr="005041F7">
        <w:rPr>
          <w:sz w:val="22"/>
          <w:szCs w:val="22"/>
        </w:rPr>
        <w:t>under the National Partnership Agreeme</w:t>
      </w:r>
      <w:r w:rsidR="00893985">
        <w:rPr>
          <w:sz w:val="22"/>
          <w:szCs w:val="22"/>
        </w:rPr>
        <w:t xml:space="preserve">nt on Legal Assistance Services. </w:t>
      </w:r>
    </w:p>
    <w:p w14:paraId="1CA35436" w14:textId="77777777" w:rsidR="00C662AF" w:rsidRDefault="00C662AF" w:rsidP="00C662AF">
      <w:pPr>
        <w:rPr>
          <w:sz w:val="22"/>
          <w:szCs w:val="22"/>
        </w:rPr>
      </w:pPr>
    </w:p>
    <w:p w14:paraId="40E26C9D" w14:textId="18CE6E80" w:rsidR="00C662AF" w:rsidRDefault="00C662AF" w:rsidP="00C662AF">
      <w:pPr>
        <w:rPr>
          <w:sz w:val="22"/>
          <w:szCs w:val="22"/>
        </w:rPr>
      </w:pPr>
      <w:r>
        <w:rPr>
          <w:b/>
          <w:sz w:val="22"/>
          <w:szCs w:val="22"/>
        </w:rPr>
        <w:t>Recommendation</w:t>
      </w:r>
      <w:r w:rsidR="00944537">
        <w:rPr>
          <w:b/>
          <w:sz w:val="22"/>
          <w:szCs w:val="22"/>
        </w:rPr>
        <w:t xml:space="preserve"> 2</w:t>
      </w:r>
      <w:r>
        <w:rPr>
          <w:b/>
          <w:sz w:val="22"/>
          <w:szCs w:val="22"/>
        </w:rPr>
        <w:t xml:space="preserve">: </w:t>
      </w:r>
      <w:r>
        <w:rPr>
          <w:sz w:val="22"/>
          <w:szCs w:val="22"/>
        </w:rPr>
        <w:t>I</w:t>
      </w:r>
      <w:r w:rsidRPr="005041F7">
        <w:rPr>
          <w:sz w:val="22"/>
          <w:szCs w:val="22"/>
        </w:rPr>
        <w:t>mplement the Productivity Commission’s recommendation</w:t>
      </w:r>
      <w:r w:rsidR="00893985">
        <w:rPr>
          <w:sz w:val="22"/>
          <w:szCs w:val="22"/>
        </w:rPr>
        <w:t xml:space="preserve"> from its Access to Justice Arrangements Inquiry</w:t>
      </w:r>
      <w:r w:rsidRPr="005041F7">
        <w:rPr>
          <w:sz w:val="22"/>
          <w:szCs w:val="22"/>
        </w:rPr>
        <w:t xml:space="preserve"> and provide an immediate injection of $120 million per year</w:t>
      </w:r>
      <w:r w:rsidR="00732B5D">
        <w:rPr>
          <w:sz w:val="22"/>
          <w:szCs w:val="22"/>
        </w:rPr>
        <w:t xml:space="preserve"> additional funding</w:t>
      </w:r>
      <w:r w:rsidRPr="005041F7">
        <w:rPr>
          <w:sz w:val="22"/>
          <w:szCs w:val="22"/>
        </w:rPr>
        <w:t xml:space="preserve"> i</w:t>
      </w:r>
      <w:r w:rsidR="00893985">
        <w:rPr>
          <w:sz w:val="22"/>
          <w:szCs w:val="22"/>
        </w:rPr>
        <w:t>nto the legal assistance sector, including at a minimum</w:t>
      </w:r>
      <w:r w:rsidR="00313A39">
        <w:rPr>
          <w:sz w:val="22"/>
          <w:szCs w:val="22"/>
        </w:rPr>
        <w:t xml:space="preserve"> an additional</w:t>
      </w:r>
      <w:r w:rsidR="00893985">
        <w:rPr>
          <w:sz w:val="22"/>
          <w:szCs w:val="22"/>
        </w:rPr>
        <w:t xml:space="preserve"> $14.4 million</w:t>
      </w:r>
      <w:r w:rsidR="006C32B2">
        <w:rPr>
          <w:sz w:val="22"/>
          <w:szCs w:val="22"/>
        </w:rPr>
        <w:t xml:space="preserve"> per year</w:t>
      </w:r>
      <w:r w:rsidR="009D2BE8">
        <w:rPr>
          <w:sz w:val="22"/>
          <w:szCs w:val="22"/>
        </w:rPr>
        <w:t xml:space="preserve"> to Community Legal C</w:t>
      </w:r>
      <w:r w:rsidR="00BF4ABB">
        <w:rPr>
          <w:sz w:val="22"/>
          <w:szCs w:val="22"/>
        </w:rPr>
        <w:t xml:space="preserve">entres, amounting to $43.2 million over the life of the </w:t>
      </w:r>
      <w:r w:rsidR="00BF4ABB" w:rsidRPr="005041F7">
        <w:rPr>
          <w:sz w:val="22"/>
          <w:szCs w:val="22"/>
        </w:rPr>
        <w:t>National Partnership Agreeme</w:t>
      </w:r>
      <w:r w:rsidR="00BF4ABB">
        <w:rPr>
          <w:sz w:val="22"/>
          <w:szCs w:val="22"/>
        </w:rPr>
        <w:t>nt on Legal Assistance Services.</w:t>
      </w:r>
    </w:p>
    <w:p w14:paraId="602A6653" w14:textId="77777777" w:rsidR="00DB2722" w:rsidRDefault="00DB2722" w:rsidP="00DB2722"/>
    <w:p w14:paraId="791BC622" w14:textId="617460A4" w:rsidR="00DB2722" w:rsidRDefault="00C662AF" w:rsidP="00DB2722">
      <w:pPr>
        <w:rPr>
          <w:b/>
          <w:sz w:val="22"/>
          <w:szCs w:val="22"/>
        </w:rPr>
      </w:pPr>
      <w:r>
        <w:rPr>
          <w:b/>
          <w:sz w:val="22"/>
          <w:szCs w:val="22"/>
        </w:rPr>
        <w:t>Recommendation</w:t>
      </w:r>
      <w:r w:rsidR="00732B5D">
        <w:rPr>
          <w:b/>
          <w:sz w:val="22"/>
          <w:szCs w:val="22"/>
        </w:rPr>
        <w:t xml:space="preserve"> 3</w:t>
      </w:r>
      <w:r w:rsidR="00DB2722">
        <w:rPr>
          <w:b/>
          <w:sz w:val="22"/>
          <w:szCs w:val="22"/>
        </w:rPr>
        <w:t xml:space="preserve">: </w:t>
      </w:r>
      <w:r>
        <w:rPr>
          <w:sz w:val="22"/>
          <w:szCs w:val="22"/>
        </w:rPr>
        <w:t>C</w:t>
      </w:r>
      <w:r w:rsidR="00DB2722" w:rsidRPr="005041F7">
        <w:rPr>
          <w:sz w:val="22"/>
          <w:szCs w:val="22"/>
        </w:rPr>
        <w:t xml:space="preserve">ommit to implementing an appropriate process for determining adequate and sustainable longer-term funding contributions </w:t>
      </w:r>
      <w:r w:rsidR="00893985">
        <w:rPr>
          <w:sz w:val="22"/>
          <w:szCs w:val="22"/>
        </w:rPr>
        <w:t xml:space="preserve">to the legal assistance sector </w:t>
      </w:r>
      <w:r w:rsidR="00DB2722" w:rsidRPr="005041F7">
        <w:rPr>
          <w:sz w:val="22"/>
          <w:szCs w:val="22"/>
        </w:rPr>
        <w:t xml:space="preserve">by </w:t>
      </w:r>
      <w:r w:rsidR="009D2BE8">
        <w:rPr>
          <w:sz w:val="22"/>
          <w:szCs w:val="22"/>
        </w:rPr>
        <w:t xml:space="preserve">Federal, </w:t>
      </w:r>
      <w:r w:rsidR="00DB2722" w:rsidRPr="005041F7">
        <w:rPr>
          <w:sz w:val="22"/>
          <w:szCs w:val="22"/>
        </w:rPr>
        <w:t>State and Territory Governments, in consultation with the sector.</w:t>
      </w:r>
      <w:r w:rsidR="00DB2722">
        <w:rPr>
          <w:b/>
          <w:sz w:val="22"/>
          <w:szCs w:val="22"/>
        </w:rPr>
        <w:t xml:space="preserve"> </w:t>
      </w:r>
    </w:p>
    <w:p w14:paraId="398D06A1" w14:textId="77777777" w:rsidR="00DB2722" w:rsidRPr="005041F7" w:rsidRDefault="00DB2722" w:rsidP="00DB2722">
      <w:pPr>
        <w:rPr>
          <w:b/>
          <w:sz w:val="22"/>
          <w:szCs w:val="22"/>
        </w:rPr>
      </w:pPr>
    </w:p>
    <w:p w14:paraId="3A4566C6" w14:textId="7216A49D" w:rsidR="00223D4A" w:rsidRDefault="00DB2722" w:rsidP="00B81C3F">
      <w:pPr>
        <w:rPr>
          <w:sz w:val="22"/>
          <w:szCs w:val="22"/>
        </w:rPr>
      </w:pPr>
      <w:r w:rsidRPr="005041F7">
        <w:rPr>
          <w:b/>
          <w:sz w:val="22"/>
          <w:szCs w:val="22"/>
        </w:rPr>
        <w:t>Recommendation</w:t>
      </w:r>
      <w:r w:rsidR="006C2092">
        <w:rPr>
          <w:b/>
          <w:sz w:val="22"/>
          <w:szCs w:val="22"/>
        </w:rPr>
        <w:t xml:space="preserve"> 4</w:t>
      </w:r>
      <w:r w:rsidR="00BF4ABB">
        <w:rPr>
          <w:b/>
          <w:sz w:val="22"/>
          <w:szCs w:val="22"/>
        </w:rPr>
        <w:t xml:space="preserve">: </w:t>
      </w:r>
      <w:r w:rsidRPr="005041F7">
        <w:rPr>
          <w:b/>
          <w:sz w:val="22"/>
          <w:szCs w:val="22"/>
        </w:rPr>
        <w:t xml:space="preserve"> </w:t>
      </w:r>
      <w:r w:rsidR="00C662AF">
        <w:rPr>
          <w:sz w:val="22"/>
          <w:szCs w:val="22"/>
        </w:rPr>
        <w:t>P</w:t>
      </w:r>
      <w:r w:rsidRPr="005041F7">
        <w:rPr>
          <w:sz w:val="22"/>
          <w:szCs w:val="22"/>
        </w:rPr>
        <w:t xml:space="preserve">rovide funding for a regular national survey of legal need, similar to the </w:t>
      </w:r>
      <w:r w:rsidRPr="005041F7">
        <w:rPr>
          <w:i/>
          <w:sz w:val="22"/>
          <w:szCs w:val="22"/>
        </w:rPr>
        <w:t>Legal Australia</w:t>
      </w:r>
      <w:r w:rsidRPr="005041F7">
        <w:rPr>
          <w:i/>
          <w:sz w:val="22"/>
          <w:szCs w:val="22"/>
        </w:rPr>
        <w:noBreakHyphen/>
        <w:t>Wide (LAW) Survey</w:t>
      </w:r>
      <w:r w:rsidRPr="005041F7">
        <w:rPr>
          <w:sz w:val="22"/>
          <w:szCs w:val="22"/>
        </w:rPr>
        <w:t xml:space="preserve"> undertaken in 2008, to examine met and </w:t>
      </w:r>
      <w:r w:rsidR="00C662AF">
        <w:rPr>
          <w:sz w:val="22"/>
          <w:szCs w:val="22"/>
        </w:rPr>
        <w:t xml:space="preserve">unmet legal need in Australia. </w:t>
      </w:r>
    </w:p>
    <w:p w14:paraId="08007CF6" w14:textId="77777777" w:rsidR="006C2092" w:rsidRDefault="006C2092" w:rsidP="006C2092">
      <w:pPr>
        <w:rPr>
          <w:b/>
          <w:sz w:val="22"/>
          <w:szCs w:val="22"/>
        </w:rPr>
      </w:pPr>
    </w:p>
    <w:p w14:paraId="682B396D" w14:textId="73990406" w:rsidR="006C2092" w:rsidRPr="000F6F57" w:rsidRDefault="000837A7" w:rsidP="00B81C3F">
      <w:pPr>
        <w:rPr>
          <w:sz w:val="22"/>
          <w:szCs w:val="22"/>
        </w:rPr>
      </w:pPr>
      <w:r>
        <w:rPr>
          <w:b/>
          <w:sz w:val="22"/>
          <w:szCs w:val="22"/>
        </w:rPr>
        <w:t>Recommendation 5</w:t>
      </w:r>
      <w:r w:rsidR="006C2092">
        <w:rPr>
          <w:b/>
          <w:sz w:val="22"/>
          <w:szCs w:val="22"/>
        </w:rPr>
        <w:t xml:space="preserve">:  </w:t>
      </w:r>
      <w:r w:rsidR="006C2092">
        <w:rPr>
          <w:sz w:val="22"/>
          <w:szCs w:val="22"/>
        </w:rPr>
        <w:t xml:space="preserve">Provide funding </w:t>
      </w:r>
      <w:r w:rsidR="006C2092" w:rsidRPr="00BF4ABB">
        <w:rPr>
          <w:sz w:val="22"/>
          <w:szCs w:val="22"/>
        </w:rPr>
        <w:t xml:space="preserve">for </w:t>
      </w:r>
      <w:r w:rsidR="006C2092">
        <w:rPr>
          <w:sz w:val="22"/>
          <w:szCs w:val="22"/>
        </w:rPr>
        <w:t>State and Territory focused sector</w:t>
      </w:r>
      <w:r w:rsidR="006C2092" w:rsidRPr="00BF4ABB">
        <w:rPr>
          <w:sz w:val="22"/>
          <w:szCs w:val="22"/>
        </w:rPr>
        <w:t xml:space="preserve"> coordination</w:t>
      </w:r>
      <w:r w:rsidR="006C2092">
        <w:rPr>
          <w:sz w:val="22"/>
          <w:szCs w:val="22"/>
        </w:rPr>
        <w:t xml:space="preserve"> and support, in light of the increased role for State and Territory CLC Associations in assisting the Commonwealth, State and Territory Governments to determine and manage the appropriate funding and administration of </w:t>
      </w:r>
      <w:r w:rsidR="006C2092" w:rsidRPr="000F6F57">
        <w:rPr>
          <w:sz w:val="22"/>
          <w:szCs w:val="22"/>
        </w:rPr>
        <w:t>CLCs under the National Partnership Agreement on Legal Assistance Services.</w:t>
      </w:r>
    </w:p>
    <w:p w14:paraId="5593AC40" w14:textId="77777777" w:rsidR="009B014F" w:rsidRPr="000F6F57" w:rsidRDefault="009B014F" w:rsidP="00B81C3F">
      <w:pPr>
        <w:rPr>
          <w:rFonts w:cs="Arial"/>
          <w:color w:val="000000" w:themeColor="text1"/>
          <w:sz w:val="22"/>
          <w:szCs w:val="22"/>
        </w:rPr>
      </w:pPr>
    </w:p>
    <w:p w14:paraId="5281497D" w14:textId="42489109" w:rsidR="009B014F" w:rsidRPr="000F6F57" w:rsidRDefault="009B014F" w:rsidP="00B81C3F">
      <w:pPr>
        <w:rPr>
          <w:b/>
          <w:sz w:val="22"/>
          <w:szCs w:val="22"/>
        </w:rPr>
      </w:pPr>
      <w:r w:rsidRPr="000F6F57">
        <w:rPr>
          <w:rFonts w:cs="Arial"/>
          <w:b/>
          <w:color w:val="000000" w:themeColor="text1"/>
          <w:sz w:val="22"/>
          <w:szCs w:val="22"/>
        </w:rPr>
        <w:t xml:space="preserve">Other Legal Assistance Services </w:t>
      </w:r>
    </w:p>
    <w:p w14:paraId="43AEC668" w14:textId="77777777" w:rsidR="00553487" w:rsidRPr="000F6F57" w:rsidRDefault="00553487" w:rsidP="00C662AF">
      <w:pPr>
        <w:rPr>
          <w:sz w:val="22"/>
          <w:szCs w:val="22"/>
        </w:rPr>
      </w:pPr>
    </w:p>
    <w:p w14:paraId="230B1B53" w14:textId="77777777" w:rsidR="00711634" w:rsidRPr="000F6F57" w:rsidRDefault="00711634" w:rsidP="00711634">
      <w:pPr>
        <w:rPr>
          <w:b/>
          <w:sz w:val="22"/>
          <w:szCs w:val="22"/>
          <w:lang w:val="en-AU"/>
        </w:rPr>
      </w:pPr>
      <w:r w:rsidRPr="000F6F57">
        <w:rPr>
          <w:rFonts w:cs="Arial"/>
          <w:b/>
          <w:color w:val="000000" w:themeColor="text1"/>
          <w:sz w:val="22"/>
          <w:szCs w:val="22"/>
        </w:rPr>
        <w:t xml:space="preserve">Recommendation 6: </w:t>
      </w:r>
      <w:r w:rsidRPr="000F6F57">
        <w:rPr>
          <w:rFonts w:cs="Arial"/>
          <w:color w:val="000000" w:themeColor="text1"/>
          <w:sz w:val="22"/>
          <w:szCs w:val="22"/>
        </w:rPr>
        <w:t xml:space="preserve">Reinstate the Family Violence Prevention Legal Services as a stand-alone national programme and provide it with a </w:t>
      </w:r>
      <w:r w:rsidRPr="000F6F57">
        <w:rPr>
          <w:rFonts w:cs="Cambria"/>
          <w:color w:val="000000"/>
          <w:sz w:val="22"/>
          <w:szCs w:val="22"/>
          <w:lang w:val="en-AU"/>
        </w:rPr>
        <w:t xml:space="preserve">direct </w:t>
      </w:r>
      <w:r w:rsidRPr="000F6F57">
        <w:rPr>
          <w:sz w:val="22"/>
          <w:szCs w:val="22"/>
          <w:lang w:val="en-AU"/>
        </w:rPr>
        <w:t xml:space="preserve">allocation of funding. </w:t>
      </w:r>
    </w:p>
    <w:p w14:paraId="7C2409DA" w14:textId="77777777" w:rsidR="00711634" w:rsidRPr="000F6F57" w:rsidRDefault="00711634" w:rsidP="00711634">
      <w:pPr>
        <w:rPr>
          <w:rFonts w:cs="Arial"/>
          <w:b/>
          <w:color w:val="000000" w:themeColor="text1"/>
          <w:sz w:val="22"/>
          <w:szCs w:val="22"/>
        </w:rPr>
      </w:pPr>
    </w:p>
    <w:p w14:paraId="5D8ADF9A" w14:textId="234E2031" w:rsidR="00711634" w:rsidRPr="000F6F57" w:rsidRDefault="00711634" w:rsidP="002F4003">
      <w:pPr>
        <w:rPr>
          <w:rFonts w:cs="Calibri"/>
          <w:color w:val="000000"/>
          <w:sz w:val="22"/>
          <w:szCs w:val="22"/>
          <w:lang w:val="en-US"/>
        </w:rPr>
      </w:pPr>
      <w:r w:rsidRPr="000F6F57">
        <w:rPr>
          <w:rFonts w:cs="Calibri"/>
          <w:b/>
          <w:bCs/>
          <w:color w:val="000000"/>
          <w:sz w:val="22"/>
          <w:szCs w:val="22"/>
          <w:lang w:val="en-US"/>
        </w:rPr>
        <w:t>Recommendation 7</w:t>
      </w:r>
      <w:r w:rsidRPr="000F6F57">
        <w:rPr>
          <w:rFonts w:cs="Calibri"/>
          <w:color w:val="000000"/>
          <w:sz w:val="22"/>
          <w:szCs w:val="22"/>
          <w:lang w:val="en-US"/>
        </w:rPr>
        <w:t xml:space="preserve">: Provide additional funding to </w:t>
      </w:r>
      <w:r w:rsidRPr="000F6F57">
        <w:rPr>
          <w:rFonts w:cs="Arial"/>
          <w:color w:val="000000" w:themeColor="text1"/>
          <w:sz w:val="22"/>
          <w:szCs w:val="22"/>
        </w:rPr>
        <w:t>Family Violence Prevention Legal Services,</w:t>
      </w:r>
      <w:r w:rsidR="002F4003" w:rsidRPr="000F6F57">
        <w:rPr>
          <w:rFonts w:cs="Calibri"/>
          <w:color w:val="000000"/>
          <w:sz w:val="22"/>
          <w:szCs w:val="22"/>
          <w:lang w:val="en-US"/>
        </w:rPr>
        <w:t xml:space="preserve"> including</w:t>
      </w:r>
      <w:r w:rsidRPr="000F6F57">
        <w:rPr>
          <w:rFonts w:cs="Calibri"/>
          <w:color w:val="000000"/>
          <w:sz w:val="22"/>
          <w:szCs w:val="22"/>
          <w:lang w:val="en-US"/>
        </w:rPr>
        <w:t xml:space="preserve"> to achieve national coverage of </w:t>
      </w:r>
      <w:r w:rsidRPr="000F6F57">
        <w:rPr>
          <w:rFonts w:cs="Arial"/>
          <w:color w:val="000000" w:themeColor="text1"/>
          <w:sz w:val="22"/>
          <w:szCs w:val="22"/>
        </w:rPr>
        <w:t>Family Violence Prevention Legal Services</w:t>
      </w:r>
      <w:r w:rsidRPr="000F6F57">
        <w:rPr>
          <w:rFonts w:cs="Calibri"/>
          <w:color w:val="000000"/>
          <w:sz w:val="22"/>
          <w:szCs w:val="22"/>
          <w:lang w:val="en-US"/>
        </w:rPr>
        <w:t xml:space="preserve"> commensurate to need (</w:t>
      </w:r>
      <w:r w:rsidRPr="000F6F57">
        <w:rPr>
          <w:rFonts w:cs="Calibri"/>
          <w:sz w:val="22"/>
          <w:szCs w:val="22"/>
          <w:lang w:val="en-US"/>
        </w:rPr>
        <w:t>with a specific focus on meeting need in me</w:t>
      </w:r>
      <w:r w:rsidR="000F6F57" w:rsidRPr="000F6F57">
        <w:rPr>
          <w:rFonts w:cs="Calibri"/>
          <w:sz w:val="22"/>
          <w:szCs w:val="22"/>
          <w:lang w:val="en-US"/>
        </w:rPr>
        <w:t xml:space="preserve">tropolitan and urban locations). </w:t>
      </w:r>
    </w:p>
    <w:p w14:paraId="33B0F787" w14:textId="77777777" w:rsidR="00711634" w:rsidRPr="000F6F57" w:rsidRDefault="00711634" w:rsidP="00711634">
      <w:pPr>
        <w:rPr>
          <w:b/>
          <w:sz w:val="22"/>
          <w:szCs w:val="22"/>
        </w:rPr>
      </w:pPr>
    </w:p>
    <w:p w14:paraId="653E39D9" w14:textId="2CCE1E62" w:rsidR="00711634" w:rsidRPr="000F6F57" w:rsidRDefault="00D57C40" w:rsidP="00711634">
      <w:pPr>
        <w:rPr>
          <w:b/>
          <w:sz w:val="22"/>
          <w:szCs w:val="22"/>
        </w:rPr>
      </w:pPr>
      <w:r>
        <w:rPr>
          <w:b/>
          <w:sz w:val="22"/>
          <w:szCs w:val="22"/>
        </w:rPr>
        <w:t>Recommendation 8</w:t>
      </w:r>
      <w:r w:rsidR="00711634" w:rsidRPr="000F6F57">
        <w:rPr>
          <w:b/>
          <w:sz w:val="22"/>
          <w:szCs w:val="22"/>
        </w:rPr>
        <w:t xml:space="preserve">: </w:t>
      </w:r>
      <w:r w:rsidR="00711634" w:rsidRPr="000F6F57">
        <w:rPr>
          <w:sz w:val="22"/>
          <w:szCs w:val="22"/>
        </w:rPr>
        <w:t>Provide the National Family Violence Prevention Legal Services Forum with</w:t>
      </w:r>
      <w:r w:rsidR="000F6F57" w:rsidRPr="000F6F57">
        <w:rPr>
          <w:sz w:val="22"/>
          <w:szCs w:val="22"/>
        </w:rPr>
        <w:t xml:space="preserve"> additional funding and commit to long-term funding and support</w:t>
      </w:r>
      <w:r w:rsidR="00711634" w:rsidRPr="000F6F57">
        <w:rPr>
          <w:sz w:val="22"/>
          <w:szCs w:val="22"/>
        </w:rPr>
        <w:t xml:space="preserve"> of the Forum.  </w:t>
      </w:r>
    </w:p>
    <w:p w14:paraId="18FC8C87" w14:textId="77777777" w:rsidR="008F3831" w:rsidRPr="002F260B" w:rsidRDefault="008F3831" w:rsidP="008F3831">
      <w:pPr>
        <w:rPr>
          <w:sz w:val="22"/>
          <w:szCs w:val="22"/>
          <w:highlight w:val="yellow"/>
        </w:rPr>
      </w:pPr>
    </w:p>
    <w:p w14:paraId="2A3690B1" w14:textId="1D231031" w:rsidR="00AA4F3D" w:rsidRPr="00AA4F3D" w:rsidRDefault="00AA4F3D" w:rsidP="00AA4F3D">
      <w:pPr>
        <w:rPr>
          <w:rFonts w:cs="Calibri"/>
          <w:color w:val="000000"/>
          <w:sz w:val="22"/>
          <w:szCs w:val="22"/>
          <w:lang w:val="en-US"/>
        </w:rPr>
      </w:pPr>
      <w:r w:rsidRPr="00AA4F3D">
        <w:rPr>
          <w:b/>
          <w:sz w:val="22"/>
          <w:szCs w:val="22"/>
        </w:rPr>
        <w:t>Recommendation</w:t>
      </w:r>
      <w:r w:rsidR="00D57C40">
        <w:rPr>
          <w:b/>
          <w:sz w:val="22"/>
          <w:szCs w:val="22"/>
        </w:rPr>
        <w:t xml:space="preserve"> 9</w:t>
      </w:r>
      <w:r w:rsidRPr="00AA4F3D">
        <w:rPr>
          <w:b/>
          <w:sz w:val="22"/>
          <w:szCs w:val="22"/>
        </w:rPr>
        <w:t xml:space="preserve">: </w:t>
      </w:r>
      <w:r w:rsidRPr="00AA4F3D">
        <w:rPr>
          <w:sz w:val="22"/>
          <w:szCs w:val="22"/>
        </w:rPr>
        <w:t xml:space="preserve">Reverse the $18 million </w:t>
      </w:r>
      <w:r w:rsidR="009D2BE8">
        <w:rPr>
          <w:sz w:val="22"/>
          <w:szCs w:val="22"/>
        </w:rPr>
        <w:t>reduction in Commonwealth funding</w:t>
      </w:r>
      <w:r w:rsidRPr="00AA4F3D">
        <w:rPr>
          <w:sz w:val="22"/>
          <w:szCs w:val="22"/>
        </w:rPr>
        <w:t xml:space="preserve"> to Aboriginal and Torres Strait Islander Legal Services between 2017-2018 </w:t>
      </w:r>
      <w:r w:rsidRPr="00AA4F3D">
        <w:rPr>
          <w:rFonts w:cs="Calibri"/>
          <w:color w:val="000000"/>
          <w:sz w:val="22"/>
          <w:szCs w:val="22"/>
          <w:lang w:val="en-US"/>
        </w:rPr>
        <w:t xml:space="preserve">and 2019-20. </w:t>
      </w:r>
    </w:p>
    <w:p w14:paraId="2AC4BFFA" w14:textId="77777777" w:rsidR="00711634" w:rsidRPr="00AA4F3D" w:rsidRDefault="00711634" w:rsidP="00711634">
      <w:pPr>
        <w:rPr>
          <w:b/>
          <w:sz w:val="22"/>
          <w:szCs w:val="22"/>
        </w:rPr>
      </w:pPr>
    </w:p>
    <w:p w14:paraId="42D0AE66" w14:textId="7EA38F3C" w:rsidR="00C662AF" w:rsidRPr="009B014F" w:rsidRDefault="00711634">
      <w:pPr>
        <w:rPr>
          <w:b/>
          <w:sz w:val="22"/>
          <w:szCs w:val="22"/>
        </w:rPr>
      </w:pPr>
      <w:r w:rsidRPr="00AA4F3D">
        <w:rPr>
          <w:b/>
          <w:sz w:val="22"/>
          <w:szCs w:val="22"/>
        </w:rPr>
        <w:t>Recommendation</w:t>
      </w:r>
      <w:r w:rsidR="00D57C40">
        <w:rPr>
          <w:b/>
          <w:sz w:val="22"/>
          <w:szCs w:val="22"/>
        </w:rPr>
        <w:t xml:space="preserve"> 10</w:t>
      </w:r>
      <w:r w:rsidRPr="00AA4F3D">
        <w:rPr>
          <w:b/>
          <w:sz w:val="22"/>
          <w:szCs w:val="22"/>
        </w:rPr>
        <w:t xml:space="preserve">: </w:t>
      </w:r>
      <w:r w:rsidRPr="00AA4F3D">
        <w:rPr>
          <w:sz w:val="22"/>
          <w:szCs w:val="22"/>
        </w:rPr>
        <w:t xml:space="preserve">Provide </w:t>
      </w:r>
      <w:r w:rsidRPr="00AA4F3D">
        <w:rPr>
          <w:rFonts w:cs="Calibri"/>
          <w:color w:val="000000"/>
          <w:sz w:val="22"/>
          <w:szCs w:val="22"/>
          <w:lang w:val="en-AU"/>
        </w:rPr>
        <w:t xml:space="preserve">National Aboriginal and Torres Strait Islander Legal Services </w:t>
      </w:r>
      <w:r w:rsidRPr="00AA4F3D">
        <w:rPr>
          <w:sz w:val="22"/>
          <w:szCs w:val="22"/>
        </w:rPr>
        <w:t xml:space="preserve">with additional funding and commit to long-term funding and support of </w:t>
      </w:r>
      <w:r w:rsidRPr="00AA4F3D">
        <w:rPr>
          <w:rFonts w:cs="Calibri"/>
          <w:color w:val="000000"/>
          <w:sz w:val="22"/>
          <w:szCs w:val="22"/>
          <w:lang w:val="en-AU"/>
        </w:rPr>
        <w:t>National Aboriginal and Torres Strait Islander Legal Services.</w:t>
      </w:r>
    </w:p>
    <w:p w14:paraId="2B1825A9" w14:textId="77777777" w:rsidR="00AA4F3D" w:rsidRDefault="00AA4F3D">
      <w:pPr>
        <w:rPr>
          <w:rFonts w:asciiTheme="majorHAnsi" w:eastAsiaTheme="majorEastAsia" w:hAnsiTheme="majorHAnsi" w:cstheme="majorBidi"/>
          <w:b/>
          <w:bCs/>
          <w:color w:val="345A8A" w:themeColor="accent1" w:themeShade="B5"/>
          <w:sz w:val="32"/>
          <w:szCs w:val="32"/>
        </w:rPr>
      </w:pPr>
      <w:r>
        <w:br w:type="page"/>
      </w:r>
    </w:p>
    <w:p w14:paraId="5A403C25" w14:textId="0A599E3C" w:rsidR="00DA707F" w:rsidRDefault="00DA707F" w:rsidP="00DA707F">
      <w:pPr>
        <w:pStyle w:val="Heading1"/>
      </w:pPr>
      <w:bookmarkStart w:id="3" w:name="_Toc472606636"/>
      <w:r>
        <w:t xml:space="preserve">Improving Access to Legal Assistance </w:t>
      </w:r>
      <w:r w:rsidR="00711634">
        <w:t>in Australia</w:t>
      </w:r>
      <w:bookmarkEnd w:id="3"/>
      <w:r w:rsidR="00711634">
        <w:t xml:space="preserve"> </w:t>
      </w:r>
    </w:p>
    <w:p w14:paraId="40A8785C" w14:textId="77777777" w:rsidR="00B357A6" w:rsidRDefault="00B357A6" w:rsidP="00DA707F">
      <w:pPr>
        <w:pStyle w:val="Heading2"/>
      </w:pPr>
      <w:bookmarkStart w:id="4" w:name="_Toc472606637"/>
      <w:r>
        <w:t>What is the Problem?</w:t>
      </w:r>
      <w:bookmarkEnd w:id="4"/>
    </w:p>
    <w:p w14:paraId="182DF678" w14:textId="77777777" w:rsidR="00A352AB" w:rsidRPr="00A352AB" w:rsidRDefault="00A352AB" w:rsidP="00A352AB"/>
    <w:p w14:paraId="24F10035" w14:textId="69AC1451" w:rsidR="00ED3761" w:rsidRPr="00B50082" w:rsidRDefault="005B1CF6" w:rsidP="00A352AB">
      <w:pPr>
        <w:pStyle w:val="ListBullet"/>
        <w:numPr>
          <w:ilvl w:val="0"/>
          <w:numId w:val="0"/>
        </w:numPr>
        <w:spacing w:before="0" w:line="240" w:lineRule="auto"/>
        <w:rPr>
          <w:rFonts w:asciiTheme="minorHAnsi" w:hAnsiTheme="minorHAnsi"/>
          <w:sz w:val="22"/>
          <w:szCs w:val="22"/>
        </w:rPr>
      </w:pPr>
      <w:r w:rsidRPr="00927A7A">
        <w:rPr>
          <w:rFonts w:asciiTheme="minorHAnsi" w:hAnsiTheme="minorHAnsi"/>
          <w:sz w:val="22"/>
          <w:szCs w:val="22"/>
        </w:rPr>
        <w:t>People experiencing legal problems in Australia are increasingly unable to access legal assistance.</w:t>
      </w:r>
      <w:r w:rsidR="009D2BE8">
        <w:rPr>
          <w:rFonts w:asciiTheme="minorHAnsi" w:hAnsiTheme="minorHAnsi"/>
          <w:sz w:val="22"/>
          <w:szCs w:val="22"/>
        </w:rPr>
        <w:t xml:space="preserve"> </w:t>
      </w:r>
      <w:r w:rsidR="00B357A6" w:rsidRPr="00927A7A">
        <w:rPr>
          <w:rFonts w:asciiTheme="minorHAnsi" w:hAnsiTheme="minorHAnsi"/>
          <w:sz w:val="22"/>
          <w:szCs w:val="22"/>
        </w:rPr>
        <w:t>A number of inquiries and reviews have made clear that there is significan</w:t>
      </w:r>
      <w:r w:rsidRPr="00927A7A">
        <w:rPr>
          <w:rFonts w:asciiTheme="minorHAnsi" w:hAnsiTheme="minorHAnsi"/>
          <w:sz w:val="22"/>
          <w:szCs w:val="22"/>
        </w:rPr>
        <w:t>t unmet legal need in Australia</w:t>
      </w:r>
      <w:r w:rsidR="009D2BE8">
        <w:rPr>
          <w:rFonts w:asciiTheme="minorHAnsi" w:hAnsiTheme="minorHAnsi"/>
          <w:sz w:val="22"/>
          <w:szCs w:val="22"/>
        </w:rPr>
        <w:t>.</w:t>
      </w:r>
      <w:r w:rsidR="00B357A6" w:rsidRPr="00927A7A">
        <w:rPr>
          <w:rStyle w:val="FootnoteReference"/>
          <w:rFonts w:asciiTheme="minorHAnsi" w:hAnsiTheme="minorHAnsi"/>
          <w:sz w:val="22"/>
          <w:szCs w:val="22"/>
        </w:rPr>
        <w:footnoteReference w:id="4"/>
      </w:r>
      <w:r w:rsidR="009D2BE8">
        <w:rPr>
          <w:rFonts w:asciiTheme="minorHAnsi" w:hAnsiTheme="minorHAnsi"/>
          <w:sz w:val="22"/>
          <w:szCs w:val="22"/>
        </w:rPr>
        <w:t xml:space="preserve"> </w:t>
      </w:r>
      <w:r w:rsidR="009B014F">
        <w:rPr>
          <w:rFonts w:asciiTheme="minorHAnsi" w:hAnsiTheme="minorHAnsi"/>
          <w:sz w:val="22"/>
          <w:szCs w:val="22"/>
        </w:rPr>
        <w:t>For example, t</w:t>
      </w:r>
      <w:r w:rsidR="00B50082">
        <w:rPr>
          <w:rFonts w:asciiTheme="minorHAnsi" w:hAnsiTheme="minorHAnsi"/>
          <w:sz w:val="22"/>
          <w:szCs w:val="22"/>
        </w:rPr>
        <w:t xml:space="preserve">he 2015 </w:t>
      </w:r>
      <w:r w:rsidR="001705AD" w:rsidRPr="00927A7A">
        <w:rPr>
          <w:rFonts w:asciiTheme="minorHAnsi" w:hAnsiTheme="minorHAnsi"/>
          <w:sz w:val="22"/>
          <w:szCs w:val="22"/>
        </w:rPr>
        <w:t>NACLC Nat</w:t>
      </w:r>
      <w:r w:rsidR="00B50082">
        <w:rPr>
          <w:rFonts w:asciiTheme="minorHAnsi" w:hAnsiTheme="minorHAnsi"/>
          <w:sz w:val="22"/>
          <w:szCs w:val="22"/>
        </w:rPr>
        <w:t>ional Census showed that over 16</w:t>
      </w:r>
      <w:r w:rsidR="001705AD" w:rsidRPr="00927A7A">
        <w:rPr>
          <w:rFonts w:asciiTheme="minorHAnsi" w:hAnsiTheme="minorHAnsi"/>
          <w:sz w:val="22"/>
          <w:szCs w:val="22"/>
        </w:rPr>
        <w:t>0,000 people were turned away from CLCs</w:t>
      </w:r>
      <w:r w:rsidR="00B50082">
        <w:rPr>
          <w:rFonts w:asciiTheme="minorHAnsi" w:hAnsiTheme="minorHAnsi"/>
          <w:sz w:val="22"/>
          <w:szCs w:val="22"/>
        </w:rPr>
        <w:t xml:space="preserve"> in 2014-2015</w:t>
      </w:r>
      <w:r w:rsidR="001705AD" w:rsidRPr="00927A7A">
        <w:rPr>
          <w:rFonts w:asciiTheme="minorHAnsi" w:hAnsiTheme="minorHAnsi"/>
          <w:sz w:val="22"/>
          <w:szCs w:val="22"/>
        </w:rPr>
        <w:t xml:space="preserve"> in part due to a lack of re</w:t>
      </w:r>
      <w:r w:rsidR="00B50082">
        <w:rPr>
          <w:rFonts w:asciiTheme="minorHAnsi" w:hAnsiTheme="minorHAnsi"/>
          <w:sz w:val="22"/>
          <w:szCs w:val="22"/>
        </w:rPr>
        <w:t xml:space="preserve">sources, </w:t>
      </w:r>
      <w:r w:rsidR="009D2BE8">
        <w:rPr>
          <w:rFonts w:asciiTheme="minorHAnsi" w:hAnsiTheme="minorHAnsi"/>
          <w:sz w:val="22"/>
          <w:szCs w:val="22"/>
        </w:rPr>
        <w:t xml:space="preserve">which is </w:t>
      </w:r>
      <w:r w:rsidR="00B50082">
        <w:rPr>
          <w:rFonts w:asciiTheme="minorHAnsi" w:hAnsiTheme="minorHAnsi"/>
          <w:sz w:val="22"/>
          <w:szCs w:val="22"/>
        </w:rPr>
        <w:t>a conservative number</w:t>
      </w:r>
      <w:r w:rsidR="009B014F">
        <w:rPr>
          <w:rFonts w:asciiTheme="minorHAnsi" w:hAnsiTheme="minorHAnsi"/>
          <w:sz w:val="22"/>
          <w:szCs w:val="22"/>
        </w:rPr>
        <w:t xml:space="preserve">. </w:t>
      </w:r>
      <w:r w:rsidR="00B50082">
        <w:rPr>
          <w:rFonts w:asciiTheme="minorHAnsi" w:hAnsiTheme="minorHAnsi"/>
          <w:sz w:val="22"/>
          <w:szCs w:val="22"/>
        </w:rPr>
        <w:t xml:space="preserve"> </w:t>
      </w:r>
    </w:p>
    <w:p w14:paraId="6B50DCA8" w14:textId="77777777" w:rsidR="00A352AB" w:rsidRPr="00927A7A" w:rsidRDefault="00A352AB" w:rsidP="00A352AB">
      <w:pPr>
        <w:pStyle w:val="ListBullet"/>
        <w:numPr>
          <w:ilvl w:val="0"/>
          <w:numId w:val="0"/>
        </w:numPr>
        <w:spacing w:before="0" w:line="240" w:lineRule="auto"/>
        <w:rPr>
          <w:rFonts w:asciiTheme="minorHAnsi" w:hAnsiTheme="minorHAnsi"/>
          <w:sz w:val="22"/>
          <w:szCs w:val="22"/>
        </w:rPr>
      </w:pPr>
    </w:p>
    <w:p w14:paraId="08BE851B" w14:textId="00D79DF9" w:rsidR="005B1CF6" w:rsidRPr="00927A7A" w:rsidRDefault="005B1CF6" w:rsidP="00A352AB">
      <w:pPr>
        <w:pStyle w:val="ListBullet"/>
        <w:numPr>
          <w:ilvl w:val="0"/>
          <w:numId w:val="0"/>
        </w:numPr>
        <w:spacing w:before="0" w:line="240" w:lineRule="auto"/>
        <w:rPr>
          <w:rFonts w:asciiTheme="minorHAnsi" w:hAnsiTheme="minorHAnsi"/>
          <w:sz w:val="22"/>
          <w:szCs w:val="22"/>
        </w:rPr>
      </w:pPr>
      <w:r w:rsidRPr="00927A7A">
        <w:rPr>
          <w:rFonts w:asciiTheme="minorHAnsi" w:hAnsiTheme="minorHAnsi"/>
          <w:sz w:val="22"/>
          <w:szCs w:val="22"/>
        </w:rPr>
        <w:t>This is occurring against the backdrop of underfunding of the legal assistance sector (for example, Australia is one of the lower funding nations of legal assistance services on a per capita basis)</w:t>
      </w:r>
      <w:r w:rsidRPr="00927A7A">
        <w:rPr>
          <w:rStyle w:val="FootnoteReference"/>
          <w:rFonts w:asciiTheme="minorHAnsi" w:hAnsiTheme="minorHAnsi"/>
          <w:sz w:val="22"/>
          <w:szCs w:val="22"/>
        </w:rPr>
        <w:footnoteReference w:id="5"/>
      </w:r>
      <w:r w:rsidRPr="00927A7A">
        <w:rPr>
          <w:rFonts w:asciiTheme="minorHAnsi" w:hAnsiTheme="minorHAnsi"/>
          <w:sz w:val="22"/>
          <w:szCs w:val="22"/>
        </w:rPr>
        <w:t xml:space="preserve">, and proposed further reductions to funding.  </w:t>
      </w:r>
    </w:p>
    <w:p w14:paraId="462B49A8" w14:textId="16E089E3" w:rsidR="005B1CF6" w:rsidRPr="00927A7A" w:rsidRDefault="005B1CF6" w:rsidP="00A352AB">
      <w:pPr>
        <w:rPr>
          <w:sz w:val="22"/>
          <w:szCs w:val="22"/>
        </w:rPr>
      </w:pPr>
    </w:p>
    <w:p w14:paraId="55BD7534" w14:textId="503216CB" w:rsidR="000F4410" w:rsidRPr="00927A7A" w:rsidRDefault="00B357A6" w:rsidP="00A352AB">
      <w:pPr>
        <w:rPr>
          <w:sz w:val="22"/>
          <w:szCs w:val="22"/>
        </w:rPr>
      </w:pPr>
      <w:r w:rsidRPr="00927A7A">
        <w:rPr>
          <w:sz w:val="22"/>
          <w:szCs w:val="22"/>
        </w:rPr>
        <w:t>The effect of this is that people who are experiencing legal problems are una</w:t>
      </w:r>
      <w:r w:rsidR="001705AD" w:rsidRPr="00927A7A">
        <w:rPr>
          <w:sz w:val="22"/>
          <w:szCs w:val="22"/>
        </w:rPr>
        <w:t xml:space="preserve">ble to access legal assistance in many cases, and this crisis in legal assistance is worsening. </w:t>
      </w:r>
    </w:p>
    <w:p w14:paraId="4DEBD991" w14:textId="664E4127" w:rsidR="00DA707F" w:rsidRDefault="00A97B64" w:rsidP="00DA707F">
      <w:pPr>
        <w:pStyle w:val="Heading2"/>
      </w:pPr>
      <w:bookmarkStart w:id="5" w:name="_Toc472606638"/>
      <w:r>
        <w:t xml:space="preserve">What Are </w:t>
      </w:r>
      <w:r w:rsidR="00DA707F">
        <w:t>Community Legal Centres</w:t>
      </w:r>
      <w:r w:rsidR="00B357A6">
        <w:t xml:space="preserve"> </w:t>
      </w:r>
      <w:r>
        <w:t xml:space="preserve">and How Do They </w:t>
      </w:r>
      <w:r w:rsidR="00B357A6">
        <w:t>Help</w:t>
      </w:r>
      <w:r w:rsidR="00DA707F">
        <w:t>?</w:t>
      </w:r>
      <w:bookmarkEnd w:id="5"/>
      <w:r w:rsidR="00DA707F">
        <w:t xml:space="preserve"> </w:t>
      </w:r>
    </w:p>
    <w:p w14:paraId="11834D61" w14:textId="77777777" w:rsidR="00DA707F" w:rsidRDefault="00DA707F" w:rsidP="00DA707F"/>
    <w:p w14:paraId="5F219AB4" w14:textId="77777777" w:rsidR="00DA707F" w:rsidRPr="007146D3" w:rsidRDefault="00DA707F" w:rsidP="00DA707F">
      <w:pPr>
        <w:rPr>
          <w:sz w:val="22"/>
          <w:szCs w:val="22"/>
        </w:rPr>
      </w:pPr>
      <w:r w:rsidRPr="007146D3">
        <w:rPr>
          <w:sz w:val="22"/>
          <w:szCs w:val="22"/>
        </w:rPr>
        <w:t xml:space="preserve">There are four publicly funded legal assistance providers in Australia—Community Legal Centres (CLCs), Legal Aid Commissions (LACs), Aboriginal and Torres Strait Islander Legal Services (ATSILS) and Family Violence Prevention Legal Services (FVPLS). </w:t>
      </w:r>
    </w:p>
    <w:p w14:paraId="4A999B96" w14:textId="77777777" w:rsidR="00DA707F" w:rsidRPr="007146D3" w:rsidRDefault="00DA707F" w:rsidP="00DA707F">
      <w:pPr>
        <w:rPr>
          <w:sz w:val="22"/>
          <w:szCs w:val="22"/>
        </w:rPr>
      </w:pPr>
    </w:p>
    <w:p w14:paraId="0D0EF7DD" w14:textId="77777777" w:rsidR="00B357A6" w:rsidRDefault="00DA707F" w:rsidP="00DA707F">
      <w:pPr>
        <w:rPr>
          <w:sz w:val="22"/>
          <w:szCs w:val="22"/>
        </w:rPr>
      </w:pPr>
      <w:r w:rsidRPr="007146D3">
        <w:rPr>
          <w:rFonts w:eastAsia="MS Mincho" w:cs="Arial"/>
          <w:sz w:val="22"/>
          <w:szCs w:val="22"/>
        </w:rPr>
        <w:t xml:space="preserve">CLCs are </w:t>
      </w:r>
      <w:r w:rsidR="00C11766" w:rsidRPr="007146D3">
        <w:rPr>
          <w:sz w:val="22"/>
          <w:szCs w:val="22"/>
        </w:rPr>
        <w:t xml:space="preserve">independent, non-profit, </w:t>
      </w:r>
      <w:r w:rsidRPr="007146D3">
        <w:rPr>
          <w:sz w:val="22"/>
          <w:szCs w:val="22"/>
        </w:rPr>
        <w:t xml:space="preserve">community-based organisations that provide free and accessible legal and related services to disadvantaged members of the community, and to people with special needs or who are for other reasons vulnerable and at risk. </w:t>
      </w:r>
    </w:p>
    <w:p w14:paraId="3CC69BFD" w14:textId="77777777" w:rsidR="00C11766" w:rsidRPr="007146D3" w:rsidRDefault="00C11766" w:rsidP="00DA707F">
      <w:pPr>
        <w:rPr>
          <w:sz w:val="22"/>
          <w:szCs w:val="22"/>
        </w:rPr>
      </w:pPr>
    </w:p>
    <w:p w14:paraId="4B4F9BDF" w14:textId="4255F4B5" w:rsidR="0071221B" w:rsidRDefault="00C11766" w:rsidP="007146D3">
      <w:pPr>
        <w:rPr>
          <w:sz w:val="22"/>
          <w:szCs w:val="22"/>
        </w:rPr>
      </w:pPr>
      <w:r w:rsidRPr="007146D3">
        <w:rPr>
          <w:sz w:val="22"/>
          <w:szCs w:val="22"/>
        </w:rPr>
        <w:t xml:space="preserve">There </w:t>
      </w:r>
      <w:r w:rsidR="00B357A6">
        <w:rPr>
          <w:sz w:val="22"/>
          <w:szCs w:val="22"/>
        </w:rPr>
        <w:t xml:space="preserve">are </w:t>
      </w:r>
      <w:r w:rsidR="008A3231">
        <w:rPr>
          <w:sz w:val="22"/>
          <w:szCs w:val="22"/>
        </w:rPr>
        <w:t>189</w:t>
      </w:r>
      <w:r w:rsidR="00B357A6">
        <w:rPr>
          <w:sz w:val="22"/>
          <w:szCs w:val="22"/>
        </w:rPr>
        <w:t xml:space="preserve"> CLCs nationally. </w:t>
      </w:r>
      <w:r w:rsidRPr="007146D3">
        <w:rPr>
          <w:sz w:val="22"/>
          <w:szCs w:val="22"/>
        </w:rPr>
        <w:t>The CLC sector includes generalist CLCs that provide legal assistan</w:t>
      </w:r>
      <w:r w:rsidR="008C3C40">
        <w:rPr>
          <w:sz w:val="22"/>
          <w:szCs w:val="22"/>
        </w:rPr>
        <w:t xml:space="preserve">ce in a wide range of </w:t>
      </w:r>
      <w:r w:rsidR="0071221B">
        <w:rPr>
          <w:sz w:val="22"/>
          <w:szCs w:val="22"/>
        </w:rPr>
        <w:t>areas of law</w:t>
      </w:r>
      <w:r w:rsidRPr="007146D3">
        <w:rPr>
          <w:sz w:val="22"/>
          <w:szCs w:val="22"/>
        </w:rPr>
        <w:t xml:space="preserve"> people in their local community</w:t>
      </w:r>
      <w:r w:rsidR="008C3C40">
        <w:rPr>
          <w:sz w:val="22"/>
          <w:szCs w:val="22"/>
        </w:rPr>
        <w:t>, including in relation to family law and family violence,</w:t>
      </w:r>
      <w:r w:rsidR="00703F08">
        <w:rPr>
          <w:sz w:val="22"/>
          <w:szCs w:val="22"/>
        </w:rPr>
        <w:t xml:space="preserve"> credit and debt, consumer law, social security, migration, tenancy, discrimination, employment and child protection. </w:t>
      </w:r>
    </w:p>
    <w:p w14:paraId="67DB2325" w14:textId="77777777" w:rsidR="0071221B" w:rsidRDefault="0071221B" w:rsidP="007146D3">
      <w:pPr>
        <w:rPr>
          <w:sz w:val="22"/>
          <w:szCs w:val="22"/>
        </w:rPr>
      </w:pPr>
    </w:p>
    <w:p w14:paraId="74000D6A" w14:textId="78ACDABD" w:rsidR="00BB6F58" w:rsidRDefault="00703F08" w:rsidP="007146D3">
      <w:pPr>
        <w:rPr>
          <w:sz w:val="22"/>
          <w:szCs w:val="22"/>
        </w:rPr>
      </w:pPr>
      <w:r>
        <w:rPr>
          <w:sz w:val="22"/>
          <w:szCs w:val="22"/>
        </w:rPr>
        <w:t xml:space="preserve">There are also </w:t>
      </w:r>
      <w:r w:rsidR="00C11766" w:rsidRPr="007146D3">
        <w:rPr>
          <w:sz w:val="22"/>
          <w:szCs w:val="22"/>
        </w:rPr>
        <w:t>specialist CLCs which provide services to a particular target group and/or in a particular specialist area of law. For example, there are specialist services for women, tenants, consumer and credit, welfare rights, refugee</w:t>
      </w:r>
      <w:r w:rsidR="009D2BE8">
        <w:rPr>
          <w:sz w:val="22"/>
          <w:szCs w:val="22"/>
        </w:rPr>
        <w:t xml:space="preserve">s, </w:t>
      </w:r>
      <w:r>
        <w:rPr>
          <w:sz w:val="22"/>
          <w:szCs w:val="22"/>
        </w:rPr>
        <w:t>older persons</w:t>
      </w:r>
      <w:r w:rsidR="00C11766" w:rsidRPr="007146D3">
        <w:rPr>
          <w:sz w:val="22"/>
          <w:szCs w:val="22"/>
        </w:rPr>
        <w:t xml:space="preserve">, children and youth, and people with disability, among others.  </w:t>
      </w:r>
    </w:p>
    <w:p w14:paraId="4CA800C1" w14:textId="77777777" w:rsidR="0047562C" w:rsidRPr="0047562C" w:rsidRDefault="0047562C" w:rsidP="0047562C"/>
    <w:p w14:paraId="4DA59FAE" w14:textId="6816F0EF" w:rsidR="00ED56B5" w:rsidRDefault="00AA1D63" w:rsidP="00AA1D63">
      <w:pPr>
        <w:rPr>
          <w:sz w:val="22"/>
          <w:szCs w:val="22"/>
        </w:rPr>
      </w:pPr>
      <w:r w:rsidRPr="006B4DA4">
        <w:rPr>
          <w:sz w:val="22"/>
          <w:szCs w:val="22"/>
        </w:rPr>
        <w:t xml:space="preserve">Community legal centres provide legal advice, legal information and referrals </w:t>
      </w:r>
      <w:r>
        <w:rPr>
          <w:sz w:val="22"/>
          <w:szCs w:val="22"/>
        </w:rPr>
        <w:t>and casework. CLCs</w:t>
      </w:r>
      <w:r w:rsidRPr="006B4DA4">
        <w:rPr>
          <w:sz w:val="22"/>
          <w:szCs w:val="22"/>
        </w:rPr>
        <w:t xml:space="preserve"> also </w:t>
      </w:r>
      <w:r w:rsidR="0047562C">
        <w:rPr>
          <w:sz w:val="22"/>
          <w:szCs w:val="22"/>
        </w:rPr>
        <w:t>utilise</w:t>
      </w:r>
      <w:r w:rsidRPr="006B4DA4">
        <w:rPr>
          <w:sz w:val="22"/>
          <w:szCs w:val="22"/>
        </w:rPr>
        <w:t xml:space="preserve"> a range of early intervention and preventative strategies such as community legal education and community development, individual skill building, systemic advocacy and law an</w:t>
      </w:r>
      <w:r>
        <w:rPr>
          <w:sz w:val="22"/>
          <w:szCs w:val="22"/>
        </w:rPr>
        <w:t>d policy reform activities. More broadly, CLCs</w:t>
      </w:r>
      <w:r w:rsidRPr="006B4DA4">
        <w:rPr>
          <w:sz w:val="22"/>
          <w:szCs w:val="22"/>
        </w:rPr>
        <w:t xml:space="preserve"> also </w:t>
      </w:r>
      <w:r>
        <w:rPr>
          <w:sz w:val="22"/>
          <w:szCs w:val="22"/>
        </w:rPr>
        <w:t xml:space="preserve">play a key role in community </w:t>
      </w:r>
      <w:r w:rsidRPr="006B4DA4">
        <w:rPr>
          <w:sz w:val="22"/>
          <w:szCs w:val="22"/>
        </w:rPr>
        <w:t>engagement,</w:t>
      </w:r>
      <w:r w:rsidR="0047562C">
        <w:rPr>
          <w:sz w:val="22"/>
          <w:szCs w:val="22"/>
        </w:rPr>
        <w:t xml:space="preserve"> developing and facilitating </w:t>
      </w:r>
      <w:r w:rsidRPr="006B4DA4">
        <w:rPr>
          <w:sz w:val="22"/>
          <w:szCs w:val="22"/>
        </w:rPr>
        <w:t xml:space="preserve">partnerships between legal assistance providers and legal and non-legal services, and developing and maintaining referral networks and protocols. </w:t>
      </w:r>
    </w:p>
    <w:p w14:paraId="5F1EBDC0" w14:textId="77777777" w:rsidR="009B014F" w:rsidRPr="006B4DA4" w:rsidRDefault="009B014F" w:rsidP="00AA1D63">
      <w:pPr>
        <w:rPr>
          <w:sz w:val="22"/>
          <w:szCs w:val="22"/>
        </w:rPr>
      </w:pPr>
    </w:p>
    <w:p w14:paraId="575C96EE" w14:textId="436F5BAF" w:rsidR="00703F08" w:rsidRDefault="00AA1D63" w:rsidP="00C11766">
      <w:pPr>
        <w:rPr>
          <w:sz w:val="22"/>
          <w:szCs w:val="22"/>
        </w:rPr>
      </w:pPr>
      <w:r w:rsidRPr="006B4DA4">
        <w:rPr>
          <w:sz w:val="22"/>
          <w:szCs w:val="22"/>
        </w:rPr>
        <w:t>The service delivery m</w:t>
      </w:r>
      <w:r w:rsidR="0071221B">
        <w:rPr>
          <w:sz w:val="22"/>
          <w:szCs w:val="22"/>
        </w:rPr>
        <w:t>odel of CLCs is a holistic one</w:t>
      </w:r>
      <w:r w:rsidR="0071221B" w:rsidRPr="007146D3">
        <w:rPr>
          <w:sz w:val="22"/>
          <w:szCs w:val="22"/>
        </w:rPr>
        <w:t>—</w:t>
      </w:r>
      <w:r w:rsidR="006805BC">
        <w:rPr>
          <w:sz w:val="22"/>
          <w:szCs w:val="22"/>
        </w:rPr>
        <w:t xml:space="preserve">in addition to employing lawyers and providing legal services, their </w:t>
      </w:r>
      <w:r w:rsidRPr="006B4DA4">
        <w:rPr>
          <w:sz w:val="22"/>
          <w:szCs w:val="22"/>
        </w:rPr>
        <w:t>work is both responsive, in providing legal services as needed, and proactive, in that they attempt wherever possible to assist people in resolving the causes of their legal problems.</w:t>
      </w:r>
    </w:p>
    <w:p w14:paraId="1A506ED6" w14:textId="77777777" w:rsidR="009D2BE8" w:rsidRDefault="009D2BE8" w:rsidP="00C11766">
      <w:pPr>
        <w:rPr>
          <w:sz w:val="22"/>
          <w:szCs w:val="22"/>
        </w:rPr>
      </w:pPr>
    </w:p>
    <w:p w14:paraId="6398AED7" w14:textId="708D36C4" w:rsidR="0053231F" w:rsidRPr="000F6F57" w:rsidRDefault="00711634" w:rsidP="00C11766">
      <w:pPr>
        <w:rPr>
          <w:sz w:val="22"/>
          <w:szCs w:val="22"/>
        </w:rPr>
      </w:pPr>
      <w:r w:rsidRPr="000F6F57">
        <w:rPr>
          <w:sz w:val="22"/>
          <w:szCs w:val="22"/>
        </w:rPr>
        <w:t>In 2014-2015</w:t>
      </w:r>
      <w:r w:rsidR="0053231F" w:rsidRPr="000F6F57">
        <w:rPr>
          <w:sz w:val="22"/>
          <w:szCs w:val="22"/>
        </w:rPr>
        <w:t>, the top 3 specialist areas or client groups</w:t>
      </w:r>
      <w:r w:rsidR="00295236" w:rsidRPr="000F6F57">
        <w:rPr>
          <w:sz w:val="22"/>
          <w:szCs w:val="22"/>
        </w:rPr>
        <w:t xml:space="preserve"> for CLCs</w:t>
      </w:r>
      <w:r w:rsidR="0053231F" w:rsidRPr="000F6F57">
        <w:rPr>
          <w:sz w:val="22"/>
          <w:szCs w:val="22"/>
        </w:rPr>
        <w:t xml:space="preserve"> were: </w:t>
      </w:r>
    </w:p>
    <w:p w14:paraId="30B115B9" w14:textId="721BD852" w:rsidR="0053231F" w:rsidRPr="000F6F57" w:rsidRDefault="007146D3" w:rsidP="00341912">
      <w:pPr>
        <w:pStyle w:val="ListParagraph"/>
        <w:numPr>
          <w:ilvl w:val="0"/>
          <w:numId w:val="11"/>
        </w:numPr>
        <w:rPr>
          <w:sz w:val="22"/>
          <w:szCs w:val="22"/>
        </w:rPr>
      </w:pPr>
      <w:r w:rsidRPr="000F6F57">
        <w:rPr>
          <w:sz w:val="22"/>
          <w:szCs w:val="22"/>
        </w:rPr>
        <w:t>D</w:t>
      </w:r>
      <w:r w:rsidR="0053231F" w:rsidRPr="000F6F57">
        <w:rPr>
          <w:sz w:val="22"/>
          <w:szCs w:val="22"/>
        </w:rPr>
        <w:t xml:space="preserve">omestic/family violence </w:t>
      </w:r>
    </w:p>
    <w:p w14:paraId="52070371" w14:textId="0A40915E" w:rsidR="009B014F" w:rsidRPr="000F6F57" w:rsidRDefault="009B014F" w:rsidP="00341912">
      <w:pPr>
        <w:pStyle w:val="ListParagraph"/>
        <w:numPr>
          <w:ilvl w:val="0"/>
          <w:numId w:val="11"/>
        </w:numPr>
        <w:rPr>
          <w:sz w:val="22"/>
          <w:szCs w:val="22"/>
        </w:rPr>
      </w:pPr>
      <w:r w:rsidRPr="000F6F57">
        <w:rPr>
          <w:sz w:val="22"/>
          <w:szCs w:val="22"/>
        </w:rPr>
        <w:t>Homelessness</w:t>
      </w:r>
    </w:p>
    <w:p w14:paraId="1B52F2DB" w14:textId="48863151" w:rsidR="0064513C" w:rsidRPr="000F6F57" w:rsidRDefault="009B014F" w:rsidP="00341912">
      <w:pPr>
        <w:pStyle w:val="ListParagraph"/>
        <w:numPr>
          <w:ilvl w:val="0"/>
          <w:numId w:val="11"/>
        </w:numPr>
        <w:rPr>
          <w:sz w:val="22"/>
          <w:szCs w:val="22"/>
        </w:rPr>
      </w:pPr>
      <w:r w:rsidRPr="000F6F57">
        <w:rPr>
          <w:sz w:val="22"/>
          <w:szCs w:val="22"/>
        </w:rPr>
        <w:t xml:space="preserve">Family law. </w:t>
      </w:r>
    </w:p>
    <w:p w14:paraId="396259F9" w14:textId="77777777" w:rsidR="009B014F" w:rsidRPr="000F6F57" w:rsidRDefault="009B014F" w:rsidP="009B014F">
      <w:pPr>
        <w:rPr>
          <w:sz w:val="22"/>
          <w:szCs w:val="22"/>
        </w:rPr>
      </w:pPr>
    </w:p>
    <w:p w14:paraId="36A7F2D4" w14:textId="4FAC0B5B" w:rsidR="009B014F" w:rsidRPr="000F6F57" w:rsidRDefault="009B014F" w:rsidP="009B014F">
      <w:pPr>
        <w:rPr>
          <w:sz w:val="22"/>
          <w:szCs w:val="22"/>
        </w:rPr>
      </w:pPr>
      <w:r w:rsidRPr="000F6F57">
        <w:rPr>
          <w:sz w:val="22"/>
          <w:szCs w:val="22"/>
        </w:rPr>
        <w:t xml:space="preserve">CLCs are efficient and innovative. For example, CLCs:  </w:t>
      </w:r>
    </w:p>
    <w:p w14:paraId="21302659" w14:textId="6F6196ED" w:rsidR="009B014F" w:rsidRPr="000F6F57" w:rsidRDefault="009B014F" w:rsidP="00341912">
      <w:pPr>
        <w:pStyle w:val="ListParagraph"/>
        <w:numPr>
          <w:ilvl w:val="0"/>
          <w:numId w:val="13"/>
        </w:numPr>
        <w:rPr>
          <w:sz w:val="22"/>
          <w:szCs w:val="22"/>
        </w:rPr>
      </w:pPr>
      <w:r w:rsidRPr="000F6F57">
        <w:rPr>
          <w:sz w:val="22"/>
          <w:szCs w:val="22"/>
        </w:rPr>
        <w:t xml:space="preserve">Coordinate significant </w:t>
      </w:r>
      <w:r w:rsidRPr="000F6F57">
        <w:rPr>
          <w:b/>
          <w:sz w:val="22"/>
          <w:szCs w:val="22"/>
        </w:rPr>
        <w:t>volunteer</w:t>
      </w:r>
      <w:r w:rsidRPr="000F6F57">
        <w:rPr>
          <w:sz w:val="22"/>
          <w:szCs w:val="22"/>
        </w:rPr>
        <w:t xml:space="preserve"> involvement, increasing the capacity and expertise of centres. For example, volunteers contributed over 575,000 hours to  CLCs in 2014-15</w:t>
      </w:r>
    </w:p>
    <w:p w14:paraId="15C87382" w14:textId="141FF25C" w:rsidR="009B014F" w:rsidRPr="000F6F57" w:rsidRDefault="009B014F" w:rsidP="00341912">
      <w:pPr>
        <w:pStyle w:val="ListParagraph"/>
        <w:numPr>
          <w:ilvl w:val="0"/>
          <w:numId w:val="13"/>
        </w:numPr>
        <w:rPr>
          <w:sz w:val="22"/>
          <w:szCs w:val="22"/>
        </w:rPr>
      </w:pPr>
      <w:r w:rsidRPr="000F6F57">
        <w:rPr>
          <w:sz w:val="22"/>
          <w:szCs w:val="22"/>
        </w:rPr>
        <w:t xml:space="preserve">Attract high levels of </w:t>
      </w:r>
      <w:r w:rsidRPr="000F6F57">
        <w:rPr>
          <w:b/>
          <w:sz w:val="22"/>
          <w:szCs w:val="22"/>
        </w:rPr>
        <w:t>pro bono</w:t>
      </w:r>
      <w:r w:rsidRPr="000F6F57">
        <w:rPr>
          <w:sz w:val="22"/>
          <w:szCs w:val="22"/>
        </w:rPr>
        <w:t xml:space="preserve"> assistance from private law firms. For example, in 2014-15 over 51,896 hours were contributed by pro bono partners to CLCs across Australia</w:t>
      </w:r>
    </w:p>
    <w:p w14:paraId="3EA5EE81" w14:textId="2CBCD1F3" w:rsidR="009B014F" w:rsidRPr="000F6F57" w:rsidRDefault="009B014F" w:rsidP="00341912">
      <w:pPr>
        <w:pStyle w:val="ListParagraph"/>
        <w:numPr>
          <w:ilvl w:val="0"/>
          <w:numId w:val="12"/>
        </w:numPr>
        <w:rPr>
          <w:sz w:val="22"/>
          <w:szCs w:val="22"/>
        </w:rPr>
      </w:pPr>
      <w:r w:rsidRPr="000F6F57">
        <w:rPr>
          <w:sz w:val="22"/>
          <w:szCs w:val="22"/>
        </w:rPr>
        <w:t>leverage</w:t>
      </w:r>
      <w:r w:rsidR="00F335BC" w:rsidRPr="000F6F57">
        <w:rPr>
          <w:sz w:val="22"/>
          <w:szCs w:val="22"/>
        </w:rPr>
        <w:t xml:space="preserve"> better outcomes </w:t>
      </w:r>
      <w:r w:rsidR="00E738E6" w:rsidRPr="000F6F57">
        <w:rPr>
          <w:sz w:val="22"/>
          <w:szCs w:val="22"/>
        </w:rPr>
        <w:t xml:space="preserve">through </w:t>
      </w:r>
      <w:r w:rsidR="00E738E6" w:rsidRPr="000F6F57">
        <w:rPr>
          <w:b/>
          <w:sz w:val="22"/>
          <w:szCs w:val="22"/>
        </w:rPr>
        <w:t>collaborations</w:t>
      </w:r>
      <w:r w:rsidR="00F335BC" w:rsidRPr="000F6F57">
        <w:rPr>
          <w:b/>
          <w:sz w:val="22"/>
          <w:szCs w:val="22"/>
        </w:rPr>
        <w:t xml:space="preserve"> </w:t>
      </w:r>
      <w:r w:rsidR="00F335BC" w:rsidRPr="000F6F57">
        <w:rPr>
          <w:sz w:val="22"/>
          <w:szCs w:val="22"/>
        </w:rPr>
        <w:t>within the legal assistance service system and with other sectors</w:t>
      </w:r>
      <w:r w:rsidR="00C67562" w:rsidRPr="000F6F57">
        <w:rPr>
          <w:sz w:val="22"/>
          <w:szCs w:val="22"/>
        </w:rPr>
        <w:t xml:space="preserve"> t</w:t>
      </w:r>
      <w:r w:rsidR="00F335BC" w:rsidRPr="000F6F57">
        <w:rPr>
          <w:sz w:val="22"/>
          <w:szCs w:val="22"/>
        </w:rPr>
        <w:t>hrough</w:t>
      </w:r>
      <w:r w:rsidR="00E248D7" w:rsidRPr="000F6F57">
        <w:rPr>
          <w:sz w:val="22"/>
          <w:szCs w:val="22"/>
        </w:rPr>
        <w:t>, for example,</w:t>
      </w:r>
      <w:r w:rsidR="00F335BC" w:rsidRPr="000F6F57">
        <w:rPr>
          <w:sz w:val="22"/>
          <w:szCs w:val="22"/>
        </w:rPr>
        <w:t xml:space="preserve"> the establishment</w:t>
      </w:r>
      <w:r w:rsidR="00C67562" w:rsidRPr="000F6F57">
        <w:rPr>
          <w:sz w:val="22"/>
          <w:szCs w:val="22"/>
        </w:rPr>
        <w:t xml:space="preserve"> of Health Justice Pa</w:t>
      </w:r>
      <w:r w:rsidRPr="000F6F57">
        <w:rPr>
          <w:sz w:val="22"/>
          <w:szCs w:val="22"/>
        </w:rPr>
        <w:t>rtnerships</w:t>
      </w:r>
    </w:p>
    <w:p w14:paraId="7834DD85" w14:textId="2088F397" w:rsidR="00F17BE5" w:rsidRPr="000F6F57" w:rsidRDefault="009B014F" w:rsidP="00341912">
      <w:pPr>
        <w:pStyle w:val="ListParagraph"/>
        <w:numPr>
          <w:ilvl w:val="0"/>
          <w:numId w:val="12"/>
        </w:numPr>
        <w:rPr>
          <w:sz w:val="22"/>
          <w:szCs w:val="22"/>
        </w:rPr>
      </w:pPr>
      <w:r w:rsidRPr="000F6F57">
        <w:rPr>
          <w:sz w:val="22"/>
          <w:szCs w:val="22"/>
        </w:rPr>
        <w:t xml:space="preserve">undertake community legal education and other early intervention work, aimed at </w:t>
      </w:r>
      <w:r w:rsidR="00F17BE5" w:rsidRPr="000F6F57">
        <w:rPr>
          <w:sz w:val="22"/>
          <w:szCs w:val="22"/>
        </w:rPr>
        <w:t>empowering vulnerable people to prevent and avoid</w:t>
      </w:r>
      <w:r w:rsidR="004752EC" w:rsidRPr="000F6F57">
        <w:rPr>
          <w:sz w:val="22"/>
          <w:szCs w:val="22"/>
        </w:rPr>
        <w:t xml:space="preserve"> the escalation of legal issues</w:t>
      </w:r>
    </w:p>
    <w:p w14:paraId="3125EA55" w14:textId="7EA1EBE7" w:rsidR="00054422" w:rsidRPr="000F6F57" w:rsidRDefault="004752EC" w:rsidP="00341912">
      <w:pPr>
        <w:pStyle w:val="ListParagraph"/>
        <w:numPr>
          <w:ilvl w:val="0"/>
          <w:numId w:val="12"/>
        </w:numPr>
        <w:rPr>
          <w:sz w:val="22"/>
          <w:szCs w:val="22"/>
        </w:rPr>
      </w:pPr>
      <w:r w:rsidRPr="000F6F57">
        <w:rPr>
          <w:sz w:val="22"/>
          <w:szCs w:val="22"/>
        </w:rPr>
        <w:t xml:space="preserve">are focused on </w:t>
      </w:r>
      <w:r w:rsidRPr="000F6F57">
        <w:rPr>
          <w:b/>
          <w:sz w:val="22"/>
          <w:szCs w:val="22"/>
        </w:rPr>
        <w:t>continuous quality improvement</w:t>
      </w:r>
      <w:r w:rsidRPr="000F6F57">
        <w:rPr>
          <w:sz w:val="22"/>
          <w:szCs w:val="22"/>
        </w:rPr>
        <w:t xml:space="preserve">, </w:t>
      </w:r>
      <w:r w:rsidR="00054422" w:rsidRPr="000F6F57">
        <w:rPr>
          <w:sz w:val="22"/>
          <w:szCs w:val="22"/>
        </w:rPr>
        <w:t>driven through the industry-led</w:t>
      </w:r>
      <w:r w:rsidRPr="000F6F57">
        <w:rPr>
          <w:sz w:val="22"/>
          <w:szCs w:val="22"/>
        </w:rPr>
        <w:t xml:space="preserve"> National Accreditation Scheme under which </w:t>
      </w:r>
      <w:r w:rsidR="00054422" w:rsidRPr="000F6F57">
        <w:rPr>
          <w:sz w:val="22"/>
          <w:szCs w:val="22"/>
        </w:rPr>
        <w:t>all CLCs are required to demonstrate how they comply with key quality standard</w:t>
      </w:r>
      <w:r w:rsidRPr="000F6F57">
        <w:rPr>
          <w:sz w:val="22"/>
          <w:szCs w:val="22"/>
        </w:rPr>
        <w:t xml:space="preserve">s for service delivery. </w:t>
      </w:r>
    </w:p>
    <w:p w14:paraId="55A5EA11" w14:textId="77777777" w:rsidR="00372E73" w:rsidRDefault="00372E73" w:rsidP="00372E73">
      <w:pPr>
        <w:rPr>
          <w:rFonts w:ascii="Arial" w:eastAsia="Times New Roman" w:hAnsi="Arial" w:cs="Times New Roman"/>
          <w:sz w:val="21"/>
          <w:szCs w:val="21"/>
          <w:lang w:val="en-AU"/>
        </w:rPr>
      </w:pPr>
    </w:p>
    <w:p w14:paraId="15A5356C" w14:textId="2AB60832" w:rsidR="000C02C1" w:rsidRPr="00372E73" w:rsidRDefault="00257BDD" w:rsidP="00372E73">
      <w:pPr>
        <w:rPr>
          <w:sz w:val="22"/>
          <w:szCs w:val="22"/>
        </w:rPr>
      </w:pPr>
      <w:r w:rsidRPr="00372E73">
        <w:rPr>
          <w:sz w:val="22"/>
          <w:szCs w:val="22"/>
        </w:rPr>
        <w:t xml:space="preserve">The work of CLCs generates </w:t>
      </w:r>
      <w:r w:rsidRPr="00372E73">
        <w:rPr>
          <w:b/>
          <w:sz w:val="22"/>
          <w:szCs w:val="22"/>
        </w:rPr>
        <w:t>savings for Government and the community</w:t>
      </w:r>
      <w:r w:rsidR="00372E73" w:rsidRPr="00372E73">
        <w:rPr>
          <w:b/>
          <w:sz w:val="22"/>
          <w:szCs w:val="22"/>
        </w:rPr>
        <w:t xml:space="preserve">. </w:t>
      </w:r>
      <w:r w:rsidRPr="00372E73">
        <w:rPr>
          <w:sz w:val="22"/>
          <w:szCs w:val="22"/>
        </w:rPr>
        <w:t>The Productivity Commission</w:t>
      </w:r>
      <w:r w:rsidR="00372E73" w:rsidRPr="00372E73">
        <w:rPr>
          <w:sz w:val="22"/>
          <w:szCs w:val="22"/>
        </w:rPr>
        <w:t xml:space="preserve"> has</w:t>
      </w:r>
      <w:r w:rsidRPr="00372E73">
        <w:rPr>
          <w:sz w:val="22"/>
          <w:szCs w:val="22"/>
        </w:rPr>
        <w:t xml:space="preserve"> indicated </w:t>
      </w:r>
      <w:r w:rsidR="00372E73" w:rsidRPr="00372E73">
        <w:rPr>
          <w:sz w:val="22"/>
          <w:szCs w:val="22"/>
        </w:rPr>
        <w:t>that the</w:t>
      </w:r>
      <w:r w:rsidRPr="00372E73">
        <w:rPr>
          <w:sz w:val="22"/>
          <w:szCs w:val="22"/>
        </w:rPr>
        <w:t xml:space="preserve"> ‘positive spill</w:t>
      </w:r>
      <w:r w:rsidRPr="00372E73">
        <w:rPr>
          <w:sz w:val="22"/>
          <w:szCs w:val="22"/>
        </w:rPr>
        <w:noBreakHyphen/>
        <w:t>over or flow on effects to the wider community from providing legal assistance</w:t>
      </w:r>
      <w:r w:rsidR="000C02C1" w:rsidRPr="00372E73">
        <w:rPr>
          <w:sz w:val="22"/>
          <w:szCs w:val="22"/>
        </w:rPr>
        <w:t xml:space="preserve"> services’</w:t>
      </w:r>
      <w:r w:rsidRPr="00372E73">
        <w:rPr>
          <w:rStyle w:val="FootnoteReference"/>
          <w:sz w:val="22"/>
          <w:szCs w:val="22"/>
        </w:rPr>
        <w:footnoteReference w:id="6"/>
      </w:r>
      <w:r w:rsidR="000C02C1" w:rsidRPr="00372E73">
        <w:rPr>
          <w:sz w:val="22"/>
          <w:szCs w:val="22"/>
        </w:rPr>
        <w:t xml:space="preserve"> justify government </w:t>
      </w:r>
      <w:r w:rsidRPr="00372E73">
        <w:rPr>
          <w:sz w:val="22"/>
          <w:szCs w:val="22"/>
        </w:rPr>
        <w:t>involvement in</w:t>
      </w:r>
      <w:r w:rsidR="004041AB" w:rsidRPr="00372E73">
        <w:rPr>
          <w:sz w:val="22"/>
          <w:szCs w:val="22"/>
        </w:rPr>
        <w:t>,</w:t>
      </w:r>
      <w:r w:rsidRPr="00372E73">
        <w:rPr>
          <w:sz w:val="22"/>
          <w:szCs w:val="22"/>
        </w:rPr>
        <w:t xml:space="preserve"> and fundi</w:t>
      </w:r>
      <w:r w:rsidR="000C02C1" w:rsidRPr="00372E73">
        <w:rPr>
          <w:sz w:val="22"/>
          <w:szCs w:val="22"/>
        </w:rPr>
        <w:t>ng of</w:t>
      </w:r>
      <w:r w:rsidR="004041AB" w:rsidRPr="00372E73">
        <w:rPr>
          <w:sz w:val="22"/>
          <w:szCs w:val="22"/>
        </w:rPr>
        <w:t>,</w:t>
      </w:r>
      <w:r w:rsidR="000C02C1" w:rsidRPr="00372E73">
        <w:rPr>
          <w:sz w:val="22"/>
          <w:szCs w:val="22"/>
        </w:rPr>
        <w:t xml:space="preserve"> legal assistance services. </w:t>
      </w:r>
      <w:r w:rsidR="00372E73" w:rsidRPr="00372E73">
        <w:rPr>
          <w:sz w:val="22"/>
          <w:szCs w:val="22"/>
        </w:rPr>
        <w:t xml:space="preserve">It has also </w:t>
      </w:r>
      <w:r w:rsidR="002A3F34" w:rsidRPr="00372E73">
        <w:rPr>
          <w:sz w:val="22"/>
          <w:szCs w:val="22"/>
        </w:rPr>
        <w:t xml:space="preserve">highlighted that in many types of disputes, the avoided or flow-on costs are greater than the cost of providing funding to </w:t>
      </w:r>
      <w:r w:rsidR="001E7CB1" w:rsidRPr="00372E73">
        <w:rPr>
          <w:sz w:val="22"/>
          <w:szCs w:val="22"/>
        </w:rPr>
        <w:t>legal assistance service</w:t>
      </w:r>
      <w:r w:rsidR="00372E73" w:rsidRPr="00372E73">
        <w:rPr>
          <w:sz w:val="22"/>
          <w:szCs w:val="22"/>
        </w:rPr>
        <w:t>s to provide the assistance.</w:t>
      </w:r>
      <w:r w:rsidR="000C02C1" w:rsidRPr="00372E73">
        <w:rPr>
          <w:rStyle w:val="FootnoteReference"/>
          <w:i/>
          <w:sz w:val="22"/>
          <w:szCs w:val="22"/>
        </w:rPr>
        <w:footnoteReference w:id="7"/>
      </w:r>
    </w:p>
    <w:p w14:paraId="317980C8" w14:textId="3D09F24A" w:rsidR="00B357A6" w:rsidRDefault="00B357A6" w:rsidP="007146D3">
      <w:pPr>
        <w:pStyle w:val="Heading2"/>
      </w:pPr>
      <w:bookmarkStart w:id="6" w:name="_Toc472606639"/>
      <w:r>
        <w:t>What</w:t>
      </w:r>
      <w:r w:rsidR="003F0BBD">
        <w:t xml:space="preserve"> </w:t>
      </w:r>
      <w:r w:rsidR="002554C4">
        <w:t>Challenges Exist in Solving the Problem?</w:t>
      </w:r>
      <w:bookmarkEnd w:id="6"/>
      <w:r w:rsidR="002554C4">
        <w:t xml:space="preserve"> </w:t>
      </w:r>
    </w:p>
    <w:p w14:paraId="292397D0" w14:textId="77777777" w:rsidR="002554C4" w:rsidRDefault="002554C4" w:rsidP="002554C4"/>
    <w:p w14:paraId="6E7A9B77" w14:textId="5FDC8EF6" w:rsidR="003F0BBD" w:rsidRPr="00346AD5" w:rsidRDefault="002554C4" w:rsidP="002554C4">
      <w:pPr>
        <w:rPr>
          <w:sz w:val="22"/>
          <w:szCs w:val="22"/>
        </w:rPr>
      </w:pPr>
      <w:r w:rsidRPr="00346AD5">
        <w:rPr>
          <w:sz w:val="22"/>
          <w:szCs w:val="22"/>
        </w:rPr>
        <w:t>There are a number of challenges to ensuring that people who are experiencing lega</w:t>
      </w:r>
      <w:r w:rsidR="00BA394C">
        <w:rPr>
          <w:sz w:val="22"/>
          <w:szCs w:val="22"/>
        </w:rPr>
        <w:t>l problems are able to access</w:t>
      </w:r>
      <w:r w:rsidRPr="00346AD5">
        <w:rPr>
          <w:sz w:val="22"/>
          <w:szCs w:val="22"/>
        </w:rPr>
        <w:t xml:space="preserve"> legal assistance. In the context of the legal assistance sector, the key ch</w:t>
      </w:r>
      <w:r w:rsidR="00F40AE6">
        <w:rPr>
          <w:sz w:val="22"/>
          <w:szCs w:val="22"/>
        </w:rPr>
        <w:t xml:space="preserve">allenge is a lack of resources. </w:t>
      </w:r>
    </w:p>
    <w:p w14:paraId="174437F0" w14:textId="66709200" w:rsidR="00AA1D63" w:rsidRDefault="007146D3" w:rsidP="006A4D09">
      <w:pPr>
        <w:pStyle w:val="Heading3"/>
      </w:pPr>
      <w:bookmarkStart w:id="7" w:name="_Toc472606640"/>
      <w:r>
        <w:t>Funding for Community Legal Centres</w:t>
      </w:r>
      <w:bookmarkEnd w:id="7"/>
      <w:r>
        <w:t xml:space="preserve"> </w:t>
      </w:r>
    </w:p>
    <w:p w14:paraId="079DFEF8" w14:textId="77777777" w:rsidR="006A4D09" w:rsidRPr="006A4D09" w:rsidRDefault="006A4D09" w:rsidP="006A4D09"/>
    <w:p w14:paraId="3C901321" w14:textId="0A3C4312" w:rsidR="00262FC9" w:rsidRPr="00F40AE6" w:rsidRDefault="0064513C" w:rsidP="001705AD">
      <w:pPr>
        <w:pStyle w:val="BodyText"/>
        <w:rPr>
          <w:rFonts w:asciiTheme="minorHAnsi" w:hAnsiTheme="minorHAnsi"/>
          <w:sz w:val="22"/>
          <w:szCs w:val="22"/>
        </w:rPr>
      </w:pPr>
      <w:r>
        <w:rPr>
          <w:rFonts w:asciiTheme="minorHAnsi" w:hAnsiTheme="minorHAnsi"/>
          <w:sz w:val="22"/>
          <w:szCs w:val="22"/>
        </w:rPr>
        <w:t>This section provides an overview of the recent</w:t>
      </w:r>
      <w:r w:rsidR="00B50082">
        <w:rPr>
          <w:rFonts w:asciiTheme="minorHAnsi" w:hAnsiTheme="minorHAnsi"/>
          <w:sz w:val="22"/>
          <w:szCs w:val="22"/>
        </w:rPr>
        <w:t xml:space="preserve"> Commonwealth funding landscape for CLCs and the funding cliff from 1 July 2017. </w:t>
      </w:r>
      <w:r w:rsidR="00F40AE6">
        <w:rPr>
          <w:rFonts w:asciiTheme="minorHAnsi" w:hAnsiTheme="minorHAnsi"/>
          <w:sz w:val="22"/>
          <w:szCs w:val="22"/>
        </w:rPr>
        <w:t xml:space="preserve"> </w:t>
      </w:r>
      <w:r w:rsidR="00ED56B5" w:rsidRPr="00AF6F6E">
        <w:rPr>
          <w:rFonts w:asciiTheme="minorHAnsi" w:hAnsiTheme="minorHAnsi"/>
          <w:sz w:val="22"/>
          <w:szCs w:val="22"/>
        </w:rPr>
        <w:t xml:space="preserve">Briefly, CLCs receive </w:t>
      </w:r>
      <w:r w:rsidR="00AF6F6E" w:rsidRPr="00AF6F6E">
        <w:rPr>
          <w:rFonts w:asciiTheme="minorHAnsi" w:hAnsiTheme="minorHAnsi"/>
          <w:sz w:val="22"/>
          <w:szCs w:val="22"/>
        </w:rPr>
        <w:t xml:space="preserve">funding from a range of </w:t>
      </w:r>
      <w:r w:rsidR="00AF6F6E" w:rsidRPr="00AF6F6E">
        <w:rPr>
          <w:rFonts w:asciiTheme="minorHAnsi" w:hAnsiTheme="minorHAnsi" w:cs="Arial"/>
          <w:sz w:val="22"/>
          <w:szCs w:val="22"/>
        </w:rPr>
        <w:t>sources, including Commonwealth, State and Territory Governments, philanthropic grants, donations and fundraising, interest, and other activities. However the majority of CLC</w:t>
      </w:r>
      <w:r w:rsidR="002F4003">
        <w:rPr>
          <w:rFonts w:asciiTheme="minorHAnsi" w:hAnsiTheme="minorHAnsi" w:cs="Arial"/>
          <w:sz w:val="22"/>
          <w:szCs w:val="22"/>
        </w:rPr>
        <w:t xml:space="preserve"> funding comes from Government.</w:t>
      </w:r>
    </w:p>
    <w:p w14:paraId="49FA228C" w14:textId="3022F2AF" w:rsidR="007146D3" w:rsidRDefault="004752EC" w:rsidP="00AA4F3D">
      <w:pPr>
        <w:pStyle w:val="Heading4"/>
        <w:rPr>
          <w:shd w:val="clear" w:color="auto" w:fill="FFFFFF"/>
        </w:rPr>
      </w:pPr>
      <w:r>
        <w:rPr>
          <w:shd w:val="clear" w:color="auto" w:fill="FFFFFF"/>
        </w:rPr>
        <w:t>Overview of t</w:t>
      </w:r>
      <w:r w:rsidR="00B11300">
        <w:rPr>
          <w:shd w:val="clear" w:color="auto" w:fill="FFFFFF"/>
        </w:rPr>
        <w:t>he recent funding l</w:t>
      </w:r>
      <w:r w:rsidR="007146D3">
        <w:rPr>
          <w:shd w:val="clear" w:color="auto" w:fill="FFFFFF"/>
        </w:rPr>
        <w:t xml:space="preserve">andscape  </w:t>
      </w:r>
    </w:p>
    <w:p w14:paraId="47C4F911" w14:textId="77777777" w:rsidR="00AA4F3D" w:rsidRPr="00AA4F3D" w:rsidRDefault="00AA4F3D" w:rsidP="00AA4F3D"/>
    <w:p w14:paraId="653C307E" w14:textId="77777777" w:rsidR="0047562C" w:rsidRDefault="0047562C" w:rsidP="00262FC9">
      <w:pPr>
        <w:pStyle w:val="ListParagraph"/>
        <w:numPr>
          <w:ilvl w:val="0"/>
          <w:numId w:val="6"/>
        </w:numPr>
        <w:jc w:val="both"/>
        <w:rPr>
          <w:sz w:val="22"/>
          <w:szCs w:val="22"/>
          <w:shd w:val="clear" w:color="auto" w:fill="FFFFFF"/>
        </w:rPr>
      </w:pPr>
      <w:r w:rsidRPr="0047562C">
        <w:rPr>
          <w:b/>
          <w:sz w:val="22"/>
          <w:szCs w:val="22"/>
          <w:shd w:val="clear" w:color="auto" w:fill="FFFFFF"/>
        </w:rPr>
        <w:t>2013-2014 Federal Budget</w:t>
      </w:r>
      <w:r>
        <w:rPr>
          <w:sz w:val="22"/>
          <w:szCs w:val="22"/>
          <w:shd w:val="clear" w:color="auto" w:fill="FFFFFF"/>
        </w:rPr>
        <w:t xml:space="preserve">: </w:t>
      </w:r>
      <w:r w:rsidR="007146D3" w:rsidRPr="0047562C">
        <w:rPr>
          <w:sz w:val="22"/>
          <w:szCs w:val="22"/>
          <w:shd w:val="clear" w:color="auto" w:fill="FFFFFF"/>
        </w:rPr>
        <w:t xml:space="preserve">CLCs received additional funding of $10.3 million over four years. </w:t>
      </w:r>
    </w:p>
    <w:p w14:paraId="193D6827" w14:textId="797D46F9" w:rsidR="007146D3" w:rsidRPr="0047562C" w:rsidRDefault="0047562C" w:rsidP="00262FC9">
      <w:pPr>
        <w:pStyle w:val="ListParagraph"/>
        <w:numPr>
          <w:ilvl w:val="0"/>
          <w:numId w:val="6"/>
        </w:numPr>
        <w:jc w:val="both"/>
        <w:rPr>
          <w:sz w:val="22"/>
          <w:szCs w:val="22"/>
          <w:shd w:val="clear" w:color="auto" w:fill="FFFFFF"/>
        </w:rPr>
      </w:pPr>
      <w:r w:rsidRPr="0093640B">
        <w:rPr>
          <w:b/>
          <w:sz w:val="22"/>
          <w:szCs w:val="22"/>
          <w:shd w:val="clear" w:color="auto" w:fill="FFFFFF"/>
        </w:rPr>
        <w:t>July 2013</w:t>
      </w:r>
      <w:r>
        <w:rPr>
          <w:sz w:val="22"/>
          <w:szCs w:val="22"/>
          <w:shd w:val="clear" w:color="auto" w:fill="FFFFFF"/>
        </w:rPr>
        <w:t>: A</w:t>
      </w:r>
      <w:r w:rsidR="007146D3" w:rsidRPr="0047562C">
        <w:rPr>
          <w:sz w:val="22"/>
          <w:szCs w:val="22"/>
          <w:shd w:val="clear" w:color="auto" w:fill="FFFFFF"/>
        </w:rPr>
        <w:t>dditional $33.5 million over four y</w:t>
      </w:r>
      <w:r>
        <w:rPr>
          <w:sz w:val="22"/>
          <w:szCs w:val="22"/>
          <w:shd w:val="clear" w:color="auto" w:fill="FFFFFF"/>
        </w:rPr>
        <w:t xml:space="preserve">ears for CLCs announced </w:t>
      </w:r>
    </w:p>
    <w:p w14:paraId="716E6801" w14:textId="0F8C39D6" w:rsidR="007146D3" w:rsidRPr="0047562C" w:rsidRDefault="007146D3" w:rsidP="00262FC9">
      <w:pPr>
        <w:pStyle w:val="ListParagraph"/>
        <w:widowControl w:val="0"/>
        <w:numPr>
          <w:ilvl w:val="0"/>
          <w:numId w:val="6"/>
        </w:numPr>
        <w:autoSpaceDE w:val="0"/>
        <w:autoSpaceDN w:val="0"/>
        <w:adjustRightInd w:val="0"/>
        <w:jc w:val="both"/>
        <w:rPr>
          <w:rFonts w:cs="Geneva"/>
          <w:sz w:val="22"/>
          <w:szCs w:val="22"/>
          <w:lang w:val="en-US"/>
        </w:rPr>
      </w:pPr>
      <w:r w:rsidRPr="0093640B">
        <w:rPr>
          <w:rFonts w:cs="Geneva"/>
          <w:b/>
          <w:sz w:val="22"/>
          <w:szCs w:val="22"/>
          <w:lang w:val="en-US"/>
        </w:rPr>
        <w:t>Mid-Year Econom</w:t>
      </w:r>
      <w:r w:rsidR="0047562C" w:rsidRPr="0093640B">
        <w:rPr>
          <w:rFonts w:cs="Geneva"/>
          <w:b/>
          <w:sz w:val="22"/>
          <w:szCs w:val="22"/>
          <w:lang w:val="en-US"/>
        </w:rPr>
        <w:t>ic and Fiscal Outlook (MYEFO) 2013-2014</w:t>
      </w:r>
      <w:r w:rsidR="0047562C">
        <w:rPr>
          <w:rFonts w:cs="Geneva"/>
          <w:sz w:val="22"/>
          <w:szCs w:val="22"/>
          <w:lang w:val="en-US"/>
        </w:rPr>
        <w:t xml:space="preserve">: Funding cut </w:t>
      </w:r>
      <w:r w:rsidRPr="0047562C">
        <w:rPr>
          <w:rFonts w:cs="Geneva"/>
          <w:sz w:val="22"/>
          <w:szCs w:val="22"/>
          <w:lang w:val="en-US"/>
        </w:rPr>
        <w:t>of $43.1 million for legal assistance services over four years from 2013-14</w:t>
      </w:r>
      <w:r w:rsidR="0047562C">
        <w:rPr>
          <w:rFonts w:cs="Geneva"/>
          <w:sz w:val="22"/>
          <w:szCs w:val="22"/>
          <w:lang w:val="en-US"/>
        </w:rPr>
        <w:t xml:space="preserve"> announced, including </w:t>
      </w:r>
      <w:r w:rsidRPr="0047562C">
        <w:rPr>
          <w:rFonts w:cs="Geneva"/>
          <w:sz w:val="22"/>
          <w:szCs w:val="22"/>
          <w:lang w:val="en-US"/>
        </w:rPr>
        <w:t>a cut of $19.61 million to CLCs, $13.34 million to ATSILS, $3.65 million to F</w:t>
      </w:r>
      <w:r w:rsidR="0047562C">
        <w:rPr>
          <w:rFonts w:cs="Geneva"/>
          <w:sz w:val="22"/>
          <w:szCs w:val="22"/>
          <w:lang w:val="en-US"/>
        </w:rPr>
        <w:t>VPLS and $6.49 million to LACs</w:t>
      </w:r>
    </w:p>
    <w:p w14:paraId="25DCBDD3" w14:textId="2B1ED0C2" w:rsidR="0074292F" w:rsidRPr="0074292F" w:rsidRDefault="0047562C" w:rsidP="00262FC9">
      <w:pPr>
        <w:pStyle w:val="ListParagraph"/>
        <w:widowControl w:val="0"/>
        <w:numPr>
          <w:ilvl w:val="0"/>
          <w:numId w:val="6"/>
        </w:numPr>
        <w:autoSpaceDE w:val="0"/>
        <w:autoSpaceDN w:val="0"/>
        <w:adjustRightInd w:val="0"/>
        <w:jc w:val="both"/>
        <w:rPr>
          <w:rFonts w:cs="Times New Roman"/>
          <w:sz w:val="22"/>
          <w:szCs w:val="22"/>
          <w:lang w:val="en-AU"/>
        </w:rPr>
      </w:pPr>
      <w:r w:rsidRPr="0093640B">
        <w:rPr>
          <w:rFonts w:cs="Times New Roman"/>
          <w:b/>
          <w:sz w:val="22"/>
          <w:szCs w:val="22"/>
          <w:lang w:val="en-AU"/>
        </w:rPr>
        <w:t>May 2014:</w:t>
      </w:r>
      <w:r>
        <w:rPr>
          <w:rFonts w:cs="Times New Roman"/>
          <w:sz w:val="22"/>
          <w:szCs w:val="22"/>
          <w:lang w:val="en-AU"/>
        </w:rPr>
        <w:t xml:space="preserve"> CLCs (other than a small number of CLCs) informed </w:t>
      </w:r>
      <w:r w:rsidR="007146D3" w:rsidRPr="0047562C">
        <w:rPr>
          <w:sz w:val="22"/>
          <w:szCs w:val="22"/>
        </w:rPr>
        <w:t>about the exact allocation of cuts to take effect in 2015-16 and 201</w:t>
      </w:r>
      <w:r w:rsidRPr="0047562C">
        <w:rPr>
          <w:sz w:val="22"/>
          <w:szCs w:val="22"/>
        </w:rPr>
        <w:t>6-17</w:t>
      </w:r>
    </w:p>
    <w:p w14:paraId="5DC168FA" w14:textId="15695270" w:rsidR="007146D3" w:rsidRPr="0074292F" w:rsidRDefault="0047562C" w:rsidP="00262FC9">
      <w:pPr>
        <w:pStyle w:val="ListParagraph"/>
        <w:widowControl w:val="0"/>
        <w:numPr>
          <w:ilvl w:val="0"/>
          <w:numId w:val="6"/>
        </w:numPr>
        <w:autoSpaceDE w:val="0"/>
        <w:autoSpaceDN w:val="0"/>
        <w:adjustRightInd w:val="0"/>
        <w:jc w:val="both"/>
        <w:rPr>
          <w:rFonts w:cs="Times New Roman"/>
          <w:sz w:val="22"/>
          <w:szCs w:val="22"/>
          <w:lang w:val="en-AU"/>
        </w:rPr>
      </w:pPr>
      <w:r w:rsidRPr="0074292F">
        <w:rPr>
          <w:b/>
          <w:sz w:val="22"/>
          <w:szCs w:val="22"/>
        </w:rPr>
        <w:t>June 2014:</w:t>
      </w:r>
      <w:r w:rsidRPr="0074292F">
        <w:rPr>
          <w:sz w:val="22"/>
          <w:szCs w:val="22"/>
        </w:rPr>
        <w:t xml:space="preserve"> O</w:t>
      </w:r>
      <w:r w:rsidR="007146D3" w:rsidRPr="0074292F">
        <w:rPr>
          <w:sz w:val="22"/>
          <w:szCs w:val="22"/>
        </w:rPr>
        <w:t>ne-off grants tota</w:t>
      </w:r>
      <w:r w:rsidRPr="0074292F">
        <w:rPr>
          <w:sz w:val="22"/>
          <w:szCs w:val="22"/>
        </w:rPr>
        <w:t>lling $1.55 million to 14 CLCs announced</w:t>
      </w:r>
    </w:p>
    <w:p w14:paraId="74123000" w14:textId="246E5B59" w:rsidR="007146D3" w:rsidRPr="0047562C" w:rsidRDefault="0047562C" w:rsidP="00262FC9">
      <w:pPr>
        <w:pStyle w:val="ListParagraph"/>
        <w:widowControl w:val="0"/>
        <w:numPr>
          <w:ilvl w:val="0"/>
          <w:numId w:val="6"/>
        </w:numPr>
        <w:autoSpaceDE w:val="0"/>
        <w:autoSpaceDN w:val="0"/>
        <w:adjustRightInd w:val="0"/>
        <w:jc w:val="both"/>
        <w:rPr>
          <w:sz w:val="22"/>
          <w:szCs w:val="22"/>
        </w:rPr>
      </w:pPr>
      <w:r w:rsidRPr="0093640B">
        <w:rPr>
          <w:rFonts w:cs="Geneva"/>
          <w:b/>
          <w:sz w:val="22"/>
          <w:szCs w:val="22"/>
          <w:lang w:val="en-US"/>
        </w:rPr>
        <w:t>2014-2015 Federal Budget:</w:t>
      </w:r>
      <w:r>
        <w:rPr>
          <w:rFonts w:cs="Geneva"/>
          <w:sz w:val="22"/>
          <w:szCs w:val="22"/>
          <w:lang w:val="en-US"/>
        </w:rPr>
        <w:t xml:space="preserve"> Additional $6 million funding cut to CLCs announced, </w:t>
      </w:r>
      <w:r w:rsidR="007146D3" w:rsidRPr="0047562C">
        <w:rPr>
          <w:rFonts w:cs="Geneva"/>
          <w:sz w:val="22"/>
          <w:szCs w:val="22"/>
          <w:lang w:val="en-US"/>
        </w:rPr>
        <w:t>as we</w:t>
      </w:r>
      <w:r>
        <w:rPr>
          <w:rFonts w:cs="Geneva"/>
          <w:sz w:val="22"/>
          <w:szCs w:val="22"/>
          <w:lang w:val="en-US"/>
        </w:rPr>
        <w:t>ll as cuts to specific programs</w:t>
      </w:r>
    </w:p>
    <w:p w14:paraId="0FC930E0" w14:textId="0720C758" w:rsidR="007146D3" w:rsidRPr="0047562C" w:rsidRDefault="0047562C" w:rsidP="00262FC9">
      <w:pPr>
        <w:pStyle w:val="ListParagraph"/>
        <w:numPr>
          <w:ilvl w:val="0"/>
          <w:numId w:val="6"/>
        </w:numPr>
        <w:jc w:val="both"/>
        <w:rPr>
          <w:sz w:val="22"/>
          <w:szCs w:val="22"/>
        </w:rPr>
      </w:pPr>
      <w:r w:rsidRPr="0093640B">
        <w:rPr>
          <w:b/>
          <w:sz w:val="22"/>
          <w:szCs w:val="22"/>
        </w:rPr>
        <w:t>March 2015:</w:t>
      </w:r>
      <w:r>
        <w:rPr>
          <w:sz w:val="22"/>
          <w:szCs w:val="22"/>
        </w:rPr>
        <w:t xml:space="preserve"> Reversal of some of 2013-2014 MYEFO cuts, reinstating </w:t>
      </w:r>
      <w:r w:rsidR="007146D3" w:rsidRPr="0047562C">
        <w:rPr>
          <w:sz w:val="22"/>
          <w:szCs w:val="22"/>
        </w:rPr>
        <w:t>$25.5 million over two years for legal assistance services, including $12 million for CLCs.</w:t>
      </w:r>
    </w:p>
    <w:p w14:paraId="3D516388" w14:textId="2E973B47" w:rsidR="007146D3" w:rsidRPr="0047562C" w:rsidRDefault="0047562C" w:rsidP="00262FC9">
      <w:pPr>
        <w:pStyle w:val="ListParagraph"/>
        <w:numPr>
          <w:ilvl w:val="0"/>
          <w:numId w:val="6"/>
        </w:numPr>
        <w:jc w:val="both"/>
        <w:rPr>
          <w:sz w:val="22"/>
          <w:szCs w:val="22"/>
        </w:rPr>
      </w:pPr>
      <w:r w:rsidRPr="0093640B">
        <w:rPr>
          <w:b/>
          <w:sz w:val="22"/>
          <w:szCs w:val="22"/>
        </w:rPr>
        <w:t>M</w:t>
      </w:r>
      <w:r w:rsidR="0093640B" w:rsidRPr="0093640B">
        <w:rPr>
          <w:b/>
          <w:sz w:val="22"/>
          <w:szCs w:val="22"/>
        </w:rPr>
        <w:t>id-2015:</w:t>
      </w:r>
      <w:r w:rsidR="0093640B">
        <w:rPr>
          <w:sz w:val="22"/>
          <w:szCs w:val="22"/>
        </w:rPr>
        <w:t xml:space="preserve"> </w:t>
      </w:r>
      <w:r w:rsidR="007146D3" w:rsidRPr="0047562C">
        <w:rPr>
          <w:sz w:val="22"/>
          <w:szCs w:val="22"/>
        </w:rPr>
        <w:t xml:space="preserve">National Partnership Agreement on Legal Assistance Services 2015-2020 (NPA) agreed </w:t>
      </w:r>
      <w:r w:rsidR="002F4003">
        <w:rPr>
          <w:sz w:val="22"/>
          <w:szCs w:val="22"/>
        </w:rPr>
        <w:t xml:space="preserve">and commences </w:t>
      </w:r>
    </w:p>
    <w:p w14:paraId="6A3B5107" w14:textId="3E499207" w:rsidR="00B11300" w:rsidRDefault="0047562C" w:rsidP="00262FC9">
      <w:pPr>
        <w:pStyle w:val="ListParagraph"/>
        <w:widowControl w:val="0"/>
        <w:numPr>
          <w:ilvl w:val="0"/>
          <w:numId w:val="6"/>
        </w:numPr>
        <w:autoSpaceDE w:val="0"/>
        <w:autoSpaceDN w:val="0"/>
        <w:adjustRightInd w:val="0"/>
        <w:jc w:val="both"/>
        <w:rPr>
          <w:rFonts w:eastAsia="Times New Roman" w:cs="Times New Roman"/>
          <w:sz w:val="22"/>
          <w:szCs w:val="22"/>
          <w:shd w:val="clear" w:color="auto" w:fill="FFFFFF"/>
        </w:rPr>
      </w:pPr>
      <w:r w:rsidRPr="0093640B">
        <w:rPr>
          <w:rFonts w:eastAsia="Times New Roman" w:cs="Times New Roman"/>
          <w:b/>
          <w:sz w:val="22"/>
          <w:szCs w:val="22"/>
          <w:shd w:val="clear" w:color="auto" w:fill="FFFFFF"/>
        </w:rPr>
        <w:t>October</w:t>
      </w:r>
      <w:r w:rsidR="007146D3" w:rsidRPr="0093640B">
        <w:rPr>
          <w:rFonts w:eastAsia="Times New Roman" w:cs="Times New Roman"/>
          <w:b/>
          <w:sz w:val="22"/>
          <w:szCs w:val="22"/>
          <w:shd w:val="clear" w:color="auto" w:fill="FFFFFF"/>
        </w:rPr>
        <w:t xml:space="preserve"> 2015</w:t>
      </w:r>
      <w:r w:rsidRPr="0093640B">
        <w:rPr>
          <w:rFonts w:eastAsia="Times New Roman" w:cs="Times New Roman"/>
          <w:b/>
          <w:sz w:val="22"/>
          <w:szCs w:val="22"/>
          <w:shd w:val="clear" w:color="auto" w:fill="FFFFFF"/>
        </w:rPr>
        <w:t>:</w:t>
      </w:r>
      <w:r>
        <w:rPr>
          <w:rFonts w:eastAsia="Times New Roman" w:cs="Times New Roman"/>
          <w:sz w:val="22"/>
          <w:szCs w:val="22"/>
          <w:shd w:val="clear" w:color="auto" w:fill="FFFFFF"/>
        </w:rPr>
        <w:t xml:space="preserve"> Announcement of</w:t>
      </w:r>
      <w:r w:rsidR="007146D3" w:rsidRPr="0047562C">
        <w:rPr>
          <w:rFonts w:eastAsia="Times New Roman" w:cs="Times New Roman"/>
          <w:sz w:val="22"/>
          <w:szCs w:val="22"/>
          <w:shd w:val="clear" w:color="auto" w:fill="FFFFFF"/>
        </w:rPr>
        <w:t xml:space="preserve"> $15 million of the $100 million Women’s Safety Package </w:t>
      </w:r>
      <w:r>
        <w:rPr>
          <w:rFonts w:eastAsia="Times New Roman" w:cs="Times New Roman"/>
          <w:sz w:val="22"/>
          <w:szCs w:val="22"/>
          <w:shd w:val="clear" w:color="auto" w:fill="FFFFFF"/>
        </w:rPr>
        <w:t>to be used</w:t>
      </w:r>
      <w:r w:rsidR="00BA394C">
        <w:rPr>
          <w:rFonts w:eastAsia="Times New Roman" w:cs="Times New Roman"/>
          <w:sz w:val="22"/>
          <w:szCs w:val="22"/>
          <w:shd w:val="clear" w:color="auto" w:fill="FFFFFF"/>
        </w:rPr>
        <w:t xml:space="preserve"> to</w:t>
      </w:r>
      <w:r>
        <w:rPr>
          <w:rFonts w:eastAsia="Times New Roman" w:cs="Times New Roman"/>
          <w:sz w:val="22"/>
          <w:szCs w:val="22"/>
          <w:shd w:val="clear" w:color="auto" w:fill="FFFFFF"/>
        </w:rPr>
        <w:t xml:space="preserve"> </w:t>
      </w:r>
      <w:r w:rsidR="007146D3" w:rsidRPr="0047562C">
        <w:rPr>
          <w:rFonts w:eastAsia="Times New Roman" w:cs="Times New Roman"/>
          <w:sz w:val="22"/>
          <w:szCs w:val="22"/>
          <w:shd w:val="clear" w:color="auto" w:fill="FFFFFF"/>
        </w:rPr>
        <w:t xml:space="preserve">establish 12 new specialist domestic violence units and fund five health justice partnerships within existing legal assistance services located in </w:t>
      </w:r>
      <w:r>
        <w:rPr>
          <w:rFonts w:eastAsia="Times New Roman" w:cs="Times New Roman"/>
          <w:sz w:val="22"/>
          <w:szCs w:val="22"/>
          <w:shd w:val="clear" w:color="auto" w:fill="FFFFFF"/>
        </w:rPr>
        <w:t>domestic violence ‘hot spots’</w:t>
      </w:r>
    </w:p>
    <w:p w14:paraId="457A6A9A" w14:textId="51E1065D" w:rsidR="004752EC" w:rsidRDefault="00262FC9" w:rsidP="00262FC9">
      <w:pPr>
        <w:pStyle w:val="ListParagraph"/>
        <w:widowControl w:val="0"/>
        <w:numPr>
          <w:ilvl w:val="0"/>
          <w:numId w:val="6"/>
        </w:numPr>
        <w:autoSpaceDE w:val="0"/>
        <w:autoSpaceDN w:val="0"/>
        <w:adjustRightInd w:val="0"/>
        <w:jc w:val="both"/>
        <w:rPr>
          <w:rFonts w:eastAsia="Times New Roman" w:cs="Times New Roman"/>
          <w:sz w:val="22"/>
          <w:szCs w:val="22"/>
          <w:shd w:val="clear" w:color="auto" w:fill="FFFFFF"/>
        </w:rPr>
      </w:pPr>
      <w:r>
        <w:rPr>
          <w:rFonts w:eastAsia="Times New Roman" w:cs="Times New Roman"/>
          <w:b/>
          <w:sz w:val="22"/>
          <w:szCs w:val="22"/>
          <w:shd w:val="clear" w:color="auto" w:fill="FFFFFF"/>
        </w:rPr>
        <w:t xml:space="preserve">October </w:t>
      </w:r>
      <w:r w:rsidR="004752EC">
        <w:rPr>
          <w:rFonts w:eastAsia="Times New Roman" w:cs="Times New Roman"/>
          <w:b/>
          <w:sz w:val="22"/>
          <w:szCs w:val="22"/>
          <w:shd w:val="clear" w:color="auto" w:fill="FFFFFF"/>
        </w:rPr>
        <w:t>2016:</w:t>
      </w:r>
      <w:r w:rsidR="004752EC">
        <w:rPr>
          <w:rFonts w:eastAsia="Times New Roman" w:cs="Times New Roman"/>
          <w:sz w:val="22"/>
          <w:szCs w:val="22"/>
          <w:shd w:val="clear" w:color="auto" w:fill="FFFFFF"/>
        </w:rPr>
        <w:t xml:space="preserve"> Announcement of $5 million </w:t>
      </w:r>
      <w:r w:rsidR="00F40AE6">
        <w:rPr>
          <w:rFonts w:eastAsia="Times New Roman" w:cs="Times New Roman"/>
          <w:sz w:val="22"/>
          <w:szCs w:val="22"/>
          <w:shd w:val="clear" w:color="auto" w:fill="FFFFFF"/>
        </w:rPr>
        <w:t>(</w:t>
      </w:r>
      <w:r w:rsidR="004752EC">
        <w:rPr>
          <w:rFonts w:eastAsia="Times New Roman" w:cs="Times New Roman"/>
          <w:sz w:val="22"/>
          <w:szCs w:val="22"/>
          <w:shd w:val="clear" w:color="auto" w:fill="FFFFFF"/>
        </w:rPr>
        <w:t>of the $30 million funding for legal assistance under the Third Action Plan under the National Plan to Reduce Violence against Women and their Children</w:t>
      </w:r>
      <w:r w:rsidR="00F40AE6">
        <w:rPr>
          <w:rFonts w:eastAsia="Times New Roman" w:cs="Times New Roman"/>
          <w:sz w:val="22"/>
          <w:szCs w:val="22"/>
          <w:shd w:val="clear" w:color="auto" w:fill="FFFFFF"/>
        </w:rPr>
        <w:t>)</w:t>
      </w:r>
      <w:r w:rsidR="004752EC">
        <w:rPr>
          <w:rFonts w:eastAsia="Times New Roman" w:cs="Times New Roman"/>
          <w:sz w:val="22"/>
          <w:szCs w:val="22"/>
          <w:shd w:val="clear" w:color="auto" w:fill="FFFFFF"/>
        </w:rPr>
        <w:t xml:space="preserve"> to extend Women’s Safety P</w:t>
      </w:r>
      <w:r w:rsidR="00F40AE6">
        <w:rPr>
          <w:rFonts w:eastAsia="Times New Roman" w:cs="Times New Roman"/>
          <w:sz w:val="22"/>
          <w:szCs w:val="22"/>
          <w:shd w:val="clear" w:color="auto" w:fill="FFFFFF"/>
        </w:rPr>
        <w:t xml:space="preserve">ackage pilot projects by 1 year. </w:t>
      </w:r>
    </w:p>
    <w:p w14:paraId="386C873F" w14:textId="77777777" w:rsidR="00BB6F58" w:rsidRPr="00BB6F58" w:rsidRDefault="00BB6F58" w:rsidP="00BB6F58">
      <w:pPr>
        <w:rPr>
          <w:sz w:val="22"/>
          <w:szCs w:val="22"/>
        </w:rPr>
      </w:pPr>
    </w:p>
    <w:p w14:paraId="0CA066FB" w14:textId="4E7BE7FA" w:rsidR="002A0B6F" w:rsidRDefault="001C01C9" w:rsidP="00B56A97">
      <w:pPr>
        <w:pStyle w:val="Heading4"/>
      </w:pPr>
      <w:r>
        <w:t>The</w:t>
      </w:r>
      <w:r w:rsidR="00262FC9">
        <w:t xml:space="preserve"> national</w:t>
      </w:r>
      <w:r>
        <w:t xml:space="preserve"> </w:t>
      </w:r>
      <w:r w:rsidR="008F3831">
        <w:t>funding c</w:t>
      </w:r>
      <w:r w:rsidR="004752EC">
        <w:t xml:space="preserve">liff </w:t>
      </w:r>
    </w:p>
    <w:p w14:paraId="6E62A313" w14:textId="1FDBD2AF" w:rsidR="0093640B" w:rsidRPr="004752EC" w:rsidRDefault="00FA0860" w:rsidP="004752EC">
      <w:pPr>
        <w:pStyle w:val="ScheduleNumberedPara"/>
        <w:numPr>
          <w:ilvl w:val="0"/>
          <w:numId w:val="0"/>
        </w:numPr>
        <w:tabs>
          <w:tab w:val="left" w:pos="0"/>
        </w:tabs>
        <w:jc w:val="left"/>
        <w:rPr>
          <w:rFonts w:asciiTheme="minorHAnsi" w:hAnsiTheme="minorHAnsi"/>
          <w:sz w:val="22"/>
          <w:szCs w:val="22"/>
        </w:rPr>
      </w:pPr>
      <w:r w:rsidRPr="00B357A6">
        <w:rPr>
          <w:rFonts w:asciiTheme="minorHAnsi" w:hAnsiTheme="minorHAnsi"/>
          <w:sz w:val="22"/>
          <w:szCs w:val="22"/>
        </w:rPr>
        <w:t xml:space="preserve">The National Partnership Agreement on Legal Assistance Services 2015-2020 (NPA) </w:t>
      </w:r>
      <w:r w:rsidR="00C55DB9" w:rsidRPr="00B357A6">
        <w:rPr>
          <w:rFonts w:asciiTheme="minorHAnsi" w:hAnsiTheme="minorHAnsi" w:cs="Geneva"/>
          <w:sz w:val="22"/>
          <w:szCs w:val="22"/>
          <w:lang w:val="en-US"/>
        </w:rPr>
        <w:t xml:space="preserve">provides </w:t>
      </w:r>
      <w:r w:rsidR="00C55DB9" w:rsidRPr="00B357A6">
        <w:rPr>
          <w:rFonts w:asciiTheme="minorHAnsi" w:hAnsiTheme="minorHAnsi"/>
          <w:sz w:val="22"/>
          <w:szCs w:val="22"/>
        </w:rPr>
        <w:t xml:space="preserve">$1 billion over 4 years for </w:t>
      </w:r>
      <w:r w:rsidR="0037692D" w:rsidRPr="00B357A6">
        <w:rPr>
          <w:rFonts w:asciiTheme="minorHAnsi" w:hAnsiTheme="minorHAnsi"/>
          <w:sz w:val="22"/>
          <w:szCs w:val="22"/>
        </w:rPr>
        <w:t>Legal Aid Commissions and CLCs</w:t>
      </w:r>
      <w:r w:rsidR="004752EC">
        <w:rPr>
          <w:rFonts w:asciiTheme="minorHAnsi" w:hAnsiTheme="minorHAnsi"/>
          <w:sz w:val="22"/>
          <w:szCs w:val="22"/>
        </w:rPr>
        <w:t>. However CLCs only receive</w:t>
      </w:r>
      <w:r w:rsidR="0093640B">
        <w:rPr>
          <w:rFonts w:asciiTheme="minorHAnsi" w:hAnsiTheme="minorHAnsi"/>
          <w:sz w:val="22"/>
          <w:szCs w:val="22"/>
        </w:rPr>
        <w:t xml:space="preserve"> $142.90 million</w:t>
      </w:r>
      <w:r w:rsidR="004752EC">
        <w:rPr>
          <w:rFonts w:asciiTheme="minorHAnsi" w:hAnsiTheme="minorHAnsi"/>
          <w:sz w:val="22"/>
          <w:szCs w:val="22"/>
        </w:rPr>
        <w:t xml:space="preserve"> of total NPA funding</w:t>
      </w:r>
      <w:r w:rsidR="008F3831">
        <w:rPr>
          <w:rFonts w:asciiTheme="minorHAnsi" w:hAnsiTheme="minorHAnsi"/>
          <w:sz w:val="22"/>
          <w:szCs w:val="22"/>
        </w:rPr>
        <w:t>, and approximately 12% of overall Commonwealth funding for the legal assistance sector.</w:t>
      </w:r>
      <w:r w:rsidR="0093640B">
        <w:rPr>
          <w:rFonts w:asciiTheme="minorHAnsi" w:hAnsiTheme="minorHAnsi"/>
          <w:sz w:val="22"/>
          <w:szCs w:val="22"/>
        </w:rPr>
        <w:t xml:space="preserve"> </w:t>
      </w:r>
      <w:r w:rsidR="004752EC">
        <w:rPr>
          <w:rFonts w:asciiTheme="minorHAnsi" w:hAnsiTheme="minorHAnsi"/>
          <w:sz w:val="22"/>
          <w:szCs w:val="22"/>
        </w:rPr>
        <w:t xml:space="preserve">A funding breakdown under the NPA is provided at Appendix 1. </w:t>
      </w:r>
    </w:p>
    <w:p w14:paraId="6B9F8840" w14:textId="5A3FC6A0" w:rsidR="00D94AA3" w:rsidRDefault="004752EC" w:rsidP="00980CA1">
      <w:pPr>
        <w:pStyle w:val="ScheduleNumberedPara"/>
        <w:numPr>
          <w:ilvl w:val="0"/>
          <w:numId w:val="0"/>
        </w:numPr>
        <w:tabs>
          <w:tab w:val="left" w:pos="0"/>
        </w:tabs>
        <w:jc w:val="left"/>
        <w:rPr>
          <w:rFonts w:asciiTheme="minorHAnsi" w:hAnsiTheme="minorHAnsi"/>
          <w:sz w:val="22"/>
          <w:szCs w:val="22"/>
          <w:shd w:val="clear" w:color="auto" w:fill="FFFFFF"/>
        </w:rPr>
      </w:pPr>
      <w:r>
        <w:rPr>
          <w:rFonts w:asciiTheme="minorHAnsi" w:hAnsiTheme="minorHAnsi"/>
          <w:sz w:val="22"/>
          <w:szCs w:val="22"/>
          <w:shd w:val="clear" w:color="auto" w:fill="FFFFFF"/>
        </w:rPr>
        <w:t>Under the NPA</w:t>
      </w:r>
      <w:r w:rsidR="0093640B" w:rsidRPr="00B4248C">
        <w:rPr>
          <w:rFonts w:asciiTheme="minorHAnsi" w:hAnsiTheme="minorHAnsi"/>
          <w:sz w:val="22"/>
          <w:szCs w:val="22"/>
          <w:shd w:val="clear" w:color="auto" w:fill="FFFFFF"/>
        </w:rPr>
        <w:t xml:space="preserve">, </w:t>
      </w:r>
      <w:r>
        <w:rPr>
          <w:rFonts w:asciiTheme="minorHAnsi" w:hAnsiTheme="minorHAnsi"/>
          <w:sz w:val="22"/>
          <w:szCs w:val="22"/>
        </w:rPr>
        <w:t>the 189 CLCs nationally</w:t>
      </w:r>
      <w:r w:rsidR="0093640B" w:rsidRPr="00B4248C">
        <w:rPr>
          <w:rFonts w:asciiTheme="minorHAnsi" w:hAnsiTheme="minorHAnsi"/>
          <w:sz w:val="22"/>
          <w:szCs w:val="22"/>
        </w:rPr>
        <w:t xml:space="preserve"> </w:t>
      </w:r>
      <w:r>
        <w:rPr>
          <w:rFonts w:asciiTheme="minorHAnsi" w:hAnsiTheme="minorHAnsi"/>
          <w:sz w:val="22"/>
          <w:szCs w:val="22"/>
        </w:rPr>
        <w:t xml:space="preserve">are receiving </w:t>
      </w:r>
      <w:r w:rsidR="0093640B" w:rsidRPr="00B4248C">
        <w:rPr>
          <w:rFonts w:asciiTheme="minorHAnsi" w:hAnsiTheme="minorHAnsi"/>
          <w:sz w:val="22"/>
          <w:szCs w:val="22"/>
          <w:shd w:val="clear" w:color="auto" w:fill="FFFFFF"/>
        </w:rPr>
        <w:t>$42.2 million in 2016-2017, dropping to $30.1 million in 2017-2018 and $30.6 million in 2018-2019</w:t>
      </w:r>
      <w:r w:rsidR="00D94AA3">
        <w:rPr>
          <w:rFonts w:asciiTheme="minorHAnsi" w:hAnsiTheme="minorHAnsi"/>
          <w:sz w:val="22"/>
          <w:szCs w:val="22"/>
          <w:shd w:val="clear" w:color="auto" w:fill="FFFFFF"/>
        </w:rPr>
        <w:t xml:space="preserve"> and $31.07 million in 2019-2020. The reduction in funding </w:t>
      </w:r>
      <w:r w:rsidR="009378CA">
        <w:rPr>
          <w:rFonts w:asciiTheme="minorHAnsi" w:hAnsiTheme="minorHAnsi"/>
          <w:sz w:val="22"/>
          <w:szCs w:val="22"/>
          <w:shd w:val="clear" w:color="auto" w:fill="FFFFFF"/>
        </w:rPr>
        <w:t xml:space="preserve">levels </w:t>
      </w:r>
      <w:r w:rsidR="000C4FDF">
        <w:rPr>
          <w:rFonts w:asciiTheme="minorHAnsi" w:hAnsiTheme="minorHAnsi"/>
          <w:sz w:val="22"/>
          <w:szCs w:val="22"/>
          <w:shd w:val="clear" w:color="auto" w:fill="FFFFFF"/>
        </w:rPr>
        <w:t xml:space="preserve">from </w:t>
      </w:r>
      <w:r w:rsidR="00D94AA3">
        <w:rPr>
          <w:rFonts w:asciiTheme="minorHAnsi" w:hAnsiTheme="minorHAnsi"/>
          <w:sz w:val="22"/>
          <w:szCs w:val="22"/>
          <w:shd w:val="clear" w:color="auto" w:fill="FFFFFF"/>
        </w:rPr>
        <w:t>2016-2017 and the last three years of the NPA is $12.1 million in</w:t>
      </w:r>
      <w:r w:rsidR="0093640B" w:rsidRPr="00B4248C">
        <w:rPr>
          <w:rFonts w:asciiTheme="minorHAnsi" w:hAnsiTheme="minorHAnsi"/>
          <w:sz w:val="22"/>
          <w:szCs w:val="22"/>
          <w:shd w:val="clear" w:color="auto" w:fill="FFFFFF"/>
        </w:rPr>
        <w:t xml:space="preserve"> 2017-2018</w:t>
      </w:r>
      <w:r w:rsidR="00D94AA3">
        <w:rPr>
          <w:rFonts w:asciiTheme="minorHAnsi" w:hAnsiTheme="minorHAnsi"/>
          <w:sz w:val="22"/>
          <w:szCs w:val="22"/>
          <w:shd w:val="clear" w:color="auto" w:fill="FFFFFF"/>
        </w:rPr>
        <w:t xml:space="preserve">, $11.6 million in 2018-2019 and $11.13 million in 2019-2020. </w:t>
      </w:r>
    </w:p>
    <w:p w14:paraId="623AF3D6" w14:textId="19C6091D" w:rsidR="00D94AA3" w:rsidRDefault="00313A39" w:rsidP="00980CA1">
      <w:pPr>
        <w:pStyle w:val="ScheduleNumberedPara"/>
        <w:numPr>
          <w:ilvl w:val="0"/>
          <w:numId w:val="0"/>
        </w:numPr>
        <w:tabs>
          <w:tab w:val="left" w:pos="0"/>
        </w:tabs>
        <w:jc w:val="left"/>
        <w:rPr>
          <w:rFonts w:asciiTheme="minorHAnsi" w:hAnsiTheme="minorHAnsi"/>
          <w:sz w:val="22"/>
          <w:szCs w:val="22"/>
          <w:shd w:val="clear" w:color="auto" w:fill="FFFFFF"/>
        </w:rPr>
      </w:pPr>
      <w:r w:rsidRPr="00732B5D">
        <w:rPr>
          <w:noProof/>
          <w:color w:val="auto"/>
        </w:rPr>
        <w:drawing>
          <wp:anchor distT="0" distB="0" distL="114300" distR="114300" simplePos="0" relativeHeight="251666432" behindDoc="0" locked="0" layoutInCell="1" allowOverlap="1" wp14:anchorId="7541838F" wp14:editId="5CEC720D">
            <wp:simplePos x="0" y="0"/>
            <wp:positionH relativeFrom="column">
              <wp:posOffset>695325</wp:posOffset>
            </wp:positionH>
            <wp:positionV relativeFrom="paragraph">
              <wp:posOffset>6350</wp:posOffset>
            </wp:positionV>
            <wp:extent cx="4572000" cy="2743200"/>
            <wp:effectExtent l="0" t="0" r="0" b="0"/>
            <wp:wrapThrough wrapText="bothSides">
              <wp:wrapPolygon edited="0">
                <wp:start x="0" y="0"/>
                <wp:lineTo x="0" y="21450"/>
                <wp:lineTo x="21510" y="21450"/>
                <wp:lineTo x="21510" y="0"/>
                <wp:lineTo x="0" y="0"/>
              </wp:wrapPolygon>
            </wp:wrapThrough>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AA94ADD" w14:textId="0F0FD132"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1BA9A5E7" w14:textId="77777777"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564E4970" w14:textId="77777777"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14642236" w14:textId="77777777"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608120E5" w14:textId="77777777"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4032EE11" w14:textId="77777777"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49BC16CF" w14:textId="4BF6B271"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4FC3E8E0" w14:textId="77777777" w:rsidR="00D94AA3" w:rsidRDefault="00D94AA3" w:rsidP="00980CA1">
      <w:pPr>
        <w:pStyle w:val="ScheduleNumberedPara"/>
        <w:numPr>
          <w:ilvl w:val="0"/>
          <w:numId w:val="0"/>
        </w:numPr>
        <w:tabs>
          <w:tab w:val="left" w:pos="0"/>
        </w:tabs>
        <w:jc w:val="left"/>
        <w:rPr>
          <w:rFonts w:asciiTheme="minorHAnsi" w:hAnsiTheme="minorHAnsi"/>
          <w:sz w:val="22"/>
          <w:szCs w:val="22"/>
          <w:shd w:val="clear" w:color="auto" w:fill="FFFFFF"/>
        </w:rPr>
      </w:pPr>
    </w:p>
    <w:p w14:paraId="442D7B42" w14:textId="65831DB7" w:rsidR="00980CA1" w:rsidRDefault="00980CA1" w:rsidP="00980CA1">
      <w:pPr>
        <w:pStyle w:val="ScheduleNumberedPara"/>
        <w:numPr>
          <w:ilvl w:val="0"/>
          <w:numId w:val="0"/>
        </w:numPr>
        <w:tabs>
          <w:tab w:val="left" w:pos="0"/>
        </w:tabs>
        <w:jc w:val="left"/>
        <w:rPr>
          <w:rFonts w:asciiTheme="minorHAnsi" w:hAnsiTheme="minorHAnsi"/>
          <w:sz w:val="22"/>
          <w:szCs w:val="22"/>
        </w:rPr>
      </w:pPr>
      <w:r w:rsidRPr="00B4248C">
        <w:rPr>
          <w:rFonts w:asciiTheme="minorHAnsi" w:hAnsiTheme="minorHAnsi"/>
          <w:sz w:val="22"/>
          <w:szCs w:val="22"/>
          <w:shd w:val="clear" w:color="auto" w:fill="FFFFFF"/>
        </w:rPr>
        <w:t>NACLC understands that the reducti</w:t>
      </w:r>
      <w:r w:rsidR="00CB6184">
        <w:rPr>
          <w:rFonts w:asciiTheme="minorHAnsi" w:hAnsiTheme="minorHAnsi"/>
          <w:sz w:val="22"/>
          <w:szCs w:val="22"/>
          <w:shd w:val="clear" w:color="auto" w:fill="FFFFFF"/>
        </w:rPr>
        <w:t xml:space="preserve">on in funding is as a result in part of the cessation of </w:t>
      </w:r>
      <w:r w:rsidRPr="00B4248C">
        <w:rPr>
          <w:rFonts w:asciiTheme="minorHAnsi" w:hAnsiTheme="minorHAnsi"/>
          <w:sz w:val="22"/>
          <w:szCs w:val="22"/>
        </w:rPr>
        <w:t>4-year</w:t>
      </w:r>
      <w:r w:rsidR="00CB6184">
        <w:rPr>
          <w:rFonts w:asciiTheme="minorHAnsi" w:hAnsiTheme="minorHAnsi"/>
          <w:sz w:val="22"/>
          <w:szCs w:val="22"/>
        </w:rPr>
        <w:t xml:space="preserve"> funding</w:t>
      </w:r>
      <w:r w:rsidRPr="00B4248C">
        <w:rPr>
          <w:rFonts w:asciiTheme="minorHAnsi" w:hAnsiTheme="minorHAnsi"/>
          <w:sz w:val="22"/>
          <w:szCs w:val="22"/>
        </w:rPr>
        <w:t xml:space="preserve"> transfer from another program (the Family Relationships P</w:t>
      </w:r>
      <w:r w:rsidR="00CB6184">
        <w:rPr>
          <w:rFonts w:asciiTheme="minorHAnsi" w:hAnsiTheme="minorHAnsi"/>
          <w:sz w:val="22"/>
          <w:szCs w:val="22"/>
        </w:rPr>
        <w:t xml:space="preserve">rogram). Regardless of the origin of the funding cliff however, in practical terms it will result in less funding for CLCs. The Federal Government has the opportunity to address this issue and preserve access to legal assistance for people across Australia. </w:t>
      </w:r>
    </w:p>
    <w:p w14:paraId="49103A4F" w14:textId="77777777" w:rsidR="00E1498A" w:rsidRDefault="00E1498A" w:rsidP="00980CA1">
      <w:pPr>
        <w:pStyle w:val="ScheduleNumberedPara"/>
        <w:numPr>
          <w:ilvl w:val="0"/>
          <w:numId w:val="0"/>
        </w:numPr>
        <w:tabs>
          <w:tab w:val="left" w:pos="0"/>
        </w:tabs>
        <w:jc w:val="left"/>
        <w:rPr>
          <w:rFonts w:asciiTheme="minorHAnsi" w:hAnsiTheme="minorHAnsi"/>
          <w:sz w:val="22"/>
          <w:szCs w:val="22"/>
        </w:rPr>
      </w:pPr>
    </w:p>
    <w:p w14:paraId="3CC30E8E" w14:textId="77777777" w:rsidR="00E1498A" w:rsidRDefault="00E1498A" w:rsidP="00980CA1">
      <w:pPr>
        <w:pStyle w:val="ScheduleNumberedPara"/>
        <w:numPr>
          <w:ilvl w:val="0"/>
          <w:numId w:val="0"/>
        </w:numPr>
        <w:tabs>
          <w:tab w:val="left" w:pos="0"/>
        </w:tabs>
        <w:jc w:val="left"/>
        <w:rPr>
          <w:rFonts w:asciiTheme="minorHAnsi" w:hAnsiTheme="minorHAnsi"/>
          <w:sz w:val="22"/>
          <w:szCs w:val="22"/>
        </w:rPr>
      </w:pPr>
    </w:p>
    <w:p w14:paraId="40BE0A48" w14:textId="77777777" w:rsidR="00F40AE6" w:rsidRDefault="00F40AE6" w:rsidP="00980CA1">
      <w:pPr>
        <w:pStyle w:val="ScheduleNumberedPara"/>
        <w:numPr>
          <w:ilvl w:val="0"/>
          <w:numId w:val="0"/>
        </w:numPr>
        <w:tabs>
          <w:tab w:val="left" w:pos="0"/>
        </w:tabs>
        <w:jc w:val="left"/>
        <w:rPr>
          <w:rFonts w:asciiTheme="minorHAnsi" w:hAnsiTheme="minorHAnsi"/>
          <w:sz w:val="22"/>
          <w:szCs w:val="22"/>
        </w:rPr>
      </w:pPr>
    </w:p>
    <w:p w14:paraId="559D4698" w14:textId="77777777" w:rsidR="00F40AE6" w:rsidRDefault="00F40AE6" w:rsidP="00980CA1">
      <w:pPr>
        <w:pStyle w:val="ScheduleNumberedPara"/>
        <w:numPr>
          <w:ilvl w:val="0"/>
          <w:numId w:val="0"/>
        </w:numPr>
        <w:tabs>
          <w:tab w:val="left" w:pos="0"/>
        </w:tabs>
        <w:jc w:val="left"/>
        <w:rPr>
          <w:rFonts w:asciiTheme="minorHAnsi" w:hAnsiTheme="minorHAnsi"/>
          <w:sz w:val="22"/>
          <w:szCs w:val="22"/>
        </w:rPr>
      </w:pPr>
    </w:p>
    <w:p w14:paraId="5EB0C608" w14:textId="4306E662" w:rsidR="004752EC" w:rsidRDefault="00BF6BD4" w:rsidP="001C3992">
      <w:pPr>
        <w:rPr>
          <w:rFonts w:ascii="Arial" w:hAnsi="Arial" w:cs="Arial"/>
          <w:color w:val="000000"/>
          <w:sz w:val="22"/>
          <w:szCs w:val="22"/>
          <w:lang w:val="en-US"/>
        </w:rPr>
      </w:pPr>
      <w:r>
        <w:rPr>
          <w:rFonts w:ascii="Arial" w:hAnsi="Arial" w:cs="Arial"/>
          <w:noProof/>
          <w:color w:val="000000"/>
          <w:sz w:val="22"/>
          <w:szCs w:val="22"/>
          <w:lang w:val="en-AU" w:eastAsia="en-AU"/>
        </w:rPr>
        <mc:AlternateContent>
          <mc:Choice Requires="wps">
            <w:drawing>
              <wp:anchor distT="0" distB="0" distL="114300" distR="114300" simplePos="0" relativeHeight="251667456" behindDoc="0" locked="0" layoutInCell="1" allowOverlap="1" wp14:anchorId="7AC107ED" wp14:editId="088D464F">
                <wp:simplePos x="0" y="0"/>
                <wp:positionH relativeFrom="margin">
                  <wp:align>center</wp:align>
                </wp:positionH>
                <wp:positionV relativeFrom="paragraph">
                  <wp:posOffset>97155</wp:posOffset>
                </wp:positionV>
                <wp:extent cx="6410325" cy="6657975"/>
                <wp:effectExtent l="57150" t="38100" r="85725" b="104775"/>
                <wp:wrapNone/>
                <wp:docPr id="6" name="Rectangle 6"/>
                <wp:cNvGraphicFramePr/>
                <a:graphic xmlns:a="http://schemas.openxmlformats.org/drawingml/2006/main">
                  <a:graphicData uri="http://schemas.microsoft.com/office/word/2010/wordprocessingShape">
                    <wps:wsp>
                      <wps:cNvSpPr/>
                      <wps:spPr>
                        <a:xfrm>
                          <a:off x="0" y="0"/>
                          <a:ext cx="6410325" cy="665797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FAE5E95" id="Rectangle 6" o:spid="_x0000_s1026" style="position:absolute;margin-left:0;margin-top:7.65pt;width:504.75pt;height:524.2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" filled="f" strokecolor="#4579b8 [3044]" strokeweight="3pt">
                <v:shadow on="t" color="black" opacity="22937f" origin=",.5" offset="0,.63889mm"/>
                <w10:wrap anchorx="margin"/>
              </v:rect>
            </w:pict>
          </mc:Fallback>
        </mc:AlternateContent>
      </w:r>
    </w:p>
    <w:p w14:paraId="1A196228" w14:textId="26B2307C" w:rsidR="004752EC" w:rsidRPr="00BF6BD4" w:rsidRDefault="008F3831" w:rsidP="003B3897">
      <w:pPr>
        <w:jc w:val="center"/>
        <w:rPr>
          <w:b/>
        </w:rPr>
      </w:pPr>
      <w:r w:rsidRPr="00BF6BD4">
        <w:rPr>
          <w:b/>
        </w:rPr>
        <w:t>CLCs and Family Violence-Related Funding</w:t>
      </w:r>
    </w:p>
    <w:p w14:paraId="5AD75512" w14:textId="77777777" w:rsidR="004752EC" w:rsidRPr="00BF6BD4" w:rsidRDefault="004752EC" w:rsidP="003B3897">
      <w:pPr>
        <w:rPr>
          <w:sz w:val="22"/>
          <w:szCs w:val="22"/>
        </w:rPr>
      </w:pPr>
    </w:p>
    <w:p w14:paraId="639FABA3" w14:textId="3CF9F024" w:rsidR="003B3897" w:rsidRPr="00BF6BD4" w:rsidRDefault="003B3897" w:rsidP="00BF6BD4">
      <w:pPr>
        <w:rPr>
          <w:sz w:val="22"/>
          <w:szCs w:val="22"/>
        </w:rPr>
      </w:pPr>
      <w:r w:rsidRPr="00BF6BD4">
        <w:rPr>
          <w:sz w:val="22"/>
          <w:szCs w:val="22"/>
        </w:rPr>
        <w:t xml:space="preserve">CLCs are a vital part of the legal framework in responding to and addressing family violence. In recognition of this, some CLCs have received specific Commonwealth family violence-related funding in recent years. </w:t>
      </w:r>
    </w:p>
    <w:p w14:paraId="0F23A2B7" w14:textId="77777777" w:rsidR="003B3897" w:rsidRPr="00BF6BD4" w:rsidRDefault="003B3897" w:rsidP="003B3897">
      <w:pPr>
        <w:rPr>
          <w:sz w:val="22"/>
          <w:szCs w:val="22"/>
        </w:rPr>
      </w:pPr>
    </w:p>
    <w:p w14:paraId="590834F4" w14:textId="607D5946" w:rsidR="003B3897" w:rsidRPr="00BF6BD4" w:rsidRDefault="003B3897" w:rsidP="003B3897">
      <w:pPr>
        <w:rPr>
          <w:sz w:val="22"/>
          <w:szCs w:val="22"/>
          <w:u w:val="single"/>
        </w:rPr>
      </w:pPr>
      <w:r w:rsidRPr="00BF6BD4">
        <w:rPr>
          <w:sz w:val="22"/>
          <w:szCs w:val="22"/>
          <w:u w:val="single"/>
        </w:rPr>
        <w:t>Women’s Safety Package</w:t>
      </w:r>
    </w:p>
    <w:p w14:paraId="19ED0F73" w14:textId="77777777" w:rsidR="003B3897" w:rsidRPr="00BF6BD4" w:rsidRDefault="003B3897" w:rsidP="003B3897">
      <w:pPr>
        <w:rPr>
          <w:sz w:val="22"/>
          <w:szCs w:val="22"/>
        </w:rPr>
      </w:pPr>
    </w:p>
    <w:p w14:paraId="2BE60ABB" w14:textId="77777777" w:rsidR="00BF6BD4" w:rsidRPr="00BF6BD4" w:rsidRDefault="003B3897" w:rsidP="003B3897">
      <w:pPr>
        <w:rPr>
          <w:rFonts w:eastAsia="Times New Roman" w:cs="Times New Roman"/>
          <w:sz w:val="22"/>
          <w:szCs w:val="22"/>
          <w:shd w:val="clear" w:color="auto" w:fill="FFFFFF"/>
        </w:rPr>
      </w:pPr>
      <w:r w:rsidRPr="00BF6BD4">
        <w:rPr>
          <w:sz w:val="22"/>
          <w:szCs w:val="22"/>
        </w:rPr>
        <w:t xml:space="preserve">In October 2015, </w:t>
      </w:r>
      <w:r w:rsidR="00BF6BD4" w:rsidRPr="00BF6BD4">
        <w:rPr>
          <w:sz w:val="22"/>
          <w:szCs w:val="22"/>
        </w:rPr>
        <w:t xml:space="preserve">the Federal Government announced $100 million as part of a Women’s Safety Package for family violence-related measures.  </w:t>
      </w:r>
      <w:r w:rsidR="004752EC" w:rsidRPr="00BF6BD4">
        <w:rPr>
          <w:sz w:val="22"/>
          <w:szCs w:val="22"/>
        </w:rPr>
        <w:t>NACLC and the sector welcomed the Government’s announcement that $</w:t>
      </w:r>
      <w:r w:rsidR="004752EC" w:rsidRPr="00BF6BD4">
        <w:rPr>
          <w:rFonts w:eastAsia="Times New Roman" w:cs="Times New Roman"/>
          <w:sz w:val="22"/>
          <w:szCs w:val="22"/>
          <w:shd w:val="clear" w:color="auto" w:fill="FFFFFF"/>
        </w:rPr>
        <w:t xml:space="preserve">15 million of the Women’s Safety Package would be used to establish 12 new specialist domestic violence units and fund five health justice partnerships within existing legal assistance services located in domestic violence ‘hot spots’. </w:t>
      </w:r>
    </w:p>
    <w:p w14:paraId="7AC2C136" w14:textId="77777777" w:rsidR="004752EC" w:rsidRPr="00BF6BD4" w:rsidRDefault="004752EC" w:rsidP="003B3897">
      <w:pPr>
        <w:rPr>
          <w:sz w:val="22"/>
          <w:szCs w:val="22"/>
        </w:rPr>
      </w:pPr>
    </w:p>
    <w:p w14:paraId="1A671CD9" w14:textId="2EB19968" w:rsidR="003B3897" w:rsidRPr="00BF6BD4" w:rsidRDefault="003B3897" w:rsidP="003B3897">
      <w:pPr>
        <w:rPr>
          <w:sz w:val="22"/>
          <w:szCs w:val="22"/>
          <w:u w:val="single"/>
        </w:rPr>
      </w:pPr>
      <w:r w:rsidRPr="00BF6BD4">
        <w:rPr>
          <w:sz w:val="22"/>
          <w:szCs w:val="22"/>
          <w:u w:val="single"/>
        </w:rPr>
        <w:t xml:space="preserve">Third Action Plan Funding </w:t>
      </w:r>
    </w:p>
    <w:p w14:paraId="753D3965" w14:textId="77777777" w:rsidR="003B3897" w:rsidRPr="00BF6BD4" w:rsidRDefault="003B3897" w:rsidP="003B3897">
      <w:pPr>
        <w:autoSpaceDE w:val="0"/>
        <w:autoSpaceDN w:val="0"/>
        <w:adjustRightInd w:val="0"/>
        <w:rPr>
          <w:rFonts w:cs="Arial"/>
          <w:sz w:val="22"/>
          <w:szCs w:val="22"/>
          <w:lang w:val="en-US"/>
        </w:rPr>
      </w:pPr>
    </w:p>
    <w:p w14:paraId="4A4B8BF2" w14:textId="0DAA1847" w:rsidR="003B3897" w:rsidRPr="00BF6BD4" w:rsidRDefault="003B3897" w:rsidP="003B3897">
      <w:pPr>
        <w:autoSpaceDE w:val="0"/>
        <w:autoSpaceDN w:val="0"/>
        <w:adjustRightInd w:val="0"/>
        <w:rPr>
          <w:rFonts w:cs="Arial"/>
          <w:sz w:val="22"/>
          <w:szCs w:val="22"/>
          <w:lang w:val="en-US"/>
        </w:rPr>
      </w:pPr>
      <w:r w:rsidRPr="00BF6BD4">
        <w:rPr>
          <w:rFonts w:cs="Arial"/>
          <w:sz w:val="22"/>
          <w:szCs w:val="22"/>
          <w:lang w:val="en-US"/>
        </w:rPr>
        <w:t>In October 2016, the Attorney-General announced the allocation of the $30 million family violence funding for legal assistance under the Third Action Plan under the National Plan to Reduce Violence against Women and their Children at the COAG National Family Violence Summit. The breakdown of the $30 million over 3 years ($10 mill</w:t>
      </w:r>
      <w:r w:rsidR="00F40AE6">
        <w:rPr>
          <w:rFonts w:cs="Arial"/>
          <w:sz w:val="22"/>
          <w:szCs w:val="22"/>
          <w:lang w:val="en-US"/>
        </w:rPr>
        <w:t>ion</w:t>
      </w:r>
      <w:r w:rsidRPr="00BF6BD4">
        <w:rPr>
          <w:rFonts w:cs="Arial"/>
          <w:sz w:val="22"/>
          <w:szCs w:val="22"/>
          <w:lang w:val="en-US"/>
        </w:rPr>
        <w:t xml:space="preserve"> per year) includes:</w:t>
      </w:r>
    </w:p>
    <w:p w14:paraId="4F449975" w14:textId="51721437" w:rsidR="003B3897" w:rsidRPr="00BF6BD4" w:rsidRDefault="003B3897" w:rsidP="00341912">
      <w:pPr>
        <w:numPr>
          <w:ilvl w:val="0"/>
          <w:numId w:val="14"/>
        </w:numPr>
        <w:autoSpaceDE w:val="0"/>
        <w:autoSpaceDN w:val="0"/>
        <w:adjustRightInd w:val="0"/>
        <w:ind w:left="720" w:hanging="360"/>
        <w:rPr>
          <w:rFonts w:cs="Arial"/>
          <w:sz w:val="22"/>
          <w:szCs w:val="22"/>
          <w:lang w:val="en-US"/>
        </w:rPr>
      </w:pPr>
      <w:r w:rsidRPr="00BF6BD4">
        <w:rPr>
          <w:rFonts w:cs="Arial"/>
          <w:sz w:val="22"/>
          <w:szCs w:val="22"/>
          <w:lang w:val="en-US"/>
        </w:rPr>
        <w:t xml:space="preserve">$5 million to be shared by the11 CLCs and 2 Legal Aid Commissions that received funding under the Women's Safety Package to extend it for 1 year </w:t>
      </w:r>
    </w:p>
    <w:p w14:paraId="15BFEF7A" w14:textId="77777777" w:rsidR="003B3897" w:rsidRPr="00BF6BD4" w:rsidRDefault="003B3897" w:rsidP="00341912">
      <w:pPr>
        <w:numPr>
          <w:ilvl w:val="0"/>
          <w:numId w:val="14"/>
        </w:numPr>
        <w:autoSpaceDE w:val="0"/>
        <w:autoSpaceDN w:val="0"/>
        <w:adjustRightInd w:val="0"/>
        <w:ind w:left="720" w:hanging="360"/>
        <w:rPr>
          <w:rFonts w:cs="Arial"/>
          <w:sz w:val="22"/>
          <w:szCs w:val="22"/>
          <w:lang w:val="en-US"/>
        </w:rPr>
      </w:pPr>
      <w:r w:rsidRPr="00BF6BD4">
        <w:rPr>
          <w:rFonts w:cs="Arial"/>
          <w:sz w:val="22"/>
          <w:szCs w:val="22"/>
          <w:lang w:val="en-US"/>
        </w:rPr>
        <w:t>more than $18 million to Legal Aid Commissions for integrated duty lawyer and social support services in family law courts</w:t>
      </w:r>
    </w:p>
    <w:p w14:paraId="250ADEF0" w14:textId="75109DD0" w:rsidR="003B3897" w:rsidRPr="00BF6BD4" w:rsidRDefault="003B3897" w:rsidP="00341912">
      <w:pPr>
        <w:numPr>
          <w:ilvl w:val="0"/>
          <w:numId w:val="14"/>
        </w:numPr>
        <w:autoSpaceDE w:val="0"/>
        <w:autoSpaceDN w:val="0"/>
        <w:adjustRightInd w:val="0"/>
        <w:ind w:left="720" w:hanging="360"/>
        <w:rPr>
          <w:rFonts w:cs="Arial"/>
          <w:sz w:val="22"/>
          <w:szCs w:val="22"/>
          <w:lang w:val="en-US"/>
        </w:rPr>
      </w:pPr>
      <w:r w:rsidRPr="00BF6BD4">
        <w:rPr>
          <w:rFonts w:cs="Arial"/>
          <w:sz w:val="22"/>
          <w:szCs w:val="22"/>
          <w:lang w:val="en-US"/>
        </w:rPr>
        <w:t xml:space="preserve">$6.2 million for Family Relationship Centres to pilot family dispute resolution for vulnerable families, particularly indigenous and culturally and linguistically diverse families, and </w:t>
      </w:r>
    </w:p>
    <w:p w14:paraId="00CA6510" w14:textId="176E03B6" w:rsidR="003B3897" w:rsidRPr="00BF6BD4" w:rsidRDefault="00F40AE6" w:rsidP="00341912">
      <w:pPr>
        <w:numPr>
          <w:ilvl w:val="0"/>
          <w:numId w:val="14"/>
        </w:numPr>
        <w:autoSpaceDE w:val="0"/>
        <w:autoSpaceDN w:val="0"/>
        <w:adjustRightInd w:val="0"/>
        <w:ind w:left="720" w:hanging="360"/>
        <w:rPr>
          <w:rFonts w:cs="Arial"/>
          <w:sz w:val="22"/>
          <w:szCs w:val="22"/>
          <w:lang w:val="en-US"/>
        </w:rPr>
      </w:pPr>
      <w:r>
        <w:rPr>
          <w:rFonts w:cs="Arial"/>
          <w:sz w:val="22"/>
          <w:szCs w:val="22"/>
          <w:lang w:val="en-US"/>
        </w:rPr>
        <w:t>$300,000 to the Commonwealth Attorney-General’s Department</w:t>
      </w:r>
      <w:r w:rsidR="003B3897" w:rsidRPr="00BF6BD4">
        <w:rPr>
          <w:rFonts w:cs="Arial"/>
          <w:sz w:val="22"/>
          <w:szCs w:val="22"/>
          <w:lang w:val="en-US"/>
        </w:rPr>
        <w:t xml:space="preserve"> for data analysis across the sector to enhance understanding of domestic, family and sexual violence.</w:t>
      </w:r>
    </w:p>
    <w:p w14:paraId="74A69C51" w14:textId="77777777" w:rsidR="008F3831" w:rsidRPr="00BF6BD4" w:rsidRDefault="008F3831" w:rsidP="008F3831">
      <w:pPr>
        <w:rPr>
          <w:sz w:val="22"/>
          <w:szCs w:val="22"/>
        </w:rPr>
      </w:pPr>
    </w:p>
    <w:p w14:paraId="1BFC2459" w14:textId="77777777" w:rsidR="00BF6BD4" w:rsidRPr="00BF6BD4" w:rsidRDefault="00BF6BD4" w:rsidP="00BF6BD4">
      <w:pPr>
        <w:rPr>
          <w:sz w:val="22"/>
          <w:szCs w:val="22"/>
          <w:u w:val="single"/>
        </w:rPr>
      </w:pPr>
      <w:r w:rsidRPr="00BF6BD4">
        <w:rPr>
          <w:sz w:val="22"/>
          <w:szCs w:val="22"/>
          <w:u w:val="single"/>
        </w:rPr>
        <w:t>Importantly however:</w:t>
      </w:r>
    </w:p>
    <w:p w14:paraId="330B2CDF" w14:textId="0B12881D" w:rsidR="00BF6BD4" w:rsidRPr="00BF6BD4" w:rsidRDefault="00BF6BD4" w:rsidP="00341912">
      <w:pPr>
        <w:pStyle w:val="ListParagraph"/>
        <w:numPr>
          <w:ilvl w:val="0"/>
          <w:numId w:val="17"/>
        </w:numPr>
        <w:rPr>
          <w:sz w:val="22"/>
          <w:szCs w:val="22"/>
        </w:rPr>
      </w:pPr>
      <w:r w:rsidRPr="00BF6BD4">
        <w:rPr>
          <w:sz w:val="22"/>
          <w:szCs w:val="22"/>
        </w:rPr>
        <w:t xml:space="preserve">this </w:t>
      </w:r>
      <w:r>
        <w:rPr>
          <w:sz w:val="22"/>
          <w:szCs w:val="22"/>
        </w:rPr>
        <w:t xml:space="preserve">small amount of </w:t>
      </w:r>
      <w:r w:rsidRPr="00BF6BD4">
        <w:rPr>
          <w:sz w:val="22"/>
          <w:szCs w:val="22"/>
        </w:rPr>
        <w:t>additional funding</w:t>
      </w:r>
      <w:r>
        <w:rPr>
          <w:sz w:val="22"/>
          <w:szCs w:val="22"/>
        </w:rPr>
        <w:t xml:space="preserve"> for CLCs</w:t>
      </w:r>
      <w:r w:rsidRPr="00BF6BD4">
        <w:rPr>
          <w:sz w:val="22"/>
          <w:szCs w:val="22"/>
        </w:rPr>
        <w:t xml:space="preserve"> does not offset the broader funding cliff from 1 July 2017</w:t>
      </w:r>
      <w:r>
        <w:rPr>
          <w:sz w:val="22"/>
          <w:szCs w:val="22"/>
        </w:rPr>
        <w:t xml:space="preserve">. Indeed, some of the CLCs that received the funding outlined above are likely to receive funding cuts greater than the amount of family violence-specific funding they received, during the same period </w:t>
      </w:r>
    </w:p>
    <w:p w14:paraId="4EC525E0" w14:textId="77777777" w:rsidR="00BF6BD4" w:rsidRPr="00BF6BD4" w:rsidRDefault="00BF6BD4" w:rsidP="00341912">
      <w:pPr>
        <w:pStyle w:val="ListParagraph"/>
        <w:numPr>
          <w:ilvl w:val="0"/>
          <w:numId w:val="17"/>
        </w:numPr>
        <w:rPr>
          <w:sz w:val="22"/>
          <w:szCs w:val="22"/>
        </w:rPr>
      </w:pPr>
      <w:r w:rsidRPr="00BF6BD4">
        <w:rPr>
          <w:sz w:val="22"/>
          <w:szCs w:val="22"/>
        </w:rPr>
        <w:t>funding for the family violence work of CLCs alone is not sufficient</w:t>
      </w:r>
    </w:p>
    <w:p w14:paraId="7C4AEB6C" w14:textId="77777777" w:rsidR="00BF6BD4" w:rsidRPr="00BF6BD4" w:rsidRDefault="00BF6BD4" w:rsidP="00341912">
      <w:pPr>
        <w:pStyle w:val="ListParagraph"/>
        <w:numPr>
          <w:ilvl w:val="0"/>
          <w:numId w:val="17"/>
        </w:numPr>
        <w:rPr>
          <w:sz w:val="22"/>
          <w:szCs w:val="22"/>
        </w:rPr>
      </w:pPr>
      <w:r w:rsidRPr="00BF6BD4">
        <w:rPr>
          <w:sz w:val="22"/>
          <w:szCs w:val="22"/>
        </w:rPr>
        <w:t xml:space="preserve">the flow-on effects of family violence are clear in a range of the other work CLCs undertake, including for example credit and debt, tenancy, homelessness and access to social security, which means core funding for CLCs is an integral part of ensuring people experiencing family violence have access to the legal assistance they need. </w:t>
      </w:r>
    </w:p>
    <w:p w14:paraId="5B7E6BD8" w14:textId="77777777" w:rsidR="00BF6BD4" w:rsidRPr="008F3831" w:rsidRDefault="00BF6BD4" w:rsidP="008F3831"/>
    <w:p w14:paraId="071FC34B" w14:textId="77777777" w:rsidR="006C2092" w:rsidRDefault="006C2092" w:rsidP="00372E73">
      <w:pPr>
        <w:pStyle w:val="Heading4"/>
      </w:pPr>
    </w:p>
    <w:p w14:paraId="5094A0AF" w14:textId="77777777" w:rsidR="00372E73" w:rsidRDefault="00372E73" w:rsidP="00372E73">
      <w:pPr>
        <w:pStyle w:val="Heading4"/>
      </w:pPr>
      <w:r>
        <w:t>Uncertainty and time spent undertaking funding-related activities</w:t>
      </w:r>
    </w:p>
    <w:p w14:paraId="36A0C6DF" w14:textId="49383A50" w:rsidR="00372E73" w:rsidRPr="008075DC" w:rsidRDefault="00372E73" w:rsidP="00372E73">
      <w:pPr>
        <w:rPr>
          <w:sz w:val="22"/>
          <w:szCs w:val="22"/>
        </w:rPr>
      </w:pPr>
      <w:r w:rsidRPr="008075DC">
        <w:rPr>
          <w:sz w:val="22"/>
          <w:szCs w:val="22"/>
        </w:rPr>
        <w:t xml:space="preserve">In addition to issues relating to the quantum of funding for the legal assistance sector, this funding has also been characterised by significant uncertainty. This uncertainty continues despite the 5-year NPA being in place, because across jurisdictions the length of service agreements vary, </w:t>
      </w:r>
      <w:r w:rsidR="008F3831">
        <w:rPr>
          <w:sz w:val="22"/>
          <w:szCs w:val="22"/>
        </w:rPr>
        <w:t>which</w:t>
      </w:r>
      <w:r w:rsidRPr="008075DC">
        <w:rPr>
          <w:sz w:val="22"/>
          <w:szCs w:val="22"/>
        </w:rPr>
        <w:t xml:space="preserve"> makes decisions about service delivery, staffing, and office space very difficult.</w:t>
      </w:r>
      <w:r w:rsidR="00BF6BD4">
        <w:rPr>
          <w:sz w:val="22"/>
          <w:szCs w:val="22"/>
        </w:rPr>
        <w:t xml:space="preserve"> </w:t>
      </w:r>
      <w:r w:rsidR="008F3831">
        <w:rPr>
          <w:sz w:val="22"/>
          <w:szCs w:val="22"/>
        </w:rPr>
        <w:t xml:space="preserve">Accordingly, any Federal Government decision to reverse the funding cliff needs to be made as a matter of priority. </w:t>
      </w:r>
    </w:p>
    <w:p w14:paraId="0576AFC2" w14:textId="77777777" w:rsidR="00D57C40" w:rsidRDefault="00D57C40" w:rsidP="00372E73">
      <w:pPr>
        <w:rPr>
          <w:sz w:val="22"/>
          <w:szCs w:val="22"/>
        </w:rPr>
      </w:pPr>
    </w:p>
    <w:p w14:paraId="589D06C0" w14:textId="7B8A04EF" w:rsidR="00BF6BD4" w:rsidRDefault="00372E73" w:rsidP="00BF6BD4">
      <w:r w:rsidRPr="008075DC">
        <w:rPr>
          <w:sz w:val="22"/>
          <w:szCs w:val="22"/>
        </w:rPr>
        <w:t>These funding issues and the ongoing need for CLCs to undertake funding-related activities including fundraising and applying for grants</w:t>
      </w:r>
      <w:r w:rsidR="00CB6184">
        <w:rPr>
          <w:sz w:val="22"/>
          <w:szCs w:val="22"/>
        </w:rPr>
        <w:t xml:space="preserve"> also</w:t>
      </w:r>
      <w:r w:rsidRPr="008075DC">
        <w:rPr>
          <w:sz w:val="22"/>
          <w:szCs w:val="22"/>
        </w:rPr>
        <w:t xml:space="preserve"> reduces the ability of CLCs to dedicate resources to front-line serv</w:t>
      </w:r>
      <w:r w:rsidR="008F3831">
        <w:rPr>
          <w:sz w:val="22"/>
          <w:szCs w:val="22"/>
        </w:rPr>
        <w:t>ice delivery</w:t>
      </w:r>
      <w:r w:rsidR="00CB6184">
        <w:rPr>
          <w:sz w:val="22"/>
          <w:szCs w:val="22"/>
        </w:rPr>
        <w:t>, or explore innovative service delivery models</w:t>
      </w:r>
      <w:r w:rsidR="008F3831">
        <w:rPr>
          <w:sz w:val="22"/>
          <w:szCs w:val="22"/>
        </w:rPr>
        <w:t xml:space="preserve">. For example, the </w:t>
      </w:r>
      <w:r w:rsidRPr="008075DC">
        <w:rPr>
          <w:sz w:val="22"/>
          <w:szCs w:val="22"/>
        </w:rPr>
        <w:t>results of the 2015 NACLC Census indicate that</w:t>
      </w:r>
      <w:r w:rsidR="003B3897">
        <w:rPr>
          <w:sz w:val="22"/>
          <w:szCs w:val="22"/>
        </w:rPr>
        <w:t xml:space="preserve"> CLCs spent over 1,500 hours per week during 2014-15 </w:t>
      </w:r>
      <w:r w:rsidR="008F3831">
        <w:t>on funding-related activities</w:t>
      </w:r>
      <w:r w:rsidR="00D57C40">
        <w:t xml:space="preserve">. </w:t>
      </w:r>
    </w:p>
    <w:p w14:paraId="78EC42C7" w14:textId="77777777" w:rsidR="00D57C40" w:rsidRPr="00D57C40" w:rsidRDefault="00D57C40" w:rsidP="00BF6BD4"/>
    <w:p w14:paraId="1FE28853" w14:textId="397EE9DC" w:rsidR="00372E73" w:rsidRDefault="003B3897" w:rsidP="003B3897">
      <w:pPr>
        <w:pStyle w:val="Heading4"/>
      </w:pPr>
      <w:r>
        <w:t>Impact of the funding cliff</w:t>
      </w:r>
    </w:p>
    <w:p w14:paraId="0FD01719" w14:textId="77777777" w:rsidR="003B3897" w:rsidRDefault="003B3897" w:rsidP="003B3897">
      <w:pPr>
        <w:rPr>
          <w:sz w:val="22"/>
          <w:szCs w:val="22"/>
        </w:rPr>
      </w:pPr>
      <w:r w:rsidRPr="00264C11">
        <w:rPr>
          <w:sz w:val="22"/>
          <w:szCs w:val="22"/>
        </w:rPr>
        <w:t>The impact of the funding cliff will differ significantly across jurisdictions. This is in part as a result of the distribution of Commonwealth funding between jurisdictions, and the process and evidence base used by State and Territory Governments to allocate funding and determine the impact of funding cuts.</w:t>
      </w:r>
    </w:p>
    <w:p w14:paraId="05539046" w14:textId="77777777" w:rsidR="001A4E23" w:rsidRDefault="001A4E23" w:rsidP="003B3897">
      <w:pPr>
        <w:rPr>
          <w:sz w:val="22"/>
          <w:szCs w:val="22"/>
        </w:rPr>
      </w:pPr>
    </w:p>
    <w:p w14:paraId="36F059AA" w14:textId="77777777" w:rsidR="001A4E23" w:rsidRPr="00372E73" w:rsidRDefault="001A4E23" w:rsidP="001A4E23">
      <w:pPr>
        <w:pStyle w:val="ScheduleNumberedPara"/>
        <w:numPr>
          <w:ilvl w:val="0"/>
          <w:numId w:val="0"/>
        </w:numPr>
        <w:tabs>
          <w:tab w:val="left" w:pos="0"/>
        </w:tabs>
        <w:jc w:val="left"/>
        <w:rPr>
          <w:rFonts w:asciiTheme="minorHAnsi" w:hAnsiTheme="minorHAnsi"/>
          <w:sz w:val="22"/>
          <w:szCs w:val="22"/>
        </w:rPr>
      </w:pPr>
      <w:r>
        <w:rPr>
          <w:rFonts w:asciiTheme="minorHAnsi" w:hAnsiTheme="minorHAnsi"/>
          <w:sz w:val="22"/>
          <w:szCs w:val="22"/>
        </w:rPr>
        <w:t xml:space="preserve">In the context of a relatively small overall budget for CLCs, funding cuts of between $11.13 million and $12.1 million per year over the last three years of the NPA will have a significant impact on CLC service delivery, and therefore on the ability of people seeking legal help to receive they help they need. </w:t>
      </w:r>
    </w:p>
    <w:p w14:paraId="3DACABD2" w14:textId="77777777" w:rsidR="001A4E23" w:rsidRPr="00264C11" w:rsidRDefault="001A4E23" w:rsidP="001A4E23">
      <w:pPr>
        <w:rPr>
          <w:sz w:val="22"/>
          <w:szCs w:val="22"/>
        </w:rPr>
      </w:pPr>
      <w:r>
        <w:rPr>
          <w:sz w:val="22"/>
          <w:szCs w:val="22"/>
        </w:rPr>
        <w:t xml:space="preserve">At a national level, </w:t>
      </w:r>
      <w:r w:rsidRPr="00264C11">
        <w:rPr>
          <w:sz w:val="22"/>
          <w:szCs w:val="22"/>
        </w:rPr>
        <w:t xml:space="preserve">in responses to the 2015 National Census, CLCs from across Australia reported that the </w:t>
      </w:r>
      <w:r>
        <w:rPr>
          <w:sz w:val="22"/>
          <w:szCs w:val="22"/>
        </w:rPr>
        <w:t>impact of the funding cliff may</w:t>
      </w:r>
      <w:r w:rsidRPr="00264C11">
        <w:rPr>
          <w:sz w:val="22"/>
          <w:szCs w:val="22"/>
        </w:rPr>
        <w:t xml:space="preserve"> include: </w:t>
      </w:r>
    </w:p>
    <w:p w14:paraId="244861B2" w14:textId="77777777" w:rsidR="001A4E23" w:rsidRDefault="001A4E23" w:rsidP="001A4E23">
      <w:pPr>
        <w:pStyle w:val="ListParagraph"/>
        <w:numPr>
          <w:ilvl w:val="0"/>
          <w:numId w:val="16"/>
        </w:numPr>
        <w:rPr>
          <w:sz w:val="22"/>
          <w:szCs w:val="22"/>
        </w:rPr>
      </w:pPr>
      <w:r>
        <w:rPr>
          <w:sz w:val="22"/>
          <w:szCs w:val="22"/>
        </w:rPr>
        <w:t>complete closure of centres</w:t>
      </w:r>
    </w:p>
    <w:p w14:paraId="07D8AB4E" w14:textId="77777777" w:rsidR="001A4E23" w:rsidRDefault="001A4E23" w:rsidP="001A4E23">
      <w:pPr>
        <w:pStyle w:val="ListParagraph"/>
        <w:numPr>
          <w:ilvl w:val="0"/>
          <w:numId w:val="16"/>
        </w:numPr>
        <w:rPr>
          <w:sz w:val="22"/>
          <w:szCs w:val="22"/>
        </w:rPr>
      </w:pPr>
      <w:r w:rsidRPr="00264C11">
        <w:rPr>
          <w:sz w:val="22"/>
          <w:szCs w:val="22"/>
        </w:rPr>
        <w:t xml:space="preserve">reduction in </w:t>
      </w:r>
      <w:r>
        <w:rPr>
          <w:sz w:val="22"/>
          <w:szCs w:val="22"/>
        </w:rPr>
        <w:t>frontline services</w:t>
      </w:r>
    </w:p>
    <w:p w14:paraId="1E30874F" w14:textId="77777777" w:rsidR="001A4E23" w:rsidRDefault="001A4E23" w:rsidP="001A4E23">
      <w:pPr>
        <w:pStyle w:val="ListParagraph"/>
        <w:numPr>
          <w:ilvl w:val="0"/>
          <w:numId w:val="16"/>
        </w:numPr>
        <w:rPr>
          <w:sz w:val="22"/>
          <w:szCs w:val="22"/>
        </w:rPr>
      </w:pPr>
      <w:r>
        <w:rPr>
          <w:sz w:val="22"/>
          <w:szCs w:val="22"/>
        </w:rPr>
        <w:t xml:space="preserve">reduction in outreach </w:t>
      </w:r>
    </w:p>
    <w:p w14:paraId="46C3AF7A" w14:textId="77777777" w:rsidR="001A4E23" w:rsidRDefault="001A4E23" w:rsidP="001A4E23">
      <w:pPr>
        <w:pStyle w:val="ListParagraph"/>
        <w:numPr>
          <w:ilvl w:val="0"/>
          <w:numId w:val="16"/>
        </w:numPr>
        <w:rPr>
          <w:sz w:val="22"/>
          <w:szCs w:val="22"/>
        </w:rPr>
      </w:pPr>
      <w:r>
        <w:rPr>
          <w:sz w:val="22"/>
          <w:szCs w:val="22"/>
        </w:rPr>
        <w:t>closure of branch offices</w:t>
      </w:r>
    </w:p>
    <w:p w14:paraId="5C2FA3A0" w14:textId="77777777" w:rsidR="001A4E23" w:rsidRDefault="001A4E23" w:rsidP="001A4E23">
      <w:pPr>
        <w:pStyle w:val="ListParagraph"/>
        <w:numPr>
          <w:ilvl w:val="0"/>
          <w:numId w:val="16"/>
        </w:numPr>
        <w:rPr>
          <w:sz w:val="22"/>
          <w:szCs w:val="22"/>
        </w:rPr>
      </w:pPr>
      <w:r>
        <w:rPr>
          <w:sz w:val="22"/>
          <w:szCs w:val="22"/>
        </w:rPr>
        <w:t xml:space="preserve">reduction in opening hours or shut down of telephone advice lines </w:t>
      </w:r>
    </w:p>
    <w:p w14:paraId="2AA515D5" w14:textId="77777777" w:rsidR="001A4E23" w:rsidRDefault="001A4E23" w:rsidP="001A4E23">
      <w:pPr>
        <w:pStyle w:val="ListParagraph"/>
        <w:numPr>
          <w:ilvl w:val="0"/>
          <w:numId w:val="16"/>
        </w:numPr>
        <w:rPr>
          <w:sz w:val="22"/>
          <w:szCs w:val="22"/>
        </w:rPr>
      </w:pPr>
      <w:r>
        <w:rPr>
          <w:sz w:val="22"/>
          <w:szCs w:val="22"/>
        </w:rPr>
        <w:t>loss of staff, including specialist positions, and</w:t>
      </w:r>
    </w:p>
    <w:p w14:paraId="1A4344A7" w14:textId="7291202D" w:rsidR="001A4E23" w:rsidRDefault="001A4E23" w:rsidP="001A4E23">
      <w:pPr>
        <w:pStyle w:val="ListParagraph"/>
        <w:numPr>
          <w:ilvl w:val="0"/>
          <w:numId w:val="16"/>
        </w:numPr>
        <w:rPr>
          <w:sz w:val="22"/>
          <w:szCs w:val="22"/>
        </w:rPr>
      </w:pPr>
      <w:r>
        <w:rPr>
          <w:sz w:val="22"/>
          <w:szCs w:val="22"/>
        </w:rPr>
        <w:t>increased turnaway</w:t>
      </w:r>
      <w:r w:rsidR="00F40AE6">
        <w:rPr>
          <w:sz w:val="22"/>
          <w:szCs w:val="22"/>
        </w:rPr>
        <w:t>s</w:t>
      </w:r>
      <w:r>
        <w:rPr>
          <w:sz w:val="22"/>
          <w:szCs w:val="22"/>
        </w:rPr>
        <w:t>, and</w:t>
      </w:r>
    </w:p>
    <w:p w14:paraId="21AD7DF5" w14:textId="77777777" w:rsidR="001A4E23" w:rsidRPr="005A041F" w:rsidRDefault="001A4E23" w:rsidP="001A4E23">
      <w:pPr>
        <w:pStyle w:val="ListParagraph"/>
        <w:numPr>
          <w:ilvl w:val="0"/>
          <w:numId w:val="16"/>
        </w:numPr>
        <w:rPr>
          <w:sz w:val="22"/>
          <w:szCs w:val="22"/>
        </w:rPr>
      </w:pPr>
      <w:r>
        <w:rPr>
          <w:sz w:val="22"/>
          <w:szCs w:val="22"/>
        </w:rPr>
        <w:t>increased waiting times for legal help.</w:t>
      </w:r>
      <w:r>
        <w:rPr>
          <w:rStyle w:val="FootnoteReference"/>
          <w:sz w:val="22"/>
          <w:szCs w:val="22"/>
        </w:rPr>
        <w:footnoteReference w:id="8"/>
      </w:r>
    </w:p>
    <w:p w14:paraId="17C5D7D4" w14:textId="77777777" w:rsidR="001A4E23" w:rsidRDefault="001A4E23" w:rsidP="001A4E23">
      <w:pPr>
        <w:rPr>
          <w:sz w:val="22"/>
          <w:szCs w:val="22"/>
        </w:rPr>
      </w:pPr>
    </w:p>
    <w:p w14:paraId="1BF59FDB" w14:textId="77777777" w:rsidR="001A4E23" w:rsidRDefault="001A4E23" w:rsidP="001A4E23">
      <w:pPr>
        <w:rPr>
          <w:sz w:val="22"/>
          <w:szCs w:val="22"/>
        </w:rPr>
      </w:pPr>
      <w:r>
        <w:rPr>
          <w:sz w:val="22"/>
          <w:szCs w:val="22"/>
        </w:rPr>
        <w:t>In addition to these centre specific impacts, NACLC suggest that the broader national impact of the funding cliff and reduction in centres and services will be:</w:t>
      </w:r>
    </w:p>
    <w:p w14:paraId="3902651B" w14:textId="77777777" w:rsidR="001A4E23" w:rsidRDefault="001A4E23" w:rsidP="001A4E23">
      <w:pPr>
        <w:pStyle w:val="ListParagraph"/>
        <w:numPr>
          <w:ilvl w:val="0"/>
          <w:numId w:val="23"/>
        </w:numPr>
        <w:rPr>
          <w:sz w:val="22"/>
          <w:szCs w:val="22"/>
        </w:rPr>
      </w:pPr>
      <w:r>
        <w:rPr>
          <w:sz w:val="22"/>
          <w:szCs w:val="22"/>
        </w:rPr>
        <w:t>reduced access to legal assistance or justice for hundreds of thousands of people across Australia</w:t>
      </w:r>
    </w:p>
    <w:p w14:paraId="2BEDA0C4" w14:textId="77777777" w:rsidR="001A4E23" w:rsidRDefault="001A4E23" w:rsidP="001A4E23">
      <w:pPr>
        <w:pStyle w:val="ListParagraph"/>
        <w:numPr>
          <w:ilvl w:val="0"/>
          <w:numId w:val="23"/>
        </w:numPr>
        <w:rPr>
          <w:sz w:val="22"/>
          <w:szCs w:val="22"/>
        </w:rPr>
      </w:pPr>
      <w:r w:rsidRPr="00673777">
        <w:rPr>
          <w:sz w:val="22"/>
          <w:szCs w:val="22"/>
        </w:rPr>
        <w:t>increased demand on</w:t>
      </w:r>
      <w:r>
        <w:rPr>
          <w:sz w:val="22"/>
          <w:szCs w:val="22"/>
        </w:rPr>
        <w:t xml:space="preserve"> already overstretched</w:t>
      </w:r>
      <w:r w:rsidRPr="00673777">
        <w:rPr>
          <w:sz w:val="22"/>
          <w:szCs w:val="22"/>
        </w:rPr>
        <w:t xml:space="preserve"> other legal assistance services</w:t>
      </w:r>
      <w:r>
        <w:rPr>
          <w:sz w:val="22"/>
          <w:szCs w:val="22"/>
        </w:rPr>
        <w:t xml:space="preserve"> and related community services </w:t>
      </w:r>
    </w:p>
    <w:p w14:paraId="563D3E84" w14:textId="77777777" w:rsidR="001A4E23" w:rsidRDefault="001A4E23" w:rsidP="001A4E23">
      <w:pPr>
        <w:pStyle w:val="ListParagraph"/>
        <w:numPr>
          <w:ilvl w:val="0"/>
          <w:numId w:val="23"/>
        </w:numPr>
        <w:rPr>
          <w:sz w:val="22"/>
          <w:szCs w:val="22"/>
        </w:rPr>
      </w:pPr>
      <w:r>
        <w:rPr>
          <w:sz w:val="22"/>
          <w:szCs w:val="22"/>
        </w:rPr>
        <w:t xml:space="preserve">increase in unrepresented parties before courts, and </w:t>
      </w:r>
    </w:p>
    <w:p w14:paraId="06943A74" w14:textId="77777777" w:rsidR="001A4E23" w:rsidRDefault="001A4E23" w:rsidP="001A4E23">
      <w:pPr>
        <w:pStyle w:val="ListParagraph"/>
        <w:numPr>
          <w:ilvl w:val="0"/>
          <w:numId w:val="23"/>
        </w:numPr>
        <w:rPr>
          <w:sz w:val="22"/>
          <w:szCs w:val="22"/>
        </w:rPr>
      </w:pPr>
      <w:r>
        <w:rPr>
          <w:sz w:val="22"/>
          <w:szCs w:val="22"/>
        </w:rPr>
        <w:t xml:space="preserve">escalation and spiralling of legal problems, resulting in increased costs to the justice, health, social security and related systems. </w:t>
      </w:r>
    </w:p>
    <w:p w14:paraId="7F932836" w14:textId="77777777" w:rsidR="001A4E23" w:rsidRDefault="001A4E23" w:rsidP="001A4E23">
      <w:pPr>
        <w:rPr>
          <w:sz w:val="22"/>
          <w:szCs w:val="22"/>
        </w:rPr>
      </w:pPr>
    </w:p>
    <w:p w14:paraId="4B7AA909" w14:textId="27B0924C" w:rsidR="001A4E23" w:rsidRDefault="001A4E23" w:rsidP="001A4E23">
      <w:pPr>
        <w:rPr>
          <w:sz w:val="22"/>
          <w:szCs w:val="22"/>
        </w:rPr>
      </w:pPr>
      <w:r>
        <w:rPr>
          <w:sz w:val="22"/>
          <w:szCs w:val="22"/>
        </w:rPr>
        <w:t xml:space="preserve">As noted above, the capacity of CLCs to provide legal assistance to clients is extended </w:t>
      </w:r>
      <w:r w:rsidRPr="00040A72">
        <w:rPr>
          <w:sz w:val="22"/>
          <w:szCs w:val="22"/>
        </w:rPr>
        <w:t>significantly through volunteer and pro bono arrangements and partnerships. Reductions in Commonwealth funding for CLCs will have far reaching consequences for these significa</w:t>
      </w:r>
      <w:r w:rsidR="00D57C40">
        <w:rPr>
          <w:sz w:val="22"/>
          <w:szCs w:val="22"/>
        </w:rPr>
        <w:t xml:space="preserve">nt sources of legal assistance. </w:t>
      </w:r>
      <w:r w:rsidRPr="00040A72">
        <w:rPr>
          <w:sz w:val="22"/>
          <w:szCs w:val="22"/>
        </w:rPr>
        <w:t>Supervision and training of volunteers and coordination with pro bono partners takes significant time and resources. In an environment where CLCs are facing funding cuts, their ability to continue this work is likely to be reduced, resulting in the loss of not only direct CLC staff assistance to clients but also the hundreds of thousands of hours of volunteer and pro bono time each year. By way of example, NACLC estimates that the total return on investment amount, (that is the monetary contribution of volunteer lawyers and law students in 2013-2014 with a deduction for time spent by CLC staff on induction, supervision and training) was $8.47 million.</w:t>
      </w:r>
    </w:p>
    <w:p w14:paraId="20BBC76D" w14:textId="77777777" w:rsidR="001A4E23" w:rsidRDefault="001A4E23" w:rsidP="001A4E23">
      <w:pPr>
        <w:rPr>
          <w:sz w:val="22"/>
          <w:szCs w:val="22"/>
        </w:rPr>
      </w:pPr>
    </w:p>
    <w:p w14:paraId="3BB39D34" w14:textId="225BFC81" w:rsidR="001A4E23" w:rsidRDefault="001A4E23" w:rsidP="001A4E23">
      <w:pPr>
        <w:rPr>
          <w:sz w:val="22"/>
          <w:szCs w:val="22"/>
        </w:rPr>
      </w:pPr>
      <w:r>
        <w:rPr>
          <w:sz w:val="22"/>
          <w:szCs w:val="22"/>
        </w:rPr>
        <w:t xml:space="preserve">Finally, NACLC </w:t>
      </w:r>
      <w:r w:rsidRPr="00B4248C">
        <w:rPr>
          <w:sz w:val="22"/>
          <w:szCs w:val="22"/>
        </w:rPr>
        <w:t>consider</w:t>
      </w:r>
      <w:r>
        <w:rPr>
          <w:sz w:val="22"/>
          <w:szCs w:val="22"/>
        </w:rPr>
        <w:t xml:space="preserve">s that the funding cliff and impact of CLC services </w:t>
      </w:r>
      <w:r w:rsidRPr="00B4248C">
        <w:rPr>
          <w:sz w:val="22"/>
          <w:szCs w:val="22"/>
        </w:rPr>
        <w:t xml:space="preserve">will </w:t>
      </w:r>
      <w:r>
        <w:rPr>
          <w:sz w:val="22"/>
          <w:szCs w:val="22"/>
        </w:rPr>
        <w:t xml:space="preserve">undermine Government policy in other areas, </w:t>
      </w:r>
      <w:r w:rsidRPr="00B4248C">
        <w:rPr>
          <w:sz w:val="22"/>
          <w:szCs w:val="22"/>
        </w:rPr>
        <w:t>including for example in responding to and addressing family violence</w:t>
      </w:r>
      <w:r>
        <w:rPr>
          <w:sz w:val="22"/>
          <w:szCs w:val="22"/>
        </w:rPr>
        <w:t xml:space="preserve"> and elder abuse, key areas of CLC work</w:t>
      </w:r>
      <w:r w:rsidRPr="00B4248C">
        <w:rPr>
          <w:sz w:val="22"/>
          <w:szCs w:val="22"/>
        </w:rPr>
        <w:t>.</w:t>
      </w:r>
      <w:r>
        <w:rPr>
          <w:sz w:val="22"/>
          <w:szCs w:val="22"/>
        </w:rPr>
        <w:t xml:space="preserve"> </w:t>
      </w:r>
    </w:p>
    <w:p w14:paraId="386C89D4" w14:textId="77777777" w:rsidR="001A4E23" w:rsidRDefault="001A4E23" w:rsidP="003B3897">
      <w:pPr>
        <w:rPr>
          <w:sz w:val="22"/>
          <w:szCs w:val="22"/>
        </w:rPr>
      </w:pPr>
    </w:p>
    <w:p w14:paraId="0C87A66B" w14:textId="2909F922" w:rsidR="00FD27F5" w:rsidRDefault="00FD27F5" w:rsidP="003B3897">
      <w:pPr>
        <w:rPr>
          <w:sz w:val="22"/>
          <w:szCs w:val="22"/>
        </w:rPr>
      </w:pPr>
    </w:p>
    <w:p w14:paraId="4B08143D" w14:textId="19C8FFD8" w:rsidR="00FD27F5" w:rsidRPr="00FD27F5" w:rsidRDefault="00AA4F3D" w:rsidP="00FD27F5">
      <w:pPr>
        <w:jc w:val="center"/>
        <w:rPr>
          <w:b/>
          <w:sz w:val="22"/>
          <w:szCs w:val="22"/>
        </w:rPr>
      </w:pPr>
      <w:r>
        <w:rPr>
          <w:rFonts w:ascii="Arial" w:hAnsi="Arial" w:cs="Arial"/>
          <w:noProof/>
          <w:color w:val="000000"/>
          <w:sz w:val="22"/>
          <w:szCs w:val="22"/>
          <w:lang w:val="en-AU" w:eastAsia="en-AU"/>
        </w:rPr>
        <mc:AlternateContent>
          <mc:Choice Requires="wps">
            <w:drawing>
              <wp:anchor distT="0" distB="0" distL="114300" distR="114300" simplePos="0" relativeHeight="251669504" behindDoc="0" locked="0" layoutInCell="1" allowOverlap="1" wp14:anchorId="758CBE32" wp14:editId="254163A3">
                <wp:simplePos x="0" y="0"/>
                <wp:positionH relativeFrom="margin">
                  <wp:posOffset>-152400</wp:posOffset>
                </wp:positionH>
                <wp:positionV relativeFrom="paragraph">
                  <wp:posOffset>-285750</wp:posOffset>
                </wp:positionV>
                <wp:extent cx="6410325" cy="8181975"/>
                <wp:effectExtent l="57150" t="38100" r="85725" b="104775"/>
                <wp:wrapNone/>
                <wp:docPr id="7" name="Rectangle 7"/>
                <wp:cNvGraphicFramePr/>
                <a:graphic xmlns:a="http://schemas.openxmlformats.org/drawingml/2006/main">
                  <a:graphicData uri="http://schemas.microsoft.com/office/word/2010/wordprocessingShape">
                    <wps:wsp>
                      <wps:cNvSpPr/>
                      <wps:spPr>
                        <a:xfrm>
                          <a:off x="0" y="0"/>
                          <a:ext cx="6410325" cy="818197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48023C9" id="Rectangle 7" o:spid="_x0000_s1026" style="position:absolute;margin-left:-12pt;margin-top:-22.5pt;width:504.75pt;height:644.2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" filled="f" strokecolor="#4579b8 [3044]" strokeweight="3pt">
                <v:shadow on="t" color="black" opacity="22937f" origin=",.5" offset="0,.63889mm"/>
                <w10:wrap anchorx="margin"/>
              </v:rect>
            </w:pict>
          </mc:Fallback>
        </mc:AlternateContent>
      </w:r>
      <w:r w:rsidR="00FD27F5">
        <w:rPr>
          <w:b/>
          <w:sz w:val="22"/>
          <w:szCs w:val="22"/>
        </w:rPr>
        <w:t>Examples of I</w:t>
      </w:r>
      <w:r w:rsidR="00FD27F5" w:rsidRPr="00FD27F5">
        <w:rPr>
          <w:b/>
          <w:sz w:val="22"/>
          <w:szCs w:val="22"/>
        </w:rPr>
        <w:t>mpact</w:t>
      </w:r>
      <w:r w:rsidR="001A4E23">
        <w:rPr>
          <w:b/>
          <w:sz w:val="22"/>
          <w:szCs w:val="22"/>
        </w:rPr>
        <w:t xml:space="preserve"> of Funding Cuts</w:t>
      </w:r>
      <w:r w:rsidR="00FD27F5" w:rsidRPr="00FD27F5">
        <w:rPr>
          <w:b/>
          <w:sz w:val="22"/>
          <w:szCs w:val="22"/>
        </w:rPr>
        <w:t xml:space="preserve"> </w:t>
      </w:r>
      <w:r w:rsidR="00FD27F5">
        <w:rPr>
          <w:b/>
          <w:sz w:val="22"/>
          <w:szCs w:val="22"/>
        </w:rPr>
        <w:t>in Specific Jurisdictions</w:t>
      </w:r>
    </w:p>
    <w:p w14:paraId="75B36408" w14:textId="5FF01E58" w:rsidR="006C2092" w:rsidRDefault="006C2092" w:rsidP="003B3897">
      <w:pPr>
        <w:rPr>
          <w:sz w:val="22"/>
          <w:szCs w:val="22"/>
        </w:rPr>
      </w:pPr>
    </w:p>
    <w:p w14:paraId="4B0B7564" w14:textId="7318EE65" w:rsidR="00793AA1" w:rsidRPr="00D57C40" w:rsidRDefault="00793AA1" w:rsidP="00793AA1">
      <w:pPr>
        <w:rPr>
          <w:sz w:val="22"/>
          <w:szCs w:val="22"/>
        </w:rPr>
      </w:pPr>
      <w:r w:rsidRPr="00D57C40">
        <w:rPr>
          <w:b/>
          <w:sz w:val="22"/>
          <w:szCs w:val="22"/>
        </w:rPr>
        <w:t>South Australia:</w:t>
      </w:r>
      <w:r w:rsidRPr="00D57C40">
        <w:rPr>
          <w:sz w:val="22"/>
          <w:szCs w:val="22"/>
        </w:rPr>
        <w:t xml:space="preserve"> </w:t>
      </w:r>
      <w:r w:rsidRPr="00D57C40">
        <w:rPr>
          <w:rFonts w:cs="RobotoSlab-Light"/>
          <w:sz w:val="22"/>
          <w:szCs w:val="22"/>
          <w:lang w:val="en-AU"/>
        </w:rPr>
        <w:t xml:space="preserve">Commonwealth funding for CLCs </w:t>
      </w:r>
      <w:r w:rsidRPr="00D57C40">
        <w:rPr>
          <w:sz w:val="22"/>
          <w:szCs w:val="22"/>
        </w:rPr>
        <w:t xml:space="preserve">will decrease by $1.18 million on 1 July 2017 (a 32.8% cut). The results of a competitive tender for funding are due to be announced in March 2017. NACLC is extremely concerned about the review of CLCs undertaken in 2016 and proposed reforms to the funding and administration of CLCs, including indications that the funding cuts will result in the closure of entire centres, limiting access to legal assistance for people in South Australia. </w:t>
      </w:r>
    </w:p>
    <w:p w14:paraId="11A34AA8" w14:textId="73E0FBF3" w:rsidR="00793AA1" w:rsidRPr="00D57C40" w:rsidRDefault="00793AA1" w:rsidP="00FD27F5">
      <w:pPr>
        <w:rPr>
          <w:rFonts w:cs="Arial"/>
          <w:b/>
          <w:sz w:val="22"/>
          <w:szCs w:val="22"/>
          <w:lang w:val="en-AU"/>
        </w:rPr>
      </w:pPr>
    </w:p>
    <w:p w14:paraId="0377794E" w14:textId="09C64D33" w:rsidR="00FD27F5" w:rsidRPr="00D57C40" w:rsidRDefault="00FD27F5" w:rsidP="00FD27F5">
      <w:pPr>
        <w:rPr>
          <w:rFonts w:cs="Arial"/>
          <w:sz w:val="22"/>
          <w:szCs w:val="22"/>
          <w:lang w:val="en-AU"/>
        </w:rPr>
      </w:pPr>
      <w:r w:rsidRPr="00D57C40">
        <w:rPr>
          <w:rFonts w:cs="Arial"/>
          <w:b/>
          <w:sz w:val="22"/>
          <w:szCs w:val="22"/>
          <w:lang w:val="en-AU"/>
        </w:rPr>
        <w:t>Western Australia:</w:t>
      </w:r>
      <w:r w:rsidRPr="00D57C40">
        <w:rPr>
          <w:rFonts w:cs="Arial"/>
          <w:sz w:val="22"/>
          <w:szCs w:val="22"/>
          <w:lang w:val="en-AU"/>
        </w:rPr>
        <w:t xml:space="preserve"> Commonwealth funding</w:t>
      </w:r>
      <w:r w:rsidR="00FA2607" w:rsidRPr="00D57C40">
        <w:rPr>
          <w:rFonts w:cs="Arial"/>
          <w:sz w:val="22"/>
          <w:szCs w:val="22"/>
          <w:lang w:val="en-AU"/>
        </w:rPr>
        <w:t xml:space="preserve"> for CLCs will reduce by 32.2% on 1 July 2017.</w:t>
      </w:r>
      <w:r w:rsidRPr="00D57C40">
        <w:rPr>
          <w:rFonts w:cs="Arial"/>
          <w:sz w:val="22"/>
          <w:szCs w:val="22"/>
          <w:lang w:val="en-AU"/>
        </w:rPr>
        <w:t xml:space="preserve"> This</w:t>
      </w:r>
      <w:r w:rsidR="00F40AE6">
        <w:rPr>
          <w:rFonts w:cs="Arial"/>
          <w:sz w:val="22"/>
          <w:szCs w:val="22"/>
          <w:lang w:val="en-AU"/>
        </w:rPr>
        <w:t xml:space="preserve"> is in addition to a </w:t>
      </w:r>
      <w:r w:rsidRPr="00D57C40">
        <w:rPr>
          <w:rFonts w:cs="Arial"/>
          <w:sz w:val="22"/>
          <w:szCs w:val="22"/>
          <w:lang w:val="en-AU"/>
        </w:rPr>
        <w:t xml:space="preserve">9.3% funding cut </w:t>
      </w:r>
      <w:r w:rsidR="00F40AE6">
        <w:rPr>
          <w:rFonts w:cs="Arial"/>
          <w:sz w:val="22"/>
          <w:szCs w:val="22"/>
          <w:lang w:val="en-AU"/>
        </w:rPr>
        <w:t xml:space="preserve">to </w:t>
      </w:r>
      <w:r w:rsidRPr="00D57C40">
        <w:rPr>
          <w:rFonts w:cs="Arial"/>
          <w:sz w:val="22"/>
          <w:szCs w:val="22"/>
          <w:lang w:val="en-AU"/>
        </w:rPr>
        <w:t xml:space="preserve">WA CLCs </w:t>
      </w:r>
      <w:r w:rsidR="00F40AE6">
        <w:rPr>
          <w:rFonts w:cs="Arial"/>
          <w:sz w:val="22"/>
          <w:szCs w:val="22"/>
          <w:lang w:val="en-AU"/>
        </w:rPr>
        <w:t xml:space="preserve">upon commencement of the NPA in </w:t>
      </w:r>
      <w:r w:rsidRPr="00D57C40">
        <w:rPr>
          <w:rFonts w:cs="Arial"/>
          <w:sz w:val="22"/>
          <w:szCs w:val="22"/>
          <w:lang w:val="en-AU"/>
        </w:rPr>
        <w:t>2015.  The impact of cuts to date and likely impact of the funding cliff includes:</w:t>
      </w:r>
    </w:p>
    <w:p w14:paraId="197568C6" w14:textId="5EE6DFC5" w:rsidR="00FD27F5" w:rsidRPr="00D57C40" w:rsidRDefault="00FD27F5" w:rsidP="00FD27F5">
      <w:pPr>
        <w:pStyle w:val="ListParagraph"/>
        <w:numPr>
          <w:ilvl w:val="0"/>
          <w:numId w:val="25"/>
        </w:numPr>
        <w:autoSpaceDE w:val="0"/>
        <w:autoSpaceDN w:val="0"/>
        <w:adjustRightInd w:val="0"/>
        <w:rPr>
          <w:rFonts w:cs="Calibri"/>
          <w:color w:val="000000"/>
          <w:sz w:val="22"/>
          <w:szCs w:val="22"/>
          <w:lang w:val="en-AU"/>
        </w:rPr>
      </w:pPr>
      <w:r w:rsidRPr="00D57C40">
        <w:rPr>
          <w:rFonts w:cs="Calibri"/>
          <w:color w:val="000000"/>
          <w:sz w:val="22"/>
          <w:szCs w:val="22"/>
          <w:lang w:val="en-AU"/>
        </w:rPr>
        <w:t>cessation of outreach services,</w:t>
      </w:r>
      <w:r w:rsidR="00F40AE6">
        <w:rPr>
          <w:rFonts w:cs="Calibri"/>
          <w:color w:val="000000"/>
          <w:sz w:val="22"/>
          <w:szCs w:val="22"/>
          <w:lang w:val="en-AU"/>
        </w:rPr>
        <w:t xml:space="preserve"> including court work, </w:t>
      </w:r>
      <w:r w:rsidRPr="00D57C40">
        <w:rPr>
          <w:rFonts w:cs="Calibri"/>
          <w:color w:val="000000"/>
          <w:sz w:val="22"/>
          <w:szCs w:val="22"/>
          <w:lang w:val="en-AU"/>
        </w:rPr>
        <w:t>with a particular impact  on smaller regional centres and rural and remote communities</w:t>
      </w:r>
    </w:p>
    <w:p w14:paraId="484139B0" w14:textId="5D0B5AFA" w:rsidR="00FD27F5" w:rsidRPr="00D57C40" w:rsidRDefault="00FD27F5" w:rsidP="00FD27F5">
      <w:pPr>
        <w:pStyle w:val="ListParagraph"/>
        <w:numPr>
          <w:ilvl w:val="0"/>
          <w:numId w:val="25"/>
        </w:numPr>
        <w:autoSpaceDE w:val="0"/>
        <w:autoSpaceDN w:val="0"/>
        <w:adjustRightInd w:val="0"/>
        <w:rPr>
          <w:rFonts w:cs="Calibri"/>
          <w:color w:val="000000"/>
          <w:sz w:val="22"/>
          <w:szCs w:val="22"/>
          <w:lang w:val="en-AU"/>
        </w:rPr>
      </w:pPr>
      <w:r w:rsidRPr="00D57C40">
        <w:rPr>
          <w:rFonts w:cs="Calibri"/>
          <w:color w:val="000000"/>
          <w:sz w:val="22"/>
          <w:szCs w:val="22"/>
          <w:lang w:val="en-AU"/>
        </w:rPr>
        <w:t xml:space="preserve">inability to take on new casework for prolonged periods (for example one CLC was unable to take on new casework for 6 months) </w:t>
      </w:r>
    </w:p>
    <w:p w14:paraId="094EF2E7" w14:textId="01A7BDC8" w:rsidR="00FD27F5" w:rsidRPr="00D57C40" w:rsidRDefault="00FD27F5" w:rsidP="00FD27F5">
      <w:pPr>
        <w:pStyle w:val="ListParagraph"/>
        <w:numPr>
          <w:ilvl w:val="0"/>
          <w:numId w:val="25"/>
        </w:numPr>
        <w:autoSpaceDE w:val="0"/>
        <w:autoSpaceDN w:val="0"/>
        <w:adjustRightInd w:val="0"/>
        <w:rPr>
          <w:rFonts w:cs="Calibri"/>
          <w:color w:val="000000"/>
          <w:sz w:val="22"/>
          <w:szCs w:val="22"/>
          <w:lang w:val="en-AU"/>
        </w:rPr>
      </w:pPr>
      <w:r w:rsidRPr="00D57C40">
        <w:rPr>
          <w:rFonts w:cs="Calibri"/>
          <w:color w:val="000000"/>
          <w:sz w:val="22"/>
          <w:szCs w:val="22"/>
          <w:lang w:val="en-AU"/>
        </w:rPr>
        <w:t>reduction in frontlin</w:t>
      </w:r>
      <w:r w:rsidR="00F40AE6">
        <w:rPr>
          <w:rFonts w:cs="Calibri"/>
          <w:color w:val="000000"/>
          <w:sz w:val="22"/>
          <w:szCs w:val="22"/>
          <w:lang w:val="en-AU"/>
        </w:rPr>
        <w:t>e services due to loss of staff</w:t>
      </w:r>
    </w:p>
    <w:p w14:paraId="34C932DA" w14:textId="4402E6B3" w:rsidR="00FD27F5" w:rsidRPr="00D57C40" w:rsidRDefault="00FD27F5" w:rsidP="00FD27F5">
      <w:pPr>
        <w:pStyle w:val="ListParagraph"/>
        <w:numPr>
          <w:ilvl w:val="0"/>
          <w:numId w:val="25"/>
        </w:numPr>
        <w:autoSpaceDE w:val="0"/>
        <w:autoSpaceDN w:val="0"/>
        <w:adjustRightInd w:val="0"/>
        <w:rPr>
          <w:rFonts w:cs="Calibri"/>
          <w:color w:val="000000"/>
          <w:sz w:val="22"/>
          <w:szCs w:val="22"/>
          <w:lang w:val="en-AU"/>
        </w:rPr>
      </w:pPr>
      <w:r w:rsidRPr="00D57C40">
        <w:rPr>
          <w:rFonts w:cs="Calibri"/>
          <w:color w:val="000000"/>
          <w:sz w:val="22"/>
          <w:szCs w:val="22"/>
          <w:lang w:val="en-AU"/>
        </w:rPr>
        <w:t>reduced capacity to undertake early intervention and</w:t>
      </w:r>
      <w:r w:rsidRPr="00FD27F5">
        <w:rPr>
          <w:rFonts w:cs="Calibri"/>
          <w:color w:val="000000"/>
          <w:sz w:val="22"/>
          <w:szCs w:val="22"/>
          <w:lang w:val="en-AU"/>
        </w:rPr>
        <w:t xml:space="preserve"> preventive activities su</w:t>
      </w:r>
      <w:r w:rsidRPr="00D57C40">
        <w:rPr>
          <w:rFonts w:cs="Calibri"/>
          <w:color w:val="000000"/>
          <w:sz w:val="22"/>
          <w:szCs w:val="22"/>
          <w:lang w:val="en-AU"/>
        </w:rPr>
        <w:t xml:space="preserve">ch as Community Legal Education, and </w:t>
      </w:r>
    </w:p>
    <w:p w14:paraId="25B0B21C" w14:textId="77777777" w:rsidR="00FD27F5" w:rsidRPr="00D57C40" w:rsidRDefault="00FD27F5" w:rsidP="00FD27F5">
      <w:pPr>
        <w:pStyle w:val="ListParagraph"/>
        <w:numPr>
          <w:ilvl w:val="0"/>
          <w:numId w:val="25"/>
        </w:numPr>
        <w:rPr>
          <w:rFonts w:cs="Arial"/>
          <w:sz w:val="22"/>
          <w:szCs w:val="22"/>
          <w:lang w:val="en-AU"/>
        </w:rPr>
      </w:pPr>
      <w:r w:rsidRPr="00D57C40">
        <w:rPr>
          <w:rFonts w:cs="Calibri"/>
          <w:color w:val="000000"/>
          <w:sz w:val="22"/>
          <w:szCs w:val="22"/>
          <w:lang w:val="en-AU"/>
        </w:rPr>
        <w:t>r</w:t>
      </w:r>
      <w:r w:rsidRPr="00FD27F5">
        <w:rPr>
          <w:rFonts w:cs="Calibri"/>
          <w:color w:val="000000"/>
          <w:sz w:val="22"/>
          <w:szCs w:val="22"/>
          <w:lang w:val="en-AU"/>
        </w:rPr>
        <w:t xml:space="preserve">educed capacity to leverage and supervise </w:t>
      </w:r>
      <w:r w:rsidRPr="00D57C40">
        <w:rPr>
          <w:rFonts w:cs="Calibri"/>
          <w:color w:val="000000"/>
          <w:sz w:val="22"/>
          <w:szCs w:val="22"/>
          <w:lang w:val="en-AU"/>
        </w:rPr>
        <w:t xml:space="preserve">volunteers and pro bono support. </w:t>
      </w:r>
    </w:p>
    <w:p w14:paraId="1D2A8686" w14:textId="77777777" w:rsidR="00FD27F5" w:rsidRPr="00D57C40" w:rsidRDefault="00FD27F5" w:rsidP="006C2092">
      <w:pPr>
        <w:rPr>
          <w:sz w:val="22"/>
          <w:szCs w:val="22"/>
        </w:rPr>
      </w:pPr>
    </w:p>
    <w:p w14:paraId="64E745E9" w14:textId="77777777" w:rsidR="00D57C40" w:rsidRPr="00D57C40" w:rsidRDefault="00FD27F5" w:rsidP="006C2092">
      <w:pPr>
        <w:rPr>
          <w:rFonts w:ascii="Cambria" w:hAnsi="Cambria" w:cs="Cambria"/>
          <w:color w:val="000000"/>
          <w:sz w:val="22"/>
          <w:szCs w:val="22"/>
          <w:lang w:val="en-US"/>
        </w:rPr>
      </w:pPr>
      <w:r w:rsidRPr="00D57C40">
        <w:rPr>
          <w:b/>
          <w:sz w:val="22"/>
          <w:szCs w:val="22"/>
        </w:rPr>
        <w:t>New South Wales:</w:t>
      </w:r>
      <w:r w:rsidR="005A041F" w:rsidRPr="00D57C40">
        <w:rPr>
          <w:sz w:val="22"/>
          <w:szCs w:val="22"/>
        </w:rPr>
        <w:t xml:space="preserve"> </w:t>
      </w:r>
      <w:r w:rsidR="006A170A" w:rsidRPr="00D57C40">
        <w:rPr>
          <w:rFonts w:ascii="Cambria" w:hAnsi="Cambria" w:cs="Cambria"/>
          <w:color w:val="000000"/>
          <w:sz w:val="22"/>
          <w:szCs w:val="22"/>
          <w:lang w:val="en-US"/>
        </w:rPr>
        <w:t xml:space="preserve">Commonwealth funding for CLCs will decrease by $2.9 million on 1 July 2017. Proposed funding allocations to individual CLCs have been released by Legal Aid NSW and although they are the subject of ongoing discussions with Government, it appears that some CLCs will face significant funding cuts.  </w:t>
      </w:r>
    </w:p>
    <w:p w14:paraId="67BE2EC7" w14:textId="77777777" w:rsidR="00D57C40" w:rsidRPr="00D57C40" w:rsidRDefault="006A170A" w:rsidP="00D57C40">
      <w:pPr>
        <w:pStyle w:val="ListParagraph"/>
        <w:numPr>
          <w:ilvl w:val="0"/>
          <w:numId w:val="26"/>
        </w:numPr>
        <w:rPr>
          <w:rFonts w:cs="Arial"/>
          <w:sz w:val="22"/>
          <w:szCs w:val="22"/>
          <w:lang w:val="en-AU"/>
        </w:rPr>
      </w:pPr>
      <w:r w:rsidRPr="00D57C40">
        <w:rPr>
          <w:rFonts w:ascii="Cambria" w:hAnsi="Cambria" w:cs="Cambria"/>
          <w:color w:val="000000"/>
          <w:sz w:val="22"/>
          <w:szCs w:val="22"/>
          <w:lang w:val="en-US"/>
        </w:rPr>
        <w:t xml:space="preserve">In Sydney, Redfern Legal Centre faces a cut of around 30% and Kingsford Legal Centre around 20%. </w:t>
      </w:r>
    </w:p>
    <w:p w14:paraId="515C7696" w14:textId="1B285DE7" w:rsidR="00D57C40" w:rsidRPr="00D57C40" w:rsidRDefault="006A170A" w:rsidP="00D57C40">
      <w:pPr>
        <w:pStyle w:val="ListParagraph"/>
        <w:numPr>
          <w:ilvl w:val="0"/>
          <w:numId w:val="26"/>
        </w:numPr>
        <w:rPr>
          <w:rFonts w:cs="Arial"/>
          <w:sz w:val="22"/>
          <w:szCs w:val="22"/>
          <w:lang w:val="en-AU"/>
        </w:rPr>
      </w:pPr>
      <w:r w:rsidRPr="00D57C40">
        <w:rPr>
          <w:rFonts w:ascii="Cambria" w:hAnsi="Cambria" w:cs="Cambria"/>
          <w:color w:val="000000"/>
          <w:sz w:val="22"/>
          <w:szCs w:val="22"/>
          <w:lang w:val="en-US"/>
        </w:rPr>
        <w:t>Across regional NSW, cuts of 20% are expected for Northern Rivers, Elizabeth Evatt (Blue Mountains area), and Illawarra</w:t>
      </w:r>
      <w:r w:rsidR="00F40AE6">
        <w:rPr>
          <w:rFonts w:ascii="Cambria" w:hAnsi="Cambria" w:cs="Cambria"/>
          <w:color w:val="000000"/>
          <w:sz w:val="22"/>
          <w:szCs w:val="22"/>
          <w:lang w:val="en-US"/>
        </w:rPr>
        <w:t xml:space="preserve"> Legal Centres</w:t>
      </w:r>
      <w:r w:rsidRPr="00D57C40">
        <w:rPr>
          <w:rFonts w:ascii="Cambria" w:hAnsi="Cambria" w:cs="Cambria"/>
          <w:color w:val="000000"/>
          <w:sz w:val="22"/>
          <w:szCs w:val="22"/>
          <w:lang w:val="en-US"/>
        </w:rPr>
        <w:t xml:space="preserve">.   </w:t>
      </w:r>
    </w:p>
    <w:p w14:paraId="7F0ED0C0" w14:textId="59473554" w:rsidR="00D57C40" w:rsidRPr="00D57C40" w:rsidRDefault="006A170A" w:rsidP="00D57C40">
      <w:pPr>
        <w:pStyle w:val="ListParagraph"/>
        <w:numPr>
          <w:ilvl w:val="0"/>
          <w:numId w:val="26"/>
        </w:numPr>
        <w:rPr>
          <w:rFonts w:cs="Arial"/>
          <w:sz w:val="22"/>
          <w:szCs w:val="22"/>
          <w:lang w:val="en-AU"/>
        </w:rPr>
      </w:pPr>
      <w:r w:rsidRPr="00D57C40">
        <w:rPr>
          <w:rFonts w:ascii="Cambria" w:hAnsi="Cambria" w:cs="Cambria"/>
          <w:color w:val="000000"/>
          <w:sz w:val="22"/>
          <w:szCs w:val="22"/>
          <w:lang w:val="en-US"/>
        </w:rPr>
        <w:t xml:space="preserve">Specialist CLCs likely to face major cuts include the Public Interest </w:t>
      </w:r>
      <w:r w:rsidR="00D57C40" w:rsidRPr="00D57C40">
        <w:rPr>
          <w:rFonts w:ascii="Cambria" w:hAnsi="Cambria" w:cs="Cambria"/>
          <w:color w:val="000000"/>
          <w:sz w:val="22"/>
          <w:szCs w:val="22"/>
          <w:lang w:val="en-US"/>
        </w:rPr>
        <w:t xml:space="preserve">Advocacy Centre (possibly 50%) </w:t>
      </w:r>
      <w:r w:rsidRPr="00D57C40">
        <w:rPr>
          <w:rFonts w:ascii="Cambria" w:hAnsi="Cambria" w:cs="Cambria"/>
          <w:color w:val="000000"/>
          <w:sz w:val="22"/>
          <w:szCs w:val="22"/>
          <w:lang w:val="en-US"/>
        </w:rPr>
        <w:t xml:space="preserve">and Women's Legal Service (up to $300,000). </w:t>
      </w:r>
    </w:p>
    <w:p w14:paraId="4962522D" w14:textId="766B5546" w:rsidR="00FD27F5" w:rsidRPr="00D57C40" w:rsidRDefault="006A170A" w:rsidP="00D57C40">
      <w:pPr>
        <w:rPr>
          <w:rFonts w:cs="Arial"/>
          <w:sz w:val="22"/>
          <w:szCs w:val="22"/>
          <w:lang w:val="en-AU"/>
        </w:rPr>
      </w:pPr>
      <w:r w:rsidRPr="00D57C40">
        <w:rPr>
          <w:rFonts w:ascii="Cambria" w:hAnsi="Cambria" w:cs="Cambria"/>
          <w:color w:val="000000"/>
          <w:sz w:val="22"/>
          <w:szCs w:val="22"/>
          <w:lang w:val="en-US"/>
        </w:rPr>
        <w:t>These cuts will have a devastating impact on centres and their clients. Some CLC outreaches in regional NSW will either close or be reduced from weekly to monthly, with waiting times for clients in some areas stretching from weeks to almost months CLCs.</w:t>
      </w:r>
    </w:p>
    <w:p w14:paraId="66F77A5B" w14:textId="77777777" w:rsidR="005A041F" w:rsidRPr="00D57C40" w:rsidRDefault="005A041F" w:rsidP="003B3897">
      <w:pPr>
        <w:rPr>
          <w:sz w:val="22"/>
          <w:szCs w:val="22"/>
        </w:rPr>
      </w:pPr>
    </w:p>
    <w:p w14:paraId="7C3101B0" w14:textId="6D6B86B2" w:rsidR="005A041F" w:rsidRPr="00D57C40" w:rsidRDefault="00FD27F5" w:rsidP="005A041F">
      <w:pPr>
        <w:autoSpaceDE w:val="0"/>
        <w:autoSpaceDN w:val="0"/>
        <w:adjustRightInd w:val="0"/>
        <w:rPr>
          <w:rFonts w:cs="RobotoSlab-Light"/>
          <w:sz w:val="22"/>
          <w:szCs w:val="22"/>
          <w:lang w:val="en-AU"/>
        </w:rPr>
      </w:pPr>
      <w:r w:rsidRPr="00D57C40">
        <w:rPr>
          <w:rFonts w:cs="RobotoSlab-Light"/>
          <w:b/>
          <w:sz w:val="22"/>
          <w:szCs w:val="22"/>
          <w:lang w:val="en-AU"/>
        </w:rPr>
        <w:t>Queensland:</w:t>
      </w:r>
      <w:r w:rsidR="005A041F" w:rsidRPr="00D57C40">
        <w:rPr>
          <w:rFonts w:cs="RobotoSlab-Light"/>
          <w:sz w:val="22"/>
          <w:szCs w:val="22"/>
          <w:lang w:val="en-AU"/>
        </w:rPr>
        <w:t xml:space="preserve"> Commonwealth funding for CLCs will decrease by $1.987 million on 1 July 2017</w:t>
      </w:r>
      <w:r w:rsidRPr="00D57C40">
        <w:rPr>
          <w:rFonts w:cs="RobotoSlab-Light"/>
          <w:sz w:val="22"/>
          <w:szCs w:val="22"/>
          <w:lang w:val="en-AU"/>
        </w:rPr>
        <w:t xml:space="preserve">. The results of a tender are due to be announced in March 2017, however the likely impact of the funding cliff includes: </w:t>
      </w:r>
    </w:p>
    <w:p w14:paraId="681517B7" w14:textId="76A71BE4" w:rsidR="005A041F" w:rsidRPr="00D57C40" w:rsidRDefault="005A041F" w:rsidP="005A041F">
      <w:pPr>
        <w:pStyle w:val="ListParagraph"/>
        <w:numPr>
          <w:ilvl w:val="0"/>
          <w:numId w:val="24"/>
        </w:numPr>
        <w:autoSpaceDE w:val="0"/>
        <w:autoSpaceDN w:val="0"/>
        <w:adjustRightInd w:val="0"/>
        <w:rPr>
          <w:rFonts w:cs="RobotoSlab-Light"/>
          <w:sz w:val="22"/>
          <w:szCs w:val="22"/>
          <w:lang w:val="en-AU"/>
        </w:rPr>
      </w:pPr>
      <w:r w:rsidRPr="00D57C40">
        <w:rPr>
          <w:rFonts w:cs="RobotoSlab-Light"/>
          <w:sz w:val="22"/>
          <w:szCs w:val="22"/>
          <w:lang w:val="en-AU"/>
        </w:rPr>
        <w:t>the number of family services provided by generalist community legal services in a north Queensland regional city could decrease by up to 50%</w:t>
      </w:r>
      <w:r w:rsidR="00F40AE6">
        <w:rPr>
          <w:rFonts w:cs="RobotoSlab-Light"/>
          <w:sz w:val="22"/>
          <w:szCs w:val="22"/>
          <w:lang w:val="en-AU"/>
        </w:rPr>
        <w:t>, and</w:t>
      </w:r>
    </w:p>
    <w:p w14:paraId="237AABE2" w14:textId="536A38AD" w:rsidR="005A041F" w:rsidRPr="00D57C40" w:rsidRDefault="005A041F" w:rsidP="003B3897">
      <w:pPr>
        <w:pStyle w:val="ListParagraph"/>
        <w:numPr>
          <w:ilvl w:val="0"/>
          <w:numId w:val="24"/>
        </w:numPr>
        <w:autoSpaceDE w:val="0"/>
        <w:autoSpaceDN w:val="0"/>
        <w:adjustRightInd w:val="0"/>
        <w:rPr>
          <w:rFonts w:cs="RobotoSlab-Light"/>
          <w:sz w:val="22"/>
          <w:szCs w:val="22"/>
          <w:lang w:val="en-AU"/>
        </w:rPr>
      </w:pPr>
      <w:r w:rsidRPr="00D57C40">
        <w:rPr>
          <w:rFonts w:cs="RobotoSlab-Light"/>
          <w:sz w:val="22"/>
          <w:szCs w:val="22"/>
          <w:lang w:val="en-AU"/>
        </w:rPr>
        <w:t>a number of regional CLCs will need to reduce frontline services (for example one centre estimated it would reduce face-to-face appointments with lawyers by approximately 10-15 appointments per week) close outreach locations and cease a ‘Regional Hotline’.</w:t>
      </w:r>
    </w:p>
    <w:p w14:paraId="2667AEA7" w14:textId="59707410" w:rsidR="00FD27F5" w:rsidRPr="00D57C40" w:rsidRDefault="00FD27F5" w:rsidP="00FD27F5">
      <w:pPr>
        <w:autoSpaceDE w:val="0"/>
        <w:autoSpaceDN w:val="0"/>
        <w:adjustRightInd w:val="0"/>
        <w:rPr>
          <w:rFonts w:cs="RobotoSlab-Light"/>
          <w:sz w:val="22"/>
          <w:szCs w:val="22"/>
          <w:lang w:val="en-AU"/>
        </w:rPr>
      </w:pPr>
    </w:p>
    <w:p w14:paraId="7DEA16C1" w14:textId="35157EE7" w:rsidR="00FD27F5" w:rsidRPr="00D57C40" w:rsidRDefault="00FD27F5" w:rsidP="00FD27F5">
      <w:pPr>
        <w:autoSpaceDE w:val="0"/>
        <w:autoSpaceDN w:val="0"/>
        <w:adjustRightInd w:val="0"/>
        <w:rPr>
          <w:rFonts w:cs="RobotoSlab-Light"/>
          <w:b/>
          <w:sz w:val="22"/>
          <w:szCs w:val="22"/>
          <w:lang w:val="en-AU"/>
        </w:rPr>
      </w:pPr>
      <w:r w:rsidRPr="00D57C40">
        <w:rPr>
          <w:rFonts w:cs="RobotoSlab-Light"/>
          <w:b/>
          <w:sz w:val="22"/>
          <w:szCs w:val="22"/>
          <w:lang w:val="en-AU"/>
        </w:rPr>
        <w:t xml:space="preserve">Tasmania: </w:t>
      </w:r>
      <w:r w:rsidRPr="00D57C40">
        <w:rPr>
          <w:rFonts w:cs="RobotoSlab-Light"/>
          <w:sz w:val="22"/>
          <w:szCs w:val="22"/>
          <w:lang w:val="en-AU"/>
        </w:rPr>
        <w:t xml:space="preserve">Commonwealth funding for </w:t>
      </w:r>
      <w:r w:rsidR="00E10419" w:rsidRPr="00D57C40">
        <w:rPr>
          <w:rFonts w:cs="RobotoSlab-Light"/>
          <w:sz w:val="22"/>
          <w:szCs w:val="22"/>
          <w:lang w:val="en-AU"/>
        </w:rPr>
        <w:t xml:space="preserve">the five </w:t>
      </w:r>
      <w:r w:rsidRPr="00D57C40">
        <w:rPr>
          <w:rFonts w:cs="RobotoSlab-Light"/>
          <w:sz w:val="22"/>
          <w:szCs w:val="22"/>
          <w:lang w:val="en-AU"/>
        </w:rPr>
        <w:t xml:space="preserve">CLCs </w:t>
      </w:r>
      <w:r w:rsidR="00E10419" w:rsidRPr="00D57C40">
        <w:rPr>
          <w:rFonts w:cs="RobotoSlab-Light"/>
          <w:sz w:val="22"/>
          <w:szCs w:val="22"/>
          <w:lang w:val="en-AU"/>
        </w:rPr>
        <w:t xml:space="preserve">that receive Commonwealth funding in Tasmania (in the south, north and north-west) </w:t>
      </w:r>
      <w:r w:rsidRPr="00D57C40">
        <w:rPr>
          <w:rFonts w:cs="RobotoSlab-Light"/>
          <w:sz w:val="22"/>
          <w:szCs w:val="22"/>
          <w:lang w:val="en-AU"/>
        </w:rPr>
        <w:t xml:space="preserve">will decrease by </w:t>
      </w:r>
      <w:r w:rsidR="00FA2607" w:rsidRPr="00D57C40">
        <w:rPr>
          <w:rFonts w:cs="RobotoSlab-Light"/>
          <w:sz w:val="22"/>
          <w:szCs w:val="22"/>
          <w:lang w:val="en-AU"/>
        </w:rPr>
        <w:t>$436,000 on 1 July 2017, a reduction in Commonwealth funding of 31.6%.</w:t>
      </w:r>
      <w:r w:rsidR="00FA2607" w:rsidRPr="00D57C40">
        <w:rPr>
          <w:rFonts w:cs="RobotoSlab-Light"/>
          <w:b/>
          <w:sz w:val="22"/>
          <w:szCs w:val="22"/>
          <w:lang w:val="en-AU"/>
        </w:rPr>
        <w:t xml:space="preserve"> </w:t>
      </w:r>
    </w:p>
    <w:p w14:paraId="57E72A0B" w14:textId="11FDD70E" w:rsidR="001A4E23" w:rsidRPr="00D57C40" w:rsidRDefault="001A4E23" w:rsidP="00FD27F5">
      <w:pPr>
        <w:autoSpaceDE w:val="0"/>
        <w:autoSpaceDN w:val="0"/>
        <w:adjustRightInd w:val="0"/>
        <w:rPr>
          <w:rFonts w:cs="RobotoSlab-Light"/>
          <w:b/>
          <w:sz w:val="22"/>
          <w:szCs w:val="22"/>
          <w:lang w:val="en-AU"/>
        </w:rPr>
      </w:pPr>
    </w:p>
    <w:p w14:paraId="1BD5B8B3" w14:textId="77777777" w:rsidR="00D57C40" w:rsidRPr="00D57C40" w:rsidRDefault="00D57C40" w:rsidP="00FD27F5">
      <w:pPr>
        <w:autoSpaceDE w:val="0"/>
        <w:autoSpaceDN w:val="0"/>
        <w:adjustRightInd w:val="0"/>
        <w:rPr>
          <w:rFonts w:cs="RobotoSlab-Light"/>
          <w:b/>
          <w:sz w:val="22"/>
          <w:szCs w:val="22"/>
          <w:lang w:val="en-AU"/>
        </w:rPr>
      </w:pPr>
    </w:p>
    <w:p w14:paraId="711B750E" w14:textId="77777777" w:rsidR="00D57C40" w:rsidRPr="00D57C40" w:rsidRDefault="00D57C40" w:rsidP="00FD27F5">
      <w:pPr>
        <w:autoSpaceDE w:val="0"/>
        <w:autoSpaceDN w:val="0"/>
        <w:adjustRightInd w:val="0"/>
        <w:rPr>
          <w:rFonts w:cs="RobotoSlab-Light"/>
          <w:b/>
          <w:sz w:val="22"/>
          <w:szCs w:val="22"/>
          <w:lang w:val="en-AU"/>
        </w:rPr>
      </w:pPr>
    </w:p>
    <w:p w14:paraId="4566859C" w14:textId="77777777" w:rsidR="00D57C40" w:rsidRPr="00D57C40" w:rsidRDefault="00D57C40" w:rsidP="00FD27F5">
      <w:pPr>
        <w:autoSpaceDE w:val="0"/>
        <w:autoSpaceDN w:val="0"/>
        <w:adjustRightInd w:val="0"/>
        <w:rPr>
          <w:rFonts w:cs="RobotoSlab-Light"/>
          <w:b/>
          <w:sz w:val="22"/>
          <w:szCs w:val="22"/>
          <w:lang w:val="en-AU"/>
        </w:rPr>
      </w:pPr>
    </w:p>
    <w:p w14:paraId="09207E54" w14:textId="77777777" w:rsidR="00D57C40" w:rsidRPr="00D57C40" w:rsidRDefault="00D57C40" w:rsidP="00FD27F5">
      <w:pPr>
        <w:autoSpaceDE w:val="0"/>
        <w:autoSpaceDN w:val="0"/>
        <w:adjustRightInd w:val="0"/>
        <w:rPr>
          <w:rFonts w:cs="RobotoSlab-Light"/>
          <w:b/>
          <w:sz w:val="22"/>
          <w:szCs w:val="22"/>
          <w:lang w:val="en-AU"/>
        </w:rPr>
      </w:pPr>
    </w:p>
    <w:p w14:paraId="73C8B374" w14:textId="689016E2" w:rsidR="001A4E23" w:rsidRPr="00D57C40" w:rsidRDefault="00D57C40" w:rsidP="00FD27F5">
      <w:pPr>
        <w:autoSpaceDE w:val="0"/>
        <w:autoSpaceDN w:val="0"/>
        <w:adjustRightInd w:val="0"/>
        <w:rPr>
          <w:sz w:val="22"/>
          <w:szCs w:val="22"/>
        </w:rPr>
      </w:pPr>
      <w:r w:rsidRPr="00D57C40">
        <w:rPr>
          <w:rFonts w:ascii="Arial" w:hAnsi="Arial" w:cs="Arial"/>
          <w:noProof/>
          <w:color w:val="000000"/>
          <w:sz w:val="22"/>
          <w:szCs w:val="22"/>
          <w:lang w:val="en-AU" w:eastAsia="en-AU"/>
        </w:rPr>
        <mc:AlternateContent>
          <mc:Choice Requires="wps">
            <w:drawing>
              <wp:anchor distT="0" distB="0" distL="114300" distR="114300" simplePos="0" relativeHeight="251671552" behindDoc="0" locked="0" layoutInCell="1" allowOverlap="1" wp14:anchorId="4987D662" wp14:editId="10B3286A">
                <wp:simplePos x="0" y="0"/>
                <wp:positionH relativeFrom="margin">
                  <wp:posOffset>-171450</wp:posOffset>
                </wp:positionH>
                <wp:positionV relativeFrom="paragraph">
                  <wp:posOffset>-171450</wp:posOffset>
                </wp:positionV>
                <wp:extent cx="6410325" cy="4962525"/>
                <wp:effectExtent l="57150" t="38100" r="85725" b="104775"/>
                <wp:wrapNone/>
                <wp:docPr id="10" name="Rectangle 10"/>
                <wp:cNvGraphicFramePr/>
                <a:graphic xmlns:a="http://schemas.openxmlformats.org/drawingml/2006/main">
                  <a:graphicData uri="http://schemas.microsoft.com/office/word/2010/wordprocessingShape">
                    <wps:wsp>
                      <wps:cNvSpPr/>
                      <wps:spPr>
                        <a:xfrm>
                          <a:off x="0" y="0"/>
                          <a:ext cx="6410325" cy="4962525"/>
                        </a:xfrm>
                        <a:prstGeom prst="rect">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334357D" id="Rectangle 10" o:spid="_x0000_s1026" style="position:absolute;margin-left:-13.5pt;margin-top:-13.5pt;width:504.75pt;height:390.7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" filled="f" strokecolor="#4579b8 [3044]" strokeweight="3pt">
                <v:shadow on="t" color="black" opacity="22937f" origin=",.5" offset="0,.63889mm"/>
                <w10:wrap anchorx="margin"/>
              </v:rect>
            </w:pict>
          </mc:Fallback>
        </mc:AlternateContent>
      </w:r>
      <w:r w:rsidR="001A4E23" w:rsidRPr="00D57C40">
        <w:rPr>
          <w:rFonts w:cs="RobotoSlab-Light"/>
          <w:b/>
          <w:sz w:val="22"/>
          <w:szCs w:val="22"/>
          <w:lang w:val="en-AU"/>
        </w:rPr>
        <w:t xml:space="preserve">Victoria: </w:t>
      </w:r>
      <w:r w:rsidR="001A4E23" w:rsidRPr="00D57C40">
        <w:rPr>
          <w:rFonts w:cs="RobotoSlab-Light"/>
          <w:sz w:val="22"/>
          <w:szCs w:val="22"/>
          <w:lang w:val="en-AU"/>
        </w:rPr>
        <w:t xml:space="preserve">Commonwealth funding for CLCs </w:t>
      </w:r>
      <w:r w:rsidR="001A4E23" w:rsidRPr="00D57C40">
        <w:rPr>
          <w:sz w:val="22"/>
          <w:szCs w:val="22"/>
        </w:rPr>
        <w:t xml:space="preserve">will decrease by $2.9 million on 1 July 2017. CLCs have been provided a notional allocation of funding </w:t>
      </w:r>
      <w:r w:rsidR="00181619" w:rsidRPr="00D57C40">
        <w:rPr>
          <w:sz w:val="22"/>
          <w:szCs w:val="22"/>
        </w:rPr>
        <w:t xml:space="preserve">consistent with proportionate existing Commonwealth funding. On this basis, the impact of funding cuts in some centres includes: </w:t>
      </w:r>
    </w:p>
    <w:p w14:paraId="2F7F3F4C" w14:textId="671D4294" w:rsidR="001A4E23" w:rsidRPr="00D57C40" w:rsidRDefault="001A4E23" w:rsidP="00FD27F5">
      <w:pPr>
        <w:autoSpaceDE w:val="0"/>
        <w:autoSpaceDN w:val="0"/>
        <w:adjustRightInd w:val="0"/>
        <w:rPr>
          <w:sz w:val="22"/>
          <w:szCs w:val="22"/>
        </w:rPr>
      </w:pPr>
      <w:r w:rsidRPr="00D57C40">
        <w:rPr>
          <w:sz w:val="22"/>
          <w:szCs w:val="22"/>
        </w:rPr>
        <w:sym w:font="Symbol" w:char="F0B7"/>
      </w:r>
      <w:r w:rsidRPr="00D57C40">
        <w:rPr>
          <w:sz w:val="22"/>
          <w:szCs w:val="22"/>
        </w:rPr>
        <w:t xml:space="preserve"> Darebin CLC</w:t>
      </w:r>
      <w:r w:rsidR="00AA4F3D" w:rsidRPr="00D57C40">
        <w:rPr>
          <w:sz w:val="22"/>
          <w:szCs w:val="22"/>
        </w:rPr>
        <w:t>-</w:t>
      </w:r>
      <w:r w:rsidRPr="00D57C40">
        <w:rPr>
          <w:sz w:val="22"/>
          <w:szCs w:val="22"/>
        </w:rPr>
        <w:t xml:space="preserve">70.3% of their Commonwealth funding, meaning 150 women they would otherwise have been able to assist with family law and family violence matters will miss out on help </w:t>
      </w:r>
    </w:p>
    <w:p w14:paraId="19526C7C" w14:textId="398201E0" w:rsidR="00793AA1" w:rsidRPr="00D57C40" w:rsidRDefault="001A4E23" w:rsidP="00FD27F5">
      <w:pPr>
        <w:autoSpaceDE w:val="0"/>
        <w:autoSpaceDN w:val="0"/>
        <w:adjustRightInd w:val="0"/>
        <w:rPr>
          <w:sz w:val="22"/>
          <w:szCs w:val="22"/>
        </w:rPr>
      </w:pPr>
      <w:r w:rsidRPr="00D57C40">
        <w:rPr>
          <w:sz w:val="22"/>
          <w:szCs w:val="22"/>
        </w:rPr>
        <w:sym w:font="Symbol" w:char="F0B7"/>
      </w:r>
      <w:r w:rsidRPr="00D57C40">
        <w:rPr>
          <w:sz w:val="22"/>
          <w:szCs w:val="22"/>
        </w:rPr>
        <w:t xml:space="preserve"> Goulburn </w:t>
      </w:r>
      <w:r w:rsidR="00181619" w:rsidRPr="00D57C40">
        <w:rPr>
          <w:sz w:val="22"/>
          <w:szCs w:val="22"/>
        </w:rPr>
        <w:t>Valley CLC</w:t>
      </w:r>
      <w:r w:rsidR="00AA4F3D" w:rsidRPr="00D57C40">
        <w:rPr>
          <w:sz w:val="22"/>
          <w:szCs w:val="22"/>
        </w:rPr>
        <w:t>-</w:t>
      </w:r>
      <w:r w:rsidR="00181619" w:rsidRPr="00D57C40">
        <w:rPr>
          <w:sz w:val="22"/>
          <w:szCs w:val="22"/>
        </w:rPr>
        <w:t xml:space="preserve"> </w:t>
      </w:r>
      <w:r w:rsidRPr="00D57C40">
        <w:rPr>
          <w:sz w:val="22"/>
          <w:szCs w:val="22"/>
        </w:rPr>
        <w:t>all Commonwealth funding, which equates to one full-time lawyer providing family violence, family law and generalist legal help in Shepparton, a high needs area which is also home to the largest population of Aboriginal and Torres Strait Islander people in Victoria outside metropolitan Melbourne</w:t>
      </w:r>
    </w:p>
    <w:p w14:paraId="5A44DA43" w14:textId="1B289804" w:rsidR="001A4E23" w:rsidRPr="00D57C40" w:rsidRDefault="001A4E23" w:rsidP="00FD27F5">
      <w:pPr>
        <w:autoSpaceDE w:val="0"/>
        <w:autoSpaceDN w:val="0"/>
        <w:adjustRightInd w:val="0"/>
        <w:rPr>
          <w:sz w:val="22"/>
          <w:szCs w:val="22"/>
        </w:rPr>
      </w:pPr>
      <w:r w:rsidRPr="00D57C40">
        <w:rPr>
          <w:sz w:val="22"/>
          <w:szCs w:val="22"/>
        </w:rPr>
        <w:sym w:font="Symbol" w:char="F0B7"/>
      </w:r>
      <w:r w:rsidR="00181619" w:rsidRPr="00D57C40">
        <w:rPr>
          <w:sz w:val="22"/>
          <w:szCs w:val="22"/>
        </w:rPr>
        <w:t xml:space="preserve"> Westjustice (Western CLC)</w:t>
      </w:r>
      <w:r w:rsidR="00AA4F3D" w:rsidRPr="00D57C40">
        <w:rPr>
          <w:sz w:val="22"/>
          <w:szCs w:val="22"/>
        </w:rPr>
        <w:t>-</w:t>
      </w:r>
      <w:r w:rsidR="00181619" w:rsidRPr="00D57C40">
        <w:rPr>
          <w:sz w:val="22"/>
          <w:szCs w:val="22"/>
        </w:rPr>
        <w:t xml:space="preserve"> </w:t>
      </w:r>
      <w:r w:rsidR="00D1413C" w:rsidRPr="00D57C40">
        <w:rPr>
          <w:sz w:val="22"/>
          <w:szCs w:val="22"/>
        </w:rPr>
        <w:t xml:space="preserve">$170,000 </w:t>
      </w:r>
      <w:r w:rsidR="00AA4F3D" w:rsidRPr="00D57C40">
        <w:rPr>
          <w:sz w:val="22"/>
          <w:szCs w:val="22"/>
        </w:rPr>
        <w:t>which means it would</w:t>
      </w:r>
      <w:r w:rsidRPr="00D57C40">
        <w:rPr>
          <w:sz w:val="22"/>
          <w:szCs w:val="22"/>
        </w:rPr>
        <w:t xml:space="preserve"> have to close all youth law services including a clinic held at the Council Youth Centre in Wyndham and </w:t>
      </w:r>
      <w:r w:rsidR="00D1413C" w:rsidRPr="00D57C40">
        <w:rPr>
          <w:sz w:val="22"/>
          <w:szCs w:val="22"/>
        </w:rPr>
        <w:t>the loss of a</w:t>
      </w:r>
      <w:r w:rsidRPr="00D57C40">
        <w:rPr>
          <w:sz w:val="22"/>
          <w:szCs w:val="22"/>
        </w:rPr>
        <w:t xml:space="preserve"> staff member dedicated to working with newly arrived communities in an area with a high number of refugees and newly arrived persons.</w:t>
      </w:r>
    </w:p>
    <w:p w14:paraId="2344B27A" w14:textId="716E48A6" w:rsidR="00FD27F5" w:rsidRPr="00D57C40" w:rsidRDefault="00FD27F5" w:rsidP="00FD27F5">
      <w:pPr>
        <w:autoSpaceDE w:val="0"/>
        <w:autoSpaceDN w:val="0"/>
        <w:adjustRightInd w:val="0"/>
        <w:rPr>
          <w:rFonts w:cs="RobotoSlab-Light"/>
          <w:b/>
          <w:sz w:val="22"/>
          <w:szCs w:val="22"/>
          <w:lang w:val="en-AU"/>
        </w:rPr>
      </w:pPr>
    </w:p>
    <w:p w14:paraId="4D843EA8" w14:textId="642A46FD" w:rsidR="00FD27F5" w:rsidRDefault="00FD27F5" w:rsidP="00FD27F5">
      <w:pPr>
        <w:autoSpaceDE w:val="0"/>
        <w:autoSpaceDN w:val="0"/>
        <w:adjustRightInd w:val="0"/>
        <w:rPr>
          <w:rFonts w:ascii="Geneva" w:hAnsi="Geneva" w:cs="Geneva"/>
          <w:color w:val="000000"/>
          <w:lang w:val="en-US"/>
        </w:rPr>
      </w:pPr>
      <w:r w:rsidRPr="00D57C40">
        <w:rPr>
          <w:rFonts w:cs="RobotoSlab-Light"/>
          <w:b/>
          <w:sz w:val="22"/>
          <w:szCs w:val="22"/>
          <w:lang w:val="en-AU"/>
        </w:rPr>
        <w:t>Northern Territory:</w:t>
      </w:r>
      <w:r w:rsidR="001A4E23" w:rsidRPr="00D57C40">
        <w:rPr>
          <w:rFonts w:cs="RobotoSlab-Light"/>
          <w:b/>
          <w:sz w:val="22"/>
          <w:szCs w:val="22"/>
          <w:lang w:val="en-AU"/>
        </w:rPr>
        <w:t xml:space="preserve"> </w:t>
      </w:r>
      <w:r w:rsidR="00D405A9" w:rsidRPr="00D57C40">
        <w:rPr>
          <w:rFonts w:cs="RobotoSlab-Light"/>
          <w:sz w:val="22"/>
          <w:szCs w:val="22"/>
          <w:lang w:val="en-AU"/>
        </w:rPr>
        <w:t xml:space="preserve">Commonwealth funding for CLCs </w:t>
      </w:r>
      <w:r w:rsidR="00D405A9" w:rsidRPr="00D57C40">
        <w:rPr>
          <w:sz w:val="22"/>
          <w:szCs w:val="22"/>
        </w:rPr>
        <w:t xml:space="preserve">will decrease by </w:t>
      </w:r>
      <w:r w:rsidR="00D405A9" w:rsidRPr="00D57C40">
        <w:rPr>
          <w:rFonts w:cs="RobotoSlab-Light"/>
          <w:sz w:val="22"/>
          <w:szCs w:val="22"/>
          <w:lang w:val="en-AU"/>
        </w:rPr>
        <w:t xml:space="preserve">$450,000 (a cut of 31.4%) </w:t>
      </w:r>
      <w:r w:rsidR="00D405A9" w:rsidRPr="00D57C40">
        <w:rPr>
          <w:sz w:val="22"/>
          <w:szCs w:val="22"/>
        </w:rPr>
        <w:t>on 1 July 2017</w:t>
      </w:r>
      <w:r w:rsidR="005E563B" w:rsidRPr="00D57C40">
        <w:rPr>
          <w:rFonts w:cs="RobotoSlab-Light"/>
          <w:sz w:val="22"/>
          <w:szCs w:val="22"/>
          <w:lang w:val="en-AU"/>
        </w:rPr>
        <w:t xml:space="preserve">, which is likely to result </w:t>
      </w:r>
      <w:r w:rsidR="005E563B" w:rsidRPr="008C05D0">
        <w:rPr>
          <w:rFonts w:cs="RobotoSlab-Light"/>
          <w:sz w:val="22"/>
          <w:szCs w:val="22"/>
          <w:lang w:val="en-AU"/>
        </w:rPr>
        <w:t xml:space="preserve">in cuts of between $33,000-$150,000 to </w:t>
      </w:r>
      <w:r w:rsidR="008C05D0">
        <w:rPr>
          <w:rFonts w:cs="RobotoSlab-Light"/>
          <w:sz w:val="22"/>
          <w:szCs w:val="22"/>
          <w:lang w:val="en-AU"/>
        </w:rPr>
        <w:t xml:space="preserve">the 4 </w:t>
      </w:r>
      <w:r w:rsidR="005E563B" w:rsidRPr="008C05D0">
        <w:rPr>
          <w:rFonts w:cs="RobotoSlab-Light"/>
          <w:sz w:val="22"/>
          <w:szCs w:val="22"/>
          <w:lang w:val="en-AU"/>
        </w:rPr>
        <w:t xml:space="preserve">Commonwealth funded centres. </w:t>
      </w:r>
      <w:r w:rsidR="00793AA1" w:rsidRPr="008C05D0">
        <w:rPr>
          <w:rFonts w:cs="RobotoSlab-Light"/>
          <w:sz w:val="22"/>
          <w:szCs w:val="22"/>
          <w:lang w:val="en-AU"/>
        </w:rPr>
        <w:t>Many CLCs in the NT are</w:t>
      </w:r>
      <w:r w:rsidR="00D405A9" w:rsidRPr="008C05D0">
        <w:rPr>
          <w:rFonts w:cs="RobotoSlab-Light"/>
          <w:sz w:val="22"/>
          <w:szCs w:val="22"/>
          <w:lang w:val="en-AU"/>
        </w:rPr>
        <w:t xml:space="preserve"> relatively sma</w:t>
      </w:r>
      <w:r w:rsidR="0092763B" w:rsidRPr="008C05D0">
        <w:rPr>
          <w:rFonts w:cs="RobotoSlab-Light"/>
          <w:sz w:val="22"/>
          <w:szCs w:val="22"/>
          <w:lang w:val="en-AU"/>
        </w:rPr>
        <w:t>ll and the cuts will have a significant impact on frontline service delivery. Fo</w:t>
      </w:r>
      <w:r w:rsidR="00793AA1" w:rsidRPr="008C05D0">
        <w:rPr>
          <w:rFonts w:cs="RobotoSlab-Light"/>
          <w:sz w:val="22"/>
          <w:szCs w:val="22"/>
          <w:lang w:val="en-AU"/>
        </w:rPr>
        <w:t>r example</w:t>
      </w:r>
      <w:r w:rsidR="0092763B" w:rsidRPr="008C05D0">
        <w:rPr>
          <w:rFonts w:cs="RobotoSlab-Light"/>
          <w:sz w:val="22"/>
          <w:szCs w:val="22"/>
          <w:lang w:val="en-AU"/>
        </w:rPr>
        <w:t xml:space="preserve">, </w:t>
      </w:r>
      <w:r w:rsidR="001A4E23" w:rsidRPr="008C05D0">
        <w:rPr>
          <w:rFonts w:cs="RobotoSlab-Light"/>
          <w:sz w:val="22"/>
          <w:szCs w:val="22"/>
          <w:lang w:val="en-AU"/>
        </w:rPr>
        <w:t>one CLC has a t</w:t>
      </w:r>
      <w:r w:rsidR="00793AA1" w:rsidRPr="008C05D0">
        <w:rPr>
          <w:rFonts w:cs="RobotoSlab-Light"/>
          <w:sz w:val="22"/>
          <w:szCs w:val="22"/>
          <w:lang w:val="en-AU"/>
        </w:rPr>
        <w:t xml:space="preserve">eam of four community </w:t>
      </w:r>
      <w:r w:rsidR="0092763B" w:rsidRPr="008C05D0">
        <w:rPr>
          <w:rFonts w:cs="RobotoSlab-Light"/>
          <w:sz w:val="22"/>
          <w:szCs w:val="22"/>
          <w:lang w:val="en-AU"/>
        </w:rPr>
        <w:t xml:space="preserve">lawyers </w:t>
      </w:r>
      <w:r w:rsidR="00793AA1" w:rsidRPr="008C05D0">
        <w:rPr>
          <w:rFonts w:cs="RobotoSlab-Light"/>
          <w:sz w:val="22"/>
          <w:szCs w:val="22"/>
          <w:lang w:val="en-AU"/>
        </w:rPr>
        <w:t>and the loss of funding for one</w:t>
      </w:r>
      <w:r w:rsidR="001A4E23" w:rsidRPr="008C05D0">
        <w:rPr>
          <w:rFonts w:cs="RobotoSlab-Light"/>
          <w:sz w:val="22"/>
          <w:szCs w:val="22"/>
          <w:lang w:val="en-AU"/>
        </w:rPr>
        <w:t xml:space="preserve"> position will result in a reduction of at </w:t>
      </w:r>
      <w:r w:rsidR="00D405A9" w:rsidRPr="008C05D0">
        <w:rPr>
          <w:rFonts w:cs="RobotoSlab-Light"/>
          <w:sz w:val="22"/>
          <w:szCs w:val="22"/>
          <w:lang w:val="en-AU"/>
        </w:rPr>
        <w:t>least 25% of frontline services.</w:t>
      </w:r>
      <w:r w:rsidR="0092763B" w:rsidRPr="008C05D0">
        <w:rPr>
          <w:rFonts w:cs="RobotoSlab-Light"/>
          <w:sz w:val="22"/>
          <w:szCs w:val="22"/>
          <w:lang w:val="en-AU"/>
        </w:rPr>
        <w:t xml:space="preserve"> For another centre the cut </w:t>
      </w:r>
      <w:r w:rsidR="0092763B" w:rsidRPr="008C05D0">
        <w:rPr>
          <w:rFonts w:cs="Arial"/>
          <w:color w:val="000000"/>
          <w:sz w:val="22"/>
          <w:szCs w:val="22"/>
          <w:lang w:val="en-US"/>
        </w:rPr>
        <w:t>equates to one full-time non legal position from</w:t>
      </w:r>
      <w:r w:rsidR="000F130F">
        <w:rPr>
          <w:rFonts w:cs="Arial"/>
          <w:color w:val="000000"/>
          <w:sz w:val="22"/>
          <w:szCs w:val="22"/>
          <w:lang w:val="en-US"/>
        </w:rPr>
        <w:t xml:space="preserve"> a total of 3.5 positions, with a significant impact on people accessing legal assistance in the NT. </w:t>
      </w:r>
    </w:p>
    <w:p w14:paraId="18A30BB4" w14:textId="77777777" w:rsidR="000F130F" w:rsidRPr="000F130F" w:rsidRDefault="000F130F" w:rsidP="00FD27F5">
      <w:pPr>
        <w:autoSpaceDE w:val="0"/>
        <w:autoSpaceDN w:val="0"/>
        <w:adjustRightInd w:val="0"/>
        <w:rPr>
          <w:rFonts w:ascii="Geneva" w:hAnsi="Geneva" w:cs="Geneva"/>
          <w:color w:val="000000"/>
          <w:lang w:val="en-US"/>
        </w:rPr>
      </w:pPr>
    </w:p>
    <w:p w14:paraId="16F446A6" w14:textId="2F6312C8" w:rsidR="003B3897" w:rsidRPr="00D57C40" w:rsidRDefault="00FD27F5" w:rsidP="005E563B">
      <w:pPr>
        <w:autoSpaceDE w:val="0"/>
        <w:autoSpaceDN w:val="0"/>
        <w:adjustRightInd w:val="0"/>
        <w:rPr>
          <w:rFonts w:cs="RobotoSlab-Light"/>
          <w:b/>
          <w:sz w:val="22"/>
          <w:szCs w:val="22"/>
          <w:lang w:val="en-AU"/>
        </w:rPr>
      </w:pPr>
      <w:r w:rsidRPr="00D57C40">
        <w:rPr>
          <w:rFonts w:cs="RobotoSlab-Light"/>
          <w:b/>
          <w:sz w:val="22"/>
          <w:szCs w:val="22"/>
          <w:lang w:val="en-AU"/>
        </w:rPr>
        <w:t xml:space="preserve">Australian Capital Territory: </w:t>
      </w:r>
      <w:r w:rsidR="00D405A9" w:rsidRPr="00D57C40">
        <w:rPr>
          <w:rFonts w:cs="RobotoSlab-Light"/>
          <w:sz w:val="22"/>
          <w:szCs w:val="22"/>
          <w:lang w:val="en-AU"/>
        </w:rPr>
        <w:t xml:space="preserve">Commonwealth funding for </w:t>
      </w:r>
      <w:r w:rsidR="00136F59" w:rsidRPr="00D57C40">
        <w:rPr>
          <w:rFonts w:cs="RobotoSlab-Light"/>
          <w:sz w:val="22"/>
          <w:szCs w:val="22"/>
          <w:lang w:val="en-AU"/>
        </w:rPr>
        <w:t xml:space="preserve">the two Commonwealth funded </w:t>
      </w:r>
      <w:r w:rsidR="00D405A9" w:rsidRPr="00D57C40">
        <w:rPr>
          <w:rFonts w:cs="RobotoSlab-Light"/>
          <w:sz w:val="22"/>
          <w:szCs w:val="22"/>
          <w:lang w:val="en-AU"/>
        </w:rPr>
        <w:t>CLCs</w:t>
      </w:r>
      <w:r w:rsidR="00136F59" w:rsidRPr="00D57C40">
        <w:rPr>
          <w:rFonts w:cs="RobotoSlab-Light"/>
          <w:sz w:val="22"/>
          <w:szCs w:val="22"/>
          <w:lang w:val="en-AU"/>
        </w:rPr>
        <w:t xml:space="preserve"> in the ACT</w:t>
      </w:r>
      <w:r w:rsidR="00D405A9" w:rsidRPr="00D57C40">
        <w:rPr>
          <w:rFonts w:cs="RobotoSlab-Light"/>
          <w:sz w:val="22"/>
          <w:szCs w:val="22"/>
          <w:lang w:val="en-AU"/>
        </w:rPr>
        <w:t xml:space="preserve"> </w:t>
      </w:r>
      <w:r w:rsidR="00D405A9" w:rsidRPr="00D57C40">
        <w:rPr>
          <w:sz w:val="22"/>
          <w:szCs w:val="22"/>
        </w:rPr>
        <w:t xml:space="preserve">will decrease by </w:t>
      </w:r>
      <w:r w:rsidR="00D405A9" w:rsidRPr="00D57C40">
        <w:rPr>
          <w:rFonts w:cs="RobotoSlab-Light"/>
          <w:sz w:val="22"/>
          <w:szCs w:val="22"/>
          <w:lang w:val="en-AU"/>
        </w:rPr>
        <w:t>$287,000 (a cut of 29.4%) on 1 July 2017</w:t>
      </w:r>
      <w:r w:rsidR="008C05D0">
        <w:rPr>
          <w:rFonts w:cs="RobotoSlab-Light"/>
          <w:sz w:val="22"/>
          <w:szCs w:val="22"/>
          <w:lang w:val="en-AU"/>
        </w:rPr>
        <w:t>, or a $350,000 cut from funding in 2015-2016</w:t>
      </w:r>
      <w:r w:rsidR="00136F59" w:rsidRPr="00D57C40">
        <w:rPr>
          <w:rFonts w:cs="RobotoSlab-Light"/>
          <w:sz w:val="22"/>
          <w:szCs w:val="22"/>
          <w:lang w:val="en-AU"/>
        </w:rPr>
        <w:t xml:space="preserve">. </w:t>
      </w:r>
      <w:r w:rsidR="00793AA1" w:rsidRPr="00D57C40">
        <w:rPr>
          <w:rFonts w:cs="RobotoSlab-Light"/>
          <w:sz w:val="22"/>
          <w:szCs w:val="22"/>
          <w:lang w:val="en-AU"/>
        </w:rPr>
        <w:t>For Canberra Community Law, the</w:t>
      </w:r>
      <w:r w:rsidR="000F130F">
        <w:rPr>
          <w:rFonts w:cs="RobotoSlab-Light"/>
          <w:sz w:val="22"/>
          <w:szCs w:val="22"/>
          <w:lang w:val="en-AU"/>
        </w:rPr>
        <w:t xml:space="preserve"> funding cut will impact on its ability to provide specialist legal services in areas including social security and disability discrimination law as well as on its StreetLaw service. </w:t>
      </w:r>
      <w:r w:rsidR="00793AA1" w:rsidRPr="00D57C40">
        <w:rPr>
          <w:rFonts w:cs="RobotoSlab-Light"/>
          <w:sz w:val="22"/>
          <w:szCs w:val="22"/>
          <w:lang w:val="en-AU"/>
        </w:rPr>
        <w:t xml:space="preserve">Women’s Legal Centre ACT estimates that 300 low-paid </w:t>
      </w:r>
      <w:r w:rsidR="00793AA1" w:rsidRPr="00D57C40">
        <w:rPr>
          <w:color w:val="1D1D1D"/>
          <w:sz w:val="22"/>
          <w:szCs w:val="22"/>
          <w:shd w:val="clear" w:color="auto" w:fill="FFFFFF"/>
        </w:rPr>
        <w:t xml:space="preserve">women in Canberra would have to go through family and employment disputes without legal assistance as a result of the funding </w:t>
      </w:r>
      <w:r w:rsidR="0092763B">
        <w:rPr>
          <w:color w:val="1D1D1D"/>
          <w:sz w:val="22"/>
          <w:szCs w:val="22"/>
          <w:shd w:val="clear" w:color="auto" w:fill="FFFFFF"/>
        </w:rPr>
        <w:t xml:space="preserve">cut. </w:t>
      </w:r>
      <w:r w:rsidR="00793AA1" w:rsidRPr="00D57C40">
        <w:rPr>
          <w:color w:val="1D1D1D"/>
          <w:sz w:val="22"/>
          <w:szCs w:val="22"/>
          <w:shd w:val="clear" w:color="auto" w:fill="FFFFFF"/>
        </w:rPr>
        <w:t xml:space="preserve"> </w:t>
      </w:r>
    </w:p>
    <w:p w14:paraId="238EFDA7" w14:textId="3773B692" w:rsidR="00695C0E" w:rsidRPr="00695C0E" w:rsidRDefault="006C2092" w:rsidP="00695C0E">
      <w:pPr>
        <w:pStyle w:val="Heading1"/>
      </w:pPr>
      <w:bookmarkStart w:id="8" w:name="_Toc472606641"/>
      <w:r w:rsidRPr="00D57C40">
        <w:t>What</w:t>
      </w:r>
      <w:r w:rsidR="002554C4" w:rsidRPr="00D57C40">
        <w:t xml:space="preserve"> </w:t>
      </w:r>
      <w:r w:rsidR="00711634" w:rsidRPr="00D57C40">
        <w:t>Is Needed?</w:t>
      </w:r>
      <w:bookmarkEnd w:id="8"/>
      <w:r w:rsidR="00711634">
        <w:t xml:space="preserve"> </w:t>
      </w:r>
    </w:p>
    <w:p w14:paraId="59A9C42D" w14:textId="77777777" w:rsidR="00295236" w:rsidRPr="00295236" w:rsidRDefault="00295236" w:rsidP="00295236"/>
    <w:p w14:paraId="4B70574D" w14:textId="7EA3FBAD" w:rsidR="00106408" w:rsidRPr="00106408" w:rsidRDefault="00106408" w:rsidP="00B357A6">
      <w:pPr>
        <w:rPr>
          <w:sz w:val="22"/>
          <w:szCs w:val="22"/>
        </w:rPr>
      </w:pPr>
      <w:r w:rsidRPr="00106408">
        <w:rPr>
          <w:sz w:val="22"/>
          <w:szCs w:val="22"/>
        </w:rPr>
        <w:t>There are a range of</w:t>
      </w:r>
      <w:r w:rsidR="00695C0E">
        <w:rPr>
          <w:sz w:val="22"/>
          <w:szCs w:val="22"/>
        </w:rPr>
        <w:t xml:space="preserve"> Budgetary, administrative and</w:t>
      </w:r>
      <w:r w:rsidRPr="00106408">
        <w:rPr>
          <w:sz w:val="22"/>
          <w:szCs w:val="22"/>
        </w:rPr>
        <w:t xml:space="preserve"> policy </w:t>
      </w:r>
      <w:r w:rsidR="00695C0E">
        <w:rPr>
          <w:sz w:val="22"/>
          <w:szCs w:val="22"/>
        </w:rPr>
        <w:t xml:space="preserve">steps </w:t>
      </w:r>
      <w:r w:rsidRPr="00106408">
        <w:rPr>
          <w:sz w:val="22"/>
          <w:szCs w:val="22"/>
        </w:rPr>
        <w:t xml:space="preserve">the Commonwealth Government could take to address the crisis in legal assistance. </w:t>
      </w:r>
    </w:p>
    <w:p w14:paraId="7453C7C0" w14:textId="77777777" w:rsidR="00106408" w:rsidRPr="00106408" w:rsidRDefault="00106408" w:rsidP="00B357A6">
      <w:pPr>
        <w:rPr>
          <w:sz w:val="22"/>
          <w:szCs w:val="22"/>
        </w:rPr>
      </w:pPr>
    </w:p>
    <w:p w14:paraId="00A102D6" w14:textId="77777777" w:rsidR="00106408" w:rsidRPr="00106408" w:rsidRDefault="00106408" w:rsidP="00B357A6">
      <w:pPr>
        <w:rPr>
          <w:sz w:val="22"/>
          <w:szCs w:val="22"/>
        </w:rPr>
      </w:pPr>
      <w:r w:rsidRPr="00106408">
        <w:rPr>
          <w:sz w:val="22"/>
          <w:szCs w:val="22"/>
        </w:rPr>
        <w:t>At the outset NACLC notes that the importance of the Government working cooperatively and collaboratively with the legal assistance sector to address these issues cannot be underestimated. Drawing on the significant experience and expertise of bodies such as NACLC, NFVPS, NATSILS and NLA in decision-making, including policy formulation, would assist the Government and result in better outcomes for vulnerable and disadvantaged people seeking legal assistance across Australia.</w:t>
      </w:r>
    </w:p>
    <w:p w14:paraId="3A364EB5" w14:textId="77777777" w:rsidR="00106408" w:rsidRPr="00106408" w:rsidRDefault="00106408" w:rsidP="00B357A6">
      <w:pPr>
        <w:rPr>
          <w:sz w:val="22"/>
          <w:szCs w:val="22"/>
        </w:rPr>
      </w:pPr>
    </w:p>
    <w:p w14:paraId="5A7EB150" w14:textId="209BDFA3" w:rsidR="00B50082" w:rsidRDefault="00106408" w:rsidP="00745051">
      <w:pPr>
        <w:rPr>
          <w:sz w:val="22"/>
          <w:szCs w:val="22"/>
        </w:rPr>
      </w:pPr>
      <w:r w:rsidRPr="00106408">
        <w:rPr>
          <w:sz w:val="22"/>
          <w:szCs w:val="22"/>
        </w:rPr>
        <w:t>More specifically, NACLC outlines a number of key recommendations for reform</w:t>
      </w:r>
      <w:r w:rsidR="006C05EA">
        <w:rPr>
          <w:sz w:val="22"/>
          <w:szCs w:val="22"/>
        </w:rPr>
        <w:t xml:space="preserve"> relating not only to CLCs, but the legal assistance sector more broadly</w:t>
      </w:r>
      <w:r w:rsidR="004041AB">
        <w:rPr>
          <w:sz w:val="22"/>
          <w:szCs w:val="22"/>
        </w:rPr>
        <w:t>.</w:t>
      </w:r>
    </w:p>
    <w:p w14:paraId="2DF17357" w14:textId="49196E4F" w:rsidR="00B50082" w:rsidRDefault="00B50082" w:rsidP="00B50082">
      <w:pPr>
        <w:pStyle w:val="Heading2"/>
      </w:pPr>
      <w:bookmarkStart w:id="9" w:name="_Toc472606642"/>
      <w:r>
        <w:t>Community Legal Centres</w:t>
      </w:r>
      <w:bookmarkEnd w:id="9"/>
    </w:p>
    <w:p w14:paraId="22E2A7C0" w14:textId="77777777" w:rsidR="00B50082" w:rsidRDefault="00B50082" w:rsidP="00B50082">
      <w:pPr>
        <w:rPr>
          <w:sz w:val="22"/>
          <w:szCs w:val="22"/>
        </w:rPr>
      </w:pPr>
    </w:p>
    <w:p w14:paraId="0EC3138C" w14:textId="6E07F737" w:rsidR="004752EC" w:rsidRPr="00F40AE6" w:rsidRDefault="00B50082" w:rsidP="00B50082">
      <w:pPr>
        <w:rPr>
          <w:sz w:val="22"/>
          <w:szCs w:val="22"/>
        </w:rPr>
      </w:pPr>
      <w:r w:rsidRPr="00F40AE6">
        <w:rPr>
          <w:sz w:val="22"/>
          <w:szCs w:val="22"/>
        </w:rPr>
        <w:t xml:space="preserve">There are three short-term funding measures NACLC recommends. </w:t>
      </w:r>
      <w:r w:rsidR="00BF6BD4" w:rsidRPr="00F40AE6">
        <w:rPr>
          <w:sz w:val="22"/>
          <w:szCs w:val="22"/>
        </w:rPr>
        <w:t xml:space="preserve"> </w:t>
      </w:r>
      <w:r w:rsidR="00341912" w:rsidRPr="00F40AE6">
        <w:rPr>
          <w:sz w:val="22"/>
          <w:szCs w:val="22"/>
        </w:rPr>
        <w:t>There are a range of savings and revenue measures that could offset the cost of any additional funding to the legal assistance sector. For example, there are a number of large scale revenue measures Government could consider outlined by bodies such as ACOSS.</w:t>
      </w:r>
    </w:p>
    <w:p w14:paraId="1ACAB32C" w14:textId="77777777" w:rsidR="00D57C40" w:rsidRDefault="00D57C40" w:rsidP="00B50082"/>
    <w:p w14:paraId="6D486198" w14:textId="77777777" w:rsidR="00D57C40" w:rsidRPr="00341912" w:rsidRDefault="00D57C40" w:rsidP="00B50082"/>
    <w:p w14:paraId="74C9A651" w14:textId="024DE932" w:rsidR="00B50082" w:rsidRDefault="00B50082" w:rsidP="00341912">
      <w:pPr>
        <w:pStyle w:val="Heading3"/>
        <w:numPr>
          <w:ilvl w:val="0"/>
          <w:numId w:val="15"/>
        </w:numPr>
      </w:pPr>
      <w:bookmarkStart w:id="10" w:name="_Toc472606643"/>
      <w:r>
        <w:t>Reversal of funding cuts</w:t>
      </w:r>
      <w:bookmarkEnd w:id="10"/>
      <w:r>
        <w:t xml:space="preserve"> </w:t>
      </w:r>
    </w:p>
    <w:p w14:paraId="76FE5899" w14:textId="77777777" w:rsidR="00B50082" w:rsidRDefault="00B50082" w:rsidP="00B50082"/>
    <w:p w14:paraId="1699EA6F" w14:textId="77777777" w:rsidR="00B50082" w:rsidRDefault="00B50082" w:rsidP="00B50082">
      <w:pPr>
        <w:widowControl w:val="0"/>
        <w:autoSpaceDE w:val="0"/>
        <w:autoSpaceDN w:val="0"/>
        <w:adjustRightInd w:val="0"/>
        <w:rPr>
          <w:rFonts w:cs="Arial"/>
          <w:sz w:val="22"/>
          <w:szCs w:val="22"/>
          <w:shd w:val="clear" w:color="auto" w:fill="FFFFFF"/>
        </w:rPr>
      </w:pPr>
      <w:r>
        <w:rPr>
          <w:rFonts w:cs="Arial"/>
          <w:sz w:val="22"/>
          <w:szCs w:val="22"/>
          <w:shd w:val="clear" w:color="auto" w:fill="FFFFFF"/>
        </w:rPr>
        <w:t xml:space="preserve">In light of the significant impact of funding cuts nationally to CLCs from </w:t>
      </w:r>
      <w:r w:rsidRPr="00B357A6">
        <w:rPr>
          <w:rFonts w:cs="Arial"/>
          <w:sz w:val="22"/>
          <w:szCs w:val="22"/>
          <w:shd w:val="clear" w:color="auto" w:fill="FFFFFF"/>
        </w:rPr>
        <w:t>2017-2018</w:t>
      </w:r>
      <w:r>
        <w:rPr>
          <w:rFonts w:cs="Arial"/>
          <w:sz w:val="22"/>
          <w:szCs w:val="22"/>
          <w:shd w:val="clear" w:color="auto" w:fill="FFFFFF"/>
        </w:rPr>
        <w:t xml:space="preserve">, NACLC recommends that the Government’s first step in addressing the crisis in legal assistance should be to reverse the proposed cuts. The additional funding should be included under the NPA, and therefore subject to the FAM and decisions about allocation to individual service providers arising from jurisdictional service planning processes. </w:t>
      </w:r>
    </w:p>
    <w:p w14:paraId="29C359C0" w14:textId="77777777" w:rsidR="00B50082" w:rsidRDefault="00B50082" w:rsidP="00B50082">
      <w:pPr>
        <w:widowControl w:val="0"/>
        <w:autoSpaceDE w:val="0"/>
        <w:autoSpaceDN w:val="0"/>
        <w:adjustRightInd w:val="0"/>
        <w:rPr>
          <w:rFonts w:cs="Arial"/>
          <w:sz w:val="22"/>
          <w:szCs w:val="22"/>
          <w:shd w:val="clear" w:color="auto" w:fill="FFFFFF"/>
        </w:rPr>
      </w:pPr>
    </w:p>
    <w:p w14:paraId="4BB7E87B" w14:textId="6017F76F" w:rsidR="00AA4F3D" w:rsidRPr="00372E73" w:rsidRDefault="00B50082" w:rsidP="00DB2722">
      <w:pPr>
        <w:rPr>
          <w:b/>
          <w:sz w:val="22"/>
          <w:szCs w:val="22"/>
        </w:rPr>
      </w:pPr>
      <w:r w:rsidRPr="00FF28C3">
        <w:rPr>
          <w:b/>
          <w:sz w:val="22"/>
          <w:szCs w:val="22"/>
        </w:rPr>
        <w:t xml:space="preserve">Recommendation: Reverse the $12.1 million funding cut to Community Legal Centres nationally in 2017-2018,  the $11.6 million cut in 2018-2019 and the </w:t>
      </w:r>
      <w:r w:rsidRPr="00FF28C3">
        <w:rPr>
          <w:b/>
          <w:sz w:val="22"/>
          <w:szCs w:val="22"/>
          <w:shd w:val="clear" w:color="auto" w:fill="FFFFFF"/>
        </w:rPr>
        <w:t xml:space="preserve">and $11.13 million cut in 2019-2020 (amounting to a </w:t>
      </w:r>
      <w:r w:rsidRPr="00FF28C3">
        <w:rPr>
          <w:b/>
          <w:sz w:val="22"/>
          <w:szCs w:val="22"/>
        </w:rPr>
        <w:t>$34.83 million cut over the period 2017-18 to 2019-2020</w:t>
      </w:r>
      <w:r w:rsidRPr="00FF28C3">
        <w:rPr>
          <w:b/>
          <w:sz w:val="22"/>
          <w:szCs w:val="22"/>
          <w:shd w:val="clear" w:color="auto" w:fill="FFFFFF"/>
        </w:rPr>
        <w:t xml:space="preserve">) </w:t>
      </w:r>
      <w:r w:rsidRPr="00FF28C3">
        <w:rPr>
          <w:b/>
          <w:sz w:val="22"/>
          <w:szCs w:val="22"/>
        </w:rPr>
        <w:t>under the National Partnership Agreement</w:t>
      </w:r>
      <w:r w:rsidR="00372E73">
        <w:rPr>
          <w:b/>
          <w:sz w:val="22"/>
          <w:szCs w:val="22"/>
        </w:rPr>
        <w:t xml:space="preserve"> on Legal Assistance Services. </w:t>
      </w:r>
    </w:p>
    <w:p w14:paraId="55592856" w14:textId="3629BFB0" w:rsidR="00C662AF" w:rsidRPr="00346AD5" w:rsidRDefault="00C662AF" w:rsidP="00AA4F3D">
      <w:pPr>
        <w:pStyle w:val="Heading3"/>
        <w:numPr>
          <w:ilvl w:val="0"/>
          <w:numId w:val="15"/>
        </w:numPr>
      </w:pPr>
      <w:bookmarkStart w:id="11" w:name="_Toc472606644"/>
      <w:r>
        <w:t xml:space="preserve">Immediate injection of funding </w:t>
      </w:r>
      <w:r w:rsidR="00372E73">
        <w:t>consistent with Productivity Commission recommendation</w:t>
      </w:r>
      <w:bookmarkEnd w:id="11"/>
    </w:p>
    <w:p w14:paraId="586D5E8F" w14:textId="77777777" w:rsidR="00C662AF" w:rsidRPr="00346AD5" w:rsidRDefault="00C662AF" w:rsidP="00C662AF">
      <w:pPr>
        <w:rPr>
          <w:b/>
          <w:sz w:val="22"/>
          <w:szCs w:val="22"/>
        </w:rPr>
      </w:pPr>
    </w:p>
    <w:p w14:paraId="76D17354" w14:textId="07B501CA" w:rsidR="00C662AF" w:rsidRDefault="00C662AF" w:rsidP="00C662AF">
      <w:pPr>
        <w:rPr>
          <w:sz w:val="22"/>
          <w:szCs w:val="22"/>
        </w:rPr>
      </w:pPr>
      <w:r>
        <w:rPr>
          <w:sz w:val="22"/>
          <w:szCs w:val="22"/>
        </w:rPr>
        <w:t>The P</w:t>
      </w:r>
      <w:r w:rsidRPr="00134873">
        <w:rPr>
          <w:sz w:val="22"/>
          <w:szCs w:val="22"/>
        </w:rPr>
        <w:t>ro</w:t>
      </w:r>
      <w:r w:rsidR="005F50DB">
        <w:rPr>
          <w:sz w:val="22"/>
          <w:szCs w:val="22"/>
        </w:rPr>
        <w:t>ductivity Commission was clear</w:t>
      </w:r>
      <w:r w:rsidR="005F50DB" w:rsidRPr="007146D3">
        <w:rPr>
          <w:sz w:val="22"/>
          <w:szCs w:val="22"/>
        </w:rPr>
        <w:t>—</w:t>
      </w:r>
      <w:r w:rsidRPr="00134873">
        <w:rPr>
          <w:sz w:val="22"/>
          <w:szCs w:val="22"/>
        </w:rPr>
        <w:t>there is a need for an immediate injection of $200 million per year into legal assistance, with 60% contributed by the Commonwealth Government and 40% contributed by State and Territory Governments.</w:t>
      </w:r>
      <w:r>
        <w:rPr>
          <w:sz w:val="22"/>
          <w:szCs w:val="22"/>
        </w:rPr>
        <w:t xml:space="preserve"> Accordingly, NACLC recommends that the Federal Government provide an immediate injection of </w:t>
      </w:r>
      <w:r w:rsidR="007B7402">
        <w:rPr>
          <w:sz w:val="22"/>
          <w:szCs w:val="22"/>
        </w:rPr>
        <w:t xml:space="preserve">$120 million </w:t>
      </w:r>
      <w:r>
        <w:rPr>
          <w:sz w:val="22"/>
          <w:szCs w:val="22"/>
        </w:rPr>
        <w:t>funding</w:t>
      </w:r>
      <w:r w:rsidR="00372E73">
        <w:rPr>
          <w:sz w:val="22"/>
          <w:szCs w:val="22"/>
        </w:rPr>
        <w:t xml:space="preserve"> per year</w:t>
      </w:r>
      <w:r>
        <w:rPr>
          <w:sz w:val="22"/>
          <w:szCs w:val="22"/>
        </w:rPr>
        <w:t xml:space="preserve"> in</w:t>
      </w:r>
      <w:r w:rsidR="00BF6BD4">
        <w:rPr>
          <w:sz w:val="22"/>
          <w:szCs w:val="22"/>
        </w:rPr>
        <w:t xml:space="preserve">to the legal assistance sector. </w:t>
      </w:r>
    </w:p>
    <w:p w14:paraId="0B6E0370" w14:textId="77777777" w:rsidR="007B7402" w:rsidRDefault="007B7402" w:rsidP="00C662AF">
      <w:pPr>
        <w:rPr>
          <w:sz w:val="22"/>
          <w:szCs w:val="22"/>
        </w:rPr>
      </w:pPr>
    </w:p>
    <w:p w14:paraId="5A94AC8A" w14:textId="516232E2" w:rsidR="0071221B" w:rsidRDefault="00893985" w:rsidP="00C662AF">
      <w:pPr>
        <w:rPr>
          <w:sz w:val="22"/>
          <w:szCs w:val="22"/>
        </w:rPr>
      </w:pPr>
      <w:r>
        <w:rPr>
          <w:sz w:val="22"/>
          <w:szCs w:val="22"/>
        </w:rPr>
        <w:t xml:space="preserve">The Productivity Commission did not recommend how that funding amount should be allocated between legal assistance providers. </w:t>
      </w:r>
      <w:r w:rsidR="007B7402">
        <w:rPr>
          <w:sz w:val="22"/>
          <w:szCs w:val="22"/>
        </w:rPr>
        <w:t>NACLC does not necessarily consider that the existing proportionate allocation of funding between legal assistance providers is appropriate or should be continued. This is something that should be considered as part of the process for determining an appropriate quantum</w:t>
      </w:r>
      <w:r w:rsidR="004041AB">
        <w:rPr>
          <w:sz w:val="22"/>
          <w:szCs w:val="22"/>
        </w:rPr>
        <w:t xml:space="preserve"> as</w:t>
      </w:r>
      <w:r w:rsidR="007B7402">
        <w:rPr>
          <w:sz w:val="22"/>
          <w:szCs w:val="22"/>
        </w:rPr>
        <w:t xml:space="preserve"> discussed below. </w:t>
      </w:r>
    </w:p>
    <w:p w14:paraId="299C510A" w14:textId="77777777" w:rsidR="0071221B" w:rsidRDefault="0071221B" w:rsidP="00C662AF">
      <w:pPr>
        <w:rPr>
          <w:sz w:val="22"/>
          <w:szCs w:val="22"/>
        </w:rPr>
      </w:pPr>
    </w:p>
    <w:p w14:paraId="57E5E982" w14:textId="7A002872" w:rsidR="0071221B" w:rsidRDefault="007B7402" w:rsidP="00C662AF">
      <w:pPr>
        <w:rPr>
          <w:sz w:val="22"/>
          <w:szCs w:val="22"/>
        </w:rPr>
      </w:pPr>
      <w:r>
        <w:rPr>
          <w:sz w:val="22"/>
          <w:szCs w:val="22"/>
        </w:rPr>
        <w:t>However, for the purposes of determining an appropriate allocation of the recommended $120 million immediate funding injection, if existing proportionate allocations were retained</w:t>
      </w:r>
      <w:r w:rsidR="008656CB">
        <w:rPr>
          <w:sz w:val="22"/>
          <w:szCs w:val="22"/>
        </w:rPr>
        <w:t xml:space="preserve"> under which CLCs receive 12% of total Commonwealth funding for legal assistance</w:t>
      </w:r>
      <w:r>
        <w:rPr>
          <w:sz w:val="22"/>
          <w:szCs w:val="22"/>
        </w:rPr>
        <w:t>, this would equate to an additional $14.4</w:t>
      </w:r>
      <w:r w:rsidR="00FF28C3">
        <w:rPr>
          <w:sz w:val="22"/>
          <w:szCs w:val="22"/>
        </w:rPr>
        <w:t xml:space="preserve"> million for CLCs</w:t>
      </w:r>
      <w:r w:rsidR="008656CB">
        <w:rPr>
          <w:sz w:val="22"/>
          <w:szCs w:val="22"/>
        </w:rPr>
        <w:t xml:space="preserve"> per year</w:t>
      </w:r>
      <w:r w:rsidR="00FF28C3">
        <w:rPr>
          <w:sz w:val="22"/>
          <w:szCs w:val="22"/>
        </w:rPr>
        <w:t xml:space="preserve">. </w:t>
      </w:r>
      <w:r w:rsidR="0071221B">
        <w:rPr>
          <w:sz w:val="22"/>
          <w:szCs w:val="22"/>
        </w:rPr>
        <w:t xml:space="preserve"> Over the remaining period of the NPA, until 2019-2020, this would equate to an additional $</w:t>
      </w:r>
      <w:r w:rsidR="00BF6BD4">
        <w:rPr>
          <w:sz w:val="22"/>
          <w:szCs w:val="22"/>
        </w:rPr>
        <w:t>43.2</w:t>
      </w:r>
      <w:r w:rsidR="0071221B">
        <w:rPr>
          <w:sz w:val="22"/>
          <w:szCs w:val="22"/>
        </w:rPr>
        <w:t xml:space="preserve"> million. </w:t>
      </w:r>
    </w:p>
    <w:p w14:paraId="5C42667C" w14:textId="77777777" w:rsidR="00C662AF" w:rsidRDefault="00C662AF" w:rsidP="00C662AF">
      <w:pPr>
        <w:rPr>
          <w:sz w:val="22"/>
          <w:szCs w:val="22"/>
        </w:rPr>
      </w:pPr>
    </w:p>
    <w:p w14:paraId="2F975F8D" w14:textId="5B6C65D1" w:rsidR="00C662AF" w:rsidRDefault="00C662AF" w:rsidP="00C662AF">
      <w:pPr>
        <w:rPr>
          <w:sz w:val="22"/>
          <w:szCs w:val="22"/>
        </w:rPr>
      </w:pPr>
      <w:r>
        <w:rPr>
          <w:sz w:val="22"/>
          <w:szCs w:val="22"/>
        </w:rPr>
        <w:t>To avoid unnecessary administrative burden and ensure consistency in decision-making processes about funding, in the case of LACs and CLCs any additional funding should be provided through the NPA, rather than as a separate funding allocation with separate funding agreements, as was the case with the Women’s Safety Package fundi</w:t>
      </w:r>
      <w:r w:rsidR="00341912">
        <w:rPr>
          <w:sz w:val="22"/>
          <w:szCs w:val="22"/>
        </w:rPr>
        <w:t xml:space="preserve">ng provided to CLCs. </w:t>
      </w:r>
    </w:p>
    <w:p w14:paraId="4811CFAB" w14:textId="77777777" w:rsidR="00BB6F58" w:rsidRDefault="00BB6F58" w:rsidP="00FF28C3">
      <w:pPr>
        <w:rPr>
          <w:sz w:val="22"/>
          <w:szCs w:val="22"/>
        </w:rPr>
      </w:pPr>
    </w:p>
    <w:p w14:paraId="408C61AE" w14:textId="5236237A" w:rsidR="00F40AE6" w:rsidRPr="00F40AE6" w:rsidRDefault="00F40AE6" w:rsidP="00F40AE6">
      <w:pPr>
        <w:rPr>
          <w:b/>
          <w:sz w:val="22"/>
          <w:szCs w:val="22"/>
        </w:rPr>
      </w:pPr>
      <w:r w:rsidRPr="00F40AE6">
        <w:rPr>
          <w:b/>
          <w:sz w:val="22"/>
          <w:szCs w:val="22"/>
        </w:rPr>
        <w:t>Recommendation: Implement the Productivity Commission’s recommendation from its Access to Justice Arrangements Inquiry and provide an immediate injection of $120 million per year additional funding into the legal assistance sector, including at a minimum an additional $14.4 million per year to Community Legal Centres, amounting to $43.2 million over the life of the National Partnership Agreement on Legal Assistance Services.</w:t>
      </w:r>
    </w:p>
    <w:p w14:paraId="4958BA13" w14:textId="13A68AC1" w:rsidR="00DB2722" w:rsidRDefault="00372E73" w:rsidP="00341912">
      <w:pPr>
        <w:pStyle w:val="Heading3"/>
        <w:numPr>
          <w:ilvl w:val="0"/>
          <w:numId w:val="15"/>
        </w:numPr>
        <w:rPr>
          <w:shd w:val="clear" w:color="auto" w:fill="FFFFFF"/>
        </w:rPr>
      </w:pPr>
      <w:bookmarkStart w:id="12" w:name="_Toc472606645"/>
      <w:r>
        <w:rPr>
          <w:shd w:val="clear" w:color="auto" w:fill="FFFFFF"/>
        </w:rPr>
        <w:t>Determine</w:t>
      </w:r>
      <w:r w:rsidR="00DB2722">
        <w:rPr>
          <w:shd w:val="clear" w:color="auto" w:fill="FFFFFF"/>
        </w:rPr>
        <w:t xml:space="preserve"> the appropriate quantum of funding</w:t>
      </w:r>
      <w:bookmarkEnd w:id="12"/>
    </w:p>
    <w:p w14:paraId="6BE74EA1" w14:textId="77777777" w:rsidR="00DB2722" w:rsidRDefault="00DB2722" w:rsidP="00DB2722"/>
    <w:p w14:paraId="23C06DA0" w14:textId="09C40E3A" w:rsidR="00DB2722" w:rsidRDefault="00DB2722" w:rsidP="00DB2722">
      <w:pPr>
        <w:rPr>
          <w:sz w:val="22"/>
          <w:szCs w:val="22"/>
        </w:rPr>
      </w:pPr>
      <w:r>
        <w:rPr>
          <w:sz w:val="22"/>
          <w:szCs w:val="22"/>
        </w:rPr>
        <w:t xml:space="preserve">NACLC is supportive of one of the key intentions behind the Federal Government’s legal assistance reforms, including the NPA- the introduction of a transparent and publicly accountable funding model that takes </w:t>
      </w:r>
      <w:r w:rsidRPr="006B4DA4">
        <w:rPr>
          <w:sz w:val="22"/>
          <w:szCs w:val="22"/>
        </w:rPr>
        <w:t>into account evidence</w:t>
      </w:r>
      <w:r>
        <w:rPr>
          <w:sz w:val="22"/>
          <w:szCs w:val="22"/>
        </w:rPr>
        <w:t>-based research on legal needs (met and unmet) in</w:t>
      </w:r>
      <w:r w:rsidRPr="006B4DA4">
        <w:rPr>
          <w:sz w:val="22"/>
          <w:szCs w:val="22"/>
        </w:rPr>
        <w:t xml:space="preserve"> making funding decisions. </w:t>
      </w:r>
    </w:p>
    <w:p w14:paraId="283A65C6" w14:textId="77777777" w:rsidR="00DB2722" w:rsidRDefault="00DB2722" w:rsidP="00DB2722">
      <w:pPr>
        <w:rPr>
          <w:sz w:val="22"/>
          <w:szCs w:val="22"/>
        </w:rPr>
      </w:pPr>
    </w:p>
    <w:p w14:paraId="635F1DD1" w14:textId="77777777" w:rsidR="00DB2722" w:rsidRPr="005041F7" w:rsidRDefault="00DB2722" w:rsidP="00DB2722">
      <w:pPr>
        <w:rPr>
          <w:sz w:val="22"/>
          <w:szCs w:val="22"/>
        </w:rPr>
      </w:pPr>
      <w:r w:rsidRPr="005041F7">
        <w:rPr>
          <w:sz w:val="22"/>
          <w:szCs w:val="22"/>
        </w:rPr>
        <w:t>However, there is a clear gap. There has been and continues to be no transparent, public or evidence-based assessment of what the overall quantum of funding for legal assistance should be in Australia to meet legal need.  As the Productivity Commission has suggested, ‘the total quantum of funds allocated is not sufficient to achieve governments’ stated priorities’</w:t>
      </w:r>
      <w:r w:rsidRPr="005041F7">
        <w:rPr>
          <w:rStyle w:val="FootnoteReference"/>
          <w:sz w:val="22"/>
          <w:szCs w:val="22"/>
        </w:rPr>
        <w:footnoteReference w:id="9"/>
      </w:r>
      <w:r w:rsidRPr="005041F7">
        <w:rPr>
          <w:sz w:val="22"/>
          <w:szCs w:val="22"/>
        </w:rPr>
        <w:t xml:space="preserve"> and that ‘the global funding envelope provided to legal assistance providers by Australian governments should be broadly related to the costs associated with meeting these priorities’,</w:t>
      </w:r>
      <w:r w:rsidRPr="005041F7">
        <w:rPr>
          <w:rStyle w:val="FootnoteReference"/>
          <w:sz w:val="22"/>
          <w:szCs w:val="22"/>
        </w:rPr>
        <w:footnoteReference w:id="10"/>
      </w:r>
      <w:r w:rsidRPr="005041F7">
        <w:rPr>
          <w:sz w:val="22"/>
          <w:szCs w:val="22"/>
        </w:rPr>
        <w:t xml:space="preserve"> which is not currently the case.</w:t>
      </w:r>
    </w:p>
    <w:p w14:paraId="5307C04E" w14:textId="77777777" w:rsidR="00DB2722" w:rsidRPr="005041F7" w:rsidRDefault="00DB2722" w:rsidP="00DB2722">
      <w:pPr>
        <w:rPr>
          <w:sz w:val="22"/>
          <w:szCs w:val="22"/>
        </w:rPr>
      </w:pPr>
    </w:p>
    <w:p w14:paraId="7D682F04" w14:textId="127C50DE" w:rsidR="00AA4F3D" w:rsidRDefault="00CB6184" w:rsidP="00DB2722">
      <w:pPr>
        <w:rPr>
          <w:sz w:val="22"/>
          <w:szCs w:val="22"/>
        </w:rPr>
      </w:pPr>
      <w:r>
        <w:rPr>
          <w:sz w:val="22"/>
          <w:szCs w:val="22"/>
        </w:rPr>
        <w:t>In addition, funding for CLCs and the legal assistance sector continues to be piecemeal, resulting in unnecessary administrative requirements, red tape and uncertainty.</w:t>
      </w:r>
    </w:p>
    <w:p w14:paraId="20E0BABF" w14:textId="77777777" w:rsidR="00AA4F3D" w:rsidRDefault="00AA4F3D" w:rsidP="00DB2722">
      <w:pPr>
        <w:rPr>
          <w:sz w:val="22"/>
          <w:szCs w:val="22"/>
        </w:rPr>
      </w:pPr>
    </w:p>
    <w:p w14:paraId="0DED6EE8" w14:textId="10DD5E4C" w:rsidR="00AF6F6E" w:rsidRPr="005041F7" w:rsidRDefault="00DB2722" w:rsidP="00DB2722">
      <w:pPr>
        <w:rPr>
          <w:rFonts w:eastAsia="Times New Roman" w:cs="Times New Roman"/>
          <w:sz w:val="22"/>
          <w:szCs w:val="22"/>
          <w:shd w:val="clear" w:color="auto" w:fill="FFFFFF"/>
        </w:rPr>
      </w:pPr>
      <w:r w:rsidRPr="005041F7">
        <w:rPr>
          <w:sz w:val="22"/>
          <w:szCs w:val="22"/>
        </w:rPr>
        <w:t>As a result, NACLC suggests that</w:t>
      </w:r>
      <w:r w:rsidR="00341912">
        <w:rPr>
          <w:sz w:val="22"/>
          <w:szCs w:val="22"/>
        </w:rPr>
        <w:t xml:space="preserve"> to properly inform</w:t>
      </w:r>
      <w:r w:rsidRPr="005041F7">
        <w:rPr>
          <w:sz w:val="22"/>
          <w:szCs w:val="22"/>
        </w:rPr>
        <w:t xml:space="preserve"> decisions about allocating funding betw</w:t>
      </w:r>
      <w:r w:rsidR="00341912">
        <w:rPr>
          <w:sz w:val="22"/>
          <w:szCs w:val="22"/>
        </w:rPr>
        <w:t>een jurisdictions using the Funding Allocation Model</w:t>
      </w:r>
      <w:r w:rsidRPr="005041F7">
        <w:rPr>
          <w:sz w:val="22"/>
          <w:szCs w:val="22"/>
        </w:rPr>
        <w:t xml:space="preserve"> or the right mix of services/clients/areas of law/locations,</w:t>
      </w:r>
      <w:r w:rsidRPr="005041F7">
        <w:rPr>
          <w:rStyle w:val="FootnoteReference"/>
          <w:sz w:val="22"/>
          <w:szCs w:val="22"/>
        </w:rPr>
        <w:footnoteReference w:id="11"/>
      </w:r>
      <w:r w:rsidRPr="005041F7">
        <w:rPr>
          <w:sz w:val="22"/>
          <w:szCs w:val="22"/>
        </w:rPr>
        <w:t xml:space="preserve"> it is </w:t>
      </w:r>
      <w:r w:rsidRPr="005041F7">
        <w:rPr>
          <w:rFonts w:eastAsia="Times New Roman" w:cs="Times New Roman"/>
          <w:sz w:val="22"/>
          <w:szCs w:val="22"/>
          <w:shd w:val="clear" w:color="auto" w:fill="FFFFFF"/>
        </w:rPr>
        <w:t xml:space="preserve">necessary to re-examine how decisions are made about the quantum of funding for legal assistance, to quantify the existing extent of underfunding and to determine an appropriate and sustainable quantum of funding in the long-term in light of legal need. </w:t>
      </w:r>
    </w:p>
    <w:p w14:paraId="5A9E2D68" w14:textId="77777777" w:rsidR="00DB2722" w:rsidRPr="005041F7" w:rsidRDefault="00DB2722" w:rsidP="00DB2722">
      <w:pPr>
        <w:widowControl w:val="0"/>
        <w:autoSpaceDE w:val="0"/>
        <w:autoSpaceDN w:val="0"/>
        <w:adjustRightInd w:val="0"/>
        <w:rPr>
          <w:rFonts w:eastAsia="Times New Roman" w:cs="Times New Roman"/>
          <w:sz w:val="22"/>
          <w:szCs w:val="22"/>
          <w:shd w:val="clear" w:color="auto" w:fill="FFFFFF"/>
        </w:rPr>
      </w:pPr>
    </w:p>
    <w:p w14:paraId="0140E7F2" w14:textId="539C52AC" w:rsidR="00DB2722" w:rsidRPr="005041F7" w:rsidRDefault="00DB2722" w:rsidP="00DB2722">
      <w:pPr>
        <w:widowControl w:val="0"/>
        <w:autoSpaceDE w:val="0"/>
        <w:autoSpaceDN w:val="0"/>
        <w:adjustRightInd w:val="0"/>
        <w:rPr>
          <w:rFonts w:eastAsia="Times New Roman" w:cs="Times New Roman"/>
          <w:sz w:val="22"/>
          <w:szCs w:val="22"/>
          <w:shd w:val="clear" w:color="auto" w:fill="FFFFFF"/>
        </w:rPr>
      </w:pPr>
      <w:r w:rsidRPr="005041F7">
        <w:rPr>
          <w:rFonts w:eastAsia="Times New Roman" w:cs="Times New Roman"/>
          <w:sz w:val="22"/>
          <w:szCs w:val="22"/>
          <w:shd w:val="clear" w:color="auto" w:fill="FFFFFF"/>
        </w:rPr>
        <w:t xml:space="preserve">Accordingly, NACLC recommends a cooperative approach between the Commonwealth, State and Territory Governments and the legal assistance sector to determine what the appropriate quantum of funding is for the sector, what the contribution of Commonwealth, State and Territory Governments should be to that quantum, and the appropriate allocation of the quantum to the four key legal assistance providers. </w:t>
      </w:r>
      <w:r w:rsidR="00AF6F6E">
        <w:rPr>
          <w:rFonts w:eastAsia="Times New Roman" w:cs="Times New Roman"/>
          <w:sz w:val="22"/>
          <w:szCs w:val="22"/>
          <w:shd w:val="clear" w:color="auto" w:fill="FFFFFF"/>
        </w:rPr>
        <w:t xml:space="preserve">Given the variety of Government sources from which CLCs receive funding, a whole-of-government approach to such a determination is vital. </w:t>
      </w:r>
    </w:p>
    <w:p w14:paraId="320ED760" w14:textId="77777777" w:rsidR="00DB2722" w:rsidRPr="005041F7" w:rsidRDefault="00DB2722" w:rsidP="00DB2722">
      <w:pPr>
        <w:widowControl w:val="0"/>
        <w:autoSpaceDE w:val="0"/>
        <w:autoSpaceDN w:val="0"/>
        <w:adjustRightInd w:val="0"/>
        <w:rPr>
          <w:rFonts w:eastAsia="Times New Roman" w:cs="Times New Roman"/>
          <w:sz w:val="22"/>
          <w:szCs w:val="22"/>
          <w:shd w:val="clear" w:color="auto" w:fill="FFFFFF"/>
        </w:rPr>
      </w:pPr>
    </w:p>
    <w:p w14:paraId="7E695B02" w14:textId="2C5A665D" w:rsidR="00DB2722" w:rsidRDefault="00DB2722" w:rsidP="00DB2722">
      <w:pPr>
        <w:rPr>
          <w:sz w:val="22"/>
          <w:szCs w:val="22"/>
        </w:rPr>
      </w:pPr>
      <w:r w:rsidRPr="005041F7">
        <w:rPr>
          <w:rFonts w:eastAsia="Times New Roman" w:cs="Times New Roman"/>
          <w:sz w:val="22"/>
          <w:szCs w:val="22"/>
          <w:shd w:val="clear" w:color="auto" w:fill="FFFFFF"/>
        </w:rPr>
        <w:t>Importantly, the assessment of legal need (both met and unmet) and the need for additional assessment at a national level</w:t>
      </w:r>
      <w:r w:rsidRPr="005041F7">
        <w:rPr>
          <w:rStyle w:val="FootnoteReference"/>
          <w:rFonts w:eastAsia="Times New Roman" w:cs="Times New Roman"/>
          <w:sz w:val="22"/>
          <w:szCs w:val="22"/>
          <w:shd w:val="clear" w:color="auto" w:fill="FFFFFF"/>
        </w:rPr>
        <w:footnoteReference w:id="12"/>
      </w:r>
      <w:r w:rsidR="005F50DB">
        <w:rPr>
          <w:rFonts w:eastAsia="Times New Roman" w:cs="Times New Roman"/>
          <w:sz w:val="22"/>
          <w:szCs w:val="22"/>
          <w:shd w:val="clear" w:color="auto" w:fill="FFFFFF"/>
        </w:rPr>
        <w:t xml:space="preserve"> </w:t>
      </w:r>
      <w:r w:rsidRPr="005041F7">
        <w:rPr>
          <w:rFonts w:eastAsia="Times New Roman" w:cs="Times New Roman"/>
          <w:sz w:val="22"/>
          <w:szCs w:val="22"/>
          <w:shd w:val="clear" w:color="auto" w:fill="FFFFFF"/>
        </w:rPr>
        <w:t>and existing research and modelling done by the Productivity Commission, must be key considerations in any</w:t>
      </w:r>
      <w:r w:rsidRPr="00700EE2">
        <w:rPr>
          <w:rFonts w:eastAsia="Times New Roman" w:cs="Times New Roman"/>
          <w:sz w:val="22"/>
          <w:szCs w:val="22"/>
          <w:shd w:val="clear" w:color="auto" w:fill="FFFFFF"/>
        </w:rPr>
        <w:t xml:space="preserve"> such process. In particular, there is a need for funding of a </w:t>
      </w:r>
      <w:r w:rsidRPr="00700EE2">
        <w:rPr>
          <w:sz w:val="22"/>
          <w:szCs w:val="22"/>
        </w:rPr>
        <w:t xml:space="preserve">regular national survey of legal need, similar to the </w:t>
      </w:r>
      <w:r w:rsidRPr="00700EE2">
        <w:rPr>
          <w:i/>
          <w:sz w:val="22"/>
          <w:szCs w:val="22"/>
        </w:rPr>
        <w:t>Legal Australia</w:t>
      </w:r>
      <w:r w:rsidRPr="00700EE2">
        <w:rPr>
          <w:i/>
          <w:sz w:val="22"/>
          <w:szCs w:val="22"/>
        </w:rPr>
        <w:noBreakHyphen/>
        <w:t>Wide (LAW) Survey</w:t>
      </w:r>
      <w:r w:rsidRPr="00700EE2">
        <w:rPr>
          <w:sz w:val="22"/>
          <w:szCs w:val="22"/>
        </w:rPr>
        <w:t xml:space="preserve"> undertaken in 2008, to examine met and unmet legal need in Australia. It is important that the legal need of particular groups, including Aboriginal and Torres Strait Islander people is considered as part of the survey. </w:t>
      </w:r>
    </w:p>
    <w:p w14:paraId="7ABED1C6" w14:textId="77777777" w:rsidR="00FF28C3" w:rsidRDefault="00FF28C3" w:rsidP="00FF28C3"/>
    <w:p w14:paraId="361D07B0" w14:textId="6F3BCD89" w:rsidR="00F40AE6" w:rsidRPr="00F40AE6" w:rsidRDefault="00F40AE6" w:rsidP="00F40AE6">
      <w:pPr>
        <w:rPr>
          <w:b/>
          <w:sz w:val="22"/>
          <w:szCs w:val="22"/>
        </w:rPr>
      </w:pPr>
      <w:r w:rsidRPr="00F40AE6">
        <w:rPr>
          <w:b/>
          <w:sz w:val="22"/>
          <w:szCs w:val="22"/>
        </w:rPr>
        <w:t xml:space="preserve">Recommendation: Commit to implementing an appropriate process for determining adequate and sustainable longer-term funding contributions to the legal assistance sector by Federal, State and Territory Governments, in consultation with the sector. </w:t>
      </w:r>
    </w:p>
    <w:p w14:paraId="7BC3FB58" w14:textId="77777777" w:rsidR="00FF28C3" w:rsidRPr="00FF28C3" w:rsidRDefault="00FF28C3" w:rsidP="00FF28C3">
      <w:pPr>
        <w:rPr>
          <w:b/>
          <w:sz w:val="22"/>
          <w:szCs w:val="22"/>
        </w:rPr>
      </w:pPr>
    </w:p>
    <w:p w14:paraId="6C6BBCC0" w14:textId="00B19262" w:rsidR="00BF6BD4" w:rsidRPr="00341912" w:rsidRDefault="00FF28C3" w:rsidP="00BF6BD4">
      <w:pPr>
        <w:rPr>
          <w:sz w:val="22"/>
          <w:szCs w:val="22"/>
        </w:rPr>
      </w:pPr>
      <w:r w:rsidRPr="00FF28C3">
        <w:rPr>
          <w:b/>
          <w:sz w:val="22"/>
          <w:szCs w:val="22"/>
        </w:rPr>
        <w:t xml:space="preserve">Recommendation: Provide funding for a regular national survey of legal need, similar to the </w:t>
      </w:r>
      <w:r w:rsidRPr="00FF28C3">
        <w:rPr>
          <w:b/>
          <w:i/>
          <w:sz w:val="22"/>
          <w:szCs w:val="22"/>
        </w:rPr>
        <w:t>Legal Australia</w:t>
      </w:r>
      <w:r w:rsidRPr="00FF28C3">
        <w:rPr>
          <w:b/>
          <w:i/>
          <w:sz w:val="22"/>
          <w:szCs w:val="22"/>
        </w:rPr>
        <w:noBreakHyphen/>
        <w:t>Wide (LAW) Survey</w:t>
      </w:r>
      <w:r w:rsidRPr="00FF28C3">
        <w:rPr>
          <w:b/>
          <w:sz w:val="22"/>
          <w:szCs w:val="22"/>
        </w:rPr>
        <w:t xml:space="preserve"> undertaken in 2008, to examine met and unmet legal need in Australia. </w:t>
      </w:r>
    </w:p>
    <w:p w14:paraId="3BC89F4E" w14:textId="355765BB" w:rsidR="00D8769C" w:rsidRDefault="00E93B51" w:rsidP="003D302C">
      <w:pPr>
        <w:pStyle w:val="Heading2"/>
      </w:pPr>
      <w:bookmarkStart w:id="13" w:name="_Toc472606646"/>
      <w:r>
        <w:t>National and Jurisdictional Support and C</w:t>
      </w:r>
      <w:r w:rsidR="00D8769C">
        <w:t>oordination</w:t>
      </w:r>
      <w:bookmarkEnd w:id="13"/>
      <w:r w:rsidR="00D8769C">
        <w:t xml:space="preserve"> </w:t>
      </w:r>
    </w:p>
    <w:p w14:paraId="4E3C93B7" w14:textId="77777777" w:rsidR="006C2092" w:rsidRDefault="006C2092" w:rsidP="006C2092">
      <w:pPr>
        <w:rPr>
          <w:rFonts w:ascii="Calibri" w:eastAsiaTheme="majorEastAsia" w:hAnsi="Calibri" w:cs="Calibri"/>
          <w:b/>
          <w:bCs/>
          <w:color w:val="000000"/>
          <w:sz w:val="22"/>
          <w:szCs w:val="22"/>
          <w:lang w:val="en-US"/>
        </w:rPr>
      </w:pPr>
    </w:p>
    <w:p w14:paraId="33E4A965" w14:textId="77777777" w:rsidR="006C2092" w:rsidRDefault="006C2092" w:rsidP="006C2092">
      <w:pPr>
        <w:rPr>
          <w:sz w:val="22"/>
          <w:szCs w:val="22"/>
        </w:rPr>
      </w:pPr>
      <w:r w:rsidRPr="002F4003">
        <w:rPr>
          <w:sz w:val="22"/>
          <w:szCs w:val="22"/>
        </w:rPr>
        <w:t xml:space="preserve">Under the NPA, State and Territory Governments are now responsible for determining the allocation of Commonwealth funding to individual CLCs.  </w:t>
      </w:r>
      <w:r>
        <w:rPr>
          <w:sz w:val="22"/>
          <w:szCs w:val="22"/>
        </w:rPr>
        <w:t>However, a</w:t>
      </w:r>
      <w:r w:rsidRPr="002F4003">
        <w:rPr>
          <w:sz w:val="22"/>
          <w:szCs w:val="22"/>
        </w:rPr>
        <w:t>pproaches to the implementation of the NPA vary significantly between jurisdictions and NACLC and State and Territory CLC Associations are concerned about the way in which some State and Territory Governments have sought to make decisions about the allocation of Commonwealth CL</w:t>
      </w:r>
      <w:r>
        <w:rPr>
          <w:sz w:val="22"/>
          <w:szCs w:val="22"/>
        </w:rPr>
        <w:t xml:space="preserve">C funding to individual centres. </w:t>
      </w:r>
    </w:p>
    <w:p w14:paraId="6643625A" w14:textId="77777777" w:rsidR="006C2092" w:rsidRDefault="006C2092" w:rsidP="006C2092">
      <w:pPr>
        <w:rPr>
          <w:sz w:val="22"/>
          <w:szCs w:val="22"/>
        </w:rPr>
      </w:pPr>
    </w:p>
    <w:p w14:paraId="42210EA8" w14:textId="62D101C5" w:rsidR="006C2092" w:rsidRDefault="006C2092" w:rsidP="006C2092">
      <w:pPr>
        <w:rPr>
          <w:sz w:val="22"/>
          <w:szCs w:val="22"/>
        </w:rPr>
      </w:pPr>
      <w:r>
        <w:rPr>
          <w:sz w:val="22"/>
          <w:szCs w:val="22"/>
        </w:rPr>
        <w:t xml:space="preserve">NACLC plays a key national coordination and support role in relation to the NPA, assisting State and Territory CLC Associations and centres across Australia in relation to funding and NPA implementation issues.  NACLC also provides particular assistance to the CLC Association and centres in jurisdictions that do not have </w:t>
      </w:r>
      <w:r w:rsidR="00862E10">
        <w:rPr>
          <w:sz w:val="22"/>
          <w:szCs w:val="22"/>
        </w:rPr>
        <w:t xml:space="preserve">currently have </w:t>
      </w:r>
      <w:r>
        <w:rPr>
          <w:sz w:val="22"/>
          <w:szCs w:val="22"/>
        </w:rPr>
        <w:t xml:space="preserve">a funded CLC Association. </w:t>
      </w:r>
    </w:p>
    <w:p w14:paraId="093C1575" w14:textId="77777777" w:rsidR="006C2092" w:rsidRDefault="006C2092" w:rsidP="006C2092">
      <w:pPr>
        <w:rPr>
          <w:sz w:val="22"/>
          <w:szCs w:val="22"/>
        </w:rPr>
      </w:pPr>
    </w:p>
    <w:p w14:paraId="610FD57C" w14:textId="77777777" w:rsidR="006C2092" w:rsidRDefault="006C2092" w:rsidP="006C2092">
      <w:pPr>
        <w:rPr>
          <w:sz w:val="22"/>
          <w:szCs w:val="22"/>
        </w:rPr>
      </w:pPr>
      <w:r>
        <w:rPr>
          <w:sz w:val="22"/>
          <w:szCs w:val="22"/>
        </w:rPr>
        <w:t xml:space="preserve">The Federal Government is now reliant on States and Territories to allocate Commonwealth funding under the NPA. However, no additional Commonwealth funding was provided to CLCs or CLC Associations across jurisdictions to provide expert input and guidance as part of State and Territory collaborative service planning and processes around the allocation of Commonwealth funding. </w:t>
      </w:r>
    </w:p>
    <w:p w14:paraId="377DE7CA" w14:textId="77777777" w:rsidR="006C2092" w:rsidRDefault="006C2092" w:rsidP="006C2092">
      <w:pPr>
        <w:rPr>
          <w:sz w:val="22"/>
          <w:szCs w:val="22"/>
        </w:rPr>
      </w:pPr>
    </w:p>
    <w:p w14:paraId="4C0D19A0" w14:textId="77777777" w:rsidR="00BF2EF8" w:rsidRDefault="006C2092" w:rsidP="006C2092">
      <w:pPr>
        <w:rPr>
          <w:sz w:val="22"/>
          <w:szCs w:val="22"/>
        </w:rPr>
      </w:pPr>
      <w:r>
        <w:rPr>
          <w:sz w:val="22"/>
          <w:szCs w:val="22"/>
        </w:rPr>
        <w:t>Good practice, effective and evidence-based approaches to collaborative service planning and funding allocation should involve the relevant CLC Association in the jurisdiction and/or NACLC</w:t>
      </w:r>
      <w:r w:rsidR="00BF2EF8">
        <w:rPr>
          <w:sz w:val="22"/>
          <w:szCs w:val="22"/>
        </w:rPr>
        <w:t xml:space="preserve">. Accordingly NACLC suggests </w:t>
      </w:r>
      <w:r>
        <w:rPr>
          <w:sz w:val="22"/>
          <w:szCs w:val="22"/>
        </w:rPr>
        <w:t>that the Federal Government provide</w:t>
      </w:r>
      <w:r w:rsidR="00BF2EF8">
        <w:rPr>
          <w:sz w:val="22"/>
          <w:szCs w:val="22"/>
        </w:rPr>
        <w:t xml:space="preserve"> the following:</w:t>
      </w:r>
    </w:p>
    <w:p w14:paraId="21F1B912" w14:textId="77777777" w:rsidR="00BF2EF8" w:rsidRDefault="00BF2EF8" w:rsidP="00BF2EF8">
      <w:pPr>
        <w:pStyle w:val="ListParagraph"/>
        <w:numPr>
          <w:ilvl w:val="0"/>
          <w:numId w:val="20"/>
        </w:numPr>
        <w:rPr>
          <w:sz w:val="22"/>
          <w:szCs w:val="22"/>
        </w:rPr>
      </w:pPr>
      <w:r>
        <w:rPr>
          <w:sz w:val="22"/>
          <w:szCs w:val="22"/>
        </w:rPr>
        <w:t xml:space="preserve">funding for </w:t>
      </w:r>
      <w:r w:rsidR="006C2092" w:rsidRPr="00BF2EF8">
        <w:rPr>
          <w:sz w:val="22"/>
          <w:szCs w:val="22"/>
        </w:rPr>
        <w:t>State and Territo</w:t>
      </w:r>
      <w:r>
        <w:rPr>
          <w:sz w:val="22"/>
          <w:szCs w:val="22"/>
        </w:rPr>
        <w:t>ry CLC Associations to undertake Commonwealth funding-related work at a jurisdictional level, and</w:t>
      </w:r>
    </w:p>
    <w:p w14:paraId="7F134958" w14:textId="4ECF33AB" w:rsidR="00BF2EF8" w:rsidRDefault="00BF2EF8" w:rsidP="00BF2EF8">
      <w:pPr>
        <w:pStyle w:val="ListParagraph"/>
        <w:numPr>
          <w:ilvl w:val="0"/>
          <w:numId w:val="20"/>
        </w:numPr>
        <w:rPr>
          <w:sz w:val="22"/>
          <w:szCs w:val="22"/>
        </w:rPr>
      </w:pPr>
      <w:r>
        <w:rPr>
          <w:sz w:val="22"/>
          <w:szCs w:val="22"/>
        </w:rPr>
        <w:t>funding for</w:t>
      </w:r>
      <w:r w:rsidRPr="00BF2EF8">
        <w:rPr>
          <w:sz w:val="22"/>
          <w:szCs w:val="22"/>
        </w:rPr>
        <w:t xml:space="preserve"> NACLC </w:t>
      </w:r>
      <w:r>
        <w:rPr>
          <w:sz w:val="22"/>
          <w:szCs w:val="22"/>
        </w:rPr>
        <w:t>to support the ongoing operation of the National Accreditation Scheme and other sector support work, including in particular support to CLCs in jurisdictions w</w:t>
      </w:r>
      <w:r w:rsidR="000837A7">
        <w:rPr>
          <w:sz w:val="22"/>
          <w:szCs w:val="22"/>
        </w:rPr>
        <w:t xml:space="preserve">ithout funded CLC Associations. </w:t>
      </w:r>
    </w:p>
    <w:p w14:paraId="2B374CD6" w14:textId="0D0E77B6" w:rsidR="00BF2EF8" w:rsidRPr="00BF2EF8" w:rsidRDefault="00BF2EF8" w:rsidP="00BF2EF8">
      <w:pPr>
        <w:ind w:left="405"/>
        <w:rPr>
          <w:sz w:val="22"/>
          <w:szCs w:val="22"/>
        </w:rPr>
      </w:pPr>
    </w:p>
    <w:p w14:paraId="7431FFE1" w14:textId="4DF313F7" w:rsidR="006C2092" w:rsidRDefault="006C2092" w:rsidP="00BF2EF8">
      <w:pPr>
        <w:rPr>
          <w:sz w:val="22"/>
          <w:szCs w:val="22"/>
        </w:rPr>
      </w:pPr>
      <w:r w:rsidRPr="00BF2EF8">
        <w:rPr>
          <w:sz w:val="22"/>
          <w:szCs w:val="22"/>
        </w:rPr>
        <w:t>Allocation of the funding to either NACLC or the State or Territory CLC Association should be decided following consultation with NACLC and the relevant State</w:t>
      </w:r>
      <w:r w:rsidR="00BF2EF8">
        <w:rPr>
          <w:sz w:val="22"/>
          <w:szCs w:val="22"/>
        </w:rPr>
        <w:t xml:space="preserve"> or Territory CLC Association. </w:t>
      </w:r>
    </w:p>
    <w:p w14:paraId="46A7FB80" w14:textId="77777777" w:rsidR="006C2092" w:rsidRDefault="006C2092" w:rsidP="006C2092">
      <w:pPr>
        <w:rPr>
          <w:sz w:val="22"/>
          <w:szCs w:val="22"/>
        </w:rPr>
      </w:pPr>
    </w:p>
    <w:p w14:paraId="062E28EC" w14:textId="7B8A816B" w:rsidR="006C2092" w:rsidRPr="006C2092" w:rsidRDefault="006C2092" w:rsidP="006C2092">
      <w:pPr>
        <w:rPr>
          <w:b/>
          <w:sz w:val="22"/>
          <w:szCs w:val="22"/>
        </w:rPr>
      </w:pPr>
      <w:r>
        <w:rPr>
          <w:b/>
          <w:sz w:val="22"/>
          <w:szCs w:val="22"/>
        </w:rPr>
        <w:t>Recommendation</w:t>
      </w:r>
      <w:r w:rsidRPr="006C2092">
        <w:rPr>
          <w:b/>
          <w:sz w:val="22"/>
          <w:szCs w:val="22"/>
        </w:rPr>
        <w:t>:  Provide funding for State and Territory focused sector coordination and support, in light of the increased role for State and Territory CLC Associations in assisting the Commonwealth, State and Territory Governments to determine and manage the appropriate funding and administration of CLCs under the National Partnership Agreement on Legal Assistance Services.</w:t>
      </w:r>
    </w:p>
    <w:p w14:paraId="5DF71D34" w14:textId="1A9436ED" w:rsidR="00353900" w:rsidRDefault="00353900" w:rsidP="003D302C">
      <w:pPr>
        <w:pStyle w:val="Heading2"/>
      </w:pPr>
      <w:bookmarkStart w:id="14" w:name="_Toc472606647"/>
      <w:r>
        <w:t>Community-Controlled Services for Aboriginal and Torres Strait Islander Peoples</w:t>
      </w:r>
      <w:bookmarkEnd w:id="14"/>
    </w:p>
    <w:p w14:paraId="54BB2D94" w14:textId="77777777" w:rsidR="00CD1F2A" w:rsidRDefault="00CD1F2A" w:rsidP="00353900">
      <w:pPr>
        <w:rPr>
          <w:sz w:val="22"/>
          <w:szCs w:val="22"/>
        </w:rPr>
      </w:pPr>
    </w:p>
    <w:p w14:paraId="2E888CCA" w14:textId="025367A1" w:rsidR="00353900" w:rsidRPr="00B4248C" w:rsidRDefault="00353900" w:rsidP="00353900">
      <w:pPr>
        <w:rPr>
          <w:sz w:val="22"/>
          <w:szCs w:val="22"/>
        </w:rPr>
      </w:pPr>
      <w:r w:rsidRPr="00B4248C">
        <w:rPr>
          <w:sz w:val="22"/>
          <w:szCs w:val="22"/>
        </w:rPr>
        <w:t>It is NACLC policy and firm belief that the most appropriate providers of legal services for Aboriginal and Torres Strait Islander peoples are the specifically dedicated ATSILS and FVPLS staffed and managed, as far as is possible, by Aboriginal and Torres Strait Islander people.</w:t>
      </w:r>
    </w:p>
    <w:p w14:paraId="478DE92A" w14:textId="77777777" w:rsidR="00353900" w:rsidRPr="00B4248C" w:rsidRDefault="00353900" w:rsidP="00353900">
      <w:pPr>
        <w:rPr>
          <w:sz w:val="22"/>
          <w:szCs w:val="22"/>
        </w:rPr>
      </w:pPr>
    </w:p>
    <w:p w14:paraId="46E537AE" w14:textId="77777777" w:rsidR="00CD1F2A" w:rsidRDefault="00353900" w:rsidP="00CD1F2A">
      <w:pPr>
        <w:widowControl w:val="0"/>
        <w:autoSpaceDE w:val="0"/>
        <w:autoSpaceDN w:val="0"/>
        <w:adjustRightInd w:val="0"/>
        <w:rPr>
          <w:sz w:val="22"/>
          <w:szCs w:val="22"/>
        </w:rPr>
      </w:pPr>
      <w:r w:rsidRPr="00B4248C">
        <w:rPr>
          <w:sz w:val="22"/>
          <w:szCs w:val="22"/>
          <w:lang w:val="en-US"/>
        </w:rPr>
        <w:t>Aboriginal and Torres Strait Islander peoples have experienced, and continue, to experience, historical marginalisation from mainstream services, and generally prefer to and feel culturally secure in attending Aboriginal and Torres Strait Islander specific services.</w:t>
      </w:r>
      <w:r w:rsidR="00CD1F2A">
        <w:rPr>
          <w:b/>
          <w:sz w:val="22"/>
          <w:szCs w:val="22"/>
        </w:rPr>
        <w:t xml:space="preserve"> </w:t>
      </w:r>
      <w:r w:rsidRPr="00B4248C">
        <w:rPr>
          <w:sz w:val="22"/>
          <w:szCs w:val="22"/>
        </w:rPr>
        <w:t xml:space="preserve">In some instances these providers may be unable to assist a client because of real or perceived conflict, lack of resources, or because it is a specialist area of law that is outside their practice expertise, in which case a CLC may offer assistance. </w:t>
      </w:r>
    </w:p>
    <w:p w14:paraId="2BAF0F80" w14:textId="77777777" w:rsidR="00CD1F2A" w:rsidRDefault="00CD1F2A" w:rsidP="00CD1F2A">
      <w:pPr>
        <w:widowControl w:val="0"/>
        <w:autoSpaceDE w:val="0"/>
        <w:autoSpaceDN w:val="0"/>
        <w:adjustRightInd w:val="0"/>
        <w:rPr>
          <w:sz w:val="22"/>
          <w:szCs w:val="22"/>
        </w:rPr>
      </w:pPr>
    </w:p>
    <w:p w14:paraId="5DD0CE55" w14:textId="0E1FCB75" w:rsidR="00353900" w:rsidRPr="00CD1F2A" w:rsidRDefault="00353900" w:rsidP="00CD1F2A">
      <w:pPr>
        <w:widowControl w:val="0"/>
        <w:autoSpaceDE w:val="0"/>
        <w:autoSpaceDN w:val="0"/>
        <w:adjustRightInd w:val="0"/>
        <w:rPr>
          <w:b/>
          <w:sz w:val="22"/>
          <w:szCs w:val="22"/>
        </w:rPr>
      </w:pPr>
      <w:r w:rsidRPr="00B4248C">
        <w:rPr>
          <w:sz w:val="22"/>
          <w:szCs w:val="22"/>
        </w:rPr>
        <w:t>However given this,</w:t>
      </w:r>
      <w:r w:rsidR="00CD1F2A">
        <w:rPr>
          <w:sz w:val="22"/>
          <w:szCs w:val="22"/>
        </w:rPr>
        <w:t xml:space="preserve"> and the significant legal need of Aboriginal and Torres Strait Islander people,</w:t>
      </w:r>
      <w:r w:rsidRPr="00B4248C">
        <w:rPr>
          <w:sz w:val="22"/>
          <w:szCs w:val="22"/>
        </w:rPr>
        <w:t xml:space="preserve"> funding and support for the FVPLS and ATSILS should be a vital component of the Government’s commitment to addressing the crisis in legal assistance. </w:t>
      </w:r>
    </w:p>
    <w:p w14:paraId="544653F3" w14:textId="6C2836F2" w:rsidR="003D302C" w:rsidRDefault="003D302C" w:rsidP="00353900">
      <w:pPr>
        <w:pStyle w:val="Heading3"/>
      </w:pPr>
      <w:bookmarkStart w:id="15" w:name="_Toc472606648"/>
      <w:r>
        <w:t>Family Violence Prevention Legal Services</w:t>
      </w:r>
      <w:bookmarkEnd w:id="15"/>
      <w:r>
        <w:t xml:space="preserve"> </w:t>
      </w:r>
    </w:p>
    <w:p w14:paraId="30296C2C" w14:textId="77777777" w:rsidR="00DA707F" w:rsidRDefault="00DA707F" w:rsidP="00DA707F"/>
    <w:p w14:paraId="55747C26" w14:textId="66180AC7" w:rsidR="00732B5D" w:rsidRDefault="00391EF2" w:rsidP="00DA707F">
      <w:pPr>
        <w:rPr>
          <w:sz w:val="22"/>
          <w:szCs w:val="22"/>
        </w:rPr>
      </w:pPr>
      <w:r w:rsidRPr="00346AD5">
        <w:rPr>
          <w:sz w:val="22"/>
          <w:szCs w:val="22"/>
        </w:rPr>
        <w:t>Family Violence</w:t>
      </w:r>
      <w:r w:rsidR="004041AB">
        <w:rPr>
          <w:sz w:val="22"/>
          <w:szCs w:val="22"/>
        </w:rPr>
        <w:t xml:space="preserve"> Prevention Legal Services </w:t>
      </w:r>
      <w:r w:rsidRPr="00346AD5">
        <w:rPr>
          <w:sz w:val="22"/>
          <w:szCs w:val="22"/>
        </w:rPr>
        <w:t xml:space="preserve">provide legal assistance, casework, counselling and court support to Aboriginal and Torres Strait Islander adults and children who are victims/survivors of family violence. FVPLS also undertake important community legal education and early intervention and prevention </w:t>
      </w:r>
      <w:r w:rsidR="0082535C" w:rsidRPr="00346AD5">
        <w:rPr>
          <w:sz w:val="22"/>
          <w:szCs w:val="22"/>
        </w:rPr>
        <w:t xml:space="preserve">work. </w:t>
      </w:r>
      <w:r w:rsidR="008931B3" w:rsidRPr="00346AD5">
        <w:rPr>
          <w:sz w:val="22"/>
          <w:szCs w:val="22"/>
        </w:rPr>
        <w:t xml:space="preserve">There are 14 FVPLS across Australia. </w:t>
      </w:r>
    </w:p>
    <w:p w14:paraId="1C0A1A12" w14:textId="77777777" w:rsidR="00732B5D" w:rsidRDefault="00732B5D" w:rsidP="00732B5D"/>
    <w:p w14:paraId="46370B92" w14:textId="77777777" w:rsidR="00D57C40" w:rsidRDefault="00D57C40" w:rsidP="00732B5D"/>
    <w:p w14:paraId="58E76ABB" w14:textId="2E2D8F1C" w:rsidR="00CB6184" w:rsidRPr="00D839B4" w:rsidRDefault="00732B5D" w:rsidP="00CB6184">
      <w:pPr>
        <w:rPr>
          <w:bCs/>
          <w:sz w:val="22"/>
          <w:szCs w:val="22"/>
          <w:lang w:val="en-US"/>
        </w:rPr>
      </w:pPr>
      <w:r w:rsidRPr="00346AD5">
        <w:rPr>
          <w:sz w:val="22"/>
          <w:szCs w:val="22"/>
        </w:rPr>
        <w:t>As outlined above, FVPLS are the portfolio responsibility of PM&amp;C while three other legal assistance services</w:t>
      </w:r>
      <w:r w:rsidR="005441D7">
        <w:rPr>
          <w:sz w:val="22"/>
          <w:szCs w:val="22"/>
        </w:rPr>
        <w:t>, LACs, CLCs and ATSILS</w:t>
      </w:r>
      <w:r w:rsidRPr="00346AD5">
        <w:rPr>
          <w:sz w:val="22"/>
          <w:szCs w:val="22"/>
        </w:rPr>
        <w:t xml:space="preserve">, all remain the portfolio responsibility of AGD. </w:t>
      </w:r>
      <w:r w:rsidR="00341912">
        <w:rPr>
          <w:sz w:val="22"/>
          <w:szCs w:val="22"/>
        </w:rPr>
        <w:t xml:space="preserve"> Under the </w:t>
      </w:r>
      <w:r w:rsidRPr="00346AD5">
        <w:rPr>
          <w:i/>
          <w:iCs/>
          <w:sz w:val="22"/>
          <w:szCs w:val="22"/>
        </w:rPr>
        <w:t>Indigenous Advancement Strategy</w:t>
      </w:r>
      <w:r w:rsidRPr="00346AD5">
        <w:rPr>
          <w:sz w:val="22"/>
          <w:szCs w:val="22"/>
        </w:rPr>
        <w:t xml:space="preserve"> (IAS) the FVPLS were required to </w:t>
      </w:r>
      <w:r w:rsidRPr="00346AD5">
        <w:rPr>
          <w:rFonts w:cs="Arial"/>
          <w:color w:val="000000" w:themeColor="text1"/>
          <w:sz w:val="22"/>
          <w:szCs w:val="22"/>
        </w:rPr>
        <w:t xml:space="preserve">apply for funding alongside other services to Aboriginal and Torres Strait Islander people. </w:t>
      </w:r>
      <w:r>
        <w:rPr>
          <w:rFonts w:cs="Arial"/>
          <w:color w:val="000000" w:themeColor="text1"/>
          <w:sz w:val="22"/>
          <w:szCs w:val="22"/>
        </w:rPr>
        <w:t xml:space="preserve"> </w:t>
      </w:r>
      <w:r w:rsidRPr="008931B3">
        <w:rPr>
          <w:rFonts w:cs="Cambria"/>
          <w:sz w:val="22"/>
          <w:szCs w:val="22"/>
          <w:lang w:val="en-AU"/>
        </w:rPr>
        <w:t xml:space="preserve">All FVPLSs were successful in their application under the </w:t>
      </w:r>
      <w:r>
        <w:rPr>
          <w:rFonts w:cs="Cambria"/>
          <w:sz w:val="22"/>
          <w:szCs w:val="22"/>
          <w:lang w:val="en-AU"/>
        </w:rPr>
        <w:t>IAS and</w:t>
      </w:r>
      <w:r w:rsidR="00341912">
        <w:rPr>
          <w:rFonts w:cs="Cambria"/>
          <w:sz w:val="22"/>
          <w:szCs w:val="22"/>
          <w:lang w:val="en-AU"/>
        </w:rPr>
        <w:t xml:space="preserve"> in light of </w:t>
      </w:r>
      <w:r w:rsidR="00CB6184">
        <w:rPr>
          <w:rFonts w:cs="Cambria"/>
          <w:sz w:val="22"/>
          <w:szCs w:val="22"/>
          <w:lang w:val="en-AU"/>
        </w:rPr>
        <w:t>the funding announcement made in October 2016 of an additional $9 million for 9 of the 14 FVPLS, all are now funded until the end of June 2018.</w:t>
      </w:r>
      <w:r w:rsidR="00CB6184" w:rsidRPr="00D839B4">
        <w:rPr>
          <w:bCs/>
          <w:sz w:val="22"/>
          <w:szCs w:val="22"/>
          <w:lang w:val="en-US"/>
        </w:rPr>
        <w:t xml:space="preserve"> </w:t>
      </w:r>
    </w:p>
    <w:p w14:paraId="6868E276" w14:textId="77777777" w:rsidR="00AA4F3D" w:rsidRDefault="00AA4F3D" w:rsidP="00732B5D">
      <w:pPr>
        <w:rPr>
          <w:rFonts w:cs="Cambria"/>
          <w:sz w:val="22"/>
          <w:szCs w:val="22"/>
          <w:lang w:val="en-AU"/>
        </w:rPr>
      </w:pPr>
    </w:p>
    <w:p w14:paraId="6CB901C6" w14:textId="234CD841" w:rsidR="000F6F57" w:rsidRPr="000F6F57" w:rsidRDefault="00341912" w:rsidP="000F6F57">
      <w:pPr>
        <w:spacing w:after="160" w:line="259" w:lineRule="auto"/>
        <w:rPr>
          <w:sz w:val="22"/>
          <w:szCs w:val="22"/>
        </w:rPr>
      </w:pPr>
      <w:r w:rsidRPr="000F6F57">
        <w:rPr>
          <w:rFonts w:cs="Cambria"/>
          <w:sz w:val="22"/>
          <w:szCs w:val="22"/>
          <w:lang w:val="en-AU"/>
        </w:rPr>
        <w:t xml:space="preserve">However,  </w:t>
      </w:r>
      <w:r w:rsidR="00732B5D" w:rsidRPr="000F6F57">
        <w:rPr>
          <w:sz w:val="22"/>
          <w:szCs w:val="22"/>
        </w:rPr>
        <w:t xml:space="preserve">the </w:t>
      </w:r>
      <w:r w:rsidR="00732B5D" w:rsidRPr="000F6F57">
        <w:rPr>
          <w:rFonts w:cs="Cambria"/>
          <w:sz w:val="22"/>
          <w:szCs w:val="22"/>
          <w:lang w:val="en-AU"/>
        </w:rPr>
        <w:t xml:space="preserve">National FVPLS Program was effectively defunded and continues to have no direct allocation </w:t>
      </w:r>
      <w:r w:rsidR="005441D7" w:rsidRPr="000F6F57">
        <w:rPr>
          <w:rFonts w:cs="Cambria"/>
          <w:sz w:val="22"/>
          <w:szCs w:val="22"/>
          <w:lang w:val="en-AU"/>
        </w:rPr>
        <w:t>which, according to the NFVPLS ‘</w:t>
      </w:r>
      <w:r w:rsidR="00732B5D" w:rsidRPr="000F6F57">
        <w:rPr>
          <w:rFonts w:cs="Cambria"/>
          <w:sz w:val="22"/>
          <w:szCs w:val="22"/>
          <w:lang w:val="en-AU"/>
        </w:rPr>
        <w:t>means there is no transparency or guarantee of funding for the program into the future, nor national recognit</w:t>
      </w:r>
      <w:r w:rsidR="005441D7" w:rsidRPr="000F6F57">
        <w:rPr>
          <w:rFonts w:cs="Cambria"/>
          <w:sz w:val="22"/>
          <w:szCs w:val="22"/>
          <w:lang w:val="en-AU"/>
        </w:rPr>
        <w:t>ion of the value of this model’</w:t>
      </w:r>
      <w:r w:rsidR="00732B5D" w:rsidRPr="000F6F57">
        <w:rPr>
          <w:rFonts w:cs="Cambria"/>
          <w:sz w:val="22"/>
          <w:szCs w:val="22"/>
          <w:lang w:val="en-AU"/>
        </w:rPr>
        <w:t xml:space="preserve">.  </w:t>
      </w:r>
      <w:r w:rsidR="005441D7" w:rsidRPr="000F6F57">
        <w:rPr>
          <w:rFonts w:cs="Cambria"/>
          <w:sz w:val="22"/>
          <w:szCs w:val="22"/>
          <w:lang w:val="en-AU"/>
        </w:rPr>
        <w:t>Accordingly, NACLC</w:t>
      </w:r>
      <w:r w:rsidR="005441D7" w:rsidRPr="000F6F57">
        <w:rPr>
          <w:sz w:val="22"/>
          <w:szCs w:val="22"/>
        </w:rPr>
        <w:t xml:space="preserve"> supports the</w:t>
      </w:r>
      <w:r w:rsidR="000F6F57" w:rsidRPr="000F6F57">
        <w:rPr>
          <w:sz w:val="22"/>
          <w:szCs w:val="22"/>
        </w:rPr>
        <w:t xml:space="preserve"> ongoing calls by the</w:t>
      </w:r>
      <w:r w:rsidR="005441D7" w:rsidRPr="000F6F57">
        <w:rPr>
          <w:sz w:val="22"/>
          <w:szCs w:val="22"/>
        </w:rPr>
        <w:t xml:space="preserve"> National FVPLS Forum</w:t>
      </w:r>
      <w:r w:rsidR="008C05D0">
        <w:rPr>
          <w:sz w:val="22"/>
          <w:szCs w:val="22"/>
        </w:rPr>
        <w:t>, including in its 2017-2018 Federal Budget submission,</w:t>
      </w:r>
      <w:r w:rsidR="000F6F57" w:rsidRPr="000F6F57">
        <w:rPr>
          <w:sz w:val="22"/>
          <w:szCs w:val="22"/>
        </w:rPr>
        <w:t xml:space="preserve"> for reinstatement of the programme</w:t>
      </w:r>
      <w:r w:rsidR="008C05D0">
        <w:rPr>
          <w:sz w:val="22"/>
          <w:szCs w:val="22"/>
        </w:rPr>
        <w:t xml:space="preserve">; </w:t>
      </w:r>
      <w:r w:rsidR="000F6F57" w:rsidRPr="000F6F57">
        <w:rPr>
          <w:sz w:val="22"/>
          <w:szCs w:val="22"/>
        </w:rPr>
        <w:t>additional funding for FVPLS to meet existing and rising demand for FVPLS services</w:t>
      </w:r>
      <w:r w:rsidR="008C05D0">
        <w:rPr>
          <w:sz w:val="22"/>
          <w:szCs w:val="22"/>
        </w:rPr>
        <w:t>;</w:t>
      </w:r>
      <w:r w:rsidR="000F6F57" w:rsidRPr="000F6F57">
        <w:rPr>
          <w:sz w:val="22"/>
          <w:szCs w:val="22"/>
        </w:rPr>
        <w:t xml:space="preserve"> and for long-term funding agreements to ensure funding certainty. </w:t>
      </w:r>
    </w:p>
    <w:p w14:paraId="656FA3F0" w14:textId="7104B8EF" w:rsidR="008555C2" w:rsidRPr="000F6F57" w:rsidRDefault="00732B5D" w:rsidP="00341912">
      <w:pPr>
        <w:rPr>
          <w:b/>
          <w:sz w:val="22"/>
          <w:szCs w:val="22"/>
          <w:lang w:val="en-AU"/>
        </w:rPr>
      </w:pPr>
      <w:r w:rsidRPr="000F6F57">
        <w:rPr>
          <w:rFonts w:cs="Arial"/>
          <w:b/>
          <w:color w:val="000000" w:themeColor="text1"/>
          <w:sz w:val="22"/>
          <w:szCs w:val="22"/>
        </w:rPr>
        <w:t xml:space="preserve">Recommendation: Reinstate the Family Violence Prevention Legal Services as a stand-alone national programme and provide it with a </w:t>
      </w:r>
      <w:r w:rsidRPr="000F6F57">
        <w:rPr>
          <w:rFonts w:cs="Cambria"/>
          <w:b/>
          <w:color w:val="000000"/>
          <w:sz w:val="22"/>
          <w:szCs w:val="22"/>
          <w:lang w:val="en-AU"/>
        </w:rPr>
        <w:t xml:space="preserve">direct </w:t>
      </w:r>
      <w:r w:rsidRPr="000F6F57">
        <w:rPr>
          <w:b/>
          <w:sz w:val="22"/>
          <w:szCs w:val="22"/>
          <w:lang w:val="en-AU"/>
        </w:rPr>
        <w:t xml:space="preserve">allocation of funding. </w:t>
      </w:r>
    </w:p>
    <w:p w14:paraId="021E6BCD" w14:textId="77777777" w:rsidR="000F6F57" w:rsidRPr="000F6F57" w:rsidRDefault="000F6F57" w:rsidP="000F6F57">
      <w:pPr>
        <w:rPr>
          <w:rFonts w:cs="Arial"/>
          <w:b/>
          <w:color w:val="000000" w:themeColor="text1"/>
          <w:sz w:val="22"/>
          <w:szCs w:val="22"/>
        </w:rPr>
      </w:pPr>
    </w:p>
    <w:p w14:paraId="622FA1A1" w14:textId="05521D7A" w:rsidR="000F6F57" w:rsidRPr="000F6F57" w:rsidRDefault="000F6F57" w:rsidP="000F6F57">
      <w:pPr>
        <w:rPr>
          <w:rFonts w:cs="Calibri"/>
          <w:b/>
          <w:color w:val="000000"/>
          <w:sz w:val="22"/>
          <w:szCs w:val="22"/>
          <w:lang w:val="en-US"/>
        </w:rPr>
      </w:pPr>
      <w:r w:rsidRPr="000F6F57">
        <w:rPr>
          <w:rFonts w:cs="Calibri"/>
          <w:b/>
          <w:bCs/>
          <w:color w:val="000000"/>
          <w:sz w:val="22"/>
          <w:szCs w:val="22"/>
          <w:lang w:val="en-US"/>
        </w:rPr>
        <w:t xml:space="preserve">Recommendation: </w:t>
      </w:r>
      <w:r w:rsidRPr="000F6F57">
        <w:rPr>
          <w:rFonts w:cs="Calibri"/>
          <w:b/>
          <w:color w:val="000000"/>
          <w:sz w:val="22"/>
          <w:szCs w:val="22"/>
          <w:lang w:val="en-US"/>
        </w:rPr>
        <w:t xml:space="preserve">Provide additional funding to </w:t>
      </w:r>
      <w:r w:rsidRPr="000F6F57">
        <w:rPr>
          <w:rFonts w:cs="Arial"/>
          <w:b/>
          <w:color w:val="000000" w:themeColor="text1"/>
          <w:sz w:val="22"/>
          <w:szCs w:val="22"/>
        </w:rPr>
        <w:t>Family Violence Prevention Legal Services,</w:t>
      </w:r>
      <w:r w:rsidRPr="000F6F57">
        <w:rPr>
          <w:rFonts w:cs="Calibri"/>
          <w:b/>
          <w:color w:val="000000"/>
          <w:sz w:val="22"/>
          <w:szCs w:val="22"/>
          <w:lang w:val="en-US"/>
        </w:rPr>
        <w:t xml:space="preserve"> including to achieve national coverage of </w:t>
      </w:r>
      <w:r w:rsidRPr="000F6F57">
        <w:rPr>
          <w:rFonts w:cs="Arial"/>
          <w:b/>
          <w:color w:val="000000" w:themeColor="text1"/>
          <w:sz w:val="22"/>
          <w:szCs w:val="22"/>
        </w:rPr>
        <w:t>Family Violence Prevention Legal Services</w:t>
      </w:r>
      <w:r w:rsidRPr="000F6F57">
        <w:rPr>
          <w:rFonts w:cs="Calibri"/>
          <w:b/>
          <w:color w:val="000000"/>
          <w:sz w:val="22"/>
          <w:szCs w:val="22"/>
          <w:lang w:val="en-US"/>
        </w:rPr>
        <w:t xml:space="preserve"> commensurate to need (</w:t>
      </w:r>
      <w:r w:rsidRPr="000F6F57">
        <w:rPr>
          <w:rFonts w:cs="Calibri"/>
          <w:b/>
          <w:sz w:val="22"/>
          <w:szCs w:val="22"/>
          <w:lang w:val="en-US"/>
        </w:rPr>
        <w:t xml:space="preserve">with a specific focus on meeting need in metropolitan and urban locations). </w:t>
      </w:r>
    </w:p>
    <w:p w14:paraId="5D3796AB" w14:textId="77777777" w:rsidR="00341912" w:rsidRPr="000F6F57" w:rsidRDefault="00341912" w:rsidP="00341912">
      <w:pPr>
        <w:rPr>
          <w:b/>
          <w:sz w:val="22"/>
          <w:szCs w:val="22"/>
          <w:lang w:val="en-AU"/>
        </w:rPr>
      </w:pPr>
    </w:p>
    <w:p w14:paraId="47759876" w14:textId="1152D3B7" w:rsidR="00B94EBF" w:rsidRPr="000F6F57" w:rsidRDefault="00B94EBF" w:rsidP="00353900">
      <w:pPr>
        <w:pStyle w:val="Heading4"/>
      </w:pPr>
      <w:r w:rsidRPr="000F6F57">
        <w:t xml:space="preserve">Funding of </w:t>
      </w:r>
      <w:r w:rsidR="008931B3" w:rsidRPr="000F6F57">
        <w:t xml:space="preserve">a </w:t>
      </w:r>
      <w:r w:rsidRPr="000F6F57">
        <w:t>Forum/Secretariat</w:t>
      </w:r>
    </w:p>
    <w:p w14:paraId="7F4564A5" w14:textId="1FD80E9E" w:rsidR="008931B3" w:rsidRPr="000F6F57" w:rsidRDefault="0082535C" w:rsidP="0082535C">
      <w:pPr>
        <w:rPr>
          <w:sz w:val="22"/>
          <w:szCs w:val="22"/>
        </w:rPr>
      </w:pPr>
      <w:r w:rsidRPr="000F6F57">
        <w:rPr>
          <w:sz w:val="22"/>
          <w:szCs w:val="22"/>
        </w:rPr>
        <w:t>The National Family Violence Prevention Legal Services Forum (National FVPLS Forum) was established in May 2012.  It provides a vital peak body for FVPLS and facilitates coordination and collaboration across FVPLS services and liaison with other</w:t>
      </w:r>
      <w:r w:rsidR="00F40AE6">
        <w:rPr>
          <w:sz w:val="22"/>
          <w:szCs w:val="22"/>
        </w:rPr>
        <w:t xml:space="preserve"> peak bodies, including NACLC.  </w:t>
      </w:r>
      <w:r w:rsidR="000F6F57" w:rsidRPr="000F6F57">
        <w:rPr>
          <w:sz w:val="22"/>
          <w:szCs w:val="22"/>
        </w:rPr>
        <w:t xml:space="preserve">NACLC supports NFVPLS Forum calls for ongoing funding and support of the Forum by the Federal Government. </w:t>
      </w:r>
    </w:p>
    <w:p w14:paraId="65FA80D5" w14:textId="77777777" w:rsidR="000F6F57" w:rsidRPr="000F6F57" w:rsidRDefault="000F6F57" w:rsidP="0082535C">
      <w:pPr>
        <w:rPr>
          <w:b/>
          <w:sz w:val="22"/>
          <w:szCs w:val="22"/>
        </w:rPr>
      </w:pPr>
    </w:p>
    <w:p w14:paraId="562D69C8" w14:textId="76BDBD57" w:rsidR="000F6F57" w:rsidRPr="000C4FA8" w:rsidRDefault="000F6F57" w:rsidP="0082535C">
      <w:pPr>
        <w:rPr>
          <w:b/>
          <w:sz w:val="22"/>
          <w:szCs w:val="22"/>
        </w:rPr>
      </w:pPr>
      <w:r>
        <w:rPr>
          <w:b/>
          <w:sz w:val="22"/>
          <w:szCs w:val="22"/>
        </w:rPr>
        <w:t>Recommendation</w:t>
      </w:r>
      <w:r w:rsidRPr="000F6F57">
        <w:rPr>
          <w:b/>
          <w:sz w:val="22"/>
          <w:szCs w:val="22"/>
        </w:rPr>
        <w:t xml:space="preserve">: Provide the National Family Violence Prevention Legal Services Forum with additional funding and commit to long-term funding and support of the Forum.  </w:t>
      </w:r>
    </w:p>
    <w:p w14:paraId="68ABDD44" w14:textId="24546228" w:rsidR="003D302C" w:rsidRDefault="003D302C" w:rsidP="00353900">
      <w:pPr>
        <w:pStyle w:val="Heading3"/>
      </w:pPr>
      <w:bookmarkStart w:id="16" w:name="_Toc472606649"/>
      <w:r>
        <w:t>Aboriginal and Torres Strait Islander Legal Services</w:t>
      </w:r>
      <w:bookmarkEnd w:id="16"/>
      <w:r>
        <w:t xml:space="preserve"> </w:t>
      </w:r>
    </w:p>
    <w:p w14:paraId="10A5EA2C" w14:textId="77777777" w:rsidR="006576DA" w:rsidRDefault="006576DA" w:rsidP="006576DA"/>
    <w:p w14:paraId="040C5A13" w14:textId="1220F426" w:rsidR="008931B3" w:rsidRPr="00341912" w:rsidRDefault="00613183" w:rsidP="00341912">
      <w:pPr>
        <w:autoSpaceDE w:val="0"/>
        <w:autoSpaceDN w:val="0"/>
        <w:adjustRightInd w:val="0"/>
        <w:rPr>
          <w:rFonts w:cs="Calibri"/>
          <w:color w:val="000000"/>
          <w:sz w:val="22"/>
          <w:szCs w:val="22"/>
          <w:lang w:val="en-AU"/>
        </w:rPr>
      </w:pPr>
      <w:r w:rsidRPr="00341912">
        <w:rPr>
          <w:rFonts w:cs="Calibri"/>
          <w:color w:val="000000"/>
          <w:sz w:val="22"/>
          <w:szCs w:val="22"/>
          <w:lang w:val="en-AU"/>
        </w:rPr>
        <w:t xml:space="preserve">ATSILS </w:t>
      </w:r>
      <w:r w:rsidR="00346AD5" w:rsidRPr="00341912">
        <w:rPr>
          <w:rFonts w:cs="Calibri"/>
          <w:color w:val="000000"/>
          <w:sz w:val="22"/>
          <w:szCs w:val="22"/>
          <w:lang w:val="en-AU"/>
        </w:rPr>
        <w:t>are the main providers  of legal services to Aboriginal and Torres Strait Islander people, providing approximately 200, 000 legal assistances to Aboriginal and Tor</w:t>
      </w:r>
      <w:r w:rsidR="000C4FA8" w:rsidRPr="00341912">
        <w:rPr>
          <w:rFonts w:cs="Calibri"/>
          <w:color w:val="000000"/>
          <w:sz w:val="22"/>
          <w:szCs w:val="22"/>
          <w:lang w:val="en-AU"/>
        </w:rPr>
        <w:t xml:space="preserve">res Strait Islanders annually. </w:t>
      </w:r>
      <w:r w:rsidR="008931B3" w:rsidRPr="00341912">
        <w:rPr>
          <w:sz w:val="22"/>
          <w:szCs w:val="22"/>
        </w:rPr>
        <w:t xml:space="preserve"> </w:t>
      </w:r>
    </w:p>
    <w:p w14:paraId="05B5C02A" w14:textId="77777777" w:rsidR="006C2092" w:rsidRDefault="006C2092" w:rsidP="008931B3">
      <w:pPr>
        <w:rPr>
          <w:sz w:val="22"/>
          <w:szCs w:val="22"/>
        </w:rPr>
      </w:pPr>
    </w:p>
    <w:p w14:paraId="7D66C79B" w14:textId="36AC5682" w:rsidR="00181619" w:rsidRDefault="00D94B03" w:rsidP="00181619">
      <w:pPr>
        <w:rPr>
          <w:b/>
          <w:sz w:val="22"/>
          <w:szCs w:val="22"/>
        </w:rPr>
      </w:pPr>
      <w:r w:rsidRPr="00341912">
        <w:rPr>
          <w:sz w:val="22"/>
          <w:szCs w:val="22"/>
        </w:rPr>
        <w:t>The ATSILS continue to be direct funded by AGD rather than being covered by the NPA</w:t>
      </w:r>
      <w:r w:rsidR="008F3831" w:rsidRPr="00341912">
        <w:rPr>
          <w:sz w:val="22"/>
          <w:szCs w:val="22"/>
        </w:rPr>
        <w:t xml:space="preserve"> and are primarily funded </w:t>
      </w:r>
      <w:r w:rsidR="008F3831" w:rsidRPr="00181619">
        <w:rPr>
          <w:sz w:val="22"/>
          <w:szCs w:val="22"/>
        </w:rPr>
        <w:t xml:space="preserve">through the Indigenous Legal Assistance Program. </w:t>
      </w:r>
      <w:r w:rsidR="008F3831" w:rsidRPr="00181619">
        <w:rPr>
          <w:rFonts w:cs="Calibri"/>
          <w:color w:val="000000"/>
          <w:sz w:val="22"/>
          <w:szCs w:val="22"/>
          <w:lang w:val="en-US"/>
        </w:rPr>
        <w:t xml:space="preserve">Commonwealth funding for ATSILS will </w:t>
      </w:r>
      <w:r w:rsidR="000F6F57">
        <w:rPr>
          <w:rFonts w:cs="Calibri"/>
          <w:color w:val="000000"/>
          <w:sz w:val="22"/>
          <w:szCs w:val="22"/>
          <w:lang w:val="en-US"/>
        </w:rPr>
        <w:t xml:space="preserve">be cut by </w:t>
      </w:r>
      <w:r w:rsidR="008F3831" w:rsidRPr="00181619">
        <w:rPr>
          <w:rFonts w:cs="Calibri"/>
          <w:bCs/>
          <w:color w:val="000000"/>
          <w:sz w:val="22"/>
          <w:szCs w:val="22"/>
          <w:lang w:val="en-US"/>
        </w:rPr>
        <w:t>$</w:t>
      </w:r>
      <w:r w:rsidR="00181619" w:rsidRPr="00181619">
        <w:rPr>
          <w:rFonts w:cs="Calibri"/>
          <w:bCs/>
          <w:color w:val="000000"/>
          <w:sz w:val="22"/>
          <w:szCs w:val="22"/>
          <w:lang w:val="en-US"/>
        </w:rPr>
        <w:t>18</w:t>
      </w:r>
      <w:r w:rsidR="008F3831" w:rsidRPr="00181619">
        <w:rPr>
          <w:rFonts w:cs="Calibri"/>
          <w:bCs/>
          <w:color w:val="000000"/>
          <w:sz w:val="22"/>
          <w:szCs w:val="22"/>
          <w:lang w:val="en-US"/>
        </w:rPr>
        <w:t xml:space="preserve"> million over the next three years</w:t>
      </w:r>
      <w:r w:rsidR="00181619" w:rsidRPr="00181619">
        <w:rPr>
          <w:rFonts w:cs="Calibri"/>
          <w:color w:val="000000"/>
          <w:sz w:val="22"/>
          <w:szCs w:val="22"/>
          <w:lang w:val="en-US"/>
        </w:rPr>
        <w:t xml:space="preserve"> ($6.062 million in 2017-18, $6.169 million in 2018-19, and $5.271 million in 2019-20).</w:t>
      </w:r>
    </w:p>
    <w:p w14:paraId="1CD9E276" w14:textId="77777777" w:rsidR="00341912" w:rsidRPr="00341912" w:rsidRDefault="00341912" w:rsidP="00341912">
      <w:pPr>
        <w:autoSpaceDE w:val="0"/>
        <w:autoSpaceDN w:val="0"/>
        <w:adjustRightInd w:val="0"/>
        <w:rPr>
          <w:rFonts w:cs="Calibri"/>
          <w:color w:val="000000"/>
          <w:sz w:val="22"/>
          <w:szCs w:val="22"/>
          <w:lang w:val="en-US"/>
        </w:rPr>
      </w:pPr>
    </w:p>
    <w:p w14:paraId="4888782A" w14:textId="187F4EF0" w:rsidR="00341912" w:rsidRPr="00341912" w:rsidRDefault="00341912" w:rsidP="00341912">
      <w:pPr>
        <w:autoSpaceDE w:val="0"/>
        <w:autoSpaceDN w:val="0"/>
        <w:adjustRightInd w:val="0"/>
        <w:rPr>
          <w:rFonts w:cs="Calibri"/>
          <w:color w:val="000000"/>
          <w:sz w:val="22"/>
          <w:szCs w:val="22"/>
          <w:lang w:val="en-US"/>
        </w:rPr>
      </w:pPr>
      <w:r w:rsidRPr="00341912">
        <w:rPr>
          <w:rFonts w:cs="Calibri"/>
          <w:color w:val="000000"/>
          <w:sz w:val="22"/>
          <w:szCs w:val="22"/>
          <w:lang w:val="en-US"/>
        </w:rPr>
        <w:t>According to NATSILS, the impending funding cuts will:</w:t>
      </w:r>
    </w:p>
    <w:p w14:paraId="6CFA1076" w14:textId="68368810" w:rsidR="00341912" w:rsidRPr="00341912" w:rsidRDefault="00341912" w:rsidP="00341912">
      <w:pPr>
        <w:pStyle w:val="ListParagraph"/>
        <w:numPr>
          <w:ilvl w:val="0"/>
          <w:numId w:val="16"/>
        </w:numPr>
        <w:autoSpaceDE w:val="0"/>
        <w:autoSpaceDN w:val="0"/>
        <w:adjustRightInd w:val="0"/>
        <w:rPr>
          <w:rFonts w:cs="Calibri"/>
          <w:color w:val="000000"/>
          <w:sz w:val="22"/>
          <w:szCs w:val="22"/>
          <w:lang w:val="en-US"/>
        </w:rPr>
      </w:pPr>
      <w:r w:rsidRPr="00341912">
        <w:rPr>
          <w:rFonts w:cs="Calibri"/>
          <w:color w:val="000000"/>
          <w:sz w:val="22"/>
          <w:szCs w:val="22"/>
          <w:lang w:val="en-US"/>
        </w:rPr>
        <w:t>significantly impact on the operation of ATSILS across Australia, already working within limited budgets</w:t>
      </w:r>
    </w:p>
    <w:p w14:paraId="123FE984" w14:textId="68159F53" w:rsidR="00341912" w:rsidRPr="00341912" w:rsidRDefault="00341912" w:rsidP="00341912">
      <w:pPr>
        <w:pStyle w:val="ListParagraph"/>
        <w:numPr>
          <w:ilvl w:val="0"/>
          <w:numId w:val="18"/>
        </w:numPr>
        <w:autoSpaceDE w:val="0"/>
        <w:autoSpaceDN w:val="0"/>
        <w:adjustRightInd w:val="0"/>
        <w:rPr>
          <w:rFonts w:cs="Calibri"/>
          <w:color w:val="000000"/>
          <w:sz w:val="22"/>
          <w:szCs w:val="22"/>
          <w:lang w:val="en-US"/>
        </w:rPr>
      </w:pPr>
      <w:r w:rsidRPr="00341912">
        <w:rPr>
          <w:rFonts w:cs="Calibri"/>
          <w:color w:val="000000"/>
          <w:sz w:val="22"/>
          <w:szCs w:val="22"/>
          <w:lang w:val="en-US"/>
        </w:rPr>
        <w:t xml:space="preserve">result in a </w:t>
      </w:r>
      <w:r w:rsidRPr="00341912">
        <w:rPr>
          <w:rFonts w:cs="Calibri"/>
          <w:iCs/>
          <w:color w:val="000000"/>
          <w:sz w:val="22"/>
          <w:szCs w:val="22"/>
          <w:lang w:val="en-US"/>
        </w:rPr>
        <w:t>withdrawal of frontline services</w:t>
      </w:r>
      <w:r w:rsidRPr="00341912">
        <w:rPr>
          <w:rFonts w:cs="Calibri"/>
          <w:color w:val="000000"/>
          <w:sz w:val="22"/>
          <w:szCs w:val="22"/>
          <w:lang w:val="en-US"/>
        </w:rPr>
        <w:t xml:space="preserve"> from specific courts, rural and remote regions resulting in Aboriginal and Torres Strait Islander people being </w:t>
      </w:r>
      <w:r w:rsidRPr="00341912">
        <w:rPr>
          <w:rFonts w:cs="Calibri"/>
          <w:iCs/>
          <w:color w:val="000000"/>
          <w:sz w:val="22"/>
          <w:szCs w:val="22"/>
          <w:lang w:val="en-US"/>
        </w:rPr>
        <w:t>unrepresented</w:t>
      </w:r>
      <w:r w:rsidRPr="00341912">
        <w:rPr>
          <w:rFonts w:cs="Calibri"/>
          <w:color w:val="000000"/>
          <w:sz w:val="22"/>
          <w:szCs w:val="22"/>
          <w:lang w:val="en-US"/>
        </w:rPr>
        <w:t xml:space="preserve"> and </w:t>
      </w:r>
      <w:r w:rsidRPr="00341912">
        <w:rPr>
          <w:rFonts w:cs="Calibri"/>
          <w:iCs/>
          <w:color w:val="000000"/>
          <w:sz w:val="22"/>
          <w:szCs w:val="22"/>
          <w:lang w:val="en-US"/>
        </w:rPr>
        <w:t xml:space="preserve">unable to access culturally competent legal assistance </w:t>
      </w:r>
    </w:p>
    <w:p w14:paraId="38EE2F57" w14:textId="07D118B4" w:rsidR="00341912" w:rsidRPr="00CB6184" w:rsidRDefault="00341912" w:rsidP="00341912">
      <w:pPr>
        <w:pStyle w:val="ListParagraph"/>
        <w:numPr>
          <w:ilvl w:val="0"/>
          <w:numId w:val="18"/>
        </w:numPr>
        <w:autoSpaceDE w:val="0"/>
        <w:autoSpaceDN w:val="0"/>
        <w:adjustRightInd w:val="0"/>
        <w:rPr>
          <w:rFonts w:cs="Calibri"/>
          <w:color w:val="000000"/>
          <w:sz w:val="22"/>
          <w:szCs w:val="22"/>
          <w:lang w:val="en-US"/>
        </w:rPr>
      </w:pPr>
      <w:r w:rsidRPr="00CB6184">
        <w:rPr>
          <w:rFonts w:cs="Calibri"/>
          <w:color w:val="000000"/>
          <w:sz w:val="22"/>
          <w:szCs w:val="22"/>
          <w:lang w:val="en-US"/>
        </w:rPr>
        <w:t xml:space="preserve">have </w:t>
      </w:r>
      <w:r w:rsidRPr="00CB6184">
        <w:rPr>
          <w:rFonts w:cs="Calibri"/>
          <w:iCs/>
          <w:color w:val="000000"/>
          <w:sz w:val="22"/>
          <w:szCs w:val="22"/>
          <w:lang w:val="en-US"/>
        </w:rPr>
        <w:t>unintended</w:t>
      </w:r>
      <w:r w:rsidR="000F6F57">
        <w:rPr>
          <w:rFonts w:cs="Calibri"/>
          <w:iCs/>
          <w:color w:val="000000"/>
          <w:sz w:val="22"/>
          <w:szCs w:val="22"/>
          <w:lang w:val="en-US"/>
        </w:rPr>
        <w:t xml:space="preserve"> flow-on costs for government and other sectors </w:t>
      </w:r>
      <w:r w:rsidRPr="00CB6184">
        <w:rPr>
          <w:rFonts w:cs="Calibri"/>
          <w:iCs/>
          <w:color w:val="000000"/>
          <w:sz w:val="22"/>
          <w:szCs w:val="22"/>
          <w:lang w:val="en-US"/>
        </w:rPr>
        <w:t xml:space="preserve"> </w:t>
      </w:r>
    </w:p>
    <w:p w14:paraId="75CD8965" w14:textId="7688AB00" w:rsidR="006C2092" w:rsidRPr="00CB6184" w:rsidRDefault="00341912" w:rsidP="008F3831">
      <w:pPr>
        <w:pStyle w:val="ListParagraph"/>
        <w:numPr>
          <w:ilvl w:val="0"/>
          <w:numId w:val="18"/>
        </w:numPr>
        <w:autoSpaceDE w:val="0"/>
        <w:autoSpaceDN w:val="0"/>
        <w:adjustRightInd w:val="0"/>
        <w:rPr>
          <w:rFonts w:cs="Calibri"/>
          <w:color w:val="000000"/>
          <w:sz w:val="22"/>
          <w:szCs w:val="22"/>
          <w:lang w:val="en-AU"/>
        </w:rPr>
      </w:pPr>
      <w:r w:rsidRPr="00CB6184">
        <w:rPr>
          <w:rFonts w:cs="Calibri"/>
          <w:color w:val="000000"/>
          <w:sz w:val="22"/>
          <w:szCs w:val="22"/>
          <w:lang w:val="en-US"/>
        </w:rPr>
        <w:t>deny many Aboriginal and To</w:t>
      </w:r>
      <w:r w:rsidR="000F6F57">
        <w:rPr>
          <w:rFonts w:cs="Calibri"/>
          <w:color w:val="000000"/>
          <w:sz w:val="22"/>
          <w:szCs w:val="22"/>
          <w:lang w:val="en-US"/>
        </w:rPr>
        <w:t xml:space="preserve">rres Strait Islander people </w:t>
      </w:r>
      <w:r w:rsidRPr="00CB6184">
        <w:rPr>
          <w:rFonts w:cs="Calibri"/>
          <w:color w:val="000000"/>
          <w:sz w:val="22"/>
          <w:szCs w:val="22"/>
          <w:lang w:val="en-US"/>
        </w:rPr>
        <w:t xml:space="preserve">access to </w:t>
      </w:r>
      <w:r w:rsidR="000F6F57">
        <w:rPr>
          <w:rFonts w:cs="Calibri"/>
          <w:color w:val="000000"/>
          <w:sz w:val="22"/>
          <w:szCs w:val="22"/>
          <w:lang w:val="en-US"/>
        </w:rPr>
        <w:t xml:space="preserve">justice, and </w:t>
      </w:r>
    </w:p>
    <w:p w14:paraId="15430E4E" w14:textId="691CE678" w:rsidR="00341912" w:rsidRPr="00CB6184" w:rsidRDefault="00341912" w:rsidP="008F3831">
      <w:pPr>
        <w:pStyle w:val="ListParagraph"/>
        <w:numPr>
          <w:ilvl w:val="0"/>
          <w:numId w:val="18"/>
        </w:numPr>
        <w:autoSpaceDE w:val="0"/>
        <w:autoSpaceDN w:val="0"/>
        <w:adjustRightInd w:val="0"/>
        <w:rPr>
          <w:rFonts w:cs="Calibri"/>
          <w:color w:val="000000"/>
          <w:sz w:val="22"/>
          <w:szCs w:val="22"/>
          <w:lang w:val="en-AU"/>
        </w:rPr>
      </w:pPr>
      <w:r w:rsidRPr="00CB6184">
        <w:rPr>
          <w:rFonts w:cs="Calibri"/>
          <w:color w:val="000000"/>
          <w:sz w:val="22"/>
          <w:szCs w:val="22"/>
          <w:lang w:val="en-US"/>
        </w:rPr>
        <w:t xml:space="preserve">require the ATSILS to make their staff redundant and reduce staffing numbers. </w:t>
      </w:r>
    </w:p>
    <w:p w14:paraId="0EA642CD" w14:textId="77777777" w:rsidR="00B265BF" w:rsidRPr="00B265BF" w:rsidRDefault="00B265BF" w:rsidP="008931B3">
      <w:pPr>
        <w:rPr>
          <w:sz w:val="22"/>
          <w:szCs w:val="22"/>
        </w:rPr>
      </w:pPr>
    </w:p>
    <w:p w14:paraId="6A929C22" w14:textId="7CBF881A" w:rsidR="00B265BF" w:rsidRPr="00AA4F3D" w:rsidRDefault="00B265BF" w:rsidP="008931B3">
      <w:pPr>
        <w:rPr>
          <w:rFonts w:cs="Calibri"/>
          <w:color w:val="000000"/>
          <w:sz w:val="22"/>
          <w:szCs w:val="22"/>
          <w:lang w:val="en-US"/>
        </w:rPr>
      </w:pPr>
      <w:r w:rsidRPr="00AA4F3D">
        <w:rPr>
          <w:sz w:val="22"/>
          <w:szCs w:val="22"/>
        </w:rPr>
        <w:t>Accordingly, consistent with the</w:t>
      </w:r>
      <w:r w:rsidR="00613183" w:rsidRPr="00AA4F3D">
        <w:rPr>
          <w:sz w:val="22"/>
          <w:szCs w:val="22"/>
        </w:rPr>
        <w:t xml:space="preserve"> </w:t>
      </w:r>
      <w:r w:rsidR="00613183" w:rsidRPr="00AA4F3D">
        <w:rPr>
          <w:rFonts w:cs="Calibri"/>
          <w:color w:val="000000"/>
          <w:sz w:val="22"/>
          <w:szCs w:val="22"/>
          <w:lang w:val="en-AU"/>
        </w:rPr>
        <w:t>National Aboriginal and Torres Strait Island</w:t>
      </w:r>
      <w:r w:rsidR="00CB6184" w:rsidRPr="00AA4F3D">
        <w:rPr>
          <w:rFonts w:cs="Calibri"/>
          <w:color w:val="000000"/>
          <w:sz w:val="22"/>
          <w:szCs w:val="22"/>
          <w:lang w:val="en-AU"/>
        </w:rPr>
        <w:t>er Legal Services (NATSILS) 2017-2018</w:t>
      </w:r>
      <w:r w:rsidR="00613183" w:rsidRPr="00AA4F3D">
        <w:rPr>
          <w:rFonts w:cs="Calibri"/>
          <w:color w:val="000000"/>
          <w:sz w:val="22"/>
          <w:szCs w:val="22"/>
          <w:lang w:val="en-AU"/>
        </w:rPr>
        <w:t xml:space="preserve"> Federal Budget submission, </w:t>
      </w:r>
      <w:r w:rsidRPr="00AA4F3D">
        <w:rPr>
          <w:sz w:val="22"/>
          <w:szCs w:val="22"/>
        </w:rPr>
        <w:t>NACLC recommends reversal of the</w:t>
      </w:r>
      <w:r w:rsidR="008F3831" w:rsidRPr="00AA4F3D">
        <w:rPr>
          <w:sz w:val="22"/>
          <w:szCs w:val="22"/>
        </w:rPr>
        <w:t xml:space="preserve"> funding cuts to ATSILS.  </w:t>
      </w:r>
      <w:r w:rsidRPr="00AA4F3D">
        <w:rPr>
          <w:sz w:val="22"/>
          <w:szCs w:val="22"/>
        </w:rPr>
        <w:t>In addition, NACLC suggests further increases to funding for ATSILS, consistent with the Productivit</w:t>
      </w:r>
      <w:r w:rsidR="00AA4F3D" w:rsidRPr="00AA4F3D">
        <w:rPr>
          <w:sz w:val="22"/>
          <w:szCs w:val="22"/>
        </w:rPr>
        <w:t xml:space="preserve">y Commission’s recommendations and </w:t>
      </w:r>
      <w:r w:rsidR="00AA4F3D" w:rsidRPr="00AA4F3D">
        <w:rPr>
          <w:rFonts w:cs="Calibri"/>
          <w:color w:val="000000"/>
          <w:sz w:val="22"/>
          <w:szCs w:val="22"/>
          <w:lang w:val="en-US"/>
        </w:rPr>
        <w:t xml:space="preserve">the additional asks of NATSILS, including provision of indexation of 3% to ATSILS and Government commitment to 5-year funding agreements to ensure funding certainty. </w:t>
      </w:r>
    </w:p>
    <w:p w14:paraId="7082E0F2" w14:textId="77777777" w:rsidR="00732B5D" w:rsidRDefault="00732B5D" w:rsidP="00FC4DE4">
      <w:pPr>
        <w:rPr>
          <w:sz w:val="22"/>
          <w:szCs w:val="22"/>
        </w:rPr>
      </w:pPr>
    </w:p>
    <w:p w14:paraId="53C2E610" w14:textId="7700E21B" w:rsidR="009D2BE8" w:rsidRPr="009D2BE8" w:rsidRDefault="009D2BE8" w:rsidP="009D2BE8">
      <w:pPr>
        <w:rPr>
          <w:rFonts w:cs="Calibri"/>
          <w:b/>
          <w:color w:val="000000"/>
          <w:sz w:val="22"/>
          <w:szCs w:val="22"/>
          <w:lang w:val="en-US"/>
        </w:rPr>
      </w:pPr>
      <w:r w:rsidRPr="009D2BE8">
        <w:rPr>
          <w:b/>
          <w:sz w:val="22"/>
          <w:szCs w:val="22"/>
        </w:rPr>
        <w:t xml:space="preserve">Recommendation: Reverse the $18 million reduction in Commonwealth funding to Aboriginal and Torres Strait Islander Legal Services between 2017-2018 </w:t>
      </w:r>
      <w:r w:rsidRPr="009D2BE8">
        <w:rPr>
          <w:rFonts w:cs="Calibri"/>
          <w:b/>
          <w:color w:val="000000"/>
          <w:sz w:val="22"/>
          <w:szCs w:val="22"/>
          <w:lang w:val="en-US"/>
        </w:rPr>
        <w:t xml:space="preserve">and 2019-20. </w:t>
      </w:r>
    </w:p>
    <w:p w14:paraId="0327FBF6" w14:textId="77777777" w:rsidR="00AA4F3D" w:rsidRDefault="00AA4F3D" w:rsidP="00732B5D">
      <w:pPr>
        <w:rPr>
          <w:rFonts w:cs="Calibri"/>
          <w:color w:val="000000"/>
          <w:sz w:val="22"/>
          <w:szCs w:val="22"/>
          <w:lang w:val="en-US"/>
        </w:rPr>
      </w:pPr>
    </w:p>
    <w:p w14:paraId="0A94BF9B" w14:textId="77777777" w:rsidR="00C662AF" w:rsidRPr="00103219" w:rsidRDefault="00C662AF" w:rsidP="00C662AF">
      <w:pPr>
        <w:pStyle w:val="Heading4"/>
      </w:pPr>
      <w:r w:rsidRPr="00103219">
        <w:t>Funding for NATSILS</w:t>
      </w:r>
    </w:p>
    <w:p w14:paraId="6D0502C2" w14:textId="62E07E0C" w:rsidR="00C662AF" w:rsidRPr="00AA4F3D" w:rsidRDefault="00613183" w:rsidP="00C662AF">
      <w:pPr>
        <w:autoSpaceDE w:val="0"/>
        <w:autoSpaceDN w:val="0"/>
        <w:adjustRightInd w:val="0"/>
        <w:rPr>
          <w:rFonts w:cs="Calibri"/>
          <w:color w:val="000000"/>
          <w:sz w:val="22"/>
          <w:szCs w:val="22"/>
          <w:lang w:val="en-AU"/>
        </w:rPr>
      </w:pPr>
      <w:r>
        <w:rPr>
          <w:rFonts w:cs="Calibri"/>
          <w:color w:val="000000"/>
          <w:sz w:val="22"/>
          <w:szCs w:val="22"/>
          <w:lang w:val="en-AU"/>
        </w:rPr>
        <w:t>NATSILS</w:t>
      </w:r>
      <w:r w:rsidR="00C662AF" w:rsidRPr="00346AD5">
        <w:rPr>
          <w:rFonts w:cs="Calibri"/>
          <w:color w:val="000000"/>
          <w:sz w:val="22"/>
          <w:szCs w:val="22"/>
          <w:lang w:val="en-AU"/>
        </w:rPr>
        <w:t xml:space="preserve"> is the peak national body for ATSILS in Australia. It provides a vital voice for Aboriginal and Torres Strait Islander people in contact with the justice system and plays a key role in supporting its members across Australia in relation to organisational development and governance, and the sharing </w:t>
      </w:r>
      <w:r w:rsidR="00C662AF" w:rsidRPr="00AA4F3D">
        <w:rPr>
          <w:rFonts w:cs="Calibri"/>
          <w:color w:val="000000"/>
          <w:sz w:val="22"/>
          <w:szCs w:val="22"/>
          <w:lang w:val="en-AU"/>
        </w:rPr>
        <w:t xml:space="preserve">and implementation of best practice. </w:t>
      </w:r>
    </w:p>
    <w:p w14:paraId="7C451F16" w14:textId="77777777" w:rsidR="004041AB" w:rsidRPr="00AA4F3D" w:rsidRDefault="004041AB" w:rsidP="00C662AF">
      <w:pPr>
        <w:rPr>
          <w:sz w:val="22"/>
          <w:szCs w:val="22"/>
        </w:rPr>
      </w:pPr>
    </w:p>
    <w:p w14:paraId="7447C170" w14:textId="3367516F" w:rsidR="00C662AF" w:rsidRPr="00346AD5" w:rsidRDefault="00C662AF" w:rsidP="00C662AF">
      <w:pPr>
        <w:rPr>
          <w:sz w:val="22"/>
          <w:szCs w:val="22"/>
        </w:rPr>
      </w:pPr>
      <w:r w:rsidRPr="00AA4F3D">
        <w:rPr>
          <w:sz w:val="22"/>
          <w:szCs w:val="22"/>
        </w:rPr>
        <w:t xml:space="preserve">In May 2015, the Federal Government announced ongoing funding of $295,000 for NATSILS. NACLC endorses the recommendation made in the NATSILS </w:t>
      </w:r>
      <w:r w:rsidR="008F3831" w:rsidRPr="00AA4F3D">
        <w:rPr>
          <w:sz w:val="22"/>
          <w:szCs w:val="22"/>
        </w:rPr>
        <w:t>2017-2018</w:t>
      </w:r>
      <w:r w:rsidR="00613183" w:rsidRPr="00AA4F3D">
        <w:rPr>
          <w:sz w:val="22"/>
          <w:szCs w:val="22"/>
        </w:rPr>
        <w:t xml:space="preserve"> Federal </w:t>
      </w:r>
      <w:r w:rsidRPr="00AA4F3D">
        <w:rPr>
          <w:sz w:val="22"/>
          <w:szCs w:val="22"/>
        </w:rPr>
        <w:t>Budget submission, which highlights the inadequacy of this funding, to increase a</w:t>
      </w:r>
      <w:r w:rsidR="00AA4F3D" w:rsidRPr="00AA4F3D">
        <w:rPr>
          <w:sz w:val="22"/>
          <w:szCs w:val="22"/>
        </w:rPr>
        <w:t>nnual funding of NATSILS to $750</w:t>
      </w:r>
      <w:r w:rsidRPr="00AA4F3D">
        <w:rPr>
          <w:sz w:val="22"/>
          <w:szCs w:val="22"/>
        </w:rPr>
        <w:t>,000 and encourages ongoing commitment by the Government to adequately funding NATSILS to ensure it is able to continue its important work.</w:t>
      </w:r>
      <w:r>
        <w:rPr>
          <w:sz w:val="22"/>
          <w:szCs w:val="22"/>
        </w:rPr>
        <w:t xml:space="preserve"> </w:t>
      </w:r>
    </w:p>
    <w:p w14:paraId="771FCD69" w14:textId="77777777" w:rsidR="00732B5D" w:rsidRDefault="00732B5D" w:rsidP="00FC4DE4">
      <w:pPr>
        <w:rPr>
          <w:sz w:val="22"/>
          <w:szCs w:val="22"/>
        </w:rPr>
      </w:pPr>
    </w:p>
    <w:p w14:paraId="1A1835A6" w14:textId="75BCAC2F" w:rsidR="00732B5D" w:rsidRPr="000106D6" w:rsidRDefault="00732B5D" w:rsidP="00FC4DE4">
      <w:pPr>
        <w:rPr>
          <w:b/>
          <w:sz w:val="22"/>
          <w:szCs w:val="22"/>
        </w:rPr>
      </w:pPr>
      <w:r w:rsidRPr="00732B5D">
        <w:rPr>
          <w:b/>
          <w:sz w:val="22"/>
          <w:szCs w:val="22"/>
        </w:rPr>
        <w:t xml:space="preserve">Recommendation: Provide </w:t>
      </w:r>
      <w:r w:rsidRPr="00732B5D">
        <w:rPr>
          <w:rFonts w:cs="Calibri"/>
          <w:b/>
          <w:color w:val="000000"/>
          <w:sz w:val="22"/>
          <w:szCs w:val="22"/>
          <w:lang w:val="en-AU"/>
        </w:rPr>
        <w:t xml:space="preserve">National Aboriginal and Torres Strait Islander Legal Services </w:t>
      </w:r>
      <w:r w:rsidRPr="00732B5D">
        <w:rPr>
          <w:b/>
          <w:sz w:val="22"/>
          <w:szCs w:val="22"/>
        </w:rPr>
        <w:t xml:space="preserve">with additional funding and commit to long-term funding and support of </w:t>
      </w:r>
      <w:r w:rsidRPr="00732B5D">
        <w:rPr>
          <w:rFonts w:cs="Calibri"/>
          <w:b/>
          <w:color w:val="000000"/>
          <w:sz w:val="22"/>
          <w:szCs w:val="22"/>
          <w:lang w:val="en-AU"/>
        </w:rPr>
        <w:t xml:space="preserve">National Aboriginal and Torres Strait Islander Legal Services. </w:t>
      </w:r>
      <w:r w:rsidRPr="00732B5D">
        <w:rPr>
          <w:b/>
          <w:sz w:val="22"/>
          <w:szCs w:val="22"/>
        </w:rPr>
        <w:t xml:space="preserve"> </w:t>
      </w:r>
    </w:p>
    <w:p w14:paraId="6F99610E" w14:textId="6829087E" w:rsidR="00B94EBF" w:rsidRDefault="00B94EBF" w:rsidP="00B94EBF">
      <w:pPr>
        <w:pStyle w:val="Heading2"/>
      </w:pPr>
      <w:bookmarkStart w:id="17" w:name="_Toc472606650"/>
      <w:r>
        <w:t>Legal Aid Commissions</w:t>
      </w:r>
      <w:bookmarkEnd w:id="17"/>
      <w:r>
        <w:t xml:space="preserve"> </w:t>
      </w:r>
    </w:p>
    <w:p w14:paraId="558E6CB2" w14:textId="77777777" w:rsidR="00D139A3" w:rsidRDefault="00D139A3" w:rsidP="00D139A3"/>
    <w:p w14:paraId="66F3327C" w14:textId="6A456343" w:rsidR="00614D1A" w:rsidRPr="005441D7" w:rsidRDefault="00D94B03" w:rsidP="00614D1A">
      <w:pPr>
        <w:rPr>
          <w:sz w:val="22"/>
          <w:szCs w:val="22"/>
        </w:rPr>
      </w:pPr>
      <w:r w:rsidRPr="005441D7">
        <w:rPr>
          <w:sz w:val="22"/>
          <w:szCs w:val="22"/>
        </w:rPr>
        <w:t>As emphasised in the Law Council of Australia Budget submission, the Commonwealth’s contribution to LAC funding has reduced dramatically</w:t>
      </w:r>
      <w:r w:rsidR="00614D1A" w:rsidRPr="005441D7">
        <w:rPr>
          <w:sz w:val="22"/>
          <w:szCs w:val="22"/>
        </w:rPr>
        <w:t xml:space="preserve"> over the past twenty years. </w:t>
      </w:r>
    </w:p>
    <w:p w14:paraId="4F5CA78A" w14:textId="77777777" w:rsidR="00614D1A" w:rsidRPr="005441D7" w:rsidRDefault="00614D1A" w:rsidP="00614D1A">
      <w:pPr>
        <w:rPr>
          <w:sz w:val="22"/>
          <w:szCs w:val="22"/>
        </w:rPr>
      </w:pPr>
    </w:p>
    <w:p w14:paraId="54A7C8D7" w14:textId="2DB00B80" w:rsidR="00DB2722" w:rsidRPr="005441D7" w:rsidRDefault="00614D1A" w:rsidP="00D139A3">
      <w:pPr>
        <w:rPr>
          <w:sz w:val="22"/>
          <w:szCs w:val="22"/>
        </w:rPr>
      </w:pPr>
      <w:r w:rsidRPr="005441D7">
        <w:rPr>
          <w:sz w:val="22"/>
          <w:szCs w:val="22"/>
        </w:rPr>
        <w:t xml:space="preserve">Under the NPA, </w:t>
      </w:r>
      <w:r w:rsidR="00DB2722" w:rsidRPr="005441D7">
        <w:rPr>
          <w:sz w:val="22"/>
          <w:szCs w:val="22"/>
        </w:rPr>
        <w:t xml:space="preserve">Legal Aid Commissions will receive a total of $1.07 billion over five years and funding for LACs will increase over the life of the NPA. </w:t>
      </w:r>
      <w:r w:rsidRPr="005441D7">
        <w:rPr>
          <w:sz w:val="22"/>
          <w:szCs w:val="22"/>
        </w:rPr>
        <w:t>However, under the FAM developed by AGD for LACs, Commissions in a number of jurisdictions experienced funding cuts in 2015-2016 and figures prepared by PricewaterhouseCoopers in June 2015</w:t>
      </w:r>
      <w:r w:rsidR="00C973A1" w:rsidRPr="005441D7">
        <w:rPr>
          <w:sz w:val="22"/>
          <w:szCs w:val="22"/>
        </w:rPr>
        <w:t>, and referred to in the Law Council of Australia’s submission,</w:t>
      </w:r>
      <w:r w:rsidRPr="005441D7">
        <w:rPr>
          <w:sz w:val="22"/>
          <w:szCs w:val="22"/>
        </w:rPr>
        <w:t xml:space="preserve"> project that there will be a decline in Commonwealth funding for LACs over the foreword estimates</w:t>
      </w:r>
      <w:r w:rsidR="00C973A1" w:rsidRPr="005441D7">
        <w:rPr>
          <w:sz w:val="22"/>
          <w:szCs w:val="22"/>
        </w:rPr>
        <w:t xml:space="preserve"> on a per capita basis</w:t>
      </w:r>
      <w:r w:rsidRPr="005441D7">
        <w:rPr>
          <w:sz w:val="22"/>
          <w:szCs w:val="22"/>
        </w:rPr>
        <w:t xml:space="preserve">. </w:t>
      </w:r>
    </w:p>
    <w:p w14:paraId="53F5DE16" w14:textId="77777777" w:rsidR="00614D1A" w:rsidRPr="005441D7" w:rsidRDefault="00614D1A" w:rsidP="00D139A3">
      <w:pPr>
        <w:rPr>
          <w:sz w:val="22"/>
          <w:szCs w:val="22"/>
        </w:rPr>
      </w:pPr>
    </w:p>
    <w:p w14:paraId="34AE22DF" w14:textId="06F116F2" w:rsidR="00613183" w:rsidRDefault="00614D1A" w:rsidP="00614D1A">
      <w:pPr>
        <w:rPr>
          <w:rFonts w:eastAsia="Times New Roman" w:cs="Times New Roman"/>
          <w:sz w:val="22"/>
          <w:szCs w:val="22"/>
          <w:shd w:val="clear" w:color="auto" w:fill="FFFFFF"/>
        </w:rPr>
      </w:pPr>
      <w:r w:rsidRPr="005441D7">
        <w:rPr>
          <w:sz w:val="22"/>
          <w:szCs w:val="22"/>
        </w:rPr>
        <w:t>Accordingly</w:t>
      </w:r>
      <w:r w:rsidR="00DB2722" w:rsidRPr="005441D7">
        <w:rPr>
          <w:sz w:val="22"/>
          <w:szCs w:val="22"/>
        </w:rPr>
        <w:t xml:space="preserve">, the comments and recommendations NACLC makes above in relation to the need to </w:t>
      </w:r>
      <w:r w:rsidR="00DB2722" w:rsidRPr="005441D7">
        <w:rPr>
          <w:rFonts w:eastAsia="Times New Roman" w:cs="Times New Roman"/>
          <w:sz w:val="22"/>
          <w:szCs w:val="22"/>
          <w:shd w:val="clear" w:color="auto" w:fill="FFFFFF"/>
        </w:rPr>
        <w:t>re-examine how decisions are made about the quantum of funding for legal assistance, to quantify the existing extent of underfunding and to determine an appropriate and sustainable quantum of funding in the long-term in light of legal need, apply equally to all legal assistance providers</w:t>
      </w:r>
      <w:r w:rsidRPr="005441D7">
        <w:rPr>
          <w:rFonts w:eastAsia="Times New Roman" w:cs="Times New Roman"/>
          <w:sz w:val="22"/>
          <w:szCs w:val="22"/>
          <w:shd w:val="clear" w:color="auto" w:fill="FFFFFF"/>
        </w:rPr>
        <w:t>, including LACs</w:t>
      </w:r>
      <w:r w:rsidR="00DB2722" w:rsidRPr="005441D7">
        <w:rPr>
          <w:rFonts w:eastAsia="Times New Roman" w:cs="Times New Roman"/>
          <w:sz w:val="22"/>
          <w:szCs w:val="22"/>
          <w:shd w:val="clear" w:color="auto" w:fill="FFFFFF"/>
        </w:rPr>
        <w:t xml:space="preserve">. </w:t>
      </w:r>
    </w:p>
    <w:p w14:paraId="3349B324" w14:textId="77777777" w:rsidR="004752EC" w:rsidRDefault="004752EC" w:rsidP="00614D1A">
      <w:pPr>
        <w:rPr>
          <w:rFonts w:eastAsia="Times New Roman" w:cs="Times New Roman"/>
          <w:sz w:val="22"/>
          <w:szCs w:val="22"/>
          <w:shd w:val="clear" w:color="auto" w:fill="FFFFFF"/>
        </w:rPr>
      </w:pPr>
    </w:p>
    <w:p w14:paraId="09F98413" w14:textId="77777777" w:rsidR="00341912" w:rsidRDefault="00341912">
      <w:pPr>
        <w:rPr>
          <w:rFonts w:asciiTheme="majorHAnsi" w:eastAsiaTheme="majorEastAsia" w:hAnsiTheme="majorHAnsi" w:cstheme="majorBidi"/>
          <w:b/>
          <w:bCs/>
          <w:color w:val="345A8A" w:themeColor="accent1" w:themeShade="B5"/>
          <w:sz w:val="32"/>
          <w:szCs w:val="32"/>
          <w:shd w:val="clear" w:color="auto" w:fill="FFFFFF"/>
        </w:rPr>
      </w:pPr>
      <w:r>
        <w:rPr>
          <w:shd w:val="clear" w:color="auto" w:fill="FFFFFF"/>
        </w:rPr>
        <w:br w:type="page"/>
      </w:r>
    </w:p>
    <w:p w14:paraId="7DA0599C" w14:textId="6B371DC2" w:rsidR="00372E73" w:rsidRDefault="004752EC" w:rsidP="00AA4F3D">
      <w:pPr>
        <w:pStyle w:val="Heading2"/>
        <w:rPr>
          <w:shd w:val="clear" w:color="auto" w:fill="FFFFFF"/>
        </w:rPr>
      </w:pPr>
      <w:bookmarkStart w:id="18" w:name="_Toc472606651"/>
      <w:r>
        <w:rPr>
          <w:shd w:val="clear" w:color="auto" w:fill="FFFFFF"/>
        </w:rPr>
        <w:t>Appendix 1: Table of NPA Funding</w:t>
      </w:r>
      <w:bookmarkEnd w:id="18"/>
      <w:r>
        <w:rPr>
          <w:shd w:val="clear" w:color="auto" w:fill="FFFFFF"/>
        </w:rPr>
        <w:t xml:space="preserve"> </w:t>
      </w:r>
    </w:p>
    <w:p w14:paraId="3C7D8D12" w14:textId="77777777" w:rsidR="00AA4F3D" w:rsidRPr="00AA4F3D" w:rsidRDefault="00AA4F3D" w:rsidP="00AA4F3D"/>
    <w:p w14:paraId="5EC4015B" w14:textId="77777777" w:rsidR="004752EC" w:rsidRPr="00B357A6" w:rsidRDefault="004752EC" w:rsidP="004752EC">
      <w:pPr>
        <w:pStyle w:val="ScheduleNumberedPara"/>
        <w:numPr>
          <w:ilvl w:val="0"/>
          <w:numId w:val="0"/>
        </w:numPr>
        <w:tabs>
          <w:tab w:val="left" w:pos="0"/>
        </w:tabs>
        <w:jc w:val="left"/>
        <w:rPr>
          <w:rFonts w:asciiTheme="minorHAnsi" w:hAnsiTheme="minorHAnsi"/>
          <w:sz w:val="22"/>
          <w:szCs w:val="22"/>
          <w:shd w:val="clear" w:color="auto" w:fill="FFFFFF"/>
        </w:rPr>
      </w:pPr>
      <w:r w:rsidRPr="00B357A6">
        <w:rPr>
          <w:rFonts w:asciiTheme="minorHAnsi" w:hAnsiTheme="minorHAnsi"/>
          <w:sz w:val="22"/>
          <w:szCs w:val="22"/>
          <w:shd w:val="clear" w:color="auto" w:fill="FFFFFF"/>
        </w:rPr>
        <w:t>Under the NPA, jurisdictions will receive the following</w:t>
      </w:r>
      <w:r>
        <w:rPr>
          <w:rFonts w:asciiTheme="minorHAnsi" w:hAnsiTheme="minorHAnsi"/>
          <w:sz w:val="22"/>
          <w:szCs w:val="22"/>
          <w:shd w:val="clear" w:color="auto" w:fill="FFFFFF"/>
        </w:rPr>
        <w:t xml:space="preserve"> funding for LACs and CLCs between 2015-2016 and 2019-2020</w:t>
      </w:r>
      <w:r w:rsidRPr="00B357A6">
        <w:rPr>
          <w:rFonts w:asciiTheme="minorHAnsi" w:hAnsiTheme="minorHAnsi"/>
          <w:sz w:val="22"/>
          <w:szCs w:val="22"/>
          <w:shd w:val="clear" w:color="auto" w:fill="FFFFFF"/>
        </w:rPr>
        <w:t>:</w:t>
      </w:r>
    </w:p>
    <w:tbl>
      <w:tblPr>
        <w:tblpPr w:leftFromText="180" w:rightFromText="180" w:vertAnchor="text" w:tblpX="-34" w:tblpY="1"/>
        <w:tblOverlap w:val="never"/>
        <w:tblW w:w="10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993"/>
        <w:gridCol w:w="1127"/>
        <w:gridCol w:w="1127"/>
        <w:gridCol w:w="1126"/>
        <w:gridCol w:w="1127"/>
        <w:gridCol w:w="1127"/>
      </w:tblGrid>
      <w:tr w:rsidR="004752EC" w:rsidRPr="00E8515C" w14:paraId="76BC4427" w14:textId="77777777" w:rsidTr="00BF6BD4">
        <w:tc>
          <w:tcPr>
            <w:tcW w:w="3402" w:type="dxa"/>
            <w:tcBorders>
              <w:top w:val="single" w:sz="4" w:space="0" w:color="auto"/>
              <w:left w:val="single" w:sz="4" w:space="0" w:color="auto"/>
              <w:bottom w:val="single" w:sz="4" w:space="0" w:color="auto"/>
              <w:right w:val="single" w:sz="4" w:space="0" w:color="auto"/>
            </w:tcBorders>
            <w:hideMark/>
          </w:tcPr>
          <w:p w14:paraId="2074DBA0" w14:textId="77777777" w:rsidR="004752EC" w:rsidRPr="00E8515C" w:rsidRDefault="004752EC" w:rsidP="00BF6BD4">
            <w:pPr>
              <w:keepNext/>
              <w:keepLines/>
              <w:spacing w:before="60" w:after="60"/>
              <w:rPr>
                <w:b/>
                <w:sz w:val="20"/>
                <w:szCs w:val="20"/>
              </w:rPr>
            </w:pPr>
            <w:r w:rsidRPr="00E8515C">
              <w:rPr>
                <w:b/>
                <w:sz w:val="20"/>
                <w:szCs w:val="20"/>
              </w:rPr>
              <w:t>($ million)</w:t>
            </w:r>
          </w:p>
        </w:tc>
        <w:tc>
          <w:tcPr>
            <w:tcW w:w="993" w:type="dxa"/>
            <w:tcBorders>
              <w:top w:val="single" w:sz="4" w:space="0" w:color="auto"/>
              <w:left w:val="single" w:sz="4" w:space="0" w:color="auto"/>
              <w:bottom w:val="single" w:sz="4" w:space="0" w:color="auto"/>
              <w:right w:val="single" w:sz="4" w:space="0" w:color="auto"/>
            </w:tcBorders>
            <w:hideMark/>
          </w:tcPr>
          <w:p w14:paraId="3E1A3B41" w14:textId="77777777" w:rsidR="004752EC" w:rsidRPr="00E8515C" w:rsidRDefault="004752EC" w:rsidP="00BF6BD4">
            <w:pPr>
              <w:keepNext/>
              <w:keepLines/>
              <w:spacing w:before="60" w:after="60"/>
              <w:jc w:val="right"/>
              <w:rPr>
                <w:b/>
                <w:sz w:val="20"/>
                <w:szCs w:val="20"/>
              </w:rPr>
            </w:pPr>
            <w:r w:rsidRPr="00E8515C">
              <w:rPr>
                <w:b/>
                <w:sz w:val="20"/>
                <w:szCs w:val="20"/>
              </w:rPr>
              <w:t>2015-16</w:t>
            </w:r>
          </w:p>
        </w:tc>
        <w:tc>
          <w:tcPr>
            <w:tcW w:w="1127" w:type="dxa"/>
            <w:tcBorders>
              <w:top w:val="single" w:sz="4" w:space="0" w:color="auto"/>
              <w:left w:val="single" w:sz="4" w:space="0" w:color="auto"/>
              <w:bottom w:val="single" w:sz="4" w:space="0" w:color="auto"/>
              <w:right w:val="single" w:sz="4" w:space="0" w:color="auto"/>
            </w:tcBorders>
            <w:hideMark/>
          </w:tcPr>
          <w:p w14:paraId="0F5FF3F3" w14:textId="77777777" w:rsidR="004752EC" w:rsidRPr="00E8515C" w:rsidRDefault="004752EC" w:rsidP="00BF6BD4">
            <w:pPr>
              <w:keepNext/>
              <w:keepLines/>
              <w:spacing w:before="60" w:after="60"/>
              <w:jc w:val="right"/>
              <w:rPr>
                <w:b/>
                <w:sz w:val="20"/>
                <w:szCs w:val="20"/>
              </w:rPr>
            </w:pPr>
            <w:r w:rsidRPr="00E8515C">
              <w:rPr>
                <w:b/>
                <w:sz w:val="20"/>
                <w:szCs w:val="20"/>
              </w:rPr>
              <w:t>2016-17</w:t>
            </w:r>
          </w:p>
        </w:tc>
        <w:tc>
          <w:tcPr>
            <w:tcW w:w="1127" w:type="dxa"/>
            <w:tcBorders>
              <w:top w:val="single" w:sz="4" w:space="0" w:color="auto"/>
              <w:left w:val="single" w:sz="4" w:space="0" w:color="auto"/>
              <w:bottom w:val="single" w:sz="4" w:space="0" w:color="auto"/>
              <w:right w:val="single" w:sz="4" w:space="0" w:color="auto"/>
            </w:tcBorders>
            <w:hideMark/>
          </w:tcPr>
          <w:p w14:paraId="6F1E61C1" w14:textId="77777777" w:rsidR="004752EC" w:rsidRPr="00E8515C" w:rsidRDefault="004752EC" w:rsidP="00BF6BD4">
            <w:pPr>
              <w:keepNext/>
              <w:keepLines/>
              <w:spacing w:before="60" w:after="60"/>
              <w:jc w:val="right"/>
              <w:rPr>
                <w:b/>
                <w:sz w:val="20"/>
                <w:szCs w:val="20"/>
              </w:rPr>
            </w:pPr>
            <w:r w:rsidRPr="00E8515C">
              <w:rPr>
                <w:b/>
                <w:sz w:val="20"/>
                <w:szCs w:val="20"/>
              </w:rPr>
              <w:t>2017-18</w:t>
            </w:r>
          </w:p>
        </w:tc>
        <w:tc>
          <w:tcPr>
            <w:tcW w:w="1126" w:type="dxa"/>
            <w:tcBorders>
              <w:top w:val="single" w:sz="4" w:space="0" w:color="auto"/>
              <w:left w:val="single" w:sz="4" w:space="0" w:color="auto"/>
              <w:bottom w:val="single" w:sz="4" w:space="0" w:color="auto"/>
              <w:right w:val="single" w:sz="4" w:space="0" w:color="auto"/>
            </w:tcBorders>
            <w:hideMark/>
          </w:tcPr>
          <w:p w14:paraId="7B9916F4" w14:textId="77777777" w:rsidR="004752EC" w:rsidRPr="00E8515C" w:rsidRDefault="004752EC" w:rsidP="00BF6BD4">
            <w:pPr>
              <w:keepNext/>
              <w:keepLines/>
              <w:spacing w:before="60" w:after="60"/>
              <w:jc w:val="right"/>
              <w:rPr>
                <w:b/>
                <w:sz w:val="20"/>
                <w:szCs w:val="20"/>
              </w:rPr>
            </w:pPr>
            <w:r w:rsidRPr="00E8515C">
              <w:rPr>
                <w:b/>
                <w:sz w:val="20"/>
                <w:szCs w:val="20"/>
              </w:rPr>
              <w:t>2018-19</w:t>
            </w:r>
          </w:p>
        </w:tc>
        <w:tc>
          <w:tcPr>
            <w:tcW w:w="1127" w:type="dxa"/>
            <w:tcBorders>
              <w:top w:val="single" w:sz="4" w:space="0" w:color="auto"/>
              <w:left w:val="single" w:sz="4" w:space="0" w:color="auto"/>
              <w:bottom w:val="single" w:sz="4" w:space="0" w:color="auto"/>
              <w:right w:val="single" w:sz="4" w:space="0" w:color="auto"/>
            </w:tcBorders>
            <w:hideMark/>
          </w:tcPr>
          <w:p w14:paraId="3B1299EF" w14:textId="77777777" w:rsidR="004752EC" w:rsidRPr="00E8515C" w:rsidRDefault="004752EC" w:rsidP="00BF6BD4">
            <w:pPr>
              <w:keepNext/>
              <w:keepLines/>
              <w:spacing w:before="60" w:after="60"/>
              <w:jc w:val="right"/>
              <w:rPr>
                <w:b/>
                <w:sz w:val="20"/>
                <w:szCs w:val="20"/>
              </w:rPr>
            </w:pPr>
            <w:r w:rsidRPr="00E8515C">
              <w:rPr>
                <w:b/>
                <w:sz w:val="20"/>
                <w:szCs w:val="20"/>
              </w:rPr>
              <w:t>2019-20</w:t>
            </w:r>
          </w:p>
        </w:tc>
        <w:tc>
          <w:tcPr>
            <w:tcW w:w="1127" w:type="dxa"/>
            <w:tcBorders>
              <w:top w:val="single" w:sz="4" w:space="0" w:color="auto"/>
              <w:left w:val="single" w:sz="4" w:space="0" w:color="auto"/>
              <w:bottom w:val="single" w:sz="4" w:space="0" w:color="auto"/>
              <w:right w:val="single" w:sz="4" w:space="0" w:color="auto"/>
            </w:tcBorders>
            <w:hideMark/>
          </w:tcPr>
          <w:p w14:paraId="53A83313" w14:textId="77777777" w:rsidR="004752EC" w:rsidRPr="00E8515C" w:rsidRDefault="004752EC" w:rsidP="00BF6BD4">
            <w:pPr>
              <w:keepNext/>
              <w:keepLines/>
              <w:spacing w:before="60" w:after="60"/>
              <w:jc w:val="right"/>
              <w:rPr>
                <w:b/>
                <w:sz w:val="20"/>
                <w:szCs w:val="20"/>
              </w:rPr>
            </w:pPr>
            <w:r w:rsidRPr="00E8515C">
              <w:rPr>
                <w:b/>
                <w:sz w:val="20"/>
                <w:szCs w:val="20"/>
              </w:rPr>
              <w:t>Total</w:t>
            </w:r>
          </w:p>
        </w:tc>
      </w:tr>
      <w:tr w:rsidR="004752EC" w:rsidRPr="00E8515C" w14:paraId="39033B3F" w14:textId="77777777" w:rsidTr="00BF6BD4">
        <w:tc>
          <w:tcPr>
            <w:tcW w:w="3402" w:type="dxa"/>
            <w:tcBorders>
              <w:top w:val="single" w:sz="4" w:space="0" w:color="auto"/>
              <w:left w:val="single" w:sz="4" w:space="0" w:color="auto"/>
              <w:bottom w:val="single" w:sz="4" w:space="0" w:color="auto"/>
              <w:right w:val="single" w:sz="4" w:space="0" w:color="auto"/>
            </w:tcBorders>
            <w:hideMark/>
          </w:tcPr>
          <w:p w14:paraId="2F8F8DB8" w14:textId="77777777" w:rsidR="004752EC" w:rsidRPr="00E8515C" w:rsidRDefault="004752EC" w:rsidP="00BF6BD4">
            <w:pPr>
              <w:keepNext/>
              <w:keepLines/>
              <w:spacing w:before="60" w:after="60"/>
              <w:rPr>
                <w:b/>
                <w:sz w:val="20"/>
                <w:szCs w:val="20"/>
              </w:rPr>
            </w:pPr>
            <w:r w:rsidRPr="00E8515C">
              <w:rPr>
                <w:b/>
                <w:sz w:val="20"/>
                <w:szCs w:val="20"/>
              </w:rPr>
              <w:t>Estimated total budget</w:t>
            </w:r>
          </w:p>
        </w:tc>
        <w:tc>
          <w:tcPr>
            <w:tcW w:w="993" w:type="dxa"/>
            <w:tcBorders>
              <w:top w:val="single" w:sz="4" w:space="0" w:color="auto"/>
              <w:left w:val="single" w:sz="4" w:space="0" w:color="auto"/>
              <w:bottom w:val="single" w:sz="4" w:space="0" w:color="auto"/>
              <w:right w:val="single" w:sz="4" w:space="0" w:color="auto"/>
            </w:tcBorders>
            <w:hideMark/>
          </w:tcPr>
          <w:p w14:paraId="313CA7EF" w14:textId="77777777" w:rsidR="004752EC" w:rsidRPr="00E8515C" w:rsidRDefault="004752EC" w:rsidP="00BF6BD4">
            <w:pPr>
              <w:keepNext/>
              <w:keepLines/>
              <w:spacing w:before="60" w:after="60"/>
              <w:jc w:val="right"/>
              <w:rPr>
                <w:b/>
                <w:sz w:val="20"/>
                <w:szCs w:val="20"/>
              </w:rPr>
            </w:pPr>
            <w:r w:rsidRPr="00E8515C">
              <w:rPr>
                <w:b/>
                <w:sz w:val="20"/>
                <w:szCs w:val="20"/>
              </w:rPr>
              <w:t>250.942</w:t>
            </w:r>
          </w:p>
        </w:tc>
        <w:tc>
          <w:tcPr>
            <w:tcW w:w="1127" w:type="dxa"/>
            <w:tcBorders>
              <w:top w:val="single" w:sz="4" w:space="0" w:color="auto"/>
              <w:left w:val="single" w:sz="4" w:space="0" w:color="auto"/>
              <w:bottom w:val="single" w:sz="4" w:space="0" w:color="auto"/>
              <w:right w:val="single" w:sz="4" w:space="0" w:color="auto"/>
            </w:tcBorders>
            <w:hideMark/>
          </w:tcPr>
          <w:p w14:paraId="7F03385D" w14:textId="77777777" w:rsidR="004752EC" w:rsidRPr="00E8515C" w:rsidRDefault="004752EC" w:rsidP="00BF6BD4">
            <w:pPr>
              <w:keepNext/>
              <w:keepLines/>
              <w:spacing w:before="60" w:after="60"/>
              <w:jc w:val="right"/>
              <w:rPr>
                <w:b/>
                <w:sz w:val="20"/>
                <w:szCs w:val="20"/>
              </w:rPr>
            </w:pPr>
            <w:r w:rsidRPr="00E8515C">
              <w:rPr>
                <w:b/>
                <w:sz w:val="20"/>
                <w:szCs w:val="20"/>
              </w:rPr>
              <w:t>257.144</w:t>
            </w:r>
          </w:p>
        </w:tc>
        <w:tc>
          <w:tcPr>
            <w:tcW w:w="1127" w:type="dxa"/>
            <w:tcBorders>
              <w:top w:val="single" w:sz="4" w:space="0" w:color="auto"/>
              <w:left w:val="single" w:sz="4" w:space="0" w:color="auto"/>
              <w:bottom w:val="single" w:sz="4" w:space="0" w:color="auto"/>
              <w:right w:val="single" w:sz="4" w:space="0" w:color="auto"/>
            </w:tcBorders>
            <w:hideMark/>
          </w:tcPr>
          <w:p w14:paraId="39963EFF" w14:textId="77777777" w:rsidR="004752EC" w:rsidRPr="00E8515C" w:rsidRDefault="004752EC" w:rsidP="00BF6BD4">
            <w:pPr>
              <w:keepNext/>
              <w:keepLines/>
              <w:spacing w:before="60" w:after="60"/>
              <w:jc w:val="right"/>
              <w:rPr>
                <w:b/>
                <w:sz w:val="20"/>
                <w:szCs w:val="20"/>
              </w:rPr>
            </w:pPr>
            <w:r w:rsidRPr="00E8515C">
              <w:rPr>
                <w:b/>
                <w:sz w:val="20"/>
                <w:szCs w:val="20"/>
              </w:rPr>
              <w:t>248.714</w:t>
            </w:r>
          </w:p>
        </w:tc>
        <w:tc>
          <w:tcPr>
            <w:tcW w:w="1126" w:type="dxa"/>
            <w:tcBorders>
              <w:top w:val="single" w:sz="4" w:space="0" w:color="auto"/>
              <w:left w:val="single" w:sz="4" w:space="0" w:color="auto"/>
              <w:bottom w:val="single" w:sz="4" w:space="0" w:color="auto"/>
              <w:right w:val="single" w:sz="4" w:space="0" w:color="auto"/>
            </w:tcBorders>
            <w:hideMark/>
          </w:tcPr>
          <w:p w14:paraId="53FB962D" w14:textId="77777777" w:rsidR="004752EC" w:rsidRPr="00E8515C" w:rsidRDefault="004752EC" w:rsidP="00BF6BD4">
            <w:pPr>
              <w:keepNext/>
              <w:keepLines/>
              <w:spacing w:before="60" w:after="60"/>
              <w:jc w:val="right"/>
              <w:rPr>
                <w:b/>
                <w:sz w:val="20"/>
                <w:szCs w:val="20"/>
              </w:rPr>
            </w:pPr>
            <w:r w:rsidRPr="00E8515C">
              <w:rPr>
                <w:b/>
                <w:sz w:val="20"/>
                <w:szCs w:val="20"/>
              </w:rPr>
              <w:t>252.901</w:t>
            </w:r>
          </w:p>
        </w:tc>
        <w:tc>
          <w:tcPr>
            <w:tcW w:w="1127" w:type="dxa"/>
            <w:tcBorders>
              <w:top w:val="single" w:sz="4" w:space="0" w:color="auto"/>
              <w:left w:val="single" w:sz="4" w:space="0" w:color="auto"/>
              <w:bottom w:val="single" w:sz="4" w:space="0" w:color="auto"/>
              <w:right w:val="single" w:sz="4" w:space="0" w:color="auto"/>
            </w:tcBorders>
            <w:hideMark/>
          </w:tcPr>
          <w:p w14:paraId="75BD1882" w14:textId="77777777" w:rsidR="004752EC" w:rsidRPr="00E8515C" w:rsidRDefault="004752EC" w:rsidP="00BF6BD4">
            <w:pPr>
              <w:keepNext/>
              <w:keepLines/>
              <w:spacing w:before="60" w:after="60"/>
              <w:jc w:val="right"/>
              <w:rPr>
                <w:b/>
                <w:sz w:val="20"/>
                <w:szCs w:val="20"/>
              </w:rPr>
            </w:pPr>
            <w:r w:rsidRPr="00E8515C">
              <w:rPr>
                <w:b/>
                <w:sz w:val="20"/>
                <w:szCs w:val="20"/>
              </w:rPr>
              <w:t>256.838</w:t>
            </w:r>
          </w:p>
        </w:tc>
        <w:tc>
          <w:tcPr>
            <w:tcW w:w="1127" w:type="dxa"/>
            <w:tcBorders>
              <w:top w:val="single" w:sz="4" w:space="0" w:color="auto"/>
              <w:left w:val="single" w:sz="4" w:space="0" w:color="auto"/>
              <w:bottom w:val="single" w:sz="4" w:space="0" w:color="auto"/>
              <w:right w:val="single" w:sz="4" w:space="0" w:color="auto"/>
            </w:tcBorders>
            <w:hideMark/>
          </w:tcPr>
          <w:p w14:paraId="72621D19" w14:textId="77777777" w:rsidR="004752EC" w:rsidRPr="00E8515C" w:rsidRDefault="004752EC" w:rsidP="00BF6BD4">
            <w:pPr>
              <w:keepNext/>
              <w:keepLines/>
              <w:spacing w:before="60" w:after="60"/>
              <w:jc w:val="right"/>
              <w:rPr>
                <w:b/>
                <w:sz w:val="20"/>
                <w:szCs w:val="20"/>
              </w:rPr>
            </w:pPr>
            <w:r w:rsidRPr="00E8515C">
              <w:rPr>
                <w:b/>
                <w:sz w:val="20"/>
                <w:szCs w:val="20"/>
              </w:rPr>
              <w:t>1266.539</w:t>
            </w:r>
          </w:p>
        </w:tc>
      </w:tr>
      <w:tr w:rsidR="004752EC" w:rsidRPr="00E8515C" w14:paraId="490625CE" w14:textId="77777777" w:rsidTr="00BF6BD4">
        <w:tc>
          <w:tcPr>
            <w:tcW w:w="3402" w:type="dxa"/>
            <w:tcBorders>
              <w:top w:val="single" w:sz="4" w:space="0" w:color="auto"/>
              <w:left w:val="single" w:sz="4" w:space="0" w:color="auto"/>
              <w:bottom w:val="nil"/>
              <w:right w:val="single" w:sz="4" w:space="0" w:color="auto"/>
            </w:tcBorders>
            <w:hideMark/>
          </w:tcPr>
          <w:p w14:paraId="4C04C0C5" w14:textId="77777777" w:rsidR="004752EC" w:rsidRPr="00E8515C" w:rsidRDefault="004752EC" w:rsidP="00BF6BD4">
            <w:pPr>
              <w:keepNext/>
              <w:keepLines/>
              <w:spacing w:before="20" w:after="20"/>
              <w:rPr>
                <w:b/>
                <w:sz w:val="20"/>
                <w:szCs w:val="20"/>
              </w:rPr>
            </w:pPr>
            <w:r w:rsidRPr="00E8515C">
              <w:rPr>
                <w:b/>
                <w:sz w:val="20"/>
                <w:szCs w:val="20"/>
              </w:rPr>
              <w:t>New South Wales</w:t>
            </w:r>
          </w:p>
        </w:tc>
        <w:tc>
          <w:tcPr>
            <w:tcW w:w="993" w:type="dxa"/>
            <w:tcBorders>
              <w:top w:val="single" w:sz="4" w:space="0" w:color="auto"/>
              <w:left w:val="single" w:sz="4" w:space="0" w:color="auto"/>
              <w:bottom w:val="nil"/>
              <w:right w:val="single" w:sz="4" w:space="0" w:color="auto"/>
            </w:tcBorders>
            <w:hideMark/>
          </w:tcPr>
          <w:p w14:paraId="6D641A15" w14:textId="77777777" w:rsidR="004752EC" w:rsidRPr="00E8515C" w:rsidRDefault="004752EC" w:rsidP="00BF6BD4">
            <w:pPr>
              <w:keepNext/>
              <w:keepLines/>
              <w:spacing w:before="20" w:after="20"/>
              <w:jc w:val="right"/>
              <w:rPr>
                <w:b/>
                <w:sz w:val="20"/>
                <w:szCs w:val="20"/>
              </w:rPr>
            </w:pPr>
            <w:r w:rsidRPr="00E8515C">
              <w:rPr>
                <w:b/>
                <w:sz w:val="20"/>
                <w:szCs w:val="20"/>
              </w:rPr>
              <w:t>74.648</w:t>
            </w:r>
          </w:p>
        </w:tc>
        <w:tc>
          <w:tcPr>
            <w:tcW w:w="1127" w:type="dxa"/>
            <w:tcBorders>
              <w:top w:val="single" w:sz="4" w:space="0" w:color="auto"/>
              <w:left w:val="single" w:sz="4" w:space="0" w:color="auto"/>
              <w:bottom w:val="nil"/>
              <w:right w:val="single" w:sz="4" w:space="0" w:color="auto"/>
            </w:tcBorders>
            <w:hideMark/>
          </w:tcPr>
          <w:p w14:paraId="344993A3" w14:textId="77777777" w:rsidR="004752EC" w:rsidRPr="00E8515C" w:rsidRDefault="004752EC" w:rsidP="00BF6BD4">
            <w:pPr>
              <w:keepNext/>
              <w:keepLines/>
              <w:spacing w:before="20" w:after="20"/>
              <w:jc w:val="right"/>
              <w:rPr>
                <w:b/>
                <w:sz w:val="20"/>
                <w:szCs w:val="20"/>
              </w:rPr>
            </w:pPr>
            <w:r w:rsidRPr="00E8515C">
              <w:rPr>
                <w:b/>
                <w:sz w:val="20"/>
                <w:szCs w:val="20"/>
              </w:rPr>
              <w:t>76.625</w:t>
            </w:r>
          </w:p>
        </w:tc>
        <w:tc>
          <w:tcPr>
            <w:tcW w:w="1127" w:type="dxa"/>
            <w:tcBorders>
              <w:top w:val="single" w:sz="4" w:space="0" w:color="auto"/>
              <w:left w:val="single" w:sz="4" w:space="0" w:color="auto"/>
              <w:bottom w:val="nil"/>
              <w:right w:val="single" w:sz="4" w:space="0" w:color="auto"/>
            </w:tcBorders>
            <w:hideMark/>
          </w:tcPr>
          <w:p w14:paraId="05B19F5F" w14:textId="77777777" w:rsidR="004752EC" w:rsidRPr="00E8515C" w:rsidRDefault="004752EC" w:rsidP="00BF6BD4">
            <w:pPr>
              <w:keepNext/>
              <w:keepLines/>
              <w:spacing w:before="20" w:after="20"/>
              <w:jc w:val="right"/>
              <w:rPr>
                <w:b/>
                <w:sz w:val="20"/>
                <w:szCs w:val="20"/>
              </w:rPr>
            </w:pPr>
            <w:r w:rsidRPr="00E8515C">
              <w:rPr>
                <w:b/>
                <w:sz w:val="20"/>
                <w:szCs w:val="20"/>
              </w:rPr>
              <w:t>74.486</w:t>
            </w:r>
          </w:p>
        </w:tc>
        <w:tc>
          <w:tcPr>
            <w:tcW w:w="1126" w:type="dxa"/>
            <w:tcBorders>
              <w:top w:val="single" w:sz="4" w:space="0" w:color="auto"/>
              <w:left w:val="single" w:sz="4" w:space="0" w:color="auto"/>
              <w:bottom w:val="nil"/>
              <w:right w:val="single" w:sz="4" w:space="0" w:color="auto"/>
            </w:tcBorders>
            <w:hideMark/>
          </w:tcPr>
          <w:p w14:paraId="0A3BBA1C" w14:textId="77777777" w:rsidR="004752EC" w:rsidRPr="00E8515C" w:rsidRDefault="004752EC" w:rsidP="00BF6BD4">
            <w:pPr>
              <w:keepNext/>
              <w:keepLines/>
              <w:spacing w:before="20" w:after="20"/>
              <w:jc w:val="right"/>
              <w:rPr>
                <w:b/>
                <w:sz w:val="20"/>
                <w:szCs w:val="20"/>
              </w:rPr>
            </w:pPr>
            <w:r w:rsidRPr="00E8515C">
              <w:rPr>
                <w:b/>
                <w:sz w:val="20"/>
                <w:szCs w:val="20"/>
              </w:rPr>
              <w:t>75.492</w:t>
            </w:r>
          </w:p>
        </w:tc>
        <w:tc>
          <w:tcPr>
            <w:tcW w:w="1127" w:type="dxa"/>
            <w:tcBorders>
              <w:top w:val="single" w:sz="4" w:space="0" w:color="auto"/>
              <w:left w:val="single" w:sz="4" w:space="0" w:color="auto"/>
              <w:bottom w:val="nil"/>
              <w:right w:val="single" w:sz="4" w:space="0" w:color="auto"/>
            </w:tcBorders>
            <w:hideMark/>
          </w:tcPr>
          <w:p w14:paraId="305F794C" w14:textId="77777777" w:rsidR="004752EC" w:rsidRPr="00E8515C" w:rsidRDefault="004752EC" w:rsidP="00BF6BD4">
            <w:pPr>
              <w:keepNext/>
              <w:keepLines/>
              <w:spacing w:before="20" w:after="20"/>
              <w:jc w:val="right"/>
              <w:rPr>
                <w:b/>
                <w:sz w:val="20"/>
                <w:szCs w:val="20"/>
              </w:rPr>
            </w:pPr>
            <w:r w:rsidRPr="00E8515C">
              <w:rPr>
                <w:b/>
                <w:sz w:val="20"/>
                <w:szCs w:val="20"/>
              </w:rPr>
              <w:t>76.419</w:t>
            </w:r>
          </w:p>
        </w:tc>
        <w:tc>
          <w:tcPr>
            <w:tcW w:w="1127" w:type="dxa"/>
            <w:tcBorders>
              <w:top w:val="single" w:sz="4" w:space="0" w:color="auto"/>
              <w:left w:val="single" w:sz="4" w:space="0" w:color="auto"/>
              <w:bottom w:val="nil"/>
              <w:right w:val="single" w:sz="4" w:space="0" w:color="auto"/>
            </w:tcBorders>
            <w:hideMark/>
          </w:tcPr>
          <w:p w14:paraId="59BD2A21" w14:textId="77777777" w:rsidR="004752EC" w:rsidRPr="00E8515C" w:rsidRDefault="004752EC" w:rsidP="00BF6BD4">
            <w:pPr>
              <w:keepNext/>
              <w:keepLines/>
              <w:spacing w:before="20" w:after="20"/>
              <w:jc w:val="right"/>
              <w:rPr>
                <w:b/>
                <w:sz w:val="20"/>
                <w:szCs w:val="20"/>
              </w:rPr>
            </w:pPr>
            <w:r w:rsidRPr="00E8515C">
              <w:rPr>
                <w:b/>
                <w:sz w:val="20"/>
                <w:szCs w:val="20"/>
              </w:rPr>
              <w:t>377.670</w:t>
            </w:r>
          </w:p>
        </w:tc>
      </w:tr>
      <w:tr w:rsidR="004752EC" w:rsidRPr="00E8515C" w14:paraId="56EA5026" w14:textId="77777777" w:rsidTr="00BF6BD4">
        <w:trPr>
          <w:trHeight w:val="20"/>
        </w:trPr>
        <w:tc>
          <w:tcPr>
            <w:tcW w:w="3402" w:type="dxa"/>
            <w:tcBorders>
              <w:top w:val="nil"/>
              <w:left w:val="single" w:sz="4" w:space="0" w:color="auto"/>
              <w:bottom w:val="nil"/>
              <w:right w:val="single" w:sz="4" w:space="0" w:color="auto"/>
            </w:tcBorders>
            <w:hideMark/>
          </w:tcPr>
          <w:p w14:paraId="0BE5264F" w14:textId="77777777" w:rsidR="004752EC" w:rsidRPr="00E8515C" w:rsidRDefault="004752EC" w:rsidP="00BF6BD4">
            <w:pPr>
              <w:keepNext/>
              <w:keepLines/>
              <w:spacing w:before="20" w:after="20"/>
              <w:ind w:left="284"/>
              <w:rPr>
                <w:sz w:val="20"/>
                <w:szCs w:val="20"/>
              </w:rPr>
            </w:pPr>
            <w:r w:rsidRPr="00E8515C">
              <w:rPr>
                <w:sz w:val="20"/>
                <w:szCs w:val="20"/>
              </w:rPr>
              <w:t>Legal aid commissions</w:t>
            </w:r>
          </w:p>
        </w:tc>
        <w:tc>
          <w:tcPr>
            <w:tcW w:w="993" w:type="dxa"/>
            <w:tcBorders>
              <w:top w:val="nil"/>
              <w:left w:val="single" w:sz="4" w:space="0" w:color="auto"/>
              <w:bottom w:val="nil"/>
              <w:right w:val="single" w:sz="4" w:space="0" w:color="auto"/>
            </w:tcBorders>
            <w:hideMark/>
          </w:tcPr>
          <w:p w14:paraId="70FB4956" w14:textId="77777777" w:rsidR="004752EC" w:rsidRPr="00E8515C" w:rsidRDefault="004752EC" w:rsidP="00BF6BD4">
            <w:pPr>
              <w:keepNext/>
              <w:keepLines/>
              <w:spacing w:before="20" w:after="20"/>
              <w:jc w:val="right"/>
              <w:rPr>
                <w:sz w:val="20"/>
                <w:szCs w:val="20"/>
              </w:rPr>
            </w:pPr>
            <w:r w:rsidRPr="00E8515C">
              <w:rPr>
                <w:sz w:val="20"/>
                <w:szCs w:val="20"/>
              </w:rPr>
              <w:t>63.208</w:t>
            </w:r>
          </w:p>
        </w:tc>
        <w:tc>
          <w:tcPr>
            <w:tcW w:w="1127" w:type="dxa"/>
            <w:tcBorders>
              <w:top w:val="nil"/>
              <w:left w:val="single" w:sz="4" w:space="0" w:color="auto"/>
              <w:bottom w:val="nil"/>
              <w:right w:val="single" w:sz="4" w:space="0" w:color="auto"/>
            </w:tcBorders>
            <w:hideMark/>
          </w:tcPr>
          <w:p w14:paraId="733961A0" w14:textId="77777777" w:rsidR="004752EC" w:rsidRPr="00E8515C" w:rsidRDefault="004752EC" w:rsidP="00BF6BD4">
            <w:pPr>
              <w:keepNext/>
              <w:keepLines/>
              <w:spacing w:before="20" w:after="20"/>
              <w:jc w:val="right"/>
              <w:rPr>
                <w:sz w:val="20"/>
                <w:szCs w:val="20"/>
              </w:rPr>
            </w:pPr>
            <w:r w:rsidRPr="00E8515C">
              <w:rPr>
                <w:sz w:val="20"/>
                <w:szCs w:val="20"/>
              </w:rPr>
              <w:t>64.072</w:t>
            </w:r>
          </w:p>
        </w:tc>
        <w:tc>
          <w:tcPr>
            <w:tcW w:w="1127" w:type="dxa"/>
            <w:tcBorders>
              <w:top w:val="nil"/>
              <w:left w:val="single" w:sz="4" w:space="0" w:color="auto"/>
              <w:bottom w:val="nil"/>
              <w:right w:val="single" w:sz="4" w:space="0" w:color="auto"/>
            </w:tcBorders>
            <w:hideMark/>
          </w:tcPr>
          <w:p w14:paraId="7B631ADA" w14:textId="77777777" w:rsidR="004752EC" w:rsidRPr="00E8515C" w:rsidRDefault="004752EC" w:rsidP="00BF6BD4">
            <w:pPr>
              <w:keepNext/>
              <w:keepLines/>
              <w:spacing w:before="20" w:after="20"/>
              <w:jc w:val="right"/>
              <w:rPr>
                <w:sz w:val="20"/>
                <w:szCs w:val="20"/>
              </w:rPr>
            </w:pPr>
            <w:r w:rsidRPr="00E8515C">
              <w:rPr>
                <w:sz w:val="20"/>
                <w:szCs w:val="20"/>
              </w:rPr>
              <w:t>64.822</w:t>
            </w:r>
          </w:p>
        </w:tc>
        <w:tc>
          <w:tcPr>
            <w:tcW w:w="1126" w:type="dxa"/>
            <w:tcBorders>
              <w:top w:val="nil"/>
              <w:left w:val="single" w:sz="4" w:space="0" w:color="auto"/>
              <w:bottom w:val="nil"/>
              <w:right w:val="single" w:sz="4" w:space="0" w:color="auto"/>
            </w:tcBorders>
            <w:hideMark/>
          </w:tcPr>
          <w:p w14:paraId="240A1469" w14:textId="77777777" w:rsidR="004752EC" w:rsidRPr="00E8515C" w:rsidRDefault="004752EC" w:rsidP="00BF6BD4">
            <w:pPr>
              <w:keepNext/>
              <w:keepLines/>
              <w:spacing w:before="20" w:after="20"/>
              <w:jc w:val="right"/>
              <w:rPr>
                <w:sz w:val="20"/>
                <w:szCs w:val="20"/>
              </w:rPr>
            </w:pPr>
            <w:r w:rsidRPr="00E8515C">
              <w:rPr>
                <w:sz w:val="20"/>
                <w:szCs w:val="20"/>
              </w:rPr>
              <w:t>65.583</w:t>
            </w:r>
          </w:p>
        </w:tc>
        <w:tc>
          <w:tcPr>
            <w:tcW w:w="1127" w:type="dxa"/>
            <w:tcBorders>
              <w:top w:val="nil"/>
              <w:left w:val="single" w:sz="4" w:space="0" w:color="auto"/>
              <w:bottom w:val="nil"/>
              <w:right w:val="single" w:sz="4" w:space="0" w:color="auto"/>
            </w:tcBorders>
            <w:hideMark/>
          </w:tcPr>
          <w:p w14:paraId="31BDB352" w14:textId="77777777" w:rsidR="004752EC" w:rsidRPr="00E8515C" w:rsidRDefault="004752EC" w:rsidP="00BF6BD4">
            <w:pPr>
              <w:keepNext/>
              <w:keepLines/>
              <w:spacing w:before="20" w:after="20"/>
              <w:jc w:val="right"/>
              <w:rPr>
                <w:sz w:val="20"/>
                <w:szCs w:val="20"/>
              </w:rPr>
            </w:pPr>
            <w:r w:rsidRPr="00E8515C">
              <w:rPr>
                <w:sz w:val="20"/>
                <w:szCs w:val="20"/>
              </w:rPr>
              <w:t>66.248</w:t>
            </w:r>
          </w:p>
        </w:tc>
        <w:tc>
          <w:tcPr>
            <w:tcW w:w="1127" w:type="dxa"/>
            <w:tcBorders>
              <w:top w:val="nil"/>
              <w:left w:val="single" w:sz="4" w:space="0" w:color="auto"/>
              <w:bottom w:val="nil"/>
              <w:right w:val="single" w:sz="4" w:space="0" w:color="auto"/>
            </w:tcBorders>
            <w:hideMark/>
          </w:tcPr>
          <w:p w14:paraId="55952CF3" w14:textId="77777777" w:rsidR="004752EC" w:rsidRPr="00E8515C" w:rsidRDefault="004752EC" w:rsidP="00BF6BD4">
            <w:pPr>
              <w:keepNext/>
              <w:keepLines/>
              <w:spacing w:before="20" w:after="20"/>
              <w:jc w:val="right"/>
              <w:rPr>
                <w:sz w:val="20"/>
                <w:szCs w:val="20"/>
              </w:rPr>
            </w:pPr>
            <w:r w:rsidRPr="00E8515C">
              <w:rPr>
                <w:sz w:val="20"/>
                <w:szCs w:val="20"/>
              </w:rPr>
              <w:t>323.933</w:t>
            </w:r>
          </w:p>
        </w:tc>
      </w:tr>
      <w:tr w:rsidR="004752EC" w:rsidRPr="00E8515C" w14:paraId="4FF2CE6F" w14:textId="77777777" w:rsidTr="00BF6BD4">
        <w:trPr>
          <w:trHeight w:val="20"/>
        </w:trPr>
        <w:tc>
          <w:tcPr>
            <w:tcW w:w="3402" w:type="dxa"/>
            <w:tcBorders>
              <w:top w:val="nil"/>
              <w:left w:val="single" w:sz="4" w:space="0" w:color="auto"/>
              <w:bottom w:val="nil"/>
              <w:right w:val="single" w:sz="4" w:space="0" w:color="auto"/>
            </w:tcBorders>
            <w:hideMark/>
          </w:tcPr>
          <w:p w14:paraId="7611B4E4"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993" w:type="dxa"/>
            <w:tcBorders>
              <w:top w:val="nil"/>
              <w:left w:val="single" w:sz="4" w:space="0" w:color="auto"/>
              <w:bottom w:val="nil"/>
              <w:right w:val="single" w:sz="4" w:space="0" w:color="auto"/>
            </w:tcBorders>
            <w:hideMark/>
          </w:tcPr>
          <w:p w14:paraId="20558F08" w14:textId="77777777" w:rsidR="004752EC" w:rsidRPr="00E8515C" w:rsidRDefault="004752EC" w:rsidP="00BF6BD4">
            <w:pPr>
              <w:keepNext/>
              <w:keepLines/>
              <w:spacing w:before="20" w:after="20"/>
              <w:jc w:val="right"/>
              <w:rPr>
                <w:i/>
                <w:sz w:val="20"/>
                <w:szCs w:val="20"/>
              </w:rPr>
            </w:pPr>
            <w:r w:rsidRPr="00E8515C">
              <w:rPr>
                <w:i/>
                <w:sz w:val="20"/>
                <w:szCs w:val="20"/>
              </w:rPr>
              <w:t>6.865</w:t>
            </w:r>
          </w:p>
        </w:tc>
        <w:tc>
          <w:tcPr>
            <w:tcW w:w="1127" w:type="dxa"/>
            <w:tcBorders>
              <w:top w:val="nil"/>
              <w:left w:val="single" w:sz="4" w:space="0" w:color="auto"/>
              <w:bottom w:val="nil"/>
              <w:right w:val="single" w:sz="4" w:space="0" w:color="auto"/>
            </w:tcBorders>
            <w:hideMark/>
          </w:tcPr>
          <w:p w14:paraId="0D5CF7A8" w14:textId="77777777" w:rsidR="004752EC" w:rsidRPr="00E8515C" w:rsidRDefault="004752EC" w:rsidP="00BF6BD4">
            <w:pPr>
              <w:keepNext/>
              <w:keepLines/>
              <w:spacing w:before="20" w:after="20"/>
              <w:jc w:val="right"/>
              <w:rPr>
                <w:i/>
                <w:sz w:val="20"/>
                <w:szCs w:val="20"/>
              </w:rPr>
            </w:pPr>
            <w:r w:rsidRPr="00E8515C">
              <w:rPr>
                <w:i/>
                <w:sz w:val="20"/>
                <w:szCs w:val="20"/>
              </w:rPr>
              <w:t>7.853</w:t>
            </w:r>
          </w:p>
        </w:tc>
        <w:tc>
          <w:tcPr>
            <w:tcW w:w="1127" w:type="dxa"/>
            <w:tcBorders>
              <w:top w:val="nil"/>
              <w:left w:val="single" w:sz="4" w:space="0" w:color="auto"/>
              <w:bottom w:val="nil"/>
              <w:right w:val="single" w:sz="4" w:space="0" w:color="auto"/>
            </w:tcBorders>
            <w:hideMark/>
          </w:tcPr>
          <w:p w14:paraId="4295A207" w14:textId="77777777" w:rsidR="004752EC" w:rsidRPr="00E8515C" w:rsidRDefault="004752EC" w:rsidP="00BF6BD4">
            <w:pPr>
              <w:keepNext/>
              <w:keepLines/>
              <w:spacing w:before="20" w:after="20"/>
              <w:jc w:val="right"/>
              <w:rPr>
                <w:i/>
                <w:sz w:val="20"/>
                <w:szCs w:val="20"/>
              </w:rPr>
            </w:pPr>
            <w:r w:rsidRPr="00E8515C">
              <w:rPr>
                <w:i/>
                <w:sz w:val="20"/>
                <w:szCs w:val="20"/>
              </w:rPr>
              <w:t>9.016</w:t>
            </w:r>
          </w:p>
        </w:tc>
        <w:tc>
          <w:tcPr>
            <w:tcW w:w="1126" w:type="dxa"/>
            <w:tcBorders>
              <w:top w:val="nil"/>
              <w:left w:val="single" w:sz="4" w:space="0" w:color="auto"/>
              <w:bottom w:val="nil"/>
              <w:right w:val="single" w:sz="4" w:space="0" w:color="auto"/>
            </w:tcBorders>
            <w:hideMark/>
          </w:tcPr>
          <w:p w14:paraId="0175B0A7" w14:textId="77777777" w:rsidR="004752EC" w:rsidRPr="00E8515C" w:rsidRDefault="004752EC" w:rsidP="00BF6BD4">
            <w:pPr>
              <w:keepNext/>
              <w:keepLines/>
              <w:spacing w:before="20" w:after="20"/>
              <w:jc w:val="right"/>
              <w:rPr>
                <w:i/>
                <w:sz w:val="20"/>
                <w:szCs w:val="20"/>
              </w:rPr>
            </w:pPr>
            <w:r w:rsidRPr="00E8515C">
              <w:rPr>
                <w:i/>
                <w:sz w:val="20"/>
                <w:szCs w:val="20"/>
              </w:rPr>
              <w:t>9.137</w:t>
            </w:r>
          </w:p>
        </w:tc>
        <w:tc>
          <w:tcPr>
            <w:tcW w:w="1127" w:type="dxa"/>
            <w:tcBorders>
              <w:top w:val="nil"/>
              <w:left w:val="single" w:sz="4" w:space="0" w:color="auto"/>
              <w:bottom w:val="nil"/>
              <w:right w:val="single" w:sz="4" w:space="0" w:color="auto"/>
            </w:tcBorders>
            <w:hideMark/>
          </w:tcPr>
          <w:p w14:paraId="1B069C6F" w14:textId="77777777" w:rsidR="004752EC" w:rsidRPr="00E8515C" w:rsidRDefault="004752EC" w:rsidP="00BF6BD4">
            <w:pPr>
              <w:keepNext/>
              <w:keepLines/>
              <w:spacing w:before="20" w:after="20"/>
              <w:jc w:val="right"/>
              <w:rPr>
                <w:i/>
                <w:sz w:val="20"/>
                <w:szCs w:val="20"/>
              </w:rPr>
            </w:pPr>
            <w:r w:rsidRPr="00E8515C">
              <w:rPr>
                <w:i/>
                <w:sz w:val="20"/>
                <w:szCs w:val="20"/>
              </w:rPr>
              <w:t>9.269</w:t>
            </w:r>
          </w:p>
        </w:tc>
        <w:tc>
          <w:tcPr>
            <w:tcW w:w="1127" w:type="dxa"/>
            <w:tcBorders>
              <w:top w:val="nil"/>
              <w:left w:val="single" w:sz="4" w:space="0" w:color="auto"/>
              <w:bottom w:val="nil"/>
              <w:right w:val="single" w:sz="4" w:space="0" w:color="auto"/>
            </w:tcBorders>
            <w:hideMark/>
          </w:tcPr>
          <w:p w14:paraId="67AC16C7" w14:textId="77777777" w:rsidR="004752EC" w:rsidRPr="00E8515C" w:rsidRDefault="004752EC" w:rsidP="00BF6BD4">
            <w:pPr>
              <w:keepNext/>
              <w:keepLines/>
              <w:spacing w:before="20" w:after="20"/>
              <w:jc w:val="right"/>
              <w:rPr>
                <w:i/>
                <w:sz w:val="20"/>
                <w:szCs w:val="20"/>
              </w:rPr>
            </w:pPr>
            <w:r w:rsidRPr="00E8515C">
              <w:rPr>
                <w:i/>
                <w:sz w:val="20"/>
                <w:szCs w:val="20"/>
              </w:rPr>
              <w:t>42.139</w:t>
            </w:r>
          </w:p>
        </w:tc>
      </w:tr>
      <w:tr w:rsidR="004752EC" w:rsidRPr="00E8515C" w14:paraId="6F4F868A" w14:textId="77777777" w:rsidTr="00BF6BD4">
        <w:trPr>
          <w:trHeight w:val="20"/>
        </w:trPr>
        <w:tc>
          <w:tcPr>
            <w:tcW w:w="3402" w:type="dxa"/>
            <w:tcBorders>
              <w:top w:val="nil"/>
              <w:left w:val="single" w:sz="4" w:space="0" w:color="auto"/>
              <w:bottom w:val="nil"/>
              <w:right w:val="single" w:sz="4" w:space="0" w:color="auto"/>
            </w:tcBorders>
            <w:hideMark/>
          </w:tcPr>
          <w:p w14:paraId="30E65D54"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993" w:type="dxa"/>
            <w:tcBorders>
              <w:top w:val="nil"/>
              <w:left w:val="single" w:sz="4" w:space="0" w:color="auto"/>
              <w:bottom w:val="nil"/>
              <w:right w:val="single" w:sz="4" w:space="0" w:color="auto"/>
            </w:tcBorders>
            <w:hideMark/>
          </w:tcPr>
          <w:p w14:paraId="109733AA" w14:textId="77777777" w:rsidR="004752EC" w:rsidRPr="00E8515C" w:rsidRDefault="004752EC" w:rsidP="00BF6BD4">
            <w:pPr>
              <w:keepNext/>
              <w:keepLines/>
              <w:spacing w:before="20" w:after="20"/>
              <w:jc w:val="right"/>
              <w:rPr>
                <w:i/>
                <w:sz w:val="20"/>
                <w:szCs w:val="20"/>
              </w:rPr>
            </w:pPr>
            <w:r w:rsidRPr="00E8515C">
              <w:rPr>
                <w:i/>
                <w:sz w:val="20"/>
                <w:szCs w:val="20"/>
              </w:rPr>
              <w:t>4.204</w:t>
            </w:r>
          </w:p>
        </w:tc>
        <w:tc>
          <w:tcPr>
            <w:tcW w:w="1127" w:type="dxa"/>
            <w:tcBorders>
              <w:top w:val="nil"/>
              <w:left w:val="single" w:sz="4" w:space="0" w:color="auto"/>
              <w:bottom w:val="nil"/>
              <w:right w:val="single" w:sz="4" w:space="0" w:color="auto"/>
            </w:tcBorders>
            <w:hideMark/>
          </w:tcPr>
          <w:p w14:paraId="13A5B390" w14:textId="77777777" w:rsidR="004752EC" w:rsidRPr="00E8515C" w:rsidRDefault="004752EC" w:rsidP="00BF6BD4">
            <w:pPr>
              <w:keepNext/>
              <w:keepLines/>
              <w:spacing w:before="20" w:after="20"/>
              <w:jc w:val="right"/>
              <w:rPr>
                <w:i/>
                <w:sz w:val="20"/>
                <w:szCs w:val="20"/>
              </w:rPr>
            </w:pPr>
            <w:r w:rsidRPr="00E8515C">
              <w:rPr>
                <w:i/>
                <w:sz w:val="20"/>
                <w:szCs w:val="20"/>
              </w:rPr>
              <w:t>4.204</w:t>
            </w:r>
          </w:p>
        </w:tc>
        <w:tc>
          <w:tcPr>
            <w:tcW w:w="1127" w:type="dxa"/>
            <w:tcBorders>
              <w:top w:val="nil"/>
              <w:left w:val="single" w:sz="4" w:space="0" w:color="auto"/>
              <w:bottom w:val="nil"/>
              <w:right w:val="single" w:sz="4" w:space="0" w:color="auto"/>
            </w:tcBorders>
            <w:hideMark/>
          </w:tcPr>
          <w:p w14:paraId="56E654A2"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6" w:type="dxa"/>
            <w:tcBorders>
              <w:top w:val="nil"/>
              <w:left w:val="single" w:sz="4" w:space="0" w:color="auto"/>
              <w:bottom w:val="nil"/>
              <w:right w:val="single" w:sz="4" w:space="0" w:color="auto"/>
            </w:tcBorders>
            <w:hideMark/>
          </w:tcPr>
          <w:p w14:paraId="5D49A2F7"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hideMark/>
          </w:tcPr>
          <w:p w14:paraId="6CFDCEF2"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hideMark/>
          </w:tcPr>
          <w:p w14:paraId="5FF9055C" w14:textId="77777777" w:rsidR="004752EC" w:rsidRPr="00E8515C" w:rsidRDefault="004752EC" w:rsidP="00BF6BD4">
            <w:pPr>
              <w:keepNext/>
              <w:keepLines/>
              <w:spacing w:before="20" w:after="20"/>
              <w:jc w:val="right"/>
              <w:rPr>
                <w:i/>
                <w:sz w:val="20"/>
                <w:szCs w:val="20"/>
              </w:rPr>
            </w:pPr>
            <w:r w:rsidRPr="00E8515C">
              <w:rPr>
                <w:i/>
                <w:sz w:val="20"/>
                <w:szCs w:val="20"/>
              </w:rPr>
              <w:t>8.409</w:t>
            </w:r>
          </w:p>
        </w:tc>
      </w:tr>
      <w:tr w:rsidR="004752EC" w:rsidRPr="00E8515C" w14:paraId="301AF18B" w14:textId="77777777" w:rsidTr="00BF6BD4">
        <w:trPr>
          <w:trHeight w:val="20"/>
        </w:trPr>
        <w:tc>
          <w:tcPr>
            <w:tcW w:w="3402" w:type="dxa"/>
            <w:tcBorders>
              <w:top w:val="nil"/>
              <w:left w:val="single" w:sz="4" w:space="0" w:color="auto"/>
              <w:bottom w:val="nil"/>
              <w:right w:val="single" w:sz="4" w:space="0" w:color="auto"/>
            </w:tcBorders>
            <w:hideMark/>
          </w:tcPr>
          <w:p w14:paraId="58E96074"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993" w:type="dxa"/>
            <w:tcBorders>
              <w:top w:val="nil"/>
              <w:left w:val="single" w:sz="4" w:space="0" w:color="auto"/>
              <w:bottom w:val="nil"/>
              <w:right w:val="single" w:sz="4" w:space="0" w:color="auto"/>
            </w:tcBorders>
            <w:hideMark/>
          </w:tcPr>
          <w:p w14:paraId="0C2639F4" w14:textId="77777777" w:rsidR="004752EC" w:rsidRPr="00E8515C" w:rsidRDefault="004752EC" w:rsidP="00BF6BD4">
            <w:pPr>
              <w:keepNext/>
              <w:keepLines/>
              <w:spacing w:before="20" w:after="20"/>
              <w:jc w:val="right"/>
              <w:rPr>
                <w:i/>
                <w:sz w:val="20"/>
                <w:szCs w:val="20"/>
              </w:rPr>
            </w:pPr>
            <w:r w:rsidRPr="00E8515C">
              <w:rPr>
                <w:i/>
                <w:sz w:val="20"/>
                <w:szCs w:val="20"/>
              </w:rPr>
              <w:t>0.371</w:t>
            </w:r>
          </w:p>
        </w:tc>
        <w:tc>
          <w:tcPr>
            <w:tcW w:w="1127" w:type="dxa"/>
            <w:tcBorders>
              <w:top w:val="nil"/>
              <w:left w:val="single" w:sz="4" w:space="0" w:color="auto"/>
              <w:bottom w:val="nil"/>
              <w:right w:val="single" w:sz="4" w:space="0" w:color="auto"/>
            </w:tcBorders>
            <w:hideMark/>
          </w:tcPr>
          <w:p w14:paraId="318A0A20" w14:textId="77777777" w:rsidR="004752EC" w:rsidRPr="00E8515C" w:rsidRDefault="004752EC" w:rsidP="00BF6BD4">
            <w:pPr>
              <w:keepNext/>
              <w:keepLines/>
              <w:spacing w:before="20" w:after="20"/>
              <w:jc w:val="right"/>
              <w:rPr>
                <w:i/>
                <w:sz w:val="20"/>
                <w:szCs w:val="20"/>
              </w:rPr>
            </w:pPr>
            <w:r w:rsidRPr="00E8515C">
              <w:rPr>
                <w:i/>
                <w:sz w:val="20"/>
                <w:szCs w:val="20"/>
              </w:rPr>
              <w:t>0.496</w:t>
            </w:r>
          </w:p>
        </w:tc>
        <w:tc>
          <w:tcPr>
            <w:tcW w:w="1127" w:type="dxa"/>
            <w:tcBorders>
              <w:top w:val="nil"/>
              <w:left w:val="single" w:sz="4" w:space="0" w:color="auto"/>
              <w:bottom w:val="nil"/>
              <w:right w:val="single" w:sz="4" w:space="0" w:color="auto"/>
            </w:tcBorders>
            <w:hideMark/>
          </w:tcPr>
          <w:p w14:paraId="17B34837" w14:textId="77777777" w:rsidR="004752EC" w:rsidRPr="00E8515C" w:rsidRDefault="004752EC" w:rsidP="00BF6BD4">
            <w:pPr>
              <w:keepNext/>
              <w:keepLines/>
              <w:spacing w:before="20" w:after="20"/>
              <w:jc w:val="right"/>
              <w:rPr>
                <w:i/>
                <w:sz w:val="20"/>
                <w:szCs w:val="20"/>
              </w:rPr>
            </w:pPr>
            <w:r w:rsidRPr="00E8515C">
              <w:rPr>
                <w:i/>
                <w:sz w:val="20"/>
                <w:szCs w:val="20"/>
              </w:rPr>
              <w:t>0.648</w:t>
            </w:r>
          </w:p>
        </w:tc>
        <w:tc>
          <w:tcPr>
            <w:tcW w:w="1126" w:type="dxa"/>
            <w:tcBorders>
              <w:top w:val="nil"/>
              <w:left w:val="single" w:sz="4" w:space="0" w:color="auto"/>
              <w:bottom w:val="nil"/>
              <w:right w:val="single" w:sz="4" w:space="0" w:color="auto"/>
            </w:tcBorders>
            <w:hideMark/>
          </w:tcPr>
          <w:p w14:paraId="53E6309C" w14:textId="77777777" w:rsidR="004752EC" w:rsidRPr="00E8515C" w:rsidRDefault="004752EC" w:rsidP="00BF6BD4">
            <w:pPr>
              <w:keepNext/>
              <w:keepLines/>
              <w:spacing w:before="20" w:after="20"/>
              <w:jc w:val="right"/>
              <w:rPr>
                <w:i/>
                <w:sz w:val="20"/>
                <w:szCs w:val="20"/>
              </w:rPr>
            </w:pPr>
            <w:r w:rsidRPr="00E8515C">
              <w:rPr>
                <w:i/>
                <w:sz w:val="20"/>
                <w:szCs w:val="20"/>
              </w:rPr>
              <w:t>0.772</w:t>
            </w:r>
          </w:p>
        </w:tc>
        <w:tc>
          <w:tcPr>
            <w:tcW w:w="1127" w:type="dxa"/>
            <w:tcBorders>
              <w:top w:val="nil"/>
              <w:left w:val="single" w:sz="4" w:space="0" w:color="auto"/>
              <w:bottom w:val="nil"/>
              <w:right w:val="single" w:sz="4" w:space="0" w:color="auto"/>
            </w:tcBorders>
            <w:hideMark/>
          </w:tcPr>
          <w:p w14:paraId="40E3A737" w14:textId="77777777" w:rsidR="004752EC" w:rsidRPr="00E8515C" w:rsidRDefault="004752EC" w:rsidP="00BF6BD4">
            <w:pPr>
              <w:keepNext/>
              <w:keepLines/>
              <w:spacing w:before="20" w:after="20"/>
              <w:jc w:val="right"/>
              <w:rPr>
                <w:i/>
                <w:sz w:val="20"/>
                <w:szCs w:val="20"/>
              </w:rPr>
            </w:pPr>
            <w:r w:rsidRPr="00E8515C">
              <w:rPr>
                <w:i/>
                <w:sz w:val="20"/>
                <w:szCs w:val="20"/>
              </w:rPr>
              <w:t>0.902</w:t>
            </w:r>
          </w:p>
        </w:tc>
        <w:tc>
          <w:tcPr>
            <w:tcW w:w="1127" w:type="dxa"/>
            <w:tcBorders>
              <w:top w:val="nil"/>
              <w:left w:val="single" w:sz="4" w:space="0" w:color="auto"/>
              <w:bottom w:val="nil"/>
              <w:right w:val="single" w:sz="4" w:space="0" w:color="auto"/>
            </w:tcBorders>
            <w:hideMark/>
          </w:tcPr>
          <w:p w14:paraId="7892BAF3" w14:textId="77777777" w:rsidR="004752EC" w:rsidRPr="00E8515C" w:rsidRDefault="004752EC" w:rsidP="00BF6BD4">
            <w:pPr>
              <w:keepNext/>
              <w:keepLines/>
              <w:spacing w:before="20" w:after="20"/>
              <w:jc w:val="right"/>
              <w:rPr>
                <w:i/>
                <w:sz w:val="20"/>
                <w:szCs w:val="20"/>
              </w:rPr>
            </w:pPr>
            <w:r w:rsidRPr="00E8515C">
              <w:rPr>
                <w:i/>
                <w:sz w:val="20"/>
                <w:szCs w:val="20"/>
              </w:rPr>
              <w:t>3.189</w:t>
            </w:r>
          </w:p>
        </w:tc>
      </w:tr>
      <w:tr w:rsidR="004752EC" w:rsidRPr="00E8515C" w14:paraId="05E2F439" w14:textId="77777777" w:rsidTr="00BF6BD4">
        <w:trPr>
          <w:trHeight w:val="20"/>
        </w:trPr>
        <w:tc>
          <w:tcPr>
            <w:tcW w:w="3402" w:type="dxa"/>
            <w:tcBorders>
              <w:top w:val="nil"/>
              <w:left w:val="single" w:sz="4" w:space="0" w:color="auto"/>
              <w:bottom w:val="single" w:sz="4" w:space="0" w:color="auto"/>
              <w:right w:val="single" w:sz="4" w:space="0" w:color="auto"/>
            </w:tcBorders>
          </w:tcPr>
          <w:p w14:paraId="14B11F51"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993" w:type="dxa"/>
            <w:tcBorders>
              <w:top w:val="nil"/>
              <w:left w:val="single" w:sz="4" w:space="0" w:color="auto"/>
              <w:bottom w:val="single" w:sz="4" w:space="0" w:color="auto"/>
              <w:right w:val="single" w:sz="4" w:space="0" w:color="auto"/>
            </w:tcBorders>
            <w:vAlign w:val="center"/>
          </w:tcPr>
          <w:p w14:paraId="6A0B1448" w14:textId="77777777" w:rsidR="004752EC" w:rsidRPr="00E8515C" w:rsidRDefault="004752EC" w:rsidP="00BF6BD4">
            <w:pPr>
              <w:keepNext/>
              <w:keepLines/>
              <w:spacing w:before="20" w:after="20"/>
              <w:jc w:val="right"/>
              <w:rPr>
                <w:sz w:val="20"/>
                <w:szCs w:val="20"/>
              </w:rPr>
            </w:pPr>
            <w:r w:rsidRPr="00E8515C">
              <w:rPr>
                <w:sz w:val="20"/>
                <w:szCs w:val="20"/>
              </w:rPr>
              <w:t>11.44</w:t>
            </w:r>
          </w:p>
        </w:tc>
        <w:tc>
          <w:tcPr>
            <w:tcW w:w="1127" w:type="dxa"/>
            <w:tcBorders>
              <w:top w:val="nil"/>
              <w:left w:val="single" w:sz="4" w:space="0" w:color="auto"/>
              <w:bottom w:val="single" w:sz="4" w:space="0" w:color="auto"/>
              <w:right w:val="single" w:sz="4" w:space="0" w:color="auto"/>
            </w:tcBorders>
            <w:vAlign w:val="center"/>
          </w:tcPr>
          <w:p w14:paraId="4615EE4A" w14:textId="77777777" w:rsidR="004752EC" w:rsidRPr="00E8515C" w:rsidRDefault="004752EC" w:rsidP="00BF6BD4">
            <w:pPr>
              <w:keepNext/>
              <w:keepLines/>
              <w:spacing w:before="20" w:after="20"/>
              <w:jc w:val="right"/>
              <w:rPr>
                <w:sz w:val="20"/>
                <w:szCs w:val="20"/>
              </w:rPr>
            </w:pPr>
            <w:r w:rsidRPr="00E8515C">
              <w:rPr>
                <w:sz w:val="20"/>
                <w:szCs w:val="20"/>
              </w:rPr>
              <w:t>12.553</w:t>
            </w:r>
          </w:p>
        </w:tc>
        <w:tc>
          <w:tcPr>
            <w:tcW w:w="1127" w:type="dxa"/>
            <w:tcBorders>
              <w:top w:val="nil"/>
              <w:left w:val="single" w:sz="4" w:space="0" w:color="auto"/>
              <w:bottom w:val="single" w:sz="4" w:space="0" w:color="auto"/>
              <w:right w:val="single" w:sz="4" w:space="0" w:color="auto"/>
            </w:tcBorders>
            <w:vAlign w:val="center"/>
          </w:tcPr>
          <w:p w14:paraId="52636872" w14:textId="77777777" w:rsidR="004752EC" w:rsidRPr="00E8515C" w:rsidRDefault="004752EC" w:rsidP="00BF6BD4">
            <w:pPr>
              <w:keepNext/>
              <w:keepLines/>
              <w:spacing w:before="20" w:after="20"/>
              <w:jc w:val="right"/>
              <w:rPr>
                <w:sz w:val="20"/>
                <w:szCs w:val="20"/>
              </w:rPr>
            </w:pPr>
            <w:r w:rsidRPr="00E8515C">
              <w:rPr>
                <w:sz w:val="20"/>
                <w:szCs w:val="20"/>
              </w:rPr>
              <w:t>9.664</w:t>
            </w:r>
          </w:p>
        </w:tc>
        <w:tc>
          <w:tcPr>
            <w:tcW w:w="1126" w:type="dxa"/>
            <w:tcBorders>
              <w:top w:val="nil"/>
              <w:left w:val="single" w:sz="4" w:space="0" w:color="auto"/>
              <w:bottom w:val="single" w:sz="4" w:space="0" w:color="auto"/>
              <w:right w:val="single" w:sz="4" w:space="0" w:color="auto"/>
            </w:tcBorders>
            <w:vAlign w:val="center"/>
          </w:tcPr>
          <w:p w14:paraId="4AAAB5E7" w14:textId="77777777" w:rsidR="004752EC" w:rsidRPr="00E8515C" w:rsidRDefault="004752EC" w:rsidP="00BF6BD4">
            <w:pPr>
              <w:keepNext/>
              <w:keepLines/>
              <w:spacing w:before="20" w:after="20"/>
              <w:jc w:val="right"/>
              <w:rPr>
                <w:sz w:val="20"/>
                <w:szCs w:val="20"/>
              </w:rPr>
            </w:pPr>
            <w:r w:rsidRPr="00E8515C">
              <w:rPr>
                <w:sz w:val="20"/>
                <w:szCs w:val="20"/>
              </w:rPr>
              <w:t>9.909</w:t>
            </w:r>
          </w:p>
        </w:tc>
        <w:tc>
          <w:tcPr>
            <w:tcW w:w="1127" w:type="dxa"/>
            <w:tcBorders>
              <w:top w:val="nil"/>
              <w:left w:val="single" w:sz="4" w:space="0" w:color="auto"/>
              <w:bottom w:val="single" w:sz="4" w:space="0" w:color="auto"/>
              <w:right w:val="single" w:sz="4" w:space="0" w:color="auto"/>
            </w:tcBorders>
            <w:vAlign w:val="center"/>
          </w:tcPr>
          <w:p w14:paraId="12114C9E" w14:textId="77777777" w:rsidR="004752EC" w:rsidRPr="00E8515C" w:rsidRDefault="004752EC" w:rsidP="00BF6BD4">
            <w:pPr>
              <w:keepNext/>
              <w:keepLines/>
              <w:spacing w:before="20" w:after="20"/>
              <w:jc w:val="right"/>
              <w:rPr>
                <w:sz w:val="20"/>
                <w:szCs w:val="20"/>
              </w:rPr>
            </w:pPr>
            <w:r w:rsidRPr="00E8515C">
              <w:rPr>
                <w:sz w:val="20"/>
                <w:szCs w:val="20"/>
              </w:rPr>
              <w:t>10.171</w:t>
            </w:r>
          </w:p>
        </w:tc>
        <w:tc>
          <w:tcPr>
            <w:tcW w:w="1127" w:type="dxa"/>
            <w:tcBorders>
              <w:top w:val="nil"/>
              <w:left w:val="single" w:sz="4" w:space="0" w:color="auto"/>
              <w:bottom w:val="single" w:sz="4" w:space="0" w:color="auto"/>
              <w:right w:val="single" w:sz="4" w:space="0" w:color="auto"/>
            </w:tcBorders>
            <w:vAlign w:val="center"/>
          </w:tcPr>
          <w:p w14:paraId="3CB4F9E1" w14:textId="77777777" w:rsidR="004752EC" w:rsidRPr="00E8515C" w:rsidRDefault="004752EC" w:rsidP="00BF6BD4">
            <w:pPr>
              <w:keepNext/>
              <w:keepLines/>
              <w:spacing w:before="20" w:after="20"/>
              <w:jc w:val="right"/>
              <w:rPr>
                <w:sz w:val="20"/>
                <w:szCs w:val="20"/>
              </w:rPr>
            </w:pPr>
            <w:r w:rsidRPr="00E8515C">
              <w:rPr>
                <w:sz w:val="20"/>
                <w:szCs w:val="20"/>
              </w:rPr>
              <w:t>53.737</w:t>
            </w:r>
          </w:p>
        </w:tc>
      </w:tr>
      <w:tr w:rsidR="004752EC" w:rsidRPr="00E8515C" w14:paraId="023144EE" w14:textId="77777777" w:rsidTr="00BF6BD4">
        <w:trPr>
          <w:trHeight w:val="20"/>
        </w:trPr>
        <w:tc>
          <w:tcPr>
            <w:tcW w:w="3402" w:type="dxa"/>
            <w:tcBorders>
              <w:top w:val="single" w:sz="4" w:space="0" w:color="auto"/>
              <w:left w:val="single" w:sz="4" w:space="0" w:color="auto"/>
              <w:bottom w:val="nil"/>
              <w:right w:val="single" w:sz="4" w:space="0" w:color="auto"/>
            </w:tcBorders>
          </w:tcPr>
          <w:p w14:paraId="6EBFED1F" w14:textId="77777777" w:rsidR="004752EC" w:rsidRPr="00E8515C" w:rsidRDefault="004752EC" w:rsidP="00BF6BD4">
            <w:pPr>
              <w:keepNext/>
              <w:keepLines/>
              <w:spacing w:before="20" w:after="20"/>
              <w:rPr>
                <w:b/>
                <w:sz w:val="20"/>
                <w:szCs w:val="20"/>
              </w:rPr>
            </w:pPr>
            <w:r w:rsidRPr="00E8515C">
              <w:rPr>
                <w:b/>
                <w:sz w:val="20"/>
                <w:szCs w:val="20"/>
              </w:rPr>
              <w:t>Victoria</w:t>
            </w:r>
          </w:p>
        </w:tc>
        <w:tc>
          <w:tcPr>
            <w:tcW w:w="993" w:type="dxa"/>
            <w:tcBorders>
              <w:top w:val="single" w:sz="4" w:space="0" w:color="auto"/>
              <w:left w:val="single" w:sz="4" w:space="0" w:color="auto"/>
              <w:bottom w:val="nil"/>
              <w:right w:val="single" w:sz="4" w:space="0" w:color="auto"/>
            </w:tcBorders>
          </w:tcPr>
          <w:p w14:paraId="53F8A3DD" w14:textId="77777777" w:rsidR="004752EC" w:rsidRPr="00E8515C" w:rsidRDefault="004752EC" w:rsidP="00BF6BD4">
            <w:pPr>
              <w:keepNext/>
              <w:keepLines/>
              <w:spacing w:before="20" w:after="20"/>
              <w:jc w:val="right"/>
              <w:rPr>
                <w:b/>
                <w:sz w:val="20"/>
                <w:szCs w:val="20"/>
              </w:rPr>
            </w:pPr>
            <w:r w:rsidRPr="00E8515C">
              <w:rPr>
                <w:b/>
                <w:sz w:val="20"/>
                <w:szCs w:val="20"/>
              </w:rPr>
              <w:t>57.579</w:t>
            </w:r>
          </w:p>
        </w:tc>
        <w:tc>
          <w:tcPr>
            <w:tcW w:w="1127" w:type="dxa"/>
            <w:tcBorders>
              <w:top w:val="single" w:sz="4" w:space="0" w:color="auto"/>
              <w:left w:val="single" w:sz="4" w:space="0" w:color="auto"/>
              <w:bottom w:val="nil"/>
              <w:right w:val="single" w:sz="4" w:space="0" w:color="auto"/>
            </w:tcBorders>
          </w:tcPr>
          <w:p w14:paraId="04B33AD1" w14:textId="77777777" w:rsidR="004752EC" w:rsidRPr="00E8515C" w:rsidRDefault="004752EC" w:rsidP="00BF6BD4">
            <w:pPr>
              <w:keepNext/>
              <w:keepLines/>
              <w:spacing w:before="20" w:after="20"/>
              <w:jc w:val="right"/>
              <w:rPr>
                <w:b/>
                <w:sz w:val="20"/>
                <w:szCs w:val="20"/>
              </w:rPr>
            </w:pPr>
            <w:r w:rsidRPr="00E8515C">
              <w:rPr>
                <w:b/>
                <w:sz w:val="20"/>
                <w:szCs w:val="20"/>
              </w:rPr>
              <w:t>59.158</w:t>
            </w:r>
          </w:p>
        </w:tc>
        <w:tc>
          <w:tcPr>
            <w:tcW w:w="1127" w:type="dxa"/>
            <w:tcBorders>
              <w:top w:val="single" w:sz="4" w:space="0" w:color="auto"/>
              <w:left w:val="single" w:sz="4" w:space="0" w:color="auto"/>
              <w:bottom w:val="nil"/>
              <w:right w:val="single" w:sz="4" w:space="0" w:color="auto"/>
            </w:tcBorders>
          </w:tcPr>
          <w:p w14:paraId="6AE41C1F" w14:textId="77777777" w:rsidR="004752EC" w:rsidRPr="00E8515C" w:rsidRDefault="004752EC" w:rsidP="00BF6BD4">
            <w:pPr>
              <w:keepNext/>
              <w:keepLines/>
              <w:spacing w:before="20" w:after="20"/>
              <w:jc w:val="right"/>
              <w:rPr>
                <w:b/>
                <w:sz w:val="20"/>
                <w:szCs w:val="20"/>
              </w:rPr>
            </w:pPr>
            <w:r w:rsidRPr="00E8515C">
              <w:rPr>
                <w:b/>
                <w:sz w:val="20"/>
                <w:szCs w:val="20"/>
              </w:rPr>
              <w:t>57.077</w:t>
            </w:r>
          </w:p>
        </w:tc>
        <w:tc>
          <w:tcPr>
            <w:tcW w:w="1126" w:type="dxa"/>
            <w:tcBorders>
              <w:top w:val="single" w:sz="4" w:space="0" w:color="auto"/>
              <w:left w:val="single" w:sz="4" w:space="0" w:color="auto"/>
              <w:bottom w:val="nil"/>
              <w:right w:val="single" w:sz="4" w:space="0" w:color="auto"/>
            </w:tcBorders>
          </w:tcPr>
          <w:p w14:paraId="4C17B3F1" w14:textId="77777777" w:rsidR="004752EC" w:rsidRPr="00E8515C" w:rsidRDefault="004752EC" w:rsidP="00BF6BD4">
            <w:pPr>
              <w:keepNext/>
              <w:keepLines/>
              <w:spacing w:before="20" w:after="20"/>
              <w:jc w:val="right"/>
              <w:rPr>
                <w:b/>
                <w:sz w:val="20"/>
                <w:szCs w:val="20"/>
              </w:rPr>
            </w:pPr>
            <w:r w:rsidRPr="00E8515C">
              <w:rPr>
                <w:b/>
                <w:sz w:val="20"/>
                <w:szCs w:val="20"/>
              </w:rPr>
              <w:t>58.017</w:t>
            </w:r>
          </w:p>
        </w:tc>
        <w:tc>
          <w:tcPr>
            <w:tcW w:w="1127" w:type="dxa"/>
            <w:tcBorders>
              <w:top w:val="single" w:sz="4" w:space="0" w:color="auto"/>
              <w:left w:val="single" w:sz="4" w:space="0" w:color="auto"/>
              <w:bottom w:val="nil"/>
              <w:right w:val="single" w:sz="4" w:space="0" w:color="auto"/>
            </w:tcBorders>
          </w:tcPr>
          <w:p w14:paraId="445F06EF" w14:textId="77777777" w:rsidR="004752EC" w:rsidRPr="00E8515C" w:rsidRDefault="004752EC" w:rsidP="00BF6BD4">
            <w:pPr>
              <w:keepNext/>
              <w:keepLines/>
              <w:spacing w:before="20" w:after="20"/>
              <w:jc w:val="right"/>
              <w:rPr>
                <w:b/>
                <w:sz w:val="20"/>
                <w:szCs w:val="20"/>
              </w:rPr>
            </w:pPr>
            <w:r w:rsidRPr="00E8515C">
              <w:rPr>
                <w:b/>
                <w:sz w:val="20"/>
                <w:szCs w:val="20"/>
              </w:rPr>
              <w:t>58.896</w:t>
            </w:r>
          </w:p>
        </w:tc>
        <w:tc>
          <w:tcPr>
            <w:tcW w:w="1127" w:type="dxa"/>
            <w:tcBorders>
              <w:top w:val="single" w:sz="4" w:space="0" w:color="auto"/>
              <w:left w:val="single" w:sz="4" w:space="0" w:color="auto"/>
              <w:bottom w:val="nil"/>
              <w:right w:val="single" w:sz="4" w:space="0" w:color="auto"/>
            </w:tcBorders>
          </w:tcPr>
          <w:p w14:paraId="0C99C543" w14:textId="77777777" w:rsidR="004752EC" w:rsidRPr="00E8515C" w:rsidRDefault="004752EC" w:rsidP="00BF6BD4">
            <w:pPr>
              <w:keepNext/>
              <w:keepLines/>
              <w:spacing w:before="20" w:after="20"/>
              <w:jc w:val="right"/>
              <w:rPr>
                <w:b/>
                <w:sz w:val="20"/>
                <w:szCs w:val="20"/>
              </w:rPr>
            </w:pPr>
            <w:r w:rsidRPr="00E8515C">
              <w:rPr>
                <w:b/>
                <w:sz w:val="20"/>
                <w:szCs w:val="20"/>
              </w:rPr>
              <w:t>290.727</w:t>
            </w:r>
          </w:p>
        </w:tc>
      </w:tr>
      <w:tr w:rsidR="004752EC" w:rsidRPr="00E8515C" w14:paraId="6BDF9466" w14:textId="77777777" w:rsidTr="00BF6BD4">
        <w:trPr>
          <w:trHeight w:val="20"/>
        </w:trPr>
        <w:tc>
          <w:tcPr>
            <w:tcW w:w="3402" w:type="dxa"/>
            <w:tcBorders>
              <w:top w:val="nil"/>
              <w:left w:val="single" w:sz="4" w:space="0" w:color="auto"/>
              <w:bottom w:val="nil"/>
              <w:right w:val="single" w:sz="4" w:space="0" w:color="auto"/>
            </w:tcBorders>
            <w:hideMark/>
          </w:tcPr>
          <w:p w14:paraId="372E0AAB" w14:textId="77777777" w:rsidR="004752EC" w:rsidRPr="00E8515C" w:rsidRDefault="004752EC" w:rsidP="00BF6BD4">
            <w:pPr>
              <w:keepNext/>
              <w:keepLines/>
              <w:spacing w:before="20" w:after="20"/>
              <w:ind w:left="284"/>
              <w:rPr>
                <w:sz w:val="20"/>
                <w:szCs w:val="20"/>
              </w:rPr>
            </w:pPr>
            <w:r w:rsidRPr="00E8515C">
              <w:rPr>
                <w:sz w:val="20"/>
                <w:szCs w:val="20"/>
              </w:rPr>
              <w:t>Legal aid commissions</w:t>
            </w:r>
          </w:p>
        </w:tc>
        <w:tc>
          <w:tcPr>
            <w:tcW w:w="993" w:type="dxa"/>
            <w:tcBorders>
              <w:top w:val="nil"/>
              <w:left w:val="single" w:sz="4" w:space="0" w:color="auto"/>
              <w:bottom w:val="nil"/>
              <w:right w:val="single" w:sz="4" w:space="0" w:color="auto"/>
            </w:tcBorders>
            <w:hideMark/>
          </w:tcPr>
          <w:p w14:paraId="7C5C2267" w14:textId="77777777" w:rsidR="004752EC" w:rsidRPr="00E8515C" w:rsidRDefault="004752EC" w:rsidP="00BF6BD4">
            <w:pPr>
              <w:keepNext/>
              <w:keepLines/>
              <w:spacing w:before="20" w:after="20"/>
              <w:jc w:val="right"/>
              <w:rPr>
                <w:sz w:val="20"/>
                <w:szCs w:val="20"/>
              </w:rPr>
            </w:pPr>
            <w:r w:rsidRPr="00E8515C">
              <w:rPr>
                <w:sz w:val="20"/>
                <w:szCs w:val="20"/>
              </w:rPr>
              <w:t>47.912</w:t>
            </w:r>
          </w:p>
        </w:tc>
        <w:tc>
          <w:tcPr>
            <w:tcW w:w="1127" w:type="dxa"/>
            <w:tcBorders>
              <w:top w:val="nil"/>
              <w:left w:val="single" w:sz="4" w:space="0" w:color="auto"/>
              <w:bottom w:val="nil"/>
              <w:right w:val="single" w:sz="4" w:space="0" w:color="auto"/>
            </w:tcBorders>
            <w:hideMark/>
          </w:tcPr>
          <w:p w14:paraId="75A0C9EB" w14:textId="77777777" w:rsidR="004752EC" w:rsidRPr="00E8515C" w:rsidRDefault="004752EC" w:rsidP="00BF6BD4">
            <w:pPr>
              <w:keepNext/>
              <w:keepLines/>
              <w:spacing w:before="20" w:after="20"/>
              <w:jc w:val="right"/>
              <w:rPr>
                <w:sz w:val="20"/>
                <w:szCs w:val="20"/>
              </w:rPr>
            </w:pPr>
            <w:r w:rsidRPr="00E8515C">
              <w:rPr>
                <w:sz w:val="20"/>
                <w:szCs w:val="20"/>
              </w:rPr>
              <w:t>48.642</w:t>
            </w:r>
          </w:p>
        </w:tc>
        <w:tc>
          <w:tcPr>
            <w:tcW w:w="1127" w:type="dxa"/>
            <w:tcBorders>
              <w:top w:val="nil"/>
              <w:left w:val="single" w:sz="4" w:space="0" w:color="auto"/>
              <w:bottom w:val="nil"/>
              <w:right w:val="single" w:sz="4" w:space="0" w:color="auto"/>
            </w:tcBorders>
            <w:hideMark/>
          </w:tcPr>
          <w:p w14:paraId="346F29FE" w14:textId="77777777" w:rsidR="004752EC" w:rsidRPr="00E8515C" w:rsidRDefault="004752EC" w:rsidP="00BF6BD4">
            <w:pPr>
              <w:keepNext/>
              <w:keepLines/>
              <w:spacing w:before="20" w:after="20"/>
              <w:jc w:val="right"/>
              <w:rPr>
                <w:sz w:val="20"/>
                <w:szCs w:val="20"/>
              </w:rPr>
            </w:pPr>
            <w:r w:rsidRPr="00E8515C">
              <w:rPr>
                <w:sz w:val="20"/>
                <w:szCs w:val="20"/>
              </w:rPr>
              <w:t>49.287</w:t>
            </w:r>
          </w:p>
        </w:tc>
        <w:tc>
          <w:tcPr>
            <w:tcW w:w="1126" w:type="dxa"/>
            <w:tcBorders>
              <w:top w:val="nil"/>
              <w:left w:val="single" w:sz="4" w:space="0" w:color="auto"/>
              <w:bottom w:val="nil"/>
              <w:right w:val="single" w:sz="4" w:space="0" w:color="auto"/>
            </w:tcBorders>
            <w:hideMark/>
          </w:tcPr>
          <w:p w14:paraId="27AAC539" w14:textId="77777777" w:rsidR="004752EC" w:rsidRPr="00E8515C" w:rsidRDefault="004752EC" w:rsidP="00BF6BD4">
            <w:pPr>
              <w:keepNext/>
              <w:keepLines/>
              <w:spacing w:before="20" w:after="20"/>
              <w:jc w:val="right"/>
              <w:rPr>
                <w:sz w:val="20"/>
                <w:szCs w:val="20"/>
              </w:rPr>
            </w:pPr>
            <w:r w:rsidRPr="00E8515C">
              <w:rPr>
                <w:sz w:val="20"/>
                <w:szCs w:val="20"/>
              </w:rPr>
              <w:t>49.939</w:t>
            </w:r>
          </w:p>
        </w:tc>
        <w:tc>
          <w:tcPr>
            <w:tcW w:w="1127" w:type="dxa"/>
            <w:tcBorders>
              <w:top w:val="nil"/>
              <w:left w:val="single" w:sz="4" w:space="0" w:color="auto"/>
              <w:bottom w:val="nil"/>
              <w:right w:val="single" w:sz="4" w:space="0" w:color="auto"/>
            </w:tcBorders>
            <w:hideMark/>
          </w:tcPr>
          <w:p w14:paraId="5D5CEE47" w14:textId="77777777" w:rsidR="004752EC" w:rsidRPr="00E8515C" w:rsidRDefault="004752EC" w:rsidP="00BF6BD4">
            <w:pPr>
              <w:keepNext/>
              <w:keepLines/>
              <w:spacing w:before="20" w:after="20"/>
              <w:jc w:val="right"/>
              <w:rPr>
                <w:sz w:val="20"/>
                <w:szCs w:val="20"/>
              </w:rPr>
            </w:pPr>
            <w:r w:rsidRPr="00E8515C">
              <w:rPr>
                <w:sz w:val="20"/>
                <w:szCs w:val="20"/>
              </w:rPr>
              <w:t>50.518</w:t>
            </w:r>
          </w:p>
        </w:tc>
        <w:tc>
          <w:tcPr>
            <w:tcW w:w="1127" w:type="dxa"/>
            <w:tcBorders>
              <w:top w:val="nil"/>
              <w:left w:val="single" w:sz="4" w:space="0" w:color="auto"/>
              <w:bottom w:val="nil"/>
              <w:right w:val="single" w:sz="4" w:space="0" w:color="auto"/>
            </w:tcBorders>
            <w:hideMark/>
          </w:tcPr>
          <w:p w14:paraId="512DFA13" w14:textId="77777777" w:rsidR="004752EC" w:rsidRPr="00E8515C" w:rsidRDefault="004752EC" w:rsidP="00BF6BD4">
            <w:pPr>
              <w:keepNext/>
              <w:keepLines/>
              <w:spacing w:before="20" w:after="20"/>
              <w:jc w:val="right"/>
              <w:rPr>
                <w:sz w:val="20"/>
                <w:szCs w:val="20"/>
              </w:rPr>
            </w:pPr>
            <w:r w:rsidRPr="00E8515C">
              <w:rPr>
                <w:sz w:val="20"/>
                <w:szCs w:val="20"/>
              </w:rPr>
              <w:t>246.298</w:t>
            </w:r>
          </w:p>
        </w:tc>
      </w:tr>
      <w:tr w:rsidR="004752EC" w:rsidRPr="00E8515C" w14:paraId="2CFE2EBA" w14:textId="77777777" w:rsidTr="00BF6BD4">
        <w:trPr>
          <w:trHeight w:val="20"/>
        </w:trPr>
        <w:tc>
          <w:tcPr>
            <w:tcW w:w="3402" w:type="dxa"/>
            <w:tcBorders>
              <w:top w:val="nil"/>
              <w:left w:val="single" w:sz="4" w:space="0" w:color="auto"/>
              <w:bottom w:val="nil"/>
              <w:right w:val="single" w:sz="4" w:space="0" w:color="auto"/>
            </w:tcBorders>
          </w:tcPr>
          <w:p w14:paraId="7B4D03AA"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993" w:type="dxa"/>
            <w:tcBorders>
              <w:top w:val="nil"/>
              <w:left w:val="single" w:sz="4" w:space="0" w:color="auto"/>
              <w:bottom w:val="nil"/>
              <w:right w:val="single" w:sz="4" w:space="0" w:color="auto"/>
            </w:tcBorders>
          </w:tcPr>
          <w:p w14:paraId="54927F47" w14:textId="77777777" w:rsidR="004752EC" w:rsidRPr="00E8515C" w:rsidRDefault="004752EC" w:rsidP="00BF6BD4">
            <w:pPr>
              <w:keepNext/>
              <w:keepLines/>
              <w:spacing w:before="20" w:after="20"/>
              <w:jc w:val="right"/>
              <w:rPr>
                <w:i/>
                <w:sz w:val="20"/>
                <w:szCs w:val="20"/>
              </w:rPr>
            </w:pPr>
            <w:r w:rsidRPr="00E8515C">
              <w:rPr>
                <w:i/>
                <w:sz w:val="20"/>
                <w:szCs w:val="20"/>
              </w:rPr>
              <w:t>5.424</w:t>
            </w:r>
          </w:p>
        </w:tc>
        <w:tc>
          <w:tcPr>
            <w:tcW w:w="1127" w:type="dxa"/>
            <w:tcBorders>
              <w:top w:val="nil"/>
              <w:left w:val="single" w:sz="4" w:space="0" w:color="auto"/>
              <w:bottom w:val="nil"/>
              <w:right w:val="single" w:sz="4" w:space="0" w:color="auto"/>
            </w:tcBorders>
          </w:tcPr>
          <w:p w14:paraId="13299DA3" w14:textId="77777777" w:rsidR="004752EC" w:rsidRPr="00E8515C" w:rsidRDefault="004752EC" w:rsidP="00BF6BD4">
            <w:pPr>
              <w:keepNext/>
              <w:keepLines/>
              <w:spacing w:before="20" w:after="20"/>
              <w:jc w:val="right"/>
              <w:rPr>
                <w:i/>
                <w:sz w:val="20"/>
                <w:szCs w:val="20"/>
              </w:rPr>
            </w:pPr>
            <w:r w:rsidRPr="00E8515C">
              <w:rPr>
                <w:i/>
                <w:sz w:val="20"/>
                <w:szCs w:val="20"/>
              </w:rPr>
              <w:t>6.085</w:t>
            </w:r>
          </w:p>
        </w:tc>
        <w:tc>
          <w:tcPr>
            <w:tcW w:w="1127" w:type="dxa"/>
            <w:tcBorders>
              <w:top w:val="nil"/>
              <w:left w:val="single" w:sz="4" w:space="0" w:color="auto"/>
              <w:bottom w:val="nil"/>
              <w:right w:val="single" w:sz="4" w:space="0" w:color="auto"/>
            </w:tcBorders>
          </w:tcPr>
          <w:p w14:paraId="3E913DB2" w14:textId="77777777" w:rsidR="004752EC" w:rsidRPr="00E8515C" w:rsidRDefault="004752EC" w:rsidP="00BF6BD4">
            <w:pPr>
              <w:keepNext/>
              <w:keepLines/>
              <w:spacing w:before="20" w:after="20"/>
              <w:jc w:val="right"/>
              <w:rPr>
                <w:i/>
                <w:sz w:val="20"/>
                <w:szCs w:val="20"/>
              </w:rPr>
            </w:pPr>
            <w:r w:rsidRPr="00E8515C">
              <w:rPr>
                <w:i/>
                <w:sz w:val="20"/>
                <w:szCs w:val="20"/>
              </w:rPr>
              <w:t>6.836</w:t>
            </w:r>
          </w:p>
        </w:tc>
        <w:tc>
          <w:tcPr>
            <w:tcW w:w="1126" w:type="dxa"/>
            <w:tcBorders>
              <w:top w:val="nil"/>
              <w:left w:val="single" w:sz="4" w:space="0" w:color="auto"/>
              <w:bottom w:val="nil"/>
              <w:right w:val="single" w:sz="4" w:space="0" w:color="auto"/>
            </w:tcBorders>
          </w:tcPr>
          <w:p w14:paraId="64F8BA71" w14:textId="77777777" w:rsidR="004752EC" w:rsidRPr="00E8515C" w:rsidRDefault="004752EC" w:rsidP="00BF6BD4">
            <w:pPr>
              <w:keepNext/>
              <w:keepLines/>
              <w:spacing w:before="20" w:after="20"/>
              <w:jc w:val="right"/>
              <w:rPr>
                <w:i/>
                <w:sz w:val="20"/>
                <w:szCs w:val="20"/>
              </w:rPr>
            </w:pPr>
            <w:r w:rsidRPr="00E8515C">
              <w:rPr>
                <w:i/>
                <w:sz w:val="20"/>
                <w:szCs w:val="20"/>
              </w:rPr>
              <w:t>6.938</w:t>
            </w:r>
          </w:p>
        </w:tc>
        <w:tc>
          <w:tcPr>
            <w:tcW w:w="1127" w:type="dxa"/>
            <w:tcBorders>
              <w:top w:val="nil"/>
              <w:left w:val="single" w:sz="4" w:space="0" w:color="auto"/>
              <w:bottom w:val="nil"/>
              <w:right w:val="single" w:sz="4" w:space="0" w:color="auto"/>
            </w:tcBorders>
          </w:tcPr>
          <w:p w14:paraId="351566A8" w14:textId="77777777" w:rsidR="004752EC" w:rsidRPr="00E8515C" w:rsidRDefault="004752EC" w:rsidP="00BF6BD4">
            <w:pPr>
              <w:keepNext/>
              <w:keepLines/>
              <w:spacing w:before="20" w:after="20"/>
              <w:jc w:val="right"/>
              <w:rPr>
                <w:i/>
                <w:sz w:val="20"/>
                <w:szCs w:val="20"/>
              </w:rPr>
            </w:pPr>
            <w:r w:rsidRPr="00E8515C">
              <w:rPr>
                <w:i/>
                <w:sz w:val="20"/>
                <w:szCs w:val="20"/>
              </w:rPr>
              <w:t>7.046</w:t>
            </w:r>
          </w:p>
        </w:tc>
        <w:tc>
          <w:tcPr>
            <w:tcW w:w="1127" w:type="dxa"/>
            <w:tcBorders>
              <w:top w:val="nil"/>
              <w:left w:val="single" w:sz="4" w:space="0" w:color="auto"/>
              <w:bottom w:val="nil"/>
              <w:right w:val="single" w:sz="4" w:space="0" w:color="auto"/>
            </w:tcBorders>
          </w:tcPr>
          <w:p w14:paraId="110FFA33" w14:textId="77777777" w:rsidR="004752EC" w:rsidRPr="00E8515C" w:rsidRDefault="004752EC" w:rsidP="00BF6BD4">
            <w:pPr>
              <w:keepNext/>
              <w:keepLines/>
              <w:spacing w:before="20" w:after="20"/>
              <w:jc w:val="right"/>
              <w:rPr>
                <w:i/>
                <w:sz w:val="20"/>
                <w:szCs w:val="20"/>
              </w:rPr>
            </w:pPr>
            <w:r w:rsidRPr="00E8515C">
              <w:rPr>
                <w:i/>
                <w:sz w:val="20"/>
                <w:szCs w:val="20"/>
              </w:rPr>
              <w:t>32.329</w:t>
            </w:r>
          </w:p>
        </w:tc>
      </w:tr>
      <w:tr w:rsidR="004752EC" w:rsidRPr="00E8515C" w14:paraId="65899464" w14:textId="77777777" w:rsidTr="00BF6BD4">
        <w:trPr>
          <w:trHeight w:val="20"/>
        </w:trPr>
        <w:tc>
          <w:tcPr>
            <w:tcW w:w="3402" w:type="dxa"/>
            <w:tcBorders>
              <w:top w:val="nil"/>
              <w:left w:val="single" w:sz="4" w:space="0" w:color="auto"/>
              <w:bottom w:val="nil"/>
              <w:right w:val="single" w:sz="4" w:space="0" w:color="auto"/>
            </w:tcBorders>
          </w:tcPr>
          <w:p w14:paraId="2E5351E4"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993" w:type="dxa"/>
            <w:tcBorders>
              <w:top w:val="nil"/>
              <w:left w:val="single" w:sz="4" w:space="0" w:color="auto"/>
              <w:bottom w:val="nil"/>
              <w:right w:val="single" w:sz="4" w:space="0" w:color="auto"/>
            </w:tcBorders>
          </w:tcPr>
          <w:p w14:paraId="4D7953C5" w14:textId="77777777" w:rsidR="004752EC" w:rsidRPr="00E8515C" w:rsidRDefault="004752EC" w:rsidP="00BF6BD4">
            <w:pPr>
              <w:keepNext/>
              <w:keepLines/>
              <w:spacing w:before="20" w:after="20"/>
              <w:jc w:val="right"/>
              <w:rPr>
                <w:i/>
                <w:sz w:val="20"/>
                <w:szCs w:val="20"/>
              </w:rPr>
            </w:pPr>
            <w:r w:rsidRPr="00E8515C">
              <w:rPr>
                <w:i/>
                <w:sz w:val="20"/>
                <w:szCs w:val="20"/>
              </w:rPr>
              <w:t>3.652</w:t>
            </w:r>
          </w:p>
        </w:tc>
        <w:tc>
          <w:tcPr>
            <w:tcW w:w="1127" w:type="dxa"/>
            <w:tcBorders>
              <w:top w:val="nil"/>
              <w:left w:val="single" w:sz="4" w:space="0" w:color="auto"/>
              <w:bottom w:val="nil"/>
              <w:right w:val="single" w:sz="4" w:space="0" w:color="auto"/>
            </w:tcBorders>
          </w:tcPr>
          <w:p w14:paraId="428F9265" w14:textId="77777777" w:rsidR="004752EC" w:rsidRPr="00E8515C" w:rsidRDefault="004752EC" w:rsidP="00BF6BD4">
            <w:pPr>
              <w:keepNext/>
              <w:keepLines/>
              <w:spacing w:before="20" w:after="20"/>
              <w:jc w:val="right"/>
              <w:rPr>
                <w:i/>
                <w:sz w:val="20"/>
                <w:szCs w:val="20"/>
              </w:rPr>
            </w:pPr>
            <w:r w:rsidRPr="00E8515C">
              <w:rPr>
                <w:i/>
                <w:sz w:val="20"/>
                <w:szCs w:val="20"/>
              </w:rPr>
              <w:t>3.652</w:t>
            </w:r>
          </w:p>
        </w:tc>
        <w:tc>
          <w:tcPr>
            <w:tcW w:w="1127" w:type="dxa"/>
            <w:tcBorders>
              <w:top w:val="nil"/>
              <w:left w:val="single" w:sz="4" w:space="0" w:color="auto"/>
              <w:bottom w:val="nil"/>
              <w:right w:val="single" w:sz="4" w:space="0" w:color="auto"/>
            </w:tcBorders>
          </w:tcPr>
          <w:p w14:paraId="18F000C3"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6" w:type="dxa"/>
            <w:tcBorders>
              <w:top w:val="nil"/>
              <w:left w:val="single" w:sz="4" w:space="0" w:color="auto"/>
              <w:bottom w:val="nil"/>
              <w:right w:val="single" w:sz="4" w:space="0" w:color="auto"/>
            </w:tcBorders>
          </w:tcPr>
          <w:p w14:paraId="4A5A0B09"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7B663C12"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1C1B7CA5" w14:textId="77777777" w:rsidR="004752EC" w:rsidRPr="00E8515C" w:rsidRDefault="004752EC" w:rsidP="00BF6BD4">
            <w:pPr>
              <w:keepNext/>
              <w:keepLines/>
              <w:spacing w:before="20" w:after="20"/>
              <w:jc w:val="right"/>
              <w:rPr>
                <w:i/>
                <w:sz w:val="20"/>
                <w:szCs w:val="20"/>
              </w:rPr>
            </w:pPr>
            <w:r w:rsidRPr="00E8515C">
              <w:rPr>
                <w:i/>
                <w:sz w:val="20"/>
                <w:szCs w:val="20"/>
              </w:rPr>
              <w:t>7.304</w:t>
            </w:r>
          </w:p>
        </w:tc>
      </w:tr>
      <w:tr w:rsidR="004752EC" w:rsidRPr="00E8515C" w14:paraId="3914E024" w14:textId="77777777" w:rsidTr="00BF6BD4">
        <w:trPr>
          <w:trHeight w:val="20"/>
        </w:trPr>
        <w:tc>
          <w:tcPr>
            <w:tcW w:w="3402" w:type="dxa"/>
            <w:tcBorders>
              <w:top w:val="nil"/>
              <w:left w:val="single" w:sz="4" w:space="0" w:color="auto"/>
              <w:bottom w:val="nil"/>
              <w:right w:val="single" w:sz="4" w:space="0" w:color="auto"/>
            </w:tcBorders>
          </w:tcPr>
          <w:p w14:paraId="6A0EA0FC"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993" w:type="dxa"/>
            <w:tcBorders>
              <w:top w:val="nil"/>
              <w:left w:val="single" w:sz="4" w:space="0" w:color="auto"/>
              <w:bottom w:val="nil"/>
              <w:right w:val="single" w:sz="4" w:space="0" w:color="auto"/>
            </w:tcBorders>
          </w:tcPr>
          <w:p w14:paraId="4E42C986" w14:textId="77777777" w:rsidR="004752EC" w:rsidRPr="00E8515C" w:rsidRDefault="004752EC" w:rsidP="00BF6BD4">
            <w:pPr>
              <w:keepNext/>
              <w:keepLines/>
              <w:spacing w:before="20" w:after="20"/>
              <w:jc w:val="right"/>
              <w:rPr>
                <w:i/>
                <w:sz w:val="20"/>
                <w:szCs w:val="20"/>
              </w:rPr>
            </w:pPr>
            <w:r w:rsidRPr="00E8515C">
              <w:rPr>
                <w:i/>
                <w:sz w:val="20"/>
                <w:szCs w:val="20"/>
              </w:rPr>
              <w:t>0.591</w:t>
            </w:r>
          </w:p>
        </w:tc>
        <w:tc>
          <w:tcPr>
            <w:tcW w:w="1127" w:type="dxa"/>
            <w:tcBorders>
              <w:top w:val="nil"/>
              <w:left w:val="single" w:sz="4" w:space="0" w:color="auto"/>
              <w:bottom w:val="nil"/>
              <w:right w:val="single" w:sz="4" w:space="0" w:color="auto"/>
            </w:tcBorders>
          </w:tcPr>
          <w:p w14:paraId="7339FBAF" w14:textId="77777777" w:rsidR="004752EC" w:rsidRPr="00E8515C" w:rsidRDefault="004752EC" w:rsidP="00BF6BD4">
            <w:pPr>
              <w:keepNext/>
              <w:keepLines/>
              <w:spacing w:before="20" w:after="20"/>
              <w:jc w:val="right"/>
              <w:rPr>
                <w:i/>
                <w:sz w:val="20"/>
                <w:szCs w:val="20"/>
              </w:rPr>
            </w:pPr>
            <w:r w:rsidRPr="00E8515C">
              <w:rPr>
                <w:i/>
                <w:sz w:val="20"/>
                <w:szCs w:val="20"/>
              </w:rPr>
              <w:t>0.779</w:t>
            </w:r>
          </w:p>
        </w:tc>
        <w:tc>
          <w:tcPr>
            <w:tcW w:w="1127" w:type="dxa"/>
            <w:tcBorders>
              <w:top w:val="nil"/>
              <w:left w:val="single" w:sz="4" w:space="0" w:color="auto"/>
              <w:bottom w:val="nil"/>
              <w:right w:val="single" w:sz="4" w:space="0" w:color="auto"/>
            </w:tcBorders>
          </w:tcPr>
          <w:p w14:paraId="127958E5" w14:textId="77777777" w:rsidR="004752EC" w:rsidRPr="00E8515C" w:rsidRDefault="004752EC" w:rsidP="00BF6BD4">
            <w:pPr>
              <w:keepNext/>
              <w:keepLines/>
              <w:spacing w:before="20" w:after="20"/>
              <w:jc w:val="right"/>
              <w:rPr>
                <w:i/>
                <w:sz w:val="20"/>
                <w:szCs w:val="20"/>
              </w:rPr>
            </w:pPr>
            <w:r w:rsidRPr="00E8515C">
              <w:rPr>
                <w:i/>
                <w:sz w:val="20"/>
                <w:szCs w:val="20"/>
              </w:rPr>
              <w:t>0.954</w:t>
            </w:r>
          </w:p>
        </w:tc>
        <w:tc>
          <w:tcPr>
            <w:tcW w:w="1126" w:type="dxa"/>
            <w:tcBorders>
              <w:top w:val="nil"/>
              <w:left w:val="single" w:sz="4" w:space="0" w:color="auto"/>
              <w:bottom w:val="nil"/>
              <w:right w:val="single" w:sz="4" w:space="0" w:color="auto"/>
            </w:tcBorders>
          </w:tcPr>
          <w:p w14:paraId="54540775" w14:textId="77777777" w:rsidR="004752EC" w:rsidRPr="00E8515C" w:rsidRDefault="004752EC" w:rsidP="00BF6BD4">
            <w:pPr>
              <w:keepNext/>
              <w:keepLines/>
              <w:spacing w:before="20" w:after="20"/>
              <w:jc w:val="right"/>
              <w:rPr>
                <w:i/>
                <w:sz w:val="20"/>
                <w:szCs w:val="20"/>
              </w:rPr>
            </w:pPr>
            <w:r w:rsidRPr="00E8515C">
              <w:rPr>
                <w:i/>
                <w:sz w:val="20"/>
                <w:szCs w:val="20"/>
              </w:rPr>
              <w:t>1.140</w:t>
            </w:r>
          </w:p>
        </w:tc>
        <w:tc>
          <w:tcPr>
            <w:tcW w:w="1127" w:type="dxa"/>
            <w:tcBorders>
              <w:top w:val="nil"/>
              <w:left w:val="single" w:sz="4" w:space="0" w:color="auto"/>
              <w:bottom w:val="nil"/>
              <w:right w:val="single" w:sz="4" w:space="0" w:color="auto"/>
            </w:tcBorders>
          </w:tcPr>
          <w:p w14:paraId="36AEEB2C" w14:textId="77777777" w:rsidR="004752EC" w:rsidRPr="00E8515C" w:rsidRDefault="004752EC" w:rsidP="00BF6BD4">
            <w:pPr>
              <w:keepNext/>
              <w:keepLines/>
              <w:spacing w:before="20" w:after="20"/>
              <w:jc w:val="right"/>
              <w:rPr>
                <w:i/>
                <w:sz w:val="20"/>
                <w:szCs w:val="20"/>
              </w:rPr>
            </w:pPr>
            <w:r w:rsidRPr="00E8515C">
              <w:rPr>
                <w:i/>
                <w:sz w:val="20"/>
                <w:szCs w:val="20"/>
              </w:rPr>
              <w:t>1.332</w:t>
            </w:r>
          </w:p>
        </w:tc>
        <w:tc>
          <w:tcPr>
            <w:tcW w:w="1127" w:type="dxa"/>
            <w:tcBorders>
              <w:top w:val="nil"/>
              <w:left w:val="single" w:sz="4" w:space="0" w:color="auto"/>
              <w:bottom w:val="nil"/>
              <w:right w:val="single" w:sz="4" w:space="0" w:color="auto"/>
            </w:tcBorders>
          </w:tcPr>
          <w:p w14:paraId="6F80BE63" w14:textId="77777777" w:rsidR="004752EC" w:rsidRPr="00E8515C" w:rsidRDefault="004752EC" w:rsidP="00BF6BD4">
            <w:pPr>
              <w:keepNext/>
              <w:keepLines/>
              <w:spacing w:before="20" w:after="20"/>
              <w:jc w:val="right"/>
              <w:rPr>
                <w:i/>
                <w:sz w:val="20"/>
                <w:szCs w:val="20"/>
              </w:rPr>
            </w:pPr>
            <w:r w:rsidRPr="00E8515C">
              <w:rPr>
                <w:i/>
                <w:sz w:val="20"/>
                <w:szCs w:val="20"/>
              </w:rPr>
              <w:t>4.796</w:t>
            </w:r>
          </w:p>
        </w:tc>
      </w:tr>
      <w:tr w:rsidR="004752EC" w:rsidRPr="00E8515C" w14:paraId="508C53CE" w14:textId="77777777" w:rsidTr="00BF6BD4">
        <w:trPr>
          <w:trHeight w:val="20"/>
        </w:trPr>
        <w:tc>
          <w:tcPr>
            <w:tcW w:w="3402" w:type="dxa"/>
            <w:tcBorders>
              <w:top w:val="nil"/>
              <w:left w:val="single" w:sz="4" w:space="0" w:color="auto"/>
              <w:bottom w:val="single" w:sz="4" w:space="0" w:color="auto"/>
              <w:right w:val="single" w:sz="4" w:space="0" w:color="auto"/>
            </w:tcBorders>
          </w:tcPr>
          <w:p w14:paraId="70E78870"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993" w:type="dxa"/>
            <w:tcBorders>
              <w:top w:val="nil"/>
              <w:left w:val="single" w:sz="4" w:space="0" w:color="auto"/>
              <w:bottom w:val="single" w:sz="4" w:space="0" w:color="auto"/>
              <w:right w:val="single" w:sz="4" w:space="0" w:color="auto"/>
            </w:tcBorders>
            <w:vAlign w:val="center"/>
          </w:tcPr>
          <w:p w14:paraId="7D6A15D6" w14:textId="77777777" w:rsidR="004752EC" w:rsidRPr="00E8515C" w:rsidRDefault="004752EC" w:rsidP="00BF6BD4">
            <w:pPr>
              <w:keepNext/>
              <w:keepLines/>
              <w:spacing w:before="20" w:after="20"/>
              <w:jc w:val="right"/>
              <w:rPr>
                <w:sz w:val="20"/>
                <w:szCs w:val="20"/>
              </w:rPr>
            </w:pPr>
            <w:r w:rsidRPr="00E8515C">
              <w:rPr>
                <w:sz w:val="20"/>
                <w:szCs w:val="20"/>
              </w:rPr>
              <w:t>9.667</w:t>
            </w:r>
          </w:p>
        </w:tc>
        <w:tc>
          <w:tcPr>
            <w:tcW w:w="1127" w:type="dxa"/>
            <w:tcBorders>
              <w:top w:val="nil"/>
              <w:left w:val="single" w:sz="4" w:space="0" w:color="auto"/>
              <w:bottom w:val="single" w:sz="4" w:space="0" w:color="auto"/>
              <w:right w:val="single" w:sz="4" w:space="0" w:color="auto"/>
            </w:tcBorders>
            <w:vAlign w:val="center"/>
          </w:tcPr>
          <w:p w14:paraId="69D4BB56" w14:textId="77777777" w:rsidR="004752EC" w:rsidRPr="00E8515C" w:rsidRDefault="004752EC" w:rsidP="00BF6BD4">
            <w:pPr>
              <w:keepNext/>
              <w:keepLines/>
              <w:spacing w:before="20" w:after="20"/>
              <w:jc w:val="right"/>
              <w:rPr>
                <w:sz w:val="20"/>
                <w:szCs w:val="20"/>
              </w:rPr>
            </w:pPr>
            <w:r w:rsidRPr="00E8515C">
              <w:rPr>
                <w:sz w:val="20"/>
                <w:szCs w:val="20"/>
              </w:rPr>
              <w:t>10.516</w:t>
            </w:r>
          </w:p>
        </w:tc>
        <w:tc>
          <w:tcPr>
            <w:tcW w:w="1127" w:type="dxa"/>
            <w:tcBorders>
              <w:top w:val="nil"/>
              <w:left w:val="single" w:sz="4" w:space="0" w:color="auto"/>
              <w:bottom w:val="single" w:sz="4" w:space="0" w:color="auto"/>
              <w:right w:val="single" w:sz="4" w:space="0" w:color="auto"/>
            </w:tcBorders>
            <w:vAlign w:val="center"/>
          </w:tcPr>
          <w:p w14:paraId="2123B12E" w14:textId="77777777" w:rsidR="004752EC" w:rsidRPr="00E8515C" w:rsidRDefault="004752EC" w:rsidP="00BF6BD4">
            <w:pPr>
              <w:keepNext/>
              <w:keepLines/>
              <w:spacing w:before="20" w:after="20"/>
              <w:jc w:val="right"/>
              <w:rPr>
                <w:sz w:val="20"/>
                <w:szCs w:val="20"/>
              </w:rPr>
            </w:pPr>
            <w:r w:rsidRPr="00E8515C">
              <w:rPr>
                <w:sz w:val="20"/>
                <w:szCs w:val="20"/>
              </w:rPr>
              <w:t>7.79</w:t>
            </w:r>
          </w:p>
        </w:tc>
        <w:tc>
          <w:tcPr>
            <w:tcW w:w="1126" w:type="dxa"/>
            <w:tcBorders>
              <w:top w:val="nil"/>
              <w:left w:val="single" w:sz="4" w:space="0" w:color="auto"/>
              <w:bottom w:val="single" w:sz="4" w:space="0" w:color="auto"/>
              <w:right w:val="single" w:sz="4" w:space="0" w:color="auto"/>
            </w:tcBorders>
            <w:vAlign w:val="center"/>
          </w:tcPr>
          <w:p w14:paraId="7150EA81" w14:textId="77777777" w:rsidR="004752EC" w:rsidRPr="00E8515C" w:rsidRDefault="004752EC" w:rsidP="00BF6BD4">
            <w:pPr>
              <w:keepNext/>
              <w:keepLines/>
              <w:spacing w:before="20" w:after="20"/>
              <w:jc w:val="right"/>
              <w:rPr>
                <w:sz w:val="20"/>
                <w:szCs w:val="20"/>
              </w:rPr>
            </w:pPr>
            <w:r w:rsidRPr="00E8515C">
              <w:rPr>
                <w:sz w:val="20"/>
                <w:szCs w:val="20"/>
              </w:rPr>
              <w:t>8.078</w:t>
            </w:r>
          </w:p>
        </w:tc>
        <w:tc>
          <w:tcPr>
            <w:tcW w:w="1127" w:type="dxa"/>
            <w:tcBorders>
              <w:top w:val="nil"/>
              <w:left w:val="single" w:sz="4" w:space="0" w:color="auto"/>
              <w:bottom w:val="single" w:sz="4" w:space="0" w:color="auto"/>
              <w:right w:val="single" w:sz="4" w:space="0" w:color="auto"/>
            </w:tcBorders>
            <w:vAlign w:val="center"/>
          </w:tcPr>
          <w:p w14:paraId="48414AED" w14:textId="77777777" w:rsidR="004752EC" w:rsidRPr="00E8515C" w:rsidRDefault="004752EC" w:rsidP="00BF6BD4">
            <w:pPr>
              <w:keepNext/>
              <w:keepLines/>
              <w:spacing w:before="20" w:after="20"/>
              <w:jc w:val="right"/>
              <w:rPr>
                <w:sz w:val="20"/>
                <w:szCs w:val="20"/>
              </w:rPr>
            </w:pPr>
            <w:r w:rsidRPr="00E8515C">
              <w:rPr>
                <w:sz w:val="20"/>
                <w:szCs w:val="20"/>
              </w:rPr>
              <w:t>8.378</w:t>
            </w:r>
          </w:p>
        </w:tc>
        <w:tc>
          <w:tcPr>
            <w:tcW w:w="1127" w:type="dxa"/>
            <w:tcBorders>
              <w:top w:val="nil"/>
              <w:left w:val="single" w:sz="4" w:space="0" w:color="auto"/>
              <w:bottom w:val="single" w:sz="4" w:space="0" w:color="auto"/>
              <w:right w:val="single" w:sz="4" w:space="0" w:color="auto"/>
            </w:tcBorders>
            <w:vAlign w:val="center"/>
          </w:tcPr>
          <w:p w14:paraId="0BE44DE0" w14:textId="77777777" w:rsidR="004752EC" w:rsidRPr="00E8515C" w:rsidRDefault="004752EC" w:rsidP="00BF6BD4">
            <w:pPr>
              <w:keepNext/>
              <w:keepLines/>
              <w:spacing w:before="20" w:after="20"/>
              <w:jc w:val="right"/>
              <w:rPr>
                <w:sz w:val="20"/>
                <w:szCs w:val="20"/>
              </w:rPr>
            </w:pPr>
            <w:r w:rsidRPr="00E8515C">
              <w:rPr>
                <w:sz w:val="20"/>
                <w:szCs w:val="20"/>
              </w:rPr>
              <w:t>44.429</w:t>
            </w:r>
          </w:p>
        </w:tc>
      </w:tr>
      <w:tr w:rsidR="004752EC" w:rsidRPr="00E8515C" w14:paraId="21D1072F" w14:textId="77777777" w:rsidTr="00BF6BD4">
        <w:trPr>
          <w:trHeight w:val="20"/>
        </w:trPr>
        <w:tc>
          <w:tcPr>
            <w:tcW w:w="3402" w:type="dxa"/>
            <w:tcBorders>
              <w:top w:val="single" w:sz="4" w:space="0" w:color="auto"/>
              <w:left w:val="single" w:sz="4" w:space="0" w:color="auto"/>
              <w:bottom w:val="nil"/>
              <w:right w:val="single" w:sz="4" w:space="0" w:color="auto"/>
            </w:tcBorders>
            <w:hideMark/>
          </w:tcPr>
          <w:p w14:paraId="3277DFFA" w14:textId="77777777" w:rsidR="004752EC" w:rsidRPr="00E8515C" w:rsidRDefault="004752EC" w:rsidP="00BF6BD4">
            <w:pPr>
              <w:keepNext/>
              <w:keepLines/>
              <w:spacing w:before="20" w:after="20"/>
              <w:rPr>
                <w:b/>
                <w:sz w:val="20"/>
                <w:szCs w:val="20"/>
              </w:rPr>
            </w:pPr>
            <w:r w:rsidRPr="00E8515C">
              <w:rPr>
                <w:b/>
                <w:sz w:val="20"/>
                <w:szCs w:val="20"/>
              </w:rPr>
              <w:t>Queensland</w:t>
            </w:r>
          </w:p>
        </w:tc>
        <w:tc>
          <w:tcPr>
            <w:tcW w:w="993" w:type="dxa"/>
            <w:tcBorders>
              <w:top w:val="single" w:sz="4" w:space="0" w:color="auto"/>
              <w:left w:val="single" w:sz="4" w:space="0" w:color="auto"/>
              <w:bottom w:val="nil"/>
              <w:right w:val="single" w:sz="4" w:space="0" w:color="auto"/>
            </w:tcBorders>
            <w:hideMark/>
          </w:tcPr>
          <w:p w14:paraId="3BD84101" w14:textId="77777777" w:rsidR="004752EC" w:rsidRPr="00E8515C" w:rsidRDefault="004752EC" w:rsidP="00BF6BD4">
            <w:pPr>
              <w:keepNext/>
              <w:keepLines/>
              <w:spacing w:before="20" w:after="20"/>
              <w:jc w:val="right"/>
              <w:rPr>
                <w:b/>
                <w:sz w:val="20"/>
                <w:szCs w:val="20"/>
              </w:rPr>
            </w:pPr>
            <w:r w:rsidRPr="00E8515C">
              <w:rPr>
                <w:b/>
                <w:sz w:val="20"/>
                <w:szCs w:val="20"/>
              </w:rPr>
              <w:t>50.060</w:t>
            </w:r>
          </w:p>
        </w:tc>
        <w:tc>
          <w:tcPr>
            <w:tcW w:w="1127" w:type="dxa"/>
            <w:tcBorders>
              <w:top w:val="single" w:sz="4" w:space="0" w:color="auto"/>
              <w:left w:val="single" w:sz="4" w:space="0" w:color="auto"/>
              <w:bottom w:val="nil"/>
              <w:right w:val="single" w:sz="4" w:space="0" w:color="auto"/>
            </w:tcBorders>
            <w:hideMark/>
          </w:tcPr>
          <w:p w14:paraId="72428C44" w14:textId="77777777" w:rsidR="004752EC" w:rsidRPr="00E8515C" w:rsidRDefault="004752EC" w:rsidP="00BF6BD4">
            <w:pPr>
              <w:keepNext/>
              <w:keepLines/>
              <w:spacing w:before="20" w:after="20"/>
              <w:jc w:val="right"/>
              <w:rPr>
                <w:b/>
                <w:sz w:val="20"/>
                <w:szCs w:val="20"/>
              </w:rPr>
            </w:pPr>
            <w:r w:rsidRPr="00E8515C">
              <w:rPr>
                <w:b/>
                <w:sz w:val="20"/>
                <w:szCs w:val="20"/>
              </w:rPr>
              <w:t>51.401</w:t>
            </w:r>
          </w:p>
        </w:tc>
        <w:tc>
          <w:tcPr>
            <w:tcW w:w="1127" w:type="dxa"/>
            <w:tcBorders>
              <w:top w:val="single" w:sz="4" w:space="0" w:color="auto"/>
              <w:left w:val="single" w:sz="4" w:space="0" w:color="auto"/>
              <w:bottom w:val="nil"/>
              <w:right w:val="single" w:sz="4" w:space="0" w:color="auto"/>
            </w:tcBorders>
            <w:hideMark/>
          </w:tcPr>
          <w:p w14:paraId="7E0C02C9" w14:textId="77777777" w:rsidR="004752EC" w:rsidRPr="00E8515C" w:rsidRDefault="004752EC" w:rsidP="00BF6BD4">
            <w:pPr>
              <w:keepNext/>
              <w:keepLines/>
              <w:spacing w:before="20" w:after="20"/>
              <w:jc w:val="right"/>
              <w:rPr>
                <w:b/>
                <w:sz w:val="20"/>
                <w:szCs w:val="20"/>
              </w:rPr>
            </w:pPr>
            <w:r w:rsidRPr="00E8515C">
              <w:rPr>
                <w:b/>
                <w:sz w:val="20"/>
                <w:szCs w:val="20"/>
              </w:rPr>
              <w:t>50.106</w:t>
            </w:r>
          </w:p>
        </w:tc>
        <w:tc>
          <w:tcPr>
            <w:tcW w:w="1126" w:type="dxa"/>
            <w:tcBorders>
              <w:top w:val="single" w:sz="4" w:space="0" w:color="auto"/>
              <w:left w:val="single" w:sz="4" w:space="0" w:color="auto"/>
              <w:bottom w:val="nil"/>
              <w:right w:val="single" w:sz="4" w:space="0" w:color="auto"/>
            </w:tcBorders>
            <w:hideMark/>
          </w:tcPr>
          <w:p w14:paraId="2DD3E36A" w14:textId="77777777" w:rsidR="004752EC" w:rsidRPr="00E8515C" w:rsidRDefault="004752EC" w:rsidP="00BF6BD4">
            <w:pPr>
              <w:keepNext/>
              <w:keepLines/>
              <w:spacing w:before="20" w:after="20"/>
              <w:jc w:val="right"/>
              <w:rPr>
                <w:b/>
                <w:sz w:val="20"/>
                <w:szCs w:val="20"/>
              </w:rPr>
            </w:pPr>
            <w:r w:rsidRPr="00E8515C">
              <w:rPr>
                <w:b/>
                <w:sz w:val="20"/>
                <w:szCs w:val="20"/>
              </w:rPr>
              <w:t>51.027</w:t>
            </w:r>
          </w:p>
        </w:tc>
        <w:tc>
          <w:tcPr>
            <w:tcW w:w="1127" w:type="dxa"/>
            <w:tcBorders>
              <w:top w:val="single" w:sz="4" w:space="0" w:color="auto"/>
              <w:left w:val="single" w:sz="4" w:space="0" w:color="auto"/>
              <w:bottom w:val="nil"/>
              <w:right w:val="single" w:sz="4" w:space="0" w:color="auto"/>
            </w:tcBorders>
            <w:hideMark/>
          </w:tcPr>
          <w:p w14:paraId="34C81FDE" w14:textId="77777777" w:rsidR="004752EC" w:rsidRPr="00E8515C" w:rsidRDefault="004752EC" w:rsidP="00BF6BD4">
            <w:pPr>
              <w:keepNext/>
              <w:keepLines/>
              <w:spacing w:before="20" w:after="20"/>
              <w:jc w:val="right"/>
              <w:rPr>
                <w:b/>
                <w:sz w:val="20"/>
                <w:szCs w:val="20"/>
              </w:rPr>
            </w:pPr>
            <w:r w:rsidRPr="00E8515C">
              <w:rPr>
                <w:b/>
                <w:sz w:val="20"/>
                <w:szCs w:val="20"/>
              </w:rPr>
              <w:t>51.900</w:t>
            </w:r>
          </w:p>
        </w:tc>
        <w:tc>
          <w:tcPr>
            <w:tcW w:w="1127" w:type="dxa"/>
            <w:tcBorders>
              <w:top w:val="single" w:sz="4" w:space="0" w:color="auto"/>
              <w:left w:val="single" w:sz="4" w:space="0" w:color="auto"/>
              <w:bottom w:val="nil"/>
              <w:right w:val="single" w:sz="4" w:space="0" w:color="auto"/>
            </w:tcBorders>
            <w:hideMark/>
          </w:tcPr>
          <w:p w14:paraId="7C7B50A0" w14:textId="77777777" w:rsidR="004752EC" w:rsidRPr="00E8515C" w:rsidRDefault="004752EC" w:rsidP="00BF6BD4">
            <w:pPr>
              <w:keepNext/>
              <w:keepLines/>
              <w:spacing w:before="20" w:after="20"/>
              <w:jc w:val="right"/>
              <w:rPr>
                <w:b/>
                <w:sz w:val="20"/>
                <w:szCs w:val="20"/>
              </w:rPr>
            </w:pPr>
            <w:r w:rsidRPr="00E8515C">
              <w:rPr>
                <w:b/>
                <w:sz w:val="20"/>
                <w:szCs w:val="20"/>
              </w:rPr>
              <w:t>254.494</w:t>
            </w:r>
          </w:p>
        </w:tc>
      </w:tr>
      <w:tr w:rsidR="004752EC" w:rsidRPr="00E8515C" w14:paraId="28DFF40A" w14:textId="77777777" w:rsidTr="00BF6BD4">
        <w:trPr>
          <w:trHeight w:val="20"/>
        </w:trPr>
        <w:tc>
          <w:tcPr>
            <w:tcW w:w="3402" w:type="dxa"/>
            <w:tcBorders>
              <w:top w:val="nil"/>
              <w:left w:val="single" w:sz="4" w:space="0" w:color="auto"/>
              <w:bottom w:val="nil"/>
              <w:right w:val="single" w:sz="4" w:space="0" w:color="auto"/>
            </w:tcBorders>
          </w:tcPr>
          <w:p w14:paraId="6B0D4FB1" w14:textId="77777777" w:rsidR="004752EC" w:rsidRPr="00E8515C" w:rsidRDefault="004752EC" w:rsidP="00BF6BD4">
            <w:pPr>
              <w:keepNext/>
              <w:keepLines/>
              <w:spacing w:before="20" w:after="20"/>
              <w:ind w:left="284"/>
              <w:rPr>
                <w:b/>
                <w:sz w:val="20"/>
                <w:szCs w:val="20"/>
              </w:rPr>
            </w:pPr>
            <w:r w:rsidRPr="00E8515C">
              <w:rPr>
                <w:sz w:val="20"/>
                <w:szCs w:val="20"/>
              </w:rPr>
              <w:t>Legal aid commissions</w:t>
            </w:r>
          </w:p>
        </w:tc>
        <w:tc>
          <w:tcPr>
            <w:tcW w:w="993" w:type="dxa"/>
            <w:tcBorders>
              <w:top w:val="nil"/>
              <w:left w:val="single" w:sz="4" w:space="0" w:color="auto"/>
              <w:bottom w:val="nil"/>
              <w:right w:val="single" w:sz="4" w:space="0" w:color="auto"/>
            </w:tcBorders>
          </w:tcPr>
          <w:p w14:paraId="78B72D49" w14:textId="77777777" w:rsidR="004752EC" w:rsidRPr="00E8515C" w:rsidRDefault="004752EC" w:rsidP="00BF6BD4">
            <w:pPr>
              <w:keepNext/>
              <w:keepLines/>
              <w:spacing w:before="20" w:after="20"/>
              <w:jc w:val="right"/>
              <w:rPr>
                <w:sz w:val="20"/>
                <w:szCs w:val="20"/>
              </w:rPr>
            </w:pPr>
            <w:r w:rsidRPr="00E8515C">
              <w:rPr>
                <w:sz w:val="20"/>
                <w:szCs w:val="20"/>
              </w:rPr>
              <w:t>41.691</w:t>
            </w:r>
          </w:p>
        </w:tc>
        <w:tc>
          <w:tcPr>
            <w:tcW w:w="1127" w:type="dxa"/>
            <w:tcBorders>
              <w:top w:val="nil"/>
              <w:left w:val="single" w:sz="4" w:space="0" w:color="auto"/>
              <w:bottom w:val="nil"/>
              <w:right w:val="single" w:sz="4" w:space="0" w:color="auto"/>
            </w:tcBorders>
          </w:tcPr>
          <w:p w14:paraId="2651509E" w14:textId="77777777" w:rsidR="004752EC" w:rsidRPr="00E8515C" w:rsidRDefault="004752EC" w:rsidP="00BF6BD4">
            <w:pPr>
              <w:keepNext/>
              <w:keepLines/>
              <w:spacing w:before="20" w:after="20"/>
              <w:jc w:val="right"/>
              <w:rPr>
                <w:sz w:val="20"/>
                <w:szCs w:val="20"/>
              </w:rPr>
            </w:pPr>
            <w:r w:rsidRPr="00E8515C">
              <w:rPr>
                <w:sz w:val="20"/>
                <w:szCs w:val="20"/>
              </w:rPr>
              <w:t>42.456</w:t>
            </w:r>
          </w:p>
        </w:tc>
        <w:tc>
          <w:tcPr>
            <w:tcW w:w="1127" w:type="dxa"/>
            <w:tcBorders>
              <w:top w:val="nil"/>
              <w:left w:val="single" w:sz="4" w:space="0" w:color="auto"/>
              <w:bottom w:val="nil"/>
              <w:right w:val="single" w:sz="4" w:space="0" w:color="auto"/>
            </w:tcBorders>
          </w:tcPr>
          <w:p w14:paraId="188E840F" w14:textId="77777777" w:rsidR="004752EC" w:rsidRPr="00E8515C" w:rsidRDefault="004752EC" w:rsidP="00BF6BD4">
            <w:pPr>
              <w:keepNext/>
              <w:keepLines/>
              <w:spacing w:before="20" w:after="20"/>
              <w:jc w:val="right"/>
              <w:rPr>
                <w:sz w:val="20"/>
                <w:szCs w:val="20"/>
              </w:rPr>
            </w:pPr>
            <w:r w:rsidRPr="00E8515C">
              <w:rPr>
                <w:sz w:val="20"/>
                <w:szCs w:val="20"/>
              </w:rPr>
              <w:t>43.148</w:t>
            </w:r>
          </w:p>
        </w:tc>
        <w:tc>
          <w:tcPr>
            <w:tcW w:w="1126" w:type="dxa"/>
            <w:tcBorders>
              <w:top w:val="nil"/>
              <w:left w:val="single" w:sz="4" w:space="0" w:color="auto"/>
              <w:bottom w:val="nil"/>
              <w:right w:val="single" w:sz="4" w:space="0" w:color="auto"/>
            </w:tcBorders>
          </w:tcPr>
          <w:p w14:paraId="2E6CF1F1" w14:textId="77777777" w:rsidR="004752EC" w:rsidRPr="00E8515C" w:rsidRDefault="004752EC" w:rsidP="00BF6BD4">
            <w:pPr>
              <w:keepNext/>
              <w:keepLines/>
              <w:spacing w:before="20" w:after="20"/>
              <w:jc w:val="right"/>
              <w:rPr>
                <w:sz w:val="20"/>
                <w:szCs w:val="20"/>
              </w:rPr>
            </w:pPr>
            <w:r w:rsidRPr="00E8515C">
              <w:rPr>
                <w:sz w:val="20"/>
                <w:szCs w:val="20"/>
              </w:rPr>
              <w:t>43.850</w:t>
            </w:r>
          </w:p>
        </w:tc>
        <w:tc>
          <w:tcPr>
            <w:tcW w:w="1127" w:type="dxa"/>
            <w:tcBorders>
              <w:top w:val="nil"/>
              <w:left w:val="single" w:sz="4" w:space="0" w:color="auto"/>
              <w:bottom w:val="nil"/>
              <w:right w:val="single" w:sz="4" w:space="0" w:color="auto"/>
            </w:tcBorders>
          </w:tcPr>
          <w:p w14:paraId="248A70C3" w14:textId="77777777" w:rsidR="004752EC" w:rsidRPr="00E8515C" w:rsidRDefault="004752EC" w:rsidP="00BF6BD4">
            <w:pPr>
              <w:keepNext/>
              <w:keepLines/>
              <w:spacing w:before="20" w:after="20"/>
              <w:jc w:val="right"/>
              <w:rPr>
                <w:sz w:val="20"/>
                <w:szCs w:val="20"/>
              </w:rPr>
            </w:pPr>
            <w:r w:rsidRPr="00E8515C">
              <w:rPr>
                <w:sz w:val="20"/>
                <w:szCs w:val="20"/>
              </w:rPr>
              <w:t>44.493</w:t>
            </w:r>
          </w:p>
        </w:tc>
        <w:tc>
          <w:tcPr>
            <w:tcW w:w="1127" w:type="dxa"/>
            <w:tcBorders>
              <w:top w:val="nil"/>
              <w:left w:val="single" w:sz="4" w:space="0" w:color="auto"/>
              <w:bottom w:val="nil"/>
              <w:right w:val="single" w:sz="4" w:space="0" w:color="auto"/>
            </w:tcBorders>
          </w:tcPr>
          <w:p w14:paraId="6E14A3E1" w14:textId="77777777" w:rsidR="004752EC" w:rsidRPr="00E8515C" w:rsidRDefault="004752EC" w:rsidP="00BF6BD4">
            <w:pPr>
              <w:keepNext/>
              <w:keepLines/>
              <w:spacing w:before="20" w:after="20"/>
              <w:jc w:val="right"/>
              <w:rPr>
                <w:sz w:val="20"/>
                <w:szCs w:val="20"/>
              </w:rPr>
            </w:pPr>
            <w:r w:rsidRPr="00E8515C">
              <w:rPr>
                <w:sz w:val="20"/>
                <w:szCs w:val="20"/>
              </w:rPr>
              <w:t>215.638</w:t>
            </w:r>
          </w:p>
        </w:tc>
      </w:tr>
      <w:tr w:rsidR="004752EC" w:rsidRPr="00E8515C" w14:paraId="1901302C" w14:textId="77777777" w:rsidTr="00BF6BD4">
        <w:trPr>
          <w:trHeight w:val="20"/>
        </w:trPr>
        <w:tc>
          <w:tcPr>
            <w:tcW w:w="3402" w:type="dxa"/>
            <w:tcBorders>
              <w:top w:val="nil"/>
              <w:left w:val="single" w:sz="4" w:space="0" w:color="auto"/>
              <w:bottom w:val="nil"/>
              <w:right w:val="single" w:sz="4" w:space="0" w:color="auto"/>
            </w:tcBorders>
          </w:tcPr>
          <w:p w14:paraId="32A1DC81"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993" w:type="dxa"/>
            <w:tcBorders>
              <w:top w:val="nil"/>
              <w:left w:val="single" w:sz="4" w:space="0" w:color="auto"/>
              <w:bottom w:val="nil"/>
              <w:right w:val="single" w:sz="4" w:space="0" w:color="auto"/>
            </w:tcBorders>
          </w:tcPr>
          <w:p w14:paraId="06951589" w14:textId="77777777" w:rsidR="004752EC" w:rsidRPr="00E8515C" w:rsidRDefault="004752EC" w:rsidP="00BF6BD4">
            <w:pPr>
              <w:keepNext/>
              <w:keepLines/>
              <w:spacing w:before="20" w:after="20"/>
              <w:jc w:val="right"/>
              <w:rPr>
                <w:i/>
                <w:sz w:val="20"/>
                <w:szCs w:val="20"/>
              </w:rPr>
            </w:pPr>
            <w:r w:rsidRPr="00E8515C">
              <w:rPr>
                <w:i/>
                <w:sz w:val="20"/>
                <w:szCs w:val="20"/>
              </w:rPr>
              <w:t>4.869</w:t>
            </w:r>
          </w:p>
        </w:tc>
        <w:tc>
          <w:tcPr>
            <w:tcW w:w="1127" w:type="dxa"/>
            <w:tcBorders>
              <w:top w:val="nil"/>
              <w:left w:val="single" w:sz="4" w:space="0" w:color="auto"/>
              <w:bottom w:val="nil"/>
              <w:right w:val="single" w:sz="4" w:space="0" w:color="auto"/>
            </w:tcBorders>
          </w:tcPr>
          <w:p w14:paraId="2067E5FD" w14:textId="77777777" w:rsidR="004752EC" w:rsidRPr="00E8515C" w:rsidRDefault="004752EC" w:rsidP="00BF6BD4">
            <w:pPr>
              <w:keepNext/>
              <w:keepLines/>
              <w:spacing w:before="20" w:after="20"/>
              <w:jc w:val="right"/>
              <w:rPr>
                <w:i/>
                <w:sz w:val="20"/>
                <w:szCs w:val="20"/>
              </w:rPr>
            </w:pPr>
            <w:r w:rsidRPr="00E8515C">
              <w:rPr>
                <w:i/>
                <w:sz w:val="20"/>
                <w:szCs w:val="20"/>
              </w:rPr>
              <w:t>5.331</w:t>
            </w:r>
          </w:p>
        </w:tc>
        <w:tc>
          <w:tcPr>
            <w:tcW w:w="1127" w:type="dxa"/>
            <w:tcBorders>
              <w:top w:val="nil"/>
              <w:left w:val="single" w:sz="4" w:space="0" w:color="auto"/>
              <w:bottom w:val="nil"/>
              <w:right w:val="single" w:sz="4" w:space="0" w:color="auto"/>
            </w:tcBorders>
          </w:tcPr>
          <w:p w14:paraId="4CEEDDBF" w14:textId="77777777" w:rsidR="004752EC" w:rsidRPr="00E8515C" w:rsidRDefault="004752EC" w:rsidP="00BF6BD4">
            <w:pPr>
              <w:keepNext/>
              <w:keepLines/>
              <w:spacing w:before="20" w:after="20"/>
              <w:jc w:val="right"/>
              <w:rPr>
                <w:i/>
                <w:sz w:val="20"/>
                <w:szCs w:val="20"/>
              </w:rPr>
            </w:pPr>
            <w:r w:rsidRPr="00E8515C">
              <w:rPr>
                <w:i/>
                <w:sz w:val="20"/>
                <w:szCs w:val="20"/>
              </w:rPr>
              <w:t>5.712</w:t>
            </w:r>
          </w:p>
        </w:tc>
        <w:tc>
          <w:tcPr>
            <w:tcW w:w="1126" w:type="dxa"/>
            <w:tcBorders>
              <w:top w:val="nil"/>
              <w:left w:val="single" w:sz="4" w:space="0" w:color="auto"/>
              <w:bottom w:val="nil"/>
              <w:right w:val="single" w:sz="4" w:space="0" w:color="auto"/>
            </w:tcBorders>
          </w:tcPr>
          <w:p w14:paraId="02BDC321" w14:textId="77777777" w:rsidR="004752EC" w:rsidRPr="00E8515C" w:rsidRDefault="004752EC" w:rsidP="00BF6BD4">
            <w:pPr>
              <w:keepNext/>
              <w:keepLines/>
              <w:spacing w:before="20" w:after="20"/>
              <w:jc w:val="right"/>
              <w:rPr>
                <w:i/>
                <w:sz w:val="20"/>
                <w:szCs w:val="20"/>
              </w:rPr>
            </w:pPr>
            <w:r w:rsidRPr="00E8515C">
              <w:rPr>
                <w:i/>
                <w:sz w:val="20"/>
                <w:szCs w:val="20"/>
              </w:rPr>
              <w:t>5.812</w:t>
            </w:r>
          </w:p>
        </w:tc>
        <w:tc>
          <w:tcPr>
            <w:tcW w:w="1127" w:type="dxa"/>
            <w:tcBorders>
              <w:top w:val="nil"/>
              <w:left w:val="single" w:sz="4" w:space="0" w:color="auto"/>
              <w:bottom w:val="nil"/>
              <w:right w:val="single" w:sz="4" w:space="0" w:color="auto"/>
            </w:tcBorders>
          </w:tcPr>
          <w:p w14:paraId="44F37B31" w14:textId="77777777" w:rsidR="004752EC" w:rsidRPr="00E8515C" w:rsidRDefault="004752EC" w:rsidP="00BF6BD4">
            <w:pPr>
              <w:keepNext/>
              <w:keepLines/>
              <w:spacing w:before="20" w:after="20"/>
              <w:jc w:val="right"/>
              <w:rPr>
                <w:i/>
                <w:sz w:val="20"/>
                <w:szCs w:val="20"/>
              </w:rPr>
            </w:pPr>
            <w:r w:rsidRPr="00E8515C">
              <w:rPr>
                <w:i/>
                <w:sz w:val="20"/>
                <w:szCs w:val="20"/>
              </w:rPr>
              <w:t>5.919</w:t>
            </w:r>
          </w:p>
        </w:tc>
        <w:tc>
          <w:tcPr>
            <w:tcW w:w="1127" w:type="dxa"/>
            <w:tcBorders>
              <w:top w:val="nil"/>
              <w:left w:val="single" w:sz="4" w:space="0" w:color="auto"/>
              <w:bottom w:val="nil"/>
              <w:right w:val="single" w:sz="4" w:space="0" w:color="auto"/>
            </w:tcBorders>
          </w:tcPr>
          <w:p w14:paraId="4BC9D51A" w14:textId="77777777" w:rsidR="004752EC" w:rsidRPr="00E8515C" w:rsidRDefault="004752EC" w:rsidP="00BF6BD4">
            <w:pPr>
              <w:keepNext/>
              <w:keepLines/>
              <w:spacing w:before="20" w:after="20"/>
              <w:jc w:val="right"/>
              <w:rPr>
                <w:i/>
                <w:sz w:val="20"/>
                <w:szCs w:val="20"/>
              </w:rPr>
            </w:pPr>
            <w:r w:rsidRPr="00E8515C">
              <w:rPr>
                <w:i/>
                <w:sz w:val="20"/>
                <w:szCs w:val="20"/>
              </w:rPr>
              <w:t>27.644</w:t>
            </w:r>
          </w:p>
        </w:tc>
      </w:tr>
      <w:tr w:rsidR="004752EC" w:rsidRPr="00E8515C" w14:paraId="5D5113E3" w14:textId="77777777" w:rsidTr="00BF6BD4">
        <w:trPr>
          <w:trHeight w:val="20"/>
        </w:trPr>
        <w:tc>
          <w:tcPr>
            <w:tcW w:w="3402" w:type="dxa"/>
            <w:tcBorders>
              <w:top w:val="nil"/>
              <w:left w:val="single" w:sz="4" w:space="0" w:color="auto"/>
              <w:bottom w:val="nil"/>
              <w:right w:val="single" w:sz="4" w:space="0" w:color="auto"/>
            </w:tcBorders>
          </w:tcPr>
          <w:p w14:paraId="5DA1C6C6"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993" w:type="dxa"/>
            <w:tcBorders>
              <w:top w:val="nil"/>
              <w:left w:val="single" w:sz="4" w:space="0" w:color="auto"/>
              <w:bottom w:val="nil"/>
              <w:right w:val="single" w:sz="4" w:space="0" w:color="auto"/>
            </w:tcBorders>
          </w:tcPr>
          <w:p w14:paraId="22537C03" w14:textId="77777777" w:rsidR="004752EC" w:rsidRPr="00E8515C" w:rsidRDefault="004752EC" w:rsidP="00BF6BD4">
            <w:pPr>
              <w:keepNext/>
              <w:keepLines/>
              <w:spacing w:before="20" w:after="20"/>
              <w:jc w:val="right"/>
              <w:rPr>
                <w:i/>
                <w:sz w:val="20"/>
                <w:szCs w:val="20"/>
              </w:rPr>
            </w:pPr>
            <w:r w:rsidRPr="00E8515C">
              <w:rPr>
                <w:i/>
                <w:sz w:val="20"/>
                <w:szCs w:val="20"/>
              </w:rPr>
              <w:t>2.512</w:t>
            </w:r>
          </w:p>
        </w:tc>
        <w:tc>
          <w:tcPr>
            <w:tcW w:w="1127" w:type="dxa"/>
            <w:tcBorders>
              <w:top w:val="nil"/>
              <w:left w:val="single" w:sz="4" w:space="0" w:color="auto"/>
              <w:bottom w:val="nil"/>
              <w:right w:val="single" w:sz="4" w:space="0" w:color="auto"/>
            </w:tcBorders>
          </w:tcPr>
          <w:p w14:paraId="77C95002" w14:textId="77777777" w:rsidR="004752EC" w:rsidRPr="00E8515C" w:rsidRDefault="004752EC" w:rsidP="00BF6BD4">
            <w:pPr>
              <w:keepNext/>
              <w:keepLines/>
              <w:spacing w:before="20" w:after="20"/>
              <w:jc w:val="right"/>
              <w:rPr>
                <w:i/>
                <w:sz w:val="20"/>
                <w:szCs w:val="20"/>
              </w:rPr>
            </w:pPr>
            <w:r w:rsidRPr="00E8515C">
              <w:rPr>
                <w:i/>
                <w:sz w:val="20"/>
                <w:szCs w:val="20"/>
              </w:rPr>
              <w:t>2.512</w:t>
            </w:r>
          </w:p>
        </w:tc>
        <w:tc>
          <w:tcPr>
            <w:tcW w:w="1127" w:type="dxa"/>
            <w:tcBorders>
              <w:top w:val="nil"/>
              <w:left w:val="single" w:sz="4" w:space="0" w:color="auto"/>
              <w:bottom w:val="nil"/>
              <w:right w:val="single" w:sz="4" w:space="0" w:color="auto"/>
            </w:tcBorders>
          </w:tcPr>
          <w:p w14:paraId="010F6387"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6" w:type="dxa"/>
            <w:tcBorders>
              <w:top w:val="nil"/>
              <w:left w:val="single" w:sz="4" w:space="0" w:color="auto"/>
              <w:bottom w:val="nil"/>
              <w:right w:val="single" w:sz="4" w:space="0" w:color="auto"/>
            </w:tcBorders>
          </w:tcPr>
          <w:p w14:paraId="4669DCD4"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66497FFD"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2CC00373" w14:textId="77777777" w:rsidR="004752EC" w:rsidRPr="00E8515C" w:rsidRDefault="004752EC" w:rsidP="00BF6BD4">
            <w:pPr>
              <w:keepNext/>
              <w:keepLines/>
              <w:spacing w:before="20" w:after="20"/>
              <w:jc w:val="right"/>
              <w:rPr>
                <w:i/>
                <w:sz w:val="20"/>
                <w:szCs w:val="20"/>
              </w:rPr>
            </w:pPr>
            <w:r w:rsidRPr="00E8515C">
              <w:rPr>
                <w:i/>
                <w:sz w:val="20"/>
                <w:szCs w:val="20"/>
              </w:rPr>
              <w:t>5.023</w:t>
            </w:r>
          </w:p>
        </w:tc>
      </w:tr>
      <w:tr w:rsidR="004752EC" w:rsidRPr="00E8515C" w14:paraId="7827B887" w14:textId="77777777" w:rsidTr="00BF6BD4">
        <w:trPr>
          <w:trHeight w:val="20"/>
        </w:trPr>
        <w:tc>
          <w:tcPr>
            <w:tcW w:w="3402" w:type="dxa"/>
            <w:tcBorders>
              <w:top w:val="nil"/>
              <w:left w:val="single" w:sz="4" w:space="0" w:color="auto"/>
              <w:bottom w:val="nil"/>
              <w:right w:val="single" w:sz="4" w:space="0" w:color="auto"/>
            </w:tcBorders>
          </w:tcPr>
          <w:p w14:paraId="0A74E5C0"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993" w:type="dxa"/>
            <w:tcBorders>
              <w:top w:val="nil"/>
              <w:left w:val="single" w:sz="4" w:space="0" w:color="auto"/>
              <w:bottom w:val="nil"/>
              <w:right w:val="single" w:sz="4" w:space="0" w:color="auto"/>
            </w:tcBorders>
          </w:tcPr>
          <w:p w14:paraId="419EBB03" w14:textId="77777777" w:rsidR="004752EC" w:rsidRPr="00E8515C" w:rsidRDefault="004752EC" w:rsidP="00BF6BD4">
            <w:pPr>
              <w:keepNext/>
              <w:keepLines/>
              <w:spacing w:before="20" w:after="20"/>
              <w:jc w:val="right"/>
              <w:rPr>
                <w:i/>
                <w:sz w:val="20"/>
                <w:szCs w:val="20"/>
              </w:rPr>
            </w:pPr>
            <w:r w:rsidRPr="00E8515C">
              <w:rPr>
                <w:i/>
                <w:sz w:val="20"/>
                <w:szCs w:val="20"/>
              </w:rPr>
              <w:t>0.988</w:t>
            </w:r>
          </w:p>
        </w:tc>
        <w:tc>
          <w:tcPr>
            <w:tcW w:w="1127" w:type="dxa"/>
            <w:tcBorders>
              <w:top w:val="nil"/>
              <w:left w:val="single" w:sz="4" w:space="0" w:color="auto"/>
              <w:bottom w:val="nil"/>
              <w:right w:val="single" w:sz="4" w:space="0" w:color="auto"/>
            </w:tcBorders>
          </w:tcPr>
          <w:p w14:paraId="017927C7" w14:textId="77777777" w:rsidR="004752EC" w:rsidRPr="00E8515C" w:rsidRDefault="004752EC" w:rsidP="00BF6BD4">
            <w:pPr>
              <w:keepNext/>
              <w:keepLines/>
              <w:spacing w:before="20" w:after="20"/>
              <w:jc w:val="right"/>
              <w:rPr>
                <w:i/>
                <w:sz w:val="20"/>
                <w:szCs w:val="20"/>
              </w:rPr>
            </w:pPr>
            <w:r w:rsidRPr="00E8515C">
              <w:rPr>
                <w:i/>
                <w:sz w:val="20"/>
                <w:szCs w:val="20"/>
              </w:rPr>
              <w:t>1.102</w:t>
            </w:r>
          </w:p>
        </w:tc>
        <w:tc>
          <w:tcPr>
            <w:tcW w:w="1127" w:type="dxa"/>
            <w:tcBorders>
              <w:top w:val="nil"/>
              <w:left w:val="single" w:sz="4" w:space="0" w:color="auto"/>
              <w:bottom w:val="nil"/>
              <w:right w:val="single" w:sz="4" w:space="0" w:color="auto"/>
            </w:tcBorders>
          </w:tcPr>
          <w:p w14:paraId="1FF7ADEC" w14:textId="77777777" w:rsidR="004752EC" w:rsidRPr="00E8515C" w:rsidRDefault="004752EC" w:rsidP="00BF6BD4">
            <w:pPr>
              <w:keepNext/>
              <w:keepLines/>
              <w:spacing w:before="20" w:after="20"/>
              <w:jc w:val="right"/>
              <w:rPr>
                <w:i/>
                <w:sz w:val="20"/>
                <w:szCs w:val="20"/>
              </w:rPr>
            </w:pPr>
            <w:r w:rsidRPr="00E8515C">
              <w:rPr>
                <w:i/>
                <w:sz w:val="20"/>
                <w:szCs w:val="20"/>
              </w:rPr>
              <w:t>1.246</w:t>
            </w:r>
          </w:p>
        </w:tc>
        <w:tc>
          <w:tcPr>
            <w:tcW w:w="1126" w:type="dxa"/>
            <w:tcBorders>
              <w:top w:val="nil"/>
              <w:left w:val="single" w:sz="4" w:space="0" w:color="auto"/>
              <w:bottom w:val="nil"/>
              <w:right w:val="single" w:sz="4" w:space="0" w:color="auto"/>
            </w:tcBorders>
          </w:tcPr>
          <w:p w14:paraId="7BD80C27" w14:textId="77777777" w:rsidR="004752EC" w:rsidRPr="00E8515C" w:rsidRDefault="004752EC" w:rsidP="00BF6BD4">
            <w:pPr>
              <w:keepNext/>
              <w:keepLines/>
              <w:spacing w:before="20" w:after="20"/>
              <w:jc w:val="right"/>
              <w:rPr>
                <w:i/>
                <w:sz w:val="20"/>
                <w:szCs w:val="20"/>
              </w:rPr>
            </w:pPr>
            <w:r w:rsidRPr="00E8515C">
              <w:rPr>
                <w:i/>
                <w:sz w:val="20"/>
                <w:szCs w:val="20"/>
              </w:rPr>
              <w:t>1.365</w:t>
            </w:r>
          </w:p>
        </w:tc>
        <w:tc>
          <w:tcPr>
            <w:tcW w:w="1127" w:type="dxa"/>
            <w:tcBorders>
              <w:top w:val="nil"/>
              <w:left w:val="single" w:sz="4" w:space="0" w:color="auto"/>
              <w:bottom w:val="nil"/>
              <w:right w:val="single" w:sz="4" w:space="0" w:color="auto"/>
            </w:tcBorders>
          </w:tcPr>
          <w:p w14:paraId="2A571C35" w14:textId="77777777" w:rsidR="004752EC" w:rsidRPr="00E8515C" w:rsidRDefault="004752EC" w:rsidP="00BF6BD4">
            <w:pPr>
              <w:keepNext/>
              <w:keepLines/>
              <w:spacing w:before="20" w:after="20"/>
              <w:jc w:val="right"/>
              <w:rPr>
                <w:i/>
                <w:sz w:val="20"/>
                <w:szCs w:val="20"/>
              </w:rPr>
            </w:pPr>
            <w:r w:rsidRPr="00E8515C">
              <w:rPr>
                <w:i/>
                <w:sz w:val="20"/>
                <w:szCs w:val="20"/>
              </w:rPr>
              <w:t>1.488</w:t>
            </w:r>
          </w:p>
        </w:tc>
        <w:tc>
          <w:tcPr>
            <w:tcW w:w="1127" w:type="dxa"/>
            <w:tcBorders>
              <w:top w:val="nil"/>
              <w:left w:val="single" w:sz="4" w:space="0" w:color="auto"/>
              <w:bottom w:val="nil"/>
              <w:right w:val="single" w:sz="4" w:space="0" w:color="auto"/>
            </w:tcBorders>
          </w:tcPr>
          <w:p w14:paraId="6AE1EC00" w14:textId="77777777" w:rsidR="004752EC" w:rsidRPr="00E8515C" w:rsidRDefault="004752EC" w:rsidP="00BF6BD4">
            <w:pPr>
              <w:keepNext/>
              <w:keepLines/>
              <w:spacing w:before="20" w:after="20"/>
              <w:jc w:val="right"/>
              <w:rPr>
                <w:i/>
                <w:sz w:val="20"/>
                <w:szCs w:val="20"/>
              </w:rPr>
            </w:pPr>
            <w:r w:rsidRPr="00E8515C">
              <w:rPr>
                <w:i/>
                <w:sz w:val="20"/>
                <w:szCs w:val="20"/>
              </w:rPr>
              <w:t>6.189</w:t>
            </w:r>
          </w:p>
        </w:tc>
      </w:tr>
      <w:tr w:rsidR="004752EC" w:rsidRPr="00E8515C" w14:paraId="27541F30" w14:textId="77777777" w:rsidTr="00BF6BD4">
        <w:trPr>
          <w:trHeight w:val="20"/>
        </w:trPr>
        <w:tc>
          <w:tcPr>
            <w:tcW w:w="3402" w:type="dxa"/>
            <w:tcBorders>
              <w:top w:val="nil"/>
              <w:left w:val="single" w:sz="4" w:space="0" w:color="auto"/>
              <w:bottom w:val="single" w:sz="4" w:space="0" w:color="auto"/>
              <w:right w:val="single" w:sz="4" w:space="0" w:color="auto"/>
            </w:tcBorders>
          </w:tcPr>
          <w:p w14:paraId="26DF0F0D"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993" w:type="dxa"/>
            <w:tcBorders>
              <w:top w:val="nil"/>
              <w:left w:val="single" w:sz="4" w:space="0" w:color="auto"/>
              <w:bottom w:val="single" w:sz="4" w:space="0" w:color="auto"/>
              <w:right w:val="single" w:sz="4" w:space="0" w:color="auto"/>
            </w:tcBorders>
            <w:vAlign w:val="center"/>
          </w:tcPr>
          <w:p w14:paraId="565130E0" w14:textId="77777777" w:rsidR="004752EC" w:rsidRPr="00E8515C" w:rsidRDefault="004752EC" w:rsidP="00BF6BD4">
            <w:pPr>
              <w:keepNext/>
              <w:keepLines/>
              <w:spacing w:before="20" w:after="20"/>
              <w:jc w:val="right"/>
              <w:rPr>
                <w:sz w:val="20"/>
                <w:szCs w:val="20"/>
              </w:rPr>
            </w:pPr>
            <w:r w:rsidRPr="00E8515C">
              <w:rPr>
                <w:sz w:val="20"/>
                <w:szCs w:val="20"/>
              </w:rPr>
              <w:t>8.369</w:t>
            </w:r>
          </w:p>
        </w:tc>
        <w:tc>
          <w:tcPr>
            <w:tcW w:w="1127" w:type="dxa"/>
            <w:tcBorders>
              <w:top w:val="nil"/>
              <w:left w:val="single" w:sz="4" w:space="0" w:color="auto"/>
              <w:bottom w:val="single" w:sz="4" w:space="0" w:color="auto"/>
              <w:right w:val="single" w:sz="4" w:space="0" w:color="auto"/>
            </w:tcBorders>
            <w:vAlign w:val="center"/>
          </w:tcPr>
          <w:p w14:paraId="03CCE256" w14:textId="77777777" w:rsidR="004752EC" w:rsidRPr="00E8515C" w:rsidRDefault="004752EC" w:rsidP="00BF6BD4">
            <w:pPr>
              <w:keepNext/>
              <w:keepLines/>
              <w:spacing w:before="20" w:after="20"/>
              <w:jc w:val="right"/>
              <w:rPr>
                <w:sz w:val="20"/>
                <w:szCs w:val="20"/>
              </w:rPr>
            </w:pPr>
            <w:r w:rsidRPr="00E8515C">
              <w:rPr>
                <w:sz w:val="20"/>
                <w:szCs w:val="20"/>
              </w:rPr>
              <w:t>8.945</w:t>
            </w:r>
          </w:p>
        </w:tc>
        <w:tc>
          <w:tcPr>
            <w:tcW w:w="1127" w:type="dxa"/>
            <w:tcBorders>
              <w:top w:val="nil"/>
              <w:left w:val="single" w:sz="4" w:space="0" w:color="auto"/>
              <w:bottom w:val="single" w:sz="4" w:space="0" w:color="auto"/>
              <w:right w:val="single" w:sz="4" w:space="0" w:color="auto"/>
            </w:tcBorders>
            <w:vAlign w:val="center"/>
          </w:tcPr>
          <w:p w14:paraId="6613B25D" w14:textId="77777777" w:rsidR="004752EC" w:rsidRPr="00E8515C" w:rsidRDefault="004752EC" w:rsidP="00BF6BD4">
            <w:pPr>
              <w:keepNext/>
              <w:keepLines/>
              <w:spacing w:before="20" w:after="20"/>
              <w:jc w:val="right"/>
              <w:rPr>
                <w:sz w:val="20"/>
                <w:szCs w:val="20"/>
              </w:rPr>
            </w:pPr>
            <w:r w:rsidRPr="00E8515C">
              <w:rPr>
                <w:sz w:val="20"/>
                <w:szCs w:val="20"/>
              </w:rPr>
              <w:t>6.958</w:t>
            </w:r>
          </w:p>
        </w:tc>
        <w:tc>
          <w:tcPr>
            <w:tcW w:w="1126" w:type="dxa"/>
            <w:tcBorders>
              <w:top w:val="nil"/>
              <w:left w:val="single" w:sz="4" w:space="0" w:color="auto"/>
              <w:bottom w:val="single" w:sz="4" w:space="0" w:color="auto"/>
              <w:right w:val="single" w:sz="4" w:space="0" w:color="auto"/>
            </w:tcBorders>
            <w:vAlign w:val="center"/>
          </w:tcPr>
          <w:p w14:paraId="1CAE91AC" w14:textId="77777777" w:rsidR="004752EC" w:rsidRPr="00E8515C" w:rsidRDefault="004752EC" w:rsidP="00BF6BD4">
            <w:pPr>
              <w:keepNext/>
              <w:keepLines/>
              <w:spacing w:before="20" w:after="20"/>
              <w:jc w:val="right"/>
              <w:rPr>
                <w:sz w:val="20"/>
                <w:szCs w:val="20"/>
              </w:rPr>
            </w:pPr>
            <w:r w:rsidRPr="00E8515C">
              <w:rPr>
                <w:sz w:val="20"/>
                <w:szCs w:val="20"/>
              </w:rPr>
              <w:t>7.177</w:t>
            </w:r>
          </w:p>
        </w:tc>
        <w:tc>
          <w:tcPr>
            <w:tcW w:w="1127" w:type="dxa"/>
            <w:tcBorders>
              <w:top w:val="nil"/>
              <w:left w:val="single" w:sz="4" w:space="0" w:color="auto"/>
              <w:bottom w:val="single" w:sz="4" w:space="0" w:color="auto"/>
              <w:right w:val="single" w:sz="4" w:space="0" w:color="auto"/>
            </w:tcBorders>
            <w:vAlign w:val="center"/>
          </w:tcPr>
          <w:p w14:paraId="70173EEF" w14:textId="77777777" w:rsidR="004752EC" w:rsidRPr="00E8515C" w:rsidRDefault="004752EC" w:rsidP="00BF6BD4">
            <w:pPr>
              <w:keepNext/>
              <w:keepLines/>
              <w:spacing w:before="20" w:after="20"/>
              <w:jc w:val="right"/>
              <w:rPr>
                <w:sz w:val="20"/>
                <w:szCs w:val="20"/>
              </w:rPr>
            </w:pPr>
            <w:r w:rsidRPr="00E8515C">
              <w:rPr>
                <w:sz w:val="20"/>
                <w:szCs w:val="20"/>
              </w:rPr>
              <w:t>7.407</w:t>
            </w:r>
          </w:p>
        </w:tc>
        <w:tc>
          <w:tcPr>
            <w:tcW w:w="1127" w:type="dxa"/>
            <w:tcBorders>
              <w:top w:val="nil"/>
              <w:left w:val="single" w:sz="4" w:space="0" w:color="auto"/>
              <w:bottom w:val="single" w:sz="4" w:space="0" w:color="auto"/>
              <w:right w:val="single" w:sz="4" w:space="0" w:color="auto"/>
            </w:tcBorders>
            <w:vAlign w:val="center"/>
          </w:tcPr>
          <w:p w14:paraId="46D653A8" w14:textId="77777777" w:rsidR="004752EC" w:rsidRPr="00E8515C" w:rsidRDefault="004752EC" w:rsidP="00BF6BD4">
            <w:pPr>
              <w:keepNext/>
              <w:keepLines/>
              <w:spacing w:before="20" w:after="20"/>
              <w:jc w:val="right"/>
              <w:rPr>
                <w:sz w:val="20"/>
                <w:szCs w:val="20"/>
              </w:rPr>
            </w:pPr>
            <w:r w:rsidRPr="00E8515C">
              <w:rPr>
                <w:sz w:val="20"/>
                <w:szCs w:val="20"/>
              </w:rPr>
              <w:t>38.856</w:t>
            </w:r>
          </w:p>
        </w:tc>
      </w:tr>
      <w:tr w:rsidR="004752EC" w:rsidRPr="00E8515C" w14:paraId="719B038B" w14:textId="77777777" w:rsidTr="00BF6BD4">
        <w:trPr>
          <w:trHeight w:val="20"/>
        </w:trPr>
        <w:tc>
          <w:tcPr>
            <w:tcW w:w="3402" w:type="dxa"/>
            <w:tcBorders>
              <w:top w:val="single" w:sz="4" w:space="0" w:color="auto"/>
              <w:left w:val="single" w:sz="4" w:space="0" w:color="auto"/>
              <w:bottom w:val="nil"/>
              <w:right w:val="single" w:sz="4" w:space="0" w:color="auto"/>
            </w:tcBorders>
            <w:hideMark/>
          </w:tcPr>
          <w:p w14:paraId="613D2F08" w14:textId="77777777" w:rsidR="004752EC" w:rsidRPr="00E8515C" w:rsidRDefault="004752EC" w:rsidP="00BF6BD4">
            <w:pPr>
              <w:keepNext/>
              <w:keepLines/>
              <w:spacing w:before="20" w:after="20"/>
              <w:rPr>
                <w:b/>
                <w:sz w:val="20"/>
                <w:szCs w:val="20"/>
              </w:rPr>
            </w:pPr>
            <w:r w:rsidRPr="00E8515C">
              <w:rPr>
                <w:b/>
                <w:sz w:val="20"/>
                <w:szCs w:val="20"/>
              </w:rPr>
              <w:t>Western Australia</w:t>
            </w:r>
          </w:p>
        </w:tc>
        <w:tc>
          <w:tcPr>
            <w:tcW w:w="993" w:type="dxa"/>
            <w:tcBorders>
              <w:top w:val="single" w:sz="4" w:space="0" w:color="auto"/>
              <w:left w:val="single" w:sz="4" w:space="0" w:color="auto"/>
              <w:bottom w:val="nil"/>
              <w:right w:val="single" w:sz="4" w:space="0" w:color="auto"/>
            </w:tcBorders>
            <w:hideMark/>
          </w:tcPr>
          <w:p w14:paraId="03422166" w14:textId="77777777" w:rsidR="004752EC" w:rsidRPr="00E8515C" w:rsidRDefault="004752EC" w:rsidP="00BF6BD4">
            <w:pPr>
              <w:keepNext/>
              <w:keepLines/>
              <w:spacing w:before="20" w:after="20"/>
              <w:jc w:val="right"/>
              <w:rPr>
                <w:b/>
                <w:sz w:val="20"/>
                <w:szCs w:val="20"/>
              </w:rPr>
            </w:pPr>
            <w:r w:rsidRPr="00E8515C">
              <w:rPr>
                <w:b/>
                <w:sz w:val="20"/>
                <w:szCs w:val="20"/>
              </w:rPr>
              <w:t>29.021</w:t>
            </w:r>
          </w:p>
        </w:tc>
        <w:tc>
          <w:tcPr>
            <w:tcW w:w="1127" w:type="dxa"/>
            <w:tcBorders>
              <w:top w:val="single" w:sz="4" w:space="0" w:color="auto"/>
              <w:left w:val="single" w:sz="4" w:space="0" w:color="auto"/>
              <w:bottom w:val="nil"/>
              <w:right w:val="single" w:sz="4" w:space="0" w:color="auto"/>
            </w:tcBorders>
            <w:hideMark/>
          </w:tcPr>
          <w:p w14:paraId="1B07F137" w14:textId="77777777" w:rsidR="004752EC" w:rsidRPr="00E8515C" w:rsidRDefault="004752EC" w:rsidP="00BF6BD4">
            <w:pPr>
              <w:keepNext/>
              <w:keepLines/>
              <w:spacing w:before="20" w:after="20"/>
              <w:jc w:val="right"/>
              <w:rPr>
                <w:b/>
                <w:sz w:val="20"/>
                <w:szCs w:val="20"/>
              </w:rPr>
            </w:pPr>
            <w:r w:rsidRPr="00E8515C">
              <w:rPr>
                <w:b/>
                <w:sz w:val="20"/>
                <w:szCs w:val="20"/>
              </w:rPr>
              <w:t>29.851</w:t>
            </w:r>
          </w:p>
        </w:tc>
        <w:tc>
          <w:tcPr>
            <w:tcW w:w="1127" w:type="dxa"/>
            <w:tcBorders>
              <w:top w:val="single" w:sz="4" w:space="0" w:color="auto"/>
              <w:left w:val="single" w:sz="4" w:space="0" w:color="auto"/>
              <w:bottom w:val="nil"/>
              <w:right w:val="single" w:sz="4" w:space="0" w:color="auto"/>
            </w:tcBorders>
            <w:hideMark/>
          </w:tcPr>
          <w:p w14:paraId="1ABD9670" w14:textId="77777777" w:rsidR="004752EC" w:rsidRPr="00E8515C" w:rsidRDefault="004752EC" w:rsidP="00BF6BD4">
            <w:pPr>
              <w:keepNext/>
              <w:keepLines/>
              <w:spacing w:before="20" w:after="20"/>
              <w:jc w:val="right"/>
              <w:rPr>
                <w:b/>
                <w:sz w:val="20"/>
                <w:szCs w:val="20"/>
              </w:rPr>
            </w:pPr>
            <w:r w:rsidRPr="00E8515C">
              <w:rPr>
                <w:b/>
                <w:sz w:val="20"/>
                <w:szCs w:val="20"/>
              </w:rPr>
              <w:t>28.801</w:t>
            </w:r>
          </w:p>
        </w:tc>
        <w:tc>
          <w:tcPr>
            <w:tcW w:w="1126" w:type="dxa"/>
            <w:tcBorders>
              <w:top w:val="single" w:sz="4" w:space="0" w:color="auto"/>
              <w:left w:val="single" w:sz="4" w:space="0" w:color="auto"/>
              <w:bottom w:val="nil"/>
              <w:right w:val="single" w:sz="4" w:space="0" w:color="auto"/>
            </w:tcBorders>
            <w:hideMark/>
          </w:tcPr>
          <w:p w14:paraId="76410DCB" w14:textId="77777777" w:rsidR="004752EC" w:rsidRPr="00E8515C" w:rsidRDefault="004752EC" w:rsidP="00BF6BD4">
            <w:pPr>
              <w:keepNext/>
              <w:keepLines/>
              <w:spacing w:before="20" w:after="20"/>
              <w:jc w:val="right"/>
              <w:rPr>
                <w:b/>
                <w:sz w:val="20"/>
                <w:szCs w:val="20"/>
              </w:rPr>
            </w:pPr>
            <w:r w:rsidRPr="00E8515C">
              <w:rPr>
                <w:b/>
                <w:sz w:val="20"/>
                <w:szCs w:val="20"/>
              </w:rPr>
              <w:t>29.543</w:t>
            </w:r>
          </w:p>
        </w:tc>
        <w:tc>
          <w:tcPr>
            <w:tcW w:w="1127" w:type="dxa"/>
            <w:tcBorders>
              <w:top w:val="single" w:sz="4" w:space="0" w:color="auto"/>
              <w:left w:val="single" w:sz="4" w:space="0" w:color="auto"/>
              <w:bottom w:val="nil"/>
              <w:right w:val="single" w:sz="4" w:space="0" w:color="auto"/>
            </w:tcBorders>
            <w:hideMark/>
          </w:tcPr>
          <w:p w14:paraId="38BB0D0C" w14:textId="77777777" w:rsidR="004752EC" w:rsidRPr="00E8515C" w:rsidRDefault="004752EC" w:rsidP="00BF6BD4">
            <w:pPr>
              <w:keepNext/>
              <w:keepLines/>
              <w:spacing w:before="20" w:after="20"/>
              <w:jc w:val="right"/>
              <w:rPr>
                <w:b/>
                <w:sz w:val="20"/>
                <w:szCs w:val="20"/>
              </w:rPr>
            </w:pPr>
            <w:r w:rsidRPr="00E8515C">
              <w:rPr>
                <w:b/>
                <w:sz w:val="20"/>
                <w:szCs w:val="20"/>
              </w:rPr>
              <w:t>30.260</w:t>
            </w:r>
          </w:p>
        </w:tc>
        <w:tc>
          <w:tcPr>
            <w:tcW w:w="1127" w:type="dxa"/>
            <w:tcBorders>
              <w:top w:val="single" w:sz="4" w:space="0" w:color="auto"/>
              <w:left w:val="single" w:sz="4" w:space="0" w:color="auto"/>
              <w:bottom w:val="nil"/>
              <w:right w:val="single" w:sz="4" w:space="0" w:color="auto"/>
            </w:tcBorders>
            <w:hideMark/>
          </w:tcPr>
          <w:p w14:paraId="7AF05933" w14:textId="77777777" w:rsidR="004752EC" w:rsidRPr="00E8515C" w:rsidRDefault="004752EC" w:rsidP="00BF6BD4">
            <w:pPr>
              <w:keepNext/>
              <w:keepLines/>
              <w:spacing w:before="20" w:after="20"/>
              <w:jc w:val="right"/>
              <w:rPr>
                <w:b/>
                <w:sz w:val="20"/>
                <w:szCs w:val="20"/>
              </w:rPr>
            </w:pPr>
            <w:r w:rsidRPr="00E8515C">
              <w:rPr>
                <w:b/>
                <w:sz w:val="20"/>
                <w:szCs w:val="20"/>
              </w:rPr>
              <w:t>147.476</w:t>
            </w:r>
          </w:p>
        </w:tc>
      </w:tr>
      <w:tr w:rsidR="004752EC" w:rsidRPr="00E8515C" w14:paraId="22F84C8C" w14:textId="77777777" w:rsidTr="00BF6BD4">
        <w:trPr>
          <w:trHeight w:val="20"/>
        </w:trPr>
        <w:tc>
          <w:tcPr>
            <w:tcW w:w="3402" w:type="dxa"/>
            <w:tcBorders>
              <w:top w:val="nil"/>
              <w:left w:val="single" w:sz="4" w:space="0" w:color="auto"/>
              <w:bottom w:val="nil"/>
              <w:right w:val="single" w:sz="4" w:space="0" w:color="auto"/>
            </w:tcBorders>
          </w:tcPr>
          <w:p w14:paraId="62E3DBD0" w14:textId="77777777" w:rsidR="004752EC" w:rsidRPr="00E8515C" w:rsidRDefault="004752EC" w:rsidP="00BF6BD4">
            <w:pPr>
              <w:keepNext/>
              <w:keepLines/>
              <w:spacing w:before="20" w:after="20"/>
              <w:ind w:left="284"/>
              <w:rPr>
                <w:b/>
                <w:sz w:val="20"/>
                <w:szCs w:val="20"/>
              </w:rPr>
            </w:pPr>
            <w:r w:rsidRPr="00E8515C">
              <w:rPr>
                <w:sz w:val="20"/>
                <w:szCs w:val="20"/>
              </w:rPr>
              <w:t>Legal aid commissions</w:t>
            </w:r>
          </w:p>
        </w:tc>
        <w:tc>
          <w:tcPr>
            <w:tcW w:w="993" w:type="dxa"/>
            <w:tcBorders>
              <w:top w:val="nil"/>
              <w:left w:val="single" w:sz="4" w:space="0" w:color="auto"/>
              <w:bottom w:val="nil"/>
              <w:right w:val="single" w:sz="4" w:space="0" w:color="auto"/>
            </w:tcBorders>
          </w:tcPr>
          <w:p w14:paraId="5A749F31" w14:textId="77777777" w:rsidR="004752EC" w:rsidRPr="00E8515C" w:rsidRDefault="004752EC" w:rsidP="00BF6BD4">
            <w:pPr>
              <w:keepNext/>
              <w:keepLines/>
              <w:spacing w:before="20" w:after="20"/>
              <w:jc w:val="right"/>
              <w:rPr>
                <w:sz w:val="20"/>
                <w:szCs w:val="20"/>
              </w:rPr>
            </w:pPr>
            <w:r w:rsidRPr="00E8515C">
              <w:rPr>
                <w:sz w:val="20"/>
                <w:szCs w:val="20"/>
              </w:rPr>
              <w:t>23.480</w:t>
            </w:r>
          </w:p>
        </w:tc>
        <w:tc>
          <w:tcPr>
            <w:tcW w:w="1127" w:type="dxa"/>
            <w:tcBorders>
              <w:top w:val="nil"/>
              <w:left w:val="single" w:sz="4" w:space="0" w:color="auto"/>
              <w:bottom w:val="nil"/>
              <w:right w:val="single" w:sz="4" w:space="0" w:color="auto"/>
            </w:tcBorders>
          </w:tcPr>
          <w:p w14:paraId="470BF277" w14:textId="77777777" w:rsidR="004752EC" w:rsidRPr="00E8515C" w:rsidRDefault="004752EC" w:rsidP="00BF6BD4">
            <w:pPr>
              <w:keepNext/>
              <w:keepLines/>
              <w:spacing w:before="20" w:after="20"/>
              <w:jc w:val="right"/>
              <w:rPr>
                <w:sz w:val="20"/>
                <w:szCs w:val="20"/>
              </w:rPr>
            </w:pPr>
            <w:r w:rsidRPr="00E8515C">
              <w:rPr>
                <w:sz w:val="20"/>
                <w:szCs w:val="20"/>
              </w:rPr>
              <w:t>24.030</w:t>
            </w:r>
          </w:p>
        </w:tc>
        <w:tc>
          <w:tcPr>
            <w:tcW w:w="1127" w:type="dxa"/>
            <w:tcBorders>
              <w:top w:val="nil"/>
              <w:left w:val="single" w:sz="4" w:space="0" w:color="auto"/>
              <w:bottom w:val="nil"/>
              <w:right w:val="single" w:sz="4" w:space="0" w:color="auto"/>
            </w:tcBorders>
          </w:tcPr>
          <w:p w14:paraId="3061AD00" w14:textId="77777777" w:rsidR="004752EC" w:rsidRPr="00E8515C" w:rsidRDefault="004752EC" w:rsidP="00BF6BD4">
            <w:pPr>
              <w:keepNext/>
              <w:keepLines/>
              <w:spacing w:before="20" w:after="20"/>
              <w:jc w:val="right"/>
              <w:rPr>
                <w:sz w:val="20"/>
                <w:szCs w:val="20"/>
              </w:rPr>
            </w:pPr>
            <w:r w:rsidRPr="00E8515C">
              <w:rPr>
                <w:sz w:val="20"/>
                <w:szCs w:val="20"/>
              </w:rPr>
              <w:t>24.538</w:t>
            </w:r>
          </w:p>
        </w:tc>
        <w:tc>
          <w:tcPr>
            <w:tcW w:w="1126" w:type="dxa"/>
            <w:tcBorders>
              <w:top w:val="nil"/>
              <w:left w:val="single" w:sz="4" w:space="0" w:color="auto"/>
              <w:bottom w:val="nil"/>
              <w:right w:val="single" w:sz="4" w:space="0" w:color="auto"/>
            </w:tcBorders>
          </w:tcPr>
          <w:p w14:paraId="2E36B6D0" w14:textId="77777777" w:rsidR="004752EC" w:rsidRPr="00E8515C" w:rsidRDefault="004752EC" w:rsidP="00BF6BD4">
            <w:pPr>
              <w:keepNext/>
              <w:keepLines/>
              <w:spacing w:before="20" w:after="20"/>
              <w:jc w:val="right"/>
              <w:rPr>
                <w:sz w:val="20"/>
                <w:szCs w:val="20"/>
              </w:rPr>
            </w:pPr>
            <w:r w:rsidRPr="00E8515C">
              <w:rPr>
                <w:sz w:val="20"/>
                <w:szCs w:val="20"/>
              </w:rPr>
              <w:t>25.053</w:t>
            </w:r>
          </w:p>
        </w:tc>
        <w:tc>
          <w:tcPr>
            <w:tcW w:w="1127" w:type="dxa"/>
            <w:tcBorders>
              <w:top w:val="nil"/>
              <w:left w:val="single" w:sz="4" w:space="0" w:color="auto"/>
              <w:bottom w:val="nil"/>
              <w:right w:val="single" w:sz="4" w:space="0" w:color="auto"/>
            </w:tcBorders>
          </w:tcPr>
          <w:p w14:paraId="04100CED" w14:textId="77777777" w:rsidR="004752EC" w:rsidRPr="00E8515C" w:rsidRDefault="004752EC" w:rsidP="00BF6BD4">
            <w:pPr>
              <w:keepNext/>
              <w:keepLines/>
              <w:spacing w:before="20" w:after="20"/>
              <w:jc w:val="right"/>
              <w:rPr>
                <w:sz w:val="20"/>
                <w:szCs w:val="20"/>
              </w:rPr>
            </w:pPr>
            <w:r w:rsidRPr="00E8515C">
              <w:rPr>
                <w:sz w:val="20"/>
                <w:szCs w:val="20"/>
              </w:rPr>
              <w:t>25.534</w:t>
            </w:r>
          </w:p>
        </w:tc>
        <w:tc>
          <w:tcPr>
            <w:tcW w:w="1127" w:type="dxa"/>
            <w:tcBorders>
              <w:top w:val="nil"/>
              <w:left w:val="single" w:sz="4" w:space="0" w:color="auto"/>
              <w:bottom w:val="nil"/>
              <w:right w:val="single" w:sz="4" w:space="0" w:color="auto"/>
            </w:tcBorders>
          </w:tcPr>
          <w:p w14:paraId="76CC9EE2" w14:textId="77777777" w:rsidR="004752EC" w:rsidRPr="00E8515C" w:rsidRDefault="004752EC" w:rsidP="00BF6BD4">
            <w:pPr>
              <w:keepNext/>
              <w:keepLines/>
              <w:spacing w:before="20" w:after="20"/>
              <w:jc w:val="right"/>
              <w:rPr>
                <w:sz w:val="20"/>
                <w:szCs w:val="20"/>
              </w:rPr>
            </w:pPr>
            <w:r w:rsidRPr="00E8515C">
              <w:rPr>
                <w:sz w:val="20"/>
                <w:szCs w:val="20"/>
              </w:rPr>
              <w:t>122.635</w:t>
            </w:r>
          </w:p>
        </w:tc>
      </w:tr>
      <w:tr w:rsidR="004752EC" w:rsidRPr="00E8515C" w14:paraId="3D187F2F" w14:textId="77777777" w:rsidTr="00BF6BD4">
        <w:trPr>
          <w:trHeight w:val="20"/>
        </w:trPr>
        <w:tc>
          <w:tcPr>
            <w:tcW w:w="3402" w:type="dxa"/>
            <w:tcBorders>
              <w:top w:val="nil"/>
              <w:left w:val="single" w:sz="4" w:space="0" w:color="auto"/>
              <w:bottom w:val="nil"/>
              <w:right w:val="single" w:sz="4" w:space="0" w:color="auto"/>
            </w:tcBorders>
          </w:tcPr>
          <w:p w14:paraId="2A9D67DC"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993" w:type="dxa"/>
            <w:tcBorders>
              <w:top w:val="nil"/>
              <w:left w:val="single" w:sz="4" w:space="0" w:color="auto"/>
              <w:bottom w:val="nil"/>
              <w:right w:val="single" w:sz="4" w:space="0" w:color="auto"/>
            </w:tcBorders>
          </w:tcPr>
          <w:p w14:paraId="73A623F5" w14:textId="77777777" w:rsidR="004752EC" w:rsidRPr="00E8515C" w:rsidRDefault="004752EC" w:rsidP="00BF6BD4">
            <w:pPr>
              <w:keepNext/>
              <w:keepLines/>
              <w:spacing w:before="20" w:after="20"/>
              <w:jc w:val="right"/>
              <w:rPr>
                <w:i/>
                <w:sz w:val="20"/>
                <w:szCs w:val="20"/>
              </w:rPr>
            </w:pPr>
            <w:r w:rsidRPr="00E8515C">
              <w:rPr>
                <w:i/>
                <w:sz w:val="20"/>
                <w:szCs w:val="20"/>
              </w:rPr>
              <w:t>2.329</w:t>
            </w:r>
          </w:p>
        </w:tc>
        <w:tc>
          <w:tcPr>
            <w:tcW w:w="1127" w:type="dxa"/>
            <w:tcBorders>
              <w:top w:val="nil"/>
              <w:left w:val="single" w:sz="4" w:space="0" w:color="auto"/>
              <w:bottom w:val="nil"/>
              <w:right w:val="single" w:sz="4" w:space="0" w:color="auto"/>
            </w:tcBorders>
          </w:tcPr>
          <w:p w14:paraId="47BE6152" w14:textId="77777777" w:rsidR="004752EC" w:rsidRPr="00E8515C" w:rsidRDefault="004752EC" w:rsidP="00BF6BD4">
            <w:pPr>
              <w:keepNext/>
              <w:keepLines/>
              <w:spacing w:before="20" w:after="20"/>
              <w:jc w:val="right"/>
              <w:rPr>
                <w:i/>
                <w:sz w:val="20"/>
                <w:szCs w:val="20"/>
              </w:rPr>
            </w:pPr>
            <w:r w:rsidRPr="00E8515C">
              <w:rPr>
                <w:i/>
                <w:sz w:val="20"/>
                <w:szCs w:val="20"/>
              </w:rPr>
              <w:t>2.478</w:t>
            </w:r>
          </w:p>
        </w:tc>
        <w:tc>
          <w:tcPr>
            <w:tcW w:w="1127" w:type="dxa"/>
            <w:tcBorders>
              <w:top w:val="nil"/>
              <w:left w:val="single" w:sz="4" w:space="0" w:color="auto"/>
              <w:bottom w:val="nil"/>
              <w:right w:val="single" w:sz="4" w:space="0" w:color="auto"/>
            </w:tcBorders>
          </w:tcPr>
          <w:p w14:paraId="6DA84F3E" w14:textId="77777777" w:rsidR="004752EC" w:rsidRPr="00E8515C" w:rsidRDefault="004752EC" w:rsidP="00BF6BD4">
            <w:pPr>
              <w:keepNext/>
              <w:keepLines/>
              <w:spacing w:before="20" w:after="20"/>
              <w:jc w:val="right"/>
              <w:rPr>
                <w:i/>
                <w:sz w:val="20"/>
                <w:szCs w:val="20"/>
              </w:rPr>
            </w:pPr>
            <w:r w:rsidRPr="00E8515C">
              <w:rPr>
                <w:i/>
                <w:sz w:val="20"/>
                <w:szCs w:val="20"/>
              </w:rPr>
              <w:t>3.523</w:t>
            </w:r>
          </w:p>
        </w:tc>
        <w:tc>
          <w:tcPr>
            <w:tcW w:w="1126" w:type="dxa"/>
            <w:tcBorders>
              <w:top w:val="nil"/>
              <w:left w:val="single" w:sz="4" w:space="0" w:color="auto"/>
              <w:bottom w:val="nil"/>
              <w:right w:val="single" w:sz="4" w:space="0" w:color="auto"/>
            </w:tcBorders>
          </w:tcPr>
          <w:p w14:paraId="6CF4F029" w14:textId="77777777" w:rsidR="004752EC" w:rsidRPr="00E8515C" w:rsidRDefault="004752EC" w:rsidP="00BF6BD4">
            <w:pPr>
              <w:keepNext/>
              <w:keepLines/>
              <w:spacing w:before="20" w:after="20"/>
              <w:jc w:val="right"/>
              <w:rPr>
                <w:i/>
                <w:sz w:val="20"/>
                <w:szCs w:val="20"/>
              </w:rPr>
            </w:pPr>
            <w:r w:rsidRPr="00E8515C">
              <w:rPr>
                <w:i/>
                <w:sz w:val="20"/>
                <w:szCs w:val="20"/>
              </w:rPr>
              <w:t>3.600</w:t>
            </w:r>
          </w:p>
        </w:tc>
        <w:tc>
          <w:tcPr>
            <w:tcW w:w="1127" w:type="dxa"/>
            <w:tcBorders>
              <w:top w:val="nil"/>
              <w:left w:val="single" w:sz="4" w:space="0" w:color="auto"/>
              <w:bottom w:val="nil"/>
              <w:right w:val="single" w:sz="4" w:space="0" w:color="auto"/>
            </w:tcBorders>
          </w:tcPr>
          <w:p w14:paraId="0BAE51CE" w14:textId="77777777" w:rsidR="004752EC" w:rsidRPr="00E8515C" w:rsidRDefault="004752EC" w:rsidP="00BF6BD4">
            <w:pPr>
              <w:keepNext/>
              <w:keepLines/>
              <w:spacing w:before="20" w:after="20"/>
              <w:jc w:val="right"/>
              <w:rPr>
                <w:i/>
                <w:sz w:val="20"/>
                <w:szCs w:val="20"/>
              </w:rPr>
            </w:pPr>
            <w:r w:rsidRPr="00E8515C">
              <w:rPr>
                <w:i/>
                <w:sz w:val="20"/>
                <w:szCs w:val="20"/>
              </w:rPr>
              <w:t>3.680</w:t>
            </w:r>
          </w:p>
        </w:tc>
        <w:tc>
          <w:tcPr>
            <w:tcW w:w="1127" w:type="dxa"/>
            <w:tcBorders>
              <w:top w:val="nil"/>
              <w:left w:val="single" w:sz="4" w:space="0" w:color="auto"/>
              <w:bottom w:val="nil"/>
              <w:right w:val="single" w:sz="4" w:space="0" w:color="auto"/>
            </w:tcBorders>
          </w:tcPr>
          <w:p w14:paraId="3984F785" w14:textId="77777777" w:rsidR="004752EC" w:rsidRPr="00E8515C" w:rsidRDefault="004752EC" w:rsidP="00BF6BD4">
            <w:pPr>
              <w:keepNext/>
              <w:keepLines/>
              <w:spacing w:before="20" w:after="20"/>
              <w:jc w:val="right"/>
              <w:rPr>
                <w:i/>
                <w:sz w:val="20"/>
                <w:szCs w:val="20"/>
              </w:rPr>
            </w:pPr>
            <w:r w:rsidRPr="00E8515C">
              <w:rPr>
                <w:i/>
                <w:sz w:val="20"/>
                <w:szCs w:val="20"/>
              </w:rPr>
              <w:t>15.611</w:t>
            </w:r>
          </w:p>
        </w:tc>
      </w:tr>
      <w:tr w:rsidR="004752EC" w:rsidRPr="00E8515C" w14:paraId="75640DB3" w14:textId="77777777" w:rsidTr="00BF6BD4">
        <w:trPr>
          <w:trHeight w:val="20"/>
        </w:trPr>
        <w:tc>
          <w:tcPr>
            <w:tcW w:w="3402" w:type="dxa"/>
            <w:tcBorders>
              <w:top w:val="nil"/>
              <w:left w:val="single" w:sz="4" w:space="0" w:color="auto"/>
              <w:bottom w:val="nil"/>
              <w:right w:val="single" w:sz="4" w:space="0" w:color="auto"/>
            </w:tcBorders>
          </w:tcPr>
          <w:p w14:paraId="6FD40E0E"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993" w:type="dxa"/>
            <w:tcBorders>
              <w:top w:val="nil"/>
              <w:left w:val="single" w:sz="4" w:space="0" w:color="auto"/>
              <w:bottom w:val="nil"/>
              <w:right w:val="single" w:sz="4" w:space="0" w:color="auto"/>
            </w:tcBorders>
          </w:tcPr>
          <w:p w14:paraId="352C2313" w14:textId="77777777" w:rsidR="004752EC" w:rsidRPr="00E8515C" w:rsidRDefault="004752EC" w:rsidP="00BF6BD4">
            <w:pPr>
              <w:keepNext/>
              <w:keepLines/>
              <w:spacing w:before="20" w:after="20"/>
              <w:jc w:val="right"/>
              <w:rPr>
                <w:i/>
                <w:sz w:val="20"/>
                <w:szCs w:val="20"/>
              </w:rPr>
            </w:pPr>
            <w:r w:rsidRPr="00E8515C">
              <w:rPr>
                <w:i/>
                <w:sz w:val="20"/>
                <w:szCs w:val="20"/>
              </w:rPr>
              <w:t>2.718</w:t>
            </w:r>
          </w:p>
        </w:tc>
        <w:tc>
          <w:tcPr>
            <w:tcW w:w="1127" w:type="dxa"/>
            <w:tcBorders>
              <w:top w:val="nil"/>
              <w:left w:val="single" w:sz="4" w:space="0" w:color="auto"/>
              <w:bottom w:val="nil"/>
              <w:right w:val="single" w:sz="4" w:space="0" w:color="auto"/>
            </w:tcBorders>
          </w:tcPr>
          <w:p w14:paraId="794A70A2" w14:textId="77777777" w:rsidR="004752EC" w:rsidRPr="00E8515C" w:rsidRDefault="004752EC" w:rsidP="00BF6BD4">
            <w:pPr>
              <w:keepNext/>
              <w:keepLines/>
              <w:spacing w:before="20" w:after="20"/>
              <w:jc w:val="right"/>
              <w:rPr>
                <w:i/>
                <w:sz w:val="20"/>
                <w:szCs w:val="20"/>
              </w:rPr>
            </w:pPr>
            <w:r w:rsidRPr="00E8515C">
              <w:rPr>
                <w:i/>
                <w:sz w:val="20"/>
                <w:szCs w:val="20"/>
              </w:rPr>
              <w:t>2.718</w:t>
            </w:r>
          </w:p>
        </w:tc>
        <w:tc>
          <w:tcPr>
            <w:tcW w:w="1127" w:type="dxa"/>
            <w:tcBorders>
              <w:top w:val="nil"/>
              <w:left w:val="single" w:sz="4" w:space="0" w:color="auto"/>
              <w:bottom w:val="nil"/>
              <w:right w:val="single" w:sz="4" w:space="0" w:color="auto"/>
            </w:tcBorders>
          </w:tcPr>
          <w:p w14:paraId="37CFE3CC"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6" w:type="dxa"/>
            <w:tcBorders>
              <w:top w:val="nil"/>
              <w:left w:val="single" w:sz="4" w:space="0" w:color="auto"/>
              <w:bottom w:val="nil"/>
              <w:right w:val="single" w:sz="4" w:space="0" w:color="auto"/>
            </w:tcBorders>
          </w:tcPr>
          <w:p w14:paraId="3D62E725"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164A4EB6"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3BBA4E8B" w14:textId="77777777" w:rsidR="004752EC" w:rsidRPr="00E8515C" w:rsidRDefault="004752EC" w:rsidP="00BF6BD4">
            <w:pPr>
              <w:keepNext/>
              <w:keepLines/>
              <w:spacing w:before="20" w:after="20"/>
              <w:jc w:val="right"/>
              <w:rPr>
                <w:i/>
                <w:sz w:val="20"/>
                <w:szCs w:val="20"/>
              </w:rPr>
            </w:pPr>
            <w:r w:rsidRPr="00E8515C">
              <w:rPr>
                <w:i/>
                <w:sz w:val="20"/>
                <w:szCs w:val="20"/>
              </w:rPr>
              <w:t>5.435</w:t>
            </w:r>
          </w:p>
        </w:tc>
      </w:tr>
      <w:tr w:rsidR="004752EC" w:rsidRPr="00E8515C" w14:paraId="753D5398" w14:textId="77777777" w:rsidTr="00BF6BD4">
        <w:trPr>
          <w:trHeight w:val="20"/>
        </w:trPr>
        <w:tc>
          <w:tcPr>
            <w:tcW w:w="3402" w:type="dxa"/>
            <w:tcBorders>
              <w:top w:val="nil"/>
              <w:left w:val="single" w:sz="4" w:space="0" w:color="auto"/>
              <w:bottom w:val="nil"/>
              <w:right w:val="single" w:sz="4" w:space="0" w:color="auto"/>
            </w:tcBorders>
          </w:tcPr>
          <w:p w14:paraId="1A6E78C0"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993" w:type="dxa"/>
            <w:tcBorders>
              <w:top w:val="nil"/>
              <w:left w:val="single" w:sz="4" w:space="0" w:color="auto"/>
              <w:bottom w:val="nil"/>
              <w:right w:val="single" w:sz="4" w:space="0" w:color="auto"/>
            </w:tcBorders>
          </w:tcPr>
          <w:p w14:paraId="1B1B26CF" w14:textId="77777777" w:rsidR="004752EC" w:rsidRPr="00E8515C" w:rsidRDefault="004752EC" w:rsidP="00BF6BD4">
            <w:pPr>
              <w:keepNext/>
              <w:keepLines/>
              <w:spacing w:before="20" w:after="20"/>
              <w:jc w:val="right"/>
              <w:rPr>
                <w:i/>
                <w:sz w:val="20"/>
                <w:szCs w:val="20"/>
              </w:rPr>
            </w:pPr>
            <w:r w:rsidRPr="00E8515C">
              <w:rPr>
                <w:i/>
                <w:sz w:val="20"/>
                <w:szCs w:val="20"/>
              </w:rPr>
              <w:t>0.494</w:t>
            </w:r>
          </w:p>
        </w:tc>
        <w:tc>
          <w:tcPr>
            <w:tcW w:w="1127" w:type="dxa"/>
            <w:tcBorders>
              <w:top w:val="nil"/>
              <w:left w:val="single" w:sz="4" w:space="0" w:color="auto"/>
              <w:bottom w:val="nil"/>
              <w:right w:val="single" w:sz="4" w:space="0" w:color="auto"/>
            </w:tcBorders>
          </w:tcPr>
          <w:p w14:paraId="7BAC8A7E" w14:textId="77777777" w:rsidR="004752EC" w:rsidRPr="00E8515C" w:rsidRDefault="004752EC" w:rsidP="00BF6BD4">
            <w:pPr>
              <w:keepNext/>
              <w:keepLines/>
              <w:spacing w:before="20" w:after="20"/>
              <w:jc w:val="right"/>
              <w:rPr>
                <w:i/>
                <w:sz w:val="20"/>
                <w:szCs w:val="20"/>
              </w:rPr>
            </w:pPr>
            <w:r w:rsidRPr="00E8515C">
              <w:rPr>
                <w:i/>
                <w:sz w:val="20"/>
                <w:szCs w:val="20"/>
              </w:rPr>
              <w:t>0.625</w:t>
            </w:r>
          </w:p>
        </w:tc>
        <w:tc>
          <w:tcPr>
            <w:tcW w:w="1127" w:type="dxa"/>
            <w:tcBorders>
              <w:top w:val="nil"/>
              <w:left w:val="single" w:sz="4" w:space="0" w:color="auto"/>
              <w:bottom w:val="nil"/>
              <w:right w:val="single" w:sz="4" w:space="0" w:color="auto"/>
            </w:tcBorders>
          </w:tcPr>
          <w:p w14:paraId="254A05ED" w14:textId="77777777" w:rsidR="004752EC" w:rsidRPr="00E8515C" w:rsidRDefault="004752EC" w:rsidP="00BF6BD4">
            <w:pPr>
              <w:keepNext/>
              <w:keepLines/>
              <w:spacing w:before="20" w:after="20"/>
              <w:jc w:val="right"/>
              <w:rPr>
                <w:i/>
                <w:sz w:val="20"/>
                <w:szCs w:val="20"/>
              </w:rPr>
            </w:pPr>
            <w:r w:rsidRPr="00E8515C">
              <w:rPr>
                <w:i/>
                <w:sz w:val="20"/>
                <w:szCs w:val="20"/>
              </w:rPr>
              <w:t>0.740</w:t>
            </w:r>
          </w:p>
        </w:tc>
        <w:tc>
          <w:tcPr>
            <w:tcW w:w="1126" w:type="dxa"/>
            <w:tcBorders>
              <w:top w:val="nil"/>
              <w:left w:val="single" w:sz="4" w:space="0" w:color="auto"/>
              <w:bottom w:val="nil"/>
              <w:right w:val="single" w:sz="4" w:space="0" w:color="auto"/>
            </w:tcBorders>
          </w:tcPr>
          <w:p w14:paraId="23D21C35" w14:textId="77777777" w:rsidR="004752EC" w:rsidRPr="00E8515C" w:rsidRDefault="004752EC" w:rsidP="00BF6BD4">
            <w:pPr>
              <w:keepNext/>
              <w:keepLines/>
              <w:spacing w:before="20" w:after="20"/>
              <w:jc w:val="right"/>
              <w:rPr>
                <w:i/>
                <w:sz w:val="20"/>
                <w:szCs w:val="20"/>
              </w:rPr>
            </w:pPr>
            <w:r w:rsidRPr="00E8515C">
              <w:rPr>
                <w:i/>
                <w:sz w:val="20"/>
                <w:szCs w:val="20"/>
              </w:rPr>
              <w:t>0.890</w:t>
            </w:r>
          </w:p>
        </w:tc>
        <w:tc>
          <w:tcPr>
            <w:tcW w:w="1127" w:type="dxa"/>
            <w:tcBorders>
              <w:top w:val="nil"/>
              <w:left w:val="single" w:sz="4" w:space="0" w:color="auto"/>
              <w:bottom w:val="nil"/>
              <w:right w:val="single" w:sz="4" w:space="0" w:color="auto"/>
            </w:tcBorders>
          </w:tcPr>
          <w:p w14:paraId="4E90DF31" w14:textId="77777777" w:rsidR="004752EC" w:rsidRPr="00E8515C" w:rsidRDefault="004752EC" w:rsidP="00BF6BD4">
            <w:pPr>
              <w:keepNext/>
              <w:keepLines/>
              <w:spacing w:before="20" w:after="20"/>
              <w:jc w:val="right"/>
              <w:rPr>
                <w:i/>
                <w:sz w:val="20"/>
                <w:szCs w:val="20"/>
              </w:rPr>
            </w:pPr>
            <w:r w:rsidRPr="00E8515C">
              <w:rPr>
                <w:i/>
                <w:sz w:val="20"/>
                <w:szCs w:val="20"/>
              </w:rPr>
              <w:t>1.046</w:t>
            </w:r>
          </w:p>
        </w:tc>
        <w:tc>
          <w:tcPr>
            <w:tcW w:w="1127" w:type="dxa"/>
            <w:tcBorders>
              <w:top w:val="nil"/>
              <w:left w:val="single" w:sz="4" w:space="0" w:color="auto"/>
              <w:bottom w:val="nil"/>
              <w:right w:val="single" w:sz="4" w:space="0" w:color="auto"/>
            </w:tcBorders>
          </w:tcPr>
          <w:p w14:paraId="26CF2EA6" w14:textId="77777777" w:rsidR="004752EC" w:rsidRPr="00E8515C" w:rsidRDefault="004752EC" w:rsidP="00BF6BD4">
            <w:pPr>
              <w:keepNext/>
              <w:keepLines/>
              <w:spacing w:before="20" w:after="20"/>
              <w:jc w:val="right"/>
              <w:rPr>
                <w:i/>
                <w:sz w:val="20"/>
                <w:szCs w:val="20"/>
              </w:rPr>
            </w:pPr>
            <w:r w:rsidRPr="00E8515C">
              <w:rPr>
                <w:i/>
                <w:sz w:val="20"/>
                <w:szCs w:val="20"/>
              </w:rPr>
              <w:t>3.795</w:t>
            </w:r>
          </w:p>
        </w:tc>
      </w:tr>
      <w:tr w:rsidR="004752EC" w:rsidRPr="00E8515C" w14:paraId="30FD42E0" w14:textId="77777777" w:rsidTr="00BF6BD4">
        <w:trPr>
          <w:trHeight w:val="20"/>
        </w:trPr>
        <w:tc>
          <w:tcPr>
            <w:tcW w:w="3402" w:type="dxa"/>
            <w:tcBorders>
              <w:top w:val="nil"/>
              <w:left w:val="single" w:sz="4" w:space="0" w:color="auto"/>
              <w:bottom w:val="single" w:sz="4" w:space="0" w:color="auto"/>
              <w:right w:val="single" w:sz="4" w:space="0" w:color="auto"/>
            </w:tcBorders>
          </w:tcPr>
          <w:p w14:paraId="4CBCDE63"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993" w:type="dxa"/>
            <w:tcBorders>
              <w:top w:val="nil"/>
              <w:left w:val="single" w:sz="4" w:space="0" w:color="auto"/>
              <w:bottom w:val="single" w:sz="4" w:space="0" w:color="auto"/>
              <w:right w:val="single" w:sz="4" w:space="0" w:color="auto"/>
            </w:tcBorders>
            <w:vAlign w:val="center"/>
          </w:tcPr>
          <w:p w14:paraId="04AC52A9" w14:textId="77777777" w:rsidR="004752EC" w:rsidRPr="00E8515C" w:rsidRDefault="004752EC" w:rsidP="00BF6BD4">
            <w:pPr>
              <w:keepNext/>
              <w:keepLines/>
              <w:spacing w:before="20" w:after="20"/>
              <w:jc w:val="right"/>
              <w:rPr>
                <w:sz w:val="20"/>
                <w:szCs w:val="20"/>
              </w:rPr>
            </w:pPr>
            <w:r w:rsidRPr="00E8515C">
              <w:rPr>
                <w:sz w:val="20"/>
                <w:szCs w:val="20"/>
              </w:rPr>
              <w:t>5.541</w:t>
            </w:r>
          </w:p>
        </w:tc>
        <w:tc>
          <w:tcPr>
            <w:tcW w:w="1127" w:type="dxa"/>
            <w:tcBorders>
              <w:top w:val="nil"/>
              <w:left w:val="single" w:sz="4" w:space="0" w:color="auto"/>
              <w:bottom w:val="single" w:sz="4" w:space="0" w:color="auto"/>
              <w:right w:val="single" w:sz="4" w:space="0" w:color="auto"/>
            </w:tcBorders>
            <w:vAlign w:val="center"/>
          </w:tcPr>
          <w:p w14:paraId="61EBD6F0" w14:textId="77777777" w:rsidR="004752EC" w:rsidRPr="00E8515C" w:rsidRDefault="004752EC" w:rsidP="00BF6BD4">
            <w:pPr>
              <w:keepNext/>
              <w:keepLines/>
              <w:spacing w:before="20" w:after="20"/>
              <w:jc w:val="right"/>
              <w:rPr>
                <w:sz w:val="20"/>
                <w:szCs w:val="20"/>
              </w:rPr>
            </w:pPr>
            <w:r w:rsidRPr="00E8515C">
              <w:rPr>
                <w:sz w:val="20"/>
                <w:szCs w:val="20"/>
              </w:rPr>
              <w:t>5.821</w:t>
            </w:r>
          </w:p>
        </w:tc>
        <w:tc>
          <w:tcPr>
            <w:tcW w:w="1127" w:type="dxa"/>
            <w:tcBorders>
              <w:top w:val="nil"/>
              <w:left w:val="single" w:sz="4" w:space="0" w:color="auto"/>
              <w:bottom w:val="single" w:sz="4" w:space="0" w:color="auto"/>
              <w:right w:val="single" w:sz="4" w:space="0" w:color="auto"/>
            </w:tcBorders>
            <w:vAlign w:val="center"/>
          </w:tcPr>
          <w:p w14:paraId="2FA1A236" w14:textId="77777777" w:rsidR="004752EC" w:rsidRPr="00E8515C" w:rsidRDefault="004752EC" w:rsidP="00BF6BD4">
            <w:pPr>
              <w:keepNext/>
              <w:keepLines/>
              <w:spacing w:before="20" w:after="20"/>
              <w:jc w:val="right"/>
              <w:rPr>
                <w:sz w:val="20"/>
                <w:szCs w:val="20"/>
              </w:rPr>
            </w:pPr>
            <w:r w:rsidRPr="00E8515C">
              <w:rPr>
                <w:sz w:val="20"/>
                <w:szCs w:val="20"/>
              </w:rPr>
              <w:t>4.263</w:t>
            </w:r>
          </w:p>
        </w:tc>
        <w:tc>
          <w:tcPr>
            <w:tcW w:w="1126" w:type="dxa"/>
            <w:tcBorders>
              <w:top w:val="nil"/>
              <w:left w:val="single" w:sz="4" w:space="0" w:color="auto"/>
              <w:bottom w:val="single" w:sz="4" w:space="0" w:color="auto"/>
              <w:right w:val="single" w:sz="4" w:space="0" w:color="auto"/>
            </w:tcBorders>
            <w:vAlign w:val="center"/>
          </w:tcPr>
          <w:p w14:paraId="66D8B01B" w14:textId="77777777" w:rsidR="004752EC" w:rsidRPr="00E8515C" w:rsidRDefault="004752EC" w:rsidP="00BF6BD4">
            <w:pPr>
              <w:keepNext/>
              <w:keepLines/>
              <w:spacing w:before="20" w:after="20"/>
              <w:jc w:val="right"/>
              <w:rPr>
                <w:sz w:val="20"/>
                <w:szCs w:val="20"/>
              </w:rPr>
            </w:pPr>
            <w:r w:rsidRPr="00E8515C">
              <w:rPr>
                <w:sz w:val="20"/>
                <w:szCs w:val="20"/>
              </w:rPr>
              <w:t>4.49</w:t>
            </w:r>
          </w:p>
        </w:tc>
        <w:tc>
          <w:tcPr>
            <w:tcW w:w="1127" w:type="dxa"/>
            <w:tcBorders>
              <w:top w:val="nil"/>
              <w:left w:val="single" w:sz="4" w:space="0" w:color="auto"/>
              <w:bottom w:val="single" w:sz="4" w:space="0" w:color="auto"/>
              <w:right w:val="single" w:sz="4" w:space="0" w:color="auto"/>
            </w:tcBorders>
            <w:vAlign w:val="center"/>
          </w:tcPr>
          <w:p w14:paraId="21E8E862" w14:textId="77777777" w:rsidR="004752EC" w:rsidRPr="00E8515C" w:rsidRDefault="004752EC" w:rsidP="00BF6BD4">
            <w:pPr>
              <w:keepNext/>
              <w:keepLines/>
              <w:spacing w:before="20" w:after="20"/>
              <w:jc w:val="right"/>
              <w:rPr>
                <w:sz w:val="20"/>
                <w:szCs w:val="20"/>
              </w:rPr>
            </w:pPr>
            <w:r w:rsidRPr="00E8515C">
              <w:rPr>
                <w:sz w:val="20"/>
                <w:szCs w:val="20"/>
              </w:rPr>
              <w:t>4.726</w:t>
            </w:r>
          </w:p>
        </w:tc>
        <w:tc>
          <w:tcPr>
            <w:tcW w:w="1127" w:type="dxa"/>
            <w:tcBorders>
              <w:top w:val="nil"/>
              <w:left w:val="single" w:sz="4" w:space="0" w:color="auto"/>
              <w:bottom w:val="single" w:sz="4" w:space="0" w:color="auto"/>
              <w:right w:val="single" w:sz="4" w:space="0" w:color="auto"/>
            </w:tcBorders>
            <w:vAlign w:val="center"/>
          </w:tcPr>
          <w:p w14:paraId="7F27B2A4" w14:textId="77777777" w:rsidR="004752EC" w:rsidRPr="00E8515C" w:rsidRDefault="004752EC" w:rsidP="00BF6BD4">
            <w:pPr>
              <w:keepNext/>
              <w:keepLines/>
              <w:spacing w:before="20" w:after="20"/>
              <w:jc w:val="right"/>
              <w:rPr>
                <w:sz w:val="20"/>
                <w:szCs w:val="20"/>
              </w:rPr>
            </w:pPr>
            <w:r w:rsidRPr="00E8515C">
              <w:rPr>
                <w:sz w:val="20"/>
                <w:szCs w:val="20"/>
              </w:rPr>
              <w:t>24.841</w:t>
            </w:r>
          </w:p>
        </w:tc>
      </w:tr>
      <w:tr w:rsidR="004752EC" w:rsidRPr="00E8515C" w14:paraId="70809C31" w14:textId="77777777" w:rsidTr="00BF6BD4">
        <w:trPr>
          <w:trHeight w:val="20"/>
        </w:trPr>
        <w:tc>
          <w:tcPr>
            <w:tcW w:w="3402" w:type="dxa"/>
            <w:tcBorders>
              <w:top w:val="single" w:sz="4" w:space="0" w:color="auto"/>
              <w:left w:val="single" w:sz="4" w:space="0" w:color="auto"/>
              <w:bottom w:val="nil"/>
              <w:right w:val="single" w:sz="4" w:space="0" w:color="auto"/>
            </w:tcBorders>
          </w:tcPr>
          <w:p w14:paraId="7EFB6A9B" w14:textId="77777777" w:rsidR="004752EC" w:rsidRPr="00E8515C" w:rsidRDefault="004752EC" w:rsidP="00BF6BD4">
            <w:pPr>
              <w:keepNext/>
              <w:keepLines/>
              <w:spacing w:before="20" w:after="20"/>
              <w:rPr>
                <w:b/>
                <w:sz w:val="20"/>
                <w:szCs w:val="20"/>
              </w:rPr>
            </w:pPr>
            <w:r w:rsidRPr="00E8515C">
              <w:rPr>
                <w:b/>
                <w:sz w:val="20"/>
                <w:szCs w:val="20"/>
              </w:rPr>
              <w:t>South Australia</w:t>
            </w:r>
          </w:p>
        </w:tc>
        <w:tc>
          <w:tcPr>
            <w:tcW w:w="993" w:type="dxa"/>
            <w:tcBorders>
              <w:top w:val="single" w:sz="4" w:space="0" w:color="auto"/>
              <w:left w:val="single" w:sz="4" w:space="0" w:color="auto"/>
              <w:bottom w:val="nil"/>
              <w:right w:val="single" w:sz="4" w:space="0" w:color="auto"/>
            </w:tcBorders>
          </w:tcPr>
          <w:p w14:paraId="0E35B758" w14:textId="77777777" w:rsidR="004752EC" w:rsidRPr="00E8515C" w:rsidRDefault="004752EC" w:rsidP="00BF6BD4">
            <w:pPr>
              <w:keepNext/>
              <w:keepLines/>
              <w:spacing w:before="20" w:after="20"/>
              <w:jc w:val="right"/>
              <w:rPr>
                <w:b/>
                <w:sz w:val="20"/>
                <w:szCs w:val="20"/>
              </w:rPr>
            </w:pPr>
            <w:r w:rsidRPr="00E8515C">
              <w:rPr>
                <w:b/>
                <w:sz w:val="20"/>
                <w:szCs w:val="20"/>
              </w:rPr>
              <w:t>19.483</w:t>
            </w:r>
          </w:p>
        </w:tc>
        <w:tc>
          <w:tcPr>
            <w:tcW w:w="1127" w:type="dxa"/>
            <w:tcBorders>
              <w:top w:val="single" w:sz="4" w:space="0" w:color="auto"/>
              <w:left w:val="single" w:sz="4" w:space="0" w:color="auto"/>
              <w:bottom w:val="nil"/>
              <w:right w:val="single" w:sz="4" w:space="0" w:color="auto"/>
            </w:tcBorders>
          </w:tcPr>
          <w:p w14:paraId="3DC76856" w14:textId="77777777" w:rsidR="004752EC" w:rsidRPr="00E8515C" w:rsidRDefault="004752EC" w:rsidP="00BF6BD4">
            <w:pPr>
              <w:keepNext/>
              <w:keepLines/>
              <w:spacing w:before="20" w:after="20"/>
              <w:jc w:val="right"/>
              <w:rPr>
                <w:b/>
                <w:sz w:val="20"/>
                <w:szCs w:val="20"/>
              </w:rPr>
            </w:pPr>
            <w:r w:rsidRPr="00E8515C">
              <w:rPr>
                <w:b/>
                <w:sz w:val="20"/>
                <w:szCs w:val="20"/>
              </w:rPr>
              <w:t>19.789</w:t>
            </w:r>
          </w:p>
        </w:tc>
        <w:tc>
          <w:tcPr>
            <w:tcW w:w="1127" w:type="dxa"/>
            <w:tcBorders>
              <w:top w:val="single" w:sz="4" w:space="0" w:color="auto"/>
              <w:left w:val="single" w:sz="4" w:space="0" w:color="auto"/>
              <w:bottom w:val="nil"/>
              <w:right w:val="single" w:sz="4" w:space="0" w:color="auto"/>
            </w:tcBorders>
          </w:tcPr>
          <w:p w14:paraId="25FA7C04" w14:textId="77777777" w:rsidR="004752EC" w:rsidRPr="00E8515C" w:rsidRDefault="004752EC" w:rsidP="00BF6BD4">
            <w:pPr>
              <w:keepNext/>
              <w:keepLines/>
              <w:spacing w:before="20" w:after="20"/>
              <w:jc w:val="right"/>
              <w:rPr>
                <w:b/>
                <w:sz w:val="20"/>
                <w:szCs w:val="20"/>
              </w:rPr>
            </w:pPr>
            <w:r w:rsidRPr="00E8515C">
              <w:rPr>
                <w:b/>
                <w:sz w:val="20"/>
                <w:szCs w:val="20"/>
              </w:rPr>
              <w:t>18.816</w:t>
            </w:r>
          </w:p>
        </w:tc>
        <w:tc>
          <w:tcPr>
            <w:tcW w:w="1126" w:type="dxa"/>
            <w:tcBorders>
              <w:top w:val="single" w:sz="4" w:space="0" w:color="auto"/>
              <w:left w:val="single" w:sz="4" w:space="0" w:color="auto"/>
              <w:bottom w:val="nil"/>
              <w:right w:val="single" w:sz="4" w:space="0" w:color="auto"/>
            </w:tcBorders>
          </w:tcPr>
          <w:p w14:paraId="157477F4" w14:textId="77777777" w:rsidR="004752EC" w:rsidRPr="00E8515C" w:rsidRDefault="004752EC" w:rsidP="00BF6BD4">
            <w:pPr>
              <w:keepNext/>
              <w:keepLines/>
              <w:spacing w:before="20" w:after="20"/>
              <w:jc w:val="right"/>
              <w:rPr>
                <w:b/>
                <w:sz w:val="20"/>
                <w:szCs w:val="20"/>
              </w:rPr>
            </w:pPr>
            <w:r w:rsidRPr="00E8515C">
              <w:rPr>
                <w:b/>
                <w:sz w:val="20"/>
                <w:szCs w:val="20"/>
              </w:rPr>
              <w:t>19.068</w:t>
            </w:r>
          </w:p>
        </w:tc>
        <w:tc>
          <w:tcPr>
            <w:tcW w:w="1127" w:type="dxa"/>
            <w:tcBorders>
              <w:top w:val="single" w:sz="4" w:space="0" w:color="auto"/>
              <w:left w:val="single" w:sz="4" w:space="0" w:color="auto"/>
              <w:bottom w:val="nil"/>
              <w:right w:val="single" w:sz="4" w:space="0" w:color="auto"/>
            </w:tcBorders>
          </w:tcPr>
          <w:p w14:paraId="302A7E98" w14:textId="77777777" w:rsidR="004752EC" w:rsidRPr="00E8515C" w:rsidRDefault="004752EC" w:rsidP="00BF6BD4">
            <w:pPr>
              <w:keepNext/>
              <w:keepLines/>
              <w:spacing w:before="20" w:after="20"/>
              <w:jc w:val="right"/>
              <w:rPr>
                <w:b/>
                <w:sz w:val="20"/>
                <w:szCs w:val="20"/>
              </w:rPr>
            </w:pPr>
            <w:r w:rsidRPr="00E8515C">
              <w:rPr>
                <w:b/>
                <w:sz w:val="20"/>
                <w:szCs w:val="20"/>
              </w:rPr>
              <w:t>19.302</w:t>
            </w:r>
          </w:p>
        </w:tc>
        <w:tc>
          <w:tcPr>
            <w:tcW w:w="1127" w:type="dxa"/>
            <w:tcBorders>
              <w:top w:val="single" w:sz="4" w:space="0" w:color="auto"/>
              <w:left w:val="single" w:sz="4" w:space="0" w:color="auto"/>
              <w:bottom w:val="nil"/>
              <w:right w:val="single" w:sz="4" w:space="0" w:color="auto"/>
            </w:tcBorders>
          </w:tcPr>
          <w:p w14:paraId="69475479" w14:textId="77777777" w:rsidR="004752EC" w:rsidRPr="00E8515C" w:rsidRDefault="004752EC" w:rsidP="00BF6BD4">
            <w:pPr>
              <w:keepNext/>
              <w:keepLines/>
              <w:spacing w:before="20" w:after="20"/>
              <w:jc w:val="right"/>
              <w:rPr>
                <w:b/>
                <w:sz w:val="20"/>
                <w:szCs w:val="20"/>
              </w:rPr>
            </w:pPr>
            <w:r w:rsidRPr="00E8515C">
              <w:rPr>
                <w:b/>
                <w:sz w:val="20"/>
                <w:szCs w:val="20"/>
              </w:rPr>
              <w:t>96.458</w:t>
            </w:r>
          </w:p>
        </w:tc>
      </w:tr>
      <w:tr w:rsidR="004752EC" w:rsidRPr="00E8515C" w14:paraId="49383941" w14:textId="77777777" w:rsidTr="00BF6BD4">
        <w:trPr>
          <w:trHeight w:val="20"/>
        </w:trPr>
        <w:tc>
          <w:tcPr>
            <w:tcW w:w="3402" w:type="dxa"/>
            <w:tcBorders>
              <w:top w:val="nil"/>
              <w:left w:val="single" w:sz="4" w:space="0" w:color="auto"/>
              <w:bottom w:val="nil"/>
              <w:right w:val="single" w:sz="4" w:space="0" w:color="auto"/>
            </w:tcBorders>
          </w:tcPr>
          <w:p w14:paraId="10F4F5C5" w14:textId="77777777" w:rsidR="004752EC" w:rsidRPr="00E8515C" w:rsidRDefault="004752EC" w:rsidP="00BF6BD4">
            <w:pPr>
              <w:keepNext/>
              <w:keepLines/>
              <w:spacing w:before="20" w:after="20"/>
              <w:ind w:left="284"/>
              <w:rPr>
                <w:sz w:val="20"/>
                <w:szCs w:val="20"/>
              </w:rPr>
            </w:pPr>
            <w:r w:rsidRPr="00E8515C">
              <w:rPr>
                <w:sz w:val="20"/>
                <w:szCs w:val="20"/>
              </w:rPr>
              <w:t>Legal aid commissions</w:t>
            </w:r>
          </w:p>
        </w:tc>
        <w:tc>
          <w:tcPr>
            <w:tcW w:w="993" w:type="dxa"/>
            <w:tcBorders>
              <w:top w:val="nil"/>
              <w:left w:val="single" w:sz="4" w:space="0" w:color="auto"/>
              <w:bottom w:val="nil"/>
              <w:right w:val="single" w:sz="4" w:space="0" w:color="auto"/>
            </w:tcBorders>
          </w:tcPr>
          <w:p w14:paraId="208544AF" w14:textId="77777777" w:rsidR="004752EC" w:rsidRPr="00E8515C" w:rsidRDefault="004752EC" w:rsidP="00BF6BD4">
            <w:pPr>
              <w:keepNext/>
              <w:keepLines/>
              <w:spacing w:before="20" w:after="20"/>
              <w:jc w:val="right"/>
              <w:rPr>
                <w:sz w:val="20"/>
                <w:szCs w:val="20"/>
              </w:rPr>
            </w:pPr>
            <w:r w:rsidRPr="00E8515C">
              <w:rPr>
                <w:sz w:val="20"/>
                <w:szCs w:val="20"/>
              </w:rPr>
              <w:t>15.699</w:t>
            </w:r>
          </w:p>
        </w:tc>
        <w:tc>
          <w:tcPr>
            <w:tcW w:w="1127" w:type="dxa"/>
            <w:tcBorders>
              <w:top w:val="nil"/>
              <w:left w:val="single" w:sz="4" w:space="0" w:color="auto"/>
              <w:bottom w:val="nil"/>
              <w:right w:val="single" w:sz="4" w:space="0" w:color="auto"/>
            </w:tcBorders>
          </w:tcPr>
          <w:p w14:paraId="33A8B74E" w14:textId="77777777" w:rsidR="004752EC" w:rsidRPr="00E8515C" w:rsidRDefault="004752EC" w:rsidP="00BF6BD4">
            <w:pPr>
              <w:keepNext/>
              <w:keepLines/>
              <w:spacing w:before="20" w:after="20"/>
              <w:jc w:val="right"/>
              <w:rPr>
                <w:sz w:val="20"/>
                <w:szCs w:val="20"/>
              </w:rPr>
            </w:pPr>
            <w:r w:rsidRPr="00E8515C">
              <w:rPr>
                <w:sz w:val="20"/>
                <w:szCs w:val="20"/>
              </w:rPr>
              <w:t>15.879</w:t>
            </w:r>
          </w:p>
        </w:tc>
        <w:tc>
          <w:tcPr>
            <w:tcW w:w="1127" w:type="dxa"/>
            <w:tcBorders>
              <w:top w:val="nil"/>
              <w:left w:val="single" w:sz="4" w:space="0" w:color="auto"/>
              <w:bottom w:val="nil"/>
              <w:right w:val="single" w:sz="4" w:space="0" w:color="auto"/>
            </w:tcBorders>
          </w:tcPr>
          <w:p w14:paraId="6A8CFAFC" w14:textId="77777777" w:rsidR="004752EC" w:rsidRPr="00E8515C" w:rsidRDefault="004752EC" w:rsidP="00BF6BD4">
            <w:pPr>
              <w:keepNext/>
              <w:keepLines/>
              <w:spacing w:before="20" w:after="20"/>
              <w:jc w:val="right"/>
              <w:rPr>
                <w:sz w:val="20"/>
                <w:szCs w:val="20"/>
              </w:rPr>
            </w:pPr>
            <w:r w:rsidRPr="00E8515C">
              <w:rPr>
                <w:sz w:val="20"/>
                <w:szCs w:val="20"/>
              </w:rPr>
              <w:t>16.034</w:t>
            </w:r>
          </w:p>
        </w:tc>
        <w:tc>
          <w:tcPr>
            <w:tcW w:w="1126" w:type="dxa"/>
            <w:tcBorders>
              <w:top w:val="nil"/>
              <w:left w:val="single" w:sz="4" w:space="0" w:color="auto"/>
              <w:bottom w:val="nil"/>
              <w:right w:val="single" w:sz="4" w:space="0" w:color="auto"/>
            </w:tcBorders>
          </w:tcPr>
          <w:p w14:paraId="3D85729C" w14:textId="77777777" w:rsidR="004752EC" w:rsidRPr="00E8515C" w:rsidRDefault="004752EC" w:rsidP="00BF6BD4">
            <w:pPr>
              <w:keepNext/>
              <w:keepLines/>
              <w:spacing w:before="20" w:after="20"/>
              <w:jc w:val="right"/>
              <w:rPr>
                <w:sz w:val="20"/>
                <w:szCs w:val="20"/>
              </w:rPr>
            </w:pPr>
            <w:r w:rsidRPr="00E8515C">
              <w:rPr>
                <w:sz w:val="20"/>
                <w:szCs w:val="20"/>
              </w:rPr>
              <w:t>16.191</w:t>
            </w:r>
          </w:p>
        </w:tc>
        <w:tc>
          <w:tcPr>
            <w:tcW w:w="1127" w:type="dxa"/>
            <w:tcBorders>
              <w:top w:val="nil"/>
              <w:left w:val="single" w:sz="4" w:space="0" w:color="auto"/>
              <w:bottom w:val="nil"/>
              <w:right w:val="single" w:sz="4" w:space="0" w:color="auto"/>
            </w:tcBorders>
          </w:tcPr>
          <w:p w14:paraId="438A9513" w14:textId="77777777" w:rsidR="004752EC" w:rsidRPr="00E8515C" w:rsidRDefault="004752EC" w:rsidP="00BF6BD4">
            <w:pPr>
              <w:keepNext/>
              <w:keepLines/>
              <w:spacing w:before="20" w:after="20"/>
              <w:jc w:val="right"/>
              <w:rPr>
                <w:sz w:val="20"/>
                <w:szCs w:val="20"/>
              </w:rPr>
            </w:pPr>
            <w:r w:rsidRPr="00E8515C">
              <w:rPr>
                <w:sz w:val="20"/>
                <w:szCs w:val="20"/>
              </w:rPr>
              <w:t>16.326</w:t>
            </w:r>
          </w:p>
        </w:tc>
        <w:tc>
          <w:tcPr>
            <w:tcW w:w="1127" w:type="dxa"/>
            <w:tcBorders>
              <w:top w:val="nil"/>
              <w:left w:val="single" w:sz="4" w:space="0" w:color="auto"/>
              <w:bottom w:val="nil"/>
              <w:right w:val="single" w:sz="4" w:space="0" w:color="auto"/>
            </w:tcBorders>
          </w:tcPr>
          <w:p w14:paraId="3685E1E7" w14:textId="77777777" w:rsidR="004752EC" w:rsidRPr="00E8515C" w:rsidRDefault="004752EC" w:rsidP="00BF6BD4">
            <w:pPr>
              <w:keepNext/>
              <w:keepLines/>
              <w:spacing w:before="20" w:after="20"/>
              <w:jc w:val="right"/>
              <w:rPr>
                <w:sz w:val="20"/>
                <w:szCs w:val="20"/>
              </w:rPr>
            </w:pPr>
            <w:r w:rsidRPr="00E8515C">
              <w:rPr>
                <w:sz w:val="20"/>
                <w:szCs w:val="20"/>
              </w:rPr>
              <w:t>80.129</w:t>
            </w:r>
          </w:p>
        </w:tc>
      </w:tr>
      <w:tr w:rsidR="004752EC" w:rsidRPr="00E8515C" w14:paraId="721F954D" w14:textId="77777777" w:rsidTr="00BF6BD4">
        <w:trPr>
          <w:trHeight w:val="20"/>
        </w:trPr>
        <w:tc>
          <w:tcPr>
            <w:tcW w:w="3402" w:type="dxa"/>
            <w:tcBorders>
              <w:top w:val="nil"/>
              <w:left w:val="single" w:sz="4" w:space="0" w:color="auto"/>
              <w:bottom w:val="nil"/>
              <w:right w:val="single" w:sz="4" w:space="0" w:color="auto"/>
            </w:tcBorders>
          </w:tcPr>
          <w:p w14:paraId="0CF94064"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993" w:type="dxa"/>
            <w:tcBorders>
              <w:top w:val="nil"/>
              <w:left w:val="single" w:sz="4" w:space="0" w:color="auto"/>
              <w:bottom w:val="nil"/>
              <w:right w:val="single" w:sz="4" w:space="0" w:color="auto"/>
            </w:tcBorders>
          </w:tcPr>
          <w:p w14:paraId="512804A2" w14:textId="77777777" w:rsidR="004752EC" w:rsidRPr="00E8515C" w:rsidRDefault="004752EC" w:rsidP="00BF6BD4">
            <w:pPr>
              <w:keepNext/>
              <w:keepLines/>
              <w:spacing w:before="20" w:after="20"/>
              <w:jc w:val="right"/>
              <w:rPr>
                <w:i/>
                <w:sz w:val="20"/>
                <w:szCs w:val="20"/>
              </w:rPr>
            </w:pPr>
            <w:r w:rsidRPr="00E8515C">
              <w:rPr>
                <w:i/>
                <w:sz w:val="20"/>
                <w:szCs w:val="20"/>
              </w:rPr>
              <w:t>0.348</w:t>
            </w:r>
          </w:p>
        </w:tc>
        <w:tc>
          <w:tcPr>
            <w:tcW w:w="1127" w:type="dxa"/>
            <w:tcBorders>
              <w:top w:val="nil"/>
              <w:left w:val="single" w:sz="4" w:space="0" w:color="auto"/>
              <w:bottom w:val="nil"/>
              <w:right w:val="single" w:sz="4" w:space="0" w:color="auto"/>
            </w:tcBorders>
          </w:tcPr>
          <w:p w14:paraId="07469F8F" w14:textId="77777777" w:rsidR="004752EC" w:rsidRPr="00E8515C" w:rsidRDefault="004752EC" w:rsidP="00BF6BD4">
            <w:pPr>
              <w:keepNext/>
              <w:keepLines/>
              <w:spacing w:before="20" w:after="20"/>
              <w:jc w:val="right"/>
              <w:rPr>
                <w:i/>
                <w:sz w:val="20"/>
                <w:szCs w:val="20"/>
              </w:rPr>
            </w:pPr>
            <w:r w:rsidRPr="00E8515C">
              <w:rPr>
                <w:i/>
                <w:sz w:val="20"/>
                <w:szCs w:val="20"/>
              </w:rPr>
              <w:t>0.411</w:t>
            </w:r>
          </w:p>
        </w:tc>
        <w:tc>
          <w:tcPr>
            <w:tcW w:w="1127" w:type="dxa"/>
            <w:tcBorders>
              <w:top w:val="nil"/>
              <w:left w:val="single" w:sz="4" w:space="0" w:color="auto"/>
              <w:bottom w:val="nil"/>
              <w:right w:val="single" w:sz="4" w:space="0" w:color="auto"/>
            </w:tcBorders>
          </w:tcPr>
          <w:p w14:paraId="3B63E939" w14:textId="77777777" w:rsidR="004752EC" w:rsidRPr="00E8515C" w:rsidRDefault="004752EC" w:rsidP="00BF6BD4">
            <w:pPr>
              <w:keepNext/>
              <w:keepLines/>
              <w:spacing w:before="20" w:after="20"/>
              <w:jc w:val="right"/>
              <w:rPr>
                <w:i/>
                <w:sz w:val="20"/>
                <w:szCs w:val="20"/>
              </w:rPr>
            </w:pPr>
            <w:r w:rsidRPr="00E8515C">
              <w:rPr>
                <w:i/>
                <w:sz w:val="20"/>
                <w:szCs w:val="20"/>
              </w:rPr>
              <w:t>2.418</w:t>
            </w:r>
          </w:p>
        </w:tc>
        <w:tc>
          <w:tcPr>
            <w:tcW w:w="1126" w:type="dxa"/>
            <w:tcBorders>
              <w:top w:val="nil"/>
              <w:left w:val="single" w:sz="4" w:space="0" w:color="auto"/>
              <w:bottom w:val="nil"/>
              <w:right w:val="single" w:sz="4" w:space="0" w:color="auto"/>
            </w:tcBorders>
          </w:tcPr>
          <w:p w14:paraId="02F6F2FF" w14:textId="77777777" w:rsidR="004752EC" w:rsidRPr="00E8515C" w:rsidRDefault="004752EC" w:rsidP="00BF6BD4">
            <w:pPr>
              <w:keepNext/>
              <w:keepLines/>
              <w:spacing w:before="20" w:after="20"/>
              <w:jc w:val="right"/>
              <w:rPr>
                <w:i/>
                <w:sz w:val="20"/>
                <w:szCs w:val="20"/>
              </w:rPr>
            </w:pPr>
            <w:r w:rsidRPr="00E8515C">
              <w:rPr>
                <w:i/>
                <w:sz w:val="20"/>
                <w:szCs w:val="20"/>
              </w:rPr>
              <w:t>2.444</w:t>
            </w:r>
          </w:p>
        </w:tc>
        <w:tc>
          <w:tcPr>
            <w:tcW w:w="1127" w:type="dxa"/>
            <w:tcBorders>
              <w:top w:val="nil"/>
              <w:left w:val="single" w:sz="4" w:space="0" w:color="auto"/>
              <w:bottom w:val="nil"/>
              <w:right w:val="single" w:sz="4" w:space="0" w:color="auto"/>
            </w:tcBorders>
          </w:tcPr>
          <w:p w14:paraId="56D4D875" w14:textId="77777777" w:rsidR="004752EC" w:rsidRPr="00E8515C" w:rsidRDefault="004752EC" w:rsidP="00BF6BD4">
            <w:pPr>
              <w:keepNext/>
              <w:keepLines/>
              <w:spacing w:before="20" w:after="20"/>
              <w:jc w:val="right"/>
              <w:rPr>
                <w:i/>
                <w:sz w:val="20"/>
                <w:szCs w:val="20"/>
              </w:rPr>
            </w:pPr>
            <w:r w:rsidRPr="00E8515C">
              <w:rPr>
                <w:i/>
                <w:sz w:val="20"/>
                <w:szCs w:val="20"/>
              </w:rPr>
              <w:t>2.472</w:t>
            </w:r>
          </w:p>
        </w:tc>
        <w:tc>
          <w:tcPr>
            <w:tcW w:w="1127" w:type="dxa"/>
            <w:tcBorders>
              <w:top w:val="nil"/>
              <w:left w:val="single" w:sz="4" w:space="0" w:color="auto"/>
              <w:bottom w:val="nil"/>
              <w:right w:val="single" w:sz="4" w:space="0" w:color="auto"/>
            </w:tcBorders>
          </w:tcPr>
          <w:p w14:paraId="3E80E6B5" w14:textId="77777777" w:rsidR="004752EC" w:rsidRPr="00E8515C" w:rsidRDefault="004752EC" w:rsidP="00BF6BD4">
            <w:pPr>
              <w:keepNext/>
              <w:keepLines/>
              <w:spacing w:before="20" w:after="20"/>
              <w:jc w:val="right"/>
              <w:rPr>
                <w:i/>
                <w:sz w:val="20"/>
                <w:szCs w:val="20"/>
              </w:rPr>
            </w:pPr>
            <w:r w:rsidRPr="00E8515C">
              <w:rPr>
                <w:i/>
                <w:sz w:val="20"/>
                <w:szCs w:val="20"/>
              </w:rPr>
              <w:t>8.092</w:t>
            </w:r>
          </w:p>
        </w:tc>
      </w:tr>
      <w:tr w:rsidR="004752EC" w:rsidRPr="00E8515C" w14:paraId="42E8A061" w14:textId="77777777" w:rsidTr="00BF6BD4">
        <w:trPr>
          <w:trHeight w:val="20"/>
        </w:trPr>
        <w:tc>
          <w:tcPr>
            <w:tcW w:w="3402" w:type="dxa"/>
            <w:tcBorders>
              <w:top w:val="nil"/>
              <w:left w:val="single" w:sz="4" w:space="0" w:color="auto"/>
              <w:bottom w:val="nil"/>
              <w:right w:val="single" w:sz="4" w:space="0" w:color="auto"/>
            </w:tcBorders>
          </w:tcPr>
          <w:p w14:paraId="40AFAC39"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993" w:type="dxa"/>
            <w:tcBorders>
              <w:top w:val="nil"/>
              <w:left w:val="single" w:sz="4" w:space="0" w:color="auto"/>
              <w:bottom w:val="nil"/>
              <w:right w:val="single" w:sz="4" w:space="0" w:color="auto"/>
            </w:tcBorders>
          </w:tcPr>
          <w:p w14:paraId="2E6EED49" w14:textId="77777777" w:rsidR="004752EC" w:rsidRPr="00E8515C" w:rsidRDefault="004752EC" w:rsidP="00BF6BD4">
            <w:pPr>
              <w:keepNext/>
              <w:keepLines/>
              <w:spacing w:before="20" w:after="20"/>
              <w:jc w:val="right"/>
              <w:rPr>
                <w:i/>
                <w:sz w:val="20"/>
                <w:szCs w:val="20"/>
              </w:rPr>
            </w:pPr>
            <w:r w:rsidRPr="00E8515C">
              <w:rPr>
                <w:i/>
                <w:sz w:val="20"/>
                <w:szCs w:val="20"/>
              </w:rPr>
              <w:t>3.188</w:t>
            </w:r>
          </w:p>
        </w:tc>
        <w:tc>
          <w:tcPr>
            <w:tcW w:w="1127" w:type="dxa"/>
            <w:tcBorders>
              <w:top w:val="nil"/>
              <w:left w:val="single" w:sz="4" w:space="0" w:color="auto"/>
              <w:bottom w:val="nil"/>
              <w:right w:val="single" w:sz="4" w:space="0" w:color="auto"/>
            </w:tcBorders>
          </w:tcPr>
          <w:p w14:paraId="7091D68B" w14:textId="77777777" w:rsidR="004752EC" w:rsidRPr="00E8515C" w:rsidRDefault="004752EC" w:rsidP="00BF6BD4">
            <w:pPr>
              <w:keepNext/>
              <w:keepLines/>
              <w:spacing w:before="20" w:after="20"/>
              <w:jc w:val="right"/>
              <w:rPr>
                <w:i/>
                <w:sz w:val="20"/>
                <w:szCs w:val="20"/>
              </w:rPr>
            </w:pPr>
            <w:r w:rsidRPr="00E8515C">
              <w:rPr>
                <w:i/>
                <w:sz w:val="20"/>
                <w:szCs w:val="20"/>
              </w:rPr>
              <w:t>3.188</w:t>
            </w:r>
          </w:p>
        </w:tc>
        <w:tc>
          <w:tcPr>
            <w:tcW w:w="1127" w:type="dxa"/>
            <w:tcBorders>
              <w:top w:val="nil"/>
              <w:left w:val="single" w:sz="4" w:space="0" w:color="auto"/>
              <w:bottom w:val="nil"/>
              <w:right w:val="single" w:sz="4" w:space="0" w:color="auto"/>
            </w:tcBorders>
          </w:tcPr>
          <w:p w14:paraId="25E08836"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6" w:type="dxa"/>
            <w:tcBorders>
              <w:top w:val="nil"/>
              <w:left w:val="single" w:sz="4" w:space="0" w:color="auto"/>
              <w:bottom w:val="nil"/>
              <w:right w:val="single" w:sz="4" w:space="0" w:color="auto"/>
            </w:tcBorders>
          </w:tcPr>
          <w:p w14:paraId="31D640E2"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0383D999"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743F7E99" w14:textId="77777777" w:rsidR="004752EC" w:rsidRPr="00E8515C" w:rsidRDefault="004752EC" w:rsidP="00BF6BD4">
            <w:pPr>
              <w:keepNext/>
              <w:keepLines/>
              <w:spacing w:before="20" w:after="20"/>
              <w:jc w:val="right"/>
              <w:rPr>
                <w:i/>
                <w:sz w:val="20"/>
                <w:szCs w:val="20"/>
              </w:rPr>
            </w:pPr>
            <w:r w:rsidRPr="00E8515C">
              <w:rPr>
                <w:i/>
                <w:sz w:val="20"/>
                <w:szCs w:val="20"/>
              </w:rPr>
              <w:t>6.377</w:t>
            </w:r>
          </w:p>
        </w:tc>
      </w:tr>
      <w:tr w:rsidR="004752EC" w:rsidRPr="00E8515C" w14:paraId="1CC67603" w14:textId="77777777" w:rsidTr="00BF6BD4">
        <w:trPr>
          <w:trHeight w:val="20"/>
        </w:trPr>
        <w:tc>
          <w:tcPr>
            <w:tcW w:w="3402" w:type="dxa"/>
            <w:tcBorders>
              <w:top w:val="nil"/>
              <w:left w:val="single" w:sz="4" w:space="0" w:color="auto"/>
              <w:bottom w:val="nil"/>
              <w:right w:val="single" w:sz="4" w:space="0" w:color="auto"/>
            </w:tcBorders>
          </w:tcPr>
          <w:p w14:paraId="715D792F"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993" w:type="dxa"/>
            <w:tcBorders>
              <w:top w:val="nil"/>
              <w:left w:val="single" w:sz="4" w:space="0" w:color="auto"/>
              <w:bottom w:val="nil"/>
              <w:right w:val="single" w:sz="4" w:space="0" w:color="auto"/>
            </w:tcBorders>
          </w:tcPr>
          <w:p w14:paraId="29FEF903" w14:textId="77777777" w:rsidR="004752EC" w:rsidRPr="00E8515C" w:rsidRDefault="004752EC" w:rsidP="00BF6BD4">
            <w:pPr>
              <w:keepNext/>
              <w:keepLines/>
              <w:spacing w:before="20" w:after="20"/>
              <w:jc w:val="right"/>
              <w:rPr>
                <w:i/>
                <w:sz w:val="20"/>
                <w:szCs w:val="20"/>
              </w:rPr>
            </w:pPr>
            <w:r w:rsidRPr="00E8515C">
              <w:rPr>
                <w:i/>
                <w:sz w:val="20"/>
                <w:szCs w:val="20"/>
              </w:rPr>
              <w:t>0.248</w:t>
            </w:r>
          </w:p>
        </w:tc>
        <w:tc>
          <w:tcPr>
            <w:tcW w:w="1127" w:type="dxa"/>
            <w:tcBorders>
              <w:top w:val="nil"/>
              <w:left w:val="single" w:sz="4" w:space="0" w:color="auto"/>
              <w:bottom w:val="nil"/>
              <w:right w:val="single" w:sz="4" w:space="0" w:color="auto"/>
            </w:tcBorders>
          </w:tcPr>
          <w:p w14:paraId="35A3A229" w14:textId="77777777" w:rsidR="004752EC" w:rsidRPr="00E8515C" w:rsidRDefault="004752EC" w:rsidP="00BF6BD4">
            <w:pPr>
              <w:keepNext/>
              <w:keepLines/>
              <w:spacing w:before="20" w:after="20"/>
              <w:jc w:val="right"/>
              <w:rPr>
                <w:i/>
                <w:sz w:val="20"/>
                <w:szCs w:val="20"/>
              </w:rPr>
            </w:pPr>
            <w:r w:rsidRPr="00E8515C">
              <w:rPr>
                <w:i/>
                <w:sz w:val="20"/>
                <w:szCs w:val="20"/>
              </w:rPr>
              <w:t>0.311</w:t>
            </w:r>
          </w:p>
        </w:tc>
        <w:tc>
          <w:tcPr>
            <w:tcW w:w="1127" w:type="dxa"/>
            <w:tcBorders>
              <w:top w:val="nil"/>
              <w:left w:val="single" w:sz="4" w:space="0" w:color="auto"/>
              <w:bottom w:val="nil"/>
              <w:right w:val="single" w:sz="4" w:space="0" w:color="auto"/>
            </w:tcBorders>
          </w:tcPr>
          <w:p w14:paraId="6190CFF7" w14:textId="77777777" w:rsidR="004752EC" w:rsidRPr="00E8515C" w:rsidRDefault="004752EC" w:rsidP="00BF6BD4">
            <w:pPr>
              <w:keepNext/>
              <w:keepLines/>
              <w:spacing w:before="20" w:after="20"/>
              <w:jc w:val="right"/>
              <w:rPr>
                <w:i/>
                <w:sz w:val="20"/>
                <w:szCs w:val="20"/>
              </w:rPr>
            </w:pPr>
            <w:r w:rsidRPr="00E8515C">
              <w:rPr>
                <w:i/>
                <w:sz w:val="20"/>
                <w:szCs w:val="20"/>
              </w:rPr>
              <w:t>0.364</w:t>
            </w:r>
          </w:p>
        </w:tc>
        <w:tc>
          <w:tcPr>
            <w:tcW w:w="1126" w:type="dxa"/>
            <w:tcBorders>
              <w:top w:val="nil"/>
              <w:left w:val="single" w:sz="4" w:space="0" w:color="auto"/>
              <w:bottom w:val="nil"/>
              <w:right w:val="single" w:sz="4" w:space="0" w:color="auto"/>
            </w:tcBorders>
          </w:tcPr>
          <w:p w14:paraId="0B87251A" w14:textId="77777777" w:rsidR="004752EC" w:rsidRPr="00E8515C" w:rsidRDefault="004752EC" w:rsidP="00BF6BD4">
            <w:pPr>
              <w:keepNext/>
              <w:keepLines/>
              <w:spacing w:before="20" w:after="20"/>
              <w:jc w:val="right"/>
              <w:rPr>
                <w:i/>
                <w:sz w:val="20"/>
                <w:szCs w:val="20"/>
              </w:rPr>
            </w:pPr>
            <w:r w:rsidRPr="00E8515C">
              <w:rPr>
                <w:i/>
                <w:sz w:val="20"/>
                <w:szCs w:val="20"/>
              </w:rPr>
              <w:t>0.433</w:t>
            </w:r>
          </w:p>
        </w:tc>
        <w:tc>
          <w:tcPr>
            <w:tcW w:w="1127" w:type="dxa"/>
            <w:tcBorders>
              <w:top w:val="nil"/>
              <w:left w:val="single" w:sz="4" w:space="0" w:color="auto"/>
              <w:bottom w:val="nil"/>
              <w:right w:val="single" w:sz="4" w:space="0" w:color="auto"/>
            </w:tcBorders>
          </w:tcPr>
          <w:p w14:paraId="5AA71F46" w14:textId="77777777" w:rsidR="004752EC" w:rsidRPr="00E8515C" w:rsidRDefault="004752EC" w:rsidP="00BF6BD4">
            <w:pPr>
              <w:keepNext/>
              <w:keepLines/>
              <w:spacing w:before="20" w:after="20"/>
              <w:jc w:val="right"/>
              <w:rPr>
                <w:i/>
                <w:sz w:val="20"/>
                <w:szCs w:val="20"/>
              </w:rPr>
            </w:pPr>
            <w:r w:rsidRPr="00E8515C">
              <w:rPr>
                <w:i/>
                <w:sz w:val="20"/>
                <w:szCs w:val="20"/>
              </w:rPr>
              <w:t>0.504</w:t>
            </w:r>
          </w:p>
        </w:tc>
        <w:tc>
          <w:tcPr>
            <w:tcW w:w="1127" w:type="dxa"/>
            <w:tcBorders>
              <w:top w:val="nil"/>
              <w:left w:val="single" w:sz="4" w:space="0" w:color="auto"/>
              <w:bottom w:val="nil"/>
              <w:right w:val="single" w:sz="4" w:space="0" w:color="auto"/>
            </w:tcBorders>
          </w:tcPr>
          <w:p w14:paraId="5867AF8C" w14:textId="77777777" w:rsidR="004752EC" w:rsidRPr="00E8515C" w:rsidRDefault="004752EC" w:rsidP="00BF6BD4">
            <w:pPr>
              <w:keepNext/>
              <w:keepLines/>
              <w:spacing w:before="20" w:after="20"/>
              <w:jc w:val="right"/>
              <w:rPr>
                <w:i/>
                <w:sz w:val="20"/>
                <w:szCs w:val="20"/>
              </w:rPr>
            </w:pPr>
            <w:r w:rsidRPr="00E8515C">
              <w:rPr>
                <w:i/>
                <w:sz w:val="20"/>
                <w:szCs w:val="20"/>
              </w:rPr>
              <w:t>1.860</w:t>
            </w:r>
          </w:p>
        </w:tc>
      </w:tr>
      <w:tr w:rsidR="004752EC" w:rsidRPr="00E8515C" w14:paraId="4421E146" w14:textId="77777777" w:rsidTr="00BF6BD4">
        <w:trPr>
          <w:trHeight w:val="20"/>
        </w:trPr>
        <w:tc>
          <w:tcPr>
            <w:tcW w:w="3402" w:type="dxa"/>
            <w:tcBorders>
              <w:top w:val="nil"/>
              <w:left w:val="single" w:sz="4" w:space="0" w:color="auto"/>
              <w:bottom w:val="single" w:sz="4" w:space="0" w:color="auto"/>
              <w:right w:val="single" w:sz="4" w:space="0" w:color="auto"/>
            </w:tcBorders>
          </w:tcPr>
          <w:p w14:paraId="04AA1700"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993" w:type="dxa"/>
            <w:tcBorders>
              <w:top w:val="nil"/>
              <w:left w:val="single" w:sz="4" w:space="0" w:color="auto"/>
              <w:bottom w:val="single" w:sz="4" w:space="0" w:color="auto"/>
              <w:right w:val="single" w:sz="4" w:space="0" w:color="auto"/>
            </w:tcBorders>
            <w:vAlign w:val="center"/>
          </w:tcPr>
          <w:p w14:paraId="0C412089" w14:textId="77777777" w:rsidR="004752EC" w:rsidRPr="00E8515C" w:rsidRDefault="004752EC" w:rsidP="00BF6BD4">
            <w:pPr>
              <w:keepNext/>
              <w:keepLines/>
              <w:spacing w:before="20" w:after="20"/>
              <w:jc w:val="right"/>
              <w:rPr>
                <w:sz w:val="20"/>
                <w:szCs w:val="20"/>
              </w:rPr>
            </w:pPr>
            <w:r w:rsidRPr="00E8515C">
              <w:rPr>
                <w:sz w:val="20"/>
                <w:szCs w:val="20"/>
              </w:rPr>
              <w:t>3.784</w:t>
            </w:r>
          </w:p>
        </w:tc>
        <w:tc>
          <w:tcPr>
            <w:tcW w:w="1127" w:type="dxa"/>
            <w:tcBorders>
              <w:top w:val="nil"/>
              <w:left w:val="single" w:sz="4" w:space="0" w:color="auto"/>
              <w:bottom w:val="single" w:sz="4" w:space="0" w:color="auto"/>
              <w:right w:val="single" w:sz="4" w:space="0" w:color="auto"/>
            </w:tcBorders>
            <w:vAlign w:val="center"/>
          </w:tcPr>
          <w:p w14:paraId="3989F0D3" w14:textId="77777777" w:rsidR="004752EC" w:rsidRPr="00E8515C" w:rsidRDefault="004752EC" w:rsidP="00BF6BD4">
            <w:pPr>
              <w:keepNext/>
              <w:keepLines/>
              <w:spacing w:before="20" w:after="20"/>
              <w:jc w:val="right"/>
              <w:rPr>
                <w:sz w:val="20"/>
                <w:szCs w:val="20"/>
              </w:rPr>
            </w:pPr>
            <w:r w:rsidRPr="00E8515C">
              <w:rPr>
                <w:sz w:val="20"/>
                <w:szCs w:val="20"/>
              </w:rPr>
              <w:t>3.91</w:t>
            </w:r>
          </w:p>
        </w:tc>
        <w:tc>
          <w:tcPr>
            <w:tcW w:w="1127" w:type="dxa"/>
            <w:tcBorders>
              <w:top w:val="nil"/>
              <w:left w:val="single" w:sz="4" w:space="0" w:color="auto"/>
              <w:bottom w:val="single" w:sz="4" w:space="0" w:color="auto"/>
              <w:right w:val="single" w:sz="4" w:space="0" w:color="auto"/>
            </w:tcBorders>
            <w:vAlign w:val="center"/>
          </w:tcPr>
          <w:p w14:paraId="7BE8AC4F" w14:textId="77777777" w:rsidR="004752EC" w:rsidRPr="00E8515C" w:rsidRDefault="004752EC" w:rsidP="00BF6BD4">
            <w:pPr>
              <w:keepNext/>
              <w:keepLines/>
              <w:spacing w:before="20" w:after="20"/>
              <w:jc w:val="right"/>
              <w:rPr>
                <w:sz w:val="20"/>
                <w:szCs w:val="20"/>
              </w:rPr>
            </w:pPr>
            <w:r w:rsidRPr="00E8515C">
              <w:rPr>
                <w:sz w:val="20"/>
                <w:szCs w:val="20"/>
              </w:rPr>
              <w:t>2.782</w:t>
            </w:r>
          </w:p>
        </w:tc>
        <w:tc>
          <w:tcPr>
            <w:tcW w:w="1126" w:type="dxa"/>
            <w:tcBorders>
              <w:top w:val="nil"/>
              <w:left w:val="single" w:sz="4" w:space="0" w:color="auto"/>
              <w:bottom w:val="single" w:sz="4" w:space="0" w:color="auto"/>
              <w:right w:val="single" w:sz="4" w:space="0" w:color="auto"/>
            </w:tcBorders>
            <w:vAlign w:val="center"/>
          </w:tcPr>
          <w:p w14:paraId="282754DA" w14:textId="77777777" w:rsidR="004752EC" w:rsidRPr="00E8515C" w:rsidRDefault="004752EC" w:rsidP="00BF6BD4">
            <w:pPr>
              <w:keepNext/>
              <w:keepLines/>
              <w:spacing w:before="20" w:after="20"/>
              <w:jc w:val="right"/>
              <w:rPr>
                <w:sz w:val="20"/>
                <w:szCs w:val="20"/>
              </w:rPr>
            </w:pPr>
            <w:r w:rsidRPr="00E8515C">
              <w:rPr>
                <w:sz w:val="20"/>
                <w:szCs w:val="20"/>
              </w:rPr>
              <w:t>2.877</w:t>
            </w:r>
          </w:p>
        </w:tc>
        <w:tc>
          <w:tcPr>
            <w:tcW w:w="1127" w:type="dxa"/>
            <w:tcBorders>
              <w:top w:val="nil"/>
              <w:left w:val="single" w:sz="4" w:space="0" w:color="auto"/>
              <w:bottom w:val="single" w:sz="4" w:space="0" w:color="auto"/>
              <w:right w:val="single" w:sz="4" w:space="0" w:color="auto"/>
            </w:tcBorders>
            <w:vAlign w:val="center"/>
          </w:tcPr>
          <w:p w14:paraId="07EEF64E" w14:textId="77777777" w:rsidR="004752EC" w:rsidRPr="00E8515C" w:rsidRDefault="004752EC" w:rsidP="00BF6BD4">
            <w:pPr>
              <w:keepNext/>
              <w:keepLines/>
              <w:spacing w:before="20" w:after="20"/>
              <w:jc w:val="right"/>
              <w:rPr>
                <w:sz w:val="20"/>
                <w:szCs w:val="20"/>
              </w:rPr>
            </w:pPr>
            <w:r w:rsidRPr="00E8515C">
              <w:rPr>
                <w:sz w:val="20"/>
                <w:szCs w:val="20"/>
              </w:rPr>
              <w:t>2.976</w:t>
            </w:r>
          </w:p>
        </w:tc>
        <w:tc>
          <w:tcPr>
            <w:tcW w:w="1127" w:type="dxa"/>
            <w:tcBorders>
              <w:top w:val="nil"/>
              <w:left w:val="single" w:sz="4" w:space="0" w:color="auto"/>
              <w:bottom w:val="single" w:sz="4" w:space="0" w:color="auto"/>
              <w:right w:val="single" w:sz="4" w:space="0" w:color="auto"/>
            </w:tcBorders>
            <w:vAlign w:val="center"/>
          </w:tcPr>
          <w:p w14:paraId="756BD045" w14:textId="77777777" w:rsidR="004752EC" w:rsidRPr="00E8515C" w:rsidRDefault="004752EC" w:rsidP="00BF6BD4">
            <w:pPr>
              <w:keepNext/>
              <w:keepLines/>
              <w:spacing w:before="20" w:after="20"/>
              <w:jc w:val="right"/>
              <w:rPr>
                <w:sz w:val="20"/>
                <w:szCs w:val="20"/>
              </w:rPr>
            </w:pPr>
            <w:r w:rsidRPr="00E8515C">
              <w:rPr>
                <w:sz w:val="20"/>
                <w:szCs w:val="20"/>
              </w:rPr>
              <w:t>16.329</w:t>
            </w:r>
          </w:p>
        </w:tc>
      </w:tr>
      <w:tr w:rsidR="004752EC" w:rsidRPr="00E8515C" w14:paraId="14EE0CEB" w14:textId="77777777" w:rsidTr="00BF6BD4">
        <w:trPr>
          <w:trHeight w:val="20"/>
        </w:trPr>
        <w:tc>
          <w:tcPr>
            <w:tcW w:w="3402" w:type="dxa"/>
            <w:tcBorders>
              <w:top w:val="nil"/>
              <w:left w:val="single" w:sz="4" w:space="0" w:color="auto"/>
              <w:bottom w:val="single" w:sz="4" w:space="0" w:color="auto"/>
              <w:right w:val="single" w:sz="4" w:space="0" w:color="auto"/>
            </w:tcBorders>
          </w:tcPr>
          <w:p w14:paraId="62CC1E28" w14:textId="77777777" w:rsidR="004752EC" w:rsidRDefault="004752EC" w:rsidP="00BF6BD4">
            <w:pPr>
              <w:keepNext/>
              <w:keepLines/>
              <w:spacing w:before="20" w:after="20"/>
              <w:ind w:left="284"/>
              <w:rPr>
                <w:sz w:val="20"/>
                <w:szCs w:val="20"/>
              </w:rPr>
            </w:pPr>
          </w:p>
          <w:p w14:paraId="4BADDBAB" w14:textId="77777777" w:rsidR="004752EC" w:rsidRPr="00E8515C" w:rsidRDefault="004752EC" w:rsidP="00BF6BD4">
            <w:pPr>
              <w:keepNext/>
              <w:keepLines/>
              <w:spacing w:before="20" w:after="20"/>
              <w:ind w:left="284"/>
              <w:rPr>
                <w:sz w:val="20"/>
                <w:szCs w:val="20"/>
              </w:rPr>
            </w:pPr>
          </w:p>
        </w:tc>
        <w:tc>
          <w:tcPr>
            <w:tcW w:w="993" w:type="dxa"/>
            <w:tcBorders>
              <w:top w:val="nil"/>
              <w:left w:val="single" w:sz="4" w:space="0" w:color="auto"/>
              <w:bottom w:val="single" w:sz="4" w:space="0" w:color="auto"/>
              <w:right w:val="single" w:sz="4" w:space="0" w:color="auto"/>
            </w:tcBorders>
            <w:vAlign w:val="center"/>
          </w:tcPr>
          <w:p w14:paraId="67D1019D" w14:textId="77777777" w:rsidR="004752EC" w:rsidRPr="00E8515C" w:rsidRDefault="004752EC" w:rsidP="00BF6BD4">
            <w:pPr>
              <w:keepNext/>
              <w:keepLines/>
              <w:spacing w:before="20" w:after="20"/>
              <w:jc w:val="right"/>
              <w:rPr>
                <w:sz w:val="20"/>
                <w:szCs w:val="20"/>
              </w:rPr>
            </w:pPr>
          </w:p>
        </w:tc>
        <w:tc>
          <w:tcPr>
            <w:tcW w:w="1127" w:type="dxa"/>
            <w:tcBorders>
              <w:top w:val="nil"/>
              <w:left w:val="single" w:sz="4" w:space="0" w:color="auto"/>
              <w:bottom w:val="single" w:sz="4" w:space="0" w:color="auto"/>
              <w:right w:val="single" w:sz="4" w:space="0" w:color="auto"/>
            </w:tcBorders>
            <w:vAlign w:val="center"/>
          </w:tcPr>
          <w:p w14:paraId="5837E3B6" w14:textId="77777777" w:rsidR="004752EC" w:rsidRPr="00E8515C" w:rsidRDefault="004752EC" w:rsidP="00BF6BD4">
            <w:pPr>
              <w:keepNext/>
              <w:keepLines/>
              <w:spacing w:before="20" w:after="20"/>
              <w:jc w:val="right"/>
              <w:rPr>
                <w:sz w:val="20"/>
                <w:szCs w:val="20"/>
              </w:rPr>
            </w:pPr>
          </w:p>
        </w:tc>
        <w:tc>
          <w:tcPr>
            <w:tcW w:w="1127" w:type="dxa"/>
            <w:tcBorders>
              <w:top w:val="nil"/>
              <w:left w:val="single" w:sz="4" w:space="0" w:color="auto"/>
              <w:bottom w:val="single" w:sz="4" w:space="0" w:color="auto"/>
              <w:right w:val="single" w:sz="4" w:space="0" w:color="auto"/>
            </w:tcBorders>
            <w:vAlign w:val="center"/>
          </w:tcPr>
          <w:p w14:paraId="7327AABC" w14:textId="77777777" w:rsidR="004752EC" w:rsidRPr="00E8515C" w:rsidRDefault="004752EC" w:rsidP="00BF6BD4">
            <w:pPr>
              <w:keepNext/>
              <w:keepLines/>
              <w:spacing w:before="20" w:after="20"/>
              <w:jc w:val="right"/>
              <w:rPr>
                <w:sz w:val="20"/>
                <w:szCs w:val="20"/>
              </w:rPr>
            </w:pPr>
          </w:p>
        </w:tc>
        <w:tc>
          <w:tcPr>
            <w:tcW w:w="1126" w:type="dxa"/>
            <w:tcBorders>
              <w:top w:val="nil"/>
              <w:left w:val="single" w:sz="4" w:space="0" w:color="auto"/>
              <w:bottom w:val="single" w:sz="4" w:space="0" w:color="auto"/>
              <w:right w:val="single" w:sz="4" w:space="0" w:color="auto"/>
            </w:tcBorders>
            <w:vAlign w:val="center"/>
          </w:tcPr>
          <w:p w14:paraId="53CDE488" w14:textId="77777777" w:rsidR="004752EC" w:rsidRPr="00E8515C" w:rsidRDefault="004752EC" w:rsidP="00BF6BD4">
            <w:pPr>
              <w:keepNext/>
              <w:keepLines/>
              <w:spacing w:before="20" w:after="20"/>
              <w:jc w:val="right"/>
              <w:rPr>
                <w:sz w:val="20"/>
                <w:szCs w:val="20"/>
              </w:rPr>
            </w:pPr>
          </w:p>
        </w:tc>
        <w:tc>
          <w:tcPr>
            <w:tcW w:w="1127" w:type="dxa"/>
            <w:tcBorders>
              <w:top w:val="nil"/>
              <w:left w:val="single" w:sz="4" w:space="0" w:color="auto"/>
              <w:bottom w:val="single" w:sz="4" w:space="0" w:color="auto"/>
              <w:right w:val="single" w:sz="4" w:space="0" w:color="auto"/>
            </w:tcBorders>
            <w:vAlign w:val="center"/>
          </w:tcPr>
          <w:p w14:paraId="1CC52786" w14:textId="77777777" w:rsidR="004752EC" w:rsidRPr="00E8515C" w:rsidRDefault="004752EC" w:rsidP="00BF6BD4">
            <w:pPr>
              <w:keepNext/>
              <w:keepLines/>
              <w:spacing w:before="20" w:after="20"/>
              <w:jc w:val="right"/>
              <w:rPr>
                <w:sz w:val="20"/>
                <w:szCs w:val="20"/>
              </w:rPr>
            </w:pPr>
          </w:p>
        </w:tc>
        <w:tc>
          <w:tcPr>
            <w:tcW w:w="1127" w:type="dxa"/>
            <w:tcBorders>
              <w:top w:val="nil"/>
              <w:left w:val="single" w:sz="4" w:space="0" w:color="auto"/>
              <w:bottom w:val="single" w:sz="4" w:space="0" w:color="auto"/>
              <w:right w:val="single" w:sz="4" w:space="0" w:color="auto"/>
            </w:tcBorders>
            <w:vAlign w:val="center"/>
          </w:tcPr>
          <w:p w14:paraId="528A0BA8" w14:textId="77777777" w:rsidR="004752EC" w:rsidRPr="00E8515C" w:rsidRDefault="004752EC" w:rsidP="00BF6BD4">
            <w:pPr>
              <w:keepNext/>
              <w:keepLines/>
              <w:spacing w:before="20" w:after="20"/>
              <w:jc w:val="right"/>
              <w:rPr>
                <w:sz w:val="20"/>
                <w:szCs w:val="20"/>
              </w:rPr>
            </w:pPr>
          </w:p>
        </w:tc>
      </w:tr>
      <w:tr w:rsidR="004752EC" w:rsidRPr="00E8515C" w14:paraId="6A53FEAA" w14:textId="77777777" w:rsidTr="00BF6BD4">
        <w:trPr>
          <w:trHeight w:val="20"/>
        </w:trPr>
        <w:tc>
          <w:tcPr>
            <w:tcW w:w="3402" w:type="dxa"/>
            <w:tcBorders>
              <w:top w:val="single" w:sz="4" w:space="0" w:color="auto"/>
              <w:left w:val="single" w:sz="4" w:space="0" w:color="auto"/>
              <w:bottom w:val="nil"/>
              <w:right w:val="single" w:sz="4" w:space="0" w:color="auto"/>
            </w:tcBorders>
          </w:tcPr>
          <w:p w14:paraId="0B724188" w14:textId="77777777" w:rsidR="004752EC" w:rsidRPr="00E8515C" w:rsidRDefault="004752EC" w:rsidP="00BF6BD4">
            <w:pPr>
              <w:keepNext/>
              <w:keepLines/>
              <w:spacing w:before="20" w:after="20"/>
              <w:rPr>
                <w:sz w:val="20"/>
                <w:szCs w:val="20"/>
              </w:rPr>
            </w:pPr>
            <w:r w:rsidRPr="00E8515C">
              <w:rPr>
                <w:b/>
                <w:sz w:val="20"/>
                <w:szCs w:val="20"/>
              </w:rPr>
              <w:t>Tasmania</w:t>
            </w:r>
          </w:p>
        </w:tc>
        <w:tc>
          <w:tcPr>
            <w:tcW w:w="993" w:type="dxa"/>
            <w:tcBorders>
              <w:top w:val="single" w:sz="4" w:space="0" w:color="auto"/>
              <w:left w:val="single" w:sz="4" w:space="0" w:color="auto"/>
              <w:bottom w:val="nil"/>
              <w:right w:val="single" w:sz="4" w:space="0" w:color="auto"/>
            </w:tcBorders>
          </w:tcPr>
          <w:p w14:paraId="3948ADB0" w14:textId="77777777" w:rsidR="004752EC" w:rsidRPr="00E8515C" w:rsidRDefault="004752EC" w:rsidP="00BF6BD4">
            <w:pPr>
              <w:keepNext/>
              <w:keepLines/>
              <w:spacing w:before="20" w:after="20"/>
              <w:jc w:val="right"/>
              <w:rPr>
                <w:b/>
                <w:sz w:val="20"/>
                <w:szCs w:val="20"/>
              </w:rPr>
            </w:pPr>
            <w:r w:rsidRPr="00E8515C">
              <w:rPr>
                <w:b/>
                <w:sz w:val="20"/>
                <w:szCs w:val="20"/>
              </w:rPr>
              <w:t>7.274</w:t>
            </w:r>
          </w:p>
        </w:tc>
        <w:tc>
          <w:tcPr>
            <w:tcW w:w="1127" w:type="dxa"/>
            <w:tcBorders>
              <w:top w:val="single" w:sz="4" w:space="0" w:color="auto"/>
              <w:left w:val="single" w:sz="4" w:space="0" w:color="auto"/>
              <w:bottom w:val="nil"/>
              <w:right w:val="single" w:sz="4" w:space="0" w:color="auto"/>
            </w:tcBorders>
          </w:tcPr>
          <w:p w14:paraId="343C0404" w14:textId="77777777" w:rsidR="004752EC" w:rsidRPr="00E8515C" w:rsidRDefault="004752EC" w:rsidP="00BF6BD4">
            <w:pPr>
              <w:keepNext/>
              <w:keepLines/>
              <w:spacing w:before="20" w:after="20"/>
              <w:jc w:val="right"/>
              <w:rPr>
                <w:b/>
                <w:sz w:val="20"/>
                <w:szCs w:val="20"/>
              </w:rPr>
            </w:pPr>
            <w:r w:rsidRPr="00E8515C">
              <w:rPr>
                <w:b/>
                <w:sz w:val="20"/>
                <w:szCs w:val="20"/>
              </w:rPr>
              <w:t>7.303</w:t>
            </w:r>
          </w:p>
        </w:tc>
        <w:tc>
          <w:tcPr>
            <w:tcW w:w="1127" w:type="dxa"/>
            <w:tcBorders>
              <w:top w:val="single" w:sz="4" w:space="0" w:color="auto"/>
              <w:left w:val="single" w:sz="4" w:space="0" w:color="auto"/>
              <w:bottom w:val="nil"/>
              <w:right w:val="single" w:sz="4" w:space="0" w:color="auto"/>
            </w:tcBorders>
          </w:tcPr>
          <w:p w14:paraId="7D72E770" w14:textId="77777777" w:rsidR="004752EC" w:rsidRPr="00E8515C" w:rsidRDefault="004752EC" w:rsidP="00BF6BD4">
            <w:pPr>
              <w:keepNext/>
              <w:keepLines/>
              <w:spacing w:before="20" w:after="20"/>
              <w:jc w:val="right"/>
              <w:rPr>
                <w:b/>
                <w:sz w:val="20"/>
                <w:szCs w:val="20"/>
              </w:rPr>
            </w:pPr>
            <w:r w:rsidRPr="00E8515C">
              <w:rPr>
                <w:b/>
                <w:sz w:val="20"/>
                <w:szCs w:val="20"/>
              </w:rPr>
              <w:t>6.939</w:t>
            </w:r>
          </w:p>
        </w:tc>
        <w:tc>
          <w:tcPr>
            <w:tcW w:w="1126" w:type="dxa"/>
            <w:tcBorders>
              <w:top w:val="single" w:sz="4" w:space="0" w:color="auto"/>
              <w:left w:val="single" w:sz="4" w:space="0" w:color="auto"/>
              <w:bottom w:val="nil"/>
              <w:right w:val="single" w:sz="4" w:space="0" w:color="auto"/>
            </w:tcBorders>
          </w:tcPr>
          <w:p w14:paraId="3C25B9A9" w14:textId="77777777" w:rsidR="004752EC" w:rsidRPr="00E8515C" w:rsidRDefault="004752EC" w:rsidP="00BF6BD4">
            <w:pPr>
              <w:keepNext/>
              <w:keepLines/>
              <w:spacing w:before="20" w:after="20"/>
              <w:jc w:val="right"/>
              <w:rPr>
                <w:b/>
                <w:sz w:val="20"/>
                <w:szCs w:val="20"/>
              </w:rPr>
            </w:pPr>
            <w:r w:rsidRPr="00E8515C">
              <w:rPr>
                <w:b/>
                <w:sz w:val="20"/>
                <w:szCs w:val="20"/>
              </w:rPr>
              <w:t>7.023</w:t>
            </w:r>
          </w:p>
        </w:tc>
        <w:tc>
          <w:tcPr>
            <w:tcW w:w="1127" w:type="dxa"/>
            <w:tcBorders>
              <w:top w:val="single" w:sz="4" w:space="0" w:color="auto"/>
              <w:left w:val="single" w:sz="4" w:space="0" w:color="auto"/>
              <w:bottom w:val="nil"/>
              <w:right w:val="single" w:sz="4" w:space="0" w:color="auto"/>
            </w:tcBorders>
          </w:tcPr>
          <w:p w14:paraId="0E50598C" w14:textId="77777777" w:rsidR="004752EC" w:rsidRPr="00E8515C" w:rsidRDefault="004752EC" w:rsidP="00BF6BD4">
            <w:pPr>
              <w:keepNext/>
              <w:keepLines/>
              <w:spacing w:before="20" w:after="20"/>
              <w:jc w:val="right"/>
              <w:rPr>
                <w:b/>
                <w:sz w:val="20"/>
                <w:szCs w:val="20"/>
              </w:rPr>
            </w:pPr>
            <w:r w:rsidRPr="00E8515C">
              <w:rPr>
                <w:b/>
                <w:sz w:val="20"/>
                <w:szCs w:val="20"/>
              </w:rPr>
              <w:t>7.101</w:t>
            </w:r>
          </w:p>
        </w:tc>
        <w:tc>
          <w:tcPr>
            <w:tcW w:w="1127" w:type="dxa"/>
            <w:tcBorders>
              <w:top w:val="single" w:sz="4" w:space="0" w:color="auto"/>
              <w:left w:val="single" w:sz="4" w:space="0" w:color="auto"/>
              <w:bottom w:val="nil"/>
              <w:right w:val="single" w:sz="4" w:space="0" w:color="auto"/>
            </w:tcBorders>
          </w:tcPr>
          <w:p w14:paraId="3B87F879" w14:textId="77777777" w:rsidR="004752EC" w:rsidRPr="00E8515C" w:rsidRDefault="004752EC" w:rsidP="00BF6BD4">
            <w:pPr>
              <w:keepNext/>
              <w:keepLines/>
              <w:spacing w:before="20" w:after="20"/>
              <w:jc w:val="right"/>
              <w:rPr>
                <w:b/>
                <w:sz w:val="20"/>
                <w:szCs w:val="20"/>
              </w:rPr>
            </w:pPr>
            <w:r w:rsidRPr="00E8515C">
              <w:rPr>
                <w:b/>
                <w:sz w:val="20"/>
                <w:szCs w:val="20"/>
              </w:rPr>
              <w:t>35.640</w:t>
            </w:r>
          </w:p>
        </w:tc>
      </w:tr>
      <w:tr w:rsidR="004752EC" w:rsidRPr="00E8515C" w14:paraId="7D3634BB" w14:textId="77777777" w:rsidTr="00BF6BD4">
        <w:trPr>
          <w:trHeight w:val="20"/>
        </w:trPr>
        <w:tc>
          <w:tcPr>
            <w:tcW w:w="3402" w:type="dxa"/>
            <w:tcBorders>
              <w:top w:val="nil"/>
              <w:left w:val="single" w:sz="4" w:space="0" w:color="auto"/>
              <w:bottom w:val="nil"/>
              <w:right w:val="single" w:sz="4" w:space="0" w:color="auto"/>
            </w:tcBorders>
          </w:tcPr>
          <w:p w14:paraId="335DAF41" w14:textId="77777777" w:rsidR="004752EC" w:rsidRPr="00E8515C" w:rsidRDefault="004752EC" w:rsidP="00BF6BD4">
            <w:pPr>
              <w:keepNext/>
              <w:keepLines/>
              <w:spacing w:before="20" w:after="20"/>
              <w:ind w:left="284"/>
              <w:rPr>
                <w:sz w:val="20"/>
                <w:szCs w:val="20"/>
              </w:rPr>
            </w:pPr>
            <w:r w:rsidRPr="00E8515C">
              <w:rPr>
                <w:sz w:val="20"/>
                <w:szCs w:val="20"/>
              </w:rPr>
              <w:t>Legal aid commissions</w:t>
            </w:r>
          </w:p>
        </w:tc>
        <w:tc>
          <w:tcPr>
            <w:tcW w:w="993" w:type="dxa"/>
            <w:tcBorders>
              <w:top w:val="nil"/>
              <w:left w:val="single" w:sz="4" w:space="0" w:color="auto"/>
              <w:bottom w:val="nil"/>
              <w:right w:val="single" w:sz="4" w:space="0" w:color="auto"/>
            </w:tcBorders>
          </w:tcPr>
          <w:p w14:paraId="2C190EE1" w14:textId="77777777" w:rsidR="004752EC" w:rsidRPr="00E8515C" w:rsidRDefault="004752EC" w:rsidP="00BF6BD4">
            <w:pPr>
              <w:keepNext/>
              <w:keepLines/>
              <w:spacing w:before="20" w:after="20"/>
              <w:jc w:val="right"/>
              <w:rPr>
                <w:sz w:val="20"/>
                <w:szCs w:val="20"/>
              </w:rPr>
            </w:pPr>
            <w:r w:rsidRPr="00E8515C">
              <w:rPr>
                <w:sz w:val="20"/>
                <w:szCs w:val="20"/>
              </w:rPr>
              <w:t>5.747</w:t>
            </w:r>
          </w:p>
        </w:tc>
        <w:tc>
          <w:tcPr>
            <w:tcW w:w="1127" w:type="dxa"/>
            <w:tcBorders>
              <w:top w:val="nil"/>
              <w:left w:val="single" w:sz="4" w:space="0" w:color="auto"/>
              <w:bottom w:val="nil"/>
              <w:right w:val="single" w:sz="4" w:space="0" w:color="auto"/>
            </w:tcBorders>
          </w:tcPr>
          <w:p w14:paraId="585CA567" w14:textId="77777777" w:rsidR="004752EC" w:rsidRPr="00E8515C" w:rsidRDefault="004752EC" w:rsidP="00BF6BD4">
            <w:pPr>
              <w:keepNext/>
              <w:keepLines/>
              <w:spacing w:before="20" w:after="20"/>
              <w:jc w:val="right"/>
              <w:rPr>
                <w:sz w:val="20"/>
                <w:szCs w:val="20"/>
              </w:rPr>
            </w:pPr>
            <w:r w:rsidRPr="00E8515C">
              <w:rPr>
                <w:sz w:val="20"/>
                <w:szCs w:val="20"/>
              </w:rPr>
              <w:t>5.804</w:t>
            </w:r>
          </w:p>
        </w:tc>
        <w:tc>
          <w:tcPr>
            <w:tcW w:w="1127" w:type="dxa"/>
            <w:tcBorders>
              <w:top w:val="nil"/>
              <w:left w:val="single" w:sz="4" w:space="0" w:color="auto"/>
              <w:bottom w:val="nil"/>
              <w:right w:val="single" w:sz="4" w:space="0" w:color="auto"/>
            </w:tcBorders>
          </w:tcPr>
          <w:p w14:paraId="75424E2F" w14:textId="77777777" w:rsidR="004752EC" w:rsidRPr="00E8515C" w:rsidRDefault="004752EC" w:rsidP="00BF6BD4">
            <w:pPr>
              <w:keepNext/>
              <w:keepLines/>
              <w:spacing w:before="20" w:after="20"/>
              <w:jc w:val="right"/>
              <w:rPr>
                <w:sz w:val="20"/>
                <w:szCs w:val="20"/>
              </w:rPr>
            </w:pPr>
            <w:r w:rsidRPr="00E8515C">
              <w:rPr>
                <w:sz w:val="20"/>
                <w:szCs w:val="20"/>
              </w:rPr>
              <w:t>5.853</w:t>
            </w:r>
          </w:p>
        </w:tc>
        <w:tc>
          <w:tcPr>
            <w:tcW w:w="1126" w:type="dxa"/>
            <w:tcBorders>
              <w:top w:val="nil"/>
              <w:left w:val="single" w:sz="4" w:space="0" w:color="auto"/>
              <w:bottom w:val="nil"/>
              <w:right w:val="single" w:sz="4" w:space="0" w:color="auto"/>
            </w:tcBorders>
          </w:tcPr>
          <w:p w14:paraId="0BBE6540" w14:textId="77777777" w:rsidR="004752EC" w:rsidRPr="00E8515C" w:rsidRDefault="004752EC" w:rsidP="00BF6BD4">
            <w:pPr>
              <w:keepNext/>
              <w:keepLines/>
              <w:spacing w:before="20" w:after="20"/>
              <w:jc w:val="right"/>
              <w:rPr>
                <w:sz w:val="20"/>
                <w:szCs w:val="20"/>
              </w:rPr>
            </w:pPr>
            <w:r w:rsidRPr="00E8515C">
              <w:rPr>
                <w:sz w:val="20"/>
                <w:szCs w:val="20"/>
              </w:rPr>
              <w:t>5.903</w:t>
            </w:r>
          </w:p>
        </w:tc>
        <w:tc>
          <w:tcPr>
            <w:tcW w:w="1127" w:type="dxa"/>
            <w:tcBorders>
              <w:top w:val="nil"/>
              <w:left w:val="single" w:sz="4" w:space="0" w:color="auto"/>
              <w:bottom w:val="nil"/>
              <w:right w:val="single" w:sz="4" w:space="0" w:color="auto"/>
            </w:tcBorders>
          </w:tcPr>
          <w:p w14:paraId="223F0B9D" w14:textId="77777777" w:rsidR="004752EC" w:rsidRPr="00E8515C" w:rsidRDefault="004752EC" w:rsidP="00BF6BD4">
            <w:pPr>
              <w:keepNext/>
              <w:keepLines/>
              <w:spacing w:before="20" w:after="20"/>
              <w:jc w:val="right"/>
              <w:rPr>
                <w:sz w:val="20"/>
                <w:szCs w:val="20"/>
              </w:rPr>
            </w:pPr>
            <w:r w:rsidRPr="00E8515C">
              <w:rPr>
                <w:sz w:val="20"/>
                <w:szCs w:val="20"/>
              </w:rPr>
              <w:t>5.945</w:t>
            </w:r>
          </w:p>
        </w:tc>
        <w:tc>
          <w:tcPr>
            <w:tcW w:w="1127" w:type="dxa"/>
            <w:tcBorders>
              <w:top w:val="nil"/>
              <w:left w:val="single" w:sz="4" w:space="0" w:color="auto"/>
              <w:bottom w:val="nil"/>
              <w:right w:val="single" w:sz="4" w:space="0" w:color="auto"/>
            </w:tcBorders>
          </w:tcPr>
          <w:p w14:paraId="67AD44D3" w14:textId="77777777" w:rsidR="004752EC" w:rsidRPr="00E8515C" w:rsidRDefault="004752EC" w:rsidP="00BF6BD4">
            <w:pPr>
              <w:keepNext/>
              <w:keepLines/>
              <w:spacing w:before="20" w:after="20"/>
              <w:jc w:val="right"/>
              <w:rPr>
                <w:sz w:val="20"/>
                <w:szCs w:val="20"/>
              </w:rPr>
            </w:pPr>
            <w:r w:rsidRPr="00E8515C">
              <w:rPr>
                <w:sz w:val="20"/>
                <w:szCs w:val="20"/>
              </w:rPr>
              <w:t>29.252</w:t>
            </w:r>
          </w:p>
        </w:tc>
      </w:tr>
      <w:tr w:rsidR="004752EC" w:rsidRPr="00E8515C" w14:paraId="145FCD6E" w14:textId="77777777" w:rsidTr="00BF6BD4">
        <w:trPr>
          <w:trHeight w:val="20"/>
        </w:trPr>
        <w:tc>
          <w:tcPr>
            <w:tcW w:w="3402" w:type="dxa"/>
            <w:tcBorders>
              <w:top w:val="nil"/>
              <w:left w:val="single" w:sz="4" w:space="0" w:color="auto"/>
              <w:bottom w:val="nil"/>
              <w:right w:val="single" w:sz="4" w:space="0" w:color="auto"/>
            </w:tcBorders>
          </w:tcPr>
          <w:p w14:paraId="2391E139"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993" w:type="dxa"/>
            <w:tcBorders>
              <w:top w:val="nil"/>
              <w:left w:val="single" w:sz="4" w:space="0" w:color="auto"/>
              <w:bottom w:val="nil"/>
              <w:right w:val="single" w:sz="4" w:space="0" w:color="auto"/>
            </w:tcBorders>
          </w:tcPr>
          <w:p w14:paraId="2E7A01C7" w14:textId="77777777" w:rsidR="004752EC" w:rsidRPr="00E8515C" w:rsidRDefault="004752EC" w:rsidP="00BF6BD4">
            <w:pPr>
              <w:keepNext/>
              <w:keepLines/>
              <w:spacing w:before="20" w:after="20"/>
              <w:jc w:val="right"/>
              <w:rPr>
                <w:i/>
                <w:sz w:val="20"/>
                <w:szCs w:val="20"/>
              </w:rPr>
            </w:pPr>
            <w:r w:rsidRPr="00E8515C">
              <w:rPr>
                <w:i/>
                <w:sz w:val="20"/>
                <w:szCs w:val="20"/>
              </w:rPr>
              <w:t>0.830</w:t>
            </w:r>
          </w:p>
        </w:tc>
        <w:tc>
          <w:tcPr>
            <w:tcW w:w="1127" w:type="dxa"/>
            <w:tcBorders>
              <w:top w:val="nil"/>
              <w:left w:val="single" w:sz="4" w:space="0" w:color="auto"/>
              <w:bottom w:val="nil"/>
              <w:right w:val="single" w:sz="4" w:space="0" w:color="auto"/>
            </w:tcBorders>
          </w:tcPr>
          <w:p w14:paraId="19A3005E" w14:textId="77777777" w:rsidR="004752EC" w:rsidRPr="00E8515C" w:rsidRDefault="004752EC" w:rsidP="00BF6BD4">
            <w:pPr>
              <w:keepNext/>
              <w:keepLines/>
              <w:spacing w:before="20" w:after="20"/>
              <w:jc w:val="right"/>
              <w:rPr>
                <w:i/>
                <w:sz w:val="20"/>
                <w:szCs w:val="20"/>
              </w:rPr>
            </w:pPr>
            <w:r w:rsidRPr="00E8515C">
              <w:rPr>
                <w:i/>
                <w:sz w:val="20"/>
                <w:szCs w:val="20"/>
              </w:rPr>
              <w:t>0.783</w:t>
            </w:r>
          </w:p>
        </w:tc>
        <w:tc>
          <w:tcPr>
            <w:tcW w:w="1127" w:type="dxa"/>
            <w:tcBorders>
              <w:top w:val="nil"/>
              <w:left w:val="single" w:sz="4" w:space="0" w:color="auto"/>
              <w:bottom w:val="nil"/>
              <w:right w:val="single" w:sz="4" w:space="0" w:color="auto"/>
            </w:tcBorders>
          </w:tcPr>
          <w:p w14:paraId="1D51DE28" w14:textId="77777777" w:rsidR="004752EC" w:rsidRPr="00E8515C" w:rsidRDefault="004752EC" w:rsidP="00BF6BD4">
            <w:pPr>
              <w:keepNext/>
              <w:keepLines/>
              <w:spacing w:before="20" w:after="20"/>
              <w:jc w:val="right"/>
              <w:rPr>
                <w:i/>
                <w:sz w:val="20"/>
                <w:szCs w:val="20"/>
              </w:rPr>
            </w:pPr>
            <w:r w:rsidRPr="00E8515C">
              <w:rPr>
                <w:i/>
                <w:sz w:val="20"/>
                <w:szCs w:val="20"/>
              </w:rPr>
              <w:t>0.944</w:t>
            </w:r>
          </w:p>
        </w:tc>
        <w:tc>
          <w:tcPr>
            <w:tcW w:w="1126" w:type="dxa"/>
            <w:tcBorders>
              <w:top w:val="nil"/>
              <w:left w:val="single" w:sz="4" w:space="0" w:color="auto"/>
              <w:bottom w:val="nil"/>
              <w:right w:val="single" w:sz="4" w:space="0" w:color="auto"/>
            </w:tcBorders>
          </w:tcPr>
          <w:p w14:paraId="68C46D5C" w14:textId="77777777" w:rsidR="004752EC" w:rsidRPr="00E8515C" w:rsidRDefault="004752EC" w:rsidP="00BF6BD4">
            <w:pPr>
              <w:keepNext/>
              <w:keepLines/>
              <w:spacing w:before="20" w:after="20"/>
              <w:jc w:val="right"/>
              <w:rPr>
                <w:i/>
                <w:sz w:val="20"/>
                <w:szCs w:val="20"/>
              </w:rPr>
            </w:pPr>
            <w:r w:rsidRPr="00E8515C">
              <w:rPr>
                <w:i/>
                <w:sz w:val="20"/>
                <w:szCs w:val="20"/>
              </w:rPr>
              <w:t>0.952</w:t>
            </w:r>
          </w:p>
        </w:tc>
        <w:tc>
          <w:tcPr>
            <w:tcW w:w="1127" w:type="dxa"/>
            <w:tcBorders>
              <w:top w:val="nil"/>
              <w:left w:val="single" w:sz="4" w:space="0" w:color="auto"/>
              <w:bottom w:val="nil"/>
              <w:right w:val="single" w:sz="4" w:space="0" w:color="auto"/>
            </w:tcBorders>
          </w:tcPr>
          <w:p w14:paraId="52A4518A" w14:textId="77777777" w:rsidR="004752EC" w:rsidRPr="00E8515C" w:rsidRDefault="004752EC" w:rsidP="00BF6BD4">
            <w:pPr>
              <w:keepNext/>
              <w:keepLines/>
              <w:spacing w:before="20" w:after="20"/>
              <w:jc w:val="right"/>
              <w:rPr>
                <w:i/>
                <w:sz w:val="20"/>
                <w:szCs w:val="20"/>
              </w:rPr>
            </w:pPr>
            <w:r w:rsidRPr="00E8515C">
              <w:rPr>
                <w:i/>
                <w:sz w:val="20"/>
                <w:szCs w:val="20"/>
              </w:rPr>
              <w:t>0.961</w:t>
            </w:r>
          </w:p>
        </w:tc>
        <w:tc>
          <w:tcPr>
            <w:tcW w:w="1127" w:type="dxa"/>
            <w:tcBorders>
              <w:top w:val="nil"/>
              <w:left w:val="single" w:sz="4" w:space="0" w:color="auto"/>
              <w:bottom w:val="nil"/>
              <w:right w:val="single" w:sz="4" w:space="0" w:color="auto"/>
            </w:tcBorders>
          </w:tcPr>
          <w:p w14:paraId="04D90349" w14:textId="77777777" w:rsidR="004752EC" w:rsidRPr="00E8515C" w:rsidRDefault="004752EC" w:rsidP="00BF6BD4">
            <w:pPr>
              <w:keepNext/>
              <w:keepLines/>
              <w:spacing w:before="20" w:after="20"/>
              <w:jc w:val="right"/>
              <w:rPr>
                <w:i/>
                <w:sz w:val="20"/>
                <w:szCs w:val="20"/>
              </w:rPr>
            </w:pPr>
            <w:r w:rsidRPr="00E8515C">
              <w:rPr>
                <w:i/>
                <w:sz w:val="20"/>
                <w:szCs w:val="20"/>
              </w:rPr>
              <w:t>4.471</w:t>
            </w:r>
          </w:p>
        </w:tc>
      </w:tr>
      <w:tr w:rsidR="004752EC" w:rsidRPr="00E8515C" w14:paraId="3AC3BB87" w14:textId="77777777" w:rsidTr="00BF6BD4">
        <w:trPr>
          <w:trHeight w:val="20"/>
        </w:trPr>
        <w:tc>
          <w:tcPr>
            <w:tcW w:w="3402" w:type="dxa"/>
            <w:tcBorders>
              <w:top w:val="nil"/>
              <w:left w:val="single" w:sz="4" w:space="0" w:color="auto"/>
              <w:bottom w:val="nil"/>
              <w:right w:val="single" w:sz="4" w:space="0" w:color="auto"/>
            </w:tcBorders>
          </w:tcPr>
          <w:p w14:paraId="3A58BA7F"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993" w:type="dxa"/>
            <w:tcBorders>
              <w:top w:val="nil"/>
              <w:left w:val="single" w:sz="4" w:space="0" w:color="auto"/>
              <w:bottom w:val="nil"/>
              <w:right w:val="single" w:sz="4" w:space="0" w:color="auto"/>
            </w:tcBorders>
          </w:tcPr>
          <w:p w14:paraId="78F76330" w14:textId="77777777" w:rsidR="004752EC" w:rsidRPr="00E8515C" w:rsidRDefault="004752EC" w:rsidP="00BF6BD4">
            <w:pPr>
              <w:keepNext/>
              <w:keepLines/>
              <w:spacing w:before="20" w:after="20"/>
              <w:jc w:val="right"/>
              <w:rPr>
                <w:i/>
                <w:sz w:val="20"/>
                <w:szCs w:val="20"/>
              </w:rPr>
            </w:pPr>
            <w:r w:rsidRPr="00E8515C">
              <w:rPr>
                <w:i/>
                <w:sz w:val="20"/>
                <w:szCs w:val="20"/>
              </w:rPr>
              <w:t>0.597</w:t>
            </w:r>
          </w:p>
        </w:tc>
        <w:tc>
          <w:tcPr>
            <w:tcW w:w="1127" w:type="dxa"/>
            <w:tcBorders>
              <w:top w:val="nil"/>
              <w:left w:val="single" w:sz="4" w:space="0" w:color="auto"/>
              <w:bottom w:val="nil"/>
              <w:right w:val="single" w:sz="4" w:space="0" w:color="auto"/>
            </w:tcBorders>
          </w:tcPr>
          <w:p w14:paraId="45A52C76" w14:textId="77777777" w:rsidR="004752EC" w:rsidRPr="00E8515C" w:rsidRDefault="004752EC" w:rsidP="00BF6BD4">
            <w:pPr>
              <w:keepNext/>
              <w:keepLines/>
              <w:spacing w:before="20" w:after="20"/>
              <w:jc w:val="right"/>
              <w:rPr>
                <w:i/>
                <w:sz w:val="20"/>
                <w:szCs w:val="20"/>
              </w:rPr>
            </w:pPr>
            <w:r w:rsidRPr="00E8515C">
              <w:rPr>
                <w:i/>
                <w:sz w:val="20"/>
                <w:szCs w:val="20"/>
              </w:rPr>
              <w:t>0.597</w:t>
            </w:r>
          </w:p>
        </w:tc>
        <w:tc>
          <w:tcPr>
            <w:tcW w:w="1127" w:type="dxa"/>
            <w:tcBorders>
              <w:top w:val="nil"/>
              <w:left w:val="single" w:sz="4" w:space="0" w:color="auto"/>
              <w:bottom w:val="nil"/>
              <w:right w:val="single" w:sz="4" w:space="0" w:color="auto"/>
            </w:tcBorders>
          </w:tcPr>
          <w:p w14:paraId="6CA786CD"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6" w:type="dxa"/>
            <w:tcBorders>
              <w:top w:val="nil"/>
              <w:left w:val="single" w:sz="4" w:space="0" w:color="auto"/>
              <w:bottom w:val="nil"/>
              <w:right w:val="single" w:sz="4" w:space="0" w:color="auto"/>
            </w:tcBorders>
          </w:tcPr>
          <w:p w14:paraId="71EB61CD"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6E13F513"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27" w:type="dxa"/>
            <w:tcBorders>
              <w:top w:val="nil"/>
              <w:left w:val="single" w:sz="4" w:space="0" w:color="auto"/>
              <w:bottom w:val="nil"/>
              <w:right w:val="single" w:sz="4" w:space="0" w:color="auto"/>
            </w:tcBorders>
          </w:tcPr>
          <w:p w14:paraId="0EADC0A2" w14:textId="77777777" w:rsidR="004752EC" w:rsidRPr="00E8515C" w:rsidRDefault="004752EC" w:rsidP="00BF6BD4">
            <w:pPr>
              <w:keepNext/>
              <w:keepLines/>
              <w:spacing w:before="20" w:after="20"/>
              <w:jc w:val="right"/>
              <w:rPr>
                <w:i/>
                <w:sz w:val="20"/>
                <w:szCs w:val="20"/>
              </w:rPr>
            </w:pPr>
            <w:r w:rsidRPr="00E8515C">
              <w:rPr>
                <w:i/>
                <w:sz w:val="20"/>
                <w:szCs w:val="20"/>
              </w:rPr>
              <w:t>1.193</w:t>
            </w:r>
          </w:p>
        </w:tc>
      </w:tr>
      <w:tr w:rsidR="004752EC" w:rsidRPr="00E8515C" w14:paraId="63D3E567" w14:textId="77777777" w:rsidTr="00BF6BD4">
        <w:trPr>
          <w:trHeight w:val="20"/>
        </w:trPr>
        <w:tc>
          <w:tcPr>
            <w:tcW w:w="3402" w:type="dxa"/>
            <w:tcBorders>
              <w:top w:val="nil"/>
              <w:left w:val="single" w:sz="4" w:space="0" w:color="auto"/>
              <w:bottom w:val="nil"/>
              <w:right w:val="single" w:sz="4" w:space="0" w:color="auto"/>
            </w:tcBorders>
          </w:tcPr>
          <w:p w14:paraId="01FDF81F"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993" w:type="dxa"/>
            <w:tcBorders>
              <w:top w:val="nil"/>
              <w:left w:val="single" w:sz="4" w:space="0" w:color="auto"/>
              <w:bottom w:val="nil"/>
              <w:right w:val="single" w:sz="4" w:space="0" w:color="auto"/>
            </w:tcBorders>
          </w:tcPr>
          <w:p w14:paraId="07247B15" w14:textId="77777777" w:rsidR="004752EC" w:rsidRPr="00E8515C" w:rsidRDefault="004752EC" w:rsidP="00BF6BD4">
            <w:pPr>
              <w:keepNext/>
              <w:keepLines/>
              <w:spacing w:before="20" w:after="20"/>
              <w:jc w:val="right"/>
              <w:rPr>
                <w:i/>
                <w:sz w:val="20"/>
                <w:szCs w:val="20"/>
              </w:rPr>
            </w:pPr>
            <w:r w:rsidRPr="00E8515C">
              <w:rPr>
                <w:i/>
                <w:sz w:val="20"/>
                <w:szCs w:val="20"/>
              </w:rPr>
              <w:t>0.100</w:t>
            </w:r>
          </w:p>
        </w:tc>
        <w:tc>
          <w:tcPr>
            <w:tcW w:w="1127" w:type="dxa"/>
            <w:tcBorders>
              <w:top w:val="nil"/>
              <w:left w:val="single" w:sz="4" w:space="0" w:color="auto"/>
              <w:bottom w:val="nil"/>
              <w:right w:val="single" w:sz="4" w:space="0" w:color="auto"/>
            </w:tcBorders>
          </w:tcPr>
          <w:p w14:paraId="1D92827D" w14:textId="77777777" w:rsidR="004752EC" w:rsidRPr="00E8515C" w:rsidRDefault="004752EC" w:rsidP="00BF6BD4">
            <w:pPr>
              <w:keepNext/>
              <w:keepLines/>
              <w:spacing w:before="20" w:after="20"/>
              <w:jc w:val="right"/>
              <w:rPr>
                <w:i/>
                <w:sz w:val="20"/>
                <w:szCs w:val="20"/>
              </w:rPr>
            </w:pPr>
            <w:r w:rsidRPr="00E8515C">
              <w:rPr>
                <w:i/>
                <w:sz w:val="20"/>
                <w:szCs w:val="20"/>
              </w:rPr>
              <w:t>0.119</w:t>
            </w:r>
          </w:p>
        </w:tc>
        <w:tc>
          <w:tcPr>
            <w:tcW w:w="1127" w:type="dxa"/>
            <w:tcBorders>
              <w:top w:val="nil"/>
              <w:left w:val="single" w:sz="4" w:space="0" w:color="auto"/>
              <w:bottom w:val="nil"/>
              <w:right w:val="single" w:sz="4" w:space="0" w:color="auto"/>
            </w:tcBorders>
          </w:tcPr>
          <w:p w14:paraId="18A4C62D" w14:textId="77777777" w:rsidR="004752EC" w:rsidRPr="00E8515C" w:rsidRDefault="004752EC" w:rsidP="00BF6BD4">
            <w:pPr>
              <w:keepNext/>
              <w:keepLines/>
              <w:spacing w:before="20" w:after="20"/>
              <w:jc w:val="right"/>
              <w:rPr>
                <w:i/>
                <w:sz w:val="20"/>
                <w:szCs w:val="20"/>
              </w:rPr>
            </w:pPr>
            <w:r w:rsidRPr="00E8515C">
              <w:rPr>
                <w:i/>
                <w:sz w:val="20"/>
                <w:szCs w:val="20"/>
              </w:rPr>
              <w:t>0.142</w:t>
            </w:r>
          </w:p>
        </w:tc>
        <w:tc>
          <w:tcPr>
            <w:tcW w:w="1126" w:type="dxa"/>
            <w:tcBorders>
              <w:top w:val="nil"/>
              <w:left w:val="single" w:sz="4" w:space="0" w:color="auto"/>
              <w:bottom w:val="nil"/>
              <w:right w:val="single" w:sz="4" w:space="0" w:color="auto"/>
            </w:tcBorders>
          </w:tcPr>
          <w:p w14:paraId="04536F9A" w14:textId="77777777" w:rsidR="004752EC" w:rsidRPr="00E8515C" w:rsidRDefault="004752EC" w:rsidP="00BF6BD4">
            <w:pPr>
              <w:keepNext/>
              <w:keepLines/>
              <w:spacing w:before="20" w:after="20"/>
              <w:jc w:val="right"/>
              <w:rPr>
                <w:i/>
                <w:sz w:val="20"/>
                <w:szCs w:val="20"/>
              </w:rPr>
            </w:pPr>
            <w:r w:rsidRPr="00E8515C">
              <w:rPr>
                <w:i/>
                <w:sz w:val="20"/>
                <w:szCs w:val="20"/>
              </w:rPr>
              <w:t>0.168</w:t>
            </w:r>
          </w:p>
        </w:tc>
        <w:tc>
          <w:tcPr>
            <w:tcW w:w="1127" w:type="dxa"/>
            <w:tcBorders>
              <w:top w:val="nil"/>
              <w:left w:val="single" w:sz="4" w:space="0" w:color="auto"/>
              <w:bottom w:val="nil"/>
              <w:right w:val="single" w:sz="4" w:space="0" w:color="auto"/>
            </w:tcBorders>
          </w:tcPr>
          <w:p w14:paraId="0FED081B" w14:textId="77777777" w:rsidR="004752EC" w:rsidRPr="00E8515C" w:rsidRDefault="004752EC" w:rsidP="00BF6BD4">
            <w:pPr>
              <w:keepNext/>
              <w:keepLines/>
              <w:spacing w:before="20" w:after="20"/>
              <w:jc w:val="right"/>
              <w:rPr>
                <w:i/>
                <w:sz w:val="20"/>
                <w:szCs w:val="20"/>
              </w:rPr>
            </w:pPr>
            <w:r w:rsidRPr="00E8515C">
              <w:rPr>
                <w:i/>
                <w:sz w:val="20"/>
                <w:szCs w:val="20"/>
              </w:rPr>
              <w:t>0.195</w:t>
            </w:r>
          </w:p>
        </w:tc>
        <w:tc>
          <w:tcPr>
            <w:tcW w:w="1127" w:type="dxa"/>
            <w:tcBorders>
              <w:top w:val="nil"/>
              <w:left w:val="single" w:sz="4" w:space="0" w:color="auto"/>
              <w:bottom w:val="nil"/>
              <w:right w:val="single" w:sz="4" w:space="0" w:color="auto"/>
            </w:tcBorders>
          </w:tcPr>
          <w:p w14:paraId="135CA288" w14:textId="77777777" w:rsidR="004752EC" w:rsidRPr="00E8515C" w:rsidRDefault="004752EC" w:rsidP="00BF6BD4">
            <w:pPr>
              <w:keepNext/>
              <w:keepLines/>
              <w:spacing w:before="20" w:after="20"/>
              <w:jc w:val="right"/>
              <w:rPr>
                <w:i/>
                <w:sz w:val="20"/>
                <w:szCs w:val="20"/>
              </w:rPr>
            </w:pPr>
            <w:r w:rsidRPr="00E8515C">
              <w:rPr>
                <w:i/>
                <w:sz w:val="20"/>
                <w:szCs w:val="20"/>
              </w:rPr>
              <w:t>0.724</w:t>
            </w:r>
          </w:p>
        </w:tc>
      </w:tr>
      <w:tr w:rsidR="004752EC" w:rsidRPr="00E8515C" w14:paraId="2B02C322" w14:textId="77777777" w:rsidTr="00BF6BD4">
        <w:trPr>
          <w:trHeight w:val="20"/>
        </w:trPr>
        <w:tc>
          <w:tcPr>
            <w:tcW w:w="3402" w:type="dxa"/>
            <w:tcBorders>
              <w:top w:val="nil"/>
              <w:left w:val="single" w:sz="4" w:space="0" w:color="auto"/>
              <w:bottom w:val="single" w:sz="4" w:space="0" w:color="auto"/>
              <w:right w:val="single" w:sz="4" w:space="0" w:color="auto"/>
            </w:tcBorders>
          </w:tcPr>
          <w:p w14:paraId="53148622"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993" w:type="dxa"/>
            <w:tcBorders>
              <w:top w:val="nil"/>
              <w:left w:val="single" w:sz="4" w:space="0" w:color="auto"/>
              <w:bottom w:val="single" w:sz="4" w:space="0" w:color="auto"/>
              <w:right w:val="single" w:sz="4" w:space="0" w:color="auto"/>
            </w:tcBorders>
            <w:vAlign w:val="center"/>
          </w:tcPr>
          <w:p w14:paraId="556AA31D" w14:textId="77777777" w:rsidR="004752EC" w:rsidRPr="00E8515C" w:rsidRDefault="004752EC" w:rsidP="00BF6BD4">
            <w:pPr>
              <w:keepNext/>
              <w:keepLines/>
              <w:spacing w:before="20" w:after="20"/>
              <w:jc w:val="right"/>
              <w:rPr>
                <w:sz w:val="20"/>
                <w:szCs w:val="20"/>
              </w:rPr>
            </w:pPr>
            <w:r w:rsidRPr="00E8515C">
              <w:rPr>
                <w:sz w:val="20"/>
                <w:szCs w:val="20"/>
              </w:rPr>
              <w:t>1.527</w:t>
            </w:r>
          </w:p>
        </w:tc>
        <w:tc>
          <w:tcPr>
            <w:tcW w:w="1127" w:type="dxa"/>
            <w:tcBorders>
              <w:top w:val="nil"/>
              <w:left w:val="single" w:sz="4" w:space="0" w:color="auto"/>
              <w:bottom w:val="single" w:sz="4" w:space="0" w:color="auto"/>
              <w:right w:val="single" w:sz="4" w:space="0" w:color="auto"/>
            </w:tcBorders>
            <w:vAlign w:val="center"/>
          </w:tcPr>
          <w:p w14:paraId="7700646D" w14:textId="77777777" w:rsidR="004752EC" w:rsidRPr="00E8515C" w:rsidRDefault="004752EC" w:rsidP="00BF6BD4">
            <w:pPr>
              <w:keepNext/>
              <w:keepLines/>
              <w:spacing w:before="20" w:after="20"/>
              <w:jc w:val="right"/>
              <w:rPr>
                <w:sz w:val="20"/>
                <w:szCs w:val="20"/>
              </w:rPr>
            </w:pPr>
            <w:r w:rsidRPr="00E8515C">
              <w:rPr>
                <w:sz w:val="20"/>
                <w:szCs w:val="20"/>
              </w:rPr>
              <w:t>1.499</w:t>
            </w:r>
          </w:p>
        </w:tc>
        <w:tc>
          <w:tcPr>
            <w:tcW w:w="1127" w:type="dxa"/>
            <w:tcBorders>
              <w:top w:val="nil"/>
              <w:left w:val="single" w:sz="4" w:space="0" w:color="auto"/>
              <w:bottom w:val="single" w:sz="4" w:space="0" w:color="auto"/>
              <w:right w:val="single" w:sz="4" w:space="0" w:color="auto"/>
            </w:tcBorders>
            <w:vAlign w:val="center"/>
          </w:tcPr>
          <w:p w14:paraId="6519A215" w14:textId="77777777" w:rsidR="004752EC" w:rsidRPr="00E8515C" w:rsidRDefault="004752EC" w:rsidP="00BF6BD4">
            <w:pPr>
              <w:keepNext/>
              <w:keepLines/>
              <w:spacing w:before="20" w:after="20"/>
              <w:jc w:val="right"/>
              <w:rPr>
                <w:sz w:val="20"/>
                <w:szCs w:val="20"/>
              </w:rPr>
            </w:pPr>
            <w:r w:rsidRPr="00E8515C">
              <w:rPr>
                <w:sz w:val="20"/>
                <w:szCs w:val="20"/>
              </w:rPr>
              <w:t>1.086</w:t>
            </w:r>
          </w:p>
        </w:tc>
        <w:tc>
          <w:tcPr>
            <w:tcW w:w="1126" w:type="dxa"/>
            <w:tcBorders>
              <w:top w:val="nil"/>
              <w:left w:val="single" w:sz="4" w:space="0" w:color="auto"/>
              <w:bottom w:val="single" w:sz="4" w:space="0" w:color="auto"/>
              <w:right w:val="single" w:sz="4" w:space="0" w:color="auto"/>
            </w:tcBorders>
            <w:vAlign w:val="center"/>
          </w:tcPr>
          <w:p w14:paraId="236BDC78" w14:textId="77777777" w:rsidR="004752EC" w:rsidRPr="00E8515C" w:rsidRDefault="004752EC" w:rsidP="00BF6BD4">
            <w:pPr>
              <w:keepNext/>
              <w:keepLines/>
              <w:spacing w:before="20" w:after="20"/>
              <w:jc w:val="right"/>
              <w:rPr>
                <w:sz w:val="20"/>
                <w:szCs w:val="20"/>
              </w:rPr>
            </w:pPr>
            <w:r w:rsidRPr="00E8515C">
              <w:rPr>
                <w:sz w:val="20"/>
                <w:szCs w:val="20"/>
              </w:rPr>
              <w:t>1.12</w:t>
            </w:r>
          </w:p>
        </w:tc>
        <w:tc>
          <w:tcPr>
            <w:tcW w:w="1127" w:type="dxa"/>
            <w:tcBorders>
              <w:top w:val="nil"/>
              <w:left w:val="single" w:sz="4" w:space="0" w:color="auto"/>
              <w:bottom w:val="single" w:sz="4" w:space="0" w:color="auto"/>
              <w:right w:val="single" w:sz="4" w:space="0" w:color="auto"/>
            </w:tcBorders>
            <w:vAlign w:val="center"/>
          </w:tcPr>
          <w:p w14:paraId="7BF59D17" w14:textId="77777777" w:rsidR="004752EC" w:rsidRPr="00E8515C" w:rsidRDefault="004752EC" w:rsidP="00BF6BD4">
            <w:pPr>
              <w:keepNext/>
              <w:keepLines/>
              <w:spacing w:before="20" w:after="20"/>
              <w:jc w:val="right"/>
              <w:rPr>
                <w:sz w:val="20"/>
                <w:szCs w:val="20"/>
              </w:rPr>
            </w:pPr>
            <w:r w:rsidRPr="00E8515C">
              <w:rPr>
                <w:sz w:val="20"/>
                <w:szCs w:val="20"/>
              </w:rPr>
              <w:t>1.156</w:t>
            </w:r>
          </w:p>
        </w:tc>
        <w:tc>
          <w:tcPr>
            <w:tcW w:w="1127" w:type="dxa"/>
            <w:tcBorders>
              <w:top w:val="nil"/>
              <w:left w:val="single" w:sz="4" w:space="0" w:color="auto"/>
              <w:bottom w:val="single" w:sz="4" w:space="0" w:color="auto"/>
              <w:right w:val="single" w:sz="4" w:space="0" w:color="auto"/>
            </w:tcBorders>
            <w:vAlign w:val="center"/>
          </w:tcPr>
          <w:p w14:paraId="18986FB9" w14:textId="77777777" w:rsidR="004752EC" w:rsidRPr="00E8515C" w:rsidRDefault="004752EC" w:rsidP="00BF6BD4">
            <w:pPr>
              <w:keepNext/>
              <w:keepLines/>
              <w:spacing w:before="20" w:after="20"/>
              <w:jc w:val="right"/>
              <w:rPr>
                <w:sz w:val="20"/>
                <w:szCs w:val="20"/>
              </w:rPr>
            </w:pPr>
            <w:r w:rsidRPr="00E8515C">
              <w:rPr>
                <w:sz w:val="20"/>
                <w:szCs w:val="20"/>
              </w:rPr>
              <w:t>6.388</w:t>
            </w:r>
          </w:p>
        </w:tc>
      </w:tr>
    </w:tbl>
    <w:p w14:paraId="2404A84D" w14:textId="77777777" w:rsidR="004752EC" w:rsidRPr="00E8515C" w:rsidRDefault="004752EC" w:rsidP="004752EC">
      <w:pPr>
        <w:rPr>
          <w:sz w:val="20"/>
          <w:szCs w:val="20"/>
        </w:rPr>
      </w:pPr>
    </w:p>
    <w:tbl>
      <w:tblPr>
        <w:tblW w:w="10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1041"/>
        <w:gridCol w:w="1112"/>
        <w:gridCol w:w="1112"/>
        <w:gridCol w:w="1111"/>
        <w:gridCol w:w="1112"/>
        <w:gridCol w:w="1251"/>
      </w:tblGrid>
      <w:tr w:rsidR="004752EC" w:rsidRPr="00E8515C" w14:paraId="26CFFCE3" w14:textId="77777777" w:rsidTr="00BF6BD4">
        <w:trPr>
          <w:trHeight w:val="20"/>
        </w:trPr>
        <w:tc>
          <w:tcPr>
            <w:tcW w:w="3290" w:type="dxa"/>
            <w:tcBorders>
              <w:top w:val="single" w:sz="4" w:space="0" w:color="auto"/>
              <w:left w:val="single" w:sz="4" w:space="0" w:color="auto"/>
              <w:bottom w:val="nil"/>
              <w:right w:val="single" w:sz="4" w:space="0" w:color="auto"/>
            </w:tcBorders>
          </w:tcPr>
          <w:p w14:paraId="61B9473F" w14:textId="77777777" w:rsidR="004752EC" w:rsidRPr="00E8515C" w:rsidRDefault="004752EC" w:rsidP="00BF6BD4">
            <w:pPr>
              <w:keepNext/>
              <w:keepLines/>
              <w:spacing w:before="20" w:after="20"/>
              <w:rPr>
                <w:sz w:val="20"/>
                <w:szCs w:val="20"/>
              </w:rPr>
            </w:pPr>
            <w:r w:rsidRPr="00E8515C">
              <w:rPr>
                <w:b/>
                <w:sz w:val="20"/>
                <w:szCs w:val="20"/>
              </w:rPr>
              <w:t>Australian Capital Territory</w:t>
            </w:r>
          </w:p>
        </w:tc>
        <w:tc>
          <w:tcPr>
            <w:tcW w:w="1041" w:type="dxa"/>
            <w:tcBorders>
              <w:top w:val="single" w:sz="4" w:space="0" w:color="auto"/>
              <w:left w:val="single" w:sz="4" w:space="0" w:color="auto"/>
              <w:bottom w:val="nil"/>
              <w:right w:val="single" w:sz="4" w:space="0" w:color="auto"/>
            </w:tcBorders>
          </w:tcPr>
          <w:p w14:paraId="1BEF1B59" w14:textId="77777777" w:rsidR="004752EC" w:rsidRPr="00E8515C" w:rsidRDefault="004752EC" w:rsidP="00BF6BD4">
            <w:pPr>
              <w:keepNext/>
              <w:keepLines/>
              <w:spacing w:before="20" w:after="20"/>
              <w:jc w:val="right"/>
              <w:rPr>
                <w:b/>
                <w:sz w:val="20"/>
                <w:szCs w:val="20"/>
              </w:rPr>
            </w:pPr>
            <w:r w:rsidRPr="00E8515C">
              <w:rPr>
                <w:b/>
                <w:sz w:val="20"/>
                <w:szCs w:val="20"/>
              </w:rPr>
              <w:t>5.787</w:t>
            </w:r>
          </w:p>
        </w:tc>
        <w:tc>
          <w:tcPr>
            <w:tcW w:w="1112" w:type="dxa"/>
            <w:tcBorders>
              <w:top w:val="single" w:sz="4" w:space="0" w:color="auto"/>
              <w:left w:val="single" w:sz="4" w:space="0" w:color="auto"/>
              <w:bottom w:val="nil"/>
              <w:right w:val="single" w:sz="4" w:space="0" w:color="auto"/>
            </w:tcBorders>
          </w:tcPr>
          <w:p w14:paraId="3EF8E88B" w14:textId="77777777" w:rsidR="004752EC" w:rsidRPr="00E8515C" w:rsidRDefault="004752EC" w:rsidP="00BF6BD4">
            <w:pPr>
              <w:keepNext/>
              <w:keepLines/>
              <w:spacing w:before="20" w:after="20"/>
              <w:jc w:val="right"/>
              <w:rPr>
                <w:b/>
                <w:sz w:val="20"/>
                <w:szCs w:val="20"/>
              </w:rPr>
            </w:pPr>
            <w:r w:rsidRPr="00E8515C">
              <w:rPr>
                <w:b/>
                <w:sz w:val="20"/>
                <w:szCs w:val="20"/>
              </w:rPr>
              <w:t>5.813</w:t>
            </w:r>
          </w:p>
        </w:tc>
        <w:tc>
          <w:tcPr>
            <w:tcW w:w="1112" w:type="dxa"/>
            <w:tcBorders>
              <w:top w:val="single" w:sz="4" w:space="0" w:color="auto"/>
              <w:left w:val="single" w:sz="4" w:space="0" w:color="auto"/>
              <w:bottom w:val="nil"/>
              <w:right w:val="single" w:sz="4" w:space="0" w:color="auto"/>
            </w:tcBorders>
          </w:tcPr>
          <w:p w14:paraId="6DFDF3B6" w14:textId="77777777" w:rsidR="004752EC" w:rsidRPr="00E8515C" w:rsidRDefault="004752EC" w:rsidP="00BF6BD4">
            <w:pPr>
              <w:keepNext/>
              <w:keepLines/>
              <w:spacing w:before="20" w:after="20"/>
              <w:jc w:val="right"/>
              <w:rPr>
                <w:b/>
                <w:sz w:val="20"/>
                <w:szCs w:val="20"/>
              </w:rPr>
            </w:pPr>
            <w:r w:rsidRPr="00E8515C">
              <w:rPr>
                <w:b/>
                <w:sz w:val="20"/>
                <w:szCs w:val="20"/>
              </w:rPr>
              <w:t>5.618</w:t>
            </w:r>
          </w:p>
        </w:tc>
        <w:tc>
          <w:tcPr>
            <w:tcW w:w="1111" w:type="dxa"/>
            <w:tcBorders>
              <w:top w:val="single" w:sz="4" w:space="0" w:color="auto"/>
              <w:left w:val="single" w:sz="4" w:space="0" w:color="auto"/>
              <w:bottom w:val="nil"/>
              <w:right w:val="single" w:sz="4" w:space="0" w:color="auto"/>
            </w:tcBorders>
          </w:tcPr>
          <w:p w14:paraId="427B7771" w14:textId="77777777" w:rsidR="004752EC" w:rsidRPr="00E8515C" w:rsidRDefault="004752EC" w:rsidP="00BF6BD4">
            <w:pPr>
              <w:keepNext/>
              <w:keepLines/>
              <w:spacing w:before="20" w:after="20"/>
              <w:jc w:val="right"/>
              <w:rPr>
                <w:b/>
                <w:sz w:val="20"/>
                <w:szCs w:val="20"/>
              </w:rPr>
            </w:pPr>
            <w:r w:rsidRPr="00E8515C">
              <w:rPr>
                <w:b/>
                <w:sz w:val="20"/>
                <w:szCs w:val="20"/>
              </w:rPr>
              <w:t>5.721</w:t>
            </w:r>
          </w:p>
        </w:tc>
        <w:tc>
          <w:tcPr>
            <w:tcW w:w="1112" w:type="dxa"/>
            <w:tcBorders>
              <w:top w:val="single" w:sz="4" w:space="0" w:color="auto"/>
              <w:left w:val="single" w:sz="4" w:space="0" w:color="auto"/>
              <w:bottom w:val="nil"/>
              <w:right w:val="single" w:sz="4" w:space="0" w:color="auto"/>
            </w:tcBorders>
          </w:tcPr>
          <w:p w14:paraId="15A1FA4D" w14:textId="77777777" w:rsidR="004752EC" w:rsidRPr="00E8515C" w:rsidRDefault="004752EC" w:rsidP="00BF6BD4">
            <w:pPr>
              <w:keepNext/>
              <w:keepLines/>
              <w:spacing w:before="20" w:after="20"/>
              <w:jc w:val="right"/>
              <w:rPr>
                <w:b/>
                <w:sz w:val="20"/>
                <w:szCs w:val="20"/>
              </w:rPr>
            </w:pPr>
            <w:r w:rsidRPr="00E8515C">
              <w:rPr>
                <w:b/>
                <w:sz w:val="20"/>
                <w:szCs w:val="20"/>
              </w:rPr>
              <w:t>5.818</w:t>
            </w:r>
          </w:p>
        </w:tc>
        <w:tc>
          <w:tcPr>
            <w:tcW w:w="1251" w:type="dxa"/>
            <w:tcBorders>
              <w:top w:val="single" w:sz="4" w:space="0" w:color="auto"/>
              <w:left w:val="single" w:sz="4" w:space="0" w:color="auto"/>
              <w:bottom w:val="nil"/>
              <w:right w:val="single" w:sz="4" w:space="0" w:color="auto"/>
            </w:tcBorders>
          </w:tcPr>
          <w:p w14:paraId="020C240F" w14:textId="77777777" w:rsidR="004752EC" w:rsidRPr="00E8515C" w:rsidRDefault="004752EC" w:rsidP="00BF6BD4">
            <w:pPr>
              <w:keepNext/>
              <w:keepLines/>
              <w:spacing w:before="20" w:after="20"/>
              <w:jc w:val="right"/>
              <w:rPr>
                <w:b/>
                <w:sz w:val="20"/>
                <w:szCs w:val="20"/>
              </w:rPr>
            </w:pPr>
            <w:r w:rsidRPr="00E8515C">
              <w:rPr>
                <w:b/>
                <w:sz w:val="20"/>
                <w:szCs w:val="20"/>
              </w:rPr>
              <w:t>28.757</w:t>
            </w:r>
          </w:p>
        </w:tc>
      </w:tr>
      <w:tr w:rsidR="004752EC" w:rsidRPr="00E8515C" w14:paraId="57FF2C5B" w14:textId="77777777" w:rsidTr="00BF6BD4">
        <w:trPr>
          <w:trHeight w:val="20"/>
        </w:trPr>
        <w:tc>
          <w:tcPr>
            <w:tcW w:w="3290" w:type="dxa"/>
            <w:tcBorders>
              <w:top w:val="nil"/>
              <w:left w:val="single" w:sz="4" w:space="0" w:color="auto"/>
              <w:bottom w:val="nil"/>
              <w:right w:val="single" w:sz="4" w:space="0" w:color="auto"/>
            </w:tcBorders>
          </w:tcPr>
          <w:p w14:paraId="1425551B" w14:textId="77777777" w:rsidR="004752EC" w:rsidRPr="00E8515C" w:rsidRDefault="004752EC" w:rsidP="00BF6BD4">
            <w:pPr>
              <w:keepNext/>
              <w:keepLines/>
              <w:spacing w:before="20" w:after="20"/>
              <w:ind w:left="284"/>
              <w:rPr>
                <w:sz w:val="20"/>
                <w:szCs w:val="20"/>
              </w:rPr>
            </w:pPr>
            <w:r w:rsidRPr="00E8515C">
              <w:rPr>
                <w:sz w:val="20"/>
                <w:szCs w:val="20"/>
              </w:rPr>
              <w:t>Legal aid commissions</w:t>
            </w:r>
          </w:p>
        </w:tc>
        <w:tc>
          <w:tcPr>
            <w:tcW w:w="1041" w:type="dxa"/>
            <w:tcBorders>
              <w:top w:val="nil"/>
              <w:left w:val="single" w:sz="4" w:space="0" w:color="auto"/>
              <w:bottom w:val="nil"/>
              <w:right w:val="single" w:sz="4" w:space="0" w:color="auto"/>
            </w:tcBorders>
          </w:tcPr>
          <w:p w14:paraId="773E9F9B" w14:textId="77777777" w:rsidR="004752EC" w:rsidRPr="00E8515C" w:rsidRDefault="004752EC" w:rsidP="00BF6BD4">
            <w:pPr>
              <w:keepNext/>
              <w:keepLines/>
              <w:spacing w:before="20" w:after="20"/>
              <w:jc w:val="right"/>
              <w:rPr>
                <w:sz w:val="20"/>
                <w:szCs w:val="20"/>
              </w:rPr>
            </w:pPr>
            <w:r w:rsidRPr="00E8515C">
              <w:rPr>
                <w:sz w:val="20"/>
                <w:szCs w:val="20"/>
              </w:rPr>
              <w:t>4.665</w:t>
            </w:r>
          </w:p>
        </w:tc>
        <w:tc>
          <w:tcPr>
            <w:tcW w:w="1112" w:type="dxa"/>
            <w:tcBorders>
              <w:top w:val="nil"/>
              <w:left w:val="single" w:sz="4" w:space="0" w:color="auto"/>
              <w:bottom w:val="nil"/>
              <w:right w:val="single" w:sz="4" w:space="0" w:color="auto"/>
            </w:tcBorders>
          </w:tcPr>
          <w:p w14:paraId="387E035B" w14:textId="77777777" w:rsidR="004752EC" w:rsidRPr="00E8515C" w:rsidRDefault="004752EC" w:rsidP="00BF6BD4">
            <w:pPr>
              <w:keepNext/>
              <w:keepLines/>
              <w:spacing w:before="20" w:after="20"/>
              <w:jc w:val="right"/>
              <w:rPr>
                <w:sz w:val="20"/>
                <w:szCs w:val="20"/>
              </w:rPr>
            </w:pPr>
            <w:r w:rsidRPr="00E8515C">
              <w:rPr>
                <w:sz w:val="20"/>
                <w:szCs w:val="20"/>
              </w:rPr>
              <w:t>4.741</w:t>
            </w:r>
          </w:p>
        </w:tc>
        <w:tc>
          <w:tcPr>
            <w:tcW w:w="1112" w:type="dxa"/>
            <w:tcBorders>
              <w:top w:val="nil"/>
              <w:left w:val="single" w:sz="4" w:space="0" w:color="auto"/>
              <w:bottom w:val="nil"/>
              <w:right w:val="single" w:sz="4" w:space="0" w:color="auto"/>
            </w:tcBorders>
          </w:tcPr>
          <w:p w14:paraId="55539240" w14:textId="77777777" w:rsidR="004752EC" w:rsidRPr="00E8515C" w:rsidRDefault="004752EC" w:rsidP="00BF6BD4">
            <w:pPr>
              <w:keepNext/>
              <w:keepLines/>
              <w:spacing w:before="20" w:after="20"/>
              <w:jc w:val="right"/>
              <w:rPr>
                <w:sz w:val="20"/>
                <w:szCs w:val="20"/>
              </w:rPr>
            </w:pPr>
            <w:r w:rsidRPr="00E8515C">
              <w:rPr>
                <w:sz w:val="20"/>
                <w:szCs w:val="20"/>
              </w:rPr>
              <w:t>4.811</w:t>
            </w:r>
          </w:p>
        </w:tc>
        <w:tc>
          <w:tcPr>
            <w:tcW w:w="1111" w:type="dxa"/>
            <w:tcBorders>
              <w:top w:val="nil"/>
              <w:left w:val="single" w:sz="4" w:space="0" w:color="auto"/>
              <w:bottom w:val="nil"/>
              <w:right w:val="single" w:sz="4" w:space="0" w:color="auto"/>
            </w:tcBorders>
          </w:tcPr>
          <w:p w14:paraId="021E7313" w14:textId="77777777" w:rsidR="004752EC" w:rsidRPr="00E8515C" w:rsidRDefault="004752EC" w:rsidP="00BF6BD4">
            <w:pPr>
              <w:keepNext/>
              <w:keepLines/>
              <w:spacing w:before="20" w:after="20"/>
              <w:jc w:val="right"/>
              <w:rPr>
                <w:sz w:val="20"/>
                <w:szCs w:val="20"/>
              </w:rPr>
            </w:pPr>
            <w:r w:rsidRPr="00E8515C">
              <w:rPr>
                <w:sz w:val="20"/>
                <w:szCs w:val="20"/>
              </w:rPr>
              <w:t>4.881</w:t>
            </w:r>
          </w:p>
        </w:tc>
        <w:tc>
          <w:tcPr>
            <w:tcW w:w="1112" w:type="dxa"/>
            <w:tcBorders>
              <w:top w:val="nil"/>
              <w:left w:val="single" w:sz="4" w:space="0" w:color="auto"/>
              <w:bottom w:val="nil"/>
              <w:right w:val="single" w:sz="4" w:space="0" w:color="auto"/>
            </w:tcBorders>
          </w:tcPr>
          <w:p w14:paraId="653160DD" w14:textId="77777777" w:rsidR="004752EC" w:rsidRPr="00E8515C" w:rsidRDefault="004752EC" w:rsidP="00BF6BD4">
            <w:pPr>
              <w:keepNext/>
              <w:keepLines/>
              <w:spacing w:before="20" w:after="20"/>
              <w:jc w:val="right"/>
              <w:rPr>
                <w:sz w:val="20"/>
                <w:szCs w:val="20"/>
              </w:rPr>
            </w:pPr>
            <w:r w:rsidRPr="00E8515C">
              <w:rPr>
                <w:sz w:val="20"/>
                <w:szCs w:val="20"/>
              </w:rPr>
              <w:t>4.946</w:t>
            </w:r>
          </w:p>
        </w:tc>
        <w:tc>
          <w:tcPr>
            <w:tcW w:w="1251" w:type="dxa"/>
            <w:tcBorders>
              <w:top w:val="nil"/>
              <w:left w:val="single" w:sz="4" w:space="0" w:color="auto"/>
              <w:bottom w:val="nil"/>
              <w:right w:val="single" w:sz="4" w:space="0" w:color="auto"/>
            </w:tcBorders>
          </w:tcPr>
          <w:p w14:paraId="325DEAA3" w14:textId="77777777" w:rsidR="004752EC" w:rsidRPr="00E8515C" w:rsidRDefault="004752EC" w:rsidP="00BF6BD4">
            <w:pPr>
              <w:keepNext/>
              <w:keepLines/>
              <w:spacing w:before="20" w:after="20"/>
              <w:jc w:val="right"/>
              <w:rPr>
                <w:sz w:val="20"/>
                <w:szCs w:val="20"/>
              </w:rPr>
            </w:pPr>
            <w:r w:rsidRPr="00E8515C">
              <w:rPr>
                <w:sz w:val="20"/>
                <w:szCs w:val="20"/>
              </w:rPr>
              <w:t>24.044</w:t>
            </w:r>
          </w:p>
        </w:tc>
      </w:tr>
      <w:tr w:rsidR="004752EC" w:rsidRPr="00E8515C" w14:paraId="6782DFE0" w14:textId="77777777" w:rsidTr="00BF6BD4">
        <w:trPr>
          <w:trHeight w:val="20"/>
        </w:trPr>
        <w:tc>
          <w:tcPr>
            <w:tcW w:w="3290" w:type="dxa"/>
            <w:tcBorders>
              <w:top w:val="nil"/>
              <w:left w:val="single" w:sz="4" w:space="0" w:color="auto"/>
              <w:bottom w:val="nil"/>
              <w:right w:val="single" w:sz="4" w:space="0" w:color="auto"/>
            </w:tcBorders>
          </w:tcPr>
          <w:p w14:paraId="73558149"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1041" w:type="dxa"/>
            <w:tcBorders>
              <w:top w:val="nil"/>
              <w:left w:val="single" w:sz="4" w:space="0" w:color="auto"/>
              <w:bottom w:val="nil"/>
              <w:right w:val="single" w:sz="4" w:space="0" w:color="auto"/>
            </w:tcBorders>
          </w:tcPr>
          <w:p w14:paraId="324DD2BE" w14:textId="77777777" w:rsidR="004752EC" w:rsidRPr="00E8515C" w:rsidRDefault="004752EC" w:rsidP="00BF6BD4">
            <w:pPr>
              <w:keepNext/>
              <w:keepLines/>
              <w:spacing w:before="20" w:after="20"/>
              <w:jc w:val="right"/>
              <w:rPr>
                <w:i/>
                <w:sz w:val="20"/>
                <w:szCs w:val="20"/>
              </w:rPr>
            </w:pPr>
            <w:r w:rsidRPr="00E8515C">
              <w:rPr>
                <w:i/>
                <w:sz w:val="20"/>
                <w:szCs w:val="20"/>
              </w:rPr>
              <w:t>0.170</w:t>
            </w:r>
          </w:p>
        </w:tc>
        <w:tc>
          <w:tcPr>
            <w:tcW w:w="1112" w:type="dxa"/>
            <w:tcBorders>
              <w:top w:val="nil"/>
              <w:left w:val="single" w:sz="4" w:space="0" w:color="auto"/>
              <w:bottom w:val="nil"/>
              <w:right w:val="single" w:sz="4" w:space="0" w:color="auto"/>
            </w:tcBorders>
          </w:tcPr>
          <w:p w14:paraId="6E9A9B5D" w14:textId="77777777" w:rsidR="004752EC" w:rsidRPr="00E8515C" w:rsidRDefault="004752EC" w:rsidP="00BF6BD4">
            <w:pPr>
              <w:keepNext/>
              <w:keepLines/>
              <w:spacing w:before="20" w:after="20"/>
              <w:jc w:val="right"/>
              <w:rPr>
                <w:i/>
                <w:sz w:val="20"/>
                <w:szCs w:val="20"/>
              </w:rPr>
            </w:pPr>
            <w:r w:rsidRPr="00E8515C">
              <w:rPr>
                <w:i/>
                <w:sz w:val="20"/>
                <w:szCs w:val="20"/>
              </w:rPr>
              <w:t>0.107</w:t>
            </w:r>
          </w:p>
        </w:tc>
        <w:tc>
          <w:tcPr>
            <w:tcW w:w="1112" w:type="dxa"/>
            <w:tcBorders>
              <w:top w:val="nil"/>
              <w:left w:val="single" w:sz="4" w:space="0" w:color="auto"/>
              <w:bottom w:val="nil"/>
              <w:right w:val="single" w:sz="4" w:space="0" w:color="auto"/>
            </w:tcBorders>
          </w:tcPr>
          <w:p w14:paraId="3C471E8B" w14:textId="77777777" w:rsidR="004752EC" w:rsidRPr="00E8515C" w:rsidRDefault="004752EC" w:rsidP="00BF6BD4">
            <w:pPr>
              <w:keepNext/>
              <w:keepLines/>
              <w:spacing w:before="20" w:after="20"/>
              <w:jc w:val="right"/>
              <w:rPr>
                <w:i/>
                <w:sz w:val="20"/>
                <w:szCs w:val="20"/>
              </w:rPr>
            </w:pPr>
            <w:r w:rsidRPr="00E8515C">
              <w:rPr>
                <w:i/>
                <w:sz w:val="20"/>
                <w:szCs w:val="20"/>
              </w:rPr>
              <w:t>0.690</w:t>
            </w:r>
          </w:p>
        </w:tc>
        <w:tc>
          <w:tcPr>
            <w:tcW w:w="1111" w:type="dxa"/>
            <w:tcBorders>
              <w:top w:val="nil"/>
              <w:left w:val="single" w:sz="4" w:space="0" w:color="auto"/>
              <w:bottom w:val="nil"/>
              <w:right w:val="single" w:sz="4" w:space="0" w:color="auto"/>
            </w:tcBorders>
          </w:tcPr>
          <w:p w14:paraId="0F6B99BC" w14:textId="77777777" w:rsidR="004752EC" w:rsidRPr="00E8515C" w:rsidRDefault="004752EC" w:rsidP="00BF6BD4">
            <w:pPr>
              <w:keepNext/>
              <w:keepLines/>
              <w:spacing w:before="20" w:after="20"/>
              <w:jc w:val="right"/>
              <w:rPr>
                <w:i/>
                <w:sz w:val="20"/>
                <w:szCs w:val="20"/>
              </w:rPr>
            </w:pPr>
            <w:r w:rsidRPr="00E8515C">
              <w:rPr>
                <w:i/>
                <w:sz w:val="20"/>
                <w:szCs w:val="20"/>
              </w:rPr>
              <w:t>0.700</w:t>
            </w:r>
          </w:p>
        </w:tc>
        <w:tc>
          <w:tcPr>
            <w:tcW w:w="1112" w:type="dxa"/>
            <w:tcBorders>
              <w:top w:val="nil"/>
              <w:left w:val="single" w:sz="4" w:space="0" w:color="auto"/>
              <w:bottom w:val="nil"/>
              <w:right w:val="single" w:sz="4" w:space="0" w:color="auto"/>
            </w:tcBorders>
          </w:tcPr>
          <w:p w14:paraId="2DF56F9B" w14:textId="77777777" w:rsidR="004752EC" w:rsidRPr="00E8515C" w:rsidRDefault="004752EC" w:rsidP="00BF6BD4">
            <w:pPr>
              <w:keepNext/>
              <w:keepLines/>
              <w:spacing w:before="20" w:after="20"/>
              <w:jc w:val="right"/>
              <w:rPr>
                <w:i/>
                <w:sz w:val="20"/>
                <w:szCs w:val="20"/>
              </w:rPr>
            </w:pPr>
            <w:r w:rsidRPr="00E8515C">
              <w:rPr>
                <w:i/>
                <w:sz w:val="20"/>
                <w:szCs w:val="20"/>
              </w:rPr>
              <w:t>0.709</w:t>
            </w:r>
          </w:p>
        </w:tc>
        <w:tc>
          <w:tcPr>
            <w:tcW w:w="1251" w:type="dxa"/>
            <w:tcBorders>
              <w:top w:val="nil"/>
              <w:left w:val="single" w:sz="4" w:space="0" w:color="auto"/>
              <w:bottom w:val="nil"/>
              <w:right w:val="single" w:sz="4" w:space="0" w:color="auto"/>
            </w:tcBorders>
          </w:tcPr>
          <w:p w14:paraId="3BC74A87" w14:textId="77777777" w:rsidR="004752EC" w:rsidRPr="00E8515C" w:rsidRDefault="004752EC" w:rsidP="00BF6BD4">
            <w:pPr>
              <w:keepNext/>
              <w:keepLines/>
              <w:spacing w:before="20" w:after="20"/>
              <w:jc w:val="right"/>
              <w:rPr>
                <w:i/>
                <w:sz w:val="20"/>
                <w:szCs w:val="20"/>
              </w:rPr>
            </w:pPr>
            <w:r w:rsidRPr="00E8515C">
              <w:rPr>
                <w:i/>
                <w:sz w:val="20"/>
                <w:szCs w:val="20"/>
              </w:rPr>
              <w:t>2.376</w:t>
            </w:r>
          </w:p>
        </w:tc>
      </w:tr>
      <w:tr w:rsidR="004752EC" w:rsidRPr="00E8515C" w14:paraId="02E124B4" w14:textId="77777777" w:rsidTr="00BF6BD4">
        <w:trPr>
          <w:trHeight w:val="567"/>
        </w:trPr>
        <w:tc>
          <w:tcPr>
            <w:tcW w:w="3290" w:type="dxa"/>
            <w:tcBorders>
              <w:top w:val="nil"/>
              <w:left w:val="single" w:sz="4" w:space="0" w:color="auto"/>
              <w:bottom w:val="nil"/>
              <w:right w:val="single" w:sz="4" w:space="0" w:color="auto"/>
            </w:tcBorders>
          </w:tcPr>
          <w:p w14:paraId="22D3957B"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1041" w:type="dxa"/>
            <w:tcBorders>
              <w:top w:val="nil"/>
              <w:left w:val="single" w:sz="4" w:space="0" w:color="auto"/>
              <w:bottom w:val="nil"/>
              <w:right w:val="single" w:sz="4" w:space="0" w:color="auto"/>
            </w:tcBorders>
          </w:tcPr>
          <w:p w14:paraId="2A1A41E3" w14:textId="77777777" w:rsidR="004752EC" w:rsidRPr="00E8515C" w:rsidRDefault="004752EC" w:rsidP="00BF6BD4">
            <w:pPr>
              <w:keepNext/>
              <w:keepLines/>
              <w:spacing w:before="20" w:after="20"/>
              <w:jc w:val="right"/>
              <w:rPr>
                <w:i/>
                <w:sz w:val="20"/>
                <w:szCs w:val="20"/>
              </w:rPr>
            </w:pPr>
            <w:r w:rsidRPr="00E8515C">
              <w:rPr>
                <w:i/>
                <w:sz w:val="20"/>
                <w:szCs w:val="20"/>
              </w:rPr>
              <w:t>0.870</w:t>
            </w:r>
          </w:p>
        </w:tc>
        <w:tc>
          <w:tcPr>
            <w:tcW w:w="1112" w:type="dxa"/>
            <w:tcBorders>
              <w:top w:val="nil"/>
              <w:left w:val="single" w:sz="4" w:space="0" w:color="auto"/>
              <w:bottom w:val="nil"/>
              <w:right w:val="single" w:sz="4" w:space="0" w:color="auto"/>
            </w:tcBorders>
          </w:tcPr>
          <w:p w14:paraId="4C5E6FC4" w14:textId="77777777" w:rsidR="004752EC" w:rsidRPr="00E8515C" w:rsidRDefault="004752EC" w:rsidP="00BF6BD4">
            <w:pPr>
              <w:keepNext/>
              <w:keepLines/>
              <w:spacing w:before="20" w:after="20"/>
              <w:jc w:val="right"/>
              <w:rPr>
                <w:i/>
                <w:sz w:val="20"/>
                <w:szCs w:val="20"/>
              </w:rPr>
            </w:pPr>
            <w:r w:rsidRPr="00E8515C">
              <w:rPr>
                <w:i/>
                <w:sz w:val="20"/>
                <w:szCs w:val="20"/>
              </w:rPr>
              <w:t>0.870</w:t>
            </w:r>
          </w:p>
        </w:tc>
        <w:tc>
          <w:tcPr>
            <w:tcW w:w="1112" w:type="dxa"/>
            <w:tcBorders>
              <w:top w:val="nil"/>
              <w:left w:val="single" w:sz="4" w:space="0" w:color="auto"/>
              <w:bottom w:val="nil"/>
              <w:right w:val="single" w:sz="4" w:space="0" w:color="auto"/>
            </w:tcBorders>
          </w:tcPr>
          <w:p w14:paraId="5DF284EC"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11" w:type="dxa"/>
            <w:tcBorders>
              <w:top w:val="nil"/>
              <w:left w:val="single" w:sz="4" w:space="0" w:color="auto"/>
              <w:bottom w:val="nil"/>
              <w:right w:val="single" w:sz="4" w:space="0" w:color="auto"/>
            </w:tcBorders>
          </w:tcPr>
          <w:p w14:paraId="3BE23FF4"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12" w:type="dxa"/>
            <w:tcBorders>
              <w:top w:val="nil"/>
              <w:left w:val="single" w:sz="4" w:space="0" w:color="auto"/>
              <w:bottom w:val="nil"/>
              <w:right w:val="single" w:sz="4" w:space="0" w:color="auto"/>
            </w:tcBorders>
          </w:tcPr>
          <w:p w14:paraId="71BC54E5"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251" w:type="dxa"/>
            <w:tcBorders>
              <w:top w:val="nil"/>
              <w:left w:val="single" w:sz="4" w:space="0" w:color="auto"/>
              <w:bottom w:val="nil"/>
              <w:right w:val="single" w:sz="4" w:space="0" w:color="auto"/>
            </w:tcBorders>
          </w:tcPr>
          <w:p w14:paraId="6111CC8D" w14:textId="77777777" w:rsidR="004752EC" w:rsidRPr="00E8515C" w:rsidRDefault="004752EC" w:rsidP="00BF6BD4">
            <w:pPr>
              <w:keepNext/>
              <w:keepLines/>
              <w:spacing w:before="20" w:after="20"/>
              <w:jc w:val="right"/>
              <w:rPr>
                <w:i/>
                <w:sz w:val="20"/>
                <w:szCs w:val="20"/>
              </w:rPr>
            </w:pPr>
            <w:r w:rsidRPr="00E8515C">
              <w:rPr>
                <w:i/>
                <w:sz w:val="20"/>
                <w:szCs w:val="20"/>
              </w:rPr>
              <w:t>1.740</w:t>
            </w:r>
          </w:p>
        </w:tc>
      </w:tr>
      <w:tr w:rsidR="004752EC" w:rsidRPr="00E8515C" w14:paraId="424D60F8" w14:textId="77777777" w:rsidTr="00BF6BD4">
        <w:trPr>
          <w:trHeight w:val="20"/>
        </w:trPr>
        <w:tc>
          <w:tcPr>
            <w:tcW w:w="3290" w:type="dxa"/>
            <w:tcBorders>
              <w:top w:val="nil"/>
              <w:left w:val="single" w:sz="4" w:space="0" w:color="auto"/>
              <w:bottom w:val="nil"/>
              <w:right w:val="single" w:sz="4" w:space="0" w:color="auto"/>
            </w:tcBorders>
          </w:tcPr>
          <w:p w14:paraId="1249BAF3"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1041" w:type="dxa"/>
            <w:tcBorders>
              <w:top w:val="nil"/>
              <w:left w:val="single" w:sz="4" w:space="0" w:color="auto"/>
              <w:bottom w:val="nil"/>
              <w:right w:val="single" w:sz="4" w:space="0" w:color="auto"/>
            </w:tcBorders>
          </w:tcPr>
          <w:p w14:paraId="3195C08A" w14:textId="77777777" w:rsidR="004752EC" w:rsidRPr="00E8515C" w:rsidRDefault="004752EC" w:rsidP="00BF6BD4">
            <w:pPr>
              <w:keepNext/>
              <w:keepLines/>
              <w:spacing w:before="20" w:after="20"/>
              <w:jc w:val="right"/>
              <w:rPr>
                <w:i/>
                <w:sz w:val="20"/>
                <w:szCs w:val="20"/>
              </w:rPr>
            </w:pPr>
            <w:r w:rsidRPr="00E8515C">
              <w:rPr>
                <w:i/>
                <w:sz w:val="20"/>
                <w:szCs w:val="20"/>
              </w:rPr>
              <w:t>0.082</w:t>
            </w:r>
          </w:p>
        </w:tc>
        <w:tc>
          <w:tcPr>
            <w:tcW w:w="1112" w:type="dxa"/>
            <w:tcBorders>
              <w:top w:val="nil"/>
              <w:left w:val="single" w:sz="4" w:space="0" w:color="auto"/>
              <w:bottom w:val="nil"/>
              <w:right w:val="single" w:sz="4" w:space="0" w:color="auto"/>
            </w:tcBorders>
          </w:tcPr>
          <w:p w14:paraId="59084AD1" w14:textId="77777777" w:rsidR="004752EC" w:rsidRPr="00E8515C" w:rsidRDefault="004752EC" w:rsidP="00BF6BD4">
            <w:pPr>
              <w:keepNext/>
              <w:keepLines/>
              <w:spacing w:before="20" w:after="20"/>
              <w:jc w:val="right"/>
              <w:rPr>
                <w:i/>
                <w:sz w:val="20"/>
                <w:szCs w:val="20"/>
              </w:rPr>
            </w:pPr>
            <w:r w:rsidRPr="00E8515C">
              <w:rPr>
                <w:i/>
                <w:sz w:val="20"/>
                <w:szCs w:val="20"/>
              </w:rPr>
              <w:t>0.095</w:t>
            </w:r>
          </w:p>
        </w:tc>
        <w:tc>
          <w:tcPr>
            <w:tcW w:w="1112" w:type="dxa"/>
            <w:tcBorders>
              <w:top w:val="nil"/>
              <w:left w:val="single" w:sz="4" w:space="0" w:color="auto"/>
              <w:bottom w:val="nil"/>
              <w:right w:val="single" w:sz="4" w:space="0" w:color="auto"/>
            </w:tcBorders>
          </w:tcPr>
          <w:p w14:paraId="2E2B2837" w14:textId="77777777" w:rsidR="004752EC" w:rsidRPr="00E8515C" w:rsidRDefault="004752EC" w:rsidP="00BF6BD4">
            <w:pPr>
              <w:keepNext/>
              <w:keepLines/>
              <w:spacing w:before="20" w:after="20"/>
              <w:jc w:val="right"/>
              <w:rPr>
                <w:i/>
                <w:sz w:val="20"/>
                <w:szCs w:val="20"/>
              </w:rPr>
            </w:pPr>
            <w:r w:rsidRPr="00E8515C">
              <w:rPr>
                <w:i/>
                <w:sz w:val="20"/>
                <w:szCs w:val="20"/>
              </w:rPr>
              <w:t>0.117</w:t>
            </w:r>
          </w:p>
        </w:tc>
        <w:tc>
          <w:tcPr>
            <w:tcW w:w="1111" w:type="dxa"/>
            <w:tcBorders>
              <w:top w:val="nil"/>
              <w:left w:val="single" w:sz="4" w:space="0" w:color="auto"/>
              <w:bottom w:val="nil"/>
              <w:right w:val="single" w:sz="4" w:space="0" w:color="auto"/>
            </w:tcBorders>
          </w:tcPr>
          <w:p w14:paraId="48B29C39" w14:textId="77777777" w:rsidR="004752EC" w:rsidRPr="00E8515C" w:rsidRDefault="004752EC" w:rsidP="00BF6BD4">
            <w:pPr>
              <w:keepNext/>
              <w:keepLines/>
              <w:spacing w:before="20" w:after="20"/>
              <w:jc w:val="right"/>
              <w:rPr>
                <w:i/>
                <w:sz w:val="20"/>
                <w:szCs w:val="20"/>
              </w:rPr>
            </w:pPr>
            <w:r w:rsidRPr="00E8515C">
              <w:rPr>
                <w:i/>
                <w:sz w:val="20"/>
                <w:szCs w:val="20"/>
              </w:rPr>
              <w:t>0.140</w:t>
            </w:r>
          </w:p>
        </w:tc>
        <w:tc>
          <w:tcPr>
            <w:tcW w:w="1112" w:type="dxa"/>
            <w:tcBorders>
              <w:top w:val="nil"/>
              <w:left w:val="single" w:sz="4" w:space="0" w:color="auto"/>
              <w:bottom w:val="nil"/>
              <w:right w:val="single" w:sz="4" w:space="0" w:color="auto"/>
            </w:tcBorders>
          </w:tcPr>
          <w:p w14:paraId="0720132C" w14:textId="77777777" w:rsidR="004752EC" w:rsidRPr="00E8515C" w:rsidRDefault="004752EC" w:rsidP="00BF6BD4">
            <w:pPr>
              <w:keepNext/>
              <w:keepLines/>
              <w:spacing w:before="20" w:after="20"/>
              <w:jc w:val="right"/>
              <w:rPr>
                <w:i/>
                <w:sz w:val="20"/>
                <w:szCs w:val="20"/>
              </w:rPr>
            </w:pPr>
            <w:r w:rsidRPr="00E8515C">
              <w:rPr>
                <w:i/>
                <w:sz w:val="20"/>
                <w:szCs w:val="20"/>
              </w:rPr>
              <w:t>0.163</w:t>
            </w:r>
          </w:p>
        </w:tc>
        <w:tc>
          <w:tcPr>
            <w:tcW w:w="1251" w:type="dxa"/>
            <w:tcBorders>
              <w:top w:val="nil"/>
              <w:left w:val="single" w:sz="4" w:space="0" w:color="auto"/>
              <w:bottom w:val="nil"/>
              <w:right w:val="single" w:sz="4" w:space="0" w:color="auto"/>
            </w:tcBorders>
          </w:tcPr>
          <w:p w14:paraId="748C3800" w14:textId="77777777" w:rsidR="004752EC" w:rsidRPr="00E8515C" w:rsidRDefault="004752EC" w:rsidP="00BF6BD4">
            <w:pPr>
              <w:keepNext/>
              <w:keepLines/>
              <w:spacing w:before="20" w:after="20"/>
              <w:jc w:val="right"/>
              <w:rPr>
                <w:i/>
                <w:sz w:val="20"/>
                <w:szCs w:val="20"/>
              </w:rPr>
            </w:pPr>
            <w:r w:rsidRPr="00E8515C">
              <w:rPr>
                <w:i/>
                <w:sz w:val="20"/>
                <w:szCs w:val="20"/>
              </w:rPr>
              <w:t>0.597</w:t>
            </w:r>
          </w:p>
        </w:tc>
      </w:tr>
      <w:tr w:rsidR="004752EC" w:rsidRPr="00E8515C" w14:paraId="7BA42379" w14:textId="77777777" w:rsidTr="00BF6BD4">
        <w:trPr>
          <w:trHeight w:val="20"/>
        </w:trPr>
        <w:tc>
          <w:tcPr>
            <w:tcW w:w="3290" w:type="dxa"/>
            <w:tcBorders>
              <w:top w:val="nil"/>
              <w:left w:val="single" w:sz="4" w:space="0" w:color="auto"/>
              <w:bottom w:val="single" w:sz="4" w:space="0" w:color="auto"/>
              <w:right w:val="single" w:sz="4" w:space="0" w:color="auto"/>
            </w:tcBorders>
          </w:tcPr>
          <w:p w14:paraId="2D8DE56F"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1041" w:type="dxa"/>
            <w:tcBorders>
              <w:top w:val="nil"/>
              <w:left w:val="single" w:sz="4" w:space="0" w:color="auto"/>
              <w:bottom w:val="single" w:sz="4" w:space="0" w:color="auto"/>
              <w:right w:val="single" w:sz="4" w:space="0" w:color="auto"/>
            </w:tcBorders>
            <w:vAlign w:val="center"/>
          </w:tcPr>
          <w:p w14:paraId="37A796E9" w14:textId="77777777" w:rsidR="004752EC" w:rsidRPr="00E8515C" w:rsidRDefault="004752EC" w:rsidP="00BF6BD4">
            <w:pPr>
              <w:keepNext/>
              <w:keepLines/>
              <w:spacing w:before="20" w:after="20"/>
              <w:jc w:val="right"/>
              <w:rPr>
                <w:sz w:val="20"/>
                <w:szCs w:val="20"/>
              </w:rPr>
            </w:pPr>
            <w:r w:rsidRPr="00E8515C">
              <w:rPr>
                <w:sz w:val="20"/>
                <w:szCs w:val="20"/>
              </w:rPr>
              <w:t>1.122</w:t>
            </w:r>
          </w:p>
        </w:tc>
        <w:tc>
          <w:tcPr>
            <w:tcW w:w="1112" w:type="dxa"/>
            <w:tcBorders>
              <w:top w:val="nil"/>
              <w:left w:val="single" w:sz="4" w:space="0" w:color="auto"/>
              <w:bottom w:val="single" w:sz="4" w:space="0" w:color="auto"/>
              <w:right w:val="single" w:sz="4" w:space="0" w:color="auto"/>
            </w:tcBorders>
            <w:vAlign w:val="center"/>
          </w:tcPr>
          <w:p w14:paraId="33553C57" w14:textId="77777777" w:rsidR="004752EC" w:rsidRPr="00E8515C" w:rsidRDefault="004752EC" w:rsidP="00BF6BD4">
            <w:pPr>
              <w:keepNext/>
              <w:keepLines/>
              <w:spacing w:before="20" w:after="20"/>
              <w:jc w:val="right"/>
              <w:rPr>
                <w:sz w:val="20"/>
                <w:szCs w:val="20"/>
              </w:rPr>
            </w:pPr>
            <w:r w:rsidRPr="00E8515C">
              <w:rPr>
                <w:sz w:val="20"/>
                <w:szCs w:val="20"/>
              </w:rPr>
              <w:t>1.072</w:t>
            </w:r>
          </w:p>
        </w:tc>
        <w:tc>
          <w:tcPr>
            <w:tcW w:w="1112" w:type="dxa"/>
            <w:tcBorders>
              <w:top w:val="nil"/>
              <w:left w:val="single" w:sz="4" w:space="0" w:color="auto"/>
              <w:bottom w:val="single" w:sz="4" w:space="0" w:color="auto"/>
              <w:right w:val="single" w:sz="4" w:space="0" w:color="auto"/>
            </w:tcBorders>
            <w:vAlign w:val="center"/>
          </w:tcPr>
          <w:p w14:paraId="67F8AB52" w14:textId="77777777" w:rsidR="004752EC" w:rsidRPr="00E8515C" w:rsidRDefault="004752EC" w:rsidP="00BF6BD4">
            <w:pPr>
              <w:keepNext/>
              <w:keepLines/>
              <w:spacing w:before="20" w:after="20"/>
              <w:jc w:val="right"/>
              <w:rPr>
                <w:sz w:val="20"/>
                <w:szCs w:val="20"/>
              </w:rPr>
            </w:pPr>
            <w:r w:rsidRPr="00E8515C">
              <w:rPr>
                <w:sz w:val="20"/>
                <w:szCs w:val="20"/>
              </w:rPr>
              <w:t>0.807</w:t>
            </w:r>
          </w:p>
        </w:tc>
        <w:tc>
          <w:tcPr>
            <w:tcW w:w="1111" w:type="dxa"/>
            <w:tcBorders>
              <w:top w:val="nil"/>
              <w:left w:val="single" w:sz="4" w:space="0" w:color="auto"/>
              <w:bottom w:val="single" w:sz="4" w:space="0" w:color="auto"/>
              <w:right w:val="single" w:sz="4" w:space="0" w:color="auto"/>
            </w:tcBorders>
            <w:vAlign w:val="center"/>
          </w:tcPr>
          <w:p w14:paraId="49D16133" w14:textId="77777777" w:rsidR="004752EC" w:rsidRPr="00E8515C" w:rsidRDefault="004752EC" w:rsidP="00BF6BD4">
            <w:pPr>
              <w:keepNext/>
              <w:keepLines/>
              <w:spacing w:before="20" w:after="20"/>
              <w:jc w:val="right"/>
              <w:rPr>
                <w:sz w:val="20"/>
                <w:szCs w:val="20"/>
              </w:rPr>
            </w:pPr>
            <w:r w:rsidRPr="00E8515C">
              <w:rPr>
                <w:sz w:val="20"/>
                <w:szCs w:val="20"/>
              </w:rPr>
              <w:t>0.84</w:t>
            </w:r>
          </w:p>
        </w:tc>
        <w:tc>
          <w:tcPr>
            <w:tcW w:w="1112" w:type="dxa"/>
            <w:tcBorders>
              <w:top w:val="nil"/>
              <w:left w:val="single" w:sz="4" w:space="0" w:color="auto"/>
              <w:bottom w:val="single" w:sz="4" w:space="0" w:color="auto"/>
              <w:right w:val="single" w:sz="4" w:space="0" w:color="auto"/>
            </w:tcBorders>
            <w:vAlign w:val="center"/>
          </w:tcPr>
          <w:p w14:paraId="008AB766" w14:textId="77777777" w:rsidR="004752EC" w:rsidRPr="00E8515C" w:rsidRDefault="004752EC" w:rsidP="00BF6BD4">
            <w:pPr>
              <w:keepNext/>
              <w:keepLines/>
              <w:spacing w:before="20" w:after="20"/>
              <w:jc w:val="right"/>
              <w:rPr>
                <w:sz w:val="20"/>
                <w:szCs w:val="20"/>
              </w:rPr>
            </w:pPr>
            <w:r w:rsidRPr="00E8515C">
              <w:rPr>
                <w:sz w:val="20"/>
                <w:szCs w:val="20"/>
              </w:rPr>
              <w:t>0.872</w:t>
            </w:r>
          </w:p>
        </w:tc>
        <w:tc>
          <w:tcPr>
            <w:tcW w:w="1251" w:type="dxa"/>
            <w:tcBorders>
              <w:top w:val="nil"/>
              <w:left w:val="single" w:sz="4" w:space="0" w:color="auto"/>
              <w:bottom w:val="single" w:sz="4" w:space="0" w:color="auto"/>
              <w:right w:val="single" w:sz="4" w:space="0" w:color="auto"/>
            </w:tcBorders>
            <w:vAlign w:val="center"/>
          </w:tcPr>
          <w:p w14:paraId="64AA7DAC" w14:textId="77777777" w:rsidR="004752EC" w:rsidRPr="00E8515C" w:rsidRDefault="004752EC" w:rsidP="00BF6BD4">
            <w:pPr>
              <w:keepNext/>
              <w:keepLines/>
              <w:spacing w:before="20" w:after="20"/>
              <w:jc w:val="right"/>
              <w:rPr>
                <w:sz w:val="20"/>
                <w:szCs w:val="20"/>
              </w:rPr>
            </w:pPr>
            <w:r w:rsidRPr="00E8515C">
              <w:rPr>
                <w:sz w:val="20"/>
                <w:szCs w:val="20"/>
              </w:rPr>
              <w:t>4.713</w:t>
            </w:r>
          </w:p>
        </w:tc>
      </w:tr>
      <w:tr w:rsidR="004752EC" w:rsidRPr="00E8515C" w14:paraId="0332F90B" w14:textId="77777777" w:rsidTr="00BF6BD4">
        <w:trPr>
          <w:trHeight w:val="20"/>
        </w:trPr>
        <w:tc>
          <w:tcPr>
            <w:tcW w:w="3290" w:type="dxa"/>
            <w:tcBorders>
              <w:top w:val="single" w:sz="4" w:space="0" w:color="auto"/>
              <w:left w:val="single" w:sz="4" w:space="0" w:color="auto"/>
              <w:bottom w:val="nil"/>
              <w:right w:val="single" w:sz="4" w:space="0" w:color="auto"/>
            </w:tcBorders>
          </w:tcPr>
          <w:p w14:paraId="62F1C527" w14:textId="77777777" w:rsidR="004752EC" w:rsidRPr="00E8515C" w:rsidRDefault="004752EC" w:rsidP="00BF6BD4">
            <w:pPr>
              <w:keepNext/>
              <w:keepLines/>
              <w:spacing w:before="20" w:after="20"/>
              <w:rPr>
                <w:sz w:val="20"/>
                <w:szCs w:val="20"/>
              </w:rPr>
            </w:pPr>
            <w:r w:rsidRPr="00E8515C">
              <w:rPr>
                <w:b/>
                <w:sz w:val="20"/>
                <w:szCs w:val="20"/>
              </w:rPr>
              <w:t>Northern Territory</w:t>
            </w:r>
          </w:p>
        </w:tc>
        <w:tc>
          <w:tcPr>
            <w:tcW w:w="1041" w:type="dxa"/>
            <w:tcBorders>
              <w:top w:val="single" w:sz="4" w:space="0" w:color="auto"/>
              <w:left w:val="single" w:sz="4" w:space="0" w:color="auto"/>
              <w:bottom w:val="nil"/>
              <w:right w:val="single" w:sz="4" w:space="0" w:color="auto"/>
            </w:tcBorders>
          </w:tcPr>
          <w:p w14:paraId="70254E18" w14:textId="77777777" w:rsidR="004752EC" w:rsidRPr="00E8515C" w:rsidRDefault="004752EC" w:rsidP="00BF6BD4">
            <w:pPr>
              <w:keepNext/>
              <w:keepLines/>
              <w:spacing w:before="20" w:after="20"/>
              <w:jc w:val="right"/>
              <w:rPr>
                <w:b/>
                <w:sz w:val="20"/>
                <w:szCs w:val="20"/>
              </w:rPr>
            </w:pPr>
            <w:r w:rsidRPr="00E8515C">
              <w:rPr>
                <w:b/>
                <w:sz w:val="20"/>
                <w:szCs w:val="20"/>
              </w:rPr>
              <w:t>7.090</w:t>
            </w:r>
          </w:p>
        </w:tc>
        <w:tc>
          <w:tcPr>
            <w:tcW w:w="1112" w:type="dxa"/>
            <w:tcBorders>
              <w:top w:val="single" w:sz="4" w:space="0" w:color="auto"/>
              <w:left w:val="single" w:sz="4" w:space="0" w:color="auto"/>
              <w:bottom w:val="nil"/>
              <w:right w:val="single" w:sz="4" w:space="0" w:color="auto"/>
            </w:tcBorders>
          </w:tcPr>
          <w:p w14:paraId="6231E242" w14:textId="77777777" w:rsidR="004752EC" w:rsidRPr="00E8515C" w:rsidRDefault="004752EC" w:rsidP="00BF6BD4">
            <w:pPr>
              <w:keepNext/>
              <w:keepLines/>
              <w:spacing w:before="20" w:after="20"/>
              <w:jc w:val="right"/>
              <w:rPr>
                <w:b/>
                <w:sz w:val="20"/>
                <w:szCs w:val="20"/>
              </w:rPr>
            </w:pPr>
            <w:r w:rsidRPr="00E8515C">
              <w:rPr>
                <w:b/>
                <w:sz w:val="20"/>
                <w:szCs w:val="20"/>
              </w:rPr>
              <w:t>7.204</w:t>
            </w:r>
          </w:p>
        </w:tc>
        <w:tc>
          <w:tcPr>
            <w:tcW w:w="1112" w:type="dxa"/>
            <w:tcBorders>
              <w:top w:val="single" w:sz="4" w:space="0" w:color="auto"/>
              <w:left w:val="single" w:sz="4" w:space="0" w:color="auto"/>
              <w:bottom w:val="nil"/>
              <w:right w:val="single" w:sz="4" w:space="0" w:color="auto"/>
            </w:tcBorders>
          </w:tcPr>
          <w:p w14:paraId="2EC1DB6A" w14:textId="77777777" w:rsidR="004752EC" w:rsidRPr="00E8515C" w:rsidRDefault="004752EC" w:rsidP="00BF6BD4">
            <w:pPr>
              <w:keepNext/>
              <w:keepLines/>
              <w:spacing w:before="20" w:after="20"/>
              <w:jc w:val="right"/>
              <w:rPr>
                <w:b/>
                <w:sz w:val="20"/>
                <w:szCs w:val="20"/>
              </w:rPr>
            </w:pPr>
            <w:r w:rsidRPr="00E8515C">
              <w:rPr>
                <w:b/>
                <w:sz w:val="20"/>
                <w:szCs w:val="20"/>
              </w:rPr>
              <w:t>6.871</w:t>
            </w:r>
          </w:p>
        </w:tc>
        <w:tc>
          <w:tcPr>
            <w:tcW w:w="1111" w:type="dxa"/>
            <w:tcBorders>
              <w:top w:val="single" w:sz="4" w:space="0" w:color="auto"/>
              <w:left w:val="single" w:sz="4" w:space="0" w:color="auto"/>
              <w:bottom w:val="nil"/>
              <w:right w:val="single" w:sz="4" w:space="0" w:color="auto"/>
            </w:tcBorders>
          </w:tcPr>
          <w:p w14:paraId="5E0B3863" w14:textId="77777777" w:rsidR="004752EC" w:rsidRPr="00E8515C" w:rsidRDefault="004752EC" w:rsidP="00BF6BD4">
            <w:pPr>
              <w:keepNext/>
              <w:keepLines/>
              <w:spacing w:before="20" w:after="20"/>
              <w:jc w:val="right"/>
              <w:rPr>
                <w:b/>
                <w:sz w:val="20"/>
                <w:szCs w:val="20"/>
              </w:rPr>
            </w:pPr>
            <w:r w:rsidRPr="00E8515C">
              <w:rPr>
                <w:b/>
                <w:sz w:val="20"/>
                <w:szCs w:val="20"/>
              </w:rPr>
              <w:t>7.010</w:t>
            </w:r>
          </w:p>
        </w:tc>
        <w:tc>
          <w:tcPr>
            <w:tcW w:w="1112" w:type="dxa"/>
            <w:tcBorders>
              <w:top w:val="single" w:sz="4" w:space="0" w:color="auto"/>
              <w:left w:val="single" w:sz="4" w:space="0" w:color="auto"/>
              <w:bottom w:val="nil"/>
              <w:right w:val="single" w:sz="4" w:space="0" w:color="auto"/>
            </w:tcBorders>
          </w:tcPr>
          <w:p w14:paraId="6F7F27B9" w14:textId="77777777" w:rsidR="004752EC" w:rsidRPr="00E8515C" w:rsidRDefault="004752EC" w:rsidP="00BF6BD4">
            <w:pPr>
              <w:keepNext/>
              <w:keepLines/>
              <w:spacing w:before="20" w:after="20"/>
              <w:jc w:val="right"/>
              <w:rPr>
                <w:b/>
                <w:sz w:val="20"/>
                <w:szCs w:val="20"/>
              </w:rPr>
            </w:pPr>
            <w:r w:rsidRPr="00E8515C">
              <w:rPr>
                <w:b/>
                <w:sz w:val="20"/>
                <w:szCs w:val="20"/>
              </w:rPr>
              <w:t>7.142</w:t>
            </w:r>
          </w:p>
        </w:tc>
        <w:tc>
          <w:tcPr>
            <w:tcW w:w="1251" w:type="dxa"/>
            <w:tcBorders>
              <w:top w:val="single" w:sz="4" w:space="0" w:color="auto"/>
              <w:left w:val="single" w:sz="4" w:space="0" w:color="auto"/>
              <w:bottom w:val="nil"/>
              <w:right w:val="single" w:sz="4" w:space="0" w:color="auto"/>
            </w:tcBorders>
          </w:tcPr>
          <w:p w14:paraId="7C23C469" w14:textId="77777777" w:rsidR="004752EC" w:rsidRPr="00E8515C" w:rsidRDefault="004752EC" w:rsidP="00BF6BD4">
            <w:pPr>
              <w:keepNext/>
              <w:keepLines/>
              <w:spacing w:before="20" w:after="20"/>
              <w:jc w:val="right"/>
              <w:rPr>
                <w:b/>
                <w:sz w:val="20"/>
                <w:szCs w:val="20"/>
              </w:rPr>
            </w:pPr>
            <w:r w:rsidRPr="00E8515C">
              <w:rPr>
                <w:b/>
                <w:sz w:val="20"/>
                <w:szCs w:val="20"/>
              </w:rPr>
              <w:t>35.317</w:t>
            </w:r>
          </w:p>
        </w:tc>
      </w:tr>
      <w:tr w:rsidR="004752EC" w:rsidRPr="00E8515C" w14:paraId="699A0E25" w14:textId="77777777" w:rsidTr="00BF6BD4">
        <w:trPr>
          <w:trHeight w:val="20"/>
        </w:trPr>
        <w:tc>
          <w:tcPr>
            <w:tcW w:w="3290" w:type="dxa"/>
            <w:tcBorders>
              <w:top w:val="nil"/>
              <w:left w:val="single" w:sz="4" w:space="0" w:color="auto"/>
              <w:bottom w:val="nil"/>
              <w:right w:val="single" w:sz="4" w:space="0" w:color="auto"/>
            </w:tcBorders>
          </w:tcPr>
          <w:p w14:paraId="5588C913" w14:textId="77777777" w:rsidR="004752EC" w:rsidRPr="00E8515C" w:rsidRDefault="004752EC" w:rsidP="00BF6BD4">
            <w:pPr>
              <w:keepNext/>
              <w:keepLines/>
              <w:spacing w:before="20" w:after="20"/>
              <w:ind w:left="284"/>
              <w:rPr>
                <w:sz w:val="20"/>
                <w:szCs w:val="20"/>
              </w:rPr>
            </w:pPr>
            <w:r w:rsidRPr="00E8515C">
              <w:rPr>
                <w:sz w:val="20"/>
                <w:szCs w:val="20"/>
              </w:rPr>
              <w:t>Legal aid commissions</w:t>
            </w:r>
          </w:p>
        </w:tc>
        <w:tc>
          <w:tcPr>
            <w:tcW w:w="1041" w:type="dxa"/>
            <w:tcBorders>
              <w:top w:val="nil"/>
              <w:left w:val="single" w:sz="4" w:space="0" w:color="auto"/>
              <w:bottom w:val="nil"/>
              <w:right w:val="single" w:sz="4" w:space="0" w:color="auto"/>
            </w:tcBorders>
          </w:tcPr>
          <w:p w14:paraId="7B96D2F0" w14:textId="77777777" w:rsidR="004752EC" w:rsidRPr="00E8515C" w:rsidRDefault="004752EC" w:rsidP="00BF6BD4">
            <w:pPr>
              <w:keepNext/>
              <w:keepLines/>
              <w:spacing w:before="20" w:after="20"/>
              <w:jc w:val="right"/>
              <w:rPr>
                <w:sz w:val="20"/>
                <w:szCs w:val="20"/>
              </w:rPr>
            </w:pPr>
            <w:r w:rsidRPr="00E8515C">
              <w:rPr>
                <w:sz w:val="20"/>
                <w:szCs w:val="20"/>
              </w:rPr>
              <w:t>5.548</w:t>
            </w:r>
          </w:p>
        </w:tc>
        <w:tc>
          <w:tcPr>
            <w:tcW w:w="1112" w:type="dxa"/>
            <w:tcBorders>
              <w:top w:val="nil"/>
              <w:left w:val="single" w:sz="4" w:space="0" w:color="auto"/>
              <w:bottom w:val="nil"/>
              <w:right w:val="single" w:sz="4" w:space="0" w:color="auto"/>
            </w:tcBorders>
          </w:tcPr>
          <w:p w14:paraId="64274DC0" w14:textId="77777777" w:rsidR="004752EC" w:rsidRPr="00E8515C" w:rsidRDefault="004752EC" w:rsidP="00BF6BD4">
            <w:pPr>
              <w:keepNext/>
              <w:keepLines/>
              <w:spacing w:before="20" w:after="20"/>
              <w:jc w:val="right"/>
              <w:rPr>
                <w:sz w:val="20"/>
                <w:szCs w:val="20"/>
              </w:rPr>
            </w:pPr>
            <w:r w:rsidRPr="00E8515C">
              <w:rPr>
                <w:sz w:val="20"/>
                <w:szCs w:val="20"/>
              </w:rPr>
              <w:t>5.653</w:t>
            </w:r>
          </w:p>
        </w:tc>
        <w:tc>
          <w:tcPr>
            <w:tcW w:w="1112" w:type="dxa"/>
            <w:tcBorders>
              <w:top w:val="nil"/>
              <w:left w:val="single" w:sz="4" w:space="0" w:color="auto"/>
              <w:bottom w:val="nil"/>
              <w:right w:val="single" w:sz="4" w:space="0" w:color="auto"/>
            </w:tcBorders>
          </w:tcPr>
          <w:p w14:paraId="52DEB5A9" w14:textId="77777777" w:rsidR="004752EC" w:rsidRPr="00E8515C" w:rsidRDefault="004752EC" w:rsidP="00BF6BD4">
            <w:pPr>
              <w:keepNext/>
              <w:keepLines/>
              <w:spacing w:before="20" w:after="20"/>
              <w:jc w:val="right"/>
              <w:rPr>
                <w:sz w:val="20"/>
                <w:szCs w:val="20"/>
              </w:rPr>
            </w:pPr>
            <w:r w:rsidRPr="00E8515C">
              <w:rPr>
                <w:sz w:val="20"/>
                <w:szCs w:val="20"/>
              </w:rPr>
              <w:t>5.747</w:t>
            </w:r>
          </w:p>
        </w:tc>
        <w:tc>
          <w:tcPr>
            <w:tcW w:w="1111" w:type="dxa"/>
            <w:tcBorders>
              <w:top w:val="nil"/>
              <w:left w:val="single" w:sz="4" w:space="0" w:color="auto"/>
              <w:bottom w:val="nil"/>
              <w:right w:val="single" w:sz="4" w:space="0" w:color="auto"/>
            </w:tcBorders>
          </w:tcPr>
          <w:p w14:paraId="44EBF859" w14:textId="77777777" w:rsidR="004752EC" w:rsidRPr="00E8515C" w:rsidRDefault="004752EC" w:rsidP="00BF6BD4">
            <w:pPr>
              <w:keepNext/>
              <w:keepLines/>
              <w:spacing w:before="20" w:after="20"/>
              <w:jc w:val="right"/>
              <w:rPr>
                <w:sz w:val="20"/>
                <w:szCs w:val="20"/>
              </w:rPr>
            </w:pPr>
            <w:r w:rsidRPr="00E8515C">
              <w:rPr>
                <w:sz w:val="20"/>
                <w:szCs w:val="20"/>
              </w:rPr>
              <w:t>5.843</w:t>
            </w:r>
          </w:p>
        </w:tc>
        <w:tc>
          <w:tcPr>
            <w:tcW w:w="1112" w:type="dxa"/>
            <w:tcBorders>
              <w:top w:val="nil"/>
              <w:left w:val="single" w:sz="4" w:space="0" w:color="auto"/>
              <w:bottom w:val="nil"/>
              <w:right w:val="single" w:sz="4" w:space="0" w:color="auto"/>
            </w:tcBorders>
          </w:tcPr>
          <w:p w14:paraId="2BA35403" w14:textId="77777777" w:rsidR="004752EC" w:rsidRPr="00E8515C" w:rsidRDefault="004752EC" w:rsidP="00BF6BD4">
            <w:pPr>
              <w:keepNext/>
              <w:keepLines/>
              <w:spacing w:before="20" w:after="20"/>
              <w:jc w:val="right"/>
              <w:rPr>
                <w:sz w:val="20"/>
                <w:szCs w:val="20"/>
              </w:rPr>
            </w:pPr>
            <w:r w:rsidRPr="00E8515C">
              <w:rPr>
                <w:sz w:val="20"/>
                <w:szCs w:val="20"/>
              </w:rPr>
              <w:t>5.931</w:t>
            </w:r>
          </w:p>
        </w:tc>
        <w:tc>
          <w:tcPr>
            <w:tcW w:w="1251" w:type="dxa"/>
            <w:tcBorders>
              <w:top w:val="nil"/>
              <w:left w:val="single" w:sz="4" w:space="0" w:color="auto"/>
              <w:bottom w:val="nil"/>
              <w:right w:val="single" w:sz="4" w:space="0" w:color="auto"/>
            </w:tcBorders>
          </w:tcPr>
          <w:p w14:paraId="33DABD39" w14:textId="77777777" w:rsidR="004752EC" w:rsidRPr="00E8515C" w:rsidRDefault="004752EC" w:rsidP="00BF6BD4">
            <w:pPr>
              <w:keepNext/>
              <w:keepLines/>
              <w:spacing w:before="20" w:after="20"/>
              <w:jc w:val="right"/>
              <w:rPr>
                <w:sz w:val="20"/>
                <w:szCs w:val="20"/>
              </w:rPr>
            </w:pPr>
            <w:r w:rsidRPr="00E8515C">
              <w:rPr>
                <w:sz w:val="20"/>
                <w:szCs w:val="20"/>
              </w:rPr>
              <w:t>28.722</w:t>
            </w:r>
          </w:p>
        </w:tc>
      </w:tr>
      <w:tr w:rsidR="004752EC" w:rsidRPr="00E8515C" w14:paraId="3FEE97DB" w14:textId="77777777" w:rsidTr="00BF6BD4">
        <w:trPr>
          <w:trHeight w:val="20"/>
        </w:trPr>
        <w:tc>
          <w:tcPr>
            <w:tcW w:w="3290" w:type="dxa"/>
            <w:tcBorders>
              <w:top w:val="nil"/>
              <w:left w:val="single" w:sz="4" w:space="0" w:color="auto"/>
              <w:bottom w:val="nil"/>
              <w:right w:val="single" w:sz="4" w:space="0" w:color="auto"/>
            </w:tcBorders>
          </w:tcPr>
          <w:p w14:paraId="561D847F"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w:t>
            </w:r>
          </w:p>
        </w:tc>
        <w:tc>
          <w:tcPr>
            <w:tcW w:w="1041" w:type="dxa"/>
            <w:tcBorders>
              <w:top w:val="nil"/>
              <w:left w:val="single" w:sz="4" w:space="0" w:color="auto"/>
              <w:bottom w:val="nil"/>
              <w:right w:val="single" w:sz="4" w:space="0" w:color="auto"/>
            </w:tcBorders>
          </w:tcPr>
          <w:p w14:paraId="4570DAEC" w14:textId="77777777" w:rsidR="004752EC" w:rsidRPr="00E8515C" w:rsidRDefault="004752EC" w:rsidP="00BF6BD4">
            <w:pPr>
              <w:keepNext/>
              <w:keepLines/>
              <w:spacing w:before="20" w:after="20"/>
              <w:jc w:val="right"/>
              <w:rPr>
                <w:i/>
                <w:sz w:val="20"/>
                <w:szCs w:val="20"/>
              </w:rPr>
            </w:pPr>
            <w:r w:rsidRPr="00E8515C">
              <w:rPr>
                <w:i/>
                <w:sz w:val="20"/>
                <w:szCs w:val="20"/>
              </w:rPr>
              <w:t>0.386</w:t>
            </w:r>
          </w:p>
        </w:tc>
        <w:tc>
          <w:tcPr>
            <w:tcW w:w="1112" w:type="dxa"/>
            <w:tcBorders>
              <w:top w:val="nil"/>
              <w:left w:val="single" w:sz="4" w:space="0" w:color="auto"/>
              <w:bottom w:val="nil"/>
              <w:right w:val="single" w:sz="4" w:space="0" w:color="auto"/>
            </w:tcBorders>
          </w:tcPr>
          <w:p w14:paraId="158B60F6" w14:textId="77777777" w:rsidR="004752EC" w:rsidRPr="00E8515C" w:rsidRDefault="004752EC" w:rsidP="00BF6BD4">
            <w:pPr>
              <w:keepNext/>
              <w:keepLines/>
              <w:spacing w:before="20" w:after="20"/>
              <w:jc w:val="right"/>
              <w:rPr>
                <w:i/>
                <w:sz w:val="20"/>
                <w:szCs w:val="20"/>
              </w:rPr>
            </w:pPr>
            <w:r w:rsidRPr="00E8515C">
              <w:rPr>
                <w:i/>
                <w:sz w:val="20"/>
                <w:szCs w:val="20"/>
              </w:rPr>
              <w:t>0.374</w:t>
            </w:r>
          </w:p>
        </w:tc>
        <w:tc>
          <w:tcPr>
            <w:tcW w:w="1112" w:type="dxa"/>
            <w:tcBorders>
              <w:top w:val="nil"/>
              <w:left w:val="single" w:sz="4" w:space="0" w:color="auto"/>
              <w:bottom w:val="nil"/>
              <w:right w:val="single" w:sz="4" w:space="0" w:color="auto"/>
            </w:tcBorders>
          </w:tcPr>
          <w:p w14:paraId="1F136CF3" w14:textId="77777777" w:rsidR="004752EC" w:rsidRPr="00E8515C" w:rsidRDefault="004752EC" w:rsidP="00BF6BD4">
            <w:pPr>
              <w:keepNext/>
              <w:keepLines/>
              <w:spacing w:before="20" w:after="20"/>
              <w:jc w:val="right"/>
              <w:rPr>
                <w:i/>
                <w:sz w:val="20"/>
                <w:szCs w:val="20"/>
              </w:rPr>
            </w:pPr>
            <w:r w:rsidRPr="00E8515C">
              <w:rPr>
                <w:i/>
                <w:sz w:val="20"/>
                <w:szCs w:val="20"/>
              </w:rPr>
              <w:t>0.983</w:t>
            </w:r>
          </w:p>
        </w:tc>
        <w:tc>
          <w:tcPr>
            <w:tcW w:w="1111" w:type="dxa"/>
            <w:tcBorders>
              <w:top w:val="nil"/>
              <w:left w:val="single" w:sz="4" w:space="0" w:color="auto"/>
              <w:bottom w:val="nil"/>
              <w:right w:val="single" w:sz="4" w:space="0" w:color="auto"/>
            </w:tcBorders>
          </w:tcPr>
          <w:p w14:paraId="474766DE" w14:textId="77777777" w:rsidR="004752EC" w:rsidRPr="00E8515C" w:rsidRDefault="004752EC" w:rsidP="00BF6BD4">
            <w:pPr>
              <w:keepNext/>
              <w:keepLines/>
              <w:spacing w:before="20" w:after="20"/>
              <w:jc w:val="right"/>
              <w:rPr>
                <w:i/>
                <w:sz w:val="20"/>
                <w:szCs w:val="20"/>
              </w:rPr>
            </w:pPr>
            <w:r w:rsidRPr="00E8515C">
              <w:rPr>
                <w:i/>
                <w:sz w:val="20"/>
                <w:szCs w:val="20"/>
              </w:rPr>
              <w:t>0.999</w:t>
            </w:r>
          </w:p>
        </w:tc>
        <w:tc>
          <w:tcPr>
            <w:tcW w:w="1112" w:type="dxa"/>
            <w:tcBorders>
              <w:top w:val="nil"/>
              <w:left w:val="single" w:sz="4" w:space="0" w:color="auto"/>
              <w:bottom w:val="nil"/>
              <w:right w:val="single" w:sz="4" w:space="0" w:color="auto"/>
            </w:tcBorders>
          </w:tcPr>
          <w:p w14:paraId="19421C28" w14:textId="77777777" w:rsidR="004752EC" w:rsidRPr="00E8515C" w:rsidRDefault="004752EC" w:rsidP="00BF6BD4">
            <w:pPr>
              <w:keepNext/>
              <w:keepLines/>
              <w:spacing w:before="20" w:after="20"/>
              <w:jc w:val="right"/>
              <w:rPr>
                <w:i/>
                <w:sz w:val="20"/>
                <w:szCs w:val="20"/>
              </w:rPr>
            </w:pPr>
            <w:r w:rsidRPr="00E8515C">
              <w:rPr>
                <w:i/>
                <w:sz w:val="20"/>
                <w:szCs w:val="20"/>
              </w:rPr>
              <w:t>1.015</w:t>
            </w:r>
          </w:p>
        </w:tc>
        <w:tc>
          <w:tcPr>
            <w:tcW w:w="1251" w:type="dxa"/>
            <w:tcBorders>
              <w:top w:val="nil"/>
              <w:left w:val="single" w:sz="4" w:space="0" w:color="auto"/>
              <w:bottom w:val="nil"/>
              <w:right w:val="single" w:sz="4" w:space="0" w:color="auto"/>
            </w:tcBorders>
          </w:tcPr>
          <w:p w14:paraId="183EE547" w14:textId="77777777" w:rsidR="004752EC" w:rsidRPr="00E8515C" w:rsidRDefault="004752EC" w:rsidP="00BF6BD4">
            <w:pPr>
              <w:keepNext/>
              <w:keepLines/>
              <w:spacing w:before="20" w:after="20"/>
              <w:jc w:val="right"/>
              <w:rPr>
                <w:i/>
                <w:sz w:val="20"/>
                <w:szCs w:val="20"/>
              </w:rPr>
            </w:pPr>
            <w:r w:rsidRPr="00E8515C">
              <w:rPr>
                <w:i/>
                <w:sz w:val="20"/>
                <w:szCs w:val="20"/>
              </w:rPr>
              <w:t>3.757</w:t>
            </w:r>
          </w:p>
        </w:tc>
      </w:tr>
      <w:tr w:rsidR="004752EC" w:rsidRPr="00E8515C" w14:paraId="6C8065C4" w14:textId="77777777" w:rsidTr="00BF6BD4">
        <w:trPr>
          <w:trHeight w:val="20"/>
        </w:trPr>
        <w:tc>
          <w:tcPr>
            <w:tcW w:w="3290" w:type="dxa"/>
            <w:tcBorders>
              <w:top w:val="nil"/>
              <w:left w:val="single" w:sz="4" w:space="0" w:color="auto"/>
              <w:bottom w:val="nil"/>
              <w:right w:val="single" w:sz="4" w:space="0" w:color="auto"/>
            </w:tcBorders>
          </w:tcPr>
          <w:p w14:paraId="3F4475D7" w14:textId="77777777" w:rsidR="004752EC" w:rsidRPr="00E8515C" w:rsidRDefault="004752EC" w:rsidP="00BF6BD4">
            <w:pPr>
              <w:keepNext/>
              <w:keepLines/>
              <w:spacing w:before="20" w:after="20"/>
              <w:ind w:left="284"/>
              <w:rPr>
                <w:i/>
                <w:sz w:val="20"/>
                <w:szCs w:val="20"/>
              </w:rPr>
            </w:pPr>
            <w:r w:rsidRPr="00E8515C">
              <w:rPr>
                <w:i/>
                <w:sz w:val="20"/>
                <w:szCs w:val="20"/>
              </w:rPr>
              <w:t>Community legal centres (Schedule C)</w:t>
            </w:r>
          </w:p>
        </w:tc>
        <w:tc>
          <w:tcPr>
            <w:tcW w:w="1041" w:type="dxa"/>
            <w:tcBorders>
              <w:top w:val="nil"/>
              <w:left w:val="single" w:sz="4" w:space="0" w:color="auto"/>
              <w:bottom w:val="nil"/>
              <w:right w:val="single" w:sz="4" w:space="0" w:color="auto"/>
            </w:tcBorders>
          </w:tcPr>
          <w:p w14:paraId="4069854F" w14:textId="77777777" w:rsidR="004752EC" w:rsidRPr="00E8515C" w:rsidRDefault="004752EC" w:rsidP="00BF6BD4">
            <w:pPr>
              <w:keepNext/>
              <w:keepLines/>
              <w:spacing w:before="20" w:after="20"/>
              <w:jc w:val="right"/>
              <w:rPr>
                <w:i/>
                <w:sz w:val="20"/>
                <w:szCs w:val="20"/>
              </w:rPr>
            </w:pPr>
            <w:r w:rsidRPr="00E8515C">
              <w:rPr>
                <w:i/>
                <w:sz w:val="20"/>
                <w:szCs w:val="20"/>
              </w:rPr>
              <w:t>1.059</w:t>
            </w:r>
          </w:p>
        </w:tc>
        <w:tc>
          <w:tcPr>
            <w:tcW w:w="1112" w:type="dxa"/>
            <w:tcBorders>
              <w:top w:val="nil"/>
              <w:left w:val="single" w:sz="4" w:space="0" w:color="auto"/>
              <w:bottom w:val="nil"/>
              <w:right w:val="single" w:sz="4" w:space="0" w:color="auto"/>
            </w:tcBorders>
          </w:tcPr>
          <w:p w14:paraId="2B2BF720" w14:textId="77777777" w:rsidR="004752EC" w:rsidRPr="00E8515C" w:rsidRDefault="004752EC" w:rsidP="00BF6BD4">
            <w:pPr>
              <w:keepNext/>
              <w:keepLines/>
              <w:spacing w:before="20" w:after="20"/>
              <w:jc w:val="right"/>
              <w:rPr>
                <w:i/>
                <w:sz w:val="20"/>
                <w:szCs w:val="20"/>
              </w:rPr>
            </w:pPr>
            <w:r w:rsidRPr="00E8515C">
              <w:rPr>
                <w:i/>
                <w:sz w:val="20"/>
                <w:szCs w:val="20"/>
              </w:rPr>
              <w:t>1.059</w:t>
            </w:r>
          </w:p>
        </w:tc>
        <w:tc>
          <w:tcPr>
            <w:tcW w:w="1112" w:type="dxa"/>
            <w:tcBorders>
              <w:top w:val="nil"/>
              <w:left w:val="single" w:sz="4" w:space="0" w:color="auto"/>
              <w:bottom w:val="nil"/>
              <w:right w:val="single" w:sz="4" w:space="0" w:color="auto"/>
            </w:tcBorders>
          </w:tcPr>
          <w:p w14:paraId="50B44EC8"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11" w:type="dxa"/>
            <w:tcBorders>
              <w:top w:val="nil"/>
              <w:left w:val="single" w:sz="4" w:space="0" w:color="auto"/>
              <w:bottom w:val="nil"/>
              <w:right w:val="single" w:sz="4" w:space="0" w:color="auto"/>
            </w:tcBorders>
          </w:tcPr>
          <w:p w14:paraId="303F256D"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112" w:type="dxa"/>
            <w:tcBorders>
              <w:top w:val="nil"/>
              <w:left w:val="single" w:sz="4" w:space="0" w:color="auto"/>
              <w:bottom w:val="nil"/>
              <w:right w:val="single" w:sz="4" w:space="0" w:color="auto"/>
            </w:tcBorders>
          </w:tcPr>
          <w:p w14:paraId="018B871D" w14:textId="77777777" w:rsidR="004752EC" w:rsidRPr="00E8515C" w:rsidRDefault="004752EC" w:rsidP="00BF6BD4">
            <w:pPr>
              <w:keepNext/>
              <w:keepLines/>
              <w:spacing w:before="20" w:after="20"/>
              <w:jc w:val="right"/>
              <w:rPr>
                <w:i/>
                <w:sz w:val="20"/>
                <w:szCs w:val="20"/>
              </w:rPr>
            </w:pPr>
            <w:r w:rsidRPr="00E8515C">
              <w:rPr>
                <w:i/>
                <w:sz w:val="20"/>
                <w:szCs w:val="20"/>
              </w:rPr>
              <w:t>-</w:t>
            </w:r>
          </w:p>
        </w:tc>
        <w:tc>
          <w:tcPr>
            <w:tcW w:w="1251" w:type="dxa"/>
            <w:tcBorders>
              <w:top w:val="nil"/>
              <w:left w:val="single" w:sz="4" w:space="0" w:color="auto"/>
              <w:bottom w:val="nil"/>
              <w:right w:val="single" w:sz="4" w:space="0" w:color="auto"/>
            </w:tcBorders>
          </w:tcPr>
          <w:p w14:paraId="60CB2612" w14:textId="77777777" w:rsidR="004752EC" w:rsidRPr="00E8515C" w:rsidRDefault="004752EC" w:rsidP="00BF6BD4">
            <w:pPr>
              <w:keepNext/>
              <w:keepLines/>
              <w:spacing w:before="20" w:after="20"/>
              <w:jc w:val="right"/>
              <w:rPr>
                <w:i/>
                <w:sz w:val="20"/>
                <w:szCs w:val="20"/>
              </w:rPr>
            </w:pPr>
            <w:r w:rsidRPr="00E8515C">
              <w:rPr>
                <w:i/>
                <w:sz w:val="20"/>
                <w:szCs w:val="20"/>
              </w:rPr>
              <w:t>2.118</w:t>
            </w:r>
          </w:p>
        </w:tc>
      </w:tr>
      <w:tr w:rsidR="004752EC" w:rsidRPr="00E8515C" w14:paraId="7059FE16" w14:textId="77777777" w:rsidTr="00BF6BD4">
        <w:trPr>
          <w:trHeight w:val="20"/>
        </w:trPr>
        <w:tc>
          <w:tcPr>
            <w:tcW w:w="3290" w:type="dxa"/>
            <w:tcBorders>
              <w:top w:val="nil"/>
              <w:left w:val="single" w:sz="4" w:space="0" w:color="auto"/>
              <w:bottom w:val="nil"/>
              <w:right w:val="single" w:sz="4" w:space="0" w:color="auto"/>
            </w:tcBorders>
          </w:tcPr>
          <w:p w14:paraId="14CD04B8" w14:textId="77777777" w:rsidR="004752EC" w:rsidRPr="00E8515C" w:rsidRDefault="004752EC" w:rsidP="00BF6BD4">
            <w:pPr>
              <w:keepNext/>
              <w:keepLines/>
              <w:spacing w:before="20" w:after="20"/>
              <w:ind w:left="284"/>
              <w:rPr>
                <w:i/>
                <w:sz w:val="20"/>
                <w:szCs w:val="20"/>
              </w:rPr>
            </w:pPr>
            <w:r w:rsidRPr="00E8515C">
              <w:rPr>
                <w:i/>
                <w:sz w:val="20"/>
                <w:szCs w:val="20"/>
              </w:rPr>
              <w:t>SACS</w:t>
            </w:r>
          </w:p>
        </w:tc>
        <w:tc>
          <w:tcPr>
            <w:tcW w:w="1041" w:type="dxa"/>
            <w:tcBorders>
              <w:top w:val="nil"/>
              <w:left w:val="single" w:sz="4" w:space="0" w:color="auto"/>
              <w:bottom w:val="nil"/>
              <w:right w:val="single" w:sz="4" w:space="0" w:color="auto"/>
            </w:tcBorders>
          </w:tcPr>
          <w:p w14:paraId="183ACBB5" w14:textId="77777777" w:rsidR="004752EC" w:rsidRPr="00E8515C" w:rsidRDefault="004752EC" w:rsidP="00BF6BD4">
            <w:pPr>
              <w:keepNext/>
              <w:keepLines/>
              <w:spacing w:before="20" w:after="20"/>
              <w:jc w:val="right"/>
              <w:rPr>
                <w:i/>
                <w:sz w:val="20"/>
                <w:szCs w:val="20"/>
              </w:rPr>
            </w:pPr>
            <w:r w:rsidRPr="00E8515C">
              <w:rPr>
                <w:i/>
                <w:sz w:val="20"/>
                <w:szCs w:val="20"/>
              </w:rPr>
              <w:t>0.097</w:t>
            </w:r>
          </w:p>
        </w:tc>
        <w:tc>
          <w:tcPr>
            <w:tcW w:w="1112" w:type="dxa"/>
            <w:tcBorders>
              <w:top w:val="nil"/>
              <w:left w:val="single" w:sz="4" w:space="0" w:color="auto"/>
              <w:bottom w:val="nil"/>
              <w:right w:val="single" w:sz="4" w:space="0" w:color="auto"/>
            </w:tcBorders>
          </w:tcPr>
          <w:p w14:paraId="22A58F76" w14:textId="77777777" w:rsidR="004752EC" w:rsidRPr="00E8515C" w:rsidRDefault="004752EC" w:rsidP="00BF6BD4">
            <w:pPr>
              <w:keepNext/>
              <w:keepLines/>
              <w:spacing w:before="20" w:after="20"/>
              <w:jc w:val="right"/>
              <w:rPr>
                <w:i/>
                <w:sz w:val="20"/>
                <w:szCs w:val="20"/>
              </w:rPr>
            </w:pPr>
            <w:r w:rsidRPr="00E8515C">
              <w:rPr>
                <w:i/>
                <w:sz w:val="20"/>
                <w:szCs w:val="20"/>
              </w:rPr>
              <w:t>0.118</w:t>
            </w:r>
          </w:p>
        </w:tc>
        <w:tc>
          <w:tcPr>
            <w:tcW w:w="1112" w:type="dxa"/>
            <w:tcBorders>
              <w:top w:val="nil"/>
              <w:left w:val="single" w:sz="4" w:space="0" w:color="auto"/>
              <w:bottom w:val="nil"/>
              <w:right w:val="single" w:sz="4" w:space="0" w:color="auto"/>
            </w:tcBorders>
          </w:tcPr>
          <w:p w14:paraId="447D57E4" w14:textId="77777777" w:rsidR="004752EC" w:rsidRPr="00E8515C" w:rsidRDefault="004752EC" w:rsidP="00BF6BD4">
            <w:pPr>
              <w:keepNext/>
              <w:keepLines/>
              <w:spacing w:before="20" w:after="20"/>
              <w:jc w:val="right"/>
              <w:rPr>
                <w:i/>
                <w:sz w:val="20"/>
                <w:szCs w:val="20"/>
              </w:rPr>
            </w:pPr>
            <w:r w:rsidRPr="00E8515C">
              <w:rPr>
                <w:i/>
                <w:sz w:val="20"/>
                <w:szCs w:val="20"/>
              </w:rPr>
              <w:t>0.141</w:t>
            </w:r>
          </w:p>
        </w:tc>
        <w:tc>
          <w:tcPr>
            <w:tcW w:w="1111" w:type="dxa"/>
            <w:tcBorders>
              <w:top w:val="nil"/>
              <w:left w:val="single" w:sz="4" w:space="0" w:color="auto"/>
              <w:bottom w:val="nil"/>
              <w:right w:val="single" w:sz="4" w:space="0" w:color="auto"/>
            </w:tcBorders>
          </w:tcPr>
          <w:p w14:paraId="17A19E3F" w14:textId="77777777" w:rsidR="004752EC" w:rsidRPr="00E8515C" w:rsidRDefault="004752EC" w:rsidP="00BF6BD4">
            <w:pPr>
              <w:keepNext/>
              <w:keepLines/>
              <w:spacing w:before="20" w:after="20"/>
              <w:jc w:val="right"/>
              <w:rPr>
                <w:i/>
                <w:sz w:val="20"/>
                <w:szCs w:val="20"/>
              </w:rPr>
            </w:pPr>
            <w:r w:rsidRPr="00E8515C">
              <w:rPr>
                <w:i/>
                <w:sz w:val="20"/>
                <w:szCs w:val="20"/>
              </w:rPr>
              <w:t>0.168</w:t>
            </w:r>
          </w:p>
        </w:tc>
        <w:tc>
          <w:tcPr>
            <w:tcW w:w="1112" w:type="dxa"/>
            <w:tcBorders>
              <w:top w:val="nil"/>
              <w:left w:val="single" w:sz="4" w:space="0" w:color="auto"/>
              <w:bottom w:val="nil"/>
              <w:right w:val="single" w:sz="4" w:space="0" w:color="auto"/>
            </w:tcBorders>
          </w:tcPr>
          <w:p w14:paraId="2E409740" w14:textId="77777777" w:rsidR="004752EC" w:rsidRPr="00E8515C" w:rsidRDefault="004752EC" w:rsidP="00BF6BD4">
            <w:pPr>
              <w:keepNext/>
              <w:keepLines/>
              <w:spacing w:before="20" w:after="20"/>
              <w:jc w:val="right"/>
              <w:rPr>
                <w:i/>
                <w:sz w:val="20"/>
                <w:szCs w:val="20"/>
              </w:rPr>
            </w:pPr>
            <w:r w:rsidRPr="00E8515C">
              <w:rPr>
                <w:i/>
                <w:sz w:val="20"/>
                <w:szCs w:val="20"/>
              </w:rPr>
              <w:t>0.196</w:t>
            </w:r>
          </w:p>
        </w:tc>
        <w:tc>
          <w:tcPr>
            <w:tcW w:w="1251" w:type="dxa"/>
            <w:tcBorders>
              <w:top w:val="nil"/>
              <w:left w:val="single" w:sz="4" w:space="0" w:color="auto"/>
              <w:bottom w:val="nil"/>
              <w:right w:val="single" w:sz="4" w:space="0" w:color="auto"/>
            </w:tcBorders>
          </w:tcPr>
          <w:p w14:paraId="7EF74D36" w14:textId="77777777" w:rsidR="004752EC" w:rsidRPr="00E8515C" w:rsidRDefault="004752EC" w:rsidP="00BF6BD4">
            <w:pPr>
              <w:keepNext/>
              <w:keepLines/>
              <w:spacing w:before="20" w:after="20"/>
              <w:jc w:val="right"/>
              <w:rPr>
                <w:i/>
                <w:sz w:val="20"/>
                <w:szCs w:val="20"/>
              </w:rPr>
            </w:pPr>
            <w:r w:rsidRPr="00E8515C">
              <w:rPr>
                <w:i/>
                <w:sz w:val="20"/>
                <w:szCs w:val="20"/>
              </w:rPr>
              <w:t>0.720</w:t>
            </w:r>
          </w:p>
        </w:tc>
      </w:tr>
      <w:tr w:rsidR="004752EC" w:rsidRPr="00E8515C" w14:paraId="4FEA7B23" w14:textId="77777777" w:rsidTr="00BF6BD4">
        <w:trPr>
          <w:trHeight w:val="20"/>
        </w:trPr>
        <w:tc>
          <w:tcPr>
            <w:tcW w:w="3290" w:type="dxa"/>
            <w:tcBorders>
              <w:top w:val="nil"/>
              <w:left w:val="single" w:sz="4" w:space="0" w:color="auto"/>
              <w:bottom w:val="single" w:sz="4" w:space="0" w:color="auto"/>
              <w:right w:val="single" w:sz="4" w:space="0" w:color="auto"/>
            </w:tcBorders>
          </w:tcPr>
          <w:p w14:paraId="47757A5E" w14:textId="77777777" w:rsidR="004752EC" w:rsidRPr="00E8515C" w:rsidRDefault="004752EC" w:rsidP="00BF6BD4">
            <w:pPr>
              <w:keepNext/>
              <w:keepLines/>
              <w:spacing w:before="20" w:after="20"/>
              <w:ind w:left="284"/>
              <w:rPr>
                <w:sz w:val="20"/>
                <w:szCs w:val="20"/>
              </w:rPr>
            </w:pPr>
            <w:r w:rsidRPr="00E8515C">
              <w:rPr>
                <w:sz w:val="20"/>
                <w:szCs w:val="20"/>
              </w:rPr>
              <w:t>Community legal centres total</w:t>
            </w:r>
          </w:p>
        </w:tc>
        <w:tc>
          <w:tcPr>
            <w:tcW w:w="1041" w:type="dxa"/>
            <w:tcBorders>
              <w:top w:val="nil"/>
              <w:left w:val="single" w:sz="4" w:space="0" w:color="auto"/>
              <w:bottom w:val="single" w:sz="4" w:space="0" w:color="auto"/>
              <w:right w:val="single" w:sz="4" w:space="0" w:color="auto"/>
            </w:tcBorders>
            <w:vAlign w:val="center"/>
          </w:tcPr>
          <w:p w14:paraId="00E4430A" w14:textId="77777777" w:rsidR="004752EC" w:rsidRPr="00E8515C" w:rsidRDefault="004752EC" w:rsidP="00BF6BD4">
            <w:pPr>
              <w:keepNext/>
              <w:keepLines/>
              <w:spacing w:before="20" w:after="20"/>
              <w:jc w:val="right"/>
              <w:rPr>
                <w:sz w:val="20"/>
                <w:szCs w:val="20"/>
              </w:rPr>
            </w:pPr>
            <w:r w:rsidRPr="00E8515C">
              <w:rPr>
                <w:sz w:val="20"/>
                <w:szCs w:val="20"/>
              </w:rPr>
              <w:t>1.542</w:t>
            </w:r>
          </w:p>
        </w:tc>
        <w:tc>
          <w:tcPr>
            <w:tcW w:w="1112" w:type="dxa"/>
            <w:tcBorders>
              <w:top w:val="nil"/>
              <w:left w:val="single" w:sz="4" w:space="0" w:color="auto"/>
              <w:bottom w:val="single" w:sz="4" w:space="0" w:color="auto"/>
              <w:right w:val="single" w:sz="4" w:space="0" w:color="auto"/>
            </w:tcBorders>
            <w:vAlign w:val="center"/>
          </w:tcPr>
          <w:p w14:paraId="4FEC96C5" w14:textId="77777777" w:rsidR="004752EC" w:rsidRPr="00E8515C" w:rsidRDefault="004752EC" w:rsidP="00BF6BD4">
            <w:pPr>
              <w:keepNext/>
              <w:keepLines/>
              <w:spacing w:before="20" w:after="20"/>
              <w:jc w:val="right"/>
              <w:rPr>
                <w:sz w:val="20"/>
                <w:szCs w:val="20"/>
              </w:rPr>
            </w:pPr>
            <w:r w:rsidRPr="00E8515C">
              <w:rPr>
                <w:sz w:val="20"/>
                <w:szCs w:val="20"/>
              </w:rPr>
              <w:t>1.551</w:t>
            </w:r>
          </w:p>
        </w:tc>
        <w:tc>
          <w:tcPr>
            <w:tcW w:w="1112" w:type="dxa"/>
            <w:tcBorders>
              <w:top w:val="nil"/>
              <w:left w:val="single" w:sz="4" w:space="0" w:color="auto"/>
              <w:bottom w:val="single" w:sz="4" w:space="0" w:color="auto"/>
              <w:right w:val="single" w:sz="4" w:space="0" w:color="auto"/>
            </w:tcBorders>
            <w:vAlign w:val="center"/>
          </w:tcPr>
          <w:p w14:paraId="4260EFFD" w14:textId="77777777" w:rsidR="004752EC" w:rsidRPr="00E8515C" w:rsidRDefault="004752EC" w:rsidP="00BF6BD4">
            <w:pPr>
              <w:keepNext/>
              <w:keepLines/>
              <w:spacing w:before="20" w:after="20"/>
              <w:jc w:val="right"/>
              <w:rPr>
                <w:sz w:val="20"/>
                <w:szCs w:val="20"/>
              </w:rPr>
            </w:pPr>
            <w:r w:rsidRPr="00E8515C">
              <w:rPr>
                <w:sz w:val="20"/>
                <w:szCs w:val="20"/>
              </w:rPr>
              <w:t>1.124</w:t>
            </w:r>
          </w:p>
        </w:tc>
        <w:tc>
          <w:tcPr>
            <w:tcW w:w="1111" w:type="dxa"/>
            <w:tcBorders>
              <w:top w:val="nil"/>
              <w:left w:val="single" w:sz="4" w:space="0" w:color="auto"/>
              <w:bottom w:val="single" w:sz="4" w:space="0" w:color="auto"/>
              <w:right w:val="single" w:sz="4" w:space="0" w:color="auto"/>
            </w:tcBorders>
            <w:vAlign w:val="center"/>
          </w:tcPr>
          <w:p w14:paraId="1BE39BD9" w14:textId="77777777" w:rsidR="004752EC" w:rsidRPr="00E8515C" w:rsidRDefault="004752EC" w:rsidP="00BF6BD4">
            <w:pPr>
              <w:keepNext/>
              <w:keepLines/>
              <w:spacing w:before="20" w:after="20"/>
              <w:jc w:val="right"/>
              <w:rPr>
                <w:sz w:val="20"/>
                <w:szCs w:val="20"/>
              </w:rPr>
            </w:pPr>
            <w:r w:rsidRPr="00E8515C">
              <w:rPr>
                <w:sz w:val="20"/>
                <w:szCs w:val="20"/>
              </w:rPr>
              <w:t>1.167</w:t>
            </w:r>
          </w:p>
        </w:tc>
        <w:tc>
          <w:tcPr>
            <w:tcW w:w="1112" w:type="dxa"/>
            <w:tcBorders>
              <w:top w:val="nil"/>
              <w:left w:val="single" w:sz="4" w:space="0" w:color="auto"/>
              <w:bottom w:val="single" w:sz="4" w:space="0" w:color="auto"/>
              <w:right w:val="single" w:sz="4" w:space="0" w:color="auto"/>
            </w:tcBorders>
            <w:vAlign w:val="center"/>
          </w:tcPr>
          <w:p w14:paraId="05DE8CA2" w14:textId="77777777" w:rsidR="004752EC" w:rsidRPr="00E8515C" w:rsidRDefault="004752EC" w:rsidP="00BF6BD4">
            <w:pPr>
              <w:keepNext/>
              <w:keepLines/>
              <w:spacing w:before="20" w:after="20"/>
              <w:jc w:val="right"/>
              <w:rPr>
                <w:sz w:val="20"/>
                <w:szCs w:val="20"/>
              </w:rPr>
            </w:pPr>
            <w:r w:rsidRPr="00E8515C">
              <w:rPr>
                <w:sz w:val="20"/>
                <w:szCs w:val="20"/>
              </w:rPr>
              <w:t>1.211</w:t>
            </w:r>
          </w:p>
        </w:tc>
        <w:tc>
          <w:tcPr>
            <w:tcW w:w="1251" w:type="dxa"/>
            <w:tcBorders>
              <w:top w:val="nil"/>
              <w:left w:val="single" w:sz="4" w:space="0" w:color="auto"/>
              <w:bottom w:val="single" w:sz="4" w:space="0" w:color="auto"/>
              <w:right w:val="single" w:sz="4" w:space="0" w:color="auto"/>
            </w:tcBorders>
            <w:vAlign w:val="center"/>
          </w:tcPr>
          <w:p w14:paraId="45C5CA30" w14:textId="77777777" w:rsidR="004752EC" w:rsidRPr="00E8515C" w:rsidRDefault="004752EC" w:rsidP="00BF6BD4">
            <w:pPr>
              <w:keepNext/>
              <w:keepLines/>
              <w:spacing w:before="20" w:after="20"/>
              <w:jc w:val="right"/>
              <w:rPr>
                <w:sz w:val="20"/>
                <w:szCs w:val="20"/>
              </w:rPr>
            </w:pPr>
            <w:r w:rsidRPr="00E8515C">
              <w:rPr>
                <w:sz w:val="20"/>
                <w:szCs w:val="20"/>
              </w:rPr>
              <w:t>6.595</w:t>
            </w:r>
          </w:p>
        </w:tc>
      </w:tr>
      <w:tr w:rsidR="004752EC" w:rsidRPr="00E8515C" w14:paraId="2D944640" w14:textId="77777777" w:rsidTr="00BF6BD4">
        <w:trPr>
          <w:trHeight w:val="20"/>
        </w:trPr>
        <w:tc>
          <w:tcPr>
            <w:tcW w:w="3290" w:type="dxa"/>
            <w:tcBorders>
              <w:top w:val="single" w:sz="4" w:space="0" w:color="auto"/>
              <w:left w:val="single" w:sz="4" w:space="0" w:color="auto"/>
              <w:bottom w:val="single" w:sz="4" w:space="0" w:color="auto"/>
              <w:right w:val="single" w:sz="4" w:space="0" w:color="auto"/>
            </w:tcBorders>
          </w:tcPr>
          <w:p w14:paraId="7182D689" w14:textId="77777777" w:rsidR="004752EC" w:rsidRPr="00E8515C" w:rsidRDefault="004752EC" w:rsidP="00BF6BD4">
            <w:pPr>
              <w:keepNext/>
              <w:keepLines/>
              <w:spacing w:before="20" w:after="20"/>
              <w:rPr>
                <w:b/>
                <w:sz w:val="20"/>
                <w:szCs w:val="20"/>
              </w:rPr>
            </w:pPr>
            <w:r w:rsidRPr="00E8515C">
              <w:rPr>
                <w:b/>
                <w:sz w:val="20"/>
                <w:szCs w:val="20"/>
              </w:rPr>
              <w:t>Total Commonwealth contribution</w:t>
            </w:r>
          </w:p>
        </w:tc>
        <w:tc>
          <w:tcPr>
            <w:tcW w:w="1041" w:type="dxa"/>
            <w:tcBorders>
              <w:top w:val="single" w:sz="4" w:space="0" w:color="auto"/>
              <w:left w:val="single" w:sz="4" w:space="0" w:color="auto"/>
              <w:bottom w:val="single" w:sz="4" w:space="0" w:color="auto"/>
              <w:right w:val="single" w:sz="4" w:space="0" w:color="auto"/>
            </w:tcBorders>
          </w:tcPr>
          <w:p w14:paraId="436D4A65" w14:textId="77777777" w:rsidR="004752EC" w:rsidRPr="00E8515C" w:rsidRDefault="004752EC" w:rsidP="00BF6BD4">
            <w:pPr>
              <w:keepNext/>
              <w:keepLines/>
              <w:spacing w:before="20" w:after="20"/>
              <w:jc w:val="right"/>
              <w:rPr>
                <w:b/>
                <w:sz w:val="20"/>
                <w:szCs w:val="20"/>
              </w:rPr>
            </w:pPr>
            <w:r w:rsidRPr="00E8515C">
              <w:rPr>
                <w:b/>
                <w:sz w:val="20"/>
                <w:szCs w:val="20"/>
              </w:rPr>
              <w:t>250.942</w:t>
            </w:r>
          </w:p>
        </w:tc>
        <w:tc>
          <w:tcPr>
            <w:tcW w:w="1112" w:type="dxa"/>
            <w:tcBorders>
              <w:top w:val="single" w:sz="4" w:space="0" w:color="auto"/>
              <w:left w:val="single" w:sz="4" w:space="0" w:color="auto"/>
              <w:bottom w:val="single" w:sz="4" w:space="0" w:color="auto"/>
              <w:right w:val="single" w:sz="4" w:space="0" w:color="auto"/>
            </w:tcBorders>
          </w:tcPr>
          <w:p w14:paraId="52CBCBA6" w14:textId="77777777" w:rsidR="004752EC" w:rsidRPr="00E8515C" w:rsidRDefault="004752EC" w:rsidP="00BF6BD4">
            <w:pPr>
              <w:keepNext/>
              <w:keepLines/>
              <w:spacing w:before="20" w:after="20"/>
              <w:jc w:val="right"/>
              <w:rPr>
                <w:b/>
                <w:sz w:val="20"/>
                <w:szCs w:val="20"/>
              </w:rPr>
            </w:pPr>
            <w:r w:rsidRPr="00E8515C">
              <w:rPr>
                <w:b/>
                <w:sz w:val="20"/>
                <w:szCs w:val="20"/>
              </w:rPr>
              <w:t>257.144</w:t>
            </w:r>
          </w:p>
        </w:tc>
        <w:tc>
          <w:tcPr>
            <w:tcW w:w="1112" w:type="dxa"/>
            <w:tcBorders>
              <w:top w:val="single" w:sz="4" w:space="0" w:color="auto"/>
              <w:left w:val="single" w:sz="4" w:space="0" w:color="auto"/>
              <w:bottom w:val="single" w:sz="4" w:space="0" w:color="auto"/>
              <w:right w:val="single" w:sz="4" w:space="0" w:color="auto"/>
            </w:tcBorders>
          </w:tcPr>
          <w:p w14:paraId="6F5079AA" w14:textId="77777777" w:rsidR="004752EC" w:rsidRPr="00E8515C" w:rsidRDefault="004752EC" w:rsidP="00BF6BD4">
            <w:pPr>
              <w:keepNext/>
              <w:keepLines/>
              <w:spacing w:before="20" w:after="20"/>
              <w:jc w:val="right"/>
              <w:rPr>
                <w:b/>
                <w:sz w:val="20"/>
                <w:szCs w:val="20"/>
              </w:rPr>
            </w:pPr>
            <w:r w:rsidRPr="00E8515C">
              <w:rPr>
                <w:b/>
                <w:sz w:val="20"/>
                <w:szCs w:val="20"/>
              </w:rPr>
              <w:t>248.714</w:t>
            </w:r>
          </w:p>
        </w:tc>
        <w:tc>
          <w:tcPr>
            <w:tcW w:w="1111" w:type="dxa"/>
            <w:tcBorders>
              <w:top w:val="single" w:sz="4" w:space="0" w:color="auto"/>
              <w:left w:val="single" w:sz="4" w:space="0" w:color="auto"/>
              <w:bottom w:val="single" w:sz="4" w:space="0" w:color="auto"/>
              <w:right w:val="single" w:sz="4" w:space="0" w:color="auto"/>
            </w:tcBorders>
          </w:tcPr>
          <w:p w14:paraId="7D587134" w14:textId="77777777" w:rsidR="004752EC" w:rsidRPr="00E8515C" w:rsidRDefault="004752EC" w:rsidP="00BF6BD4">
            <w:pPr>
              <w:keepNext/>
              <w:keepLines/>
              <w:spacing w:before="20" w:after="20"/>
              <w:jc w:val="right"/>
              <w:rPr>
                <w:b/>
                <w:sz w:val="20"/>
                <w:szCs w:val="20"/>
              </w:rPr>
            </w:pPr>
            <w:r w:rsidRPr="00E8515C">
              <w:rPr>
                <w:b/>
                <w:sz w:val="20"/>
                <w:szCs w:val="20"/>
              </w:rPr>
              <w:t>252.901</w:t>
            </w:r>
          </w:p>
        </w:tc>
        <w:tc>
          <w:tcPr>
            <w:tcW w:w="1112" w:type="dxa"/>
            <w:tcBorders>
              <w:top w:val="single" w:sz="4" w:space="0" w:color="auto"/>
              <w:left w:val="single" w:sz="4" w:space="0" w:color="auto"/>
              <w:bottom w:val="single" w:sz="4" w:space="0" w:color="auto"/>
              <w:right w:val="single" w:sz="4" w:space="0" w:color="auto"/>
            </w:tcBorders>
          </w:tcPr>
          <w:p w14:paraId="44FBE13C" w14:textId="77777777" w:rsidR="004752EC" w:rsidRPr="00E8515C" w:rsidRDefault="004752EC" w:rsidP="00BF6BD4">
            <w:pPr>
              <w:keepNext/>
              <w:keepLines/>
              <w:spacing w:before="20" w:after="20"/>
              <w:jc w:val="right"/>
              <w:rPr>
                <w:b/>
                <w:sz w:val="20"/>
                <w:szCs w:val="20"/>
              </w:rPr>
            </w:pPr>
            <w:r w:rsidRPr="00E8515C">
              <w:rPr>
                <w:b/>
                <w:sz w:val="20"/>
                <w:szCs w:val="20"/>
              </w:rPr>
              <w:t>256.838</w:t>
            </w:r>
          </w:p>
        </w:tc>
        <w:tc>
          <w:tcPr>
            <w:tcW w:w="1251" w:type="dxa"/>
            <w:tcBorders>
              <w:top w:val="single" w:sz="4" w:space="0" w:color="auto"/>
              <w:left w:val="single" w:sz="4" w:space="0" w:color="auto"/>
              <w:bottom w:val="single" w:sz="4" w:space="0" w:color="auto"/>
              <w:right w:val="single" w:sz="4" w:space="0" w:color="auto"/>
            </w:tcBorders>
          </w:tcPr>
          <w:p w14:paraId="0DFC92B1" w14:textId="77777777" w:rsidR="004752EC" w:rsidRPr="00E8515C" w:rsidRDefault="004752EC" w:rsidP="00BF6BD4">
            <w:pPr>
              <w:keepNext/>
              <w:keepLines/>
              <w:spacing w:before="20" w:after="20"/>
              <w:jc w:val="right"/>
              <w:rPr>
                <w:b/>
                <w:sz w:val="20"/>
                <w:szCs w:val="20"/>
              </w:rPr>
            </w:pPr>
            <w:r w:rsidRPr="00E8515C">
              <w:rPr>
                <w:b/>
                <w:sz w:val="20"/>
                <w:szCs w:val="20"/>
              </w:rPr>
              <w:t>1266.539</w:t>
            </w:r>
          </w:p>
        </w:tc>
      </w:tr>
    </w:tbl>
    <w:p w14:paraId="2C57D6B3" w14:textId="77777777" w:rsidR="004752EC" w:rsidRDefault="004752EC" w:rsidP="004752EC">
      <w:pPr>
        <w:pStyle w:val="ScheduleNumberedPara"/>
        <w:numPr>
          <w:ilvl w:val="0"/>
          <w:numId w:val="0"/>
        </w:numPr>
        <w:tabs>
          <w:tab w:val="left" w:pos="0"/>
        </w:tabs>
        <w:jc w:val="left"/>
        <w:rPr>
          <w:rFonts w:asciiTheme="minorHAnsi" w:hAnsiTheme="minorHAnsi"/>
          <w:i/>
          <w:sz w:val="20"/>
          <w:shd w:val="clear" w:color="auto" w:fill="FFFFFF"/>
        </w:rPr>
      </w:pPr>
      <w:r w:rsidRPr="0078135F">
        <w:rPr>
          <w:rFonts w:asciiTheme="minorHAnsi" w:hAnsiTheme="minorHAnsi"/>
          <w:i/>
          <w:sz w:val="20"/>
          <w:shd w:val="clear" w:color="auto" w:fill="FFFFFF"/>
        </w:rPr>
        <w:t xml:space="preserve">(Source: </w:t>
      </w:r>
      <w:r w:rsidRPr="0078135F">
        <w:rPr>
          <w:rFonts w:asciiTheme="minorHAnsi" w:hAnsiTheme="minorHAnsi"/>
          <w:i/>
          <w:sz w:val="20"/>
        </w:rPr>
        <w:t xml:space="preserve">National Partnership Agreement on Legal Assistance Services 2015-2020, </w:t>
      </w:r>
      <w:r w:rsidRPr="0078135F">
        <w:rPr>
          <w:rFonts w:asciiTheme="minorHAnsi" w:hAnsiTheme="minorHAnsi"/>
          <w:i/>
          <w:sz w:val="20"/>
          <w:shd w:val="clear" w:color="auto" w:fill="FFFFFF"/>
        </w:rPr>
        <w:t xml:space="preserve">Table 2) </w:t>
      </w:r>
    </w:p>
    <w:p w14:paraId="5F45CE58" w14:textId="77777777" w:rsidR="004752EC" w:rsidRDefault="004752EC" w:rsidP="00614D1A">
      <w:pPr>
        <w:rPr>
          <w:rFonts w:eastAsia="Times New Roman" w:cs="Times New Roman"/>
          <w:sz w:val="22"/>
          <w:szCs w:val="22"/>
          <w:shd w:val="clear" w:color="auto" w:fill="FFFFFF"/>
        </w:rPr>
      </w:pPr>
    </w:p>
    <w:p w14:paraId="6A263438" w14:textId="77777777" w:rsidR="00B50082" w:rsidRDefault="00B50082" w:rsidP="00614D1A">
      <w:pPr>
        <w:rPr>
          <w:rFonts w:eastAsia="Times New Roman" w:cs="Times New Roman"/>
          <w:sz w:val="22"/>
          <w:szCs w:val="22"/>
          <w:shd w:val="clear" w:color="auto" w:fill="FFFFFF"/>
        </w:rPr>
      </w:pPr>
    </w:p>
    <w:p w14:paraId="6E95C2DB" w14:textId="77777777" w:rsidR="00B50082" w:rsidRDefault="00B50082" w:rsidP="00614D1A">
      <w:pPr>
        <w:rPr>
          <w:rFonts w:eastAsia="Times New Roman" w:cs="Times New Roman"/>
          <w:sz w:val="22"/>
          <w:szCs w:val="22"/>
          <w:shd w:val="clear" w:color="auto" w:fill="FFFFFF"/>
        </w:rPr>
      </w:pPr>
    </w:p>
    <w:p w14:paraId="02614DB7" w14:textId="77777777" w:rsidR="00B50082" w:rsidRDefault="00B50082" w:rsidP="00614D1A">
      <w:pPr>
        <w:rPr>
          <w:rFonts w:eastAsia="Times New Roman" w:cs="Times New Roman"/>
          <w:sz w:val="22"/>
          <w:szCs w:val="22"/>
          <w:shd w:val="clear" w:color="auto" w:fill="FFFFFF"/>
        </w:rPr>
      </w:pPr>
    </w:p>
    <w:p w14:paraId="69EF0639" w14:textId="77777777" w:rsidR="00B50082" w:rsidRDefault="00B50082" w:rsidP="00614D1A">
      <w:pPr>
        <w:rPr>
          <w:rFonts w:eastAsia="Times New Roman" w:cs="Times New Roman"/>
          <w:sz w:val="22"/>
          <w:szCs w:val="22"/>
          <w:shd w:val="clear" w:color="auto" w:fill="FFFFFF"/>
        </w:rPr>
      </w:pPr>
    </w:p>
    <w:p w14:paraId="444C8819" w14:textId="77777777" w:rsidR="00341912" w:rsidRDefault="00341912" w:rsidP="00614D1A">
      <w:pPr>
        <w:rPr>
          <w:rFonts w:eastAsia="Times New Roman" w:cs="Times New Roman"/>
          <w:sz w:val="22"/>
          <w:szCs w:val="22"/>
          <w:shd w:val="clear" w:color="auto" w:fill="FFFFFF"/>
        </w:rPr>
      </w:pPr>
    </w:p>
    <w:p w14:paraId="470DED97" w14:textId="77777777" w:rsidR="00341912" w:rsidRDefault="00341912" w:rsidP="00614D1A">
      <w:pPr>
        <w:rPr>
          <w:rFonts w:eastAsia="Times New Roman" w:cs="Times New Roman"/>
          <w:sz w:val="22"/>
          <w:szCs w:val="22"/>
          <w:shd w:val="clear" w:color="auto" w:fill="FFFFFF"/>
        </w:rPr>
      </w:pPr>
    </w:p>
    <w:p w14:paraId="7C6090C5" w14:textId="77777777" w:rsidR="00341912" w:rsidRDefault="00341912" w:rsidP="00614D1A">
      <w:pPr>
        <w:rPr>
          <w:rFonts w:eastAsia="Times New Roman" w:cs="Times New Roman"/>
          <w:sz w:val="22"/>
          <w:szCs w:val="22"/>
          <w:shd w:val="clear" w:color="auto" w:fill="FFFFFF"/>
        </w:rPr>
      </w:pPr>
    </w:p>
    <w:p w14:paraId="1F9ECA62" w14:textId="77777777" w:rsidR="00341912" w:rsidRDefault="00341912" w:rsidP="00614D1A">
      <w:pPr>
        <w:rPr>
          <w:rFonts w:eastAsia="Times New Roman" w:cs="Times New Roman"/>
          <w:sz w:val="22"/>
          <w:szCs w:val="22"/>
          <w:shd w:val="clear" w:color="auto" w:fill="FFFFFF"/>
        </w:rPr>
      </w:pPr>
    </w:p>
    <w:p w14:paraId="29C6CBF9" w14:textId="77777777" w:rsidR="00341912" w:rsidRDefault="00341912" w:rsidP="00614D1A">
      <w:pPr>
        <w:rPr>
          <w:rFonts w:eastAsia="Times New Roman" w:cs="Times New Roman"/>
          <w:sz w:val="22"/>
          <w:szCs w:val="22"/>
          <w:shd w:val="clear" w:color="auto" w:fill="FFFFFF"/>
        </w:rPr>
      </w:pPr>
    </w:p>
    <w:p w14:paraId="4A8BD60A" w14:textId="77777777" w:rsidR="00341912" w:rsidRDefault="00341912" w:rsidP="00614D1A">
      <w:pPr>
        <w:rPr>
          <w:rFonts w:eastAsia="Times New Roman" w:cs="Times New Roman"/>
          <w:sz w:val="22"/>
          <w:szCs w:val="22"/>
          <w:shd w:val="clear" w:color="auto" w:fill="FFFFFF"/>
        </w:rPr>
      </w:pPr>
    </w:p>
    <w:p w14:paraId="719F1B84" w14:textId="77777777" w:rsidR="00341912" w:rsidRDefault="00341912" w:rsidP="00614D1A">
      <w:pPr>
        <w:rPr>
          <w:rFonts w:eastAsia="Times New Roman" w:cs="Times New Roman"/>
          <w:sz w:val="22"/>
          <w:szCs w:val="22"/>
          <w:shd w:val="clear" w:color="auto" w:fill="FFFFFF"/>
        </w:rPr>
      </w:pPr>
    </w:p>
    <w:p w14:paraId="7FEF87A4" w14:textId="77777777" w:rsidR="00341912" w:rsidRDefault="00341912" w:rsidP="00614D1A">
      <w:pPr>
        <w:rPr>
          <w:rFonts w:eastAsia="Times New Roman" w:cs="Times New Roman"/>
          <w:sz w:val="22"/>
          <w:szCs w:val="22"/>
          <w:shd w:val="clear" w:color="auto" w:fill="FFFFFF"/>
        </w:rPr>
      </w:pPr>
    </w:p>
    <w:p w14:paraId="2333A5FA" w14:textId="77777777" w:rsidR="00341912" w:rsidRDefault="00341912" w:rsidP="00614D1A">
      <w:pPr>
        <w:rPr>
          <w:rFonts w:eastAsia="Times New Roman" w:cs="Times New Roman"/>
          <w:sz w:val="22"/>
          <w:szCs w:val="22"/>
          <w:shd w:val="clear" w:color="auto" w:fill="FFFFFF"/>
        </w:rPr>
      </w:pPr>
    </w:p>
    <w:p w14:paraId="0F7323FE" w14:textId="77777777" w:rsidR="00341912" w:rsidRDefault="00341912" w:rsidP="00614D1A">
      <w:pPr>
        <w:rPr>
          <w:rFonts w:eastAsia="Times New Roman" w:cs="Times New Roman"/>
          <w:sz w:val="22"/>
          <w:szCs w:val="22"/>
          <w:shd w:val="clear" w:color="auto" w:fill="FFFFFF"/>
        </w:rPr>
      </w:pPr>
    </w:p>
    <w:p w14:paraId="4F387547" w14:textId="77777777" w:rsidR="00341912" w:rsidRDefault="00341912" w:rsidP="00614D1A">
      <w:pPr>
        <w:rPr>
          <w:rFonts w:eastAsia="Times New Roman" w:cs="Times New Roman"/>
          <w:sz w:val="22"/>
          <w:szCs w:val="22"/>
          <w:shd w:val="clear" w:color="auto" w:fill="FFFFFF"/>
        </w:rPr>
      </w:pPr>
    </w:p>
    <w:p w14:paraId="43F812DD" w14:textId="77777777" w:rsidR="00341912" w:rsidRDefault="00341912" w:rsidP="00614D1A">
      <w:pPr>
        <w:rPr>
          <w:rFonts w:eastAsia="Times New Roman" w:cs="Times New Roman"/>
          <w:sz w:val="22"/>
          <w:szCs w:val="22"/>
          <w:shd w:val="clear" w:color="auto" w:fill="FFFFFF"/>
        </w:rPr>
      </w:pPr>
    </w:p>
    <w:p w14:paraId="1EF87B9C" w14:textId="77777777" w:rsidR="00341912" w:rsidRDefault="00341912" w:rsidP="00614D1A">
      <w:pPr>
        <w:rPr>
          <w:rFonts w:eastAsia="Times New Roman" w:cs="Times New Roman"/>
          <w:sz w:val="22"/>
          <w:szCs w:val="22"/>
          <w:shd w:val="clear" w:color="auto" w:fill="FFFFFF"/>
        </w:rPr>
      </w:pPr>
    </w:p>
    <w:p w14:paraId="3DAAC28C" w14:textId="77777777" w:rsidR="00341912" w:rsidRDefault="00341912" w:rsidP="00614D1A">
      <w:pPr>
        <w:rPr>
          <w:rFonts w:eastAsia="Times New Roman" w:cs="Times New Roman"/>
          <w:sz w:val="22"/>
          <w:szCs w:val="22"/>
          <w:shd w:val="clear" w:color="auto" w:fill="FFFFFF"/>
        </w:rPr>
      </w:pPr>
    </w:p>
    <w:p w14:paraId="5AF65B83" w14:textId="77777777" w:rsidR="00341912" w:rsidRDefault="00341912" w:rsidP="00614D1A">
      <w:pPr>
        <w:rPr>
          <w:rFonts w:eastAsia="Times New Roman" w:cs="Times New Roman"/>
          <w:sz w:val="22"/>
          <w:szCs w:val="22"/>
          <w:shd w:val="clear" w:color="auto" w:fill="FFFFFF"/>
        </w:rPr>
      </w:pPr>
    </w:p>
    <w:p w14:paraId="38218496" w14:textId="77777777" w:rsidR="00341912" w:rsidRDefault="00341912" w:rsidP="00614D1A">
      <w:pPr>
        <w:rPr>
          <w:rFonts w:eastAsia="Times New Roman" w:cs="Times New Roman"/>
          <w:sz w:val="22"/>
          <w:szCs w:val="22"/>
          <w:shd w:val="clear" w:color="auto" w:fill="FFFFFF"/>
        </w:rPr>
      </w:pPr>
    </w:p>
    <w:p w14:paraId="78E839B8" w14:textId="77777777" w:rsidR="00341912" w:rsidRDefault="00341912" w:rsidP="00614D1A">
      <w:pPr>
        <w:rPr>
          <w:rFonts w:eastAsia="Times New Roman" w:cs="Times New Roman"/>
          <w:sz w:val="22"/>
          <w:szCs w:val="22"/>
          <w:shd w:val="clear" w:color="auto" w:fill="FFFFFF"/>
        </w:rPr>
      </w:pPr>
    </w:p>
    <w:p w14:paraId="189094F9" w14:textId="77777777" w:rsidR="00D57C40" w:rsidRDefault="00D57C40" w:rsidP="00614D1A">
      <w:pPr>
        <w:rPr>
          <w:rFonts w:eastAsia="Times New Roman" w:cs="Times New Roman"/>
          <w:sz w:val="22"/>
          <w:szCs w:val="22"/>
          <w:shd w:val="clear" w:color="auto" w:fill="FFFFFF"/>
        </w:rPr>
      </w:pPr>
    </w:p>
    <w:p w14:paraId="7FFB2FC4" w14:textId="77777777" w:rsidR="00341912" w:rsidRDefault="00341912" w:rsidP="00614D1A">
      <w:pPr>
        <w:rPr>
          <w:rFonts w:eastAsia="Times New Roman" w:cs="Times New Roman"/>
          <w:sz w:val="22"/>
          <w:szCs w:val="22"/>
          <w:shd w:val="clear" w:color="auto" w:fill="FFFFFF"/>
        </w:rPr>
      </w:pPr>
    </w:p>
    <w:p w14:paraId="4229D5AB" w14:textId="77777777" w:rsidR="00341912" w:rsidRDefault="00341912" w:rsidP="00614D1A">
      <w:pPr>
        <w:rPr>
          <w:rFonts w:eastAsia="Times New Roman" w:cs="Times New Roman"/>
          <w:sz w:val="22"/>
          <w:szCs w:val="22"/>
          <w:shd w:val="clear" w:color="auto" w:fill="FFFFFF"/>
        </w:rPr>
      </w:pPr>
    </w:p>
    <w:p w14:paraId="11CEA103" w14:textId="77777777" w:rsidR="00B50082" w:rsidRDefault="00B50082" w:rsidP="00614D1A">
      <w:pPr>
        <w:rPr>
          <w:rFonts w:eastAsia="Times New Roman" w:cs="Times New Roman"/>
          <w:sz w:val="22"/>
          <w:szCs w:val="22"/>
          <w:shd w:val="clear" w:color="auto" w:fill="FFFFFF"/>
        </w:rPr>
      </w:pPr>
    </w:p>
    <w:p w14:paraId="3F03B493" w14:textId="77777777" w:rsidR="00B50082" w:rsidRDefault="00B50082" w:rsidP="00614D1A">
      <w:pPr>
        <w:rPr>
          <w:rFonts w:eastAsia="Times New Roman" w:cs="Times New Roman"/>
          <w:sz w:val="22"/>
          <w:szCs w:val="22"/>
          <w:shd w:val="clear" w:color="auto" w:fill="FFFFFF"/>
        </w:rPr>
      </w:pPr>
    </w:p>
    <w:p w14:paraId="0894F4A0" w14:textId="77777777" w:rsidR="00BB6F58" w:rsidRDefault="00BB6F58" w:rsidP="00614D1A">
      <w:pPr>
        <w:rPr>
          <w:rFonts w:eastAsia="Times New Roman" w:cs="Times New Roman"/>
          <w:sz w:val="22"/>
          <w:szCs w:val="22"/>
          <w:shd w:val="clear" w:color="auto" w:fill="FFFFFF"/>
        </w:rPr>
      </w:pPr>
    </w:p>
    <w:p w14:paraId="557955DF" w14:textId="77777777" w:rsidR="00BB6F58" w:rsidRDefault="00BB6F58" w:rsidP="00614D1A">
      <w:pPr>
        <w:rPr>
          <w:rFonts w:eastAsia="Times New Roman" w:cs="Times New Roman"/>
          <w:sz w:val="22"/>
          <w:szCs w:val="22"/>
          <w:shd w:val="clear" w:color="auto" w:fill="FFFFFF"/>
        </w:rPr>
      </w:pPr>
    </w:p>
    <w:p w14:paraId="76A120BD" w14:textId="77777777" w:rsidR="00BB6F58" w:rsidRDefault="00BB6F58" w:rsidP="00614D1A">
      <w:pPr>
        <w:rPr>
          <w:rFonts w:eastAsia="Times New Roman" w:cs="Times New Roman"/>
          <w:sz w:val="22"/>
          <w:szCs w:val="22"/>
          <w:shd w:val="clear" w:color="auto" w:fill="FFFFFF"/>
        </w:rPr>
      </w:pPr>
    </w:p>
    <w:p w14:paraId="13AA239B" w14:textId="77777777" w:rsidR="00BB6F58" w:rsidRDefault="00BB6F58" w:rsidP="00614D1A">
      <w:pPr>
        <w:rPr>
          <w:rFonts w:eastAsia="Times New Roman" w:cs="Times New Roman"/>
          <w:sz w:val="22"/>
          <w:szCs w:val="22"/>
          <w:shd w:val="clear" w:color="auto" w:fill="FFFFFF"/>
        </w:rPr>
      </w:pPr>
    </w:p>
    <w:p w14:paraId="1A099C11" w14:textId="62C1DA18" w:rsidR="00BA394C" w:rsidRDefault="008555C2" w:rsidP="00614D1A">
      <w:pPr>
        <w:rPr>
          <w:sz w:val="22"/>
          <w:szCs w:val="22"/>
        </w:rPr>
      </w:pPr>
      <w:r>
        <w:rPr>
          <w:noProof/>
          <w:color w:val="5373B0"/>
          <w:lang w:val="en-AU" w:eastAsia="en-AU"/>
        </w:rPr>
        <mc:AlternateContent>
          <mc:Choice Requires="wps">
            <w:drawing>
              <wp:anchor distT="0" distB="0" distL="114300" distR="114300" simplePos="0" relativeHeight="251660288" behindDoc="1" locked="0" layoutInCell="1" allowOverlap="1" wp14:anchorId="1F4D2492" wp14:editId="626AA2F4">
                <wp:simplePos x="0" y="0"/>
                <wp:positionH relativeFrom="page">
                  <wp:align>right</wp:align>
                </wp:positionH>
                <wp:positionV relativeFrom="paragraph">
                  <wp:posOffset>-886460</wp:posOffset>
                </wp:positionV>
                <wp:extent cx="7573010" cy="10714355"/>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10714355"/>
                        </a:xfrm>
                        <a:prstGeom prst="rect">
                          <a:avLst/>
                        </a:prstGeom>
                        <a:solidFill>
                          <a:srgbClr val="338FD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E316F0" id="Rectangle 3" o:spid="_x0000_s1026" style="position:absolute;margin-left:545.1pt;margin-top:-69.8pt;width:596.3pt;height:843.6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" fillcolor="#338fde" stroked="f">
                <w10:wrap anchorx="page"/>
              </v:rect>
            </w:pict>
          </mc:Fallback>
        </mc:AlternateContent>
      </w:r>
    </w:p>
    <w:p w14:paraId="3EB84C13" w14:textId="6F491BF1" w:rsidR="00B81687" w:rsidRDefault="00B81687" w:rsidP="00614D1A">
      <w:pPr>
        <w:rPr>
          <w:sz w:val="22"/>
          <w:szCs w:val="22"/>
        </w:rPr>
      </w:pPr>
    </w:p>
    <w:p w14:paraId="3F4B4081" w14:textId="77777777" w:rsidR="00B81687" w:rsidRDefault="00B81687" w:rsidP="00614D1A">
      <w:pPr>
        <w:rPr>
          <w:sz w:val="22"/>
          <w:szCs w:val="22"/>
        </w:rPr>
      </w:pPr>
    </w:p>
    <w:p w14:paraId="44F67944" w14:textId="77777777" w:rsidR="00B81687" w:rsidRDefault="00B81687" w:rsidP="00614D1A">
      <w:pPr>
        <w:rPr>
          <w:sz w:val="22"/>
          <w:szCs w:val="22"/>
        </w:rPr>
      </w:pPr>
    </w:p>
    <w:p w14:paraId="3E970ED4" w14:textId="7EB82F38" w:rsidR="00B81687" w:rsidRDefault="00B81687" w:rsidP="00614D1A">
      <w:pPr>
        <w:rPr>
          <w:sz w:val="22"/>
          <w:szCs w:val="22"/>
        </w:rPr>
      </w:pPr>
    </w:p>
    <w:p w14:paraId="4420AEC9" w14:textId="77777777" w:rsidR="00B81687" w:rsidRDefault="00B81687" w:rsidP="00614D1A">
      <w:pPr>
        <w:rPr>
          <w:sz w:val="22"/>
          <w:szCs w:val="22"/>
        </w:rPr>
      </w:pPr>
    </w:p>
    <w:p w14:paraId="34DE31B5" w14:textId="7E919BA1" w:rsidR="00B81687" w:rsidRDefault="00B81687" w:rsidP="00614D1A">
      <w:pPr>
        <w:rPr>
          <w:sz w:val="22"/>
          <w:szCs w:val="22"/>
        </w:rPr>
      </w:pPr>
    </w:p>
    <w:p w14:paraId="4B25BAAE" w14:textId="3F10C2A9" w:rsidR="00B81687" w:rsidRDefault="00B81687" w:rsidP="00614D1A">
      <w:pPr>
        <w:rPr>
          <w:sz w:val="22"/>
          <w:szCs w:val="22"/>
        </w:rPr>
      </w:pPr>
    </w:p>
    <w:p w14:paraId="01777B75" w14:textId="247C2A3C" w:rsidR="00B81687" w:rsidRDefault="00B81687" w:rsidP="00614D1A">
      <w:pPr>
        <w:rPr>
          <w:sz w:val="22"/>
          <w:szCs w:val="22"/>
        </w:rPr>
      </w:pPr>
    </w:p>
    <w:p w14:paraId="5FC7ED9A" w14:textId="4CFFCA2B" w:rsidR="00B81687" w:rsidRDefault="00B81687" w:rsidP="00614D1A">
      <w:pPr>
        <w:rPr>
          <w:sz w:val="22"/>
          <w:szCs w:val="22"/>
        </w:rPr>
      </w:pPr>
    </w:p>
    <w:p w14:paraId="13F30C55" w14:textId="69D3A2C8" w:rsidR="00B81687" w:rsidRDefault="00B81687" w:rsidP="00614D1A">
      <w:pPr>
        <w:rPr>
          <w:sz w:val="22"/>
          <w:szCs w:val="22"/>
        </w:rPr>
      </w:pPr>
    </w:p>
    <w:p w14:paraId="6E2CE095" w14:textId="1A86150D" w:rsidR="00B81687" w:rsidRDefault="00B81687" w:rsidP="00614D1A">
      <w:pPr>
        <w:rPr>
          <w:sz w:val="22"/>
          <w:szCs w:val="22"/>
        </w:rPr>
      </w:pPr>
    </w:p>
    <w:p w14:paraId="4AB0ADD0" w14:textId="0CDE76D1" w:rsidR="00B81687" w:rsidRDefault="00B81687" w:rsidP="00614D1A">
      <w:pPr>
        <w:rPr>
          <w:sz w:val="22"/>
          <w:szCs w:val="22"/>
        </w:rPr>
      </w:pPr>
    </w:p>
    <w:p w14:paraId="7708DDCD" w14:textId="156A6062" w:rsidR="00B81687" w:rsidRDefault="00B81687" w:rsidP="00614D1A">
      <w:pPr>
        <w:rPr>
          <w:sz w:val="22"/>
          <w:szCs w:val="22"/>
        </w:rPr>
      </w:pPr>
    </w:p>
    <w:p w14:paraId="2A31E820" w14:textId="213B82F0" w:rsidR="00B81687" w:rsidRDefault="00B81687" w:rsidP="00614D1A">
      <w:pPr>
        <w:rPr>
          <w:sz w:val="22"/>
          <w:szCs w:val="22"/>
        </w:rPr>
      </w:pPr>
    </w:p>
    <w:p w14:paraId="57A2E7C5" w14:textId="4BFFE311" w:rsidR="00B81687" w:rsidRDefault="00B81687" w:rsidP="00614D1A">
      <w:pPr>
        <w:rPr>
          <w:sz w:val="22"/>
          <w:szCs w:val="22"/>
        </w:rPr>
      </w:pPr>
    </w:p>
    <w:p w14:paraId="1FA249BC" w14:textId="6E49E7E1" w:rsidR="00B81687" w:rsidRDefault="00B81687" w:rsidP="00614D1A">
      <w:pPr>
        <w:rPr>
          <w:sz w:val="22"/>
          <w:szCs w:val="22"/>
        </w:rPr>
      </w:pPr>
    </w:p>
    <w:p w14:paraId="2FF36A9E" w14:textId="77777777" w:rsidR="00B81687" w:rsidRDefault="00B81687" w:rsidP="00614D1A">
      <w:pPr>
        <w:rPr>
          <w:sz w:val="22"/>
          <w:szCs w:val="22"/>
        </w:rPr>
      </w:pPr>
    </w:p>
    <w:p w14:paraId="284E0784" w14:textId="767B2DCB" w:rsidR="00B81687" w:rsidRDefault="00B81687" w:rsidP="00614D1A">
      <w:pPr>
        <w:rPr>
          <w:sz w:val="22"/>
          <w:szCs w:val="22"/>
        </w:rPr>
      </w:pPr>
    </w:p>
    <w:p w14:paraId="54831DCE" w14:textId="77777777" w:rsidR="00B81687" w:rsidRDefault="00B81687" w:rsidP="00614D1A">
      <w:pPr>
        <w:rPr>
          <w:sz w:val="22"/>
          <w:szCs w:val="22"/>
        </w:rPr>
      </w:pPr>
    </w:p>
    <w:p w14:paraId="451B5348" w14:textId="77777777" w:rsidR="00B81687" w:rsidRDefault="00B81687" w:rsidP="00614D1A">
      <w:pPr>
        <w:rPr>
          <w:sz w:val="22"/>
          <w:szCs w:val="22"/>
        </w:rPr>
      </w:pPr>
    </w:p>
    <w:p w14:paraId="4456DD21" w14:textId="77777777" w:rsidR="00B81687" w:rsidRDefault="00B81687" w:rsidP="00614D1A">
      <w:pPr>
        <w:rPr>
          <w:sz w:val="22"/>
          <w:szCs w:val="22"/>
        </w:rPr>
      </w:pPr>
    </w:p>
    <w:p w14:paraId="536E0B03" w14:textId="77777777" w:rsidR="00B81687" w:rsidRDefault="00B81687" w:rsidP="00614D1A">
      <w:pPr>
        <w:rPr>
          <w:sz w:val="22"/>
          <w:szCs w:val="22"/>
        </w:rPr>
      </w:pPr>
    </w:p>
    <w:p w14:paraId="3FA94BA1" w14:textId="77777777" w:rsidR="00B81687" w:rsidRDefault="00B81687" w:rsidP="00614D1A">
      <w:pPr>
        <w:rPr>
          <w:sz w:val="22"/>
          <w:szCs w:val="22"/>
        </w:rPr>
      </w:pPr>
    </w:p>
    <w:p w14:paraId="5CC73BA6" w14:textId="0DC33A56" w:rsidR="00B81687" w:rsidRDefault="00B81687" w:rsidP="00614D1A">
      <w:pPr>
        <w:rPr>
          <w:sz w:val="22"/>
          <w:szCs w:val="22"/>
        </w:rPr>
      </w:pPr>
    </w:p>
    <w:p w14:paraId="6248392D" w14:textId="77777777" w:rsidR="00B81687" w:rsidRDefault="00B81687" w:rsidP="00614D1A">
      <w:pPr>
        <w:rPr>
          <w:sz w:val="22"/>
          <w:szCs w:val="22"/>
        </w:rPr>
      </w:pPr>
    </w:p>
    <w:p w14:paraId="07C66671" w14:textId="77777777" w:rsidR="00B81687" w:rsidRDefault="00B81687" w:rsidP="00614D1A">
      <w:pPr>
        <w:rPr>
          <w:sz w:val="22"/>
          <w:szCs w:val="22"/>
        </w:rPr>
      </w:pPr>
    </w:p>
    <w:p w14:paraId="6154B086" w14:textId="77777777" w:rsidR="00B81687" w:rsidRDefault="00B81687" w:rsidP="00614D1A">
      <w:pPr>
        <w:rPr>
          <w:sz w:val="22"/>
          <w:szCs w:val="22"/>
        </w:rPr>
      </w:pPr>
    </w:p>
    <w:p w14:paraId="0904FCB8" w14:textId="0230CA15" w:rsidR="00B81687" w:rsidRDefault="00B81687" w:rsidP="00614D1A">
      <w:pPr>
        <w:rPr>
          <w:sz w:val="22"/>
          <w:szCs w:val="22"/>
        </w:rPr>
      </w:pPr>
    </w:p>
    <w:p w14:paraId="1F5FD1DF" w14:textId="1EC3800C" w:rsidR="00B81687" w:rsidRDefault="00B81687" w:rsidP="00614D1A">
      <w:pPr>
        <w:rPr>
          <w:sz w:val="22"/>
          <w:szCs w:val="22"/>
        </w:rPr>
      </w:pPr>
    </w:p>
    <w:p w14:paraId="3A03263D" w14:textId="0DC1C5E2" w:rsidR="00B81687" w:rsidRDefault="00B81687" w:rsidP="00614D1A">
      <w:pPr>
        <w:rPr>
          <w:sz w:val="22"/>
          <w:szCs w:val="22"/>
        </w:rPr>
      </w:pPr>
    </w:p>
    <w:p w14:paraId="25DEBDEA" w14:textId="77777777" w:rsidR="00B81687" w:rsidRDefault="00B81687" w:rsidP="00614D1A">
      <w:pPr>
        <w:rPr>
          <w:sz w:val="22"/>
          <w:szCs w:val="22"/>
        </w:rPr>
      </w:pPr>
    </w:p>
    <w:p w14:paraId="6D2885FC" w14:textId="77777777" w:rsidR="00B81687" w:rsidRDefault="00B81687" w:rsidP="00614D1A">
      <w:pPr>
        <w:rPr>
          <w:sz w:val="22"/>
          <w:szCs w:val="22"/>
        </w:rPr>
      </w:pPr>
    </w:p>
    <w:p w14:paraId="46A8F56E" w14:textId="05BA3D82" w:rsidR="00B81687" w:rsidRDefault="00B81687" w:rsidP="00614D1A">
      <w:pPr>
        <w:rPr>
          <w:sz w:val="22"/>
          <w:szCs w:val="22"/>
        </w:rPr>
      </w:pPr>
    </w:p>
    <w:p w14:paraId="5ADC518E" w14:textId="2757C5C3" w:rsidR="00B81687" w:rsidRDefault="00B81687" w:rsidP="00614D1A">
      <w:pPr>
        <w:rPr>
          <w:sz w:val="22"/>
          <w:szCs w:val="22"/>
        </w:rPr>
      </w:pPr>
    </w:p>
    <w:p w14:paraId="51319132" w14:textId="4A1D5CA9" w:rsidR="00B81687" w:rsidRDefault="00B81687" w:rsidP="00614D1A">
      <w:pPr>
        <w:rPr>
          <w:sz w:val="22"/>
          <w:szCs w:val="22"/>
        </w:rPr>
      </w:pPr>
    </w:p>
    <w:p w14:paraId="759C187B" w14:textId="77777777" w:rsidR="00B81687" w:rsidRDefault="00B81687" w:rsidP="00614D1A">
      <w:pPr>
        <w:rPr>
          <w:sz w:val="22"/>
          <w:szCs w:val="22"/>
        </w:rPr>
      </w:pPr>
    </w:p>
    <w:p w14:paraId="0064276A" w14:textId="77777777" w:rsidR="00B81687" w:rsidRDefault="00B81687" w:rsidP="00614D1A">
      <w:pPr>
        <w:rPr>
          <w:sz w:val="22"/>
          <w:szCs w:val="22"/>
        </w:rPr>
      </w:pPr>
    </w:p>
    <w:p w14:paraId="14C99740" w14:textId="77777777" w:rsidR="00B81687" w:rsidRPr="00614D1A" w:rsidRDefault="00B81687" w:rsidP="00614D1A">
      <w:pPr>
        <w:rPr>
          <w:sz w:val="22"/>
          <w:szCs w:val="22"/>
        </w:rPr>
      </w:pPr>
    </w:p>
    <w:p w14:paraId="34EC1295" w14:textId="2F80C377" w:rsidR="00B4248C" w:rsidRDefault="00B4248C" w:rsidP="003B546D">
      <w:pPr>
        <w:spacing w:line="276" w:lineRule="auto"/>
        <w:rPr>
          <w:color w:val="5373B0"/>
        </w:rPr>
      </w:pPr>
    </w:p>
    <w:p w14:paraId="5F91A589" w14:textId="77777777" w:rsidR="00B4248C" w:rsidRDefault="00B4248C" w:rsidP="003B546D">
      <w:pPr>
        <w:spacing w:line="276" w:lineRule="auto"/>
        <w:rPr>
          <w:color w:val="5373B0"/>
        </w:rPr>
      </w:pPr>
    </w:p>
    <w:p w14:paraId="71885694" w14:textId="77777777" w:rsidR="00B4248C" w:rsidRDefault="00B4248C" w:rsidP="003B546D">
      <w:pPr>
        <w:spacing w:line="276" w:lineRule="auto"/>
        <w:rPr>
          <w:color w:val="5373B0"/>
        </w:rPr>
      </w:pPr>
    </w:p>
    <w:p w14:paraId="166E557E" w14:textId="77777777" w:rsidR="00B4248C" w:rsidRDefault="00B4248C" w:rsidP="003B546D">
      <w:pPr>
        <w:spacing w:line="276" w:lineRule="auto"/>
        <w:rPr>
          <w:color w:val="5373B0"/>
        </w:rPr>
      </w:pPr>
    </w:p>
    <w:p w14:paraId="21D281A4" w14:textId="77777777" w:rsidR="00B4248C" w:rsidRDefault="00B4248C" w:rsidP="003B546D">
      <w:pPr>
        <w:spacing w:line="276" w:lineRule="auto"/>
        <w:rPr>
          <w:color w:val="5373B0"/>
        </w:rPr>
      </w:pPr>
    </w:p>
    <w:p w14:paraId="23C43344" w14:textId="105BEA86" w:rsidR="00B4248C" w:rsidRDefault="00B4248C" w:rsidP="003B546D">
      <w:pPr>
        <w:spacing w:line="276" w:lineRule="auto"/>
        <w:rPr>
          <w:color w:val="5373B0"/>
        </w:rPr>
      </w:pPr>
    </w:p>
    <w:p w14:paraId="1E88B8B7" w14:textId="79418A29" w:rsidR="00DB2722" w:rsidRDefault="00DB2722" w:rsidP="003B546D">
      <w:pPr>
        <w:spacing w:line="276" w:lineRule="auto"/>
        <w:rPr>
          <w:color w:val="5373B0"/>
        </w:rPr>
      </w:pPr>
    </w:p>
    <w:p w14:paraId="33359A59" w14:textId="5990D740" w:rsidR="003B546D" w:rsidRPr="006312C0" w:rsidRDefault="003B546D" w:rsidP="003B546D">
      <w:pPr>
        <w:spacing w:line="276" w:lineRule="auto"/>
        <w:rPr>
          <w:color w:val="5373B0"/>
        </w:rPr>
      </w:pPr>
    </w:p>
    <w:p w14:paraId="2A6F20AD" w14:textId="77777777" w:rsidR="003B546D" w:rsidRPr="006312C0" w:rsidRDefault="003B546D" w:rsidP="003B546D">
      <w:pPr>
        <w:spacing w:line="276" w:lineRule="auto"/>
        <w:rPr>
          <w:color w:val="5373B0"/>
        </w:rPr>
      </w:pPr>
    </w:p>
    <w:p w14:paraId="73ABB886" w14:textId="77777777" w:rsidR="003B546D" w:rsidRDefault="003B546D" w:rsidP="003B546D">
      <w:pPr>
        <w:spacing w:line="276" w:lineRule="auto"/>
        <w:rPr>
          <w:color w:val="5373B0"/>
        </w:rPr>
      </w:pPr>
    </w:p>
    <w:p w14:paraId="3FF32A8E" w14:textId="77777777" w:rsidR="003B546D" w:rsidRDefault="003B546D" w:rsidP="003B546D">
      <w:pPr>
        <w:spacing w:line="276" w:lineRule="auto"/>
        <w:rPr>
          <w:color w:val="5373B0"/>
        </w:rPr>
      </w:pPr>
    </w:p>
    <w:p w14:paraId="6EB46718" w14:textId="7B7A8BA7" w:rsidR="003B546D" w:rsidRDefault="00613183" w:rsidP="003B546D">
      <w:pPr>
        <w:spacing w:line="276" w:lineRule="auto"/>
        <w:rPr>
          <w:color w:val="5373B0"/>
        </w:rPr>
      </w:pPr>
      <w:r>
        <w:rPr>
          <w:noProof/>
          <w:color w:val="5373B0"/>
          <w:lang w:val="en-AU" w:eastAsia="en-AU"/>
        </w:rPr>
        <mc:AlternateContent>
          <mc:Choice Requires="wps">
            <w:drawing>
              <wp:anchor distT="0" distB="0" distL="114300" distR="114300" simplePos="0" relativeHeight="251653120" behindDoc="1" locked="0" layoutInCell="1" allowOverlap="1" wp14:anchorId="7EFB1D06" wp14:editId="2D49DCA5">
                <wp:simplePos x="0" y="0"/>
                <wp:positionH relativeFrom="page">
                  <wp:align>left</wp:align>
                </wp:positionH>
                <wp:positionV relativeFrom="paragraph">
                  <wp:posOffset>-899160</wp:posOffset>
                </wp:positionV>
                <wp:extent cx="7573010" cy="10714355"/>
                <wp:effectExtent l="0" t="0" r="8890" b="0"/>
                <wp:wrapNone/>
                <wp:docPr id="4" name="Rectangle 4"/>
                <wp:cNvGraphicFramePr/>
                <a:graphic xmlns:a="http://schemas.openxmlformats.org/drawingml/2006/main">
                  <a:graphicData uri="http://schemas.microsoft.com/office/word/2010/wordprocessingShape">
                    <wps:wsp>
                      <wps:cNvSpPr/>
                      <wps:spPr>
                        <a:xfrm>
                          <a:off x="0" y="0"/>
                          <a:ext cx="7573010" cy="10714355"/>
                        </a:xfrm>
                        <a:prstGeom prst="rect">
                          <a:avLst/>
                        </a:prstGeom>
                        <a:solidFill>
                          <a:srgbClr val="0E3C8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A7864D" id="Rectangle 4" o:spid="_x0000_s1026" style="position:absolute;margin-left:0;margin-top:-70.8pt;width:596.3pt;height:843.65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" fillcolor="#0e3c88" stroked="f">
                <w10:wrap anchorx="page"/>
              </v:rect>
            </w:pict>
          </mc:Fallback>
        </mc:AlternateContent>
      </w:r>
    </w:p>
    <w:p w14:paraId="19E3F7EF" w14:textId="2A86410E" w:rsidR="003B546D" w:rsidRPr="006312C0" w:rsidRDefault="003B546D" w:rsidP="003B546D">
      <w:pPr>
        <w:spacing w:line="276" w:lineRule="auto"/>
        <w:rPr>
          <w:color w:val="5373B0"/>
        </w:rPr>
      </w:pPr>
    </w:p>
    <w:p w14:paraId="59AB5B2C" w14:textId="156DB353" w:rsidR="003B546D" w:rsidRPr="006312C0" w:rsidRDefault="003B546D" w:rsidP="003B546D">
      <w:pPr>
        <w:spacing w:line="276" w:lineRule="auto"/>
        <w:rPr>
          <w:color w:val="5373B0"/>
        </w:rPr>
      </w:pPr>
    </w:p>
    <w:p w14:paraId="1DD58E8A" w14:textId="77777777" w:rsidR="003B546D" w:rsidRPr="006312C0" w:rsidRDefault="003B546D" w:rsidP="003B546D">
      <w:pPr>
        <w:spacing w:line="276" w:lineRule="auto"/>
        <w:rPr>
          <w:color w:val="5373B0"/>
        </w:rPr>
      </w:pPr>
    </w:p>
    <w:p w14:paraId="24C9F8A9" w14:textId="77777777" w:rsidR="003B546D" w:rsidRPr="006312C0" w:rsidRDefault="003B546D" w:rsidP="003B546D">
      <w:pPr>
        <w:spacing w:line="276" w:lineRule="auto"/>
        <w:rPr>
          <w:color w:val="5373B0"/>
        </w:rPr>
      </w:pPr>
    </w:p>
    <w:p w14:paraId="73552B88" w14:textId="77777777" w:rsidR="003B546D" w:rsidRPr="006312C0" w:rsidRDefault="003B546D" w:rsidP="003B546D">
      <w:pPr>
        <w:spacing w:line="276" w:lineRule="auto"/>
        <w:rPr>
          <w:color w:val="5373B0"/>
        </w:rPr>
      </w:pPr>
    </w:p>
    <w:p w14:paraId="2573ECD4" w14:textId="77777777" w:rsidR="003B546D" w:rsidRPr="006312C0" w:rsidRDefault="003B546D" w:rsidP="003B546D">
      <w:pPr>
        <w:spacing w:line="276" w:lineRule="auto"/>
        <w:rPr>
          <w:color w:val="5373B0"/>
        </w:rPr>
      </w:pPr>
    </w:p>
    <w:p w14:paraId="6B51548F" w14:textId="77777777" w:rsidR="003B546D" w:rsidRPr="006312C0" w:rsidRDefault="003B546D" w:rsidP="003B546D">
      <w:pPr>
        <w:spacing w:line="276" w:lineRule="auto"/>
        <w:rPr>
          <w:color w:val="5373B0"/>
        </w:rPr>
      </w:pPr>
    </w:p>
    <w:p w14:paraId="2A25E018" w14:textId="77777777" w:rsidR="003B546D" w:rsidRPr="006312C0" w:rsidRDefault="003B546D" w:rsidP="003B546D">
      <w:pPr>
        <w:spacing w:line="276" w:lineRule="auto"/>
        <w:rPr>
          <w:color w:val="5373B0"/>
        </w:rPr>
      </w:pPr>
    </w:p>
    <w:p w14:paraId="0A12D329" w14:textId="77777777" w:rsidR="003B546D" w:rsidRPr="006312C0" w:rsidRDefault="003B546D" w:rsidP="003B546D">
      <w:pPr>
        <w:spacing w:line="276" w:lineRule="auto"/>
        <w:rPr>
          <w:color w:val="5373B0"/>
        </w:rPr>
      </w:pPr>
    </w:p>
    <w:p w14:paraId="0F3B8897" w14:textId="77777777" w:rsidR="003B546D" w:rsidRPr="006312C0" w:rsidRDefault="003B546D" w:rsidP="003B546D">
      <w:pPr>
        <w:spacing w:line="276" w:lineRule="auto"/>
        <w:rPr>
          <w:color w:val="5373B0"/>
        </w:rPr>
      </w:pPr>
    </w:p>
    <w:p w14:paraId="79F3C146" w14:textId="77777777" w:rsidR="003B546D" w:rsidRPr="006312C0" w:rsidRDefault="003B546D" w:rsidP="003B546D">
      <w:pPr>
        <w:spacing w:line="276" w:lineRule="auto"/>
        <w:rPr>
          <w:color w:val="5373B0"/>
        </w:rPr>
      </w:pPr>
    </w:p>
    <w:p w14:paraId="174A9205" w14:textId="77777777" w:rsidR="003B546D" w:rsidRPr="006312C0" w:rsidRDefault="003B546D" w:rsidP="003B546D">
      <w:pPr>
        <w:spacing w:line="276" w:lineRule="auto"/>
        <w:rPr>
          <w:color w:val="5373B0"/>
        </w:rPr>
      </w:pPr>
    </w:p>
    <w:p w14:paraId="22D07966" w14:textId="77777777" w:rsidR="003B546D" w:rsidRPr="006312C0" w:rsidRDefault="003B546D" w:rsidP="003B546D">
      <w:pPr>
        <w:spacing w:line="276" w:lineRule="auto"/>
        <w:rPr>
          <w:color w:val="5373B0"/>
        </w:rPr>
      </w:pPr>
    </w:p>
    <w:p w14:paraId="32CDFEA5" w14:textId="77777777" w:rsidR="003B546D" w:rsidRPr="006312C0" w:rsidRDefault="003B546D" w:rsidP="003B546D">
      <w:pPr>
        <w:spacing w:line="276" w:lineRule="auto"/>
        <w:rPr>
          <w:color w:val="5373B0"/>
        </w:rPr>
      </w:pPr>
    </w:p>
    <w:p w14:paraId="23AEC973" w14:textId="77777777" w:rsidR="003B546D" w:rsidRPr="006312C0" w:rsidRDefault="003B546D" w:rsidP="003B546D">
      <w:pPr>
        <w:spacing w:line="276" w:lineRule="auto"/>
        <w:rPr>
          <w:color w:val="5373B0"/>
        </w:rPr>
      </w:pPr>
    </w:p>
    <w:p w14:paraId="1B4C3B66" w14:textId="77777777" w:rsidR="00170A54" w:rsidRDefault="00906A10">
      <w:r w:rsidRPr="00854DC6">
        <w:rPr>
          <w:noProof/>
          <w:color w:val="5373B0"/>
          <w:sz w:val="28"/>
          <w:szCs w:val="28"/>
          <w:lang w:val="en-AU" w:eastAsia="en-AU"/>
        </w:rPr>
        <mc:AlternateContent>
          <mc:Choice Requires="wps">
            <w:drawing>
              <wp:anchor distT="0" distB="0" distL="114300" distR="114300" simplePos="0" relativeHeight="251659264" behindDoc="0" locked="0" layoutInCell="1" allowOverlap="1" wp14:anchorId="37832F82" wp14:editId="35E67E7F">
                <wp:simplePos x="0" y="0"/>
                <wp:positionH relativeFrom="column">
                  <wp:posOffset>-457200</wp:posOffset>
                </wp:positionH>
                <wp:positionV relativeFrom="paragraph">
                  <wp:posOffset>4361180</wp:posOffset>
                </wp:positionV>
                <wp:extent cx="6972300" cy="8001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69723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567758C" w14:textId="77777777" w:rsidR="000B1C05" w:rsidRPr="002D6183" w:rsidRDefault="000B1C05" w:rsidP="003B546D">
                            <w:pPr>
                              <w:jc w:val="center"/>
                              <w:rPr>
                                <w:rFonts w:ascii="Arial" w:hAnsi="Arial" w:cs="Arial"/>
                                <w:i/>
                                <w:color w:val="FFFFFF" w:themeColor="background1"/>
                                <w:szCs w:val="28"/>
                              </w:rPr>
                            </w:pPr>
                            <w:r w:rsidRPr="002D6183">
                              <w:rPr>
                                <w:rFonts w:ascii="Arial" w:hAnsi="Arial" w:cs="Arial"/>
                                <w:i/>
                                <w:color w:val="FFFFFF" w:themeColor="background1"/>
                                <w:szCs w:val="28"/>
                              </w:rPr>
                              <w:t>NACLC acknowledges the traditional owners of the lands across Australia and particularly the Gadigal people of the Eora Nation, traditional owners of the land on which the NACLC office is situated. We pay deep respect to Elders past and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7832F82" id="Text Box 17" o:spid="_x0000_s1028" type="#_x0000_t202" style="position:absolute;margin-left:-36pt;margin-top:343.4pt;width:549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" filled="f" stroked="f">
                <v:textbox>
                  <w:txbxContent>
                    <w:p w14:paraId="7567758C" w14:textId="77777777" w:rsidR="000B1C05" w:rsidRPr="002D6183" w:rsidRDefault="000B1C05" w:rsidP="003B546D">
                      <w:pPr>
                        <w:jc w:val="center"/>
                        <w:rPr>
                          <w:rFonts w:ascii="Arial" w:hAnsi="Arial" w:cs="Arial"/>
                          <w:i/>
                          <w:color w:val="FFFFFF" w:themeColor="background1"/>
                          <w:szCs w:val="28"/>
                        </w:rPr>
                      </w:pPr>
                      <w:r w:rsidRPr="002D6183">
                        <w:rPr>
                          <w:rFonts w:ascii="Arial" w:hAnsi="Arial" w:cs="Arial"/>
                          <w:i/>
                          <w:color w:val="FFFFFF" w:themeColor="background1"/>
                          <w:szCs w:val="28"/>
                        </w:rPr>
                        <w:t>NACLC acknowledges the traditional owners of the lands across Australia and particularly the Gadigal people of the Eora Nation, traditional owners of the land on which the NACLC office is situated. We pay deep respect to Elders past and present.</w:t>
                      </w:r>
                    </w:p>
                  </w:txbxContent>
                </v:textbox>
                <w10:wrap type="square"/>
              </v:shape>
            </w:pict>
          </mc:Fallback>
        </mc:AlternateContent>
      </w:r>
    </w:p>
    <w:sectPr w:rsidR="00170A54" w:rsidSect="006E59DD">
      <w:headerReference w:type="even" r:id="rId21"/>
      <w:headerReference w:type="default" r:id="rId22"/>
      <w:footerReference w:type="default" r:id="rId23"/>
      <w:headerReference w:type="first" r:id="rId24"/>
      <w:pgSz w:w="11900" w:h="16840"/>
      <w:pgMar w:top="1440" w:right="1080" w:bottom="1440" w:left="108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85D0F" w14:textId="77777777" w:rsidR="000B1C05" w:rsidRDefault="000B1C05" w:rsidP="00340F04">
      <w:r>
        <w:separator/>
      </w:r>
    </w:p>
  </w:endnote>
  <w:endnote w:type="continuationSeparator" w:id="0">
    <w:p w14:paraId="400F8C97" w14:textId="77777777" w:rsidR="000B1C05" w:rsidRDefault="000B1C05" w:rsidP="00340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wis721 Lt BT">
    <w:altName w:val="Cambria"/>
    <w:panose1 w:val="00000000000000000000"/>
    <w:charset w:val="4D"/>
    <w:family w:val="swiss"/>
    <w:notTrueType/>
    <w:pitch w:val="default"/>
    <w:sig w:usb0="00000003" w:usb1="00000000" w:usb2="00000000" w:usb3="00000000" w:csb0="00000001" w:csb1="00000000"/>
  </w:font>
  <w:font w:name="Arial Bold">
    <w:altName w:val="Times New Roman"/>
    <w:panose1 w:val="020B0704020202020204"/>
    <w:charset w:val="00"/>
    <w:family w:val="auto"/>
    <w:pitch w:val="variable"/>
    <w:sig w:usb0="E0002AFF" w:usb1="C0007843"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Geneva">
    <w:panose1 w:val="00000000000000000000"/>
    <w:charset w:val="00"/>
    <w:family w:val="swiss"/>
    <w:notTrueType/>
    <w:pitch w:val="variable"/>
    <w:sig w:usb0="00000003" w:usb1="00000000" w:usb2="00000000" w:usb3="00000000" w:csb0="00000001" w:csb1="00000000"/>
  </w:font>
  <w:font w:name="RobotoSlab-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D75FB" w14:textId="77777777" w:rsidR="000B1C05" w:rsidRDefault="000B1C05" w:rsidP="00BA72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AF3E24C" w14:textId="77777777" w:rsidR="000B1C05" w:rsidRDefault="000B1C05" w:rsidP="003B54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4E8EA" w14:textId="77777777" w:rsidR="000B1C05" w:rsidRPr="00A20E13" w:rsidRDefault="000B1C05" w:rsidP="003B546D">
    <w:pPr>
      <w:pStyle w:val="Footer"/>
      <w:ind w:right="360"/>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B7B2" w14:textId="77777777" w:rsidR="000B1C05" w:rsidRPr="00BA72B0" w:rsidRDefault="000B1C05" w:rsidP="00BA72B0">
    <w:pPr>
      <w:pStyle w:val="Footer"/>
      <w:framePr w:wrap="around" w:vAnchor="text" w:hAnchor="page" w:x="10441" w:y="15"/>
      <w:rPr>
        <w:rStyle w:val="PageNumber"/>
        <w:sz w:val="20"/>
        <w:szCs w:val="20"/>
      </w:rPr>
    </w:pPr>
    <w:r w:rsidRPr="00BA72B0">
      <w:rPr>
        <w:rStyle w:val="PageNumber"/>
        <w:sz w:val="20"/>
        <w:szCs w:val="20"/>
      </w:rPr>
      <w:fldChar w:fldCharType="begin"/>
    </w:r>
    <w:r w:rsidRPr="00BA72B0">
      <w:rPr>
        <w:rStyle w:val="PageNumber"/>
        <w:sz w:val="20"/>
        <w:szCs w:val="20"/>
      </w:rPr>
      <w:instrText xml:space="preserve">PAGE  </w:instrText>
    </w:r>
    <w:r w:rsidRPr="00BA72B0">
      <w:rPr>
        <w:rStyle w:val="PageNumber"/>
        <w:sz w:val="20"/>
        <w:szCs w:val="20"/>
      </w:rPr>
      <w:fldChar w:fldCharType="separate"/>
    </w:r>
    <w:r w:rsidR="000F130F">
      <w:rPr>
        <w:rStyle w:val="PageNumber"/>
        <w:noProof/>
        <w:sz w:val="20"/>
        <w:szCs w:val="20"/>
      </w:rPr>
      <w:t>11</w:t>
    </w:r>
    <w:r w:rsidRPr="00BA72B0">
      <w:rPr>
        <w:rStyle w:val="PageNumber"/>
        <w:sz w:val="20"/>
        <w:szCs w:val="20"/>
      </w:rPr>
      <w:fldChar w:fldCharType="end"/>
    </w:r>
  </w:p>
  <w:p w14:paraId="75A30815" w14:textId="77777777" w:rsidR="000B1C05" w:rsidRPr="006E59DD" w:rsidRDefault="000B1C05" w:rsidP="003B546D">
    <w:pPr>
      <w:pStyle w:val="Footer"/>
      <w:ind w:right="360"/>
      <w:rPr>
        <w:rFonts w:ascii="Arial" w:hAnsi="Arial" w:cs="Arial"/>
        <w:color w:val="FFFFFF" w:themeColor="background1"/>
      </w:rPr>
    </w:pPr>
  </w:p>
  <w:p w14:paraId="1BD95B3B" w14:textId="77777777" w:rsidR="000B1C05" w:rsidRDefault="000B1C05"/>
  <w:p w14:paraId="4B8463E6" w14:textId="77777777" w:rsidR="000B1C05" w:rsidRDefault="000B1C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1E3B7A" w14:textId="77777777" w:rsidR="000B1C05" w:rsidRDefault="000B1C05" w:rsidP="00340F04">
      <w:r>
        <w:separator/>
      </w:r>
    </w:p>
  </w:footnote>
  <w:footnote w:type="continuationSeparator" w:id="0">
    <w:p w14:paraId="0B94DEC9" w14:textId="77777777" w:rsidR="000B1C05" w:rsidRDefault="000B1C05" w:rsidP="00340F04">
      <w:r>
        <w:continuationSeparator/>
      </w:r>
    </w:p>
  </w:footnote>
  <w:footnote w:id="1">
    <w:p w14:paraId="79C97910" w14:textId="1D3BF95B" w:rsidR="000B1C05" w:rsidRPr="00040A72" w:rsidRDefault="000B1C05">
      <w:pPr>
        <w:pStyle w:val="FootnoteText"/>
        <w:rPr>
          <w:sz w:val="18"/>
          <w:szCs w:val="18"/>
          <w:lang w:val="en-AU"/>
        </w:rPr>
      </w:pPr>
      <w:r w:rsidRPr="00040A72">
        <w:rPr>
          <w:rStyle w:val="FootnoteReference"/>
          <w:sz w:val="18"/>
          <w:szCs w:val="18"/>
        </w:rPr>
        <w:footnoteRef/>
      </w:r>
      <w:r w:rsidRPr="00040A72">
        <w:rPr>
          <w:sz w:val="18"/>
          <w:szCs w:val="18"/>
        </w:rPr>
        <w:t xml:space="preserve"> </w:t>
      </w:r>
      <w:r w:rsidRPr="00040A72">
        <w:rPr>
          <w:sz w:val="18"/>
          <w:szCs w:val="18"/>
          <w:lang w:val="en-AU"/>
        </w:rPr>
        <w:t xml:space="preserve">NACLC’s members are the eight State and Territory Associations of Community Legal Centres. </w:t>
      </w:r>
    </w:p>
  </w:footnote>
  <w:footnote w:id="2">
    <w:p w14:paraId="79903FAF" w14:textId="61AEC52B" w:rsidR="000B1C05" w:rsidRPr="00040A72" w:rsidRDefault="000B1C05">
      <w:pPr>
        <w:pStyle w:val="FootnoteText"/>
        <w:rPr>
          <w:sz w:val="18"/>
          <w:szCs w:val="18"/>
          <w:lang w:val="en-AU"/>
        </w:rPr>
      </w:pPr>
      <w:r w:rsidRPr="00040A72">
        <w:rPr>
          <w:rStyle w:val="FootnoteReference"/>
          <w:sz w:val="18"/>
          <w:szCs w:val="18"/>
        </w:rPr>
        <w:footnoteRef/>
      </w:r>
      <w:r w:rsidRPr="00040A72">
        <w:rPr>
          <w:sz w:val="18"/>
          <w:szCs w:val="18"/>
        </w:rPr>
        <w:t xml:space="preserve"> NACLC’s submission to the 2016-2017 Federal Budget is available here: </w:t>
      </w:r>
      <w:hyperlink r:id="rId1" w:history="1">
        <w:r w:rsidRPr="00040A72">
          <w:rPr>
            <w:rStyle w:val="Hyperlink"/>
            <w:sz w:val="18"/>
            <w:szCs w:val="18"/>
          </w:rPr>
          <w:t>http://www.naclc.org.au/resources/NACLC_Federal_Budget_Sub_2016_17_Final_PDF.pdf</w:t>
        </w:r>
      </w:hyperlink>
      <w:r w:rsidRPr="00040A72">
        <w:rPr>
          <w:sz w:val="18"/>
          <w:szCs w:val="18"/>
        </w:rPr>
        <w:t xml:space="preserve"> </w:t>
      </w:r>
    </w:p>
  </w:footnote>
  <w:footnote w:id="3">
    <w:p w14:paraId="5C671EE5" w14:textId="5BBA044D" w:rsidR="000B1C05" w:rsidRPr="00040A72" w:rsidRDefault="000B1C05" w:rsidP="0078135F">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w:t>
      </w:r>
      <w:r w:rsidRPr="00040A72">
        <w:rPr>
          <w:rFonts w:asciiTheme="minorHAnsi" w:hAnsiTheme="minorHAnsi" w:cs="Arial"/>
          <w:sz w:val="18"/>
          <w:szCs w:val="18"/>
        </w:rPr>
        <w:t xml:space="preserve">Productivity Commission of Australia, Access to Justice Arrangements Inquiry Report No 72 (September 2014) </w:t>
      </w:r>
      <w:r w:rsidRPr="00040A72">
        <w:rPr>
          <w:rFonts w:asciiTheme="minorHAnsi" w:hAnsiTheme="minorHAnsi"/>
          <w:sz w:val="18"/>
          <w:szCs w:val="18"/>
          <w:lang w:val="en-AU"/>
        </w:rPr>
        <w:t xml:space="preserve">666. </w:t>
      </w:r>
    </w:p>
  </w:footnote>
  <w:footnote w:id="4">
    <w:p w14:paraId="3EE3DA25" w14:textId="2B6D570E" w:rsidR="000B1C05" w:rsidRPr="00040A72" w:rsidRDefault="000B1C05" w:rsidP="002D6393">
      <w:pPr>
        <w:spacing w:after="80"/>
        <w:ind w:left="170" w:hanging="170"/>
        <w:rPr>
          <w:rFonts w:eastAsia="Times New Roman" w:cs="Arial"/>
          <w:sz w:val="18"/>
          <w:szCs w:val="18"/>
        </w:rPr>
      </w:pPr>
      <w:r w:rsidRPr="00040A72">
        <w:rPr>
          <w:rStyle w:val="FootnoteReference"/>
          <w:sz w:val="18"/>
          <w:szCs w:val="18"/>
        </w:rPr>
        <w:footnoteRef/>
      </w:r>
      <w:r w:rsidRPr="00040A72">
        <w:rPr>
          <w:sz w:val="18"/>
          <w:szCs w:val="18"/>
        </w:rPr>
        <w:t xml:space="preserve"> See, eg, </w:t>
      </w:r>
      <w:r w:rsidRPr="00040A72">
        <w:rPr>
          <w:rFonts w:cs="Arial"/>
          <w:sz w:val="18"/>
          <w:szCs w:val="18"/>
        </w:rPr>
        <w:t xml:space="preserve">Productivity Commission of Australia, Access to Justice Arrangements Inquiry Report No 72 (September 2014); Senate Legal and Constitutional Affairs Reference Committee, Access to Justice (2009); C Coumarelos et al, Legal Australia-Wide Survey: Legal Need in Australia, Law and Justice Foundation of NSW (2012); </w:t>
      </w:r>
      <w:r w:rsidRPr="00040A72">
        <w:rPr>
          <w:rFonts w:eastAsia="Times New Roman" w:cs="Arial"/>
          <w:color w:val="000000"/>
          <w:sz w:val="18"/>
          <w:szCs w:val="18"/>
          <w:shd w:val="clear" w:color="auto" w:fill="FFFFFF"/>
          <w:lang w:val="en-AU"/>
        </w:rPr>
        <w:t xml:space="preserve">Indigenous Legal Needs Project; ACOSS, </w:t>
      </w:r>
      <w:r w:rsidRPr="00040A72">
        <w:rPr>
          <w:rFonts w:eastAsia="Times New Roman" w:cs="Arial"/>
          <w:i/>
          <w:color w:val="000000"/>
          <w:sz w:val="18"/>
          <w:szCs w:val="18"/>
          <w:shd w:val="clear" w:color="auto" w:fill="FFFFFF"/>
          <w:lang w:val="en-AU"/>
        </w:rPr>
        <w:t>Australian Community Sector Survey 2013: National Report</w:t>
      </w:r>
      <w:r w:rsidRPr="00040A72">
        <w:rPr>
          <w:rFonts w:eastAsia="Times New Roman" w:cs="Arial"/>
          <w:color w:val="000000"/>
          <w:sz w:val="18"/>
          <w:szCs w:val="18"/>
          <w:shd w:val="clear" w:color="auto" w:fill="FFFFFF"/>
          <w:lang w:val="en-AU"/>
        </w:rPr>
        <w:t xml:space="preserve">, ACOSS Paper 202 (2013). </w:t>
      </w:r>
    </w:p>
  </w:footnote>
  <w:footnote w:id="5">
    <w:p w14:paraId="6AD4104D" w14:textId="2B5B267A" w:rsidR="000B1C05" w:rsidRPr="00040A72" w:rsidRDefault="000B1C05">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w:t>
      </w:r>
      <w:r w:rsidRPr="00040A72">
        <w:rPr>
          <w:rFonts w:asciiTheme="minorHAnsi" w:hAnsiTheme="minorHAnsi"/>
          <w:sz w:val="18"/>
          <w:szCs w:val="18"/>
          <w:lang w:val="en-AU"/>
        </w:rPr>
        <w:t xml:space="preserve">See, eg, </w:t>
      </w:r>
      <w:r w:rsidRPr="00040A72">
        <w:rPr>
          <w:rFonts w:asciiTheme="minorHAnsi" w:hAnsiTheme="minorHAnsi" w:cs="Arial"/>
          <w:sz w:val="18"/>
          <w:szCs w:val="18"/>
        </w:rPr>
        <w:t xml:space="preserve">Productivity Commission of Australia, Access to Justice Arrangements Inquiry Report No 72 (September 2014) </w:t>
      </w:r>
      <w:r w:rsidRPr="00040A72">
        <w:rPr>
          <w:rFonts w:asciiTheme="minorHAnsi" w:hAnsiTheme="minorHAnsi"/>
          <w:sz w:val="18"/>
          <w:szCs w:val="18"/>
          <w:lang w:val="en-AU"/>
        </w:rPr>
        <w:t xml:space="preserve">735. </w:t>
      </w:r>
    </w:p>
  </w:footnote>
  <w:footnote w:id="6">
    <w:p w14:paraId="1376C8F6" w14:textId="63101F03" w:rsidR="000B1C05" w:rsidRPr="00040A72" w:rsidRDefault="000B1C05" w:rsidP="00257BDD">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w:t>
      </w:r>
      <w:r w:rsidRPr="00040A72">
        <w:rPr>
          <w:rFonts w:asciiTheme="minorHAnsi" w:hAnsiTheme="minorHAnsi" w:cs="Arial"/>
          <w:sz w:val="18"/>
          <w:szCs w:val="18"/>
        </w:rPr>
        <w:t xml:space="preserve">Productivity Commission of Australia, Access to Justice Arrangements Inquiry Report No 72 (September 2014) </w:t>
      </w:r>
      <w:r w:rsidRPr="00040A72">
        <w:rPr>
          <w:rFonts w:asciiTheme="minorHAnsi" w:hAnsiTheme="minorHAnsi"/>
          <w:sz w:val="18"/>
          <w:szCs w:val="18"/>
          <w:lang w:val="en-AU"/>
        </w:rPr>
        <w:t>666.</w:t>
      </w:r>
    </w:p>
  </w:footnote>
  <w:footnote w:id="7">
    <w:p w14:paraId="2290A4C1" w14:textId="14207969" w:rsidR="000B1C05" w:rsidRPr="00040A72" w:rsidRDefault="000B1C05" w:rsidP="000C02C1">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w:t>
      </w:r>
      <w:r w:rsidRPr="00040A72">
        <w:rPr>
          <w:rFonts w:asciiTheme="minorHAnsi" w:hAnsiTheme="minorHAnsi" w:cs="Arial"/>
          <w:sz w:val="18"/>
          <w:szCs w:val="18"/>
        </w:rPr>
        <w:t xml:space="preserve">See, eg, </w:t>
      </w:r>
      <w:r w:rsidRPr="00040A72">
        <w:rPr>
          <w:rFonts w:asciiTheme="minorHAnsi" w:hAnsiTheme="minorHAnsi"/>
          <w:sz w:val="18"/>
          <w:szCs w:val="18"/>
          <w:lang w:val="en-AU"/>
        </w:rPr>
        <w:t>Productivity</w:t>
      </w:r>
      <w:r w:rsidRPr="00040A72">
        <w:rPr>
          <w:rFonts w:asciiTheme="minorHAnsi" w:hAnsiTheme="minorHAnsi" w:cs="Arial"/>
          <w:sz w:val="18"/>
          <w:szCs w:val="18"/>
        </w:rPr>
        <w:t xml:space="preserve"> Commission of Australia, Access to Justice Arrangements Inquiry Report No 72 (September 2014) </w:t>
      </w:r>
      <w:r w:rsidRPr="00040A72">
        <w:rPr>
          <w:rFonts w:asciiTheme="minorHAnsi" w:hAnsiTheme="minorHAnsi"/>
          <w:sz w:val="18"/>
          <w:szCs w:val="18"/>
          <w:lang w:val="en-AU"/>
        </w:rPr>
        <w:t xml:space="preserve">Appendix K, 1054. </w:t>
      </w:r>
    </w:p>
  </w:footnote>
  <w:footnote w:id="8">
    <w:p w14:paraId="74A2B30C" w14:textId="77777777" w:rsidR="001A4E23" w:rsidRPr="00040A72" w:rsidRDefault="001A4E23" w:rsidP="001A4E23">
      <w:pPr>
        <w:pStyle w:val="FootnoteText"/>
        <w:rPr>
          <w:sz w:val="18"/>
          <w:szCs w:val="18"/>
          <w:lang w:val="en-AU"/>
        </w:rPr>
      </w:pPr>
      <w:r w:rsidRPr="00040A72">
        <w:rPr>
          <w:rStyle w:val="FootnoteReference"/>
          <w:sz w:val="18"/>
          <w:szCs w:val="18"/>
        </w:rPr>
        <w:footnoteRef/>
      </w:r>
      <w:r w:rsidRPr="00040A72">
        <w:rPr>
          <w:sz w:val="18"/>
          <w:szCs w:val="18"/>
        </w:rPr>
        <w:t xml:space="preserve"> NACLC, National Census of CLCs, 2015 National Report, available at: </w:t>
      </w:r>
      <w:hyperlink r:id="rId2" w:history="1">
        <w:r w:rsidRPr="00040A72">
          <w:rPr>
            <w:rStyle w:val="Hyperlink"/>
            <w:sz w:val="18"/>
            <w:szCs w:val="18"/>
          </w:rPr>
          <w:t>http://www.naclc.org.au/resources/NACLC%20Census%20-%20National%20Report%202015%20-%20FINAL.pdf</w:t>
        </w:r>
      </w:hyperlink>
      <w:r w:rsidRPr="00040A72">
        <w:rPr>
          <w:sz w:val="18"/>
          <w:szCs w:val="18"/>
        </w:rPr>
        <w:t xml:space="preserve"> </w:t>
      </w:r>
    </w:p>
  </w:footnote>
  <w:footnote w:id="9">
    <w:p w14:paraId="748AF078" w14:textId="16ACEF94" w:rsidR="000B1C05" w:rsidRPr="00040A72" w:rsidRDefault="000B1C05" w:rsidP="00DB2722">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w:t>
      </w:r>
      <w:r w:rsidRPr="00040A72">
        <w:rPr>
          <w:rFonts w:asciiTheme="minorHAnsi" w:hAnsiTheme="minorHAnsi" w:cs="Arial"/>
          <w:sz w:val="18"/>
          <w:szCs w:val="18"/>
        </w:rPr>
        <w:t xml:space="preserve">Productivity Commission of Australia, Access to Justice Arrangements Inquiry Report No 72 (September 2014) </w:t>
      </w:r>
      <w:r w:rsidRPr="00040A72">
        <w:rPr>
          <w:rFonts w:asciiTheme="minorHAnsi" w:hAnsiTheme="minorHAnsi"/>
          <w:sz w:val="18"/>
          <w:szCs w:val="18"/>
          <w:lang w:val="en-AU"/>
        </w:rPr>
        <w:t xml:space="preserve">741. </w:t>
      </w:r>
    </w:p>
  </w:footnote>
  <w:footnote w:id="10">
    <w:p w14:paraId="1138279A" w14:textId="126C57A1" w:rsidR="000B1C05" w:rsidRPr="00040A72" w:rsidRDefault="000B1C05" w:rsidP="00DB2722">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w:t>
      </w:r>
      <w:r w:rsidRPr="00040A72">
        <w:rPr>
          <w:rFonts w:asciiTheme="minorHAnsi" w:hAnsiTheme="minorHAnsi" w:cs="Arial"/>
          <w:sz w:val="18"/>
          <w:szCs w:val="18"/>
        </w:rPr>
        <w:t xml:space="preserve">Ibid </w:t>
      </w:r>
      <w:r w:rsidRPr="00040A72">
        <w:rPr>
          <w:rFonts w:asciiTheme="minorHAnsi" w:hAnsiTheme="minorHAnsi"/>
          <w:sz w:val="18"/>
          <w:szCs w:val="18"/>
          <w:lang w:val="en-AU"/>
        </w:rPr>
        <w:t xml:space="preserve">743. </w:t>
      </w:r>
    </w:p>
  </w:footnote>
  <w:footnote w:id="11">
    <w:p w14:paraId="32540A19" w14:textId="6D40BDD3" w:rsidR="000B1C05" w:rsidRPr="00040A72" w:rsidRDefault="000B1C05" w:rsidP="00DB2722">
      <w:pPr>
        <w:pStyle w:val="FootnoteText"/>
        <w:rPr>
          <w:rFonts w:asciiTheme="minorHAnsi" w:hAnsiTheme="minorHAnsi"/>
          <w:sz w:val="18"/>
          <w:szCs w:val="18"/>
          <w:lang w:val="en-AU"/>
        </w:rPr>
      </w:pPr>
      <w:r w:rsidRPr="00040A72">
        <w:rPr>
          <w:rStyle w:val="FootnoteReference"/>
          <w:rFonts w:asciiTheme="minorHAnsi" w:hAnsiTheme="minorHAnsi"/>
          <w:sz w:val="18"/>
          <w:szCs w:val="18"/>
        </w:rPr>
        <w:footnoteRef/>
      </w:r>
      <w:r w:rsidRPr="00040A72">
        <w:rPr>
          <w:rFonts w:asciiTheme="minorHAnsi" w:hAnsiTheme="minorHAnsi"/>
          <w:sz w:val="18"/>
          <w:szCs w:val="18"/>
        </w:rPr>
        <w:t xml:space="preserve"> “In an environment of constrained resources, it is important to establish that legal assistance providers are providing the ‘right’ mix of services, to the ‘right’ clients, in the ‘right’ areas of law and in the ‘right’ locations” and “resources are deployed where legal needs are greatest and legal problems have the most significant consequences”: </w:t>
      </w:r>
      <w:r w:rsidRPr="00040A72">
        <w:rPr>
          <w:rFonts w:asciiTheme="minorHAnsi" w:hAnsiTheme="minorHAnsi" w:cs="Arial"/>
          <w:sz w:val="18"/>
          <w:szCs w:val="18"/>
        </w:rPr>
        <w:t xml:space="preserve">Productivity Commission of Australia, Access to Justice Arrangements Inquiry Report No 72 (September 2014) </w:t>
      </w:r>
      <w:r w:rsidRPr="00040A72">
        <w:rPr>
          <w:rFonts w:asciiTheme="minorHAnsi" w:hAnsiTheme="minorHAnsi"/>
          <w:sz w:val="18"/>
          <w:szCs w:val="18"/>
          <w:lang w:val="en-AU"/>
        </w:rPr>
        <w:t xml:space="preserve">704. </w:t>
      </w:r>
      <w:r w:rsidRPr="00040A72">
        <w:rPr>
          <w:rFonts w:asciiTheme="minorHAnsi" w:hAnsiTheme="minorHAnsi"/>
          <w:sz w:val="18"/>
          <w:szCs w:val="18"/>
        </w:rPr>
        <w:t xml:space="preserve">  </w:t>
      </w:r>
    </w:p>
  </w:footnote>
  <w:footnote w:id="12">
    <w:p w14:paraId="6D36551E" w14:textId="4F0638D6" w:rsidR="000B1C05" w:rsidRPr="00040A72" w:rsidRDefault="000B1C05" w:rsidP="00BB6F58">
      <w:pPr>
        <w:pStyle w:val="TableBullet"/>
        <w:numPr>
          <w:ilvl w:val="0"/>
          <w:numId w:val="0"/>
        </w:numPr>
        <w:spacing w:line="220" w:lineRule="atLeast"/>
        <w:rPr>
          <w:rFonts w:asciiTheme="minorHAnsi" w:hAnsiTheme="minorHAnsi"/>
          <w:szCs w:val="18"/>
        </w:rPr>
      </w:pPr>
      <w:r w:rsidRPr="00040A72">
        <w:rPr>
          <w:rStyle w:val="FootnoteReference"/>
          <w:rFonts w:asciiTheme="minorHAnsi" w:hAnsiTheme="minorHAnsi"/>
          <w:szCs w:val="18"/>
        </w:rPr>
        <w:footnoteRef/>
      </w:r>
      <w:r w:rsidRPr="00040A72">
        <w:rPr>
          <w:rFonts w:asciiTheme="minorHAnsi" w:hAnsiTheme="minorHAnsi"/>
          <w:szCs w:val="18"/>
        </w:rPr>
        <w:t xml:space="preserve"> See, eg, suggestion by the Productivity Commission that: ‘The </w:t>
      </w:r>
      <w:r w:rsidRPr="00040A72">
        <w:rPr>
          <w:rFonts w:asciiTheme="minorHAnsi" w:hAnsiTheme="minorHAnsi"/>
          <w:i/>
          <w:szCs w:val="18"/>
        </w:rPr>
        <w:t>Legal Australia</w:t>
      </w:r>
      <w:r w:rsidRPr="00040A72">
        <w:rPr>
          <w:rFonts w:asciiTheme="minorHAnsi" w:hAnsiTheme="minorHAnsi"/>
          <w:i/>
          <w:szCs w:val="18"/>
        </w:rPr>
        <w:noBreakHyphen/>
        <w:t>Wide (LAW) Survey</w:t>
      </w:r>
      <w:r w:rsidRPr="00040A72">
        <w:rPr>
          <w:rFonts w:asciiTheme="minorHAnsi" w:hAnsiTheme="minorHAnsi"/>
          <w:szCs w:val="18"/>
        </w:rPr>
        <w:t>,</w:t>
      </w:r>
      <w:r w:rsidRPr="00040A72">
        <w:rPr>
          <w:rFonts w:asciiTheme="minorHAnsi" w:hAnsiTheme="minorHAnsi"/>
          <w:i/>
          <w:szCs w:val="18"/>
        </w:rPr>
        <w:t xml:space="preserve"> </w:t>
      </w:r>
      <w:r w:rsidRPr="00040A72">
        <w:rPr>
          <w:rFonts w:asciiTheme="minorHAnsi" w:hAnsiTheme="minorHAnsi"/>
          <w:szCs w:val="18"/>
        </w:rPr>
        <w:t xml:space="preserve">undertaken in 2008, examined legal need and responses to legal need. A more contained survey should be repeated on a regular basis’ and ‘Regular surveys should be undertaken to better measure unmet need of particular groups, including Aboriginal and Torres Strait Islander people’: </w:t>
      </w:r>
      <w:r w:rsidRPr="00040A72">
        <w:rPr>
          <w:rFonts w:asciiTheme="minorHAnsi" w:hAnsiTheme="minorHAnsi" w:cs="Arial"/>
          <w:szCs w:val="18"/>
        </w:rPr>
        <w:t xml:space="preserve">Productivity Commission of Australia, Access to Justice Arrangements Inquiry Report No 72 (September 2014) </w:t>
      </w:r>
      <w:r w:rsidRPr="00040A72">
        <w:rPr>
          <w:rFonts w:asciiTheme="minorHAnsi" w:hAnsiTheme="minorHAnsi"/>
          <w:szCs w:val="18"/>
        </w:rPr>
        <w:t xml:space="preserve">Appendix J, Table J.1.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403B04" w14:textId="0E6BCB37" w:rsidR="000B1C05" w:rsidRDefault="000B1C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AFB06" w14:textId="659C8D72" w:rsidR="000B1C05" w:rsidRDefault="000B1C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303AD" w14:textId="585FC356" w:rsidR="000B1C05" w:rsidRDefault="000B1C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1">
    <w:nsid w:val="01F71CCC"/>
    <w:multiLevelType w:val="hybridMultilevel"/>
    <w:tmpl w:val="51A45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C016F6"/>
    <w:multiLevelType w:val="hybridMultilevel"/>
    <w:tmpl w:val="FB405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E47AC5"/>
    <w:multiLevelType w:val="hybridMultilevel"/>
    <w:tmpl w:val="345ADD5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21DF2"/>
    <w:multiLevelType w:val="hybridMultilevel"/>
    <w:tmpl w:val="2C60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DC7973"/>
    <w:multiLevelType w:val="multilevel"/>
    <w:tmpl w:val="85DCB1C2"/>
    <w:lvl w:ilvl="0">
      <w:start w:val="1"/>
      <w:numFmt w:val="lowerRoman"/>
      <w:lvlRestart w:val="0"/>
      <w:pStyle w:val="Romannumeral"/>
      <w:lvlText w:val="(%1)"/>
      <w:lvlJc w:val="left"/>
      <w:pPr>
        <w:tabs>
          <w:tab w:val="num" w:pos="1701"/>
        </w:tabs>
        <w:ind w:left="1701" w:hanging="567"/>
      </w:pPr>
      <w:rPr>
        <w:rFonts w:cs="Times New Roman" w:hint="default"/>
        <w:b w:val="0"/>
        <w:i w:val="0"/>
        <w:color w:val="000000"/>
      </w:rPr>
    </w:lvl>
    <w:lvl w:ilvl="1">
      <w:start w:val="1"/>
      <w:numFmt w:val="decimal"/>
      <w:pStyle w:val="ScheduleNumberedPara"/>
      <w:lvlText w:val="(%2)"/>
      <w:lvlJc w:val="left"/>
      <w:pPr>
        <w:tabs>
          <w:tab w:val="num" w:pos="1701"/>
        </w:tabs>
        <w:ind w:left="1701" w:hanging="283"/>
      </w:pPr>
      <w:rPr>
        <w:rFonts w:cs="Times New Roman" w:hint="default"/>
        <w:b w:val="0"/>
        <w:i w:val="0"/>
        <w:color w:val="000000"/>
      </w:rPr>
    </w:lvl>
    <w:lvl w:ilvl="2">
      <w:start w:val="1"/>
      <w:numFmt w:val="decimal"/>
      <w:lvlText w:val="%3"/>
      <w:lvlJc w:val="left"/>
      <w:pPr>
        <w:tabs>
          <w:tab w:val="num" w:pos="2268"/>
        </w:tabs>
        <w:ind w:left="2268" w:hanging="567"/>
      </w:pPr>
      <w:rPr>
        <w:rFonts w:cs="Times New Roman" w:hint="default"/>
        <w:b w:val="0"/>
        <w:i w:val="0"/>
        <w:color w:val="000000"/>
      </w:rPr>
    </w:lvl>
    <w:lvl w:ilvl="3">
      <w:start w:val="1"/>
      <w:numFmt w:val="decimal"/>
      <w:lvlText w:val="%4"/>
      <w:lvlJc w:val="left"/>
      <w:pPr>
        <w:tabs>
          <w:tab w:val="num" w:pos="2835"/>
        </w:tabs>
        <w:ind w:left="2835" w:hanging="567"/>
      </w:pPr>
      <w:rPr>
        <w:rFonts w:cs="Times New Roman" w:hint="default"/>
        <w:b w:val="0"/>
        <w:i w:val="0"/>
        <w:color w:val="000000"/>
      </w:rPr>
    </w:lvl>
    <w:lvl w:ilvl="4">
      <w:start w:val="1"/>
      <w:numFmt w:val="decimal"/>
      <w:lvlText w:val="%5"/>
      <w:lvlJc w:val="left"/>
      <w:pPr>
        <w:tabs>
          <w:tab w:val="num" w:pos="3402"/>
        </w:tabs>
        <w:ind w:left="3402" w:hanging="567"/>
      </w:pPr>
      <w:rPr>
        <w:rFonts w:cs="Times New Roman" w:hint="default"/>
        <w:b w:val="0"/>
        <w:i w:val="0"/>
        <w:color w:val="000000"/>
      </w:rPr>
    </w:lvl>
    <w:lvl w:ilvl="5">
      <w:start w:val="1"/>
      <w:numFmt w:val="decimal"/>
      <w:lvlText w:val="%6"/>
      <w:lvlJc w:val="left"/>
      <w:pPr>
        <w:tabs>
          <w:tab w:val="num" w:pos="3969"/>
        </w:tabs>
        <w:ind w:left="3969" w:hanging="567"/>
      </w:pPr>
      <w:rPr>
        <w:rFonts w:cs="Times New Roman" w:hint="default"/>
        <w:b w:val="0"/>
        <w:i w:val="0"/>
        <w:color w:val="000000"/>
      </w:rPr>
    </w:lvl>
    <w:lvl w:ilvl="6">
      <w:start w:val="1"/>
      <w:numFmt w:val="decimal"/>
      <w:lvlText w:val="%7"/>
      <w:lvlJc w:val="left"/>
      <w:pPr>
        <w:tabs>
          <w:tab w:val="num" w:pos="4536"/>
        </w:tabs>
        <w:ind w:left="4536" w:hanging="567"/>
      </w:pPr>
      <w:rPr>
        <w:rFonts w:cs="Times New Roman" w:hint="default"/>
        <w:b w:val="0"/>
        <w:i w:val="0"/>
        <w:color w:val="000000"/>
      </w:rPr>
    </w:lvl>
    <w:lvl w:ilvl="7">
      <w:start w:val="1"/>
      <w:numFmt w:val="decimal"/>
      <w:lvlText w:val="%8"/>
      <w:lvlJc w:val="left"/>
      <w:pPr>
        <w:tabs>
          <w:tab w:val="num" w:pos="5103"/>
        </w:tabs>
        <w:ind w:left="5103" w:hanging="567"/>
      </w:pPr>
      <w:rPr>
        <w:rFonts w:cs="Times New Roman" w:hint="default"/>
        <w:b w:val="0"/>
        <w:i w:val="0"/>
        <w:color w:val="000000"/>
      </w:rPr>
    </w:lvl>
    <w:lvl w:ilvl="8">
      <w:start w:val="1"/>
      <w:numFmt w:val="decimal"/>
      <w:lvlText w:val="%9"/>
      <w:lvlJc w:val="left"/>
      <w:pPr>
        <w:tabs>
          <w:tab w:val="num" w:pos="5670"/>
        </w:tabs>
        <w:ind w:left="5670" w:hanging="567"/>
      </w:pPr>
      <w:rPr>
        <w:rFonts w:cs="Times New Roman" w:hint="default"/>
        <w:b w:val="0"/>
        <w:i w:val="0"/>
        <w:color w:val="000000"/>
      </w:rPr>
    </w:lvl>
  </w:abstractNum>
  <w:abstractNum w:abstractNumId="6">
    <w:nsid w:val="128D5D29"/>
    <w:multiLevelType w:val="multilevel"/>
    <w:tmpl w:val="74069210"/>
    <w:lvl w:ilvl="0">
      <w:start w:val="1"/>
      <w:numFmt w:val="decimal"/>
      <w:pStyle w:val="Numlevel1"/>
      <w:lvlText w:val="%1."/>
      <w:lvlJc w:val="left"/>
      <w:pPr>
        <w:ind w:left="360" w:hanging="360"/>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7956727"/>
    <w:multiLevelType w:val="hybridMultilevel"/>
    <w:tmpl w:val="394A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B40550"/>
    <w:multiLevelType w:val="hybridMultilevel"/>
    <w:tmpl w:val="6464D476"/>
    <w:lvl w:ilvl="0" w:tplc="257670B6">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DCB237C"/>
    <w:multiLevelType w:val="hybridMultilevel"/>
    <w:tmpl w:val="EE96939A"/>
    <w:lvl w:ilvl="0" w:tplc="A32EC982">
      <w:start w:val="1"/>
      <w:numFmt w:val="decimal"/>
      <w:pStyle w:val="SubmissionNormal"/>
      <w:lvlText w:val="%1."/>
      <w:lvlJc w:val="left"/>
      <w:pPr>
        <w:tabs>
          <w:tab w:val="num" w:pos="1069"/>
        </w:tabs>
        <w:ind w:left="1069" w:hanging="360"/>
      </w:pPr>
      <w:rPr>
        <w:rFonts w:hint="default"/>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0CE2F0E"/>
    <w:multiLevelType w:val="hybridMultilevel"/>
    <w:tmpl w:val="E7ECC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E577B9C"/>
    <w:multiLevelType w:val="hybridMultilevel"/>
    <w:tmpl w:val="CA047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1467F55"/>
    <w:multiLevelType w:val="hybridMultilevel"/>
    <w:tmpl w:val="FB00DE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EBA2D89"/>
    <w:multiLevelType w:val="hybridMultilevel"/>
    <w:tmpl w:val="1764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F3742C"/>
    <w:multiLevelType w:val="hybridMultilevel"/>
    <w:tmpl w:val="176AA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nsid w:val="573422F4"/>
    <w:multiLevelType w:val="hybridMultilevel"/>
    <w:tmpl w:val="69E8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221080"/>
    <w:multiLevelType w:val="hybridMultilevel"/>
    <w:tmpl w:val="539AC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1D90995"/>
    <w:multiLevelType w:val="hybridMultilevel"/>
    <w:tmpl w:val="AE0ED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3586EB1"/>
    <w:multiLevelType w:val="hybridMultilevel"/>
    <w:tmpl w:val="A8704B36"/>
    <w:lvl w:ilvl="0" w:tplc="A83469AE">
      <w:start w:val="3"/>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611B3D"/>
    <w:multiLevelType w:val="multilevel"/>
    <w:tmpl w:val="BFA239F6"/>
    <w:name w:val="List"/>
    <w:lvl w:ilvl="0">
      <w:start w:val="1"/>
      <w:numFmt w:val="decimal"/>
      <w:pStyle w:val="Level1List"/>
      <w:lvlText w:val="%1."/>
      <w:lvlJc w:val="left"/>
      <w:pPr>
        <w:tabs>
          <w:tab w:val="num" w:pos="720"/>
        </w:tabs>
        <w:ind w:left="720" w:hanging="720"/>
      </w:pPr>
      <w:rPr>
        <w:b w:val="0"/>
        <w:sz w:val="21"/>
      </w:rPr>
    </w:lvl>
    <w:lvl w:ilvl="1">
      <w:start w:val="1"/>
      <w:numFmt w:val="lowerLetter"/>
      <w:pStyle w:val="Level2List"/>
      <w:lvlText w:val="(%2)"/>
      <w:lvlJc w:val="left"/>
      <w:pPr>
        <w:tabs>
          <w:tab w:val="num" w:pos="1440"/>
        </w:tabs>
        <w:ind w:left="1440" w:hanging="720"/>
      </w:pPr>
      <w:rPr>
        <w:b w:val="0"/>
        <w:sz w:val="21"/>
      </w:rPr>
    </w:lvl>
    <w:lvl w:ilvl="2">
      <w:start w:val="1"/>
      <w:numFmt w:val="lowerRoman"/>
      <w:pStyle w:val="Level3List"/>
      <w:lvlText w:val="(%3)"/>
      <w:lvlJc w:val="left"/>
      <w:pPr>
        <w:tabs>
          <w:tab w:val="num" w:pos="2160"/>
        </w:tabs>
        <w:ind w:left="2160" w:hanging="720"/>
      </w:pPr>
      <w:rPr>
        <w:b w:val="0"/>
        <w:sz w:val="21"/>
      </w:rPr>
    </w:lvl>
    <w:lvl w:ilvl="3">
      <w:start w:val="1"/>
      <w:numFmt w:val="upperLetter"/>
      <w:pStyle w:val="Level4List"/>
      <w:lvlText w:val="(%4)"/>
      <w:lvlJc w:val="left"/>
      <w:pPr>
        <w:tabs>
          <w:tab w:val="num" w:pos="2880"/>
        </w:tabs>
        <w:ind w:left="2880" w:hanging="720"/>
      </w:pPr>
      <w:rPr>
        <w:b w:val="0"/>
        <w:sz w:val="20"/>
      </w:rPr>
    </w:lvl>
    <w:lvl w:ilvl="4">
      <w:start w:val="1"/>
      <w:numFmt w:val="decimal"/>
      <w:pStyle w:val="Level5List"/>
      <w:lvlText w:val="(%5)"/>
      <w:lvlJc w:val="left"/>
      <w:pPr>
        <w:tabs>
          <w:tab w:val="num" w:pos="3600"/>
        </w:tabs>
        <w:ind w:left="3600" w:hanging="720"/>
      </w:pPr>
      <w:rPr>
        <w:b w:val="0"/>
        <w:sz w:val="2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664B1C70"/>
    <w:multiLevelType w:val="hybridMultilevel"/>
    <w:tmpl w:val="6464D476"/>
    <w:lvl w:ilvl="0" w:tplc="257670B6">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284145E"/>
    <w:multiLevelType w:val="hybridMultilevel"/>
    <w:tmpl w:val="0A085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5B74384"/>
    <w:multiLevelType w:val="hybridMultilevel"/>
    <w:tmpl w:val="D436C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A9A4831"/>
    <w:multiLevelType w:val="hybridMultilevel"/>
    <w:tmpl w:val="A3A43C1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9"/>
  </w:num>
  <w:num w:numId="2">
    <w:abstractNumId w:val="21"/>
  </w:num>
  <w:num w:numId="3">
    <w:abstractNumId w:val="15"/>
  </w:num>
  <w:num w:numId="4">
    <w:abstractNumId w:val="5"/>
  </w:num>
  <w:num w:numId="5">
    <w:abstractNumId w:val="16"/>
  </w:num>
  <w:num w:numId="6">
    <w:abstractNumId w:val="4"/>
  </w:num>
  <w:num w:numId="7">
    <w:abstractNumId w:val="6"/>
  </w:num>
  <w:num w:numId="8">
    <w:abstractNumId w:val="11"/>
  </w:num>
  <w:num w:numId="9">
    <w:abstractNumId w:val="22"/>
  </w:num>
  <w:num w:numId="10">
    <w:abstractNumId w:val="8"/>
  </w:num>
  <w:num w:numId="11">
    <w:abstractNumId w:val="12"/>
  </w:num>
  <w:num w:numId="12">
    <w:abstractNumId w:val="14"/>
  </w:num>
  <w:num w:numId="13">
    <w:abstractNumId w:val="17"/>
  </w:num>
  <w:num w:numId="14">
    <w:abstractNumId w:val="0"/>
  </w:num>
  <w:num w:numId="15">
    <w:abstractNumId w:val="1"/>
  </w:num>
  <w:num w:numId="16">
    <w:abstractNumId w:val="19"/>
  </w:num>
  <w:num w:numId="17">
    <w:abstractNumId w:val="23"/>
  </w:num>
  <w:num w:numId="18">
    <w:abstractNumId w:val="10"/>
  </w:num>
  <w:num w:numId="19">
    <w:abstractNumId w:val="13"/>
  </w:num>
  <w:num w:numId="20">
    <w:abstractNumId w:val="25"/>
  </w:num>
  <w:num w:numId="21">
    <w:abstractNumId w:val="20"/>
  </w:num>
  <w:num w:numId="22">
    <w:abstractNumId w:val="3"/>
  </w:num>
  <w:num w:numId="23">
    <w:abstractNumId w:val="18"/>
  </w:num>
  <w:num w:numId="24">
    <w:abstractNumId w:val="24"/>
  </w:num>
  <w:num w:numId="25">
    <w:abstractNumId w:val="7"/>
  </w:num>
  <w:num w:numId="26">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2A5"/>
    <w:rsid w:val="000004EC"/>
    <w:rsid w:val="000101BF"/>
    <w:rsid w:val="000106D6"/>
    <w:rsid w:val="00011172"/>
    <w:rsid w:val="00030943"/>
    <w:rsid w:val="000368C1"/>
    <w:rsid w:val="00040A72"/>
    <w:rsid w:val="00044914"/>
    <w:rsid w:val="00050854"/>
    <w:rsid w:val="0005260D"/>
    <w:rsid w:val="00054422"/>
    <w:rsid w:val="00054BC1"/>
    <w:rsid w:val="0006148C"/>
    <w:rsid w:val="00063FFC"/>
    <w:rsid w:val="00064D8A"/>
    <w:rsid w:val="000837A7"/>
    <w:rsid w:val="000B1C05"/>
    <w:rsid w:val="000C02C1"/>
    <w:rsid w:val="000C211D"/>
    <w:rsid w:val="000C4FA8"/>
    <w:rsid w:val="000C4FDF"/>
    <w:rsid w:val="000F130F"/>
    <w:rsid w:val="000F4081"/>
    <w:rsid w:val="000F4410"/>
    <w:rsid w:val="000F66A6"/>
    <w:rsid w:val="000F6F57"/>
    <w:rsid w:val="00103219"/>
    <w:rsid w:val="00106408"/>
    <w:rsid w:val="00111BFA"/>
    <w:rsid w:val="00116D8E"/>
    <w:rsid w:val="001303F2"/>
    <w:rsid w:val="00134873"/>
    <w:rsid w:val="00136F59"/>
    <w:rsid w:val="001416C0"/>
    <w:rsid w:val="001433CB"/>
    <w:rsid w:val="00146C58"/>
    <w:rsid w:val="0014782B"/>
    <w:rsid w:val="001532A5"/>
    <w:rsid w:val="00156C23"/>
    <w:rsid w:val="001705AD"/>
    <w:rsid w:val="00170A54"/>
    <w:rsid w:val="00177ADE"/>
    <w:rsid w:val="00181619"/>
    <w:rsid w:val="00184BD3"/>
    <w:rsid w:val="00186F41"/>
    <w:rsid w:val="0019015B"/>
    <w:rsid w:val="001A4E23"/>
    <w:rsid w:val="001B7B20"/>
    <w:rsid w:val="001C01C9"/>
    <w:rsid w:val="001C322C"/>
    <w:rsid w:val="001C3992"/>
    <w:rsid w:val="001D0A59"/>
    <w:rsid w:val="001D1CDC"/>
    <w:rsid w:val="001E1282"/>
    <w:rsid w:val="001E7CB1"/>
    <w:rsid w:val="001F1263"/>
    <w:rsid w:val="00201239"/>
    <w:rsid w:val="00204187"/>
    <w:rsid w:val="00206763"/>
    <w:rsid w:val="002141B0"/>
    <w:rsid w:val="00214B13"/>
    <w:rsid w:val="00223D4A"/>
    <w:rsid w:val="00237C54"/>
    <w:rsid w:val="00241D41"/>
    <w:rsid w:val="002554C4"/>
    <w:rsid w:val="00257BDD"/>
    <w:rsid w:val="00262FC9"/>
    <w:rsid w:val="00264C11"/>
    <w:rsid w:val="00276352"/>
    <w:rsid w:val="00282549"/>
    <w:rsid w:val="00285F97"/>
    <w:rsid w:val="002938BA"/>
    <w:rsid w:val="00293E5D"/>
    <w:rsid w:val="00295236"/>
    <w:rsid w:val="002A0B6F"/>
    <w:rsid w:val="002A3F34"/>
    <w:rsid w:val="002B50EA"/>
    <w:rsid w:val="002C6789"/>
    <w:rsid w:val="002D6183"/>
    <w:rsid w:val="002D6393"/>
    <w:rsid w:val="002E0862"/>
    <w:rsid w:val="002E36CF"/>
    <w:rsid w:val="002F260B"/>
    <w:rsid w:val="002F4003"/>
    <w:rsid w:val="00301124"/>
    <w:rsid w:val="00313A39"/>
    <w:rsid w:val="00315C85"/>
    <w:rsid w:val="00326184"/>
    <w:rsid w:val="003313AB"/>
    <w:rsid w:val="00340F04"/>
    <w:rsid w:val="00341912"/>
    <w:rsid w:val="00346AD5"/>
    <w:rsid w:val="00353900"/>
    <w:rsid w:val="00372E73"/>
    <w:rsid w:val="003735F5"/>
    <w:rsid w:val="0037692D"/>
    <w:rsid w:val="0038404E"/>
    <w:rsid w:val="00391EF2"/>
    <w:rsid w:val="003A2D7F"/>
    <w:rsid w:val="003B3897"/>
    <w:rsid w:val="003B546D"/>
    <w:rsid w:val="003D029E"/>
    <w:rsid w:val="003D302C"/>
    <w:rsid w:val="003E1EA1"/>
    <w:rsid w:val="003E2D0A"/>
    <w:rsid w:val="003E4127"/>
    <w:rsid w:val="003E66E8"/>
    <w:rsid w:val="003F0BBD"/>
    <w:rsid w:val="003F29AA"/>
    <w:rsid w:val="003F6EFD"/>
    <w:rsid w:val="00402127"/>
    <w:rsid w:val="004041AB"/>
    <w:rsid w:val="004051BD"/>
    <w:rsid w:val="0041388C"/>
    <w:rsid w:val="004211F7"/>
    <w:rsid w:val="00421268"/>
    <w:rsid w:val="00422B26"/>
    <w:rsid w:val="004334D8"/>
    <w:rsid w:val="0043685B"/>
    <w:rsid w:val="004408C3"/>
    <w:rsid w:val="004446E3"/>
    <w:rsid w:val="004447A8"/>
    <w:rsid w:val="00466F31"/>
    <w:rsid w:val="004752EC"/>
    <w:rsid w:val="0047562C"/>
    <w:rsid w:val="004857CD"/>
    <w:rsid w:val="004A42A5"/>
    <w:rsid w:val="004A63CE"/>
    <w:rsid w:val="004B33C6"/>
    <w:rsid w:val="004C5404"/>
    <w:rsid w:val="004D4827"/>
    <w:rsid w:val="004E63D7"/>
    <w:rsid w:val="004F2230"/>
    <w:rsid w:val="005041F7"/>
    <w:rsid w:val="00510BD9"/>
    <w:rsid w:val="0051689F"/>
    <w:rsid w:val="00526C3F"/>
    <w:rsid w:val="0053231F"/>
    <w:rsid w:val="00535B17"/>
    <w:rsid w:val="005441D7"/>
    <w:rsid w:val="00547339"/>
    <w:rsid w:val="005501ED"/>
    <w:rsid w:val="00550B03"/>
    <w:rsid w:val="00551725"/>
    <w:rsid w:val="00551CD7"/>
    <w:rsid w:val="00553487"/>
    <w:rsid w:val="005630E7"/>
    <w:rsid w:val="00574468"/>
    <w:rsid w:val="005779C1"/>
    <w:rsid w:val="00587FBF"/>
    <w:rsid w:val="0059264B"/>
    <w:rsid w:val="0059348A"/>
    <w:rsid w:val="0059539B"/>
    <w:rsid w:val="005A041F"/>
    <w:rsid w:val="005A68EA"/>
    <w:rsid w:val="005A6FCF"/>
    <w:rsid w:val="005B1CF6"/>
    <w:rsid w:val="005D5832"/>
    <w:rsid w:val="005D5D7F"/>
    <w:rsid w:val="005E563B"/>
    <w:rsid w:val="005E571B"/>
    <w:rsid w:val="005F50DB"/>
    <w:rsid w:val="00605362"/>
    <w:rsid w:val="006128BF"/>
    <w:rsid w:val="00613183"/>
    <w:rsid w:val="00614D1A"/>
    <w:rsid w:val="0064513C"/>
    <w:rsid w:val="006511B2"/>
    <w:rsid w:val="006576DA"/>
    <w:rsid w:val="00657ADC"/>
    <w:rsid w:val="00663717"/>
    <w:rsid w:val="00664D2B"/>
    <w:rsid w:val="006706B1"/>
    <w:rsid w:val="00673777"/>
    <w:rsid w:val="00676324"/>
    <w:rsid w:val="006805BC"/>
    <w:rsid w:val="00684C17"/>
    <w:rsid w:val="00685FDB"/>
    <w:rsid w:val="006928DA"/>
    <w:rsid w:val="00692A9C"/>
    <w:rsid w:val="00695C0E"/>
    <w:rsid w:val="006A170A"/>
    <w:rsid w:val="006A4D09"/>
    <w:rsid w:val="006C05EA"/>
    <w:rsid w:val="006C2092"/>
    <w:rsid w:val="006C24F7"/>
    <w:rsid w:val="006C32B2"/>
    <w:rsid w:val="006E1A95"/>
    <w:rsid w:val="006E59DD"/>
    <w:rsid w:val="006E7EA7"/>
    <w:rsid w:val="006F6EF2"/>
    <w:rsid w:val="00700EE2"/>
    <w:rsid w:val="00701803"/>
    <w:rsid w:val="0070267E"/>
    <w:rsid w:val="007027A6"/>
    <w:rsid w:val="0070372F"/>
    <w:rsid w:val="00703F08"/>
    <w:rsid w:val="00704C97"/>
    <w:rsid w:val="00711634"/>
    <w:rsid w:val="00711BB9"/>
    <w:rsid w:val="00711E6F"/>
    <w:rsid w:val="0071221B"/>
    <w:rsid w:val="007146D3"/>
    <w:rsid w:val="007152B9"/>
    <w:rsid w:val="00732B5D"/>
    <w:rsid w:val="00735264"/>
    <w:rsid w:val="0073740B"/>
    <w:rsid w:val="0074292F"/>
    <w:rsid w:val="00745051"/>
    <w:rsid w:val="007517A0"/>
    <w:rsid w:val="007659D2"/>
    <w:rsid w:val="0076686E"/>
    <w:rsid w:val="007677D8"/>
    <w:rsid w:val="0078135F"/>
    <w:rsid w:val="00784723"/>
    <w:rsid w:val="007933CE"/>
    <w:rsid w:val="00793544"/>
    <w:rsid w:val="00793AA1"/>
    <w:rsid w:val="007A3185"/>
    <w:rsid w:val="007A5834"/>
    <w:rsid w:val="007A7679"/>
    <w:rsid w:val="007B40A5"/>
    <w:rsid w:val="007B4AE7"/>
    <w:rsid w:val="007B7402"/>
    <w:rsid w:val="007C2467"/>
    <w:rsid w:val="007D0038"/>
    <w:rsid w:val="007D1110"/>
    <w:rsid w:val="007D5E70"/>
    <w:rsid w:val="007E1E64"/>
    <w:rsid w:val="007F0FC4"/>
    <w:rsid w:val="007F2017"/>
    <w:rsid w:val="007F2447"/>
    <w:rsid w:val="008075DC"/>
    <w:rsid w:val="00815D6D"/>
    <w:rsid w:val="0082535C"/>
    <w:rsid w:val="00827196"/>
    <w:rsid w:val="008316F2"/>
    <w:rsid w:val="0083787B"/>
    <w:rsid w:val="0084455A"/>
    <w:rsid w:val="008555C2"/>
    <w:rsid w:val="00857B85"/>
    <w:rsid w:val="00862E10"/>
    <w:rsid w:val="008656CB"/>
    <w:rsid w:val="00892719"/>
    <w:rsid w:val="008931B3"/>
    <w:rsid w:val="00893985"/>
    <w:rsid w:val="008943BF"/>
    <w:rsid w:val="00895361"/>
    <w:rsid w:val="0089753F"/>
    <w:rsid w:val="008A3231"/>
    <w:rsid w:val="008A5AA8"/>
    <w:rsid w:val="008C0144"/>
    <w:rsid w:val="008C05D0"/>
    <w:rsid w:val="008C1EFB"/>
    <w:rsid w:val="008C3C40"/>
    <w:rsid w:val="008C725F"/>
    <w:rsid w:val="008D2E72"/>
    <w:rsid w:val="008E27DD"/>
    <w:rsid w:val="008F3831"/>
    <w:rsid w:val="008F5CD3"/>
    <w:rsid w:val="00901E28"/>
    <w:rsid w:val="00906A10"/>
    <w:rsid w:val="00922B9E"/>
    <w:rsid w:val="0092763B"/>
    <w:rsid w:val="00927A7A"/>
    <w:rsid w:val="00932122"/>
    <w:rsid w:val="0093640B"/>
    <w:rsid w:val="009378CA"/>
    <w:rsid w:val="00942CE7"/>
    <w:rsid w:val="00944537"/>
    <w:rsid w:val="00946131"/>
    <w:rsid w:val="00946396"/>
    <w:rsid w:val="00947BD5"/>
    <w:rsid w:val="009546EB"/>
    <w:rsid w:val="0097240E"/>
    <w:rsid w:val="00975C66"/>
    <w:rsid w:val="00980CA1"/>
    <w:rsid w:val="00985B60"/>
    <w:rsid w:val="009863B2"/>
    <w:rsid w:val="009A6B8E"/>
    <w:rsid w:val="009B014F"/>
    <w:rsid w:val="009B1C2E"/>
    <w:rsid w:val="009B48C2"/>
    <w:rsid w:val="009C5246"/>
    <w:rsid w:val="009D2BE8"/>
    <w:rsid w:val="009D3290"/>
    <w:rsid w:val="009D721A"/>
    <w:rsid w:val="009E0826"/>
    <w:rsid w:val="009E2EA0"/>
    <w:rsid w:val="009F5969"/>
    <w:rsid w:val="00A1083E"/>
    <w:rsid w:val="00A13DBE"/>
    <w:rsid w:val="00A15FAF"/>
    <w:rsid w:val="00A16F54"/>
    <w:rsid w:val="00A352AB"/>
    <w:rsid w:val="00A410FA"/>
    <w:rsid w:val="00A437E1"/>
    <w:rsid w:val="00A62E79"/>
    <w:rsid w:val="00A67E65"/>
    <w:rsid w:val="00A70F19"/>
    <w:rsid w:val="00A73C4E"/>
    <w:rsid w:val="00A75F55"/>
    <w:rsid w:val="00A97B64"/>
    <w:rsid w:val="00AA1D63"/>
    <w:rsid w:val="00AA2802"/>
    <w:rsid w:val="00AA41C1"/>
    <w:rsid w:val="00AA4F3D"/>
    <w:rsid w:val="00AB29B3"/>
    <w:rsid w:val="00AF6F6E"/>
    <w:rsid w:val="00B049FF"/>
    <w:rsid w:val="00B11300"/>
    <w:rsid w:val="00B1640D"/>
    <w:rsid w:val="00B22502"/>
    <w:rsid w:val="00B265BF"/>
    <w:rsid w:val="00B300DD"/>
    <w:rsid w:val="00B357A6"/>
    <w:rsid w:val="00B4248C"/>
    <w:rsid w:val="00B45C46"/>
    <w:rsid w:val="00B46C7D"/>
    <w:rsid w:val="00B50082"/>
    <w:rsid w:val="00B50358"/>
    <w:rsid w:val="00B5338B"/>
    <w:rsid w:val="00B557DA"/>
    <w:rsid w:val="00B56A97"/>
    <w:rsid w:val="00B60A26"/>
    <w:rsid w:val="00B81687"/>
    <w:rsid w:val="00B81C3F"/>
    <w:rsid w:val="00B919C4"/>
    <w:rsid w:val="00B94EBF"/>
    <w:rsid w:val="00BA1AE2"/>
    <w:rsid w:val="00BA235E"/>
    <w:rsid w:val="00BA394C"/>
    <w:rsid w:val="00BA5AE5"/>
    <w:rsid w:val="00BA6A03"/>
    <w:rsid w:val="00BA72B0"/>
    <w:rsid w:val="00BB6F58"/>
    <w:rsid w:val="00BE5C0C"/>
    <w:rsid w:val="00BE681F"/>
    <w:rsid w:val="00BF2EF8"/>
    <w:rsid w:val="00BF4ABB"/>
    <w:rsid w:val="00BF6BD4"/>
    <w:rsid w:val="00C04EED"/>
    <w:rsid w:val="00C1000E"/>
    <w:rsid w:val="00C11766"/>
    <w:rsid w:val="00C12D35"/>
    <w:rsid w:val="00C17C82"/>
    <w:rsid w:val="00C34878"/>
    <w:rsid w:val="00C470C3"/>
    <w:rsid w:val="00C515A5"/>
    <w:rsid w:val="00C55DB9"/>
    <w:rsid w:val="00C560C6"/>
    <w:rsid w:val="00C56F21"/>
    <w:rsid w:val="00C629F0"/>
    <w:rsid w:val="00C662AF"/>
    <w:rsid w:val="00C67562"/>
    <w:rsid w:val="00C73D65"/>
    <w:rsid w:val="00C7566E"/>
    <w:rsid w:val="00C973A1"/>
    <w:rsid w:val="00CA1312"/>
    <w:rsid w:val="00CB0CE8"/>
    <w:rsid w:val="00CB6184"/>
    <w:rsid w:val="00CC12D7"/>
    <w:rsid w:val="00CC279E"/>
    <w:rsid w:val="00CD1748"/>
    <w:rsid w:val="00CD1F2A"/>
    <w:rsid w:val="00CD5308"/>
    <w:rsid w:val="00CD5A7F"/>
    <w:rsid w:val="00CE12FA"/>
    <w:rsid w:val="00CE32CC"/>
    <w:rsid w:val="00CE6E7A"/>
    <w:rsid w:val="00CE7B8B"/>
    <w:rsid w:val="00CF74D6"/>
    <w:rsid w:val="00D0032B"/>
    <w:rsid w:val="00D02BD9"/>
    <w:rsid w:val="00D0431B"/>
    <w:rsid w:val="00D139A3"/>
    <w:rsid w:val="00D1413C"/>
    <w:rsid w:val="00D23C4F"/>
    <w:rsid w:val="00D405A9"/>
    <w:rsid w:val="00D4313A"/>
    <w:rsid w:val="00D45D33"/>
    <w:rsid w:val="00D53A74"/>
    <w:rsid w:val="00D57C40"/>
    <w:rsid w:val="00D84F49"/>
    <w:rsid w:val="00D8769C"/>
    <w:rsid w:val="00D94AA3"/>
    <w:rsid w:val="00D94B03"/>
    <w:rsid w:val="00D964CF"/>
    <w:rsid w:val="00DA707F"/>
    <w:rsid w:val="00DB1CC1"/>
    <w:rsid w:val="00DB23DB"/>
    <w:rsid w:val="00DB2722"/>
    <w:rsid w:val="00DB7C20"/>
    <w:rsid w:val="00DD2896"/>
    <w:rsid w:val="00DE3C1C"/>
    <w:rsid w:val="00E065D1"/>
    <w:rsid w:val="00E10419"/>
    <w:rsid w:val="00E11DA5"/>
    <w:rsid w:val="00E1498A"/>
    <w:rsid w:val="00E22663"/>
    <w:rsid w:val="00E248D7"/>
    <w:rsid w:val="00E307B5"/>
    <w:rsid w:val="00E33AFC"/>
    <w:rsid w:val="00E42306"/>
    <w:rsid w:val="00E42D8F"/>
    <w:rsid w:val="00E443CC"/>
    <w:rsid w:val="00E47BF8"/>
    <w:rsid w:val="00E47DF9"/>
    <w:rsid w:val="00E5000B"/>
    <w:rsid w:val="00E52BDB"/>
    <w:rsid w:val="00E53DB2"/>
    <w:rsid w:val="00E653FB"/>
    <w:rsid w:val="00E738E6"/>
    <w:rsid w:val="00E80632"/>
    <w:rsid w:val="00E8515C"/>
    <w:rsid w:val="00E908AB"/>
    <w:rsid w:val="00E93B51"/>
    <w:rsid w:val="00EA0D6D"/>
    <w:rsid w:val="00EB4650"/>
    <w:rsid w:val="00EC1162"/>
    <w:rsid w:val="00ED3761"/>
    <w:rsid w:val="00ED56B5"/>
    <w:rsid w:val="00EE41EF"/>
    <w:rsid w:val="00EE45A4"/>
    <w:rsid w:val="00EF7614"/>
    <w:rsid w:val="00F05A69"/>
    <w:rsid w:val="00F15400"/>
    <w:rsid w:val="00F15852"/>
    <w:rsid w:val="00F17BE5"/>
    <w:rsid w:val="00F202F8"/>
    <w:rsid w:val="00F32432"/>
    <w:rsid w:val="00F335BC"/>
    <w:rsid w:val="00F40AE6"/>
    <w:rsid w:val="00F413D2"/>
    <w:rsid w:val="00F52E2B"/>
    <w:rsid w:val="00F563A1"/>
    <w:rsid w:val="00F64DE4"/>
    <w:rsid w:val="00F772F3"/>
    <w:rsid w:val="00F85FCC"/>
    <w:rsid w:val="00F868A8"/>
    <w:rsid w:val="00F96796"/>
    <w:rsid w:val="00FA0860"/>
    <w:rsid w:val="00FA2607"/>
    <w:rsid w:val="00FA7BDE"/>
    <w:rsid w:val="00FC02A8"/>
    <w:rsid w:val="00FC4DE4"/>
    <w:rsid w:val="00FC6793"/>
    <w:rsid w:val="00FD27F5"/>
    <w:rsid w:val="00FE5DC9"/>
    <w:rsid w:val="00FF03A4"/>
    <w:rsid w:val="00FF1A79"/>
    <w:rsid w:val="00FF28C3"/>
    <w:rsid w:val="00FF5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DB30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B54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2B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5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4EB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554C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D6D"/>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3B546D"/>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E52BDB"/>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3B546D"/>
    <w:rPr>
      <w:rFonts w:asciiTheme="majorHAnsi" w:eastAsiaTheme="majorEastAsia" w:hAnsiTheme="majorHAnsi" w:cstheme="majorBidi"/>
      <w:b/>
      <w:bCs/>
      <w:color w:val="4F81BD" w:themeColor="accent1"/>
      <w:lang w:val="en-GB"/>
    </w:rPr>
  </w:style>
  <w:style w:type="paragraph" w:styleId="TOCHeading">
    <w:name w:val="TOC Heading"/>
    <w:basedOn w:val="Heading1"/>
    <w:next w:val="Normal"/>
    <w:uiPriority w:val="39"/>
    <w:unhideWhenUsed/>
    <w:qFormat/>
    <w:rsid w:val="003B546D"/>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B546D"/>
    <w:pPr>
      <w:tabs>
        <w:tab w:val="right" w:pos="9010"/>
      </w:tabs>
      <w:spacing w:before="120" w:line="276" w:lineRule="auto"/>
    </w:pPr>
    <w:rPr>
      <w:rFonts w:ascii="Arial" w:hAnsi="Arial" w:cs="Arial"/>
      <w:b/>
      <w:noProof/>
      <w:color w:val="06378A"/>
      <w:sz w:val="28"/>
      <w:szCs w:val="22"/>
    </w:rPr>
  </w:style>
  <w:style w:type="paragraph" w:styleId="TOC2">
    <w:name w:val="toc 2"/>
    <w:basedOn w:val="Normal"/>
    <w:next w:val="Normal"/>
    <w:autoRedefine/>
    <w:uiPriority w:val="39"/>
    <w:unhideWhenUsed/>
    <w:rsid w:val="003B546D"/>
    <w:pPr>
      <w:tabs>
        <w:tab w:val="right" w:pos="9010"/>
      </w:tabs>
      <w:spacing w:line="276" w:lineRule="auto"/>
      <w:ind w:left="240"/>
    </w:pPr>
    <w:rPr>
      <w:rFonts w:ascii="Arial" w:hAnsi="Arial" w:cs="Arial"/>
      <w:noProof/>
      <w:color w:val="06378A"/>
      <w:sz w:val="22"/>
      <w:szCs w:val="22"/>
    </w:rPr>
  </w:style>
  <w:style w:type="paragraph" w:styleId="TOC3">
    <w:name w:val="toc 3"/>
    <w:basedOn w:val="Normal"/>
    <w:next w:val="Normal"/>
    <w:autoRedefine/>
    <w:uiPriority w:val="39"/>
    <w:unhideWhenUsed/>
    <w:rsid w:val="003B546D"/>
    <w:pPr>
      <w:tabs>
        <w:tab w:val="right" w:pos="9010"/>
      </w:tabs>
      <w:spacing w:line="276" w:lineRule="auto"/>
      <w:ind w:left="480"/>
    </w:pPr>
    <w:rPr>
      <w:sz w:val="22"/>
      <w:szCs w:val="22"/>
    </w:rPr>
  </w:style>
  <w:style w:type="paragraph" w:styleId="Footer">
    <w:name w:val="footer"/>
    <w:basedOn w:val="Normal"/>
    <w:link w:val="FooterChar"/>
    <w:uiPriority w:val="99"/>
    <w:unhideWhenUsed/>
    <w:rsid w:val="003B546D"/>
    <w:pPr>
      <w:tabs>
        <w:tab w:val="center" w:pos="4320"/>
        <w:tab w:val="right" w:pos="8640"/>
      </w:tabs>
    </w:pPr>
  </w:style>
  <w:style w:type="character" w:customStyle="1" w:styleId="FooterChar">
    <w:name w:val="Footer Char"/>
    <w:basedOn w:val="DefaultParagraphFont"/>
    <w:link w:val="Footer"/>
    <w:uiPriority w:val="99"/>
    <w:rsid w:val="003B546D"/>
    <w:rPr>
      <w:lang w:val="en-GB"/>
    </w:rPr>
  </w:style>
  <w:style w:type="character" w:styleId="PageNumber">
    <w:name w:val="page number"/>
    <w:basedOn w:val="DefaultParagraphFont"/>
    <w:uiPriority w:val="99"/>
    <w:semiHidden/>
    <w:unhideWhenUsed/>
    <w:rsid w:val="003B546D"/>
  </w:style>
  <w:style w:type="table" w:styleId="MediumGrid1-Accent5">
    <w:name w:val="Medium Grid 1 Accent 5"/>
    <w:basedOn w:val="TableNormal"/>
    <w:uiPriority w:val="67"/>
    <w:rsid w:val="003B546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3B546D"/>
    <w:pPr>
      <w:ind w:left="720"/>
      <w:contextualSpacing/>
    </w:pPr>
  </w:style>
  <w:style w:type="paragraph" w:styleId="Header">
    <w:name w:val="header"/>
    <w:basedOn w:val="Normal"/>
    <w:link w:val="HeaderChar"/>
    <w:uiPriority w:val="99"/>
    <w:unhideWhenUsed/>
    <w:rsid w:val="00340F04"/>
    <w:pPr>
      <w:tabs>
        <w:tab w:val="center" w:pos="4320"/>
        <w:tab w:val="right" w:pos="8640"/>
      </w:tabs>
    </w:pPr>
  </w:style>
  <w:style w:type="character" w:customStyle="1" w:styleId="HeaderChar">
    <w:name w:val="Header Char"/>
    <w:basedOn w:val="DefaultParagraphFont"/>
    <w:link w:val="Header"/>
    <w:uiPriority w:val="99"/>
    <w:rsid w:val="00340F04"/>
    <w:rPr>
      <w:lang w:val="en-GB"/>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iPriority w:val="99"/>
    <w:unhideWhenUsed/>
    <w:rsid w:val="007B40A5"/>
    <w:rPr>
      <w:rFonts w:ascii="Cambria" w:eastAsia="MS Mincho" w:hAnsi="Cambria" w:cs="Times New Roman"/>
      <w:sz w:val="22"/>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uiPriority w:val="99"/>
    <w:rsid w:val="007B40A5"/>
    <w:rPr>
      <w:rFonts w:ascii="Cambria" w:eastAsia="MS Mincho" w:hAnsi="Cambria" w:cs="Times New Roman"/>
      <w:sz w:val="22"/>
      <w:lang w:val="en-GB"/>
    </w:rPr>
  </w:style>
  <w:style w:type="character" w:styleId="FootnoteReference">
    <w:name w:val="footnote reference"/>
    <w:aliases w:val="Footnotes refss"/>
    <w:basedOn w:val="DefaultParagraphFont"/>
    <w:uiPriority w:val="99"/>
    <w:unhideWhenUsed/>
    <w:rsid w:val="007B40A5"/>
    <w:rPr>
      <w:vertAlign w:val="superscript"/>
    </w:rPr>
  </w:style>
  <w:style w:type="paragraph" w:styleId="EndnoteText">
    <w:name w:val="endnote text"/>
    <w:basedOn w:val="Normal"/>
    <w:link w:val="EndnoteTextChar"/>
    <w:uiPriority w:val="99"/>
    <w:unhideWhenUsed/>
    <w:rsid w:val="003313AB"/>
  </w:style>
  <w:style w:type="character" w:customStyle="1" w:styleId="EndnoteTextChar">
    <w:name w:val="Endnote Text Char"/>
    <w:basedOn w:val="DefaultParagraphFont"/>
    <w:link w:val="EndnoteText"/>
    <w:uiPriority w:val="99"/>
    <w:rsid w:val="003313AB"/>
    <w:rPr>
      <w:lang w:val="en-GB"/>
    </w:rPr>
  </w:style>
  <w:style w:type="character" w:styleId="EndnoteReference">
    <w:name w:val="endnote reference"/>
    <w:basedOn w:val="DefaultParagraphFont"/>
    <w:uiPriority w:val="99"/>
    <w:unhideWhenUsed/>
    <w:rsid w:val="003313AB"/>
    <w:rPr>
      <w:vertAlign w:val="superscript"/>
    </w:rPr>
  </w:style>
  <w:style w:type="character" w:styleId="Hyperlink">
    <w:name w:val="Hyperlink"/>
    <w:basedOn w:val="DefaultParagraphFont"/>
    <w:uiPriority w:val="99"/>
    <w:unhideWhenUsed/>
    <w:rsid w:val="005501ED"/>
    <w:rPr>
      <w:color w:val="0000FF" w:themeColor="hyperlink"/>
      <w:u w:val="single"/>
    </w:rPr>
  </w:style>
  <w:style w:type="paragraph" w:styleId="NoSpacing">
    <w:name w:val="No Spacing"/>
    <w:uiPriority w:val="1"/>
    <w:qFormat/>
    <w:rsid w:val="00784723"/>
    <w:rPr>
      <w:lang w:val="en-GB"/>
    </w:rPr>
  </w:style>
  <w:style w:type="paragraph" w:customStyle="1" w:styleId="Default">
    <w:name w:val="Default"/>
    <w:rsid w:val="00E22663"/>
    <w:pPr>
      <w:widowControl w:val="0"/>
      <w:autoSpaceDE w:val="0"/>
      <w:autoSpaceDN w:val="0"/>
      <w:adjustRightInd w:val="0"/>
    </w:pPr>
    <w:rPr>
      <w:rFonts w:ascii="Swis721 Lt BT" w:hAnsi="Swis721 Lt BT" w:cs="Swis721 Lt BT"/>
      <w:color w:val="000000"/>
    </w:rPr>
  </w:style>
  <w:style w:type="character" w:customStyle="1" w:styleId="A3">
    <w:name w:val="A3"/>
    <w:uiPriority w:val="99"/>
    <w:rsid w:val="00E22663"/>
    <w:rPr>
      <w:rFonts w:cs="Swis721 Lt BT"/>
      <w:color w:val="000000"/>
    </w:rPr>
  </w:style>
  <w:style w:type="paragraph" w:customStyle="1" w:styleId="Pa4">
    <w:name w:val="Pa4"/>
    <w:basedOn w:val="Default"/>
    <w:next w:val="Default"/>
    <w:uiPriority w:val="99"/>
    <w:rsid w:val="00C17C82"/>
    <w:pPr>
      <w:spacing w:line="181" w:lineRule="atLeast"/>
    </w:pPr>
    <w:rPr>
      <w:rFonts w:cs="Times New Roman"/>
      <w:color w:val="auto"/>
    </w:rPr>
  </w:style>
  <w:style w:type="paragraph" w:customStyle="1" w:styleId="Pa6">
    <w:name w:val="Pa6"/>
    <w:basedOn w:val="Default"/>
    <w:next w:val="Default"/>
    <w:uiPriority w:val="99"/>
    <w:rsid w:val="00C17C82"/>
    <w:pPr>
      <w:spacing w:line="181" w:lineRule="atLeast"/>
    </w:pPr>
    <w:rPr>
      <w:rFonts w:cs="Times New Roman"/>
      <w:color w:val="auto"/>
    </w:rPr>
  </w:style>
  <w:style w:type="paragraph" w:customStyle="1" w:styleId="SubmissionNormal">
    <w:name w:val="Submission Normal"/>
    <w:basedOn w:val="Normal"/>
    <w:link w:val="SubmissionNormalChar"/>
    <w:rsid w:val="00214B13"/>
    <w:pPr>
      <w:numPr>
        <w:numId w:val="1"/>
      </w:numPr>
      <w:spacing w:before="240" w:after="240"/>
    </w:pPr>
    <w:rPr>
      <w:rFonts w:ascii="Arial" w:eastAsia="Times New Roman" w:hAnsi="Arial" w:cs="Times New Roman"/>
      <w:lang w:val="en-AU" w:eastAsia="en-AU"/>
    </w:rPr>
  </w:style>
  <w:style w:type="character" w:customStyle="1" w:styleId="SubmissionNormalChar">
    <w:name w:val="Submission Normal Char"/>
    <w:link w:val="SubmissionNormal"/>
    <w:rsid w:val="00214B13"/>
    <w:rPr>
      <w:rFonts w:ascii="Arial" w:eastAsia="Times New Roman" w:hAnsi="Arial" w:cs="Times New Roman"/>
      <w:lang w:val="en-AU" w:eastAsia="en-AU"/>
    </w:rPr>
  </w:style>
  <w:style w:type="character" w:customStyle="1" w:styleId="EndnoteTextChar1">
    <w:name w:val="Endnote Text Char1"/>
    <w:rsid w:val="00947BD5"/>
    <w:rPr>
      <w:rFonts w:ascii="Arial" w:eastAsia="MS Mincho" w:hAnsi="Arial"/>
      <w:lang w:val="en-AU" w:eastAsia="en-AU" w:bidi="ar-SA"/>
    </w:rPr>
  </w:style>
  <w:style w:type="paragraph" w:customStyle="1" w:styleId="subsection">
    <w:name w:val="subsection"/>
    <w:aliases w:val="ss"/>
    <w:basedOn w:val="Normal"/>
    <w:link w:val="subsectionChar"/>
    <w:rsid w:val="00FF1A79"/>
    <w:pPr>
      <w:tabs>
        <w:tab w:val="right" w:pos="1021"/>
      </w:tabs>
      <w:spacing w:before="180"/>
      <w:ind w:left="1134" w:hanging="1134"/>
    </w:pPr>
    <w:rPr>
      <w:rFonts w:ascii="Times New Roman" w:eastAsia="Times New Roman" w:hAnsi="Times New Roman" w:cs="Times New Roman"/>
      <w:sz w:val="22"/>
      <w:szCs w:val="20"/>
      <w:lang w:val="en-AU" w:eastAsia="en-AU"/>
    </w:rPr>
  </w:style>
  <w:style w:type="paragraph" w:customStyle="1" w:styleId="paragraphsub">
    <w:name w:val="paragraph(sub)"/>
    <w:aliases w:val="aa"/>
    <w:basedOn w:val="Normal"/>
    <w:rsid w:val="00FF1A79"/>
    <w:pPr>
      <w:tabs>
        <w:tab w:val="right" w:pos="1985"/>
      </w:tabs>
      <w:spacing w:before="40"/>
      <w:ind w:left="2098" w:hanging="2098"/>
    </w:pPr>
    <w:rPr>
      <w:rFonts w:ascii="Times New Roman" w:eastAsia="Times New Roman" w:hAnsi="Times New Roman" w:cs="Times New Roman"/>
      <w:sz w:val="22"/>
      <w:szCs w:val="20"/>
      <w:lang w:val="en-AU" w:eastAsia="en-AU"/>
    </w:rPr>
  </w:style>
  <w:style w:type="paragraph" w:customStyle="1" w:styleId="paragraph">
    <w:name w:val="paragraph"/>
    <w:aliases w:val="a"/>
    <w:basedOn w:val="Normal"/>
    <w:link w:val="paragraphChar"/>
    <w:rsid w:val="00FF1A79"/>
    <w:pPr>
      <w:tabs>
        <w:tab w:val="right" w:pos="1531"/>
      </w:tabs>
      <w:spacing w:before="40"/>
      <w:ind w:left="1644" w:hanging="1644"/>
    </w:pPr>
    <w:rPr>
      <w:rFonts w:ascii="Times New Roman" w:eastAsia="Times New Roman" w:hAnsi="Times New Roman" w:cs="Times New Roman"/>
      <w:sz w:val="22"/>
      <w:szCs w:val="20"/>
      <w:lang w:val="en-AU" w:eastAsia="en-AU"/>
    </w:rPr>
  </w:style>
  <w:style w:type="paragraph" w:customStyle="1" w:styleId="notetext">
    <w:name w:val="note(text)"/>
    <w:aliases w:val="n"/>
    <w:basedOn w:val="Normal"/>
    <w:link w:val="notetextChar"/>
    <w:rsid w:val="00FF1A79"/>
    <w:pPr>
      <w:spacing w:before="122"/>
      <w:ind w:left="1985" w:hanging="851"/>
    </w:pPr>
    <w:rPr>
      <w:rFonts w:ascii="Times New Roman" w:eastAsia="Times New Roman" w:hAnsi="Times New Roman" w:cs="Times New Roman"/>
      <w:sz w:val="18"/>
      <w:szCs w:val="20"/>
      <w:lang w:val="en-AU" w:eastAsia="en-AU"/>
    </w:rPr>
  </w:style>
  <w:style w:type="character" w:customStyle="1" w:styleId="subsectionChar">
    <w:name w:val="subsection Char"/>
    <w:aliases w:val="ss Char"/>
    <w:link w:val="subsection"/>
    <w:rsid w:val="00FF1A79"/>
    <w:rPr>
      <w:rFonts w:ascii="Times New Roman" w:eastAsia="Times New Roman" w:hAnsi="Times New Roman" w:cs="Times New Roman"/>
      <w:sz w:val="22"/>
      <w:szCs w:val="20"/>
      <w:lang w:val="en-AU" w:eastAsia="en-AU"/>
    </w:rPr>
  </w:style>
  <w:style w:type="character" w:customStyle="1" w:styleId="paragraphChar">
    <w:name w:val="paragraph Char"/>
    <w:aliases w:val="a Char"/>
    <w:link w:val="paragraph"/>
    <w:rsid w:val="00FF1A79"/>
    <w:rPr>
      <w:rFonts w:ascii="Times New Roman" w:eastAsia="Times New Roman" w:hAnsi="Times New Roman" w:cs="Times New Roman"/>
      <w:sz w:val="22"/>
      <w:szCs w:val="20"/>
      <w:lang w:val="en-AU" w:eastAsia="en-AU"/>
    </w:rPr>
  </w:style>
  <w:style w:type="character" w:customStyle="1" w:styleId="notetextChar">
    <w:name w:val="note(text) Char"/>
    <w:aliases w:val="n Char"/>
    <w:link w:val="notetext"/>
    <w:rsid w:val="00FF1A79"/>
    <w:rPr>
      <w:rFonts w:ascii="Times New Roman" w:eastAsia="Times New Roman" w:hAnsi="Times New Roman" w:cs="Times New Roman"/>
      <w:sz w:val="18"/>
      <w:szCs w:val="20"/>
      <w:lang w:val="en-AU" w:eastAsia="en-AU"/>
    </w:rPr>
  </w:style>
  <w:style w:type="paragraph" w:customStyle="1" w:styleId="Definition">
    <w:name w:val="Definition"/>
    <w:aliases w:val="dd"/>
    <w:basedOn w:val="Normal"/>
    <w:rsid w:val="00FF1A79"/>
    <w:pPr>
      <w:spacing w:before="180"/>
      <w:ind w:left="1134"/>
    </w:pPr>
    <w:rPr>
      <w:rFonts w:ascii="Times New Roman" w:eastAsia="Times New Roman" w:hAnsi="Times New Roman" w:cs="Times New Roman"/>
      <w:sz w:val="22"/>
      <w:szCs w:val="20"/>
      <w:lang w:val="en-AU" w:eastAsia="en-AU"/>
    </w:rPr>
  </w:style>
  <w:style w:type="paragraph" w:styleId="NormalWeb">
    <w:name w:val="Normal (Web)"/>
    <w:basedOn w:val="Normal"/>
    <w:uiPriority w:val="99"/>
    <w:unhideWhenUsed/>
    <w:rsid w:val="00A16F54"/>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A16F54"/>
  </w:style>
  <w:style w:type="character" w:styleId="Emphasis">
    <w:name w:val="Emphasis"/>
    <w:basedOn w:val="DefaultParagraphFont"/>
    <w:uiPriority w:val="20"/>
    <w:qFormat/>
    <w:rsid w:val="00A16F54"/>
    <w:rPr>
      <w:i/>
      <w:iCs/>
    </w:rPr>
  </w:style>
  <w:style w:type="character" w:styleId="FollowedHyperlink">
    <w:name w:val="FollowedHyperlink"/>
    <w:basedOn w:val="DefaultParagraphFont"/>
    <w:uiPriority w:val="99"/>
    <w:semiHidden/>
    <w:unhideWhenUsed/>
    <w:rsid w:val="00D53A74"/>
    <w:rPr>
      <w:color w:val="800080" w:themeColor="followedHyperlink"/>
      <w:u w:val="single"/>
    </w:rPr>
  </w:style>
  <w:style w:type="character" w:styleId="CommentReference">
    <w:name w:val="annotation reference"/>
    <w:basedOn w:val="DefaultParagraphFont"/>
    <w:uiPriority w:val="99"/>
    <w:semiHidden/>
    <w:unhideWhenUsed/>
    <w:rsid w:val="00204187"/>
    <w:rPr>
      <w:sz w:val="18"/>
      <w:szCs w:val="18"/>
    </w:rPr>
  </w:style>
  <w:style w:type="paragraph" w:styleId="CommentText">
    <w:name w:val="annotation text"/>
    <w:basedOn w:val="Normal"/>
    <w:link w:val="CommentTextChar"/>
    <w:uiPriority w:val="99"/>
    <w:semiHidden/>
    <w:unhideWhenUsed/>
    <w:rsid w:val="00204187"/>
  </w:style>
  <w:style w:type="character" w:customStyle="1" w:styleId="CommentTextChar">
    <w:name w:val="Comment Text Char"/>
    <w:basedOn w:val="DefaultParagraphFont"/>
    <w:link w:val="CommentText"/>
    <w:uiPriority w:val="99"/>
    <w:semiHidden/>
    <w:rsid w:val="00204187"/>
    <w:rPr>
      <w:lang w:val="en-GB"/>
    </w:rPr>
  </w:style>
  <w:style w:type="paragraph" w:styleId="CommentSubject">
    <w:name w:val="annotation subject"/>
    <w:basedOn w:val="CommentText"/>
    <w:next w:val="CommentText"/>
    <w:link w:val="CommentSubjectChar"/>
    <w:uiPriority w:val="99"/>
    <w:semiHidden/>
    <w:unhideWhenUsed/>
    <w:rsid w:val="00204187"/>
    <w:rPr>
      <w:b/>
      <w:bCs/>
      <w:sz w:val="20"/>
      <w:szCs w:val="20"/>
    </w:rPr>
  </w:style>
  <w:style w:type="character" w:customStyle="1" w:styleId="CommentSubjectChar">
    <w:name w:val="Comment Subject Char"/>
    <w:basedOn w:val="CommentTextChar"/>
    <w:link w:val="CommentSubject"/>
    <w:uiPriority w:val="99"/>
    <w:semiHidden/>
    <w:rsid w:val="00204187"/>
    <w:rPr>
      <w:b/>
      <w:bCs/>
      <w:sz w:val="20"/>
      <w:szCs w:val="20"/>
      <w:lang w:val="en-GB"/>
    </w:rPr>
  </w:style>
  <w:style w:type="paragraph" w:customStyle="1" w:styleId="Level1List">
    <w:name w:val="Level 1 (List)"/>
    <w:basedOn w:val="Normal"/>
    <w:rsid w:val="007F0FC4"/>
    <w:pPr>
      <w:numPr>
        <w:numId w:val="2"/>
      </w:numPr>
      <w:tabs>
        <w:tab w:val="clear" w:pos="720"/>
      </w:tabs>
      <w:spacing w:after="240" w:line="264" w:lineRule="auto"/>
    </w:pPr>
    <w:rPr>
      <w:rFonts w:ascii="Arial" w:eastAsia="Times New Roman" w:hAnsi="Arial" w:cs="Arial"/>
      <w:sz w:val="21"/>
      <w:szCs w:val="20"/>
      <w:lang w:val="en-AU" w:eastAsia="en-AU"/>
    </w:rPr>
  </w:style>
  <w:style w:type="paragraph" w:customStyle="1" w:styleId="Level2List">
    <w:name w:val="Level 2 (List)"/>
    <w:basedOn w:val="Normal"/>
    <w:rsid w:val="007F0FC4"/>
    <w:pPr>
      <w:numPr>
        <w:ilvl w:val="1"/>
        <w:numId w:val="2"/>
      </w:numPr>
      <w:spacing w:after="240" w:line="264" w:lineRule="auto"/>
    </w:pPr>
    <w:rPr>
      <w:rFonts w:ascii="Arial" w:eastAsia="Times New Roman" w:hAnsi="Arial" w:cs="Arial"/>
      <w:sz w:val="21"/>
      <w:szCs w:val="20"/>
      <w:lang w:val="en-AU" w:eastAsia="en-AU"/>
    </w:rPr>
  </w:style>
  <w:style w:type="paragraph" w:customStyle="1" w:styleId="Level3List">
    <w:name w:val="Level 3 (List)"/>
    <w:basedOn w:val="Normal"/>
    <w:rsid w:val="007F0FC4"/>
    <w:pPr>
      <w:numPr>
        <w:ilvl w:val="2"/>
        <w:numId w:val="2"/>
      </w:numPr>
      <w:tabs>
        <w:tab w:val="clear" w:pos="2160"/>
      </w:tabs>
      <w:spacing w:after="240" w:line="264" w:lineRule="auto"/>
    </w:pPr>
    <w:rPr>
      <w:rFonts w:ascii="Arial" w:eastAsia="Times New Roman" w:hAnsi="Arial" w:cs="Arial"/>
      <w:sz w:val="21"/>
      <w:szCs w:val="20"/>
      <w:lang w:val="en-AU" w:eastAsia="en-AU"/>
    </w:rPr>
  </w:style>
  <w:style w:type="paragraph" w:customStyle="1" w:styleId="Level4List">
    <w:name w:val="Level 4 (List)"/>
    <w:basedOn w:val="Normal"/>
    <w:rsid w:val="007F0FC4"/>
    <w:pPr>
      <w:numPr>
        <w:ilvl w:val="3"/>
        <w:numId w:val="2"/>
      </w:numPr>
      <w:tabs>
        <w:tab w:val="clear" w:pos="2880"/>
      </w:tabs>
      <w:spacing w:after="240" w:line="264" w:lineRule="auto"/>
    </w:pPr>
    <w:rPr>
      <w:rFonts w:ascii="Arial" w:eastAsia="Times New Roman" w:hAnsi="Arial" w:cs="Arial"/>
      <w:sz w:val="21"/>
      <w:szCs w:val="20"/>
      <w:lang w:val="en-AU" w:eastAsia="en-AU"/>
    </w:rPr>
  </w:style>
  <w:style w:type="paragraph" w:customStyle="1" w:styleId="Level5List">
    <w:name w:val="Level 5 (List)"/>
    <w:basedOn w:val="Normal"/>
    <w:rsid w:val="007F0FC4"/>
    <w:pPr>
      <w:numPr>
        <w:ilvl w:val="4"/>
        <w:numId w:val="2"/>
      </w:numPr>
      <w:tabs>
        <w:tab w:val="clear" w:pos="3600"/>
      </w:tabs>
      <w:spacing w:after="240" w:line="264" w:lineRule="auto"/>
    </w:pPr>
    <w:rPr>
      <w:rFonts w:ascii="Arial" w:eastAsia="Times New Roman" w:hAnsi="Arial" w:cs="Arial"/>
      <w:sz w:val="21"/>
      <w:szCs w:val="20"/>
      <w:lang w:val="en-AU" w:eastAsia="en-AU"/>
    </w:rPr>
  </w:style>
  <w:style w:type="paragraph" w:customStyle="1" w:styleId="FO1List">
    <w:name w:val="FO_1 (List)"/>
    <w:basedOn w:val="Normal"/>
    <w:rsid w:val="007F0FC4"/>
    <w:pPr>
      <w:spacing w:after="240" w:line="264" w:lineRule="auto"/>
      <w:ind w:left="720"/>
    </w:pPr>
    <w:rPr>
      <w:rFonts w:ascii="Arial" w:eastAsia="Times New Roman" w:hAnsi="Arial" w:cs="Arial"/>
      <w:sz w:val="21"/>
      <w:szCs w:val="20"/>
      <w:lang w:val="en-AU" w:eastAsia="en-AU"/>
    </w:rPr>
  </w:style>
  <w:style w:type="paragraph" w:customStyle="1" w:styleId="Headingsecondary">
    <w:name w:val="Heading (secondary)"/>
    <w:next w:val="Normal"/>
    <w:uiPriority w:val="7"/>
    <w:qFormat/>
    <w:rsid w:val="007F0FC4"/>
    <w:pPr>
      <w:keepNext/>
      <w:spacing w:after="240"/>
    </w:pPr>
    <w:rPr>
      <w:rFonts w:ascii="Arial Bold" w:eastAsia="Times New Roman" w:hAnsi="Arial Bold" w:cs="Times New Roman"/>
      <w:b/>
      <w:sz w:val="22"/>
      <w:szCs w:val="22"/>
      <w:lang w:val="en-GB"/>
    </w:rPr>
  </w:style>
  <w:style w:type="paragraph" w:styleId="BodyText">
    <w:name w:val="Body Text"/>
    <w:basedOn w:val="Normal"/>
    <w:link w:val="BodyTextChar"/>
    <w:qFormat/>
    <w:rsid w:val="004C5404"/>
    <w:pPr>
      <w:spacing w:after="240"/>
    </w:pPr>
    <w:rPr>
      <w:rFonts w:ascii="Arial" w:eastAsia="Times New Roman" w:hAnsi="Arial" w:cs="Times New Roman"/>
      <w:sz w:val="21"/>
      <w:szCs w:val="21"/>
      <w:lang w:val="en-AU"/>
    </w:rPr>
  </w:style>
  <w:style w:type="character" w:customStyle="1" w:styleId="BodyTextChar">
    <w:name w:val="Body Text Char"/>
    <w:basedOn w:val="DefaultParagraphFont"/>
    <w:link w:val="BodyText"/>
    <w:rsid w:val="004C5404"/>
    <w:rPr>
      <w:rFonts w:ascii="Arial" w:eastAsia="Times New Roman" w:hAnsi="Arial" w:cs="Times New Roman"/>
      <w:sz w:val="21"/>
      <w:szCs w:val="21"/>
      <w:lang w:val="en-AU"/>
    </w:rPr>
  </w:style>
  <w:style w:type="character" w:customStyle="1" w:styleId="Heading4Char">
    <w:name w:val="Heading 4 Char"/>
    <w:basedOn w:val="DefaultParagraphFont"/>
    <w:link w:val="Heading4"/>
    <w:uiPriority w:val="9"/>
    <w:rsid w:val="00B94EBF"/>
    <w:rPr>
      <w:rFonts w:asciiTheme="majorHAnsi" w:eastAsiaTheme="majorEastAsia" w:hAnsiTheme="majorHAnsi" w:cstheme="majorBidi"/>
      <w:i/>
      <w:iCs/>
      <w:color w:val="365F91" w:themeColor="accent1" w:themeShade="BF"/>
      <w:lang w:val="en-GB"/>
    </w:rPr>
  </w:style>
  <w:style w:type="paragraph" w:styleId="ListBullet">
    <w:name w:val="List Bullet"/>
    <w:basedOn w:val="BodyText"/>
    <w:qFormat/>
    <w:rsid w:val="0037692D"/>
    <w:pPr>
      <w:numPr>
        <w:numId w:val="3"/>
      </w:numPr>
      <w:spacing w:before="120" w:after="0" w:line="300" w:lineRule="atLeast"/>
      <w:jc w:val="both"/>
    </w:pPr>
    <w:rPr>
      <w:rFonts w:ascii="Times New Roman" w:hAnsi="Times New Roman"/>
      <w:sz w:val="24"/>
      <w:szCs w:val="20"/>
      <w:lang w:eastAsia="en-AU"/>
    </w:rPr>
  </w:style>
  <w:style w:type="character" w:styleId="Strong">
    <w:name w:val="Strong"/>
    <w:basedOn w:val="DefaultParagraphFont"/>
    <w:uiPriority w:val="22"/>
    <w:qFormat/>
    <w:rsid w:val="005A6FCF"/>
    <w:rPr>
      <w:b/>
      <w:bCs/>
    </w:rPr>
  </w:style>
  <w:style w:type="paragraph" w:customStyle="1" w:styleId="Romannumeral">
    <w:name w:val="Roman numeral"/>
    <w:basedOn w:val="Normal"/>
    <w:rsid w:val="00FA0860"/>
    <w:pPr>
      <w:numPr>
        <w:numId w:val="4"/>
      </w:numPr>
      <w:spacing w:after="240" w:line="260" w:lineRule="exact"/>
      <w:jc w:val="both"/>
    </w:pPr>
    <w:rPr>
      <w:rFonts w:ascii="Corbel" w:eastAsia="Times New Roman" w:hAnsi="Corbel" w:cs="Times New Roman"/>
      <w:color w:val="000000"/>
      <w:sz w:val="23"/>
      <w:szCs w:val="20"/>
      <w:lang w:val="en-AU" w:eastAsia="en-AU"/>
    </w:rPr>
  </w:style>
  <w:style w:type="paragraph" w:customStyle="1" w:styleId="ScheduleNumberedPara">
    <w:name w:val="ScheduleNumberedPara"/>
    <w:basedOn w:val="Normal"/>
    <w:link w:val="ScheduleNumberedParaChar"/>
    <w:rsid w:val="00FA0860"/>
    <w:pPr>
      <w:numPr>
        <w:ilvl w:val="1"/>
        <w:numId w:val="4"/>
      </w:numPr>
      <w:spacing w:after="240" w:line="260" w:lineRule="exact"/>
      <w:jc w:val="both"/>
    </w:pPr>
    <w:rPr>
      <w:rFonts w:ascii="Corbel" w:eastAsia="Times New Roman" w:hAnsi="Corbel" w:cs="Times New Roman"/>
      <w:color w:val="000000"/>
      <w:sz w:val="23"/>
      <w:szCs w:val="20"/>
      <w:lang w:val="en-AU" w:eastAsia="en-AU"/>
    </w:rPr>
  </w:style>
  <w:style w:type="character" w:customStyle="1" w:styleId="ScheduleNumberedParaChar">
    <w:name w:val="ScheduleNumberedPara Char"/>
    <w:link w:val="ScheduleNumberedPara"/>
    <w:locked/>
    <w:rsid w:val="00FA0860"/>
    <w:rPr>
      <w:rFonts w:ascii="Corbel" w:eastAsia="Times New Roman" w:hAnsi="Corbel" w:cs="Times New Roman"/>
      <w:color w:val="000000"/>
      <w:sz w:val="23"/>
      <w:szCs w:val="20"/>
      <w:lang w:val="en-AU" w:eastAsia="en-AU"/>
    </w:rPr>
  </w:style>
  <w:style w:type="character" w:customStyle="1" w:styleId="Heading5Char">
    <w:name w:val="Heading 5 Char"/>
    <w:basedOn w:val="DefaultParagraphFont"/>
    <w:link w:val="Heading5"/>
    <w:uiPriority w:val="9"/>
    <w:rsid w:val="002554C4"/>
    <w:rPr>
      <w:rFonts w:asciiTheme="majorHAnsi" w:eastAsiaTheme="majorEastAsia" w:hAnsiTheme="majorHAnsi" w:cstheme="majorBidi"/>
      <w:color w:val="365F91" w:themeColor="accent1" w:themeShade="BF"/>
      <w:lang w:val="en-GB"/>
    </w:rPr>
  </w:style>
  <w:style w:type="paragraph" w:customStyle="1" w:styleId="PartTitle">
    <w:name w:val="Part Title"/>
    <w:basedOn w:val="BodyText"/>
    <w:rsid w:val="00551CD7"/>
    <w:pPr>
      <w:spacing w:before="160" w:after="1360" w:line="520" w:lineRule="exact"/>
      <w:ind w:right="2381"/>
      <w:jc w:val="right"/>
    </w:pPr>
    <w:rPr>
      <w:rFonts w:ascii="Times New Roman" w:hAnsi="Times New Roman"/>
      <w:smallCaps/>
      <w:sz w:val="52"/>
      <w:szCs w:val="20"/>
      <w:lang w:eastAsia="en-AU"/>
    </w:rPr>
  </w:style>
  <w:style w:type="paragraph" w:customStyle="1" w:styleId="TableBullet">
    <w:name w:val="Table Bullet"/>
    <w:basedOn w:val="Normal"/>
    <w:rsid w:val="00FE5DC9"/>
    <w:pPr>
      <w:keepNext/>
      <w:keepLines/>
      <w:numPr>
        <w:numId w:val="5"/>
      </w:numPr>
      <w:spacing w:after="40" w:line="200" w:lineRule="atLeast"/>
      <w:ind w:right="113"/>
    </w:pPr>
    <w:rPr>
      <w:rFonts w:ascii="Arial" w:eastAsia="Times New Roman" w:hAnsi="Arial" w:cs="Times New Roman"/>
      <w:sz w:val="18"/>
      <w:szCs w:val="20"/>
      <w:lang w:val="en-AU" w:eastAsia="en-AU"/>
    </w:rPr>
  </w:style>
  <w:style w:type="paragraph" w:customStyle="1" w:styleId="Box">
    <w:name w:val="Box"/>
    <w:basedOn w:val="BodyText"/>
    <w:qFormat/>
    <w:rsid w:val="001F1263"/>
    <w:pPr>
      <w:keepNext/>
      <w:spacing w:before="120" w:after="0" w:line="260" w:lineRule="atLeast"/>
      <w:jc w:val="both"/>
    </w:pPr>
    <w:rPr>
      <w:sz w:val="20"/>
      <w:szCs w:val="20"/>
      <w:lang w:eastAsia="en-AU"/>
    </w:rPr>
  </w:style>
  <w:style w:type="paragraph" w:customStyle="1" w:styleId="Source">
    <w:name w:val="Source"/>
    <w:basedOn w:val="Normal"/>
    <w:next w:val="BodyText"/>
    <w:rsid w:val="001F1263"/>
    <w:pPr>
      <w:keepLines/>
      <w:spacing w:before="80" w:line="220" w:lineRule="exact"/>
      <w:jc w:val="both"/>
    </w:pPr>
    <w:rPr>
      <w:rFonts w:ascii="Arial" w:eastAsia="Times New Roman" w:hAnsi="Arial" w:cs="Times New Roman"/>
      <w:sz w:val="18"/>
      <w:szCs w:val="20"/>
      <w:lang w:val="en-AU" w:eastAsia="en-AU"/>
    </w:rPr>
  </w:style>
  <w:style w:type="paragraph" w:customStyle="1" w:styleId="TableBodyText">
    <w:name w:val="Table Body Text"/>
    <w:basedOn w:val="BodyText"/>
    <w:rsid w:val="001F1263"/>
    <w:pPr>
      <w:keepNext/>
      <w:keepLines/>
      <w:spacing w:after="40" w:line="200" w:lineRule="atLeast"/>
      <w:ind w:left="6" w:right="113"/>
      <w:jc w:val="right"/>
    </w:pPr>
    <w:rPr>
      <w:sz w:val="18"/>
      <w:szCs w:val="20"/>
      <w:lang w:eastAsia="en-AU"/>
    </w:rPr>
  </w:style>
  <w:style w:type="paragraph" w:customStyle="1" w:styleId="TableColumnHeading">
    <w:name w:val="Table Column Heading"/>
    <w:basedOn w:val="TableBodyText"/>
    <w:rsid w:val="001F1263"/>
    <w:pPr>
      <w:spacing w:before="80" w:after="80"/>
    </w:pPr>
    <w:rPr>
      <w:i/>
    </w:rPr>
  </w:style>
  <w:style w:type="paragraph" w:customStyle="1" w:styleId="TableTitle">
    <w:name w:val="Table Title"/>
    <w:basedOn w:val="Caption"/>
    <w:next w:val="Subtitle"/>
    <w:qFormat/>
    <w:rsid w:val="001F1263"/>
    <w:pPr>
      <w:keepNext/>
      <w:keepLines/>
      <w:spacing w:before="120" w:after="80" w:line="280" w:lineRule="exact"/>
      <w:ind w:left="1474" w:hanging="1474"/>
    </w:pPr>
    <w:rPr>
      <w:rFonts w:ascii="Arial" w:eastAsia="Times New Roman" w:hAnsi="Arial" w:cs="Times New Roman"/>
      <w:b/>
      <w:i w:val="0"/>
      <w:iCs w:val="0"/>
      <w:color w:val="auto"/>
      <w:sz w:val="24"/>
      <w:szCs w:val="24"/>
      <w:lang w:val="en-AU" w:eastAsia="en-AU"/>
    </w:rPr>
  </w:style>
  <w:style w:type="paragraph" w:customStyle="1" w:styleId="TableUnitsRow">
    <w:name w:val="Table Units Row"/>
    <w:basedOn w:val="TableBodyText"/>
    <w:rsid w:val="001F1263"/>
    <w:pPr>
      <w:spacing w:before="40"/>
    </w:pPr>
  </w:style>
  <w:style w:type="paragraph" w:customStyle="1" w:styleId="BoxSpaceBelow">
    <w:name w:val="Box Space Below"/>
    <w:basedOn w:val="Box"/>
    <w:rsid w:val="001F1263"/>
    <w:pPr>
      <w:keepNext w:val="0"/>
      <w:spacing w:before="60" w:after="60" w:line="80" w:lineRule="exact"/>
    </w:pPr>
    <w:rPr>
      <w:sz w:val="14"/>
    </w:rPr>
  </w:style>
  <w:style w:type="paragraph" w:styleId="Caption">
    <w:name w:val="caption"/>
    <w:basedOn w:val="Normal"/>
    <w:next w:val="Normal"/>
    <w:uiPriority w:val="35"/>
    <w:semiHidden/>
    <w:unhideWhenUsed/>
    <w:qFormat/>
    <w:rsid w:val="001F1263"/>
    <w:pPr>
      <w:spacing w:after="200"/>
    </w:pPr>
    <w:rPr>
      <w:i/>
      <w:iCs/>
      <w:color w:val="1F497D" w:themeColor="text2"/>
      <w:sz w:val="18"/>
      <w:szCs w:val="18"/>
    </w:rPr>
  </w:style>
  <w:style w:type="paragraph" w:styleId="Subtitle">
    <w:name w:val="Subtitle"/>
    <w:basedOn w:val="Normal"/>
    <w:next w:val="Normal"/>
    <w:link w:val="SubtitleChar"/>
    <w:uiPriority w:val="11"/>
    <w:qFormat/>
    <w:rsid w:val="001F1263"/>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1F1263"/>
    <w:rPr>
      <w:color w:val="5A5A5A" w:themeColor="text1" w:themeTint="A5"/>
      <w:spacing w:val="15"/>
      <w:sz w:val="22"/>
      <w:szCs w:val="22"/>
      <w:lang w:val="en-GB"/>
    </w:rPr>
  </w:style>
  <w:style w:type="paragraph" w:customStyle="1" w:styleId="Numlevel1">
    <w:name w:val="Num level 1"/>
    <w:basedOn w:val="Normal"/>
    <w:autoRedefine/>
    <w:qFormat/>
    <w:rsid w:val="00D94B03"/>
    <w:pPr>
      <w:numPr>
        <w:numId w:val="7"/>
      </w:numPr>
      <w:spacing w:after="220"/>
    </w:pPr>
    <w:rPr>
      <w:rFonts w:ascii="Arial" w:eastAsia="Times New Roman" w:hAnsi="Arial" w:cs="Times New Roman"/>
      <w:sz w:val="22"/>
      <w:szCs w:val="22"/>
      <w:lang w:val="en-AU" w:eastAsia="en-AU"/>
    </w:rPr>
  </w:style>
  <w:style w:type="table" w:styleId="TableGrid">
    <w:name w:val="Table Grid"/>
    <w:basedOn w:val="TableNormal"/>
    <w:uiPriority w:val="59"/>
    <w:rsid w:val="000C2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B54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2BD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5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4EB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554C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D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0D6D"/>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3B546D"/>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E52BDB"/>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3B546D"/>
    <w:rPr>
      <w:rFonts w:asciiTheme="majorHAnsi" w:eastAsiaTheme="majorEastAsia" w:hAnsiTheme="majorHAnsi" w:cstheme="majorBidi"/>
      <w:b/>
      <w:bCs/>
      <w:color w:val="4F81BD" w:themeColor="accent1"/>
      <w:lang w:val="en-GB"/>
    </w:rPr>
  </w:style>
  <w:style w:type="paragraph" w:styleId="TOCHeading">
    <w:name w:val="TOC Heading"/>
    <w:basedOn w:val="Heading1"/>
    <w:next w:val="Normal"/>
    <w:uiPriority w:val="39"/>
    <w:unhideWhenUsed/>
    <w:qFormat/>
    <w:rsid w:val="003B546D"/>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3B546D"/>
    <w:pPr>
      <w:tabs>
        <w:tab w:val="right" w:pos="9010"/>
      </w:tabs>
      <w:spacing w:before="120" w:line="276" w:lineRule="auto"/>
    </w:pPr>
    <w:rPr>
      <w:rFonts w:ascii="Arial" w:hAnsi="Arial" w:cs="Arial"/>
      <w:b/>
      <w:noProof/>
      <w:color w:val="06378A"/>
      <w:sz w:val="28"/>
      <w:szCs w:val="22"/>
    </w:rPr>
  </w:style>
  <w:style w:type="paragraph" w:styleId="TOC2">
    <w:name w:val="toc 2"/>
    <w:basedOn w:val="Normal"/>
    <w:next w:val="Normal"/>
    <w:autoRedefine/>
    <w:uiPriority w:val="39"/>
    <w:unhideWhenUsed/>
    <w:rsid w:val="003B546D"/>
    <w:pPr>
      <w:tabs>
        <w:tab w:val="right" w:pos="9010"/>
      </w:tabs>
      <w:spacing w:line="276" w:lineRule="auto"/>
      <w:ind w:left="240"/>
    </w:pPr>
    <w:rPr>
      <w:rFonts w:ascii="Arial" w:hAnsi="Arial" w:cs="Arial"/>
      <w:noProof/>
      <w:color w:val="06378A"/>
      <w:sz w:val="22"/>
      <w:szCs w:val="22"/>
    </w:rPr>
  </w:style>
  <w:style w:type="paragraph" w:styleId="TOC3">
    <w:name w:val="toc 3"/>
    <w:basedOn w:val="Normal"/>
    <w:next w:val="Normal"/>
    <w:autoRedefine/>
    <w:uiPriority w:val="39"/>
    <w:unhideWhenUsed/>
    <w:rsid w:val="003B546D"/>
    <w:pPr>
      <w:tabs>
        <w:tab w:val="right" w:pos="9010"/>
      </w:tabs>
      <w:spacing w:line="276" w:lineRule="auto"/>
      <w:ind w:left="480"/>
    </w:pPr>
    <w:rPr>
      <w:sz w:val="22"/>
      <w:szCs w:val="22"/>
    </w:rPr>
  </w:style>
  <w:style w:type="paragraph" w:styleId="Footer">
    <w:name w:val="footer"/>
    <w:basedOn w:val="Normal"/>
    <w:link w:val="FooterChar"/>
    <w:uiPriority w:val="99"/>
    <w:unhideWhenUsed/>
    <w:rsid w:val="003B546D"/>
    <w:pPr>
      <w:tabs>
        <w:tab w:val="center" w:pos="4320"/>
        <w:tab w:val="right" w:pos="8640"/>
      </w:tabs>
    </w:pPr>
  </w:style>
  <w:style w:type="character" w:customStyle="1" w:styleId="FooterChar">
    <w:name w:val="Footer Char"/>
    <w:basedOn w:val="DefaultParagraphFont"/>
    <w:link w:val="Footer"/>
    <w:uiPriority w:val="99"/>
    <w:rsid w:val="003B546D"/>
    <w:rPr>
      <w:lang w:val="en-GB"/>
    </w:rPr>
  </w:style>
  <w:style w:type="character" w:styleId="PageNumber">
    <w:name w:val="page number"/>
    <w:basedOn w:val="DefaultParagraphFont"/>
    <w:uiPriority w:val="99"/>
    <w:semiHidden/>
    <w:unhideWhenUsed/>
    <w:rsid w:val="003B546D"/>
  </w:style>
  <w:style w:type="table" w:styleId="MediumGrid1-Accent5">
    <w:name w:val="Medium Grid 1 Accent 5"/>
    <w:basedOn w:val="TableNormal"/>
    <w:uiPriority w:val="67"/>
    <w:rsid w:val="003B546D"/>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3B546D"/>
    <w:pPr>
      <w:ind w:left="720"/>
      <w:contextualSpacing/>
    </w:pPr>
  </w:style>
  <w:style w:type="paragraph" w:styleId="Header">
    <w:name w:val="header"/>
    <w:basedOn w:val="Normal"/>
    <w:link w:val="HeaderChar"/>
    <w:uiPriority w:val="99"/>
    <w:unhideWhenUsed/>
    <w:rsid w:val="00340F04"/>
    <w:pPr>
      <w:tabs>
        <w:tab w:val="center" w:pos="4320"/>
        <w:tab w:val="right" w:pos="8640"/>
      </w:tabs>
    </w:pPr>
  </w:style>
  <w:style w:type="character" w:customStyle="1" w:styleId="HeaderChar">
    <w:name w:val="Header Char"/>
    <w:basedOn w:val="DefaultParagraphFont"/>
    <w:link w:val="Header"/>
    <w:uiPriority w:val="99"/>
    <w:rsid w:val="00340F04"/>
    <w:rPr>
      <w:lang w:val="en-GB"/>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iPriority w:val="99"/>
    <w:unhideWhenUsed/>
    <w:rsid w:val="007B40A5"/>
    <w:rPr>
      <w:rFonts w:ascii="Cambria" w:eastAsia="MS Mincho" w:hAnsi="Cambria" w:cs="Times New Roman"/>
      <w:sz w:val="22"/>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uiPriority w:val="99"/>
    <w:rsid w:val="007B40A5"/>
    <w:rPr>
      <w:rFonts w:ascii="Cambria" w:eastAsia="MS Mincho" w:hAnsi="Cambria" w:cs="Times New Roman"/>
      <w:sz w:val="22"/>
      <w:lang w:val="en-GB"/>
    </w:rPr>
  </w:style>
  <w:style w:type="character" w:styleId="FootnoteReference">
    <w:name w:val="footnote reference"/>
    <w:aliases w:val="Footnotes refss"/>
    <w:basedOn w:val="DefaultParagraphFont"/>
    <w:uiPriority w:val="99"/>
    <w:unhideWhenUsed/>
    <w:rsid w:val="007B40A5"/>
    <w:rPr>
      <w:vertAlign w:val="superscript"/>
    </w:rPr>
  </w:style>
  <w:style w:type="paragraph" w:styleId="EndnoteText">
    <w:name w:val="endnote text"/>
    <w:basedOn w:val="Normal"/>
    <w:link w:val="EndnoteTextChar"/>
    <w:uiPriority w:val="99"/>
    <w:unhideWhenUsed/>
    <w:rsid w:val="003313AB"/>
  </w:style>
  <w:style w:type="character" w:customStyle="1" w:styleId="EndnoteTextChar">
    <w:name w:val="Endnote Text Char"/>
    <w:basedOn w:val="DefaultParagraphFont"/>
    <w:link w:val="EndnoteText"/>
    <w:uiPriority w:val="99"/>
    <w:rsid w:val="003313AB"/>
    <w:rPr>
      <w:lang w:val="en-GB"/>
    </w:rPr>
  </w:style>
  <w:style w:type="character" w:styleId="EndnoteReference">
    <w:name w:val="endnote reference"/>
    <w:basedOn w:val="DefaultParagraphFont"/>
    <w:uiPriority w:val="99"/>
    <w:unhideWhenUsed/>
    <w:rsid w:val="003313AB"/>
    <w:rPr>
      <w:vertAlign w:val="superscript"/>
    </w:rPr>
  </w:style>
  <w:style w:type="character" w:styleId="Hyperlink">
    <w:name w:val="Hyperlink"/>
    <w:basedOn w:val="DefaultParagraphFont"/>
    <w:uiPriority w:val="99"/>
    <w:unhideWhenUsed/>
    <w:rsid w:val="005501ED"/>
    <w:rPr>
      <w:color w:val="0000FF" w:themeColor="hyperlink"/>
      <w:u w:val="single"/>
    </w:rPr>
  </w:style>
  <w:style w:type="paragraph" w:styleId="NoSpacing">
    <w:name w:val="No Spacing"/>
    <w:uiPriority w:val="1"/>
    <w:qFormat/>
    <w:rsid w:val="00784723"/>
    <w:rPr>
      <w:lang w:val="en-GB"/>
    </w:rPr>
  </w:style>
  <w:style w:type="paragraph" w:customStyle="1" w:styleId="Default">
    <w:name w:val="Default"/>
    <w:rsid w:val="00E22663"/>
    <w:pPr>
      <w:widowControl w:val="0"/>
      <w:autoSpaceDE w:val="0"/>
      <w:autoSpaceDN w:val="0"/>
      <w:adjustRightInd w:val="0"/>
    </w:pPr>
    <w:rPr>
      <w:rFonts w:ascii="Swis721 Lt BT" w:hAnsi="Swis721 Lt BT" w:cs="Swis721 Lt BT"/>
      <w:color w:val="000000"/>
    </w:rPr>
  </w:style>
  <w:style w:type="character" w:customStyle="1" w:styleId="A3">
    <w:name w:val="A3"/>
    <w:uiPriority w:val="99"/>
    <w:rsid w:val="00E22663"/>
    <w:rPr>
      <w:rFonts w:cs="Swis721 Lt BT"/>
      <w:color w:val="000000"/>
    </w:rPr>
  </w:style>
  <w:style w:type="paragraph" w:customStyle="1" w:styleId="Pa4">
    <w:name w:val="Pa4"/>
    <w:basedOn w:val="Default"/>
    <w:next w:val="Default"/>
    <w:uiPriority w:val="99"/>
    <w:rsid w:val="00C17C82"/>
    <w:pPr>
      <w:spacing w:line="181" w:lineRule="atLeast"/>
    </w:pPr>
    <w:rPr>
      <w:rFonts w:cs="Times New Roman"/>
      <w:color w:val="auto"/>
    </w:rPr>
  </w:style>
  <w:style w:type="paragraph" w:customStyle="1" w:styleId="Pa6">
    <w:name w:val="Pa6"/>
    <w:basedOn w:val="Default"/>
    <w:next w:val="Default"/>
    <w:uiPriority w:val="99"/>
    <w:rsid w:val="00C17C82"/>
    <w:pPr>
      <w:spacing w:line="181" w:lineRule="atLeast"/>
    </w:pPr>
    <w:rPr>
      <w:rFonts w:cs="Times New Roman"/>
      <w:color w:val="auto"/>
    </w:rPr>
  </w:style>
  <w:style w:type="paragraph" w:customStyle="1" w:styleId="SubmissionNormal">
    <w:name w:val="Submission Normal"/>
    <w:basedOn w:val="Normal"/>
    <w:link w:val="SubmissionNormalChar"/>
    <w:rsid w:val="00214B13"/>
    <w:pPr>
      <w:numPr>
        <w:numId w:val="1"/>
      </w:numPr>
      <w:spacing w:before="240" w:after="240"/>
    </w:pPr>
    <w:rPr>
      <w:rFonts w:ascii="Arial" w:eastAsia="Times New Roman" w:hAnsi="Arial" w:cs="Times New Roman"/>
      <w:lang w:val="en-AU" w:eastAsia="en-AU"/>
    </w:rPr>
  </w:style>
  <w:style w:type="character" w:customStyle="1" w:styleId="SubmissionNormalChar">
    <w:name w:val="Submission Normal Char"/>
    <w:link w:val="SubmissionNormal"/>
    <w:rsid w:val="00214B13"/>
    <w:rPr>
      <w:rFonts w:ascii="Arial" w:eastAsia="Times New Roman" w:hAnsi="Arial" w:cs="Times New Roman"/>
      <w:lang w:val="en-AU" w:eastAsia="en-AU"/>
    </w:rPr>
  </w:style>
  <w:style w:type="character" w:customStyle="1" w:styleId="EndnoteTextChar1">
    <w:name w:val="Endnote Text Char1"/>
    <w:rsid w:val="00947BD5"/>
    <w:rPr>
      <w:rFonts w:ascii="Arial" w:eastAsia="MS Mincho" w:hAnsi="Arial"/>
      <w:lang w:val="en-AU" w:eastAsia="en-AU" w:bidi="ar-SA"/>
    </w:rPr>
  </w:style>
  <w:style w:type="paragraph" w:customStyle="1" w:styleId="subsection">
    <w:name w:val="subsection"/>
    <w:aliases w:val="ss"/>
    <w:basedOn w:val="Normal"/>
    <w:link w:val="subsectionChar"/>
    <w:rsid w:val="00FF1A79"/>
    <w:pPr>
      <w:tabs>
        <w:tab w:val="right" w:pos="1021"/>
      </w:tabs>
      <w:spacing w:before="180"/>
      <w:ind w:left="1134" w:hanging="1134"/>
    </w:pPr>
    <w:rPr>
      <w:rFonts w:ascii="Times New Roman" w:eastAsia="Times New Roman" w:hAnsi="Times New Roman" w:cs="Times New Roman"/>
      <w:sz w:val="22"/>
      <w:szCs w:val="20"/>
      <w:lang w:val="en-AU" w:eastAsia="en-AU"/>
    </w:rPr>
  </w:style>
  <w:style w:type="paragraph" w:customStyle="1" w:styleId="paragraphsub">
    <w:name w:val="paragraph(sub)"/>
    <w:aliases w:val="aa"/>
    <w:basedOn w:val="Normal"/>
    <w:rsid w:val="00FF1A79"/>
    <w:pPr>
      <w:tabs>
        <w:tab w:val="right" w:pos="1985"/>
      </w:tabs>
      <w:spacing w:before="40"/>
      <w:ind w:left="2098" w:hanging="2098"/>
    </w:pPr>
    <w:rPr>
      <w:rFonts w:ascii="Times New Roman" w:eastAsia="Times New Roman" w:hAnsi="Times New Roman" w:cs="Times New Roman"/>
      <w:sz w:val="22"/>
      <w:szCs w:val="20"/>
      <w:lang w:val="en-AU" w:eastAsia="en-AU"/>
    </w:rPr>
  </w:style>
  <w:style w:type="paragraph" w:customStyle="1" w:styleId="paragraph">
    <w:name w:val="paragraph"/>
    <w:aliases w:val="a"/>
    <w:basedOn w:val="Normal"/>
    <w:link w:val="paragraphChar"/>
    <w:rsid w:val="00FF1A79"/>
    <w:pPr>
      <w:tabs>
        <w:tab w:val="right" w:pos="1531"/>
      </w:tabs>
      <w:spacing w:before="40"/>
      <w:ind w:left="1644" w:hanging="1644"/>
    </w:pPr>
    <w:rPr>
      <w:rFonts w:ascii="Times New Roman" w:eastAsia="Times New Roman" w:hAnsi="Times New Roman" w:cs="Times New Roman"/>
      <w:sz w:val="22"/>
      <w:szCs w:val="20"/>
      <w:lang w:val="en-AU" w:eastAsia="en-AU"/>
    </w:rPr>
  </w:style>
  <w:style w:type="paragraph" w:customStyle="1" w:styleId="notetext">
    <w:name w:val="note(text)"/>
    <w:aliases w:val="n"/>
    <w:basedOn w:val="Normal"/>
    <w:link w:val="notetextChar"/>
    <w:rsid w:val="00FF1A79"/>
    <w:pPr>
      <w:spacing w:before="122"/>
      <w:ind w:left="1985" w:hanging="851"/>
    </w:pPr>
    <w:rPr>
      <w:rFonts w:ascii="Times New Roman" w:eastAsia="Times New Roman" w:hAnsi="Times New Roman" w:cs="Times New Roman"/>
      <w:sz w:val="18"/>
      <w:szCs w:val="20"/>
      <w:lang w:val="en-AU" w:eastAsia="en-AU"/>
    </w:rPr>
  </w:style>
  <w:style w:type="character" w:customStyle="1" w:styleId="subsectionChar">
    <w:name w:val="subsection Char"/>
    <w:aliases w:val="ss Char"/>
    <w:link w:val="subsection"/>
    <w:rsid w:val="00FF1A79"/>
    <w:rPr>
      <w:rFonts w:ascii="Times New Roman" w:eastAsia="Times New Roman" w:hAnsi="Times New Roman" w:cs="Times New Roman"/>
      <w:sz w:val="22"/>
      <w:szCs w:val="20"/>
      <w:lang w:val="en-AU" w:eastAsia="en-AU"/>
    </w:rPr>
  </w:style>
  <w:style w:type="character" w:customStyle="1" w:styleId="paragraphChar">
    <w:name w:val="paragraph Char"/>
    <w:aliases w:val="a Char"/>
    <w:link w:val="paragraph"/>
    <w:rsid w:val="00FF1A79"/>
    <w:rPr>
      <w:rFonts w:ascii="Times New Roman" w:eastAsia="Times New Roman" w:hAnsi="Times New Roman" w:cs="Times New Roman"/>
      <w:sz w:val="22"/>
      <w:szCs w:val="20"/>
      <w:lang w:val="en-AU" w:eastAsia="en-AU"/>
    </w:rPr>
  </w:style>
  <w:style w:type="character" w:customStyle="1" w:styleId="notetextChar">
    <w:name w:val="note(text) Char"/>
    <w:aliases w:val="n Char"/>
    <w:link w:val="notetext"/>
    <w:rsid w:val="00FF1A79"/>
    <w:rPr>
      <w:rFonts w:ascii="Times New Roman" w:eastAsia="Times New Roman" w:hAnsi="Times New Roman" w:cs="Times New Roman"/>
      <w:sz w:val="18"/>
      <w:szCs w:val="20"/>
      <w:lang w:val="en-AU" w:eastAsia="en-AU"/>
    </w:rPr>
  </w:style>
  <w:style w:type="paragraph" w:customStyle="1" w:styleId="Definition">
    <w:name w:val="Definition"/>
    <w:aliases w:val="dd"/>
    <w:basedOn w:val="Normal"/>
    <w:rsid w:val="00FF1A79"/>
    <w:pPr>
      <w:spacing w:before="180"/>
      <w:ind w:left="1134"/>
    </w:pPr>
    <w:rPr>
      <w:rFonts w:ascii="Times New Roman" w:eastAsia="Times New Roman" w:hAnsi="Times New Roman" w:cs="Times New Roman"/>
      <w:sz w:val="22"/>
      <w:szCs w:val="20"/>
      <w:lang w:val="en-AU" w:eastAsia="en-AU"/>
    </w:rPr>
  </w:style>
  <w:style w:type="paragraph" w:styleId="NormalWeb">
    <w:name w:val="Normal (Web)"/>
    <w:basedOn w:val="Normal"/>
    <w:uiPriority w:val="99"/>
    <w:unhideWhenUsed/>
    <w:rsid w:val="00A16F54"/>
    <w:pPr>
      <w:spacing w:before="100" w:beforeAutospacing="1" w:after="100" w:afterAutospacing="1"/>
    </w:pPr>
    <w:rPr>
      <w:rFonts w:ascii="Times" w:hAnsi="Times" w:cs="Times New Roman"/>
      <w:sz w:val="20"/>
      <w:szCs w:val="20"/>
      <w:lang w:val="en-AU"/>
    </w:rPr>
  </w:style>
  <w:style w:type="character" w:customStyle="1" w:styleId="apple-converted-space">
    <w:name w:val="apple-converted-space"/>
    <w:basedOn w:val="DefaultParagraphFont"/>
    <w:rsid w:val="00A16F54"/>
  </w:style>
  <w:style w:type="character" w:styleId="Emphasis">
    <w:name w:val="Emphasis"/>
    <w:basedOn w:val="DefaultParagraphFont"/>
    <w:uiPriority w:val="20"/>
    <w:qFormat/>
    <w:rsid w:val="00A16F54"/>
    <w:rPr>
      <w:i/>
      <w:iCs/>
    </w:rPr>
  </w:style>
  <w:style w:type="character" w:styleId="FollowedHyperlink">
    <w:name w:val="FollowedHyperlink"/>
    <w:basedOn w:val="DefaultParagraphFont"/>
    <w:uiPriority w:val="99"/>
    <w:semiHidden/>
    <w:unhideWhenUsed/>
    <w:rsid w:val="00D53A74"/>
    <w:rPr>
      <w:color w:val="800080" w:themeColor="followedHyperlink"/>
      <w:u w:val="single"/>
    </w:rPr>
  </w:style>
  <w:style w:type="character" w:styleId="CommentReference">
    <w:name w:val="annotation reference"/>
    <w:basedOn w:val="DefaultParagraphFont"/>
    <w:uiPriority w:val="99"/>
    <w:semiHidden/>
    <w:unhideWhenUsed/>
    <w:rsid w:val="00204187"/>
    <w:rPr>
      <w:sz w:val="18"/>
      <w:szCs w:val="18"/>
    </w:rPr>
  </w:style>
  <w:style w:type="paragraph" w:styleId="CommentText">
    <w:name w:val="annotation text"/>
    <w:basedOn w:val="Normal"/>
    <w:link w:val="CommentTextChar"/>
    <w:uiPriority w:val="99"/>
    <w:semiHidden/>
    <w:unhideWhenUsed/>
    <w:rsid w:val="00204187"/>
  </w:style>
  <w:style w:type="character" w:customStyle="1" w:styleId="CommentTextChar">
    <w:name w:val="Comment Text Char"/>
    <w:basedOn w:val="DefaultParagraphFont"/>
    <w:link w:val="CommentText"/>
    <w:uiPriority w:val="99"/>
    <w:semiHidden/>
    <w:rsid w:val="00204187"/>
    <w:rPr>
      <w:lang w:val="en-GB"/>
    </w:rPr>
  </w:style>
  <w:style w:type="paragraph" w:styleId="CommentSubject">
    <w:name w:val="annotation subject"/>
    <w:basedOn w:val="CommentText"/>
    <w:next w:val="CommentText"/>
    <w:link w:val="CommentSubjectChar"/>
    <w:uiPriority w:val="99"/>
    <w:semiHidden/>
    <w:unhideWhenUsed/>
    <w:rsid w:val="00204187"/>
    <w:rPr>
      <w:b/>
      <w:bCs/>
      <w:sz w:val="20"/>
      <w:szCs w:val="20"/>
    </w:rPr>
  </w:style>
  <w:style w:type="character" w:customStyle="1" w:styleId="CommentSubjectChar">
    <w:name w:val="Comment Subject Char"/>
    <w:basedOn w:val="CommentTextChar"/>
    <w:link w:val="CommentSubject"/>
    <w:uiPriority w:val="99"/>
    <w:semiHidden/>
    <w:rsid w:val="00204187"/>
    <w:rPr>
      <w:b/>
      <w:bCs/>
      <w:sz w:val="20"/>
      <w:szCs w:val="20"/>
      <w:lang w:val="en-GB"/>
    </w:rPr>
  </w:style>
  <w:style w:type="paragraph" w:customStyle="1" w:styleId="Level1List">
    <w:name w:val="Level 1 (List)"/>
    <w:basedOn w:val="Normal"/>
    <w:rsid w:val="007F0FC4"/>
    <w:pPr>
      <w:numPr>
        <w:numId w:val="2"/>
      </w:numPr>
      <w:tabs>
        <w:tab w:val="clear" w:pos="720"/>
      </w:tabs>
      <w:spacing w:after="240" w:line="264" w:lineRule="auto"/>
    </w:pPr>
    <w:rPr>
      <w:rFonts w:ascii="Arial" w:eastAsia="Times New Roman" w:hAnsi="Arial" w:cs="Arial"/>
      <w:sz w:val="21"/>
      <w:szCs w:val="20"/>
      <w:lang w:val="en-AU" w:eastAsia="en-AU"/>
    </w:rPr>
  </w:style>
  <w:style w:type="paragraph" w:customStyle="1" w:styleId="Level2List">
    <w:name w:val="Level 2 (List)"/>
    <w:basedOn w:val="Normal"/>
    <w:rsid w:val="007F0FC4"/>
    <w:pPr>
      <w:numPr>
        <w:ilvl w:val="1"/>
        <w:numId w:val="2"/>
      </w:numPr>
      <w:spacing w:after="240" w:line="264" w:lineRule="auto"/>
    </w:pPr>
    <w:rPr>
      <w:rFonts w:ascii="Arial" w:eastAsia="Times New Roman" w:hAnsi="Arial" w:cs="Arial"/>
      <w:sz w:val="21"/>
      <w:szCs w:val="20"/>
      <w:lang w:val="en-AU" w:eastAsia="en-AU"/>
    </w:rPr>
  </w:style>
  <w:style w:type="paragraph" w:customStyle="1" w:styleId="Level3List">
    <w:name w:val="Level 3 (List)"/>
    <w:basedOn w:val="Normal"/>
    <w:rsid w:val="007F0FC4"/>
    <w:pPr>
      <w:numPr>
        <w:ilvl w:val="2"/>
        <w:numId w:val="2"/>
      </w:numPr>
      <w:tabs>
        <w:tab w:val="clear" w:pos="2160"/>
      </w:tabs>
      <w:spacing w:after="240" w:line="264" w:lineRule="auto"/>
    </w:pPr>
    <w:rPr>
      <w:rFonts w:ascii="Arial" w:eastAsia="Times New Roman" w:hAnsi="Arial" w:cs="Arial"/>
      <w:sz w:val="21"/>
      <w:szCs w:val="20"/>
      <w:lang w:val="en-AU" w:eastAsia="en-AU"/>
    </w:rPr>
  </w:style>
  <w:style w:type="paragraph" w:customStyle="1" w:styleId="Level4List">
    <w:name w:val="Level 4 (List)"/>
    <w:basedOn w:val="Normal"/>
    <w:rsid w:val="007F0FC4"/>
    <w:pPr>
      <w:numPr>
        <w:ilvl w:val="3"/>
        <w:numId w:val="2"/>
      </w:numPr>
      <w:tabs>
        <w:tab w:val="clear" w:pos="2880"/>
      </w:tabs>
      <w:spacing w:after="240" w:line="264" w:lineRule="auto"/>
    </w:pPr>
    <w:rPr>
      <w:rFonts w:ascii="Arial" w:eastAsia="Times New Roman" w:hAnsi="Arial" w:cs="Arial"/>
      <w:sz w:val="21"/>
      <w:szCs w:val="20"/>
      <w:lang w:val="en-AU" w:eastAsia="en-AU"/>
    </w:rPr>
  </w:style>
  <w:style w:type="paragraph" w:customStyle="1" w:styleId="Level5List">
    <w:name w:val="Level 5 (List)"/>
    <w:basedOn w:val="Normal"/>
    <w:rsid w:val="007F0FC4"/>
    <w:pPr>
      <w:numPr>
        <w:ilvl w:val="4"/>
        <w:numId w:val="2"/>
      </w:numPr>
      <w:tabs>
        <w:tab w:val="clear" w:pos="3600"/>
      </w:tabs>
      <w:spacing w:after="240" w:line="264" w:lineRule="auto"/>
    </w:pPr>
    <w:rPr>
      <w:rFonts w:ascii="Arial" w:eastAsia="Times New Roman" w:hAnsi="Arial" w:cs="Arial"/>
      <w:sz w:val="21"/>
      <w:szCs w:val="20"/>
      <w:lang w:val="en-AU" w:eastAsia="en-AU"/>
    </w:rPr>
  </w:style>
  <w:style w:type="paragraph" w:customStyle="1" w:styleId="FO1List">
    <w:name w:val="FO_1 (List)"/>
    <w:basedOn w:val="Normal"/>
    <w:rsid w:val="007F0FC4"/>
    <w:pPr>
      <w:spacing w:after="240" w:line="264" w:lineRule="auto"/>
      <w:ind w:left="720"/>
    </w:pPr>
    <w:rPr>
      <w:rFonts w:ascii="Arial" w:eastAsia="Times New Roman" w:hAnsi="Arial" w:cs="Arial"/>
      <w:sz w:val="21"/>
      <w:szCs w:val="20"/>
      <w:lang w:val="en-AU" w:eastAsia="en-AU"/>
    </w:rPr>
  </w:style>
  <w:style w:type="paragraph" w:customStyle="1" w:styleId="Headingsecondary">
    <w:name w:val="Heading (secondary)"/>
    <w:next w:val="Normal"/>
    <w:uiPriority w:val="7"/>
    <w:qFormat/>
    <w:rsid w:val="007F0FC4"/>
    <w:pPr>
      <w:keepNext/>
      <w:spacing w:after="240"/>
    </w:pPr>
    <w:rPr>
      <w:rFonts w:ascii="Arial Bold" w:eastAsia="Times New Roman" w:hAnsi="Arial Bold" w:cs="Times New Roman"/>
      <w:b/>
      <w:sz w:val="22"/>
      <w:szCs w:val="22"/>
      <w:lang w:val="en-GB"/>
    </w:rPr>
  </w:style>
  <w:style w:type="paragraph" w:styleId="BodyText">
    <w:name w:val="Body Text"/>
    <w:basedOn w:val="Normal"/>
    <w:link w:val="BodyTextChar"/>
    <w:qFormat/>
    <w:rsid w:val="004C5404"/>
    <w:pPr>
      <w:spacing w:after="240"/>
    </w:pPr>
    <w:rPr>
      <w:rFonts w:ascii="Arial" w:eastAsia="Times New Roman" w:hAnsi="Arial" w:cs="Times New Roman"/>
      <w:sz w:val="21"/>
      <w:szCs w:val="21"/>
      <w:lang w:val="en-AU"/>
    </w:rPr>
  </w:style>
  <w:style w:type="character" w:customStyle="1" w:styleId="BodyTextChar">
    <w:name w:val="Body Text Char"/>
    <w:basedOn w:val="DefaultParagraphFont"/>
    <w:link w:val="BodyText"/>
    <w:rsid w:val="004C5404"/>
    <w:rPr>
      <w:rFonts w:ascii="Arial" w:eastAsia="Times New Roman" w:hAnsi="Arial" w:cs="Times New Roman"/>
      <w:sz w:val="21"/>
      <w:szCs w:val="21"/>
      <w:lang w:val="en-AU"/>
    </w:rPr>
  </w:style>
  <w:style w:type="character" w:customStyle="1" w:styleId="Heading4Char">
    <w:name w:val="Heading 4 Char"/>
    <w:basedOn w:val="DefaultParagraphFont"/>
    <w:link w:val="Heading4"/>
    <w:uiPriority w:val="9"/>
    <w:rsid w:val="00B94EBF"/>
    <w:rPr>
      <w:rFonts w:asciiTheme="majorHAnsi" w:eastAsiaTheme="majorEastAsia" w:hAnsiTheme="majorHAnsi" w:cstheme="majorBidi"/>
      <w:i/>
      <w:iCs/>
      <w:color w:val="365F91" w:themeColor="accent1" w:themeShade="BF"/>
      <w:lang w:val="en-GB"/>
    </w:rPr>
  </w:style>
  <w:style w:type="paragraph" w:styleId="ListBullet">
    <w:name w:val="List Bullet"/>
    <w:basedOn w:val="BodyText"/>
    <w:qFormat/>
    <w:rsid w:val="0037692D"/>
    <w:pPr>
      <w:numPr>
        <w:numId w:val="3"/>
      </w:numPr>
      <w:spacing w:before="120" w:after="0" w:line="300" w:lineRule="atLeast"/>
      <w:jc w:val="both"/>
    </w:pPr>
    <w:rPr>
      <w:rFonts w:ascii="Times New Roman" w:hAnsi="Times New Roman"/>
      <w:sz w:val="24"/>
      <w:szCs w:val="20"/>
      <w:lang w:eastAsia="en-AU"/>
    </w:rPr>
  </w:style>
  <w:style w:type="character" w:styleId="Strong">
    <w:name w:val="Strong"/>
    <w:basedOn w:val="DefaultParagraphFont"/>
    <w:uiPriority w:val="22"/>
    <w:qFormat/>
    <w:rsid w:val="005A6FCF"/>
    <w:rPr>
      <w:b/>
      <w:bCs/>
    </w:rPr>
  </w:style>
  <w:style w:type="paragraph" w:customStyle="1" w:styleId="Romannumeral">
    <w:name w:val="Roman numeral"/>
    <w:basedOn w:val="Normal"/>
    <w:rsid w:val="00FA0860"/>
    <w:pPr>
      <w:numPr>
        <w:numId w:val="4"/>
      </w:numPr>
      <w:spacing w:after="240" w:line="260" w:lineRule="exact"/>
      <w:jc w:val="both"/>
    </w:pPr>
    <w:rPr>
      <w:rFonts w:ascii="Corbel" w:eastAsia="Times New Roman" w:hAnsi="Corbel" w:cs="Times New Roman"/>
      <w:color w:val="000000"/>
      <w:sz w:val="23"/>
      <w:szCs w:val="20"/>
      <w:lang w:val="en-AU" w:eastAsia="en-AU"/>
    </w:rPr>
  </w:style>
  <w:style w:type="paragraph" w:customStyle="1" w:styleId="ScheduleNumberedPara">
    <w:name w:val="ScheduleNumberedPara"/>
    <w:basedOn w:val="Normal"/>
    <w:link w:val="ScheduleNumberedParaChar"/>
    <w:rsid w:val="00FA0860"/>
    <w:pPr>
      <w:numPr>
        <w:ilvl w:val="1"/>
        <w:numId w:val="4"/>
      </w:numPr>
      <w:spacing w:after="240" w:line="260" w:lineRule="exact"/>
      <w:jc w:val="both"/>
    </w:pPr>
    <w:rPr>
      <w:rFonts w:ascii="Corbel" w:eastAsia="Times New Roman" w:hAnsi="Corbel" w:cs="Times New Roman"/>
      <w:color w:val="000000"/>
      <w:sz w:val="23"/>
      <w:szCs w:val="20"/>
      <w:lang w:val="en-AU" w:eastAsia="en-AU"/>
    </w:rPr>
  </w:style>
  <w:style w:type="character" w:customStyle="1" w:styleId="ScheduleNumberedParaChar">
    <w:name w:val="ScheduleNumberedPara Char"/>
    <w:link w:val="ScheduleNumberedPara"/>
    <w:locked/>
    <w:rsid w:val="00FA0860"/>
    <w:rPr>
      <w:rFonts w:ascii="Corbel" w:eastAsia="Times New Roman" w:hAnsi="Corbel" w:cs="Times New Roman"/>
      <w:color w:val="000000"/>
      <w:sz w:val="23"/>
      <w:szCs w:val="20"/>
      <w:lang w:val="en-AU" w:eastAsia="en-AU"/>
    </w:rPr>
  </w:style>
  <w:style w:type="character" w:customStyle="1" w:styleId="Heading5Char">
    <w:name w:val="Heading 5 Char"/>
    <w:basedOn w:val="DefaultParagraphFont"/>
    <w:link w:val="Heading5"/>
    <w:uiPriority w:val="9"/>
    <w:rsid w:val="002554C4"/>
    <w:rPr>
      <w:rFonts w:asciiTheme="majorHAnsi" w:eastAsiaTheme="majorEastAsia" w:hAnsiTheme="majorHAnsi" w:cstheme="majorBidi"/>
      <w:color w:val="365F91" w:themeColor="accent1" w:themeShade="BF"/>
      <w:lang w:val="en-GB"/>
    </w:rPr>
  </w:style>
  <w:style w:type="paragraph" w:customStyle="1" w:styleId="PartTitle">
    <w:name w:val="Part Title"/>
    <w:basedOn w:val="BodyText"/>
    <w:rsid w:val="00551CD7"/>
    <w:pPr>
      <w:spacing w:before="160" w:after="1360" w:line="520" w:lineRule="exact"/>
      <w:ind w:right="2381"/>
      <w:jc w:val="right"/>
    </w:pPr>
    <w:rPr>
      <w:rFonts w:ascii="Times New Roman" w:hAnsi="Times New Roman"/>
      <w:smallCaps/>
      <w:sz w:val="52"/>
      <w:szCs w:val="20"/>
      <w:lang w:eastAsia="en-AU"/>
    </w:rPr>
  </w:style>
  <w:style w:type="paragraph" w:customStyle="1" w:styleId="TableBullet">
    <w:name w:val="Table Bullet"/>
    <w:basedOn w:val="Normal"/>
    <w:rsid w:val="00FE5DC9"/>
    <w:pPr>
      <w:keepNext/>
      <w:keepLines/>
      <w:numPr>
        <w:numId w:val="5"/>
      </w:numPr>
      <w:spacing w:after="40" w:line="200" w:lineRule="atLeast"/>
      <w:ind w:right="113"/>
    </w:pPr>
    <w:rPr>
      <w:rFonts w:ascii="Arial" w:eastAsia="Times New Roman" w:hAnsi="Arial" w:cs="Times New Roman"/>
      <w:sz w:val="18"/>
      <w:szCs w:val="20"/>
      <w:lang w:val="en-AU" w:eastAsia="en-AU"/>
    </w:rPr>
  </w:style>
  <w:style w:type="paragraph" w:customStyle="1" w:styleId="Box">
    <w:name w:val="Box"/>
    <w:basedOn w:val="BodyText"/>
    <w:qFormat/>
    <w:rsid w:val="001F1263"/>
    <w:pPr>
      <w:keepNext/>
      <w:spacing w:before="120" w:after="0" w:line="260" w:lineRule="atLeast"/>
      <w:jc w:val="both"/>
    </w:pPr>
    <w:rPr>
      <w:sz w:val="20"/>
      <w:szCs w:val="20"/>
      <w:lang w:eastAsia="en-AU"/>
    </w:rPr>
  </w:style>
  <w:style w:type="paragraph" w:customStyle="1" w:styleId="Source">
    <w:name w:val="Source"/>
    <w:basedOn w:val="Normal"/>
    <w:next w:val="BodyText"/>
    <w:rsid w:val="001F1263"/>
    <w:pPr>
      <w:keepLines/>
      <w:spacing w:before="80" w:line="220" w:lineRule="exact"/>
      <w:jc w:val="both"/>
    </w:pPr>
    <w:rPr>
      <w:rFonts w:ascii="Arial" w:eastAsia="Times New Roman" w:hAnsi="Arial" w:cs="Times New Roman"/>
      <w:sz w:val="18"/>
      <w:szCs w:val="20"/>
      <w:lang w:val="en-AU" w:eastAsia="en-AU"/>
    </w:rPr>
  </w:style>
  <w:style w:type="paragraph" w:customStyle="1" w:styleId="TableBodyText">
    <w:name w:val="Table Body Text"/>
    <w:basedOn w:val="BodyText"/>
    <w:rsid w:val="001F1263"/>
    <w:pPr>
      <w:keepNext/>
      <w:keepLines/>
      <w:spacing w:after="40" w:line="200" w:lineRule="atLeast"/>
      <w:ind w:left="6" w:right="113"/>
      <w:jc w:val="right"/>
    </w:pPr>
    <w:rPr>
      <w:sz w:val="18"/>
      <w:szCs w:val="20"/>
      <w:lang w:eastAsia="en-AU"/>
    </w:rPr>
  </w:style>
  <w:style w:type="paragraph" w:customStyle="1" w:styleId="TableColumnHeading">
    <w:name w:val="Table Column Heading"/>
    <w:basedOn w:val="TableBodyText"/>
    <w:rsid w:val="001F1263"/>
    <w:pPr>
      <w:spacing w:before="80" w:after="80"/>
    </w:pPr>
    <w:rPr>
      <w:i/>
    </w:rPr>
  </w:style>
  <w:style w:type="paragraph" w:customStyle="1" w:styleId="TableTitle">
    <w:name w:val="Table Title"/>
    <w:basedOn w:val="Caption"/>
    <w:next w:val="Subtitle"/>
    <w:qFormat/>
    <w:rsid w:val="001F1263"/>
    <w:pPr>
      <w:keepNext/>
      <w:keepLines/>
      <w:spacing w:before="120" w:after="80" w:line="280" w:lineRule="exact"/>
      <w:ind w:left="1474" w:hanging="1474"/>
    </w:pPr>
    <w:rPr>
      <w:rFonts w:ascii="Arial" w:eastAsia="Times New Roman" w:hAnsi="Arial" w:cs="Times New Roman"/>
      <w:b/>
      <w:i w:val="0"/>
      <w:iCs w:val="0"/>
      <w:color w:val="auto"/>
      <w:sz w:val="24"/>
      <w:szCs w:val="24"/>
      <w:lang w:val="en-AU" w:eastAsia="en-AU"/>
    </w:rPr>
  </w:style>
  <w:style w:type="paragraph" w:customStyle="1" w:styleId="TableUnitsRow">
    <w:name w:val="Table Units Row"/>
    <w:basedOn w:val="TableBodyText"/>
    <w:rsid w:val="001F1263"/>
    <w:pPr>
      <w:spacing w:before="40"/>
    </w:pPr>
  </w:style>
  <w:style w:type="paragraph" w:customStyle="1" w:styleId="BoxSpaceBelow">
    <w:name w:val="Box Space Below"/>
    <w:basedOn w:val="Box"/>
    <w:rsid w:val="001F1263"/>
    <w:pPr>
      <w:keepNext w:val="0"/>
      <w:spacing w:before="60" w:after="60" w:line="80" w:lineRule="exact"/>
    </w:pPr>
    <w:rPr>
      <w:sz w:val="14"/>
    </w:rPr>
  </w:style>
  <w:style w:type="paragraph" w:styleId="Caption">
    <w:name w:val="caption"/>
    <w:basedOn w:val="Normal"/>
    <w:next w:val="Normal"/>
    <w:uiPriority w:val="35"/>
    <w:semiHidden/>
    <w:unhideWhenUsed/>
    <w:qFormat/>
    <w:rsid w:val="001F1263"/>
    <w:pPr>
      <w:spacing w:after="200"/>
    </w:pPr>
    <w:rPr>
      <w:i/>
      <w:iCs/>
      <w:color w:val="1F497D" w:themeColor="text2"/>
      <w:sz w:val="18"/>
      <w:szCs w:val="18"/>
    </w:rPr>
  </w:style>
  <w:style w:type="paragraph" w:styleId="Subtitle">
    <w:name w:val="Subtitle"/>
    <w:basedOn w:val="Normal"/>
    <w:next w:val="Normal"/>
    <w:link w:val="SubtitleChar"/>
    <w:uiPriority w:val="11"/>
    <w:qFormat/>
    <w:rsid w:val="001F1263"/>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1F1263"/>
    <w:rPr>
      <w:color w:val="5A5A5A" w:themeColor="text1" w:themeTint="A5"/>
      <w:spacing w:val="15"/>
      <w:sz w:val="22"/>
      <w:szCs w:val="22"/>
      <w:lang w:val="en-GB"/>
    </w:rPr>
  </w:style>
  <w:style w:type="paragraph" w:customStyle="1" w:styleId="Numlevel1">
    <w:name w:val="Num level 1"/>
    <w:basedOn w:val="Normal"/>
    <w:autoRedefine/>
    <w:qFormat/>
    <w:rsid w:val="00D94B03"/>
    <w:pPr>
      <w:numPr>
        <w:numId w:val="7"/>
      </w:numPr>
      <w:spacing w:after="220"/>
    </w:pPr>
    <w:rPr>
      <w:rFonts w:ascii="Arial" w:eastAsia="Times New Roman" w:hAnsi="Arial" w:cs="Times New Roman"/>
      <w:sz w:val="22"/>
      <w:szCs w:val="22"/>
      <w:lang w:val="en-AU" w:eastAsia="en-AU"/>
    </w:rPr>
  </w:style>
  <w:style w:type="table" w:styleId="TableGrid">
    <w:name w:val="Table Grid"/>
    <w:basedOn w:val="TableNormal"/>
    <w:uiPriority w:val="59"/>
    <w:rsid w:val="000C2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1897">
      <w:bodyDiv w:val="1"/>
      <w:marLeft w:val="0"/>
      <w:marRight w:val="0"/>
      <w:marTop w:val="0"/>
      <w:marBottom w:val="0"/>
      <w:divBdr>
        <w:top w:val="none" w:sz="0" w:space="0" w:color="auto"/>
        <w:left w:val="none" w:sz="0" w:space="0" w:color="auto"/>
        <w:bottom w:val="none" w:sz="0" w:space="0" w:color="auto"/>
        <w:right w:val="none" w:sz="0" w:space="0" w:color="auto"/>
      </w:divBdr>
    </w:div>
    <w:div w:id="20322671">
      <w:bodyDiv w:val="1"/>
      <w:marLeft w:val="0"/>
      <w:marRight w:val="0"/>
      <w:marTop w:val="0"/>
      <w:marBottom w:val="0"/>
      <w:divBdr>
        <w:top w:val="none" w:sz="0" w:space="0" w:color="auto"/>
        <w:left w:val="none" w:sz="0" w:space="0" w:color="auto"/>
        <w:bottom w:val="none" w:sz="0" w:space="0" w:color="auto"/>
        <w:right w:val="none" w:sz="0" w:space="0" w:color="auto"/>
      </w:divBdr>
    </w:div>
    <w:div w:id="28993331">
      <w:bodyDiv w:val="1"/>
      <w:marLeft w:val="0"/>
      <w:marRight w:val="0"/>
      <w:marTop w:val="0"/>
      <w:marBottom w:val="0"/>
      <w:divBdr>
        <w:top w:val="none" w:sz="0" w:space="0" w:color="auto"/>
        <w:left w:val="none" w:sz="0" w:space="0" w:color="auto"/>
        <w:bottom w:val="none" w:sz="0" w:space="0" w:color="auto"/>
        <w:right w:val="none" w:sz="0" w:space="0" w:color="auto"/>
      </w:divBdr>
    </w:div>
    <w:div w:id="45877327">
      <w:bodyDiv w:val="1"/>
      <w:marLeft w:val="0"/>
      <w:marRight w:val="0"/>
      <w:marTop w:val="0"/>
      <w:marBottom w:val="0"/>
      <w:divBdr>
        <w:top w:val="none" w:sz="0" w:space="0" w:color="auto"/>
        <w:left w:val="none" w:sz="0" w:space="0" w:color="auto"/>
        <w:bottom w:val="none" w:sz="0" w:space="0" w:color="auto"/>
        <w:right w:val="none" w:sz="0" w:space="0" w:color="auto"/>
      </w:divBdr>
    </w:div>
    <w:div w:id="118182434">
      <w:bodyDiv w:val="1"/>
      <w:marLeft w:val="0"/>
      <w:marRight w:val="0"/>
      <w:marTop w:val="0"/>
      <w:marBottom w:val="0"/>
      <w:divBdr>
        <w:top w:val="none" w:sz="0" w:space="0" w:color="auto"/>
        <w:left w:val="none" w:sz="0" w:space="0" w:color="auto"/>
        <w:bottom w:val="none" w:sz="0" w:space="0" w:color="auto"/>
        <w:right w:val="none" w:sz="0" w:space="0" w:color="auto"/>
      </w:divBdr>
    </w:div>
    <w:div w:id="208230420">
      <w:bodyDiv w:val="1"/>
      <w:marLeft w:val="0"/>
      <w:marRight w:val="0"/>
      <w:marTop w:val="0"/>
      <w:marBottom w:val="0"/>
      <w:divBdr>
        <w:top w:val="none" w:sz="0" w:space="0" w:color="auto"/>
        <w:left w:val="none" w:sz="0" w:space="0" w:color="auto"/>
        <w:bottom w:val="none" w:sz="0" w:space="0" w:color="auto"/>
        <w:right w:val="none" w:sz="0" w:space="0" w:color="auto"/>
      </w:divBdr>
    </w:div>
    <w:div w:id="227228578">
      <w:bodyDiv w:val="1"/>
      <w:marLeft w:val="0"/>
      <w:marRight w:val="0"/>
      <w:marTop w:val="0"/>
      <w:marBottom w:val="0"/>
      <w:divBdr>
        <w:top w:val="none" w:sz="0" w:space="0" w:color="auto"/>
        <w:left w:val="none" w:sz="0" w:space="0" w:color="auto"/>
        <w:bottom w:val="none" w:sz="0" w:space="0" w:color="auto"/>
        <w:right w:val="none" w:sz="0" w:space="0" w:color="auto"/>
      </w:divBdr>
    </w:div>
    <w:div w:id="239408114">
      <w:bodyDiv w:val="1"/>
      <w:marLeft w:val="0"/>
      <w:marRight w:val="0"/>
      <w:marTop w:val="0"/>
      <w:marBottom w:val="0"/>
      <w:divBdr>
        <w:top w:val="none" w:sz="0" w:space="0" w:color="auto"/>
        <w:left w:val="none" w:sz="0" w:space="0" w:color="auto"/>
        <w:bottom w:val="none" w:sz="0" w:space="0" w:color="auto"/>
        <w:right w:val="none" w:sz="0" w:space="0" w:color="auto"/>
      </w:divBdr>
    </w:div>
    <w:div w:id="274944516">
      <w:bodyDiv w:val="1"/>
      <w:marLeft w:val="0"/>
      <w:marRight w:val="0"/>
      <w:marTop w:val="0"/>
      <w:marBottom w:val="0"/>
      <w:divBdr>
        <w:top w:val="none" w:sz="0" w:space="0" w:color="auto"/>
        <w:left w:val="none" w:sz="0" w:space="0" w:color="auto"/>
        <w:bottom w:val="none" w:sz="0" w:space="0" w:color="auto"/>
        <w:right w:val="none" w:sz="0" w:space="0" w:color="auto"/>
      </w:divBdr>
    </w:div>
    <w:div w:id="280301699">
      <w:bodyDiv w:val="1"/>
      <w:marLeft w:val="0"/>
      <w:marRight w:val="0"/>
      <w:marTop w:val="0"/>
      <w:marBottom w:val="0"/>
      <w:divBdr>
        <w:top w:val="none" w:sz="0" w:space="0" w:color="auto"/>
        <w:left w:val="none" w:sz="0" w:space="0" w:color="auto"/>
        <w:bottom w:val="none" w:sz="0" w:space="0" w:color="auto"/>
        <w:right w:val="none" w:sz="0" w:space="0" w:color="auto"/>
      </w:divBdr>
    </w:div>
    <w:div w:id="384330450">
      <w:bodyDiv w:val="1"/>
      <w:marLeft w:val="0"/>
      <w:marRight w:val="0"/>
      <w:marTop w:val="0"/>
      <w:marBottom w:val="0"/>
      <w:divBdr>
        <w:top w:val="none" w:sz="0" w:space="0" w:color="auto"/>
        <w:left w:val="none" w:sz="0" w:space="0" w:color="auto"/>
        <w:bottom w:val="none" w:sz="0" w:space="0" w:color="auto"/>
        <w:right w:val="none" w:sz="0" w:space="0" w:color="auto"/>
      </w:divBdr>
    </w:div>
    <w:div w:id="399912103">
      <w:bodyDiv w:val="1"/>
      <w:marLeft w:val="0"/>
      <w:marRight w:val="0"/>
      <w:marTop w:val="0"/>
      <w:marBottom w:val="0"/>
      <w:divBdr>
        <w:top w:val="none" w:sz="0" w:space="0" w:color="auto"/>
        <w:left w:val="none" w:sz="0" w:space="0" w:color="auto"/>
        <w:bottom w:val="none" w:sz="0" w:space="0" w:color="auto"/>
        <w:right w:val="none" w:sz="0" w:space="0" w:color="auto"/>
      </w:divBdr>
    </w:div>
    <w:div w:id="420838114">
      <w:bodyDiv w:val="1"/>
      <w:marLeft w:val="0"/>
      <w:marRight w:val="0"/>
      <w:marTop w:val="0"/>
      <w:marBottom w:val="0"/>
      <w:divBdr>
        <w:top w:val="none" w:sz="0" w:space="0" w:color="auto"/>
        <w:left w:val="none" w:sz="0" w:space="0" w:color="auto"/>
        <w:bottom w:val="none" w:sz="0" w:space="0" w:color="auto"/>
        <w:right w:val="none" w:sz="0" w:space="0" w:color="auto"/>
      </w:divBdr>
    </w:div>
    <w:div w:id="441726313">
      <w:bodyDiv w:val="1"/>
      <w:marLeft w:val="0"/>
      <w:marRight w:val="0"/>
      <w:marTop w:val="0"/>
      <w:marBottom w:val="0"/>
      <w:divBdr>
        <w:top w:val="none" w:sz="0" w:space="0" w:color="auto"/>
        <w:left w:val="none" w:sz="0" w:space="0" w:color="auto"/>
        <w:bottom w:val="none" w:sz="0" w:space="0" w:color="auto"/>
        <w:right w:val="none" w:sz="0" w:space="0" w:color="auto"/>
      </w:divBdr>
    </w:div>
    <w:div w:id="517353071">
      <w:bodyDiv w:val="1"/>
      <w:marLeft w:val="0"/>
      <w:marRight w:val="0"/>
      <w:marTop w:val="0"/>
      <w:marBottom w:val="0"/>
      <w:divBdr>
        <w:top w:val="none" w:sz="0" w:space="0" w:color="auto"/>
        <w:left w:val="none" w:sz="0" w:space="0" w:color="auto"/>
        <w:bottom w:val="none" w:sz="0" w:space="0" w:color="auto"/>
        <w:right w:val="none" w:sz="0" w:space="0" w:color="auto"/>
      </w:divBdr>
    </w:div>
    <w:div w:id="568275297">
      <w:bodyDiv w:val="1"/>
      <w:marLeft w:val="0"/>
      <w:marRight w:val="0"/>
      <w:marTop w:val="0"/>
      <w:marBottom w:val="0"/>
      <w:divBdr>
        <w:top w:val="none" w:sz="0" w:space="0" w:color="auto"/>
        <w:left w:val="none" w:sz="0" w:space="0" w:color="auto"/>
        <w:bottom w:val="none" w:sz="0" w:space="0" w:color="auto"/>
        <w:right w:val="none" w:sz="0" w:space="0" w:color="auto"/>
      </w:divBdr>
    </w:div>
    <w:div w:id="615452865">
      <w:bodyDiv w:val="1"/>
      <w:marLeft w:val="0"/>
      <w:marRight w:val="0"/>
      <w:marTop w:val="0"/>
      <w:marBottom w:val="0"/>
      <w:divBdr>
        <w:top w:val="none" w:sz="0" w:space="0" w:color="auto"/>
        <w:left w:val="none" w:sz="0" w:space="0" w:color="auto"/>
        <w:bottom w:val="none" w:sz="0" w:space="0" w:color="auto"/>
        <w:right w:val="none" w:sz="0" w:space="0" w:color="auto"/>
      </w:divBdr>
    </w:div>
    <w:div w:id="639112773">
      <w:bodyDiv w:val="1"/>
      <w:marLeft w:val="0"/>
      <w:marRight w:val="0"/>
      <w:marTop w:val="0"/>
      <w:marBottom w:val="0"/>
      <w:divBdr>
        <w:top w:val="none" w:sz="0" w:space="0" w:color="auto"/>
        <w:left w:val="none" w:sz="0" w:space="0" w:color="auto"/>
        <w:bottom w:val="none" w:sz="0" w:space="0" w:color="auto"/>
        <w:right w:val="none" w:sz="0" w:space="0" w:color="auto"/>
      </w:divBdr>
    </w:div>
    <w:div w:id="641498829">
      <w:bodyDiv w:val="1"/>
      <w:marLeft w:val="0"/>
      <w:marRight w:val="0"/>
      <w:marTop w:val="0"/>
      <w:marBottom w:val="0"/>
      <w:divBdr>
        <w:top w:val="none" w:sz="0" w:space="0" w:color="auto"/>
        <w:left w:val="none" w:sz="0" w:space="0" w:color="auto"/>
        <w:bottom w:val="none" w:sz="0" w:space="0" w:color="auto"/>
        <w:right w:val="none" w:sz="0" w:space="0" w:color="auto"/>
      </w:divBdr>
    </w:div>
    <w:div w:id="684596780">
      <w:bodyDiv w:val="1"/>
      <w:marLeft w:val="0"/>
      <w:marRight w:val="0"/>
      <w:marTop w:val="0"/>
      <w:marBottom w:val="0"/>
      <w:divBdr>
        <w:top w:val="none" w:sz="0" w:space="0" w:color="auto"/>
        <w:left w:val="none" w:sz="0" w:space="0" w:color="auto"/>
        <w:bottom w:val="none" w:sz="0" w:space="0" w:color="auto"/>
        <w:right w:val="none" w:sz="0" w:space="0" w:color="auto"/>
      </w:divBdr>
    </w:div>
    <w:div w:id="714280199">
      <w:bodyDiv w:val="1"/>
      <w:marLeft w:val="0"/>
      <w:marRight w:val="0"/>
      <w:marTop w:val="0"/>
      <w:marBottom w:val="0"/>
      <w:divBdr>
        <w:top w:val="none" w:sz="0" w:space="0" w:color="auto"/>
        <w:left w:val="none" w:sz="0" w:space="0" w:color="auto"/>
        <w:bottom w:val="none" w:sz="0" w:space="0" w:color="auto"/>
        <w:right w:val="none" w:sz="0" w:space="0" w:color="auto"/>
      </w:divBdr>
    </w:div>
    <w:div w:id="726999530">
      <w:bodyDiv w:val="1"/>
      <w:marLeft w:val="0"/>
      <w:marRight w:val="0"/>
      <w:marTop w:val="0"/>
      <w:marBottom w:val="0"/>
      <w:divBdr>
        <w:top w:val="none" w:sz="0" w:space="0" w:color="auto"/>
        <w:left w:val="none" w:sz="0" w:space="0" w:color="auto"/>
        <w:bottom w:val="none" w:sz="0" w:space="0" w:color="auto"/>
        <w:right w:val="none" w:sz="0" w:space="0" w:color="auto"/>
      </w:divBdr>
    </w:div>
    <w:div w:id="749615768">
      <w:bodyDiv w:val="1"/>
      <w:marLeft w:val="0"/>
      <w:marRight w:val="0"/>
      <w:marTop w:val="0"/>
      <w:marBottom w:val="0"/>
      <w:divBdr>
        <w:top w:val="none" w:sz="0" w:space="0" w:color="auto"/>
        <w:left w:val="none" w:sz="0" w:space="0" w:color="auto"/>
        <w:bottom w:val="none" w:sz="0" w:space="0" w:color="auto"/>
        <w:right w:val="none" w:sz="0" w:space="0" w:color="auto"/>
      </w:divBdr>
      <w:divsChild>
        <w:div w:id="1168251141">
          <w:marLeft w:val="0"/>
          <w:marRight w:val="0"/>
          <w:marTop w:val="0"/>
          <w:marBottom w:val="0"/>
          <w:divBdr>
            <w:top w:val="none" w:sz="0" w:space="0" w:color="auto"/>
            <w:left w:val="none" w:sz="0" w:space="0" w:color="auto"/>
            <w:bottom w:val="none" w:sz="0" w:space="0" w:color="auto"/>
            <w:right w:val="none" w:sz="0" w:space="0" w:color="auto"/>
          </w:divBdr>
        </w:div>
        <w:div w:id="1971205710">
          <w:marLeft w:val="0"/>
          <w:marRight w:val="0"/>
          <w:marTop w:val="0"/>
          <w:marBottom w:val="0"/>
          <w:divBdr>
            <w:top w:val="none" w:sz="0" w:space="0" w:color="auto"/>
            <w:left w:val="none" w:sz="0" w:space="0" w:color="auto"/>
            <w:bottom w:val="none" w:sz="0" w:space="0" w:color="auto"/>
            <w:right w:val="none" w:sz="0" w:space="0" w:color="auto"/>
          </w:divBdr>
        </w:div>
        <w:div w:id="1857188059">
          <w:marLeft w:val="0"/>
          <w:marRight w:val="0"/>
          <w:marTop w:val="0"/>
          <w:marBottom w:val="0"/>
          <w:divBdr>
            <w:top w:val="none" w:sz="0" w:space="0" w:color="auto"/>
            <w:left w:val="none" w:sz="0" w:space="0" w:color="auto"/>
            <w:bottom w:val="none" w:sz="0" w:space="0" w:color="auto"/>
            <w:right w:val="none" w:sz="0" w:space="0" w:color="auto"/>
          </w:divBdr>
        </w:div>
        <w:div w:id="920337794">
          <w:marLeft w:val="0"/>
          <w:marRight w:val="0"/>
          <w:marTop w:val="0"/>
          <w:marBottom w:val="0"/>
          <w:divBdr>
            <w:top w:val="none" w:sz="0" w:space="0" w:color="auto"/>
            <w:left w:val="none" w:sz="0" w:space="0" w:color="auto"/>
            <w:bottom w:val="none" w:sz="0" w:space="0" w:color="auto"/>
            <w:right w:val="none" w:sz="0" w:space="0" w:color="auto"/>
          </w:divBdr>
        </w:div>
        <w:div w:id="971908615">
          <w:marLeft w:val="0"/>
          <w:marRight w:val="0"/>
          <w:marTop w:val="0"/>
          <w:marBottom w:val="0"/>
          <w:divBdr>
            <w:top w:val="none" w:sz="0" w:space="0" w:color="auto"/>
            <w:left w:val="none" w:sz="0" w:space="0" w:color="auto"/>
            <w:bottom w:val="none" w:sz="0" w:space="0" w:color="auto"/>
            <w:right w:val="none" w:sz="0" w:space="0" w:color="auto"/>
          </w:divBdr>
        </w:div>
        <w:div w:id="2080710621">
          <w:marLeft w:val="0"/>
          <w:marRight w:val="0"/>
          <w:marTop w:val="0"/>
          <w:marBottom w:val="0"/>
          <w:divBdr>
            <w:top w:val="none" w:sz="0" w:space="0" w:color="auto"/>
            <w:left w:val="none" w:sz="0" w:space="0" w:color="auto"/>
            <w:bottom w:val="none" w:sz="0" w:space="0" w:color="auto"/>
            <w:right w:val="none" w:sz="0" w:space="0" w:color="auto"/>
          </w:divBdr>
        </w:div>
        <w:div w:id="42296188">
          <w:marLeft w:val="0"/>
          <w:marRight w:val="0"/>
          <w:marTop w:val="0"/>
          <w:marBottom w:val="0"/>
          <w:divBdr>
            <w:top w:val="none" w:sz="0" w:space="0" w:color="auto"/>
            <w:left w:val="none" w:sz="0" w:space="0" w:color="auto"/>
            <w:bottom w:val="none" w:sz="0" w:space="0" w:color="auto"/>
            <w:right w:val="none" w:sz="0" w:space="0" w:color="auto"/>
          </w:divBdr>
        </w:div>
        <w:div w:id="602693536">
          <w:marLeft w:val="0"/>
          <w:marRight w:val="0"/>
          <w:marTop w:val="0"/>
          <w:marBottom w:val="0"/>
          <w:divBdr>
            <w:top w:val="none" w:sz="0" w:space="0" w:color="auto"/>
            <w:left w:val="none" w:sz="0" w:space="0" w:color="auto"/>
            <w:bottom w:val="none" w:sz="0" w:space="0" w:color="auto"/>
            <w:right w:val="none" w:sz="0" w:space="0" w:color="auto"/>
          </w:divBdr>
        </w:div>
      </w:divsChild>
    </w:div>
    <w:div w:id="775829578">
      <w:bodyDiv w:val="1"/>
      <w:marLeft w:val="0"/>
      <w:marRight w:val="0"/>
      <w:marTop w:val="0"/>
      <w:marBottom w:val="0"/>
      <w:divBdr>
        <w:top w:val="none" w:sz="0" w:space="0" w:color="auto"/>
        <w:left w:val="none" w:sz="0" w:space="0" w:color="auto"/>
        <w:bottom w:val="none" w:sz="0" w:space="0" w:color="auto"/>
        <w:right w:val="none" w:sz="0" w:space="0" w:color="auto"/>
      </w:divBdr>
    </w:div>
    <w:div w:id="776754363">
      <w:bodyDiv w:val="1"/>
      <w:marLeft w:val="0"/>
      <w:marRight w:val="0"/>
      <w:marTop w:val="0"/>
      <w:marBottom w:val="0"/>
      <w:divBdr>
        <w:top w:val="none" w:sz="0" w:space="0" w:color="auto"/>
        <w:left w:val="none" w:sz="0" w:space="0" w:color="auto"/>
        <w:bottom w:val="none" w:sz="0" w:space="0" w:color="auto"/>
        <w:right w:val="none" w:sz="0" w:space="0" w:color="auto"/>
      </w:divBdr>
    </w:div>
    <w:div w:id="782311782">
      <w:bodyDiv w:val="1"/>
      <w:marLeft w:val="0"/>
      <w:marRight w:val="0"/>
      <w:marTop w:val="0"/>
      <w:marBottom w:val="0"/>
      <w:divBdr>
        <w:top w:val="none" w:sz="0" w:space="0" w:color="auto"/>
        <w:left w:val="none" w:sz="0" w:space="0" w:color="auto"/>
        <w:bottom w:val="none" w:sz="0" w:space="0" w:color="auto"/>
        <w:right w:val="none" w:sz="0" w:space="0" w:color="auto"/>
      </w:divBdr>
    </w:div>
    <w:div w:id="805467340">
      <w:bodyDiv w:val="1"/>
      <w:marLeft w:val="0"/>
      <w:marRight w:val="0"/>
      <w:marTop w:val="0"/>
      <w:marBottom w:val="0"/>
      <w:divBdr>
        <w:top w:val="none" w:sz="0" w:space="0" w:color="auto"/>
        <w:left w:val="none" w:sz="0" w:space="0" w:color="auto"/>
        <w:bottom w:val="none" w:sz="0" w:space="0" w:color="auto"/>
        <w:right w:val="none" w:sz="0" w:space="0" w:color="auto"/>
      </w:divBdr>
    </w:div>
    <w:div w:id="819734980">
      <w:bodyDiv w:val="1"/>
      <w:marLeft w:val="0"/>
      <w:marRight w:val="0"/>
      <w:marTop w:val="0"/>
      <w:marBottom w:val="0"/>
      <w:divBdr>
        <w:top w:val="none" w:sz="0" w:space="0" w:color="auto"/>
        <w:left w:val="none" w:sz="0" w:space="0" w:color="auto"/>
        <w:bottom w:val="none" w:sz="0" w:space="0" w:color="auto"/>
        <w:right w:val="none" w:sz="0" w:space="0" w:color="auto"/>
      </w:divBdr>
    </w:div>
    <w:div w:id="892623628">
      <w:bodyDiv w:val="1"/>
      <w:marLeft w:val="0"/>
      <w:marRight w:val="0"/>
      <w:marTop w:val="0"/>
      <w:marBottom w:val="0"/>
      <w:divBdr>
        <w:top w:val="none" w:sz="0" w:space="0" w:color="auto"/>
        <w:left w:val="none" w:sz="0" w:space="0" w:color="auto"/>
        <w:bottom w:val="none" w:sz="0" w:space="0" w:color="auto"/>
        <w:right w:val="none" w:sz="0" w:space="0" w:color="auto"/>
      </w:divBdr>
    </w:div>
    <w:div w:id="895355707">
      <w:bodyDiv w:val="1"/>
      <w:marLeft w:val="0"/>
      <w:marRight w:val="0"/>
      <w:marTop w:val="0"/>
      <w:marBottom w:val="0"/>
      <w:divBdr>
        <w:top w:val="none" w:sz="0" w:space="0" w:color="auto"/>
        <w:left w:val="none" w:sz="0" w:space="0" w:color="auto"/>
        <w:bottom w:val="none" w:sz="0" w:space="0" w:color="auto"/>
        <w:right w:val="none" w:sz="0" w:space="0" w:color="auto"/>
      </w:divBdr>
    </w:div>
    <w:div w:id="897135082">
      <w:bodyDiv w:val="1"/>
      <w:marLeft w:val="0"/>
      <w:marRight w:val="0"/>
      <w:marTop w:val="0"/>
      <w:marBottom w:val="0"/>
      <w:divBdr>
        <w:top w:val="none" w:sz="0" w:space="0" w:color="auto"/>
        <w:left w:val="none" w:sz="0" w:space="0" w:color="auto"/>
        <w:bottom w:val="none" w:sz="0" w:space="0" w:color="auto"/>
        <w:right w:val="none" w:sz="0" w:space="0" w:color="auto"/>
      </w:divBdr>
    </w:div>
    <w:div w:id="918291435">
      <w:bodyDiv w:val="1"/>
      <w:marLeft w:val="0"/>
      <w:marRight w:val="0"/>
      <w:marTop w:val="0"/>
      <w:marBottom w:val="0"/>
      <w:divBdr>
        <w:top w:val="none" w:sz="0" w:space="0" w:color="auto"/>
        <w:left w:val="none" w:sz="0" w:space="0" w:color="auto"/>
        <w:bottom w:val="none" w:sz="0" w:space="0" w:color="auto"/>
        <w:right w:val="none" w:sz="0" w:space="0" w:color="auto"/>
      </w:divBdr>
    </w:div>
    <w:div w:id="920220435">
      <w:bodyDiv w:val="1"/>
      <w:marLeft w:val="0"/>
      <w:marRight w:val="0"/>
      <w:marTop w:val="0"/>
      <w:marBottom w:val="0"/>
      <w:divBdr>
        <w:top w:val="none" w:sz="0" w:space="0" w:color="auto"/>
        <w:left w:val="none" w:sz="0" w:space="0" w:color="auto"/>
        <w:bottom w:val="none" w:sz="0" w:space="0" w:color="auto"/>
        <w:right w:val="none" w:sz="0" w:space="0" w:color="auto"/>
      </w:divBdr>
    </w:div>
    <w:div w:id="922371786">
      <w:bodyDiv w:val="1"/>
      <w:marLeft w:val="0"/>
      <w:marRight w:val="0"/>
      <w:marTop w:val="0"/>
      <w:marBottom w:val="0"/>
      <w:divBdr>
        <w:top w:val="none" w:sz="0" w:space="0" w:color="auto"/>
        <w:left w:val="none" w:sz="0" w:space="0" w:color="auto"/>
        <w:bottom w:val="none" w:sz="0" w:space="0" w:color="auto"/>
        <w:right w:val="none" w:sz="0" w:space="0" w:color="auto"/>
      </w:divBdr>
    </w:div>
    <w:div w:id="1106342232">
      <w:bodyDiv w:val="1"/>
      <w:marLeft w:val="0"/>
      <w:marRight w:val="0"/>
      <w:marTop w:val="0"/>
      <w:marBottom w:val="0"/>
      <w:divBdr>
        <w:top w:val="none" w:sz="0" w:space="0" w:color="auto"/>
        <w:left w:val="none" w:sz="0" w:space="0" w:color="auto"/>
        <w:bottom w:val="none" w:sz="0" w:space="0" w:color="auto"/>
        <w:right w:val="none" w:sz="0" w:space="0" w:color="auto"/>
      </w:divBdr>
    </w:div>
    <w:div w:id="1138380653">
      <w:bodyDiv w:val="1"/>
      <w:marLeft w:val="0"/>
      <w:marRight w:val="0"/>
      <w:marTop w:val="0"/>
      <w:marBottom w:val="0"/>
      <w:divBdr>
        <w:top w:val="none" w:sz="0" w:space="0" w:color="auto"/>
        <w:left w:val="none" w:sz="0" w:space="0" w:color="auto"/>
        <w:bottom w:val="none" w:sz="0" w:space="0" w:color="auto"/>
        <w:right w:val="none" w:sz="0" w:space="0" w:color="auto"/>
      </w:divBdr>
    </w:div>
    <w:div w:id="1139348013">
      <w:bodyDiv w:val="1"/>
      <w:marLeft w:val="0"/>
      <w:marRight w:val="0"/>
      <w:marTop w:val="0"/>
      <w:marBottom w:val="0"/>
      <w:divBdr>
        <w:top w:val="none" w:sz="0" w:space="0" w:color="auto"/>
        <w:left w:val="none" w:sz="0" w:space="0" w:color="auto"/>
        <w:bottom w:val="none" w:sz="0" w:space="0" w:color="auto"/>
        <w:right w:val="none" w:sz="0" w:space="0" w:color="auto"/>
      </w:divBdr>
    </w:div>
    <w:div w:id="1244486078">
      <w:bodyDiv w:val="1"/>
      <w:marLeft w:val="0"/>
      <w:marRight w:val="0"/>
      <w:marTop w:val="0"/>
      <w:marBottom w:val="0"/>
      <w:divBdr>
        <w:top w:val="none" w:sz="0" w:space="0" w:color="auto"/>
        <w:left w:val="none" w:sz="0" w:space="0" w:color="auto"/>
        <w:bottom w:val="none" w:sz="0" w:space="0" w:color="auto"/>
        <w:right w:val="none" w:sz="0" w:space="0" w:color="auto"/>
      </w:divBdr>
      <w:divsChild>
        <w:div w:id="1674340372">
          <w:marLeft w:val="0"/>
          <w:marRight w:val="0"/>
          <w:marTop w:val="0"/>
          <w:marBottom w:val="0"/>
          <w:divBdr>
            <w:top w:val="none" w:sz="0" w:space="0" w:color="auto"/>
            <w:left w:val="none" w:sz="0" w:space="0" w:color="auto"/>
            <w:bottom w:val="none" w:sz="0" w:space="0" w:color="auto"/>
            <w:right w:val="none" w:sz="0" w:space="0" w:color="auto"/>
          </w:divBdr>
        </w:div>
        <w:div w:id="1811095486">
          <w:marLeft w:val="0"/>
          <w:marRight w:val="0"/>
          <w:marTop w:val="0"/>
          <w:marBottom w:val="0"/>
          <w:divBdr>
            <w:top w:val="none" w:sz="0" w:space="0" w:color="auto"/>
            <w:left w:val="none" w:sz="0" w:space="0" w:color="auto"/>
            <w:bottom w:val="none" w:sz="0" w:space="0" w:color="auto"/>
            <w:right w:val="none" w:sz="0" w:space="0" w:color="auto"/>
          </w:divBdr>
        </w:div>
        <w:div w:id="1145704182">
          <w:marLeft w:val="0"/>
          <w:marRight w:val="0"/>
          <w:marTop w:val="0"/>
          <w:marBottom w:val="0"/>
          <w:divBdr>
            <w:top w:val="none" w:sz="0" w:space="0" w:color="auto"/>
            <w:left w:val="none" w:sz="0" w:space="0" w:color="auto"/>
            <w:bottom w:val="none" w:sz="0" w:space="0" w:color="auto"/>
            <w:right w:val="none" w:sz="0" w:space="0" w:color="auto"/>
          </w:divBdr>
        </w:div>
        <w:div w:id="2118059318">
          <w:marLeft w:val="0"/>
          <w:marRight w:val="0"/>
          <w:marTop w:val="0"/>
          <w:marBottom w:val="0"/>
          <w:divBdr>
            <w:top w:val="none" w:sz="0" w:space="0" w:color="auto"/>
            <w:left w:val="none" w:sz="0" w:space="0" w:color="auto"/>
            <w:bottom w:val="none" w:sz="0" w:space="0" w:color="auto"/>
            <w:right w:val="none" w:sz="0" w:space="0" w:color="auto"/>
          </w:divBdr>
        </w:div>
        <w:div w:id="1679117824">
          <w:marLeft w:val="0"/>
          <w:marRight w:val="0"/>
          <w:marTop w:val="0"/>
          <w:marBottom w:val="0"/>
          <w:divBdr>
            <w:top w:val="none" w:sz="0" w:space="0" w:color="auto"/>
            <w:left w:val="none" w:sz="0" w:space="0" w:color="auto"/>
            <w:bottom w:val="none" w:sz="0" w:space="0" w:color="auto"/>
            <w:right w:val="none" w:sz="0" w:space="0" w:color="auto"/>
          </w:divBdr>
        </w:div>
        <w:div w:id="27294531">
          <w:marLeft w:val="0"/>
          <w:marRight w:val="0"/>
          <w:marTop w:val="0"/>
          <w:marBottom w:val="0"/>
          <w:divBdr>
            <w:top w:val="none" w:sz="0" w:space="0" w:color="auto"/>
            <w:left w:val="none" w:sz="0" w:space="0" w:color="auto"/>
            <w:bottom w:val="none" w:sz="0" w:space="0" w:color="auto"/>
            <w:right w:val="none" w:sz="0" w:space="0" w:color="auto"/>
          </w:divBdr>
        </w:div>
        <w:div w:id="1773550200">
          <w:marLeft w:val="0"/>
          <w:marRight w:val="0"/>
          <w:marTop w:val="0"/>
          <w:marBottom w:val="0"/>
          <w:divBdr>
            <w:top w:val="none" w:sz="0" w:space="0" w:color="auto"/>
            <w:left w:val="none" w:sz="0" w:space="0" w:color="auto"/>
            <w:bottom w:val="none" w:sz="0" w:space="0" w:color="auto"/>
            <w:right w:val="none" w:sz="0" w:space="0" w:color="auto"/>
          </w:divBdr>
        </w:div>
        <w:div w:id="889607083">
          <w:marLeft w:val="0"/>
          <w:marRight w:val="0"/>
          <w:marTop w:val="0"/>
          <w:marBottom w:val="0"/>
          <w:divBdr>
            <w:top w:val="none" w:sz="0" w:space="0" w:color="auto"/>
            <w:left w:val="none" w:sz="0" w:space="0" w:color="auto"/>
            <w:bottom w:val="none" w:sz="0" w:space="0" w:color="auto"/>
            <w:right w:val="none" w:sz="0" w:space="0" w:color="auto"/>
          </w:divBdr>
        </w:div>
        <w:div w:id="1984309979">
          <w:marLeft w:val="0"/>
          <w:marRight w:val="0"/>
          <w:marTop w:val="0"/>
          <w:marBottom w:val="0"/>
          <w:divBdr>
            <w:top w:val="none" w:sz="0" w:space="0" w:color="auto"/>
            <w:left w:val="none" w:sz="0" w:space="0" w:color="auto"/>
            <w:bottom w:val="none" w:sz="0" w:space="0" w:color="auto"/>
            <w:right w:val="none" w:sz="0" w:space="0" w:color="auto"/>
          </w:divBdr>
        </w:div>
        <w:div w:id="402026415">
          <w:marLeft w:val="0"/>
          <w:marRight w:val="0"/>
          <w:marTop w:val="0"/>
          <w:marBottom w:val="0"/>
          <w:divBdr>
            <w:top w:val="none" w:sz="0" w:space="0" w:color="auto"/>
            <w:left w:val="none" w:sz="0" w:space="0" w:color="auto"/>
            <w:bottom w:val="none" w:sz="0" w:space="0" w:color="auto"/>
            <w:right w:val="none" w:sz="0" w:space="0" w:color="auto"/>
          </w:divBdr>
        </w:div>
        <w:div w:id="929894667">
          <w:marLeft w:val="0"/>
          <w:marRight w:val="0"/>
          <w:marTop w:val="0"/>
          <w:marBottom w:val="0"/>
          <w:divBdr>
            <w:top w:val="none" w:sz="0" w:space="0" w:color="auto"/>
            <w:left w:val="none" w:sz="0" w:space="0" w:color="auto"/>
            <w:bottom w:val="none" w:sz="0" w:space="0" w:color="auto"/>
            <w:right w:val="none" w:sz="0" w:space="0" w:color="auto"/>
          </w:divBdr>
        </w:div>
        <w:div w:id="1704475434">
          <w:marLeft w:val="0"/>
          <w:marRight w:val="0"/>
          <w:marTop w:val="0"/>
          <w:marBottom w:val="0"/>
          <w:divBdr>
            <w:top w:val="none" w:sz="0" w:space="0" w:color="auto"/>
            <w:left w:val="none" w:sz="0" w:space="0" w:color="auto"/>
            <w:bottom w:val="none" w:sz="0" w:space="0" w:color="auto"/>
            <w:right w:val="none" w:sz="0" w:space="0" w:color="auto"/>
          </w:divBdr>
        </w:div>
        <w:div w:id="1107458654">
          <w:marLeft w:val="0"/>
          <w:marRight w:val="0"/>
          <w:marTop w:val="0"/>
          <w:marBottom w:val="0"/>
          <w:divBdr>
            <w:top w:val="none" w:sz="0" w:space="0" w:color="auto"/>
            <w:left w:val="none" w:sz="0" w:space="0" w:color="auto"/>
            <w:bottom w:val="none" w:sz="0" w:space="0" w:color="auto"/>
            <w:right w:val="none" w:sz="0" w:space="0" w:color="auto"/>
          </w:divBdr>
        </w:div>
        <w:div w:id="69356311">
          <w:marLeft w:val="0"/>
          <w:marRight w:val="0"/>
          <w:marTop w:val="0"/>
          <w:marBottom w:val="0"/>
          <w:divBdr>
            <w:top w:val="none" w:sz="0" w:space="0" w:color="auto"/>
            <w:left w:val="none" w:sz="0" w:space="0" w:color="auto"/>
            <w:bottom w:val="none" w:sz="0" w:space="0" w:color="auto"/>
            <w:right w:val="none" w:sz="0" w:space="0" w:color="auto"/>
          </w:divBdr>
        </w:div>
        <w:div w:id="1037311781">
          <w:marLeft w:val="0"/>
          <w:marRight w:val="0"/>
          <w:marTop w:val="0"/>
          <w:marBottom w:val="0"/>
          <w:divBdr>
            <w:top w:val="none" w:sz="0" w:space="0" w:color="auto"/>
            <w:left w:val="none" w:sz="0" w:space="0" w:color="auto"/>
            <w:bottom w:val="none" w:sz="0" w:space="0" w:color="auto"/>
            <w:right w:val="none" w:sz="0" w:space="0" w:color="auto"/>
          </w:divBdr>
        </w:div>
        <w:div w:id="1550385552">
          <w:marLeft w:val="0"/>
          <w:marRight w:val="0"/>
          <w:marTop w:val="0"/>
          <w:marBottom w:val="0"/>
          <w:divBdr>
            <w:top w:val="none" w:sz="0" w:space="0" w:color="auto"/>
            <w:left w:val="none" w:sz="0" w:space="0" w:color="auto"/>
            <w:bottom w:val="none" w:sz="0" w:space="0" w:color="auto"/>
            <w:right w:val="none" w:sz="0" w:space="0" w:color="auto"/>
          </w:divBdr>
        </w:div>
        <w:div w:id="2058970658">
          <w:marLeft w:val="0"/>
          <w:marRight w:val="0"/>
          <w:marTop w:val="0"/>
          <w:marBottom w:val="0"/>
          <w:divBdr>
            <w:top w:val="none" w:sz="0" w:space="0" w:color="auto"/>
            <w:left w:val="none" w:sz="0" w:space="0" w:color="auto"/>
            <w:bottom w:val="none" w:sz="0" w:space="0" w:color="auto"/>
            <w:right w:val="none" w:sz="0" w:space="0" w:color="auto"/>
          </w:divBdr>
        </w:div>
        <w:div w:id="1392509184">
          <w:marLeft w:val="0"/>
          <w:marRight w:val="0"/>
          <w:marTop w:val="0"/>
          <w:marBottom w:val="0"/>
          <w:divBdr>
            <w:top w:val="none" w:sz="0" w:space="0" w:color="auto"/>
            <w:left w:val="none" w:sz="0" w:space="0" w:color="auto"/>
            <w:bottom w:val="none" w:sz="0" w:space="0" w:color="auto"/>
            <w:right w:val="none" w:sz="0" w:space="0" w:color="auto"/>
          </w:divBdr>
        </w:div>
        <w:div w:id="1802914572">
          <w:marLeft w:val="0"/>
          <w:marRight w:val="0"/>
          <w:marTop w:val="0"/>
          <w:marBottom w:val="0"/>
          <w:divBdr>
            <w:top w:val="none" w:sz="0" w:space="0" w:color="auto"/>
            <w:left w:val="none" w:sz="0" w:space="0" w:color="auto"/>
            <w:bottom w:val="none" w:sz="0" w:space="0" w:color="auto"/>
            <w:right w:val="none" w:sz="0" w:space="0" w:color="auto"/>
          </w:divBdr>
        </w:div>
        <w:div w:id="779689750">
          <w:marLeft w:val="0"/>
          <w:marRight w:val="0"/>
          <w:marTop w:val="0"/>
          <w:marBottom w:val="0"/>
          <w:divBdr>
            <w:top w:val="none" w:sz="0" w:space="0" w:color="auto"/>
            <w:left w:val="none" w:sz="0" w:space="0" w:color="auto"/>
            <w:bottom w:val="none" w:sz="0" w:space="0" w:color="auto"/>
            <w:right w:val="none" w:sz="0" w:space="0" w:color="auto"/>
          </w:divBdr>
        </w:div>
        <w:div w:id="657346704">
          <w:marLeft w:val="0"/>
          <w:marRight w:val="0"/>
          <w:marTop w:val="0"/>
          <w:marBottom w:val="0"/>
          <w:divBdr>
            <w:top w:val="none" w:sz="0" w:space="0" w:color="auto"/>
            <w:left w:val="none" w:sz="0" w:space="0" w:color="auto"/>
            <w:bottom w:val="none" w:sz="0" w:space="0" w:color="auto"/>
            <w:right w:val="none" w:sz="0" w:space="0" w:color="auto"/>
          </w:divBdr>
        </w:div>
        <w:div w:id="1427729696">
          <w:marLeft w:val="0"/>
          <w:marRight w:val="0"/>
          <w:marTop w:val="0"/>
          <w:marBottom w:val="0"/>
          <w:divBdr>
            <w:top w:val="none" w:sz="0" w:space="0" w:color="auto"/>
            <w:left w:val="none" w:sz="0" w:space="0" w:color="auto"/>
            <w:bottom w:val="none" w:sz="0" w:space="0" w:color="auto"/>
            <w:right w:val="none" w:sz="0" w:space="0" w:color="auto"/>
          </w:divBdr>
        </w:div>
        <w:div w:id="107630068">
          <w:marLeft w:val="0"/>
          <w:marRight w:val="0"/>
          <w:marTop w:val="0"/>
          <w:marBottom w:val="0"/>
          <w:divBdr>
            <w:top w:val="none" w:sz="0" w:space="0" w:color="auto"/>
            <w:left w:val="none" w:sz="0" w:space="0" w:color="auto"/>
            <w:bottom w:val="none" w:sz="0" w:space="0" w:color="auto"/>
            <w:right w:val="none" w:sz="0" w:space="0" w:color="auto"/>
          </w:divBdr>
        </w:div>
        <w:div w:id="437801941">
          <w:marLeft w:val="0"/>
          <w:marRight w:val="0"/>
          <w:marTop w:val="0"/>
          <w:marBottom w:val="0"/>
          <w:divBdr>
            <w:top w:val="none" w:sz="0" w:space="0" w:color="auto"/>
            <w:left w:val="none" w:sz="0" w:space="0" w:color="auto"/>
            <w:bottom w:val="none" w:sz="0" w:space="0" w:color="auto"/>
            <w:right w:val="none" w:sz="0" w:space="0" w:color="auto"/>
          </w:divBdr>
        </w:div>
        <w:div w:id="949245813">
          <w:marLeft w:val="0"/>
          <w:marRight w:val="0"/>
          <w:marTop w:val="0"/>
          <w:marBottom w:val="0"/>
          <w:divBdr>
            <w:top w:val="none" w:sz="0" w:space="0" w:color="auto"/>
            <w:left w:val="none" w:sz="0" w:space="0" w:color="auto"/>
            <w:bottom w:val="none" w:sz="0" w:space="0" w:color="auto"/>
            <w:right w:val="none" w:sz="0" w:space="0" w:color="auto"/>
          </w:divBdr>
        </w:div>
        <w:div w:id="1074475983">
          <w:marLeft w:val="0"/>
          <w:marRight w:val="0"/>
          <w:marTop w:val="0"/>
          <w:marBottom w:val="0"/>
          <w:divBdr>
            <w:top w:val="none" w:sz="0" w:space="0" w:color="auto"/>
            <w:left w:val="none" w:sz="0" w:space="0" w:color="auto"/>
            <w:bottom w:val="none" w:sz="0" w:space="0" w:color="auto"/>
            <w:right w:val="none" w:sz="0" w:space="0" w:color="auto"/>
          </w:divBdr>
        </w:div>
        <w:div w:id="883634288">
          <w:marLeft w:val="0"/>
          <w:marRight w:val="0"/>
          <w:marTop w:val="0"/>
          <w:marBottom w:val="0"/>
          <w:divBdr>
            <w:top w:val="none" w:sz="0" w:space="0" w:color="auto"/>
            <w:left w:val="none" w:sz="0" w:space="0" w:color="auto"/>
            <w:bottom w:val="none" w:sz="0" w:space="0" w:color="auto"/>
            <w:right w:val="none" w:sz="0" w:space="0" w:color="auto"/>
          </w:divBdr>
        </w:div>
        <w:div w:id="1029798929">
          <w:marLeft w:val="0"/>
          <w:marRight w:val="0"/>
          <w:marTop w:val="0"/>
          <w:marBottom w:val="0"/>
          <w:divBdr>
            <w:top w:val="none" w:sz="0" w:space="0" w:color="auto"/>
            <w:left w:val="none" w:sz="0" w:space="0" w:color="auto"/>
            <w:bottom w:val="none" w:sz="0" w:space="0" w:color="auto"/>
            <w:right w:val="none" w:sz="0" w:space="0" w:color="auto"/>
          </w:divBdr>
        </w:div>
        <w:div w:id="1007750394">
          <w:marLeft w:val="0"/>
          <w:marRight w:val="0"/>
          <w:marTop w:val="0"/>
          <w:marBottom w:val="0"/>
          <w:divBdr>
            <w:top w:val="none" w:sz="0" w:space="0" w:color="auto"/>
            <w:left w:val="none" w:sz="0" w:space="0" w:color="auto"/>
            <w:bottom w:val="none" w:sz="0" w:space="0" w:color="auto"/>
            <w:right w:val="none" w:sz="0" w:space="0" w:color="auto"/>
          </w:divBdr>
        </w:div>
        <w:div w:id="1458447723">
          <w:marLeft w:val="0"/>
          <w:marRight w:val="0"/>
          <w:marTop w:val="0"/>
          <w:marBottom w:val="0"/>
          <w:divBdr>
            <w:top w:val="none" w:sz="0" w:space="0" w:color="auto"/>
            <w:left w:val="none" w:sz="0" w:space="0" w:color="auto"/>
            <w:bottom w:val="none" w:sz="0" w:space="0" w:color="auto"/>
            <w:right w:val="none" w:sz="0" w:space="0" w:color="auto"/>
          </w:divBdr>
        </w:div>
        <w:div w:id="18242475">
          <w:marLeft w:val="0"/>
          <w:marRight w:val="0"/>
          <w:marTop w:val="0"/>
          <w:marBottom w:val="0"/>
          <w:divBdr>
            <w:top w:val="none" w:sz="0" w:space="0" w:color="auto"/>
            <w:left w:val="none" w:sz="0" w:space="0" w:color="auto"/>
            <w:bottom w:val="none" w:sz="0" w:space="0" w:color="auto"/>
            <w:right w:val="none" w:sz="0" w:space="0" w:color="auto"/>
          </w:divBdr>
        </w:div>
        <w:div w:id="1584876345">
          <w:marLeft w:val="0"/>
          <w:marRight w:val="0"/>
          <w:marTop w:val="0"/>
          <w:marBottom w:val="0"/>
          <w:divBdr>
            <w:top w:val="none" w:sz="0" w:space="0" w:color="auto"/>
            <w:left w:val="none" w:sz="0" w:space="0" w:color="auto"/>
            <w:bottom w:val="none" w:sz="0" w:space="0" w:color="auto"/>
            <w:right w:val="none" w:sz="0" w:space="0" w:color="auto"/>
          </w:divBdr>
        </w:div>
        <w:div w:id="1597134995">
          <w:marLeft w:val="0"/>
          <w:marRight w:val="0"/>
          <w:marTop w:val="0"/>
          <w:marBottom w:val="0"/>
          <w:divBdr>
            <w:top w:val="none" w:sz="0" w:space="0" w:color="auto"/>
            <w:left w:val="none" w:sz="0" w:space="0" w:color="auto"/>
            <w:bottom w:val="none" w:sz="0" w:space="0" w:color="auto"/>
            <w:right w:val="none" w:sz="0" w:space="0" w:color="auto"/>
          </w:divBdr>
        </w:div>
        <w:div w:id="421026502">
          <w:marLeft w:val="0"/>
          <w:marRight w:val="0"/>
          <w:marTop w:val="0"/>
          <w:marBottom w:val="0"/>
          <w:divBdr>
            <w:top w:val="none" w:sz="0" w:space="0" w:color="auto"/>
            <w:left w:val="none" w:sz="0" w:space="0" w:color="auto"/>
            <w:bottom w:val="none" w:sz="0" w:space="0" w:color="auto"/>
            <w:right w:val="none" w:sz="0" w:space="0" w:color="auto"/>
          </w:divBdr>
        </w:div>
        <w:div w:id="171336218">
          <w:marLeft w:val="0"/>
          <w:marRight w:val="0"/>
          <w:marTop w:val="0"/>
          <w:marBottom w:val="0"/>
          <w:divBdr>
            <w:top w:val="none" w:sz="0" w:space="0" w:color="auto"/>
            <w:left w:val="none" w:sz="0" w:space="0" w:color="auto"/>
            <w:bottom w:val="none" w:sz="0" w:space="0" w:color="auto"/>
            <w:right w:val="none" w:sz="0" w:space="0" w:color="auto"/>
          </w:divBdr>
        </w:div>
        <w:div w:id="697507562">
          <w:marLeft w:val="0"/>
          <w:marRight w:val="0"/>
          <w:marTop w:val="0"/>
          <w:marBottom w:val="0"/>
          <w:divBdr>
            <w:top w:val="none" w:sz="0" w:space="0" w:color="auto"/>
            <w:left w:val="none" w:sz="0" w:space="0" w:color="auto"/>
            <w:bottom w:val="none" w:sz="0" w:space="0" w:color="auto"/>
            <w:right w:val="none" w:sz="0" w:space="0" w:color="auto"/>
          </w:divBdr>
        </w:div>
        <w:div w:id="119811507">
          <w:marLeft w:val="0"/>
          <w:marRight w:val="0"/>
          <w:marTop w:val="0"/>
          <w:marBottom w:val="0"/>
          <w:divBdr>
            <w:top w:val="none" w:sz="0" w:space="0" w:color="auto"/>
            <w:left w:val="none" w:sz="0" w:space="0" w:color="auto"/>
            <w:bottom w:val="none" w:sz="0" w:space="0" w:color="auto"/>
            <w:right w:val="none" w:sz="0" w:space="0" w:color="auto"/>
          </w:divBdr>
        </w:div>
        <w:div w:id="847796834">
          <w:marLeft w:val="0"/>
          <w:marRight w:val="0"/>
          <w:marTop w:val="0"/>
          <w:marBottom w:val="0"/>
          <w:divBdr>
            <w:top w:val="none" w:sz="0" w:space="0" w:color="auto"/>
            <w:left w:val="none" w:sz="0" w:space="0" w:color="auto"/>
            <w:bottom w:val="none" w:sz="0" w:space="0" w:color="auto"/>
            <w:right w:val="none" w:sz="0" w:space="0" w:color="auto"/>
          </w:divBdr>
        </w:div>
        <w:div w:id="2099016222">
          <w:marLeft w:val="0"/>
          <w:marRight w:val="0"/>
          <w:marTop w:val="0"/>
          <w:marBottom w:val="0"/>
          <w:divBdr>
            <w:top w:val="none" w:sz="0" w:space="0" w:color="auto"/>
            <w:left w:val="none" w:sz="0" w:space="0" w:color="auto"/>
            <w:bottom w:val="none" w:sz="0" w:space="0" w:color="auto"/>
            <w:right w:val="none" w:sz="0" w:space="0" w:color="auto"/>
          </w:divBdr>
        </w:div>
        <w:div w:id="533888647">
          <w:marLeft w:val="0"/>
          <w:marRight w:val="0"/>
          <w:marTop w:val="0"/>
          <w:marBottom w:val="0"/>
          <w:divBdr>
            <w:top w:val="none" w:sz="0" w:space="0" w:color="auto"/>
            <w:left w:val="none" w:sz="0" w:space="0" w:color="auto"/>
            <w:bottom w:val="none" w:sz="0" w:space="0" w:color="auto"/>
            <w:right w:val="none" w:sz="0" w:space="0" w:color="auto"/>
          </w:divBdr>
        </w:div>
        <w:div w:id="682708979">
          <w:marLeft w:val="0"/>
          <w:marRight w:val="0"/>
          <w:marTop w:val="0"/>
          <w:marBottom w:val="0"/>
          <w:divBdr>
            <w:top w:val="none" w:sz="0" w:space="0" w:color="auto"/>
            <w:left w:val="none" w:sz="0" w:space="0" w:color="auto"/>
            <w:bottom w:val="none" w:sz="0" w:space="0" w:color="auto"/>
            <w:right w:val="none" w:sz="0" w:space="0" w:color="auto"/>
          </w:divBdr>
        </w:div>
        <w:div w:id="1052465026">
          <w:marLeft w:val="0"/>
          <w:marRight w:val="0"/>
          <w:marTop w:val="0"/>
          <w:marBottom w:val="0"/>
          <w:divBdr>
            <w:top w:val="none" w:sz="0" w:space="0" w:color="auto"/>
            <w:left w:val="none" w:sz="0" w:space="0" w:color="auto"/>
            <w:bottom w:val="none" w:sz="0" w:space="0" w:color="auto"/>
            <w:right w:val="none" w:sz="0" w:space="0" w:color="auto"/>
          </w:divBdr>
        </w:div>
        <w:div w:id="1243955034">
          <w:marLeft w:val="0"/>
          <w:marRight w:val="0"/>
          <w:marTop w:val="0"/>
          <w:marBottom w:val="0"/>
          <w:divBdr>
            <w:top w:val="none" w:sz="0" w:space="0" w:color="auto"/>
            <w:left w:val="none" w:sz="0" w:space="0" w:color="auto"/>
            <w:bottom w:val="none" w:sz="0" w:space="0" w:color="auto"/>
            <w:right w:val="none" w:sz="0" w:space="0" w:color="auto"/>
          </w:divBdr>
        </w:div>
        <w:div w:id="126507593">
          <w:marLeft w:val="0"/>
          <w:marRight w:val="0"/>
          <w:marTop w:val="0"/>
          <w:marBottom w:val="0"/>
          <w:divBdr>
            <w:top w:val="none" w:sz="0" w:space="0" w:color="auto"/>
            <w:left w:val="none" w:sz="0" w:space="0" w:color="auto"/>
            <w:bottom w:val="none" w:sz="0" w:space="0" w:color="auto"/>
            <w:right w:val="none" w:sz="0" w:space="0" w:color="auto"/>
          </w:divBdr>
        </w:div>
      </w:divsChild>
    </w:div>
    <w:div w:id="1341658094">
      <w:bodyDiv w:val="1"/>
      <w:marLeft w:val="0"/>
      <w:marRight w:val="0"/>
      <w:marTop w:val="0"/>
      <w:marBottom w:val="0"/>
      <w:divBdr>
        <w:top w:val="none" w:sz="0" w:space="0" w:color="auto"/>
        <w:left w:val="none" w:sz="0" w:space="0" w:color="auto"/>
        <w:bottom w:val="none" w:sz="0" w:space="0" w:color="auto"/>
        <w:right w:val="none" w:sz="0" w:space="0" w:color="auto"/>
      </w:divBdr>
    </w:div>
    <w:div w:id="1349067997">
      <w:bodyDiv w:val="1"/>
      <w:marLeft w:val="0"/>
      <w:marRight w:val="0"/>
      <w:marTop w:val="0"/>
      <w:marBottom w:val="0"/>
      <w:divBdr>
        <w:top w:val="none" w:sz="0" w:space="0" w:color="auto"/>
        <w:left w:val="none" w:sz="0" w:space="0" w:color="auto"/>
        <w:bottom w:val="none" w:sz="0" w:space="0" w:color="auto"/>
        <w:right w:val="none" w:sz="0" w:space="0" w:color="auto"/>
      </w:divBdr>
    </w:div>
    <w:div w:id="1480145850">
      <w:bodyDiv w:val="1"/>
      <w:marLeft w:val="0"/>
      <w:marRight w:val="0"/>
      <w:marTop w:val="0"/>
      <w:marBottom w:val="0"/>
      <w:divBdr>
        <w:top w:val="none" w:sz="0" w:space="0" w:color="auto"/>
        <w:left w:val="none" w:sz="0" w:space="0" w:color="auto"/>
        <w:bottom w:val="none" w:sz="0" w:space="0" w:color="auto"/>
        <w:right w:val="none" w:sz="0" w:space="0" w:color="auto"/>
      </w:divBdr>
    </w:div>
    <w:div w:id="1493569943">
      <w:bodyDiv w:val="1"/>
      <w:marLeft w:val="0"/>
      <w:marRight w:val="0"/>
      <w:marTop w:val="0"/>
      <w:marBottom w:val="0"/>
      <w:divBdr>
        <w:top w:val="none" w:sz="0" w:space="0" w:color="auto"/>
        <w:left w:val="none" w:sz="0" w:space="0" w:color="auto"/>
        <w:bottom w:val="none" w:sz="0" w:space="0" w:color="auto"/>
        <w:right w:val="none" w:sz="0" w:space="0" w:color="auto"/>
      </w:divBdr>
    </w:div>
    <w:div w:id="1501392017">
      <w:bodyDiv w:val="1"/>
      <w:marLeft w:val="0"/>
      <w:marRight w:val="0"/>
      <w:marTop w:val="0"/>
      <w:marBottom w:val="0"/>
      <w:divBdr>
        <w:top w:val="none" w:sz="0" w:space="0" w:color="auto"/>
        <w:left w:val="none" w:sz="0" w:space="0" w:color="auto"/>
        <w:bottom w:val="none" w:sz="0" w:space="0" w:color="auto"/>
        <w:right w:val="none" w:sz="0" w:space="0" w:color="auto"/>
      </w:divBdr>
    </w:div>
    <w:div w:id="1526751420">
      <w:bodyDiv w:val="1"/>
      <w:marLeft w:val="0"/>
      <w:marRight w:val="0"/>
      <w:marTop w:val="0"/>
      <w:marBottom w:val="0"/>
      <w:divBdr>
        <w:top w:val="none" w:sz="0" w:space="0" w:color="auto"/>
        <w:left w:val="none" w:sz="0" w:space="0" w:color="auto"/>
        <w:bottom w:val="none" w:sz="0" w:space="0" w:color="auto"/>
        <w:right w:val="none" w:sz="0" w:space="0" w:color="auto"/>
      </w:divBdr>
    </w:div>
    <w:div w:id="1537962371">
      <w:bodyDiv w:val="1"/>
      <w:marLeft w:val="0"/>
      <w:marRight w:val="0"/>
      <w:marTop w:val="0"/>
      <w:marBottom w:val="0"/>
      <w:divBdr>
        <w:top w:val="none" w:sz="0" w:space="0" w:color="auto"/>
        <w:left w:val="none" w:sz="0" w:space="0" w:color="auto"/>
        <w:bottom w:val="none" w:sz="0" w:space="0" w:color="auto"/>
        <w:right w:val="none" w:sz="0" w:space="0" w:color="auto"/>
      </w:divBdr>
    </w:div>
    <w:div w:id="1597785475">
      <w:bodyDiv w:val="1"/>
      <w:marLeft w:val="0"/>
      <w:marRight w:val="0"/>
      <w:marTop w:val="0"/>
      <w:marBottom w:val="0"/>
      <w:divBdr>
        <w:top w:val="none" w:sz="0" w:space="0" w:color="auto"/>
        <w:left w:val="none" w:sz="0" w:space="0" w:color="auto"/>
        <w:bottom w:val="none" w:sz="0" w:space="0" w:color="auto"/>
        <w:right w:val="none" w:sz="0" w:space="0" w:color="auto"/>
      </w:divBdr>
    </w:div>
    <w:div w:id="1646078785">
      <w:bodyDiv w:val="1"/>
      <w:marLeft w:val="0"/>
      <w:marRight w:val="0"/>
      <w:marTop w:val="0"/>
      <w:marBottom w:val="0"/>
      <w:divBdr>
        <w:top w:val="none" w:sz="0" w:space="0" w:color="auto"/>
        <w:left w:val="none" w:sz="0" w:space="0" w:color="auto"/>
        <w:bottom w:val="none" w:sz="0" w:space="0" w:color="auto"/>
        <w:right w:val="none" w:sz="0" w:space="0" w:color="auto"/>
      </w:divBdr>
    </w:div>
    <w:div w:id="1648128047">
      <w:bodyDiv w:val="1"/>
      <w:marLeft w:val="0"/>
      <w:marRight w:val="0"/>
      <w:marTop w:val="0"/>
      <w:marBottom w:val="0"/>
      <w:divBdr>
        <w:top w:val="none" w:sz="0" w:space="0" w:color="auto"/>
        <w:left w:val="none" w:sz="0" w:space="0" w:color="auto"/>
        <w:bottom w:val="none" w:sz="0" w:space="0" w:color="auto"/>
        <w:right w:val="none" w:sz="0" w:space="0" w:color="auto"/>
      </w:divBdr>
    </w:div>
    <w:div w:id="1648433045">
      <w:bodyDiv w:val="1"/>
      <w:marLeft w:val="0"/>
      <w:marRight w:val="0"/>
      <w:marTop w:val="0"/>
      <w:marBottom w:val="0"/>
      <w:divBdr>
        <w:top w:val="none" w:sz="0" w:space="0" w:color="auto"/>
        <w:left w:val="none" w:sz="0" w:space="0" w:color="auto"/>
        <w:bottom w:val="none" w:sz="0" w:space="0" w:color="auto"/>
        <w:right w:val="none" w:sz="0" w:space="0" w:color="auto"/>
      </w:divBdr>
    </w:div>
    <w:div w:id="1692805616">
      <w:bodyDiv w:val="1"/>
      <w:marLeft w:val="0"/>
      <w:marRight w:val="0"/>
      <w:marTop w:val="0"/>
      <w:marBottom w:val="0"/>
      <w:divBdr>
        <w:top w:val="none" w:sz="0" w:space="0" w:color="auto"/>
        <w:left w:val="none" w:sz="0" w:space="0" w:color="auto"/>
        <w:bottom w:val="none" w:sz="0" w:space="0" w:color="auto"/>
        <w:right w:val="none" w:sz="0" w:space="0" w:color="auto"/>
      </w:divBdr>
      <w:divsChild>
        <w:div w:id="973877458">
          <w:marLeft w:val="0"/>
          <w:marRight w:val="0"/>
          <w:marTop w:val="0"/>
          <w:marBottom w:val="0"/>
          <w:divBdr>
            <w:top w:val="none" w:sz="0" w:space="0" w:color="auto"/>
            <w:left w:val="none" w:sz="0" w:space="0" w:color="auto"/>
            <w:bottom w:val="none" w:sz="0" w:space="0" w:color="auto"/>
            <w:right w:val="none" w:sz="0" w:space="0" w:color="auto"/>
          </w:divBdr>
        </w:div>
        <w:div w:id="1810660143">
          <w:marLeft w:val="0"/>
          <w:marRight w:val="0"/>
          <w:marTop w:val="0"/>
          <w:marBottom w:val="0"/>
          <w:divBdr>
            <w:top w:val="none" w:sz="0" w:space="0" w:color="auto"/>
            <w:left w:val="none" w:sz="0" w:space="0" w:color="auto"/>
            <w:bottom w:val="none" w:sz="0" w:space="0" w:color="auto"/>
            <w:right w:val="none" w:sz="0" w:space="0" w:color="auto"/>
          </w:divBdr>
        </w:div>
        <w:div w:id="1741632420">
          <w:marLeft w:val="0"/>
          <w:marRight w:val="0"/>
          <w:marTop w:val="0"/>
          <w:marBottom w:val="0"/>
          <w:divBdr>
            <w:top w:val="none" w:sz="0" w:space="0" w:color="auto"/>
            <w:left w:val="none" w:sz="0" w:space="0" w:color="auto"/>
            <w:bottom w:val="none" w:sz="0" w:space="0" w:color="auto"/>
            <w:right w:val="none" w:sz="0" w:space="0" w:color="auto"/>
          </w:divBdr>
        </w:div>
        <w:div w:id="970746307">
          <w:marLeft w:val="0"/>
          <w:marRight w:val="0"/>
          <w:marTop w:val="0"/>
          <w:marBottom w:val="0"/>
          <w:divBdr>
            <w:top w:val="none" w:sz="0" w:space="0" w:color="auto"/>
            <w:left w:val="none" w:sz="0" w:space="0" w:color="auto"/>
            <w:bottom w:val="none" w:sz="0" w:space="0" w:color="auto"/>
            <w:right w:val="none" w:sz="0" w:space="0" w:color="auto"/>
          </w:divBdr>
        </w:div>
        <w:div w:id="340665174">
          <w:marLeft w:val="0"/>
          <w:marRight w:val="0"/>
          <w:marTop w:val="0"/>
          <w:marBottom w:val="0"/>
          <w:divBdr>
            <w:top w:val="none" w:sz="0" w:space="0" w:color="auto"/>
            <w:left w:val="none" w:sz="0" w:space="0" w:color="auto"/>
            <w:bottom w:val="none" w:sz="0" w:space="0" w:color="auto"/>
            <w:right w:val="none" w:sz="0" w:space="0" w:color="auto"/>
          </w:divBdr>
        </w:div>
        <w:div w:id="446972749">
          <w:marLeft w:val="0"/>
          <w:marRight w:val="0"/>
          <w:marTop w:val="0"/>
          <w:marBottom w:val="0"/>
          <w:divBdr>
            <w:top w:val="none" w:sz="0" w:space="0" w:color="auto"/>
            <w:left w:val="none" w:sz="0" w:space="0" w:color="auto"/>
            <w:bottom w:val="none" w:sz="0" w:space="0" w:color="auto"/>
            <w:right w:val="none" w:sz="0" w:space="0" w:color="auto"/>
          </w:divBdr>
        </w:div>
        <w:div w:id="2012486379">
          <w:marLeft w:val="0"/>
          <w:marRight w:val="0"/>
          <w:marTop w:val="0"/>
          <w:marBottom w:val="0"/>
          <w:divBdr>
            <w:top w:val="none" w:sz="0" w:space="0" w:color="auto"/>
            <w:left w:val="none" w:sz="0" w:space="0" w:color="auto"/>
            <w:bottom w:val="none" w:sz="0" w:space="0" w:color="auto"/>
            <w:right w:val="none" w:sz="0" w:space="0" w:color="auto"/>
          </w:divBdr>
        </w:div>
        <w:div w:id="1067679552">
          <w:marLeft w:val="0"/>
          <w:marRight w:val="0"/>
          <w:marTop w:val="0"/>
          <w:marBottom w:val="0"/>
          <w:divBdr>
            <w:top w:val="none" w:sz="0" w:space="0" w:color="auto"/>
            <w:left w:val="none" w:sz="0" w:space="0" w:color="auto"/>
            <w:bottom w:val="none" w:sz="0" w:space="0" w:color="auto"/>
            <w:right w:val="none" w:sz="0" w:space="0" w:color="auto"/>
          </w:divBdr>
        </w:div>
        <w:div w:id="1951009715">
          <w:marLeft w:val="0"/>
          <w:marRight w:val="0"/>
          <w:marTop w:val="0"/>
          <w:marBottom w:val="0"/>
          <w:divBdr>
            <w:top w:val="none" w:sz="0" w:space="0" w:color="auto"/>
            <w:left w:val="none" w:sz="0" w:space="0" w:color="auto"/>
            <w:bottom w:val="none" w:sz="0" w:space="0" w:color="auto"/>
            <w:right w:val="none" w:sz="0" w:space="0" w:color="auto"/>
          </w:divBdr>
        </w:div>
        <w:div w:id="1426728369">
          <w:marLeft w:val="0"/>
          <w:marRight w:val="0"/>
          <w:marTop w:val="0"/>
          <w:marBottom w:val="0"/>
          <w:divBdr>
            <w:top w:val="none" w:sz="0" w:space="0" w:color="auto"/>
            <w:left w:val="none" w:sz="0" w:space="0" w:color="auto"/>
            <w:bottom w:val="none" w:sz="0" w:space="0" w:color="auto"/>
            <w:right w:val="none" w:sz="0" w:space="0" w:color="auto"/>
          </w:divBdr>
        </w:div>
        <w:div w:id="306665398">
          <w:marLeft w:val="0"/>
          <w:marRight w:val="0"/>
          <w:marTop w:val="0"/>
          <w:marBottom w:val="0"/>
          <w:divBdr>
            <w:top w:val="none" w:sz="0" w:space="0" w:color="auto"/>
            <w:left w:val="none" w:sz="0" w:space="0" w:color="auto"/>
            <w:bottom w:val="none" w:sz="0" w:space="0" w:color="auto"/>
            <w:right w:val="none" w:sz="0" w:space="0" w:color="auto"/>
          </w:divBdr>
        </w:div>
        <w:div w:id="2075349416">
          <w:marLeft w:val="0"/>
          <w:marRight w:val="0"/>
          <w:marTop w:val="0"/>
          <w:marBottom w:val="0"/>
          <w:divBdr>
            <w:top w:val="none" w:sz="0" w:space="0" w:color="auto"/>
            <w:left w:val="none" w:sz="0" w:space="0" w:color="auto"/>
            <w:bottom w:val="none" w:sz="0" w:space="0" w:color="auto"/>
            <w:right w:val="none" w:sz="0" w:space="0" w:color="auto"/>
          </w:divBdr>
        </w:div>
        <w:div w:id="1126579978">
          <w:marLeft w:val="0"/>
          <w:marRight w:val="0"/>
          <w:marTop w:val="0"/>
          <w:marBottom w:val="0"/>
          <w:divBdr>
            <w:top w:val="none" w:sz="0" w:space="0" w:color="auto"/>
            <w:left w:val="none" w:sz="0" w:space="0" w:color="auto"/>
            <w:bottom w:val="none" w:sz="0" w:space="0" w:color="auto"/>
            <w:right w:val="none" w:sz="0" w:space="0" w:color="auto"/>
          </w:divBdr>
        </w:div>
        <w:div w:id="1838764536">
          <w:marLeft w:val="0"/>
          <w:marRight w:val="0"/>
          <w:marTop w:val="0"/>
          <w:marBottom w:val="0"/>
          <w:divBdr>
            <w:top w:val="none" w:sz="0" w:space="0" w:color="auto"/>
            <w:left w:val="none" w:sz="0" w:space="0" w:color="auto"/>
            <w:bottom w:val="none" w:sz="0" w:space="0" w:color="auto"/>
            <w:right w:val="none" w:sz="0" w:space="0" w:color="auto"/>
          </w:divBdr>
        </w:div>
        <w:div w:id="1058020128">
          <w:marLeft w:val="0"/>
          <w:marRight w:val="0"/>
          <w:marTop w:val="0"/>
          <w:marBottom w:val="0"/>
          <w:divBdr>
            <w:top w:val="none" w:sz="0" w:space="0" w:color="auto"/>
            <w:left w:val="none" w:sz="0" w:space="0" w:color="auto"/>
            <w:bottom w:val="none" w:sz="0" w:space="0" w:color="auto"/>
            <w:right w:val="none" w:sz="0" w:space="0" w:color="auto"/>
          </w:divBdr>
        </w:div>
        <w:div w:id="424349248">
          <w:marLeft w:val="0"/>
          <w:marRight w:val="0"/>
          <w:marTop w:val="0"/>
          <w:marBottom w:val="0"/>
          <w:divBdr>
            <w:top w:val="none" w:sz="0" w:space="0" w:color="auto"/>
            <w:left w:val="none" w:sz="0" w:space="0" w:color="auto"/>
            <w:bottom w:val="none" w:sz="0" w:space="0" w:color="auto"/>
            <w:right w:val="none" w:sz="0" w:space="0" w:color="auto"/>
          </w:divBdr>
        </w:div>
        <w:div w:id="1188710808">
          <w:marLeft w:val="0"/>
          <w:marRight w:val="0"/>
          <w:marTop w:val="0"/>
          <w:marBottom w:val="0"/>
          <w:divBdr>
            <w:top w:val="none" w:sz="0" w:space="0" w:color="auto"/>
            <w:left w:val="none" w:sz="0" w:space="0" w:color="auto"/>
            <w:bottom w:val="none" w:sz="0" w:space="0" w:color="auto"/>
            <w:right w:val="none" w:sz="0" w:space="0" w:color="auto"/>
          </w:divBdr>
        </w:div>
        <w:div w:id="2052145914">
          <w:marLeft w:val="0"/>
          <w:marRight w:val="0"/>
          <w:marTop w:val="0"/>
          <w:marBottom w:val="0"/>
          <w:divBdr>
            <w:top w:val="none" w:sz="0" w:space="0" w:color="auto"/>
            <w:left w:val="none" w:sz="0" w:space="0" w:color="auto"/>
            <w:bottom w:val="none" w:sz="0" w:space="0" w:color="auto"/>
            <w:right w:val="none" w:sz="0" w:space="0" w:color="auto"/>
          </w:divBdr>
        </w:div>
        <w:div w:id="2113430939">
          <w:marLeft w:val="0"/>
          <w:marRight w:val="0"/>
          <w:marTop w:val="0"/>
          <w:marBottom w:val="0"/>
          <w:divBdr>
            <w:top w:val="none" w:sz="0" w:space="0" w:color="auto"/>
            <w:left w:val="none" w:sz="0" w:space="0" w:color="auto"/>
            <w:bottom w:val="none" w:sz="0" w:space="0" w:color="auto"/>
            <w:right w:val="none" w:sz="0" w:space="0" w:color="auto"/>
          </w:divBdr>
        </w:div>
        <w:div w:id="64842242">
          <w:marLeft w:val="0"/>
          <w:marRight w:val="0"/>
          <w:marTop w:val="0"/>
          <w:marBottom w:val="0"/>
          <w:divBdr>
            <w:top w:val="none" w:sz="0" w:space="0" w:color="auto"/>
            <w:left w:val="none" w:sz="0" w:space="0" w:color="auto"/>
            <w:bottom w:val="none" w:sz="0" w:space="0" w:color="auto"/>
            <w:right w:val="none" w:sz="0" w:space="0" w:color="auto"/>
          </w:divBdr>
        </w:div>
        <w:div w:id="1690184236">
          <w:marLeft w:val="0"/>
          <w:marRight w:val="0"/>
          <w:marTop w:val="0"/>
          <w:marBottom w:val="0"/>
          <w:divBdr>
            <w:top w:val="none" w:sz="0" w:space="0" w:color="auto"/>
            <w:left w:val="none" w:sz="0" w:space="0" w:color="auto"/>
            <w:bottom w:val="none" w:sz="0" w:space="0" w:color="auto"/>
            <w:right w:val="none" w:sz="0" w:space="0" w:color="auto"/>
          </w:divBdr>
        </w:div>
        <w:div w:id="1768502167">
          <w:marLeft w:val="0"/>
          <w:marRight w:val="0"/>
          <w:marTop w:val="0"/>
          <w:marBottom w:val="0"/>
          <w:divBdr>
            <w:top w:val="none" w:sz="0" w:space="0" w:color="auto"/>
            <w:left w:val="none" w:sz="0" w:space="0" w:color="auto"/>
            <w:bottom w:val="none" w:sz="0" w:space="0" w:color="auto"/>
            <w:right w:val="none" w:sz="0" w:space="0" w:color="auto"/>
          </w:divBdr>
        </w:div>
        <w:div w:id="918320755">
          <w:marLeft w:val="0"/>
          <w:marRight w:val="0"/>
          <w:marTop w:val="0"/>
          <w:marBottom w:val="0"/>
          <w:divBdr>
            <w:top w:val="none" w:sz="0" w:space="0" w:color="auto"/>
            <w:left w:val="none" w:sz="0" w:space="0" w:color="auto"/>
            <w:bottom w:val="none" w:sz="0" w:space="0" w:color="auto"/>
            <w:right w:val="none" w:sz="0" w:space="0" w:color="auto"/>
          </w:divBdr>
        </w:div>
        <w:div w:id="1397779835">
          <w:marLeft w:val="0"/>
          <w:marRight w:val="0"/>
          <w:marTop w:val="0"/>
          <w:marBottom w:val="0"/>
          <w:divBdr>
            <w:top w:val="none" w:sz="0" w:space="0" w:color="auto"/>
            <w:left w:val="none" w:sz="0" w:space="0" w:color="auto"/>
            <w:bottom w:val="none" w:sz="0" w:space="0" w:color="auto"/>
            <w:right w:val="none" w:sz="0" w:space="0" w:color="auto"/>
          </w:divBdr>
        </w:div>
        <w:div w:id="814175874">
          <w:marLeft w:val="0"/>
          <w:marRight w:val="0"/>
          <w:marTop w:val="0"/>
          <w:marBottom w:val="0"/>
          <w:divBdr>
            <w:top w:val="none" w:sz="0" w:space="0" w:color="auto"/>
            <w:left w:val="none" w:sz="0" w:space="0" w:color="auto"/>
            <w:bottom w:val="none" w:sz="0" w:space="0" w:color="auto"/>
            <w:right w:val="none" w:sz="0" w:space="0" w:color="auto"/>
          </w:divBdr>
        </w:div>
        <w:div w:id="1420641280">
          <w:marLeft w:val="0"/>
          <w:marRight w:val="0"/>
          <w:marTop w:val="0"/>
          <w:marBottom w:val="0"/>
          <w:divBdr>
            <w:top w:val="none" w:sz="0" w:space="0" w:color="auto"/>
            <w:left w:val="none" w:sz="0" w:space="0" w:color="auto"/>
            <w:bottom w:val="none" w:sz="0" w:space="0" w:color="auto"/>
            <w:right w:val="none" w:sz="0" w:space="0" w:color="auto"/>
          </w:divBdr>
        </w:div>
        <w:div w:id="1430657442">
          <w:marLeft w:val="0"/>
          <w:marRight w:val="0"/>
          <w:marTop w:val="0"/>
          <w:marBottom w:val="0"/>
          <w:divBdr>
            <w:top w:val="none" w:sz="0" w:space="0" w:color="auto"/>
            <w:left w:val="none" w:sz="0" w:space="0" w:color="auto"/>
            <w:bottom w:val="none" w:sz="0" w:space="0" w:color="auto"/>
            <w:right w:val="none" w:sz="0" w:space="0" w:color="auto"/>
          </w:divBdr>
        </w:div>
      </w:divsChild>
    </w:div>
    <w:div w:id="1700205061">
      <w:bodyDiv w:val="1"/>
      <w:marLeft w:val="0"/>
      <w:marRight w:val="0"/>
      <w:marTop w:val="0"/>
      <w:marBottom w:val="0"/>
      <w:divBdr>
        <w:top w:val="none" w:sz="0" w:space="0" w:color="auto"/>
        <w:left w:val="none" w:sz="0" w:space="0" w:color="auto"/>
        <w:bottom w:val="none" w:sz="0" w:space="0" w:color="auto"/>
        <w:right w:val="none" w:sz="0" w:space="0" w:color="auto"/>
      </w:divBdr>
    </w:div>
    <w:div w:id="1707750788">
      <w:bodyDiv w:val="1"/>
      <w:marLeft w:val="0"/>
      <w:marRight w:val="0"/>
      <w:marTop w:val="0"/>
      <w:marBottom w:val="0"/>
      <w:divBdr>
        <w:top w:val="none" w:sz="0" w:space="0" w:color="auto"/>
        <w:left w:val="none" w:sz="0" w:space="0" w:color="auto"/>
        <w:bottom w:val="none" w:sz="0" w:space="0" w:color="auto"/>
        <w:right w:val="none" w:sz="0" w:space="0" w:color="auto"/>
      </w:divBdr>
    </w:div>
    <w:div w:id="1778526199">
      <w:bodyDiv w:val="1"/>
      <w:marLeft w:val="0"/>
      <w:marRight w:val="0"/>
      <w:marTop w:val="0"/>
      <w:marBottom w:val="0"/>
      <w:divBdr>
        <w:top w:val="none" w:sz="0" w:space="0" w:color="auto"/>
        <w:left w:val="none" w:sz="0" w:space="0" w:color="auto"/>
        <w:bottom w:val="none" w:sz="0" w:space="0" w:color="auto"/>
        <w:right w:val="none" w:sz="0" w:space="0" w:color="auto"/>
      </w:divBdr>
    </w:div>
    <w:div w:id="1832140244">
      <w:bodyDiv w:val="1"/>
      <w:marLeft w:val="0"/>
      <w:marRight w:val="0"/>
      <w:marTop w:val="0"/>
      <w:marBottom w:val="0"/>
      <w:divBdr>
        <w:top w:val="none" w:sz="0" w:space="0" w:color="auto"/>
        <w:left w:val="none" w:sz="0" w:space="0" w:color="auto"/>
        <w:bottom w:val="none" w:sz="0" w:space="0" w:color="auto"/>
        <w:right w:val="none" w:sz="0" w:space="0" w:color="auto"/>
      </w:divBdr>
    </w:div>
    <w:div w:id="1898972552">
      <w:bodyDiv w:val="1"/>
      <w:marLeft w:val="0"/>
      <w:marRight w:val="0"/>
      <w:marTop w:val="0"/>
      <w:marBottom w:val="0"/>
      <w:divBdr>
        <w:top w:val="none" w:sz="0" w:space="0" w:color="auto"/>
        <w:left w:val="none" w:sz="0" w:space="0" w:color="auto"/>
        <w:bottom w:val="none" w:sz="0" w:space="0" w:color="auto"/>
        <w:right w:val="none" w:sz="0" w:space="0" w:color="auto"/>
      </w:divBdr>
    </w:div>
    <w:div w:id="1949502319">
      <w:bodyDiv w:val="1"/>
      <w:marLeft w:val="0"/>
      <w:marRight w:val="0"/>
      <w:marTop w:val="0"/>
      <w:marBottom w:val="0"/>
      <w:divBdr>
        <w:top w:val="none" w:sz="0" w:space="0" w:color="auto"/>
        <w:left w:val="none" w:sz="0" w:space="0" w:color="auto"/>
        <w:bottom w:val="none" w:sz="0" w:space="0" w:color="auto"/>
        <w:right w:val="none" w:sz="0" w:space="0" w:color="auto"/>
      </w:divBdr>
    </w:div>
    <w:div w:id="1981618356">
      <w:bodyDiv w:val="1"/>
      <w:marLeft w:val="0"/>
      <w:marRight w:val="0"/>
      <w:marTop w:val="0"/>
      <w:marBottom w:val="0"/>
      <w:divBdr>
        <w:top w:val="none" w:sz="0" w:space="0" w:color="auto"/>
        <w:left w:val="none" w:sz="0" w:space="0" w:color="auto"/>
        <w:bottom w:val="none" w:sz="0" w:space="0" w:color="auto"/>
        <w:right w:val="none" w:sz="0" w:space="0" w:color="auto"/>
      </w:divBdr>
    </w:div>
    <w:div w:id="2068265175">
      <w:bodyDiv w:val="1"/>
      <w:marLeft w:val="0"/>
      <w:marRight w:val="0"/>
      <w:marTop w:val="0"/>
      <w:marBottom w:val="0"/>
      <w:divBdr>
        <w:top w:val="none" w:sz="0" w:space="0" w:color="auto"/>
        <w:left w:val="none" w:sz="0" w:space="0" w:color="auto"/>
        <w:bottom w:val="none" w:sz="0" w:space="0" w:color="auto"/>
        <w:right w:val="none" w:sz="0" w:space="0" w:color="auto"/>
      </w:divBdr>
    </w:div>
    <w:div w:id="2109504009">
      <w:bodyDiv w:val="1"/>
      <w:marLeft w:val="0"/>
      <w:marRight w:val="0"/>
      <w:marTop w:val="0"/>
      <w:marBottom w:val="0"/>
      <w:divBdr>
        <w:top w:val="none" w:sz="0" w:space="0" w:color="auto"/>
        <w:left w:val="none" w:sz="0" w:space="0" w:color="auto"/>
        <w:bottom w:val="none" w:sz="0" w:space="0" w:color="auto"/>
        <w:right w:val="none" w:sz="0" w:space="0" w:color="auto"/>
      </w:divBdr>
    </w:div>
    <w:div w:id="2127192960">
      <w:bodyDiv w:val="1"/>
      <w:marLeft w:val="0"/>
      <w:marRight w:val="0"/>
      <w:marTop w:val="0"/>
      <w:marBottom w:val="0"/>
      <w:divBdr>
        <w:top w:val="none" w:sz="0" w:space="0" w:color="auto"/>
        <w:left w:val="none" w:sz="0" w:space="0" w:color="auto"/>
        <w:bottom w:val="none" w:sz="0" w:space="0" w:color="auto"/>
        <w:right w:val="none" w:sz="0" w:space="0" w:color="auto"/>
      </w:divBdr>
    </w:div>
    <w:div w:id="2129663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yperlink" Target="mailto:amanda_alford@clc.net.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naclc.org.au/resources/NACLC%20Census%20-%20National%20Report%202015%20-%20FINAL.pdf" TargetMode="External"/><Relationship Id="rId1" Type="http://schemas.openxmlformats.org/officeDocument/2006/relationships/hyperlink" Target="http://www.naclc.org.au/resources/NACLC_Federal_Budget_Sub_2016_17_Final_PDF.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server.naclc.org.au\naclc\Funding%20Campaign\Evidence%20Base\CLC%20Funding%20Information\AA%20Chart%20Cth%20CLC%20Funding%2008-09%20to%201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solidFill>
                  <a:sysClr val="windowText" lastClr="000000"/>
                </a:solidFill>
              </a:rPr>
              <a:t>Commonwealth CLC Funding 2016-2017 to 2019-2020 </a:t>
            </a:r>
          </a:p>
        </c:rich>
      </c:tx>
      <c:overlay val="0"/>
      <c:spPr>
        <a:noFill/>
        <a:ln>
          <a:noFill/>
        </a:ln>
        <a:effectLst/>
      </c:spPr>
    </c:title>
    <c:autoTitleDeleted val="0"/>
    <c:plotArea>
      <c:layout/>
      <c:lineChart>
        <c:grouping val="standard"/>
        <c:varyColors val="0"/>
        <c:ser>
          <c:idx val="0"/>
          <c:order val="0"/>
          <c:spPr>
            <a:ln w="31750" cap="rnd">
              <a:solidFill>
                <a:schemeClr val="accent1"/>
              </a:solidFill>
              <a:round/>
            </a:ln>
            <a:effectLst>
              <a:outerShdw blurRad="40000" dist="23000" dir="5400000" rotWithShape="0">
                <a:srgbClr val="000000">
                  <a:alpha val="35000"/>
                </a:srgbClr>
              </a:outerShdw>
            </a:effectLst>
          </c:spPr>
          <c:marker>
            <c:symbol val="none"/>
          </c:marker>
          <c:cat>
            <c:strRef>
              <c:f>Sheet1!$J$6:$M$6</c:f>
              <c:strCache>
                <c:ptCount val="4"/>
                <c:pt idx="0">
                  <c:v>2016-17</c:v>
                </c:pt>
                <c:pt idx="1">
                  <c:v>2017-18</c:v>
                </c:pt>
                <c:pt idx="2">
                  <c:v>2018-19</c:v>
                </c:pt>
                <c:pt idx="3">
                  <c:v>2019-20</c:v>
                </c:pt>
              </c:strCache>
            </c:strRef>
          </c:cat>
          <c:val>
            <c:numRef>
              <c:f>Sheet1!$J$7:$M$7</c:f>
              <c:numCache>
                <c:formatCode>#,##0</c:formatCode>
                <c:ptCount val="4"/>
                <c:pt idx="0">
                  <c:v>42222000</c:v>
                </c:pt>
                <c:pt idx="1">
                  <c:v>30122000</c:v>
                </c:pt>
                <c:pt idx="2">
                  <c:v>30582000</c:v>
                </c:pt>
                <c:pt idx="3">
                  <c:v>31071000</c:v>
                </c:pt>
              </c:numCache>
            </c:numRef>
          </c:val>
          <c:smooth val="0"/>
        </c:ser>
        <c:dLbls>
          <c:showLegendKey val="0"/>
          <c:showVal val="0"/>
          <c:showCatName val="0"/>
          <c:showSerName val="0"/>
          <c:showPercent val="0"/>
          <c:showBubbleSize val="0"/>
        </c:dLbls>
        <c:marker val="1"/>
        <c:smooth val="0"/>
        <c:axId val="42284928"/>
        <c:axId val="138214400"/>
      </c:lineChart>
      <c:catAx>
        <c:axId val="42284928"/>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8214400"/>
        <c:crosses val="autoZero"/>
        <c:auto val="0"/>
        <c:lblAlgn val="ctr"/>
        <c:lblOffset val="100"/>
        <c:noMultiLvlLbl val="0"/>
      </c:catAx>
      <c:valAx>
        <c:axId val="1382144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AU">
                    <a:solidFill>
                      <a:sysClr val="windowText" lastClr="000000"/>
                    </a:solidFill>
                  </a:rPr>
                  <a:t>$ (Million)</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228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2017FG-94-5793</_dlc_DocId>
    <TaxCatchAll xmlns="e544e5cc-ab70-42e1-849e-1a0f8bb1f4ef">
      <Value>2</Value>
    </TaxCatchAll>
    <_dlc_DocIdUrl xmlns="e544e5cc-ab70-42e1-849e-1a0f8bb1f4ef">
      <Url>http://tweb/sites/fg/bpd/_layouts/15/DocIdRedir.aspx?ID=2017FG-94-5793</Url>
      <Description>2017FG-94-5793</Description>
    </_dlc_DocIdUrl>
    <IconOverlay xmlns="http://schemas.microsoft.com/sharepoint/v4" xsi:nil="true"/>
    <Pressure_x002f_Measure xmlns="43a7eba2-7c75-424c-9682-3d9e41d868e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5.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C6390-C672-4F7D-A5FA-D0BD282B5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BCB39-74F9-4DCA-A121-A9232041E5C7}">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3.xml><?xml version="1.0" encoding="utf-8"?>
<ds:datastoreItem xmlns:ds="http://schemas.openxmlformats.org/officeDocument/2006/customXml" ds:itemID="{C10459F4-2C41-4387-9C61-78259CA0A1E3}">
  <ds:schemaRefs>
    <ds:schemaRef ds:uri="http://schemas.microsoft.com/sharepoint/v3/contenttype/forms"/>
  </ds:schemaRefs>
</ds:datastoreItem>
</file>

<file path=customXml/itemProps4.xml><?xml version="1.0" encoding="utf-8"?>
<ds:datastoreItem xmlns:ds="http://schemas.openxmlformats.org/officeDocument/2006/customXml" ds:itemID="{33FF9087-8375-4EA8-B5F7-114BA9BEF720}">
  <ds:schemaRefs>
    <ds:schemaRef ds:uri="office.server.policy"/>
  </ds:schemaRefs>
</ds:datastoreItem>
</file>

<file path=customXml/itemProps5.xml><?xml version="1.0" encoding="utf-8"?>
<ds:datastoreItem xmlns:ds="http://schemas.openxmlformats.org/officeDocument/2006/customXml" ds:itemID="{7BAEFD23-9C4F-44F7-92A4-0B8DB9EC7100}">
  <ds:schemaRefs>
    <ds:schemaRef ds:uri="http://schemas.microsoft.com/sharepoint/events"/>
  </ds:schemaRefs>
</ds:datastoreItem>
</file>

<file path=customXml/itemProps6.xml><?xml version="1.0" encoding="utf-8"?>
<ds:datastoreItem xmlns:ds="http://schemas.openxmlformats.org/officeDocument/2006/customXml" ds:itemID="{707378A3-26CF-420B-9C43-70FBF70B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7860</Words>
  <Characters>42837</Characters>
  <Application>Microsoft Office Word</Application>
  <DocSecurity>0</DocSecurity>
  <Lines>996</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Alford</dc:creator>
  <cp:keywords/>
  <dc:description/>
  <cp:lastModifiedBy>Hansen, Kim</cp:lastModifiedBy>
  <cp:revision>2</cp:revision>
  <cp:lastPrinted>2016-02-05T03:15:00Z</cp:lastPrinted>
  <dcterms:created xsi:type="dcterms:W3CDTF">2017-02-13T23:04:00Z</dcterms:created>
  <dcterms:modified xsi:type="dcterms:W3CDTF">2017-02-13T23:04:00Z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0x010100348D01E61E107C4DA4B97E380EA20D4700AA289C5F133E1341A012D9EF10AD38C2</vt:lpwstr>
  </property>
  <property fmtid="{D5CDD505-2E9C-101B-9397-08002B2CF9AE}" pid="3" name="TSYRecordClass">
    <vt:lpwstr>2;#TSY RA-8748 - Retain as national archives|243f2231-dbfc-4282-b24a-c9b768286bd0</vt:lpwstr>
  </property>
  <property fmtid="{D5CDD505-2E9C-101B-9397-08002B2CF9AE}" pid="4" name="_dlc_DocIdItemGuid">
    <vt:lpwstr>3e999105-c6c2-41df-8408-40bdf48cf28f</vt:lpwstr>
  </property>
  <property fmtid="{D5CDD505-2E9C-101B-9397-08002B2CF9AE}" pid="5" name="RecordPoint_WorkflowType">
    <vt:lpwstr>ActiveSubmitStub</vt:lpwstr>
  </property>
  <property fmtid="{D5CDD505-2E9C-101B-9397-08002B2CF9AE}" pid="6" name="RecordPoint_ActiveItemSiteId">
    <vt:lpwstr>{a3a280d1-e8f1-4ce7-94f0-aaa2322da0dd}</vt:lpwstr>
  </property>
  <property fmtid="{D5CDD505-2E9C-101B-9397-08002B2CF9AE}" pid="7" name="RecordPoint_ActiveItemListId">
    <vt:lpwstr>{43a7eba2-7c75-424c-9682-3d9e41d868ee}</vt:lpwstr>
  </property>
  <property fmtid="{D5CDD505-2E9C-101B-9397-08002B2CF9AE}" pid="8" name="RecordPoint_ActiveItemUniqueId">
    <vt:lpwstr>{3e999105-c6c2-41df-8408-40bdf48cf28f}</vt:lpwstr>
  </property>
  <property fmtid="{D5CDD505-2E9C-101B-9397-08002B2CF9AE}" pid="9" name="RecordPoint_ActiveItemWebId">
    <vt:lpwstr>{2af1fd9f-9360-4de3-abf2-ccd65f89a90c}</vt:lpwstr>
  </property>
  <property fmtid="{D5CDD505-2E9C-101B-9397-08002B2CF9AE}" pid="10" name="RecordPoint_RecordNumberSubmitted">
    <vt:lpwstr>R0001205784</vt:lpwstr>
  </property>
  <property fmtid="{D5CDD505-2E9C-101B-9397-08002B2CF9AE}" pid="11" name="RecordPoint_SubmissionCompleted">
    <vt:lpwstr>2017-02-08T11:04:43.2073246+11:00</vt:lpwstr>
  </property>
</Properties>
</file>