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07D5" w:rsidRPr="00194DE3" w:rsidRDefault="000607D5" w:rsidP="000938E2">
      <w:pPr>
        <w:pStyle w:val="TitleofSubmission"/>
      </w:pPr>
      <w:bookmarkStart w:id="0" w:name="_GoBack"/>
      <w:bookmarkEnd w:id="0"/>
      <w:r w:rsidRPr="00194DE3">
        <w:rPr>
          <w:noProof/>
        </w:rPr>
        <w:drawing>
          <wp:anchor distT="0" distB="0" distL="114300" distR="114300" simplePos="0" relativeHeight="251661312" behindDoc="1" locked="0" layoutInCell="1" allowOverlap="1" wp14:anchorId="112AF59A" wp14:editId="381CD263">
            <wp:simplePos x="0" y="0"/>
            <wp:positionH relativeFrom="column">
              <wp:posOffset>4520565</wp:posOffset>
            </wp:positionH>
            <wp:positionV relativeFrom="paragraph">
              <wp:posOffset>-450850</wp:posOffset>
            </wp:positionV>
            <wp:extent cx="1489710" cy="1302385"/>
            <wp:effectExtent l="0" t="0" r="0" b="0"/>
            <wp:wrapTight wrapText="bothSides">
              <wp:wrapPolygon edited="0">
                <wp:start x="0" y="0"/>
                <wp:lineTo x="0" y="21168"/>
                <wp:lineTo x="21269" y="21168"/>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_Brand_Identity_CMYK_1A.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89710" cy="1302385"/>
                    </a:xfrm>
                    <a:prstGeom prst="rect">
                      <a:avLst/>
                    </a:prstGeom>
                  </pic:spPr>
                </pic:pic>
              </a:graphicData>
            </a:graphic>
            <wp14:sizeRelH relativeFrom="page">
              <wp14:pctWidth>0</wp14:pctWidth>
            </wp14:sizeRelH>
            <wp14:sizeRelV relativeFrom="page">
              <wp14:pctHeight>0</wp14:pctHeight>
            </wp14:sizeRelV>
          </wp:anchor>
        </w:drawing>
      </w:r>
    </w:p>
    <w:p w:rsidR="009C7B66" w:rsidRPr="00194DE3" w:rsidRDefault="009C7B66" w:rsidP="000938E2">
      <w:pPr>
        <w:pStyle w:val="TitleofSubmission"/>
      </w:pPr>
    </w:p>
    <w:p w:rsidR="00031163" w:rsidRPr="00A60DFC" w:rsidRDefault="00181D52" w:rsidP="000938E2">
      <w:pPr>
        <w:pStyle w:val="TitleofSubmission"/>
      </w:pPr>
      <w:r>
        <w:t>2017-18 Federal Budget</w:t>
      </w:r>
    </w:p>
    <w:p w:rsidR="009C4196" w:rsidRDefault="009C4196" w:rsidP="00386512"/>
    <w:p w:rsidR="009C4196" w:rsidRPr="00E14B89" w:rsidRDefault="00683644" w:rsidP="00F525C0">
      <w:pPr>
        <w:pStyle w:val="TitleHeading2"/>
        <w:rPr>
          <w:rFonts w:ascii="HK Grotesk" w:hAnsi="HK Grotesk"/>
          <w:b/>
          <w:bCs/>
          <w:color w:val="857444"/>
        </w:rPr>
      </w:pPr>
      <w:r>
        <w:rPr>
          <w:rFonts w:ascii="HK Grotesk" w:hAnsi="HK Grotesk"/>
          <w:b/>
          <w:bCs/>
          <w:color w:val="857444"/>
        </w:rPr>
        <w:t>T</w:t>
      </w:r>
      <w:r w:rsidR="004E4E06">
        <w:rPr>
          <w:rFonts w:ascii="HK Grotesk" w:hAnsi="HK Grotesk"/>
          <w:b/>
          <w:bCs/>
          <w:color w:val="857444"/>
        </w:rPr>
        <w:t>he</w:t>
      </w:r>
      <w:r w:rsidR="00181D52">
        <w:rPr>
          <w:rFonts w:ascii="HK Grotesk" w:hAnsi="HK Grotesk"/>
          <w:b/>
          <w:bCs/>
          <w:color w:val="857444"/>
        </w:rPr>
        <w:t xml:space="preserve"> Treasury</w:t>
      </w:r>
      <w:r w:rsidR="00572C15">
        <w:rPr>
          <w:rFonts w:ascii="HK Grotesk" w:hAnsi="HK Grotesk"/>
          <w:b/>
          <w:bCs/>
          <w:color w:val="857444"/>
        </w:rPr>
        <w:t xml:space="preserve"> </w:t>
      </w:r>
    </w:p>
    <w:p w:rsidR="009C4196" w:rsidRDefault="009C4196" w:rsidP="00386512"/>
    <w:p w:rsidR="009C4196" w:rsidRDefault="009C4196" w:rsidP="00386512"/>
    <w:p w:rsidR="00E14B89" w:rsidRPr="00354E7E" w:rsidRDefault="00FD088C" w:rsidP="00E14B89">
      <w:pPr>
        <w:pStyle w:val="TitleHeading2"/>
        <w:rPr>
          <w:rFonts w:ascii="HK Grotesk" w:hAnsi="HK Grotesk"/>
          <w:b/>
          <w:bCs/>
        </w:rPr>
      </w:pPr>
      <w:r>
        <w:rPr>
          <w:rFonts w:ascii="HK Grotesk" w:hAnsi="HK Grotesk"/>
          <w:b/>
          <w:bCs/>
          <w:color w:val="857444"/>
        </w:rPr>
        <w:t xml:space="preserve">19 </w:t>
      </w:r>
      <w:r w:rsidR="00C0709C">
        <w:rPr>
          <w:rFonts w:ascii="HK Grotesk" w:hAnsi="HK Grotesk"/>
          <w:b/>
          <w:bCs/>
          <w:color w:val="857444"/>
        </w:rPr>
        <w:t>January 2017</w:t>
      </w:r>
    </w:p>
    <w:p w:rsidR="009C4196" w:rsidRPr="00354E7E" w:rsidRDefault="009C4196" w:rsidP="00E3673A">
      <w:pPr>
        <w:pStyle w:val="TitleHeading2"/>
        <w:rPr>
          <w:rFonts w:ascii="HK Grotesk" w:hAnsi="HK Grotesk"/>
          <w:b/>
          <w:bCs/>
        </w:rPr>
      </w:pPr>
    </w:p>
    <w:p w:rsidR="009C4196" w:rsidRDefault="009C4196" w:rsidP="00386512">
      <w:pPr>
        <w:spacing w:after="0"/>
      </w:pPr>
      <w:r>
        <w:br w:type="page"/>
      </w:r>
    </w:p>
    <w:sdt>
      <w:sdtPr>
        <w:rPr>
          <w:rFonts w:asciiTheme="minorHAnsi" w:hAnsiTheme="minorHAnsi" w:cs="Times New Roman"/>
          <w:b w:val="0"/>
          <w:bCs/>
          <w:color w:val="auto"/>
          <w:sz w:val="22"/>
          <w:szCs w:val="24"/>
          <w:lang w:val="en-AU" w:eastAsia="en-AU"/>
        </w:rPr>
        <w:id w:val="350420358"/>
        <w:docPartObj>
          <w:docPartGallery w:val="Table of Contents"/>
          <w:docPartUnique/>
        </w:docPartObj>
      </w:sdtPr>
      <w:sdtEndPr>
        <w:rPr>
          <w:rFonts w:ascii="HK Grotesk" w:hAnsi="HK Grotesk"/>
          <w:bCs w:val="0"/>
          <w:szCs w:val="22"/>
        </w:rPr>
      </w:sdtEndPr>
      <w:sdtContent>
        <w:p w:rsidR="00CA12EC" w:rsidRPr="00A60DFC" w:rsidRDefault="00CA12EC" w:rsidP="00876091">
          <w:pPr>
            <w:pStyle w:val="TOCHeading"/>
          </w:pPr>
          <w:r w:rsidRPr="00A60DFC">
            <w:t>Table of Contents</w:t>
          </w:r>
        </w:p>
        <w:p w:rsidR="00C737C3" w:rsidRDefault="004642A5">
          <w:pPr>
            <w:pStyle w:val="TOC1"/>
            <w:tabs>
              <w:tab w:val="right" w:leader="dot" w:pos="8777"/>
            </w:tabs>
            <w:rPr>
              <w:rFonts w:asciiTheme="minorHAnsi" w:eastAsiaTheme="minorEastAsia" w:hAnsiTheme="minorHAnsi" w:cstheme="minorBidi"/>
              <w:b w:val="0"/>
              <w:noProof/>
              <w:kern w:val="0"/>
            </w:rPr>
          </w:pPr>
          <w:r>
            <w:rPr>
              <w:b w:val="0"/>
            </w:rPr>
            <w:fldChar w:fldCharType="begin"/>
          </w:r>
          <w:r>
            <w:rPr>
              <w:b w:val="0"/>
            </w:rPr>
            <w:instrText xml:space="preserve"> TOC \o "1-4" \h \z \u </w:instrText>
          </w:r>
          <w:r>
            <w:rPr>
              <w:b w:val="0"/>
            </w:rPr>
            <w:fldChar w:fldCharType="separate"/>
          </w:r>
          <w:hyperlink w:anchor="_Toc472523357" w:history="1">
            <w:r w:rsidR="00C737C3" w:rsidRPr="00392D0A">
              <w:rPr>
                <w:rStyle w:val="Hyperlink"/>
                <w:noProof/>
              </w:rPr>
              <w:t>About the Law Council of Australia</w:t>
            </w:r>
            <w:r w:rsidR="00C737C3">
              <w:rPr>
                <w:noProof/>
                <w:webHidden/>
              </w:rPr>
              <w:tab/>
            </w:r>
            <w:r w:rsidR="00C737C3">
              <w:rPr>
                <w:noProof/>
                <w:webHidden/>
              </w:rPr>
              <w:fldChar w:fldCharType="begin"/>
            </w:r>
            <w:r w:rsidR="00C737C3">
              <w:rPr>
                <w:noProof/>
                <w:webHidden/>
              </w:rPr>
              <w:instrText xml:space="preserve"> PAGEREF _Toc472523357 \h </w:instrText>
            </w:r>
            <w:r w:rsidR="00C737C3">
              <w:rPr>
                <w:noProof/>
                <w:webHidden/>
              </w:rPr>
            </w:r>
            <w:r w:rsidR="00C737C3">
              <w:rPr>
                <w:noProof/>
                <w:webHidden/>
              </w:rPr>
              <w:fldChar w:fldCharType="separate"/>
            </w:r>
            <w:r w:rsidR="002F1CE5">
              <w:rPr>
                <w:noProof/>
                <w:webHidden/>
              </w:rPr>
              <w:t>3</w:t>
            </w:r>
            <w:r w:rsidR="00C737C3">
              <w:rPr>
                <w:noProof/>
                <w:webHidden/>
              </w:rPr>
              <w:fldChar w:fldCharType="end"/>
            </w:r>
          </w:hyperlink>
        </w:p>
        <w:p w:rsidR="00C737C3" w:rsidRDefault="008D20D8">
          <w:pPr>
            <w:pStyle w:val="TOC1"/>
            <w:tabs>
              <w:tab w:val="right" w:leader="dot" w:pos="8777"/>
            </w:tabs>
            <w:rPr>
              <w:rFonts w:asciiTheme="minorHAnsi" w:eastAsiaTheme="minorEastAsia" w:hAnsiTheme="minorHAnsi" w:cstheme="minorBidi"/>
              <w:b w:val="0"/>
              <w:noProof/>
              <w:kern w:val="0"/>
            </w:rPr>
          </w:pPr>
          <w:hyperlink w:anchor="_Toc472523358" w:history="1">
            <w:r w:rsidR="00C737C3" w:rsidRPr="00392D0A">
              <w:rPr>
                <w:rStyle w:val="Hyperlink"/>
                <w:noProof/>
              </w:rPr>
              <w:t>Introduction</w:t>
            </w:r>
            <w:r w:rsidR="00C737C3">
              <w:rPr>
                <w:noProof/>
                <w:webHidden/>
              </w:rPr>
              <w:tab/>
            </w:r>
            <w:r w:rsidR="00C737C3">
              <w:rPr>
                <w:noProof/>
                <w:webHidden/>
              </w:rPr>
              <w:fldChar w:fldCharType="begin"/>
            </w:r>
            <w:r w:rsidR="00C737C3">
              <w:rPr>
                <w:noProof/>
                <w:webHidden/>
              </w:rPr>
              <w:instrText xml:space="preserve"> PAGEREF _Toc472523358 \h </w:instrText>
            </w:r>
            <w:r w:rsidR="00C737C3">
              <w:rPr>
                <w:noProof/>
                <w:webHidden/>
              </w:rPr>
            </w:r>
            <w:r w:rsidR="00C737C3">
              <w:rPr>
                <w:noProof/>
                <w:webHidden/>
              </w:rPr>
              <w:fldChar w:fldCharType="separate"/>
            </w:r>
            <w:r w:rsidR="002F1CE5">
              <w:rPr>
                <w:noProof/>
                <w:webHidden/>
              </w:rPr>
              <w:t>4</w:t>
            </w:r>
            <w:r w:rsidR="00C737C3">
              <w:rPr>
                <w:noProof/>
                <w:webHidden/>
              </w:rPr>
              <w:fldChar w:fldCharType="end"/>
            </w:r>
          </w:hyperlink>
        </w:p>
        <w:p w:rsidR="00C737C3" w:rsidRDefault="008D20D8">
          <w:pPr>
            <w:pStyle w:val="TOC1"/>
            <w:tabs>
              <w:tab w:val="right" w:leader="dot" w:pos="8777"/>
            </w:tabs>
            <w:rPr>
              <w:rFonts w:asciiTheme="minorHAnsi" w:eastAsiaTheme="minorEastAsia" w:hAnsiTheme="minorHAnsi" w:cstheme="minorBidi"/>
              <w:b w:val="0"/>
              <w:noProof/>
              <w:kern w:val="0"/>
            </w:rPr>
          </w:pPr>
          <w:hyperlink w:anchor="_Toc472523359" w:history="1">
            <w:r w:rsidR="00C737C3" w:rsidRPr="00392D0A">
              <w:rPr>
                <w:rStyle w:val="Hyperlink"/>
                <w:noProof/>
              </w:rPr>
              <w:t>Recommendations</w:t>
            </w:r>
            <w:r w:rsidR="00C737C3">
              <w:rPr>
                <w:noProof/>
                <w:webHidden/>
              </w:rPr>
              <w:tab/>
            </w:r>
            <w:r w:rsidR="00C737C3">
              <w:rPr>
                <w:noProof/>
                <w:webHidden/>
              </w:rPr>
              <w:fldChar w:fldCharType="begin"/>
            </w:r>
            <w:r w:rsidR="00C737C3">
              <w:rPr>
                <w:noProof/>
                <w:webHidden/>
              </w:rPr>
              <w:instrText xml:space="preserve"> PAGEREF _Toc472523359 \h </w:instrText>
            </w:r>
            <w:r w:rsidR="00C737C3">
              <w:rPr>
                <w:noProof/>
                <w:webHidden/>
              </w:rPr>
            </w:r>
            <w:r w:rsidR="00C737C3">
              <w:rPr>
                <w:noProof/>
                <w:webHidden/>
              </w:rPr>
              <w:fldChar w:fldCharType="separate"/>
            </w:r>
            <w:r w:rsidR="002F1CE5">
              <w:rPr>
                <w:noProof/>
                <w:webHidden/>
              </w:rPr>
              <w:t>4</w:t>
            </w:r>
            <w:r w:rsidR="00C737C3">
              <w:rPr>
                <w:noProof/>
                <w:webHidden/>
              </w:rPr>
              <w:fldChar w:fldCharType="end"/>
            </w:r>
          </w:hyperlink>
        </w:p>
        <w:p w:rsidR="00C737C3" w:rsidRDefault="008D20D8">
          <w:pPr>
            <w:pStyle w:val="TOC1"/>
            <w:tabs>
              <w:tab w:val="right" w:leader="dot" w:pos="8777"/>
            </w:tabs>
            <w:rPr>
              <w:rFonts w:asciiTheme="minorHAnsi" w:eastAsiaTheme="minorEastAsia" w:hAnsiTheme="minorHAnsi" w:cstheme="minorBidi"/>
              <w:b w:val="0"/>
              <w:noProof/>
              <w:kern w:val="0"/>
            </w:rPr>
          </w:pPr>
          <w:hyperlink w:anchor="_Toc472523360" w:history="1">
            <w:r w:rsidR="00C737C3" w:rsidRPr="00392D0A">
              <w:rPr>
                <w:rStyle w:val="Hyperlink"/>
                <w:noProof/>
              </w:rPr>
              <w:t>Funding for legal assistance services</w:t>
            </w:r>
            <w:r w:rsidR="00C737C3">
              <w:rPr>
                <w:noProof/>
                <w:webHidden/>
              </w:rPr>
              <w:tab/>
            </w:r>
            <w:r w:rsidR="00C737C3">
              <w:rPr>
                <w:noProof/>
                <w:webHidden/>
              </w:rPr>
              <w:fldChar w:fldCharType="begin"/>
            </w:r>
            <w:r w:rsidR="00C737C3">
              <w:rPr>
                <w:noProof/>
                <w:webHidden/>
              </w:rPr>
              <w:instrText xml:space="preserve"> PAGEREF _Toc472523360 \h </w:instrText>
            </w:r>
            <w:r w:rsidR="00C737C3">
              <w:rPr>
                <w:noProof/>
                <w:webHidden/>
              </w:rPr>
            </w:r>
            <w:r w:rsidR="00C737C3">
              <w:rPr>
                <w:noProof/>
                <w:webHidden/>
              </w:rPr>
              <w:fldChar w:fldCharType="separate"/>
            </w:r>
            <w:r w:rsidR="002F1CE5">
              <w:rPr>
                <w:noProof/>
                <w:webHidden/>
              </w:rPr>
              <w:t>5</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1" w:history="1">
            <w:r w:rsidR="00C737C3" w:rsidRPr="00392D0A">
              <w:rPr>
                <w:rStyle w:val="Hyperlink"/>
                <w:noProof/>
              </w:rPr>
              <w:t>Productivity Commission recommendations</w:t>
            </w:r>
            <w:r w:rsidR="00C737C3">
              <w:rPr>
                <w:noProof/>
                <w:webHidden/>
              </w:rPr>
              <w:tab/>
            </w:r>
            <w:r w:rsidR="00C737C3">
              <w:rPr>
                <w:noProof/>
                <w:webHidden/>
              </w:rPr>
              <w:fldChar w:fldCharType="begin"/>
            </w:r>
            <w:r w:rsidR="00C737C3">
              <w:rPr>
                <w:noProof/>
                <w:webHidden/>
              </w:rPr>
              <w:instrText xml:space="preserve"> PAGEREF _Toc472523361 \h </w:instrText>
            </w:r>
            <w:r w:rsidR="00C737C3">
              <w:rPr>
                <w:noProof/>
                <w:webHidden/>
              </w:rPr>
            </w:r>
            <w:r w:rsidR="00C737C3">
              <w:rPr>
                <w:noProof/>
                <w:webHidden/>
              </w:rPr>
              <w:fldChar w:fldCharType="separate"/>
            </w:r>
            <w:r w:rsidR="002F1CE5">
              <w:rPr>
                <w:noProof/>
                <w:webHidden/>
              </w:rPr>
              <w:t>6</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2" w:history="1">
            <w:r w:rsidR="00C737C3" w:rsidRPr="00392D0A">
              <w:rPr>
                <w:rStyle w:val="Hyperlink"/>
                <w:noProof/>
              </w:rPr>
              <w:t>Legal Aid Commission funding</w:t>
            </w:r>
            <w:r w:rsidR="00C737C3">
              <w:rPr>
                <w:noProof/>
                <w:webHidden/>
              </w:rPr>
              <w:tab/>
            </w:r>
            <w:r w:rsidR="00C737C3">
              <w:rPr>
                <w:noProof/>
                <w:webHidden/>
              </w:rPr>
              <w:fldChar w:fldCharType="begin"/>
            </w:r>
            <w:r w:rsidR="00C737C3">
              <w:rPr>
                <w:noProof/>
                <w:webHidden/>
              </w:rPr>
              <w:instrText xml:space="preserve"> PAGEREF _Toc472523362 \h </w:instrText>
            </w:r>
            <w:r w:rsidR="00C737C3">
              <w:rPr>
                <w:noProof/>
                <w:webHidden/>
              </w:rPr>
            </w:r>
            <w:r w:rsidR="00C737C3">
              <w:rPr>
                <w:noProof/>
                <w:webHidden/>
              </w:rPr>
              <w:fldChar w:fldCharType="separate"/>
            </w:r>
            <w:r w:rsidR="002F1CE5">
              <w:rPr>
                <w:noProof/>
                <w:webHidden/>
              </w:rPr>
              <w:t>6</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3" w:history="1">
            <w:r w:rsidR="00C737C3" w:rsidRPr="00392D0A">
              <w:rPr>
                <w:rStyle w:val="Hyperlink"/>
                <w:noProof/>
              </w:rPr>
              <w:t>Aboriginal and Torres Strait Islander Legal Services</w:t>
            </w:r>
            <w:r w:rsidR="00C737C3">
              <w:rPr>
                <w:noProof/>
                <w:webHidden/>
              </w:rPr>
              <w:tab/>
            </w:r>
            <w:r w:rsidR="00C737C3">
              <w:rPr>
                <w:noProof/>
                <w:webHidden/>
              </w:rPr>
              <w:fldChar w:fldCharType="begin"/>
            </w:r>
            <w:r w:rsidR="00C737C3">
              <w:rPr>
                <w:noProof/>
                <w:webHidden/>
              </w:rPr>
              <w:instrText xml:space="preserve"> PAGEREF _Toc472523363 \h </w:instrText>
            </w:r>
            <w:r w:rsidR="00C737C3">
              <w:rPr>
                <w:noProof/>
                <w:webHidden/>
              </w:rPr>
            </w:r>
            <w:r w:rsidR="00C737C3">
              <w:rPr>
                <w:noProof/>
                <w:webHidden/>
              </w:rPr>
              <w:fldChar w:fldCharType="separate"/>
            </w:r>
            <w:r w:rsidR="002F1CE5">
              <w:rPr>
                <w:noProof/>
                <w:webHidden/>
              </w:rPr>
              <w:t>8</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4" w:history="1">
            <w:r w:rsidR="00C737C3" w:rsidRPr="00392D0A">
              <w:rPr>
                <w:rStyle w:val="Hyperlink"/>
                <w:noProof/>
              </w:rPr>
              <w:t>Community legal centres</w:t>
            </w:r>
            <w:r w:rsidR="00C737C3">
              <w:rPr>
                <w:noProof/>
                <w:webHidden/>
              </w:rPr>
              <w:tab/>
            </w:r>
            <w:r w:rsidR="00C737C3">
              <w:rPr>
                <w:noProof/>
                <w:webHidden/>
              </w:rPr>
              <w:fldChar w:fldCharType="begin"/>
            </w:r>
            <w:r w:rsidR="00C737C3">
              <w:rPr>
                <w:noProof/>
                <w:webHidden/>
              </w:rPr>
              <w:instrText xml:space="preserve"> PAGEREF _Toc472523364 \h </w:instrText>
            </w:r>
            <w:r w:rsidR="00C737C3">
              <w:rPr>
                <w:noProof/>
                <w:webHidden/>
              </w:rPr>
            </w:r>
            <w:r w:rsidR="00C737C3">
              <w:rPr>
                <w:noProof/>
                <w:webHidden/>
              </w:rPr>
              <w:fldChar w:fldCharType="separate"/>
            </w:r>
            <w:r w:rsidR="002F1CE5">
              <w:rPr>
                <w:noProof/>
                <w:webHidden/>
              </w:rPr>
              <w:t>10</w:t>
            </w:r>
            <w:r w:rsidR="00C737C3">
              <w:rPr>
                <w:noProof/>
                <w:webHidden/>
              </w:rPr>
              <w:fldChar w:fldCharType="end"/>
            </w:r>
          </w:hyperlink>
        </w:p>
        <w:p w:rsidR="00C737C3" w:rsidRDefault="008D20D8">
          <w:pPr>
            <w:pStyle w:val="TOC3"/>
            <w:tabs>
              <w:tab w:val="right" w:leader="dot" w:pos="8777"/>
            </w:tabs>
            <w:rPr>
              <w:rFonts w:asciiTheme="minorHAnsi" w:eastAsiaTheme="minorEastAsia" w:hAnsiTheme="minorHAnsi" w:cstheme="minorBidi"/>
              <w:noProof/>
              <w:kern w:val="0"/>
            </w:rPr>
          </w:pPr>
          <w:hyperlink w:anchor="_Toc472523365" w:history="1">
            <w:r w:rsidR="00C737C3" w:rsidRPr="00392D0A">
              <w:rPr>
                <w:rStyle w:val="Hyperlink"/>
                <w:noProof/>
              </w:rPr>
              <w:t>Family Violence</w:t>
            </w:r>
            <w:r w:rsidR="00C737C3">
              <w:rPr>
                <w:noProof/>
                <w:webHidden/>
              </w:rPr>
              <w:tab/>
            </w:r>
            <w:r w:rsidR="00C737C3">
              <w:rPr>
                <w:noProof/>
                <w:webHidden/>
              </w:rPr>
              <w:fldChar w:fldCharType="begin"/>
            </w:r>
            <w:r w:rsidR="00C737C3">
              <w:rPr>
                <w:noProof/>
                <w:webHidden/>
              </w:rPr>
              <w:instrText xml:space="preserve"> PAGEREF _Toc472523365 \h </w:instrText>
            </w:r>
            <w:r w:rsidR="00C737C3">
              <w:rPr>
                <w:noProof/>
                <w:webHidden/>
              </w:rPr>
            </w:r>
            <w:r w:rsidR="00C737C3">
              <w:rPr>
                <w:noProof/>
                <w:webHidden/>
              </w:rPr>
              <w:fldChar w:fldCharType="separate"/>
            </w:r>
            <w:r w:rsidR="002F1CE5">
              <w:rPr>
                <w:noProof/>
                <w:webHidden/>
              </w:rPr>
              <w:t>11</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6" w:history="1">
            <w:r w:rsidR="00C737C3" w:rsidRPr="00392D0A">
              <w:rPr>
                <w:rStyle w:val="Hyperlink"/>
                <w:noProof/>
              </w:rPr>
              <w:t>Immigration Advice and Application Assistance Scheme</w:t>
            </w:r>
            <w:r w:rsidR="00C737C3">
              <w:rPr>
                <w:noProof/>
                <w:webHidden/>
              </w:rPr>
              <w:tab/>
            </w:r>
            <w:r w:rsidR="00C737C3">
              <w:rPr>
                <w:noProof/>
                <w:webHidden/>
              </w:rPr>
              <w:fldChar w:fldCharType="begin"/>
            </w:r>
            <w:r w:rsidR="00C737C3">
              <w:rPr>
                <w:noProof/>
                <w:webHidden/>
              </w:rPr>
              <w:instrText xml:space="preserve"> PAGEREF _Toc472523366 \h </w:instrText>
            </w:r>
            <w:r w:rsidR="00C737C3">
              <w:rPr>
                <w:noProof/>
                <w:webHidden/>
              </w:rPr>
            </w:r>
            <w:r w:rsidR="00C737C3">
              <w:rPr>
                <w:noProof/>
                <w:webHidden/>
              </w:rPr>
              <w:fldChar w:fldCharType="separate"/>
            </w:r>
            <w:r w:rsidR="002F1CE5">
              <w:rPr>
                <w:noProof/>
                <w:webHidden/>
              </w:rPr>
              <w:t>12</w:t>
            </w:r>
            <w:r w:rsidR="00C737C3">
              <w:rPr>
                <w:noProof/>
                <w:webHidden/>
              </w:rPr>
              <w:fldChar w:fldCharType="end"/>
            </w:r>
          </w:hyperlink>
        </w:p>
        <w:p w:rsidR="00C737C3" w:rsidRDefault="008D20D8">
          <w:pPr>
            <w:pStyle w:val="TOC1"/>
            <w:tabs>
              <w:tab w:val="right" w:leader="dot" w:pos="8777"/>
            </w:tabs>
            <w:rPr>
              <w:rFonts w:asciiTheme="minorHAnsi" w:eastAsiaTheme="minorEastAsia" w:hAnsiTheme="minorHAnsi" w:cstheme="minorBidi"/>
              <w:b w:val="0"/>
              <w:noProof/>
              <w:kern w:val="0"/>
            </w:rPr>
          </w:pPr>
          <w:hyperlink w:anchor="_Toc472523367" w:history="1">
            <w:r w:rsidR="00C737C3" w:rsidRPr="00392D0A">
              <w:rPr>
                <w:rStyle w:val="Hyperlink"/>
                <w:noProof/>
              </w:rPr>
              <w:t>Federal courts and tribunals</w:t>
            </w:r>
            <w:r w:rsidR="00C737C3">
              <w:rPr>
                <w:noProof/>
                <w:webHidden/>
              </w:rPr>
              <w:tab/>
            </w:r>
            <w:r w:rsidR="00C737C3">
              <w:rPr>
                <w:noProof/>
                <w:webHidden/>
              </w:rPr>
              <w:fldChar w:fldCharType="begin"/>
            </w:r>
            <w:r w:rsidR="00C737C3">
              <w:rPr>
                <w:noProof/>
                <w:webHidden/>
              </w:rPr>
              <w:instrText xml:space="preserve"> PAGEREF _Toc472523367 \h </w:instrText>
            </w:r>
            <w:r w:rsidR="00C737C3">
              <w:rPr>
                <w:noProof/>
                <w:webHidden/>
              </w:rPr>
            </w:r>
            <w:r w:rsidR="00C737C3">
              <w:rPr>
                <w:noProof/>
                <w:webHidden/>
              </w:rPr>
              <w:fldChar w:fldCharType="separate"/>
            </w:r>
            <w:r w:rsidR="002F1CE5">
              <w:rPr>
                <w:noProof/>
                <w:webHidden/>
              </w:rPr>
              <w:t>13</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8" w:history="1">
            <w:r w:rsidR="00C737C3" w:rsidRPr="00392D0A">
              <w:rPr>
                <w:rStyle w:val="Hyperlink"/>
                <w:noProof/>
              </w:rPr>
              <w:t>Family courts</w:t>
            </w:r>
            <w:r w:rsidR="00C737C3">
              <w:rPr>
                <w:noProof/>
                <w:webHidden/>
              </w:rPr>
              <w:tab/>
            </w:r>
            <w:r w:rsidR="00C737C3">
              <w:rPr>
                <w:noProof/>
                <w:webHidden/>
              </w:rPr>
              <w:fldChar w:fldCharType="begin"/>
            </w:r>
            <w:r w:rsidR="00C737C3">
              <w:rPr>
                <w:noProof/>
                <w:webHidden/>
              </w:rPr>
              <w:instrText xml:space="preserve"> PAGEREF _Toc472523368 \h </w:instrText>
            </w:r>
            <w:r w:rsidR="00C737C3">
              <w:rPr>
                <w:noProof/>
                <w:webHidden/>
              </w:rPr>
            </w:r>
            <w:r w:rsidR="00C737C3">
              <w:rPr>
                <w:noProof/>
                <w:webHidden/>
              </w:rPr>
              <w:fldChar w:fldCharType="separate"/>
            </w:r>
            <w:r w:rsidR="002F1CE5">
              <w:rPr>
                <w:noProof/>
                <w:webHidden/>
              </w:rPr>
              <w:t>13</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69" w:history="1">
            <w:r w:rsidR="00C737C3" w:rsidRPr="00392D0A">
              <w:rPr>
                <w:rStyle w:val="Hyperlink"/>
                <w:noProof/>
              </w:rPr>
              <w:t>Federal Circuit Court</w:t>
            </w:r>
            <w:r w:rsidR="00C737C3">
              <w:rPr>
                <w:noProof/>
                <w:webHidden/>
              </w:rPr>
              <w:tab/>
            </w:r>
            <w:r w:rsidR="00C737C3">
              <w:rPr>
                <w:noProof/>
                <w:webHidden/>
              </w:rPr>
              <w:fldChar w:fldCharType="begin"/>
            </w:r>
            <w:r w:rsidR="00C737C3">
              <w:rPr>
                <w:noProof/>
                <w:webHidden/>
              </w:rPr>
              <w:instrText xml:space="preserve"> PAGEREF _Toc472523369 \h </w:instrText>
            </w:r>
            <w:r w:rsidR="00C737C3">
              <w:rPr>
                <w:noProof/>
                <w:webHidden/>
              </w:rPr>
            </w:r>
            <w:r w:rsidR="00C737C3">
              <w:rPr>
                <w:noProof/>
                <w:webHidden/>
              </w:rPr>
              <w:fldChar w:fldCharType="separate"/>
            </w:r>
            <w:r w:rsidR="002F1CE5">
              <w:rPr>
                <w:noProof/>
                <w:webHidden/>
              </w:rPr>
              <w:t>14</w:t>
            </w:r>
            <w:r w:rsidR="00C737C3">
              <w:rPr>
                <w:noProof/>
                <w:webHidden/>
              </w:rPr>
              <w:fldChar w:fldCharType="end"/>
            </w:r>
          </w:hyperlink>
        </w:p>
        <w:p w:rsidR="00C737C3" w:rsidRDefault="008D20D8">
          <w:pPr>
            <w:pStyle w:val="TOC3"/>
            <w:tabs>
              <w:tab w:val="right" w:leader="dot" w:pos="8777"/>
            </w:tabs>
            <w:rPr>
              <w:rFonts w:asciiTheme="minorHAnsi" w:eastAsiaTheme="minorEastAsia" w:hAnsiTheme="minorHAnsi" w:cstheme="minorBidi"/>
              <w:noProof/>
              <w:kern w:val="0"/>
            </w:rPr>
          </w:pPr>
          <w:hyperlink w:anchor="_Toc472523370" w:history="1">
            <w:r w:rsidR="00C737C3" w:rsidRPr="00392D0A">
              <w:rPr>
                <w:rStyle w:val="Hyperlink"/>
                <w:noProof/>
              </w:rPr>
              <w:t>Expanding General Jurisdiction</w:t>
            </w:r>
            <w:r w:rsidR="00C737C3">
              <w:rPr>
                <w:noProof/>
                <w:webHidden/>
              </w:rPr>
              <w:tab/>
            </w:r>
            <w:r w:rsidR="00C737C3">
              <w:rPr>
                <w:noProof/>
                <w:webHidden/>
              </w:rPr>
              <w:fldChar w:fldCharType="begin"/>
            </w:r>
            <w:r w:rsidR="00C737C3">
              <w:rPr>
                <w:noProof/>
                <w:webHidden/>
              </w:rPr>
              <w:instrText xml:space="preserve"> PAGEREF _Toc472523370 \h </w:instrText>
            </w:r>
            <w:r w:rsidR="00C737C3">
              <w:rPr>
                <w:noProof/>
                <w:webHidden/>
              </w:rPr>
            </w:r>
            <w:r w:rsidR="00C737C3">
              <w:rPr>
                <w:noProof/>
                <w:webHidden/>
              </w:rPr>
              <w:fldChar w:fldCharType="separate"/>
            </w:r>
            <w:r w:rsidR="002F1CE5">
              <w:rPr>
                <w:noProof/>
                <w:webHidden/>
              </w:rPr>
              <w:t>14</w:t>
            </w:r>
            <w:r w:rsidR="00C737C3">
              <w:rPr>
                <w:noProof/>
                <w:webHidden/>
              </w:rPr>
              <w:fldChar w:fldCharType="end"/>
            </w:r>
          </w:hyperlink>
        </w:p>
        <w:p w:rsidR="00C737C3" w:rsidRDefault="008D20D8">
          <w:pPr>
            <w:pStyle w:val="TOC3"/>
            <w:tabs>
              <w:tab w:val="right" w:leader="dot" w:pos="8777"/>
            </w:tabs>
            <w:rPr>
              <w:rFonts w:asciiTheme="minorHAnsi" w:eastAsiaTheme="minorEastAsia" w:hAnsiTheme="minorHAnsi" w:cstheme="minorBidi"/>
              <w:noProof/>
              <w:kern w:val="0"/>
            </w:rPr>
          </w:pPr>
          <w:hyperlink w:anchor="_Toc472523371" w:history="1">
            <w:r w:rsidR="00C737C3" w:rsidRPr="00392D0A">
              <w:rPr>
                <w:rStyle w:val="Hyperlink"/>
                <w:noProof/>
              </w:rPr>
              <w:t>Intellectual Property</w:t>
            </w:r>
            <w:r w:rsidR="00C737C3">
              <w:rPr>
                <w:noProof/>
                <w:webHidden/>
              </w:rPr>
              <w:tab/>
            </w:r>
            <w:r w:rsidR="00C737C3">
              <w:rPr>
                <w:noProof/>
                <w:webHidden/>
              </w:rPr>
              <w:fldChar w:fldCharType="begin"/>
            </w:r>
            <w:r w:rsidR="00C737C3">
              <w:rPr>
                <w:noProof/>
                <w:webHidden/>
              </w:rPr>
              <w:instrText xml:space="preserve"> PAGEREF _Toc472523371 \h </w:instrText>
            </w:r>
            <w:r w:rsidR="00C737C3">
              <w:rPr>
                <w:noProof/>
                <w:webHidden/>
              </w:rPr>
            </w:r>
            <w:r w:rsidR="00C737C3">
              <w:rPr>
                <w:noProof/>
                <w:webHidden/>
              </w:rPr>
              <w:fldChar w:fldCharType="separate"/>
            </w:r>
            <w:r w:rsidR="002F1CE5">
              <w:rPr>
                <w:noProof/>
                <w:webHidden/>
              </w:rPr>
              <w:t>15</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72" w:history="1">
            <w:r w:rsidR="00C737C3" w:rsidRPr="00392D0A">
              <w:rPr>
                <w:rStyle w:val="Hyperlink"/>
                <w:noProof/>
              </w:rPr>
              <w:t>Administrative Appeals Tribunal (AAT)</w:t>
            </w:r>
            <w:r w:rsidR="00C737C3">
              <w:rPr>
                <w:noProof/>
                <w:webHidden/>
              </w:rPr>
              <w:tab/>
            </w:r>
            <w:r w:rsidR="00C737C3">
              <w:rPr>
                <w:noProof/>
                <w:webHidden/>
              </w:rPr>
              <w:fldChar w:fldCharType="begin"/>
            </w:r>
            <w:r w:rsidR="00C737C3">
              <w:rPr>
                <w:noProof/>
                <w:webHidden/>
              </w:rPr>
              <w:instrText xml:space="preserve"> PAGEREF _Toc472523372 \h </w:instrText>
            </w:r>
            <w:r w:rsidR="00C737C3">
              <w:rPr>
                <w:noProof/>
                <w:webHidden/>
              </w:rPr>
            </w:r>
            <w:r w:rsidR="00C737C3">
              <w:rPr>
                <w:noProof/>
                <w:webHidden/>
              </w:rPr>
              <w:fldChar w:fldCharType="separate"/>
            </w:r>
            <w:r w:rsidR="002F1CE5">
              <w:rPr>
                <w:noProof/>
                <w:webHidden/>
              </w:rPr>
              <w:t>16</w:t>
            </w:r>
            <w:r w:rsidR="00C737C3">
              <w:rPr>
                <w:noProof/>
                <w:webHidden/>
              </w:rPr>
              <w:fldChar w:fldCharType="end"/>
            </w:r>
          </w:hyperlink>
        </w:p>
        <w:p w:rsidR="00C737C3" w:rsidRDefault="008D20D8">
          <w:pPr>
            <w:pStyle w:val="TOC1"/>
            <w:tabs>
              <w:tab w:val="right" w:leader="dot" w:pos="8777"/>
            </w:tabs>
            <w:rPr>
              <w:rFonts w:asciiTheme="minorHAnsi" w:eastAsiaTheme="minorEastAsia" w:hAnsiTheme="minorHAnsi" w:cstheme="minorBidi"/>
              <w:b w:val="0"/>
              <w:noProof/>
              <w:kern w:val="0"/>
            </w:rPr>
          </w:pPr>
          <w:hyperlink w:anchor="_Toc472523373" w:history="1">
            <w:r w:rsidR="00C737C3" w:rsidRPr="00392D0A">
              <w:rPr>
                <w:rStyle w:val="Hyperlink"/>
                <w:noProof/>
              </w:rPr>
              <w:t>Funding for statutory and government bodies</w:t>
            </w:r>
            <w:r w:rsidR="00C737C3">
              <w:rPr>
                <w:noProof/>
                <w:webHidden/>
              </w:rPr>
              <w:tab/>
            </w:r>
            <w:r w:rsidR="00C737C3">
              <w:rPr>
                <w:noProof/>
                <w:webHidden/>
              </w:rPr>
              <w:fldChar w:fldCharType="begin"/>
            </w:r>
            <w:r w:rsidR="00C737C3">
              <w:rPr>
                <w:noProof/>
                <w:webHidden/>
              </w:rPr>
              <w:instrText xml:space="preserve"> PAGEREF _Toc472523373 \h </w:instrText>
            </w:r>
            <w:r w:rsidR="00C737C3">
              <w:rPr>
                <w:noProof/>
                <w:webHidden/>
              </w:rPr>
            </w:r>
            <w:r w:rsidR="00C737C3">
              <w:rPr>
                <w:noProof/>
                <w:webHidden/>
              </w:rPr>
              <w:fldChar w:fldCharType="separate"/>
            </w:r>
            <w:r w:rsidR="002F1CE5">
              <w:rPr>
                <w:noProof/>
                <w:webHidden/>
              </w:rPr>
              <w:t>16</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74" w:history="1">
            <w:r w:rsidR="00C737C3" w:rsidRPr="00392D0A">
              <w:rPr>
                <w:rStyle w:val="Hyperlink"/>
                <w:noProof/>
              </w:rPr>
              <w:t>Australian Human Rights Commission</w:t>
            </w:r>
            <w:r w:rsidR="00C737C3">
              <w:rPr>
                <w:noProof/>
                <w:webHidden/>
              </w:rPr>
              <w:tab/>
            </w:r>
            <w:r w:rsidR="00C737C3">
              <w:rPr>
                <w:noProof/>
                <w:webHidden/>
              </w:rPr>
              <w:fldChar w:fldCharType="begin"/>
            </w:r>
            <w:r w:rsidR="00C737C3">
              <w:rPr>
                <w:noProof/>
                <w:webHidden/>
              </w:rPr>
              <w:instrText xml:space="preserve"> PAGEREF _Toc472523374 \h </w:instrText>
            </w:r>
            <w:r w:rsidR="00C737C3">
              <w:rPr>
                <w:noProof/>
                <w:webHidden/>
              </w:rPr>
            </w:r>
            <w:r w:rsidR="00C737C3">
              <w:rPr>
                <w:noProof/>
                <w:webHidden/>
              </w:rPr>
              <w:fldChar w:fldCharType="separate"/>
            </w:r>
            <w:r w:rsidR="002F1CE5">
              <w:rPr>
                <w:noProof/>
                <w:webHidden/>
              </w:rPr>
              <w:t>16</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75" w:history="1">
            <w:r w:rsidR="00C737C3" w:rsidRPr="00392D0A">
              <w:rPr>
                <w:rStyle w:val="Hyperlink"/>
                <w:noProof/>
              </w:rPr>
              <w:t>Parliamentary Joint Committee on Human Rights</w:t>
            </w:r>
            <w:r w:rsidR="00C737C3">
              <w:rPr>
                <w:noProof/>
                <w:webHidden/>
              </w:rPr>
              <w:tab/>
            </w:r>
            <w:r w:rsidR="00C737C3">
              <w:rPr>
                <w:noProof/>
                <w:webHidden/>
              </w:rPr>
              <w:fldChar w:fldCharType="begin"/>
            </w:r>
            <w:r w:rsidR="00C737C3">
              <w:rPr>
                <w:noProof/>
                <w:webHidden/>
              </w:rPr>
              <w:instrText xml:space="preserve"> PAGEREF _Toc472523375 \h </w:instrText>
            </w:r>
            <w:r w:rsidR="00C737C3">
              <w:rPr>
                <w:noProof/>
                <w:webHidden/>
              </w:rPr>
            </w:r>
            <w:r w:rsidR="00C737C3">
              <w:rPr>
                <w:noProof/>
                <w:webHidden/>
              </w:rPr>
              <w:fldChar w:fldCharType="separate"/>
            </w:r>
            <w:r w:rsidR="002F1CE5">
              <w:rPr>
                <w:noProof/>
                <w:webHidden/>
              </w:rPr>
              <w:t>17</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76" w:history="1">
            <w:r w:rsidR="00C737C3" w:rsidRPr="00392D0A">
              <w:rPr>
                <w:rStyle w:val="Hyperlink"/>
                <w:noProof/>
              </w:rPr>
              <w:t>Australia’s engagement with United Nations human rights bodies</w:t>
            </w:r>
            <w:r w:rsidR="00C737C3">
              <w:rPr>
                <w:noProof/>
                <w:webHidden/>
              </w:rPr>
              <w:tab/>
            </w:r>
            <w:r w:rsidR="00C737C3">
              <w:rPr>
                <w:noProof/>
                <w:webHidden/>
              </w:rPr>
              <w:fldChar w:fldCharType="begin"/>
            </w:r>
            <w:r w:rsidR="00C737C3">
              <w:rPr>
                <w:noProof/>
                <w:webHidden/>
              </w:rPr>
              <w:instrText xml:space="preserve"> PAGEREF _Toc472523376 \h </w:instrText>
            </w:r>
            <w:r w:rsidR="00C737C3">
              <w:rPr>
                <w:noProof/>
                <w:webHidden/>
              </w:rPr>
            </w:r>
            <w:r w:rsidR="00C737C3">
              <w:rPr>
                <w:noProof/>
                <w:webHidden/>
              </w:rPr>
              <w:fldChar w:fldCharType="separate"/>
            </w:r>
            <w:r w:rsidR="002F1CE5">
              <w:rPr>
                <w:noProof/>
                <w:webHidden/>
              </w:rPr>
              <w:t>17</w:t>
            </w:r>
            <w:r w:rsidR="00C737C3">
              <w:rPr>
                <w:noProof/>
                <w:webHidden/>
              </w:rPr>
              <w:fldChar w:fldCharType="end"/>
            </w:r>
          </w:hyperlink>
        </w:p>
        <w:p w:rsidR="00C737C3" w:rsidRDefault="008D20D8">
          <w:pPr>
            <w:pStyle w:val="TOC2"/>
            <w:rPr>
              <w:rFonts w:asciiTheme="minorHAnsi" w:eastAsiaTheme="minorEastAsia" w:hAnsiTheme="minorHAnsi" w:cstheme="minorBidi"/>
              <w:noProof/>
              <w:kern w:val="0"/>
            </w:rPr>
          </w:pPr>
          <w:hyperlink w:anchor="_Toc472523377" w:history="1">
            <w:r w:rsidR="00C737C3" w:rsidRPr="00392D0A">
              <w:rPr>
                <w:rStyle w:val="Hyperlink"/>
                <w:noProof/>
              </w:rPr>
              <w:t>Office of the Australian Information Commissioner (OAIC)</w:t>
            </w:r>
            <w:r w:rsidR="00C737C3">
              <w:rPr>
                <w:noProof/>
                <w:webHidden/>
              </w:rPr>
              <w:tab/>
            </w:r>
            <w:r w:rsidR="00C737C3">
              <w:rPr>
                <w:noProof/>
                <w:webHidden/>
              </w:rPr>
              <w:fldChar w:fldCharType="begin"/>
            </w:r>
            <w:r w:rsidR="00C737C3">
              <w:rPr>
                <w:noProof/>
                <w:webHidden/>
              </w:rPr>
              <w:instrText xml:space="preserve"> PAGEREF _Toc472523377 \h </w:instrText>
            </w:r>
            <w:r w:rsidR="00C737C3">
              <w:rPr>
                <w:noProof/>
                <w:webHidden/>
              </w:rPr>
            </w:r>
            <w:r w:rsidR="00C737C3">
              <w:rPr>
                <w:noProof/>
                <w:webHidden/>
              </w:rPr>
              <w:fldChar w:fldCharType="separate"/>
            </w:r>
            <w:r w:rsidR="002F1CE5">
              <w:rPr>
                <w:noProof/>
                <w:webHidden/>
              </w:rPr>
              <w:t>17</w:t>
            </w:r>
            <w:r w:rsidR="00C737C3">
              <w:rPr>
                <w:noProof/>
                <w:webHidden/>
              </w:rPr>
              <w:fldChar w:fldCharType="end"/>
            </w:r>
          </w:hyperlink>
        </w:p>
        <w:p w:rsidR="00CA12EC" w:rsidRDefault="004642A5" w:rsidP="00386512">
          <w:r>
            <w:rPr>
              <w:b/>
            </w:rPr>
            <w:fldChar w:fldCharType="end"/>
          </w:r>
        </w:p>
      </w:sdtContent>
    </w:sdt>
    <w:p w:rsidR="009C4196" w:rsidRDefault="009C4196" w:rsidP="00386512"/>
    <w:p w:rsidR="009C4196" w:rsidRDefault="009C4196" w:rsidP="00386512"/>
    <w:p w:rsidR="009C4196" w:rsidRDefault="009C4196" w:rsidP="00F77714">
      <w:pPr>
        <w:pStyle w:val="Footer"/>
      </w:pPr>
      <w:r>
        <w:br w:type="page"/>
      </w:r>
    </w:p>
    <w:p w:rsidR="003C2EE4" w:rsidRPr="00A60DFC" w:rsidRDefault="003C2EE4" w:rsidP="00876091">
      <w:pPr>
        <w:pStyle w:val="Heading1"/>
      </w:pPr>
      <w:bookmarkStart w:id="1" w:name="_Toc472523357"/>
      <w:bookmarkStart w:id="2" w:name="_Toc134517100"/>
      <w:r w:rsidRPr="00A60DFC">
        <w:lastRenderedPageBreak/>
        <w:t>About the Law Council of Australia</w:t>
      </w:r>
      <w:bookmarkEnd w:id="1"/>
    </w:p>
    <w:p w:rsidR="003C2EE4" w:rsidRPr="00A56E4F" w:rsidRDefault="003C2EE4" w:rsidP="003C2EE4">
      <w:pPr>
        <w:rPr>
          <w:sz w:val="19"/>
          <w:szCs w:val="19"/>
        </w:rPr>
      </w:pPr>
      <w:r w:rsidRPr="00A56E4F">
        <w:rPr>
          <w:sz w:val="19"/>
          <w:szCs w:val="19"/>
        </w:rPr>
        <w:t xml:space="preserve">The Law Council of Australia exists to represent the legal profession at the national level, to speak on behalf of its Constituent Bodies on national issues, and to promote the administration of justice, access to justice and general improvement of the law. </w:t>
      </w:r>
    </w:p>
    <w:p w:rsidR="00E97173" w:rsidRPr="00A56E4F" w:rsidRDefault="00E97173" w:rsidP="00E97173">
      <w:pPr>
        <w:rPr>
          <w:color w:val="000000"/>
          <w:sz w:val="19"/>
          <w:szCs w:val="19"/>
        </w:rPr>
      </w:pPr>
      <w:r w:rsidRPr="00A56E4F">
        <w:rPr>
          <w:color w:val="000000"/>
          <w:sz w:val="19"/>
          <w:szCs w:val="19"/>
        </w:rPr>
        <w:t>The Law Council advises governments, courts and federal agencies on ways in which the law and the justice system can be improved for the benefit of the community. The Law Council also represents the Australian legal profession overseas, and maintains close relationships with legal professional bodies throughout the world.</w:t>
      </w:r>
    </w:p>
    <w:p w:rsidR="00E97173" w:rsidRPr="00A56E4F" w:rsidRDefault="00E97173" w:rsidP="00E97173">
      <w:pPr>
        <w:rPr>
          <w:color w:val="000000"/>
          <w:sz w:val="19"/>
          <w:szCs w:val="19"/>
        </w:rPr>
      </w:pPr>
      <w:r w:rsidRPr="00A56E4F">
        <w:rPr>
          <w:color w:val="000000"/>
          <w:sz w:val="19"/>
          <w:szCs w:val="19"/>
        </w:rPr>
        <w:t>The Law Council was established in 1933, and represents 16 Australian State and Territory law societies and bar associations and the Law Firms Australia, which are known collectively as the Council’s Constituent Bodies. The Law Council’s Constituent Bodies are:</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Australian Capital Territory Bar Association</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Australian Capital Territory Law Society</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Bar Association of Queensland Inc</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Institute of Victoria</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Society of New South Wales</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Society of South Australia</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Society of Tasmania</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Society Northern Territory</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Society of Western Australia</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New South Wales Bar Association</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Northern Territory Bar Association</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Queensland Law Society</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South Australian Bar Association</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Tasmanian Bar</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Law Firms Australia</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The Victorian Bar Inc</w:t>
      </w:r>
    </w:p>
    <w:p w:rsidR="00E97173" w:rsidRPr="00194DE3" w:rsidRDefault="00E97173" w:rsidP="00E97173">
      <w:pPr>
        <w:pStyle w:val="Dotpoint1"/>
        <w:numPr>
          <w:ilvl w:val="0"/>
          <w:numId w:val="5"/>
        </w:numPr>
        <w:rPr>
          <w:rFonts w:eastAsia="AGaramondPro-Regular"/>
          <w:sz w:val="19"/>
          <w:szCs w:val="19"/>
        </w:rPr>
      </w:pPr>
      <w:r w:rsidRPr="00194DE3">
        <w:rPr>
          <w:rFonts w:eastAsia="AGaramondPro-Regular"/>
          <w:sz w:val="19"/>
          <w:szCs w:val="19"/>
        </w:rPr>
        <w:t>Western Australian Bar Association</w:t>
      </w:r>
      <w:r w:rsidRPr="00194DE3">
        <w:rPr>
          <w:rFonts w:eastAsia="AGaramondPro-Regular"/>
          <w:color w:val="BA9000"/>
          <w:sz w:val="19"/>
          <w:szCs w:val="19"/>
        </w:rPr>
        <w:t xml:space="preserve"> </w:t>
      </w:r>
    </w:p>
    <w:p w:rsidR="00E97173" w:rsidRPr="00A56E4F" w:rsidRDefault="00E97173" w:rsidP="00E97173">
      <w:pPr>
        <w:autoSpaceDE w:val="0"/>
        <w:autoSpaceDN w:val="0"/>
        <w:adjustRightInd w:val="0"/>
        <w:spacing w:after="0"/>
        <w:rPr>
          <w:rFonts w:cs="Arial"/>
          <w:color w:val="000000"/>
          <w:sz w:val="19"/>
          <w:szCs w:val="19"/>
        </w:rPr>
      </w:pPr>
    </w:p>
    <w:p w:rsidR="00E97173" w:rsidRPr="00A56E4F" w:rsidRDefault="00E97173" w:rsidP="00E97173">
      <w:pPr>
        <w:rPr>
          <w:sz w:val="19"/>
          <w:szCs w:val="19"/>
        </w:rPr>
      </w:pPr>
      <w:r w:rsidRPr="00A56E4F">
        <w:rPr>
          <w:sz w:val="19"/>
          <w:szCs w:val="19"/>
        </w:rPr>
        <w:t>Through this representation, the Law Council effectively acts on behalf of more than 60,000 lawyers across Australia.</w:t>
      </w:r>
    </w:p>
    <w:p w:rsidR="00E97173" w:rsidRPr="00A56E4F" w:rsidRDefault="00E97173" w:rsidP="00E97173">
      <w:pPr>
        <w:rPr>
          <w:color w:val="221E1F"/>
          <w:sz w:val="19"/>
          <w:szCs w:val="19"/>
          <w:lang w:val="en-US"/>
        </w:rPr>
      </w:pPr>
      <w:r w:rsidRPr="00A56E4F">
        <w:rPr>
          <w:sz w:val="19"/>
          <w:szCs w:val="19"/>
          <w:lang w:val="en-US"/>
        </w:rPr>
        <w:t>The Law Council is governed by a board of 23 Directors – one from each of the constituent bodies and six elected Executive members. The Directors meet quarterly to set objectives, policy and priorities for the Law Council. Between the meetings of Directors, policies and governance responsibility for the Law Council is exercised by the elected Executive members, led by the President who normally serves a 12 month term. The Council’s six Executive members are nominated and elected by the board of Directors.</w:t>
      </w:r>
      <w:r w:rsidRPr="00A56E4F">
        <w:rPr>
          <w:color w:val="221E1F"/>
          <w:sz w:val="19"/>
          <w:szCs w:val="19"/>
          <w:lang w:val="en-US"/>
        </w:rPr>
        <w:t xml:space="preserve">  </w:t>
      </w:r>
    </w:p>
    <w:p w:rsidR="00E97173" w:rsidRPr="004B2805" w:rsidRDefault="00E97173" w:rsidP="00E97173">
      <w:pPr>
        <w:rPr>
          <w:rFonts w:ascii="Times New Roman" w:hAnsi="Times New Roman"/>
          <w:sz w:val="19"/>
          <w:szCs w:val="19"/>
        </w:rPr>
      </w:pPr>
      <w:r>
        <w:rPr>
          <w:color w:val="221E1F"/>
          <w:sz w:val="19"/>
          <w:szCs w:val="19"/>
          <w:lang w:val="en-US"/>
        </w:rPr>
        <w:t>Members of the 2017 Executive as at 1 January 2017</w:t>
      </w:r>
      <w:r w:rsidRPr="00A56E4F">
        <w:rPr>
          <w:color w:val="221E1F"/>
          <w:sz w:val="19"/>
          <w:szCs w:val="19"/>
          <w:lang w:val="en-US"/>
        </w:rPr>
        <w:t xml:space="preserve"> are:</w:t>
      </w:r>
    </w:p>
    <w:p w:rsidR="00E97173" w:rsidRPr="00A56E4F" w:rsidRDefault="00E97173" w:rsidP="00E97173">
      <w:pPr>
        <w:pStyle w:val="Dotpoint1"/>
        <w:numPr>
          <w:ilvl w:val="0"/>
          <w:numId w:val="5"/>
        </w:numPr>
        <w:spacing w:after="0"/>
        <w:rPr>
          <w:sz w:val="19"/>
          <w:szCs w:val="19"/>
        </w:rPr>
      </w:pPr>
      <w:r w:rsidRPr="00A56E4F">
        <w:rPr>
          <w:sz w:val="19"/>
          <w:szCs w:val="19"/>
        </w:rPr>
        <w:t>Ms Fiona McLeod SC</w:t>
      </w:r>
      <w:r>
        <w:rPr>
          <w:sz w:val="19"/>
          <w:szCs w:val="19"/>
          <w:lang w:val="en-US"/>
        </w:rPr>
        <w:t>, President</w:t>
      </w:r>
    </w:p>
    <w:p w:rsidR="00E97173" w:rsidRPr="00A56E4F" w:rsidRDefault="00E97173" w:rsidP="00E97173">
      <w:pPr>
        <w:pStyle w:val="Dotpoint1"/>
        <w:numPr>
          <w:ilvl w:val="0"/>
          <w:numId w:val="5"/>
        </w:numPr>
        <w:spacing w:after="0"/>
        <w:rPr>
          <w:sz w:val="19"/>
          <w:szCs w:val="19"/>
        </w:rPr>
      </w:pPr>
      <w:r w:rsidRPr="00A56E4F">
        <w:rPr>
          <w:sz w:val="19"/>
          <w:szCs w:val="19"/>
          <w:lang w:val="en-US"/>
        </w:rPr>
        <w:t>Mr Morry Bailes</w:t>
      </w:r>
      <w:r w:rsidRPr="00A56E4F">
        <w:rPr>
          <w:sz w:val="19"/>
          <w:szCs w:val="19"/>
        </w:rPr>
        <w:t xml:space="preserve">, </w:t>
      </w:r>
      <w:r w:rsidRPr="00A56E4F">
        <w:rPr>
          <w:sz w:val="19"/>
          <w:szCs w:val="19"/>
          <w:lang w:val="en-US"/>
        </w:rPr>
        <w:t>President-Elect</w:t>
      </w:r>
    </w:p>
    <w:p w:rsidR="00E97173" w:rsidRPr="004B2805" w:rsidRDefault="00E97173" w:rsidP="00E97173">
      <w:pPr>
        <w:pStyle w:val="Dotpoint1"/>
        <w:numPr>
          <w:ilvl w:val="0"/>
          <w:numId w:val="5"/>
        </w:numPr>
        <w:spacing w:after="0"/>
        <w:rPr>
          <w:sz w:val="19"/>
          <w:szCs w:val="19"/>
        </w:rPr>
      </w:pPr>
      <w:r w:rsidRPr="00A56E4F">
        <w:rPr>
          <w:sz w:val="19"/>
          <w:szCs w:val="19"/>
          <w:lang w:val="en-US"/>
        </w:rPr>
        <w:t>Mr A</w:t>
      </w:r>
      <w:r>
        <w:rPr>
          <w:sz w:val="19"/>
          <w:szCs w:val="19"/>
          <w:lang w:val="en-US"/>
        </w:rPr>
        <w:t>rthur Moses SC, Treasurer</w:t>
      </w:r>
    </w:p>
    <w:p w:rsidR="00E97173" w:rsidRPr="00A56E4F" w:rsidRDefault="00E97173" w:rsidP="00E97173">
      <w:pPr>
        <w:pStyle w:val="Dotpoint1"/>
        <w:numPr>
          <w:ilvl w:val="0"/>
          <w:numId w:val="5"/>
        </w:numPr>
      </w:pPr>
      <w:r w:rsidRPr="004B2805">
        <w:rPr>
          <w:sz w:val="19"/>
          <w:szCs w:val="19"/>
          <w:lang w:val="en-US"/>
        </w:rPr>
        <w:t>Ms Pauline Wright</w:t>
      </w:r>
      <w:r>
        <w:rPr>
          <w:lang w:val="en-US"/>
        </w:rPr>
        <w:t xml:space="preserve">, </w:t>
      </w:r>
      <w:r w:rsidRPr="004B2805">
        <w:rPr>
          <w:sz w:val="19"/>
          <w:szCs w:val="19"/>
          <w:lang w:val="en-US"/>
        </w:rPr>
        <w:t>Executive Member</w:t>
      </w:r>
    </w:p>
    <w:p w:rsidR="00E97173" w:rsidRPr="00A56E4F" w:rsidRDefault="00E97173" w:rsidP="00E97173">
      <w:pPr>
        <w:pStyle w:val="Dotpoint1"/>
        <w:numPr>
          <w:ilvl w:val="0"/>
          <w:numId w:val="5"/>
        </w:numPr>
        <w:spacing w:after="0"/>
        <w:rPr>
          <w:sz w:val="19"/>
          <w:szCs w:val="19"/>
        </w:rPr>
      </w:pPr>
      <w:r w:rsidRPr="00A56E4F">
        <w:rPr>
          <w:sz w:val="19"/>
          <w:szCs w:val="19"/>
          <w:lang w:val="en-US"/>
        </w:rPr>
        <w:t>Mr Konrad de Kerloy, Executive Member</w:t>
      </w:r>
    </w:p>
    <w:p w:rsidR="00E97173" w:rsidRPr="00A56E4F" w:rsidRDefault="00E97173" w:rsidP="00E97173">
      <w:pPr>
        <w:pStyle w:val="Dotpoint1"/>
        <w:numPr>
          <w:ilvl w:val="0"/>
          <w:numId w:val="5"/>
        </w:numPr>
        <w:spacing w:after="0"/>
        <w:rPr>
          <w:sz w:val="19"/>
          <w:szCs w:val="19"/>
        </w:rPr>
      </w:pPr>
      <w:r>
        <w:rPr>
          <w:sz w:val="19"/>
          <w:szCs w:val="19"/>
          <w:lang w:val="en-US"/>
        </w:rPr>
        <w:lastRenderedPageBreak/>
        <w:t>Mr Geoff Bowyer</w:t>
      </w:r>
      <w:r w:rsidRPr="00A56E4F">
        <w:rPr>
          <w:sz w:val="19"/>
          <w:szCs w:val="19"/>
          <w:lang w:val="en-US"/>
        </w:rPr>
        <w:t>, Executive Member</w:t>
      </w:r>
    </w:p>
    <w:p w:rsidR="003C2EE4" w:rsidRPr="00A56E4F" w:rsidRDefault="00E97173" w:rsidP="00E97173">
      <w:pPr>
        <w:spacing w:before="240"/>
        <w:rPr>
          <w:sz w:val="19"/>
          <w:szCs w:val="19"/>
        </w:rPr>
      </w:pPr>
      <w:r w:rsidRPr="00A56E4F">
        <w:rPr>
          <w:rFonts w:cs="Arial"/>
          <w:sz w:val="19"/>
          <w:szCs w:val="19"/>
        </w:rPr>
        <w:t>The Secretariat serves the Law Council nationally and is based in Canberra</w:t>
      </w:r>
      <w:r w:rsidR="003C2EE4" w:rsidRPr="00A56E4F">
        <w:rPr>
          <w:rFonts w:cs="Arial"/>
          <w:sz w:val="19"/>
          <w:szCs w:val="19"/>
        </w:rPr>
        <w:t>.</w:t>
      </w:r>
    </w:p>
    <w:p w:rsidR="009C4196" w:rsidRPr="00884B4F" w:rsidRDefault="001B3D03" w:rsidP="00884B4F">
      <w:pPr>
        <w:pStyle w:val="Heading1"/>
      </w:pPr>
      <w:bookmarkStart w:id="3" w:name="_Toc472523358"/>
      <w:bookmarkEnd w:id="2"/>
      <w:r w:rsidRPr="00884B4F">
        <w:t>Introduction</w:t>
      </w:r>
      <w:bookmarkEnd w:id="3"/>
    </w:p>
    <w:p w:rsidR="00582DF6" w:rsidRPr="00BB41A8" w:rsidRDefault="00582DF6" w:rsidP="00C737C3">
      <w:pPr>
        <w:pStyle w:val="Numlevel1"/>
      </w:pPr>
      <w:r w:rsidRPr="00BB41A8">
        <w:t xml:space="preserve">The Law Council provides this submission in order to assist the Government in determining the direction of Commonwealth expenditure in the </w:t>
      </w:r>
      <w:r w:rsidR="00FD088C">
        <w:t>f</w:t>
      </w:r>
      <w:r w:rsidRPr="00BB41A8">
        <w:t xml:space="preserve">ederal justice system under the 2017-18 </w:t>
      </w:r>
      <w:r w:rsidR="00FD088C">
        <w:t>B</w:t>
      </w:r>
      <w:r w:rsidRPr="00BB41A8">
        <w:t>udget.</w:t>
      </w:r>
    </w:p>
    <w:p w:rsidR="001B3D03" w:rsidRPr="00BB41A8" w:rsidRDefault="001B3D03">
      <w:pPr>
        <w:pStyle w:val="Numlevel1"/>
      </w:pPr>
      <w:r w:rsidRPr="00BB41A8">
        <w:t xml:space="preserve">As outlined </w:t>
      </w:r>
      <w:r w:rsidR="00AE649E" w:rsidRPr="00BB41A8">
        <w:t>above</w:t>
      </w:r>
      <w:r w:rsidRPr="00BB41A8">
        <w:t>, the Law Council is the national peak body for t</w:t>
      </w:r>
      <w:r w:rsidR="00111670" w:rsidRPr="00BB41A8">
        <w:t>he Australian legal profession.</w:t>
      </w:r>
      <w:r w:rsidR="00582DF6" w:rsidRPr="00BB41A8">
        <w:t xml:space="preserve"> </w:t>
      </w:r>
    </w:p>
    <w:p w:rsidR="000203AF" w:rsidRPr="00BB41A8" w:rsidRDefault="000203AF">
      <w:pPr>
        <w:pStyle w:val="Numlevel1"/>
      </w:pPr>
      <w:r w:rsidRPr="00BB41A8">
        <w:t>The Law Council’s submission primarily concerns access to justice, including funding for legal assistance services and for the federal courts and tribunals.</w:t>
      </w:r>
    </w:p>
    <w:p w:rsidR="00BB41A8" w:rsidRPr="00BB41A8" w:rsidRDefault="00DF6052">
      <w:pPr>
        <w:pStyle w:val="Numlevel1"/>
      </w:pPr>
      <w:r w:rsidRPr="00BB41A8">
        <w:t>The cost of under-resourcing the justice sector</w:t>
      </w:r>
      <w:r w:rsidR="00BB41A8" w:rsidRPr="00BB41A8">
        <w:t xml:space="preserve"> is considerable and</w:t>
      </w:r>
      <w:r w:rsidRPr="00BB41A8">
        <w:t xml:space="preserve"> presents a compelling case for </w:t>
      </w:r>
      <w:r w:rsidR="00BB41A8" w:rsidRPr="00BB41A8">
        <w:t>the Commonwealth to address</w:t>
      </w:r>
      <w:r w:rsidRPr="00BB41A8">
        <w:t xml:space="preserve"> continued under-investment in legal assistance services.</w:t>
      </w:r>
      <w:r w:rsidR="00BB41A8" w:rsidRPr="00BB41A8">
        <w:t xml:space="preserve"> </w:t>
      </w:r>
      <w:r w:rsidR="000203AF">
        <w:t>There are</w:t>
      </w:r>
      <w:r w:rsidR="00BB41A8" w:rsidRPr="00BB41A8">
        <w:t xml:space="preserve"> long-term economic benefits and savings that can be made by investing in legal assistance services and the federal courts and tribunals. </w:t>
      </w:r>
    </w:p>
    <w:p w:rsidR="000203AF" w:rsidRDefault="000203AF">
      <w:pPr>
        <w:pStyle w:val="Numlevel1"/>
      </w:pPr>
      <w:r>
        <w:t>Conversely, cuts to legal assistance services have majo</w:t>
      </w:r>
      <w:r w:rsidR="00BB7150">
        <w:t>r</w:t>
      </w:r>
      <w:r>
        <w:t xml:space="preserve"> down-stream costs in terms of the administration of justice and increased reliance on government services. </w:t>
      </w:r>
    </w:p>
    <w:p w:rsidR="00BB7150" w:rsidRDefault="005C719D">
      <w:pPr>
        <w:pStyle w:val="Numlevel1"/>
      </w:pPr>
      <w:r w:rsidRPr="00BB41A8">
        <w:t>The Law Council has liaised with its Constituent Bodies in the drafting of this submission, and is grateful for the input from the L</w:t>
      </w:r>
      <w:r w:rsidR="00E97173" w:rsidRPr="00BB41A8">
        <w:t>aw Society of Western Australia</w:t>
      </w:r>
      <w:r w:rsidR="00F427FA">
        <w:t>;</w:t>
      </w:r>
      <w:r w:rsidR="00E97173" w:rsidRPr="00BB41A8">
        <w:t xml:space="preserve"> </w:t>
      </w:r>
      <w:r w:rsidRPr="00BB41A8">
        <w:t>the Law Institute of Victoria</w:t>
      </w:r>
      <w:r w:rsidR="00F427FA">
        <w:t>;</w:t>
      </w:r>
      <w:r w:rsidR="00E97173" w:rsidRPr="00BB41A8">
        <w:t xml:space="preserve"> the Law Council’s Access to Justice Committee</w:t>
      </w:r>
      <w:r w:rsidR="00BB7150">
        <w:t>,</w:t>
      </w:r>
      <w:r w:rsidR="00F427FA">
        <w:t xml:space="preserve"> Family Law Section, </w:t>
      </w:r>
      <w:r w:rsidR="00F427FA">
        <w:rPr>
          <w:color w:val="1F497D"/>
        </w:rPr>
        <w:t>Federal Court Liaison Committee , Federal Circuit Court Liaison Committee;</w:t>
      </w:r>
      <w:r w:rsidR="00BB7150">
        <w:t xml:space="preserve"> the </w:t>
      </w:r>
      <w:r w:rsidR="00BB7150" w:rsidRPr="00CF1548">
        <w:t xml:space="preserve">National Association of Community Legal Centres </w:t>
      </w:r>
      <w:r w:rsidR="00BB7150">
        <w:t>(</w:t>
      </w:r>
      <w:r w:rsidR="00F427FA">
        <w:t>NACLC);</w:t>
      </w:r>
      <w:r w:rsidR="00BB7150">
        <w:t xml:space="preserve"> N</w:t>
      </w:r>
      <w:r w:rsidR="00BB7150" w:rsidRPr="00BB7150">
        <w:t>ational Aboriginal and Torres Strait Islander Legal Ser</w:t>
      </w:r>
      <w:r w:rsidR="00BB7150">
        <w:t>vices</w:t>
      </w:r>
      <w:r w:rsidR="00F427FA">
        <w:t>;</w:t>
      </w:r>
      <w:r w:rsidR="00BB7150">
        <w:t xml:space="preserve"> and the Australian Human Rights Commission.</w:t>
      </w:r>
    </w:p>
    <w:p w:rsidR="004E4E06" w:rsidRPr="00BB41A8" w:rsidRDefault="004E4E06">
      <w:pPr>
        <w:pStyle w:val="Numlevel1"/>
      </w:pPr>
      <w:r w:rsidRPr="00BB41A8">
        <w:t>The Law Council would be pleased to engage further with the Department on these matters.</w:t>
      </w:r>
    </w:p>
    <w:p w:rsidR="005B0553" w:rsidRPr="00A60DFC" w:rsidRDefault="005B0553" w:rsidP="005B0553">
      <w:pPr>
        <w:pStyle w:val="Heading1"/>
      </w:pPr>
      <w:bookmarkStart w:id="4" w:name="_Toc472523359"/>
      <w:r w:rsidRPr="00A60DFC">
        <w:t>Recommendations</w:t>
      </w:r>
      <w:bookmarkEnd w:id="4"/>
    </w:p>
    <w:tbl>
      <w:tblPr>
        <w:tblStyle w:val="TableGrid"/>
        <w:tblW w:w="0" w:type="auto"/>
        <w:tblLook w:val="04A0" w:firstRow="1" w:lastRow="0" w:firstColumn="1" w:lastColumn="0" w:noHBand="0" w:noVBand="1"/>
      </w:tblPr>
      <w:tblGrid>
        <w:gridCol w:w="9003"/>
      </w:tblGrid>
      <w:tr w:rsidR="005B0553" w:rsidTr="00C45BD8">
        <w:tc>
          <w:tcPr>
            <w:tcW w:w="9003" w:type="dxa"/>
          </w:tcPr>
          <w:p w:rsidR="005B0553" w:rsidRPr="00733C7D" w:rsidRDefault="00733C7D" w:rsidP="00C45BD8">
            <w:pPr>
              <w:rPr>
                <w:b/>
                <w14:textOutline w14:w="9525" w14:cap="rnd" w14:cmpd="sng" w14:algn="ctr">
                  <w14:noFill/>
                  <w14:prstDash w14:val="solid"/>
                  <w14:bevel/>
                </w14:textOutline>
              </w:rPr>
            </w:pPr>
            <w:r>
              <w:rPr>
                <w:b/>
                <w14:textOutline w14:w="9525" w14:cap="rnd" w14:cmpd="sng" w14:algn="ctr">
                  <w14:noFill/>
                  <w14:prstDash w14:val="solid"/>
                  <w14:bevel/>
                </w14:textOutline>
              </w:rPr>
              <w:t>That the Co</w:t>
            </w:r>
            <w:r w:rsidRPr="00733C7D">
              <w:rPr>
                <w:b/>
                <w14:textOutline w14:w="9525" w14:cap="rnd" w14:cmpd="sng" w14:algn="ctr">
                  <w14:noFill/>
                  <w14:prstDash w14:val="solid"/>
                  <w14:bevel/>
                </w14:textOutline>
              </w:rPr>
              <w:t>mmonwealth:</w:t>
            </w:r>
          </w:p>
          <w:p w:rsidR="00BA553D" w:rsidRPr="004845C0" w:rsidRDefault="00E87C51" w:rsidP="00E551F6">
            <w:pPr>
              <w:pStyle w:val="Numlevel2"/>
              <w:numPr>
                <w:ilvl w:val="1"/>
                <w:numId w:val="29"/>
              </w:numPr>
              <w:ind w:left="1701" w:hanging="567"/>
            </w:pPr>
            <w:r w:rsidRPr="004845C0">
              <w:t xml:space="preserve">Return </w:t>
            </w:r>
            <w:r w:rsidR="00851B8A" w:rsidRPr="004845C0">
              <w:t>the Commonwealth’s share of legal aid commission funding to 50 per cent with the States and Territories</w:t>
            </w:r>
            <w:r w:rsidR="00BA553D">
              <w:t xml:space="preserve">, i.e. an </w:t>
            </w:r>
            <w:r w:rsidR="00BA553D" w:rsidRPr="00684860">
              <w:t>additional $</w:t>
            </w:r>
            <w:r w:rsidR="00BA553D">
              <w:t>147</w:t>
            </w:r>
            <w:r w:rsidR="00BA553D" w:rsidRPr="00684860">
              <w:t>.</w:t>
            </w:r>
            <w:r w:rsidR="00BA553D">
              <w:t>3</w:t>
            </w:r>
            <w:r w:rsidR="00BA553D" w:rsidRPr="00684860">
              <w:t xml:space="preserve"> million in the 2017 Commonwealth Budget</w:t>
            </w:r>
          </w:p>
          <w:p w:rsidR="00E87C51" w:rsidRPr="004845C0" w:rsidRDefault="00E87C51" w:rsidP="00E551F6">
            <w:pPr>
              <w:pStyle w:val="Numlevel2"/>
              <w:numPr>
                <w:ilvl w:val="1"/>
                <w:numId w:val="29"/>
              </w:numPr>
              <w:ind w:left="1701" w:hanging="567"/>
            </w:pPr>
            <w:r w:rsidRPr="004845C0">
              <w:t>Provide</w:t>
            </w:r>
            <w:r w:rsidR="00851B8A" w:rsidRPr="004845C0">
              <w:t xml:space="preserve"> a further $120 million to cover civil legal assistance, with the States and Territories contributing $80 million</w:t>
            </w:r>
            <w:r w:rsidR="00A015C3" w:rsidRPr="004845C0">
              <w:t xml:space="preserve"> per annum</w:t>
            </w:r>
            <w:r w:rsidR="00851B8A" w:rsidRPr="004845C0">
              <w:t>, comprising a total of $200 million</w:t>
            </w:r>
            <w:r w:rsidR="00A015C3" w:rsidRPr="004845C0">
              <w:t xml:space="preserve"> per annum</w:t>
            </w:r>
            <w:r w:rsidR="00851B8A" w:rsidRPr="004845C0">
              <w:t>, as recommended by the Productivity Commission in its 2014 Report on Access to Justice Arrangements;</w:t>
            </w:r>
            <w:r w:rsidRPr="004845C0">
              <w:t xml:space="preserve"> (which found investing in legal </w:t>
            </w:r>
            <w:r w:rsidR="00A015C3" w:rsidRPr="004845C0">
              <w:t>assistance services</w:t>
            </w:r>
            <w:r w:rsidRPr="004845C0">
              <w:t xml:space="preserve"> would save </w:t>
            </w:r>
            <w:r w:rsidR="00A015C3" w:rsidRPr="004845C0">
              <w:t xml:space="preserve">Government and the community </w:t>
            </w:r>
            <w:r w:rsidR="00CB17E5">
              <w:t>money in the long term)</w:t>
            </w:r>
          </w:p>
          <w:p w:rsidR="00E96BD3" w:rsidRPr="004845C0" w:rsidRDefault="00E87C51" w:rsidP="00E551F6">
            <w:pPr>
              <w:pStyle w:val="Numlevel2"/>
              <w:numPr>
                <w:ilvl w:val="1"/>
                <w:numId w:val="29"/>
              </w:numPr>
              <w:ind w:left="1701" w:hanging="567"/>
            </w:pPr>
            <w:r w:rsidRPr="004845C0">
              <w:t>I</w:t>
            </w:r>
            <w:r w:rsidR="00E96BD3" w:rsidRPr="004845C0">
              <w:t>mmediately reverse</w:t>
            </w:r>
            <w:r w:rsidR="00851B8A" w:rsidRPr="004845C0">
              <w:t xml:space="preserve"> </w:t>
            </w:r>
            <w:r w:rsidRPr="004845C0">
              <w:t xml:space="preserve">further Commonwealth </w:t>
            </w:r>
            <w:r w:rsidR="00851B8A" w:rsidRPr="004845C0">
              <w:t xml:space="preserve">funding </w:t>
            </w:r>
            <w:r w:rsidR="00E96BD3" w:rsidRPr="004845C0">
              <w:t>cuts to legal assistance services announced in 2014, due to take effect from July 2017. These include:</w:t>
            </w:r>
          </w:p>
          <w:p w:rsidR="005F02A2" w:rsidRPr="004845C0" w:rsidRDefault="00E96BD3" w:rsidP="00E551F6">
            <w:pPr>
              <w:pStyle w:val="Numlevel2"/>
              <w:numPr>
                <w:ilvl w:val="1"/>
                <w:numId w:val="30"/>
              </w:numPr>
              <w:ind w:left="2268" w:hanging="567"/>
            </w:pPr>
            <w:r w:rsidRPr="004845C0">
              <w:t>$12.1 million in cuts to Community Legal Centres</w:t>
            </w:r>
            <w:r w:rsidR="00E87C51" w:rsidRPr="004845C0">
              <w:t xml:space="preserve"> (CLCs)</w:t>
            </w:r>
            <w:r w:rsidR="005F02A2" w:rsidRPr="004845C0">
              <w:t>;</w:t>
            </w:r>
          </w:p>
          <w:p w:rsidR="00E96BD3" w:rsidRPr="004845C0" w:rsidRDefault="00E96BD3" w:rsidP="00E551F6">
            <w:pPr>
              <w:pStyle w:val="Numlevel2"/>
              <w:numPr>
                <w:ilvl w:val="1"/>
                <w:numId w:val="30"/>
              </w:numPr>
              <w:ind w:left="2268" w:hanging="567"/>
            </w:pPr>
            <w:r w:rsidRPr="004845C0">
              <w:t>$4</w:t>
            </w:r>
            <w:r w:rsidR="000203AF">
              <w:t>.5</w:t>
            </w:r>
            <w:r w:rsidRPr="004845C0">
              <w:t xml:space="preserve"> </w:t>
            </w:r>
            <w:r w:rsidR="005F02A2" w:rsidRPr="004845C0">
              <w:t>m</w:t>
            </w:r>
            <w:r w:rsidRPr="004845C0">
              <w:t>illion</w:t>
            </w:r>
            <w:r w:rsidR="005F02A2" w:rsidRPr="004845C0">
              <w:t xml:space="preserve"> </w:t>
            </w:r>
            <w:r w:rsidRPr="004845C0">
              <w:t>in cuts to Aboriginal and Torres Strait Islander Legal Services</w:t>
            </w:r>
            <w:r w:rsidR="00E87C51" w:rsidRPr="004845C0">
              <w:t xml:space="preserve"> (ATSILS)</w:t>
            </w:r>
            <w:r w:rsidRPr="004845C0">
              <w:t>; and</w:t>
            </w:r>
          </w:p>
          <w:p w:rsidR="00851B8A" w:rsidRPr="00C40AE5" w:rsidRDefault="00E87C51" w:rsidP="00E551F6">
            <w:pPr>
              <w:pStyle w:val="Numlevel2"/>
              <w:numPr>
                <w:ilvl w:val="1"/>
                <w:numId w:val="30"/>
              </w:numPr>
              <w:ind w:left="2268" w:hanging="567"/>
            </w:pPr>
            <w:r w:rsidRPr="004845C0">
              <w:t>a</w:t>
            </w:r>
            <w:r w:rsidR="00E96BD3" w:rsidRPr="004845C0">
              <w:t>ll cuts directed at policy and advocacy work conducted by legal assistance bodies, as recommended by the Productivity Commission</w:t>
            </w:r>
          </w:p>
        </w:tc>
      </w:tr>
    </w:tbl>
    <w:p w:rsidR="005B0553" w:rsidRDefault="005B0553" w:rsidP="001B3D03">
      <w:pPr>
        <w:pStyle w:val="TitleofSubmission"/>
        <w:rPr>
          <w:rStyle w:val="Heading1Char"/>
          <w:sz w:val="24"/>
          <w:szCs w:val="24"/>
        </w:rPr>
      </w:pPr>
    </w:p>
    <w:p w:rsidR="001B3D03" w:rsidRPr="00A60DFC" w:rsidRDefault="001B3D03" w:rsidP="001B3D03">
      <w:pPr>
        <w:pStyle w:val="TitleofSubmission"/>
        <w:rPr>
          <w:sz w:val="36"/>
          <w:szCs w:val="36"/>
        </w:rPr>
      </w:pPr>
      <w:bookmarkStart w:id="5" w:name="_Toc472523360"/>
      <w:r w:rsidRPr="001B3D03">
        <w:rPr>
          <w:rStyle w:val="Heading1Char"/>
        </w:rPr>
        <w:t>Funding for legal assistance services</w:t>
      </w:r>
      <w:bookmarkEnd w:id="5"/>
      <w:r w:rsidR="00732FD6">
        <w:rPr>
          <w:rStyle w:val="Heading1Char"/>
        </w:rPr>
        <w:t xml:space="preserve"> </w:t>
      </w:r>
    </w:p>
    <w:p w:rsidR="00ED36F7" w:rsidRDefault="00ED36F7" w:rsidP="00C737C3">
      <w:pPr>
        <w:pStyle w:val="Numlevel1"/>
      </w:pPr>
      <w:r>
        <w:t>There is now a funding crisis in the legal assistance sector, which is resulting in tens of thousands of people seeking legal help who are turned away each year.  With no other recourse, these people often end up facing court unrepresented, burning through court resources and adding to delays in court hearings, which are now up to 2 years in the federal courts.</w:t>
      </w:r>
    </w:p>
    <w:p w:rsidR="00CC5C7A" w:rsidRPr="004845C0" w:rsidRDefault="00CC5C7A">
      <w:pPr>
        <w:pStyle w:val="Numlevel1"/>
      </w:pPr>
      <w:r w:rsidRPr="004845C0">
        <w:t>The legal assistance sector is comprised of state and territory Legal Aid Commissions (LACs), Family Violence Prevention Legal Services (FVPLSs)</w:t>
      </w:r>
      <w:r w:rsidR="00C6579E" w:rsidRPr="004845C0">
        <w:t>, CLCs</w:t>
      </w:r>
      <w:r w:rsidRPr="004845C0">
        <w:t xml:space="preserve"> and ATSILS. </w:t>
      </w:r>
    </w:p>
    <w:p w:rsidR="00401C6A" w:rsidRPr="004845C0" w:rsidRDefault="00401C6A">
      <w:pPr>
        <w:pStyle w:val="Numlevel1"/>
      </w:pPr>
      <w:r w:rsidRPr="004845C0">
        <w:t>The Law Council submits that:</w:t>
      </w:r>
    </w:p>
    <w:p w:rsidR="00401C6A" w:rsidRPr="004845C0" w:rsidRDefault="00401C6A" w:rsidP="00E551F6">
      <w:pPr>
        <w:pStyle w:val="Numlevel2"/>
        <w:numPr>
          <w:ilvl w:val="0"/>
          <w:numId w:val="36"/>
        </w:numPr>
        <w:ind w:left="1701" w:hanging="567"/>
      </w:pPr>
      <w:r w:rsidRPr="004845C0">
        <w:t xml:space="preserve">funding for legal assistance services is grossly inadequate to meet demand; and </w:t>
      </w:r>
    </w:p>
    <w:p w:rsidR="00401C6A" w:rsidRPr="004845C0" w:rsidRDefault="00401C6A" w:rsidP="00E551F6">
      <w:pPr>
        <w:pStyle w:val="Numlevel2"/>
        <w:numPr>
          <w:ilvl w:val="0"/>
          <w:numId w:val="36"/>
        </w:numPr>
        <w:ind w:left="1701" w:hanging="567"/>
      </w:pPr>
      <w:r w:rsidRPr="004845C0">
        <w:t>unmet demand for legal assistance services has significant impacts on Commonwealth and State/Territory Government expenditure across a broad range of programs.</w:t>
      </w:r>
    </w:p>
    <w:p w:rsidR="000203AF" w:rsidRDefault="000203AF" w:rsidP="00C737C3">
      <w:pPr>
        <w:pStyle w:val="Numlevel1"/>
      </w:pPr>
      <w:r>
        <w:t xml:space="preserve">The government has taken some recent initiatives in recognition of the serious unmet legal need in family violence cases, through small allocations to legal assistance under successive Women’s Safety Packages.  </w:t>
      </w:r>
    </w:p>
    <w:p w:rsidR="000203AF" w:rsidRDefault="000203AF">
      <w:pPr>
        <w:pStyle w:val="Numlevel1"/>
      </w:pPr>
      <w:r>
        <w:t>This unmet legal need</w:t>
      </w:r>
      <w:r w:rsidR="00941DBF">
        <w:t xml:space="preserve"> recognised in the context of family and domestic violence</w:t>
      </w:r>
      <w:r>
        <w:t xml:space="preserve"> is prevalent throughout the community.  25% of Australians experience legal problems </w:t>
      </w:r>
      <w:r w:rsidR="00941DBF">
        <w:t>every year which are serious enough to require legal assistance.  Often, all that is required to prevent these problems ballooning into more serious matters requiring regulatory response</w:t>
      </w:r>
      <w:r w:rsidR="00ED36F7">
        <w:t>,</w:t>
      </w:r>
      <w:r w:rsidR="00ED36F7" w:rsidRPr="00ED36F7">
        <w:t xml:space="preserve"> </w:t>
      </w:r>
      <w:r w:rsidR="00ED36F7">
        <w:t>law enforcement</w:t>
      </w:r>
      <w:r w:rsidR="00941DBF">
        <w:t xml:space="preserve"> or court intervention is early legal advice and assistance of the kind provided by legal aid, ATSILS, CLCs and FVPLSs.</w:t>
      </w:r>
      <w:r>
        <w:t xml:space="preserve"> </w:t>
      </w:r>
      <w:r w:rsidR="00ED36F7">
        <w:t xml:space="preserve"> The cost of this kind of early intervention is a fraction of the cost of administering justice and the down-stream costs of reliance on other government services that may result from health problems, family breakdown, unemployment and anti-social or criminal behaviour, that are often a consequence of an initially-minor unresolved legal issue. </w:t>
      </w:r>
    </w:p>
    <w:p w:rsidR="00887696" w:rsidRPr="004845C0" w:rsidRDefault="00CB4EC0">
      <w:pPr>
        <w:pStyle w:val="Numlevel1"/>
      </w:pPr>
      <w:r>
        <w:t xml:space="preserve">Notwithstanding the low cost of avoiding these much more expensive interventions in individuals’ lives further down the track, </w:t>
      </w:r>
      <w:r w:rsidR="000642E5">
        <w:t>f</w:t>
      </w:r>
      <w:r>
        <w:t xml:space="preserve">ederal funding for legal aid has declined to such an extent that just 8% of all Australians now qualify for legal aid.  </w:t>
      </w:r>
      <w:r w:rsidR="00ED36F7">
        <w:t>G</w:t>
      </w:r>
      <w:r w:rsidR="00887696" w:rsidRPr="004845C0">
        <w:t>iven the hundreds of millions of dollars in cuts made by successive Governments, ultimately much more is needed to end the crisis</w:t>
      </w:r>
      <w:r w:rsidR="00ED36F7">
        <w:t xml:space="preserve"> in legal assistance</w:t>
      </w:r>
      <w:r w:rsidR="00C401E8">
        <w:t>.</w:t>
      </w:r>
    </w:p>
    <w:p w:rsidR="00245FF9" w:rsidRPr="00FC341C" w:rsidRDefault="00245FF9" w:rsidP="00245FF9">
      <w:pPr>
        <w:pStyle w:val="Heading2"/>
      </w:pPr>
      <w:bookmarkStart w:id="6" w:name="_Toc472523361"/>
      <w:r w:rsidRPr="00245FF9">
        <w:t>Productivity Commission recommendations</w:t>
      </w:r>
      <w:bookmarkEnd w:id="6"/>
    </w:p>
    <w:p w:rsidR="0092613D" w:rsidRDefault="008425FB" w:rsidP="00C737C3">
      <w:pPr>
        <w:pStyle w:val="Numlevel1"/>
      </w:pPr>
      <w:r>
        <w:t>I</w:t>
      </w:r>
      <w:r w:rsidR="00245FF9" w:rsidRPr="007D4FC0">
        <w:t>n its 2014 Report into Access to Justice Arrangements</w:t>
      </w:r>
      <w:r>
        <w:t>, the</w:t>
      </w:r>
      <w:r w:rsidR="00245FF9" w:rsidRPr="007D4FC0">
        <w:t xml:space="preserve"> </w:t>
      </w:r>
      <w:r w:rsidRPr="007D4FC0">
        <w:t xml:space="preserve">Productivity Commission recommended </w:t>
      </w:r>
      <w:r>
        <w:t xml:space="preserve">that </w:t>
      </w:r>
      <w:r w:rsidRPr="007D4FC0">
        <w:t>Australian, State and Territory Governments should provide additional funding for civil legal assistance services [of around] $200 million</w:t>
      </w:r>
      <w:r>
        <w:t xml:space="preserve"> to </w:t>
      </w:r>
      <w:r w:rsidR="0092613D" w:rsidRPr="008425FB">
        <w:t>address the</w:t>
      </w:r>
      <w:r>
        <w:t xml:space="preserve"> more pressing gaps in services.</w:t>
      </w:r>
      <w:r w:rsidRPr="007D4FC0">
        <w:rPr>
          <w:rStyle w:val="FootnoteReference"/>
          <w:color w:val="auto"/>
        </w:rPr>
        <w:footnoteReference w:id="2"/>
      </w:r>
    </w:p>
    <w:p w:rsidR="008342E2" w:rsidRPr="008425FB" w:rsidRDefault="008342E2">
      <w:pPr>
        <w:pStyle w:val="Numlevel1"/>
      </w:pPr>
      <w:r>
        <w:t>The Federal Government has thus far failed to respond to this urgent recommendation from its chief public policy advisory body.</w:t>
      </w:r>
    </w:p>
    <w:p w:rsidR="0092613D" w:rsidRPr="007D4FC0" w:rsidRDefault="0092613D">
      <w:pPr>
        <w:pStyle w:val="Numlevel1"/>
      </w:pPr>
      <w:r w:rsidRPr="007D4FC0">
        <w:t xml:space="preserve">The </w:t>
      </w:r>
      <w:r w:rsidR="00AD6975" w:rsidRPr="007D4FC0">
        <w:t xml:space="preserve">Productivity </w:t>
      </w:r>
      <w:r w:rsidRPr="007D4FC0">
        <w:t>Commission further noted that:</w:t>
      </w:r>
    </w:p>
    <w:p w:rsidR="00023BB2" w:rsidRPr="005A40DE" w:rsidRDefault="00023BB2" w:rsidP="00E551F6">
      <w:pPr>
        <w:pStyle w:val="Numlevel2"/>
        <w:numPr>
          <w:ilvl w:val="0"/>
          <w:numId w:val="35"/>
        </w:numPr>
        <w:ind w:left="1701" w:hanging="567"/>
      </w:pPr>
      <w:r w:rsidRPr="005A40DE">
        <w:t>Given the dearth of data, and having regard to the pressing nature of service gaps, the Commission considers that an interim funding injection in the order of $200 million — from the Australian, state and territory governments — is required per year. The Commonwealth’s contribution would be in the order of 60 per cent. This funding injection would enable legal assistance services providers to address the most pressing needs, including to:</w:t>
      </w:r>
    </w:p>
    <w:p w:rsidR="00023BB2" w:rsidRPr="005A40DE" w:rsidRDefault="00023BB2" w:rsidP="00E551F6">
      <w:pPr>
        <w:pStyle w:val="Numlevel3"/>
        <w:numPr>
          <w:ilvl w:val="0"/>
          <w:numId w:val="35"/>
        </w:numPr>
        <w:ind w:left="1701" w:hanging="567"/>
      </w:pPr>
      <w:r w:rsidRPr="005A40DE">
        <w:t xml:space="preserve">maintain existing frontline services of the LACs, CLCs and ATSILS that have a demonstrated benefit to the community and that have been affected by the recent funding decisions described above </w:t>
      </w:r>
    </w:p>
    <w:p w:rsidR="00023BB2" w:rsidRPr="005A40DE" w:rsidRDefault="00023BB2" w:rsidP="00E551F6">
      <w:pPr>
        <w:pStyle w:val="Numlevel3"/>
        <w:numPr>
          <w:ilvl w:val="0"/>
          <w:numId w:val="35"/>
        </w:numPr>
        <w:ind w:left="1701" w:hanging="567"/>
      </w:pPr>
      <w:r w:rsidRPr="005A40DE">
        <w:t xml:space="preserve">relax the means test applied by the LACs and so allow more households to be eligible to receive grants of legal aid </w:t>
      </w:r>
    </w:p>
    <w:p w:rsidR="00023BB2" w:rsidRPr="00AD6975" w:rsidRDefault="00023BB2" w:rsidP="00E551F6">
      <w:pPr>
        <w:pStyle w:val="Numlevel3"/>
        <w:numPr>
          <w:ilvl w:val="0"/>
          <w:numId w:val="35"/>
        </w:numPr>
        <w:ind w:left="1701" w:hanging="567"/>
      </w:pPr>
      <w:r w:rsidRPr="005A40DE">
        <w:t>provide grants of legal aid in areas of law where there is little assistance being currently provided, either by LACs or other legal assistance services</w:t>
      </w:r>
      <w:r w:rsidRPr="00AD6975">
        <w:t>.</w:t>
      </w:r>
      <w:r w:rsidR="00C5697D" w:rsidRPr="00AD6975">
        <w:rPr>
          <w:rStyle w:val="FootnoteReference"/>
          <w:color w:val="auto"/>
        </w:rPr>
        <w:footnoteReference w:id="3"/>
      </w:r>
    </w:p>
    <w:p w:rsidR="0023450F" w:rsidRDefault="0023450F" w:rsidP="00C737C3">
      <w:pPr>
        <w:pStyle w:val="Numlevel1"/>
      </w:pPr>
      <w:r>
        <w:t>The Productivity Commission’s Inquiry did not consider unmet legal need in the criminal law area. While Commonwealth funding is not allocated to matters arising under State and Territory criminal statutes, there has been a significant increase in demand for legal assistance arising from Federal prosecutions in respect of terrorism-related offences, drug law enforcement and Centrelink fraud.  This has largely arisen from increased federal enforcement activities, without any compensating increase in federal funding</w:t>
      </w:r>
      <w:r w:rsidR="008342E2">
        <w:t xml:space="preserve"> for legal assistance services</w:t>
      </w:r>
      <w:r>
        <w:t>. The Productivity Commission recognised that failure to adequately fund the defence in criminal trials seriously impacts on the pool available for civil matters, given the rule of law and criminal justice principles require that people facing indictment and</w:t>
      </w:r>
      <w:r w:rsidR="008342E2">
        <w:t xml:space="preserve"> likelihood of imprisonment have legal representation.</w:t>
      </w:r>
    </w:p>
    <w:p w:rsidR="00137783" w:rsidRPr="00FC341C" w:rsidRDefault="00137783" w:rsidP="00137783">
      <w:pPr>
        <w:pStyle w:val="Heading2"/>
      </w:pPr>
      <w:bookmarkStart w:id="7" w:name="_Toc472523362"/>
      <w:r>
        <w:t>Legal Aid</w:t>
      </w:r>
      <w:r w:rsidRPr="00245FF9">
        <w:t xml:space="preserve"> Commission </w:t>
      </w:r>
      <w:r>
        <w:t>funding</w:t>
      </w:r>
      <w:bookmarkEnd w:id="7"/>
    </w:p>
    <w:p w:rsidR="005E1674" w:rsidRPr="005B6DF5" w:rsidRDefault="00852EF4" w:rsidP="00C737C3">
      <w:pPr>
        <w:pStyle w:val="Numlevel1"/>
      </w:pPr>
      <w:r w:rsidRPr="005B6DF5">
        <w:t>The</w:t>
      </w:r>
      <w:r w:rsidR="005E1674" w:rsidRPr="005B6DF5">
        <w:t xml:space="preserve"> Commonwealth’s contribution to LAC funding has reduced dramatically</w:t>
      </w:r>
      <w:r w:rsidRPr="005B6DF5">
        <w:t xml:space="preserve"> since 1997</w:t>
      </w:r>
      <w:r w:rsidR="005E1674" w:rsidRPr="005B6DF5">
        <w:t xml:space="preserve">, from around $10.88 per capita in 1996-97 to around $8.01 per capita (in real terms, adjusted for inflation and population increases), remaining largely static ever since. </w:t>
      </w:r>
    </w:p>
    <w:p w:rsidR="005E1674" w:rsidRPr="005530BF" w:rsidRDefault="0019060B" w:rsidP="00C737C3">
      <w:pPr>
        <w:pStyle w:val="Numlevel1"/>
      </w:pPr>
      <w:r w:rsidRPr="005B6DF5">
        <w:t>Prior to</w:t>
      </w:r>
      <w:r w:rsidR="005E1674" w:rsidRPr="005B6DF5">
        <w:t xml:space="preserve"> 1996-97, the Federal Government’s funding contributions to LACs accounted for 55 per cent of total funding, with the remaining 45 per cent covered by State grants and interest from public purpose funds. Following the introduction of the “Commonwealth-</w:t>
      </w:r>
      <w:r w:rsidR="005E1674" w:rsidRPr="005530BF">
        <w:t xml:space="preserve">State divide” in 1997, the Commonwealth’s share of funding fell to around 35 per cent of total funding. </w:t>
      </w:r>
    </w:p>
    <w:p w:rsidR="00BA106C" w:rsidRPr="00BA106C" w:rsidRDefault="009D24CF">
      <w:pPr>
        <w:pStyle w:val="Numlevel1"/>
      </w:pPr>
      <w:r w:rsidRPr="00BA106C">
        <w:t>A substantial further decline in Commonwealth funding for LACs is projected over the foreword estimates, a</w:t>
      </w:r>
      <w:r w:rsidR="005E1674" w:rsidRPr="00BA106C">
        <w:t>s illustrated in Figure 1, prepared by Pric</w:t>
      </w:r>
      <w:r w:rsidRPr="00BA106C">
        <w:t>ewaterhouseCoopers</w:t>
      </w:r>
      <w:r w:rsidR="006228F7">
        <w:t xml:space="preserve"> (PwC)</w:t>
      </w:r>
      <w:r w:rsidR="00D06675">
        <w:t xml:space="preserve"> </w:t>
      </w:r>
      <w:r w:rsidR="00F95405">
        <w:t xml:space="preserve">following the </w:t>
      </w:r>
      <w:r w:rsidR="00D06675">
        <w:t>May 2016</w:t>
      </w:r>
      <w:r w:rsidR="00F95405">
        <w:t xml:space="preserve"> Budget</w:t>
      </w:r>
      <w:r w:rsidR="00BA106C" w:rsidRPr="00BA106C">
        <w:t>.</w:t>
      </w:r>
    </w:p>
    <w:p w:rsidR="005E1674" w:rsidRPr="00AE211D" w:rsidRDefault="005E1674">
      <w:pPr>
        <w:pStyle w:val="Numlevel1"/>
      </w:pPr>
      <w:r w:rsidRPr="005530BF">
        <w:t xml:space="preserve">This funding decline will have serious consequences for the </w:t>
      </w:r>
      <w:r w:rsidR="00CB4EC0">
        <w:t xml:space="preserve">already-dwindling </w:t>
      </w:r>
      <w:r w:rsidRPr="005530BF">
        <w:t>availability of legal aid, the functioning and cost of the justice system as a whole and the corresponding demand for and cost of government services in a range of other essential areas, including health, soc</w:t>
      </w:r>
      <w:r w:rsidRPr="00AE211D">
        <w:t xml:space="preserve">ial security and other community services. </w:t>
      </w:r>
    </w:p>
    <w:p w:rsidR="00866D3D" w:rsidRPr="00866D3D" w:rsidRDefault="00866D3D">
      <w:pPr>
        <w:pStyle w:val="Numlevel1"/>
      </w:pPr>
      <w:r w:rsidRPr="00866D3D">
        <w:t xml:space="preserve">Actuarial analysis demonstrates that investment in legal aid can yield significant downstream savings in terms of the cost and efficiency of delivering justice. </w:t>
      </w:r>
    </w:p>
    <w:p w:rsidR="00F95405" w:rsidRDefault="005E1674">
      <w:pPr>
        <w:pStyle w:val="Numlevel1"/>
      </w:pPr>
      <w:r w:rsidRPr="005530BF">
        <w:t>For example, PwC has estimated that</w:t>
      </w:r>
      <w:r w:rsidR="009D24CF" w:rsidRPr="005530BF">
        <w:t xml:space="preserve"> each dollar spent on legal aid returns between $1.60 and $2.25 in downstream savings to the justice system.</w:t>
      </w:r>
      <w:r w:rsidRPr="005530BF">
        <w:rPr>
          <w:rStyle w:val="FootnoteReference"/>
          <w:color w:val="auto"/>
        </w:rPr>
        <w:footnoteReference w:id="4"/>
      </w:r>
      <w:r w:rsidR="009D24CF" w:rsidRPr="005530BF">
        <w:t xml:space="preserve"> </w:t>
      </w:r>
      <w:r w:rsidRPr="005530BF">
        <w:rPr>
          <w:sz w:val="14"/>
          <w:szCs w:val="14"/>
        </w:rPr>
        <w:t xml:space="preserve"> </w:t>
      </w:r>
    </w:p>
    <w:p w:rsidR="00CB4EC0" w:rsidRPr="00684860" w:rsidRDefault="00CB4EC0">
      <w:pPr>
        <w:pStyle w:val="Numlevel1"/>
      </w:pPr>
      <w:r w:rsidRPr="00684860">
        <w:t>Table 1 sets out PwC’s actuarial estimate of the additional Federal funding required over the forward estimates to return the Commonwealth’s share of legal aid commission funding to 50 per cent with the States and Territories. This would amount to an additional $</w:t>
      </w:r>
      <w:r>
        <w:t>147</w:t>
      </w:r>
      <w:r w:rsidRPr="00684860">
        <w:t>.</w:t>
      </w:r>
      <w:r>
        <w:t>3</w:t>
      </w:r>
      <w:r w:rsidRPr="00684860">
        <w:t xml:space="preserve"> million in the 2017 Commonwealth Budget.</w:t>
      </w:r>
    </w:p>
    <w:p w:rsidR="00CB4EC0" w:rsidRPr="009C0B0C" w:rsidRDefault="00CB4EC0">
      <w:pPr>
        <w:pStyle w:val="Numlevel1"/>
      </w:pPr>
      <w:r>
        <w:t xml:space="preserve">Underfunding legal aid commissions directly contributes to </w:t>
      </w:r>
      <w:r w:rsidRPr="009C0B0C">
        <w:t xml:space="preserve">increases in unrepresented parties </w:t>
      </w:r>
      <w:r>
        <w:t xml:space="preserve">before the courts, </w:t>
      </w:r>
      <w:r w:rsidRPr="009C0B0C">
        <w:t>result</w:t>
      </w:r>
      <w:r>
        <w:t>ing</w:t>
      </w:r>
      <w:r w:rsidRPr="009C0B0C">
        <w:t xml:space="preserve"> in significant economic costs, in terms of reduced efficiency of the federal justice system</w:t>
      </w:r>
      <w:r>
        <w:t xml:space="preserve">.  These costs are compounded by extensive additional </w:t>
      </w:r>
      <w:r w:rsidRPr="009C0B0C">
        <w:t>costs</w:t>
      </w:r>
      <w:r>
        <w:t xml:space="preserve"> of providing other government services, including through </w:t>
      </w:r>
      <w:r w:rsidRPr="009C0B0C">
        <w:t>increased reliance on health and community services, increased unemployment, reduced productivity, social isolation, homelessness and problems associated with child welfare, increased criminal activity and higher rates of imprisonment.</w:t>
      </w:r>
      <w:r>
        <w:rPr>
          <w:rStyle w:val="FootnoteReference"/>
        </w:rPr>
        <w:footnoteReference w:id="5"/>
      </w:r>
      <w:r w:rsidRPr="009C0B0C">
        <w:t xml:space="preserve"> </w:t>
      </w:r>
    </w:p>
    <w:p w:rsidR="00CB4EC0" w:rsidRPr="009C0B0C" w:rsidRDefault="00CB4EC0">
      <w:pPr>
        <w:pStyle w:val="Numlevel1"/>
      </w:pPr>
      <w:r w:rsidRPr="009C0B0C">
        <w:t>The Law Council submits that the Commonwealth should:</w:t>
      </w:r>
    </w:p>
    <w:p w:rsidR="00CB4EC0" w:rsidRPr="009C0B0C" w:rsidRDefault="00CB4EC0" w:rsidP="00E551F6">
      <w:pPr>
        <w:pStyle w:val="Numlevel2"/>
        <w:numPr>
          <w:ilvl w:val="0"/>
          <w:numId w:val="34"/>
        </w:numPr>
        <w:ind w:left="1701" w:hanging="567"/>
      </w:pPr>
      <w:r w:rsidRPr="009C0B0C">
        <w:t xml:space="preserve">return the Commonwealth’s share of legal aid commission funding to 50 per cent with the States and Territories; and </w:t>
      </w:r>
    </w:p>
    <w:p w:rsidR="00CB4EC0" w:rsidRPr="009C0B0C" w:rsidRDefault="00CB4EC0" w:rsidP="00E551F6">
      <w:pPr>
        <w:pStyle w:val="Numlevel2"/>
        <w:numPr>
          <w:ilvl w:val="0"/>
          <w:numId w:val="34"/>
        </w:numPr>
        <w:ind w:left="1701" w:hanging="567"/>
      </w:pPr>
      <w:r w:rsidRPr="009C0B0C">
        <w:t xml:space="preserve">contribute its share of the $200 million in additional funding recommended by the Productivity Commission to meet current shortfall in the availability of legal assistance in civil law matters. </w:t>
      </w:r>
    </w:p>
    <w:p w:rsidR="00807800" w:rsidRPr="005530BF" w:rsidRDefault="00807800" w:rsidP="00C737C3">
      <w:pPr>
        <w:pStyle w:val="Numlevel1"/>
        <w:numPr>
          <w:ilvl w:val="0"/>
          <w:numId w:val="0"/>
        </w:numPr>
        <w:ind w:left="360"/>
      </w:pPr>
    </w:p>
    <w:p w:rsidR="00C63D6E" w:rsidRDefault="00D06675" w:rsidP="00C737C3">
      <w:pPr>
        <w:pStyle w:val="Numlevel1"/>
        <w:numPr>
          <w:ilvl w:val="0"/>
          <w:numId w:val="0"/>
        </w:numPr>
        <w:ind w:left="360"/>
      </w:pPr>
      <w:r>
        <w:rPr>
          <w:noProof/>
        </w:rPr>
        <w:drawing>
          <wp:inline distT="0" distB="0" distL="0" distR="0" wp14:anchorId="272D3FFC" wp14:editId="0DFC69B0">
            <wp:extent cx="5197050" cy="4930588"/>
            <wp:effectExtent l="0" t="0" r="381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92655" cy="4926419"/>
                    </a:xfrm>
                    <a:prstGeom prst="rect">
                      <a:avLst/>
                    </a:prstGeom>
                    <a:noFill/>
                    <a:ln>
                      <a:noFill/>
                    </a:ln>
                  </pic:spPr>
                </pic:pic>
              </a:graphicData>
            </a:graphic>
          </wp:inline>
        </w:drawing>
      </w:r>
    </w:p>
    <w:p w:rsidR="00C63D6E" w:rsidRDefault="00E755A7" w:rsidP="00127F8D">
      <w:pPr>
        <w:pStyle w:val="Numlevel1"/>
        <w:numPr>
          <w:ilvl w:val="0"/>
          <w:numId w:val="0"/>
        </w:numPr>
        <w:ind w:left="360"/>
      </w:pPr>
      <w:r>
        <w:rPr>
          <w:noProof/>
        </w:rPr>
        <w:drawing>
          <wp:inline distT="0" distB="0" distL="0" distR="0" wp14:anchorId="276F2ED3" wp14:editId="6F641CBB">
            <wp:extent cx="5369859" cy="2089706"/>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74624" cy="2091560"/>
                    </a:xfrm>
                    <a:prstGeom prst="rect">
                      <a:avLst/>
                    </a:prstGeom>
                    <a:noFill/>
                    <a:ln>
                      <a:noFill/>
                    </a:ln>
                  </pic:spPr>
                </pic:pic>
              </a:graphicData>
            </a:graphic>
          </wp:inline>
        </w:drawing>
      </w:r>
    </w:p>
    <w:p w:rsidR="00550004" w:rsidRDefault="00550004" w:rsidP="00550004">
      <w:pPr>
        <w:pStyle w:val="Heading2"/>
      </w:pPr>
      <w:bookmarkStart w:id="8" w:name="_Toc472523363"/>
      <w:r>
        <w:t>Aboriginal and Torres Strait Islander Legal Services</w:t>
      </w:r>
      <w:bookmarkEnd w:id="8"/>
      <w:r w:rsidR="00C25F17">
        <w:t xml:space="preserve"> </w:t>
      </w:r>
    </w:p>
    <w:p w:rsidR="00E11459" w:rsidRPr="009818E0" w:rsidRDefault="00E11459" w:rsidP="00C737C3">
      <w:pPr>
        <w:pStyle w:val="Numlevel1"/>
      </w:pPr>
      <w:r w:rsidRPr="009818E0">
        <w:t>The reduction in Commonwealth funding to ATSILS of $17.502 million over the period 2017-18 to 2019-2020 will critically reduce the provision of services.</w:t>
      </w:r>
    </w:p>
    <w:p w:rsidR="00F109B1" w:rsidRPr="006C6A93" w:rsidRDefault="00F109B1" w:rsidP="00C737C3">
      <w:pPr>
        <w:pStyle w:val="Numlevel1"/>
      </w:pPr>
      <w:r w:rsidRPr="006C6A93">
        <w:t>Following the 2016-17 Federal Budget, ATSILS will continue to face substantial funding cuts, commencing 1 July 201</w:t>
      </w:r>
      <w:r>
        <w:t>7</w:t>
      </w:r>
      <w:r w:rsidRPr="006C6A93">
        <w:t>.</w:t>
      </w:r>
      <w:r w:rsidRPr="006C6A93">
        <w:rPr>
          <w:rStyle w:val="FootnoteReference"/>
          <w:color w:val="auto"/>
        </w:rPr>
        <w:footnoteReference w:id="6"/>
      </w:r>
      <w:r w:rsidRPr="006C6A93">
        <w:t xml:space="preserve"> </w:t>
      </w:r>
      <w:r>
        <w:t>We are advised by the National Aboriginal &amp; Torres Strait Islander Legal Services that o</w:t>
      </w:r>
      <w:r w:rsidRPr="006C6A93">
        <w:t xml:space="preserve">ver the forward estimates, Commonwealth expenditure on Indigenous legal </w:t>
      </w:r>
      <w:r>
        <w:t xml:space="preserve">assistance </w:t>
      </w:r>
      <w:r w:rsidRPr="006C6A93">
        <w:t xml:space="preserve">services </w:t>
      </w:r>
      <w:r>
        <w:t>decreases by almost $18</w:t>
      </w:r>
      <w:r w:rsidRPr="006C6A93">
        <w:t xml:space="preserve"> million (</w:t>
      </w:r>
      <w:r>
        <w:t>when compared to the previous funding agreement in 2014-15</w:t>
      </w:r>
      <w:r w:rsidRPr="006C6A93">
        <w:t>) while Indigenous incarceration rates are at catastrophic levels and continue to increase.</w:t>
      </w:r>
    </w:p>
    <w:p w:rsidR="00FC4D68" w:rsidRPr="008009B3" w:rsidRDefault="007F3201">
      <w:pPr>
        <w:pStyle w:val="Numlevel1"/>
      </w:pPr>
      <w:r w:rsidRPr="008009B3">
        <w:t>T</w:t>
      </w:r>
      <w:r w:rsidR="00FC4D68" w:rsidRPr="008009B3">
        <w:t>he</w:t>
      </w:r>
      <w:r w:rsidRPr="008009B3">
        <w:t>re has</w:t>
      </w:r>
      <w:r w:rsidR="00FC4D68" w:rsidRPr="008009B3">
        <w:t xml:space="preserve"> </w:t>
      </w:r>
      <w:r w:rsidRPr="008009B3">
        <w:t>been</w:t>
      </w:r>
      <w:r w:rsidR="00E13DC7" w:rsidRPr="008009B3">
        <w:t xml:space="preserve"> an 88 per cent</w:t>
      </w:r>
      <w:r w:rsidR="00FC4D68" w:rsidRPr="008009B3">
        <w:t xml:space="preserve"> increase </w:t>
      </w:r>
      <w:r w:rsidRPr="008009B3">
        <w:t xml:space="preserve">over the past 10 years </w:t>
      </w:r>
      <w:r w:rsidR="00FC4D68" w:rsidRPr="008009B3">
        <w:t xml:space="preserve">in the number of Aboriginal and Torres Strait Islander people </w:t>
      </w:r>
      <w:r w:rsidR="00F95405">
        <w:t>imprisoned</w:t>
      </w:r>
      <w:r w:rsidR="00FC4D68" w:rsidRPr="008009B3">
        <w:t>,</w:t>
      </w:r>
      <w:r w:rsidR="000F237E" w:rsidRPr="000F237E">
        <w:rPr>
          <w:rStyle w:val="FootnoteReference"/>
          <w:rFonts w:cs="HelveticaNeue"/>
          <w:color w:val="auto"/>
        </w:rPr>
        <w:t xml:space="preserve"> </w:t>
      </w:r>
      <w:r w:rsidR="000F237E" w:rsidRPr="008009B3">
        <w:rPr>
          <w:rStyle w:val="FootnoteReference"/>
          <w:rFonts w:cs="HelveticaNeue"/>
          <w:color w:val="auto"/>
        </w:rPr>
        <w:footnoteReference w:id="7"/>
      </w:r>
      <w:r w:rsidR="00FC4D68" w:rsidRPr="008009B3">
        <w:t xml:space="preserve"> with Aboriginal and Torres Strait Islander </w:t>
      </w:r>
      <w:r w:rsidR="000F237E">
        <w:t>adults</w:t>
      </w:r>
      <w:r w:rsidR="000F237E" w:rsidRPr="008009B3">
        <w:t xml:space="preserve"> </w:t>
      </w:r>
      <w:r w:rsidR="00FC4D68" w:rsidRPr="008009B3">
        <w:t>now 13 times more likely to be imprisoned than non-Indigenous people.</w:t>
      </w:r>
      <w:r w:rsidR="000F237E">
        <w:rPr>
          <w:rStyle w:val="FootnoteReference"/>
        </w:rPr>
        <w:footnoteReference w:id="8"/>
      </w:r>
      <w:r w:rsidR="00B21F4F" w:rsidRPr="008009B3">
        <w:t xml:space="preserve"> </w:t>
      </w:r>
    </w:p>
    <w:p w:rsidR="00A72CB7" w:rsidRPr="008009B3" w:rsidRDefault="005C719D">
      <w:pPr>
        <w:pStyle w:val="Numlevel1"/>
      </w:pPr>
      <w:r w:rsidRPr="008009B3">
        <w:t xml:space="preserve">The </w:t>
      </w:r>
      <w:r w:rsidR="00FC4D68" w:rsidRPr="008009B3">
        <w:t xml:space="preserve">impact of being in prison can be severe, with </w:t>
      </w:r>
      <w:r w:rsidR="00EB14B9" w:rsidRPr="008009B3">
        <w:t xml:space="preserve">much higher </w:t>
      </w:r>
      <w:r w:rsidR="00FC4D68" w:rsidRPr="008009B3">
        <w:t>rates of deaths in custody for Indigenous peoples</w:t>
      </w:r>
      <w:r w:rsidR="00F741E6" w:rsidRPr="008009B3">
        <w:rPr>
          <w:rStyle w:val="FootnoteReference"/>
          <w:rFonts w:cs="HelveticaNeue"/>
          <w:color w:val="auto"/>
        </w:rPr>
        <w:footnoteReference w:id="9"/>
      </w:r>
      <w:r w:rsidR="00FC4D68" w:rsidRPr="008009B3">
        <w:t xml:space="preserve"> and the impacts of imprisonment generally affecting not only individual</w:t>
      </w:r>
      <w:r w:rsidR="00AB4EB4">
        <w:t>s</w:t>
      </w:r>
      <w:r w:rsidR="00FC4D68" w:rsidRPr="008009B3">
        <w:t xml:space="preserve"> but also their famil</w:t>
      </w:r>
      <w:r w:rsidR="00AB4EB4">
        <w:t>ies</w:t>
      </w:r>
      <w:r w:rsidR="00FC4D68" w:rsidRPr="008009B3">
        <w:t xml:space="preserve"> and communit</w:t>
      </w:r>
      <w:r w:rsidR="00AB4EB4">
        <w:t>ies</w:t>
      </w:r>
      <w:r w:rsidR="00FC4D68" w:rsidRPr="008009B3">
        <w:t>.</w:t>
      </w:r>
      <w:r w:rsidR="00FC4D68" w:rsidRPr="008009B3">
        <w:rPr>
          <w:rStyle w:val="FootnoteReference"/>
          <w:rFonts w:cs="HelveticaNeue"/>
          <w:color w:val="auto"/>
        </w:rPr>
        <w:footnoteReference w:id="10"/>
      </w:r>
      <w:r w:rsidR="0001234C">
        <w:t xml:space="preserve"> </w:t>
      </w:r>
    </w:p>
    <w:p w:rsidR="006F33BB" w:rsidRPr="00111C33" w:rsidRDefault="00111C33">
      <w:pPr>
        <w:pStyle w:val="Numlevel1"/>
        <w:rPr>
          <w:rFonts w:eastAsia="Times New Roman"/>
        </w:rPr>
      </w:pPr>
      <w:r w:rsidRPr="00111C33">
        <w:t xml:space="preserve">Moreover, the financial cost of high imprisonment rates would be better spent supporting healthy and productive communities. </w:t>
      </w:r>
      <w:r w:rsidR="006F33BB" w:rsidRPr="00111C33">
        <w:rPr>
          <w:rFonts w:eastAsia="Times New Roman"/>
        </w:rPr>
        <w:t xml:space="preserve">Nationally, in 2014-15, the cost </w:t>
      </w:r>
      <w:r w:rsidR="00AB4EB4">
        <w:rPr>
          <w:rFonts w:eastAsia="Times New Roman"/>
        </w:rPr>
        <w:t>of imprisoning</w:t>
      </w:r>
      <w:r w:rsidR="006F33BB" w:rsidRPr="00111C33">
        <w:rPr>
          <w:rFonts w:eastAsia="Times New Roman"/>
        </w:rPr>
        <w:t xml:space="preserve"> </w:t>
      </w:r>
      <w:r w:rsidR="00AB4EB4">
        <w:rPr>
          <w:rFonts w:eastAsia="Times New Roman"/>
        </w:rPr>
        <w:t xml:space="preserve">a </w:t>
      </w:r>
      <w:r w:rsidR="006F33BB" w:rsidRPr="00111C33">
        <w:rPr>
          <w:rFonts w:eastAsia="Times New Roman"/>
        </w:rPr>
        <w:t xml:space="preserve">young person </w:t>
      </w:r>
      <w:r w:rsidR="00AB4EB4">
        <w:rPr>
          <w:rFonts w:eastAsia="Times New Roman"/>
        </w:rPr>
        <w:t xml:space="preserve">each day </w:t>
      </w:r>
      <w:r w:rsidR="006F33BB" w:rsidRPr="00111C33">
        <w:rPr>
          <w:rFonts w:eastAsia="Times New Roman"/>
        </w:rPr>
        <w:t>was $1391</w:t>
      </w:r>
      <w:r w:rsidR="006F33BB" w:rsidRPr="00111C33">
        <w:t>.</w:t>
      </w:r>
      <w:r w:rsidR="006F33BB" w:rsidRPr="00111C33">
        <w:rPr>
          <w:rStyle w:val="FootnoteReference"/>
        </w:rPr>
        <w:footnoteReference w:id="11"/>
      </w:r>
    </w:p>
    <w:p w:rsidR="00FF0F28" w:rsidRPr="00732FD6" w:rsidRDefault="00FF0F28">
      <w:pPr>
        <w:pStyle w:val="Numlevel1"/>
      </w:pPr>
      <w:r w:rsidRPr="00732FD6">
        <w:t>As noted in the submissions of National Aboriginal and Torres Strait Islander Legal Services and National Family Violence Prevention Legal Services, the legal needs of Aboriginal and Torres Strait Islander peoples are not able to be met under existing resource constraints</w:t>
      </w:r>
      <w:r w:rsidR="00B63762">
        <w:t xml:space="preserve">. </w:t>
      </w:r>
      <w:r w:rsidRPr="00732FD6">
        <w:t>The consequences of</w:t>
      </w:r>
      <w:r w:rsidR="00B63762">
        <w:t xml:space="preserve"> </w:t>
      </w:r>
      <w:r w:rsidR="00105665">
        <w:t xml:space="preserve">this </w:t>
      </w:r>
      <w:r w:rsidR="00B63762">
        <w:t>inadequate</w:t>
      </w:r>
      <w:r w:rsidRPr="00732FD6">
        <w:t xml:space="preserve"> Commonwealth fund</w:t>
      </w:r>
      <w:r w:rsidR="00B63762">
        <w:t>ing are</w:t>
      </w:r>
      <w:r w:rsidR="00105665">
        <w:t xml:space="preserve"> that</w:t>
      </w:r>
      <w:r w:rsidR="009A51E9">
        <w:t>:</w:t>
      </w:r>
      <w:r w:rsidR="005153F8">
        <w:t xml:space="preserve"> </w:t>
      </w:r>
    </w:p>
    <w:p w:rsidR="00FF0F28" w:rsidRPr="00B43232" w:rsidRDefault="00FF0F28">
      <w:pPr>
        <w:pStyle w:val="Numlevel2"/>
        <w:numPr>
          <w:ilvl w:val="0"/>
          <w:numId w:val="31"/>
        </w:numPr>
        <w:ind w:left="1701" w:hanging="567"/>
      </w:pPr>
      <w:r w:rsidRPr="00B43232">
        <w:t xml:space="preserve">Aboriginal and Torres Strait Islander people experience extremely high levels of unmet legal need, contributing substantially to the overrepresentation of Indigenous </w:t>
      </w:r>
      <w:r w:rsidRPr="007A5364">
        <w:t>men</w:t>
      </w:r>
      <w:r w:rsidRPr="00B43232">
        <w:t xml:space="preserve">, women and children in </w:t>
      </w:r>
      <w:r w:rsidR="00B43232" w:rsidRPr="00B43232">
        <w:t>prison and youth justice systems</w:t>
      </w:r>
      <w:r w:rsidRPr="00B43232">
        <w:t>;</w:t>
      </w:r>
    </w:p>
    <w:p w:rsidR="00FF0F28" w:rsidRPr="00B43232" w:rsidRDefault="00B43232">
      <w:pPr>
        <w:pStyle w:val="Numlevel2"/>
        <w:numPr>
          <w:ilvl w:val="0"/>
          <w:numId w:val="31"/>
        </w:numPr>
        <w:ind w:left="1701" w:hanging="567"/>
      </w:pPr>
      <w:r w:rsidRPr="00B43232">
        <w:t>Aboriginal and Torres Strait Islander</w:t>
      </w:r>
      <w:r w:rsidRPr="00732FD6">
        <w:t xml:space="preserve"> </w:t>
      </w:r>
      <w:r w:rsidR="00FF0F28" w:rsidRPr="00B43232">
        <w:t>victims of violence are often unrepresented, or unable to obtain adequate representation, which increases their likelihood of further victimisation, homelessness and s</w:t>
      </w:r>
      <w:r w:rsidR="00863B3E" w:rsidRPr="00B43232">
        <w:t>ustained disadvantage;</w:t>
      </w:r>
      <w:r w:rsidR="00DE3710" w:rsidRPr="00B43232">
        <w:t xml:space="preserve"> </w:t>
      </w:r>
    </w:p>
    <w:p w:rsidR="00FF0F28" w:rsidRPr="00B43232" w:rsidRDefault="00FF0F28">
      <w:pPr>
        <w:pStyle w:val="Numlevel2"/>
        <w:numPr>
          <w:ilvl w:val="0"/>
          <w:numId w:val="31"/>
        </w:numPr>
        <w:ind w:left="1701" w:hanging="567"/>
      </w:pPr>
      <w:r w:rsidRPr="00B43232">
        <w:t>the justice system continues to be ineffective in arresting high rates of crime, imprisonment and recidivism, perpetuating policy failures at all levels with respect to the Federal Government’s ‘Closing the Gap’ initiatives, undermining in particular education attainment, employment t</w:t>
      </w:r>
      <w:r w:rsidR="00630D3A" w:rsidRPr="00B43232">
        <w:t>argets and health outcomes; and</w:t>
      </w:r>
      <w:r w:rsidR="00E84EDD" w:rsidRPr="00B43232">
        <w:t xml:space="preserve"> </w:t>
      </w:r>
    </w:p>
    <w:p w:rsidR="00B43232" w:rsidRDefault="00FF0F28">
      <w:pPr>
        <w:pStyle w:val="Numlevel2"/>
        <w:numPr>
          <w:ilvl w:val="0"/>
          <w:numId w:val="31"/>
        </w:numPr>
        <w:ind w:left="1701" w:hanging="567"/>
      </w:pPr>
      <w:r w:rsidRPr="00B43232">
        <w:t xml:space="preserve">ATSILS face enormous </w:t>
      </w:r>
      <w:r w:rsidR="00CD4C98">
        <w:t>challenges in service provision. This includes ATSILS being</w:t>
      </w:r>
      <w:r w:rsidR="00B43232">
        <w:t>:</w:t>
      </w:r>
    </w:p>
    <w:p w:rsidR="00A63037" w:rsidRDefault="00FF0F28">
      <w:pPr>
        <w:pStyle w:val="Numlevel2"/>
        <w:numPr>
          <w:ilvl w:val="2"/>
          <w:numId w:val="31"/>
        </w:numPr>
      </w:pPr>
      <w:r w:rsidRPr="00B43232">
        <w:t>generally forced to offer substantially lower salaries to lawyers (compared, for example, to LACs), undermining efforts to retain staff, often in difficult working conditions and with very high caseloads</w:t>
      </w:r>
      <w:r w:rsidR="00A63037">
        <w:t>; and</w:t>
      </w:r>
    </w:p>
    <w:p w:rsidR="00FF0F28" w:rsidRPr="00A63037" w:rsidRDefault="00A63037">
      <w:pPr>
        <w:pStyle w:val="Numlevel2"/>
        <w:numPr>
          <w:ilvl w:val="2"/>
          <w:numId w:val="31"/>
        </w:numPr>
      </w:pPr>
      <w:r>
        <w:rPr>
          <w:lang w:val="en-GB"/>
        </w:rPr>
        <w:t>obliged</w:t>
      </w:r>
      <w:r w:rsidRPr="00A63037">
        <w:rPr>
          <w:lang w:val="en-GB"/>
        </w:rPr>
        <w:t xml:space="preserve"> to make staff members redundant, close offices and place a freeze on helping clients with new matters, reduce front line service delivery to urban, regional and remote areas, reduce critical afterhours help to those with emergencies and to turn away Aboriginal and Torres Strait Islander people.</w:t>
      </w:r>
    </w:p>
    <w:p w:rsidR="00FF0F28" w:rsidRDefault="00FD11E6">
      <w:pPr>
        <w:pStyle w:val="Numlevel1"/>
      </w:pPr>
      <w:r w:rsidRPr="00FD11E6">
        <w:t>The Law Council submits that</w:t>
      </w:r>
      <w:r w:rsidR="0008665E">
        <w:t>:</w:t>
      </w:r>
      <w:r w:rsidR="00DE67F4">
        <w:t xml:space="preserve"> </w:t>
      </w:r>
    </w:p>
    <w:p w:rsidR="00FF0F28" w:rsidRPr="00FD088C" w:rsidRDefault="00FF0F28">
      <w:pPr>
        <w:pStyle w:val="Numlevel2"/>
        <w:numPr>
          <w:ilvl w:val="0"/>
          <w:numId w:val="32"/>
        </w:numPr>
        <w:ind w:left="1701" w:hanging="567"/>
        <w:rPr>
          <w:i w:val="0"/>
        </w:rPr>
      </w:pPr>
      <w:r w:rsidRPr="00FD088C">
        <w:rPr>
          <w:i w:val="0"/>
        </w:rPr>
        <w:t xml:space="preserve">as a first step, it is imperative that the Government reverse funding cuts to be imposed from 2017-18; and </w:t>
      </w:r>
    </w:p>
    <w:p w:rsidR="00FF0F28" w:rsidRPr="00FD088C" w:rsidRDefault="00A0544E">
      <w:pPr>
        <w:pStyle w:val="Numlevel2"/>
        <w:numPr>
          <w:ilvl w:val="0"/>
          <w:numId w:val="32"/>
        </w:numPr>
        <w:ind w:left="1701" w:hanging="567"/>
        <w:rPr>
          <w:i w:val="0"/>
        </w:rPr>
      </w:pPr>
      <w:r w:rsidRPr="00FD088C">
        <w:rPr>
          <w:i w:val="0"/>
        </w:rPr>
        <w:t>the Government should e</w:t>
      </w:r>
      <w:r w:rsidR="00FF0F28" w:rsidRPr="00FD088C">
        <w:rPr>
          <w:i w:val="0"/>
        </w:rPr>
        <w:t>ngage with Aboriginal and Torres Strait Islander Legal Services to develop a sustainable funding model going forward, as a matter of urgency.</w:t>
      </w:r>
    </w:p>
    <w:p w:rsidR="00FF0F28" w:rsidRDefault="00FF0F28" w:rsidP="00FF0F28">
      <w:pPr>
        <w:pStyle w:val="Heading2"/>
      </w:pPr>
      <w:bookmarkStart w:id="9" w:name="_Toc472523364"/>
      <w:r>
        <w:t>Community legal centres</w:t>
      </w:r>
      <w:bookmarkEnd w:id="9"/>
    </w:p>
    <w:p w:rsidR="00265EB6" w:rsidRPr="00DF3DB0" w:rsidRDefault="00DF3DB0" w:rsidP="00C737C3">
      <w:pPr>
        <w:pStyle w:val="Numlevel1"/>
      </w:pPr>
      <w:r w:rsidRPr="00DF3DB0">
        <w:t>Community legal centres provide direct assistance to over 200,000 clients each year. CLCs are efficient and innovative providers of free legal assistance to vulnerable and disadvantaged members of the community and the work of CLCs generates savings to governments and the community as a whole. CLCs are also able to draw</w:t>
      </w:r>
      <w:r>
        <w:t xml:space="preserve"> upon significant</w:t>
      </w:r>
      <w:r w:rsidRPr="00DF3DB0">
        <w:t xml:space="preserve"> pro bono and volunteer contributions</w:t>
      </w:r>
      <w:r w:rsidR="00265EB6" w:rsidRPr="00DF3DB0">
        <w:t xml:space="preserve">. </w:t>
      </w:r>
    </w:p>
    <w:p w:rsidR="00D81FC5" w:rsidRDefault="00D81FC5">
      <w:pPr>
        <w:pStyle w:val="Numlevel1"/>
      </w:pPr>
      <w:r w:rsidRPr="00DF3DB0">
        <w:t xml:space="preserve">As with ATSILS and LACs, government funding for CLCs has not kept pace with increasing </w:t>
      </w:r>
      <w:r w:rsidR="00FB7462" w:rsidRPr="00DF3DB0">
        <w:t xml:space="preserve">levels of </w:t>
      </w:r>
      <w:r w:rsidRPr="00DF3DB0">
        <w:t>legal need</w:t>
      </w:r>
      <w:r w:rsidR="00FB7462" w:rsidRPr="00DF3DB0">
        <w:t>, n</w:t>
      </w:r>
      <w:r w:rsidRPr="00DF3DB0">
        <w:t>or</w:t>
      </w:r>
      <w:r w:rsidR="00FB7462" w:rsidRPr="00DF3DB0">
        <w:t xml:space="preserve"> the cost of services</w:t>
      </w:r>
      <w:r w:rsidR="00000E2B" w:rsidRPr="00DF3DB0">
        <w:t>.</w:t>
      </w:r>
      <w:r w:rsidR="00813BCB" w:rsidRPr="00DF3DB0">
        <w:t xml:space="preserve"> </w:t>
      </w:r>
      <w:r w:rsidR="00DF3DB0" w:rsidRPr="00DF3DB0">
        <w:t>CLCs are not funded adequately to meet existing and increasing demand for services and are facing funding cuts.</w:t>
      </w:r>
    </w:p>
    <w:p w:rsidR="00E15F81" w:rsidRDefault="00E15F81">
      <w:pPr>
        <w:pStyle w:val="Numlevel1"/>
        <w:rPr>
          <w:color w:val="1F497D"/>
        </w:rPr>
      </w:pPr>
      <w:r>
        <w:t>In</w:t>
      </w:r>
      <w:r>
        <w:rPr>
          <w:rFonts w:hint="eastAsia"/>
        </w:rPr>
        <w:t xml:space="preserve"> 2015, NACLC ran a census of its member organisations</w:t>
      </w:r>
      <w:r>
        <w:t>, revealing that over</w:t>
      </w:r>
      <w:r>
        <w:rPr>
          <w:rFonts w:hint="eastAsia"/>
        </w:rPr>
        <w:t xml:space="preserve"> 150,000 people were turned away in that year because the CLCs did</w:t>
      </w:r>
      <w:r>
        <w:t xml:space="preserve"> not</w:t>
      </w:r>
      <w:r>
        <w:rPr>
          <w:rFonts w:hint="eastAsia"/>
        </w:rPr>
        <w:t xml:space="preserve"> have the capacity to deal with demand.</w:t>
      </w:r>
      <w:r w:rsidR="005F024A">
        <w:rPr>
          <w:rStyle w:val="FootnoteReference"/>
        </w:rPr>
        <w:footnoteReference w:id="12"/>
      </w:r>
    </w:p>
    <w:p w:rsidR="00DF3DB0" w:rsidRPr="00DF3DB0" w:rsidRDefault="00DF3DB0">
      <w:pPr>
        <w:pStyle w:val="Numlevel1"/>
      </w:pPr>
      <w:r>
        <w:t xml:space="preserve">The </w:t>
      </w:r>
      <w:r w:rsidRPr="00DF3DB0">
        <w:t>reduction in</w:t>
      </w:r>
      <w:r>
        <w:t xml:space="preserve"> </w:t>
      </w:r>
      <w:r w:rsidR="00762CF1">
        <w:t>Commonwealth</w:t>
      </w:r>
      <w:r>
        <w:t xml:space="preserve"> </w:t>
      </w:r>
      <w:r w:rsidRPr="00DF3DB0">
        <w:t>funding to CLCs of $34.83 million over the period 2017-18 to 2019-2020</w:t>
      </w:r>
      <w:r w:rsidRPr="00DF3DB0">
        <w:rPr>
          <w:rStyle w:val="FootnoteReference"/>
          <w:color w:val="auto"/>
        </w:rPr>
        <w:footnoteReference w:id="13"/>
      </w:r>
      <w:r>
        <w:t xml:space="preserve"> will reduce the Commonwealth’s existing funding contribution by 30 per cent and this will critically reduce the provision of services.</w:t>
      </w:r>
    </w:p>
    <w:p w:rsidR="00EB2DBD" w:rsidRDefault="00BF2AB6">
      <w:pPr>
        <w:pStyle w:val="Numlevel1"/>
      </w:pPr>
      <w:r w:rsidRPr="00DF3DB0">
        <w:t>Economic</w:t>
      </w:r>
      <w:r w:rsidR="00885C67" w:rsidRPr="00DF3DB0">
        <w:t xml:space="preserve"> analysis demonstrates that investment in CLCs and other legal assistance bodies can result in substantial </w:t>
      </w:r>
      <w:r w:rsidR="007059D6" w:rsidRPr="00DF3DB0">
        <w:t xml:space="preserve">long-term </w:t>
      </w:r>
      <w:r w:rsidR="00885C67" w:rsidRPr="00DF3DB0">
        <w:t>dividends, in some cases yielding returns of many times the level of funding provided.</w:t>
      </w:r>
      <w:r w:rsidR="00885C67" w:rsidRPr="00DF3DB0">
        <w:rPr>
          <w:rStyle w:val="FootnoteReference"/>
          <w:color w:val="auto"/>
        </w:rPr>
        <w:footnoteReference w:id="14"/>
      </w:r>
    </w:p>
    <w:p w:rsidR="00476F54" w:rsidRDefault="00476F54">
      <w:pPr>
        <w:pStyle w:val="Numlevel1"/>
        <w:rPr>
          <w:rStyle w:val="Strong"/>
          <w:rFonts w:cs="Times New Roman"/>
          <w:b w:val="0"/>
          <w:bCs w:val="0"/>
          <w:iCs w:val="0"/>
          <w:color w:val="auto"/>
          <w:kern w:val="20"/>
        </w:rPr>
      </w:pPr>
      <w:r>
        <w:rPr>
          <w:rStyle w:val="Strong"/>
          <w:b w:val="0"/>
          <w:bCs w:val="0"/>
        </w:rPr>
        <w:t>In addition, the</w:t>
      </w:r>
      <w:r w:rsidRPr="00476F54">
        <w:t xml:space="preserve"> </w:t>
      </w:r>
      <w:r>
        <w:t xml:space="preserve">Legal aid services have been inundated with requests for assistance from </w:t>
      </w:r>
      <w:r>
        <w:rPr>
          <w:rStyle w:val="Strong"/>
          <w:b w:val="0"/>
          <w:bCs w:val="0"/>
        </w:rPr>
        <w:t xml:space="preserve">welfare recipients </w:t>
      </w:r>
      <w:r>
        <w:t xml:space="preserve">related to letters </w:t>
      </w:r>
      <w:r w:rsidR="006C0F29">
        <w:t xml:space="preserve">they have </w:t>
      </w:r>
      <w:r>
        <w:t xml:space="preserve">received from Centrelink, many of whom have been wrongly </w:t>
      </w:r>
      <w:r>
        <w:rPr>
          <w:rStyle w:val="Strong"/>
          <w:b w:val="0"/>
          <w:bCs w:val="0"/>
        </w:rPr>
        <w:t>pursued</w:t>
      </w:r>
      <w:r w:rsidR="006C0F29">
        <w:rPr>
          <w:rStyle w:val="Strong"/>
          <w:b w:val="0"/>
          <w:bCs w:val="0"/>
        </w:rPr>
        <w:t xml:space="preserve"> due to inaccurate assumptions from the automated</w:t>
      </w:r>
      <w:r w:rsidR="006C0F29" w:rsidRPr="006C0F29">
        <w:t xml:space="preserve"> </w:t>
      </w:r>
      <w:r w:rsidR="006C0F29">
        <w:t>data matching system</w:t>
      </w:r>
      <w:r>
        <w:rPr>
          <w:rStyle w:val="Strong"/>
          <w:b w:val="0"/>
          <w:bCs w:val="0"/>
        </w:rPr>
        <w:t>.</w:t>
      </w:r>
      <w:r w:rsidR="00C44F6A">
        <w:rPr>
          <w:rStyle w:val="Strong"/>
          <w:b w:val="0"/>
          <w:bCs w:val="0"/>
        </w:rPr>
        <w:t xml:space="preserve"> The </w:t>
      </w:r>
      <w:r w:rsidRPr="00C44F6A">
        <w:rPr>
          <w:rStyle w:val="Strong"/>
          <w:b w:val="0"/>
          <w:bCs w:val="0"/>
        </w:rPr>
        <w:t xml:space="preserve">Commonwealth Ombudsman has been asked to investigate faults with </w:t>
      </w:r>
      <w:r w:rsidR="00C44F6A">
        <w:rPr>
          <w:rStyle w:val="Strong"/>
          <w:b w:val="0"/>
          <w:bCs w:val="0"/>
        </w:rPr>
        <w:t>the</w:t>
      </w:r>
      <w:r w:rsidRPr="00C44F6A">
        <w:rPr>
          <w:rStyle w:val="Strong"/>
          <w:b w:val="0"/>
          <w:bCs w:val="0"/>
        </w:rPr>
        <w:t xml:space="preserve"> new</w:t>
      </w:r>
      <w:r w:rsidR="00C44F6A">
        <w:rPr>
          <w:rStyle w:val="Strong"/>
          <w:b w:val="0"/>
          <w:bCs w:val="0"/>
        </w:rPr>
        <w:t xml:space="preserve"> automated data matching system.</w:t>
      </w:r>
      <w:r w:rsidR="00911BE6">
        <w:rPr>
          <w:rStyle w:val="FootnoteReference"/>
        </w:rPr>
        <w:footnoteReference w:id="15"/>
      </w:r>
    </w:p>
    <w:p w:rsidR="0055428D" w:rsidRPr="00CF1548" w:rsidRDefault="0055428D" w:rsidP="0055428D">
      <w:pPr>
        <w:pStyle w:val="Heading3"/>
        <w:rPr>
          <w:rFonts w:cs="Arial"/>
          <w:kern w:val="0"/>
        </w:rPr>
      </w:pPr>
      <w:bookmarkStart w:id="10" w:name="_Toc472523365"/>
      <w:r>
        <w:t>Family Violence</w:t>
      </w:r>
      <w:bookmarkEnd w:id="10"/>
    </w:p>
    <w:p w:rsidR="00043E67" w:rsidRPr="00043E67" w:rsidRDefault="00CF1548" w:rsidP="00C737C3">
      <w:pPr>
        <w:pStyle w:val="Numlevel1"/>
        <w:rPr>
          <w:rFonts w:cs="Times New Roman"/>
          <w:kern w:val="20"/>
        </w:rPr>
      </w:pPr>
      <w:r w:rsidRPr="00CF1548">
        <w:t xml:space="preserve">CLCs also play </w:t>
      </w:r>
      <w:r w:rsidR="00894759">
        <w:t xml:space="preserve">a key role </w:t>
      </w:r>
      <w:r w:rsidRPr="00CF1548">
        <w:t>in the legal framework in responding to and addressing family violence,</w:t>
      </w:r>
      <w:r w:rsidRPr="00CF1548">
        <w:rPr>
          <w:rStyle w:val="FootnoteReference"/>
          <w:color w:val="auto"/>
        </w:rPr>
        <w:footnoteReference w:id="16"/>
      </w:r>
      <w:r w:rsidRPr="00CF1548">
        <w:t xml:space="preserve"> the flow-on effects of which impact credit and debt, tenancy, homelessness and access to social security.</w:t>
      </w:r>
      <w:r w:rsidRPr="00CF1548">
        <w:rPr>
          <w:rStyle w:val="FootnoteReference"/>
          <w:color w:val="auto"/>
        </w:rPr>
        <w:footnoteReference w:id="17"/>
      </w:r>
    </w:p>
    <w:p w:rsidR="008E1BBD" w:rsidRPr="00043E67" w:rsidRDefault="009D66E9">
      <w:pPr>
        <w:pStyle w:val="Numlevel1"/>
        <w:rPr>
          <w:rFonts w:cs="Times New Roman"/>
          <w:kern w:val="20"/>
        </w:rPr>
      </w:pPr>
      <w:r>
        <w:t>A</w:t>
      </w:r>
      <w:r w:rsidR="008E1BBD" w:rsidRPr="00043E67">
        <w:t xml:space="preserve"> number of </w:t>
      </w:r>
      <w:r w:rsidRPr="00043E67">
        <w:t>Australia</w:t>
      </w:r>
      <w:r w:rsidR="00E112FA">
        <w:t>n</w:t>
      </w:r>
      <w:r w:rsidRPr="00043E67">
        <w:t xml:space="preserve"> and overseas </w:t>
      </w:r>
      <w:r>
        <w:t>studies have highlighted the p</w:t>
      </w:r>
      <w:r w:rsidRPr="00043E67">
        <w:t>revention of family violence as a benefit arising from legal assistance</w:t>
      </w:r>
      <w:r w:rsidR="008E1BBD" w:rsidRPr="000626E8">
        <w:t>.</w:t>
      </w:r>
      <w:r w:rsidR="00043E67" w:rsidRPr="009D66E9">
        <w:t xml:space="preserve"> </w:t>
      </w:r>
      <w:r w:rsidR="00043E67" w:rsidRPr="00043E67">
        <w:t xml:space="preserve">Legal assistance providers can provide </w:t>
      </w:r>
      <w:r w:rsidRPr="00043E67">
        <w:t xml:space="preserve">assistance </w:t>
      </w:r>
      <w:r>
        <w:t xml:space="preserve">to </w:t>
      </w:r>
      <w:r w:rsidR="00043E67" w:rsidRPr="00043E67">
        <w:t xml:space="preserve">people seeking an apprehended violence order (AVO), including </w:t>
      </w:r>
      <w:r>
        <w:t>preparing and assisting with documentation</w:t>
      </w:r>
      <w:r w:rsidR="00043E67" w:rsidRPr="00043E67">
        <w:t xml:space="preserve"> and representation </w:t>
      </w:r>
      <w:r w:rsidR="00E112FA">
        <w:t>in</w:t>
      </w:r>
      <w:r w:rsidR="00043E67" w:rsidRPr="00043E67">
        <w:t xml:space="preserve"> court proceedings</w:t>
      </w:r>
      <w:r w:rsidR="000626E8">
        <w:t>.</w:t>
      </w:r>
      <w:r w:rsidR="008E1BBD" w:rsidRPr="00043E67">
        <w:rPr>
          <w:rStyle w:val="FootnoteReference"/>
        </w:rPr>
        <w:footnoteReference w:id="18"/>
      </w:r>
      <w:r w:rsidR="00043E67" w:rsidRPr="00043E67">
        <w:t xml:space="preserve"> </w:t>
      </w:r>
    </w:p>
    <w:p w:rsidR="00DD79FC" w:rsidRDefault="0095518E">
      <w:pPr>
        <w:pStyle w:val="Numlevel1"/>
      </w:pPr>
      <w:r>
        <w:t>The</w:t>
      </w:r>
      <w:r w:rsidR="00FC7F27" w:rsidRPr="00FC7F27">
        <w:t xml:space="preserve"> costs of family violence </w:t>
      </w:r>
      <w:r>
        <w:t>should also</w:t>
      </w:r>
      <w:r w:rsidR="00FC7F27" w:rsidRPr="00FC7F27">
        <w:t xml:space="preserve"> be</w:t>
      </w:r>
      <w:r w:rsidR="00FC7F27">
        <w:t xml:space="preserve"> </w:t>
      </w:r>
      <w:r>
        <w:t>considered</w:t>
      </w:r>
      <w:r w:rsidR="00FC7F27">
        <w:t>.</w:t>
      </w:r>
      <w:r w:rsidR="00AF4852">
        <w:t xml:space="preserve"> </w:t>
      </w:r>
      <w:r w:rsidR="00DD79FC">
        <w:t xml:space="preserve">Analysis by Access Economics in 2004 estimated that </w:t>
      </w:r>
      <w:r w:rsidR="00DD79FC" w:rsidRPr="00DD79FC">
        <w:t>the annual costs to government from family violence exceeded</w:t>
      </w:r>
      <w:r w:rsidR="00DD79FC">
        <w:t xml:space="preserve"> </w:t>
      </w:r>
      <w:r w:rsidR="00DD79FC" w:rsidRPr="00DD79FC">
        <w:t xml:space="preserve">$1.3 billion in 2002-03, with broader costs to society of approximately $8.1 billion. </w:t>
      </w:r>
      <w:r w:rsidR="00AD0F66">
        <w:t>T</w:t>
      </w:r>
      <w:r w:rsidR="00AD0F66" w:rsidRPr="00DD79FC">
        <w:t>his amounted to more than $3000 per victim in annual costs to government, and almost $20 000 per victim in annual costs</w:t>
      </w:r>
      <w:r w:rsidR="00AD0F66">
        <w:t xml:space="preserve"> </w:t>
      </w:r>
      <w:r w:rsidR="00AD0F66" w:rsidRPr="00DD79FC">
        <w:t xml:space="preserve">to society </w:t>
      </w:r>
      <w:r w:rsidR="00AD0F66">
        <w:t>when a</w:t>
      </w:r>
      <w:r w:rsidR="00DD79FC" w:rsidRPr="00DD79FC">
        <w:t xml:space="preserve">veraged across </w:t>
      </w:r>
      <w:r w:rsidR="00AD0F66">
        <w:t>the estimated number of victims.</w:t>
      </w:r>
      <w:r w:rsidR="00AD0F66">
        <w:rPr>
          <w:rStyle w:val="FootnoteReference"/>
        </w:rPr>
        <w:footnoteReference w:id="19"/>
      </w:r>
    </w:p>
    <w:p w:rsidR="005B1810" w:rsidRPr="00DD79FC" w:rsidRDefault="00E66C80">
      <w:pPr>
        <w:pStyle w:val="Numlevel1"/>
      </w:pPr>
      <w:r>
        <w:t xml:space="preserve">In 2009, KPMG </w:t>
      </w:r>
      <w:r w:rsidRPr="005B1810">
        <w:t xml:space="preserve">updated </w:t>
      </w:r>
      <w:r>
        <w:t>these</w:t>
      </w:r>
      <w:r w:rsidR="005B1810" w:rsidRPr="005B1810">
        <w:t xml:space="preserve"> estimates to project the costs of violence against women in</w:t>
      </w:r>
      <w:r w:rsidR="005B1810">
        <w:t xml:space="preserve"> </w:t>
      </w:r>
      <w:r w:rsidR="005B1810" w:rsidRPr="005B1810">
        <w:t>the year 2021-22. They estimated the annual</w:t>
      </w:r>
      <w:r w:rsidR="005B1810">
        <w:t xml:space="preserve"> </w:t>
      </w:r>
      <w:r w:rsidR="005B1810" w:rsidRPr="005B1810">
        <w:t>costs to government will be $7640 per victim, with broader social costs of more than $40 000 per victim each year</w:t>
      </w:r>
      <w:r w:rsidR="005B1810">
        <w:t xml:space="preserve"> </w:t>
      </w:r>
      <w:r w:rsidR="005B1810" w:rsidRPr="005B1810">
        <w:t>in 2021-22.</w:t>
      </w:r>
      <w:r>
        <w:rPr>
          <w:rStyle w:val="FootnoteReference"/>
        </w:rPr>
        <w:footnoteReference w:id="20"/>
      </w:r>
      <w:r w:rsidR="005B1810" w:rsidRPr="005B1810">
        <w:t xml:space="preserve"> </w:t>
      </w:r>
    </w:p>
    <w:p w:rsidR="00216280" w:rsidRPr="00216280" w:rsidRDefault="00216280">
      <w:pPr>
        <w:pStyle w:val="Numlevel1"/>
        <w:rPr>
          <w:color w:val="auto"/>
        </w:rPr>
      </w:pPr>
      <w:r>
        <w:t xml:space="preserve">On 28 October 2016, the Prime Minister, the Hon Malcolm Turnbull MP, launched the Third Action Plan of the </w:t>
      </w:r>
      <w:hyperlink r:id="rId17" w:history="1">
        <w:r w:rsidRPr="00216280">
          <w:rPr>
            <w:rStyle w:val="Emphasis"/>
            <w:color w:val="0000FF"/>
          </w:rPr>
          <w:t>National Plan to Reduce Violence against Women and their Children 2010-2022</w:t>
        </w:r>
      </w:hyperlink>
      <w:r>
        <w:t xml:space="preserve"> (the National Plan) at the Council of Australian Governments (COAG) National Summit on Reducing Violence against Women and their Children in Brisbane. The Australian Government committed $100 million over three years to support the Third Action Plan to reduce violence against women and their children. Of the $100 million, </w:t>
      </w:r>
      <w:r w:rsidRPr="00913FEB">
        <w:t>the Attorney-General announced the allocation of $30 million in family violence funding over three years for front-line legal assistance and family law services on 28 October 2016.</w:t>
      </w:r>
      <w:r w:rsidRPr="00913FEB">
        <w:rPr>
          <w:rStyle w:val="FootnoteReference"/>
        </w:rPr>
        <w:footnoteReference w:id="21"/>
      </w:r>
    </w:p>
    <w:p w:rsidR="00606D14" w:rsidRPr="00606D14" w:rsidRDefault="00606D14">
      <w:pPr>
        <w:pStyle w:val="Numlevel1"/>
        <w:rPr>
          <w:rFonts w:cs="Times New Roman"/>
          <w:kern w:val="20"/>
        </w:rPr>
      </w:pPr>
      <w:r>
        <w:t>The $100 million the Commonwealth is providing for the Third Action Plan is in addition to the $100 million Women’s Safety Package announced by the Coalition Government in September 2015.</w:t>
      </w:r>
      <w:r w:rsidR="00D00540">
        <w:rPr>
          <w:rStyle w:val="FootnoteReference"/>
        </w:rPr>
        <w:footnoteReference w:id="22"/>
      </w:r>
    </w:p>
    <w:p w:rsidR="00EB2DBD" w:rsidRPr="00CF1548" w:rsidRDefault="00EA16A1">
      <w:pPr>
        <w:pStyle w:val="Numlevel1"/>
        <w:rPr>
          <w:rFonts w:cs="Times New Roman"/>
          <w:kern w:val="20"/>
        </w:rPr>
      </w:pPr>
      <w:r w:rsidRPr="00CF1548">
        <w:t>The NACLC welcomed the Government’s announcement in October 2016 that $15 million of the Women’s Safety Package would be used to establish 12 new specialist domestic violence units and fund five health justice partnerships within existing legal assistance services located in domestic violence ‘hot spots’</w:t>
      </w:r>
      <w:r w:rsidR="00D77210">
        <w:t>,</w:t>
      </w:r>
      <w:r w:rsidRPr="00CF1548">
        <w:rPr>
          <w:rStyle w:val="FootnoteReference"/>
          <w:color w:val="auto"/>
        </w:rPr>
        <w:footnoteReference w:id="23"/>
      </w:r>
      <w:r w:rsidRPr="00CF1548">
        <w:t xml:space="preserve"> </w:t>
      </w:r>
      <w:r w:rsidR="00D77210">
        <w:t>and the $5 million</w:t>
      </w:r>
      <w:r w:rsidR="006E7F9C">
        <w:t xml:space="preserve"> provided subsequently for an extra year of the legal assistance pilots under the Women's Safety Package.</w:t>
      </w:r>
    </w:p>
    <w:p w:rsidR="00EB2DBD" w:rsidRPr="00CF1548" w:rsidRDefault="00EB2DBD">
      <w:pPr>
        <w:pStyle w:val="Numlevel1"/>
        <w:rPr>
          <w:rFonts w:cs="Times New Roman"/>
          <w:kern w:val="20"/>
        </w:rPr>
      </w:pPr>
      <w:r w:rsidRPr="00CF1548">
        <w:t xml:space="preserve">However, </w:t>
      </w:r>
      <w:r w:rsidR="00CF1548" w:rsidRPr="00CF1548">
        <w:t xml:space="preserve">NACLC notes that </w:t>
      </w:r>
      <w:r w:rsidRPr="00CF1548">
        <w:t>funding for the family violence work of CLCs is insufficient to meet rising demand for assistance and the</w:t>
      </w:r>
      <w:r w:rsidR="00CF1548">
        <w:t xml:space="preserve"> additional funding</w:t>
      </w:r>
      <w:r w:rsidRPr="00CF1548">
        <w:t xml:space="preserve"> provided to a small number of CLCs under the Women's Safety Package</w:t>
      </w:r>
      <w:r w:rsidR="00CF1548">
        <w:t xml:space="preserve"> does not offset the broader funding cuts CLCs face from 2017.</w:t>
      </w:r>
      <w:r w:rsidR="00751B78">
        <w:t xml:space="preserve">  Following the cuts planned for July 2017, CLCs will be in a worse position than they were in prior to the first Women’s Safety Package, with less capacity to meet the critical needs of women and families affected by domestic violence. </w:t>
      </w:r>
    </w:p>
    <w:p w:rsidR="005E2425" w:rsidRDefault="005E2425" w:rsidP="005E2425">
      <w:pPr>
        <w:pStyle w:val="Heading2"/>
      </w:pPr>
      <w:bookmarkStart w:id="11" w:name="_Toc472523366"/>
      <w:r>
        <w:t>Immigration Advice and Application Assistance Scheme</w:t>
      </w:r>
      <w:bookmarkEnd w:id="11"/>
    </w:p>
    <w:p w:rsidR="005E2425" w:rsidRDefault="005E2425" w:rsidP="00C737C3">
      <w:pPr>
        <w:pStyle w:val="Numlevel1"/>
      </w:pPr>
      <w:r>
        <w:t xml:space="preserve">The Law Council </w:t>
      </w:r>
      <w:r w:rsidR="00F36D12">
        <w:t>continues to be</w:t>
      </w:r>
      <w:r>
        <w:t xml:space="preserve"> concerned about withdrawal of funding of the Immigration Advice and Application Assistanc</w:t>
      </w:r>
      <w:r w:rsidR="00AE130A">
        <w:t>e Scheme (IAAAS) in March 2014</w:t>
      </w:r>
      <w:r w:rsidR="00D86772">
        <w:t>, which has left up to 30,000 asylum seekers without access to funded legal representation</w:t>
      </w:r>
      <w:r w:rsidR="00AE130A">
        <w:t>.</w:t>
      </w:r>
      <w:r w:rsidR="00CC1479">
        <w:t xml:space="preserve"> </w:t>
      </w:r>
      <w:r w:rsidR="002537D9">
        <w:t xml:space="preserve"> </w:t>
      </w:r>
    </w:p>
    <w:p w:rsidR="00F36D12" w:rsidRDefault="00F36D12">
      <w:pPr>
        <w:pStyle w:val="Numlevel1"/>
      </w:pPr>
      <w:r w:rsidRPr="00F36D12">
        <w:t>The IAAAS was an important measure to promote the rule of law by providing for some limited funding for Australian lawyers and migration agents to provide limited assistance to asylum seekers to enable them to prepare their claims for refugee status or other protection</w:t>
      </w:r>
      <w:r>
        <w:t>.</w:t>
      </w:r>
    </w:p>
    <w:p w:rsidR="005E2425" w:rsidRDefault="00D86772">
      <w:pPr>
        <w:pStyle w:val="Numlevel1"/>
      </w:pPr>
      <w:r>
        <w:t>The w</w:t>
      </w:r>
      <w:r w:rsidR="005E2425">
        <w:t xml:space="preserve">ithdrawal of </w:t>
      </w:r>
      <w:r>
        <w:t xml:space="preserve">this </w:t>
      </w:r>
      <w:r w:rsidR="005E2425">
        <w:t xml:space="preserve">funding undermines the Government’s stated objective with the passage of the Migration and Maritime Powers Legislation Amendment (Resolving the Asylum Legacy Caseload) Act 2014 (Cth) – </w:t>
      </w:r>
      <w:r>
        <w:t>to</w:t>
      </w:r>
      <w:r w:rsidR="005E2425">
        <w:t xml:space="preserve"> creat</w:t>
      </w:r>
      <w:r>
        <w:t>e</w:t>
      </w:r>
      <w:r w:rsidR="005E2425">
        <w:t xml:space="preserve"> a fast-track model </w:t>
      </w:r>
      <w:r w:rsidR="00866012">
        <w:t>for</w:t>
      </w:r>
      <w:r w:rsidR="005E2425">
        <w:t xml:space="preserve"> processing protection assessments more efficiently. </w:t>
      </w:r>
      <w:r w:rsidR="00CB36F6">
        <w:t>W</w:t>
      </w:r>
      <w:r w:rsidR="005E2425">
        <w:t xml:space="preserve">ithdrawal of legal assistance </w:t>
      </w:r>
      <w:r w:rsidR="005B005B">
        <w:t>reduce</w:t>
      </w:r>
      <w:r>
        <w:t>s</w:t>
      </w:r>
      <w:r w:rsidR="005B005B">
        <w:t xml:space="preserve"> efficiency</w:t>
      </w:r>
      <w:r w:rsidR="005E2425">
        <w:t xml:space="preserve"> and ultimately lead</w:t>
      </w:r>
      <w:r>
        <w:t>s</w:t>
      </w:r>
      <w:r w:rsidR="005E2425">
        <w:t xml:space="preserve"> to </w:t>
      </w:r>
      <w:r w:rsidR="005B005B">
        <w:t>increased</w:t>
      </w:r>
      <w:r w:rsidR="005E2425">
        <w:t xml:space="preserve"> costs a</w:t>
      </w:r>
      <w:r w:rsidR="00F45E59">
        <w:t>nd poorer outcomes.</w:t>
      </w:r>
      <w:r w:rsidR="007175E7">
        <w:t xml:space="preserve"> </w:t>
      </w:r>
    </w:p>
    <w:p w:rsidR="00E16E44" w:rsidRPr="00E16E44" w:rsidRDefault="0024604F">
      <w:pPr>
        <w:pStyle w:val="Numlevel1"/>
      </w:pPr>
      <w:r>
        <w:t>While the</w:t>
      </w:r>
      <w:r w:rsidR="005E2425">
        <w:t xml:space="preserve"> Law Council welcome</w:t>
      </w:r>
      <w:r>
        <w:t>d</w:t>
      </w:r>
      <w:r w:rsidR="005E2425">
        <w:t xml:space="preserve"> the introduction of the Primary Application Information Service (PAIS) scheme to process the post-13 August 2012 cohort of the “illegal ma</w:t>
      </w:r>
      <w:r>
        <w:t>ritime arrival” legacy caseload</w:t>
      </w:r>
      <w:r w:rsidR="005E2425">
        <w:t xml:space="preserve">, </w:t>
      </w:r>
      <w:r>
        <w:t>it</w:t>
      </w:r>
      <w:r w:rsidR="005E2425">
        <w:t xml:space="preserve"> remains concerned that the PAIS scheme is limited to t</w:t>
      </w:r>
      <w:r>
        <w:t xml:space="preserve">he “most </w:t>
      </w:r>
      <w:r w:rsidRPr="00E16E44">
        <w:t>vulnerable” applicants, leaving the large majority without funded legal assistance.</w:t>
      </w:r>
      <w:r w:rsidR="006D454C" w:rsidRPr="00E16E44">
        <w:t xml:space="preserve"> </w:t>
      </w:r>
    </w:p>
    <w:p w:rsidR="00CA2414" w:rsidRPr="00E16E44" w:rsidRDefault="00FF33C3">
      <w:pPr>
        <w:pStyle w:val="Numlevel1"/>
      </w:pPr>
      <w:r w:rsidRPr="00E16E44">
        <w:t>The Law Institute of Victoria has advised the Law Council of</w:t>
      </w:r>
      <w:r w:rsidR="00CA2414" w:rsidRPr="00E16E44">
        <w:t xml:space="preserve"> substantial delays in </w:t>
      </w:r>
      <w:r w:rsidRPr="00E16E44">
        <w:t xml:space="preserve">listing </w:t>
      </w:r>
      <w:r w:rsidR="00CA2414" w:rsidRPr="00E16E44">
        <w:t>legacy caseload judicial review cases in the Federal Circuit Court</w:t>
      </w:r>
      <w:r w:rsidRPr="00E16E44">
        <w:t>,</w:t>
      </w:r>
      <w:r w:rsidR="00CA2414" w:rsidRPr="00E16E44">
        <w:t xml:space="preserve"> and that the caseload for this cohort is likely to increase over the next few years. </w:t>
      </w:r>
      <w:r w:rsidRPr="00E16E44">
        <w:t xml:space="preserve">Increased </w:t>
      </w:r>
      <w:r w:rsidR="00CA2414" w:rsidRPr="00E16E44">
        <w:t xml:space="preserve">funding and resources </w:t>
      </w:r>
      <w:r w:rsidRPr="00E16E44">
        <w:t>are required to enable</w:t>
      </w:r>
      <w:r w:rsidR="00CA2414" w:rsidRPr="00E16E44">
        <w:t xml:space="preserve"> the Federal Circuit Court to </w:t>
      </w:r>
      <w:r w:rsidRPr="00E16E44">
        <w:t>process</w:t>
      </w:r>
      <w:r w:rsidR="00CA2414" w:rsidRPr="00E16E44">
        <w:t xml:space="preserve"> this caseload and to provide support to asylum seekers going through this process (many of whom may be unrepresented).</w:t>
      </w:r>
    </w:p>
    <w:p w:rsidR="00A76FFC" w:rsidRPr="00A76FFC" w:rsidRDefault="00A76FFC">
      <w:pPr>
        <w:pStyle w:val="Numlevel1"/>
      </w:pPr>
      <w:r w:rsidRPr="00E16E44">
        <w:t>While the legal profession has always prioritised providing pro bono assistance to vulnerable individuals, the withdrawal of this funding has led to an unreasonable burden on the Australian legal community</w:t>
      </w:r>
      <w:r w:rsidRPr="00A76FFC">
        <w:t xml:space="preserve"> and the levels of need in this area </w:t>
      </w:r>
      <w:r w:rsidR="00004220">
        <w:t>far outweigh</w:t>
      </w:r>
      <w:r w:rsidRPr="00A76FFC">
        <w:t xml:space="preserve"> the resources available. This </w:t>
      </w:r>
      <w:r w:rsidR="00E16E44" w:rsidRPr="00A76FFC">
        <w:t xml:space="preserve">funding </w:t>
      </w:r>
      <w:r w:rsidRPr="00A76FFC">
        <w:t xml:space="preserve">withdrawal has placed </w:t>
      </w:r>
      <w:r w:rsidR="00E16E44">
        <w:t>immense</w:t>
      </w:r>
      <w:r w:rsidRPr="00A76FFC">
        <w:t xml:space="preserve"> pressure on immigration lawyers to </w:t>
      </w:r>
      <w:r w:rsidR="00E16E44">
        <w:t>undertake</w:t>
      </w:r>
      <w:r w:rsidRPr="00A76FFC">
        <w:t xml:space="preserve"> more pro bono work, </w:t>
      </w:r>
      <w:r w:rsidR="00E16E44">
        <w:t>conscious</w:t>
      </w:r>
      <w:r w:rsidRPr="00A76FFC">
        <w:t xml:space="preserve"> that client</w:t>
      </w:r>
      <w:r w:rsidR="00E16E44">
        <w:t>s</w:t>
      </w:r>
      <w:r w:rsidRPr="00A76FFC">
        <w:t xml:space="preserve"> cannot afford the fees and will</w:t>
      </w:r>
      <w:r w:rsidR="00E16E44">
        <w:t xml:space="preserve"> otherwise</w:t>
      </w:r>
      <w:r w:rsidRPr="00A76FFC">
        <w:t xml:space="preserve"> be left </w:t>
      </w:r>
      <w:r w:rsidR="00E16E44">
        <w:t>with no</w:t>
      </w:r>
      <w:r w:rsidRPr="00A76FFC">
        <w:t xml:space="preserve"> legal assistance. It is the government’s </w:t>
      </w:r>
      <w:r w:rsidR="00171C31">
        <w:t>responsibility</w:t>
      </w:r>
      <w:r w:rsidRPr="00A76FFC">
        <w:t xml:space="preserve"> to provide this basic level of assistance to these vulnerable persons in our community</w:t>
      </w:r>
      <w:r w:rsidR="00BB33BA">
        <w:t xml:space="preserve"> </w:t>
      </w:r>
    </w:p>
    <w:p w:rsidR="00382821" w:rsidRDefault="00382821" w:rsidP="00382821">
      <w:pPr>
        <w:pStyle w:val="Heading1"/>
      </w:pPr>
      <w:bookmarkStart w:id="12" w:name="_Toc472523367"/>
      <w:r>
        <w:t>Federal courts and tribunals</w:t>
      </w:r>
      <w:bookmarkEnd w:id="12"/>
    </w:p>
    <w:p w:rsidR="00CF636F" w:rsidRDefault="00CF636F" w:rsidP="00CF636F">
      <w:pPr>
        <w:pStyle w:val="Heading2"/>
      </w:pPr>
      <w:bookmarkStart w:id="13" w:name="_Toc472523368"/>
      <w:r>
        <w:t>Family courts</w:t>
      </w:r>
      <w:bookmarkEnd w:id="13"/>
    </w:p>
    <w:p w:rsidR="00CF636F" w:rsidRPr="00273DA0" w:rsidRDefault="00CF636F" w:rsidP="00C737C3">
      <w:pPr>
        <w:pStyle w:val="Numlevel1"/>
      </w:pPr>
      <w:r w:rsidRPr="00273DA0">
        <w:t>The family courts comprise the Family Court of Australia and the family law jurisdictio</w:t>
      </w:r>
      <w:r w:rsidR="0058515F" w:rsidRPr="00273DA0">
        <w:t xml:space="preserve">n of the Federal Circuit Court, </w:t>
      </w:r>
      <w:r w:rsidRPr="00273DA0">
        <w:t xml:space="preserve">which undertakes </w:t>
      </w:r>
      <w:r w:rsidR="0058515F" w:rsidRPr="00273DA0">
        <w:t>the majority</w:t>
      </w:r>
      <w:r w:rsidRPr="00273DA0">
        <w:t xml:space="preserve"> of the family law workload of the federal courts. </w:t>
      </w:r>
      <w:r w:rsidR="00B13CF9">
        <w:t xml:space="preserve">There is a separate Family Court of Western Australia, and appeals from that court lie to the Full Court of the Family Court of Australia. </w:t>
      </w:r>
      <w:r w:rsidRPr="00273DA0">
        <w:t xml:space="preserve">It has been the position of the Law Council </w:t>
      </w:r>
      <w:r w:rsidR="0058515F" w:rsidRPr="00273DA0">
        <w:t xml:space="preserve">for many years </w:t>
      </w:r>
      <w:r w:rsidRPr="00273DA0">
        <w:t>that the family cou</w:t>
      </w:r>
      <w:r w:rsidR="00541610" w:rsidRPr="00273DA0">
        <w:t>rts are inadequately resourced.</w:t>
      </w:r>
    </w:p>
    <w:p w:rsidR="00CF636F" w:rsidRPr="00273DA0" w:rsidRDefault="0058515F">
      <w:pPr>
        <w:pStyle w:val="Numlevel1"/>
      </w:pPr>
      <w:r w:rsidRPr="00273DA0">
        <w:t>A range of social costs result from the</w:t>
      </w:r>
      <w:r w:rsidR="00CF636F" w:rsidRPr="00273DA0">
        <w:t xml:space="preserve"> </w:t>
      </w:r>
      <w:r w:rsidRPr="00273DA0">
        <w:t>failure</w:t>
      </w:r>
      <w:r w:rsidR="00CF636F" w:rsidRPr="00273DA0">
        <w:t xml:space="preserve"> </w:t>
      </w:r>
      <w:r w:rsidRPr="00273DA0">
        <w:t>of</w:t>
      </w:r>
      <w:r w:rsidR="00CF636F" w:rsidRPr="00273DA0">
        <w:t xml:space="preserve"> governments </w:t>
      </w:r>
      <w:r w:rsidRPr="00273DA0">
        <w:t>to resource</w:t>
      </w:r>
      <w:r w:rsidR="00CF636F" w:rsidRPr="00273DA0">
        <w:t xml:space="preserve"> the family courts</w:t>
      </w:r>
      <w:r w:rsidRPr="00273DA0">
        <w:t>, which compound daily</w:t>
      </w:r>
      <w:r w:rsidR="00CF636F" w:rsidRPr="00273DA0">
        <w:t xml:space="preserve">. The </w:t>
      </w:r>
      <w:r w:rsidRPr="00273DA0">
        <w:t xml:space="preserve">cases in </w:t>
      </w:r>
      <w:r w:rsidR="00CF636F" w:rsidRPr="00273DA0">
        <w:t xml:space="preserve">family courts </w:t>
      </w:r>
      <w:r w:rsidRPr="00273DA0">
        <w:t>(involving</w:t>
      </w:r>
      <w:r w:rsidR="00CF636F" w:rsidRPr="00273DA0">
        <w:t xml:space="preserve"> families in crisis, children at risk, and growing numbers of cases involving substance abuse, child neglect and domestic violence</w:t>
      </w:r>
      <w:r w:rsidRPr="00273DA0">
        <w:t>) are</w:t>
      </w:r>
      <w:r w:rsidR="00CF636F" w:rsidRPr="00273DA0">
        <w:t xml:space="preserve"> more likely to require judicial determination and less likely to resolve outside the court system. Delays perpetuated by </w:t>
      </w:r>
      <w:r w:rsidRPr="00273DA0">
        <w:t xml:space="preserve">insufficient funding </w:t>
      </w:r>
      <w:r w:rsidR="00CF636F" w:rsidRPr="00273DA0">
        <w:t>increase risks and uncertainty for children and victims of family violence,</w:t>
      </w:r>
      <w:r w:rsidRPr="00273DA0">
        <w:t xml:space="preserve"> and </w:t>
      </w:r>
      <w:r w:rsidR="00CF636F" w:rsidRPr="00273DA0">
        <w:t>discourag</w:t>
      </w:r>
      <w:r w:rsidRPr="00273DA0">
        <w:t>e</w:t>
      </w:r>
      <w:r w:rsidR="00CF636F" w:rsidRPr="00273DA0">
        <w:t xml:space="preserve"> victims from seeking </w:t>
      </w:r>
      <w:r w:rsidR="00E31E73" w:rsidRPr="00273DA0">
        <w:t xml:space="preserve">protection </w:t>
      </w:r>
      <w:r w:rsidR="005E2D16" w:rsidRPr="00273DA0">
        <w:t>through the justice system.</w:t>
      </w:r>
      <w:r w:rsidR="007D2D61">
        <w:t xml:space="preserve"> The Law Council supports calls by the family courts for additional funding to help them better respond to victims of family violence.</w:t>
      </w:r>
    </w:p>
    <w:p w:rsidR="00CF636F" w:rsidRPr="00273DA0" w:rsidRDefault="00273DA0">
      <w:pPr>
        <w:pStyle w:val="Numlevel1"/>
      </w:pPr>
      <w:r w:rsidRPr="00273DA0">
        <w:t>T</w:t>
      </w:r>
      <w:r w:rsidR="00CF636F" w:rsidRPr="00273DA0">
        <w:t>he Government commissioned KPMG</w:t>
      </w:r>
      <w:r w:rsidRPr="00273DA0">
        <w:t xml:space="preserve"> in 2014</w:t>
      </w:r>
      <w:r w:rsidR="00CF636F" w:rsidRPr="00273DA0">
        <w:t xml:space="preserve"> to report on the structure and funding of the federal courts. </w:t>
      </w:r>
      <w:r w:rsidR="00B71B27" w:rsidRPr="00273DA0">
        <w:t>Although</w:t>
      </w:r>
      <w:r w:rsidR="00CF636F" w:rsidRPr="00273DA0">
        <w:t xml:space="preserve"> </w:t>
      </w:r>
      <w:r w:rsidR="00B71B27" w:rsidRPr="00273DA0">
        <w:t>not</w:t>
      </w:r>
      <w:r w:rsidR="00CF636F" w:rsidRPr="00273DA0">
        <w:t xml:space="preserve"> publ</w:t>
      </w:r>
      <w:r w:rsidR="00B71B27" w:rsidRPr="00273DA0">
        <w:t>icly released by the Government,</w:t>
      </w:r>
      <w:r w:rsidR="00CF636F" w:rsidRPr="00273DA0">
        <w:t xml:space="preserve"> media reports suggest the Report confirm</w:t>
      </w:r>
      <w:r w:rsidR="00B71B27" w:rsidRPr="00273DA0">
        <w:t>s</w:t>
      </w:r>
      <w:r w:rsidR="00CF636F" w:rsidRPr="00273DA0">
        <w:t xml:space="preserve"> that the federal courts are under-resourced and that urgent steps are required to maintain, let alone improve, court services. </w:t>
      </w:r>
      <w:r w:rsidR="007D2D61">
        <w:t>Despite ongoing calls for public release of the KPMG report, this has still not occurred.</w:t>
      </w:r>
    </w:p>
    <w:p w:rsidR="00CF636F" w:rsidRPr="00EE3BCF" w:rsidRDefault="00CF636F">
      <w:pPr>
        <w:pStyle w:val="Numlevel1"/>
      </w:pPr>
      <w:r w:rsidRPr="00EE3BCF">
        <w:t>The workloads of</w:t>
      </w:r>
      <w:r w:rsidR="00EE3BCF" w:rsidRPr="00EE3BCF">
        <w:t xml:space="preserve"> the courts are ever</w:t>
      </w:r>
      <w:r w:rsidR="00C6018D">
        <w:t>-</w:t>
      </w:r>
      <w:r w:rsidR="00EE3BCF" w:rsidRPr="00EE3BCF">
        <w:t>increasing, and t</w:t>
      </w:r>
      <w:r w:rsidRPr="00EE3BCF">
        <w:t xml:space="preserve">he failure by government to replace retiring judges </w:t>
      </w:r>
      <w:r w:rsidR="00015097">
        <w:t>in a timely manner,</w:t>
      </w:r>
      <w:r w:rsidR="00015097" w:rsidRPr="00EE3BCF">
        <w:t xml:space="preserve"> </w:t>
      </w:r>
      <w:r w:rsidRPr="00EE3BCF">
        <w:t xml:space="preserve">and increase the numbers of judicial officers </w:t>
      </w:r>
      <w:r w:rsidR="00EE3BCF" w:rsidRPr="00EE3BCF">
        <w:t>necessary</w:t>
      </w:r>
      <w:r w:rsidRPr="00EE3BCF">
        <w:t xml:space="preserve"> to meet existing case requirements </w:t>
      </w:r>
      <w:r w:rsidR="00EE3BCF" w:rsidRPr="00EE3BCF">
        <w:t>exacerbates</w:t>
      </w:r>
      <w:r w:rsidRPr="00EE3BCF">
        <w:t xml:space="preserve"> the problem. </w:t>
      </w:r>
    </w:p>
    <w:p w:rsidR="00756705" w:rsidRPr="00732FD6" w:rsidRDefault="00CF636F">
      <w:pPr>
        <w:pStyle w:val="Numlevel1"/>
      </w:pPr>
      <w:r w:rsidRPr="00C36216">
        <w:t xml:space="preserve">The Courts Administration Legislation Amendment </w:t>
      </w:r>
      <w:r w:rsidR="00C36216" w:rsidRPr="00C36216">
        <w:t>Bill 2015, which was passed in March 2016</w:t>
      </w:r>
      <w:r w:rsidRPr="00C36216">
        <w:t>, merge</w:t>
      </w:r>
      <w:r w:rsidR="00C36216" w:rsidRPr="00C36216">
        <w:t>s</w:t>
      </w:r>
      <w:r w:rsidRPr="00C36216">
        <w:t xml:space="preserve"> the corporate services functions of the Federal Court with those of the Family Court and Federal Circuit Court. </w:t>
      </w:r>
      <w:r w:rsidR="00C36216" w:rsidRPr="00C36216">
        <w:t>When the Bill was introduced,</w:t>
      </w:r>
      <w:r w:rsidRPr="00C36216">
        <w:t xml:space="preserve"> the Government committed to reinvest any savings gained through this legislation back into the courts to support their core functions. </w:t>
      </w:r>
      <w:r w:rsidR="00C36216" w:rsidRPr="00C36216">
        <w:t xml:space="preserve">While the Law Council supports this reinvestment, </w:t>
      </w:r>
      <w:r w:rsidRPr="00C36216">
        <w:t>it still falls well short of what is required to enable the family courts to deliver timely services to the community.</w:t>
      </w:r>
      <w:r w:rsidR="00756705" w:rsidRPr="00732FD6">
        <w:t xml:space="preserve"> </w:t>
      </w:r>
    </w:p>
    <w:p w:rsidR="00D35F34" w:rsidRDefault="00572F06" w:rsidP="00572F06">
      <w:pPr>
        <w:pStyle w:val="Heading2"/>
      </w:pPr>
      <w:bookmarkStart w:id="14" w:name="_Toc472523369"/>
      <w:r>
        <w:t>Federal Circuit Court</w:t>
      </w:r>
      <w:bookmarkEnd w:id="14"/>
      <w:r>
        <w:t xml:space="preserve"> </w:t>
      </w:r>
    </w:p>
    <w:p w:rsidR="00245FF9" w:rsidRDefault="00D35F34" w:rsidP="00E551F6">
      <w:pPr>
        <w:pStyle w:val="Heading3"/>
      </w:pPr>
      <w:bookmarkStart w:id="15" w:name="_Toc472523370"/>
      <w:r>
        <w:t>E</w:t>
      </w:r>
      <w:r w:rsidR="00572F06">
        <w:t xml:space="preserve">xpanding </w:t>
      </w:r>
      <w:r>
        <w:t>G</w:t>
      </w:r>
      <w:r w:rsidR="00572F06">
        <w:t xml:space="preserve">eneral </w:t>
      </w:r>
      <w:r>
        <w:t>J</w:t>
      </w:r>
      <w:r w:rsidR="00572F06">
        <w:t>urisdiction</w:t>
      </w:r>
      <w:bookmarkEnd w:id="15"/>
    </w:p>
    <w:p w:rsidR="00CD406D" w:rsidRPr="00E551F6" w:rsidRDefault="00D62F87">
      <w:pPr>
        <w:pStyle w:val="Numlevel1"/>
      </w:pPr>
      <w:r w:rsidRPr="00C737C3">
        <w:t>The Federal Circuit Court has an increasingly broad general law jurisdiction in</w:t>
      </w:r>
      <w:r w:rsidR="00572F06" w:rsidRPr="00127F8D">
        <w:t xml:space="preserve"> addition to its </w:t>
      </w:r>
      <w:r w:rsidRPr="00AB005B">
        <w:t xml:space="preserve">considerable </w:t>
      </w:r>
      <w:r w:rsidR="00572F06" w:rsidRPr="00AB005B">
        <w:t>family law jurisdiction</w:t>
      </w:r>
      <w:r w:rsidR="00CD406D" w:rsidRPr="00AB005B">
        <w:t xml:space="preserve">. </w:t>
      </w:r>
      <w:r w:rsidR="00CD406D" w:rsidRPr="00E551F6">
        <w:t xml:space="preserve">There is a significant cumulative impact of the continued conferral of additional jurisdiction on the Court </w:t>
      </w:r>
      <w:r w:rsidR="00CD406D" w:rsidRPr="00C737C3">
        <w:t>as Commonwealth legislation provides for recourse to it in a diverse range of commercial and other general federal areas for which the Commonwealth has responsibility</w:t>
      </w:r>
      <w:r w:rsidR="00CD406D" w:rsidRPr="00127F8D">
        <w:t>,</w:t>
      </w:r>
      <w:r w:rsidR="00EB4ED8" w:rsidRPr="00AB005B">
        <w:rPr>
          <w:rStyle w:val="FootnoteReference"/>
          <w:color w:val="auto"/>
        </w:rPr>
        <w:footnoteReference w:id="24"/>
      </w:r>
      <w:r w:rsidR="00CD406D" w:rsidRPr="00E551F6">
        <w:rPr>
          <w:rStyle w:val="FootnoteReference"/>
          <w:color w:val="auto"/>
        </w:rPr>
        <w:t xml:space="preserve"> </w:t>
      </w:r>
      <w:r w:rsidR="00CD406D" w:rsidRPr="00E551F6">
        <w:t xml:space="preserve">without the appointment of additional Judges to manage the cases that are commenced in reliance on and pursuant to that additional jurisdiction. For example, the Court is (or will shortly be) accruing further jurisdiction  as  a  result  of  the passage of legislation  to  re-establish  the  Australian  Building  and  Construction Commission  </w:t>
      </w:r>
      <w:r w:rsidR="00D73E8C">
        <w:t xml:space="preserve">(ABCC) </w:t>
      </w:r>
      <w:r w:rsidR="00CD406D" w:rsidRPr="00E551F6">
        <w:t xml:space="preserve">and  it will have some further limited  jurisdiction  under  the  amendments to the Registered Organisation </w:t>
      </w:r>
      <w:r w:rsidR="00D73E8C">
        <w:t xml:space="preserve">(RO) </w:t>
      </w:r>
      <w:r w:rsidR="00CD406D" w:rsidRPr="00E551F6">
        <w:t>provisions.</w:t>
      </w:r>
    </w:p>
    <w:p w:rsidR="00572F06" w:rsidRPr="00AB005B" w:rsidRDefault="00CD406D">
      <w:pPr>
        <w:pStyle w:val="Numlevel1"/>
      </w:pPr>
      <w:r w:rsidRPr="00E551F6">
        <w:rPr>
          <w:iCs w:val="0"/>
        </w:rPr>
        <w:t xml:space="preserve">The Court's workload in </w:t>
      </w:r>
      <w:r w:rsidRPr="00C737C3">
        <w:t>particular</w:t>
      </w:r>
      <w:r w:rsidRPr="00E551F6">
        <w:rPr>
          <w:iCs w:val="0"/>
        </w:rPr>
        <w:t xml:space="preserve"> aspects of its existing jurisdiction is continuing to increase without the conferral of additional jurisdiction</w:t>
      </w:r>
      <w:r w:rsidR="00D73E8C">
        <w:rPr>
          <w:iCs w:val="0"/>
        </w:rPr>
        <w:t xml:space="preserve"> for ABCC and ROs</w:t>
      </w:r>
      <w:r w:rsidRPr="00E551F6">
        <w:rPr>
          <w:iCs w:val="0"/>
        </w:rPr>
        <w:t>,</w:t>
      </w:r>
      <w:r w:rsidR="00572F06" w:rsidRPr="00127F8D">
        <w:t xml:space="preserve"> particularly in industrial law and migration matters. </w:t>
      </w:r>
      <w:r w:rsidR="00E87A1B" w:rsidRPr="00AB005B">
        <w:rPr>
          <w:iCs w:val="0"/>
        </w:rPr>
        <w:t xml:space="preserve">Chief Judge John Pascoe AC CVO of the Federal Circuit Court </w:t>
      </w:r>
      <w:r w:rsidR="00572F06" w:rsidRPr="00AB005B">
        <w:rPr>
          <w:iCs w:val="0"/>
        </w:rPr>
        <w:t xml:space="preserve">wrote in the Court’s </w:t>
      </w:r>
      <w:r w:rsidR="00572F06" w:rsidRPr="00AB005B">
        <w:rPr>
          <w:i/>
          <w:iCs w:val="0"/>
        </w:rPr>
        <w:t xml:space="preserve">Annual Report </w:t>
      </w:r>
      <w:r w:rsidR="00F46248" w:rsidRPr="00AB005B">
        <w:rPr>
          <w:iCs w:val="0"/>
        </w:rPr>
        <w:t>2014/15 that over the previous five years the number of migration filings had grown four-fold</w:t>
      </w:r>
      <w:r w:rsidR="00F46248" w:rsidRPr="00684676">
        <w:rPr>
          <w:iCs w:val="0"/>
        </w:rPr>
        <w:t>.</w:t>
      </w:r>
      <w:r w:rsidR="00572F06" w:rsidRPr="00684676">
        <w:rPr>
          <w:iCs w:val="0"/>
        </w:rPr>
        <w:t xml:space="preserve"> </w:t>
      </w:r>
      <w:r w:rsidRPr="00E551F6">
        <w:rPr>
          <w:iCs w:val="0"/>
        </w:rPr>
        <w:t>Projected  filing  figures  for  migration  and industrial  applications  for  2016-2017  (based  on  filings to 31 October 2016) show a further marked upward trend with the possibility of overall filings  nearing 100,000.  The  increasing  migration workload is clearly impacting  on  judicial  resources and there is little that the Court can do other  than  list  matters  out  for a hearing.  Unlike family law, where the majority of matters</w:t>
      </w:r>
      <w:r w:rsidR="002B7E3D">
        <w:rPr>
          <w:iCs w:val="0"/>
        </w:rPr>
        <w:t xml:space="preserve"> filed do not proceed to a final</w:t>
      </w:r>
      <w:r w:rsidRPr="00E551F6">
        <w:rPr>
          <w:iCs w:val="0"/>
        </w:rPr>
        <w:t xml:space="preserve"> hearing (</w:t>
      </w:r>
      <w:r w:rsidR="002B7E3D">
        <w:t>and</w:t>
      </w:r>
      <w:r w:rsidRPr="00E551F6">
        <w:rPr>
          <w:iCs w:val="0"/>
        </w:rPr>
        <w:t xml:space="preserve"> are resolved before final hearing), most migration ma</w:t>
      </w:r>
      <w:r w:rsidR="001951C4">
        <w:rPr>
          <w:iCs w:val="0"/>
        </w:rPr>
        <w:t>tters do require a</w:t>
      </w:r>
      <w:r w:rsidR="001951C4">
        <w:t xml:space="preserve"> </w:t>
      </w:r>
      <w:r w:rsidR="001951C4">
        <w:rPr>
          <w:iCs w:val="0"/>
        </w:rPr>
        <w:t>hearing</w:t>
      </w:r>
      <w:r w:rsidR="001951C4">
        <w:t xml:space="preserve"> </w:t>
      </w:r>
      <w:r w:rsidR="001951C4">
        <w:rPr>
          <w:iCs w:val="0"/>
        </w:rPr>
        <w:t>and </w:t>
      </w:r>
      <w:r w:rsidRPr="00E551F6">
        <w:rPr>
          <w:iCs w:val="0"/>
        </w:rPr>
        <w:t>the</w:t>
      </w:r>
      <w:r w:rsidR="00FD088C">
        <w:rPr>
          <w:iCs w:val="0"/>
        </w:rPr>
        <w:t xml:space="preserve"> </w:t>
      </w:r>
      <w:r w:rsidRPr="00E551F6">
        <w:rPr>
          <w:iCs w:val="0"/>
        </w:rPr>
        <w:t>allocation of judgment  writing time. </w:t>
      </w:r>
      <w:r w:rsidR="00572F06" w:rsidRPr="00AB005B">
        <w:t>The processing of the approximately 3</w:t>
      </w:r>
      <w:r w:rsidR="00E87C84" w:rsidRPr="00AB005B">
        <w:t xml:space="preserve">0,000 persons who comprise the </w:t>
      </w:r>
      <w:r w:rsidR="00572F06" w:rsidRPr="00AB005B">
        <w:t xml:space="preserve">migration legacy caseload </w:t>
      </w:r>
      <w:r w:rsidR="00E87C84" w:rsidRPr="00AB005B">
        <w:t xml:space="preserve">will </w:t>
      </w:r>
      <w:r w:rsidR="00572F06" w:rsidRPr="00AB005B">
        <w:t xml:space="preserve">stretch the </w:t>
      </w:r>
      <w:r w:rsidR="008D6C70" w:rsidRPr="00AB005B">
        <w:t>C</w:t>
      </w:r>
      <w:r w:rsidR="00572F06" w:rsidRPr="00AB005B">
        <w:t>ourt</w:t>
      </w:r>
      <w:r w:rsidR="002B7E3D">
        <w:t>’s</w:t>
      </w:r>
      <w:r w:rsidR="00572F06" w:rsidRPr="00AB005B">
        <w:t xml:space="preserve"> </w:t>
      </w:r>
      <w:r w:rsidR="004F0372" w:rsidRPr="00AB005B">
        <w:t xml:space="preserve">already limited judicial resources even </w:t>
      </w:r>
      <w:r w:rsidR="00572F06" w:rsidRPr="00AB005B">
        <w:t>further.</w:t>
      </w:r>
    </w:p>
    <w:p w:rsidR="004F0372" w:rsidRPr="00E551F6" w:rsidRDefault="004F0372">
      <w:pPr>
        <w:pStyle w:val="Numlevel1"/>
        <w:rPr>
          <w:rFonts w:eastAsia="Times New Roman"/>
        </w:rPr>
      </w:pPr>
      <w:r w:rsidRPr="00AB005B">
        <w:t>The additional conferral of appropriate general federal jurisdiction on the Court is not inappropriate: the Court in its general federal jurisdiction is intended to operate as the intermediate federal court across Australia and dispose of matters that are brought to it cost effectively and efficiently and in accordance with the law. This is of particular benefit to</w:t>
      </w:r>
      <w:r w:rsidR="00B37F4A" w:rsidRPr="00AB005B">
        <w:t xml:space="preserve"> small–and</w:t>
      </w:r>
      <w:r w:rsidR="00E112FA">
        <w:t>-</w:t>
      </w:r>
      <w:r w:rsidR="00B37F4A" w:rsidRPr="00AB005B">
        <w:t xml:space="preserve">medium–sized enterprises (SMEs) </w:t>
      </w:r>
      <w:r w:rsidRPr="00AB005B">
        <w:t xml:space="preserve">and family businesses more generally. It is also of particular benefit where the extension of jurisdiction fills a jurisdictional vacuum that is inconsistent with the conferral of other related jurisdiction. That is why, for example, the Law Council has advocated for a limited conferral of </w:t>
      </w:r>
      <w:r w:rsidR="00E112FA">
        <w:t>c</w:t>
      </w:r>
      <w:r w:rsidRPr="00AB005B">
        <w:t xml:space="preserve">orporations </w:t>
      </w:r>
      <w:r w:rsidR="00E112FA">
        <w:t>l</w:t>
      </w:r>
      <w:r w:rsidRPr="00AB005B">
        <w:t xml:space="preserve">aw jurisdiction on the Court, with the result that in December 2015 the Senate Economic References Committee recommended the Australian Government give serious consideration to extending the jurisdiction of the Federal Circuit Court to include corporate insolvencies under the </w:t>
      </w:r>
      <w:r w:rsidRPr="00AB005B">
        <w:rPr>
          <w:i/>
        </w:rPr>
        <w:t xml:space="preserve">Corporations Act </w:t>
      </w:r>
      <w:r w:rsidRPr="00E551F6">
        <w:rPr>
          <w:i/>
        </w:rPr>
        <w:t>2001</w:t>
      </w:r>
      <w:r w:rsidRPr="00AB005B">
        <w:t xml:space="preserve"> (Cth).</w:t>
      </w:r>
      <w:r w:rsidR="00BB7735" w:rsidRPr="00AB005B">
        <w:rPr>
          <w:rStyle w:val="FootnoteReference"/>
          <w:color w:val="auto"/>
        </w:rPr>
        <w:t xml:space="preserve"> </w:t>
      </w:r>
      <w:r w:rsidR="00BB7735" w:rsidRPr="00AB005B">
        <w:rPr>
          <w:rStyle w:val="FootnoteReference"/>
          <w:color w:val="auto"/>
        </w:rPr>
        <w:footnoteReference w:id="25"/>
      </w:r>
      <w:r w:rsidRPr="00E551F6">
        <w:rPr>
          <w:rFonts w:eastAsia="Times New Roman"/>
        </w:rPr>
        <w:t xml:space="preserve"> </w:t>
      </w:r>
    </w:p>
    <w:p w:rsidR="004F0372" w:rsidRPr="00E551F6" w:rsidRDefault="004F0372">
      <w:pPr>
        <w:pStyle w:val="Numlevel1"/>
      </w:pPr>
      <w:r w:rsidRPr="00E551F6">
        <w:t xml:space="preserve">However, there are still only a limited number of judges of the Court </w:t>
      </w:r>
      <w:r w:rsidR="00396DEB">
        <w:t>with appropriate general law expertise</w:t>
      </w:r>
      <w:r w:rsidRPr="00E551F6">
        <w:t xml:space="preserve"> and the workload of the Court is such that all judges have very full dockets and there are limited opportunities for cross</w:t>
      </w:r>
      <w:r w:rsidR="00E112FA">
        <w:t>-</w:t>
      </w:r>
      <w:r w:rsidRPr="00E551F6">
        <w:t>jurisdictional support.  The lack of funding to support the appointment of additional Judges to deal with the Court's</w:t>
      </w:r>
      <w:r w:rsidRPr="00C737C3">
        <w:t xml:space="preserve"> in</w:t>
      </w:r>
      <w:r w:rsidRPr="00127F8D">
        <w:t>creasing workload threaten</w:t>
      </w:r>
      <w:r w:rsidRPr="00E551F6">
        <w:t>s</w:t>
      </w:r>
      <w:r w:rsidRPr="00C737C3">
        <w:t xml:space="preserve"> the </w:t>
      </w:r>
      <w:r w:rsidRPr="00E551F6">
        <w:t>C</w:t>
      </w:r>
      <w:r w:rsidRPr="00C737C3">
        <w:t xml:space="preserve">ourt’s capacity to </w:t>
      </w:r>
      <w:r w:rsidRPr="00E551F6">
        <w:t>properly perform its</w:t>
      </w:r>
      <w:r w:rsidRPr="00C737C3">
        <w:t xml:space="preserve"> intended function</w:t>
      </w:r>
      <w:r w:rsidRPr="00E551F6">
        <w:t xml:space="preserve"> as the intermediate federal court and undermines the confidence of the public and SMEs in it</w:t>
      </w:r>
      <w:r w:rsidRPr="00C737C3">
        <w:t xml:space="preserve">s </w:t>
      </w:r>
      <w:r w:rsidRPr="00E551F6">
        <w:t>capacity to resolve cases in a timely, cost effective and just manner.</w:t>
      </w:r>
    </w:p>
    <w:p w:rsidR="00DF5B4A" w:rsidRPr="00AB005B" w:rsidRDefault="001A2740">
      <w:pPr>
        <w:pStyle w:val="Numlevel1"/>
      </w:pPr>
      <w:r w:rsidRPr="00AB005B">
        <w:t>While the</w:t>
      </w:r>
      <w:r w:rsidR="005F38A2" w:rsidRPr="00AB005B">
        <w:t xml:space="preserve"> Law Council has consistently supported the expansion of the Federal Circuit Court’s general law jurisdiction as </w:t>
      </w:r>
      <w:r w:rsidRPr="00AB005B">
        <w:t xml:space="preserve">appropriate to its intended functions and </w:t>
      </w:r>
      <w:r w:rsidR="005F38A2" w:rsidRPr="00AB005B">
        <w:t>necessary to r</w:t>
      </w:r>
      <w:r w:rsidRPr="00AB005B">
        <w:t>elieve pressure on higher courts,</w:t>
      </w:r>
      <w:r w:rsidR="005F38A2" w:rsidRPr="00AB005B">
        <w:t xml:space="preserve"> </w:t>
      </w:r>
      <w:r w:rsidR="00F31480" w:rsidRPr="00AB005B">
        <w:t>increased funding and the timely appointment of additional judges in each of its jurisdictions is critical to enable the</w:t>
      </w:r>
      <w:r w:rsidR="005F38A2" w:rsidRPr="00AB005B">
        <w:t xml:space="preserve"> </w:t>
      </w:r>
      <w:r w:rsidR="00F31480" w:rsidRPr="00AB005B">
        <w:t xml:space="preserve">Federal Circuit Court </w:t>
      </w:r>
      <w:r w:rsidR="005F38A2" w:rsidRPr="00AB005B">
        <w:t xml:space="preserve">to </w:t>
      </w:r>
      <w:r w:rsidR="00F31480" w:rsidRPr="00AB005B">
        <w:t>process</w:t>
      </w:r>
      <w:r w:rsidR="005F38A2" w:rsidRPr="00AB005B">
        <w:t xml:space="preserve"> its existing workload and any additional work arising </w:t>
      </w:r>
      <w:r w:rsidR="00F31480" w:rsidRPr="00AB005B">
        <w:t xml:space="preserve">from </w:t>
      </w:r>
      <w:r w:rsidR="005F38A2" w:rsidRPr="00AB005B">
        <w:t xml:space="preserve">its expanding general jurisdiction. </w:t>
      </w:r>
      <w:r w:rsidR="00F31480" w:rsidRPr="00AB005B">
        <w:t xml:space="preserve"> </w:t>
      </w:r>
    </w:p>
    <w:p w:rsidR="009044F2" w:rsidRPr="00E551F6" w:rsidRDefault="00DF5B4A" w:rsidP="00E551F6">
      <w:pPr>
        <w:pStyle w:val="Heading3"/>
        <w:rPr>
          <w:color w:val="auto"/>
        </w:rPr>
      </w:pPr>
      <w:bookmarkStart w:id="16" w:name="_Toc472523371"/>
      <w:r w:rsidRPr="00E551F6">
        <w:rPr>
          <w:color w:val="auto"/>
        </w:rPr>
        <w:t>Intellectual Property</w:t>
      </w:r>
      <w:bookmarkEnd w:id="16"/>
    </w:p>
    <w:p w:rsidR="00AD0FA9" w:rsidRPr="00E551F6" w:rsidRDefault="009044F2" w:rsidP="00E551F6">
      <w:pPr>
        <w:pStyle w:val="Numlevel1"/>
      </w:pPr>
      <w:r w:rsidRPr="00C737C3">
        <w:t>Th</w:t>
      </w:r>
      <w:r w:rsidRPr="00127F8D">
        <w:t xml:space="preserve">e Productivity Commission </w:t>
      </w:r>
      <w:r w:rsidRPr="00E112FA">
        <w:t xml:space="preserve">released </w:t>
      </w:r>
      <w:r w:rsidR="007F2C8E" w:rsidRPr="00E112FA">
        <w:t>an</w:t>
      </w:r>
      <w:r w:rsidRPr="00E112FA">
        <w:t xml:space="preserve"> Intellectual Property Arrangements Inquiry</w:t>
      </w:r>
      <w:r w:rsidRPr="00D8014A">
        <w:t xml:space="preserve"> report on 20 December 2016</w:t>
      </w:r>
      <w:r w:rsidRPr="00E551F6">
        <w:t xml:space="preserve"> which examines Australia’s Intellectual Property (IP) system and makes recommendations to improve its operation.</w:t>
      </w:r>
    </w:p>
    <w:p w:rsidR="00DF5B4A" w:rsidRPr="00E551F6" w:rsidRDefault="00C06F37" w:rsidP="00E551F6">
      <w:pPr>
        <w:pStyle w:val="Numlevel1"/>
      </w:pPr>
      <w:r w:rsidRPr="00E551F6">
        <w:t xml:space="preserve">The Productivity Commission argues that reform is required to improve access for SMEs to enforcement and justice. </w:t>
      </w:r>
      <w:r w:rsidR="009E3F04" w:rsidRPr="00E551F6">
        <w:t xml:space="preserve">Large, well-resourced firms are able to adequately resolve their IP disputes, however </w:t>
      </w:r>
      <w:r w:rsidRPr="00E551F6">
        <w:t xml:space="preserve">SMEs </w:t>
      </w:r>
      <w:r w:rsidR="009E3F04" w:rsidRPr="00E551F6">
        <w:t xml:space="preserve">are often deterred from doing so due to the high costs and risks involved. </w:t>
      </w:r>
    </w:p>
    <w:p w:rsidR="00DF5B4A" w:rsidRPr="00127F8D" w:rsidRDefault="009E3F04" w:rsidP="00E551F6">
      <w:pPr>
        <w:pStyle w:val="Numlevel1"/>
      </w:pPr>
      <w:r w:rsidRPr="00E551F6">
        <w:t>The Productivity Commission recommend</w:t>
      </w:r>
      <w:r w:rsidR="00D8014A">
        <w:t>ed</w:t>
      </w:r>
      <w:r w:rsidRPr="00D8014A">
        <w:t xml:space="preserve"> that the Australian Government should introduce a specialist IP list in the Federal Circuit Court, with procedural rules similar to the </w:t>
      </w:r>
      <w:r w:rsidRPr="00E551F6">
        <w:t>United Kingdom Intellectual Property Enterprise Court (IPEC), including limiting trials to two days, caps on claimable costs and damages, and a small claims procedure for low</w:t>
      </w:r>
      <w:r w:rsidRPr="00E551F6">
        <w:noBreakHyphen/>
        <w:t>value cases. The Productivity Commission considers that expanding the jurisdiction of the Federal Circuit Court to hear all IP matters as such would provide a timely and low cost option for resolving IP disputes.</w:t>
      </w:r>
      <w:r w:rsidRPr="00E551F6">
        <w:rPr>
          <w:rStyle w:val="FootnoteReference"/>
          <w:color w:val="auto"/>
        </w:rPr>
        <w:footnoteReference w:id="26"/>
      </w:r>
      <w:r w:rsidRPr="00C737C3">
        <w:t xml:space="preserve"> </w:t>
      </w:r>
    </w:p>
    <w:p w:rsidR="00D27A6B" w:rsidRPr="00C737C3" w:rsidRDefault="00D27A6B">
      <w:pPr>
        <w:pStyle w:val="Numlevel1"/>
      </w:pPr>
      <w:r w:rsidRPr="00AB005B">
        <w:t>It is further argued that this would complement current reforms by the Federal Court for IP case management within the National Court Framework, which are likely to benefit parties involved in high value IP disputes, and that the Australian Government should assess the costs and benefits of these reforms five years after implementation.</w:t>
      </w:r>
      <w:r w:rsidRPr="00E551F6">
        <w:rPr>
          <w:rStyle w:val="FootnoteReference"/>
          <w:color w:val="auto"/>
        </w:rPr>
        <w:footnoteReference w:id="27"/>
      </w:r>
    </w:p>
    <w:p w:rsidR="009E3F04" w:rsidRPr="00C737C3" w:rsidRDefault="009E3F04" w:rsidP="00E551F6">
      <w:pPr>
        <w:pStyle w:val="Numlevel1"/>
      </w:pPr>
      <w:r w:rsidRPr="00127F8D">
        <w:t xml:space="preserve">As </w:t>
      </w:r>
      <w:r w:rsidR="000669CF" w:rsidRPr="00E112FA">
        <w:t xml:space="preserve">it is anticipated that </w:t>
      </w:r>
      <w:r w:rsidRPr="00E112FA">
        <w:t>these reforms w</w:t>
      </w:r>
      <w:r w:rsidR="00B91318" w:rsidRPr="00D8014A">
        <w:t xml:space="preserve">ould result in additional demands </w:t>
      </w:r>
      <w:r w:rsidR="00B91318" w:rsidRPr="00E551F6">
        <w:t>on the Court</w:t>
      </w:r>
      <w:r w:rsidR="00B91318" w:rsidRPr="00C737C3">
        <w:t>,</w:t>
      </w:r>
      <w:r w:rsidRPr="00127F8D">
        <w:t xml:space="preserve"> t</w:t>
      </w:r>
      <w:r w:rsidRPr="00E112FA">
        <w:t>he Productivity Commission argues that the Court should be adequately resourced to ensure that a greater workload arising from these reforms does not result in longer resolution times.</w:t>
      </w:r>
      <w:r w:rsidRPr="00E551F6">
        <w:rPr>
          <w:rStyle w:val="FootnoteReference"/>
          <w:color w:val="auto"/>
        </w:rPr>
        <w:footnoteReference w:id="28"/>
      </w:r>
    </w:p>
    <w:p w:rsidR="00B91318" w:rsidRPr="00C737C3" w:rsidRDefault="00B91318" w:rsidP="00E551F6">
      <w:pPr>
        <w:pStyle w:val="Numlevel1"/>
      </w:pPr>
      <w:r w:rsidRPr="00E551F6">
        <w:t xml:space="preserve">The Court has responded to the Productivity Commission's recommendations by working with the Law Council to pilot improved procedures for the management of IP disputes of the kind that concern </w:t>
      </w:r>
      <w:r w:rsidR="0056436B" w:rsidRPr="00E551F6">
        <w:t>SMEs</w:t>
      </w:r>
      <w:r w:rsidRPr="00E551F6">
        <w:t>, but its capacity to respond adequately to the Productivity Commission recommendations is again hampered by the lack of judicial resources available.</w:t>
      </w:r>
    </w:p>
    <w:p w:rsidR="00677816" w:rsidRDefault="00917A7E" w:rsidP="00917A7E">
      <w:pPr>
        <w:pStyle w:val="Heading2"/>
      </w:pPr>
      <w:bookmarkStart w:id="17" w:name="_Toc472523372"/>
      <w:r>
        <w:t>Administrative Appeals Tribunal (AAT)</w:t>
      </w:r>
      <w:bookmarkEnd w:id="17"/>
    </w:p>
    <w:p w:rsidR="00917A7E" w:rsidRPr="008C5B38" w:rsidRDefault="006C3831" w:rsidP="00C737C3">
      <w:pPr>
        <w:pStyle w:val="Numlevel1"/>
      </w:pPr>
      <w:r w:rsidRPr="008C5B38">
        <w:t>T</w:t>
      </w:r>
      <w:r w:rsidR="00917A7E" w:rsidRPr="008C5B38">
        <w:t xml:space="preserve">here are currently significant backlogs in the recently amalgamated AAT’s case load, particularly in the migration law jurisdiction. </w:t>
      </w:r>
    </w:p>
    <w:p w:rsidR="006C3831" w:rsidRPr="008C5B38" w:rsidRDefault="006C3831">
      <w:pPr>
        <w:pStyle w:val="Numlevel1"/>
      </w:pPr>
      <w:r w:rsidRPr="008C5B38">
        <w:t>The Law Council submits that s</w:t>
      </w:r>
      <w:r w:rsidR="00917A7E" w:rsidRPr="008C5B38">
        <w:t xml:space="preserve">ubstantial additional funding is required to alleviate pressure on the AAT </w:t>
      </w:r>
      <w:r w:rsidRPr="008C5B38">
        <w:t>and</w:t>
      </w:r>
      <w:r w:rsidR="00917A7E" w:rsidRPr="008C5B38">
        <w:t xml:space="preserve"> reduce this backlog, particularly </w:t>
      </w:r>
      <w:r w:rsidRPr="008C5B38">
        <w:t>given the</w:t>
      </w:r>
      <w:r w:rsidR="00917A7E" w:rsidRPr="008C5B38">
        <w:t xml:space="preserve"> </w:t>
      </w:r>
      <w:r w:rsidRPr="008C5B38">
        <w:t>considerable</w:t>
      </w:r>
      <w:r w:rsidR="00917A7E" w:rsidRPr="008C5B38">
        <w:t xml:space="preserve"> number of members whose appointments were discontinued following the amalgamation of the Commonwealth tribunals in the AAT. </w:t>
      </w:r>
    </w:p>
    <w:p w:rsidR="00917A7E" w:rsidRPr="008C5B38" w:rsidRDefault="006C3831">
      <w:pPr>
        <w:pStyle w:val="Numlevel1"/>
      </w:pPr>
      <w:r w:rsidRPr="008C5B38">
        <w:t>Considerable</w:t>
      </w:r>
      <w:r w:rsidR="00917A7E" w:rsidRPr="008C5B38">
        <w:t xml:space="preserve"> delays in the listing of matters for hearing</w:t>
      </w:r>
      <w:r w:rsidRPr="008C5B38">
        <w:t xml:space="preserve"> exceed 12 months in many cases.</w:t>
      </w:r>
      <w:r w:rsidR="00917A7E" w:rsidRPr="008C5B38">
        <w:t xml:space="preserve"> </w:t>
      </w:r>
      <w:r w:rsidRPr="008C5B38">
        <w:t>This is</w:t>
      </w:r>
      <w:r w:rsidR="00917A7E" w:rsidRPr="008C5B38">
        <w:t xml:space="preserve"> impeding the </w:t>
      </w:r>
      <w:r w:rsidRPr="008C5B38">
        <w:t xml:space="preserve">ability </w:t>
      </w:r>
      <w:r w:rsidR="00917A7E" w:rsidRPr="008C5B38">
        <w:t xml:space="preserve">of the Tribunal to fulfil its statutory functions, </w:t>
      </w:r>
      <w:r w:rsidRPr="008C5B38">
        <w:t xml:space="preserve">undermining </w:t>
      </w:r>
      <w:r w:rsidR="00917A7E" w:rsidRPr="008C5B38">
        <w:t>Section 2A of the Administrative Appeals Tribunal Act 1975, which states:</w:t>
      </w:r>
    </w:p>
    <w:p w:rsidR="002B2D28" w:rsidRPr="008C5B38" w:rsidRDefault="002B2D28">
      <w:pPr>
        <w:pStyle w:val="Numlevel2"/>
        <w:ind w:left="567"/>
      </w:pPr>
      <w:r w:rsidRPr="008C5B38">
        <w:t>In carrying out its functions, the Tribunal must pursue the objective of providing a mechanism of review that:</w:t>
      </w:r>
    </w:p>
    <w:p w:rsidR="002B2D28" w:rsidRDefault="002B2D28" w:rsidP="00E551F6">
      <w:pPr>
        <w:pStyle w:val="Numlevel3"/>
        <w:numPr>
          <w:ilvl w:val="0"/>
          <w:numId w:val="33"/>
        </w:numPr>
      </w:pPr>
      <w:r w:rsidRPr="00732FD6">
        <w:t xml:space="preserve">is accessible; and </w:t>
      </w:r>
    </w:p>
    <w:p w:rsidR="00993B22" w:rsidRDefault="002B2D28" w:rsidP="00E551F6">
      <w:pPr>
        <w:pStyle w:val="Numlevel3"/>
        <w:numPr>
          <w:ilvl w:val="0"/>
          <w:numId w:val="33"/>
        </w:numPr>
      </w:pPr>
      <w:r w:rsidRPr="00732FD6">
        <w:t xml:space="preserve">is fair, just, economical, informal and quick; and </w:t>
      </w:r>
    </w:p>
    <w:p w:rsidR="002B2D28" w:rsidRDefault="002B2D28" w:rsidP="00E551F6">
      <w:pPr>
        <w:pStyle w:val="Numlevel3"/>
        <w:numPr>
          <w:ilvl w:val="0"/>
          <w:numId w:val="33"/>
        </w:numPr>
      </w:pPr>
      <w:r w:rsidRPr="00732FD6">
        <w:t xml:space="preserve">is proportionate to the importance and complexity of the matter; and </w:t>
      </w:r>
    </w:p>
    <w:p w:rsidR="002B2D28" w:rsidRDefault="002B2D28" w:rsidP="00E551F6">
      <w:pPr>
        <w:pStyle w:val="Numlevel3"/>
        <w:numPr>
          <w:ilvl w:val="0"/>
          <w:numId w:val="33"/>
        </w:numPr>
      </w:pPr>
      <w:r w:rsidRPr="00732FD6">
        <w:t>promotes public trust and confidence in the decision-making of the Tribunal.</w:t>
      </w:r>
    </w:p>
    <w:p w:rsidR="008B070C" w:rsidRDefault="008B070C" w:rsidP="008B070C">
      <w:pPr>
        <w:pStyle w:val="Heading1"/>
      </w:pPr>
      <w:bookmarkStart w:id="18" w:name="_Toc472523373"/>
      <w:r>
        <w:t>Funding for statutory and government bodies</w:t>
      </w:r>
      <w:bookmarkEnd w:id="18"/>
    </w:p>
    <w:p w:rsidR="001E2C6F" w:rsidRDefault="008B070C" w:rsidP="008B070C">
      <w:pPr>
        <w:pStyle w:val="Heading2"/>
      </w:pPr>
      <w:bookmarkStart w:id="19" w:name="_Toc472523374"/>
      <w:r>
        <w:t>Australian Human Rights Commission</w:t>
      </w:r>
      <w:bookmarkEnd w:id="19"/>
    </w:p>
    <w:p w:rsidR="0012287D" w:rsidRPr="001F7A48" w:rsidRDefault="0012287D" w:rsidP="00C737C3">
      <w:pPr>
        <w:pStyle w:val="Numlevel1"/>
      </w:pPr>
      <w:r w:rsidRPr="001F7A48">
        <w:t>The Law Council is concerned by the reduction of the Australian Human Rights Commission’s revenue from government, decreasing from $15.515m for 2015-16 to $14.953 for 2016-17. The Budget Papers note that this is the net result of new measures, cumulative parameter adjustments, the application of the efficiency dividend and additional one-off savings measures. These reductions are in addition to the government measures taken since the 2014-15 Budget, redirecting significant funding of $1.7m from the Commission to the Royal Commission into Institutional Responses to Child Sexual Abuse.</w:t>
      </w:r>
    </w:p>
    <w:p w:rsidR="001F7A48" w:rsidRPr="001F7A48" w:rsidRDefault="001F7A48">
      <w:pPr>
        <w:pStyle w:val="Numlevel1"/>
      </w:pPr>
      <w:r w:rsidRPr="001F7A48">
        <w:t>The Law Council is informed by the Commission that its main expenditure is employee related, so in order to absorb budget reductions such as these, cost savings are predominantly</w:t>
      </w:r>
      <w:r>
        <w:t xml:space="preserve"> made</w:t>
      </w:r>
      <w:r w:rsidRPr="001F7A48">
        <w:t xml:space="preserve"> through staffing reductions. Other impacts include a reduction in the operational hours of the national information service complaints handling hotline. The Law Council is concerned about the impact of the funding reduction to the capacity of the Commission to carry out its statutory functions and undertake its statutory complaints</w:t>
      </w:r>
      <w:r w:rsidR="00D8014A">
        <w:t>-</w:t>
      </w:r>
      <w:r w:rsidRPr="001F7A48">
        <w:t>handling role.</w:t>
      </w:r>
    </w:p>
    <w:p w:rsidR="00502E90" w:rsidRDefault="00502E90" w:rsidP="00502E90">
      <w:pPr>
        <w:pStyle w:val="Heading2"/>
      </w:pPr>
      <w:bookmarkStart w:id="20" w:name="_Toc472523375"/>
      <w:r>
        <w:t>Parliamentary Joint Committee on Human Rights</w:t>
      </w:r>
      <w:bookmarkEnd w:id="20"/>
    </w:p>
    <w:p w:rsidR="00EA20F6" w:rsidRPr="00EA20F6" w:rsidRDefault="00EA20F6" w:rsidP="00C737C3">
      <w:pPr>
        <w:pStyle w:val="Numlevel1"/>
      </w:pPr>
      <w:r w:rsidRPr="00EA20F6">
        <w:t>The Parliamentary Joint Committee on Human Rights</w:t>
      </w:r>
      <w:r w:rsidR="00C774D7">
        <w:t xml:space="preserve"> (</w:t>
      </w:r>
      <w:r w:rsidR="00C774D7" w:rsidRPr="00EA20F6">
        <w:t>PJCHR</w:t>
      </w:r>
      <w:r w:rsidR="00C774D7">
        <w:t>)</w:t>
      </w:r>
      <w:r w:rsidRPr="00EA20F6">
        <w:t xml:space="preserve"> has one part-time legal adviser to conduct human rights assessments of hundreds of Bills (and thousands of pages of legislation) per year. </w:t>
      </w:r>
      <w:r w:rsidR="00AD45DF">
        <w:t>Over</w:t>
      </w:r>
      <w:r w:rsidRPr="00EA20F6">
        <w:t xml:space="preserve"> the 2015-2016 financial year, the PJCHR examined 192 Bills and 1948 legislative instruments, requesting further information in relation to 31 Bills and 77 legislative instruments. The committee further provided comments not requiring a response from the legislation proponent in relation to 17 bills and Acts and 21 legislative instruments.</w:t>
      </w:r>
      <w:r w:rsidR="00EF2D9D">
        <w:t xml:space="preserve"> </w:t>
      </w:r>
    </w:p>
    <w:p w:rsidR="00502E90" w:rsidRPr="006228F7" w:rsidRDefault="00502E90">
      <w:pPr>
        <w:pStyle w:val="Numlevel1"/>
      </w:pPr>
      <w:r w:rsidRPr="006228F7">
        <w:t xml:space="preserve">The Law Council considers </w:t>
      </w:r>
      <w:r w:rsidR="00AD45DF" w:rsidRPr="006228F7">
        <w:t xml:space="preserve">that a full-time legal adviser or, alternatively, a panel of external lawyers should be appointed to share the </w:t>
      </w:r>
      <w:r w:rsidR="00C774D7" w:rsidRPr="006228F7">
        <w:t>work</w:t>
      </w:r>
      <w:r w:rsidR="00AD45DF" w:rsidRPr="006228F7">
        <w:t xml:space="preserve">load </w:t>
      </w:r>
      <w:r w:rsidR="00C774D7" w:rsidRPr="006228F7">
        <w:t>of</w:t>
      </w:r>
      <w:r w:rsidRPr="006228F7">
        <w:t xml:space="preserve"> the PJCHR to scrutinise </w:t>
      </w:r>
      <w:r w:rsidR="006228F7" w:rsidRPr="006228F7">
        <w:t xml:space="preserve">the </w:t>
      </w:r>
      <w:r w:rsidRPr="006228F7">
        <w:t>human right</w:t>
      </w:r>
      <w:r w:rsidR="006228F7" w:rsidRPr="006228F7">
        <w:t>s implications of this volume of Bills</w:t>
      </w:r>
      <w:r w:rsidRPr="006228F7">
        <w:t>. The Law Council recommends that sufficient funding is allocated to the Committee Office in the Department of the Senate for additional personnel to fulfil this scrutiny task.</w:t>
      </w:r>
      <w:r w:rsidR="00CD1F92" w:rsidRPr="006228F7">
        <w:t xml:space="preserve"> </w:t>
      </w:r>
    </w:p>
    <w:p w:rsidR="00502E90" w:rsidRDefault="00502E90" w:rsidP="00502E90">
      <w:pPr>
        <w:pStyle w:val="Heading2"/>
      </w:pPr>
      <w:bookmarkStart w:id="21" w:name="_Toc472523376"/>
      <w:r>
        <w:t>Australia’s engagement with United Nations human rights bodies</w:t>
      </w:r>
      <w:bookmarkEnd w:id="21"/>
    </w:p>
    <w:p w:rsidR="00CB7411" w:rsidRPr="008033C9" w:rsidRDefault="00CB7411" w:rsidP="00C737C3">
      <w:pPr>
        <w:pStyle w:val="Numlevel1"/>
      </w:pPr>
      <w:r w:rsidRPr="008033C9">
        <w:t>The Law Council supports the recent establishment of a Standing National Human Rights Mechanism (the Standing Mechanism) by the Attorney-General’s Department to strengthen Australia’s overall engagement with the United Nations</w:t>
      </w:r>
      <w:r w:rsidR="00F42084" w:rsidRPr="008033C9">
        <w:t xml:space="preserve"> (UN)</w:t>
      </w:r>
      <w:r w:rsidRPr="008033C9">
        <w:t xml:space="preserve"> on human rights. The Law Council considers it necessary for the Government to allocate sufficient funding to this initiative, in particular to ensure that non-government organisations can provide expert advice where required. The Law Council supports funding being allocated to develop a stand alone non-government advisory committee to support the inter-departmental committee established under the Standing Mechanism. </w:t>
      </w:r>
      <w:r w:rsidR="008F4EDB">
        <w:t xml:space="preserve"> </w:t>
      </w:r>
    </w:p>
    <w:p w:rsidR="00CB7411" w:rsidRPr="008033C9" w:rsidRDefault="00CB7411">
      <w:pPr>
        <w:pStyle w:val="Numlevel1"/>
      </w:pPr>
      <w:r w:rsidRPr="008033C9">
        <w:t xml:space="preserve">The Law Council also supports the provision of stand alone funding to non-government organisations to participate in engaging with </w:t>
      </w:r>
      <w:r w:rsidR="00F42084" w:rsidRPr="008033C9">
        <w:t>UN</w:t>
      </w:r>
      <w:r w:rsidRPr="008033C9">
        <w:t xml:space="preserve"> agencies during Australia’s review under international human rights treaties. Funding is particularly relevant given Australia’s appearance before the Committee on the Elimination of Racial Discrimination, Committee on Economic, Social and Cultural Rights, and the Human Rights Committee all in 2017. Funding should cover the production of independent shadow reports and appearances before UN Committees. The Australian Government has previously provided financial support to prepare independent shadow reports, for example in 2008 responding to the Government’s 6th/7th Convention on the Elimination of All Forms of Discrimination against Women report.</w:t>
      </w:r>
    </w:p>
    <w:p w:rsidR="00934259" w:rsidRDefault="00934259" w:rsidP="00934259">
      <w:pPr>
        <w:pStyle w:val="Heading2"/>
      </w:pPr>
      <w:bookmarkStart w:id="22" w:name="_Toc472523377"/>
      <w:r>
        <w:t>Office of the Australian Information Commissioner (OAIC)</w:t>
      </w:r>
      <w:bookmarkEnd w:id="22"/>
    </w:p>
    <w:p w:rsidR="00934259" w:rsidRPr="00282F0B" w:rsidRDefault="00934259" w:rsidP="00C737C3">
      <w:pPr>
        <w:pStyle w:val="Numlevel1"/>
      </w:pPr>
      <w:r w:rsidRPr="00282F0B">
        <w:t xml:space="preserve">The Law Council is advised that there have been operational problems and delays resulting from the under-resourcing of the OAIC, predominantly </w:t>
      </w:r>
      <w:r w:rsidR="009E6CB5">
        <w:t>regarding</w:t>
      </w:r>
      <w:r w:rsidRPr="00282F0B">
        <w:t xml:space="preserve"> reviews of decisions under the </w:t>
      </w:r>
      <w:r w:rsidRPr="00282F0B">
        <w:rPr>
          <w:i/>
        </w:rPr>
        <w:t xml:space="preserve">Freedom of Information Act 1982 </w:t>
      </w:r>
      <w:r w:rsidRPr="00282F0B">
        <w:t>(Cth).</w:t>
      </w:r>
      <w:r w:rsidR="00516BC0" w:rsidRPr="00282F0B">
        <w:t xml:space="preserve"> </w:t>
      </w:r>
    </w:p>
    <w:p w:rsidR="007C0C5C" w:rsidRPr="00282F0B" w:rsidRDefault="00934259">
      <w:pPr>
        <w:pStyle w:val="Numlevel1"/>
      </w:pPr>
      <w:r w:rsidRPr="00282F0B">
        <w:t xml:space="preserve">The Law Council notes that on </w:t>
      </w:r>
      <w:r w:rsidR="00993592" w:rsidRPr="00282F0B">
        <w:t>28 September 2016</w:t>
      </w:r>
      <w:r w:rsidRPr="00282F0B">
        <w:t xml:space="preserve"> the Government </w:t>
      </w:r>
      <w:r w:rsidR="00993592" w:rsidRPr="00282F0B">
        <w:t xml:space="preserve">recommended the appointment of Timothy Pilgrim PSM as Australian Information Commissioner and his reappointment as Australian Privacy Commissioner. </w:t>
      </w:r>
    </w:p>
    <w:p w:rsidR="007C0C5C" w:rsidRPr="00282F0B" w:rsidRDefault="007C0C5C">
      <w:pPr>
        <w:pStyle w:val="Numlevel1"/>
      </w:pPr>
      <w:r w:rsidRPr="00282F0B">
        <w:t>While the Law Council welcomes the increase in funding that was announced in the 2016 budget,</w:t>
      </w:r>
      <w:r w:rsidRPr="00282F0B">
        <w:rPr>
          <w:rStyle w:val="FootnoteReference"/>
          <w:color w:val="auto"/>
        </w:rPr>
        <w:footnoteReference w:id="29"/>
      </w:r>
      <w:r w:rsidRPr="00282F0B">
        <w:t xml:space="preserve"> it remains concerned that the funding has not returned to pre-2014 levels,</w:t>
      </w:r>
      <w:r w:rsidRPr="00282F0B">
        <w:rPr>
          <w:rStyle w:val="FootnoteReference"/>
          <w:color w:val="auto"/>
        </w:rPr>
        <w:footnoteReference w:id="30"/>
      </w:r>
      <w:r w:rsidRPr="00282F0B">
        <w:t xml:space="preserve"> given the important role that the OAIC plays through its privacy and freedom of information functions.</w:t>
      </w:r>
    </w:p>
    <w:p w:rsidR="00860C11" w:rsidRDefault="00C02B81">
      <w:pPr>
        <w:pStyle w:val="Numlevel1"/>
      </w:pPr>
      <w:r w:rsidRPr="00282F0B">
        <w:t xml:space="preserve">The Law Council recommends provision of additional funding to ensure the OAIC is able to effectively perform its legislative functions. </w:t>
      </w:r>
    </w:p>
    <w:sectPr w:rsidR="00860C11" w:rsidSect="00796CB6">
      <w:headerReference w:type="default" r:id="rId18"/>
      <w:footerReference w:type="default" r:id="rId19"/>
      <w:footerReference w:type="first" r:id="rId20"/>
      <w:pgSz w:w="11906" w:h="16838" w:code="9"/>
      <w:pgMar w:top="1418" w:right="1418" w:bottom="1418" w:left="1701" w:header="709"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71747" w:rsidRDefault="00171747" w:rsidP="00CF0D0E">
      <w:pPr>
        <w:spacing w:after="0"/>
      </w:pPr>
      <w:r>
        <w:separator/>
      </w:r>
    </w:p>
  </w:endnote>
  <w:endnote w:type="continuationSeparator" w:id="0">
    <w:p w:rsidR="00171747" w:rsidRDefault="00171747" w:rsidP="00CF0D0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K Grotesk">
    <w:altName w:val="Courier New"/>
    <w:panose1 w:val="00000000000000000000"/>
    <w:charset w:val="00"/>
    <w:family w:val="modern"/>
    <w:notTrueType/>
    <w:pitch w:val="variable"/>
    <w:sig w:usb0="00000001" w:usb1="00000000" w:usb2="00000000" w:usb3="00000000" w:csb0="00000093" w:csb1="00000000"/>
  </w:font>
  <w:font w:name="Calibri">
    <w:panose1 w:val="020F0502020204030204"/>
    <w:charset w:val="00"/>
    <w:family w:val="swiss"/>
    <w:pitch w:val="variable"/>
    <w:sig w:usb0="E00002FF" w:usb1="4000ACFF" w:usb2="00000001" w:usb3="00000000" w:csb0="0000019F" w:csb1="00000000"/>
  </w:font>
  <w:font w:name="Tiempos Text Medium">
    <w:altName w:val="Times New Roman"/>
    <w:panose1 w:val="00000000000000000000"/>
    <w:charset w:val="00"/>
    <w:family w:val="roman"/>
    <w:notTrueType/>
    <w:pitch w:val="variable"/>
    <w:sig w:usb0="00000001" w:usb1="00000000" w:usb2="00000000" w:usb3="00000000" w:csb0="00000093" w:csb1="00000000"/>
  </w:font>
  <w:font w:name="HelveticaNeue">
    <w:altName w:val="Arial Unicode MS"/>
    <w:panose1 w:val="00000000000000000000"/>
    <w:charset w:val="81"/>
    <w:family w:val="auto"/>
    <w:notTrueType/>
    <w:pitch w:val="default"/>
    <w:sig w:usb0="00000001" w:usb1="09060000" w:usb2="00000010" w:usb3="00000000" w:csb0="00080000" w:csb1="00000000"/>
  </w:font>
  <w:font w:name="HK Grotesk Light">
    <w:altName w:val="Courier New"/>
    <w:panose1 w:val="00000000000000000000"/>
    <w:charset w:val="00"/>
    <w:family w:val="modern"/>
    <w:notTrueType/>
    <w:pitch w:val="variable"/>
    <w:sig w:usb0="00000001"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HK Grotesk Medium">
    <w:panose1 w:val="00000000000000000000"/>
    <w:charset w:val="00"/>
    <w:family w:val="modern"/>
    <w:notTrueType/>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AGaramondPro-Regular">
    <w:altName w:val="Perpetua Titling MT"/>
    <w:panose1 w:val="02020502060506020403"/>
    <w:charset w:val="00"/>
    <w:family w:val="auto"/>
    <w:pitch w:val="default"/>
    <w:sig w:usb0="00000003" w:usb1="08070000" w:usb2="00000010" w:usb3="00000000" w:csb0="00020001" w:csb1="00000000"/>
  </w:font>
  <w:font w:name="Arial-BoldMT">
    <w:altName w:val="Arial"/>
    <w:charset w:val="00"/>
    <w:family w:val="auto"/>
    <w:pitch w:val="variable"/>
    <w:sig w:usb0="E0002AFF" w:usb1="C0007843" w:usb2="00000009" w:usb3="00000000" w:csb0="000001FF" w:csb1="00000000"/>
  </w:font>
  <w:font w:name="MingLiU">
    <w:altName w:val="細明體"/>
    <w:panose1 w:val="02020509000000000000"/>
    <w:charset w:val="88"/>
    <w:family w:val="modern"/>
    <w:pitch w:val="fixed"/>
    <w:sig w:usb0="A00002FF" w:usb1="28CFFCFA" w:usb2="00000016" w:usb3="00000000" w:csb0="00100001"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36EC0" w:rsidRDefault="00777DAC" w:rsidP="00F77714">
    <w:pPr>
      <w:pStyle w:val="Footer"/>
    </w:pPr>
    <w:r>
      <w:t>Federal Budget Submission</w:t>
    </w:r>
    <w:r w:rsidR="009C4196">
      <w:tab/>
    </w:r>
    <w:r w:rsidR="009C4196">
      <w:tab/>
      <w:t xml:space="preserve"> Page </w:t>
    </w:r>
    <w:r w:rsidR="00DD7D10">
      <w:fldChar w:fldCharType="begin"/>
    </w:r>
    <w:r w:rsidR="00DD7D10">
      <w:instrText xml:space="preserve"> PAGE  \* Arabic  \* MERGEFORMAT </w:instrText>
    </w:r>
    <w:r w:rsidR="00DD7D10">
      <w:fldChar w:fldCharType="separate"/>
    </w:r>
    <w:r w:rsidR="009E6201">
      <w:rPr>
        <w:noProof/>
      </w:rPr>
      <w:t>3</w:t>
    </w:r>
    <w:r w:rsidR="00DD7D10">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31163" w:rsidRDefault="009C7B66">
    <w:pPr>
      <w:pStyle w:val="Footer"/>
    </w:pPr>
    <w:r>
      <w:rPr>
        <w:noProof/>
      </w:rPr>
      <mc:AlternateContent>
        <mc:Choice Requires="wps">
          <w:drawing>
            <wp:anchor distT="0" distB="0" distL="114300" distR="114300" simplePos="0" relativeHeight="251662336" behindDoc="0" locked="0" layoutInCell="1" allowOverlap="1" wp14:anchorId="5C09B6C6" wp14:editId="7BB5A317">
              <wp:simplePos x="0" y="0"/>
              <wp:positionH relativeFrom="column">
                <wp:posOffset>-140335</wp:posOffset>
              </wp:positionH>
              <wp:positionV relativeFrom="paragraph">
                <wp:posOffset>-1002665</wp:posOffset>
              </wp:positionV>
              <wp:extent cx="3771900" cy="114554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37719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354E7E" w:rsidRPr="00194DE3" w:rsidRDefault="00354E7E" w:rsidP="009C7B66">
                          <w:pPr>
                            <w:pStyle w:val="Footer"/>
                            <w:spacing w:line="276" w:lineRule="auto"/>
                            <w:jc w:val="left"/>
                            <w:rPr>
                              <w:rFonts w:ascii="Tiempos Text Medium" w:hAnsi="Tiempos Text Medium"/>
                              <w:i/>
                              <w:iCs/>
                              <w:color w:val="FFFFFF" w:themeColor="background1"/>
                              <w:sz w:val="15"/>
                              <w:szCs w:val="15"/>
                            </w:rPr>
                          </w:pP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i/>
                              <w:iCs/>
                              <w:color w:val="FFFFFF" w:themeColor="background1"/>
                              <w:sz w:val="15"/>
                              <w:szCs w:val="15"/>
                            </w:rPr>
                            <w:t xml:space="preserve">Telephone </w:t>
                          </w:r>
                          <w:r w:rsidRPr="00194DE3">
                            <w:rPr>
                              <w:rFonts w:ascii="Tiempos Text Medium" w:hAnsi="Tiempos Text Medium"/>
                              <w:color w:val="FFFFFF" w:themeColor="background1"/>
                              <w:sz w:val="15"/>
                              <w:szCs w:val="15"/>
                            </w:rPr>
                            <w:t xml:space="preserve">+61 2 6246 3788  •  </w:t>
                          </w:r>
                          <w:r w:rsidRPr="00194DE3">
                            <w:rPr>
                              <w:rFonts w:ascii="Tiempos Text Medium" w:hAnsi="Tiempos Text Medium"/>
                              <w:i/>
                              <w:iCs/>
                              <w:color w:val="FFFFFF" w:themeColor="background1"/>
                              <w:sz w:val="15"/>
                              <w:szCs w:val="15"/>
                            </w:rPr>
                            <w:t xml:space="preserve">Fax </w:t>
                          </w:r>
                          <w:r w:rsidRPr="00194DE3">
                            <w:rPr>
                              <w:rFonts w:ascii="Tiempos Text Medium" w:hAnsi="Tiempos Text Medium"/>
                              <w:color w:val="FFFFFF" w:themeColor="background1"/>
                              <w:sz w:val="15"/>
                              <w:szCs w:val="15"/>
                            </w:rPr>
                            <w:t xml:space="preserve">+61 2 6248 0639  </w:t>
                          </w:r>
                          <w:r w:rsidRPr="00194DE3">
                            <w:rPr>
                              <w:rFonts w:ascii="Tiempos Text Medium" w:hAnsi="Tiempos Text Medium"/>
                              <w:color w:val="FFFFFF" w:themeColor="background1"/>
                              <w:sz w:val="15"/>
                              <w:szCs w:val="15"/>
                            </w:rPr>
                            <w:br/>
                          </w:r>
                          <w:r w:rsidRPr="00194DE3">
                            <w:rPr>
                              <w:rFonts w:ascii="Tiempos Text Medium" w:hAnsi="Tiempos Text Medium"/>
                              <w:i/>
                              <w:iCs/>
                              <w:color w:val="FFFFFF" w:themeColor="background1"/>
                              <w:sz w:val="15"/>
                              <w:szCs w:val="15"/>
                            </w:rPr>
                            <w:t>Email</w:t>
                          </w:r>
                          <w:r w:rsidRPr="00194DE3">
                            <w:rPr>
                              <w:rFonts w:ascii="Tiempos Text Medium" w:hAnsi="Tiempos Text Medium"/>
                              <w:color w:val="FFFFFF" w:themeColor="background1"/>
                              <w:sz w:val="15"/>
                              <w:szCs w:val="15"/>
                            </w:rPr>
                            <w:t xml:space="preserve"> mail@lawcouncil.asn.au</w:t>
                          </w: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color w:val="FFFFFF" w:themeColor="background1"/>
                              <w:sz w:val="15"/>
                              <w:szCs w:val="15"/>
                            </w:rPr>
                            <w:t xml:space="preserve">GPO Box 1989, Canberra ACT 2601, DX 5719 Canberra  </w:t>
                          </w:r>
                          <w:r w:rsidRPr="00194DE3">
                            <w:rPr>
                              <w:rFonts w:ascii="Tiempos Text Medium" w:hAnsi="Tiempos Text Medium"/>
                              <w:color w:val="FFFFFF" w:themeColor="background1"/>
                              <w:sz w:val="15"/>
                              <w:szCs w:val="15"/>
                            </w:rPr>
                            <w:br/>
                            <w:t>19 Torrens St Braddon ACT 2612</w:t>
                          </w: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color w:val="FFFFFF" w:themeColor="background1"/>
                              <w:sz w:val="15"/>
                              <w:szCs w:val="15"/>
                            </w:rPr>
                            <w:t>Law Council of Australia Limited ABN 85 005 260 622</w:t>
                          </w:r>
                        </w:p>
                        <w:p w:rsidR="009C7B66" w:rsidRPr="00194DE3" w:rsidRDefault="009C7B66" w:rsidP="009C7B66">
                          <w:pPr>
                            <w:pStyle w:val="Footer"/>
                            <w:spacing w:line="276" w:lineRule="auto"/>
                            <w:jc w:val="left"/>
                            <w:rPr>
                              <w:rFonts w:ascii="Tiempos Text Medium" w:hAnsi="Tiempos Text Medium"/>
                              <w:i/>
                              <w:iCs/>
                              <w:color w:val="FFFFFF" w:themeColor="background1"/>
                              <w:sz w:val="15"/>
                              <w:szCs w:val="15"/>
                            </w:rPr>
                          </w:pPr>
                          <w:r w:rsidRPr="00194DE3">
                            <w:rPr>
                              <w:rFonts w:ascii="Tiempos Text Medium" w:hAnsi="Tiempos Text Medium"/>
                              <w:i/>
                              <w:iCs/>
                              <w:color w:val="FFFFFF" w:themeColor="background1"/>
                              <w:sz w:val="15"/>
                              <w:szCs w:val="15"/>
                            </w:rPr>
                            <w:t>www.lawcouncil.asn.au</w:t>
                          </w:r>
                        </w:p>
                        <w:p w:rsidR="009C7B66" w:rsidRDefault="009C7B66" w:rsidP="009C7B6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1.05pt;margin-top:-78.95pt;width:297pt;height:90.2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" filled="f" stroked="f">
              <v:textbox>
                <w:txbxContent>
                  <w:p w:rsidR="00354E7E" w:rsidRPr="00194DE3" w:rsidRDefault="00354E7E" w:rsidP="009C7B66">
                    <w:pPr>
                      <w:pStyle w:val="Footer"/>
                      <w:spacing w:line="276" w:lineRule="auto"/>
                      <w:jc w:val="left"/>
                      <w:rPr>
                        <w:rFonts w:ascii="Tiempos Text Medium" w:hAnsi="Tiempos Text Medium"/>
                        <w:i/>
                        <w:iCs/>
                        <w:color w:val="FFFFFF" w:themeColor="background1"/>
                        <w:sz w:val="15"/>
                        <w:szCs w:val="15"/>
                      </w:rPr>
                    </w:pP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i/>
                        <w:iCs/>
                        <w:color w:val="FFFFFF" w:themeColor="background1"/>
                        <w:sz w:val="15"/>
                        <w:szCs w:val="15"/>
                      </w:rPr>
                      <w:t xml:space="preserve">Telephone </w:t>
                    </w:r>
                    <w:r w:rsidRPr="00194DE3">
                      <w:rPr>
                        <w:rFonts w:ascii="Tiempos Text Medium" w:hAnsi="Tiempos Text Medium"/>
                        <w:color w:val="FFFFFF" w:themeColor="background1"/>
                        <w:sz w:val="15"/>
                        <w:szCs w:val="15"/>
                      </w:rPr>
                      <w:t xml:space="preserve">+61 2 6246 3788  •  </w:t>
                    </w:r>
                    <w:r w:rsidRPr="00194DE3">
                      <w:rPr>
                        <w:rFonts w:ascii="Tiempos Text Medium" w:hAnsi="Tiempos Text Medium"/>
                        <w:i/>
                        <w:iCs/>
                        <w:color w:val="FFFFFF" w:themeColor="background1"/>
                        <w:sz w:val="15"/>
                        <w:szCs w:val="15"/>
                      </w:rPr>
                      <w:t xml:space="preserve">Fax </w:t>
                    </w:r>
                    <w:r w:rsidRPr="00194DE3">
                      <w:rPr>
                        <w:rFonts w:ascii="Tiempos Text Medium" w:hAnsi="Tiempos Text Medium"/>
                        <w:color w:val="FFFFFF" w:themeColor="background1"/>
                        <w:sz w:val="15"/>
                        <w:szCs w:val="15"/>
                      </w:rPr>
                      <w:t xml:space="preserve">+61 2 6248 0639  </w:t>
                    </w:r>
                    <w:r w:rsidRPr="00194DE3">
                      <w:rPr>
                        <w:rFonts w:ascii="Tiempos Text Medium" w:hAnsi="Tiempos Text Medium"/>
                        <w:color w:val="FFFFFF" w:themeColor="background1"/>
                        <w:sz w:val="15"/>
                        <w:szCs w:val="15"/>
                      </w:rPr>
                      <w:br/>
                    </w:r>
                    <w:r w:rsidRPr="00194DE3">
                      <w:rPr>
                        <w:rFonts w:ascii="Tiempos Text Medium" w:hAnsi="Tiempos Text Medium"/>
                        <w:i/>
                        <w:iCs/>
                        <w:color w:val="FFFFFF" w:themeColor="background1"/>
                        <w:sz w:val="15"/>
                        <w:szCs w:val="15"/>
                      </w:rPr>
                      <w:t>Email</w:t>
                    </w:r>
                    <w:r w:rsidRPr="00194DE3">
                      <w:rPr>
                        <w:rFonts w:ascii="Tiempos Text Medium" w:hAnsi="Tiempos Text Medium"/>
                        <w:color w:val="FFFFFF" w:themeColor="background1"/>
                        <w:sz w:val="15"/>
                        <w:szCs w:val="15"/>
                      </w:rPr>
                      <w:t xml:space="preserve"> mail@lawcouncil.asn.au</w:t>
                    </w: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color w:val="FFFFFF" w:themeColor="background1"/>
                        <w:sz w:val="15"/>
                        <w:szCs w:val="15"/>
                      </w:rPr>
                      <w:t xml:space="preserve">GPO Box 1989, Canberra ACT 2601, DX 5719 Canberra  </w:t>
                    </w:r>
                    <w:r w:rsidRPr="00194DE3">
                      <w:rPr>
                        <w:rFonts w:ascii="Tiempos Text Medium" w:hAnsi="Tiempos Text Medium"/>
                        <w:color w:val="FFFFFF" w:themeColor="background1"/>
                        <w:sz w:val="15"/>
                        <w:szCs w:val="15"/>
                      </w:rPr>
                      <w:br/>
                      <w:t>19 Torrens St Braddon ACT 2612</w:t>
                    </w:r>
                  </w:p>
                  <w:p w:rsidR="009C7B66" w:rsidRPr="00194DE3" w:rsidRDefault="009C7B66" w:rsidP="009C7B66">
                    <w:pPr>
                      <w:pStyle w:val="Footer"/>
                      <w:spacing w:line="276" w:lineRule="auto"/>
                      <w:jc w:val="left"/>
                      <w:rPr>
                        <w:rFonts w:ascii="Tiempos Text Medium" w:hAnsi="Tiempos Text Medium"/>
                        <w:color w:val="FFFFFF" w:themeColor="background1"/>
                        <w:sz w:val="15"/>
                        <w:szCs w:val="15"/>
                      </w:rPr>
                    </w:pPr>
                    <w:r w:rsidRPr="00194DE3">
                      <w:rPr>
                        <w:rFonts w:ascii="Tiempos Text Medium" w:hAnsi="Tiempos Text Medium"/>
                        <w:color w:val="FFFFFF" w:themeColor="background1"/>
                        <w:sz w:val="15"/>
                        <w:szCs w:val="15"/>
                      </w:rPr>
                      <w:t>Law Council of Australia Limited ABN 85 005 260 622</w:t>
                    </w:r>
                  </w:p>
                  <w:p w:rsidR="009C7B66" w:rsidRPr="00194DE3" w:rsidRDefault="009C7B66" w:rsidP="009C7B66">
                    <w:pPr>
                      <w:pStyle w:val="Footer"/>
                      <w:spacing w:line="276" w:lineRule="auto"/>
                      <w:jc w:val="left"/>
                      <w:rPr>
                        <w:rFonts w:ascii="Tiempos Text Medium" w:hAnsi="Tiempos Text Medium"/>
                        <w:i/>
                        <w:iCs/>
                        <w:color w:val="FFFFFF" w:themeColor="background1"/>
                        <w:sz w:val="15"/>
                        <w:szCs w:val="15"/>
                      </w:rPr>
                    </w:pPr>
                    <w:r w:rsidRPr="00194DE3">
                      <w:rPr>
                        <w:rFonts w:ascii="Tiempos Text Medium" w:hAnsi="Tiempos Text Medium"/>
                        <w:i/>
                        <w:iCs/>
                        <w:color w:val="FFFFFF" w:themeColor="background1"/>
                        <w:sz w:val="15"/>
                        <w:szCs w:val="15"/>
                      </w:rPr>
                      <w:t>www.lawcouncil.asn.au</w:t>
                    </w:r>
                  </w:p>
                  <w:p w:rsidR="009C7B66" w:rsidRDefault="009C7B66" w:rsidP="009C7B66"/>
                </w:txbxContent>
              </v:textbox>
              <w10:wrap type="square"/>
            </v:shape>
          </w:pict>
        </mc:Fallback>
      </mc:AlternateContent>
    </w:r>
    <w:r>
      <w:rPr>
        <w:noProof/>
      </w:rPr>
      <mc:AlternateContent>
        <mc:Choice Requires="wps">
          <w:drawing>
            <wp:anchor distT="0" distB="0" distL="114300" distR="114300" simplePos="0" relativeHeight="251659264" behindDoc="1" locked="0" layoutInCell="1" allowOverlap="1" wp14:anchorId="023EAF68" wp14:editId="39DBDA9C">
              <wp:simplePos x="0" y="0"/>
              <wp:positionH relativeFrom="column">
                <wp:posOffset>-1116965</wp:posOffset>
              </wp:positionH>
              <wp:positionV relativeFrom="paragraph">
                <wp:posOffset>-4577080</wp:posOffset>
              </wp:positionV>
              <wp:extent cx="4841875" cy="4926330"/>
              <wp:effectExtent l="0" t="0" r="9525" b="1270"/>
              <wp:wrapNone/>
              <wp:docPr id="5" name="Right Triangle 5"/>
              <wp:cNvGraphicFramePr/>
              <a:graphic xmlns:a="http://schemas.openxmlformats.org/drawingml/2006/main">
                <a:graphicData uri="http://schemas.microsoft.com/office/word/2010/wordprocessingShape">
                  <wps:wsp>
                    <wps:cNvSpPr/>
                    <wps:spPr>
                      <a:xfrm>
                        <a:off x="0" y="0"/>
                        <a:ext cx="4841875" cy="4926330"/>
                      </a:xfrm>
                      <a:prstGeom prst="rtTriangle">
                        <a:avLst/>
                      </a:prstGeom>
                      <a:solidFill>
                        <a:srgbClr val="001D3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 coordsize="21600,21600" o:spt="6" path="m,l,21600r21600,xe">
              <v:stroke joinstyle="miter"/>
              <v:path gradientshapeok="t" o:connecttype="custom" o:connectlocs="0,0;0,10800;0,21600;10800,21600;21600,21600;10800,10800" textboxrect="1800,12600,12600,19800"/>
            </v:shapetype>
            <v:shape id="Right Triangle 5" o:spid="_x0000_s1026" type="#_x0000_t6" style="position:absolute;margin-left:-87.95pt;margin-top:-360.4pt;width:381.25pt;height:387.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" fillcolor="#001d34" stroked="f" strokeweight="2pt"/>
          </w:pict>
        </mc:Fallback>
      </mc:AlternateContent>
    </w:r>
    <w:r>
      <w:rPr>
        <w:noProof/>
      </w:rPr>
      <mc:AlternateContent>
        <mc:Choice Requires="wps">
          <w:drawing>
            <wp:anchor distT="0" distB="0" distL="114300" distR="114300" simplePos="0" relativeHeight="251660288" behindDoc="1" locked="0" layoutInCell="1" allowOverlap="1" wp14:anchorId="425E647F" wp14:editId="3A42341A">
              <wp:simplePos x="0" y="0"/>
              <wp:positionH relativeFrom="column">
                <wp:posOffset>3275964</wp:posOffset>
              </wp:positionH>
              <wp:positionV relativeFrom="paragraph">
                <wp:posOffset>-2948412</wp:posOffset>
              </wp:positionV>
              <wp:extent cx="3220085" cy="3277977"/>
              <wp:effectExtent l="0" t="0" r="5715" b="0"/>
              <wp:wrapNone/>
              <wp:docPr id="7" name="Right Triangle 7"/>
              <wp:cNvGraphicFramePr/>
              <a:graphic xmlns:a="http://schemas.openxmlformats.org/drawingml/2006/main">
                <a:graphicData uri="http://schemas.microsoft.com/office/word/2010/wordprocessingShape">
                  <wps:wsp>
                    <wps:cNvSpPr/>
                    <wps:spPr>
                      <a:xfrm flipH="1">
                        <a:off x="0" y="0"/>
                        <a:ext cx="3220085" cy="3277977"/>
                      </a:xfrm>
                      <a:prstGeom prst="rtTriangle">
                        <a:avLst/>
                      </a:prstGeom>
                      <a:solidFill>
                        <a:srgbClr val="9A876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Triangle 7" o:spid="_x0000_s1026" type="#_x0000_t6" style="position:absolute;margin-left:257.95pt;margin-top:-232.15pt;width:253.55pt;height:258.1pt;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" fillcolor="#9a8769" stroked="f" strokeweight="2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71747" w:rsidRDefault="00171747" w:rsidP="00CF0D0E">
      <w:pPr>
        <w:spacing w:after="0"/>
      </w:pPr>
      <w:r>
        <w:separator/>
      </w:r>
    </w:p>
  </w:footnote>
  <w:footnote w:type="continuationSeparator" w:id="0">
    <w:p w:rsidR="00171747" w:rsidRDefault="00171747" w:rsidP="00CF0D0E">
      <w:pPr>
        <w:spacing w:after="0"/>
      </w:pPr>
      <w:r>
        <w:continuationSeparator/>
      </w:r>
    </w:p>
  </w:footnote>
  <w:footnote w:type="continuationNotice" w:id="1">
    <w:p w:rsidR="00171747" w:rsidRDefault="00171747">
      <w:pPr>
        <w:spacing w:after="0"/>
      </w:pPr>
    </w:p>
  </w:footnote>
  <w:footnote w:id="2">
    <w:p w:rsidR="008425FB" w:rsidRDefault="008425FB" w:rsidP="008425FB">
      <w:pPr>
        <w:pStyle w:val="FootnoteText"/>
      </w:pPr>
      <w:r>
        <w:rPr>
          <w:rStyle w:val="FootnoteReference"/>
        </w:rPr>
        <w:footnoteRef/>
      </w:r>
      <w:r>
        <w:t xml:space="preserve"> </w:t>
      </w:r>
      <w:r>
        <w:rPr>
          <w:szCs w:val="18"/>
        </w:rPr>
        <w:t xml:space="preserve">Productivity Commission, </w:t>
      </w:r>
      <w:r>
        <w:rPr>
          <w:i/>
          <w:iCs/>
          <w:szCs w:val="18"/>
        </w:rPr>
        <w:t>Access to Justice Arrangements</w:t>
      </w:r>
      <w:r>
        <w:rPr>
          <w:szCs w:val="18"/>
        </w:rPr>
        <w:t xml:space="preserve">, Final Report, September 2014, Commonwealth of Australia, Recommendation 21.4. </w:t>
      </w:r>
    </w:p>
  </w:footnote>
  <w:footnote w:id="3">
    <w:p w:rsidR="00C5697D" w:rsidRDefault="00C5697D">
      <w:pPr>
        <w:pStyle w:val="FootnoteText"/>
      </w:pPr>
      <w:r>
        <w:rPr>
          <w:rStyle w:val="FootnoteReference"/>
        </w:rPr>
        <w:footnoteRef/>
      </w:r>
      <w:r>
        <w:t xml:space="preserve"> </w:t>
      </w:r>
      <w:r>
        <w:rPr>
          <w:szCs w:val="18"/>
        </w:rPr>
        <w:t xml:space="preserve">Ibid, 738-739. </w:t>
      </w:r>
      <w:r>
        <w:t xml:space="preserve"> </w:t>
      </w:r>
    </w:p>
  </w:footnote>
  <w:footnote w:id="4">
    <w:p w:rsidR="005E1674" w:rsidRPr="00B140A9" w:rsidRDefault="005E1674" w:rsidP="005E1674">
      <w:pPr>
        <w:pStyle w:val="Default"/>
        <w:rPr>
          <w:rFonts w:ascii="HK Grotesk" w:hAnsi="HK Grotesk"/>
          <w:sz w:val="18"/>
          <w:szCs w:val="18"/>
        </w:rPr>
      </w:pPr>
      <w:r w:rsidRPr="00B140A9">
        <w:rPr>
          <w:rStyle w:val="FootnoteReference"/>
          <w:rFonts w:ascii="HK Grotesk" w:hAnsi="HK Grotesk"/>
          <w:sz w:val="18"/>
          <w:szCs w:val="18"/>
        </w:rPr>
        <w:footnoteRef/>
      </w:r>
      <w:r w:rsidRPr="00B140A9">
        <w:rPr>
          <w:rFonts w:ascii="HK Grotesk" w:hAnsi="HK Grotesk"/>
          <w:sz w:val="18"/>
          <w:szCs w:val="18"/>
        </w:rPr>
        <w:t xml:space="preserve"> </w:t>
      </w:r>
      <w:r w:rsidR="0019060B" w:rsidRPr="00B140A9">
        <w:rPr>
          <w:rFonts w:ascii="HK Grotesk" w:hAnsi="HK Grotesk"/>
          <w:sz w:val="18"/>
          <w:szCs w:val="18"/>
        </w:rPr>
        <w:t>PricewaterhouseCoopers, 2009, Pw</w:t>
      </w:r>
      <w:r w:rsidRPr="00B140A9">
        <w:rPr>
          <w:rFonts w:ascii="HK Grotesk" w:hAnsi="HK Grotesk"/>
          <w:sz w:val="18"/>
          <w:szCs w:val="18"/>
        </w:rPr>
        <w:t xml:space="preserve">C Report, </w:t>
      </w:r>
      <w:r w:rsidRPr="00B140A9">
        <w:rPr>
          <w:rFonts w:ascii="HK Grotesk" w:hAnsi="HK Grotesk"/>
          <w:i/>
          <w:iCs/>
          <w:sz w:val="18"/>
          <w:szCs w:val="18"/>
        </w:rPr>
        <w:t xml:space="preserve">Legal Aid Funding: Current Challenges and the </w:t>
      </w:r>
    </w:p>
    <w:p w:rsidR="005E1674" w:rsidRPr="00B140A9" w:rsidRDefault="005E1674" w:rsidP="005E1674">
      <w:pPr>
        <w:pStyle w:val="Default"/>
        <w:rPr>
          <w:rFonts w:ascii="HK Grotesk" w:hAnsi="HK Grotesk"/>
          <w:sz w:val="18"/>
          <w:szCs w:val="18"/>
        </w:rPr>
      </w:pPr>
      <w:r w:rsidRPr="00B140A9">
        <w:rPr>
          <w:rFonts w:ascii="HK Grotesk" w:hAnsi="HK Grotesk"/>
          <w:i/>
          <w:iCs/>
          <w:sz w:val="18"/>
          <w:szCs w:val="18"/>
        </w:rPr>
        <w:t>Opportunities for Cooperative Federalism</w:t>
      </w:r>
      <w:r w:rsidRPr="00B140A9">
        <w:rPr>
          <w:rFonts w:ascii="HK Grotesk" w:hAnsi="HK Grotesk"/>
          <w:sz w:val="18"/>
          <w:szCs w:val="18"/>
        </w:rPr>
        <w:t xml:space="preserve">, Report prepared for National Legal Aid. See </w:t>
      </w:r>
    </w:p>
    <w:p w:rsidR="005E1674" w:rsidRDefault="008D20D8" w:rsidP="005E1674">
      <w:pPr>
        <w:pStyle w:val="FootnoteText"/>
      </w:pPr>
      <w:hyperlink r:id="rId1" w:history="1">
        <w:r w:rsidR="005E1674" w:rsidRPr="00B140A9">
          <w:rPr>
            <w:rStyle w:val="Hyperlink"/>
            <w:szCs w:val="18"/>
          </w:rPr>
          <w:t>http://www.lawcouncil.asn.au/lawcouncil/images/LCA-PDF/a-z-docs/fmsdownload099f.pdf</w:t>
        </w:r>
      </w:hyperlink>
      <w:r w:rsidR="005E1674">
        <w:rPr>
          <w:szCs w:val="18"/>
        </w:rPr>
        <w:t>.</w:t>
      </w:r>
    </w:p>
  </w:footnote>
  <w:footnote w:id="5">
    <w:p w:rsidR="00CB4EC0" w:rsidRPr="00AB4EB4" w:rsidRDefault="00CB4EC0" w:rsidP="00CB4EC0">
      <w:pPr>
        <w:pStyle w:val="FootnoteText"/>
      </w:pPr>
      <w:r>
        <w:rPr>
          <w:rStyle w:val="FootnoteReference"/>
        </w:rPr>
        <w:footnoteRef/>
      </w:r>
      <w:r>
        <w:t xml:space="preserve"> Productivity Commission </w:t>
      </w:r>
      <w:r>
        <w:rPr>
          <w:i/>
        </w:rPr>
        <w:t>Access to Justice Arrangements</w:t>
      </w:r>
      <w:r>
        <w:t xml:space="preserve"> (Report No. 72) September 2014, Appendix K. </w:t>
      </w:r>
    </w:p>
  </w:footnote>
  <w:footnote w:id="6">
    <w:p w:rsidR="00F109B1" w:rsidRPr="00B140A9" w:rsidRDefault="00F109B1" w:rsidP="00F109B1">
      <w:pPr>
        <w:pStyle w:val="FootnoteText"/>
        <w:contextualSpacing/>
        <w:rPr>
          <w:szCs w:val="18"/>
        </w:rPr>
      </w:pPr>
      <w:r w:rsidRPr="00B140A9">
        <w:rPr>
          <w:rStyle w:val="FootnoteReference"/>
          <w:szCs w:val="18"/>
        </w:rPr>
        <w:footnoteRef/>
      </w:r>
      <w:r w:rsidRPr="00B140A9">
        <w:rPr>
          <w:szCs w:val="18"/>
        </w:rPr>
        <w:t xml:space="preserve"> Attorney-General’s Portfolio Budget Papers 2016-17, p 20. </w:t>
      </w:r>
      <w:hyperlink r:id="rId2" w:history="1">
        <w:r w:rsidRPr="00B140A9">
          <w:rPr>
            <w:rStyle w:val="Hyperlink"/>
            <w:szCs w:val="18"/>
          </w:rPr>
          <w:t>https://www.ag.gov.au/Publications/Budgets/Budget2016-17/Documents/Portfolio-budget-statements/Attorney-Generals-portfolio-2016-17-PBS-full-report.pdf</w:t>
        </w:r>
      </w:hyperlink>
    </w:p>
  </w:footnote>
  <w:footnote w:id="7">
    <w:p w:rsidR="000F237E" w:rsidRPr="00B140A9" w:rsidRDefault="000F237E" w:rsidP="000F237E">
      <w:pPr>
        <w:autoSpaceDE w:val="0"/>
        <w:autoSpaceDN w:val="0"/>
        <w:adjustRightInd w:val="0"/>
        <w:spacing w:after="0"/>
        <w:contextualSpacing/>
        <w:rPr>
          <w:sz w:val="18"/>
          <w:szCs w:val="18"/>
          <w:lang w:val="en-US"/>
        </w:rPr>
      </w:pPr>
      <w:r w:rsidRPr="00B140A9">
        <w:rPr>
          <w:rStyle w:val="FootnoteReference"/>
          <w:sz w:val="18"/>
          <w:szCs w:val="18"/>
        </w:rPr>
        <w:footnoteRef/>
      </w:r>
      <w:r w:rsidRPr="00B140A9">
        <w:rPr>
          <w:sz w:val="18"/>
          <w:szCs w:val="18"/>
        </w:rPr>
        <w:t xml:space="preserve"> </w:t>
      </w:r>
      <w:r w:rsidRPr="00B140A9">
        <w:rPr>
          <w:rFonts w:eastAsia="HelveticaNeue" w:cs="HelveticaNeue"/>
          <w:kern w:val="0"/>
          <w:sz w:val="18"/>
          <w:szCs w:val="18"/>
        </w:rPr>
        <w:t xml:space="preserve">See Change the Record campaign, overseen by a coalition of leading Aboriginal and Torres Strait Islander, human rights and community organisations including the Human Rights Law Centre, the Law Council of Australia, Oxfam, the Secretariat of National Aboriginal and Islander Child Care and others: </w:t>
      </w:r>
      <w:hyperlink r:id="rId3" w:history="1">
        <w:r w:rsidRPr="0011230E">
          <w:rPr>
            <w:rStyle w:val="Hyperlink"/>
            <w:rFonts w:eastAsia="HelveticaNeue" w:cs="HelveticaNeue"/>
            <w:kern w:val="0"/>
            <w:sz w:val="18"/>
            <w:szCs w:val="18"/>
          </w:rPr>
          <w:t>https://changetherecord.org.au</w:t>
        </w:r>
      </w:hyperlink>
      <w:r w:rsidRPr="00B140A9">
        <w:rPr>
          <w:rFonts w:eastAsia="HelveticaNeue" w:cs="HelveticaNeue"/>
          <w:kern w:val="0"/>
          <w:sz w:val="18"/>
          <w:szCs w:val="18"/>
        </w:rPr>
        <w:t>.</w:t>
      </w:r>
      <w:r>
        <w:rPr>
          <w:rFonts w:eastAsia="HelveticaNeue" w:cs="HelveticaNeue"/>
          <w:kern w:val="0"/>
          <w:sz w:val="18"/>
          <w:szCs w:val="18"/>
        </w:rPr>
        <w:t xml:space="preserve"> </w:t>
      </w:r>
    </w:p>
  </w:footnote>
  <w:footnote w:id="8">
    <w:p w:rsidR="000F237E" w:rsidRDefault="000F237E">
      <w:pPr>
        <w:pStyle w:val="FootnoteText"/>
      </w:pPr>
      <w:r>
        <w:rPr>
          <w:rStyle w:val="FootnoteReference"/>
        </w:rPr>
        <w:footnoteRef/>
      </w:r>
      <w:r>
        <w:t xml:space="preserve"> Productivity Commission: Overcoming Indigenous Disadvantage 2016, Chapter 4 COAG targets and headline indicators, section 4.13 Imprisonment and juvenile detention, Box 4.13.1 Key messages. URL: </w:t>
      </w:r>
      <w:hyperlink r:id="rId4" w:history="1">
        <w:r w:rsidRPr="007E2414">
          <w:rPr>
            <w:rStyle w:val="Hyperlink"/>
          </w:rPr>
          <w:t>http://www.pc.gov.au/research/ongoing/overcoming-indigenous-disadvantage/2016/report-documents/oid-2016-chapter4-coag-targets-and-headline-indicators.pdf</w:t>
        </w:r>
      </w:hyperlink>
      <w:r>
        <w:t xml:space="preserve">.  </w:t>
      </w:r>
    </w:p>
  </w:footnote>
  <w:footnote w:id="9">
    <w:p w:rsidR="00F741E6" w:rsidRPr="00B140A9" w:rsidRDefault="00F741E6">
      <w:pPr>
        <w:pStyle w:val="FootnoteText"/>
        <w:contextualSpacing/>
        <w:rPr>
          <w:szCs w:val="18"/>
          <w:lang w:val="en-US"/>
        </w:rPr>
      </w:pPr>
      <w:r w:rsidRPr="00B140A9">
        <w:rPr>
          <w:rStyle w:val="FootnoteReference"/>
          <w:szCs w:val="18"/>
        </w:rPr>
        <w:footnoteRef/>
      </w:r>
      <w:r w:rsidRPr="00B140A9">
        <w:rPr>
          <w:szCs w:val="18"/>
        </w:rPr>
        <w:t xml:space="preserve"> </w:t>
      </w:r>
      <w:r w:rsidR="00EB14B9" w:rsidRPr="00B140A9">
        <w:rPr>
          <w:rFonts w:eastAsia="HelveticaNeue" w:cs="HelveticaNeue"/>
          <w:kern w:val="0"/>
          <w:szCs w:val="18"/>
        </w:rPr>
        <w:t>Ibid</w:t>
      </w:r>
      <w:r w:rsidRPr="00B140A9">
        <w:rPr>
          <w:rFonts w:eastAsia="HelveticaNeue" w:cs="HelveticaNeue"/>
          <w:kern w:val="0"/>
          <w:szCs w:val="18"/>
        </w:rPr>
        <w:t>.</w:t>
      </w:r>
    </w:p>
  </w:footnote>
  <w:footnote w:id="10">
    <w:p w:rsidR="00FC4D68" w:rsidRPr="00B140A9" w:rsidRDefault="00FC4D68">
      <w:pPr>
        <w:pStyle w:val="FootnoteText"/>
        <w:contextualSpacing/>
        <w:rPr>
          <w:szCs w:val="18"/>
          <w:lang w:val="en-US"/>
        </w:rPr>
      </w:pPr>
      <w:r w:rsidRPr="00B140A9">
        <w:rPr>
          <w:rStyle w:val="FootnoteReference"/>
          <w:szCs w:val="18"/>
        </w:rPr>
        <w:footnoteRef/>
      </w:r>
      <w:r w:rsidRPr="00B140A9">
        <w:rPr>
          <w:szCs w:val="18"/>
        </w:rPr>
        <w:t xml:space="preserve"> </w:t>
      </w:r>
      <w:r w:rsidR="00637677" w:rsidRPr="00B140A9">
        <w:rPr>
          <w:rFonts w:eastAsia="HelveticaNeue" w:cs="HelveticaNeue"/>
          <w:kern w:val="0"/>
          <w:szCs w:val="18"/>
        </w:rPr>
        <w:t>Ibid</w:t>
      </w:r>
      <w:r w:rsidRPr="00B140A9">
        <w:rPr>
          <w:rFonts w:eastAsia="HelveticaNeue" w:cs="HelveticaNeue"/>
          <w:kern w:val="0"/>
          <w:szCs w:val="18"/>
        </w:rPr>
        <w:t>.</w:t>
      </w:r>
      <w:r w:rsidR="00637677" w:rsidRPr="00B140A9">
        <w:rPr>
          <w:rFonts w:eastAsia="HelveticaNeue" w:cs="HelveticaNeue"/>
          <w:kern w:val="0"/>
          <w:szCs w:val="18"/>
        </w:rPr>
        <w:t xml:space="preserve"> </w:t>
      </w:r>
    </w:p>
  </w:footnote>
  <w:footnote w:id="11">
    <w:p w:rsidR="006F33BB" w:rsidRDefault="006F33BB">
      <w:pPr>
        <w:pStyle w:val="FootnoteText"/>
      </w:pPr>
      <w:r>
        <w:rPr>
          <w:rStyle w:val="FootnoteReference"/>
        </w:rPr>
        <w:footnoteRef/>
      </w:r>
      <w:r>
        <w:t xml:space="preserve"> Productivity Commission: Report on </w:t>
      </w:r>
      <w:r w:rsidR="008D758A">
        <w:t xml:space="preserve">Government Services 2016, </w:t>
      </w:r>
      <w:r w:rsidR="00111C33">
        <w:t>at</w:t>
      </w:r>
      <w:r w:rsidR="008D758A">
        <w:t xml:space="preserve"> 16.30.</w:t>
      </w:r>
    </w:p>
  </w:footnote>
  <w:footnote w:id="12">
    <w:p w:rsidR="005F024A" w:rsidRDefault="005F024A">
      <w:pPr>
        <w:pStyle w:val="FootnoteText"/>
      </w:pPr>
      <w:r>
        <w:rPr>
          <w:rStyle w:val="FootnoteReference"/>
        </w:rPr>
        <w:footnoteRef/>
      </w:r>
      <w:r>
        <w:t xml:space="preserve"> ‘Brandis, Tudge spearhead legal war on poor’, Canberra Times, Jenna Price, 17 January 2017, URL: .</w:t>
      </w:r>
      <w:r w:rsidRPr="005F024A">
        <w:t xml:space="preserve"> </w:t>
      </w:r>
      <w:hyperlink r:id="rId5" w:history="1">
        <w:r w:rsidRPr="007E2414">
          <w:rPr>
            <w:rStyle w:val="Hyperlink"/>
          </w:rPr>
          <w:t>http://readnow.isentia.com/Temp/91786/714253606.pdf</w:t>
        </w:r>
      </w:hyperlink>
      <w:r>
        <w:t>.</w:t>
      </w:r>
    </w:p>
  </w:footnote>
  <w:footnote w:id="13">
    <w:p w:rsidR="00DF3DB0" w:rsidRPr="00BB19C6" w:rsidRDefault="00DF3DB0" w:rsidP="00DF3DB0">
      <w:pPr>
        <w:pStyle w:val="FootnoteText"/>
        <w:rPr>
          <w:lang w:val="en-US"/>
        </w:rPr>
      </w:pPr>
      <w:r>
        <w:rPr>
          <w:rStyle w:val="FootnoteReference"/>
        </w:rPr>
        <w:footnoteRef/>
      </w:r>
      <w:r>
        <w:t xml:space="preserve"> </w:t>
      </w:r>
      <w:r w:rsidRPr="0022712E">
        <w:rPr>
          <w:rFonts w:cs="Arial-BoldMT"/>
          <w:bCs/>
          <w:kern w:val="0"/>
          <w:szCs w:val="18"/>
        </w:rPr>
        <w:t>National Association of Community Legal Centres</w:t>
      </w:r>
      <w:r>
        <w:rPr>
          <w:szCs w:val="18"/>
        </w:rPr>
        <w:t xml:space="preserve"> Media Release: </w:t>
      </w:r>
      <w:r w:rsidRPr="00BB19C6">
        <w:rPr>
          <w:szCs w:val="18"/>
        </w:rPr>
        <w:t>One year until crippling cuts to legal assistance sector</w:t>
      </w:r>
      <w:r>
        <w:rPr>
          <w:lang w:val="en-US"/>
        </w:rPr>
        <w:t xml:space="preserve">, 1 July 2016,  </w:t>
      </w:r>
      <w:hyperlink r:id="rId6" w:history="1">
        <w:r w:rsidRPr="0007638B">
          <w:rPr>
            <w:rStyle w:val="Hyperlink"/>
            <w:lang w:val="en-US"/>
          </w:rPr>
          <w:t>http://www.naclc.org.au/cb_pages/news/MediaReleaseOneYearUntilCripplingCutsToLegalAssistanceSector.php</w:t>
        </w:r>
      </w:hyperlink>
      <w:r>
        <w:rPr>
          <w:lang w:val="en-US"/>
        </w:rPr>
        <w:t xml:space="preserve">. </w:t>
      </w:r>
    </w:p>
  </w:footnote>
  <w:footnote w:id="14">
    <w:p w:rsidR="00885C67" w:rsidRDefault="00885C67" w:rsidP="00885C67">
      <w:pPr>
        <w:pStyle w:val="FootnoteText"/>
      </w:pPr>
      <w:r>
        <w:rPr>
          <w:rStyle w:val="FootnoteReference"/>
        </w:rPr>
        <w:footnoteRef/>
      </w:r>
      <w:r>
        <w:t xml:space="preserve"> </w:t>
      </w:r>
      <w:r>
        <w:rPr>
          <w:szCs w:val="18"/>
        </w:rPr>
        <w:t xml:space="preserve">See for example Judith Stubbs &amp; Associates, </w:t>
      </w:r>
      <w:r>
        <w:rPr>
          <w:i/>
          <w:iCs/>
          <w:szCs w:val="18"/>
        </w:rPr>
        <w:t>Economic Cost-Benefit Analysis of Community Legal Centres</w:t>
      </w:r>
      <w:r>
        <w:rPr>
          <w:szCs w:val="18"/>
        </w:rPr>
        <w:t xml:space="preserve">, June 2012, National Association of Community Legal Centres. See </w:t>
      </w:r>
      <w:hyperlink r:id="rId7" w:history="1">
        <w:r w:rsidRPr="00C51553">
          <w:rPr>
            <w:rStyle w:val="Hyperlink"/>
            <w:szCs w:val="18"/>
          </w:rPr>
          <w:t>http://www.lawcouncil.asn.au/lawcouncil/images/LCA-PDF/a-z-docs/fmsdownload0463.pdf</w:t>
        </w:r>
      </w:hyperlink>
      <w:r>
        <w:rPr>
          <w:szCs w:val="18"/>
        </w:rPr>
        <w:t xml:space="preserve">. </w:t>
      </w:r>
    </w:p>
  </w:footnote>
  <w:footnote w:id="15">
    <w:p w:rsidR="00911BE6" w:rsidRDefault="00911BE6">
      <w:pPr>
        <w:pStyle w:val="FootnoteText"/>
      </w:pPr>
      <w:r>
        <w:rPr>
          <w:rStyle w:val="FootnoteReference"/>
        </w:rPr>
        <w:footnoteRef/>
      </w:r>
      <w:r>
        <w:t xml:space="preserve"> ‘</w:t>
      </w:r>
      <w:r w:rsidRPr="00716602">
        <w:rPr>
          <w:szCs w:val="18"/>
        </w:rPr>
        <w:t>Calls for Centrelink debt bungle probe: claims welfare reci</w:t>
      </w:r>
      <w:r>
        <w:rPr>
          <w:szCs w:val="18"/>
        </w:rPr>
        <w:t>pients are being wrongly hounded’</w:t>
      </w:r>
      <w:r>
        <w:t xml:space="preserve">, News.com.au, 4 January 2017, URL: </w:t>
      </w:r>
      <w:hyperlink r:id="rId8" w:history="1">
        <w:r w:rsidRPr="007E2414">
          <w:rPr>
            <w:rStyle w:val="Hyperlink"/>
          </w:rPr>
          <w:t>http://www.news.com.au/finance/work/calls-for-centrelink-debt-bungle-probe-claims-welfare-recipients-are-being-wrongly-hounded/news-story/23f7e122610ef7be4217f09ed6c882a3</w:t>
        </w:r>
      </w:hyperlink>
      <w:r>
        <w:t>.</w:t>
      </w:r>
    </w:p>
  </w:footnote>
  <w:footnote w:id="16">
    <w:p w:rsidR="00CF1548" w:rsidRPr="0022712E" w:rsidRDefault="00CF1548" w:rsidP="00CF1548">
      <w:pPr>
        <w:pStyle w:val="FootnoteText"/>
        <w:rPr>
          <w:lang w:val="en-US"/>
        </w:rPr>
      </w:pPr>
      <w:r>
        <w:rPr>
          <w:rStyle w:val="FootnoteReference"/>
        </w:rPr>
        <w:footnoteRef/>
      </w:r>
      <w:r>
        <w:t xml:space="preserve"> </w:t>
      </w:r>
      <w:r w:rsidRPr="0022712E">
        <w:rPr>
          <w:rFonts w:cs="Arial-BoldMT"/>
          <w:bCs/>
          <w:kern w:val="0"/>
          <w:szCs w:val="18"/>
        </w:rPr>
        <w:t>National Association of Community Legal Centres</w:t>
      </w:r>
      <w:r w:rsidRPr="0022712E">
        <w:rPr>
          <w:szCs w:val="18"/>
        </w:rPr>
        <w:t xml:space="preserve">: </w:t>
      </w:r>
      <w:r w:rsidRPr="0022712E">
        <w:rPr>
          <w:rFonts w:cs="Arial-BoldMT"/>
          <w:bCs/>
          <w:kern w:val="0"/>
          <w:szCs w:val="18"/>
        </w:rPr>
        <w:t xml:space="preserve">Submission to Australian Government Federal Budget 2016-2017, published 9/2/16, </w:t>
      </w:r>
      <w:hyperlink r:id="rId9" w:history="1">
        <w:r w:rsidRPr="0022712E">
          <w:rPr>
            <w:rStyle w:val="Hyperlink"/>
            <w:rFonts w:cs="Arial-BoldMT"/>
            <w:bCs/>
            <w:kern w:val="0"/>
            <w:szCs w:val="18"/>
          </w:rPr>
          <w:t>http://www.naclc.org.au/resources/NACLC_Federal_Budget_Sub_2016_17_Final_PDF.pdf</w:t>
        </w:r>
      </w:hyperlink>
      <w:r>
        <w:rPr>
          <w:rStyle w:val="Hyperlink"/>
          <w:rFonts w:cs="Arial-BoldMT"/>
          <w:bCs/>
          <w:kern w:val="0"/>
          <w:szCs w:val="18"/>
        </w:rPr>
        <w:t>.</w:t>
      </w:r>
    </w:p>
  </w:footnote>
  <w:footnote w:id="17">
    <w:p w:rsidR="00CF1548" w:rsidRPr="0022712E" w:rsidRDefault="00CF1548" w:rsidP="00CF1548">
      <w:pPr>
        <w:pStyle w:val="FootnoteText"/>
        <w:rPr>
          <w:lang w:val="en-US"/>
        </w:rPr>
      </w:pPr>
      <w:r>
        <w:rPr>
          <w:rStyle w:val="FootnoteReference"/>
        </w:rPr>
        <w:footnoteRef/>
      </w:r>
      <w:r>
        <w:t xml:space="preserve"> </w:t>
      </w:r>
      <w:r>
        <w:rPr>
          <w:lang w:val="en-US"/>
        </w:rPr>
        <w:t>Ibid.</w:t>
      </w:r>
    </w:p>
  </w:footnote>
  <w:footnote w:id="18">
    <w:p w:rsidR="008E1BBD" w:rsidRDefault="008E1BBD">
      <w:pPr>
        <w:pStyle w:val="FootnoteText"/>
      </w:pPr>
      <w:r>
        <w:rPr>
          <w:rStyle w:val="FootnoteReference"/>
        </w:rPr>
        <w:footnoteRef/>
      </w:r>
      <w:r>
        <w:t xml:space="preserve"> Productivity Commission: Access to Justice Arrangements Report, </w:t>
      </w:r>
      <w:r w:rsidRPr="00B07BA0">
        <w:t>Appendix K Measuring the benefits of legal assistance services</w:t>
      </w:r>
      <w:r>
        <w:t>,</w:t>
      </w:r>
      <w:r w:rsidRPr="00B07BA0">
        <w:t xml:space="preserve"> </w:t>
      </w:r>
      <w:r>
        <w:t xml:space="preserve">3 December 2014, URL: </w:t>
      </w:r>
      <w:hyperlink r:id="rId10" w:history="1">
        <w:r w:rsidRPr="007E2414">
          <w:rPr>
            <w:rStyle w:val="Hyperlink"/>
          </w:rPr>
          <w:t>http://www.pc.gov.au/inquiries/completed/access-justice/report/access-justice-appendixk.pdf</w:t>
        </w:r>
      </w:hyperlink>
      <w:r>
        <w:t>, p. 6.</w:t>
      </w:r>
    </w:p>
  </w:footnote>
  <w:footnote w:id="19">
    <w:p w:rsidR="00AD0F66" w:rsidRDefault="00AD0F66">
      <w:pPr>
        <w:pStyle w:val="FootnoteText"/>
      </w:pPr>
      <w:r>
        <w:rPr>
          <w:rStyle w:val="FootnoteReference"/>
        </w:rPr>
        <w:footnoteRef/>
      </w:r>
      <w:r>
        <w:t xml:space="preserve"> </w:t>
      </w:r>
      <w:r w:rsidR="00E66C80">
        <w:t>I</w:t>
      </w:r>
      <w:r w:rsidR="008368A9">
        <w:t>d, p</w:t>
      </w:r>
      <w:r>
        <w:t xml:space="preserve"> 9.</w:t>
      </w:r>
    </w:p>
  </w:footnote>
  <w:footnote w:id="20">
    <w:p w:rsidR="00E66C80" w:rsidRDefault="00E66C80">
      <w:pPr>
        <w:pStyle w:val="FootnoteText"/>
      </w:pPr>
      <w:r>
        <w:rPr>
          <w:rStyle w:val="FootnoteReference"/>
        </w:rPr>
        <w:footnoteRef/>
      </w:r>
      <w:r>
        <w:t xml:space="preserve"> Id, p 10.</w:t>
      </w:r>
    </w:p>
  </w:footnote>
  <w:footnote w:id="21">
    <w:p w:rsidR="00216280" w:rsidRDefault="00216280" w:rsidP="00216280">
      <w:pPr>
        <w:pStyle w:val="FootnoteText"/>
      </w:pPr>
      <w:r>
        <w:rPr>
          <w:rStyle w:val="FootnoteReference"/>
        </w:rPr>
        <w:footnoteRef/>
      </w:r>
      <w:r>
        <w:t xml:space="preserve"> Media Release: Third Action Plan to reduce family violence, 28 October 2016, URL: </w:t>
      </w:r>
      <w:r w:rsidRPr="0057101A">
        <w:t>https://www.attorneygeneral.gov.au/Mediareleases/Pages/2016/FourthQuarter/Third-action-plan-to-reduce-family-violence.aspx</w:t>
      </w:r>
      <w:r>
        <w:t>.</w:t>
      </w:r>
    </w:p>
  </w:footnote>
  <w:footnote w:id="22">
    <w:p w:rsidR="00D00540" w:rsidRDefault="00D00540">
      <w:pPr>
        <w:pStyle w:val="FootnoteText"/>
      </w:pPr>
      <w:r>
        <w:rPr>
          <w:rStyle w:val="FootnoteReference"/>
        </w:rPr>
        <w:footnoteRef/>
      </w:r>
      <w:r>
        <w:t xml:space="preserve"> Prime Minister of Australia, the Hon Malcolm Turnbull MP, 28 October 2016, Government Strengthens Investment </w:t>
      </w:r>
      <w:r w:rsidR="00CC4018">
        <w:t xml:space="preserve">to reduce Violence against Women and Children, URL: </w:t>
      </w:r>
      <w:hyperlink r:id="rId11" w:history="1">
        <w:r w:rsidR="00CC4018" w:rsidRPr="003C7629">
          <w:rPr>
            <w:rStyle w:val="Hyperlink"/>
          </w:rPr>
          <w:t>https://www.pm.gov.au/media/2016-10-28/government-strengthens-investment-reduce-violence-against-women-and-children</w:t>
        </w:r>
      </w:hyperlink>
      <w:r w:rsidR="00CC4018">
        <w:t>.</w:t>
      </w:r>
    </w:p>
  </w:footnote>
  <w:footnote w:id="23">
    <w:p w:rsidR="00EA16A1" w:rsidRPr="00CC2CC0" w:rsidRDefault="00EA16A1" w:rsidP="00EA16A1">
      <w:pPr>
        <w:pStyle w:val="FootnoteText"/>
        <w:rPr>
          <w:lang w:val="en-US"/>
        </w:rPr>
      </w:pPr>
      <w:r>
        <w:rPr>
          <w:rStyle w:val="FootnoteReference"/>
        </w:rPr>
        <w:footnoteRef/>
      </w:r>
      <w:r>
        <w:t xml:space="preserve"> </w:t>
      </w:r>
      <w:r w:rsidRPr="00CC2CC0">
        <w:rPr>
          <w:szCs w:val="18"/>
        </w:rPr>
        <w:t xml:space="preserve">Media Release: NACLC acknowledges limited additional family violence funding for Community Legal Centres, 28 October 2016,  </w:t>
      </w:r>
      <w:hyperlink r:id="rId12" w:history="1">
        <w:r w:rsidRPr="00CC2CC0">
          <w:rPr>
            <w:rStyle w:val="Hyperlink"/>
            <w:color w:val="auto"/>
            <w:szCs w:val="18"/>
          </w:rPr>
          <w:t>http://www.naclc.org.au/cb_pages/news/NACLCacknowledgeslimitedfamilyviolencefunding.php</w:t>
        </w:r>
      </w:hyperlink>
      <w:r>
        <w:rPr>
          <w:szCs w:val="18"/>
        </w:rPr>
        <w:t>.</w:t>
      </w:r>
    </w:p>
  </w:footnote>
  <w:footnote w:id="24">
    <w:p w:rsidR="00EB4ED8" w:rsidRDefault="00EB4ED8" w:rsidP="00EB4ED8">
      <w:pPr>
        <w:pStyle w:val="FootnoteText"/>
      </w:pPr>
      <w:r>
        <w:rPr>
          <w:rStyle w:val="FootnoteReference"/>
        </w:rPr>
        <w:footnoteRef/>
      </w:r>
      <w:r>
        <w:t xml:space="preserve"> </w:t>
      </w:r>
      <w:r>
        <w:rPr>
          <w:szCs w:val="18"/>
        </w:rPr>
        <w:t xml:space="preserve">In 2015, for example, jurisdiction in relation to Commonwealth tenancy disputes was conferred on the Court under the </w:t>
      </w:r>
      <w:r>
        <w:rPr>
          <w:i/>
          <w:iCs/>
          <w:szCs w:val="18"/>
        </w:rPr>
        <w:t xml:space="preserve">Federal Courts Legislation Amendment Act 2015 </w:t>
      </w:r>
      <w:r>
        <w:rPr>
          <w:szCs w:val="18"/>
        </w:rPr>
        <w:t>(Cth). See also: Federal Circuit Court (Commonwealth Tenancy Disputes) Instrument 2015</w:t>
      </w:r>
      <w:r>
        <w:t>.</w:t>
      </w:r>
    </w:p>
  </w:footnote>
  <w:footnote w:id="25">
    <w:p w:rsidR="00BB7735" w:rsidRDefault="00BB7735" w:rsidP="00BB7735">
      <w:pPr>
        <w:pStyle w:val="FootnoteText"/>
      </w:pPr>
      <w:r>
        <w:rPr>
          <w:rStyle w:val="FootnoteReference"/>
        </w:rPr>
        <w:footnoteRef/>
      </w:r>
      <w:r>
        <w:t xml:space="preserve"> </w:t>
      </w:r>
      <w:r>
        <w:rPr>
          <w:szCs w:val="18"/>
        </w:rPr>
        <w:t xml:space="preserve">Senate Standing Committee on Economics, </w:t>
      </w:r>
      <w:r>
        <w:rPr>
          <w:i/>
          <w:iCs/>
          <w:szCs w:val="18"/>
        </w:rPr>
        <w:t xml:space="preserve">Insolvency in the Australian construction industry Report </w:t>
      </w:r>
      <w:r>
        <w:rPr>
          <w:szCs w:val="18"/>
        </w:rPr>
        <w:t>(2015), Recommendation 44 [12.68], p 193.</w:t>
      </w:r>
    </w:p>
  </w:footnote>
  <w:footnote w:id="26">
    <w:p w:rsidR="009E3F04" w:rsidRDefault="009E3F04" w:rsidP="009E3F04">
      <w:pPr>
        <w:pStyle w:val="FootnoteText"/>
      </w:pPr>
      <w:r>
        <w:rPr>
          <w:rStyle w:val="FootnoteReference"/>
        </w:rPr>
        <w:footnoteRef/>
      </w:r>
      <w:r>
        <w:t xml:space="preserve"> Productivity Commission: Intellectual Property Arrangements Inquiry, Intellectual Property Overview, December 2016, p 2., URL: </w:t>
      </w:r>
      <w:hyperlink r:id="rId13" w:history="1">
        <w:r w:rsidRPr="007E2414">
          <w:rPr>
            <w:rStyle w:val="Hyperlink"/>
          </w:rPr>
          <w:t>http://www.pc.gov.au/inquiries/completed/intellectual-property/report</w:t>
        </w:r>
      </w:hyperlink>
      <w:r>
        <w:t xml:space="preserve">.  </w:t>
      </w:r>
    </w:p>
  </w:footnote>
  <w:footnote w:id="27">
    <w:p w:rsidR="00D27A6B" w:rsidRDefault="00D27A6B" w:rsidP="00D27A6B">
      <w:pPr>
        <w:pStyle w:val="FootnoteText"/>
      </w:pPr>
      <w:r>
        <w:rPr>
          <w:rStyle w:val="FootnoteReference"/>
        </w:rPr>
        <w:footnoteRef/>
      </w:r>
      <w:r>
        <w:t xml:space="preserve"> Productivity Commission: Intellectual Property Arrangements Inquiry, Intellectual Property Arrangements report, December 2016, p 41., URL </w:t>
      </w:r>
      <w:hyperlink r:id="rId14" w:anchor="contents" w:history="1">
        <w:r w:rsidRPr="007E2414">
          <w:rPr>
            <w:rStyle w:val="Hyperlink"/>
          </w:rPr>
          <w:t>http://www.pc.gov.au/inquiries/completed/intellectual-property/report#contents</w:t>
        </w:r>
      </w:hyperlink>
      <w:r>
        <w:t>.</w:t>
      </w:r>
    </w:p>
  </w:footnote>
  <w:footnote w:id="28">
    <w:p w:rsidR="009E3F04" w:rsidRDefault="009E3F04" w:rsidP="009E3F04">
      <w:pPr>
        <w:pStyle w:val="FootnoteText"/>
      </w:pPr>
      <w:r>
        <w:rPr>
          <w:rStyle w:val="FootnoteReference"/>
        </w:rPr>
        <w:footnoteRef/>
      </w:r>
      <w:r>
        <w:t xml:space="preserve"> Productivity Commission: Intellectual Property Arrangements Inquiry, Intellectual Property Arrangements report, December 2016, p 24., URL </w:t>
      </w:r>
      <w:hyperlink r:id="rId15" w:anchor="contents" w:history="1">
        <w:r w:rsidRPr="007E2414">
          <w:rPr>
            <w:rStyle w:val="Hyperlink"/>
          </w:rPr>
          <w:t>http://www.pc.gov.au/inquiries/completed/intellectual-property/report#contents</w:t>
        </w:r>
      </w:hyperlink>
      <w:r>
        <w:t xml:space="preserve">. </w:t>
      </w:r>
    </w:p>
  </w:footnote>
  <w:footnote w:id="29">
    <w:p w:rsidR="007C0C5C" w:rsidRPr="0065577E" w:rsidRDefault="007C0C5C" w:rsidP="007C0C5C">
      <w:pPr>
        <w:pStyle w:val="Default"/>
        <w:rPr>
          <w:rFonts w:ascii="HK Grotesk" w:hAnsi="HK Grotesk" w:cs="Times New Roman"/>
          <w:sz w:val="18"/>
          <w:szCs w:val="18"/>
        </w:rPr>
      </w:pPr>
      <w:r w:rsidRPr="0065577E">
        <w:rPr>
          <w:rStyle w:val="FootnoteReference"/>
          <w:rFonts w:ascii="HK Grotesk" w:hAnsi="HK Grotesk"/>
          <w:sz w:val="18"/>
          <w:szCs w:val="18"/>
        </w:rPr>
        <w:footnoteRef/>
      </w:r>
      <w:r w:rsidRPr="0065577E">
        <w:rPr>
          <w:rFonts w:ascii="HK Grotesk" w:hAnsi="HK Grotesk"/>
          <w:sz w:val="18"/>
          <w:szCs w:val="18"/>
        </w:rPr>
        <w:t xml:space="preserve"> Office of the Australian Information Commissioner, 'OAIC forward funding in 2016-17 Federal Budget' (4 May 2016) &lt;https://www.oaic.gov.au/media-and-speeches/statements/oaic-forward-funding-in-2016-17-federal-budget&gt;. </w:t>
      </w:r>
    </w:p>
  </w:footnote>
  <w:footnote w:id="30">
    <w:p w:rsidR="007C0C5C" w:rsidRPr="007C0C5C" w:rsidRDefault="007C0C5C" w:rsidP="007C0C5C">
      <w:pPr>
        <w:pStyle w:val="Default"/>
        <w:rPr>
          <w:rFonts w:ascii="Times New Roman" w:hAnsi="Times New Roman" w:cs="Times New Roman"/>
        </w:rPr>
      </w:pPr>
      <w:r w:rsidRPr="0065577E">
        <w:rPr>
          <w:rStyle w:val="FootnoteReference"/>
          <w:rFonts w:ascii="HK Grotesk" w:hAnsi="HK Grotesk"/>
          <w:sz w:val="18"/>
          <w:szCs w:val="18"/>
        </w:rPr>
        <w:footnoteRef/>
      </w:r>
      <w:r w:rsidRPr="0065577E">
        <w:rPr>
          <w:rFonts w:ascii="HK Grotesk" w:hAnsi="HK Grotesk"/>
          <w:sz w:val="18"/>
          <w:szCs w:val="18"/>
        </w:rPr>
        <w:t xml:space="preserve"> See, e.g. Crikey, 'Turnbull delivers on transparency promise, with Information Commissioner saved' (3 May 2016) &lt; https://www.crikey.com.au/2016/05/03/turnbull-delivers-transparency-promise/&gt;.</w:t>
      </w:r>
      <w:r w:rsidRPr="007C0C5C">
        <w:rPr>
          <w:rFonts w:ascii="Times New Roman" w:hAnsi="Times New Roman"/>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6E4F" w:rsidRDefault="00A56E4F">
    <w:pPr>
      <w:pStyle w:val="Header"/>
    </w:pPr>
  </w:p>
  <w:p w:rsidR="009C4196" w:rsidRPr="009C4196" w:rsidRDefault="009C4196" w:rsidP="009C419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460012"/>
    <w:multiLevelType w:val="multilevel"/>
    <w:tmpl w:val="29F4BBA0"/>
    <w:lvl w:ilvl="0">
      <w:start w:val="1"/>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134"/>
        </w:tabs>
        <w:ind w:left="1134" w:hanging="567"/>
      </w:pPr>
      <w:rPr>
        <w:rFonts w:ascii="Arial" w:hAnsi="Arial" w:hint="default"/>
        <w:b w:val="0"/>
        <w:i w:val="0"/>
        <w:sz w:val="24"/>
        <w:szCs w:val="24"/>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
    <w:nsid w:val="11622128"/>
    <w:multiLevelType w:val="multilevel"/>
    <w:tmpl w:val="6096DBEC"/>
    <w:lvl w:ilvl="0">
      <w:start w:val="1"/>
      <w:numFmt w:val="decimal"/>
      <w:lvlText w:val="%1."/>
      <w:lvlJc w:val="left"/>
      <w:pPr>
        <w:ind w:left="360" w:hanging="360"/>
      </w:pPr>
      <w:rPr>
        <w:rFonts w:hint="default"/>
      </w:rPr>
    </w:lvl>
    <w:lvl w:ilvl="1">
      <w:start w:val="1"/>
      <w:numFmt w:val="bullet"/>
      <w:lvlText w:val=""/>
      <w:lvlJc w:val="left"/>
      <w:pPr>
        <w:tabs>
          <w:tab w:val="num" w:pos="1134"/>
        </w:tabs>
        <w:ind w:left="1134" w:hanging="567"/>
      </w:pPr>
      <w:rPr>
        <w:rFonts w:ascii="Wingdings" w:hAnsi="Wingdings" w:hint="default"/>
        <w:color w:val="auto"/>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
    <w:nsid w:val="128D5D29"/>
    <w:multiLevelType w:val="multilevel"/>
    <w:tmpl w:val="35C667CE"/>
    <w:lvl w:ilvl="0">
      <w:start w:val="1"/>
      <w:numFmt w:val="decimal"/>
      <w:pStyle w:val="Numlevel1"/>
      <w:lvlText w:val="%1."/>
      <w:lvlJc w:val="left"/>
      <w:pPr>
        <w:ind w:left="360" w:hanging="360"/>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
    <w:nsid w:val="16E75E5A"/>
    <w:multiLevelType w:val="multilevel"/>
    <w:tmpl w:val="EE2A40D0"/>
    <w:styleLink w:val="BulletList1"/>
    <w:lvl w:ilvl="0">
      <w:start w:val="1"/>
      <w:numFmt w:val="bullet"/>
      <w:pStyle w:val="Dotpoint1"/>
      <w:lvlText w:val=""/>
      <w:lvlJc w:val="left"/>
      <w:pPr>
        <w:tabs>
          <w:tab w:val="num" w:pos="1134"/>
        </w:tabs>
        <w:ind w:left="1134" w:hanging="567"/>
      </w:pPr>
      <w:rPr>
        <w:rFonts w:ascii="Symbol" w:hAnsi="Symbol" w:hint="default"/>
        <w:sz w:val="20"/>
        <w:szCs w:val="20"/>
      </w:rPr>
    </w:lvl>
    <w:lvl w:ilvl="1">
      <w:start w:val="1"/>
      <w:numFmt w:val="bullet"/>
      <w:pStyle w:val="Dotpoint2"/>
      <w:lvlText w:val="-"/>
      <w:lvlJc w:val="left"/>
      <w:pPr>
        <w:tabs>
          <w:tab w:val="num" w:pos="1701"/>
        </w:tabs>
        <w:ind w:left="1701" w:hanging="567"/>
      </w:pPr>
      <w:rPr>
        <w:rFonts w:ascii="Times New Roman" w:hAnsi="Times New Roman" w:cs="Times New Roman" w:hint="default"/>
        <w:sz w:val="22"/>
      </w:rPr>
    </w:lvl>
    <w:lvl w:ilvl="2">
      <w:start w:val="1"/>
      <w:numFmt w:val="bullet"/>
      <w:lvlText w:val=""/>
      <w:lvlJc w:val="left"/>
      <w:pPr>
        <w:tabs>
          <w:tab w:val="num" w:pos="2268"/>
        </w:tabs>
        <w:ind w:left="2268" w:hanging="567"/>
      </w:pPr>
      <w:rPr>
        <w:rFonts w:ascii="Wingdings" w:hAnsi="Wingdings" w:hint="default"/>
      </w:rPr>
    </w:lvl>
    <w:lvl w:ilvl="3">
      <w:start w:val="1"/>
      <w:numFmt w:val="bullet"/>
      <w:lvlText w:val=""/>
      <w:lvlJc w:val="left"/>
      <w:pPr>
        <w:tabs>
          <w:tab w:val="num" w:pos="4473"/>
        </w:tabs>
        <w:ind w:left="4473" w:hanging="360"/>
      </w:pPr>
      <w:rPr>
        <w:rFonts w:ascii="Symbol" w:hAnsi="Symbol" w:hint="default"/>
      </w:rPr>
    </w:lvl>
    <w:lvl w:ilvl="4">
      <w:start w:val="1"/>
      <w:numFmt w:val="bullet"/>
      <w:lvlText w:val="o"/>
      <w:lvlJc w:val="left"/>
      <w:pPr>
        <w:tabs>
          <w:tab w:val="num" w:pos="5193"/>
        </w:tabs>
        <w:ind w:left="5193" w:hanging="360"/>
      </w:pPr>
      <w:rPr>
        <w:rFonts w:ascii="Courier New" w:hAnsi="Courier New" w:cs="Courier New" w:hint="default"/>
      </w:rPr>
    </w:lvl>
    <w:lvl w:ilvl="5">
      <w:start w:val="1"/>
      <w:numFmt w:val="bullet"/>
      <w:lvlText w:val=""/>
      <w:lvlJc w:val="left"/>
      <w:pPr>
        <w:tabs>
          <w:tab w:val="num" w:pos="5913"/>
        </w:tabs>
        <w:ind w:left="5913" w:hanging="360"/>
      </w:pPr>
      <w:rPr>
        <w:rFonts w:ascii="Wingdings" w:hAnsi="Wingdings" w:hint="default"/>
      </w:rPr>
    </w:lvl>
    <w:lvl w:ilvl="6">
      <w:start w:val="1"/>
      <w:numFmt w:val="bullet"/>
      <w:lvlText w:val=""/>
      <w:lvlJc w:val="left"/>
      <w:pPr>
        <w:tabs>
          <w:tab w:val="num" w:pos="6633"/>
        </w:tabs>
        <w:ind w:left="6633" w:hanging="360"/>
      </w:pPr>
      <w:rPr>
        <w:rFonts w:ascii="Symbol" w:hAnsi="Symbol" w:hint="default"/>
      </w:rPr>
    </w:lvl>
    <w:lvl w:ilvl="7">
      <w:start w:val="1"/>
      <w:numFmt w:val="bullet"/>
      <w:lvlText w:val="o"/>
      <w:lvlJc w:val="left"/>
      <w:pPr>
        <w:tabs>
          <w:tab w:val="num" w:pos="7353"/>
        </w:tabs>
        <w:ind w:left="7353" w:hanging="360"/>
      </w:pPr>
      <w:rPr>
        <w:rFonts w:ascii="Courier New" w:hAnsi="Courier New" w:cs="Courier New" w:hint="default"/>
      </w:rPr>
    </w:lvl>
    <w:lvl w:ilvl="8">
      <w:start w:val="1"/>
      <w:numFmt w:val="bullet"/>
      <w:lvlText w:val=""/>
      <w:lvlJc w:val="left"/>
      <w:pPr>
        <w:tabs>
          <w:tab w:val="num" w:pos="8073"/>
        </w:tabs>
        <w:ind w:left="8073" w:hanging="360"/>
      </w:pPr>
      <w:rPr>
        <w:rFonts w:ascii="Wingdings" w:hAnsi="Wingdings" w:hint="default"/>
      </w:rPr>
    </w:lvl>
  </w:abstractNum>
  <w:abstractNum w:abstractNumId="4">
    <w:nsid w:val="20187475"/>
    <w:multiLevelType w:val="hybridMultilevel"/>
    <w:tmpl w:val="E6D649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3B11D9"/>
    <w:multiLevelType w:val="hybridMultilevel"/>
    <w:tmpl w:val="BADAD4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DD175C4"/>
    <w:multiLevelType w:val="multilevel"/>
    <w:tmpl w:val="AF420834"/>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338076AC"/>
    <w:multiLevelType w:val="hybridMultilevel"/>
    <w:tmpl w:val="EEBC4A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68E168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
    <w:nsid w:val="36FA4DF4"/>
    <w:multiLevelType w:val="hybridMultilevel"/>
    <w:tmpl w:val="888859D4"/>
    <w:lvl w:ilvl="0" w:tplc="B2F28A4E">
      <w:start w:val="1"/>
      <w:numFmt w:val="lowerLetter"/>
      <w:lvlText w:val="(%1)"/>
      <w:lvlJc w:val="left"/>
      <w:pPr>
        <w:ind w:left="1854" w:hanging="360"/>
      </w:pPr>
      <w:rPr>
        <w:rFonts w:ascii="HK Grotesk" w:eastAsia="Times New Roman" w:hAnsi="HK Grotesk" w:cs="Arial"/>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0">
    <w:nsid w:val="38E1460C"/>
    <w:multiLevelType w:val="hybridMultilevel"/>
    <w:tmpl w:val="05AAACE2"/>
    <w:lvl w:ilvl="0" w:tplc="B2F28A4E">
      <w:start w:val="1"/>
      <w:numFmt w:val="lowerLetter"/>
      <w:lvlText w:val="(%1)"/>
      <w:lvlJc w:val="left"/>
      <w:pPr>
        <w:ind w:left="1854" w:hanging="360"/>
      </w:pPr>
      <w:rPr>
        <w:rFonts w:ascii="HK Grotesk" w:eastAsia="Times New Roman" w:hAnsi="HK Grotesk" w:cs="Arial"/>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1">
    <w:nsid w:val="3EA03686"/>
    <w:multiLevelType w:val="hybridMultilevel"/>
    <w:tmpl w:val="667892FE"/>
    <w:lvl w:ilvl="0" w:tplc="B2F28A4E">
      <w:start w:val="1"/>
      <w:numFmt w:val="lowerLetter"/>
      <w:lvlText w:val="(%1)"/>
      <w:lvlJc w:val="left"/>
      <w:pPr>
        <w:ind w:left="1854" w:hanging="360"/>
      </w:pPr>
      <w:rPr>
        <w:rFonts w:ascii="HK Grotesk" w:eastAsia="Times New Roman" w:hAnsi="HK Grotesk" w:cs="Arial"/>
      </w:r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2">
    <w:nsid w:val="3F2E14BB"/>
    <w:multiLevelType w:val="hybridMultilevel"/>
    <w:tmpl w:val="0A70D8D2"/>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13">
    <w:nsid w:val="42550313"/>
    <w:multiLevelType w:val="hybridMultilevel"/>
    <w:tmpl w:val="3FCAB326"/>
    <w:lvl w:ilvl="0" w:tplc="A1E8B99C">
      <w:start w:val="1"/>
      <w:numFmt w:val="bullet"/>
      <w:lvlText w:val="-"/>
      <w:lvlJc w:val="left"/>
      <w:pPr>
        <w:ind w:left="1494"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52B11A3D"/>
    <w:multiLevelType w:val="hybridMultilevel"/>
    <w:tmpl w:val="955C87B6"/>
    <w:lvl w:ilvl="0" w:tplc="B2F28A4E">
      <w:start w:val="1"/>
      <w:numFmt w:val="lowerLetter"/>
      <w:lvlText w:val="(%1)"/>
      <w:lvlJc w:val="left"/>
      <w:pPr>
        <w:ind w:left="1854" w:hanging="360"/>
      </w:pPr>
      <w:rPr>
        <w:rFonts w:ascii="HK Grotesk" w:eastAsia="Times New Roman" w:hAnsi="HK Grotesk" w:cs="Arial"/>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5">
    <w:nsid w:val="538F6934"/>
    <w:multiLevelType w:val="hybridMultilevel"/>
    <w:tmpl w:val="708AD54A"/>
    <w:lvl w:ilvl="0" w:tplc="B2F28A4E">
      <w:start w:val="1"/>
      <w:numFmt w:val="lowerLetter"/>
      <w:lvlText w:val="(%1)"/>
      <w:lvlJc w:val="left"/>
      <w:pPr>
        <w:ind w:left="1854" w:hanging="360"/>
      </w:pPr>
      <w:rPr>
        <w:rFonts w:ascii="HK Grotesk" w:eastAsia="Times New Roman" w:hAnsi="HK Grotesk" w:cs="Arial"/>
      </w:r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6">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nsid w:val="63F3305E"/>
    <w:multiLevelType w:val="hybridMultilevel"/>
    <w:tmpl w:val="A836C9FA"/>
    <w:lvl w:ilvl="0" w:tplc="51082108">
      <w:start w:val="1"/>
      <w:numFmt w:val="bullet"/>
      <w:lvlText w:val="-"/>
      <w:lvlJc w:val="left"/>
      <w:pPr>
        <w:ind w:left="720" w:hanging="360"/>
      </w:pPr>
      <w:rPr>
        <w:rFonts w:ascii="Calibri" w:eastAsia="Calibri" w:hAnsi="Calibri" w:cs="Times New Roman" w:hint="default"/>
        <w:b w:val="0"/>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nsid w:val="642F29D1"/>
    <w:multiLevelType w:val="hybridMultilevel"/>
    <w:tmpl w:val="D624B910"/>
    <w:lvl w:ilvl="0" w:tplc="6470ABC8">
      <w:start w:val="1"/>
      <w:numFmt w:val="bullet"/>
      <w:lvlText w:val=""/>
      <w:lvlJc w:val="left"/>
      <w:pPr>
        <w:tabs>
          <w:tab w:val="num" w:pos="1134"/>
        </w:tabs>
        <w:ind w:left="1134" w:hanging="567"/>
      </w:pPr>
      <w:rPr>
        <w:rFonts w:ascii="Symbol" w:hAnsi="Symbol" w:hint="default"/>
        <w:sz w:val="20"/>
        <w:szCs w:val="20"/>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9">
    <w:nsid w:val="76F57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771818EC"/>
    <w:multiLevelType w:val="multilevel"/>
    <w:tmpl w:val="A768EFD4"/>
    <w:lvl w:ilvl="0">
      <w:start w:val="1"/>
      <w:numFmt w:val="decimal"/>
      <w:lvlText w:val="%1."/>
      <w:lvlJc w:val="left"/>
      <w:pPr>
        <w:ind w:left="360" w:hanging="360"/>
      </w:pPr>
      <w:rPr>
        <w:rFonts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nsid w:val="77B40426"/>
    <w:multiLevelType w:val="hybridMultilevel"/>
    <w:tmpl w:val="667892FE"/>
    <w:lvl w:ilvl="0" w:tplc="B2F28A4E">
      <w:start w:val="1"/>
      <w:numFmt w:val="lowerLetter"/>
      <w:lvlText w:val="(%1)"/>
      <w:lvlJc w:val="left"/>
      <w:pPr>
        <w:ind w:left="1854" w:hanging="360"/>
      </w:pPr>
      <w:rPr>
        <w:rFonts w:ascii="HK Grotesk" w:eastAsia="Times New Roman" w:hAnsi="HK Grotesk" w:cs="Arial"/>
      </w:rPr>
    </w:lvl>
    <w:lvl w:ilvl="1" w:tplc="0C090019">
      <w:start w:val="1"/>
      <w:numFmt w:val="lowerLetter"/>
      <w:lvlText w:val="%2."/>
      <w:lvlJc w:val="left"/>
      <w:pPr>
        <w:ind w:left="2574" w:hanging="360"/>
      </w:pPr>
    </w:lvl>
    <w:lvl w:ilvl="2" w:tplc="0C09001B">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22">
    <w:nsid w:val="7E80502C"/>
    <w:multiLevelType w:val="hybridMultilevel"/>
    <w:tmpl w:val="F408932C"/>
    <w:lvl w:ilvl="0" w:tplc="0C090001">
      <w:start w:val="1"/>
      <w:numFmt w:val="bullet"/>
      <w:lvlText w:val=""/>
      <w:lvlJc w:val="left"/>
      <w:pPr>
        <w:ind w:left="1287" w:hanging="360"/>
      </w:pPr>
      <w:rPr>
        <w:rFonts w:ascii="Symbol" w:hAnsi="Symbo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23">
    <w:nsid w:val="7F083CF8"/>
    <w:multiLevelType w:val="hybridMultilevel"/>
    <w:tmpl w:val="86B8D3D8"/>
    <w:lvl w:ilvl="0" w:tplc="0C090001">
      <w:start w:val="1"/>
      <w:numFmt w:val="bullet"/>
      <w:lvlText w:val=""/>
      <w:lvlJc w:val="left"/>
      <w:pPr>
        <w:ind w:left="1287" w:hanging="360"/>
      </w:pPr>
      <w:rPr>
        <w:rFonts w:ascii="Symbol" w:hAnsi="Symbol" w:hint="default"/>
      </w:rPr>
    </w:lvl>
    <w:lvl w:ilvl="1" w:tplc="0C090005">
      <w:start w:val="1"/>
      <w:numFmt w:val="bullet"/>
      <w:lvlText w:val=""/>
      <w:lvlJc w:val="left"/>
      <w:pPr>
        <w:ind w:left="2007" w:hanging="360"/>
      </w:pPr>
      <w:rPr>
        <w:rFonts w:ascii="Wingdings" w:hAnsi="Wingdings"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num w:numId="1">
    <w:abstractNumId w:val="18"/>
  </w:num>
  <w:num w:numId="2">
    <w:abstractNumId w:val="2"/>
  </w:num>
  <w:num w:numId="3">
    <w:abstractNumId w:val="13"/>
  </w:num>
  <w:num w:numId="4">
    <w:abstractNumId w:val="6"/>
  </w:num>
  <w:num w:numId="5">
    <w:abstractNumId w:val="3"/>
  </w:num>
  <w:num w:numId="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
  </w:num>
  <w:num w:numId="9">
    <w:abstractNumId w:val="2"/>
  </w:num>
  <w:num w:numId="10">
    <w:abstractNumId w:val="2"/>
  </w:num>
  <w:num w:numId="11">
    <w:abstractNumId w:val="2"/>
  </w:num>
  <w:num w:numId="12">
    <w:abstractNumId w:val="3"/>
  </w:num>
  <w:num w:numId="13">
    <w:abstractNumId w:val="3"/>
  </w:num>
  <w:num w:numId="14">
    <w:abstractNumId w:val="2"/>
  </w:num>
  <w:num w:numId="15">
    <w:abstractNumId w:val="2"/>
  </w:num>
  <w:num w:numId="16">
    <w:abstractNumId w:val="2"/>
  </w:num>
  <w:num w:numId="17">
    <w:abstractNumId w:val="3"/>
  </w:num>
  <w:num w:numId="18">
    <w:abstractNumId w:val="0"/>
  </w:num>
  <w:num w:numId="19">
    <w:abstractNumId w:val="7"/>
  </w:num>
  <w:num w:numId="20">
    <w:abstractNumId w:val="4"/>
  </w:num>
  <w:num w:numId="21">
    <w:abstractNumId w:val="19"/>
  </w:num>
  <w:num w:numId="22">
    <w:abstractNumId w:val="8"/>
  </w:num>
  <w:num w:numId="23">
    <w:abstractNumId w:val="3"/>
  </w:num>
  <w:num w:numId="24">
    <w:abstractNumId w:val="5"/>
  </w:num>
  <w:num w:numId="25">
    <w:abstractNumId w:val="20"/>
  </w:num>
  <w:num w:numId="26">
    <w:abstractNumId w:val="1"/>
  </w:num>
  <w:num w:numId="27">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num>
  <w:num w:numId="29">
    <w:abstractNumId w:val="23"/>
  </w:num>
  <w:num w:numId="30">
    <w:abstractNumId w:val="22"/>
  </w:num>
  <w:num w:numId="31">
    <w:abstractNumId w:val="11"/>
  </w:num>
  <w:num w:numId="32">
    <w:abstractNumId w:val="21"/>
  </w:num>
  <w:num w:numId="33">
    <w:abstractNumId w:val="10"/>
  </w:num>
  <w:num w:numId="34">
    <w:abstractNumId w:val="14"/>
  </w:num>
  <w:num w:numId="35">
    <w:abstractNumId w:val="15"/>
  </w:num>
  <w:num w:numId="36">
    <w:abstractNumId w:val="9"/>
  </w:num>
  <w:num w:numId="37">
    <w:abstractNumId w:val="17"/>
  </w:num>
  <w:num w:numId="3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characterSpacingControl w:val="doNotCompress"/>
  <w:hdrShapeDefaults>
    <o:shapedefaults v:ext="edit" spidmax="10241"/>
  </w:hdrShapeDefaults>
  <w:footnotePr>
    <w:footnote w:id="-1"/>
    <w:footnote w:id="0"/>
    <w:footnote w:id="1"/>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D52"/>
    <w:rsid w:val="00000E2B"/>
    <w:rsid w:val="0000198C"/>
    <w:rsid w:val="00001A6A"/>
    <w:rsid w:val="00004220"/>
    <w:rsid w:val="0001119A"/>
    <w:rsid w:val="00011D46"/>
    <w:rsid w:val="0001234C"/>
    <w:rsid w:val="000143BE"/>
    <w:rsid w:val="00014AFD"/>
    <w:rsid w:val="00014D90"/>
    <w:rsid w:val="00015097"/>
    <w:rsid w:val="000170D9"/>
    <w:rsid w:val="000203AF"/>
    <w:rsid w:val="000205D4"/>
    <w:rsid w:val="00022081"/>
    <w:rsid w:val="00023BB2"/>
    <w:rsid w:val="0002475A"/>
    <w:rsid w:val="00024C39"/>
    <w:rsid w:val="00027E90"/>
    <w:rsid w:val="00030CC7"/>
    <w:rsid w:val="00031163"/>
    <w:rsid w:val="00033A66"/>
    <w:rsid w:val="00037CD5"/>
    <w:rsid w:val="000403B6"/>
    <w:rsid w:val="000405D7"/>
    <w:rsid w:val="0004170D"/>
    <w:rsid w:val="00043E67"/>
    <w:rsid w:val="000459C0"/>
    <w:rsid w:val="00046D44"/>
    <w:rsid w:val="00051E19"/>
    <w:rsid w:val="0005233D"/>
    <w:rsid w:val="000524B3"/>
    <w:rsid w:val="00054915"/>
    <w:rsid w:val="0005658B"/>
    <w:rsid w:val="0005700C"/>
    <w:rsid w:val="00057923"/>
    <w:rsid w:val="0006032F"/>
    <w:rsid w:val="000607D5"/>
    <w:rsid w:val="00060FE2"/>
    <w:rsid w:val="000626E8"/>
    <w:rsid w:val="000635CF"/>
    <w:rsid w:val="000642E5"/>
    <w:rsid w:val="000669CF"/>
    <w:rsid w:val="00066B70"/>
    <w:rsid w:val="00067992"/>
    <w:rsid w:val="000701EB"/>
    <w:rsid w:val="000716E5"/>
    <w:rsid w:val="00073578"/>
    <w:rsid w:val="00074874"/>
    <w:rsid w:val="00076A2F"/>
    <w:rsid w:val="0008665E"/>
    <w:rsid w:val="000912CB"/>
    <w:rsid w:val="00091BEC"/>
    <w:rsid w:val="00091C35"/>
    <w:rsid w:val="000938E2"/>
    <w:rsid w:val="00093AA0"/>
    <w:rsid w:val="000A07D9"/>
    <w:rsid w:val="000A1869"/>
    <w:rsid w:val="000A1DEE"/>
    <w:rsid w:val="000A53B5"/>
    <w:rsid w:val="000A5B5F"/>
    <w:rsid w:val="000A63CF"/>
    <w:rsid w:val="000C2477"/>
    <w:rsid w:val="000C2C32"/>
    <w:rsid w:val="000C71E5"/>
    <w:rsid w:val="000C7775"/>
    <w:rsid w:val="000D11C6"/>
    <w:rsid w:val="000D393D"/>
    <w:rsid w:val="000D6592"/>
    <w:rsid w:val="000E3143"/>
    <w:rsid w:val="000E331C"/>
    <w:rsid w:val="000E3623"/>
    <w:rsid w:val="000E3918"/>
    <w:rsid w:val="000F237E"/>
    <w:rsid w:val="000F6AC3"/>
    <w:rsid w:val="00102C1D"/>
    <w:rsid w:val="00104FA1"/>
    <w:rsid w:val="00105665"/>
    <w:rsid w:val="00105EDE"/>
    <w:rsid w:val="00110C33"/>
    <w:rsid w:val="00111670"/>
    <w:rsid w:val="00111C33"/>
    <w:rsid w:val="001153AC"/>
    <w:rsid w:val="00115FCF"/>
    <w:rsid w:val="0012038D"/>
    <w:rsid w:val="00121CE0"/>
    <w:rsid w:val="0012287D"/>
    <w:rsid w:val="0012510A"/>
    <w:rsid w:val="0012517D"/>
    <w:rsid w:val="0012755B"/>
    <w:rsid w:val="00127AD0"/>
    <w:rsid w:val="00127F8D"/>
    <w:rsid w:val="001300D6"/>
    <w:rsid w:val="001341CC"/>
    <w:rsid w:val="001356EF"/>
    <w:rsid w:val="00136EBE"/>
    <w:rsid w:val="00137783"/>
    <w:rsid w:val="00141502"/>
    <w:rsid w:val="00144CD1"/>
    <w:rsid w:val="00145458"/>
    <w:rsid w:val="0014565F"/>
    <w:rsid w:val="00145BE8"/>
    <w:rsid w:val="00147B5B"/>
    <w:rsid w:val="00150BFE"/>
    <w:rsid w:val="001525B4"/>
    <w:rsid w:val="001544B8"/>
    <w:rsid w:val="001550D9"/>
    <w:rsid w:val="0016083C"/>
    <w:rsid w:val="0016166D"/>
    <w:rsid w:val="0016277D"/>
    <w:rsid w:val="00163AD2"/>
    <w:rsid w:val="00165417"/>
    <w:rsid w:val="00167CDE"/>
    <w:rsid w:val="00171747"/>
    <w:rsid w:val="00171C31"/>
    <w:rsid w:val="0017266A"/>
    <w:rsid w:val="001726EF"/>
    <w:rsid w:val="001730D8"/>
    <w:rsid w:val="00173233"/>
    <w:rsid w:val="00174F5F"/>
    <w:rsid w:val="0017541B"/>
    <w:rsid w:val="0017645F"/>
    <w:rsid w:val="00180658"/>
    <w:rsid w:val="00181D52"/>
    <w:rsid w:val="00184025"/>
    <w:rsid w:val="0018418F"/>
    <w:rsid w:val="0018582C"/>
    <w:rsid w:val="00187129"/>
    <w:rsid w:val="0019060B"/>
    <w:rsid w:val="00191FB1"/>
    <w:rsid w:val="001927CC"/>
    <w:rsid w:val="00193311"/>
    <w:rsid w:val="00194DE3"/>
    <w:rsid w:val="001951C4"/>
    <w:rsid w:val="001A09DF"/>
    <w:rsid w:val="001A201D"/>
    <w:rsid w:val="001A2740"/>
    <w:rsid w:val="001A3DC1"/>
    <w:rsid w:val="001A3EE7"/>
    <w:rsid w:val="001A67B4"/>
    <w:rsid w:val="001A6891"/>
    <w:rsid w:val="001A79BF"/>
    <w:rsid w:val="001A7DC3"/>
    <w:rsid w:val="001B3D03"/>
    <w:rsid w:val="001B4423"/>
    <w:rsid w:val="001B5150"/>
    <w:rsid w:val="001C0512"/>
    <w:rsid w:val="001C4FA2"/>
    <w:rsid w:val="001C7D04"/>
    <w:rsid w:val="001D0F81"/>
    <w:rsid w:val="001D2375"/>
    <w:rsid w:val="001D4751"/>
    <w:rsid w:val="001D5683"/>
    <w:rsid w:val="001D5CB3"/>
    <w:rsid w:val="001E0E2B"/>
    <w:rsid w:val="001E2C6F"/>
    <w:rsid w:val="001E3F09"/>
    <w:rsid w:val="001E562A"/>
    <w:rsid w:val="001E5B7E"/>
    <w:rsid w:val="001E5FCC"/>
    <w:rsid w:val="001E75D7"/>
    <w:rsid w:val="001E7D5A"/>
    <w:rsid w:val="001F12A1"/>
    <w:rsid w:val="001F32F7"/>
    <w:rsid w:val="001F40FF"/>
    <w:rsid w:val="001F62E1"/>
    <w:rsid w:val="001F6C64"/>
    <w:rsid w:val="001F7396"/>
    <w:rsid w:val="001F7971"/>
    <w:rsid w:val="001F7A48"/>
    <w:rsid w:val="0020470E"/>
    <w:rsid w:val="00205DD3"/>
    <w:rsid w:val="00210A59"/>
    <w:rsid w:val="00210F46"/>
    <w:rsid w:val="002114B8"/>
    <w:rsid w:val="00211BC6"/>
    <w:rsid w:val="002136C5"/>
    <w:rsid w:val="00213D8B"/>
    <w:rsid w:val="00216280"/>
    <w:rsid w:val="00216BAB"/>
    <w:rsid w:val="0022156F"/>
    <w:rsid w:val="0022380B"/>
    <w:rsid w:val="002240DB"/>
    <w:rsid w:val="00226BE3"/>
    <w:rsid w:val="0022712E"/>
    <w:rsid w:val="00231405"/>
    <w:rsid w:val="002318A3"/>
    <w:rsid w:val="0023450F"/>
    <w:rsid w:val="00234A36"/>
    <w:rsid w:val="00235136"/>
    <w:rsid w:val="00235647"/>
    <w:rsid w:val="00240E42"/>
    <w:rsid w:val="00241ABD"/>
    <w:rsid w:val="00244434"/>
    <w:rsid w:val="00244613"/>
    <w:rsid w:val="002449BD"/>
    <w:rsid w:val="00245075"/>
    <w:rsid w:val="00245D17"/>
    <w:rsid w:val="00245FF9"/>
    <w:rsid w:val="0024604F"/>
    <w:rsid w:val="00246360"/>
    <w:rsid w:val="0024780E"/>
    <w:rsid w:val="00247C82"/>
    <w:rsid w:val="00252467"/>
    <w:rsid w:val="002537D9"/>
    <w:rsid w:val="0025459B"/>
    <w:rsid w:val="00255F77"/>
    <w:rsid w:val="0025694F"/>
    <w:rsid w:val="00256D39"/>
    <w:rsid w:val="00264A54"/>
    <w:rsid w:val="00265EB6"/>
    <w:rsid w:val="00267962"/>
    <w:rsid w:val="00273DA0"/>
    <w:rsid w:val="0027415E"/>
    <w:rsid w:val="00274484"/>
    <w:rsid w:val="00274E36"/>
    <w:rsid w:val="0027778D"/>
    <w:rsid w:val="00277D62"/>
    <w:rsid w:val="00282F0B"/>
    <w:rsid w:val="00287C94"/>
    <w:rsid w:val="00292C6D"/>
    <w:rsid w:val="00295AF2"/>
    <w:rsid w:val="002A0BFB"/>
    <w:rsid w:val="002A2DC5"/>
    <w:rsid w:val="002A4C5F"/>
    <w:rsid w:val="002B0C5B"/>
    <w:rsid w:val="002B11FD"/>
    <w:rsid w:val="002B1471"/>
    <w:rsid w:val="002B2D28"/>
    <w:rsid w:val="002B442C"/>
    <w:rsid w:val="002B4917"/>
    <w:rsid w:val="002B7CD8"/>
    <w:rsid w:val="002B7E3D"/>
    <w:rsid w:val="002C37EF"/>
    <w:rsid w:val="002C4E2E"/>
    <w:rsid w:val="002C646C"/>
    <w:rsid w:val="002C7565"/>
    <w:rsid w:val="002D5B9D"/>
    <w:rsid w:val="002D60AB"/>
    <w:rsid w:val="002E119E"/>
    <w:rsid w:val="002E409C"/>
    <w:rsid w:val="002E6685"/>
    <w:rsid w:val="002F1CE5"/>
    <w:rsid w:val="002F221C"/>
    <w:rsid w:val="002F3A5C"/>
    <w:rsid w:val="002F62F2"/>
    <w:rsid w:val="003006FB"/>
    <w:rsid w:val="00300BEA"/>
    <w:rsid w:val="00302031"/>
    <w:rsid w:val="003022D0"/>
    <w:rsid w:val="00302359"/>
    <w:rsid w:val="00304F3A"/>
    <w:rsid w:val="003055CF"/>
    <w:rsid w:val="0030795F"/>
    <w:rsid w:val="00310B5C"/>
    <w:rsid w:val="003126DC"/>
    <w:rsid w:val="003127FE"/>
    <w:rsid w:val="00312CF6"/>
    <w:rsid w:val="00313C0B"/>
    <w:rsid w:val="003140FC"/>
    <w:rsid w:val="003146B1"/>
    <w:rsid w:val="003165E5"/>
    <w:rsid w:val="00316819"/>
    <w:rsid w:val="003173D4"/>
    <w:rsid w:val="00327C1F"/>
    <w:rsid w:val="00335874"/>
    <w:rsid w:val="00340C97"/>
    <w:rsid w:val="00341FE0"/>
    <w:rsid w:val="0034389D"/>
    <w:rsid w:val="0034567B"/>
    <w:rsid w:val="00345BD9"/>
    <w:rsid w:val="003466C1"/>
    <w:rsid w:val="00346785"/>
    <w:rsid w:val="00346ADE"/>
    <w:rsid w:val="0034752B"/>
    <w:rsid w:val="00350993"/>
    <w:rsid w:val="00351143"/>
    <w:rsid w:val="0035374F"/>
    <w:rsid w:val="00354E7E"/>
    <w:rsid w:val="00357559"/>
    <w:rsid w:val="003578C7"/>
    <w:rsid w:val="00361E94"/>
    <w:rsid w:val="00363616"/>
    <w:rsid w:val="00364CBB"/>
    <w:rsid w:val="00366DC9"/>
    <w:rsid w:val="00372765"/>
    <w:rsid w:val="00374EC0"/>
    <w:rsid w:val="003777B6"/>
    <w:rsid w:val="00377FDD"/>
    <w:rsid w:val="00381D11"/>
    <w:rsid w:val="00382122"/>
    <w:rsid w:val="00382821"/>
    <w:rsid w:val="00382A10"/>
    <w:rsid w:val="00383F85"/>
    <w:rsid w:val="003848EF"/>
    <w:rsid w:val="00386512"/>
    <w:rsid w:val="00387D82"/>
    <w:rsid w:val="00390ED6"/>
    <w:rsid w:val="003913EA"/>
    <w:rsid w:val="00391DF0"/>
    <w:rsid w:val="003938C0"/>
    <w:rsid w:val="00393C97"/>
    <w:rsid w:val="00394694"/>
    <w:rsid w:val="00396DEB"/>
    <w:rsid w:val="003970FA"/>
    <w:rsid w:val="0039794F"/>
    <w:rsid w:val="003A0DB8"/>
    <w:rsid w:val="003A23C1"/>
    <w:rsid w:val="003A710B"/>
    <w:rsid w:val="003B0A96"/>
    <w:rsid w:val="003B2581"/>
    <w:rsid w:val="003B3656"/>
    <w:rsid w:val="003B5193"/>
    <w:rsid w:val="003B5271"/>
    <w:rsid w:val="003B5DC1"/>
    <w:rsid w:val="003B7B41"/>
    <w:rsid w:val="003C1F72"/>
    <w:rsid w:val="003C2EE4"/>
    <w:rsid w:val="003C5BAF"/>
    <w:rsid w:val="003C6960"/>
    <w:rsid w:val="003C7206"/>
    <w:rsid w:val="003D0B8B"/>
    <w:rsid w:val="003D3603"/>
    <w:rsid w:val="003D5F6A"/>
    <w:rsid w:val="003D6285"/>
    <w:rsid w:val="003E430B"/>
    <w:rsid w:val="003E5075"/>
    <w:rsid w:val="003E5F16"/>
    <w:rsid w:val="003E7BEA"/>
    <w:rsid w:val="003F08D3"/>
    <w:rsid w:val="003F1FE2"/>
    <w:rsid w:val="003F4827"/>
    <w:rsid w:val="003F4C09"/>
    <w:rsid w:val="003F64F5"/>
    <w:rsid w:val="003F7555"/>
    <w:rsid w:val="00400D88"/>
    <w:rsid w:val="00401C6A"/>
    <w:rsid w:val="004059C4"/>
    <w:rsid w:val="0040744D"/>
    <w:rsid w:val="00407955"/>
    <w:rsid w:val="004101DD"/>
    <w:rsid w:val="00410B91"/>
    <w:rsid w:val="004123B5"/>
    <w:rsid w:val="00412910"/>
    <w:rsid w:val="00413455"/>
    <w:rsid w:val="00414D53"/>
    <w:rsid w:val="00422031"/>
    <w:rsid w:val="00430093"/>
    <w:rsid w:val="004301EB"/>
    <w:rsid w:val="00431A30"/>
    <w:rsid w:val="004336CD"/>
    <w:rsid w:val="0043738D"/>
    <w:rsid w:val="00437818"/>
    <w:rsid w:val="00441CAF"/>
    <w:rsid w:val="00442E32"/>
    <w:rsid w:val="00443DCD"/>
    <w:rsid w:val="00446E60"/>
    <w:rsid w:val="00451699"/>
    <w:rsid w:val="00452687"/>
    <w:rsid w:val="004534C9"/>
    <w:rsid w:val="004534F8"/>
    <w:rsid w:val="0045463E"/>
    <w:rsid w:val="0045503C"/>
    <w:rsid w:val="004554FF"/>
    <w:rsid w:val="004565AE"/>
    <w:rsid w:val="004571E3"/>
    <w:rsid w:val="0045777F"/>
    <w:rsid w:val="00460A71"/>
    <w:rsid w:val="00460BF1"/>
    <w:rsid w:val="00462538"/>
    <w:rsid w:val="00462884"/>
    <w:rsid w:val="00462933"/>
    <w:rsid w:val="00462C71"/>
    <w:rsid w:val="004642A5"/>
    <w:rsid w:val="00464EEE"/>
    <w:rsid w:val="00466915"/>
    <w:rsid w:val="004676CD"/>
    <w:rsid w:val="00467CB6"/>
    <w:rsid w:val="00472452"/>
    <w:rsid w:val="004758AB"/>
    <w:rsid w:val="00476D56"/>
    <w:rsid w:val="00476DE5"/>
    <w:rsid w:val="00476F54"/>
    <w:rsid w:val="0048089B"/>
    <w:rsid w:val="00480CCE"/>
    <w:rsid w:val="00481F25"/>
    <w:rsid w:val="00484297"/>
    <w:rsid w:val="00484491"/>
    <w:rsid w:val="004845C0"/>
    <w:rsid w:val="00487236"/>
    <w:rsid w:val="00490657"/>
    <w:rsid w:val="00491B4B"/>
    <w:rsid w:val="0049251F"/>
    <w:rsid w:val="00492B93"/>
    <w:rsid w:val="004969E9"/>
    <w:rsid w:val="00496B57"/>
    <w:rsid w:val="00496E6B"/>
    <w:rsid w:val="004A006D"/>
    <w:rsid w:val="004A07B9"/>
    <w:rsid w:val="004A0B35"/>
    <w:rsid w:val="004A0B47"/>
    <w:rsid w:val="004A12B9"/>
    <w:rsid w:val="004A159A"/>
    <w:rsid w:val="004A3783"/>
    <w:rsid w:val="004A54AB"/>
    <w:rsid w:val="004B18D4"/>
    <w:rsid w:val="004B1E45"/>
    <w:rsid w:val="004B21CE"/>
    <w:rsid w:val="004B41E7"/>
    <w:rsid w:val="004B4DAB"/>
    <w:rsid w:val="004C08D7"/>
    <w:rsid w:val="004C0E5A"/>
    <w:rsid w:val="004C26B8"/>
    <w:rsid w:val="004D131B"/>
    <w:rsid w:val="004D2437"/>
    <w:rsid w:val="004D2A96"/>
    <w:rsid w:val="004D50B2"/>
    <w:rsid w:val="004D5DC1"/>
    <w:rsid w:val="004E3A56"/>
    <w:rsid w:val="004E4E06"/>
    <w:rsid w:val="004E55B0"/>
    <w:rsid w:val="004E5F9D"/>
    <w:rsid w:val="004F0372"/>
    <w:rsid w:val="004F2343"/>
    <w:rsid w:val="004F263C"/>
    <w:rsid w:val="004F2705"/>
    <w:rsid w:val="004F54B4"/>
    <w:rsid w:val="004F7C10"/>
    <w:rsid w:val="00501BC2"/>
    <w:rsid w:val="005027D2"/>
    <w:rsid w:val="00502E90"/>
    <w:rsid w:val="00504B40"/>
    <w:rsid w:val="00504DA8"/>
    <w:rsid w:val="00511E03"/>
    <w:rsid w:val="005143CE"/>
    <w:rsid w:val="005153F8"/>
    <w:rsid w:val="0051610A"/>
    <w:rsid w:val="00516421"/>
    <w:rsid w:val="00516BC0"/>
    <w:rsid w:val="00525247"/>
    <w:rsid w:val="00525DD1"/>
    <w:rsid w:val="00526854"/>
    <w:rsid w:val="0053178F"/>
    <w:rsid w:val="005337F8"/>
    <w:rsid w:val="00533FF5"/>
    <w:rsid w:val="005368DF"/>
    <w:rsid w:val="00536EC0"/>
    <w:rsid w:val="00540E7B"/>
    <w:rsid w:val="00541610"/>
    <w:rsid w:val="00542542"/>
    <w:rsid w:val="005437F8"/>
    <w:rsid w:val="00543AC3"/>
    <w:rsid w:val="00544B37"/>
    <w:rsid w:val="0054506F"/>
    <w:rsid w:val="00545F6F"/>
    <w:rsid w:val="00546971"/>
    <w:rsid w:val="00546FFA"/>
    <w:rsid w:val="00550004"/>
    <w:rsid w:val="005503AF"/>
    <w:rsid w:val="00551830"/>
    <w:rsid w:val="0055282D"/>
    <w:rsid w:val="005530BF"/>
    <w:rsid w:val="0055428D"/>
    <w:rsid w:val="005563D7"/>
    <w:rsid w:val="00557FA9"/>
    <w:rsid w:val="005604F2"/>
    <w:rsid w:val="00562781"/>
    <w:rsid w:val="00562F52"/>
    <w:rsid w:val="005636AF"/>
    <w:rsid w:val="0056436B"/>
    <w:rsid w:val="00564D9A"/>
    <w:rsid w:val="00566845"/>
    <w:rsid w:val="00566F75"/>
    <w:rsid w:val="00567704"/>
    <w:rsid w:val="0057101A"/>
    <w:rsid w:val="0057126F"/>
    <w:rsid w:val="00572C15"/>
    <w:rsid w:val="00572F06"/>
    <w:rsid w:val="0057306B"/>
    <w:rsid w:val="00573F44"/>
    <w:rsid w:val="0057483D"/>
    <w:rsid w:val="005758BE"/>
    <w:rsid w:val="00576343"/>
    <w:rsid w:val="005763EC"/>
    <w:rsid w:val="00576958"/>
    <w:rsid w:val="00576F3C"/>
    <w:rsid w:val="00582DF6"/>
    <w:rsid w:val="00583C6B"/>
    <w:rsid w:val="0058437E"/>
    <w:rsid w:val="0058515F"/>
    <w:rsid w:val="00586126"/>
    <w:rsid w:val="0058632F"/>
    <w:rsid w:val="00586726"/>
    <w:rsid w:val="005904D8"/>
    <w:rsid w:val="00590A73"/>
    <w:rsid w:val="005917B7"/>
    <w:rsid w:val="00594B99"/>
    <w:rsid w:val="005950AE"/>
    <w:rsid w:val="005A0C5E"/>
    <w:rsid w:val="005A179F"/>
    <w:rsid w:val="005A40DE"/>
    <w:rsid w:val="005A590C"/>
    <w:rsid w:val="005A7A85"/>
    <w:rsid w:val="005B005B"/>
    <w:rsid w:val="005B01AD"/>
    <w:rsid w:val="005B0553"/>
    <w:rsid w:val="005B06A6"/>
    <w:rsid w:val="005B0713"/>
    <w:rsid w:val="005B1810"/>
    <w:rsid w:val="005B233B"/>
    <w:rsid w:val="005B2BB0"/>
    <w:rsid w:val="005B2CF1"/>
    <w:rsid w:val="005B5EC9"/>
    <w:rsid w:val="005B6DF5"/>
    <w:rsid w:val="005B7696"/>
    <w:rsid w:val="005C2D1E"/>
    <w:rsid w:val="005C5434"/>
    <w:rsid w:val="005C5B0D"/>
    <w:rsid w:val="005C719D"/>
    <w:rsid w:val="005C71D8"/>
    <w:rsid w:val="005D25E6"/>
    <w:rsid w:val="005D4308"/>
    <w:rsid w:val="005D4D84"/>
    <w:rsid w:val="005E1674"/>
    <w:rsid w:val="005E2377"/>
    <w:rsid w:val="005E2425"/>
    <w:rsid w:val="005E2D16"/>
    <w:rsid w:val="005E2E34"/>
    <w:rsid w:val="005E3CF8"/>
    <w:rsid w:val="005E4AA1"/>
    <w:rsid w:val="005E58A0"/>
    <w:rsid w:val="005F024A"/>
    <w:rsid w:val="005F02A2"/>
    <w:rsid w:val="005F090D"/>
    <w:rsid w:val="005F3507"/>
    <w:rsid w:val="005F38A2"/>
    <w:rsid w:val="005F5878"/>
    <w:rsid w:val="00600B1B"/>
    <w:rsid w:val="00600D42"/>
    <w:rsid w:val="00604AB3"/>
    <w:rsid w:val="00604E2E"/>
    <w:rsid w:val="006051DD"/>
    <w:rsid w:val="00606269"/>
    <w:rsid w:val="00606A19"/>
    <w:rsid w:val="00606D14"/>
    <w:rsid w:val="0061272B"/>
    <w:rsid w:val="00612830"/>
    <w:rsid w:val="00614FD9"/>
    <w:rsid w:val="006218A4"/>
    <w:rsid w:val="00622050"/>
    <w:rsid w:val="006228F7"/>
    <w:rsid w:val="00622A98"/>
    <w:rsid w:val="00623598"/>
    <w:rsid w:val="006243E1"/>
    <w:rsid w:val="006245B3"/>
    <w:rsid w:val="006252A7"/>
    <w:rsid w:val="006264A0"/>
    <w:rsid w:val="00626DD1"/>
    <w:rsid w:val="00630D3A"/>
    <w:rsid w:val="00631491"/>
    <w:rsid w:val="006326B7"/>
    <w:rsid w:val="00632BDD"/>
    <w:rsid w:val="0063490E"/>
    <w:rsid w:val="0063644C"/>
    <w:rsid w:val="006371B8"/>
    <w:rsid w:val="00637677"/>
    <w:rsid w:val="00637EB2"/>
    <w:rsid w:val="00640D9B"/>
    <w:rsid w:val="0064161C"/>
    <w:rsid w:val="00645DB3"/>
    <w:rsid w:val="006477B8"/>
    <w:rsid w:val="00651E2B"/>
    <w:rsid w:val="0065200B"/>
    <w:rsid w:val="00652C91"/>
    <w:rsid w:val="00654EFF"/>
    <w:rsid w:val="0065513E"/>
    <w:rsid w:val="00655401"/>
    <w:rsid w:val="0065577E"/>
    <w:rsid w:val="00655F3F"/>
    <w:rsid w:val="00656367"/>
    <w:rsid w:val="00656701"/>
    <w:rsid w:val="00657792"/>
    <w:rsid w:val="0066251D"/>
    <w:rsid w:val="00664AA8"/>
    <w:rsid w:val="00664C48"/>
    <w:rsid w:val="00667CE0"/>
    <w:rsid w:val="00670652"/>
    <w:rsid w:val="00670659"/>
    <w:rsid w:val="006711F6"/>
    <w:rsid w:val="0067246A"/>
    <w:rsid w:val="00672604"/>
    <w:rsid w:val="00674672"/>
    <w:rsid w:val="0067531E"/>
    <w:rsid w:val="00677816"/>
    <w:rsid w:val="00680A30"/>
    <w:rsid w:val="006835A1"/>
    <w:rsid w:val="00683644"/>
    <w:rsid w:val="00683DFB"/>
    <w:rsid w:val="00684676"/>
    <w:rsid w:val="00684860"/>
    <w:rsid w:val="0068548E"/>
    <w:rsid w:val="00686853"/>
    <w:rsid w:val="006874CD"/>
    <w:rsid w:val="006911CA"/>
    <w:rsid w:val="00692123"/>
    <w:rsid w:val="006926E9"/>
    <w:rsid w:val="00692CD4"/>
    <w:rsid w:val="00695041"/>
    <w:rsid w:val="006951D4"/>
    <w:rsid w:val="00696773"/>
    <w:rsid w:val="00696A45"/>
    <w:rsid w:val="00697B70"/>
    <w:rsid w:val="006A00E8"/>
    <w:rsid w:val="006A07EA"/>
    <w:rsid w:val="006A0F20"/>
    <w:rsid w:val="006A1066"/>
    <w:rsid w:val="006A3FB6"/>
    <w:rsid w:val="006A3FFF"/>
    <w:rsid w:val="006A4F52"/>
    <w:rsid w:val="006A7052"/>
    <w:rsid w:val="006A7129"/>
    <w:rsid w:val="006A7648"/>
    <w:rsid w:val="006A7A96"/>
    <w:rsid w:val="006B040A"/>
    <w:rsid w:val="006B2B91"/>
    <w:rsid w:val="006B2CC1"/>
    <w:rsid w:val="006B5770"/>
    <w:rsid w:val="006C0F29"/>
    <w:rsid w:val="006C3831"/>
    <w:rsid w:val="006C6A93"/>
    <w:rsid w:val="006D1869"/>
    <w:rsid w:val="006D454C"/>
    <w:rsid w:val="006D50E6"/>
    <w:rsid w:val="006D52A8"/>
    <w:rsid w:val="006D629D"/>
    <w:rsid w:val="006E1FF9"/>
    <w:rsid w:val="006E2E37"/>
    <w:rsid w:val="006E480C"/>
    <w:rsid w:val="006E4A52"/>
    <w:rsid w:val="006E6181"/>
    <w:rsid w:val="006E6693"/>
    <w:rsid w:val="006E72D3"/>
    <w:rsid w:val="006E7893"/>
    <w:rsid w:val="006E7F9C"/>
    <w:rsid w:val="006F0075"/>
    <w:rsid w:val="006F33BB"/>
    <w:rsid w:val="006F3437"/>
    <w:rsid w:val="006F3F18"/>
    <w:rsid w:val="006F42E9"/>
    <w:rsid w:val="006F721B"/>
    <w:rsid w:val="007059D6"/>
    <w:rsid w:val="00705B2B"/>
    <w:rsid w:val="00705DA5"/>
    <w:rsid w:val="0070663D"/>
    <w:rsid w:val="00707F89"/>
    <w:rsid w:val="0071168A"/>
    <w:rsid w:val="007131D9"/>
    <w:rsid w:val="00714CD8"/>
    <w:rsid w:val="00715289"/>
    <w:rsid w:val="0071602C"/>
    <w:rsid w:val="007175E7"/>
    <w:rsid w:val="00722B01"/>
    <w:rsid w:val="0072350A"/>
    <w:rsid w:val="00723DAF"/>
    <w:rsid w:val="00726BBE"/>
    <w:rsid w:val="00732FD6"/>
    <w:rsid w:val="007330C4"/>
    <w:rsid w:val="00733C7D"/>
    <w:rsid w:val="00736178"/>
    <w:rsid w:val="007361E9"/>
    <w:rsid w:val="0073636A"/>
    <w:rsid w:val="007367B6"/>
    <w:rsid w:val="007367EC"/>
    <w:rsid w:val="007404B1"/>
    <w:rsid w:val="00741828"/>
    <w:rsid w:val="007422F4"/>
    <w:rsid w:val="00742C11"/>
    <w:rsid w:val="00745221"/>
    <w:rsid w:val="007473DB"/>
    <w:rsid w:val="007504FC"/>
    <w:rsid w:val="0075065A"/>
    <w:rsid w:val="00750898"/>
    <w:rsid w:val="00751B78"/>
    <w:rsid w:val="007544A6"/>
    <w:rsid w:val="00756705"/>
    <w:rsid w:val="007610CB"/>
    <w:rsid w:val="00762CF1"/>
    <w:rsid w:val="00763051"/>
    <w:rsid w:val="00763A89"/>
    <w:rsid w:val="00765EC3"/>
    <w:rsid w:val="00774C23"/>
    <w:rsid w:val="00777DAC"/>
    <w:rsid w:val="0078024C"/>
    <w:rsid w:val="00780E26"/>
    <w:rsid w:val="00782BF9"/>
    <w:rsid w:val="007835C8"/>
    <w:rsid w:val="0078646B"/>
    <w:rsid w:val="00791BDC"/>
    <w:rsid w:val="00796CB6"/>
    <w:rsid w:val="007A2BC2"/>
    <w:rsid w:val="007A3076"/>
    <w:rsid w:val="007A46F0"/>
    <w:rsid w:val="007A5364"/>
    <w:rsid w:val="007B1016"/>
    <w:rsid w:val="007B1271"/>
    <w:rsid w:val="007B1672"/>
    <w:rsid w:val="007B1D8E"/>
    <w:rsid w:val="007B1DEE"/>
    <w:rsid w:val="007B7449"/>
    <w:rsid w:val="007C0C5C"/>
    <w:rsid w:val="007C2C06"/>
    <w:rsid w:val="007C4260"/>
    <w:rsid w:val="007C5315"/>
    <w:rsid w:val="007C6F50"/>
    <w:rsid w:val="007D05C8"/>
    <w:rsid w:val="007D0C30"/>
    <w:rsid w:val="007D1558"/>
    <w:rsid w:val="007D1D51"/>
    <w:rsid w:val="007D2D61"/>
    <w:rsid w:val="007D3341"/>
    <w:rsid w:val="007D460C"/>
    <w:rsid w:val="007D4B40"/>
    <w:rsid w:val="007D4FC0"/>
    <w:rsid w:val="007E00F1"/>
    <w:rsid w:val="007E25FB"/>
    <w:rsid w:val="007E6804"/>
    <w:rsid w:val="007E6967"/>
    <w:rsid w:val="007E6B39"/>
    <w:rsid w:val="007E702C"/>
    <w:rsid w:val="007E7966"/>
    <w:rsid w:val="007F2288"/>
    <w:rsid w:val="007F2C8E"/>
    <w:rsid w:val="007F3201"/>
    <w:rsid w:val="007F3269"/>
    <w:rsid w:val="007F4309"/>
    <w:rsid w:val="007F608D"/>
    <w:rsid w:val="008009B3"/>
    <w:rsid w:val="008033C9"/>
    <w:rsid w:val="00804AA8"/>
    <w:rsid w:val="00807800"/>
    <w:rsid w:val="00812D59"/>
    <w:rsid w:val="00813BCB"/>
    <w:rsid w:val="00816C01"/>
    <w:rsid w:val="00817657"/>
    <w:rsid w:val="00820556"/>
    <w:rsid w:val="00820E21"/>
    <w:rsid w:val="00821BCE"/>
    <w:rsid w:val="00822AD1"/>
    <w:rsid w:val="0082746A"/>
    <w:rsid w:val="0083294A"/>
    <w:rsid w:val="00832E33"/>
    <w:rsid w:val="008342E2"/>
    <w:rsid w:val="00836156"/>
    <w:rsid w:val="00836664"/>
    <w:rsid w:val="008368A9"/>
    <w:rsid w:val="00840D04"/>
    <w:rsid w:val="008425FB"/>
    <w:rsid w:val="00842FF0"/>
    <w:rsid w:val="00844AD7"/>
    <w:rsid w:val="008517A3"/>
    <w:rsid w:val="00851988"/>
    <w:rsid w:val="00851B8A"/>
    <w:rsid w:val="008522B9"/>
    <w:rsid w:val="00852EF4"/>
    <w:rsid w:val="00854B0B"/>
    <w:rsid w:val="008579DF"/>
    <w:rsid w:val="00860135"/>
    <w:rsid w:val="00860C11"/>
    <w:rsid w:val="008613ED"/>
    <w:rsid w:val="00862E37"/>
    <w:rsid w:val="00863B3E"/>
    <w:rsid w:val="00863DF2"/>
    <w:rsid w:val="00866012"/>
    <w:rsid w:val="00866D3D"/>
    <w:rsid w:val="00870F1E"/>
    <w:rsid w:val="00871E1D"/>
    <w:rsid w:val="00873663"/>
    <w:rsid w:val="008736F7"/>
    <w:rsid w:val="00874C64"/>
    <w:rsid w:val="00876091"/>
    <w:rsid w:val="008770EA"/>
    <w:rsid w:val="00880E01"/>
    <w:rsid w:val="00881A9B"/>
    <w:rsid w:val="0088212C"/>
    <w:rsid w:val="00882161"/>
    <w:rsid w:val="00883A8E"/>
    <w:rsid w:val="00884978"/>
    <w:rsid w:val="00884B4F"/>
    <w:rsid w:val="00885C67"/>
    <w:rsid w:val="008860A4"/>
    <w:rsid w:val="00887696"/>
    <w:rsid w:val="0089038C"/>
    <w:rsid w:val="00892078"/>
    <w:rsid w:val="008920C9"/>
    <w:rsid w:val="008935DE"/>
    <w:rsid w:val="00894759"/>
    <w:rsid w:val="00894A73"/>
    <w:rsid w:val="00896C15"/>
    <w:rsid w:val="008971FA"/>
    <w:rsid w:val="0089737F"/>
    <w:rsid w:val="008A1772"/>
    <w:rsid w:val="008A3A26"/>
    <w:rsid w:val="008A5BE0"/>
    <w:rsid w:val="008A76A0"/>
    <w:rsid w:val="008B0522"/>
    <w:rsid w:val="008B070C"/>
    <w:rsid w:val="008B2B65"/>
    <w:rsid w:val="008B3B9A"/>
    <w:rsid w:val="008B542C"/>
    <w:rsid w:val="008C16CF"/>
    <w:rsid w:val="008C4FCE"/>
    <w:rsid w:val="008C5B38"/>
    <w:rsid w:val="008D0A38"/>
    <w:rsid w:val="008D1FFB"/>
    <w:rsid w:val="008D20D8"/>
    <w:rsid w:val="008D4203"/>
    <w:rsid w:val="008D44C4"/>
    <w:rsid w:val="008D4D17"/>
    <w:rsid w:val="008D4D57"/>
    <w:rsid w:val="008D581D"/>
    <w:rsid w:val="008D5D84"/>
    <w:rsid w:val="008D6914"/>
    <w:rsid w:val="008D693A"/>
    <w:rsid w:val="008D6C70"/>
    <w:rsid w:val="008D758A"/>
    <w:rsid w:val="008E0B89"/>
    <w:rsid w:val="008E0EBB"/>
    <w:rsid w:val="008E1BBD"/>
    <w:rsid w:val="008E55DB"/>
    <w:rsid w:val="008E6CCF"/>
    <w:rsid w:val="008F0AA9"/>
    <w:rsid w:val="008F18A6"/>
    <w:rsid w:val="008F4EDB"/>
    <w:rsid w:val="008F521C"/>
    <w:rsid w:val="008F618E"/>
    <w:rsid w:val="00900475"/>
    <w:rsid w:val="00900906"/>
    <w:rsid w:val="009017E1"/>
    <w:rsid w:val="009044F2"/>
    <w:rsid w:val="00905D89"/>
    <w:rsid w:val="009074A8"/>
    <w:rsid w:val="00907610"/>
    <w:rsid w:val="0090771F"/>
    <w:rsid w:val="00911BE6"/>
    <w:rsid w:val="00911E6D"/>
    <w:rsid w:val="00913236"/>
    <w:rsid w:val="00913C5A"/>
    <w:rsid w:val="00913FEB"/>
    <w:rsid w:val="00917A7E"/>
    <w:rsid w:val="00920671"/>
    <w:rsid w:val="00920739"/>
    <w:rsid w:val="00920945"/>
    <w:rsid w:val="00921C4D"/>
    <w:rsid w:val="00922E40"/>
    <w:rsid w:val="009232A6"/>
    <w:rsid w:val="0092613D"/>
    <w:rsid w:val="00933D38"/>
    <w:rsid w:val="00934259"/>
    <w:rsid w:val="009409A0"/>
    <w:rsid w:val="00940EBA"/>
    <w:rsid w:val="00941DBF"/>
    <w:rsid w:val="00942AD4"/>
    <w:rsid w:val="009437D2"/>
    <w:rsid w:val="0095072B"/>
    <w:rsid w:val="0095086C"/>
    <w:rsid w:val="00952FCB"/>
    <w:rsid w:val="009533CC"/>
    <w:rsid w:val="00953D95"/>
    <w:rsid w:val="009549BA"/>
    <w:rsid w:val="00955168"/>
    <w:rsid w:val="0095518E"/>
    <w:rsid w:val="009558D8"/>
    <w:rsid w:val="00956D35"/>
    <w:rsid w:val="0096160D"/>
    <w:rsid w:val="0096319F"/>
    <w:rsid w:val="0096536B"/>
    <w:rsid w:val="009658F6"/>
    <w:rsid w:val="00966840"/>
    <w:rsid w:val="00966B66"/>
    <w:rsid w:val="009672A1"/>
    <w:rsid w:val="00967995"/>
    <w:rsid w:val="009711BA"/>
    <w:rsid w:val="00971696"/>
    <w:rsid w:val="00971E10"/>
    <w:rsid w:val="009732F8"/>
    <w:rsid w:val="00973B85"/>
    <w:rsid w:val="00976F70"/>
    <w:rsid w:val="009818E0"/>
    <w:rsid w:val="00983B09"/>
    <w:rsid w:val="009872F9"/>
    <w:rsid w:val="009877E8"/>
    <w:rsid w:val="0099160D"/>
    <w:rsid w:val="00993592"/>
    <w:rsid w:val="00993B22"/>
    <w:rsid w:val="009943C6"/>
    <w:rsid w:val="00994DAE"/>
    <w:rsid w:val="00994F02"/>
    <w:rsid w:val="009955E4"/>
    <w:rsid w:val="009968E1"/>
    <w:rsid w:val="00996F66"/>
    <w:rsid w:val="009A1706"/>
    <w:rsid w:val="009A2663"/>
    <w:rsid w:val="009A30F8"/>
    <w:rsid w:val="009A3CDD"/>
    <w:rsid w:val="009A51E9"/>
    <w:rsid w:val="009A665A"/>
    <w:rsid w:val="009A6A78"/>
    <w:rsid w:val="009B0A35"/>
    <w:rsid w:val="009B0AAF"/>
    <w:rsid w:val="009B1ECE"/>
    <w:rsid w:val="009B2232"/>
    <w:rsid w:val="009B2765"/>
    <w:rsid w:val="009B353A"/>
    <w:rsid w:val="009B49C5"/>
    <w:rsid w:val="009B6208"/>
    <w:rsid w:val="009B6FAF"/>
    <w:rsid w:val="009C0B0C"/>
    <w:rsid w:val="009C182D"/>
    <w:rsid w:val="009C1DE4"/>
    <w:rsid w:val="009C1FFE"/>
    <w:rsid w:val="009C3F77"/>
    <w:rsid w:val="009C4196"/>
    <w:rsid w:val="009C7298"/>
    <w:rsid w:val="009C7B66"/>
    <w:rsid w:val="009D03E1"/>
    <w:rsid w:val="009D24CF"/>
    <w:rsid w:val="009D5C12"/>
    <w:rsid w:val="009D66E9"/>
    <w:rsid w:val="009D7AD5"/>
    <w:rsid w:val="009D7AFA"/>
    <w:rsid w:val="009E0228"/>
    <w:rsid w:val="009E0A66"/>
    <w:rsid w:val="009E1C8F"/>
    <w:rsid w:val="009E1F1E"/>
    <w:rsid w:val="009E3849"/>
    <w:rsid w:val="009E3F04"/>
    <w:rsid w:val="009E412E"/>
    <w:rsid w:val="009E4635"/>
    <w:rsid w:val="009E6201"/>
    <w:rsid w:val="009E6CB5"/>
    <w:rsid w:val="009E79EE"/>
    <w:rsid w:val="009E7D57"/>
    <w:rsid w:val="009F2196"/>
    <w:rsid w:val="009F5EF3"/>
    <w:rsid w:val="00A00F31"/>
    <w:rsid w:val="00A015C3"/>
    <w:rsid w:val="00A01A0E"/>
    <w:rsid w:val="00A02058"/>
    <w:rsid w:val="00A0544E"/>
    <w:rsid w:val="00A0649A"/>
    <w:rsid w:val="00A07628"/>
    <w:rsid w:val="00A10EB2"/>
    <w:rsid w:val="00A120A7"/>
    <w:rsid w:val="00A16726"/>
    <w:rsid w:val="00A16D26"/>
    <w:rsid w:val="00A17DDB"/>
    <w:rsid w:val="00A17E23"/>
    <w:rsid w:val="00A20646"/>
    <w:rsid w:val="00A20A7E"/>
    <w:rsid w:val="00A218B8"/>
    <w:rsid w:val="00A21B9D"/>
    <w:rsid w:val="00A226CF"/>
    <w:rsid w:val="00A22EE7"/>
    <w:rsid w:val="00A23C75"/>
    <w:rsid w:val="00A240C0"/>
    <w:rsid w:val="00A243BB"/>
    <w:rsid w:val="00A24C7D"/>
    <w:rsid w:val="00A24D37"/>
    <w:rsid w:val="00A25BE7"/>
    <w:rsid w:val="00A2741C"/>
    <w:rsid w:val="00A277A3"/>
    <w:rsid w:val="00A367B4"/>
    <w:rsid w:val="00A371B0"/>
    <w:rsid w:val="00A40E1D"/>
    <w:rsid w:val="00A4109E"/>
    <w:rsid w:val="00A458CA"/>
    <w:rsid w:val="00A5092B"/>
    <w:rsid w:val="00A53D6A"/>
    <w:rsid w:val="00A55DC5"/>
    <w:rsid w:val="00A56E4F"/>
    <w:rsid w:val="00A60DFC"/>
    <w:rsid w:val="00A63037"/>
    <w:rsid w:val="00A64DC6"/>
    <w:rsid w:val="00A71F09"/>
    <w:rsid w:val="00A72CB7"/>
    <w:rsid w:val="00A75E01"/>
    <w:rsid w:val="00A76FFC"/>
    <w:rsid w:val="00A778F1"/>
    <w:rsid w:val="00A833BC"/>
    <w:rsid w:val="00A83DD7"/>
    <w:rsid w:val="00A84030"/>
    <w:rsid w:val="00A86BAA"/>
    <w:rsid w:val="00A879F7"/>
    <w:rsid w:val="00A901C3"/>
    <w:rsid w:val="00A901DC"/>
    <w:rsid w:val="00A90405"/>
    <w:rsid w:val="00A94D62"/>
    <w:rsid w:val="00A95370"/>
    <w:rsid w:val="00A95A8F"/>
    <w:rsid w:val="00A97975"/>
    <w:rsid w:val="00AA152B"/>
    <w:rsid w:val="00AA1A0E"/>
    <w:rsid w:val="00AA292E"/>
    <w:rsid w:val="00AA3780"/>
    <w:rsid w:val="00AA40B8"/>
    <w:rsid w:val="00AA49D4"/>
    <w:rsid w:val="00AA5AD8"/>
    <w:rsid w:val="00AA6C21"/>
    <w:rsid w:val="00AA7927"/>
    <w:rsid w:val="00AB005B"/>
    <w:rsid w:val="00AB092B"/>
    <w:rsid w:val="00AB2256"/>
    <w:rsid w:val="00AB3C3B"/>
    <w:rsid w:val="00AB4EB4"/>
    <w:rsid w:val="00AB5355"/>
    <w:rsid w:val="00AB55C3"/>
    <w:rsid w:val="00AB7BAF"/>
    <w:rsid w:val="00AC1400"/>
    <w:rsid w:val="00AC1545"/>
    <w:rsid w:val="00AC34EB"/>
    <w:rsid w:val="00AC3BD9"/>
    <w:rsid w:val="00AC3D9A"/>
    <w:rsid w:val="00AC70A4"/>
    <w:rsid w:val="00AC785D"/>
    <w:rsid w:val="00AD0DE9"/>
    <w:rsid w:val="00AD0F66"/>
    <w:rsid w:val="00AD0FA9"/>
    <w:rsid w:val="00AD1CF6"/>
    <w:rsid w:val="00AD1D98"/>
    <w:rsid w:val="00AD31E9"/>
    <w:rsid w:val="00AD37A5"/>
    <w:rsid w:val="00AD45DF"/>
    <w:rsid w:val="00AD6975"/>
    <w:rsid w:val="00AD6BC5"/>
    <w:rsid w:val="00AE05A2"/>
    <w:rsid w:val="00AE130A"/>
    <w:rsid w:val="00AE211D"/>
    <w:rsid w:val="00AE2447"/>
    <w:rsid w:val="00AE31A3"/>
    <w:rsid w:val="00AE5BBA"/>
    <w:rsid w:val="00AE649E"/>
    <w:rsid w:val="00AE7347"/>
    <w:rsid w:val="00AF032E"/>
    <w:rsid w:val="00AF0FC5"/>
    <w:rsid w:val="00AF1691"/>
    <w:rsid w:val="00AF274E"/>
    <w:rsid w:val="00AF4852"/>
    <w:rsid w:val="00AF6F8C"/>
    <w:rsid w:val="00AF71B1"/>
    <w:rsid w:val="00AF7397"/>
    <w:rsid w:val="00B074D9"/>
    <w:rsid w:val="00B07BA0"/>
    <w:rsid w:val="00B1065B"/>
    <w:rsid w:val="00B10C5C"/>
    <w:rsid w:val="00B10DB4"/>
    <w:rsid w:val="00B133AF"/>
    <w:rsid w:val="00B13CF9"/>
    <w:rsid w:val="00B140A9"/>
    <w:rsid w:val="00B14B5C"/>
    <w:rsid w:val="00B16414"/>
    <w:rsid w:val="00B20E63"/>
    <w:rsid w:val="00B21F4F"/>
    <w:rsid w:val="00B23019"/>
    <w:rsid w:val="00B244BF"/>
    <w:rsid w:val="00B24B3F"/>
    <w:rsid w:val="00B26C94"/>
    <w:rsid w:val="00B26F14"/>
    <w:rsid w:val="00B3187C"/>
    <w:rsid w:val="00B33116"/>
    <w:rsid w:val="00B336F8"/>
    <w:rsid w:val="00B34345"/>
    <w:rsid w:val="00B34574"/>
    <w:rsid w:val="00B34F1C"/>
    <w:rsid w:val="00B366FF"/>
    <w:rsid w:val="00B37F4A"/>
    <w:rsid w:val="00B400D3"/>
    <w:rsid w:val="00B4064D"/>
    <w:rsid w:val="00B43232"/>
    <w:rsid w:val="00B44F91"/>
    <w:rsid w:val="00B50962"/>
    <w:rsid w:val="00B5469B"/>
    <w:rsid w:val="00B5534D"/>
    <w:rsid w:val="00B555D9"/>
    <w:rsid w:val="00B62EF4"/>
    <w:rsid w:val="00B63762"/>
    <w:rsid w:val="00B647A6"/>
    <w:rsid w:val="00B65344"/>
    <w:rsid w:val="00B65EDA"/>
    <w:rsid w:val="00B6649B"/>
    <w:rsid w:val="00B66A0E"/>
    <w:rsid w:val="00B67BAF"/>
    <w:rsid w:val="00B70922"/>
    <w:rsid w:val="00B70C89"/>
    <w:rsid w:val="00B71888"/>
    <w:rsid w:val="00B71B27"/>
    <w:rsid w:val="00B7309B"/>
    <w:rsid w:val="00B75B25"/>
    <w:rsid w:val="00B80A1F"/>
    <w:rsid w:val="00B8169C"/>
    <w:rsid w:val="00B85E4F"/>
    <w:rsid w:val="00B865A5"/>
    <w:rsid w:val="00B91318"/>
    <w:rsid w:val="00B927B5"/>
    <w:rsid w:val="00B92F92"/>
    <w:rsid w:val="00B93601"/>
    <w:rsid w:val="00B95626"/>
    <w:rsid w:val="00B96530"/>
    <w:rsid w:val="00BA106C"/>
    <w:rsid w:val="00BA28BD"/>
    <w:rsid w:val="00BA2A05"/>
    <w:rsid w:val="00BA2C68"/>
    <w:rsid w:val="00BA4094"/>
    <w:rsid w:val="00BA553D"/>
    <w:rsid w:val="00BA70C7"/>
    <w:rsid w:val="00BA77DF"/>
    <w:rsid w:val="00BB02C8"/>
    <w:rsid w:val="00BB10C0"/>
    <w:rsid w:val="00BB19C6"/>
    <w:rsid w:val="00BB23DA"/>
    <w:rsid w:val="00BB27E3"/>
    <w:rsid w:val="00BB33BA"/>
    <w:rsid w:val="00BB41A8"/>
    <w:rsid w:val="00BB490D"/>
    <w:rsid w:val="00BB64C8"/>
    <w:rsid w:val="00BB7059"/>
    <w:rsid w:val="00BB7150"/>
    <w:rsid w:val="00BB7735"/>
    <w:rsid w:val="00BB7D77"/>
    <w:rsid w:val="00BB7EE9"/>
    <w:rsid w:val="00BC3734"/>
    <w:rsid w:val="00BC3D13"/>
    <w:rsid w:val="00BC3E1E"/>
    <w:rsid w:val="00BC44E5"/>
    <w:rsid w:val="00BC6B25"/>
    <w:rsid w:val="00BD00BA"/>
    <w:rsid w:val="00BD0351"/>
    <w:rsid w:val="00BD0887"/>
    <w:rsid w:val="00BD2955"/>
    <w:rsid w:val="00BD4C39"/>
    <w:rsid w:val="00BD5FA4"/>
    <w:rsid w:val="00BD720B"/>
    <w:rsid w:val="00BD73A0"/>
    <w:rsid w:val="00BE0E0F"/>
    <w:rsid w:val="00BE3C0D"/>
    <w:rsid w:val="00BE6514"/>
    <w:rsid w:val="00BE7206"/>
    <w:rsid w:val="00BE76A5"/>
    <w:rsid w:val="00BF058E"/>
    <w:rsid w:val="00BF1B72"/>
    <w:rsid w:val="00BF2AB6"/>
    <w:rsid w:val="00BF4D41"/>
    <w:rsid w:val="00BF595A"/>
    <w:rsid w:val="00BF698A"/>
    <w:rsid w:val="00C00D80"/>
    <w:rsid w:val="00C00FC7"/>
    <w:rsid w:val="00C02B81"/>
    <w:rsid w:val="00C06909"/>
    <w:rsid w:val="00C06B3A"/>
    <w:rsid w:val="00C06F37"/>
    <w:rsid w:val="00C0709C"/>
    <w:rsid w:val="00C07AFA"/>
    <w:rsid w:val="00C109B5"/>
    <w:rsid w:val="00C1250B"/>
    <w:rsid w:val="00C14136"/>
    <w:rsid w:val="00C14B57"/>
    <w:rsid w:val="00C15A3B"/>
    <w:rsid w:val="00C1695C"/>
    <w:rsid w:val="00C2068C"/>
    <w:rsid w:val="00C209EC"/>
    <w:rsid w:val="00C20A19"/>
    <w:rsid w:val="00C220D5"/>
    <w:rsid w:val="00C22224"/>
    <w:rsid w:val="00C2423E"/>
    <w:rsid w:val="00C25F17"/>
    <w:rsid w:val="00C30955"/>
    <w:rsid w:val="00C32B7A"/>
    <w:rsid w:val="00C32CCF"/>
    <w:rsid w:val="00C33D4D"/>
    <w:rsid w:val="00C36216"/>
    <w:rsid w:val="00C36A61"/>
    <w:rsid w:val="00C401E8"/>
    <w:rsid w:val="00C40AE5"/>
    <w:rsid w:val="00C442B8"/>
    <w:rsid w:val="00C44F6A"/>
    <w:rsid w:val="00C455C0"/>
    <w:rsid w:val="00C4577E"/>
    <w:rsid w:val="00C46267"/>
    <w:rsid w:val="00C51FCE"/>
    <w:rsid w:val="00C5306F"/>
    <w:rsid w:val="00C5311C"/>
    <w:rsid w:val="00C534EA"/>
    <w:rsid w:val="00C548DC"/>
    <w:rsid w:val="00C54DCC"/>
    <w:rsid w:val="00C5697D"/>
    <w:rsid w:val="00C57B3D"/>
    <w:rsid w:val="00C6018D"/>
    <w:rsid w:val="00C6155E"/>
    <w:rsid w:val="00C63D6E"/>
    <w:rsid w:val="00C65311"/>
    <w:rsid w:val="00C6560C"/>
    <w:rsid w:val="00C6579E"/>
    <w:rsid w:val="00C70791"/>
    <w:rsid w:val="00C72308"/>
    <w:rsid w:val="00C72E12"/>
    <w:rsid w:val="00C737C3"/>
    <w:rsid w:val="00C75238"/>
    <w:rsid w:val="00C759EF"/>
    <w:rsid w:val="00C774D7"/>
    <w:rsid w:val="00C775C7"/>
    <w:rsid w:val="00C813D8"/>
    <w:rsid w:val="00C81914"/>
    <w:rsid w:val="00C83947"/>
    <w:rsid w:val="00C83B6B"/>
    <w:rsid w:val="00C85B55"/>
    <w:rsid w:val="00C86946"/>
    <w:rsid w:val="00C87598"/>
    <w:rsid w:val="00C90446"/>
    <w:rsid w:val="00C9335B"/>
    <w:rsid w:val="00C9782A"/>
    <w:rsid w:val="00C97F6F"/>
    <w:rsid w:val="00CA02A6"/>
    <w:rsid w:val="00CA12EC"/>
    <w:rsid w:val="00CA1447"/>
    <w:rsid w:val="00CA2414"/>
    <w:rsid w:val="00CA2468"/>
    <w:rsid w:val="00CA5A85"/>
    <w:rsid w:val="00CA6D1F"/>
    <w:rsid w:val="00CA753C"/>
    <w:rsid w:val="00CB06EB"/>
    <w:rsid w:val="00CB0EFB"/>
    <w:rsid w:val="00CB17E5"/>
    <w:rsid w:val="00CB36F6"/>
    <w:rsid w:val="00CB4EC0"/>
    <w:rsid w:val="00CB7411"/>
    <w:rsid w:val="00CC1479"/>
    <w:rsid w:val="00CC235C"/>
    <w:rsid w:val="00CC2777"/>
    <w:rsid w:val="00CC28B5"/>
    <w:rsid w:val="00CC2CC0"/>
    <w:rsid w:val="00CC4018"/>
    <w:rsid w:val="00CC5C7A"/>
    <w:rsid w:val="00CC5E34"/>
    <w:rsid w:val="00CC7C95"/>
    <w:rsid w:val="00CD1F92"/>
    <w:rsid w:val="00CD257B"/>
    <w:rsid w:val="00CD2E77"/>
    <w:rsid w:val="00CD406D"/>
    <w:rsid w:val="00CD42F9"/>
    <w:rsid w:val="00CD4C98"/>
    <w:rsid w:val="00CD78D5"/>
    <w:rsid w:val="00CE2FA1"/>
    <w:rsid w:val="00CE3A38"/>
    <w:rsid w:val="00CE76ED"/>
    <w:rsid w:val="00CF0D0E"/>
    <w:rsid w:val="00CF1548"/>
    <w:rsid w:val="00CF1A29"/>
    <w:rsid w:val="00CF45D3"/>
    <w:rsid w:val="00CF4BE5"/>
    <w:rsid w:val="00CF636F"/>
    <w:rsid w:val="00CF781F"/>
    <w:rsid w:val="00CF7A88"/>
    <w:rsid w:val="00CF7AC6"/>
    <w:rsid w:val="00D00540"/>
    <w:rsid w:val="00D006CB"/>
    <w:rsid w:val="00D01CA2"/>
    <w:rsid w:val="00D02BEA"/>
    <w:rsid w:val="00D04A5C"/>
    <w:rsid w:val="00D06675"/>
    <w:rsid w:val="00D06AD3"/>
    <w:rsid w:val="00D10738"/>
    <w:rsid w:val="00D12F58"/>
    <w:rsid w:val="00D13877"/>
    <w:rsid w:val="00D14513"/>
    <w:rsid w:val="00D20D31"/>
    <w:rsid w:val="00D27A6B"/>
    <w:rsid w:val="00D27B6B"/>
    <w:rsid w:val="00D3197F"/>
    <w:rsid w:val="00D35F34"/>
    <w:rsid w:val="00D42DB8"/>
    <w:rsid w:val="00D42E8A"/>
    <w:rsid w:val="00D437E3"/>
    <w:rsid w:val="00D4438E"/>
    <w:rsid w:val="00D4607E"/>
    <w:rsid w:val="00D46320"/>
    <w:rsid w:val="00D4712B"/>
    <w:rsid w:val="00D473E1"/>
    <w:rsid w:val="00D51299"/>
    <w:rsid w:val="00D535F1"/>
    <w:rsid w:val="00D55386"/>
    <w:rsid w:val="00D575D5"/>
    <w:rsid w:val="00D5768D"/>
    <w:rsid w:val="00D61BFE"/>
    <w:rsid w:val="00D62F87"/>
    <w:rsid w:val="00D65595"/>
    <w:rsid w:val="00D65E66"/>
    <w:rsid w:val="00D66932"/>
    <w:rsid w:val="00D6714A"/>
    <w:rsid w:val="00D674A3"/>
    <w:rsid w:val="00D6797F"/>
    <w:rsid w:val="00D73E8C"/>
    <w:rsid w:val="00D7682D"/>
    <w:rsid w:val="00D77210"/>
    <w:rsid w:val="00D777EF"/>
    <w:rsid w:val="00D77AEF"/>
    <w:rsid w:val="00D77B9D"/>
    <w:rsid w:val="00D8014A"/>
    <w:rsid w:val="00D81381"/>
    <w:rsid w:val="00D81FC5"/>
    <w:rsid w:val="00D828E0"/>
    <w:rsid w:val="00D83759"/>
    <w:rsid w:val="00D86772"/>
    <w:rsid w:val="00D9102A"/>
    <w:rsid w:val="00D91E0F"/>
    <w:rsid w:val="00D94C6E"/>
    <w:rsid w:val="00D972A6"/>
    <w:rsid w:val="00D97372"/>
    <w:rsid w:val="00DA048C"/>
    <w:rsid w:val="00DA5C77"/>
    <w:rsid w:val="00DA7B2C"/>
    <w:rsid w:val="00DB10F3"/>
    <w:rsid w:val="00DB2554"/>
    <w:rsid w:val="00DB26D7"/>
    <w:rsid w:val="00DB3EAF"/>
    <w:rsid w:val="00DB58EF"/>
    <w:rsid w:val="00DB5BDC"/>
    <w:rsid w:val="00DC5F81"/>
    <w:rsid w:val="00DD2759"/>
    <w:rsid w:val="00DD514C"/>
    <w:rsid w:val="00DD5D8B"/>
    <w:rsid w:val="00DD5E32"/>
    <w:rsid w:val="00DD605E"/>
    <w:rsid w:val="00DD6F19"/>
    <w:rsid w:val="00DD7085"/>
    <w:rsid w:val="00DD7086"/>
    <w:rsid w:val="00DD79FC"/>
    <w:rsid w:val="00DD7D10"/>
    <w:rsid w:val="00DE12A0"/>
    <w:rsid w:val="00DE27B7"/>
    <w:rsid w:val="00DE2C4C"/>
    <w:rsid w:val="00DE3710"/>
    <w:rsid w:val="00DE3F0D"/>
    <w:rsid w:val="00DE67F4"/>
    <w:rsid w:val="00DE719D"/>
    <w:rsid w:val="00DF033E"/>
    <w:rsid w:val="00DF3DB0"/>
    <w:rsid w:val="00DF5721"/>
    <w:rsid w:val="00DF5B4A"/>
    <w:rsid w:val="00DF6052"/>
    <w:rsid w:val="00E01448"/>
    <w:rsid w:val="00E0266E"/>
    <w:rsid w:val="00E040E7"/>
    <w:rsid w:val="00E0477A"/>
    <w:rsid w:val="00E0484D"/>
    <w:rsid w:val="00E04F68"/>
    <w:rsid w:val="00E05AEB"/>
    <w:rsid w:val="00E06B74"/>
    <w:rsid w:val="00E10AA2"/>
    <w:rsid w:val="00E112FA"/>
    <w:rsid w:val="00E11459"/>
    <w:rsid w:val="00E11C4D"/>
    <w:rsid w:val="00E121ED"/>
    <w:rsid w:val="00E12CC2"/>
    <w:rsid w:val="00E13DC7"/>
    <w:rsid w:val="00E14A91"/>
    <w:rsid w:val="00E14B89"/>
    <w:rsid w:val="00E15F81"/>
    <w:rsid w:val="00E16512"/>
    <w:rsid w:val="00E16E44"/>
    <w:rsid w:val="00E212D6"/>
    <w:rsid w:val="00E227A9"/>
    <w:rsid w:val="00E22918"/>
    <w:rsid w:val="00E27180"/>
    <w:rsid w:val="00E27612"/>
    <w:rsid w:val="00E30980"/>
    <w:rsid w:val="00E309EC"/>
    <w:rsid w:val="00E30C06"/>
    <w:rsid w:val="00E31E73"/>
    <w:rsid w:val="00E33393"/>
    <w:rsid w:val="00E333B3"/>
    <w:rsid w:val="00E33E3B"/>
    <w:rsid w:val="00E35052"/>
    <w:rsid w:val="00E35C38"/>
    <w:rsid w:val="00E3673A"/>
    <w:rsid w:val="00E37081"/>
    <w:rsid w:val="00E4027A"/>
    <w:rsid w:val="00E40456"/>
    <w:rsid w:val="00E41596"/>
    <w:rsid w:val="00E451C0"/>
    <w:rsid w:val="00E46032"/>
    <w:rsid w:val="00E471BF"/>
    <w:rsid w:val="00E5082B"/>
    <w:rsid w:val="00E50F91"/>
    <w:rsid w:val="00E52779"/>
    <w:rsid w:val="00E551F6"/>
    <w:rsid w:val="00E5642A"/>
    <w:rsid w:val="00E565F7"/>
    <w:rsid w:val="00E57D7C"/>
    <w:rsid w:val="00E60FC7"/>
    <w:rsid w:val="00E62CE6"/>
    <w:rsid w:val="00E63854"/>
    <w:rsid w:val="00E63F74"/>
    <w:rsid w:val="00E646BE"/>
    <w:rsid w:val="00E66C80"/>
    <w:rsid w:val="00E71816"/>
    <w:rsid w:val="00E71FDD"/>
    <w:rsid w:val="00E7243C"/>
    <w:rsid w:val="00E755A7"/>
    <w:rsid w:val="00E76B86"/>
    <w:rsid w:val="00E821AF"/>
    <w:rsid w:val="00E84EDD"/>
    <w:rsid w:val="00E87686"/>
    <w:rsid w:val="00E87A1B"/>
    <w:rsid w:val="00E87AF4"/>
    <w:rsid w:val="00E87C51"/>
    <w:rsid w:val="00E87C84"/>
    <w:rsid w:val="00E90ACD"/>
    <w:rsid w:val="00E9157A"/>
    <w:rsid w:val="00E92371"/>
    <w:rsid w:val="00E9446A"/>
    <w:rsid w:val="00E94B0E"/>
    <w:rsid w:val="00E96001"/>
    <w:rsid w:val="00E96BD3"/>
    <w:rsid w:val="00E97173"/>
    <w:rsid w:val="00E97190"/>
    <w:rsid w:val="00EA16A1"/>
    <w:rsid w:val="00EA1E53"/>
    <w:rsid w:val="00EA20F6"/>
    <w:rsid w:val="00EB14B9"/>
    <w:rsid w:val="00EB23AF"/>
    <w:rsid w:val="00EB2DBD"/>
    <w:rsid w:val="00EB2FAC"/>
    <w:rsid w:val="00EB4ED8"/>
    <w:rsid w:val="00EB59A6"/>
    <w:rsid w:val="00EB74C0"/>
    <w:rsid w:val="00EB755D"/>
    <w:rsid w:val="00EC04AF"/>
    <w:rsid w:val="00EC1A14"/>
    <w:rsid w:val="00EC2D70"/>
    <w:rsid w:val="00EC2E3A"/>
    <w:rsid w:val="00EC4C65"/>
    <w:rsid w:val="00EC5BDD"/>
    <w:rsid w:val="00EC7505"/>
    <w:rsid w:val="00ED194B"/>
    <w:rsid w:val="00ED3473"/>
    <w:rsid w:val="00ED36F7"/>
    <w:rsid w:val="00ED6658"/>
    <w:rsid w:val="00ED7230"/>
    <w:rsid w:val="00EE1C27"/>
    <w:rsid w:val="00EE2C7E"/>
    <w:rsid w:val="00EE3BA7"/>
    <w:rsid w:val="00EE3BCF"/>
    <w:rsid w:val="00EE66BF"/>
    <w:rsid w:val="00EF054B"/>
    <w:rsid w:val="00EF2BC6"/>
    <w:rsid w:val="00EF2D9D"/>
    <w:rsid w:val="00EF4A52"/>
    <w:rsid w:val="00EF571E"/>
    <w:rsid w:val="00EF789C"/>
    <w:rsid w:val="00EF79D9"/>
    <w:rsid w:val="00F00415"/>
    <w:rsid w:val="00F005FF"/>
    <w:rsid w:val="00F00F2A"/>
    <w:rsid w:val="00F01BD6"/>
    <w:rsid w:val="00F01BF7"/>
    <w:rsid w:val="00F029CB"/>
    <w:rsid w:val="00F068A4"/>
    <w:rsid w:val="00F06D30"/>
    <w:rsid w:val="00F109B1"/>
    <w:rsid w:val="00F11ABC"/>
    <w:rsid w:val="00F16246"/>
    <w:rsid w:val="00F166AA"/>
    <w:rsid w:val="00F16E58"/>
    <w:rsid w:val="00F20F5E"/>
    <w:rsid w:val="00F238A6"/>
    <w:rsid w:val="00F26F65"/>
    <w:rsid w:val="00F27652"/>
    <w:rsid w:val="00F307E9"/>
    <w:rsid w:val="00F31480"/>
    <w:rsid w:val="00F335B2"/>
    <w:rsid w:val="00F36D12"/>
    <w:rsid w:val="00F40008"/>
    <w:rsid w:val="00F40080"/>
    <w:rsid w:val="00F42084"/>
    <w:rsid w:val="00F427FA"/>
    <w:rsid w:val="00F446A7"/>
    <w:rsid w:val="00F45D2D"/>
    <w:rsid w:val="00F45E59"/>
    <w:rsid w:val="00F46248"/>
    <w:rsid w:val="00F4719F"/>
    <w:rsid w:val="00F50EC6"/>
    <w:rsid w:val="00F51819"/>
    <w:rsid w:val="00F525C0"/>
    <w:rsid w:val="00F53490"/>
    <w:rsid w:val="00F5369F"/>
    <w:rsid w:val="00F53D0C"/>
    <w:rsid w:val="00F55AFC"/>
    <w:rsid w:val="00F56C27"/>
    <w:rsid w:val="00F6184B"/>
    <w:rsid w:val="00F62EFD"/>
    <w:rsid w:val="00F635D3"/>
    <w:rsid w:val="00F63607"/>
    <w:rsid w:val="00F64455"/>
    <w:rsid w:val="00F64A73"/>
    <w:rsid w:val="00F67B3C"/>
    <w:rsid w:val="00F71FE6"/>
    <w:rsid w:val="00F73390"/>
    <w:rsid w:val="00F741E6"/>
    <w:rsid w:val="00F77714"/>
    <w:rsid w:val="00F825F2"/>
    <w:rsid w:val="00F86892"/>
    <w:rsid w:val="00F90851"/>
    <w:rsid w:val="00F913D7"/>
    <w:rsid w:val="00F91C6B"/>
    <w:rsid w:val="00F93248"/>
    <w:rsid w:val="00F941B7"/>
    <w:rsid w:val="00F94C20"/>
    <w:rsid w:val="00F95405"/>
    <w:rsid w:val="00F95517"/>
    <w:rsid w:val="00F9598D"/>
    <w:rsid w:val="00F964E2"/>
    <w:rsid w:val="00F97E04"/>
    <w:rsid w:val="00FA1023"/>
    <w:rsid w:val="00FA33CC"/>
    <w:rsid w:val="00FA6497"/>
    <w:rsid w:val="00FA7A8E"/>
    <w:rsid w:val="00FA7BF7"/>
    <w:rsid w:val="00FA7C2F"/>
    <w:rsid w:val="00FB0628"/>
    <w:rsid w:val="00FB2969"/>
    <w:rsid w:val="00FB4F61"/>
    <w:rsid w:val="00FB57E1"/>
    <w:rsid w:val="00FB5B56"/>
    <w:rsid w:val="00FB7462"/>
    <w:rsid w:val="00FB7BF4"/>
    <w:rsid w:val="00FB7F4C"/>
    <w:rsid w:val="00FC297E"/>
    <w:rsid w:val="00FC341C"/>
    <w:rsid w:val="00FC4D68"/>
    <w:rsid w:val="00FC7F27"/>
    <w:rsid w:val="00FD088C"/>
    <w:rsid w:val="00FD11A9"/>
    <w:rsid w:val="00FD11E6"/>
    <w:rsid w:val="00FD12C3"/>
    <w:rsid w:val="00FD2D47"/>
    <w:rsid w:val="00FD2FFC"/>
    <w:rsid w:val="00FD35B6"/>
    <w:rsid w:val="00FD4D8C"/>
    <w:rsid w:val="00FE209C"/>
    <w:rsid w:val="00FE2AD8"/>
    <w:rsid w:val="00FE446A"/>
    <w:rsid w:val="00FE6208"/>
    <w:rsid w:val="00FE733F"/>
    <w:rsid w:val="00FE7D99"/>
    <w:rsid w:val="00FE7E1C"/>
    <w:rsid w:val="00FF0F28"/>
    <w:rsid w:val="00FF1580"/>
    <w:rsid w:val="00FF18C3"/>
    <w:rsid w:val="00FF1C37"/>
    <w:rsid w:val="00FF3043"/>
    <w:rsid w:val="00FF33C3"/>
    <w:rsid w:val="00FF4D16"/>
    <w:rsid w:val="00FF6EB9"/>
    <w:rsid w:val="00FF7D5E"/>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sz w:val="22"/>
        <w:szCs w:val="22"/>
        <w:lang w:val="en-AU" w:eastAsia="en-A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footnote text" w:uiPriority="9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qFormat="1"/>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3116"/>
    <w:pPr>
      <w:spacing w:after="220"/>
      <w:jc w:val="left"/>
    </w:pPr>
    <w:rPr>
      <w:rFonts w:ascii="HK Grotesk" w:hAnsi="HK Grotesk"/>
      <w:kern w:val="20"/>
    </w:rPr>
  </w:style>
  <w:style w:type="paragraph" w:styleId="Heading1">
    <w:name w:val="heading 1"/>
    <w:basedOn w:val="TitleofSubmission"/>
    <w:next w:val="Normal"/>
    <w:link w:val="Heading1Char"/>
    <w:qFormat/>
    <w:rsid w:val="00876091"/>
    <w:pPr>
      <w:outlineLvl w:val="0"/>
    </w:pPr>
    <w:rPr>
      <w:sz w:val="36"/>
      <w:szCs w:val="36"/>
    </w:rPr>
  </w:style>
  <w:style w:type="paragraph" w:styleId="Heading2">
    <w:name w:val="heading 2"/>
    <w:basedOn w:val="Normal"/>
    <w:next w:val="Normal"/>
    <w:link w:val="Heading2Char"/>
    <w:qFormat/>
    <w:rsid w:val="00E14B89"/>
    <w:pPr>
      <w:keepNext/>
      <w:spacing w:before="240" w:after="240"/>
      <w:outlineLvl w:val="1"/>
    </w:pPr>
    <w:rPr>
      <w:b/>
      <w:bCs/>
      <w:color w:val="857444"/>
      <w:sz w:val="28"/>
    </w:rPr>
  </w:style>
  <w:style w:type="paragraph" w:styleId="Heading3">
    <w:name w:val="heading 3"/>
    <w:basedOn w:val="Normal"/>
    <w:next w:val="Normal"/>
    <w:link w:val="Heading3Char"/>
    <w:qFormat/>
    <w:rsid w:val="00E14B89"/>
    <w:pPr>
      <w:keepNext/>
      <w:spacing w:before="240" w:after="240"/>
      <w:outlineLvl w:val="2"/>
    </w:pPr>
    <w:rPr>
      <w:b/>
      <w:bCs/>
      <w:color w:val="857444"/>
      <w:u w:val="single"/>
    </w:rPr>
  </w:style>
  <w:style w:type="paragraph" w:styleId="Heading4">
    <w:name w:val="heading 4"/>
    <w:basedOn w:val="Normal"/>
    <w:next w:val="Normal"/>
    <w:link w:val="Heading4Char"/>
    <w:autoRedefine/>
    <w:unhideWhenUsed/>
    <w:qFormat/>
    <w:rsid w:val="00FC341C"/>
    <w:pPr>
      <w:keepNext/>
      <w:keepLines/>
      <w:spacing w:before="240" w:after="240"/>
      <w:outlineLvl w:val="3"/>
    </w:pPr>
    <w:rPr>
      <w:rFonts w:cs="Arial"/>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091"/>
    <w:rPr>
      <w:rFonts w:ascii="Tiempos Text Medium" w:hAnsi="Tiempos Text Medium"/>
      <w:color w:val="001D34"/>
      <w:kern w:val="20"/>
      <w:sz w:val="36"/>
      <w:szCs w:val="36"/>
    </w:rPr>
  </w:style>
  <w:style w:type="character" w:customStyle="1" w:styleId="Heading2Char">
    <w:name w:val="Heading 2 Char"/>
    <w:basedOn w:val="DefaultParagraphFont"/>
    <w:link w:val="Heading2"/>
    <w:rsid w:val="00E14B89"/>
    <w:rPr>
      <w:rFonts w:ascii="HK Grotesk" w:hAnsi="HK Grotesk"/>
      <w:b/>
      <w:bCs/>
      <w:color w:val="857444"/>
      <w:kern w:val="20"/>
      <w:sz w:val="28"/>
    </w:rPr>
  </w:style>
  <w:style w:type="character" w:customStyle="1" w:styleId="Heading3Char">
    <w:name w:val="Heading 3 Char"/>
    <w:basedOn w:val="DefaultParagraphFont"/>
    <w:link w:val="Heading3"/>
    <w:rsid w:val="00E14B89"/>
    <w:rPr>
      <w:rFonts w:ascii="HK Grotesk" w:hAnsi="HK Grotesk"/>
      <w:b/>
      <w:bCs/>
      <w:color w:val="857444"/>
      <w:kern w:val="20"/>
      <w:u w:val="single"/>
    </w:rPr>
  </w:style>
  <w:style w:type="paragraph" w:styleId="NormalIndent">
    <w:name w:val="Normal Indent"/>
    <w:basedOn w:val="Normal"/>
    <w:qFormat/>
    <w:rsid w:val="000405D7"/>
    <w:pPr>
      <w:ind w:left="567"/>
    </w:pPr>
  </w:style>
  <w:style w:type="paragraph" w:customStyle="1" w:styleId="Dotpoint1">
    <w:name w:val="Dot point 1"/>
    <w:basedOn w:val="NormalIndent"/>
    <w:qFormat/>
    <w:rsid w:val="00FC341C"/>
    <w:pPr>
      <w:numPr>
        <w:numId w:val="17"/>
      </w:numPr>
      <w:spacing w:after="60"/>
    </w:pPr>
    <w:rPr>
      <w:lang w:eastAsia="en-US"/>
    </w:rPr>
  </w:style>
  <w:style w:type="paragraph" w:styleId="Quote">
    <w:name w:val="Quote"/>
    <w:basedOn w:val="Normal"/>
    <w:link w:val="QuoteChar"/>
    <w:qFormat/>
    <w:rsid w:val="00CC5E34"/>
    <w:pPr>
      <w:ind w:left="567" w:right="567"/>
    </w:pPr>
    <w:rPr>
      <w:i/>
    </w:rPr>
  </w:style>
  <w:style w:type="character" w:customStyle="1" w:styleId="QuoteChar">
    <w:name w:val="Quote Char"/>
    <w:basedOn w:val="DefaultParagraphFont"/>
    <w:link w:val="Quote"/>
    <w:rsid w:val="00CC5E34"/>
    <w:rPr>
      <w:rFonts w:ascii="Times New Roman" w:hAnsi="Times New Roman"/>
      <w:i/>
      <w:sz w:val="22"/>
      <w:szCs w:val="22"/>
    </w:rPr>
  </w:style>
  <w:style w:type="paragraph" w:customStyle="1" w:styleId="Numlevel1">
    <w:name w:val="Num level 1"/>
    <w:basedOn w:val="Normal"/>
    <w:link w:val="Numlevel1Char"/>
    <w:autoRedefine/>
    <w:qFormat/>
    <w:rsid w:val="00656701"/>
    <w:pPr>
      <w:numPr>
        <w:numId w:val="2"/>
      </w:numPr>
      <w:jc w:val="both"/>
    </w:pPr>
    <w:rPr>
      <w:rFonts w:eastAsia="HelveticaNeue" w:cs="Arial"/>
      <w:iCs/>
      <w:color w:val="202020"/>
      <w:kern w:val="0"/>
    </w:rPr>
  </w:style>
  <w:style w:type="paragraph" w:customStyle="1" w:styleId="Numlevel2">
    <w:name w:val="Num level 2"/>
    <w:basedOn w:val="Numlevel1"/>
    <w:autoRedefine/>
    <w:uiPriority w:val="99"/>
    <w:qFormat/>
    <w:rsid w:val="001730D8"/>
    <w:pPr>
      <w:numPr>
        <w:numId w:val="0"/>
      </w:numPr>
      <w:ind w:left="1134"/>
    </w:pPr>
    <w:rPr>
      <w:i/>
    </w:rPr>
  </w:style>
  <w:style w:type="paragraph" w:customStyle="1" w:styleId="Numlevel3">
    <w:name w:val="Num level 3"/>
    <w:basedOn w:val="Numlevel2"/>
    <w:autoRedefine/>
    <w:qFormat/>
    <w:rsid w:val="000405D7"/>
    <w:pPr>
      <w:numPr>
        <w:ilvl w:val="2"/>
      </w:numPr>
      <w:ind w:left="1134"/>
    </w:pPr>
  </w:style>
  <w:style w:type="character" w:customStyle="1" w:styleId="Heading4Char">
    <w:name w:val="Heading 4 Char"/>
    <w:basedOn w:val="DefaultParagraphFont"/>
    <w:link w:val="Heading4"/>
    <w:rsid w:val="00FC341C"/>
    <w:rPr>
      <w:rFonts w:ascii="HK Grotesk" w:eastAsia="Times New Roman" w:hAnsi="HK Grotesk" w:cs="Arial"/>
      <w:bCs/>
      <w:i/>
      <w:iCs/>
      <w:kern w:val="22"/>
    </w:rPr>
  </w:style>
  <w:style w:type="paragraph" w:customStyle="1" w:styleId="Headinghighlight">
    <w:name w:val="Heading highlight"/>
    <w:basedOn w:val="Normal"/>
    <w:next w:val="Normal"/>
    <w:link w:val="HeadinghighlightChar"/>
    <w:rsid w:val="002C4E2E"/>
    <w:pPr>
      <w:keepNext/>
      <w:keepLines/>
      <w:shd w:val="clear" w:color="auto" w:fill="004360" w:themeFill="text1"/>
      <w:spacing w:before="240" w:after="360"/>
      <w:outlineLvl w:val="0"/>
    </w:pPr>
    <w:rPr>
      <w:rFonts w:ascii="Times New Roman" w:hAnsi="Times New Roman"/>
      <w:sz w:val="32"/>
      <w:szCs w:val="32"/>
    </w:rPr>
  </w:style>
  <w:style w:type="paragraph" w:customStyle="1" w:styleId="Dotpoint2">
    <w:name w:val="Dot point 2"/>
    <w:basedOn w:val="Normal"/>
    <w:link w:val="Dotpoint2Char"/>
    <w:qFormat/>
    <w:rsid w:val="000405D7"/>
    <w:pPr>
      <w:numPr>
        <w:ilvl w:val="1"/>
        <w:numId w:val="17"/>
      </w:numPr>
    </w:pPr>
  </w:style>
  <w:style w:type="numbering" w:customStyle="1" w:styleId="BulletList1">
    <w:name w:val="Bullet List 1"/>
    <w:uiPriority w:val="99"/>
    <w:rsid w:val="003A0DB8"/>
    <w:pPr>
      <w:numPr>
        <w:numId w:val="5"/>
      </w:numPr>
    </w:pPr>
  </w:style>
  <w:style w:type="character" w:customStyle="1" w:styleId="HeadinghighlightChar">
    <w:name w:val="Heading highlight Char"/>
    <w:basedOn w:val="DefaultParagraphFont"/>
    <w:link w:val="Headinghighlight"/>
    <w:rsid w:val="002C4E2E"/>
    <w:rPr>
      <w:rFonts w:ascii="Times New Roman" w:hAnsi="Times New Roman"/>
      <w:sz w:val="32"/>
      <w:szCs w:val="32"/>
      <w:shd w:val="clear" w:color="auto" w:fill="004360" w:themeFill="text1"/>
    </w:rPr>
  </w:style>
  <w:style w:type="character" w:customStyle="1" w:styleId="Dotpoint2Char">
    <w:name w:val="Dot point 2 Char"/>
    <w:basedOn w:val="DefaultParagraphFont"/>
    <w:link w:val="Dotpoint2"/>
    <w:rsid w:val="000405D7"/>
    <w:rPr>
      <w:rFonts w:ascii="Times New Roman" w:hAnsi="Times New Roman"/>
      <w:sz w:val="22"/>
      <w:szCs w:val="24"/>
    </w:rPr>
  </w:style>
  <w:style w:type="paragraph" w:styleId="Header">
    <w:name w:val="header"/>
    <w:basedOn w:val="Normal"/>
    <w:link w:val="HeaderChar"/>
    <w:uiPriority w:val="99"/>
    <w:rsid w:val="00481F25"/>
    <w:pPr>
      <w:tabs>
        <w:tab w:val="center" w:pos="4513"/>
        <w:tab w:val="right" w:pos="8364"/>
      </w:tabs>
      <w:spacing w:after="0"/>
    </w:pPr>
    <w:rPr>
      <w:sz w:val="18"/>
    </w:rPr>
  </w:style>
  <w:style w:type="character" w:customStyle="1" w:styleId="HeaderChar">
    <w:name w:val="Header Char"/>
    <w:basedOn w:val="DefaultParagraphFont"/>
    <w:link w:val="Header"/>
    <w:uiPriority w:val="99"/>
    <w:rsid w:val="00481F25"/>
    <w:rPr>
      <w:rFonts w:ascii="Times New Roman" w:hAnsi="Times New Roman"/>
      <w:sz w:val="18"/>
      <w:szCs w:val="24"/>
    </w:rPr>
  </w:style>
  <w:style w:type="paragraph" w:styleId="Footer">
    <w:name w:val="footer"/>
    <w:link w:val="FooterChar"/>
    <w:uiPriority w:val="99"/>
    <w:rsid w:val="00F77714"/>
    <w:pPr>
      <w:tabs>
        <w:tab w:val="center" w:pos="4513"/>
        <w:tab w:val="right" w:pos="8364"/>
      </w:tabs>
    </w:pPr>
    <w:rPr>
      <w:rFonts w:ascii="HK Grotesk Light" w:hAnsi="HK Grotesk Light"/>
      <w:color w:val="001D34"/>
      <w:kern w:val="22"/>
      <w:sz w:val="18"/>
    </w:rPr>
  </w:style>
  <w:style w:type="paragraph" w:styleId="FootnoteText">
    <w:name w:val="footnote text"/>
    <w:basedOn w:val="Normal"/>
    <w:link w:val="FootnoteTextChar"/>
    <w:uiPriority w:val="99"/>
    <w:qFormat/>
    <w:rsid w:val="00CF0D0E"/>
    <w:pPr>
      <w:spacing w:after="0"/>
    </w:pPr>
    <w:rPr>
      <w:sz w:val="18"/>
      <w:szCs w:val="20"/>
    </w:rPr>
  </w:style>
  <w:style w:type="character" w:customStyle="1" w:styleId="FootnoteTextChar">
    <w:name w:val="Footnote Text Char"/>
    <w:basedOn w:val="DefaultParagraphFont"/>
    <w:link w:val="FootnoteText"/>
    <w:uiPriority w:val="99"/>
    <w:rsid w:val="00CF0D0E"/>
    <w:rPr>
      <w:rFonts w:ascii="Times New Roman" w:hAnsi="Times New Roman"/>
      <w:sz w:val="18"/>
    </w:rPr>
  </w:style>
  <w:style w:type="character" w:styleId="FootnoteReference">
    <w:name w:val="footnote reference"/>
    <w:basedOn w:val="DefaultParagraphFont"/>
    <w:uiPriority w:val="99"/>
    <w:rsid w:val="00CF0D0E"/>
    <w:rPr>
      <w:vertAlign w:val="superscript"/>
    </w:rPr>
  </w:style>
  <w:style w:type="character" w:customStyle="1" w:styleId="FooterChar">
    <w:name w:val="Footer Char"/>
    <w:basedOn w:val="DefaultParagraphFont"/>
    <w:link w:val="Footer"/>
    <w:uiPriority w:val="99"/>
    <w:rsid w:val="00F77714"/>
    <w:rPr>
      <w:rFonts w:ascii="HK Grotesk Light" w:hAnsi="HK Grotesk Light"/>
      <w:color w:val="001D34"/>
      <w:kern w:val="22"/>
      <w:sz w:val="18"/>
    </w:rPr>
  </w:style>
  <w:style w:type="table" w:styleId="TableGrid">
    <w:name w:val="Table Grid"/>
    <w:basedOn w:val="TableNormal"/>
    <w:rsid w:val="009E1C8F"/>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ttachment">
    <w:name w:val="Heading attachment"/>
    <w:basedOn w:val="Heading2"/>
    <w:next w:val="Normal"/>
    <w:link w:val="HeadingattachmentChar"/>
    <w:rsid w:val="00F029CB"/>
    <w:pPr>
      <w:pBdr>
        <w:bottom w:val="single" w:sz="12" w:space="1" w:color="004360" w:themeColor="text1"/>
      </w:pBdr>
      <w:spacing w:after="360"/>
      <w:ind w:left="1985" w:hanging="1985"/>
      <w:outlineLvl w:val="0"/>
    </w:pPr>
  </w:style>
  <w:style w:type="character" w:customStyle="1" w:styleId="HeadingattachmentChar">
    <w:name w:val="Heading attachment Char"/>
    <w:basedOn w:val="Heading2Char"/>
    <w:link w:val="Headingattachment"/>
    <w:rsid w:val="00F029CB"/>
    <w:rPr>
      <w:rFonts w:ascii="Arial" w:hAnsi="Arial"/>
      <w:b/>
      <w:bCs/>
      <w:color w:val="9A8769"/>
      <w:kern w:val="22"/>
      <w:sz w:val="28"/>
      <w:szCs w:val="22"/>
    </w:rPr>
  </w:style>
  <w:style w:type="paragraph" w:styleId="BalloonText">
    <w:name w:val="Balloon Text"/>
    <w:basedOn w:val="Normal"/>
    <w:link w:val="BalloonTextChar"/>
    <w:rsid w:val="00CA12EC"/>
    <w:pPr>
      <w:spacing w:after="0"/>
    </w:pPr>
    <w:rPr>
      <w:rFonts w:ascii="Tahoma" w:hAnsi="Tahoma" w:cs="Tahoma"/>
      <w:sz w:val="16"/>
      <w:szCs w:val="16"/>
    </w:rPr>
  </w:style>
  <w:style w:type="character" w:customStyle="1" w:styleId="BalloonTextChar">
    <w:name w:val="Balloon Text Char"/>
    <w:basedOn w:val="DefaultParagraphFont"/>
    <w:link w:val="BalloonText"/>
    <w:rsid w:val="00CA12EC"/>
    <w:rPr>
      <w:rFonts w:ascii="Tahoma" w:hAnsi="Tahoma" w:cs="Tahoma"/>
      <w:sz w:val="16"/>
      <w:szCs w:val="16"/>
    </w:rPr>
  </w:style>
  <w:style w:type="paragraph" w:styleId="TOCHeading">
    <w:name w:val="TOC Heading"/>
    <w:basedOn w:val="Heading1"/>
    <w:next w:val="Normal"/>
    <w:uiPriority w:val="39"/>
    <w:unhideWhenUsed/>
    <w:qFormat/>
    <w:rsid w:val="00CA12EC"/>
    <w:pPr>
      <w:outlineLvl w:val="9"/>
    </w:pPr>
    <w:rPr>
      <w:rFonts w:cs="Arial"/>
      <w:b/>
      <w:szCs w:val="32"/>
      <w:lang w:val="en-US" w:eastAsia="en-US"/>
    </w:rPr>
  </w:style>
  <w:style w:type="paragraph" w:styleId="TOC1">
    <w:name w:val="toc 1"/>
    <w:basedOn w:val="Normal"/>
    <w:next w:val="Normal"/>
    <w:autoRedefine/>
    <w:uiPriority w:val="39"/>
    <w:rsid w:val="00B66A0E"/>
    <w:pPr>
      <w:spacing w:after="100"/>
      <w:ind w:right="425"/>
    </w:pPr>
    <w:rPr>
      <w:b/>
    </w:rPr>
  </w:style>
  <w:style w:type="paragraph" w:styleId="TOC2">
    <w:name w:val="toc 2"/>
    <w:basedOn w:val="Normal"/>
    <w:next w:val="Normal"/>
    <w:autoRedefine/>
    <w:uiPriority w:val="39"/>
    <w:rsid w:val="00B66A0E"/>
    <w:pPr>
      <w:tabs>
        <w:tab w:val="right" w:leader="dot" w:pos="8777"/>
      </w:tabs>
      <w:spacing w:after="100"/>
      <w:ind w:left="221" w:right="425"/>
    </w:pPr>
  </w:style>
  <w:style w:type="paragraph" w:styleId="TOC3">
    <w:name w:val="toc 3"/>
    <w:basedOn w:val="Normal"/>
    <w:next w:val="Normal"/>
    <w:autoRedefine/>
    <w:uiPriority w:val="39"/>
    <w:rsid w:val="00B66A0E"/>
    <w:pPr>
      <w:spacing w:after="100"/>
      <w:ind w:left="442" w:right="425"/>
    </w:pPr>
  </w:style>
  <w:style w:type="character" w:styleId="Hyperlink">
    <w:name w:val="Hyperlink"/>
    <w:basedOn w:val="DefaultParagraphFont"/>
    <w:uiPriority w:val="99"/>
    <w:unhideWhenUsed/>
    <w:rsid w:val="009C4196"/>
    <w:rPr>
      <w:color w:val="0000FF" w:themeColor="hyperlink"/>
      <w:u w:val="single"/>
    </w:rPr>
  </w:style>
  <w:style w:type="paragraph" w:styleId="ListParagraph">
    <w:name w:val="List Paragraph"/>
    <w:basedOn w:val="Normal"/>
    <w:uiPriority w:val="34"/>
    <w:qFormat/>
    <w:rsid w:val="00DD7D10"/>
    <w:pPr>
      <w:spacing w:after="200" w:line="276" w:lineRule="auto"/>
      <w:ind w:left="720"/>
      <w:contextualSpacing/>
    </w:pPr>
    <w:rPr>
      <w:rFonts w:ascii="Times New Roman" w:hAnsi="Times New Roman"/>
      <w:lang w:eastAsia="en-US"/>
    </w:rPr>
  </w:style>
  <w:style w:type="paragraph" w:customStyle="1" w:styleId="Pa5">
    <w:name w:val="Pa5"/>
    <w:basedOn w:val="Normal"/>
    <w:next w:val="Normal"/>
    <w:uiPriority w:val="99"/>
    <w:rsid w:val="00DD7D10"/>
    <w:pPr>
      <w:autoSpaceDE w:val="0"/>
      <w:autoSpaceDN w:val="0"/>
      <w:adjustRightInd w:val="0"/>
      <w:spacing w:after="0" w:line="221" w:lineRule="atLeast"/>
    </w:pPr>
    <w:rPr>
      <w:rFonts w:ascii="Times New Roman" w:hAnsi="Times New Roman"/>
      <w:sz w:val="24"/>
      <w:lang w:val="en-US" w:eastAsia="en-US"/>
    </w:rPr>
  </w:style>
  <w:style w:type="paragraph" w:styleId="TOC4">
    <w:name w:val="toc 4"/>
    <w:basedOn w:val="Normal"/>
    <w:next w:val="Normal"/>
    <w:autoRedefine/>
    <w:uiPriority w:val="39"/>
    <w:rsid w:val="004642A5"/>
    <w:pPr>
      <w:spacing w:after="100"/>
      <w:ind w:left="660"/>
    </w:pPr>
  </w:style>
  <w:style w:type="paragraph" w:customStyle="1" w:styleId="TitleofSubmission">
    <w:name w:val="Title of Submission"/>
    <w:basedOn w:val="Normal"/>
    <w:qFormat/>
    <w:rsid w:val="000938E2"/>
    <w:rPr>
      <w:rFonts w:ascii="Tiempos Text Medium" w:hAnsi="Tiempos Text Medium"/>
      <w:color w:val="001D34"/>
      <w:sz w:val="72"/>
      <w:szCs w:val="72"/>
    </w:rPr>
  </w:style>
  <w:style w:type="paragraph" w:customStyle="1" w:styleId="TitleHeading2">
    <w:name w:val="Title Heading 2"/>
    <w:qFormat/>
    <w:rsid w:val="00E3673A"/>
    <w:rPr>
      <w:rFonts w:ascii="HK Grotesk Medium" w:hAnsi="HK Grotesk Medium" w:cs="Arial"/>
      <w:color w:val="9A8769"/>
      <w:sz w:val="24"/>
      <w:szCs w:val="24"/>
    </w:rPr>
  </w:style>
  <w:style w:type="table" w:customStyle="1" w:styleId="PlainTable11">
    <w:name w:val="Plain Table 11"/>
    <w:basedOn w:val="TableNormal"/>
    <w:uiPriority w:val="41"/>
    <w:rsid w:val="002314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314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rsid w:val="00E30980"/>
    <w:rPr>
      <w:color w:val="800080" w:themeColor="followedHyperlink"/>
      <w:u w:val="single"/>
    </w:rPr>
  </w:style>
  <w:style w:type="paragraph" w:customStyle="1" w:styleId="Default">
    <w:name w:val="Default"/>
    <w:rsid w:val="001B3D03"/>
    <w:pPr>
      <w:autoSpaceDE w:val="0"/>
      <w:autoSpaceDN w:val="0"/>
      <w:adjustRightInd w:val="0"/>
      <w:jc w:val="left"/>
    </w:pPr>
    <w:rPr>
      <w:rFonts w:cs="Arial"/>
      <w:color w:val="000000"/>
      <w:sz w:val="24"/>
      <w:szCs w:val="24"/>
    </w:rPr>
  </w:style>
  <w:style w:type="character" w:customStyle="1" w:styleId="Numlevel1Char">
    <w:name w:val="Num level 1 Char"/>
    <w:link w:val="Numlevel1"/>
    <w:locked/>
    <w:rsid w:val="00656701"/>
    <w:rPr>
      <w:rFonts w:ascii="HK Grotesk" w:eastAsia="HelveticaNeue" w:hAnsi="HK Grotesk" w:cs="Arial"/>
      <w:iCs/>
      <w:color w:val="202020"/>
    </w:rPr>
  </w:style>
  <w:style w:type="paragraph" w:styleId="NormalWeb">
    <w:name w:val="Normal (Web)"/>
    <w:basedOn w:val="Normal"/>
    <w:uiPriority w:val="99"/>
    <w:semiHidden/>
    <w:unhideWhenUsed/>
    <w:rsid w:val="008F618E"/>
    <w:pPr>
      <w:spacing w:before="100" w:beforeAutospacing="1" w:after="100" w:afterAutospacing="1"/>
    </w:pPr>
    <w:rPr>
      <w:rFonts w:ascii="Times New Roman" w:hAnsi="Times New Roman"/>
      <w:kern w:val="0"/>
      <w:sz w:val="24"/>
      <w:szCs w:val="24"/>
    </w:rPr>
  </w:style>
  <w:style w:type="character" w:customStyle="1" w:styleId="highlight">
    <w:name w:val="highlight"/>
    <w:basedOn w:val="DefaultParagraphFont"/>
    <w:rsid w:val="0027415E"/>
  </w:style>
  <w:style w:type="character" w:styleId="CommentReference">
    <w:name w:val="annotation reference"/>
    <w:basedOn w:val="DefaultParagraphFont"/>
    <w:semiHidden/>
    <w:unhideWhenUsed/>
    <w:rsid w:val="00472452"/>
    <w:rPr>
      <w:sz w:val="16"/>
      <w:szCs w:val="16"/>
    </w:rPr>
  </w:style>
  <w:style w:type="paragraph" w:styleId="CommentText">
    <w:name w:val="annotation text"/>
    <w:basedOn w:val="Normal"/>
    <w:link w:val="CommentTextChar"/>
    <w:semiHidden/>
    <w:unhideWhenUsed/>
    <w:rsid w:val="00472452"/>
    <w:rPr>
      <w:sz w:val="20"/>
      <w:szCs w:val="20"/>
    </w:rPr>
  </w:style>
  <w:style w:type="character" w:customStyle="1" w:styleId="CommentTextChar">
    <w:name w:val="Comment Text Char"/>
    <w:basedOn w:val="DefaultParagraphFont"/>
    <w:link w:val="CommentText"/>
    <w:semiHidden/>
    <w:rsid w:val="00472452"/>
    <w:rPr>
      <w:rFonts w:ascii="HK Grotesk" w:hAnsi="HK Grotesk"/>
      <w:kern w:val="20"/>
      <w:sz w:val="20"/>
      <w:szCs w:val="20"/>
    </w:rPr>
  </w:style>
  <w:style w:type="paragraph" w:styleId="CommentSubject">
    <w:name w:val="annotation subject"/>
    <w:basedOn w:val="CommentText"/>
    <w:next w:val="CommentText"/>
    <w:link w:val="CommentSubjectChar"/>
    <w:semiHidden/>
    <w:unhideWhenUsed/>
    <w:rsid w:val="00472452"/>
    <w:rPr>
      <w:b/>
      <w:bCs/>
    </w:rPr>
  </w:style>
  <w:style w:type="character" w:customStyle="1" w:styleId="CommentSubjectChar">
    <w:name w:val="Comment Subject Char"/>
    <w:basedOn w:val="CommentTextChar"/>
    <w:link w:val="CommentSubject"/>
    <w:semiHidden/>
    <w:rsid w:val="00472452"/>
    <w:rPr>
      <w:rFonts w:ascii="HK Grotesk" w:hAnsi="HK Grotesk"/>
      <w:b/>
      <w:bCs/>
      <w:kern w:val="20"/>
      <w:sz w:val="20"/>
      <w:szCs w:val="20"/>
    </w:rPr>
  </w:style>
  <w:style w:type="character" w:styleId="Emphasis">
    <w:name w:val="Emphasis"/>
    <w:basedOn w:val="DefaultParagraphFont"/>
    <w:uiPriority w:val="20"/>
    <w:qFormat/>
    <w:rsid w:val="00216280"/>
    <w:rPr>
      <w:i/>
      <w:iCs/>
    </w:rPr>
  </w:style>
  <w:style w:type="character" w:styleId="Strong">
    <w:name w:val="Strong"/>
    <w:basedOn w:val="DefaultParagraphFont"/>
    <w:uiPriority w:val="22"/>
    <w:qFormat/>
    <w:rsid w:val="00476F54"/>
    <w:rPr>
      <w:b/>
      <w:bCs/>
    </w:rPr>
  </w:style>
  <w:style w:type="paragraph" w:customStyle="1" w:styleId="KeyPointsListBullet">
    <w:name w:val="Key Points List Bullet"/>
    <w:basedOn w:val="Normal"/>
    <w:qFormat/>
    <w:rsid w:val="00920739"/>
    <w:pPr>
      <w:keepNext/>
      <w:numPr>
        <w:numId w:val="38"/>
      </w:numPr>
      <w:spacing w:before="100" w:after="0" w:line="260" w:lineRule="atLeast"/>
      <w:ind w:left="357" w:hanging="357"/>
      <w:jc w:val="both"/>
    </w:pPr>
    <w:rPr>
      <w:rFonts w:ascii="Arial" w:hAnsi="Arial"/>
      <w:kern w:val="0"/>
      <w:sz w:val="20"/>
      <w:szCs w:val="20"/>
      <w:lang w:eastAsia="en-US"/>
    </w:rPr>
  </w:style>
  <w:style w:type="paragraph" w:styleId="BodyText">
    <w:name w:val="Body Text"/>
    <w:aliases w:val="Body Text1,new legislation style,new legislation style1,new legislation style Ch"/>
    <w:link w:val="BodyTextChar"/>
    <w:qFormat/>
    <w:rsid w:val="00C455C0"/>
    <w:pPr>
      <w:spacing w:before="240" w:line="300" w:lineRule="atLeast"/>
    </w:pPr>
    <w:rPr>
      <w:rFonts w:ascii="Times New Roman" w:hAnsi="Times New Roman"/>
      <w:sz w:val="24"/>
      <w:szCs w:val="20"/>
    </w:rPr>
  </w:style>
  <w:style w:type="character" w:customStyle="1" w:styleId="BodyTextChar">
    <w:name w:val="Body Text Char"/>
    <w:aliases w:val="Body Text1 Char,new legislation style Char,new legislation style1 Char,new legislation style Ch Char"/>
    <w:basedOn w:val="DefaultParagraphFont"/>
    <w:link w:val="BodyText"/>
    <w:rsid w:val="00C455C0"/>
    <w:rPr>
      <w:rFonts w:ascii="Times New Roman" w:hAnsi="Times New Roman"/>
      <w:sz w:val="24"/>
      <w:szCs w:val="20"/>
    </w:rPr>
  </w:style>
  <w:style w:type="character" w:customStyle="1" w:styleId="NoteLabel">
    <w:name w:val="Note Label"/>
    <w:basedOn w:val="DefaultParagraphFont"/>
    <w:rsid w:val="00C455C0"/>
    <w:rPr>
      <w:rFonts w:ascii="Arial" w:hAnsi="Arial"/>
      <w:b/>
      <w:position w:val="6"/>
      <w:sz w:val="18"/>
    </w:rPr>
  </w:style>
  <w:style w:type="paragraph" w:customStyle="1" w:styleId="Rec">
    <w:name w:val="Rec"/>
    <w:basedOn w:val="BodyText"/>
    <w:qFormat/>
    <w:rsid w:val="002F221C"/>
    <w:pPr>
      <w:keepLines/>
      <w:spacing w:before="120" w:line="280" w:lineRule="atLeast"/>
    </w:pPr>
    <w:rPr>
      <w:rFonts w:ascii="Arial" w:hAnsi="Arial"/>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sz w:val="22"/>
        <w:szCs w:val="22"/>
        <w:lang w:val="en-AU" w:eastAsia="en-AU" w:bidi="ar-SA"/>
      </w:rPr>
    </w:rPrDefault>
    <w:pPrDefault>
      <w:pPr>
        <w:jc w:val="both"/>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Normal Indent" w:qFormat="1"/>
    <w:lsdException w:name="footnote text" w:uiPriority="99" w:qFormat="1"/>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lsdException w:name="Body Text" w:qFormat="1"/>
    <w:lsdException w:name="Subtitle" w:semiHidden="0" w:unhideWhenUsed="0"/>
    <w:lsdException w:name="Body Text Indent 3" w:semiHidden="0" w:unhideWhenUsed="0"/>
    <w:lsdException w:name="Block Text" w:semiHidden="0" w:unhideWhenUsed="0"/>
    <w:lsdException w:name="Hyperlink" w:semiHidden="0" w:uiPriority="99" w:unhideWhenUsed="0"/>
    <w:lsdException w:name="FollowedHyperlink" w:semiHidden="0" w:unhideWhenUsed="0"/>
    <w:lsdException w:name="Strong" w:semiHidden="0" w:uiPriority="22" w:unhideWhenUsed="0" w:qFormat="1"/>
    <w:lsdException w:name="Emphasis" w:semiHidden="0" w:uiPriority="20" w:unhideWhenUsed="0" w:qFormat="1"/>
    <w:lsdException w:name="Normal (Web)" w:uiPriority="99"/>
    <w:lsdException w:name="Table Grid" w:semiHidden="0" w:unhideWhenUsed="0"/>
    <w:lsdException w:name="Placeholder Text" w:uiPriority="99"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33116"/>
    <w:pPr>
      <w:spacing w:after="220"/>
      <w:jc w:val="left"/>
    </w:pPr>
    <w:rPr>
      <w:rFonts w:ascii="HK Grotesk" w:hAnsi="HK Grotesk"/>
      <w:kern w:val="20"/>
    </w:rPr>
  </w:style>
  <w:style w:type="paragraph" w:styleId="Heading1">
    <w:name w:val="heading 1"/>
    <w:basedOn w:val="TitleofSubmission"/>
    <w:next w:val="Normal"/>
    <w:link w:val="Heading1Char"/>
    <w:qFormat/>
    <w:rsid w:val="00876091"/>
    <w:pPr>
      <w:outlineLvl w:val="0"/>
    </w:pPr>
    <w:rPr>
      <w:sz w:val="36"/>
      <w:szCs w:val="36"/>
    </w:rPr>
  </w:style>
  <w:style w:type="paragraph" w:styleId="Heading2">
    <w:name w:val="heading 2"/>
    <w:basedOn w:val="Normal"/>
    <w:next w:val="Normal"/>
    <w:link w:val="Heading2Char"/>
    <w:qFormat/>
    <w:rsid w:val="00E14B89"/>
    <w:pPr>
      <w:keepNext/>
      <w:spacing w:before="240" w:after="240"/>
      <w:outlineLvl w:val="1"/>
    </w:pPr>
    <w:rPr>
      <w:b/>
      <w:bCs/>
      <w:color w:val="857444"/>
      <w:sz w:val="28"/>
    </w:rPr>
  </w:style>
  <w:style w:type="paragraph" w:styleId="Heading3">
    <w:name w:val="heading 3"/>
    <w:basedOn w:val="Normal"/>
    <w:next w:val="Normal"/>
    <w:link w:val="Heading3Char"/>
    <w:qFormat/>
    <w:rsid w:val="00E14B89"/>
    <w:pPr>
      <w:keepNext/>
      <w:spacing w:before="240" w:after="240"/>
      <w:outlineLvl w:val="2"/>
    </w:pPr>
    <w:rPr>
      <w:b/>
      <w:bCs/>
      <w:color w:val="857444"/>
      <w:u w:val="single"/>
    </w:rPr>
  </w:style>
  <w:style w:type="paragraph" w:styleId="Heading4">
    <w:name w:val="heading 4"/>
    <w:basedOn w:val="Normal"/>
    <w:next w:val="Normal"/>
    <w:link w:val="Heading4Char"/>
    <w:autoRedefine/>
    <w:unhideWhenUsed/>
    <w:qFormat/>
    <w:rsid w:val="00FC341C"/>
    <w:pPr>
      <w:keepNext/>
      <w:keepLines/>
      <w:spacing w:before="240" w:after="240"/>
      <w:outlineLvl w:val="3"/>
    </w:pPr>
    <w:rPr>
      <w:rFonts w:cs="Arial"/>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76091"/>
    <w:rPr>
      <w:rFonts w:ascii="Tiempos Text Medium" w:hAnsi="Tiempos Text Medium"/>
      <w:color w:val="001D34"/>
      <w:kern w:val="20"/>
      <w:sz w:val="36"/>
      <w:szCs w:val="36"/>
    </w:rPr>
  </w:style>
  <w:style w:type="character" w:customStyle="1" w:styleId="Heading2Char">
    <w:name w:val="Heading 2 Char"/>
    <w:basedOn w:val="DefaultParagraphFont"/>
    <w:link w:val="Heading2"/>
    <w:rsid w:val="00E14B89"/>
    <w:rPr>
      <w:rFonts w:ascii="HK Grotesk" w:hAnsi="HK Grotesk"/>
      <w:b/>
      <w:bCs/>
      <w:color w:val="857444"/>
      <w:kern w:val="20"/>
      <w:sz w:val="28"/>
    </w:rPr>
  </w:style>
  <w:style w:type="character" w:customStyle="1" w:styleId="Heading3Char">
    <w:name w:val="Heading 3 Char"/>
    <w:basedOn w:val="DefaultParagraphFont"/>
    <w:link w:val="Heading3"/>
    <w:rsid w:val="00E14B89"/>
    <w:rPr>
      <w:rFonts w:ascii="HK Grotesk" w:hAnsi="HK Grotesk"/>
      <w:b/>
      <w:bCs/>
      <w:color w:val="857444"/>
      <w:kern w:val="20"/>
      <w:u w:val="single"/>
    </w:rPr>
  </w:style>
  <w:style w:type="paragraph" w:styleId="NormalIndent">
    <w:name w:val="Normal Indent"/>
    <w:basedOn w:val="Normal"/>
    <w:qFormat/>
    <w:rsid w:val="000405D7"/>
    <w:pPr>
      <w:ind w:left="567"/>
    </w:pPr>
  </w:style>
  <w:style w:type="paragraph" w:customStyle="1" w:styleId="Dotpoint1">
    <w:name w:val="Dot point 1"/>
    <w:basedOn w:val="NormalIndent"/>
    <w:qFormat/>
    <w:rsid w:val="00FC341C"/>
    <w:pPr>
      <w:numPr>
        <w:numId w:val="17"/>
      </w:numPr>
      <w:spacing w:after="60"/>
    </w:pPr>
    <w:rPr>
      <w:lang w:eastAsia="en-US"/>
    </w:rPr>
  </w:style>
  <w:style w:type="paragraph" w:styleId="Quote">
    <w:name w:val="Quote"/>
    <w:basedOn w:val="Normal"/>
    <w:link w:val="QuoteChar"/>
    <w:qFormat/>
    <w:rsid w:val="00CC5E34"/>
    <w:pPr>
      <w:ind w:left="567" w:right="567"/>
    </w:pPr>
    <w:rPr>
      <w:i/>
    </w:rPr>
  </w:style>
  <w:style w:type="character" w:customStyle="1" w:styleId="QuoteChar">
    <w:name w:val="Quote Char"/>
    <w:basedOn w:val="DefaultParagraphFont"/>
    <w:link w:val="Quote"/>
    <w:rsid w:val="00CC5E34"/>
    <w:rPr>
      <w:rFonts w:ascii="Times New Roman" w:hAnsi="Times New Roman"/>
      <w:i/>
      <w:sz w:val="22"/>
      <w:szCs w:val="22"/>
    </w:rPr>
  </w:style>
  <w:style w:type="paragraph" w:customStyle="1" w:styleId="Numlevel1">
    <w:name w:val="Num level 1"/>
    <w:basedOn w:val="Normal"/>
    <w:link w:val="Numlevel1Char"/>
    <w:autoRedefine/>
    <w:qFormat/>
    <w:rsid w:val="00656701"/>
    <w:pPr>
      <w:numPr>
        <w:numId w:val="2"/>
      </w:numPr>
      <w:jc w:val="both"/>
    </w:pPr>
    <w:rPr>
      <w:rFonts w:eastAsia="HelveticaNeue" w:cs="Arial"/>
      <w:iCs/>
      <w:color w:val="202020"/>
      <w:kern w:val="0"/>
    </w:rPr>
  </w:style>
  <w:style w:type="paragraph" w:customStyle="1" w:styleId="Numlevel2">
    <w:name w:val="Num level 2"/>
    <w:basedOn w:val="Numlevel1"/>
    <w:autoRedefine/>
    <w:uiPriority w:val="99"/>
    <w:qFormat/>
    <w:rsid w:val="001730D8"/>
    <w:pPr>
      <w:numPr>
        <w:numId w:val="0"/>
      </w:numPr>
      <w:ind w:left="1134"/>
    </w:pPr>
    <w:rPr>
      <w:i/>
    </w:rPr>
  </w:style>
  <w:style w:type="paragraph" w:customStyle="1" w:styleId="Numlevel3">
    <w:name w:val="Num level 3"/>
    <w:basedOn w:val="Numlevel2"/>
    <w:autoRedefine/>
    <w:qFormat/>
    <w:rsid w:val="000405D7"/>
    <w:pPr>
      <w:numPr>
        <w:ilvl w:val="2"/>
      </w:numPr>
      <w:ind w:left="1134"/>
    </w:pPr>
  </w:style>
  <w:style w:type="character" w:customStyle="1" w:styleId="Heading4Char">
    <w:name w:val="Heading 4 Char"/>
    <w:basedOn w:val="DefaultParagraphFont"/>
    <w:link w:val="Heading4"/>
    <w:rsid w:val="00FC341C"/>
    <w:rPr>
      <w:rFonts w:ascii="HK Grotesk" w:eastAsia="Times New Roman" w:hAnsi="HK Grotesk" w:cs="Arial"/>
      <w:bCs/>
      <w:i/>
      <w:iCs/>
      <w:kern w:val="22"/>
    </w:rPr>
  </w:style>
  <w:style w:type="paragraph" w:customStyle="1" w:styleId="Headinghighlight">
    <w:name w:val="Heading highlight"/>
    <w:basedOn w:val="Normal"/>
    <w:next w:val="Normal"/>
    <w:link w:val="HeadinghighlightChar"/>
    <w:rsid w:val="002C4E2E"/>
    <w:pPr>
      <w:keepNext/>
      <w:keepLines/>
      <w:shd w:val="clear" w:color="auto" w:fill="004360" w:themeFill="text1"/>
      <w:spacing w:before="240" w:after="360"/>
      <w:outlineLvl w:val="0"/>
    </w:pPr>
    <w:rPr>
      <w:rFonts w:ascii="Times New Roman" w:hAnsi="Times New Roman"/>
      <w:sz w:val="32"/>
      <w:szCs w:val="32"/>
    </w:rPr>
  </w:style>
  <w:style w:type="paragraph" w:customStyle="1" w:styleId="Dotpoint2">
    <w:name w:val="Dot point 2"/>
    <w:basedOn w:val="Normal"/>
    <w:link w:val="Dotpoint2Char"/>
    <w:qFormat/>
    <w:rsid w:val="000405D7"/>
    <w:pPr>
      <w:numPr>
        <w:ilvl w:val="1"/>
        <w:numId w:val="17"/>
      </w:numPr>
    </w:pPr>
  </w:style>
  <w:style w:type="numbering" w:customStyle="1" w:styleId="BulletList1">
    <w:name w:val="Bullet List 1"/>
    <w:uiPriority w:val="99"/>
    <w:rsid w:val="003A0DB8"/>
    <w:pPr>
      <w:numPr>
        <w:numId w:val="5"/>
      </w:numPr>
    </w:pPr>
  </w:style>
  <w:style w:type="character" w:customStyle="1" w:styleId="HeadinghighlightChar">
    <w:name w:val="Heading highlight Char"/>
    <w:basedOn w:val="DefaultParagraphFont"/>
    <w:link w:val="Headinghighlight"/>
    <w:rsid w:val="002C4E2E"/>
    <w:rPr>
      <w:rFonts w:ascii="Times New Roman" w:hAnsi="Times New Roman"/>
      <w:sz w:val="32"/>
      <w:szCs w:val="32"/>
      <w:shd w:val="clear" w:color="auto" w:fill="004360" w:themeFill="text1"/>
    </w:rPr>
  </w:style>
  <w:style w:type="character" w:customStyle="1" w:styleId="Dotpoint2Char">
    <w:name w:val="Dot point 2 Char"/>
    <w:basedOn w:val="DefaultParagraphFont"/>
    <w:link w:val="Dotpoint2"/>
    <w:rsid w:val="000405D7"/>
    <w:rPr>
      <w:rFonts w:ascii="Times New Roman" w:hAnsi="Times New Roman"/>
      <w:sz w:val="22"/>
      <w:szCs w:val="24"/>
    </w:rPr>
  </w:style>
  <w:style w:type="paragraph" w:styleId="Header">
    <w:name w:val="header"/>
    <w:basedOn w:val="Normal"/>
    <w:link w:val="HeaderChar"/>
    <w:uiPriority w:val="99"/>
    <w:rsid w:val="00481F25"/>
    <w:pPr>
      <w:tabs>
        <w:tab w:val="center" w:pos="4513"/>
        <w:tab w:val="right" w:pos="8364"/>
      </w:tabs>
      <w:spacing w:after="0"/>
    </w:pPr>
    <w:rPr>
      <w:sz w:val="18"/>
    </w:rPr>
  </w:style>
  <w:style w:type="character" w:customStyle="1" w:styleId="HeaderChar">
    <w:name w:val="Header Char"/>
    <w:basedOn w:val="DefaultParagraphFont"/>
    <w:link w:val="Header"/>
    <w:uiPriority w:val="99"/>
    <w:rsid w:val="00481F25"/>
    <w:rPr>
      <w:rFonts w:ascii="Times New Roman" w:hAnsi="Times New Roman"/>
      <w:sz w:val="18"/>
      <w:szCs w:val="24"/>
    </w:rPr>
  </w:style>
  <w:style w:type="paragraph" w:styleId="Footer">
    <w:name w:val="footer"/>
    <w:link w:val="FooterChar"/>
    <w:uiPriority w:val="99"/>
    <w:rsid w:val="00F77714"/>
    <w:pPr>
      <w:tabs>
        <w:tab w:val="center" w:pos="4513"/>
        <w:tab w:val="right" w:pos="8364"/>
      </w:tabs>
    </w:pPr>
    <w:rPr>
      <w:rFonts w:ascii="HK Grotesk Light" w:hAnsi="HK Grotesk Light"/>
      <w:color w:val="001D34"/>
      <w:kern w:val="22"/>
      <w:sz w:val="18"/>
    </w:rPr>
  </w:style>
  <w:style w:type="paragraph" w:styleId="FootnoteText">
    <w:name w:val="footnote text"/>
    <w:basedOn w:val="Normal"/>
    <w:link w:val="FootnoteTextChar"/>
    <w:uiPriority w:val="99"/>
    <w:qFormat/>
    <w:rsid w:val="00CF0D0E"/>
    <w:pPr>
      <w:spacing w:after="0"/>
    </w:pPr>
    <w:rPr>
      <w:sz w:val="18"/>
      <w:szCs w:val="20"/>
    </w:rPr>
  </w:style>
  <w:style w:type="character" w:customStyle="1" w:styleId="FootnoteTextChar">
    <w:name w:val="Footnote Text Char"/>
    <w:basedOn w:val="DefaultParagraphFont"/>
    <w:link w:val="FootnoteText"/>
    <w:uiPriority w:val="99"/>
    <w:rsid w:val="00CF0D0E"/>
    <w:rPr>
      <w:rFonts w:ascii="Times New Roman" w:hAnsi="Times New Roman"/>
      <w:sz w:val="18"/>
    </w:rPr>
  </w:style>
  <w:style w:type="character" w:styleId="FootnoteReference">
    <w:name w:val="footnote reference"/>
    <w:basedOn w:val="DefaultParagraphFont"/>
    <w:uiPriority w:val="99"/>
    <w:rsid w:val="00CF0D0E"/>
    <w:rPr>
      <w:vertAlign w:val="superscript"/>
    </w:rPr>
  </w:style>
  <w:style w:type="character" w:customStyle="1" w:styleId="FooterChar">
    <w:name w:val="Footer Char"/>
    <w:basedOn w:val="DefaultParagraphFont"/>
    <w:link w:val="Footer"/>
    <w:uiPriority w:val="99"/>
    <w:rsid w:val="00F77714"/>
    <w:rPr>
      <w:rFonts w:ascii="HK Grotesk Light" w:hAnsi="HK Grotesk Light"/>
      <w:color w:val="001D34"/>
      <w:kern w:val="22"/>
      <w:sz w:val="18"/>
    </w:rPr>
  </w:style>
  <w:style w:type="table" w:styleId="TableGrid">
    <w:name w:val="Table Grid"/>
    <w:basedOn w:val="TableNormal"/>
    <w:rsid w:val="009E1C8F"/>
    <w:pPr>
      <w:spacing w:before="6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attachment">
    <w:name w:val="Heading attachment"/>
    <w:basedOn w:val="Heading2"/>
    <w:next w:val="Normal"/>
    <w:link w:val="HeadingattachmentChar"/>
    <w:rsid w:val="00F029CB"/>
    <w:pPr>
      <w:pBdr>
        <w:bottom w:val="single" w:sz="12" w:space="1" w:color="004360" w:themeColor="text1"/>
      </w:pBdr>
      <w:spacing w:after="360"/>
      <w:ind w:left="1985" w:hanging="1985"/>
      <w:outlineLvl w:val="0"/>
    </w:pPr>
  </w:style>
  <w:style w:type="character" w:customStyle="1" w:styleId="HeadingattachmentChar">
    <w:name w:val="Heading attachment Char"/>
    <w:basedOn w:val="Heading2Char"/>
    <w:link w:val="Headingattachment"/>
    <w:rsid w:val="00F029CB"/>
    <w:rPr>
      <w:rFonts w:ascii="Arial" w:hAnsi="Arial"/>
      <w:b/>
      <w:bCs/>
      <w:color w:val="9A8769"/>
      <w:kern w:val="22"/>
      <w:sz w:val="28"/>
      <w:szCs w:val="22"/>
    </w:rPr>
  </w:style>
  <w:style w:type="paragraph" w:styleId="BalloonText">
    <w:name w:val="Balloon Text"/>
    <w:basedOn w:val="Normal"/>
    <w:link w:val="BalloonTextChar"/>
    <w:rsid w:val="00CA12EC"/>
    <w:pPr>
      <w:spacing w:after="0"/>
    </w:pPr>
    <w:rPr>
      <w:rFonts w:ascii="Tahoma" w:hAnsi="Tahoma" w:cs="Tahoma"/>
      <w:sz w:val="16"/>
      <w:szCs w:val="16"/>
    </w:rPr>
  </w:style>
  <w:style w:type="character" w:customStyle="1" w:styleId="BalloonTextChar">
    <w:name w:val="Balloon Text Char"/>
    <w:basedOn w:val="DefaultParagraphFont"/>
    <w:link w:val="BalloonText"/>
    <w:rsid w:val="00CA12EC"/>
    <w:rPr>
      <w:rFonts w:ascii="Tahoma" w:hAnsi="Tahoma" w:cs="Tahoma"/>
      <w:sz w:val="16"/>
      <w:szCs w:val="16"/>
    </w:rPr>
  </w:style>
  <w:style w:type="paragraph" w:styleId="TOCHeading">
    <w:name w:val="TOC Heading"/>
    <w:basedOn w:val="Heading1"/>
    <w:next w:val="Normal"/>
    <w:uiPriority w:val="39"/>
    <w:unhideWhenUsed/>
    <w:qFormat/>
    <w:rsid w:val="00CA12EC"/>
    <w:pPr>
      <w:outlineLvl w:val="9"/>
    </w:pPr>
    <w:rPr>
      <w:rFonts w:cs="Arial"/>
      <w:b/>
      <w:szCs w:val="32"/>
      <w:lang w:val="en-US" w:eastAsia="en-US"/>
    </w:rPr>
  </w:style>
  <w:style w:type="paragraph" w:styleId="TOC1">
    <w:name w:val="toc 1"/>
    <w:basedOn w:val="Normal"/>
    <w:next w:val="Normal"/>
    <w:autoRedefine/>
    <w:uiPriority w:val="39"/>
    <w:rsid w:val="00B66A0E"/>
    <w:pPr>
      <w:spacing w:after="100"/>
      <w:ind w:right="425"/>
    </w:pPr>
    <w:rPr>
      <w:b/>
    </w:rPr>
  </w:style>
  <w:style w:type="paragraph" w:styleId="TOC2">
    <w:name w:val="toc 2"/>
    <w:basedOn w:val="Normal"/>
    <w:next w:val="Normal"/>
    <w:autoRedefine/>
    <w:uiPriority w:val="39"/>
    <w:rsid w:val="00B66A0E"/>
    <w:pPr>
      <w:tabs>
        <w:tab w:val="right" w:leader="dot" w:pos="8777"/>
      </w:tabs>
      <w:spacing w:after="100"/>
      <w:ind w:left="221" w:right="425"/>
    </w:pPr>
  </w:style>
  <w:style w:type="paragraph" w:styleId="TOC3">
    <w:name w:val="toc 3"/>
    <w:basedOn w:val="Normal"/>
    <w:next w:val="Normal"/>
    <w:autoRedefine/>
    <w:uiPriority w:val="39"/>
    <w:rsid w:val="00B66A0E"/>
    <w:pPr>
      <w:spacing w:after="100"/>
      <w:ind w:left="442" w:right="425"/>
    </w:pPr>
  </w:style>
  <w:style w:type="character" w:styleId="Hyperlink">
    <w:name w:val="Hyperlink"/>
    <w:basedOn w:val="DefaultParagraphFont"/>
    <w:uiPriority w:val="99"/>
    <w:unhideWhenUsed/>
    <w:rsid w:val="009C4196"/>
    <w:rPr>
      <w:color w:val="0000FF" w:themeColor="hyperlink"/>
      <w:u w:val="single"/>
    </w:rPr>
  </w:style>
  <w:style w:type="paragraph" w:styleId="ListParagraph">
    <w:name w:val="List Paragraph"/>
    <w:basedOn w:val="Normal"/>
    <w:uiPriority w:val="34"/>
    <w:qFormat/>
    <w:rsid w:val="00DD7D10"/>
    <w:pPr>
      <w:spacing w:after="200" w:line="276" w:lineRule="auto"/>
      <w:ind w:left="720"/>
      <w:contextualSpacing/>
    </w:pPr>
    <w:rPr>
      <w:rFonts w:ascii="Times New Roman" w:hAnsi="Times New Roman"/>
      <w:lang w:eastAsia="en-US"/>
    </w:rPr>
  </w:style>
  <w:style w:type="paragraph" w:customStyle="1" w:styleId="Pa5">
    <w:name w:val="Pa5"/>
    <w:basedOn w:val="Normal"/>
    <w:next w:val="Normal"/>
    <w:uiPriority w:val="99"/>
    <w:rsid w:val="00DD7D10"/>
    <w:pPr>
      <w:autoSpaceDE w:val="0"/>
      <w:autoSpaceDN w:val="0"/>
      <w:adjustRightInd w:val="0"/>
      <w:spacing w:after="0" w:line="221" w:lineRule="atLeast"/>
    </w:pPr>
    <w:rPr>
      <w:rFonts w:ascii="Times New Roman" w:hAnsi="Times New Roman"/>
      <w:sz w:val="24"/>
      <w:lang w:val="en-US" w:eastAsia="en-US"/>
    </w:rPr>
  </w:style>
  <w:style w:type="paragraph" w:styleId="TOC4">
    <w:name w:val="toc 4"/>
    <w:basedOn w:val="Normal"/>
    <w:next w:val="Normal"/>
    <w:autoRedefine/>
    <w:uiPriority w:val="39"/>
    <w:rsid w:val="004642A5"/>
    <w:pPr>
      <w:spacing w:after="100"/>
      <w:ind w:left="660"/>
    </w:pPr>
  </w:style>
  <w:style w:type="paragraph" w:customStyle="1" w:styleId="TitleofSubmission">
    <w:name w:val="Title of Submission"/>
    <w:basedOn w:val="Normal"/>
    <w:qFormat/>
    <w:rsid w:val="000938E2"/>
    <w:rPr>
      <w:rFonts w:ascii="Tiempos Text Medium" w:hAnsi="Tiempos Text Medium"/>
      <w:color w:val="001D34"/>
      <w:sz w:val="72"/>
      <w:szCs w:val="72"/>
    </w:rPr>
  </w:style>
  <w:style w:type="paragraph" w:customStyle="1" w:styleId="TitleHeading2">
    <w:name w:val="Title Heading 2"/>
    <w:qFormat/>
    <w:rsid w:val="00E3673A"/>
    <w:rPr>
      <w:rFonts w:ascii="HK Grotesk Medium" w:hAnsi="HK Grotesk Medium" w:cs="Arial"/>
      <w:color w:val="9A8769"/>
      <w:sz w:val="24"/>
      <w:szCs w:val="24"/>
    </w:rPr>
  </w:style>
  <w:style w:type="table" w:customStyle="1" w:styleId="PlainTable11">
    <w:name w:val="Plain Table 11"/>
    <w:basedOn w:val="TableNormal"/>
    <w:uiPriority w:val="41"/>
    <w:rsid w:val="0023140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TableGridLight1">
    <w:name w:val="Table Grid Light1"/>
    <w:basedOn w:val="TableNormal"/>
    <w:uiPriority w:val="40"/>
    <w:rsid w:val="0023140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FollowedHyperlink">
    <w:name w:val="FollowedHyperlink"/>
    <w:basedOn w:val="DefaultParagraphFont"/>
    <w:rsid w:val="00E30980"/>
    <w:rPr>
      <w:color w:val="800080" w:themeColor="followedHyperlink"/>
      <w:u w:val="single"/>
    </w:rPr>
  </w:style>
  <w:style w:type="paragraph" w:customStyle="1" w:styleId="Default">
    <w:name w:val="Default"/>
    <w:rsid w:val="001B3D03"/>
    <w:pPr>
      <w:autoSpaceDE w:val="0"/>
      <w:autoSpaceDN w:val="0"/>
      <w:adjustRightInd w:val="0"/>
      <w:jc w:val="left"/>
    </w:pPr>
    <w:rPr>
      <w:rFonts w:cs="Arial"/>
      <w:color w:val="000000"/>
      <w:sz w:val="24"/>
      <w:szCs w:val="24"/>
    </w:rPr>
  </w:style>
  <w:style w:type="character" w:customStyle="1" w:styleId="Numlevel1Char">
    <w:name w:val="Num level 1 Char"/>
    <w:link w:val="Numlevel1"/>
    <w:locked/>
    <w:rsid w:val="00656701"/>
    <w:rPr>
      <w:rFonts w:ascii="HK Grotesk" w:eastAsia="HelveticaNeue" w:hAnsi="HK Grotesk" w:cs="Arial"/>
      <w:iCs/>
      <w:color w:val="202020"/>
    </w:rPr>
  </w:style>
  <w:style w:type="paragraph" w:styleId="NormalWeb">
    <w:name w:val="Normal (Web)"/>
    <w:basedOn w:val="Normal"/>
    <w:uiPriority w:val="99"/>
    <w:semiHidden/>
    <w:unhideWhenUsed/>
    <w:rsid w:val="008F618E"/>
    <w:pPr>
      <w:spacing w:before="100" w:beforeAutospacing="1" w:after="100" w:afterAutospacing="1"/>
    </w:pPr>
    <w:rPr>
      <w:rFonts w:ascii="Times New Roman" w:hAnsi="Times New Roman"/>
      <w:kern w:val="0"/>
      <w:sz w:val="24"/>
      <w:szCs w:val="24"/>
    </w:rPr>
  </w:style>
  <w:style w:type="character" w:customStyle="1" w:styleId="highlight">
    <w:name w:val="highlight"/>
    <w:basedOn w:val="DefaultParagraphFont"/>
    <w:rsid w:val="0027415E"/>
  </w:style>
  <w:style w:type="character" w:styleId="CommentReference">
    <w:name w:val="annotation reference"/>
    <w:basedOn w:val="DefaultParagraphFont"/>
    <w:semiHidden/>
    <w:unhideWhenUsed/>
    <w:rsid w:val="00472452"/>
    <w:rPr>
      <w:sz w:val="16"/>
      <w:szCs w:val="16"/>
    </w:rPr>
  </w:style>
  <w:style w:type="paragraph" w:styleId="CommentText">
    <w:name w:val="annotation text"/>
    <w:basedOn w:val="Normal"/>
    <w:link w:val="CommentTextChar"/>
    <w:semiHidden/>
    <w:unhideWhenUsed/>
    <w:rsid w:val="00472452"/>
    <w:rPr>
      <w:sz w:val="20"/>
      <w:szCs w:val="20"/>
    </w:rPr>
  </w:style>
  <w:style w:type="character" w:customStyle="1" w:styleId="CommentTextChar">
    <w:name w:val="Comment Text Char"/>
    <w:basedOn w:val="DefaultParagraphFont"/>
    <w:link w:val="CommentText"/>
    <w:semiHidden/>
    <w:rsid w:val="00472452"/>
    <w:rPr>
      <w:rFonts w:ascii="HK Grotesk" w:hAnsi="HK Grotesk"/>
      <w:kern w:val="20"/>
      <w:sz w:val="20"/>
      <w:szCs w:val="20"/>
    </w:rPr>
  </w:style>
  <w:style w:type="paragraph" w:styleId="CommentSubject">
    <w:name w:val="annotation subject"/>
    <w:basedOn w:val="CommentText"/>
    <w:next w:val="CommentText"/>
    <w:link w:val="CommentSubjectChar"/>
    <w:semiHidden/>
    <w:unhideWhenUsed/>
    <w:rsid w:val="00472452"/>
    <w:rPr>
      <w:b/>
      <w:bCs/>
    </w:rPr>
  </w:style>
  <w:style w:type="character" w:customStyle="1" w:styleId="CommentSubjectChar">
    <w:name w:val="Comment Subject Char"/>
    <w:basedOn w:val="CommentTextChar"/>
    <w:link w:val="CommentSubject"/>
    <w:semiHidden/>
    <w:rsid w:val="00472452"/>
    <w:rPr>
      <w:rFonts w:ascii="HK Grotesk" w:hAnsi="HK Grotesk"/>
      <w:b/>
      <w:bCs/>
      <w:kern w:val="20"/>
      <w:sz w:val="20"/>
      <w:szCs w:val="20"/>
    </w:rPr>
  </w:style>
  <w:style w:type="character" w:styleId="Emphasis">
    <w:name w:val="Emphasis"/>
    <w:basedOn w:val="DefaultParagraphFont"/>
    <w:uiPriority w:val="20"/>
    <w:qFormat/>
    <w:rsid w:val="00216280"/>
    <w:rPr>
      <w:i/>
      <w:iCs/>
    </w:rPr>
  </w:style>
  <w:style w:type="character" w:styleId="Strong">
    <w:name w:val="Strong"/>
    <w:basedOn w:val="DefaultParagraphFont"/>
    <w:uiPriority w:val="22"/>
    <w:qFormat/>
    <w:rsid w:val="00476F54"/>
    <w:rPr>
      <w:b/>
      <w:bCs/>
    </w:rPr>
  </w:style>
  <w:style w:type="paragraph" w:customStyle="1" w:styleId="KeyPointsListBullet">
    <w:name w:val="Key Points List Bullet"/>
    <w:basedOn w:val="Normal"/>
    <w:qFormat/>
    <w:rsid w:val="00920739"/>
    <w:pPr>
      <w:keepNext/>
      <w:numPr>
        <w:numId w:val="38"/>
      </w:numPr>
      <w:spacing w:before="100" w:after="0" w:line="260" w:lineRule="atLeast"/>
      <w:ind w:left="357" w:hanging="357"/>
      <w:jc w:val="both"/>
    </w:pPr>
    <w:rPr>
      <w:rFonts w:ascii="Arial" w:hAnsi="Arial"/>
      <w:kern w:val="0"/>
      <w:sz w:val="20"/>
      <w:szCs w:val="20"/>
      <w:lang w:eastAsia="en-US"/>
    </w:rPr>
  </w:style>
  <w:style w:type="paragraph" w:styleId="BodyText">
    <w:name w:val="Body Text"/>
    <w:aliases w:val="Body Text1,new legislation style,new legislation style1,new legislation style Ch"/>
    <w:link w:val="BodyTextChar"/>
    <w:qFormat/>
    <w:rsid w:val="00C455C0"/>
    <w:pPr>
      <w:spacing w:before="240" w:line="300" w:lineRule="atLeast"/>
    </w:pPr>
    <w:rPr>
      <w:rFonts w:ascii="Times New Roman" w:hAnsi="Times New Roman"/>
      <w:sz w:val="24"/>
      <w:szCs w:val="20"/>
    </w:rPr>
  </w:style>
  <w:style w:type="character" w:customStyle="1" w:styleId="BodyTextChar">
    <w:name w:val="Body Text Char"/>
    <w:aliases w:val="Body Text1 Char,new legislation style Char,new legislation style1 Char,new legislation style Ch Char"/>
    <w:basedOn w:val="DefaultParagraphFont"/>
    <w:link w:val="BodyText"/>
    <w:rsid w:val="00C455C0"/>
    <w:rPr>
      <w:rFonts w:ascii="Times New Roman" w:hAnsi="Times New Roman"/>
      <w:sz w:val="24"/>
      <w:szCs w:val="20"/>
    </w:rPr>
  </w:style>
  <w:style w:type="character" w:customStyle="1" w:styleId="NoteLabel">
    <w:name w:val="Note Label"/>
    <w:basedOn w:val="DefaultParagraphFont"/>
    <w:rsid w:val="00C455C0"/>
    <w:rPr>
      <w:rFonts w:ascii="Arial" w:hAnsi="Arial"/>
      <w:b/>
      <w:position w:val="6"/>
      <w:sz w:val="18"/>
    </w:rPr>
  </w:style>
  <w:style w:type="paragraph" w:customStyle="1" w:styleId="Rec">
    <w:name w:val="Rec"/>
    <w:basedOn w:val="BodyText"/>
    <w:qFormat/>
    <w:rsid w:val="002F221C"/>
    <w:pPr>
      <w:keepLines/>
      <w:spacing w:before="120" w:line="280" w:lineRule="atLeast"/>
    </w:pPr>
    <w:rPr>
      <w:rFonts w:ascii="Arial" w:hAnsi="Arial"/>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11717">
      <w:bodyDiv w:val="1"/>
      <w:marLeft w:val="0"/>
      <w:marRight w:val="0"/>
      <w:marTop w:val="0"/>
      <w:marBottom w:val="0"/>
      <w:divBdr>
        <w:top w:val="none" w:sz="0" w:space="0" w:color="auto"/>
        <w:left w:val="none" w:sz="0" w:space="0" w:color="auto"/>
        <w:bottom w:val="none" w:sz="0" w:space="0" w:color="auto"/>
        <w:right w:val="none" w:sz="0" w:space="0" w:color="auto"/>
      </w:divBdr>
      <w:divsChild>
        <w:div w:id="516358310">
          <w:marLeft w:val="0"/>
          <w:marRight w:val="0"/>
          <w:marTop w:val="0"/>
          <w:marBottom w:val="0"/>
          <w:divBdr>
            <w:top w:val="none" w:sz="0" w:space="0" w:color="auto"/>
            <w:left w:val="none" w:sz="0" w:space="0" w:color="auto"/>
            <w:bottom w:val="none" w:sz="0" w:space="0" w:color="auto"/>
            <w:right w:val="none" w:sz="0" w:space="0" w:color="auto"/>
          </w:divBdr>
          <w:divsChild>
            <w:div w:id="304243089">
              <w:marLeft w:val="0"/>
              <w:marRight w:val="0"/>
              <w:marTop w:val="0"/>
              <w:marBottom w:val="0"/>
              <w:divBdr>
                <w:top w:val="none" w:sz="0" w:space="0" w:color="auto"/>
                <w:left w:val="none" w:sz="0" w:space="0" w:color="auto"/>
                <w:bottom w:val="none" w:sz="0" w:space="0" w:color="auto"/>
                <w:right w:val="none" w:sz="0" w:space="0" w:color="auto"/>
              </w:divBdr>
              <w:divsChild>
                <w:div w:id="284820437">
                  <w:marLeft w:val="0"/>
                  <w:marRight w:val="0"/>
                  <w:marTop w:val="0"/>
                  <w:marBottom w:val="0"/>
                  <w:divBdr>
                    <w:top w:val="none" w:sz="0" w:space="0" w:color="auto"/>
                    <w:left w:val="none" w:sz="0" w:space="0" w:color="auto"/>
                    <w:bottom w:val="none" w:sz="0" w:space="0" w:color="auto"/>
                    <w:right w:val="none" w:sz="0" w:space="0" w:color="auto"/>
                  </w:divBdr>
                  <w:divsChild>
                    <w:div w:id="199899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275314">
          <w:marLeft w:val="0"/>
          <w:marRight w:val="0"/>
          <w:marTop w:val="0"/>
          <w:marBottom w:val="0"/>
          <w:divBdr>
            <w:top w:val="none" w:sz="0" w:space="0" w:color="auto"/>
            <w:left w:val="none" w:sz="0" w:space="0" w:color="auto"/>
            <w:bottom w:val="none" w:sz="0" w:space="0" w:color="auto"/>
            <w:right w:val="none" w:sz="0" w:space="0" w:color="auto"/>
          </w:divBdr>
          <w:divsChild>
            <w:div w:id="1820343469">
              <w:marLeft w:val="0"/>
              <w:marRight w:val="0"/>
              <w:marTop w:val="0"/>
              <w:marBottom w:val="0"/>
              <w:divBdr>
                <w:top w:val="none" w:sz="0" w:space="0" w:color="auto"/>
                <w:left w:val="none" w:sz="0" w:space="0" w:color="auto"/>
                <w:bottom w:val="none" w:sz="0" w:space="0" w:color="auto"/>
                <w:right w:val="none" w:sz="0" w:space="0" w:color="auto"/>
              </w:divBdr>
              <w:divsChild>
                <w:div w:id="478042041">
                  <w:marLeft w:val="0"/>
                  <w:marRight w:val="0"/>
                  <w:marTop w:val="0"/>
                  <w:marBottom w:val="0"/>
                  <w:divBdr>
                    <w:top w:val="none" w:sz="0" w:space="0" w:color="auto"/>
                    <w:left w:val="none" w:sz="0" w:space="0" w:color="auto"/>
                    <w:bottom w:val="none" w:sz="0" w:space="0" w:color="auto"/>
                    <w:right w:val="none" w:sz="0" w:space="0" w:color="auto"/>
                  </w:divBdr>
                  <w:divsChild>
                    <w:div w:id="166987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658094">
      <w:bodyDiv w:val="1"/>
      <w:marLeft w:val="0"/>
      <w:marRight w:val="0"/>
      <w:marTop w:val="0"/>
      <w:marBottom w:val="0"/>
      <w:divBdr>
        <w:top w:val="none" w:sz="0" w:space="0" w:color="auto"/>
        <w:left w:val="none" w:sz="0" w:space="0" w:color="auto"/>
        <w:bottom w:val="none" w:sz="0" w:space="0" w:color="auto"/>
        <w:right w:val="none" w:sz="0" w:space="0" w:color="auto"/>
      </w:divBdr>
      <w:divsChild>
        <w:div w:id="1181820732">
          <w:marLeft w:val="0"/>
          <w:marRight w:val="0"/>
          <w:marTop w:val="0"/>
          <w:marBottom w:val="0"/>
          <w:divBdr>
            <w:top w:val="none" w:sz="0" w:space="0" w:color="auto"/>
            <w:left w:val="none" w:sz="0" w:space="0" w:color="auto"/>
            <w:bottom w:val="none" w:sz="0" w:space="0" w:color="auto"/>
            <w:right w:val="none" w:sz="0" w:space="0" w:color="auto"/>
          </w:divBdr>
        </w:div>
        <w:div w:id="1329823323">
          <w:marLeft w:val="0"/>
          <w:marRight w:val="0"/>
          <w:marTop w:val="0"/>
          <w:marBottom w:val="0"/>
          <w:divBdr>
            <w:top w:val="none" w:sz="0" w:space="0" w:color="auto"/>
            <w:left w:val="none" w:sz="0" w:space="0" w:color="auto"/>
            <w:bottom w:val="none" w:sz="0" w:space="0" w:color="auto"/>
            <w:right w:val="none" w:sz="0" w:space="0" w:color="auto"/>
          </w:divBdr>
        </w:div>
        <w:div w:id="661929528">
          <w:marLeft w:val="0"/>
          <w:marRight w:val="0"/>
          <w:marTop w:val="0"/>
          <w:marBottom w:val="0"/>
          <w:divBdr>
            <w:top w:val="none" w:sz="0" w:space="0" w:color="auto"/>
            <w:left w:val="none" w:sz="0" w:space="0" w:color="auto"/>
            <w:bottom w:val="none" w:sz="0" w:space="0" w:color="auto"/>
            <w:right w:val="none" w:sz="0" w:space="0" w:color="auto"/>
          </w:divBdr>
        </w:div>
        <w:div w:id="52697619">
          <w:marLeft w:val="0"/>
          <w:marRight w:val="0"/>
          <w:marTop w:val="0"/>
          <w:marBottom w:val="0"/>
          <w:divBdr>
            <w:top w:val="none" w:sz="0" w:space="0" w:color="auto"/>
            <w:left w:val="none" w:sz="0" w:space="0" w:color="auto"/>
            <w:bottom w:val="none" w:sz="0" w:space="0" w:color="auto"/>
            <w:right w:val="none" w:sz="0" w:space="0" w:color="auto"/>
          </w:divBdr>
        </w:div>
        <w:div w:id="1230775031">
          <w:marLeft w:val="0"/>
          <w:marRight w:val="0"/>
          <w:marTop w:val="0"/>
          <w:marBottom w:val="0"/>
          <w:divBdr>
            <w:top w:val="none" w:sz="0" w:space="0" w:color="auto"/>
            <w:left w:val="none" w:sz="0" w:space="0" w:color="auto"/>
            <w:bottom w:val="none" w:sz="0" w:space="0" w:color="auto"/>
            <w:right w:val="none" w:sz="0" w:space="0" w:color="auto"/>
          </w:divBdr>
        </w:div>
        <w:div w:id="2043556284">
          <w:marLeft w:val="0"/>
          <w:marRight w:val="0"/>
          <w:marTop w:val="0"/>
          <w:marBottom w:val="0"/>
          <w:divBdr>
            <w:top w:val="none" w:sz="0" w:space="0" w:color="auto"/>
            <w:left w:val="none" w:sz="0" w:space="0" w:color="auto"/>
            <w:bottom w:val="none" w:sz="0" w:space="0" w:color="auto"/>
            <w:right w:val="none" w:sz="0" w:space="0" w:color="auto"/>
          </w:divBdr>
        </w:div>
        <w:div w:id="273488366">
          <w:marLeft w:val="0"/>
          <w:marRight w:val="0"/>
          <w:marTop w:val="0"/>
          <w:marBottom w:val="0"/>
          <w:divBdr>
            <w:top w:val="none" w:sz="0" w:space="0" w:color="auto"/>
            <w:left w:val="none" w:sz="0" w:space="0" w:color="auto"/>
            <w:bottom w:val="none" w:sz="0" w:space="0" w:color="auto"/>
            <w:right w:val="none" w:sz="0" w:space="0" w:color="auto"/>
          </w:divBdr>
        </w:div>
        <w:div w:id="1089623548">
          <w:marLeft w:val="0"/>
          <w:marRight w:val="0"/>
          <w:marTop w:val="0"/>
          <w:marBottom w:val="0"/>
          <w:divBdr>
            <w:top w:val="none" w:sz="0" w:space="0" w:color="auto"/>
            <w:left w:val="none" w:sz="0" w:space="0" w:color="auto"/>
            <w:bottom w:val="none" w:sz="0" w:space="0" w:color="auto"/>
            <w:right w:val="none" w:sz="0" w:space="0" w:color="auto"/>
          </w:divBdr>
        </w:div>
        <w:div w:id="923342048">
          <w:marLeft w:val="0"/>
          <w:marRight w:val="0"/>
          <w:marTop w:val="0"/>
          <w:marBottom w:val="0"/>
          <w:divBdr>
            <w:top w:val="none" w:sz="0" w:space="0" w:color="auto"/>
            <w:left w:val="none" w:sz="0" w:space="0" w:color="auto"/>
            <w:bottom w:val="none" w:sz="0" w:space="0" w:color="auto"/>
            <w:right w:val="none" w:sz="0" w:space="0" w:color="auto"/>
          </w:divBdr>
        </w:div>
        <w:div w:id="1921520511">
          <w:marLeft w:val="0"/>
          <w:marRight w:val="0"/>
          <w:marTop w:val="0"/>
          <w:marBottom w:val="0"/>
          <w:divBdr>
            <w:top w:val="none" w:sz="0" w:space="0" w:color="auto"/>
            <w:left w:val="none" w:sz="0" w:space="0" w:color="auto"/>
            <w:bottom w:val="none" w:sz="0" w:space="0" w:color="auto"/>
            <w:right w:val="none" w:sz="0" w:space="0" w:color="auto"/>
          </w:divBdr>
        </w:div>
        <w:div w:id="26178904">
          <w:marLeft w:val="0"/>
          <w:marRight w:val="0"/>
          <w:marTop w:val="0"/>
          <w:marBottom w:val="0"/>
          <w:divBdr>
            <w:top w:val="none" w:sz="0" w:space="0" w:color="auto"/>
            <w:left w:val="none" w:sz="0" w:space="0" w:color="auto"/>
            <w:bottom w:val="none" w:sz="0" w:space="0" w:color="auto"/>
            <w:right w:val="none" w:sz="0" w:space="0" w:color="auto"/>
          </w:divBdr>
        </w:div>
        <w:div w:id="1852062882">
          <w:marLeft w:val="0"/>
          <w:marRight w:val="0"/>
          <w:marTop w:val="0"/>
          <w:marBottom w:val="0"/>
          <w:divBdr>
            <w:top w:val="none" w:sz="0" w:space="0" w:color="auto"/>
            <w:left w:val="none" w:sz="0" w:space="0" w:color="auto"/>
            <w:bottom w:val="none" w:sz="0" w:space="0" w:color="auto"/>
            <w:right w:val="none" w:sz="0" w:space="0" w:color="auto"/>
          </w:divBdr>
        </w:div>
        <w:div w:id="447625155">
          <w:marLeft w:val="0"/>
          <w:marRight w:val="0"/>
          <w:marTop w:val="0"/>
          <w:marBottom w:val="0"/>
          <w:divBdr>
            <w:top w:val="none" w:sz="0" w:space="0" w:color="auto"/>
            <w:left w:val="none" w:sz="0" w:space="0" w:color="auto"/>
            <w:bottom w:val="none" w:sz="0" w:space="0" w:color="auto"/>
            <w:right w:val="none" w:sz="0" w:space="0" w:color="auto"/>
          </w:divBdr>
        </w:div>
        <w:div w:id="1438407636">
          <w:marLeft w:val="0"/>
          <w:marRight w:val="0"/>
          <w:marTop w:val="0"/>
          <w:marBottom w:val="0"/>
          <w:divBdr>
            <w:top w:val="none" w:sz="0" w:space="0" w:color="auto"/>
            <w:left w:val="none" w:sz="0" w:space="0" w:color="auto"/>
            <w:bottom w:val="none" w:sz="0" w:space="0" w:color="auto"/>
            <w:right w:val="none" w:sz="0" w:space="0" w:color="auto"/>
          </w:divBdr>
        </w:div>
        <w:div w:id="1929607259">
          <w:marLeft w:val="0"/>
          <w:marRight w:val="0"/>
          <w:marTop w:val="0"/>
          <w:marBottom w:val="0"/>
          <w:divBdr>
            <w:top w:val="none" w:sz="0" w:space="0" w:color="auto"/>
            <w:left w:val="none" w:sz="0" w:space="0" w:color="auto"/>
            <w:bottom w:val="none" w:sz="0" w:space="0" w:color="auto"/>
            <w:right w:val="none" w:sz="0" w:space="0" w:color="auto"/>
          </w:divBdr>
        </w:div>
        <w:div w:id="1620454390">
          <w:marLeft w:val="0"/>
          <w:marRight w:val="0"/>
          <w:marTop w:val="0"/>
          <w:marBottom w:val="0"/>
          <w:divBdr>
            <w:top w:val="none" w:sz="0" w:space="0" w:color="auto"/>
            <w:left w:val="none" w:sz="0" w:space="0" w:color="auto"/>
            <w:bottom w:val="none" w:sz="0" w:space="0" w:color="auto"/>
            <w:right w:val="none" w:sz="0" w:space="0" w:color="auto"/>
          </w:divBdr>
        </w:div>
        <w:div w:id="582957894">
          <w:marLeft w:val="0"/>
          <w:marRight w:val="0"/>
          <w:marTop w:val="0"/>
          <w:marBottom w:val="0"/>
          <w:divBdr>
            <w:top w:val="none" w:sz="0" w:space="0" w:color="auto"/>
            <w:left w:val="none" w:sz="0" w:space="0" w:color="auto"/>
            <w:bottom w:val="none" w:sz="0" w:space="0" w:color="auto"/>
            <w:right w:val="none" w:sz="0" w:space="0" w:color="auto"/>
          </w:divBdr>
        </w:div>
      </w:divsChild>
    </w:div>
    <w:div w:id="125241358">
      <w:bodyDiv w:val="1"/>
      <w:marLeft w:val="0"/>
      <w:marRight w:val="0"/>
      <w:marTop w:val="0"/>
      <w:marBottom w:val="0"/>
      <w:divBdr>
        <w:top w:val="none" w:sz="0" w:space="0" w:color="auto"/>
        <w:left w:val="none" w:sz="0" w:space="0" w:color="auto"/>
        <w:bottom w:val="none" w:sz="0" w:space="0" w:color="auto"/>
        <w:right w:val="none" w:sz="0" w:space="0" w:color="auto"/>
      </w:divBdr>
    </w:div>
    <w:div w:id="233516005">
      <w:bodyDiv w:val="1"/>
      <w:marLeft w:val="0"/>
      <w:marRight w:val="0"/>
      <w:marTop w:val="0"/>
      <w:marBottom w:val="0"/>
      <w:divBdr>
        <w:top w:val="none" w:sz="0" w:space="0" w:color="auto"/>
        <w:left w:val="none" w:sz="0" w:space="0" w:color="auto"/>
        <w:bottom w:val="none" w:sz="0" w:space="0" w:color="auto"/>
        <w:right w:val="none" w:sz="0" w:space="0" w:color="auto"/>
      </w:divBdr>
      <w:divsChild>
        <w:div w:id="1957642068">
          <w:marLeft w:val="0"/>
          <w:marRight w:val="0"/>
          <w:marTop w:val="0"/>
          <w:marBottom w:val="0"/>
          <w:divBdr>
            <w:top w:val="none" w:sz="0" w:space="0" w:color="auto"/>
            <w:left w:val="none" w:sz="0" w:space="0" w:color="auto"/>
            <w:bottom w:val="none" w:sz="0" w:space="0" w:color="auto"/>
            <w:right w:val="none" w:sz="0" w:space="0" w:color="auto"/>
          </w:divBdr>
        </w:div>
        <w:div w:id="539512754">
          <w:marLeft w:val="0"/>
          <w:marRight w:val="0"/>
          <w:marTop w:val="0"/>
          <w:marBottom w:val="0"/>
          <w:divBdr>
            <w:top w:val="none" w:sz="0" w:space="0" w:color="auto"/>
            <w:left w:val="none" w:sz="0" w:space="0" w:color="auto"/>
            <w:bottom w:val="none" w:sz="0" w:space="0" w:color="auto"/>
            <w:right w:val="none" w:sz="0" w:space="0" w:color="auto"/>
          </w:divBdr>
        </w:div>
        <w:div w:id="2116559282">
          <w:marLeft w:val="0"/>
          <w:marRight w:val="0"/>
          <w:marTop w:val="0"/>
          <w:marBottom w:val="0"/>
          <w:divBdr>
            <w:top w:val="none" w:sz="0" w:space="0" w:color="auto"/>
            <w:left w:val="none" w:sz="0" w:space="0" w:color="auto"/>
            <w:bottom w:val="none" w:sz="0" w:space="0" w:color="auto"/>
            <w:right w:val="none" w:sz="0" w:space="0" w:color="auto"/>
          </w:divBdr>
        </w:div>
        <w:div w:id="693657577">
          <w:marLeft w:val="0"/>
          <w:marRight w:val="0"/>
          <w:marTop w:val="0"/>
          <w:marBottom w:val="0"/>
          <w:divBdr>
            <w:top w:val="none" w:sz="0" w:space="0" w:color="auto"/>
            <w:left w:val="none" w:sz="0" w:space="0" w:color="auto"/>
            <w:bottom w:val="none" w:sz="0" w:space="0" w:color="auto"/>
            <w:right w:val="none" w:sz="0" w:space="0" w:color="auto"/>
          </w:divBdr>
        </w:div>
        <w:div w:id="472407779">
          <w:marLeft w:val="0"/>
          <w:marRight w:val="0"/>
          <w:marTop w:val="0"/>
          <w:marBottom w:val="0"/>
          <w:divBdr>
            <w:top w:val="none" w:sz="0" w:space="0" w:color="auto"/>
            <w:left w:val="none" w:sz="0" w:space="0" w:color="auto"/>
            <w:bottom w:val="none" w:sz="0" w:space="0" w:color="auto"/>
            <w:right w:val="none" w:sz="0" w:space="0" w:color="auto"/>
          </w:divBdr>
        </w:div>
        <w:div w:id="1369379651">
          <w:marLeft w:val="0"/>
          <w:marRight w:val="0"/>
          <w:marTop w:val="0"/>
          <w:marBottom w:val="0"/>
          <w:divBdr>
            <w:top w:val="none" w:sz="0" w:space="0" w:color="auto"/>
            <w:left w:val="none" w:sz="0" w:space="0" w:color="auto"/>
            <w:bottom w:val="none" w:sz="0" w:space="0" w:color="auto"/>
            <w:right w:val="none" w:sz="0" w:space="0" w:color="auto"/>
          </w:divBdr>
        </w:div>
        <w:div w:id="52585310">
          <w:marLeft w:val="0"/>
          <w:marRight w:val="0"/>
          <w:marTop w:val="0"/>
          <w:marBottom w:val="0"/>
          <w:divBdr>
            <w:top w:val="none" w:sz="0" w:space="0" w:color="auto"/>
            <w:left w:val="none" w:sz="0" w:space="0" w:color="auto"/>
            <w:bottom w:val="none" w:sz="0" w:space="0" w:color="auto"/>
            <w:right w:val="none" w:sz="0" w:space="0" w:color="auto"/>
          </w:divBdr>
        </w:div>
        <w:div w:id="898711301">
          <w:marLeft w:val="0"/>
          <w:marRight w:val="0"/>
          <w:marTop w:val="0"/>
          <w:marBottom w:val="0"/>
          <w:divBdr>
            <w:top w:val="none" w:sz="0" w:space="0" w:color="auto"/>
            <w:left w:val="none" w:sz="0" w:space="0" w:color="auto"/>
            <w:bottom w:val="none" w:sz="0" w:space="0" w:color="auto"/>
            <w:right w:val="none" w:sz="0" w:space="0" w:color="auto"/>
          </w:divBdr>
        </w:div>
        <w:div w:id="738020173">
          <w:marLeft w:val="0"/>
          <w:marRight w:val="0"/>
          <w:marTop w:val="0"/>
          <w:marBottom w:val="0"/>
          <w:divBdr>
            <w:top w:val="none" w:sz="0" w:space="0" w:color="auto"/>
            <w:left w:val="none" w:sz="0" w:space="0" w:color="auto"/>
            <w:bottom w:val="none" w:sz="0" w:space="0" w:color="auto"/>
            <w:right w:val="none" w:sz="0" w:space="0" w:color="auto"/>
          </w:divBdr>
        </w:div>
        <w:div w:id="1419710917">
          <w:marLeft w:val="0"/>
          <w:marRight w:val="0"/>
          <w:marTop w:val="0"/>
          <w:marBottom w:val="0"/>
          <w:divBdr>
            <w:top w:val="none" w:sz="0" w:space="0" w:color="auto"/>
            <w:left w:val="none" w:sz="0" w:space="0" w:color="auto"/>
            <w:bottom w:val="none" w:sz="0" w:space="0" w:color="auto"/>
            <w:right w:val="none" w:sz="0" w:space="0" w:color="auto"/>
          </w:divBdr>
        </w:div>
        <w:div w:id="944770849">
          <w:marLeft w:val="0"/>
          <w:marRight w:val="0"/>
          <w:marTop w:val="0"/>
          <w:marBottom w:val="0"/>
          <w:divBdr>
            <w:top w:val="none" w:sz="0" w:space="0" w:color="auto"/>
            <w:left w:val="none" w:sz="0" w:space="0" w:color="auto"/>
            <w:bottom w:val="none" w:sz="0" w:space="0" w:color="auto"/>
            <w:right w:val="none" w:sz="0" w:space="0" w:color="auto"/>
          </w:divBdr>
        </w:div>
        <w:div w:id="1614554269">
          <w:marLeft w:val="0"/>
          <w:marRight w:val="0"/>
          <w:marTop w:val="0"/>
          <w:marBottom w:val="0"/>
          <w:divBdr>
            <w:top w:val="none" w:sz="0" w:space="0" w:color="auto"/>
            <w:left w:val="none" w:sz="0" w:space="0" w:color="auto"/>
            <w:bottom w:val="none" w:sz="0" w:space="0" w:color="auto"/>
            <w:right w:val="none" w:sz="0" w:space="0" w:color="auto"/>
          </w:divBdr>
        </w:div>
        <w:div w:id="793256722">
          <w:marLeft w:val="0"/>
          <w:marRight w:val="0"/>
          <w:marTop w:val="0"/>
          <w:marBottom w:val="0"/>
          <w:divBdr>
            <w:top w:val="none" w:sz="0" w:space="0" w:color="auto"/>
            <w:left w:val="none" w:sz="0" w:space="0" w:color="auto"/>
            <w:bottom w:val="none" w:sz="0" w:space="0" w:color="auto"/>
            <w:right w:val="none" w:sz="0" w:space="0" w:color="auto"/>
          </w:divBdr>
        </w:div>
      </w:divsChild>
    </w:div>
    <w:div w:id="277569805">
      <w:bodyDiv w:val="1"/>
      <w:marLeft w:val="0"/>
      <w:marRight w:val="0"/>
      <w:marTop w:val="0"/>
      <w:marBottom w:val="0"/>
      <w:divBdr>
        <w:top w:val="none" w:sz="0" w:space="0" w:color="auto"/>
        <w:left w:val="none" w:sz="0" w:space="0" w:color="auto"/>
        <w:bottom w:val="none" w:sz="0" w:space="0" w:color="auto"/>
        <w:right w:val="none" w:sz="0" w:space="0" w:color="auto"/>
      </w:divBdr>
      <w:divsChild>
        <w:div w:id="1416896990">
          <w:marLeft w:val="0"/>
          <w:marRight w:val="0"/>
          <w:marTop w:val="0"/>
          <w:marBottom w:val="0"/>
          <w:divBdr>
            <w:top w:val="none" w:sz="0" w:space="0" w:color="auto"/>
            <w:left w:val="none" w:sz="0" w:space="0" w:color="auto"/>
            <w:bottom w:val="none" w:sz="0" w:space="0" w:color="auto"/>
            <w:right w:val="none" w:sz="0" w:space="0" w:color="auto"/>
          </w:divBdr>
        </w:div>
        <w:div w:id="1658918986">
          <w:marLeft w:val="0"/>
          <w:marRight w:val="0"/>
          <w:marTop w:val="0"/>
          <w:marBottom w:val="0"/>
          <w:divBdr>
            <w:top w:val="none" w:sz="0" w:space="0" w:color="auto"/>
            <w:left w:val="none" w:sz="0" w:space="0" w:color="auto"/>
            <w:bottom w:val="none" w:sz="0" w:space="0" w:color="auto"/>
            <w:right w:val="none" w:sz="0" w:space="0" w:color="auto"/>
          </w:divBdr>
        </w:div>
        <w:div w:id="1459450908">
          <w:marLeft w:val="0"/>
          <w:marRight w:val="0"/>
          <w:marTop w:val="0"/>
          <w:marBottom w:val="0"/>
          <w:divBdr>
            <w:top w:val="none" w:sz="0" w:space="0" w:color="auto"/>
            <w:left w:val="none" w:sz="0" w:space="0" w:color="auto"/>
            <w:bottom w:val="none" w:sz="0" w:space="0" w:color="auto"/>
            <w:right w:val="none" w:sz="0" w:space="0" w:color="auto"/>
          </w:divBdr>
        </w:div>
        <w:div w:id="140731993">
          <w:marLeft w:val="0"/>
          <w:marRight w:val="0"/>
          <w:marTop w:val="0"/>
          <w:marBottom w:val="0"/>
          <w:divBdr>
            <w:top w:val="none" w:sz="0" w:space="0" w:color="auto"/>
            <w:left w:val="none" w:sz="0" w:space="0" w:color="auto"/>
            <w:bottom w:val="none" w:sz="0" w:space="0" w:color="auto"/>
            <w:right w:val="none" w:sz="0" w:space="0" w:color="auto"/>
          </w:divBdr>
        </w:div>
        <w:div w:id="463157337">
          <w:marLeft w:val="0"/>
          <w:marRight w:val="0"/>
          <w:marTop w:val="0"/>
          <w:marBottom w:val="0"/>
          <w:divBdr>
            <w:top w:val="none" w:sz="0" w:space="0" w:color="auto"/>
            <w:left w:val="none" w:sz="0" w:space="0" w:color="auto"/>
            <w:bottom w:val="none" w:sz="0" w:space="0" w:color="auto"/>
            <w:right w:val="none" w:sz="0" w:space="0" w:color="auto"/>
          </w:divBdr>
        </w:div>
        <w:div w:id="1245533991">
          <w:marLeft w:val="0"/>
          <w:marRight w:val="0"/>
          <w:marTop w:val="0"/>
          <w:marBottom w:val="0"/>
          <w:divBdr>
            <w:top w:val="none" w:sz="0" w:space="0" w:color="auto"/>
            <w:left w:val="none" w:sz="0" w:space="0" w:color="auto"/>
            <w:bottom w:val="none" w:sz="0" w:space="0" w:color="auto"/>
            <w:right w:val="none" w:sz="0" w:space="0" w:color="auto"/>
          </w:divBdr>
        </w:div>
        <w:div w:id="604075656">
          <w:marLeft w:val="0"/>
          <w:marRight w:val="0"/>
          <w:marTop w:val="0"/>
          <w:marBottom w:val="0"/>
          <w:divBdr>
            <w:top w:val="none" w:sz="0" w:space="0" w:color="auto"/>
            <w:left w:val="none" w:sz="0" w:space="0" w:color="auto"/>
            <w:bottom w:val="none" w:sz="0" w:space="0" w:color="auto"/>
            <w:right w:val="none" w:sz="0" w:space="0" w:color="auto"/>
          </w:divBdr>
        </w:div>
        <w:div w:id="1756973963">
          <w:marLeft w:val="0"/>
          <w:marRight w:val="0"/>
          <w:marTop w:val="0"/>
          <w:marBottom w:val="0"/>
          <w:divBdr>
            <w:top w:val="none" w:sz="0" w:space="0" w:color="auto"/>
            <w:left w:val="none" w:sz="0" w:space="0" w:color="auto"/>
            <w:bottom w:val="none" w:sz="0" w:space="0" w:color="auto"/>
            <w:right w:val="none" w:sz="0" w:space="0" w:color="auto"/>
          </w:divBdr>
        </w:div>
        <w:div w:id="797407299">
          <w:marLeft w:val="0"/>
          <w:marRight w:val="0"/>
          <w:marTop w:val="0"/>
          <w:marBottom w:val="0"/>
          <w:divBdr>
            <w:top w:val="none" w:sz="0" w:space="0" w:color="auto"/>
            <w:left w:val="none" w:sz="0" w:space="0" w:color="auto"/>
            <w:bottom w:val="none" w:sz="0" w:space="0" w:color="auto"/>
            <w:right w:val="none" w:sz="0" w:space="0" w:color="auto"/>
          </w:divBdr>
        </w:div>
        <w:div w:id="1242713205">
          <w:marLeft w:val="0"/>
          <w:marRight w:val="0"/>
          <w:marTop w:val="0"/>
          <w:marBottom w:val="0"/>
          <w:divBdr>
            <w:top w:val="none" w:sz="0" w:space="0" w:color="auto"/>
            <w:left w:val="none" w:sz="0" w:space="0" w:color="auto"/>
            <w:bottom w:val="none" w:sz="0" w:space="0" w:color="auto"/>
            <w:right w:val="none" w:sz="0" w:space="0" w:color="auto"/>
          </w:divBdr>
        </w:div>
        <w:div w:id="1135948105">
          <w:marLeft w:val="0"/>
          <w:marRight w:val="0"/>
          <w:marTop w:val="0"/>
          <w:marBottom w:val="0"/>
          <w:divBdr>
            <w:top w:val="none" w:sz="0" w:space="0" w:color="auto"/>
            <w:left w:val="none" w:sz="0" w:space="0" w:color="auto"/>
            <w:bottom w:val="none" w:sz="0" w:space="0" w:color="auto"/>
            <w:right w:val="none" w:sz="0" w:space="0" w:color="auto"/>
          </w:divBdr>
        </w:div>
        <w:div w:id="1221165021">
          <w:marLeft w:val="0"/>
          <w:marRight w:val="0"/>
          <w:marTop w:val="0"/>
          <w:marBottom w:val="0"/>
          <w:divBdr>
            <w:top w:val="none" w:sz="0" w:space="0" w:color="auto"/>
            <w:left w:val="none" w:sz="0" w:space="0" w:color="auto"/>
            <w:bottom w:val="none" w:sz="0" w:space="0" w:color="auto"/>
            <w:right w:val="none" w:sz="0" w:space="0" w:color="auto"/>
          </w:divBdr>
        </w:div>
        <w:div w:id="2124692897">
          <w:marLeft w:val="0"/>
          <w:marRight w:val="0"/>
          <w:marTop w:val="0"/>
          <w:marBottom w:val="0"/>
          <w:divBdr>
            <w:top w:val="none" w:sz="0" w:space="0" w:color="auto"/>
            <w:left w:val="none" w:sz="0" w:space="0" w:color="auto"/>
            <w:bottom w:val="none" w:sz="0" w:space="0" w:color="auto"/>
            <w:right w:val="none" w:sz="0" w:space="0" w:color="auto"/>
          </w:divBdr>
        </w:div>
        <w:div w:id="1855728545">
          <w:marLeft w:val="0"/>
          <w:marRight w:val="0"/>
          <w:marTop w:val="0"/>
          <w:marBottom w:val="0"/>
          <w:divBdr>
            <w:top w:val="none" w:sz="0" w:space="0" w:color="auto"/>
            <w:left w:val="none" w:sz="0" w:space="0" w:color="auto"/>
            <w:bottom w:val="none" w:sz="0" w:space="0" w:color="auto"/>
            <w:right w:val="none" w:sz="0" w:space="0" w:color="auto"/>
          </w:divBdr>
        </w:div>
        <w:div w:id="1288390478">
          <w:marLeft w:val="0"/>
          <w:marRight w:val="0"/>
          <w:marTop w:val="0"/>
          <w:marBottom w:val="0"/>
          <w:divBdr>
            <w:top w:val="none" w:sz="0" w:space="0" w:color="auto"/>
            <w:left w:val="none" w:sz="0" w:space="0" w:color="auto"/>
            <w:bottom w:val="none" w:sz="0" w:space="0" w:color="auto"/>
            <w:right w:val="none" w:sz="0" w:space="0" w:color="auto"/>
          </w:divBdr>
        </w:div>
        <w:div w:id="213350274">
          <w:marLeft w:val="0"/>
          <w:marRight w:val="0"/>
          <w:marTop w:val="0"/>
          <w:marBottom w:val="0"/>
          <w:divBdr>
            <w:top w:val="none" w:sz="0" w:space="0" w:color="auto"/>
            <w:left w:val="none" w:sz="0" w:space="0" w:color="auto"/>
            <w:bottom w:val="none" w:sz="0" w:space="0" w:color="auto"/>
            <w:right w:val="none" w:sz="0" w:space="0" w:color="auto"/>
          </w:divBdr>
        </w:div>
        <w:div w:id="1381902639">
          <w:marLeft w:val="0"/>
          <w:marRight w:val="0"/>
          <w:marTop w:val="0"/>
          <w:marBottom w:val="0"/>
          <w:divBdr>
            <w:top w:val="none" w:sz="0" w:space="0" w:color="auto"/>
            <w:left w:val="none" w:sz="0" w:space="0" w:color="auto"/>
            <w:bottom w:val="none" w:sz="0" w:space="0" w:color="auto"/>
            <w:right w:val="none" w:sz="0" w:space="0" w:color="auto"/>
          </w:divBdr>
        </w:div>
        <w:div w:id="2006930173">
          <w:marLeft w:val="0"/>
          <w:marRight w:val="0"/>
          <w:marTop w:val="0"/>
          <w:marBottom w:val="0"/>
          <w:divBdr>
            <w:top w:val="none" w:sz="0" w:space="0" w:color="auto"/>
            <w:left w:val="none" w:sz="0" w:space="0" w:color="auto"/>
            <w:bottom w:val="none" w:sz="0" w:space="0" w:color="auto"/>
            <w:right w:val="none" w:sz="0" w:space="0" w:color="auto"/>
          </w:divBdr>
        </w:div>
        <w:div w:id="1504856409">
          <w:marLeft w:val="0"/>
          <w:marRight w:val="0"/>
          <w:marTop w:val="0"/>
          <w:marBottom w:val="0"/>
          <w:divBdr>
            <w:top w:val="none" w:sz="0" w:space="0" w:color="auto"/>
            <w:left w:val="none" w:sz="0" w:space="0" w:color="auto"/>
            <w:bottom w:val="none" w:sz="0" w:space="0" w:color="auto"/>
            <w:right w:val="none" w:sz="0" w:space="0" w:color="auto"/>
          </w:divBdr>
        </w:div>
        <w:div w:id="1870027110">
          <w:marLeft w:val="0"/>
          <w:marRight w:val="0"/>
          <w:marTop w:val="0"/>
          <w:marBottom w:val="0"/>
          <w:divBdr>
            <w:top w:val="none" w:sz="0" w:space="0" w:color="auto"/>
            <w:left w:val="none" w:sz="0" w:space="0" w:color="auto"/>
            <w:bottom w:val="none" w:sz="0" w:space="0" w:color="auto"/>
            <w:right w:val="none" w:sz="0" w:space="0" w:color="auto"/>
          </w:divBdr>
        </w:div>
        <w:div w:id="1186792337">
          <w:marLeft w:val="0"/>
          <w:marRight w:val="0"/>
          <w:marTop w:val="0"/>
          <w:marBottom w:val="0"/>
          <w:divBdr>
            <w:top w:val="none" w:sz="0" w:space="0" w:color="auto"/>
            <w:left w:val="none" w:sz="0" w:space="0" w:color="auto"/>
            <w:bottom w:val="none" w:sz="0" w:space="0" w:color="auto"/>
            <w:right w:val="none" w:sz="0" w:space="0" w:color="auto"/>
          </w:divBdr>
        </w:div>
        <w:div w:id="1725056194">
          <w:marLeft w:val="0"/>
          <w:marRight w:val="0"/>
          <w:marTop w:val="0"/>
          <w:marBottom w:val="0"/>
          <w:divBdr>
            <w:top w:val="none" w:sz="0" w:space="0" w:color="auto"/>
            <w:left w:val="none" w:sz="0" w:space="0" w:color="auto"/>
            <w:bottom w:val="none" w:sz="0" w:space="0" w:color="auto"/>
            <w:right w:val="none" w:sz="0" w:space="0" w:color="auto"/>
          </w:divBdr>
        </w:div>
        <w:div w:id="1780493276">
          <w:marLeft w:val="0"/>
          <w:marRight w:val="0"/>
          <w:marTop w:val="0"/>
          <w:marBottom w:val="0"/>
          <w:divBdr>
            <w:top w:val="none" w:sz="0" w:space="0" w:color="auto"/>
            <w:left w:val="none" w:sz="0" w:space="0" w:color="auto"/>
            <w:bottom w:val="none" w:sz="0" w:space="0" w:color="auto"/>
            <w:right w:val="none" w:sz="0" w:space="0" w:color="auto"/>
          </w:divBdr>
        </w:div>
        <w:div w:id="789788143">
          <w:marLeft w:val="0"/>
          <w:marRight w:val="0"/>
          <w:marTop w:val="0"/>
          <w:marBottom w:val="0"/>
          <w:divBdr>
            <w:top w:val="none" w:sz="0" w:space="0" w:color="auto"/>
            <w:left w:val="none" w:sz="0" w:space="0" w:color="auto"/>
            <w:bottom w:val="none" w:sz="0" w:space="0" w:color="auto"/>
            <w:right w:val="none" w:sz="0" w:space="0" w:color="auto"/>
          </w:divBdr>
        </w:div>
        <w:div w:id="873621012">
          <w:marLeft w:val="0"/>
          <w:marRight w:val="0"/>
          <w:marTop w:val="0"/>
          <w:marBottom w:val="0"/>
          <w:divBdr>
            <w:top w:val="none" w:sz="0" w:space="0" w:color="auto"/>
            <w:left w:val="none" w:sz="0" w:space="0" w:color="auto"/>
            <w:bottom w:val="none" w:sz="0" w:space="0" w:color="auto"/>
            <w:right w:val="none" w:sz="0" w:space="0" w:color="auto"/>
          </w:divBdr>
        </w:div>
        <w:div w:id="1138448563">
          <w:marLeft w:val="0"/>
          <w:marRight w:val="0"/>
          <w:marTop w:val="0"/>
          <w:marBottom w:val="0"/>
          <w:divBdr>
            <w:top w:val="none" w:sz="0" w:space="0" w:color="auto"/>
            <w:left w:val="none" w:sz="0" w:space="0" w:color="auto"/>
            <w:bottom w:val="none" w:sz="0" w:space="0" w:color="auto"/>
            <w:right w:val="none" w:sz="0" w:space="0" w:color="auto"/>
          </w:divBdr>
        </w:div>
        <w:div w:id="1646276934">
          <w:marLeft w:val="0"/>
          <w:marRight w:val="0"/>
          <w:marTop w:val="0"/>
          <w:marBottom w:val="0"/>
          <w:divBdr>
            <w:top w:val="none" w:sz="0" w:space="0" w:color="auto"/>
            <w:left w:val="none" w:sz="0" w:space="0" w:color="auto"/>
            <w:bottom w:val="none" w:sz="0" w:space="0" w:color="auto"/>
            <w:right w:val="none" w:sz="0" w:space="0" w:color="auto"/>
          </w:divBdr>
        </w:div>
        <w:div w:id="1949391042">
          <w:marLeft w:val="0"/>
          <w:marRight w:val="0"/>
          <w:marTop w:val="0"/>
          <w:marBottom w:val="0"/>
          <w:divBdr>
            <w:top w:val="none" w:sz="0" w:space="0" w:color="auto"/>
            <w:left w:val="none" w:sz="0" w:space="0" w:color="auto"/>
            <w:bottom w:val="none" w:sz="0" w:space="0" w:color="auto"/>
            <w:right w:val="none" w:sz="0" w:space="0" w:color="auto"/>
          </w:divBdr>
        </w:div>
        <w:div w:id="983049734">
          <w:marLeft w:val="0"/>
          <w:marRight w:val="0"/>
          <w:marTop w:val="0"/>
          <w:marBottom w:val="0"/>
          <w:divBdr>
            <w:top w:val="none" w:sz="0" w:space="0" w:color="auto"/>
            <w:left w:val="none" w:sz="0" w:space="0" w:color="auto"/>
            <w:bottom w:val="none" w:sz="0" w:space="0" w:color="auto"/>
            <w:right w:val="none" w:sz="0" w:space="0" w:color="auto"/>
          </w:divBdr>
        </w:div>
        <w:div w:id="1220901265">
          <w:marLeft w:val="0"/>
          <w:marRight w:val="0"/>
          <w:marTop w:val="0"/>
          <w:marBottom w:val="0"/>
          <w:divBdr>
            <w:top w:val="none" w:sz="0" w:space="0" w:color="auto"/>
            <w:left w:val="none" w:sz="0" w:space="0" w:color="auto"/>
            <w:bottom w:val="none" w:sz="0" w:space="0" w:color="auto"/>
            <w:right w:val="none" w:sz="0" w:space="0" w:color="auto"/>
          </w:divBdr>
        </w:div>
        <w:div w:id="1708525279">
          <w:marLeft w:val="0"/>
          <w:marRight w:val="0"/>
          <w:marTop w:val="0"/>
          <w:marBottom w:val="0"/>
          <w:divBdr>
            <w:top w:val="none" w:sz="0" w:space="0" w:color="auto"/>
            <w:left w:val="none" w:sz="0" w:space="0" w:color="auto"/>
            <w:bottom w:val="none" w:sz="0" w:space="0" w:color="auto"/>
            <w:right w:val="none" w:sz="0" w:space="0" w:color="auto"/>
          </w:divBdr>
        </w:div>
        <w:div w:id="620915440">
          <w:marLeft w:val="0"/>
          <w:marRight w:val="0"/>
          <w:marTop w:val="0"/>
          <w:marBottom w:val="0"/>
          <w:divBdr>
            <w:top w:val="none" w:sz="0" w:space="0" w:color="auto"/>
            <w:left w:val="none" w:sz="0" w:space="0" w:color="auto"/>
            <w:bottom w:val="none" w:sz="0" w:space="0" w:color="auto"/>
            <w:right w:val="none" w:sz="0" w:space="0" w:color="auto"/>
          </w:divBdr>
        </w:div>
        <w:div w:id="440417990">
          <w:marLeft w:val="0"/>
          <w:marRight w:val="0"/>
          <w:marTop w:val="0"/>
          <w:marBottom w:val="0"/>
          <w:divBdr>
            <w:top w:val="none" w:sz="0" w:space="0" w:color="auto"/>
            <w:left w:val="none" w:sz="0" w:space="0" w:color="auto"/>
            <w:bottom w:val="none" w:sz="0" w:space="0" w:color="auto"/>
            <w:right w:val="none" w:sz="0" w:space="0" w:color="auto"/>
          </w:divBdr>
        </w:div>
        <w:div w:id="1445927169">
          <w:marLeft w:val="0"/>
          <w:marRight w:val="0"/>
          <w:marTop w:val="0"/>
          <w:marBottom w:val="0"/>
          <w:divBdr>
            <w:top w:val="none" w:sz="0" w:space="0" w:color="auto"/>
            <w:left w:val="none" w:sz="0" w:space="0" w:color="auto"/>
            <w:bottom w:val="none" w:sz="0" w:space="0" w:color="auto"/>
            <w:right w:val="none" w:sz="0" w:space="0" w:color="auto"/>
          </w:divBdr>
        </w:div>
        <w:div w:id="1233395071">
          <w:marLeft w:val="0"/>
          <w:marRight w:val="0"/>
          <w:marTop w:val="0"/>
          <w:marBottom w:val="0"/>
          <w:divBdr>
            <w:top w:val="none" w:sz="0" w:space="0" w:color="auto"/>
            <w:left w:val="none" w:sz="0" w:space="0" w:color="auto"/>
            <w:bottom w:val="none" w:sz="0" w:space="0" w:color="auto"/>
            <w:right w:val="none" w:sz="0" w:space="0" w:color="auto"/>
          </w:divBdr>
        </w:div>
        <w:div w:id="784925172">
          <w:marLeft w:val="0"/>
          <w:marRight w:val="0"/>
          <w:marTop w:val="0"/>
          <w:marBottom w:val="0"/>
          <w:divBdr>
            <w:top w:val="none" w:sz="0" w:space="0" w:color="auto"/>
            <w:left w:val="none" w:sz="0" w:space="0" w:color="auto"/>
            <w:bottom w:val="none" w:sz="0" w:space="0" w:color="auto"/>
            <w:right w:val="none" w:sz="0" w:space="0" w:color="auto"/>
          </w:divBdr>
        </w:div>
        <w:div w:id="1904831283">
          <w:marLeft w:val="0"/>
          <w:marRight w:val="0"/>
          <w:marTop w:val="0"/>
          <w:marBottom w:val="0"/>
          <w:divBdr>
            <w:top w:val="none" w:sz="0" w:space="0" w:color="auto"/>
            <w:left w:val="none" w:sz="0" w:space="0" w:color="auto"/>
            <w:bottom w:val="none" w:sz="0" w:space="0" w:color="auto"/>
            <w:right w:val="none" w:sz="0" w:space="0" w:color="auto"/>
          </w:divBdr>
        </w:div>
        <w:div w:id="1006322935">
          <w:marLeft w:val="0"/>
          <w:marRight w:val="0"/>
          <w:marTop w:val="0"/>
          <w:marBottom w:val="0"/>
          <w:divBdr>
            <w:top w:val="none" w:sz="0" w:space="0" w:color="auto"/>
            <w:left w:val="none" w:sz="0" w:space="0" w:color="auto"/>
            <w:bottom w:val="none" w:sz="0" w:space="0" w:color="auto"/>
            <w:right w:val="none" w:sz="0" w:space="0" w:color="auto"/>
          </w:divBdr>
        </w:div>
        <w:div w:id="1523133791">
          <w:marLeft w:val="0"/>
          <w:marRight w:val="0"/>
          <w:marTop w:val="0"/>
          <w:marBottom w:val="0"/>
          <w:divBdr>
            <w:top w:val="none" w:sz="0" w:space="0" w:color="auto"/>
            <w:left w:val="none" w:sz="0" w:space="0" w:color="auto"/>
            <w:bottom w:val="none" w:sz="0" w:space="0" w:color="auto"/>
            <w:right w:val="none" w:sz="0" w:space="0" w:color="auto"/>
          </w:divBdr>
        </w:div>
        <w:div w:id="644579215">
          <w:marLeft w:val="0"/>
          <w:marRight w:val="0"/>
          <w:marTop w:val="0"/>
          <w:marBottom w:val="0"/>
          <w:divBdr>
            <w:top w:val="none" w:sz="0" w:space="0" w:color="auto"/>
            <w:left w:val="none" w:sz="0" w:space="0" w:color="auto"/>
            <w:bottom w:val="none" w:sz="0" w:space="0" w:color="auto"/>
            <w:right w:val="none" w:sz="0" w:space="0" w:color="auto"/>
          </w:divBdr>
        </w:div>
        <w:div w:id="1242761269">
          <w:marLeft w:val="0"/>
          <w:marRight w:val="0"/>
          <w:marTop w:val="0"/>
          <w:marBottom w:val="0"/>
          <w:divBdr>
            <w:top w:val="none" w:sz="0" w:space="0" w:color="auto"/>
            <w:left w:val="none" w:sz="0" w:space="0" w:color="auto"/>
            <w:bottom w:val="none" w:sz="0" w:space="0" w:color="auto"/>
            <w:right w:val="none" w:sz="0" w:space="0" w:color="auto"/>
          </w:divBdr>
        </w:div>
        <w:div w:id="1976258401">
          <w:marLeft w:val="0"/>
          <w:marRight w:val="0"/>
          <w:marTop w:val="0"/>
          <w:marBottom w:val="0"/>
          <w:divBdr>
            <w:top w:val="none" w:sz="0" w:space="0" w:color="auto"/>
            <w:left w:val="none" w:sz="0" w:space="0" w:color="auto"/>
            <w:bottom w:val="none" w:sz="0" w:space="0" w:color="auto"/>
            <w:right w:val="none" w:sz="0" w:space="0" w:color="auto"/>
          </w:divBdr>
        </w:div>
        <w:div w:id="1247616991">
          <w:marLeft w:val="0"/>
          <w:marRight w:val="0"/>
          <w:marTop w:val="0"/>
          <w:marBottom w:val="0"/>
          <w:divBdr>
            <w:top w:val="none" w:sz="0" w:space="0" w:color="auto"/>
            <w:left w:val="none" w:sz="0" w:space="0" w:color="auto"/>
            <w:bottom w:val="none" w:sz="0" w:space="0" w:color="auto"/>
            <w:right w:val="none" w:sz="0" w:space="0" w:color="auto"/>
          </w:divBdr>
        </w:div>
        <w:div w:id="1312757430">
          <w:marLeft w:val="0"/>
          <w:marRight w:val="0"/>
          <w:marTop w:val="0"/>
          <w:marBottom w:val="0"/>
          <w:divBdr>
            <w:top w:val="none" w:sz="0" w:space="0" w:color="auto"/>
            <w:left w:val="none" w:sz="0" w:space="0" w:color="auto"/>
            <w:bottom w:val="none" w:sz="0" w:space="0" w:color="auto"/>
            <w:right w:val="none" w:sz="0" w:space="0" w:color="auto"/>
          </w:divBdr>
        </w:div>
        <w:div w:id="1656297894">
          <w:marLeft w:val="0"/>
          <w:marRight w:val="0"/>
          <w:marTop w:val="0"/>
          <w:marBottom w:val="0"/>
          <w:divBdr>
            <w:top w:val="none" w:sz="0" w:space="0" w:color="auto"/>
            <w:left w:val="none" w:sz="0" w:space="0" w:color="auto"/>
            <w:bottom w:val="none" w:sz="0" w:space="0" w:color="auto"/>
            <w:right w:val="none" w:sz="0" w:space="0" w:color="auto"/>
          </w:divBdr>
        </w:div>
      </w:divsChild>
    </w:div>
    <w:div w:id="348336228">
      <w:bodyDiv w:val="1"/>
      <w:marLeft w:val="0"/>
      <w:marRight w:val="0"/>
      <w:marTop w:val="0"/>
      <w:marBottom w:val="0"/>
      <w:divBdr>
        <w:top w:val="none" w:sz="0" w:space="0" w:color="auto"/>
        <w:left w:val="none" w:sz="0" w:space="0" w:color="auto"/>
        <w:bottom w:val="none" w:sz="0" w:space="0" w:color="auto"/>
        <w:right w:val="none" w:sz="0" w:space="0" w:color="auto"/>
      </w:divBdr>
    </w:div>
    <w:div w:id="377239451">
      <w:bodyDiv w:val="1"/>
      <w:marLeft w:val="0"/>
      <w:marRight w:val="0"/>
      <w:marTop w:val="0"/>
      <w:marBottom w:val="0"/>
      <w:divBdr>
        <w:top w:val="none" w:sz="0" w:space="0" w:color="auto"/>
        <w:left w:val="none" w:sz="0" w:space="0" w:color="auto"/>
        <w:bottom w:val="none" w:sz="0" w:space="0" w:color="auto"/>
        <w:right w:val="none" w:sz="0" w:space="0" w:color="auto"/>
      </w:divBdr>
    </w:div>
    <w:div w:id="397751601">
      <w:bodyDiv w:val="1"/>
      <w:marLeft w:val="0"/>
      <w:marRight w:val="0"/>
      <w:marTop w:val="0"/>
      <w:marBottom w:val="0"/>
      <w:divBdr>
        <w:top w:val="none" w:sz="0" w:space="0" w:color="auto"/>
        <w:left w:val="none" w:sz="0" w:space="0" w:color="auto"/>
        <w:bottom w:val="none" w:sz="0" w:space="0" w:color="auto"/>
        <w:right w:val="none" w:sz="0" w:space="0" w:color="auto"/>
      </w:divBdr>
      <w:divsChild>
        <w:div w:id="1750032806">
          <w:marLeft w:val="0"/>
          <w:marRight w:val="0"/>
          <w:marTop w:val="0"/>
          <w:marBottom w:val="0"/>
          <w:divBdr>
            <w:top w:val="none" w:sz="0" w:space="0" w:color="auto"/>
            <w:left w:val="none" w:sz="0" w:space="0" w:color="auto"/>
            <w:bottom w:val="none" w:sz="0" w:space="0" w:color="auto"/>
            <w:right w:val="none" w:sz="0" w:space="0" w:color="auto"/>
          </w:divBdr>
        </w:div>
        <w:div w:id="1251280135">
          <w:marLeft w:val="0"/>
          <w:marRight w:val="0"/>
          <w:marTop w:val="0"/>
          <w:marBottom w:val="0"/>
          <w:divBdr>
            <w:top w:val="none" w:sz="0" w:space="0" w:color="auto"/>
            <w:left w:val="none" w:sz="0" w:space="0" w:color="auto"/>
            <w:bottom w:val="none" w:sz="0" w:space="0" w:color="auto"/>
            <w:right w:val="none" w:sz="0" w:space="0" w:color="auto"/>
          </w:divBdr>
        </w:div>
        <w:div w:id="1885483800">
          <w:marLeft w:val="0"/>
          <w:marRight w:val="0"/>
          <w:marTop w:val="0"/>
          <w:marBottom w:val="0"/>
          <w:divBdr>
            <w:top w:val="none" w:sz="0" w:space="0" w:color="auto"/>
            <w:left w:val="none" w:sz="0" w:space="0" w:color="auto"/>
            <w:bottom w:val="none" w:sz="0" w:space="0" w:color="auto"/>
            <w:right w:val="none" w:sz="0" w:space="0" w:color="auto"/>
          </w:divBdr>
        </w:div>
        <w:div w:id="899487096">
          <w:marLeft w:val="0"/>
          <w:marRight w:val="0"/>
          <w:marTop w:val="0"/>
          <w:marBottom w:val="0"/>
          <w:divBdr>
            <w:top w:val="none" w:sz="0" w:space="0" w:color="auto"/>
            <w:left w:val="none" w:sz="0" w:space="0" w:color="auto"/>
            <w:bottom w:val="none" w:sz="0" w:space="0" w:color="auto"/>
            <w:right w:val="none" w:sz="0" w:space="0" w:color="auto"/>
          </w:divBdr>
        </w:div>
        <w:div w:id="1036463200">
          <w:marLeft w:val="0"/>
          <w:marRight w:val="0"/>
          <w:marTop w:val="0"/>
          <w:marBottom w:val="0"/>
          <w:divBdr>
            <w:top w:val="none" w:sz="0" w:space="0" w:color="auto"/>
            <w:left w:val="none" w:sz="0" w:space="0" w:color="auto"/>
            <w:bottom w:val="none" w:sz="0" w:space="0" w:color="auto"/>
            <w:right w:val="none" w:sz="0" w:space="0" w:color="auto"/>
          </w:divBdr>
        </w:div>
        <w:div w:id="2083485215">
          <w:marLeft w:val="0"/>
          <w:marRight w:val="0"/>
          <w:marTop w:val="0"/>
          <w:marBottom w:val="0"/>
          <w:divBdr>
            <w:top w:val="none" w:sz="0" w:space="0" w:color="auto"/>
            <w:left w:val="none" w:sz="0" w:space="0" w:color="auto"/>
            <w:bottom w:val="none" w:sz="0" w:space="0" w:color="auto"/>
            <w:right w:val="none" w:sz="0" w:space="0" w:color="auto"/>
          </w:divBdr>
        </w:div>
        <w:div w:id="462431035">
          <w:marLeft w:val="0"/>
          <w:marRight w:val="0"/>
          <w:marTop w:val="0"/>
          <w:marBottom w:val="0"/>
          <w:divBdr>
            <w:top w:val="none" w:sz="0" w:space="0" w:color="auto"/>
            <w:left w:val="none" w:sz="0" w:space="0" w:color="auto"/>
            <w:bottom w:val="none" w:sz="0" w:space="0" w:color="auto"/>
            <w:right w:val="none" w:sz="0" w:space="0" w:color="auto"/>
          </w:divBdr>
        </w:div>
        <w:div w:id="570585582">
          <w:marLeft w:val="0"/>
          <w:marRight w:val="0"/>
          <w:marTop w:val="0"/>
          <w:marBottom w:val="0"/>
          <w:divBdr>
            <w:top w:val="none" w:sz="0" w:space="0" w:color="auto"/>
            <w:left w:val="none" w:sz="0" w:space="0" w:color="auto"/>
            <w:bottom w:val="none" w:sz="0" w:space="0" w:color="auto"/>
            <w:right w:val="none" w:sz="0" w:space="0" w:color="auto"/>
          </w:divBdr>
        </w:div>
        <w:div w:id="1948274187">
          <w:marLeft w:val="0"/>
          <w:marRight w:val="0"/>
          <w:marTop w:val="0"/>
          <w:marBottom w:val="0"/>
          <w:divBdr>
            <w:top w:val="none" w:sz="0" w:space="0" w:color="auto"/>
            <w:left w:val="none" w:sz="0" w:space="0" w:color="auto"/>
            <w:bottom w:val="none" w:sz="0" w:space="0" w:color="auto"/>
            <w:right w:val="none" w:sz="0" w:space="0" w:color="auto"/>
          </w:divBdr>
        </w:div>
      </w:divsChild>
    </w:div>
    <w:div w:id="533006746">
      <w:bodyDiv w:val="1"/>
      <w:marLeft w:val="0"/>
      <w:marRight w:val="0"/>
      <w:marTop w:val="0"/>
      <w:marBottom w:val="0"/>
      <w:divBdr>
        <w:top w:val="none" w:sz="0" w:space="0" w:color="auto"/>
        <w:left w:val="none" w:sz="0" w:space="0" w:color="auto"/>
        <w:bottom w:val="none" w:sz="0" w:space="0" w:color="auto"/>
        <w:right w:val="none" w:sz="0" w:space="0" w:color="auto"/>
      </w:divBdr>
      <w:divsChild>
        <w:div w:id="1920216155">
          <w:marLeft w:val="0"/>
          <w:marRight w:val="0"/>
          <w:marTop w:val="0"/>
          <w:marBottom w:val="0"/>
          <w:divBdr>
            <w:top w:val="none" w:sz="0" w:space="0" w:color="auto"/>
            <w:left w:val="none" w:sz="0" w:space="0" w:color="auto"/>
            <w:bottom w:val="none" w:sz="0" w:space="0" w:color="auto"/>
            <w:right w:val="none" w:sz="0" w:space="0" w:color="auto"/>
          </w:divBdr>
        </w:div>
        <w:div w:id="1052270914">
          <w:marLeft w:val="0"/>
          <w:marRight w:val="0"/>
          <w:marTop w:val="0"/>
          <w:marBottom w:val="0"/>
          <w:divBdr>
            <w:top w:val="none" w:sz="0" w:space="0" w:color="auto"/>
            <w:left w:val="none" w:sz="0" w:space="0" w:color="auto"/>
            <w:bottom w:val="none" w:sz="0" w:space="0" w:color="auto"/>
            <w:right w:val="none" w:sz="0" w:space="0" w:color="auto"/>
          </w:divBdr>
        </w:div>
        <w:div w:id="1423718655">
          <w:marLeft w:val="0"/>
          <w:marRight w:val="0"/>
          <w:marTop w:val="0"/>
          <w:marBottom w:val="0"/>
          <w:divBdr>
            <w:top w:val="none" w:sz="0" w:space="0" w:color="auto"/>
            <w:left w:val="none" w:sz="0" w:space="0" w:color="auto"/>
            <w:bottom w:val="none" w:sz="0" w:space="0" w:color="auto"/>
            <w:right w:val="none" w:sz="0" w:space="0" w:color="auto"/>
          </w:divBdr>
        </w:div>
        <w:div w:id="976028039">
          <w:marLeft w:val="0"/>
          <w:marRight w:val="0"/>
          <w:marTop w:val="0"/>
          <w:marBottom w:val="0"/>
          <w:divBdr>
            <w:top w:val="none" w:sz="0" w:space="0" w:color="auto"/>
            <w:left w:val="none" w:sz="0" w:space="0" w:color="auto"/>
            <w:bottom w:val="none" w:sz="0" w:space="0" w:color="auto"/>
            <w:right w:val="none" w:sz="0" w:space="0" w:color="auto"/>
          </w:divBdr>
        </w:div>
        <w:div w:id="497501478">
          <w:marLeft w:val="0"/>
          <w:marRight w:val="0"/>
          <w:marTop w:val="0"/>
          <w:marBottom w:val="0"/>
          <w:divBdr>
            <w:top w:val="none" w:sz="0" w:space="0" w:color="auto"/>
            <w:left w:val="none" w:sz="0" w:space="0" w:color="auto"/>
            <w:bottom w:val="none" w:sz="0" w:space="0" w:color="auto"/>
            <w:right w:val="none" w:sz="0" w:space="0" w:color="auto"/>
          </w:divBdr>
        </w:div>
        <w:div w:id="1839733285">
          <w:marLeft w:val="0"/>
          <w:marRight w:val="0"/>
          <w:marTop w:val="0"/>
          <w:marBottom w:val="0"/>
          <w:divBdr>
            <w:top w:val="none" w:sz="0" w:space="0" w:color="auto"/>
            <w:left w:val="none" w:sz="0" w:space="0" w:color="auto"/>
            <w:bottom w:val="none" w:sz="0" w:space="0" w:color="auto"/>
            <w:right w:val="none" w:sz="0" w:space="0" w:color="auto"/>
          </w:divBdr>
        </w:div>
        <w:div w:id="61635532">
          <w:marLeft w:val="0"/>
          <w:marRight w:val="0"/>
          <w:marTop w:val="0"/>
          <w:marBottom w:val="0"/>
          <w:divBdr>
            <w:top w:val="none" w:sz="0" w:space="0" w:color="auto"/>
            <w:left w:val="none" w:sz="0" w:space="0" w:color="auto"/>
            <w:bottom w:val="none" w:sz="0" w:space="0" w:color="auto"/>
            <w:right w:val="none" w:sz="0" w:space="0" w:color="auto"/>
          </w:divBdr>
        </w:div>
        <w:div w:id="1559779155">
          <w:marLeft w:val="0"/>
          <w:marRight w:val="0"/>
          <w:marTop w:val="0"/>
          <w:marBottom w:val="0"/>
          <w:divBdr>
            <w:top w:val="none" w:sz="0" w:space="0" w:color="auto"/>
            <w:left w:val="none" w:sz="0" w:space="0" w:color="auto"/>
            <w:bottom w:val="none" w:sz="0" w:space="0" w:color="auto"/>
            <w:right w:val="none" w:sz="0" w:space="0" w:color="auto"/>
          </w:divBdr>
        </w:div>
        <w:div w:id="875393385">
          <w:marLeft w:val="0"/>
          <w:marRight w:val="0"/>
          <w:marTop w:val="0"/>
          <w:marBottom w:val="0"/>
          <w:divBdr>
            <w:top w:val="none" w:sz="0" w:space="0" w:color="auto"/>
            <w:left w:val="none" w:sz="0" w:space="0" w:color="auto"/>
            <w:bottom w:val="none" w:sz="0" w:space="0" w:color="auto"/>
            <w:right w:val="none" w:sz="0" w:space="0" w:color="auto"/>
          </w:divBdr>
        </w:div>
        <w:div w:id="1849906731">
          <w:marLeft w:val="0"/>
          <w:marRight w:val="0"/>
          <w:marTop w:val="0"/>
          <w:marBottom w:val="0"/>
          <w:divBdr>
            <w:top w:val="none" w:sz="0" w:space="0" w:color="auto"/>
            <w:left w:val="none" w:sz="0" w:space="0" w:color="auto"/>
            <w:bottom w:val="none" w:sz="0" w:space="0" w:color="auto"/>
            <w:right w:val="none" w:sz="0" w:space="0" w:color="auto"/>
          </w:divBdr>
        </w:div>
        <w:div w:id="1061945663">
          <w:marLeft w:val="0"/>
          <w:marRight w:val="0"/>
          <w:marTop w:val="0"/>
          <w:marBottom w:val="0"/>
          <w:divBdr>
            <w:top w:val="none" w:sz="0" w:space="0" w:color="auto"/>
            <w:left w:val="none" w:sz="0" w:space="0" w:color="auto"/>
            <w:bottom w:val="none" w:sz="0" w:space="0" w:color="auto"/>
            <w:right w:val="none" w:sz="0" w:space="0" w:color="auto"/>
          </w:divBdr>
        </w:div>
        <w:div w:id="1464613772">
          <w:marLeft w:val="0"/>
          <w:marRight w:val="0"/>
          <w:marTop w:val="0"/>
          <w:marBottom w:val="0"/>
          <w:divBdr>
            <w:top w:val="none" w:sz="0" w:space="0" w:color="auto"/>
            <w:left w:val="none" w:sz="0" w:space="0" w:color="auto"/>
            <w:bottom w:val="none" w:sz="0" w:space="0" w:color="auto"/>
            <w:right w:val="none" w:sz="0" w:space="0" w:color="auto"/>
          </w:divBdr>
        </w:div>
        <w:div w:id="2025864864">
          <w:marLeft w:val="0"/>
          <w:marRight w:val="0"/>
          <w:marTop w:val="0"/>
          <w:marBottom w:val="0"/>
          <w:divBdr>
            <w:top w:val="none" w:sz="0" w:space="0" w:color="auto"/>
            <w:left w:val="none" w:sz="0" w:space="0" w:color="auto"/>
            <w:bottom w:val="none" w:sz="0" w:space="0" w:color="auto"/>
            <w:right w:val="none" w:sz="0" w:space="0" w:color="auto"/>
          </w:divBdr>
        </w:div>
      </w:divsChild>
    </w:div>
    <w:div w:id="590545258">
      <w:bodyDiv w:val="1"/>
      <w:marLeft w:val="0"/>
      <w:marRight w:val="0"/>
      <w:marTop w:val="0"/>
      <w:marBottom w:val="0"/>
      <w:divBdr>
        <w:top w:val="none" w:sz="0" w:space="0" w:color="auto"/>
        <w:left w:val="none" w:sz="0" w:space="0" w:color="auto"/>
        <w:bottom w:val="none" w:sz="0" w:space="0" w:color="auto"/>
        <w:right w:val="none" w:sz="0" w:space="0" w:color="auto"/>
      </w:divBdr>
      <w:divsChild>
        <w:div w:id="2001420258">
          <w:marLeft w:val="0"/>
          <w:marRight w:val="0"/>
          <w:marTop w:val="0"/>
          <w:marBottom w:val="0"/>
          <w:divBdr>
            <w:top w:val="none" w:sz="0" w:space="0" w:color="auto"/>
            <w:left w:val="none" w:sz="0" w:space="0" w:color="auto"/>
            <w:bottom w:val="none" w:sz="0" w:space="0" w:color="auto"/>
            <w:right w:val="none" w:sz="0" w:space="0" w:color="auto"/>
          </w:divBdr>
        </w:div>
        <w:div w:id="1518958672">
          <w:marLeft w:val="0"/>
          <w:marRight w:val="0"/>
          <w:marTop w:val="0"/>
          <w:marBottom w:val="0"/>
          <w:divBdr>
            <w:top w:val="none" w:sz="0" w:space="0" w:color="auto"/>
            <w:left w:val="none" w:sz="0" w:space="0" w:color="auto"/>
            <w:bottom w:val="none" w:sz="0" w:space="0" w:color="auto"/>
            <w:right w:val="none" w:sz="0" w:space="0" w:color="auto"/>
          </w:divBdr>
        </w:div>
        <w:div w:id="1340111091">
          <w:marLeft w:val="0"/>
          <w:marRight w:val="0"/>
          <w:marTop w:val="0"/>
          <w:marBottom w:val="0"/>
          <w:divBdr>
            <w:top w:val="none" w:sz="0" w:space="0" w:color="auto"/>
            <w:left w:val="none" w:sz="0" w:space="0" w:color="auto"/>
            <w:bottom w:val="none" w:sz="0" w:space="0" w:color="auto"/>
            <w:right w:val="none" w:sz="0" w:space="0" w:color="auto"/>
          </w:divBdr>
        </w:div>
        <w:div w:id="747460092">
          <w:marLeft w:val="0"/>
          <w:marRight w:val="0"/>
          <w:marTop w:val="0"/>
          <w:marBottom w:val="0"/>
          <w:divBdr>
            <w:top w:val="none" w:sz="0" w:space="0" w:color="auto"/>
            <w:left w:val="none" w:sz="0" w:space="0" w:color="auto"/>
            <w:bottom w:val="none" w:sz="0" w:space="0" w:color="auto"/>
            <w:right w:val="none" w:sz="0" w:space="0" w:color="auto"/>
          </w:divBdr>
        </w:div>
        <w:div w:id="1194028738">
          <w:marLeft w:val="0"/>
          <w:marRight w:val="0"/>
          <w:marTop w:val="0"/>
          <w:marBottom w:val="0"/>
          <w:divBdr>
            <w:top w:val="none" w:sz="0" w:space="0" w:color="auto"/>
            <w:left w:val="none" w:sz="0" w:space="0" w:color="auto"/>
            <w:bottom w:val="none" w:sz="0" w:space="0" w:color="auto"/>
            <w:right w:val="none" w:sz="0" w:space="0" w:color="auto"/>
          </w:divBdr>
        </w:div>
        <w:div w:id="898637110">
          <w:marLeft w:val="0"/>
          <w:marRight w:val="0"/>
          <w:marTop w:val="0"/>
          <w:marBottom w:val="0"/>
          <w:divBdr>
            <w:top w:val="none" w:sz="0" w:space="0" w:color="auto"/>
            <w:left w:val="none" w:sz="0" w:space="0" w:color="auto"/>
            <w:bottom w:val="none" w:sz="0" w:space="0" w:color="auto"/>
            <w:right w:val="none" w:sz="0" w:space="0" w:color="auto"/>
          </w:divBdr>
        </w:div>
        <w:div w:id="550457427">
          <w:marLeft w:val="0"/>
          <w:marRight w:val="0"/>
          <w:marTop w:val="0"/>
          <w:marBottom w:val="0"/>
          <w:divBdr>
            <w:top w:val="none" w:sz="0" w:space="0" w:color="auto"/>
            <w:left w:val="none" w:sz="0" w:space="0" w:color="auto"/>
            <w:bottom w:val="none" w:sz="0" w:space="0" w:color="auto"/>
            <w:right w:val="none" w:sz="0" w:space="0" w:color="auto"/>
          </w:divBdr>
        </w:div>
      </w:divsChild>
    </w:div>
    <w:div w:id="628438332">
      <w:bodyDiv w:val="1"/>
      <w:marLeft w:val="0"/>
      <w:marRight w:val="0"/>
      <w:marTop w:val="0"/>
      <w:marBottom w:val="0"/>
      <w:divBdr>
        <w:top w:val="none" w:sz="0" w:space="0" w:color="auto"/>
        <w:left w:val="none" w:sz="0" w:space="0" w:color="auto"/>
        <w:bottom w:val="none" w:sz="0" w:space="0" w:color="auto"/>
        <w:right w:val="none" w:sz="0" w:space="0" w:color="auto"/>
      </w:divBdr>
    </w:div>
    <w:div w:id="692345194">
      <w:bodyDiv w:val="1"/>
      <w:marLeft w:val="0"/>
      <w:marRight w:val="0"/>
      <w:marTop w:val="0"/>
      <w:marBottom w:val="0"/>
      <w:divBdr>
        <w:top w:val="none" w:sz="0" w:space="0" w:color="auto"/>
        <w:left w:val="none" w:sz="0" w:space="0" w:color="auto"/>
        <w:bottom w:val="none" w:sz="0" w:space="0" w:color="auto"/>
        <w:right w:val="none" w:sz="0" w:space="0" w:color="auto"/>
      </w:divBdr>
    </w:div>
    <w:div w:id="693651816">
      <w:bodyDiv w:val="1"/>
      <w:marLeft w:val="0"/>
      <w:marRight w:val="0"/>
      <w:marTop w:val="0"/>
      <w:marBottom w:val="0"/>
      <w:divBdr>
        <w:top w:val="none" w:sz="0" w:space="0" w:color="auto"/>
        <w:left w:val="none" w:sz="0" w:space="0" w:color="auto"/>
        <w:bottom w:val="none" w:sz="0" w:space="0" w:color="auto"/>
        <w:right w:val="none" w:sz="0" w:space="0" w:color="auto"/>
      </w:divBdr>
    </w:div>
    <w:div w:id="797912887">
      <w:bodyDiv w:val="1"/>
      <w:marLeft w:val="0"/>
      <w:marRight w:val="0"/>
      <w:marTop w:val="0"/>
      <w:marBottom w:val="0"/>
      <w:divBdr>
        <w:top w:val="none" w:sz="0" w:space="0" w:color="auto"/>
        <w:left w:val="none" w:sz="0" w:space="0" w:color="auto"/>
        <w:bottom w:val="none" w:sz="0" w:space="0" w:color="auto"/>
        <w:right w:val="none" w:sz="0" w:space="0" w:color="auto"/>
      </w:divBdr>
      <w:divsChild>
        <w:div w:id="536282202">
          <w:marLeft w:val="0"/>
          <w:marRight w:val="0"/>
          <w:marTop w:val="0"/>
          <w:marBottom w:val="0"/>
          <w:divBdr>
            <w:top w:val="none" w:sz="0" w:space="0" w:color="auto"/>
            <w:left w:val="none" w:sz="0" w:space="0" w:color="auto"/>
            <w:bottom w:val="none" w:sz="0" w:space="0" w:color="auto"/>
            <w:right w:val="none" w:sz="0" w:space="0" w:color="auto"/>
          </w:divBdr>
        </w:div>
        <w:div w:id="2023969206">
          <w:marLeft w:val="0"/>
          <w:marRight w:val="0"/>
          <w:marTop w:val="0"/>
          <w:marBottom w:val="0"/>
          <w:divBdr>
            <w:top w:val="none" w:sz="0" w:space="0" w:color="auto"/>
            <w:left w:val="none" w:sz="0" w:space="0" w:color="auto"/>
            <w:bottom w:val="none" w:sz="0" w:space="0" w:color="auto"/>
            <w:right w:val="none" w:sz="0" w:space="0" w:color="auto"/>
          </w:divBdr>
        </w:div>
        <w:div w:id="1283994082">
          <w:marLeft w:val="0"/>
          <w:marRight w:val="0"/>
          <w:marTop w:val="0"/>
          <w:marBottom w:val="0"/>
          <w:divBdr>
            <w:top w:val="none" w:sz="0" w:space="0" w:color="auto"/>
            <w:left w:val="none" w:sz="0" w:space="0" w:color="auto"/>
            <w:bottom w:val="none" w:sz="0" w:space="0" w:color="auto"/>
            <w:right w:val="none" w:sz="0" w:space="0" w:color="auto"/>
          </w:divBdr>
        </w:div>
      </w:divsChild>
    </w:div>
    <w:div w:id="851459964">
      <w:bodyDiv w:val="1"/>
      <w:marLeft w:val="0"/>
      <w:marRight w:val="0"/>
      <w:marTop w:val="0"/>
      <w:marBottom w:val="0"/>
      <w:divBdr>
        <w:top w:val="none" w:sz="0" w:space="0" w:color="auto"/>
        <w:left w:val="none" w:sz="0" w:space="0" w:color="auto"/>
        <w:bottom w:val="none" w:sz="0" w:space="0" w:color="auto"/>
        <w:right w:val="none" w:sz="0" w:space="0" w:color="auto"/>
      </w:divBdr>
    </w:div>
    <w:div w:id="912079301">
      <w:bodyDiv w:val="1"/>
      <w:marLeft w:val="0"/>
      <w:marRight w:val="0"/>
      <w:marTop w:val="0"/>
      <w:marBottom w:val="0"/>
      <w:divBdr>
        <w:top w:val="none" w:sz="0" w:space="0" w:color="auto"/>
        <w:left w:val="none" w:sz="0" w:space="0" w:color="auto"/>
        <w:bottom w:val="none" w:sz="0" w:space="0" w:color="auto"/>
        <w:right w:val="none" w:sz="0" w:space="0" w:color="auto"/>
      </w:divBdr>
    </w:div>
    <w:div w:id="929317914">
      <w:bodyDiv w:val="1"/>
      <w:marLeft w:val="0"/>
      <w:marRight w:val="0"/>
      <w:marTop w:val="0"/>
      <w:marBottom w:val="0"/>
      <w:divBdr>
        <w:top w:val="none" w:sz="0" w:space="0" w:color="auto"/>
        <w:left w:val="none" w:sz="0" w:space="0" w:color="auto"/>
        <w:bottom w:val="none" w:sz="0" w:space="0" w:color="auto"/>
        <w:right w:val="none" w:sz="0" w:space="0" w:color="auto"/>
      </w:divBdr>
    </w:div>
    <w:div w:id="1008025269">
      <w:bodyDiv w:val="1"/>
      <w:marLeft w:val="0"/>
      <w:marRight w:val="0"/>
      <w:marTop w:val="0"/>
      <w:marBottom w:val="0"/>
      <w:divBdr>
        <w:top w:val="none" w:sz="0" w:space="0" w:color="auto"/>
        <w:left w:val="none" w:sz="0" w:space="0" w:color="auto"/>
        <w:bottom w:val="none" w:sz="0" w:space="0" w:color="auto"/>
        <w:right w:val="none" w:sz="0" w:space="0" w:color="auto"/>
      </w:divBdr>
    </w:div>
    <w:div w:id="1092237694">
      <w:bodyDiv w:val="1"/>
      <w:marLeft w:val="0"/>
      <w:marRight w:val="0"/>
      <w:marTop w:val="0"/>
      <w:marBottom w:val="0"/>
      <w:divBdr>
        <w:top w:val="none" w:sz="0" w:space="0" w:color="auto"/>
        <w:left w:val="none" w:sz="0" w:space="0" w:color="auto"/>
        <w:bottom w:val="none" w:sz="0" w:space="0" w:color="auto"/>
        <w:right w:val="none" w:sz="0" w:space="0" w:color="auto"/>
      </w:divBdr>
    </w:div>
    <w:div w:id="1119226480">
      <w:bodyDiv w:val="1"/>
      <w:marLeft w:val="0"/>
      <w:marRight w:val="0"/>
      <w:marTop w:val="0"/>
      <w:marBottom w:val="0"/>
      <w:divBdr>
        <w:top w:val="none" w:sz="0" w:space="0" w:color="auto"/>
        <w:left w:val="none" w:sz="0" w:space="0" w:color="auto"/>
        <w:bottom w:val="none" w:sz="0" w:space="0" w:color="auto"/>
        <w:right w:val="none" w:sz="0" w:space="0" w:color="auto"/>
      </w:divBdr>
      <w:divsChild>
        <w:div w:id="1108890686">
          <w:marLeft w:val="0"/>
          <w:marRight w:val="0"/>
          <w:marTop w:val="0"/>
          <w:marBottom w:val="0"/>
          <w:divBdr>
            <w:top w:val="none" w:sz="0" w:space="0" w:color="auto"/>
            <w:left w:val="none" w:sz="0" w:space="0" w:color="auto"/>
            <w:bottom w:val="none" w:sz="0" w:space="0" w:color="auto"/>
            <w:right w:val="none" w:sz="0" w:space="0" w:color="auto"/>
          </w:divBdr>
        </w:div>
        <w:div w:id="1178501017">
          <w:marLeft w:val="0"/>
          <w:marRight w:val="0"/>
          <w:marTop w:val="0"/>
          <w:marBottom w:val="0"/>
          <w:divBdr>
            <w:top w:val="none" w:sz="0" w:space="0" w:color="auto"/>
            <w:left w:val="none" w:sz="0" w:space="0" w:color="auto"/>
            <w:bottom w:val="none" w:sz="0" w:space="0" w:color="auto"/>
            <w:right w:val="none" w:sz="0" w:space="0" w:color="auto"/>
          </w:divBdr>
          <w:divsChild>
            <w:div w:id="1404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1963523">
      <w:bodyDiv w:val="1"/>
      <w:marLeft w:val="0"/>
      <w:marRight w:val="0"/>
      <w:marTop w:val="0"/>
      <w:marBottom w:val="0"/>
      <w:divBdr>
        <w:top w:val="none" w:sz="0" w:space="0" w:color="auto"/>
        <w:left w:val="none" w:sz="0" w:space="0" w:color="auto"/>
        <w:bottom w:val="none" w:sz="0" w:space="0" w:color="auto"/>
        <w:right w:val="none" w:sz="0" w:space="0" w:color="auto"/>
      </w:divBdr>
    </w:div>
    <w:div w:id="1275016285">
      <w:bodyDiv w:val="1"/>
      <w:marLeft w:val="0"/>
      <w:marRight w:val="0"/>
      <w:marTop w:val="0"/>
      <w:marBottom w:val="0"/>
      <w:divBdr>
        <w:top w:val="none" w:sz="0" w:space="0" w:color="auto"/>
        <w:left w:val="none" w:sz="0" w:space="0" w:color="auto"/>
        <w:bottom w:val="none" w:sz="0" w:space="0" w:color="auto"/>
        <w:right w:val="none" w:sz="0" w:space="0" w:color="auto"/>
      </w:divBdr>
      <w:divsChild>
        <w:div w:id="1122918158">
          <w:marLeft w:val="0"/>
          <w:marRight w:val="0"/>
          <w:marTop w:val="0"/>
          <w:marBottom w:val="0"/>
          <w:divBdr>
            <w:top w:val="none" w:sz="0" w:space="0" w:color="auto"/>
            <w:left w:val="none" w:sz="0" w:space="0" w:color="auto"/>
            <w:bottom w:val="none" w:sz="0" w:space="0" w:color="auto"/>
            <w:right w:val="none" w:sz="0" w:space="0" w:color="auto"/>
          </w:divBdr>
        </w:div>
        <w:div w:id="982202396">
          <w:marLeft w:val="0"/>
          <w:marRight w:val="0"/>
          <w:marTop w:val="0"/>
          <w:marBottom w:val="0"/>
          <w:divBdr>
            <w:top w:val="none" w:sz="0" w:space="0" w:color="auto"/>
            <w:left w:val="none" w:sz="0" w:space="0" w:color="auto"/>
            <w:bottom w:val="none" w:sz="0" w:space="0" w:color="auto"/>
            <w:right w:val="none" w:sz="0" w:space="0" w:color="auto"/>
          </w:divBdr>
        </w:div>
        <w:div w:id="360711946">
          <w:marLeft w:val="0"/>
          <w:marRight w:val="0"/>
          <w:marTop w:val="0"/>
          <w:marBottom w:val="0"/>
          <w:divBdr>
            <w:top w:val="none" w:sz="0" w:space="0" w:color="auto"/>
            <w:left w:val="none" w:sz="0" w:space="0" w:color="auto"/>
            <w:bottom w:val="none" w:sz="0" w:space="0" w:color="auto"/>
            <w:right w:val="none" w:sz="0" w:space="0" w:color="auto"/>
          </w:divBdr>
        </w:div>
        <w:div w:id="447117538">
          <w:marLeft w:val="0"/>
          <w:marRight w:val="0"/>
          <w:marTop w:val="0"/>
          <w:marBottom w:val="0"/>
          <w:divBdr>
            <w:top w:val="none" w:sz="0" w:space="0" w:color="auto"/>
            <w:left w:val="none" w:sz="0" w:space="0" w:color="auto"/>
            <w:bottom w:val="none" w:sz="0" w:space="0" w:color="auto"/>
            <w:right w:val="none" w:sz="0" w:space="0" w:color="auto"/>
          </w:divBdr>
        </w:div>
        <w:div w:id="307711047">
          <w:marLeft w:val="0"/>
          <w:marRight w:val="0"/>
          <w:marTop w:val="0"/>
          <w:marBottom w:val="0"/>
          <w:divBdr>
            <w:top w:val="none" w:sz="0" w:space="0" w:color="auto"/>
            <w:left w:val="none" w:sz="0" w:space="0" w:color="auto"/>
            <w:bottom w:val="none" w:sz="0" w:space="0" w:color="auto"/>
            <w:right w:val="none" w:sz="0" w:space="0" w:color="auto"/>
          </w:divBdr>
        </w:div>
        <w:div w:id="1735079973">
          <w:marLeft w:val="0"/>
          <w:marRight w:val="0"/>
          <w:marTop w:val="0"/>
          <w:marBottom w:val="0"/>
          <w:divBdr>
            <w:top w:val="none" w:sz="0" w:space="0" w:color="auto"/>
            <w:left w:val="none" w:sz="0" w:space="0" w:color="auto"/>
            <w:bottom w:val="none" w:sz="0" w:space="0" w:color="auto"/>
            <w:right w:val="none" w:sz="0" w:space="0" w:color="auto"/>
          </w:divBdr>
        </w:div>
        <w:div w:id="1899634033">
          <w:marLeft w:val="0"/>
          <w:marRight w:val="0"/>
          <w:marTop w:val="0"/>
          <w:marBottom w:val="0"/>
          <w:divBdr>
            <w:top w:val="none" w:sz="0" w:space="0" w:color="auto"/>
            <w:left w:val="none" w:sz="0" w:space="0" w:color="auto"/>
            <w:bottom w:val="none" w:sz="0" w:space="0" w:color="auto"/>
            <w:right w:val="none" w:sz="0" w:space="0" w:color="auto"/>
          </w:divBdr>
        </w:div>
        <w:div w:id="91511407">
          <w:marLeft w:val="0"/>
          <w:marRight w:val="0"/>
          <w:marTop w:val="0"/>
          <w:marBottom w:val="0"/>
          <w:divBdr>
            <w:top w:val="none" w:sz="0" w:space="0" w:color="auto"/>
            <w:left w:val="none" w:sz="0" w:space="0" w:color="auto"/>
            <w:bottom w:val="none" w:sz="0" w:space="0" w:color="auto"/>
            <w:right w:val="none" w:sz="0" w:space="0" w:color="auto"/>
          </w:divBdr>
        </w:div>
        <w:div w:id="1829709373">
          <w:marLeft w:val="0"/>
          <w:marRight w:val="0"/>
          <w:marTop w:val="0"/>
          <w:marBottom w:val="0"/>
          <w:divBdr>
            <w:top w:val="none" w:sz="0" w:space="0" w:color="auto"/>
            <w:left w:val="none" w:sz="0" w:space="0" w:color="auto"/>
            <w:bottom w:val="none" w:sz="0" w:space="0" w:color="auto"/>
            <w:right w:val="none" w:sz="0" w:space="0" w:color="auto"/>
          </w:divBdr>
        </w:div>
        <w:div w:id="122117889">
          <w:marLeft w:val="0"/>
          <w:marRight w:val="0"/>
          <w:marTop w:val="0"/>
          <w:marBottom w:val="0"/>
          <w:divBdr>
            <w:top w:val="none" w:sz="0" w:space="0" w:color="auto"/>
            <w:left w:val="none" w:sz="0" w:space="0" w:color="auto"/>
            <w:bottom w:val="none" w:sz="0" w:space="0" w:color="auto"/>
            <w:right w:val="none" w:sz="0" w:space="0" w:color="auto"/>
          </w:divBdr>
        </w:div>
      </w:divsChild>
    </w:div>
    <w:div w:id="1373310894">
      <w:bodyDiv w:val="1"/>
      <w:marLeft w:val="0"/>
      <w:marRight w:val="0"/>
      <w:marTop w:val="0"/>
      <w:marBottom w:val="0"/>
      <w:divBdr>
        <w:top w:val="none" w:sz="0" w:space="0" w:color="auto"/>
        <w:left w:val="none" w:sz="0" w:space="0" w:color="auto"/>
        <w:bottom w:val="none" w:sz="0" w:space="0" w:color="auto"/>
        <w:right w:val="none" w:sz="0" w:space="0" w:color="auto"/>
      </w:divBdr>
      <w:divsChild>
        <w:div w:id="1092121020">
          <w:marLeft w:val="0"/>
          <w:marRight w:val="0"/>
          <w:marTop w:val="0"/>
          <w:marBottom w:val="0"/>
          <w:divBdr>
            <w:top w:val="none" w:sz="0" w:space="0" w:color="auto"/>
            <w:left w:val="none" w:sz="0" w:space="0" w:color="auto"/>
            <w:bottom w:val="none" w:sz="0" w:space="0" w:color="auto"/>
            <w:right w:val="none" w:sz="0" w:space="0" w:color="auto"/>
          </w:divBdr>
        </w:div>
        <w:div w:id="1496334829">
          <w:marLeft w:val="0"/>
          <w:marRight w:val="0"/>
          <w:marTop w:val="0"/>
          <w:marBottom w:val="0"/>
          <w:divBdr>
            <w:top w:val="none" w:sz="0" w:space="0" w:color="auto"/>
            <w:left w:val="none" w:sz="0" w:space="0" w:color="auto"/>
            <w:bottom w:val="none" w:sz="0" w:space="0" w:color="auto"/>
            <w:right w:val="none" w:sz="0" w:space="0" w:color="auto"/>
          </w:divBdr>
        </w:div>
        <w:div w:id="941914575">
          <w:marLeft w:val="0"/>
          <w:marRight w:val="0"/>
          <w:marTop w:val="0"/>
          <w:marBottom w:val="0"/>
          <w:divBdr>
            <w:top w:val="none" w:sz="0" w:space="0" w:color="auto"/>
            <w:left w:val="none" w:sz="0" w:space="0" w:color="auto"/>
            <w:bottom w:val="none" w:sz="0" w:space="0" w:color="auto"/>
            <w:right w:val="none" w:sz="0" w:space="0" w:color="auto"/>
          </w:divBdr>
        </w:div>
        <w:div w:id="577715527">
          <w:marLeft w:val="0"/>
          <w:marRight w:val="0"/>
          <w:marTop w:val="0"/>
          <w:marBottom w:val="0"/>
          <w:divBdr>
            <w:top w:val="none" w:sz="0" w:space="0" w:color="auto"/>
            <w:left w:val="none" w:sz="0" w:space="0" w:color="auto"/>
            <w:bottom w:val="none" w:sz="0" w:space="0" w:color="auto"/>
            <w:right w:val="none" w:sz="0" w:space="0" w:color="auto"/>
          </w:divBdr>
        </w:div>
        <w:div w:id="1612467945">
          <w:marLeft w:val="0"/>
          <w:marRight w:val="0"/>
          <w:marTop w:val="0"/>
          <w:marBottom w:val="0"/>
          <w:divBdr>
            <w:top w:val="none" w:sz="0" w:space="0" w:color="auto"/>
            <w:left w:val="none" w:sz="0" w:space="0" w:color="auto"/>
            <w:bottom w:val="none" w:sz="0" w:space="0" w:color="auto"/>
            <w:right w:val="none" w:sz="0" w:space="0" w:color="auto"/>
          </w:divBdr>
        </w:div>
        <w:div w:id="1823420878">
          <w:marLeft w:val="0"/>
          <w:marRight w:val="0"/>
          <w:marTop w:val="0"/>
          <w:marBottom w:val="0"/>
          <w:divBdr>
            <w:top w:val="none" w:sz="0" w:space="0" w:color="auto"/>
            <w:left w:val="none" w:sz="0" w:space="0" w:color="auto"/>
            <w:bottom w:val="none" w:sz="0" w:space="0" w:color="auto"/>
            <w:right w:val="none" w:sz="0" w:space="0" w:color="auto"/>
          </w:divBdr>
        </w:div>
        <w:div w:id="797647254">
          <w:marLeft w:val="0"/>
          <w:marRight w:val="0"/>
          <w:marTop w:val="0"/>
          <w:marBottom w:val="0"/>
          <w:divBdr>
            <w:top w:val="none" w:sz="0" w:space="0" w:color="auto"/>
            <w:left w:val="none" w:sz="0" w:space="0" w:color="auto"/>
            <w:bottom w:val="none" w:sz="0" w:space="0" w:color="auto"/>
            <w:right w:val="none" w:sz="0" w:space="0" w:color="auto"/>
          </w:divBdr>
        </w:div>
        <w:div w:id="320353737">
          <w:marLeft w:val="0"/>
          <w:marRight w:val="0"/>
          <w:marTop w:val="0"/>
          <w:marBottom w:val="0"/>
          <w:divBdr>
            <w:top w:val="none" w:sz="0" w:space="0" w:color="auto"/>
            <w:left w:val="none" w:sz="0" w:space="0" w:color="auto"/>
            <w:bottom w:val="none" w:sz="0" w:space="0" w:color="auto"/>
            <w:right w:val="none" w:sz="0" w:space="0" w:color="auto"/>
          </w:divBdr>
        </w:div>
        <w:div w:id="2085370023">
          <w:marLeft w:val="0"/>
          <w:marRight w:val="0"/>
          <w:marTop w:val="0"/>
          <w:marBottom w:val="0"/>
          <w:divBdr>
            <w:top w:val="none" w:sz="0" w:space="0" w:color="auto"/>
            <w:left w:val="none" w:sz="0" w:space="0" w:color="auto"/>
            <w:bottom w:val="none" w:sz="0" w:space="0" w:color="auto"/>
            <w:right w:val="none" w:sz="0" w:space="0" w:color="auto"/>
          </w:divBdr>
        </w:div>
        <w:div w:id="107701998">
          <w:marLeft w:val="0"/>
          <w:marRight w:val="0"/>
          <w:marTop w:val="0"/>
          <w:marBottom w:val="0"/>
          <w:divBdr>
            <w:top w:val="none" w:sz="0" w:space="0" w:color="auto"/>
            <w:left w:val="none" w:sz="0" w:space="0" w:color="auto"/>
            <w:bottom w:val="none" w:sz="0" w:space="0" w:color="auto"/>
            <w:right w:val="none" w:sz="0" w:space="0" w:color="auto"/>
          </w:divBdr>
        </w:div>
      </w:divsChild>
    </w:div>
    <w:div w:id="1385442280">
      <w:bodyDiv w:val="1"/>
      <w:marLeft w:val="0"/>
      <w:marRight w:val="0"/>
      <w:marTop w:val="0"/>
      <w:marBottom w:val="0"/>
      <w:divBdr>
        <w:top w:val="none" w:sz="0" w:space="0" w:color="auto"/>
        <w:left w:val="none" w:sz="0" w:space="0" w:color="auto"/>
        <w:bottom w:val="none" w:sz="0" w:space="0" w:color="auto"/>
        <w:right w:val="none" w:sz="0" w:space="0" w:color="auto"/>
      </w:divBdr>
    </w:div>
    <w:div w:id="1462380498">
      <w:bodyDiv w:val="1"/>
      <w:marLeft w:val="0"/>
      <w:marRight w:val="0"/>
      <w:marTop w:val="0"/>
      <w:marBottom w:val="0"/>
      <w:divBdr>
        <w:top w:val="none" w:sz="0" w:space="0" w:color="auto"/>
        <w:left w:val="none" w:sz="0" w:space="0" w:color="auto"/>
        <w:bottom w:val="none" w:sz="0" w:space="0" w:color="auto"/>
        <w:right w:val="none" w:sz="0" w:space="0" w:color="auto"/>
      </w:divBdr>
      <w:divsChild>
        <w:div w:id="1969240186">
          <w:marLeft w:val="0"/>
          <w:marRight w:val="0"/>
          <w:marTop w:val="0"/>
          <w:marBottom w:val="0"/>
          <w:divBdr>
            <w:top w:val="none" w:sz="0" w:space="0" w:color="auto"/>
            <w:left w:val="none" w:sz="0" w:space="0" w:color="auto"/>
            <w:bottom w:val="none" w:sz="0" w:space="0" w:color="auto"/>
            <w:right w:val="none" w:sz="0" w:space="0" w:color="auto"/>
          </w:divBdr>
        </w:div>
        <w:div w:id="1176842950">
          <w:marLeft w:val="0"/>
          <w:marRight w:val="0"/>
          <w:marTop w:val="0"/>
          <w:marBottom w:val="0"/>
          <w:divBdr>
            <w:top w:val="none" w:sz="0" w:space="0" w:color="auto"/>
            <w:left w:val="none" w:sz="0" w:space="0" w:color="auto"/>
            <w:bottom w:val="none" w:sz="0" w:space="0" w:color="auto"/>
            <w:right w:val="none" w:sz="0" w:space="0" w:color="auto"/>
          </w:divBdr>
        </w:div>
        <w:div w:id="2027631443">
          <w:marLeft w:val="0"/>
          <w:marRight w:val="0"/>
          <w:marTop w:val="0"/>
          <w:marBottom w:val="0"/>
          <w:divBdr>
            <w:top w:val="none" w:sz="0" w:space="0" w:color="auto"/>
            <w:left w:val="none" w:sz="0" w:space="0" w:color="auto"/>
            <w:bottom w:val="none" w:sz="0" w:space="0" w:color="auto"/>
            <w:right w:val="none" w:sz="0" w:space="0" w:color="auto"/>
          </w:divBdr>
        </w:div>
        <w:div w:id="243994154">
          <w:marLeft w:val="0"/>
          <w:marRight w:val="0"/>
          <w:marTop w:val="0"/>
          <w:marBottom w:val="0"/>
          <w:divBdr>
            <w:top w:val="none" w:sz="0" w:space="0" w:color="auto"/>
            <w:left w:val="none" w:sz="0" w:space="0" w:color="auto"/>
            <w:bottom w:val="none" w:sz="0" w:space="0" w:color="auto"/>
            <w:right w:val="none" w:sz="0" w:space="0" w:color="auto"/>
          </w:divBdr>
        </w:div>
        <w:div w:id="1591809583">
          <w:marLeft w:val="0"/>
          <w:marRight w:val="0"/>
          <w:marTop w:val="0"/>
          <w:marBottom w:val="0"/>
          <w:divBdr>
            <w:top w:val="none" w:sz="0" w:space="0" w:color="auto"/>
            <w:left w:val="none" w:sz="0" w:space="0" w:color="auto"/>
            <w:bottom w:val="none" w:sz="0" w:space="0" w:color="auto"/>
            <w:right w:val="none" w:sz="0" w:space="0" w:color="auto"/>
          </w:divBdr>
        </w:div>
        <w:div w:id="245114982">
          <w:marLeft w:val="0"/>
          <w:marRight w:val="0"/>
          <w:marTop w:val="0"/>
          <w:marBottom w:val="0"/>
          <w:divBdr>
            <w:top w:val="none" w:sz="0" w:space="0" w:color="auto"/>
            <w:left w:val="none" w:sz="0" w:space="0" w:color="auto"/>
            <w:bottom w:val="none" w:sz="0" w:space="0" w:color="auto"/>
            <w:right w:val="none" w:sz="0" w:space="0" w:color="auto"/>
          </w:divBdr>
        </w:div>
        <w:div w:id="1572301985">
          <w:marLeft w:val="0"/>
          <w:marRight w:val="0"/>
          <w:marTop w:val="0"/>
          <w:marBottom w:val="0"/>
          <w:divBdr>
            <w:top w:val="none" w:sz="0" w:space="0" w:color="auto"/>
            <w:left w:val="none" w:sz="0" w:space="0" w:color="auto"/>
            <w:bottom w:val="none" w:sz="0" w:space="0" w:color="auto"/>
            <w:right w:val="none" w:sz="0" w:space="0" w:color="auto"/>
          </w:divBdr>
        </w:div>
        <w:div w:id="1951084070">
          <w:marLeft w:val="0"/>
          <w:marRight w:val="0"/>
          <w:marTop w:val="0"/>
          <w:marBottom w:val="0"/>
          <w:divBdr>
            <w:top w:val="none" w:sz="0" w:space="0" w:color="auto"/>
            <w:left w:val="none" w:sz="0" w:space="0" w:color="auto"/>
            <w:bottom w:val="none" w:sz="0" w:space="0" w:color="auto"/>
            <w:right w:val="none" w:sz="0" w:space="0" w:color="auto"/>
          </w:divBdr>
        </w:div>
        <w:div w:id="1823622458">
          <w:marLeft w:val="0"/>
          <w:marRight w:val="0"/>
          <w:marTop w:val="0"/>
          <w:marBottom w:val="0"/>
          <w:divBdr>
            <w:top w:val="none" w:sz="0" w:space="0" w:color="auto"/>
            <w:left w:val="none" w:sz="0" w:space="0" w:color="auto"/>
            <w:bottom w:val="none" w:sz="0" w:space="0" w:color="auto"/>
            <w:right w:val="none" w:sz="0" w:space="0" w:color="auto"/>
          </w:divBdr>
        </w:div>
        <w:div w:id="1553809820">
          <w:marLeft w:val="0"/>
          <w:marRight w:val="0"/>
          <w:marTop w:val="0"/>
          <w:marBottom w:val="0"/>
          <w:divBdr>
            <w:top w:val="none" w:sz="0" w:space="0" w:color="auto"/>
            <w:left w:val="none" w:sz="0" w:space="0" w:color="auto"/>
            <w:bottom w:val="none" w:sz="0" w:space="0" w:color="auto"/>
            <w:right w:val="none" w:sz="0" w:space="0" w:color="auto"/>
          </w:divBdr>
        </w:div>
        <w:div w:id="526869226">
          <w:marLeft w:val="0"/>
          <w:marRight w:val="0"/>
          <w:marTop w:val="0"/>
          <w:marBottom w:val="0"/>
          <w:divBdr>
            <w:top w:val="none" w:sz="0" w:space="0" w:color="auto"/>
            <w:left w:val="none" w:sz="0" w:space="0" w:color="auto"/>
            <w:bottom w:val="none" w:sz="0" w:space="0" w:color="auto"/>
            <w:right w:val="none" w:sz="0" w:space="0" w:color="auto"/>
          </w:divBdr>
        </w:div>
      </w:divsChild>
    </w:div>
    <w:div w:id="1470004927">
      <w:bodyDiv w:val="1"/>
      <w:marLeft w:val="0"/>
      <w:marRight w:val="0"/>
      <w:marTop w:val="0"/>
      <w:marBottom w:val="0"/>
      <w:divBdr>
        <w:top w:val="none" w:sz="0" w:space="0" w:color="auto"/>
        <w:left w:val="none" w:sz="0" w:space="0" w:color="auto"/>
        <w:bottom w:val="none" w:sz="0" w:space="0" w:color="auto"/>
        <w:right w:val="none" w:sz="0" w:space="0" w:color="auto"/>
      </w:divBdr>
      <w:divsChild>
        <w:div w:id="901675038">
          <w:marLeft w:val="0"/>
          <w:marRight w:val="0"/>
          <w:marTop w:val="0"/>
          <w:marBottom w:val="0"/>
          <w:divBdr>
            <w:top w:val="none" w:sz="0" w:space="0" w:color="auto"/>
            <w:left w:val="none" w:sz="0" w:space="0" w:color="auto"/>
            <w:bottom w:val="none" w:sz="0" w:space="0" w:color="auto"/>
            <w:right w:val="none" w:sz="0" w:space="0" w:color="auto"/>
          </w:divBdr>
        </w:div>
        <w:div w:id="944001232">
          <w:marLeft w:val="0"/>
          <w:marRight w:val="0"/>
          <w:marTop w:val="0"/>
          <w:marBottom w:val="0"/>
          <w:divBdr>
            <w:top w:val="none" w:sz="0" w:space="0" w:color="auto"/>
            <w:left w:val="none" w:sz="0" w:space="0" w:color="auto"/>
            <w:bottom w:val="none" w:sz="0" w:space="0" w:color="auto"/>
            <w:right w:val="none" w:sz="0" w:space="0" w:color="auto"/>
          </w:divBdr>
        </w:div>
      </w:divsChild>
    </w:div>
    <w:div w:id="1620184093">
      <w:bodyDiv w:val="1"/>
      <w:marLeft w:val="0"/>
      <w:marRight w:val="0"/>
      <w:marTop w:val="0"/>
      <w:marBottom w:val="0"/>
      <w:divBdr>
        <w:top w:val="none" w:sz="0" w:space="0" w:color="auto"/>
        <w:left w:val="none" w:sz="0" w:space="0" w:color="auto"/>
        <w:bottom w:val="none" w:sz="0" w:space="0" w:color="auto"/>
        <w:right w:val="none" w:sz="0" w:space="0" w:color="auto"/>
      </w:divBdr>
    </w:div>
    <w:div w:id="1679186492">
      <w:bodyDiv w:val="1"/>
      <w:marLeft w:val="0"/>
      <w:marRight w:val="0"/>
      <w:marTop w:val="0"/>
      <w:marBottom w:val="0"/>
      <w:divBdr>
        <w:top w:val="none" w:sz="0" w:space="0" w:color="auto"/>
        <w:left w:val="none" w:sz="0" w:space="0" w:color="auto"/>
        <w:bottom w:val="none" w:sz="0" w:space="0" w:color="auto"/>
        <w:right w:val="none" w:sz="0" w:space="0" w:color="auto"/>
      </w:divBdr>
    </w:div>
    <w:div w:id="1963880253">
      <w:bodyDiv w:val="1"/>
      <w:marLeft w:val="0"/>
      <w:marRight w:val="0"/>
      <w:marTop w:val="0"/>
      <w:marBottom w:val="0"/>
      <w:divBdr>
        <w:top w:val="none" w:sz="0" w:space="0" w:color="auto"/>
        <w:left w:val="none" w:sz="0" w:space="0" w:color="auto"/>
        <w:bottom w:val="none" w:sz="0" w:space="0" w:color="auto"/>
        <w:right w:val="none" w:sz="0" w:space="0" w:color="auto"/>
      </w:divBdr>
      <w:divsChild>
        <w:div w:id="765199312">
          <w:marLeft w:val="0"/>
          <w:marRight w:val="0"/>
          <w:marTop w:val="0"/>
          <w:marBottom w:val="0"/>
          <w:divBdr>
            <w:top w:val="none" w:sz="0" w:space="0" w:color="auto"/>
            <w:left w:val="none" w:sz="0" w:space="0" w:color="auto"/>
            <w:bottom w:val="none" w:sz="0" w:space="0" w:color="auto"/>
            <w:right w:val="none" w:sz="0" w:space="0" w:color="auto"/>
          </w:divBdr>
        </w:div>
        <w:div w:id="1296105643">
          <w:marLeft w:val="0"/>
          <w:marRight w:val="0"/>
          <w:marTop w:val="0"/>
          <w:marBottom w:val="0"/>
          <w:divBdr>
            <w:top w:val="none" w:sz="0" w:space="0" w:color="auto"/>
            <w:left w:val="none" w:sz="0" w:space="0" w:color="auto"/>
            <w:bottom w:val="none" w:sz="0" w:space="0" w:color="auto"/>
            <w:right w:val="none" w:sz="0" w:space="0" w:color="auto"/>
          </w:divBdr>
        </w:div>
        <w:div w:id="568997476">
          <w:marLeft w:val="0"/>
          <w:marRight w:val="0"/>
          <w:marTop w:val="0"/>
          <w:marBottom w:val="0"/>
          <w:divBdr>
            <w:top w:val="none" w:sz="0" w:space="0" w:color="auto"/>
            <w:left w:val="none" w:sz="0" w:space="0" w:color="auto"/>
            <w:bottom w:val="none" w:sz="0" w:space="0" w:color="auto"/>
            <w:right w:val="none" w:sz="0" w:space="0" w:color="auto"/>
          </w:divBdr>
        </w:div>
        <w:div w:id="1168179329">
          <w:marLeft w:val="0"/>
          <w:marRight w:val="0"/>
          <w:marTop w:val="0"/>
          <w:marBottom w:val="0"/>
          <w:divBdr>
            <w:top w:val="none" w:sz="0" w:space="0" w:color="auto"/>
            <w:left w:val="none" w:sz="0" w:space="0" w:color="auto"/>
            <w:bottom w:val="none" w:sz="0" w:space="0" w:color="auto"/>
            <w:right w:val="none" w:sz="0" w:space="0" w:color="auto"/>
          </w:divBdr>
        </w:div>
        <w:div w:id="1441297607">
          <w:marLeft w:val="0"/>
          <w:marRight w:val="0"/>
          <w:marTop w:val="0"/>
          <w:marBottom w:val="0"/>
          <w:divBdr>
            <w:top w:val="none" w:sz="0" w:space="0" w:color="auto"/>
            <w:left w:val="none" w:sz="0" w:space="0" w:color="auto"/>
            <w:bottom w:val="none" w:sz="0" w:space="0" w:color="auto"/>
            <w:right w:val="none" w:sz="0" w:space="0" w:color="auto"/>
          </w:divBdr>
        </w:div>
        <w:div w:id="326443405">
          <w:marLeft w:val="0"/>
          <w:marRight w:val="0"/>
          <w:marTop w:val="0"/>
          <w:marBottom w:val="0"/>
          <w:divBdr>
            <w:top w:val="none" w:sz="0" w:space="0" w:color="auto"/>
            <w:left w:val="none" w:sz="0" w:space="0" w:color="auto"/>
            <w:bottom w:val="none" w:sz="0" w:space="0" w:color="auto"/>
            <w:right w:val="none" w:sz="0" w:space="0" w:color="auto"/>
          </w:divBdr>
        </w:div>
        <w:div w:id="681008628">
          <w:marLeft w:val="0"/>
          <w:marRight w:val="0"/>
          <w:marTop w:val="0"/>
          <w:marBottom w:val="0"/>
          <w:divBdr>
            <w:top w:val="none" w:sz="0" w:space="0" w:color="auto"/>
            <w:left w:val="none" w:sz="0" w:space="0" w:color="auto"/>
            <w:bottom w:val="none" w:sz="0" w:space="0" w:color="auto"/>
            <w:right w:val="none" w:sz="0" w:space="0" w:color="auto"/>
          </w:divBdr>
        </w:div>
        <w:div w:id="1984698926">
          <w:marLeft w:val="0"/>
          <w:marRight w:val="0"/>
          <w:marTop w:val="0"/>
          <w:marBottom w:val="0"/>
          <w:divBdr>
            <w:top w:val="none" w:sz="0" w:space="0" w:color="auto"/>
            <w:left w:val="none" w:sz="0" w:space="0" w:color="auto"/>
            <w:bottom w:val="none" w:sz="0" w:space="0" w:color="auto"/>
            <w:right w:val="none" w:sz="0" w:space="0" w:color="auto"/>
          </w:divBdr>
        </w:div>
      </w:divsChild>
    </w:div>
    <w:div w:id="2020500866">
      <w:bodyDiv w:val="1"/>
      <w:marLeft w:val="0"/>
      <w:marRight w:val="0"/>
      <w:marTop w:val="0"/>
      <w:marBottom w:val="0"/>
      <w:divBdr>
        <w:top w:val="none" w:sz="0" w:space="0" w:color="auto"/>
        <w:left w:val="none" w:sz="0" w:space="0" w:color="auto"/>
        <w:bottom w:val="none" w:sz="0" w:space="0" w:color="auto"/>
        <w:right w:val="none" w:sz="0" w:space="0" w:color="auto"/>
      </w:divBdr>
      <w:divsChild>
        <w:div w:id="878279629">
          <w:marLeft w:val="0"/>
          <w:marRight w:val="0"/>
          <w:marTop w:val="0"/>
          <w:marBottom w:val="0"/>
          <w:divBdr>
            <w:top w:val="none" w:sz="0" w:space="0" w:color="auto"/>
            <w:left w:val="none" w:sz="0" w:space="0" w:color="auto"/>
            <w:bottom w:val="none" w:sz="0" w:space="0" w:color="auto"/>
            <w:right w:val="none" w:sz="0" w:space="0" w:color="auto"/>
          </w:divBdr>
        </w:div>
        <w:div w:id="403842654">
          <w:marLeft w:val="0"/>
          <w:marRight w:val="0"/>
          <w:marTop w:val="0"/>
          <w:marBottom w:val="0"/>
          <w:divBdr>
            <w:top w:val="none" w:sz="0" w:space="0" w:color="auto"/>
            <w:left w:val="none" w:sz="0" w:space="0" w:color="auto"/>
            <w:bottom w:val="none" w:sz="0" w:space="0" w:color="auto"/>
            <w:right w:val="none" w:sz="0" w:space="0" w:color="auto"/>
          </w:divBdr>
        </w:div>
        <w:div w:id="17630652">
          <w:marLeft w:val="0"/>
          <w:marRight w:val="0"/>
          <w:marTop w:val="0"/>
          <w:marBottom w:val="0"/>
          <w:divBdr>
            <w:top w:val="none" w:sz="0" w:space="0" w:color="auto"/>
            <w:left w:val="none" w:sz="0" w:space="0" w:color="auto"/>
            <w:bottom w:val="none" w:sz="0" w:space="0" w:color="auto"/>
            <w:right w:val="none" w:sz="0" w:space="0" w:color="auto"/>
          </w:divBdr>
        </w:div>
        <w:div w:id="346102475">
          <w:marLeft w:val="0"/>
          <w:marRight w:val="0"/>
          <w:marTop w:val="0"/>
          <w:marBottom w:val="0"/>
          <w:divBdr>
            <w:top w:val="none" w:sz="0" w:space="0" w:color="auto"/>
            <w:left w:val="none" w:sz="0" w:space="0" w:color="auto"/>
            <w:bottom w:val="none" w:sz="0" w:space="0" w:color="auto"/>
            <w:right w:val="none" w:sz="0" w:space="0" w:color="auto"/>
          </w:divBdr>
        </w:div>
        <w:div w:id="1997102772">
          <w:marLeft w:val="0"/>
          <w:marRight w:val="0"/>
          <w:marTop w:val="0"/>
          <w:marBottom w:val="0"/>
          <w:divBdr>
            <w:top w:val="none" w:sz="0" w:space="0" w:color="auto"/>
            <w:left w:val="none" w:sz="0" w:space="0" w:color="auto"/>
            <w:bottom w:val="none" w:sz="0" w:space="0" w:color="auto"/>
            <w:right w:val="none" w:sz="0" w:space="0" w:color="auto"/>
          </w:divBdr>
        </w:div>
        <w:div w:id="1039938904">
          <w:marLeft w:val="0"/>
          <w:marRight w:val="0"/>
          <w:marTop w:val="0"/>
          <w:marBottom w:val="0"/>
          <w:divBdr>
            <w:top w:val="none" w:sz="0" w:space="0" w:color="auto"/>
            <w:left w:val="none" w:sz="0" w:space="0" w:color="auto"/>
            <w:bottom w:val="none" w:sz="0" w:space="0" w:color="auto"/>
            <w:right w:val="none" w:sz="0" w:space="0" w:color="auto"/>
          </w:divBdr>
        </w:div>
        <w:div w:id="251134082">
          <w:marLeft w:val="0"/>
          <w:marRight w:val="0"/>
          <w:marTop w:val="0"/>
          <w:marBottom w:val="0"/>
          <w:divBdr>
            <w:top w:val="none" w:sz="0" w:space="0" w:color="auto"/>
            <w:left w:val="none" w:sz="0" w:space="0" w:color="auto"/>
            <w:bottom w:val="none" w:sz="0" w:space="0" w:color="auto"/>
            <w:right w:val="none" w:sz="0" w:space="0" w:color="auto"/>
          </w:divBdr>
        </w:div>
        <w:div w:id="87625256">
          <w:marLeft w:val="0"/>
          <w:marRight w:val="0"/>
          <w:marTop w:val="0"/>
          <w:marBottom w:val="0"/>
          <w:divBdr>
            <w:top w:val="none" w:sz="0" w:space="0" w:color="auto"/>
            <w:left w:val="none" w:sz="0" w:space="0" w:color="auto"/>
            <w:bottom w:val="none" w:sz="0" w:space="0" w:color="auto"/>
            <w:right w:val="none" w:sz="0" w:space="0" w:color="auto"/>
          </w:divBdr>
        </w:div>
        <w:div w:id="641078159">
          <w:marLeft w:val="0"/>
          <w:marRight w:val="0"/>
          <w:marTop w:val="0"/>
          <w:marBottom w:val="0"/>
          <w:divBdr>
            <w:top w:val="none" w:sz="0" w:space="0" w:color="auto"/>
            <w:left w:val="none" w:sz="0" w:space="0" w:color="auto"/>
            <w:bottom w:val="none" w:sz="0" w:space="0" w:color="auto"/>
            <w:right w:val="none" w:sz="0" w:space="0" w:color="auto"/>
          </w:divBdr>
        </w:div>
        <w:div w:id="1871381025">
          <w:marLeft w:val="0"/>
          <w:marRight w:val="0"/>
          <w:marTop w:val="0"/>
          <w:marBottom w:val="0"/>
          <w:divBdr>
            <w:top w:val="none" w:sz="0" w:space="0" w:color="auto"/>
            <w:left w:val="none" w:sz="0" w:space="0" w:color="auto"/>
            <w:bottom w:val="none" w:sz="0" w:space="0" w:color="auto"/>
            <w:right w:val="none" w:sz="0" w:space="0" w:color="auto"/>
          </w:divBdr>
        </w:div>
        <w:div w:id="874075694">
          <w:marLeft w:val="0"/>
          <w:marRight w:val="0"/>
          <w:marTop w:val="0"/>
          <w:marBottom w:val="0"/>
          <w:divBdr>
            <w:top w:val="none" w:sz="0" w:space="0" w:color="auto"/>
            <w:left w:val="none" w:sz="0" w:space="0" w:color="auto"/>
            <w:bottom w:val="none" w:sz="0" w:space="0" w:color="auto"/>
            <w:right w:val="none" w:sz="0" w:space="0" w:color="auto"/>
          </w:divBdr>
        </w:div>
        <w:div w:id="1282148962">
          <w:marLeft w:val="0"/>
          <w:marRight w:val="0"/>
          <w:marTop w:val="0"/>
          <w:marBottom w:val="0"/>
          <w:divBdr>
            <w:top w:val="none" w:sz="0" w:space="0" w:color="auto"/>
            <w:left w:val="none" w:sz="0" w:space="0" w:color="auto"/>
            <w:bottom w:val="none" w:sz="0" w:space="0" w:color="auto"/>
            <w:right w:val="none" w:sz="0" w:space="0" w:color="auto"/>
          </w:divBdr>
        </w:div>
        <w:div w:id="1310208671">
          <w:marLeft w:val="0"/>
          <w:marRight w:val="0"/>
          <w:marTop w:val="0"/>
          <w:marBottom w:val="0"/>
          <w:divBdr>
            <w:top w:val="none" w:sz="0" w:space="0" w:color="auto"/>
            <w:left w:val="none" w:sz="0" w:space="0" w:color="auto"/>
            <w:bottom w:val="none" w:sz="0" w:space="0" w:color="auto"/>
            <w:right w:val="none" w:sz="0" w:space="0" w:color="auto"/>
          </w:divBdr>
        </w:div>
        <w:div w:id="326986065">
          <w:marLeft w:val="0"/>
          <w:marRight w:val="0"/>
          <w:marTop w:val="0"/>
          <w:marBottom w:val="0"/>
          <w:divBdr>
            <w:top w:val="none" w:sz="0" w:space="0" w:color="auto"/>
            <w:left w:val="none" w:sz="0" w:space="0" w:color="auto"/>
            <w:bottom w:val="none" w:sz="0" w:space="0" w:color="auto"/>
            <w:right w:val="none" w:sz="0" w:space="0" w:color="auto"/>
          </w:divBdr>
        </w:div>
      </w:divsChild>
    </w:div>
    <w:div w:id="2074085540">
      <w:bodyDiv w:val="1"/>
      <w:marLeft w:val="0"/>
      <w:marRight w:val="0"/>
      <w:marTop w:val="0"/>
      <w:marBottom w:val="0"/>
      <w:divBdr>
        <w:top w:val="none" w:sz="0" w:space="0" w:color="auto"/>
        <w:left w:val="none" w:sz="0" w:space="0" w:color="auto"/>
        <w:bottom w:val="none" w:sz="0" w:space="0" w:color="auto"/>
        <w:right w:val="none" w:sz="0" w:space="0" w:color="auto"/>
      </w:divBdr>
    </w:div>
    <w:div w:id="2100563937">
      <w:bodyDiv w:val="1"/>
      <w:marLeft w:val="0"/>
      <w:marRight w:val="0"/>
      <w:marTop w:val="0"/>
      <w:marBottom w:val="0"/>
      <w:divBdr>
        <w:top w:val="none" w:sz="0" w:space="0" w:color="auto"/>
        <w:left w:val="none" w:sz="0" w:space="0" w:color="auto"/>
        <w:bottom w:val="none" w:sz="0" w:space="0" w:color="auto"/>
        <w:right w:val="none" w:sz="0" w:space="0" w:color="auto"/>
      </w:divBdr>
      <w:divsChild>
        <w:div w:id="116291219">
          <w:marLeft w:val="0"/>
          <w:marRight w:val="0"/>
          <w:marTop w:val="0"/>
          <w:marBottom w:val="0"/>
          <w:divBdr>
            <w:top w:val="none" w:sz="0" w:space="0" w:color="auto"/>
            <w:left w:val="none" w:sz="0" w:space="0" w:color="auto"/>
            <w:bottom w:val="none" w:sz="0" w:space="0" w:color="auto"/>
            <w:right w:val="none" w:sz="0" w:space="0" w:color="auto"/>
          </w:divBdr>
        </w:div>
        <w:div w:id="370544290">
          <w:marLeft w:val="0"/>
          <w:marRight w:val="0"/>
          <w:marTop w:val="0"/>
          <w:marBottom w:val="0"/>
          <w:divBdr>
            <w:top w:val="none" w:sz="0" w:space="0" w:color="auto"/>
            <w:left w:val="none" w:sz="0" w:space="0" w:color="auto"/>
            <w:bottom w:val="none" w:sz="0" w:space="0" w:color="auto"/>
            <w:right w:val="none" w:sz="0" w:space="0" w:color="auto"/>
          </w:divBdr>
        </w:div>
        <w:div w:id="1966499324">
          <w:marLeft w:val="0"/>
          <w:marRight w:val="0"/>
          <w:marTop w:val="0"/>
          <w:marBottom w:val="0"/>
          <w:divBdr>
            <w:top w:val="none" w:sz="0" w:space="0" w:color="auto"/>
            <w:left w:val="none" w:sz="0" w:space="0" w:color="auto"/>
            <w:bottom w:val="none" w:sz="0" w:space="0" w:color="auto"/>
            <w:right w:val="none" w:sz="0" w:space="0" w:color="auto"/>
          </w:divBdr>
        </w:div>
        <w:div w:id="541551361">
          <w:marLeft w:val="0"/>
          <w:marRight w:val="0"/>
          <w:marTop w:val="0"/>
          <w:marBottom w:val="0"/>
          <w:divBdr>
            <w:top w:val="none" w:sz="0" w:space="0" w:color="auto"/>
            <w:left w:val="none" w:sz="0" w:space="0" w:color="auto"/>
            <w:bottom w:val="none" w:sz="0" w:space="0" w:color="auto"/>
            <w:right w:val="none" w:sz="0" w:space="0" w:color="auto"/>
          </w:divBdr>
        </w:div>
        <w:div w:id="907881959">
          <w:marLeft w:val="0"/>
          <w:marRight w:val="0"/>
          <w:marTop w:val="0"/>
          <w:marBottom w:val="0"/>
          <w:divBdr>
            <w:top w:val="none" w:sz="0" w:space="0" w:color="auto"/>
            <w:left w:val="none" w:sz="0" w:space="0" w:color="auto"/>
            <w:bottom w:val="none" w:sz="0" w:space="0" w:color="auto"/>
            <w:right w:val="none" w:sz="0" w:space="0" w:color="auto"/>
          </w:divBdr>
        </w:div>
        <w:div w:id="98911133">
          <w:marLeft w:val="0"/>
          <w:marRight w:val="0"/>
          <w:marTop w:val="0"/>
          <w:marBottom w:val="0"/>
          <w:divBdr>
            <w:top w:val="none" w:sz="0" w:space="0" w:color="auto"/>
            <w:left w:val="none" w:sz="0" w:space="0" w:color="auto"/>
            <w:bottom w:val="none" w:sz="0" w:space="0" w:color="auto"/>
            <w:right w:val="none" w:sz="0" w:space="0" w:color="auto"/>
          </w:divBdr>
        </w:div>
        <w:div w:id="1872302828">
          <w:marLeft w:val="0"/>
          <w:marRight w:val="0"/>
          <w:marTop w:val="0"/>
          <w:marBottom w:val="0"/>
          <w:divBdr>
            <w:top w:val="none" w:sz="0" w:space="0" w:color="auto"/>
            <w:left w:val="none" w:sz="0" w:space="0" w:color="auto"/>
            <w:bottom w:val="none" w:sz="0" w:space="0" w:color="auto"/>
            <w:right w:val="none" w:sz="0" w:space="0" w:color="auto"/>
          </w:divBdr>
        </w:div>
        <w:div w:id="1996569578">
          <w:marLeft w:val="0"/>
          <w:marRight w:val="0"/>
          <w:marTop w:val="0"/>
          <w:marBottom w:val="0"/>
          <w:divBdr>
            <w:top w:val="none" w:sz="0" w:space="0" w:color="auto"/>
            <w:left w:val="none" w:sz="0" w:space="0" w:color="auto"/>
            <w:bottom w:val="none" w:sz="0" w:space="0" w:color="auto"/>
            <w:right w:val="none" w:sz="0" w:space="0" w:color="auto"/>
          </w:divBdr>
        </w:div>
        <w:div w:id="523328782">
          <w:marLeft w:val="0"/>
          <w:marRight w:val="0"/>
          <w:marTop w:val="0"/>
          <w:marBottom w:val="0"/>
          <w:divBdr>
            <w:top w:val="none" w:sz="0" w:space="0" w:color="auto"/>
            <w:left w:val="none" w:sz="0" w:space="0" w:color="auto"/>
            <w:bottom w:val="none" w:sz="0" w:space="0" w:color="auto"/>
            <w:right w:val="none" w:sz="0" w:space="0" w:color="auto"/>
          </w:divBdr>
        </w:div>
        <w:div w:id="110319886">
          <w:marLeft w:val="0"/>
          <w:marRight w:val="0"/>
          <w:marTop w:val="0"/>
          <w:marBottom w:val="0"/>
          <w:divBdr>
            <w:top w:val="none" w:sz="0" w:space="0" w:color="auto"/>
            <w:left w:val="none" w:sz="0" w:space="0" w:color="auto"/>
            <w:bottom w:val="none" w:sz="0" w:space="0" w:color="auto"/>
            <w:right w:val="none" w:sz="0" w:space="0" w:color="auto"/>
          </w:divBdr>
        </w:div>
        <w:div w:id="456458992">
          <w:marLeft w:val="0"/>
          <w:marRight w:val="0"/>
          <w:marTop w:val="0"/>
          <w:marBottom w:val="0"/>
          <w:divBdr>
            <w:top w:val="none" w:sz="0" w:space="0" w:color="auto"/>
            <w:left w:val="none" w:sz="0" w:space="0" w:color="auto"/>
            <w:bottom w:val="none" w:sz="0" w:space="0" w:color="auto"/>
            <w:right w:val="none" w:sz="0" w:space="0" w:color="auto"/>
          </w:divBdr>
        </w:div>
        <w:div w:id="877090635">
          <w:marLeft w:val="0"/>
          <w:marRight w:val="0"/>
          <w:marTop w:val="0"/>
          <w:marBottom w:val="0"/>
          <w:divBdr>
            <w:top w:val="none" w:sz="0" w:space="0" w:color="auto"/>
            <w:left w:val="none" w:sz="0" w:space="0" w:color="auto"/>
            <w:bottom w:val="none" w:sz="0" w:space="0" w:color="auto"/>
            <w:right w:val="none" w:sz="0" w:space="0" w:color="auto"/>
          </w:divBdr>
        </w:div>
      </w:divsChild>
    </w:div>
    <w:div w:id="21288934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plan4womenssafety.dss.gov.au/the-national-plan/third-action-plan/" TargetMode="External"/><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5" Type="http://schemas.openxmlformats.org/officeDocument/2006/relationships/customXml" Target="../customXml/item5.xml"/><Relationship Id="rId15" Type="http://schemas.openxmlformats.org/officeDocument/2006/relationships/image" Target="media/image2.emf"/><Relationship Id="rId10" Type="http://schemas.openxmlformats.org/officeDocument/2006/relationships/settings" Target="settings.xml"/><Relationship Id="rId19" Type="http://schemas.openxmlformats.org/officeDocument/2006/relationships/footer" Target="footer1.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image" Target="media/image1.jpg"/><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news.com.au/finance/work/calls-for-centrelink-debt-bungle-probe-claims-welfare-recipients-are-being-wrongly-hounded/news-story/23f7e122610ef7be4217f09ed6c882a3" TargetMode="External"/><Relationship Id="rId13" Type="http://schemas.openxmlformats.org/officeDocument/2006/relationships/hyperlink" Target="http://www.pc.gov.au/inquiries/completed/intellectual-property/report" TargetMode="External"/><Relationship Id="rId3" Type="http://schemas.openxmlformats.org/officeDocument/2006/relationships/hyperlink" Target="https://changetherecord.org.au" TargetMode="External"/><Relationship Id="rId7" Type="http://schemas.openxmlformats.org/officeDocument/2006/relationships/hyperlink" Target="http://www.lawcouncil.asn.au/lawcouncil/images/LCA-PDF/a-z-docs/fmsdownload0463.pdf" TargetMode="External"/><Relationship Id="rId12" Type="http://schemas.openxmlformats.org/officeDocument/2006/relationships/hyperlink" Target="http://www.naclc.org.au/cb_pages/news/NACLCacknowledgeslimitedfamilyviolencefunding.php" TargetMode="External"/><Relationship Id="rId2" Type="http://schemas.openxmlformats.org/officeDocument/2006/relationships/hyperlink" Target="https://www.ag.gov.au/Publications/Budgets/Budget2016-17/Documents/Portfolio-budget-statements/Attorney-Generals-portfolio-2016-17-PBS-full-report.pdf" TargetMode="External"/><Relationship Id="rId1" Type="http://schemas.openxmlformats.org/officeDocument/2006/relationships/hyperlink" Target="http://www.lawcouncil.asn.au/lawcouncil/images/LCA-PDF/a-z-docs/fmsdownload099f.pdf" TargetMode="External"/><Relationship Id="rId6" Type="http://schemas.openxmlformats.org/officeDocument/2006/relationships/hyperlink" Target="http://www.naclc.org.au/cb_pages/news/MediaReleaseOneYearUntilCripplingCutsToLegalAssistanceSector.php" TargetMode="External"/><Relationship Id="rId11" Type="http://schemas.openxmlformats.org/officeDocument/2006/relationships/hyperlink" Target="https://www.pm.gov.au/media/2016-10-28/government-strengthens-investment-reduce-violence-against-women-and-children" TargetMode="External"/><Relationship Id="rId5" Type="http://schemas.openxmlformats.org/officeDocument/2006/relationships/hyperlink" Target="http://readnow.isentia.com/Temp/91786/714253606.pdf" TargetMode="External"/><Relationship Id="rId15" Type="http://schemas.openxmlformats.org/officeDocument/2006/relationships/hyperlink" Target="http://www.pc.gov.au/inquiries/completed/intellectual-property/report" TargetMode="External"/><Relationship Id="rId10" Type="http://schemas.openxmlformats.org/officeDocument/2006/relationships/hyperlink" Target="http://www.pc.gov.au/inquiries/completed/access-justice/report/access-justice-appendixk.pdf" TargetMode="External"/><Relationship Id="rId4" Type="http://schemas.openxmlformats.org/officeDocument/2006/relationships/hyperlink" Target="http://www.pc.gov.au/research/ongoing/overcoming-indigenous-disadvantage/2016/report-documents/oid-2016-chapter4-coag-targets-and-headline-indicators.pdf" TargetMode="External"/><Relationship Id="rId9" Type="http://schemas.openxmlformats.org/officeDocument/2006/relationships/hyperlink" Target="http://www.naclc.org.au/resources/NACLC_Federal_Budget_Sub_2016_17_Final_PDF.pdf" TargetMode="External"/><Relationship Id="rId14" Type="http://schemas.openxmlformats.org/officeDocument/2006/relationships/hyperlink" Target="http://www.pc.gov.au/inquiries/completed/intellectual-property/report" TargetMode="External"/></Relationships>
</file>

<file path=word/theme/theme1.xml><?xml version="1.0" encoding="utf-8"?>
<a:theme xmlns:a="http://schemas.openxmlformats.org/drawingml/2006/main" name="Office Theme">
  <a:themeElements>
    <a:clrScheme name="Law Council">
      <a:dk1>
        <a:srgbClr val="004360"/>
      </a:dk1>
      <a:lt1>
        <a:sysClr val="window" lastClr="FFFFFF"/>
      </a:lt1>
      <a:dk2>
        <a:srgbClr val="000000"/>
      </a:dk2>
      <a:lt2>
        <a:srgbClr val="FFFFFF"/>
      </a:lt2>
      <a:accent1>
        <a:srgbClr val="B38709"/>
      </a:accent1>
      <a:accent2>
        <a:srgbClr val="004360"/>
      </a:accent2>
      <a:accent3>
        <a:srgbClr val="EE3224"/>
      </a:accent3>
      <a:accent4>
        <a:srgbClr val="00A890"/>
      </a:accent4>
      <a:accent5>
        <a:srgbClr val="AB0635"/>
      </a:accent5>
      <a:accent6>
        <a:srgbClr val="9194B6"/>
      </a:accent6>
      <a:hlink>
        <a:srgbClr val="0000FF"/>
      </a:hlink>
      <a:folHlink>
        <a:srgbClr val="800080"/>
      </a:folHlink>
    </a:clrScheme>
    <a:fontScheme name="Law Council">
      <a:majorFont>
        <a:latin typeface="Arial Black"/>
        <a:ea typeface=""/>
        <a:cs typeface=""/>
      </a:majorFont>
      <a:minorFont>
        <a:latin typeface="Garamon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48D01E61E107C4DA4B97E380EA20D4700AA289C5F133E1341A012D9EF10AD38C2" ma:contentTypeVersion="330" ma:contentTypeDescription=" " ma:contentTypeScope="" ma:versionID="87315eb050651833be796d60fa8af194">
  <xsd:schema xmlns:xsd="http://www.w3.org/2001/XMLSchema" xmlns:xs="http://www.w3.org/2001/XMLSchema" xmlns:p="http://schemas.microsoft.com/office/2006/metadata/properties" xmlns:ns1="http://schemas.microsoft.com/sharepoint/v3" xmlns:ns2="e544e5cc-ab70-42e1-849e-1a0f8bb1f4ef" xmlns:ns3="43a7eba2-7c75-424c-9682-3d9e41d868ee" xmlns:ns4="http://schemas.microsoft.com/sharepoint/v4" targetNamespace="http://schemas.microsoft.com/office/2006/metadata/properties" ma:root="true" ma:fieldsID="d7cc0718220867b387911a2fe33b9cda" ns1:_="" ns2:_="" ns3:_="" ns4:_="">
    <xsd:import namespace="http://schemas.microsoft.com/sharepoint/v3"/>
    <xsd:import namespace="e544e5cc-ab70-42e1-849e-1a0f8bb1f4ef"/>
    <xsd:import namespace="43a7eba2-7c75-424c-9682-3d9e41d868e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1:_dlc_Exempt" minOccurs="0"/>
                <xsd:element ref="ns2:lb508a4dc5e84436a0fe496b536466aa" minOccurs="0"/>
                <xsd:element ref="ns2:TaxCatchAll" minOccurs="0"/>
                <xsd:element ref="ns2:TaxCatchAllLabel" minOccurs="0"/>
                <xsd:element ref="ns4:IconOverlay" minOccurs="0"/>
                <xsd:element ref="ns3:Pressure_x002f_Measur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1"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544e5cc-ab70-42e1-849e-1a0f8bb1f4e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lb508a4dc5e84436a0fe496b536466aa" ma:index="12" nillable="true" ma:taxonomy="true" ma:internalName="lb508a4dc5e84436a0fe496b536466aa" ma:taxonomyFieldName="TSYRecordClass" ma:displayName="Record Class" ma:readOnly="false" ma:default="2;#TSY RA-8748 - Retain as national archives|243f2231-dbfc-4282-b24a-c9b768286bd0"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element name="TaxCatchAll" ma:index="13" nillable="true" ma:displayName="Taxonomy Catch All Column" ma:hidden="true" ma:list="{9ae0e000-2bfe-436e-bf3a-a243a28c1c18}" ma:internalName="TaxCatchAll" ma:showField="CatchAllData" ma:web="e544e5cc-ab70-42e1-849e-1a0f8bb1f4ef">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hidden="true" ma:list="{9ae0e000-2bfe-436e-bf3a-a243a28c1c18}" ma:internalName="TaxCatchAllLabel" ma:readOnly="true" ma:showField="CatchAllDataLabel" ma:web="e544e5cc-ab70-42e1-849e-1a0f8bb1f4ef">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3a7eba2-7c75-424c-9682-3d9e41d868ee" elementFormDefault="qualified">
    <xsd:import namespace="http://schemas.microsoft.com/office/2006/documentManagement/types"/>
    <xsd:import namespace="http://schemas.microsoft.com/office/infopath/2007/PartnerControls"/>
    <xsd:element name="Pressure_x002f_Measure" ma:index="18" nillable="true" ma:displayName="Pressure/Measure" ma:internalName="Pressure_x002f_Measur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48D01E61E107C4DA4B97E380EA20D47|1757814118" UniqueId="f3269563-16d6-4c6e-bcec-78fd73168974">
      <p:Name>Auditing</p:Name>
      <p:Description>Audits user actions on documents and list items to the Audit Log.</p:Description>
      <p:CustomData>
        <Audit>
          <Update/>
          <View/>
          <CheckInOut/>
          <MoveCopy/>
          <DeleteRestore/>
        </Audit>
      </p:CustomData>
    </p:PolicyItem>
  </p:PolicyItems>
</p:Policy>
</file>

<file path=customXml/item4.xml><?xml version="1.0" encoding="utf-8"?>
<?mso-contentType ?>
<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Receivers>
</file>

<file path=customXml/item5.xml><?xml version="1.0" encoding="utf-8"?>
<p:properties xmlns:p="http://schemas.microsoft.com/office/2006/metadata/properties" xmlns:xsi="http://www.w3.org/2001/XMLSchema-instance" xmlns:pc="http://schemas.microsoft.com/office/infopath/2007/PartnerControls">
  <documentManagement>
    <lb508a4dc5e84436a0fe496b536466aa xmlns="e544e5cc-ab70-42e1-849e-1a0f8bb1f4ef">
      <Terms xmlns="http://schemas.microsoft.com/office/infopath/2007/PartnerControls">
        <TermInfo xmlns="http://schemas.microsoft.com/office/infopath/2007/PartnerControls">
          <TermName xmlns="http://schemas.microsoft.com/office/infopath/2007/PartnerControls">TSY RA-8748 - Retain as national archives</TermName>
          <TermId xmlns="http://schemas.microsoft.com/office/infopath/2007/PartnerControls">243f2231-dbfc-4282-b24a-c9b768286bd0</TermId>
        </TermInfo>
      </Terms>
    </lb508a4dc5e84436a0fe496b536466aa>
    <_dlc_DocId xmlns="e544e5cc-ab70-42e1-849e-1a0f8bb1f4ef">2017FG-94-5761</_dlc_DocId>
    <TaxCatchAll xmlns="e544e5cc-ab70-42e1-849e-1a0f8bb1f4ef">
      <Value>2</Value>
    </TaxCatchAll>
    <_dlc_DocIdUrl xmlns="e544e5cc-ab70-42e1-849e-1a0f8bb1f4ef">
      <Url>http://tweb/sites/fg/bpd/_layouts/15/DocIdRedir.aspx?ID=2017FG-94-5761</Url>
      <Description>2017FG-94-5761</Description>
    </_dlc_DocIdUrl>
    <IconOverlay xmlns="http://schemas.microsoft.com/sharepoint/v4" xsi:nil="true"/>
    <Pressure_x002f_Measure xmlns="43a7eba2-7c75-424c-9682-3d9e41d868ee" xsi:nil="true"/>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562FB-DD5A-4127-915F-8A8AFCBC28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544e5cc-ab70-42e1-849e-1a0f8bb1f4ef"/>
    <ds:schemaRef ds:uri="43a7eba2-7c75-424c-9682-3d9e41d868e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CEB21B4-BCA5-42BD-AA6B-624C892F0EB8}">
  <ds:schemaRefs>
    <ds:schemaRef ds:uri="http://schemas.microsoft.com/sharepoint/v3/contenttype/forms"/>
  </ds:schemaRefs>
</ds:datastoreItem>
</file>

<file path=customXml/itemProps3.xml><?xml version="1.0" encoding="utf-8"?>
<ds:datastoreItem xmlns:ds="http://schemas.openxmlformats.org/officeDocument/2006/customXml" ds:itemID="{641128D8-3224-4CD7-9F34-B3EEF61F096A}">
  <ds:schemaRefs>
    <ds:schemaRef ds:uri="office.server.policy"/>
  </ds:schemaRefs>
</ds:datastoreItem>
</file>

<file path=customXml/itemProps4.xml><?xml version="1.0" encoding="utf-8"?>
<ds:datastoreItem xmlns:ds="http://schemas.openxmlformats.org/officeDocument/2006/customXml" ds:itemID="{73E7CEC5-CF90-4397-860E-78C467888DC8}">
  <ds:schemaRefs>
    <ds:schemaRef ds:uri="http://schemas.microsoft.com/sharepoint/events"/>
  </ds:schemaRefs>
</ds:datastoreItem>
</file>

<file path=customXml/itemProps5.xml><?xml version="1.0" encoding="utf-8"?>
<ds:datastoreItem xmlns:ds="http://schemas.openxmlformats.org/officeDocument/2006/customXml" ds:itemID="{C63E3114-CF17-45ED-ABC2-DE47CC10FEA8}">
  <ds:schemaRefs>
    <ds:schemaRef ds:uri="http://schemas.microsoft.com/office/2006/metadata/properties"/>
    <ds:schemaRef ds:uri="http://schemas.microsoft.com/office/infopath/2007/PartnerControls"/>
    <ds:schemaRef ds:uri="e544e5cc-ab70-42e1-849e-1a0f8bb1f4ef"/>
    <ds:schemaRef ds:uri="http://schemas.microsoft.com/sharepoint/v4"/>
    <ds:schemaRef ds:uri="43a7eba2-7c75-424c-9682-3d9e41d868ee"/>
  </ds:schemaRefs>
</ds:datastoreItem>
</file>

<file path=customXml/itemProps6.xml><?xml version="1.0" encoding="utf-8"?>
<ds:datastoreItem xmlns:ds="http://schemas.openxmlformats.org/officeDocument/2006/customXml" ds:itemID="{CED87AE4-A4E9-4616-BD36-A81804F612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5788</Words>
  <Characters>32524</Characters>
  <Application>Microsoft Office Word</Application>
  <DocSecurity>0</DocSecurity>
  <Lines>742</Lines>
  <Paragraphs>186</Paragraphs>
  <ScaleCrop>false</ScaleCrop>
  <Company/>
  <LinksUpToDate>false</LinksUpToDate>
  <CharactersWithSpaces>38267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Law Council of Australia submission - 2017-18 Pre-Budget Submission</dc:title>
  <dc:creator/>
  <cp:lastModifiedBy/>
  <cp:revision>1</cp:revision>
  <dcterms:created xsi:type="dcterms:W3CDTF">2017-02-13T23:04:00Z</dcterms:created>
  <dcterms:modified xsi:type="dcterms:W3CDTF">2017-02-13T23:04:00Z</dcterms:modified>
  <dc:language>English</dc:language>
</cp:coreProperties>
</file>