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58FB9" w14:textId="77777777" w:rsidR="003564C5" w:rsidRPr="00AF329E" w:rsidRDefault="003564C5" w:rsidP="003564C5">
      <w:pPr>
        <w:spacing w:before="0" w:after="0" w:line="240" w:lineRule="auto"/>
        <w:rPr>
          <w:sz w:val="32"/>
          <w:szCs w:val="32"/>
          <w:lang w:val="en-AU"/>
        </w:rPr>
        <w:sectPr w:rsidR="003564C5" w:rsidRPr="00AF329E" w:rsidSect="003564C5">
          <w:headerReference w:type="even" r:id="rId14"/>
          <w:headerReference w:type="default" r:id="rId15"/>
          <w:footerReference w:type="even" r:id="rId16"/>
          <w:footerReference w:type="default" r:id="rId17"/>
          <w:headerReference w:type="first" r:id="rId18"/>
          <w:endnotePr>
            <w:numFmt w:val="decimal"/>
          </w:endnotePr>
          <w:pgSz w:w="11900" w:h="16840"/>
          <w:pgMar w:top="720" w:right="720" w:bottom="720" w:left="720" w:header="708" w:footer="708" w:gutter="0"/>
          <w:cols w:space="708"/>
          <w:titlePg/>
          <w:docGrid w:linePitch="272"/>
        </w:sectPr>
      </w:pPr>
      <w:bookmarkStart w:id="0" w:name="_GoBack"/>
      <w:bookmarkEnd w:id="0"/>
      <w:r w:rsidRPr="00AF329E">
        <w:rPr>
          <w:noProof/>
          <w:lang w:val="en-AU" w:eastAsia="en-AU"/>
        </w:rPr>
        <mc:AlternateContent>
          <mc:Choice Requires="wps">
            <w:drawing>
              <wp:anchor distT="0" distB="0" distL="114300" distR="114300" simplePos="0" relativeHeight="251662336" behindDoc="0" locked="0" layoutInCell="1" allowOverlap="1" wp14:anchorId="768287E4" wp14:editId="08A41CC9">
                <wp:simplePos x="0" y="0"/>
                <wp:positionH relativeFrom="column">
                  <wp:posOffset>427990</wp:posOffset>
                </wp:positionH>
                <wp:positionV relativeFrom="paragraph">
                  <wp:posOffset>3658870</wp:posOffset>
                </wp:positionV>
                <wp:extent cx="5901690" cy="371348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5901690" cy="37134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9E32C9" w14:textId="77777777" w:rsidR="00993586" w:rsidRDefault="00993586" w:rsidP="003564C5">
                            <w:pPr>
                              <w:rPr>
                                <w:lang w:val="en-AU"/>
                              </w:rPr>
                            </w:pPr>
                          </w:p>
                          <w:p w14:paraId="0C0F2A94" w14:textId="77777777" w:rsidR="00993586" w:rsidRPr="00180210" w:rsidRDefault="00993586" w:rsidP="003564C5">
                            <w:pPr>
                              <w:spacing w:before="0" w:after="0" w:line="240" w:lineRule="auto"/>
                              <w:rPr>
                                <w:b/>
                                <w:color w:val="FFFFFF" w:themeColor="background1"/>
                                <w:sz w:val="72"/>
                                <w:szCs w:val="72"/>
                                <w:lang w:val="en-AU"/>
                              </w:rPr>
                            </w:pPr>
                            <w:r w:rsidRPr="00180210">
                              <w:rPr>
                                <w:b/>
                                <w:color w:val="FFFFFF" w:themeColor="background1"/>
                                <w:sz w:val="72"/>
                                <w:szCs w:val="72"/>
                                <w:lang w:val="en-AU"/>
                              </w:rPr>
                              <w:t>Family Matters</w:t>
                            </w:r>
                          </w:p>
                          <w:p w14:paraId="3CE1366C" w14:textId="77777777" w:rsidR="00993586" w:rsidRPr="00180210" w:rsidRDefault="00993586" w:rsidP="003564C5">
                            <w:pPr>
                              <w:spacing w:before="0" w:after="0" w:line="240" w:lineRule="auto"/>
                              <w:rPr>
                                <w:b/>
                                <w:color w:val="FFFFFF" w:themeColor="background1"/>
                                <w:sz w:val="120"/>
                                <w:szCs w:val="120"/>
                                <w:lang w:val="en-AU"/>
                              </w:rPr>
                            </w:pPr>
                            <w:r w:rsidRPr="00180210">
                              <w:rPr>
                                <w:b/>
                                <w:color w:val="FFFFFF" w:themeColor="background1"/>
                                <w:sz w:val="120"/>
                                <w:szCs w:val="120"/>
                                <w:lang w:val="en-AU"/>
                              </w:rPr>
                              <w:t xml:space="preserve">SUBMISSION </w:t>
                            </w:r>
                          </w:p>
                          <w:p w14:paraId="26F1B217" w14:textId="77777777" w:rsidR="00993586" w:rsidRPr="00180210" w:rsidRDefault="00993586" w:rsidP="003564C5">
                            <w:pPr>
                              <w:spacing w:before="0" w:after="0" w:line="240" w:lineRule="auto"/>
                              <w:rPr>
                                <w:b/>
                                <w:color w:val="FFFFFF" w:themeColor="background1"/>
                                <w:sz w:val="60"/>
                                <w:szCs w:val="60"/>
                                <w:lang w:val="en-AU"/>
                              </w:rPr>
                            </w:pPr>
                            <w:r w:rsidRPr="00180210">
                              <w:rPr>
                                <w:b/>
                                <w:color w:val="FFFFFF" w:themeColor="background1"/>
                                <w:sz w:val="60"/>
                                <w:szCs w:val="60"/>
                                <w:lang w:val="en-AU"/>
                              </w:rPr>
                              <w:t xml:space="preserve">TO THE 2017-18 FEDERAL BUDGET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3.7pt;margin-top:288.1pt;width:464.7pt;height:29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" filled="f" stroked="f">
                <v:textbox>
                  <w:txbxContent>
                    <w:p w14:paraId="6C9E32C9" w14:textId="77777777" w:rsidR="00993586" w:rsidRDefault="00993586" w:rsidP="003564C5">
                      <w:pPr>
                        <w:rPr>
                          <w:lang w:val="en-AU"/>
                        </w:rPr>
                      </w:pPr>
                    </w:p>
                    <w:p w14:paraId="0C0F2A94" w14:textId="77777777" w:rsidR="00993586" w:rsidRPr="00180210" w:rsidRDefault="00993586" w:rsidP="003564C5">
                      <w:pPr>
                        <w:spacing w:before="0" w:after="0" w:line="240" w:lineRule="auto"/>
                        <w:rPr>
                          <w:b/>
                          <w:color w:val="FFFFFF" w:themeColor="background1"/>
                          <w:sz w:val="72"/>
                          <w:szCs w:val="72"/>
                          <w:lang w:val="en-AU"/>
                        </w:rPr>
                      </w:pPr>
                      <w:r w:rsidRPr="00180210">
                        <w:rPr>
                          <w:b/>
                          <w:color w:val="FFFFFF" w:themeColor="background1"/>
                          <w:sz w:val="72"/>
                          <w:szCs w:val="72"/>
                          <w:lang w:val="en-AU"/>
                        </w:rPr>
                        <w:t>Family Matters</w:t>
                      </w:r>
                    </w:p>
                    <w:p w14:paraId="3CE1366C" w14:textId="77777777" w:rsidR="00993586" w:rsidRPr="00180210" w:rsidRDefault="00993586" w:rsidP="003564C5">
                      <w:pPr>
                        <w:spacing w:before="0" w:after="0" w:line="240" w:lineRule="auto"/>
                        <w:rPr>
                          <w:b/>
                          <w:color w:val="FFFFFF" w:themeColor="background1"/>
                          <w:sz w:val="120"/>
                          <w:szCs w:val="120"/>
                          <w:lang w:val="en-AU"/>
                        </w:rPr>
                      </w:pPr>
                      <w:r w:rsidRPr="00180210">
                        <w:rPr>
                          <w:b/>
                          <w:color w:val="FFFFFF" w:themeColor="background1"/>
                          <w:sz w:val="120"/>
                          <w:szCs w:val="120"/>
                          <w:lang w:val="en-AU"/>
                        </w:rPr>
                        <w:t xml:space="preserve">SUBMISSION </w:t>
                      </w:r>
                    </w:p>
                    <w:p w14:paraId="26F1B217" w14:textId="77777777" w:rsidR="00993586" w:rsidRPr="00180210" w:rsidRDefault="00993586" w:rsidP="003564C5">
                      <w:pPr>
                        <w:spacing w:before="0" w:after="0" w:line="240" w:lineRule="auto"/>
                        <w:rPr>
                          <w:b/>
                          <w:color w:val="FFFFFF" w:themeColor="background1"/>
                          <w:sz w:val="60"/>
                          <w:szCs w:val="60"/>
                          <w:lang w:val="en-AU"/>
                        </w:rPr>
                      </w:pPr>
                      <w:r w:rsidRPr="00180210">
                        <w:rPr>
                          <w:b/>
                          <w:color w:val="FFFFFF" w:themeColor="background1"/>
                          <w:sz w:val="60"/>
                          <w:szCs w:val="60"/>
                          <w:lang w:val="en-AU"/>
                        </w:rPr>
                        <w:t xml:space="preserve">TO THE 2017-18 FEDERAL BUDGET </w:t>
                      </w:r>
                    </w:p>
                  </w:txbxContent>
                </v:textbox>
                <w10:wrap type="square"/>
              </v:shape>
            </w:pict>
          </mc:Fallback>
        </mc:AlternateContent>
      </w:r>
      <w:r w:rsidRPr="00AF329E">
        <w:rPr>
          <w:noProof/>
          <w:lang w:val="en-AU" w:eastAsia="en-AU"/>
        </w:rPr>
        <w:drawing>
          <wp:anchor distT="0" distB="0" distL="114300" distR="114300" simplePos="0" relativeHeight="251661312" behindDoc="0" locked="0" layoutInCell="1" allowOverlap="1" wp14:anchorId="1AF0EE50" wp14:editId="27F33BBF">
            <wp:simplePos x="0" y="0"/>
            <wp:positionH relativeFrom="column">
              <wp:posOffset>-15240</wp:posOffset>
            </wp:positionH>
            <wp:positionV relativeFrom="paragraph">
              <wp:posOffset>3053080</wp:posOffset>
            </wp:positionV>
            <wp:extent cx="6656400" cy="6120000"/>
            <wp:effectExtent l="0" t="0" r="0" b="1905"/>
            <wp:wrapTight wrapText="bothSides">
              <wp:wrapPolygon edited="0">
                <wp:start x="0" y="0"/>
                <wp:lineTo x="0" y="21517"/>
                <wp:lineTo x="21513" y="21517"/>
                <wp:lineTo x="21513" y="0"/>
                <wp:lineTo x="0" y="0"/>
              </wp:wrapPolygon>
            </wp:wrapTight>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FM_Background_Orange_CMYK.jpg"/>
                    <pic:cNvPicPr/>
                  </pic:nvPicPr>
                  <pic:blipFill>
                    <a:blip r:embed="rId19" cstate="email">
                      <a:extLst>
                        <a:ext uri="{28A0092B-C50C-407E-A947-70E740481C1C}">
                          <a14:useLocalDpi xmlns:a14="http://schemas.microsoft.com/office/drawing/2010/main"/>
                        </a:ext>
                      </a:extLst>
                    </a:blip>
                    <a:stretch>
                      <a:fillRect/>
                    </a:stretch>
                  </pic:blipFill>
                  <pic:spPr>
                    <a:xfrm>
                      <a:off x="0" y="0"/>
                      <a:ext cx="6656400" cy="6120000"/>
                    </a:xfrm>
                    <a:prstGeom prst="rect">
                      <a:avLst/>
                    </a:prstGeom>
                  </pic:spPr>
                </pic:pic>
              </a:graphicData>
            </a:graphic>
            <wp14:sizeRelH relativeFrom="margin">
              <wp14:pctWidth>0</wp14:pctWidth>
            </wp14:sizeRelH>
            <wp14:sizeRelV relativeFrom="margin">
              <wp14:pctHeight>0</wp14:pctHeight>
            </wp14:sizeRelV>
          </wp:anchor>
        </w:drawing>
      </w:r>
      <w:r w:rsidRPr="00AF329E">
        <w:rPr>
          <w:noProof/>
          <w:lang w:val="en-AU" w:eastAsia="en-AU"/>
        </w:rPr>
        <mc:AlternateContent>
          <mc:Choice Requires="wps">
            <w:drawing>
              <wp:anchor distT="0" distB="0" distL="114300" distR="114300" simplePos="0" relativeHeight="251663360" behindDoc="0" locked="0" layoutInCell="1" allowOverlap="1" wp14:anchorId="3947C935" wp14:editId="11FEC049">
                <wp:simplePos x="0" y="0"/>
                <wp:positionH relativeFrom="column">
                  <wp:posOffset>-12065</wp:posOffset>
                </wp:positionH>
                <wp:positionV relativeFrom="paragraph">
                  <wp:posOffset>2708910</wp:posOffset>
                </wp:positionV>
                <wp:extent cx="6655435" cy="205740"/>
                <wp:effectExtent l="0" t="0" r="24765" b="22860"/>
                <wp:wrapThrough wrapText="bothSides">
                  <wp:wrapPolygon edited="0">
                    <wp:start x="0" y="0"/>
                    <wp:lineTo x="0" y="21333"/>
                    <wp:lineTo x="21598" y="21333"/>
                    <wp:lineTo x="21598" y="0"/>
                    <wp:lineTo x="0" y="0"/>
                  </wp:wrapPolygon>
                </wp:wrapThrough>
                <wp:docPr id="11" name="Rectangle 11"/>
                <wp:cNvGraphicFramePr/>
                <a:graphic xmlns:a="http://schemas.openxmlformats.org/drawingml/2006/main">
                  <a:graphicData uri="http://schemas.microsoft.com/office/word/2010/wordprocessingShape">
                    <wps:wsp>
                      <wps:cNvSpPr/>
                      <wps:spPr>
                        <a:xfrm>
                          <a:off x="0" y="0"/>
                          <a:ext cx="6655435" cy="2057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11" o:spid="_x0000_s1026" style="position:absolute;margin-left:-.9pt;margin-top:213.3pt;width:524.05pt;height:1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" fillcolor="#9a3429 [3204]" strokecolor="#4c1914 [1604]" strokeweight="1pt">
                <w10:wrap type="through"/>
              </v:rect>
            </w:pict>
          </mc:Fallback>
        </mc:AlternateContent>
      </w:r>
      <w:r w:rsidRPr="00AF329E">
        <w:rPr>
          <w:noProof/>
          <w:lang w:val="en-AU" w:eastAsia="en-AU"/>
        </w:rPr>
        <w:drawing>
          <wp:anchor distT="0" distB="0" distL="0" distR="0" simplePos="0" relativeHeight="251660288" behindDoc="0" locked="0" layoutInCell="1" allowOverlap="1" wp14:anchorId="752375AD" wp14:editId="6C6660C9">
            <wp:simplePos x="0" y="0"/>
            <wp:positionH relativeFrom="column">
              <wp:posOffset>-12065</wp:posOffset>
            </wp:positionH>
            <wp:positionV relativeFrom="paragraph">
              <wp:posOffset>27305</wp:posOffset>
            </wp:positionV>
            <wp:extent cx="6656070" cy="2555875"/>
            <wp:effectExtent l="0" t="0" r="0" b="9525"/>
            <wp:wrapTight wrapText="bothSides">
              <wp:wrapPolygon edited="0">
                <wp:start x="0" y="0"/>
                <wp:lineTo x="0" y="21466"/>
                <wp:lineTo x="21513" y="21466"/>
                <wp:lineTo x="215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screen">
                      <a:extLst>
                        <a:ext uri="{28A0092B-C50C-407E-A947-70E740481C1C}">
                          <a14:useLocalDpi xmlns:a14="http://schemas.microsoft.com/office/drawing/2010/main"/>
                        </a:ext>
                      </a:extLst>
                    </a:blip>
                    <a:stretch>
                      <a:fillRect/>
                    </a:stretch>
                  </pic:blipFill>
                  <pic:spPr>
                    <a:xfrm>
                      <a:off x="0" y="0"/>
                      <a:ext cx="6656070" cy="2555875"/>
                    </a:xfrm>
                    <a:prstGeom prst="rect">
                      <a:avLst/>
                    </a:prstGeom>
                  </pic:spPr>
                </pic:pic>
              </a:graphicData>
            </a:graphic>
            <wp14:sizeRelH relativeFrom="margin">
              <wp14:pctWidth>0</wp14:pctWidth>
            </wp14:sizeRelH>
            <wp14:sizeRelV relativeFrom="margin">
              <wp14:pctHeight>0</wp14:pctHeight>
            </wp14:sizeRelV>
          </wp:anchor>
        </w:drawing>
      </w:r>
      <w:r w:rsidRPr="00AF329E">
        <w:rPr>
          <w:noProof/>
          <w:lang w:val="en-AU" w:eastAsia="en-AU"/>
        </w:rPr>
        <mc:AlternateContent>
          <mc:Choice Requires="wps">
            <w:drawing>
              <wp:anchor distT="0" distB="0" distL="114300" distR="114300" simplePos="0" relativeHeight="251659264" behindDoc="0" locked="0" layoutInCell="1" allowOverlap="1" wp14:anchorId="2E9BF170" wp14:editId="2F8A1740">
                <wp:simplePos x="0" y="0"/>
                <wp:positionH relativeFrom="column">
                  <wp:posOffset>-12065</wp:posOffset>
                </wp:positionH>
                <wp:positionV relativeFrom="paragraph">
                  <wp:posOffset>-313690</wp:posOffset>
                </wp:positionV>
                <wp:extent cx="6655435" cy="205740"/>
                <wp:effectExtent l="0" t="0" r="24765" b="22860"/>
                <wp:wrapThrough wrapText="bothSides">
                  <wp:wrapPolygon edited="0">
                    <wp:start x="0" y="0"/>
                    <wp:lineTo x="0" y="21333"/>
                    <wp:lineTo x="21598" y="21333"/>
                    <wp:lineTo x="21598" y="0"/>
                    <wp:lineTo x="0" y="0"/>
                  </wp:wrapPolygon>
                </wp:wrapThrough>
                <wp:docPr id="6" name="Rectangle 6"/>
                <wp:cNvGraphicFramePr/>
                <a:graphic xmlns:a="http://schemas.openxmlformats.org/drawingml/2006/main">
                  <a:graphicData uri="http://schemas.microsoft.com/office/word/2010/wordprocessingShape">
                    <wps:wsp>
                      <wps:cNvSpPr/>
                      <wps:spPr>
                        <a:xfrm>
                          <a:off x="0" y="0"/>
                          <a:ext cx="6655435" cy="2057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6" o:spid="_x0000_s1026" style="position:absolute;margin-left:-.9pt;margin-top:-24.65pt;width:524.05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" fillcolor="#9a3429 [3204]" strokecolor="#4c1914 [1604]" strokeweight="1pt">
                <w10:wrap type="through"/>
              </v:rect>
            </w:pict>
          </mc:Fallback>
        </mc:AlternateContent>
      </w:r>
    </w:p>
    <w:p w14:paraId="60E764C7" w14:textId="77777777" w:rsidR="003564C5" w:rsidRPr="00AF329E" w:rsidRDefault="003564C5" w:rsidP="003564C5">
      <w:pPr>
        <w:pStyle w:val="Heading2"/>
        <w:rPr>
          <w:b/>
          <w:color w:val="73261E" w:themeColor="accent1" w:themeShade="BF"/>
          <w:sz w:val="32"/>
          <w:szCs w:val="32"/>
          <w:lang w:val="en-AU"/>
        </w:rPr>
      </w:pPr>
      <w:r w:rsidRPr="00AF329E">
        <w:rPr>
          <w:b/>
          <w:color w:val="73261E" w:themeColor="accent1" w:themeShade="BF"/>
          <w:sz w:val="32"/>
          <w:szCs w:val="32"/>
          <w:lang w:val="en-AU"/>
        </w:rPr>
        <w:lastRenderedPageBreak/>
        <w:t>About Family Matters</w:t>
      </w:r>
    </w:p>
    <w:p w14:paraId="28120574" w14:textId="77777777" w:rsidR="003564C5" w:rsidRPr="00AF329E" w:rsidRDefault="003564C5" w:rsidP="003564C5">
      <w:pPr>
        <w:rPr>
          <w:i/>
          <w:lang w:val="en-AU"/>
        </w:rPr>
      </w:pPr>
    </w:p>
    <w:p w14:paraId="566800D7" w14:textId="387625F1" w:rsidR="003564C5" w:rsidRPr="00AF329E" w:rsidRDefault="003564C5" w:rsidP="003564C5">
      <w:pPr>
        <w:rPr>
          <w:lang w:val="en-AU"/>
        </w:rPr>
      </w:pPr>
      <w:r w:rsidRPr="00AF329E">
        <w:rPr>
          <w:i/>
          <w:lang w:val="en-AU"/>
        </w:rPr>
        <w:t xml:space="preserve">Family Matters </w:t>
      </w:r>
      <w:r w:rsidR="00F37234" w:rsidRPr="00AF329E">
        <w:rPr>
          <w:i/>
          <w:lang w:val="en-AU"/>
        </w:rPr>
        <w:t>–</w:t>
      </w:r>
      <w:r w:rsidRPr="00AF329E">
        <w:rPr>
          <w:i/>
          <w:lang w:val="en-AU"/>
        </w:rPr>
        <w:t xml:space="preserve"> Strong Communities. Strong Culture. Stronger Children.</w:t>
      </w:r>
      <w:r w:rsidRPr="00AF329E">
        <w:rPr>
          <w:lang w:val="en-AU"/>
        </w:rPr>
        <w:t xml:space="preserve"> is Australia’s national campaign to ensure Aboriginal and Torres Strait Islander children and young people grow up safe and cared for in family, community and culture.</w:t>
      </w:r>
    </w:p>
    <w:p w14:paraId="6EF51FCE" w14:textId="77777777" w:rsidR="003564C5" w:rsidRPr="00AF329E" w:rsidRDefault="003564C5" w:rsidP="003564C5">
      <w:pPr>
        <w:rPr>
          <w:lang w:val="en-AU"/>
        </w:rPr>
      </w:pPr>
      <w:r w:rsidRPr="00AF329E">
        <w:rPr>
          <w:lang w:val="en-AU"/>
        </w:rPr>
        <w:t>Family Matters aims to eliminate the over-representation of Aboriginal and Torres Strait Islander children in out-of-home care by 2040.</w:t>
      </w:r>
    </w:p>
    <w:p w14:paraId="4CD20AA9" w14:textId="0595754F" w:rsidR="003564C5" w:rsidRPr="00AF329E" w:rsidRDefault="003564C5" w:rsidP="003564C5">
      <w:pPr>
        <w:rPr>
          <w:lang w:val="en-AU"/>
        </w:rPr>
      </w:pPr>
      <w:r w:rsidRPr="00AF329E">
        <w:rPr>
          <w:lang w:val="en-AU"/>
        </w:rPr>
        <w:t>Family Matters is led by SNAICC – National Voice for our Children</w:t>
      </w:r>
      <w:r w:rsidR="00DA0B82" w:rsidRPr="00AF329E">
        <w:rPr>
          <w:lang w:val="en-AU"/>
        </w:rPr>
        <w:t xml:space="preserve"> (SNAICC)</w:t>
      </w:r>
      <w:r w:rsidRPr="00AF329E">
        <w:rPr>
          <w:lang w:val="en-AU"/>
        </w:rPr>
        <w:t xml:space="preserve"> and is supported by a Strategic Alliance of over 150 Aboriginal and Torres Strait Islander and non-Indigenous organisations, leading academics and prominent educational institutions.</w:t>
      </w:r>
    </w:p>
    <w:p w14:paraId="30EFD3BB" w14:textId="77777777" w:rsidR="003564C5" w:rsidRPr="00AF329E" w:rsidRDefault="003564C5" w:rsidP="003564C5">
      <w:pPr>
        <w:rPr>
          <w:lang w:val="en-AU"/>
        </w:rPr>
      </w:pPr>
    </w:p>
    <w:p w14:paraId="7B9A7AB5" w14:textId="77777777" w:rsidR="003564C5" w:rsidRPr="00AF329E" w:rsidRDefault="003564C5" w:rsidP="003564C5">
      <w:pPr>
        <w:pStyle w:val="Heading2"/>
        <w:rPr>
          <w:b/>
          <w:color w:val="73261E" w:themeColor="accent1" w:themeShade="BF"/>
          <w:sz w:val="32"/>
          <w:szCs w:val="32"/>
          <w:lang w:val="en-AU"/>
        </w:rPr>
      </w:pPr>
      <w:r w:rsidRPr="00AF329E">
        <w:rPr>
          <w:b/>
          <w:color w:val="73261E" w:themeColor="accent1" w:themeShade="BF"/>
          <w:sz w:val="32"/>
          <w:szCs w:val="32"/>
          <w:lang w:val="en-AU"/>
        </w:rPr>
        <w:t>ACKNOWLEDGEMENTS</w:t>
      </w:r>
    </w:p>
    <w:p w14:paraId="7062606C" w14:textId="77777777" w:rsidR="003564C5" w:rsidRPr="00AF329E" w:rsidRDefault="003564C5" w:rsidP="003564C5">
      <w:pPr>
        <w:rPr>
          <w:lang w:val="en-AU"/>
        </w:rPr>
      </w:pPr>
    </w:p>
    <w:p w14:paraId="0919F404" w14:textId="3F38E8FE" w:rsidR="003564C5" w:rsidRPr="00AF329E" w:rsidRDefault="003564C5" w:rsidP="003564C5">
      <w:pPr>
        <w:rPr>
          <w:lang w:val="en-AU"/>
        </w:rPr>
      </w:pPr>
      <w:r w:rsidRPr="00AF329E">
        <w:rPr>
          <w:lang w:val="en-AU"/>
        </w:rPr>
        <w:t>The Family Matters Submission to the 2017-18 Federal Budget was developed with leadersh</w:t>
      </w:r>
      <w:r w:rsidR="004253A2">
        <w:rPr>
          <w:lang w:val="en-AU"/>
        </w:rPr>
        <w:t>ip fro</w:t>
      </w:r>
      <w:r w:rsidRPr="00AF329E">
        <w:rPr>
          <w:lang w:val="en-AU"/>
        </w:rPr>
        <w:t>m SNAICC – National Voice for our Children and Save the Children Australia, in close consultation with the campaign’s national Policy &amp; Advocacy Working Group.</w:t>
      </w:r>
    </w:p>
    <w:p w14:paraId="43B2FCC5" w14:textId="24710AD2" w:rsidR="003564C5" w:rsidRPr="00AF329E" w:rsidRDefault="003564C5" w:rsidP="003564C5">
      <w:pPr>
        <w:rPr>
          <w:lang w:val="en-AU"/>
        </w:rPr>
      </w:pPr>
      <w:r w:rsidRPr="00AF329E">
        <w:rPr>
          <w:lang w:val="en-AU"/>
        </w:rPr>
        <w:t>SNAICC and the Family Matters Co-Chairs would like to acknowledge the depth of knowledge, research expertise and strategic advice contributed to this submission by all members of the Family Matters Policy &amp; Advocacy Working Group and by members of the campaign’s national steering committee, the Champions Group.</w:t>
      </w:r>
    </w:p>
    <w:p w14:paraId="4497D7B3" w14:textId="77777777" w:rsidR="003564C5" w:rsidRPr="00AF329E" w:rsidRDefault="003564C5" w:rsidP="003564C5">
      <w:pPr>
        <w:rPr>
          <w:lang w:val="en-AU"/>
        </w:rPr>
      </w:pPr>
      <w:r w:rsidRPr="00AF329E">
        <w:rPr>
          <w:lang w:val="en-AU"/>
        </w:rPr>
        <w:t>Front Cover Photography: Wayne Quilliam</w:t>
      </w:r>
    </w:p>
    <w:p w14:paraId="103AC878" w14:textId="1FB8F0C2" w:rsidR="003564C5" w:rsidRPr="00AF329E" w:rsidRDefault="003564C5" w:rsidP="003564C5">
      <w:pPr>
        <w:rPr>
          <w:lang w:val="en-AU"/>
        </w:rPr>
      </w:pPr>
      <w:r w:rsidRPr="00AF329E">
        <w:rPr>
          <w:lang w:val="en-AU"/>
        </w:rPr>
        <w:t>For further information, please contact:</w:t>
      </w:r>
    </w:p>
    <w:p w14:paraId="3A296049" w14:textId="6639BD50" w:rsidR="003564C5" w:rsidRPr="00AF329E" w:rsidRDefault="003564C5" w:rsidP="003564C5">
      <w:pPr>
        <w:rPr>
          <w:lang w:val="en-AU"/>
        </w:rPr>
      </w:pPr>
      <w:r w:rsidRPr="00AF329E">
        <w:rPr>
          <w:lang w:val="en-AU"/>
        </w:rPr>
        <w:t>Family Matters, c/o SNAICC</w:t>
      </w:r>
      <w:r w:rsidR="002F4F6C" w:rsidRPr="00AF329E">
        <w:rPr>
          <w:lang w:val="en-AU"/>
        </w:rPr>
        <w:t xml:space="preserve"> –</w:t>
      </w:r>
      <w:r w:rsidRPr="00AF329E">
        <w:rPr>
          <w:lang w:val="en-AU"/>
        </w:rPr>
        <w:t xml:space="preserve"> National Voice for our Children</w:t>
      </w:r>
    </w:p>
    <w:p w14:paraId="605FAF4D" w14:textId="77777777" w:rsidR="003564C5" w:rsidRPr="00AF329E" w:rsidRDefault="001F1AED" w:rsidP="003564C5">
      <w:pPr>
        <w:rPr>
          <w:lang w:val="en-AU"/>
        </w:rPr>
      </w:pPr>
      <w:hyperlink r:id="rId21" w:history="1">
        <w:r w:rsidR="003564C5" w:rsidRPr="00AF329E">
          <w:rPr>
            <w:rStyle w:val="Hyperlink"/>
            <w:lang w:val="en-AU"/>
          </w:rPr>
          <w:t>familymatters@snaicc.org.au</w:t>
        </w:r>
      </w:hyperlink>
    </w:p>
    <w:p w14:paraId="51D5148F" w14:textId="77777777" w:rsidR="003564C5" w:rsidRPr="00AF329E" w:rsidRDefault="003564C5" w:rsidP="003564C5">
      <w:pPr>
        <w:rPr>
          <w:lang w:val="en-AU"/>
        </w:rPr>
      </w:pPr>
    </w:p>
    <w:p w14:paraId="70ECE66B" w14:textId="77777777" w:rsidR="003564C5" w:rsidRPr="00AF329E" w:rsidRDefault="003564C5">
      <w:pPr>
        <w:rPr>
          <w:caps/>
          <w:spacing w:val="15"/>
          <w:sz w:val="32"/>
          <w:szCs w:val="32"/>
          <w:lang w:val="en-AU"/>
        </w:rPr>
      </w:pPr>
      <w:r w:rsidRPr="00AF329E">
        <w:rPr>
          <w:sz w:val="32"/>
          <w:szCs w:val="32"/>
          <w:lang w:val="en-AU"/>
        </w:rPr>
        <w:br w:type="page"/>
      </w:r>
    </w:p>
    <w:p w14:paraId="6B112144" w14:textId="01E8F2F9" w:rsidR="00C401CE" w:rsidRPr="00AF329E" w:rsidRDefault="00C401CE" w:rsidP="00C401CE">
      <w:pPr>
        <w:pStyle w:val="Heading2"/>
        <w:rPr>
          <w:b/>
          <w:color w:val="73261E" w:themeColor="accent1" w:themeShade="BF"/>
          <w:sz w:val="32"/>
          <w:szCs w:val="32"/>
          <w:lang w:val="en-AU"/>
        </w:rPr>
      </w:pPr>
      <w:r w:rsidRPr="00AF329E">
        <w:rPr>
          <w:b/>
          <w:color w:val="73261E" w:themeColor="accent1" w:themeShade="BF"/>
          <w:sz w:val="32"/>
          <w:szCs w:val="32"/>
          <w:lang w:val="en-AU"/>
        </w:rPr>
        <w:lastRenderedPageBreak/>
        <w:t>Introduction</w:t>
      </w:r>
    </w:p>
    <w:p w14:paraId="760DC4CC" w14:textId="10E9846B" w:rsidR="00831FC7" w:rsidRPr="00AF329E" w:rsidRDefault="000D4E47" w:rsidP="00C401CE">
      <w:pPr>
        <w:rPr>
          <w:lang w:val="en-AU"/>
        </w:rPr>
      </w:pPr>
      <w:r w:rsidRPr="00AF329E">
        <w:rPr>
          <w:i/>
          <w:lang w:val="en-AU"/>
        </w:rPr>
        <w:t xml:space="preserve">Family Matters – </w:t>
      </w:r>
      <w:r w:rsidR="00351C6C" w:rsidRPr="00AF329E">
        <w:rPr>
          <w:i/>
          <w:lang w:val="en-AU"/>
        </w:rPr>
        <w:t>S</w:t>
      </w:r>
      <w:r w:rsidRPr="00AF329E">
        <w:rPr>
          <w:i/>
          <w:lang w:val="en-AU"/>
        </w:rPr>
        <w:t xml:space="preserve">trong </w:t>
      </w:r>
      <w:r w:rsidR="00351C6C" w:rsidRPr="00AF329E">
        <w:rPr>
          <w:i/>
          <w:lang w:val="en-AU"/>
        </w:rPr>
        <w:t>C</w:t>
      </w:r>
      <w:r w:rsidRPr="00AF329E">
        <w:rPr>
          <w:i/>
          <w:lang w:val="en-AU"/>
        </w:rPr>
        <w:t>ommunities</w:t>
      </w:r>
      <w:r w:rsidR="00351C6C" w:rsidRPr="00AF329E">
        <w:rPr>
          <w:i/>
          <w:lang w:val="en-AU"/>
        </w:rPr>
        <w:t>.</w:t>
      </w:r>
      <w:r w:rsidR="00B40A9A" w:rsidRPr="00AF329E">
        <w:rPr>
          <w:i/>
          <w:lang w:val="en-AU"/>
        </w:rPr>
        <w:t xml:space="preserve"> </w:t>
      </w:r>
      <w:r w:rsidR="00351C6C" w:rsidRPr="00AF329E">
        <w:rPr>
          <w:i/>
          <w:lang w:val="en-AU"/>
        </w:rPr>
        <w:t>S</w:t>
      </w:r>
      <w:r w:rsidR="00B40A9A" w:rsidRPr="00AF329E">
        <w:rPr>
          <w:i/>
          <w:lang w:val="en-AU"/>
        </w:rPr>
        <w:t>trong</w:t>
      </w:r>
      <w:r w:rsidRPr="00AF329E">
        <w:rPr>
          <w:i/>
          <w:lang w:val="en-AU"/>
        </w:rPr>
        <w:t xml:space="preserve"> </w:t>
      </w:r>
      <w:r w:rsidR="00BF17A6">
        <w:rPr>
          <w:i/>
          <w:lang w:val="en-AU"/>
        </w:rPr>
        <w:t>Culture</w:t>
      </w:r>
      <w:r w:rsidR="00351C6C" w:rsidRPr="00AF329E">
        <w:rPr>
          <w:i/>
          <w:lang w:val="en-AU"/>
        </w:rPr>
        <w:t>.</w:t>
      </w:r>
      <w:r w:rsidR="00B40A9A" w:rsidRPr="00AF329E">
        <w:rPr>
          <w:i/>
          <w:lang w:val="en-AU"/>
        </w:rPr>
        <w:t xml:space="preserve"> </w:t>
      </w:r>
      <w:r w:rsidR="00351C6C" w:rsidRPr="00AF329E">
        <w:rPr>
          <w:i/>
          <w:lang w:val="en-AU"/>
        </w:rPr>
        <w:t>S</w:t>
      </w:r>
      <w:r w:rsidR="00B40A9A" w:rsidRPr="00AF329E">
        <w:rPr>
          <w:i/>
          <w:lang w:val="en-AU"/>
        </w:rPr>
        <w:t xml:space="preserve">tronger </w:t>
      </w:r>
      <w:r w:rsidR="00351C6C" w:rsidRPr="00AF329E">
        <w:rPr>
          <w:i/>
          <w:lang w:val="en-AU"/>
        </w:rPr>
        <w:t>C</w:t>
      </w:r>
      <w:r w:rsidR="00B40A9A" w:rsidRPr="00AF329E">
        <w:rPr>
          <w:i/>
          <w:lang w:val="en-AU"/>
        </w:rPr>
        <w:t>hildren</w:t>
      </w:r>
      <w:r w:rsidR="00351C6C" w:rsidRPr="00AF329E">
        <w:rPr>
          <w:i/>
          <w:lang w:val="en-AU"/>
        </w:rPr>
        <w:t>.</w:t>
      </w:r>
      <w:r w:rsidR="00B40A9A" w:rsidRPr="00AF329E">
        <w:rPr>
          <w:i/>
          <w:lang w:val="en-AU"/>
        </w:rPr>
        <w:t xml:space="preserve"> </w:t>
      </w:r>
      <w:r w:rsidR="003433B9" w:rsidRPr="00AF329E">
        <w:rPr>
          <w:lang w:val="en-AU"/>
        </w:rPr>
        <w:t>brings together the</w:t>
      </w:r>
      <w:r w:rsidR="00CD12C6" w:rsidRPr="00AF329E">
        <w:rPr>
          <w:lang w:val="en-AU"/>
        </w:rPr>
        <w:t xml:space="preserve"> collective voice of Australian organisations, academics and leaders</w:t>
      </w:r>
      <w:r w:rsidR="003433B9" w:rsidRPr="00AF329E">
        <w:rPr>
          <w:lang w:val="en-AU"/>
        </w:rPr>
        <w:t xml:space="preserve"> </w:t>
      </w:r>
      <w:r w:rsidR="00CB5D5E" w:rsidRPr="00AF329E">
        <w:rPr>
          <w:lang w:val="en-AU"/>
        </w:rPr>
        <w:t xml:space="preserve">who </w:t>
      </w:r>
      <w:r w:rsidR="003433B9" w:rsidRPr="00AF329E">
        <w:rPr>
          <w:lang w:val="en-AU"/>
        </w:rPr>
        <w:t>are distressed at the persistent and escalating poor outcomes for Aboriginal and Torres Strait Islander</w:t>
      </w:r>
      <w:r w:rsidR="00CD12C6" w:rsidRPr="00AF329E">
        <w:rPr>
          <w:lang w:val="en-AU"/>
        </w:rPr>
        <w:t xml:space="preserve"> children across our country. The failure to promote and protect the rights of Aboriginal and Torres Strait Islander children is highlighted starkly in their 9.5 times and growing over-representation in Australia’s child protection systems.</w:t>
      </w:r>
      <w:r w:rsidR="00831FC7" w:rsidRPr="00AF329E">
        <w:rPr>
          <w:lang w:val="en-AU"/>
        </w:rPr>
        <w:t xml:space="preserve"> This over-representation reflects broader realities of poverty, discrimination and inter-generational trauma that are impacting our children and the families and communities that care for them. Systems, services and available supports are failing our children</w:t>
      </w:r>
      <w:r w:rsidR="00CB3ED0" w:rsidRPr="00AF329E">
        <w:rPr>
          <w:lang w:val="en-AU"/>
        </w:rPr>
        <w:t xml:space="preserve"> as evidenced by</w:t>
      </w:r>
      <w:r w:rsidR="00831FC7" w:rsidRPr="00AF329E">
        <w:rPr>
          <w:lang w:val="en-AU"/>
        </w:rPr>
        <w:t xml:space="preserve"> a context where </w:t>
      </w:r>
      <w:r w:rsidR="00CB5D5E" w:rsidRPr="00AF329E">
        <w:rPr>
          <w:lang w:val="en-AU"/>
        </w:rPr>
        <w:t>young Aboriginal and Torres Strait Islander children</w:t>
      </w:r>
      <w:r w:rsidR="00831FC7" w:rsidRPr="00AF329E">
        <w:rPr>
          <w:lang w:val="en-AU"/>
        </w:rPr>
        <w:t xml:space="preserve"> are twice as likely to be developmentally vulnerable</w:t>
      </w:r>
      <w:r w:rsidR="00CB5D5E" w:rsidRPr="00AF329E">
        <w:rPr>
          <w:lang w:val="en-AU"/>
        </w:rPr>
        <w:t xml:space="preserve"> as non-Indigenous children and far less likely to access universal and preventive services that could</w:t>
      </w:r>
      <w:r w:rsidR="00CB3ED0" w:rsidRPr="00AF329E">
        <w:rPr>
          <w:lang w:val="en-AU"/>
        </w:rPr>
        <w:t xml:space="preserve"> address issues and</w:t>
      </w:r>
      <w:r w:rsidR="00CB5D5E" w:rsidRPr="00AF329E">
        <w:rPr>
          <w:lang w:val="en-AU"/>
        </w:rPr>
        <w:t xml:space="preserve"> </w:t>
      </w:r>
      <w:r w:rsidR="00CB3ED0" w:rsidRPr="00AF329E">
        <w:rPr>
          <w:lang w:val="en-AU"/>
        </w:rPr>
        <w:t>support their potential.</w:t>
      </w:r>
      <w:r w:rsidR="001B4C65" w:rsidRPr="00AF329E">
        <w:rPr>
          <w:rStyle w:val="EndnoteReference"/>
          <w:lang w:val="en-AU"/>
        </w:rPr>
        <w:endnoteReference w:id="1"/>
      </w:r>
    </w:p>
    <w:p w14:paraId="34CD0CE3" w14:textId="3F465021" w:rsidR="001B4C65" w:rsidRPr="00AF329E" w:rsidRDefault="00CD12C6" w:rsidP="00C401CE">
      <w:pPr>
        <w:rPr>
          <w:lang w:val="en-AU"/>
        </w:rPr>
      </w:pPr>
      <w:r w:rsidRPr="00AF329E">
        <w:rPr>
          <w:lang w:val="en-AU"/>
        </w:rPr>
        <w:t>Aboriginal and Torres Strait Islander children have the right to grow up in nurturing and safe environments with the love and support</w:t>
      </w:r>
      <w:r w:rsidR="00831FC7" w:rsidRPr="00AF329E">
        <w:rPr>
          <w:lang w:val="en-AU"/>
        </w:rPr>
        <w:t xml:space="preserve"> of </w:t>
      </w:r>
      <w:r w:rsidR="00CB5D5E" w:rsidRPr="00AF329E">
        <w:rPr>
          <w:lang w:val="en-AU"/>
        </w:rPr>
        <w:t xml:space="preserve">their families and communities, grounded in and proud of their cultural identity and rich cultural heritage. </w:t>
      </w:r>
      <w:r w:rsidRPr="00AF329E">
        <w:rPr>
          <w:lang w:val="en-AU"/>
        </w:rPr>
        <w:t xml:space="preserve">All the evidence suggests that to </w:t>
      </w:r>
      <w:r w:rsidR="00CB5D5E" w:rsidRPr="00AF329E">
        <w:rPr>
          <w:lang w:val="en-AU"/>
        </w:rPr>
        <w:t>achieve this</w:t>
      </w:r>
      <w:r w:rsidRPr="00AF329E">
        <w:rPr>
          <w:lang w:val="en-AU"/>
        </w:rPr>
        <w:t xml:space="preserve"> we need to address the root causes of child </w:t>
      </w:r>
      <w:r w:rsidR="00831FC7" w:rsidRPr="00AF329E">
        <w:rPr>
          <w:lang w:val="en-AU"/>
        </w:rPr>
        <w:t xml:space="preserve">protection </w:t>
      </w:r>
      <w:r w:rsidR="00CB5D5E" w:rsidRPr="00AF329E">
        <w:rPr>
          <w:lang w:val="en-AU"/>
        </w:rPr>
        <w:t xml:space="preserve">intervention for Aboriginal and Torres Strait Islander children by taking action to heal and strengthen families and communities. Family Matters has completed a review of the evidence and extensive consultation with Aboriginal and Torres Strait Islander people, governments and the non-government sector to create a Roadmap for </w:t>
      </w:r>
      <w:r w:rsidR="0017139C" w:rsidRPr="00AF329E">
        <w:rPr>
          <w:lang w:val="en-AU"/>
        </w:rPr>
        <w:t xml:space="preserve">change </w:t>
      </w:r>
      <w:r w:rsidR="00CB5D5E" w:rsidRPr="00AF329E">
        <w:rPr>
          <w:lang w:val="en-AU"/>
        </w:rPr>
        <w:t xml:space="preserve">that could provide </w:t>
      </w:r>
      <w:r w:rsidR="0017139C" w:rsidRPr="00AF329E">
        <w:rPr>
          <w:lang w:val="en-AU"/>
        </w:rPr>
        <w:t>our</w:t>
      </w:r>
      <w:r w:rsidR="00CB5D5E" w:rsidRPr="00AF329E">
        <w:rPr>
          <w:lang w:val="en-AU"/>
        </w:rPr>
        <w:t xml:space="preserve"> children with the opportunity to thrive.</w:t>
      </w:r>
      <w:r w:rsidR="001B4C65" w:rsidRPr="00AF329E">
        <w:rPr>
          <w:lang w:val="en-AU"/>
        </w:rPr>
        <w:t xml:space="preserve"> The Family Matters Roadmap calls for a</w:t>
      </w:r>
      <w:r w:rsidR="00111E1C" w:rsidRPr="00AF329E">
        <w:rPr>
          <w:lang w:val="en-AU"/>
        </w:rPr>
        <w:t>ction to progress four evidence-</w:t>
      </w:r>
      <w:r w:rsidR="001B4C65" w:rsidRPr="00AF329E">
        <w:rPr>
          <w:lang w:val="en-AU"/>
        </w:rPr>
        <w:t>based building blocks for change:</w:t>
      </w:r>
    </w:p>
    <w:p w14:paraId="498B7130" w14:textId="77777777" w:rsidR="00D63971" w:rsidRPr="00AF329E" w:rsidRDefault="00D63971" w:rsidP="00D63971">
      <w:pPr>
        <w:pStyle w:val="ListParagraph"/>
        <w:numPr>
          <w:ilvl w:val="0"/>
          <w:numId w:val="14"/>
        </w:numPr>
        <w:spacing w:before="0" w:after="120" w:line="240" w:lineRule="auto"/>
        <w:ind w:left="714" w:hanging="357"/>
        <w:contextualSpacing w:val="0"/>
        <w:rPr>
          <w:shd w:val="clear" w:color="auto" w:fill="FFFFFF"/>
          <w:lang w:val="en-AU"/>
        </w:rPr>
      </w:pPr>
      <w:bookmarkStart w:id="1" w:name="_Toc459984678"/>
      <w:r w:rsidRPr="00AF329E">
        <w:rPr>
          <w:shd w:val="clear" w:color="auto" w:fill="FFFFFF"/>
          <w:lang w:val="en-AU"/>
        </w:rPr>
        <w:t>All families enjoy access to quality, culturally safe, universal and targeted services necessary for Aboriginal and Torres Strait Islander children to thrive</w:t>
      </w:r>
      <w:bookmarkEnd w:id="1"/>
    </w:p>
    <w:p w14:paraId="05821DC0" w14:textId="77777777" w:rsidR="00D63971" w:rsidRPr="00AF329E" w:rsidRDefault="00D63971" w:rsidP="00D63971">
      <w:pPr>
        <w:pStyle w:val="ListParagraph"/>
        <w:numPr>
          <w:ilvl w:val="0"/>
          <w:numId w:val="14"/>
        </w:numPr>
        <w:spacing w:before="0" w:after="120" w:line="240" w:lineRule="auto"/>
        <w:ind w:left="714" w:hanging="357"/>
        <w:contextualSpacing w:val="0"/>
        <w:rPr>
          <w:shd w:val="clear" w:color="auto" w:fill="FFFFFF"/>
          <w:lang w:val="en-AU"/>
        </w:rPr>
      </w:pPr>
      <w:bookmarkStart w:id="2" w:name="_Toc459984679"/>
      <w:r w:rsidRPr="00AF329E">
        <w:rPr>
          <w:shd w:val="clear" w:color="auto" w:fill="FFFFFF"/>
          <w:lang w:val="en-AU"/>
        </w:rPr>
        <w:t>Aboriginal and Torres Strait Islander people and organisations participate in and have control over decisions that affect their children</w:t>
      </w:r>
      <w:bookmarkEnd w:id="2"/>
    </w:p>
    <w:p w14:paraId="6BBC0406" w14:textId="77777777" w:rsidR="00D63971" w:rsidRPr="00AF329E" w:rsidRDefault="00D63971" w:rsidP="00D63971">
      <w:pPr>
        <w:pStyle w:val="ListParagraph"/>
        <w:numPr>
          <w:ilvl w:val="0"/>
          <w:numId w:val="14"/>
        </w:numPr>
        <w:spacing w:before="0" w:after="120" w:line="240" w:lineRule="auto"/>
        <w:ind w:left="714" w:hanging="357"/>
        <w:contextualSpacing w:val="0"/>
        <w:rPr>
          <w:shd w:val="clear" w:color="auto" w:fill="FFFFFF"/>
          <w:lang w:val="en-AU"/>
        </w:rPr>
      </w:pPr>
      <w:bookmarkStart w:id="3" w:name="_Toc459984680"/>
      <w:r w:rsidRPr="00AF329E">
        <w:rPr>
          <w:shd w:val="clear" w:color="auto" w:fill="FFFFFF"/>
          <w:lang w:val="en-AU"/>
        </w:rPr>
        <w:t>Law, policy and practice in child and family welfare are culturally safe and responsive</w:t>
      </w:r>
      <w:bookmarkEnd w:id="3"/>
    </w:p>
    <w:p w14:paraId="0976C492" w14:textId="5C32265B" w:rsidR="00D63971" w:rsidRPr="00AF329E" w:rsidRDefault="00D63971" w:rsidP="00C401CE">
      <w:pPr>
        <w:pStyle w:val="ListParagraph"/>
        <w:numPr>
          <w:ilvl w:val="0"/>
          <w:numId w:val="14"/>
        </w:numPr>
        <w:spacing w:before="0" w:after="120" w:line="240" w:lineRule="auto"/>
        <w:ind w:left="714" w:hanging="357"/>
        <w:contextualSpacing w:val="0"/>
        <w:rPr>
          <w:shd w:val="clear" w:color="auto" w:fill="FFFFFF"/>
          <w:lang w:val="en-AU"/>
        </w:rPr>
      </w:pPr>
      <w:r w:rsidRPr="00AF329E">
        <w:rPr>
          <w:shd w:val="clear" w:color="auto" w:fill="FFFFFF"/>
          <w:lang w:val="en-AU"/>
        </w:rPr>
        <w:t>G</w:t>
      </w:r>
      <w:r w:rsidRPr="00AF329E">
        <w:rPr>
          <w:rFonts w:cs="Times New Roman"/>
          <w:shd w:val="clear" w:color="auto" w:fill="FFFFFF"/>
          <w:lang w:val="en-AU"/>
        </w:rPr>
        <w:t>overnments and services are accountable to Aboriginal and Torres Strait Islander people</w:t>
      </w:r>
    </w:p>
    <w:p w14:paraId="6CB972A1" w14:textId="277ED07A" w:rsidR="009306FA" w:rsidRPr="00AF329E" w:rsidRDefault="001B4C65" w:rsidP="00C401CE">
      <w:pPr>
        <w:rPr>
          <w:lang w:val="en-AU"/>
        </w:rPr>
      </w:pPr>
      <w:r w:rsidRPr="00AF329E">
        <w:rPr>
          <w:lang w:val="en-AU"/>
        </w:rPr>
        <w:t xml:space="preserve">The budget proposals in this submission call for substantial short to medium-term investment to implement these priorities </w:t>
      </w:r>
      <w:r w:rsidR="003861C8" w:rsidRPr="00AF329E">
        <w:rPr>
          <w:lang w:val="en-AU"/>
        </w:rPr>
        <w:t>–</w:t>
      </w:r>
      <w:r w:rsidRPr="00AF329E">
        <w:rPr>
          <w:lang w:val="en-AU"/>
        </w:rPr>
        <w:t xml:space="preserve"> to </w:t>
      </w:r>
      <w:r w:rsidR="00D63971" w:rsidRPr="00AF329E">
        <w:rPr>
          <w:lang w:val="en-AU"/>
        </w:rPr>
        <w:t>strengthen</w:t>
      </w:r>
      <w:r w:rsidRPr="00AF329E">
        <w:rPr>
          <w:lang w:val="en-AU"/>
        </w:rPr>
        <w:t xml:space="preserve"> our families and communities, support our children, and arrest the escalating </w:t>
      </w:r>
      <w:r w:rsidR="0017139C" w:rsidRPr="00AF329E">
        <w:rPr>
          <w:lang w:val="en-AU"/>
        </w:rPr>
        <w:t>over-</w:t>
      </w:r>
      <w:r w:rsidRPr="00AF329E">
        <w:rPr>
          <w:lang w:val="en-AU"/>
        </w:rPr>
        <w:t xml:space="preserve">representation of Aboriginal and Torres Strait Islander children in out-of-home care. </w:t>
      </w:r>
      <w:r w:rsidR="00D63971" w:rsidRPr="00AF329E">
        <w:rPr>
          <w:lang w:val="en-AU"/>
        </w:rPr>
        <w:t>We</w:t>
      </w:r>
      <w:r w:rsidR="00111E1C" w:rsidRPr="00AF329E">
        <w:rPr>
          <w:lang w:val="en-AU"/>
        </w:rPr>
        <w:t xml:space="preserve"> call for national and accountable strategies to be implemented by the federal government in partnership with states and territories and Aboriginal and Torres Strait Islander people. Though the </w:t>
      </w:r>
      <w:r w:rsidR="00D63971" w:rsidRPr="00AF329E">
        <w:rPr>
          <w:lang w:val="en-AU"/>
        </w:rPr>
        <w:t xml:space="preserve">initial </w:t>
      </w:r>
      <w:r w:rsidR="00111E1C" w:rsidRPr="00AF329E">
        <w:rPr>
          <w:lang w:val="en-AU"/>
        </w:rPr>
        <w:t>investment required is significant, this submission argues strongly and presents the evidence that the future benefits for our society and</w:t>
      </w:r>
      <w:r w:rsidR="00D63971" w:rsidRPr="00AF329E">
        <w:rPr>
          <w:lang w:val="en-AU"/>
        </w:rPr>
        <w:t xml:space="preserve"> cost</w:t>
      </w:r>
      <w:r w:rsidR="00111E1C" w:rsidRPr="00AF329E">
        <w:rPr>
          <w:lang w:val="en-AU"/>
        </w:rPr>
        <w:t xml:space="preserve"> savings </w:t>
      </w:r>
      <w:r w:rsidR="00D63971" w:rsidRPr="00AF329E">
        <w:rPr>
          <w:lang w:val="en-AU"/>
        </w:rPr>
        <w:t>from the reduced provision of lifelong</w:t>
      </w:r>
      <w:r w:rsidR="00111E1C" w:rsidRPr="00AF329E">
        <w:rPr>
          <w:lang w:val="en-AU"/>
        </w:rPr>
        <w:t xml:space="preserve"> remedial service</w:t>
      </w:r>
      <w:r w:rsidR="00D63971" w:rsidRPr="00AF329E">
        <w:rPr>
          <w:lang w:val="en-AU"/>
        </w:rPr>
        <w:t>s are far greater than the costs – there is both a moral and economic imperative to act now.</w:t>
      </w:r>
    </w:p>
    <w:p w14:paraId="0365CDB7" w14:textId="77777777" w:rsidR="00810D87" w:rsidRPr="00AF329E" w:rsidRDefault="00810D87" w:rsidP="00C401CE">
      <w:pPr>
        <w:rPr>
          <w:lang w:val="en-AU"/>
        </w:rPr>
      </w:pPr>
    </w:p>
    <w:p w14:paraId="342AFC67" w14:textId="77777777" w:rsidR="00C401CE" w:rsidRPr="00AF329E" w:rsidRDefault="00C401CE" w:rsidP="00C401CE">
      <w:pPr>
        <w:rPr>
          <w:lang w:val="en-AU"/>
        </w:rPr>
      </w:pPr>
    </w:p>
    <w:p w14:paraId="2DB62F36" w14:textId="77777777" w:rsidR="003A0050" w:rsidRDefault="003A0050">
      <w:pPr>
        <w:rPr>
          <w:b/>
          <w:caps/>
          <w:color w:val="73261E" w:themeColor="accent1" w:themeShade="BF"/>
          <w:spacing w:val="15"/>
          <w:sz w:val="32"/>
          <w:szCs w:val="32"/>
          <w:lang w:val="en-AU"/>
        </w:rPr>
      </w:pPr>
      <w:r>
        <w:rPr>
          <w:b/>
          <w:color w:val="73261E" w:themeColor="accent1" w:themeShade="BF"/>
          <w:sz w:val="32"/>
          <w:szCs w:val="32"/>
          <w:lang w:val="en-AU"/>
        </w:rPr>
        <w:br w:type="page"/>
      </w:r>
    </w:p>
    <w:p w14:paraId="5C6F5D1D" w14:textId="1F9EE4A4" w:rsidR="00C401CE" w:rsidRPr="00AF329E" w:rsidRDefault="00C401CE" w:rsidP="0017139C">
      <w:pPr>
        <w:pStyle w:val="Heading2"/>
        <w:rPr>
          <w:b/>
          <w:color w:val="73261E" w:themeColor="accent1" w:themeShade="BF"/>
          <w:sz w:val="32"/>
          <w:szCs w:val="32"/>
          <w:lang w:val="en-AU"/>
        </w:rPr>
      </w:pPr>
      <w:r w:rsidRPr="00AF329E">
        <w:rPr>
          <w:b/>
          <w:color w:val="73261E" w:themeColor="accent1" w:themeShade="BF"/>
          <w:sz w:val="32"/>
          <w:szCs w:val="32"/>
          <w:lang w:val="en-AU"/>
        </w:rPr>
        <w:t>Budget Proposals</w:t>
      </w:r>
    </w:p>
    <w:p w14:paraId="37540929" w14:textId="321B434B" w:rsidR="00C401CE" w:rsidRPr="00AF329E" w:rsidRDefault="00C401CE" w:rsidP="00C401CE">
      <w:pPr>
        <w:pStyle w:val="Heading3"/>
        <w:rPr>
          <w:sz w:val="28"/>
          <w:szCs w:val="28"/>
          <w:lang w:val="en-AU"/>
        </w:rPr>
      </w:pPr>
      <w:r w:rsidRPr="00AF329E">
        <w:rPr>
          <w:sz w:val="28"/>
          <w:szCs w:val="28"/>
          <w:lang w:val="en-AU"/>
        </w:rPr>
        <w:t xml:space="preserve">1. </w:t>
      </w:r>
      <w:r w:rsidR="00D63971" w:rsidRPr="00AF329E">
        <w:rPr>
          <w:sz w:val="28"/>
          <w:szCs w:val="28"/>
          <w:lang w:val="en-AU"/>
        </w:rPr>
        <w:t xml:space="preserve">A </w:t>
      </w:r>
      <w:r w:rsidRPr="00AF329E">
        <w:rPr>
          <w:sz w:val="28"/>
          <w:szCs w:val="28"/>
          <w:lang w:val="en-AU"/>
        </w:rPr>
        <w:t>COAG target and national strategy to address over-representation</w:t>
      </w:r>
    </w:p>
    <w:p w14:paraId="2DF04BC1" w14:textId="77777777" w:rsidR="00C401CE" w:rsidRPr="00AF329E" w:rsidRDefault="00C401CE" w:rsidP="00C401CE">
      <w:pPr>
        <w:rPr>
          <w:lang w:val="en-AU"/>
        </w:rPr>
      </w:pPr>
    </w:p>
    <w:p w14:paraId="162DC9C9" w14:textId="73586AE1" w:rsidR="006D1B31" w:rsidRPr="00AF329E" w:rsidRDefault="006D1B31" w:rsidP="006D1B31">
      <w:pPr>
        <w:rPr>
          <w:szCs w:val="22"/>
          <w:lang w:val="en-AU"/>
        </w:rPr>
      </w:pPr>
      <w:r w:rsidRPr="00AF329E">
        <w:rPr>
          <w:rFonts w:eastAsia="Times New Roman" w:cs="Arial"/>
          <w:color w:val="222222"/>
          <w:szCs w:val="22"/>
          <w:lang w:val="en-AU"/>
        </w:rPr>
        <w:t>The persistent, escalating rate of removal of Aboriginal and Torres Strait Islander children into out-of-home care is a national crisis that requires a clear and concerted national response</w:t>
      </w:r>
      <w:r w:rsidR="006F4E3C" w:rsidRPr="00AF329E">
        <w:rPr>
          <w:rFonts w:eastAsia="Times New Roman" w:cs="Arial"/>
          <w:color w:val="222222"/>
          <w:szCs w:val="22"/>
          <w:lang w:val="en-AU"/>
        </w:rPr>
        <w:t xml:space="preserve">. </w:t>
      </w:r>
      <w:r w:rsidRPr="00AF329E">
        <w:rPr>
          <w:rFonts w:eastAsia="Times New Roman" w:cs="Arial"/>
          <w:color w:val="222222"/>
          <w:szCs w:val="22"/>
          <w:lang w:val="en-AU"/>
        </w:rPr>
        <w:t>While child protection is primarily a state responsibility, the federal government has responsibility and capacity to support efforts to address the root causes of child removal</w:t>
      </w:r>
      <w:r w:rsidR="00D63971" w:rsidRPr="00AF329E">
        <w:rPr>
          <w:rFonts w:eastAsia="Times New Roman" w:cs="Arial"/>
          <w:color w:val="222222"/>
          <w:szCs w:val="22"/>
          <w:lang w:val="en-AU"/>
        </w:rPr>
        <w:t>. The federal government</w:t>
      </w:r>
      <w:r w:rsidRPr="00AF329E">
        <w:rPr>
          <w:rFonts w:eastAsia="Times New Roman" w:cs="Arial"/>
          <w:color w:val="222222"/>
          <w:szCs w:val="22"/>
          <w:lang w:val="en-AU"/>
        </w:rPr>
        <w:t xml:space="preserve"> also bears significant costs of later life health and well</w:t>
      </w:r>
      <w:r w:rsidR="008E1115" w:rsidRPr="00AF329E">
        <w:rPr>
          <w:rFonts w:eastAsia="Times New Roman" w:cs="Arial"/>
          <w:color w:val="222222"/>
          <w:szCs w:val="22"/>
          <w:lang w:val="en-AU"/>
        </w:rPr>
        <w:t>-</w:t>
      </w:r>
      <w:r w:rsidRPr="00AF329E">
        <w:rPr>
          <w:rFonts w:eastAsia="Times New Roman" w:cs="Arial"/>
          <w:color w:val="222222"/>
          <w:szCs w:val="22"/>
          <w:lang w:val="en-AU"/>
        </w:rPr>
        <w:t>being issues associated with child abuse, neglect and experiences of out-of-home care</w:t>
      </w:r>
      <w:r w:rsidR="006F4E3C" w:rsidRPr="00AF329E">
        <w:rPr>
          <w:rFonts w:eastAsia="Times New Roman" w:cs="Arial"/>
          <w:color w:val="222222"/>
          <w:szCs w:val="22"/>
          <w:lang w:val="en-AU"/>
        </w:rPr>
        <w:t xml:space="preserve">. </w:t>
      </w:r>
      <w:r w:rsidRPr="00AF329E">
        <w:rPr>
          <w:rFonts w:eastAsia="Times New Roman" w:cs="Arial"/>
          <w:color w:val="222222"/>
          <w:szCs w:val="22"/>
          <w:lang w:val="en-AU"/>
        </w:rPr>
        <w:t xml:space="preserve">The </w:t>
      </w:r>
      <w:r w:rsidRPr="00AF329E">
        <w:rPr>
          <w:rFonts w:cs="Garamond"/>
          <w:color w:val="1A1A1A"/>
          <w:szCs w:val="22"/>
          <w:lang w:val="en-AU"/>
        </w:rPr>
        <w:t>Coalition of Australian Governments (</w:t>
      </w:r>
      <w:r w:rsidRPr="00AF329E">
        <w:rPr>
          <w:rFonts w:eastAsia="Times New Roman" w:cs="Arial"/>
          <w:color w:val="222222"/>
          <w:szCs w:val="22"/>
          <w:lang w:val="en-AU"/>
        </w:rPr>
        <w:t>COAG) has already taken a strong role in child protection with preventive focus through its carriage of the National Framework for Protecting Australia’s Children 2009-2020</w:t>
      </w:r>
      <w:r w:rsidR="008E1115" w:rsidRPr="00AF329E">
        <w:rPr>
          <w:rFonts w:eastAsia="Times New Roman" w:cs="Arial"/>
          <w:color w:val="222222"/>
          <w:szCs w:val="22"/>
          <w:lang w:val="en-AU"/>
        </w:rPr>
        <w:t>.</w:t>
      </w:r>
    </w:p>
    <w:p w14:paraId="75A2F3F7" w14:textId="2808E126" w:rsidR="006D1B31" w:rsidRPr="00AF329E" w:rsidRDefault="006D1B31" w:rsidP="006D1B31">
      <w:pPr>
        <w:rPr>
          <w:szCs w:val="22"/>
          <w:lang w:val="en-AU"/>
        </w:rPr>
      </w:pPr>
      <w:r w:rsidRPr="00AF329E">
        <w:rPr>
          <w:szCs w:val="22"/>
          <w:lang w:val="en-AU"/>
        </w:rPr>
        <w:t>When the ground-breaking Bringing Them Home report into the Stolen Generations was released in 1997, nearly 20 years ago, mainstream Australia was shocked to learn that Aboriginal and Torres Strait Islander children represented 20 per cent of children living in out-of-home care. Now, in 2016, they are over 35 per cent.</w:t>
      </w:r>
      <w:r w:rsidRPr="00AF329E">
        <w:rPr>
          <w:rStyle w:val="EndnoteReference"/>
          <w:szCs w:val="22"/>
          <w:lang w:val="en-AU"/>
        </w:rPr>
        <w:endnoteReference w:id="2"/>
      </w:r>
      <w:r w:rsidRPr="00AF329E">
        <w:rPr>
          <w:szCs w:val="22"/>
          <w:lang w:val="en-AU"/>
        </w:rPr>
        <w:t xml:space="preserve"> Despite numerous legal and policy frameworks designed to advance safety, and family and cultural connections for children, the rate of Aboriginal and Torres Strait Islander children in out-of-home care is now almost ten times that of other children, and continues to grow</w:t>
      </w:r>
      <w:r w:rsidR="006F4E3C" w:rsidRPr="00AF329E">
        <w:rPr>
          <w:szCs w:val="22"/>
          <w:lang w:val="en-AU"/>
        </w:rPr>
        <w:t xml:space="preserve">. </w:t>
      </w:r>
      <w:r w:rsidRPr="00AF329E">
        <w:rPr>
          <w:szCs w:val="22"/>
          <w:lang w:val="en-AU"/>
        </w:rPr>
        <w:t>Projections developed by the University of Melbourne in 2016 (Figure 1) show that the population of Aboriginal and Torres Strait Islander children in out-of-home care will triple in the next 20 years if nothing is done to interrupt current trajectories.</w:t>
      </w:r>
    </w:p>
    <w:p w14:paraId="077643AB" w14:textId="77777777" w:rsidR="006D1B31" w:rsidRPr="00AF329E" w:rsidRDefault="006D1B31" w:rsidP="006D1B31">
      <w:pPr>
        <w:rPr>
          <w:szCs w:val="22"/>
          <w:lang w:val="en-AU"/>
        </w:rPr>
      </w:pPr>
    </w:p>
    <w:p w14:paraId="5F0EB130" w14:textId="77777777" w:rsidR="006D1B31" w:rsidRPr="00AF329E" w:rsidRDefault="006D1B31" w:rsidP="00A7068C">
      <w:pPr>
        <w:keepNext/>
        <w:rPr>
          <w:szCs w:val="22"/>
          <w:lang w:val="en-AU"/>
        </w:rPr>
      </w:pPr>
      <w:r w:rsidRPr="00AF329E">
        <w:rPr>
          <w:b/>
          <w:szCs w:val="22"/>
          <w:lang w:val="en-AU"/>
        </w:rPr>
        <w:t>Figure 1: Population growth trajectories of children in out-of-home care in Australia by Indigenous status</w:t>
      </w:r>
      <w:r w:rsidRPr="00AF329E">
        <w:rPr>
          <w:rStyle w:val="EndnoteReference"/>
          <w:szCs w:val="22"/>
          <w:lang w:val="en-AU"/>
        </w:rPr>
        <w:endnoteReference w:id="3"/>
      </w:r>
      <w:r w:rsidRPr="00AF329E">
        <w:rPr>
          <w:b/>
          <w:szCs w:val="22"/>
          <w:lang w:val="en-AU"/>
        </w:rPr>
        <w:t xml:space="preserve"> </w:t>
      </w:r>
    </w:p>
    <w:p w14:paraId="51B075DF" w14:textId="77777777" w:rsidR="002556A7" w:rsidRPr="00AF329E" w:rsidRDefault="002556A7" w:rsidP="00A7068C">
      <w:pPr>
        <w:keepNext/>
        <w:rPr>
          <w:szCs w:val="22"/>
          <w:lang w:val="en-AU"/>
        </w:rPr>
      </w:pPr>
    </w:p>
    <w:p w14:paraId="79A6DA61" w14:textId="77777777" w:rsidR="00A7068C" w:rsidRPr="00AF329E" w:rsidRDefault="00A7068C" w:rsidP="00A7068C">
      <w:pPr>
        <w:keepNext/>
        <w:rPr>
          <w:szCs w:val="22"/>
          <w:lang w:val="en-AU"/>
        </w:rPr>
      </w:pPr>
      <w:r w:rsidRPr="00AF329E">
        <w:rPr>
          <w:noProof/>
          <w:szCs w:val="22"/>
          <w:lang w:val="en-AU" w:eastAsia="en-AU"/>
        </w:rPr>
        <w:drawing>
          <wp:inline distT="0" distB="0" distL="0" distR="0" wp14:anchorId="51192261" wp14:editId="4C48B3C9">
            <wp:extent cx="5257800" cy="3538855"/>
            <wp:effectExtent l="0" t="0" r="0" b="0"/>
            <wp:docPr id="3" name="Picture 3" descr="Macintosh HD:Users:snowimac1:Desktop:FM Report Figure 5 population proj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nowimac1:Desktop:FM Report Figure 5 population projection.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57800" cy="3538855"/>
                    </a:xfrm>
                    <a:prstGeom prst="rect">
                      <a:avLst/>
                    </a:prstGeom>
                    <a:noFill/>
                    <a:ln>
                      <a:noFill/>
                    </a:ln>
                  </pic:spPr>
                </pic:pic>
              </a:graphicData>
            </a:graphic>
          </wp:inline>
        </w:drawing>
      </w:r>
    </w:p>
    <w:p w14:paraId="1114AA6F" w14:textId="77777777" w:rsidR="00A7068C" w:rsidRPr="00AF329E" w:rsidRDefault="00A7068C" w:rsidP="006D1B31">
      <w:pPr>
        <w:rPr>
          <w:szCs w:val="22"/>
          <w:lang w:val="en-AU"/>
        </w:rPr>
      </w:pPr>
    </w:p>
    <w:p w14:paraId="535D406A" w14:textId="47108FEB" w:rsidR="006D1B31" w:rsidRPr="00AF329E" w:rsidRDefault="006D1B31" w:rsidP="006D1B31">
      <w:pPr>
        <w:rPr>
          <w:rFonts w:cs="Arial"/>
          <w:szCs w:val="22"/>
          <w:lang w:val="en-AU"/>
        </w:rPr>
      </w:pPr>
      <w:r w:rsidRPr="00AF329E">
        <w:rPr>
          <w:szCs w:val="22"/>
          <w:lang w:val="en-AU"/>
        </w:rPr>
        <w:t>T</w:t>
      </w:r>
      <w:r w:rsidRPr="00AF329E">
        <w:rPr>
          <w:rFonts w:cs="Arial"/>
          <w:szCs w:val="22"/>
          <w:lang w:val="en-AU"/>
        </w:rPr>
        <w:t>he outcomes delivered by child protection systems across Australia are alarmingly poor for children and families, and are achieved at significant and increasing financial and social cost. Recurrent expenditure on child protection and family support services in Australia has reached $4.3 billion, of which $3.6 billion is spent on statutory child protection and out-of-home care.</w:t>
      </w:r>
      <w:r w:rsidRPr="00AF329E">
        <w:rPr>
          <w:rStyle w:val="EndnoteReference"/>
          <w:rFonts w:cs="Arial"/>
          <w:szCs w:val="22"/>
          <w:lang w:val="en-AU"/>
        </w:rPr>
        <w:endnoteReference w:id="4"/>
      </w:r>
      <w:r w:rsidRPr="00AF329E">
        <w:rPr>
          <w:rFonts w:cs="Arial"/>
          <w:szCs w:val="22"/>
          <w:lang w:val="en-AU"/>
        </w:rPr>
        <w:t xml:space="preserve"> This expenditure has increased by an average of 3.8 per cent per year, and a total of $472 million over the last 4 years. The costs of this system are much greater however, with children in out-of-home care much more likely to experience poorer health, depression, violence and suicide over their lives; be imprisoned; suffer from alcohol abuse and gambling addiction, and are less likely to have trusting relationships, healthy parenting models, and access to education and economic opportunities. Impacts also ricochet through families through our health, education, welfare and justice systems. Cost benefit analyses demonstrate that improving child safety and rectifying these increasing and unsustainable government costs are best achieved through redressing the causes of child removal, and investing early to better support at-risk </w:t>
      </w:r>
      <w:r w:rsidR="00824E97" w:rsidRPr="00AF329E">
        <w:rPr>
          <w:rFonts w:cs="Arial"/>
          <w:szCs w:val="22"/>
          <w:lang w:val="en-AU"/>
        </w:rPr>
        <w:t xml:space="preserve">children and their </w:t>
      </w:r>
      <w:r w:rsidRPr="00AF329E">
        <w:rPr>
          <w:rFonts w:cs="Arial"/>
          <w:szCs w:val="22"/>
          <w:lang w:val="en-AU"/>
        </w:rPr>
        <w:t>families.</w:t>
      </w:r>
      <w:r w:rsidRPr="00AF329E">
        <w:rPr>
          <w:rStyle w:val="EndnoteReference"/>
          <w:rFonts w:cs="Arial"/>
          <w:szCs w:val="22"/>
          <w:lang w:val="en-AU"/>
        </w:rPr>
        <w:endnoteReference w:id="5"/>
      </w:r>
    </w:p>
    <w:p w14:paraId="04FA4ADB" w14:textId="77777777" w:rsidR="002B1E4E" w:rsidRPr="00AF329E" w:rsidRDefault="002B1E4E" w:rsidP="006D1B31">
      <w:pPr>
        <w:rPr>
          <w:rFonts w:cs="Arial"/>
          <w:szCs w:val="22"/>
          <w:lang w:val="en-AU"/>
        </w:rPr>
      </w:pPr>
    </w:p>
    <w:p w14:paraId="47ACD431" w14:textId="3E5A4196" w:rsidR="006D1B31" w:rsidRPr="00AF329E" w:rsidRDefault="006D1B31" w:rsidP="006D1B31">
      <w:pPr>
        <w:ind w:right="-198"/>
        <w:rPr>
          <w:rFonts w:eastAsia="Times New Roman" w:cs="Arial"/>
          <w:color w:val="222222"/>
          <w:lang w:val="en-AU"/>
        </w:rPr>
      </w:pPr>
      <w:r w:rsidRPr="00AF329E">
        <w:rPr>
          <w:rFonts w:eastAsia="Times New Roman" w:cs="Arial"/>
          <w:color w:val="222222"/>
          <w:lang w:val="en-AU"/>
        </w:rPr>
        <w:t xml:space="preserve">Political recognition of and commitment to the urgent need to </w:t>
      </w:r>
      <w:r w:rsidR="00A7068C" w:rsidRPr="00AF329E">
        <w:rPr>
          <w:rFonts w:eastAsia="Times New Roman" w:cs="Arial"/>
          <w:color w:val="222222"/>
          <w:lang w:val="en-AU"/>
        </w:rPr>
        <w:t>red</w:t>
      </w:r>
      <w:r w:rsidRPr="00AF329E">
        <w:rPr>
          <w:rFonts w:eastAsia="Times New Roman" w:cs="Arial"/>
          <w:color w:val="222222"/>
          <w:lang w:val="en-AU"/>
        </w:rPr>
        <w:t xml:space="preserve">ress </w:t>
      </w:r>
      <w:r w:rsidR="00A7068C" w:rsidRPr="00AF329E">
        <w:rPr>
          <w:rFonts w:eastAsia="Times New Roman" w:cs="Arial"/>
          <w:color w:val="222222"/>
          <w:lang w:val="en-AU"/>
        </w:rPr>
        <w:t>th</w:t>
      </w:r>
      <w:r w:rsidR="002B1E4E" w:rsidRPr="00AF329E">
        <w:rPr>
          <w:rFonts w:eastAsia="Times New Roman" w:cs="Arial"/>
          <w:color w:val="222222"/>
          <w:lang w:val="en-AU"/>
        </w:rPr>
        <w:t>is</w:t>
      </w:r>
      <w:r w:rsidR="00A7068C" w:rsidRPr="00AF329E">
        <w:rPr>
          <w:rFonts w:eastAsia="Times New Roman" w:cs="Arial"/>
          <w:color w:val="222222"/>
          <w:lang w:val="en-AU"/>
        </w:rPr>
        <w:t xml:space="preserve"> </w:t>
      </w:r>
      <w:r w:rsidRPr="00AF329E">
        <w:rPr>
          <w:rFonts w:eastAsia="Times New Roman" w:cs="Arial"/>
          <w:color w:val="222222"/>
          <w:lang w:val="en-AU"/>
        </w:rPr>
        <w:t>over-representation has grown significantly at both state, territory, federal and COAG levels over recent times</w:t>
      </w:r>
      <w:r w:rsidR="006F4E3C" w:rsidRPr="00AF329E">
        <w:rPr>
          <w:rFonts w:eastAsia="Times New Roman" w:cs="Arial"/>
          <w:color w:val="222222"/>
          <w:lang w:val="en-AU"/>
        </w:rPr>
        <w:t xml:space="preserve">. </w:t>
      </w:r>
      <w:r w:rsidRPr="00AF329E">
        <w:rPr>
          <w:rFonts w:eastAsia="Times New Roman" w:cs="Arial"/>
          <w:color w:val="222222"/>
          <w:lang w:val="en-AU"/>
        </w:rPr>
        <w:t xml:space="preserve">In June 2016 state and territory Child and Families Ministers from across Australia met and </w:t>
      </w:r>
      <w:r w:rsidR="00DD7949" w:rsidRPr="00AF329E">
        <w:rPr>
          <w:rFonts w:eastAsia="Times New Roman" w:cs="Arial"/>
          <w:color w:val="222222"/>
          <w:lang w:val="en-AU"/>
        </w:rPr>
        <w:t>signaled</w:t>
      </w:r>
      <w:r w:rsidRPr="00AF329E">
        <w:rPr>
          <w:rFonts w:eastAsia="Times New Roman" w:cs="Arial"/>
          <w:color w:val="222222"/>
          <w:lang w:val="en-AU"/>
        </w:rPr>
        <w:t xml:space="preserve"> their intent to take national action and seek COAG support, stating in their communiqué of 24 June, </w:t>
      </w:r>
      <w:r w:rsidRPr="00AF329E">
        <w:rPr>
          <w:rFonts w:eastAsia="Times New Roman" w:cs="Arial"/>
          <w:i/>
          <w:color w:val="222222"/>
          <w:lang w:val="en-AU"/>
        </w:rPr>
        <w:t>“Children and Families Ministers agreed to pursue national action to address the over-representation of Aboriginal and Torres Strait Islander children in out-of-home care…Ministers will work through First Ministers to seek consideration of these issues at COAG as a priority for national reform.”</w:t>
      </w:r>
      <w:r w:rsidR="00EA5F9A" w:rsidRPr="00AF329E">
        <w:rPr>
          <w:rStyle w:val="EndnoteReference"/>
          <w:rFonts w:eastAsia="Times New Roman" w:cs="Arial"/>
          <w:i/>
          <w:color w:val="222222"/>
          <w:lang w:val="en-AU"/>
        </w:rPr>
        <w:endnoteReference w:id="6"/>
      </w:r>
      <w:r w:rsidR="00703F17" w:rsidRPr="00AF329E">
        <w:rPr>
          <w:rFonts w:eastAsia="Times New Roman" w:cs="Arial"/>
          <w:color w:val="222222"/>
          <w:lang w:val="en-AU"/>
        </w:rPr>
        <w:t xml:space="preserve">  </w:t>
      </w:r>
      <w:r w:rsidRPr="00AF329E">
        <w:rPr>
          <w:rFonts w:eastAsia="Times New Roman" w:cs="Arial"/>
          <w:color w:val="222222"/>
          <w:lang w:val="en-AU"/>
        </w:rPr>
        <w:t>The December 2016 meeting of COAG addressed the issue directly,</w:t>
      </w:r>
      <w:r w:rsidR="00703F17" w:rsidRPr="00AF329E">
        <w:rPr>
          <w:rFonts w:eastAsia="Times New Roman" w:cs="Arial"/>
          <w:color w:val="222222"/>
          <w:lang w:val="en-AU"/>
        </w:rPr>
        <w:t xml:space="preserve"> with its communiqué stating that, </w:t>
      </w:r>
      <w:r w:rsidR="00703F17" w:rsidRPr="00AF329E">
        <w:rPr>
          <w:rFonts w:eastAsia="Times New Roman" w:cs="Arial"/>
          <w:i/>
          <w:color w:val="222222"/>
          <w:lang w:val="en-AU"/>
        </w:rPr>
        <w:t>“</w:t>
      </w:r>
      <w:r w:rsidR="00703F17" w:rsidRPr="00AF329E">
        <w:rPr>
          <w:i/>
          <w:lang w:val="en-AU"/>
        </w:rPr>
        <w:t>Leaders discussed the critical importance of early intervention efforts to reduce the flow of children into the system as well as the benefits of better information sharing and identifying opportunities to reduce the over-representation of Indigenous children.</w:t>
      </w:r>
      <w:r w:rsidR="00703F17" w:rsidRPr="00AF329E">
        <w:rPr>
          <w:lang w:val="en-AU"/>
        </w:rPr>
        <w:t>”</w:t>
      </w:r>
      <w:r w:rsidR="008E7701" w:rsidRPr="00AF329E">
        <w:rPr>
          <w:rStyle w:val="EndnoteReference"/>
          <w:lang w:val="en-AU"/>
        </w:rPr>
        <w:endnoteReference w:id="7"/>
      </w:r>
      <w:r w:rsidR="00703F17" w:rsidRPr="00AF329E">
        <w:rPr>
          <w:rFonts w:eastAsia="Times New Roman" w:cs="Arial"/>
          <w:color w:val="222222"/>
          <w:lang w:val="en-AU"/>
        </w:rPr>
        <w:t xml:space="preserve">  </w:t>
      </w:r>
      <w:r w:rsidRPr="00AF329E">
        <w:rPr>
          <w:rFonts w:eastAsia="Times New Roman" w:cs="Arial"/>
          <w:color w:val="222222"/>
          <w:lang w:val="en-AU"/>
        </w:rPr>
        <w:t xml:space="preserve">Throughout 2016, the </w:t>
      </w:r>
      <w:r w:rsidRPr="00AF329E">
        <w:rPr>
          <w:rFonts w:eastAsia="Times New Roman" w:cs="Arial"/>
          <w:i/>
          <w:color w:val="222222"/>
          <w:lang w:val="en-AU"/>
        </w:rPr>
        <w:t>Family Matters Statement of Commitment</w:t>
      </w:r>
      <w:r w:rsidRPr="00AF329E">
        <w:rPr>
          <w:rStyle w:val="EndnoteReference"/>
          <w:rFonts w:eastAsia="Times New Roman" w:cs="Arial"/>
          <w:i/>
          <w:color w:val="222222"/>
          <w:lang w:val="en-AU"/>
        </w:rPr>
        <w:endnoteReference w:id="8"/>
      </w:r>
      <w:r w:rsidRPr="00AF329E">
        <w:rPr>
          <w:rFonts w:eastAsia="Times New Roman" w:cs="Arial"/>
          <w:color w:val="222222"/>
          <w:lang w:val="en-AU"/>
        </w:rPr>
        <w:t xml:space="preserve"> to work towards eliminating over-representation of Aboriginal and Torres Strait Islander children in out-of-home care was signed by 29 state and federal politicians, 8</w:t>
      </w:r>
      <w:r w:rsidR="00E0426A" w:rsidRPr="00AF329E">
        <w:rPr>
          <w:rFonts w:eastAsia="Times New Roman" w:cs="Arial"/>
          <w:color w:val="222222"/>
          <w:lang w:val="en-AU"/>
        </w:rPr>
        <w:t>8</w:t>
      </w:r>
      <w:r w:rsidRPr="00AF329E">
        <w:rPr>
          <w:rFonts w:eastAsia="Times New Roman" w:cs="Arial"/>
          <w:color w:val="222222"/>
          <w:lang w:val="en-AU"/>
        </w:rPr>
        <w:t xml:space="preserve"> non-government organisations, and 6 children’s commissioners or child guardians</w:t>
      </w:r>
      <w:r w:rsidR="006F4E3C" w:rsidRPr="00AF329E">
        <w:rPr>
          <w:rFonts w:eastAsia="Times New Roman" w:cs="Arial"/>
          <w:color w:val="222222"/>
          <w:lang w:val="en-AU"/>
        </w:rPr>
        <w:t xml:space="preserve">. </w:t>
      </w:r>
      <w:r w:rsidRPr="00AF329E">
        <w:rPr>
          <w:rFonts w:eastAsia="Times New Roman" w:cs="Arial"/>
          <w:color w:val="222222"/>
          <w:lang w:val="en-AU"/>
        </w:rPr>
        <w:t>Politicians signing the statement included federal government ministers, federal government and opposition MPs and senators, state children and families ministers and federal cross-bench senators – demonstrating broad, non-partisan support for action on this issue.</w:t>
      </w:r>
    </w:p>
    <w:p w14:paraId="54EBD7B7" w14:textId="77777777" w:rsidR="001A1A99" w:rsidRPr="00AF329E" w:rsidRDefault="001A1A99" w:rsidP="006D1B31">
      <w:pPr>
        <w:ind w:right="-198"/>
        <w:rPr>
          <w:rFonts w:eastAsia="Times New Roman" w:cs="Arial"/>
          <w:color w:val="222222"/>
          <w:szCs w:val="22"/>
          <w:lang w:val="en-AU"/>
        </w:rPr>
      </w:pPr>
    </w:p>
    <w:p w14:paraId="7973C337" w14:textId="4CF04827" w:rsidR="006D1B31" w:rsidRPr="00AF329E" w:rsidRDefault="006D1B31" w:rsidP="006D1B31">
      <w:pPr>
        <w:ind w:right="-198"/>
        <w:rPr>
          <w:rFonts w:eastAsia="Times New Roman" w:cs="Arial"/>
          <w:color w:val="222222"/>
          <w:szCs w:val="22"/>
          <w:lang w:val="en-AU"/>
        </w:rPr>
      </w:pPr>
      <w:r w:rsidRPr="00AF329E">
        <w:rPr>
          <w:rFonts w:eastAsia="Times New Roman" w:cs="Arial"/>
          <w:color w:val="222222"/>
          <w:szCs w:val="22"/>
          <w:lang w:val="en-AU"/>
        </w:rPr>
        <w:t xml:space="preserve">Evidence calls for an integrated strategy that redresses the causes of Indigenous child removal. These cover areas of both federal and state powers, including: family support; inadequate </w:t>
      </w:r>
      <w:r w:rsidRPr="00AF329E">
        <w:rPr>
          <w:rFonts w:cs="Arial"/>
          <w:szCs w:val="22"/>
          <w:lang w:val="en-AU"/>
        </w:rPr>
        <w:t>housing and homelessness; social security; family violence; drug and alcohol misuse; health and mental health; early childhood education and care; and child protection</w:t>
      </w:r>
      <w:r w:rsidRPr="00AF329E">
        <w:rPr>
          <w:rFonts w:eastAsia="Times New Roman" w:cs="Arial"/>
          <w:color w:val="222222"/>
          <w:szCs w:val="22"/>
          <w:lang w:val="en-AU"/>
        </w:rPr>
        <w:t>. Strategies must include public measures of accountability, which are essential tools to drive intra and inter-government focus, resourcing and monitoring of outcomes</w:t>
      </w:r>
      <w:r w:rsidR="006F4E3C" w:rsidRPr="00AF329E">
        <w:rPr>
          <w:rFonts w:eastAsia="Times New Roman" w:cs="Arial"/>
          <w:color w:val="222222"/>
          <w:szCs w:val="22"/>
          <w:lang w:val="en-AU"/>
        </w:rPr>
        <w:t xml:space="preserve">. </w:t>
      </w:r>
      <w:r w:rsidRPr="00AF329E">
        <w:rPr>
          <w:rFonts w:eastAsia="Times New Roman" w:cs="Arial"/>
          <w:color w:val="222222"/>
          <w:szCs w:val="22"/>
          <w:lang w:val="en-AU"/>
        </w:rPr>
        <w:t xml:space="preserve">While a significant component of implementation for the strategy will need to be led by states and territories, federal leadership and investment in a range of new or sustained initiatives across these areas will be critical. Recommendations for a federal early intervention, prevention and reunification initiative are included separately in </w:t>
      </w:r>
      <w:r w:rsidR="00703F17" w:rsidRPr="00AF329E">
        <w:rPr>
          <w:rFonts w:eastAsia="Times New Roman" w:cs="Arial"/>
          <w:color w:val="222222"/>
          <w:szCs w:val="22"/>
          <w:lang w:val="en-AU"/>
        </w:rPr>
        <w:t>proposal 2 below</w:t>
      </w:r>
      <w:r w:rsidRPr="00AF329E">
        <w:rPr>
          <w:rFonts w:eastAsia="Times New Roman" w:cs="Arial"/>
          <w:color w:val="222222"/>
          <w:szCs w:val="22"/>
          <w:lang w:val="en-AU"/>
        </w:rPr>
        <w:t>.</w:t>
      </w:r>
    </w:p>
    <w:p w14:paraId="69151721" w14:textId="77777777" w:rsidR="006D1B31" w:rsidRPr="00AF329E" w:rsidRDefault="006D1B31" w:rsidP="006D1B31">
      <w:pPr>
        <w:ind w:right="-198"/>
        <w:rPr>
          <w:rFonts w:eastAsia="Times New Roman" w:cs="Arial"/>
          <w:color w:val="222222"/>
          <w:szCs w:val="22"/>
          <w:lang w:val="en-AU"/>
        </w:rPr>
      </w:pPr>
      <w:r w:rsidRPr="00AF329E">
        <w:rPr>
          <w:rFonts w:eastAsia="Times New Roman" w:cs="Arial"/>
          <w:color w:val="222222"/>
          <w:szCs w:val="22"/>
          <w:lang w:val="en-AU"/>
        </w:rPr>
        <w:t>To implement a COAG target and strategy to eliminate the over-representation of Aboriginal and Torres Strait Islander children in out-of-home care resources will be required at the federal level for:</w:t>
      </w:r>
    </w:p>
    <w:p w14:paraId="69253A75" w14:textId="77777777" w:rsidR="006D1B31" w:rsidRPr="00AF329E" w:rsidRDefault="006D1B31" w:rsidP="006D1B31">
      <w:pPr>
        <w:pStyle w:val="ListParagraph"/>
        <w:numPr>
          <w:ilvl w:val="0"/>
          <w:numId w:val="2"/>
        </w:numPr>
        <w:ind w:right="-198"/>
        <w:rPr>
          <w:rFonts w:eastAsia="Times New Roman" w:cs="Arial"/>
          <w:color w:val="222222"/>
          <w:szCs w:val="22"/>
          <w:lang w:val="en-AU"/>
        </w:rPr>
      </w:pPr>
      <w:r w:rsidRPr="00AF329E">
        <w:rPr>
          <w:rFonts w:eastAsia="Times New Roman" w:cs="Arial"/>
          <w:color w:val="222222"/>
          <w:szCs w:val="22"/>
          <w:lang w:val="en-AU"/>
        </w:rPr>
        <w:t>the development of the target, strategy, and outcomes measures;</w:t>
      </w:r>
    </w:p>
    <w:p w14:paraId="544082CE" w14:textId="77777777" w:rsidR="006D1B31" w:rsidRPr="00AF329E" w:rsidRDefault="006D1B31" w:rsidP="006D1B31">
      <w:pPr>
        <w:pStyle w:val="ListParagraph"/>
        <w:numPr>
          <w:ilvl w:val="0"/>
          <w:numId w:val="2"/>
        </w:numPr>
        <w:ind w:right="-198"/>
        <w:rPr>
          <w:rFonts w:eastAsia="Times New Roman" w:cs="Arial"/>
          <w:color w:val="222222"/>
          <w:szCs w:val="22"/>
          <w:lang w:val="en-AU"/>
        </w:rPr>
      </w:pPr>
      <w:r w:rsidRPr="00AF329E">
        <w:rPr>
          <w:rFonts w:eastAsia="Times New Roman" w:cs="Arial"/>
          <w:color w:val="222222"/>
          <w:szCs w:val="22"/>
          <w:lang w:val="en-AU"/>
        </w:rPr>
        <w:t>national coordination of implementation efforts by the Australian Government with Secretariat support provided by the Department of Prime Minister and Cabinet and the Department of Social Services;</w:t>
      </w:r>
    </w:p>
    <w:p w14:paraId="49E6ECAE" w14:textId="77777777" w:rsidR="006D1B31" w:rsidRPr="00AF329E" w:rsidRDefault="006D1B31" w:rsidP="006D1B31">
      <w:pPr>
        <w:pStyle w:val="ListParagraph"/>
        <w:numPr>
          <w:ilvl w:val="0"/>
          <w:numId w:val="2"/>
        </w:numPr>
        <w:ind w:right="-198"/>
        <w:rPr>
          <w:rFonts w:eastAsia="Times New Roman" w:cs="Arial"/>
          <w:color w:val="222222"/>
          <w:szCs w:val="22"/>
          <w:lang w:val="en-AU"/>
        </w:rPr>
      </w:pPr>
      <w:r w:rsidRPr="00AF329E">
        <w:rPr>
          <w:rFonts w:eastAsia="Times New Roman" w:cs="Arial"/>
          <w:color w:val="222222"/>
          <w:szCs w:val="22"/>
          <w:lang w:val="en-AU"/>
        </w:rPr>
        <w:t>ongoing consultation with Aboriginal and Torres Strait Islander leaders and peak organisations on the development and delivery of the strategy;</w:t>
      </w:r>
    </w:p>
    <w:p w14:paraId="3B12B2DE" w14:textId="77777777" w:rsidR="006D1B31" w:rsidRPr="00AF329E" w:rsidRDefault="006D1B31" w:rsidP="006D1B31">
      <w:pPr>
        <w:pStyle w:val="ListParagraph"/>
        <w:numPr>
          <w:ilvl w:val="0"/>
          <w:numId w:val="2"/>
        </w:numPr>
        <w:ind w:right="-198"/>
        <w:rPr>
          <w:rFonts w:eastAsia="Times New Roman" w:cs="Arial"/>
          <w:color w:val="222222"/>
          <w:szCs w:val="22"/>
          <w:lang w:val="en-AU"/>
        </w:rPr>
      </w:pPr>
      <w:r w:rsidRPr="00AF329E">
        <w:rPr>
          <w:rFonts w:eastAsia="Times New Roman" w:cs="Arial"/>
          <w:color w:val="222222"/>
          <w:szCs w:val="22"/>
          <w:lang w:val="en-AU"/>
        </w:rPr>
        <w:t>public reporting of progress and outcomes;</w:t>
      </w:r>
    </w:p>
    <w:p w14:paraId="472D409D" w14:textId="76881C2B" w:rsidR="009306FA" w:rsidRPr="00AF329E" w:rsidRDefault="006D1B31" w:rsidP="009306FA">
      <w:pPr>
        <w:pStyle w:val="ListParagraph"/>
        <w:numPr>
          <w:ilvl w:val="0"/>
          <w:numId w:val="2"/>
        </w:numPr>
        <w:ind w:right="-198"/>
        <w:rPr>
          <w:rFonts w:eastAsia="Times New Roman" w:cs="Arial"/>
          <w:color w:val="222222"/>
          <w:szCs w:val="22"/>
          <w:lang w:val="en-AU"/>
        </w:rPr>
      </w:pPr>
      <w:r w:rsidRPr="00AF329E">
        <w:rPr>
          <w:rFonts w:eastAsia="Times New Roman" w:cs="Arial"/>
          <w:color w:val="222222"/>
          <w:szCs w:val="22"/>
          <w:lang w:val="en-AU"/>
        </w:rPr>
        <w:t xml:space="preserve">additional resources for targeted family and community strengthening initiatives as referenced in </w:t>
      </w:r>
      <w:r w:rsidR="00703F17" w:rsidRPr="00AF329E">
        <w:rPr>
          <w:rFonts w:eastAsia="Times New Roman" w:cs="Arial"/>
          <w:color w:val="222222"/>
          <w:szCs w:val="22"/>
          <w:lang w:val="en-AU"/>
        </w:rPr>
        <w:t>proposal 2 below</w:t>
      </w:r>
      <w:r w:rsidR="00B70C3A" w:rsidRPr="00AF329E">
        <w:rPr>
          <w:rFonts w:eastAsia="Times New Roman" w:cs="Arial"/>
          <w:color w:val="222222"/>
          <w:szCs w:val="22"/>
          <w:lang w:val="en-A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D0CD" w:themeFill="accent1" w:themeFillTint="33"/>
        <w:tblLook w:val="04A0" w:firstRow="1" w:lastRow="0" w:firstColumn="1" w:lastColumn="0" w:noHBand="0" w:noVBand="1"/>
      </w:tblPr>
      <w:tblGrid>
        <w:gridCol w:w="8516"/>
      </w:tblGrid>
      <w:tr w:rsidR="009306FA" w:rsidRPr="00AF329E" w14:paraId="1DEB8CB0" w14:textId="77777777" w:rsidTr="009306FA">
        <w:tc>
          <w:tcPr>
            <w:tcW w:w="8516" w:type="dxa"/>
            <w:shd w:val="clear" w:color="auto" w:fill="F1D0CD" w:themeFill="accent1" w:themeFillTint="33"/>
          </w:tcPr>
          <w:p w14:paraId="0DC49EC7" w14:textId="77777777" w:rsidR="009306FA" w:rsidRPr="00AF329E" w:rsidRDefault="009306FA" w:rsidP="009306FA">
            <w:pPr>
              <w:pStyle w:val="Heading4"/>
              <w:outlineLvl w:val="3"/>
              <w:rPr>
                <w:lang w:val="en-AU"/>
              </w:rPr>
            </w:pPr>
            <w:r w:rsidRPr="00AF329E">
              <w:rPr>
                <w:lang w:val="en-AU"/>
              </w:rPr>
              <w:t>Recommendation 1:</w:t>
            </w:r>
          </w:p>
          <w:p w14:paraId="16F588EA" w14:textId="77777777" w:rsidR="009306FA" w:rsidRPr="00AF329E" w:rsidRDefault="009306FA" w:rsidP="009306FA">
            <w:pPr>
              <w:rPr>
                <w:rFonts w:eastAsia="Times New Roman" w:cs="Arial"/>
                <w:color w:val="222222"/>
                <w:szCs w:val="22"/>
                <w:lang w:val="en-AU"/>
              </w:rPr>
            </w:pPr>
            <w:r w:rsidRPr="00AF329E">
              <w:rPr>
                <w:rFonts w:eastAsia="Times New Roman" w:cs="Arial"/>
                <w:color w:val="222222"/>
                <w:szCs w:val="22"/>
                <w:lang w:val="en-AU"/>
              </w:rPr>
              <w:t>Develop and implement a comprehensive, adequately resourced national strategy and target, developed in partnership with Aboriginal and Torres Strait Islander peoples, to eliminate the over-representation of Aboriginal and Torres Strait Islander children in out-of-home care.</w:t>
            </w:r>
          </w:p>
          <w:p w14:paraId="649234B9" w14:textId="77777777" w:rsidR="009306FA" w:rsidRPr="00AF329E" w:rsidRDefault="009306FA" w:rsidP="00A84BF8">
            <w:pPr>
              <w:pStyle w:val="Heading6"/>
              <w:outlineLvl w:val="5"/>
              <w:rPr>
                <w:lang w:val="en-AU"/>
              </w:rPr>
            </w:pPr>
            <w:r w:rsidRPr="00AF329E">
              <w:rPr>
                <w:lang w:val="en-AU"/>
              </w:rPr>
              <w:t>Budget impact:</w:t>
            </w:r>
          </w:p>
          <w:p w14:paraId="4EF4BC60" w14:textId="056630E8" w:rsidR="009306FA" w:rsidRPr="00AF329E" w:rsidRDefault="00DD7949" w:rsidP="00DD7949">
            <w:pPr>
              <w:rPr>
                <w:rFonts w:eastAsia="Times New Roman" w:cs="Arial"/>
                <w:color w:val="222222"/>
                <w:szCs w:val="22"/>
                <w:lang w:val="en-AU"/>
              </w:rPr>
            </w:pPr>
            <w:r w:rsidRPr="00AF329E">
              <w:rPr>
                <w:rFonts w:eastAsia="Times New Roman" w:cs="Arial"/>
                <w:color w:val="222222"/>
                <w:szCs w:val="22"/>
                <w:lang w:val="en-AU"/>
              </w:rPr>
              <w:t>The Commonwealth commit to provide</w:t>
            </w:r>
            <w:r w:rsidR="009306FA" w:rsidRPr="00AF329E">
              <w:rPr>
                <w:rFonts w:eastAsia="Times New Roman" w:cs="Arial"/>
                <w:color w:val="222222"/>
                <w:szCs w:val="22"/>
                <w:lang w:val="en-AU"/>
              </w:rPr>
              <w:t xml:space="preserve"> $40 million over four years to fund a new National Partnership Agreement between all States and Territories to eliminate the over-representation of Aboriginal and Torres Strait Islander children in out-of-home care.</w:t>
            </w:r>
          </w:p>
        </w:tc>
      </w:tr>
    </w:tbl>
    <w:p w14:paraId="4E0510C2" w14:textId="77777777" w:rsidR="006D1B31" w:rsidRPr="00AF329E" w:rsidRDefault="006D1B31" w:rsidP="006D1B31">
      <w:pPr>
        <w:spacing w:after="120"/>
        <w:ind w:right="-199"/>
        <w:rPr>
          <w:rFonts w:eastAsia="Times New Roman" w:cs="Arial"/>
          <w:color w:val="222222"/>
          <w:szCs w:val="22"/>
          <w:lang w:val="en-AU"/>
        </w:rPr>
      </w:pPr>
    </w:p>
    <w:p w14:paraId="79288B66" w14:textId="77777777" w:rsidR="00B70C3A" w:rsidRPr="00AF329E" w:rsidRDefault="00B70C3A" w:rsidP="00632C39">
      <w:pPr>
        <w:rPr>
          <w:rFonts w:eastAsia="Times New Roman" w:cs="Arial"/>
          <w:color w:val="222222"/>
          <w:szCs w:val="22"/>
          <w:lang w:val="en-AU"/>
        </w:rPr>
      </w:pPr>
    </w:p>
    <w:p w14:paraId="2378BC1F" w14:textId="77777777" w:rsidR="00C401CE" w:rsidRPr="00AF329E" w:rsidRDefault="00C401CE" w:rsidP="00C401CE">
      <w:pPr>
        <w:rPr>
          <w:lang w:val="en-AU"/>
        </w:rPr>
      </w:pPr>
    </w:p>
    <w:p w14:paraId="69D5B2AC" w14:textId="77777777" w:rsidR="00631EA2" w:rsidRPr="00AF329E" w:rsidRDefault="00631EA2" w:rsidP="008B438C">
      <w:pPr>
        <w:pStyle w:val="Heading3"/>
        <w:rPr>
          <w:sz w:val="28"/>
          <w:szCs w:val="28"/>
          <w:lang w:val="en-AU"/>
        </w:rPr>
      </w:pPr>
      <w:r w:rsidRPr="00AF329E">
        <w:rPr>
          <w:sz w:val="28"/>
          <w:szCs w:val="28"/>
          <w:lang w:val="en-AU"/>
        </w:rPr>
        <w:t>2. A national Aboriginal and Torres Strait Islander early intervention, prevention and reunification program</w:t>
      </w:r>
    </w:p>
    <w:p w14:paraId="46346047" w14:textId="77777777" w:rsidR="00631EA2" w:rsidRPr="00AF329E" w:rsidRDefault="00631EA2" w:rsidP="00631EA2">
      <w:pPr>
        <w:rPr>
          <w:rFonts w:eastAsia="Times New Roman" w:cs="Arial"/>
          <w:color w:val="222222"/>
          <w:szCs w:val="22"/>
          <w:lang w:val="en-AU"/>
        </w:rPr>
      </w:pPr>
    </w:p>
    <w:p w14:paraId="625E5DEE" w14:textId="45B369F7" w:rsidR="00631EA2" w:rsidRPr="00AF329E" w:rsidRDefault="00631EA2" w:rsidP="00631EA2">
      <w:pPr>
        <w:rPr>
          <w:rFonts w:eastAsia="Times New Roman" w:cs="Arial"/>
          <w:color w:val="222222"/>
          <w:szCs w:val="22"/>
          <w:lang w:val="en-AU"/>
        </w:rPr>
      </w:pPr>
      <w:r w:rsidRPr="00AF329E">
        <w:rPr>
          <w:rFonts w:eastAsia="Times New Roman" w:cs="Arial"/>
          <w:color w:val="222222"/>
          <w:szCs w:val="22"/>
          <w:lang w:val="en-AU"/>
        </w:rPr>
        <w:t>Australian and international evidence has demonstrated the enormous potential downstream social and economic cost benefits of early intervention supports that prevent family breakdown and ensure children can stay safely in the care of their families. Health and well</w:t>
      </w:r>
      <w:r w:rsidR="00602F00" w:rsidRPr="00AF329E">
        <w:rPr>
          <w:rFonts w:eastAsia="Times New Roman" w:cs="Arial"/>
          <w:color w:val="222222"/>
          <w:szCs w:val="22"/>
          <w:lang w:val="en-AU"/>
        </w:rPr>
        <w:t>-</w:t>
      </w:r>
      <w:r w:rsidRPr="00AF329E">
        <w:rPr>
          <w:rFonts w:eastAsia="Times New Roman" w:cs="Arial"/>
          <w:color w:val="222222"/>
          <w:szCs w:val="22"/>
          <w:lang w:val="en-AU"/>
        </w:rPr>
        <w:t>being benefits of preventive service delivery cut across a broad range of federal and state portfolios</w:t>
      </w:r>
      <w:r w:rsidR="006F4E3C" w:rsidRPr="00AF329E">
        <w:rPr>
          <w:rFonts w:eastAsia="Times New Roman" w:cs="Arial"/>
          <w:color w:val="222222"/>
          <w:szCs w:val="22"/>
          <w:lang w:val="en-AU"/>
        </w:rPr>
        <w:t xml:space="preserve">. </w:t>
      </w:r>
      <w:r w:rsidRPr="00AF329E">
        <w:rPr>
          <w:rFonts w:eastAsia="Times New Roman" w:cs="Arial"/>
          <w:color w:val="222222"/>
          <w:szCs w:val="22"/>
          <w:lang w:val="en-AU"/>
        </w:rPr>
        <w:t xml:space="preserve">In 2015 the Australian Research Alliance for Children and Youth (ARACY) completed a comprehensive review of evidence on cost benefits of early intervention, concluding that,  </w:t>
      </w:r>
    </w:p>
    <w:p w14:paraId="59466101" w14:textId="77777777" w:rsidR="00631EA2" w:rsidRPr="00AF329E" w:rsidRDefault="00631EA2" w:rsidP="00631EA2">
      <w:pPr>
        <w:rPr>
          <w:rFonts w:eastAsia="Times New Roman" w:cs="Arial"/>
          <w:color w:val="222222"/>
          <w:szCs w:val="22"/>
          <w:lang w:val="en-AU"/>
        </w:rPr>
      </w:pPr>
    </w:p>
    <w:p w14:paraId="7C0452A1" w14:textId="77777777" w:rsidR="00631EA2" w:rsidRPr="00AF329E" w:rsidRDefault="00631EA2" w:rsidP="00631EA2">
      <w:pPr>
        <w:widowControl w:val="0"/>
        <w:autoSpaceDE w:val="0"/>
        <w:autoSpaceDN w:val="0"/>
        <w:adjustRightInd w:val="0"/>
        <w:ind w:left="720"/>
        <w:rPr>
          <w:rFonts w:eastAsia="Times New Roman" w:cs="Arial"/>
          <w:i/>
          <w:color w:val="222222"/>
          <w:szCs w:val="22"/>
          <w:lang w:val="en-AU"/>
        </w:rPr>
      </w:pPr>
      <w:r w:rsidRPr="00AF329E">
        <w:rPr>
          <w:rFonts w:eastAsia="Times New Roman" w:cs="Arial"/>
          <w:i/>
          <w:color w:val="222222"/>
          <w:szCs w:val="22"/>
          <w:lang w:val="en-AU"/>
        </w:rPr>
        <w:t>“In addition to being crucial to children’s developmental trajectories, it is clear that investments in the early years and in prevention and early intervention more broadly yield significant financial returns. The return on investment for prevention and early intervention is consistently greater than costly remedial responses; preventative investment reduces downstream expenditure on remedial education, school failure, poor health, mental illness, welfare recipiency, substance misuse and criminal justice.”</w:t>
      </w:r>
      <w:r w:rsidRPr="00AF329E">
        <w:rPr>
          <w:rStyle w:val="EndnoteReference"/>
          <w:rFonts w:eastAsia="Times New Roman" w:cs="Arial"/>
          <w:i/>
          <w:color w:val="222222"/>
          <w:szCs w:val="22"/>
          <w:lang w:val="en-AU"/>
        </w:rPr>
        <w:endnoteReference w:id="9"/>
      </w:r>
    </w:p>
    <w:p w14:paraId="4CE2E093" w14:textId="77777777" w:rsidR="00631EA2" w:rsidRPr="00AF329E" w:rsidRDefault="00631EA2" w:rsidP="00631EA2">
      <w:pPr>
        <w:rPr>
          <w:rFonts w:eastAsia="Times New Roman" w:cs="Arial"/>
          <w:color w:val="222222"/>
          <w:szCs w:val="22"/>
          <w:lang w:val="en-AU"/>
        </w:rPr>
      </w:pPr>
    </w:p>
    <w:p w14:paraId="36CE4B6F" w14:textId="535CAC08" w:rsidR="00631EA2" w:rsidRPr="00AF329E" w:rsidRDefault="00631EA2" w:rsidP="00631EA2">
      <w:pPr>
        <w:rPr>
          <w:rFonts w:eastAsia="Times New Roman" w:cs="Arial"/>
          <w:color w:val="222222"/>
          <w:szCs w:val="22"/>
          <w:lang w:val="en-AU"/>
        </w:rPr>
      </w:pPr>
      <w:r w:rsidRPr="00AF329E">
        <w:rPr>
          <w:rFonts w:eastAsia="Times New Roman" w:cs="Arial"/>
          <w:color w:val="222222"/>
          <w:szCs w:val="22"/>
          <w:lang w:val="en-AU"/>
        </w:rPr>
        <w:t>The ARACY (2015) study cites multiple cost/benefit analyses with findings including that a 7.35</w:t>
      </w:r>
      <w:r w:rsidR="00641E10" w:rsidRPr="00AF329E">
        <w:rPr>
          <w:rFonts w:eastAsia="Times New Roman" w:cs="Arial"/>
          <w:color w:val="222222"/>
          <w:szCs w:val="22"/>
          <w:lang w:val="en-AU"/>
        </w:rPr>
        <w:t xml:space="preserve"> per cent</w:t>
      </w:r>
      <w:r w:rsidRPr="00AF329E">
        <w:rPr>
          <w:rFonts w:eastAsia="Times New Roman" w:cs="Arial"/>
          <w:color w:val="222222"/>
          <w:szCs w:val="22"/>
          <w:lang w:val="en-AU"/>
        </w:rPr>
        <w:t xml:space="preserve"> increase in GDP could be achieved over 60 years by reducing child vulnerability;</w:t>
      </w:r>
      <w:r w:rsidRPr="00AF329E">
        <w:rPr>
          <w:rStyle w:val="EndnoteReference"/>
          <w:rFonts w:eastAsia="Times New Roman" w:cs="Arial"/>
          <w:color w:val="222222"/>
          <w:szCs w:val="22"/>
          <w:lang w:val="en-AU"/>
        </w:rPr>
        <w:endnoteReference w:id="10"/>
      </w:r>
      <w:r w:rsidRPr="00AF329E">
        <w:rPr>
          <w:rFonts w:eastAsia="Times New Roman" w:cs="Arial"/>
          <w:color w:val="222222"/>
          <w:szCs w:val="22"/>
          <w:lang w:val="en-AU"/>
        </w:rPr>
        <w:t xml:space="preserve"> and that Australia incurs a cost of $245,000 per child at 2011 rates for each new substantiation of child maltreatment.</w:t>
      </w:r>
      <w:r w:rsidRPr="00AF329E">
        <w:rPr>
          <w:rStyle w:val="EndnoteReference"/>
          <w:rFonts w:eastAsia="Times New Roman" w:cs="Arial"/>
          <w:color w:val="222222"/>
          <w:szCs w:val="22"/>
          <w:lang w:val="en-AU"/>
        </w:rPr>
        <w:endnoteReference w:id="11"/>
      </w:r>
      <w:r w:rsidRPr="00AF329E">
        <w:rPr>
          <w:rFonts w:eastAsia="Times New Roman" w:cs="Arial"/>
          <w:color w:val="222222"/>
          <w:szCs w:val="22"/>
          <w:lang w:val="en-AU"/>
        </w:rPr>
        <w:t xml:space="preserve">  A 2006 study of a cohort of 1150 Australians</w:t>
      </w:r>
      <w:r w:rsidR="00BD772E" w:rsidRPr="00AF329E">
        <w:rPr>
          <w:rFonts w:eastAsia="Times New Roman" w:cs="Arial"/>
          <w:color w:val="222222"/>
          <w:szCs w:val="22"/>
          <w:lang w:val="en-AU"/>
        </w:rPr>
        <w:t xml:space="preserve"> who were</w:t>
      </w:r>
      <w:r w:rsidRPr="00AF329E">
        <w:rPr>
          <w:rFonts w:eastAsia="Times New Roman" w:cs="Arial"/>
          <w:color w:val="222222"/>
          <w:szCs w:val="22"/>
          <w:lang w:val="en-AU"/>
        </w:rPr>
        <w:t xml:space="preserve"> in out-of-home care found total costs to government of just over $2 billion across their lifetimes with the highest cost areas including family services ($190m), income support ($76m) and housing support ($67m).</w:t>
      </w:r>
      <w:r w:rsidRPr="00AF329E">
        <w:rPr>
          <w:rStyle w:val="EndnoteReference"/>
          <w:rFonts w:eastAsia="Times New Roman" w:cs="Arial"/>
          <w:color w:val="222222"/>
          <w:szCs w:val="22"/>
          <w:lang w:val="en-AU"/>
        </w:rPr>
        <w:endnoteReference w:id="12"/>
      </w:r>
      <w:r w:rsidRPr="00AF329E">
        <w:rPr>
          <w:rFonts w:eastAsia="Times New Roman" w:cs="Arial"/>
          <w:color w:val="222222"/>
          <w:szCs w:val="22"/>
          <w:lang w:val="en-AU"/>
        </w:rPr>
        <w:t xml:space="preserve"> Studies of the economic benefits of early intervention programs are more advanced internationally, where, for example, in the United States a study has shown that the implementation of four evidence</w:t>
      </w:r>
      <w:r w:rsidR="00641E10" w:rsidRPr="00AF329E">
        <w:rPr>
          <w:rFonts w:eastAsia="Times New Roman" w:cs="Arial"/>
          <w:color w:val="222222"/>
          <w:szCs w:val="22"/>
          <w:lang w:val="en-AU"/>
        </w:rPr>
        <w:t>-</w:t>
      </w:r>
      <w:r w:rsidRPr="00AF329E">
        <w:rPr>
          <w:rFonts w:eastAsia="Times New Roman" w:cs="Arial"/>
          <w:color w:val="222222"/>
          <w:szCs w:val="22"/>
          <w:lang w:val="en-AU"/>
        </w:rPr>
        <w:t>based family support programs yields a benefit to cost ratio of 4.31 to 1.</w:t>
      </w:r>
      <w:r w:rsidRPr="00AF329E">
        <w:rPr>
          <w:rStyle w:val="EndnoteReference"/>
          <w:rFonts w:eastAsia="Times New Roman" w:cs="Arial"/>
          <w:color w:val="222222"/>
          <w:szCs w:val="22"/>
          <w:lang w:val="en-AU"/>
        </w:rPr>
        <w:endnoteReference w:id="13"/>
      </w:r>
    </w:p>
    <w:p w14:paraId="2330A79C" w14:textId="77777777" w:rsidR="00631EA2" w:rsidRPr="00AF329E" w:rsidRDefault="00631EA2" w:rsidP="00631EA2">
      <w:pPr>
        <w:rPr>
          <w:rFonts w:eastAsia="Times New Roman" w:cs="Arial"/>
          <w:color w:val="222222"/>
          <w:szCs w:val="22"/>
          <w:lang w:val="en-AU"/>
        </w:rPr>
      </w:pPr>
    </w:p>
    <w:p w14:paraId="1C9ACDB0" w14:textId="2977545C" w:rsidR="00631EA2" w:rsidRPr="00AF329E" w:rsidRDefault="00631EA2" w:rsidP="00631EA2">
      <w:pPr>
        <w:rPr>
          <w:rFonts w:eastAsia="Times New Roman" w:cs="Arial"/>
          <w:color w:val="222222"/>
          <w:szCs w:val="22"/>
          <w:lang w:val="en-AU"/>
        </w:rPr>
      </w:pPr>
      <w:r w:rsidRPr="00AF329E">
        <w:rPr>
          <w:rFonts w:eastAsia="Times New Roman" w:cs="Arial"/>
          <w:color w:val="222222"/>
          <w:szCs w:val="22"/>
          <w:lang w:val="en-AU"/>
        </w:rPr>
        <w:t>While an effective universal service system addressing core services</w:t>
      </w:r>
      <w:r w:rsidR="006D5143" w:rsidRPr="00AF329E">
        <w:rPr>
          <w:rFonts w:eastAsia="Times New Roman" w:cs="Arial"/>
          <w:color w:val="222222"/>
          <w:szCs w:val="22"/>
          <w:lang w:val="en-AU"/>
        </w:rPr>
        <w:t xml:space="preserve"> –</w:t>
      </w:r>
      <w:r w:rsidRPr="00AF329E">
        <w:rPr>
          <w:rFonts w:eastAsia="Times New Roman" w:cs="Arial"/>
          <w:color w:val="222222"/>
          <w:szCs w:val="22"/>
          <w:lang w:val="en-AU"/>
        </w:rPr>
        <w:t xml:space="preserve"> including health, education and early childhood </w:t>
      </w:r>
      <w:r w:rsidR="006D5143" w:rsidRPr="00AF329E">
        <w:rPr>
          <w:rFonts w:eastAsia="Times New Roman" w:cs="Arial"/>
          <w:color w:val="222222"/>
          <w:szCs w:val="22"/>
          <w:lang w:val="en-AU"/>
        </w:rPr>
        <w:t xml:space="preserve">– </w:t>
      </w:r>
      <w:r w:rsidRPr="00AF329E">
        <w:rPr>
          <w:rFonts w:eastAsia="Times New Roman" w:cs="Arial"/>
          <w:color w:val="222222"/>
          <w:szCs w:val="22"/>
          <w:lang w:val="en-AU"/>
        </w:rPr>
        <w:t>is critical to support vulnerable families, research describes that the most vulnerable families are least likely to access available services</w:t>
      </w:r>
      <w:r w:rsidR="006F4E3C" w:rsidRPr="00AF329E">
        <w:rPr>
          <w:rFonts w:eastAsia="Times New Roman" w:cs="Arial"/>
          <w:color w:val="222222"/>
          <w:szCs w:val="22"/>
          <w:lang w:val="en-AU"/>
        </w:rPr>
        <w:t xml:space="preserve">. </w:t>
      </w:r>
      <w:r w:rsidRPr="00AF329E">
        <w:rPr>
          <w:rFonts w:eastAsia="Times New Roman" w:cs="Arial"/>
          <w:color w:val="222222"/>
          <w:szCs w:val="22"/>
          <w:lang w:val="en-AU"/>
        </w:rPr>
        <w:t>To respond to needs for vulnerable families, targeted approaches that address their specific and complex needs and targeted client engagement strategies are critical</w:t>
      </w:r>
      <w:r w:rsidR="006F4E3C" w:rsidRPr="00AF329E">
        <w:rPr>
          <w:rFonts w:eastAsia="Times New Roman" w:cs="Arial"/>
          <w:color w:val="222222"/>
          <w:szCs w:val="22"/>
          <w:lang w:val="en-AU"/>
        </w:rPr>
        <w:t xml:space="preserve">. </w:t>
      </w:r>
      <w:r w:rsidRPr="00AF329E">
        <w:rPr>
          <w:rFonts w:eastAsia="Times New Roman" w:cs="Arial"/>
          <w:color w:val="222222"/>
          <w:szCs w:val="22"/>
          <w:lang w:val="en-AU"/>
        </w:rPr>
        <w:t>Evidence is</w:t>
      </w:r>
      <w:r w:rsidR="00BD772E" w:rsidRPr="00AF329E">
        <w:rPr>
          <w:rFonts w:eastAsia="Times New Roman" w:cs="Arial"/>
          <w:color w:val="222222"/>
          <w:szCs w:val="22"/>
          <w:lang w:val="en-AU"/>
        </w:rPr>
        <w:t xml:space="preserve"> also</w:t>
      </w:r>
      <w:r w:rsidRPr="00AF329E">
        <w:rPr>
          <w:rFonts w:eastAsia="Times New Roman" w:cs="Arial"/>
          <w:color w:val="222222"/>
          <w:szCs w:val="22"/>
          <w:lang w:val="en-AU"/>
        </w:rPr>
        <w:t xml:space="preserve"> clear that the greatest economic and social returns on investment come from programs targeted to vulnerable populations, especially those targeted early in the life cycle.</w:t>
      </w:r>
      <w:r w:rsidRPr="00AF329E">
        <w:rPr>
          <w:rStyle w:val="EndnoteReference"/>
          <w:rFonts w:eastAsia="Times New Roman" w:cs="Arial"/>
          <w:color w:val="222222"/>
          <w:szCs w:val="22"/>
          <w:lang w:val="en-AU"/>
        </w:rPr>
        <w:endnoteReference w:id="14"/>
      </w:r>
      <w:r w:rsidRPr="00AF329E">
        <w:rPr>
          <w:rFonts w:eastAsia="Times New Roman" w:cs="Arial"/>
          <w:color w:val="222222"/>
          <w:szCs w:val="22"/>
          <w:lang w:val="en-AU"/>
        </w:rPr>
        <w:t xml:space="preserve">  For Aboriginal and Torres Strait Islander families, service access issues are compounded by the lack of services that are culturally appropriate or adapted to their specific circumstances</w:t>
      </w:r>
      <w:r w:rsidRPr="00AF329E">
        <w:rPr>
          <w:rStyle w:val="EndnoteReference"/>
          <w:rFonts w:eastAsia="Times New Roman" w:cs="Arial"/>
          <w:color w:val="222222"/>
          <w:szCs w:val="22"/>
          <w:lang w:val="en-AU"/>
        </w:rPr>
        <w:endnoteReference w:id="15"/>
      </w:r>
      <w:r w:rsidRPr="00AF329E">
        <w:rPr>
          <w:rFonts w:eastAsia="Times New Roman" w:cs="Arial"/>
          <w:color w:val="222222"/>
          <w:szCs w:val="22"/>
          <w:lang w:val="en-AU"/>
        </w:rPr>
        <w:t xml:space="preserve"> – reflected in their under-utilisation of mainstream preventive services.</w:t>
      </w:r>
    </w:p>
    <w:p w14:paraId="79D18D62" w14:textId="77777777" w:rsidR="00631EA2" w:rsidRPr="00AF329E" w:rsidRDefault="00631EA2" w:rsidP="00631EA2">
      <w:pPr>
        <w:rPr>
          <w:rFonts w:eastAsia="Times New Roman" w:cs="Arial"/>
          <w:color w:val="222222"/>
          <w:szCs w:val="22"/>
          <w:lang w:val="en-AU"/>
        </w:rPr>
      </w:pPr>
    </w:p>
    <w:p w14:paraId="7729EE7F" w14:textId="77777777" w:rsidR="00631EA2" w:rsidRPr="00AF329E" w:rsidRDefault="00631EA2" w:rsidP="00631EA2">
      <w:pPr>
        <w:ind w:right="-199"/>
        <w:rPr>
          <w:szCs w:val="22"/>
          <w:lang w:val="en-AU"/>
        </w:rPr>
      </w:pPr>
      <w:r w:rsidRPr="00AF329E">
        <w:rPr>
          <w:szCs w:val="22"/>
          <w:lang w:val="en-AU"/>
        </w:rPr>
        <w:t>Despite Australia-wide endorsement of a public health model for child safety that would increase the use of preventive approaches, 83 per cent of the $4.34 billion child protection budget remains targeted at the tertiary end of the spectrum, child protection and out-of-home care.</w:t>
      </w:r>
      <w:r w:rsidR="00DA2890" w:rsidRPr="00AF329E">
        <w:rPr>
          <w:rStyle w:val="EndnoteReference"/>
          <w:szCs w:val="22"/>
          <w:lang w:val="en-AU"/>
        </w:rPr>
        <w:endnoteReference w:id="16"/>
      </w:r>
      <w:r w:rsidRPr="00AF329E">
        <w:rPr>
          <w:szCs w:val="22"/>
          <w:lang w:val="en-AU"/>
        </w:rPr>
        <w:t xml:space="preserve"> Australia is in fact moving backwards with investment in family support services for vulnerable families decreasing from 19.2 per cent to 16.6 per cent of total child protection expenditure over 2011-12 to 2014-15.</w:t>
      </w:r>
      <w:r w:rsidRPr="00AF329E">
        <w:rPr>
          <w:rStyle w:val="EndnoteReference"/>
          <w:szCs w:val="22"/>
          <w:lang w:val="en-AU"/>
        </w:rPr>
        <w:endnoteReference w:id="17"/>
      </w:r>
      <w:r w:rsidRPr="00AF329E">
        <w:rPr>
          <w:lang w:val="en-AU"/>
        </w:rPr>
        <w:t xml:space="preserve">  </w:t>
      </w:r>
      <w:r w:rsidRPr="00AF329E">
        <w:rPr>
          <w:szCs w:val="22"/>
          <w:lang w:val="en-AU"/>
        </w:rPr>
        <w:t xml:space="preserve">As illustrated in Figure 2, we are investing in </w:t>
      </w:r>
      <w:r w:rsidRPr="00AF329E">
        <w:rPr>
          <w:i/>
          <w:szCs w:val="22"/>
          <w:lang w:val="en-AU"/>
        </w:rPr>
        <w:t>responding</w:t>
      </w:r>
      <w:r w:rsidRPr="00AF329E">
        <w:rPr>
          <w:szCs w:val="22"/>
          <w:lang w:val="en-AU"/>
        </w:rPr>
        <w:t xml:space="preserve"> to incidents that place children at risk, rather than </w:t>
      </w:r>
      <w:r w:rsidRPr="00AF329E">
        <w:rPr>
          <w:i/>
          <w:szCs w:val="22"/>
          <w:lang w:val="en-AU"/>
        </w:rPr>
        <w:t>preventing</w:t>
      </w:r>
      <w:r w:rsidRPr="00AF329E">
        <w:rPr>
          <w:szCs w:val="22"/>
          <w:lang w:val="en-AU"/>
        </w:rPr>
        <w:t xml:space="preserve"> them from happening in the first place.</w:t>
      </w:r>
    </w:p>
    <w:p w14:paraId="1EAF6EC2" w14:textId="77777777" w:rsidR="00631EA2" w:rsidRPr="00AF329E" w:rsidRDefault="00631EA2" w:rsidP="00631EA2">
      <w:pPr>
        <w:ind w:right="-199"/>
        <w:rPr>
          <w:szCs w:val="22"/>
          <w:lang w:val="en-AU"/>
        </w:rPr>
      </w:pPr>
    </w:p>
    <w:p w14:paraId="4B38BC40" w14:textId="77777777" w:rsidR="00631EA2" w:rsidRPr="00AF329E" w:rsidRDefault="00631EA2" w:rsidP="00631EA2">
      <w:pPr>
        <w:keepNext/>
        <w:ind w:right="-199"/>
        <w:rPr>
          <w:b/>
          <w:lang w:val="en-AU"/>
        </w:rPr>
      </w:pPr>
      <w:r w:rsidRPr="00AF329E">
        <w:rPr>
          <w:b/>
          <w:szCs w:val="22"/>
          <w:lang w:val="en-AU"/>
        </w:rPr>
        <w:t>Figure 2 – Real recurrent expenditure on child protection in Australia, 2014-15</w:t>
      </w:r>
      <w:r w:rsidRPr="00AF329E">
        <w:rPr>
          <w:rStyle w:val="EndnoteReference"/>
          <w:b/>
          <w:szCs w:val="22"/>
          <w:lang w:val="en-AU"/>
        </w:rPr>
        <w:endnoteReference w:id="18"/>
      </w:r>
    </w:p>
    <w:p w14:paraId="5A9AD0CB" w14:textId="77777777" w:rsidR="00631EA2" w:rsidRPr="00AF329E" w:rsidRDefault="00631EA2" w:rsidP="00631EA2">
      <w:pPr>
        <w:keepNext/>
        <w:rPr>
          <w:rFonts w:eastAsia="Times New Roman" w:cs="Arial"/>
          <w:color w:val="222222"/>
          <w:szCs w:val="22"/>
          <w:lang w:val="en-AU"/>
        </w:rPr>
      </w:pPr>
      <w:r w:rsidRPr="00AF329E">
        <w:rPr>
          <w:rFonts w:eastAsia="Times New Roman" w:cs="Arial"/>
          <w:noProof/>
          <w:color w:val="222222"/>
          <w:szCs w:val="22"/>
          <w:lang w:val="en-AU" w:eastAsia="en-AU"/>
        </w:rPr>
        <w:drawing>
          <wp:inline distT="0" distB="0" distL="0" distR="0" wp14:anchorId="1C2609FA" wp14:editId="7A597B22">
            <wp:extent cx="5266055" cy="3361055"/>
            <wp:effectExtent l="0" t="0" r="0" b="0"/>
            <wp:docPr id="2" name="Picture 2" descr="Macintosh HD:Users:snowimac1:Dropbox:Screenshots:Screenshot 2016-11-28 11.29.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nowimac1:Dropbox:Screenshots:Screenshot 2016-11-28 11.29.54.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66055" cy="3361055"/>
                    </a:xfrm>
                    <a:prstGeom prst="rect">
                      <a:avLst/>
                    </a:prstGeom>
                    <a:noFill/>
                    <a:ln>
                      <a:noFill/>
                    </a:ln>
                  </pic:spPr>
                </pic:pic>
              </a:graphicData>
            </a:graphic>
          </wp:inline>
        </w:drawing>
      </w:r>
    </w:p>
    <w:p w14:paraId="0048EB05" w14:textId="77777777" w:rsidR="00631EA2" w:rsidRPr="00AF329E" w:rsidRDefault="00631EA2" w:rsidP="00631EA2">
      <w:pPr>
        <w:rPr>
          <w:rFonts w:eastAsia="Times New Roman" w:cs="Arial"/>
          <w:color w:val="222222"/>
          <w:szCs w:val="22"/>
          <w:lang w:val="en-AU"/>
        </w:rPr>
      </w:pPr>
    </w:p>
    <w:p w14:paraId="086CC82E" w14:textId="3923C98A" w:rsidR="00631EA2" w:rsidRPr="00AF329E" w:rsidRDefault="00631EA2" w:rsidP="00631EA2">
      <w:pPr>
        <w:rPr>
          <w:rFonts w:eastAsia="Times New Roman" w:cs="Arial"/>
          <w:color w:val="222222"/>
          <w:szCs w:val="22"/>
          <w:lang w:val="en-AU"/>
        </w:rPr>
      </w:pPr>
      <w:r w:rsidRPr="00AF329E">
        <w:rPr>
          <w:rFonts w:eastAsia="Times New Roman" w:cs="Arial"/>
          <w:color w:val="222222"/>
          <w:szCs w:val="22"/>
          <w:lang w:val="en-AU"/>
        </w:rPr>
        <w:t>Given widespread failures to invest adequately in early intervention</w:t>
      </w:r>
      <w:r w:rsidR="00BD772E" w:rsidRPr="00AF329E">
        <w:rPr>
          <w:rFonts w:eastAsia="Times New Roman" w:cs="Arial"/>
          <w:color w:val="222222"/>
          <w:szCs w:val="22"/>
          <w:lang w:val="en-AU"/>
        </w:rPr>
        <w:t xml:space="preserve"> and the lack of culturally appropriate services</w:t>
      </w:r>
      <w:r w:rsidRPr="00AF329E">
        <w:rPr>
          <w:rFonts w:eastAsia="Times New Roman" w:cs="Arial"/>
          <w:color w:val="222222"/>
          <w:szCs w:val="22"/>
          <w:lang w:val="en-AU"/>
        </w:rPr>
        <w:t>, it is unsurprising that only 1.4</w:t>
      </w:r>
      <w:r w:rsidR="006D5143" w:rsidRPr="00AF329E">
        <w:rPr>
          <w:rFonts w:eastAsia="Times New Roman" w:cs="Arial"/>
          <w:color w:val="222222"/>
          <w:szCs w:val="22"/>
          <w:lang w:val="en-AU"/>
        </w:rPr>
        <w:t xml:space="preserve"> per cent</w:t>
      </w:r>
      <w:r w:rsidRPr="00AF329E">
        <w:rPr>
          <w:rFonts w:eastAsia="Times New Roman" w:cs="Arial"/>
          <w:color w:val="222222"/>
          <w:szCs w:val="22"/>
          <w:lang w:val="en-AU"/>
        </w:rPr>
        <w:t xml:space="preserve"> of Aboriginal and Torres Strait Islander children on average </w:t>
      </w:r>
      <w:r w:rsidR="00134FA9" w:rsidRPr="00AF329E">
        <w:rPr>
          <w:rFonts w:eastAsia="Times New Roman" w:cs="Arial"/>
          <w:color w:val="222222"/>
          <w:szCs w:val="22"/>
          <w:lang w:val="en-AU"/>
        </w:rPr>
        <w:t>accessed</w:t>
      </w:r>
      <w:r w:rsidRPr="00AF329E">
        <w:rPr>
          <w:rFonts w:eastAsia="Times New Roman" w:cs="Arial"/>
          <w:color w:val="222222"/>
          <w:szCs w:val="22"/>
          <w:lang w:val="en-AU"/>
        </w:rPr>
        <w:t xml:space="preserve"> an intensive family support service across Australia</w:t>
      </w:r>
      <w:r w:rsidR="00134FA9" w:rsidRPr="00AF329E">
        <w:rPr>
          <w:rFonts w:eastAsia="Times New Roman" w:cs="Arial"/>
          <w:color w:val="222222"/>
          <w:szCs w:val="22"/>
          <w:lang w:val="en-AU"/>
        </w:rPr>
        <w:t xml:space="preserve"> in 2012-14</w:t>
      </w:r>
      <w:r w:rsidRPr="00AF329E">
        <w:rPr>
          <w:rFonts w:eastAsia="Times New Roman" w:cs="Arial"/>
          <w:color w:val="222222"/>
          <w:szCs w:val="22"/>
          <w:lang w:val="en-AU"/>
        </w:rPr>
        <w:t xml:space="preserve"> (Figure 3),</w:t>
      </w:r>
      <w:r w:rsidRPr="00AF329E">
        <w:rPr>
          <w:rStyle w:val="EndnoteReference"/>
          <w:rFonts w:eastAsia="Times New Roman" w:cs="Arial"/>
          <w:color w:val="222222"/>
          <w:szCs w:val="22"/>
          <w:lang w:val="en-AU"/>
        </w:rPr>
        <w:endnoteReference w:id="19"/>
      </w:r>
      <w:r w:rsidRPr="00AF329E">
        <w:rPr>
          <w:rFonts w:eastAsia="Times New Roman" w:cs="Arial"/>
          <w:color w:val="222222"/>
          <w:szCs w:val="22"/>
          <w:lang w:val="en-AU"/>
        </w:rPr>
        <w:t xml:space="preserve"> as compared to 14.6</w:t>
      </w:r>
      <w:r w:rsidR="006D5143" w:rsidRPr="00AF329E">
        <w:rPr>
          <w:rFonts w:eastAsia="Times New Roman" w:cs="Arial"/>
          <w:color w:val="222222"/>
          <w:szCs w:val="22"/>
          <w:lang w:val="en-AU"/>
        </w:rPr>
        <w:t xml:space="preserve"> per cent</w:t>
      </w:r>
      <w:r w:rsidRPr="00AF329E">
        <w:rPr>
          <w:rFonts w:eastAsia="Times New Roman" w:cs="Arial"/>
          <w:color w:val="222222"/>
          <w:szCs w:val="22"/>
          <w:lang w:val="en-AU"/>
        </w:rPr>
        <w:t xml:space="preserve"> of Aboriginal and Torres Strait Islander children who received a child protection service in </w:t>
      </w:r>
      <w:r w:rsidR="00134FA9" w:rsidRPr="00AF329E">
        <w:rPr>
          <w:rFonts w:eastAsia="Times New Roman" w:cs="Arial"/>
          <w:color w:val="222222"/>
          <w:szCs w:val="22"/>
          <w:lang w:val="en-AU"/>
        </w:rPr>
        <w:t>2014-15</w:t>
      </w:r>
      <w:r w:rsidRPr="00AF329E">
        <w:rPr>
          <w:rFonts w:eastAsia="Times New Roman" w:cs="Arial"/>
          <w:color w:val="222222"/>
          <w:szCs w:val="22"/>
          <w:lang w:val="en-AU"/>
        </w:rPr>
        <w:t>,</w:t>
      </w:r>
      <w:r w:rsidRPr="00AF329E">
        <w:rPr>
          <w:rStyle w:val="EndnoteReference"/>
          <w:rFonts w:eastAsia="Times New Roman" w:cs="Arial"/>
          <w:color w:val="222222"/>
          <w:szCs w:val="22"/>
          <w:lang w:val="en-AU"/>
        </w:rPr>
        <w:endnoteReference w:id="20"/>
      </w:r>
      <w:r w:rsidRPr="00AF329E">
        <w:rPr>
          <w:rFonts w:eastAsia="Times New Roman" w:cs="Arial"/>
          <w:color w:val="222222"/>
          <w:szCs w:val="22"/>
          <w:lang w:val="en-AU"/>
        </w:rPr>
        <w:t xml:space="preserve"> as illustrated in Figure 3.</w:t>
      </w:r>
    </w:p>
    <w:p w14:paraId="50484A61" w14:textId="77777777" w:rsidR="00631EA2" w:rsidRPr="00AF329E" w:rsidRDefault="00631EA2" w:rsidP="00631EA2">
      <w:pPr>
        <w:rPr>
          <w:rFonts w:eastAsia="Times New Roman" w:cs="Arial"/>
          <w:color w:val="222222"/>
          <w:szCs w:val="22"/>
          <w:lang w:val="en-AU"/>
        </w:rPr>
      </w:pPr>
    </w:p>
    <w:p w14:paraId="005A3FE7" w14:textId="77777777" w:rsidR="00631EA2" w:rsidRPr="00AF329E" w:rsidRDefault="00631EA2" w:rsidP="00631EA2">
      <w:pPr>
        <w:keepNext/>
        <w:rPr>
          <w:rFonts w:eastAsia="Times New Roman" w:cs="Arial"/>
          <w:b/>
          <w:color w:val="222222"/>
          <w:szCs w:val="22"/>
          <w:lang w:val="en-AU"/>
        </w:rPr>
      </w:pPr>
      <w:r w:rsidRPr="00AF329E">
        <w:rPr>
          <w:rFonts w:eastAsia="Times New Roman" w:cs="Arial"/>
          <w:b/>
          <w:color w:val="222222"/>
          <w:szCs w:val="22"/>
          <w:lang w:val="en-AU"/>
        </w:rPr>
        <w:t>Figure 3 – Percentage of Aboriginal and Torres Strait Islander children commencing an Intensive Family Support Service, 2012-14</w:t>
      </w:r>
      <w:r w:rsidRPr="00AF329E">
        <w:rPr>
          <w:rStyle w:val="EndnoteReference"/>
          <w:rFonts w:eastAsia="Times New Roman" w:cs="Arial"/>
          <w:b/>
          <w:color w:val="222222"/>
          <w:szCs w:val="22"/>
          <w:lang w:val="en-AU"/>
        </w:rPr>
        <w:endnoteReference w:id="21"/>
      </w:r>
    </w:p>
    <w:p w14:paraId="600EB3A6" w14:textId="4BF03D5E" w:rsidR="00716ABC" w:rsidRPr="00AF329E" w:rsidRDefault="00631EA2" w:rsidP="00974888">
      <w:pPr>
        <w:keepNext/>
        <w:rPr>
          <w:rFonts w:eastAsia="Times New Roman" w:cs="Arial"/>
          <w:color w:val="222222"/>
          <w:szCs w:val="22"/>
          <w:lang w:val="en-AU"/>
        </w:rPr>
      </w:pPr>
      <w:r w:rsidRPr="00AF329E">
        <w:rPr>
          <w:rFonts w:eastAsia="Times New Roman" w:cs="Arial"/>
          <w:noProof/>
          <w:color w:val="222222"/>
          <w:szCs w:val="22"/>
          <w:lang w:val="en-AU" w:eastAsia="en-AU"/>
        </w:rPr>
        <w:drawing>
          <wp:inline distT="0" distB="0" distL="0" distR="0" wp14:anchorId="55D5B3D9" wp14:editId="02616646">
            <wp:extent cx="5266055" cy="3454400"/>
            <wp:effectExtent l="0" t="0" r="0" b="0"/>
            <wp:docPr id="5" name="Picture 5" descr="Macintosh HD:Users:snowimac1:Dropbox:Screenshots:Screenshot 2016-11-28 11.56.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nowimac1:Dropbox:Screenshots:Screenshot 2016-11-28 11.56.2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66055" cy="3454400"/>
                    </a:xfrm>
                    <a:prstGeom prst="rect">
                      <a:avLst/>
                    </a:prstGeom>
                    <a:noFill/>
                    <a:ln>
                      <a:noFill/>
                    </a:ln>
                  </pic:spPr>
                </pic:pic>
              </a:graphicData>
            </a:graphic>
          </wp:inline>
        </w:drawing>
      </w:r>
    </w:p>
    <w:p w14:paraId="2F0EE1BD" w14:textId="784D2496" w:rsidR="00631EA2" w:rsidRPr="00AF329E" w:rsidRDefault="00716ABC" w:rsidP="00631EA2">
      <w:pPr>
        <w:rPr>
          <w:rFonts w:eastAsia="Times New Roman" w:cs="Arial"/>
          <w:color w:val="222222"/>
          <w:szCs w:val="22"/>
          <w:lang w:val="en-AU"/>
        </w:rPr>
      </w:pPr>
      <w:r w:rsidRPr="00AF329E">
        <w:rPr>
          <w:rFonts w:eastAsia="Times New Roman" w:cs="Arial"/>
          <w:color w:val="222222"/>
          <w:szCs w:val="22"/>
          <w:lang w:val="en-AU"/>
        </w:rPr>
        <w:t xml:space="preserve">Together this evidence clearly indicates that at the core of a response to Aboriginal and Torres Strait Islander over-representation is the increased provision of targeted and culturally appropriate </w:t>
      </w:r>
      <w:r w:rsidR="00BD772E" w:rsidRPr="00AF329E">
        <w:rPr>
          <w:rFonts w:eastAsia="Times New Roman" w:cs="Arial"/>
          <w:color w:val="222222"/>
          <w:szCs w:val="22"/>
          <w:lang w:val="en-AU"/>
        </w:rPr>
        <w:t xml:space="preserve">family </w:t>
      </w:r>
      <w:r w:rsidRPr="00AF329E">
        <w:rPr>
          <w:rFonts w:eastAsia="Times New Roman" w:cs="Arial"/>
          <w:color w:val="222222"/>
          <w:szCs w:val="22"/>
          <w:lang w:val="en-AU"/>
        </w:rPr>
        <w:t>services that intervene early</w:t>
      </w:r>
      <w:r w:rsidR="006F4E3C" w:rsidRPr="00AF329E">
        <w:rPr>
          <w:rFonts w:eastAsia="Times New Roman" w:cs="Arial"/>
          <w:color w:val="222222"/>
          <w:szCs w:val="22"/>
          <w:lang w:val="en-AU"/>
        </w:rPr>
        <w:t xml:space="preserve">. </w:t>
      </w:r>
      <w:r w:rsidR="00631EA2" w:rsidRPr="00AF329E">
        <w:rPr>
          <w:rFonts w:eastAsia="Times New Roman" w:cs="Arial"/>
          <w:color w:val="222222"/>
          <w:szCs w:val="22"/>
          <w:lang w:val="en-AU"/>
        </w:rPr>
        <w:t>International research has determined conclusively that a range of evidence</w:t>
      </w:r>
      <w:r w:rsidR="00ED3751" w:rsidRPr="00AF329E">
        <w:rPr>
          <w:rFonts w:eastAsia="Times New Roman" w:cs="Arial"/>
          <w:color w:val="222222"/>
          <w:szCs w:val="22"/>
          <w:lang w:val="en-AU"/>
        </w:rPr>
        <w:t>-</w:t>
      </w:r>
      <w:r w:rsidR="00631EA2" w:rsidRPr="00AF329E">
        <w:rPr>
          <w:rFonts w:eastAsia="Times New Roman" w:cs="Arial"/>
          <w:color w:val="222222"/>
          <w:szCs w:val="22"/>
          <w:lang w:val="en-AU"/>
        </w:rPr>
        <w:t>based early intervention and prevention programs deliver significant social and cost benefit returns on investment and show strong potential to inform Australian</w:t>
      </w:r>
      <w:r w:rsidR="00BD772E" w:rsidRPr="00AF329E">
        <w:rPr>
          <w:rFonts w:eastAsia="Times New Roman" w:cs="Arial"/>
          <w:color w:val="222222"/>
          <w:szCs w:val="22"/>
          <w:lang w:val="en-AU"/>
        </w:rPr>
        <w:t xml:space="preserve"> family support</w:t>
      </w:r>
      <w:r w:rsidR="00631EA2" w:rsidRPr="00AF329E">
        <w:rPr>
          <w:rFonts w:eastAsia="Times New Roman" w:cs="Arial"/>
          <w:color w:val="222222"/>
          <w:szCs w:val="22"/>
          <w:lang w:val="en-AU"/>
        </w:rPr>
        <w:t xml:space="preserve"> approaches</w:t>
      </w:r>
      <w:r w:rsidR="006F4E3C" w:rsidRPr="00AF329E">
        <w:rPr>
          <w:rFonts w:eastAsia="Times New Roman" w:cs="Arial"/>
          <w:color w:val="222222"/>
          <w:szCs w:val="22"/>
          <w:lang w:val="en-AU"/>
        </w:rPr>
        <w:t xml:space="preserve">. </w:t>
      </w:r>
      <w:r w:rsidR="00631EA2" w:rsidRPr="00AF329E">
        <w:rPr>
          <w:rFonts w:eastAsia="Times New Roman" w:cs="Arial"/>
          <w:color w:val="222222"/>
          <w:szCs w:val="22"/>
          <w:lang w:val="en-AU"/>
        </w:rPr>
        <w:t>For example, the SafeCare parenting support program has been implemented and extensively researched in the United States, with a study in Los Angeles showing that 85</w:t>
      </w:r>
      <w:r w:rsidR="00ED3751" w:rsidRPr="00AF329E">
        <w:rPr>
          <w:rFonts w:eastAsia="Times New Roman" w:cs="Arial"/>
          <w:color w:val="222222"/>
          <w:szCs w:val="22"/>
          <w:lang w:val="en-AU"/>
        </w:rPr>
        <w:t xml:space="preserve"> per cent</w:t>
      </w:r>
      <w:r w:rsidR="00631EA2" w:rsidRPr="00AF329E">
        <w:rPr>
          <w:rFonts w:eastAsia="Times New Roman" w:cs="Arial"/>
          <w:color w:val="222222"/>
          <w:szCs w:val="22"/>
          <w:lang w:val="en-AU"/>
        </w:rPr>
        <w:t xml:space="preserve"> of families had no further reports of child abuse 36 months following the intervention.</w:t>
      </w:r>
      <w:r w:rsidR="00631EA2" w:rsidRPr="00AF329E">
        <w:rPr>
          <w:rStyle w:val="EndnoteReference"/>
          <w:rFonts w:eastAsia="Times New Roman" w:cs="Arial"/>
          <w:color w:val="222222"/>
          <w:szCs w:val="22"/>
          <w:lang w:val="en-AU"/>
        </w:rPr>
        <w:endnoteReference w:id="22"/>
      </w:r>
      <w:r w:rsidR="00631EA2" w:rsidRPr="00AF329E">
        <w:rPr>
          <w:rFonts w:eastAsia="Times New Roman" w:cs="Arial"/>
          <w:color w:val="222222"/>
          <w:szCs w:val="22"/>
          <w:lang w:val="en-AU"/>
        </w:rPr>
        <w:t xml:space="preserve">  In New York, the New York Foundling is implementing</w:t>
      </w:r>
      <w:r w:rsidR="00134FA9" w:rsidRPr="00AF329E">
        <w:rPr>
          <w:rFonts w:eastAsia="Times New Roman" w:cs="Arial"/>
          <w:color w:val="222222"/>
          <w:szCs w:val="22"/>
          <w:lang w:val="en-AU"/>
        </w:rPr>
        <w:t xml:space="preserve"> Family Functional Therapy</w:t>
      </w:r>
      <w:r w:rsidR="00631EA2" w:rsidRPr="00AF329E">
        <w:rPr>
          <w:rFonts w:eastAsia="Times New Roman" w:cs="Arial"/>
          <w:color w:val="222222"/>
          <w:szCs w:val="22"/>
          <w:lang w:val="en-AU"/>
        </w:rPr>
        <w:t xml:space="preserve"> through Child Welfare (FFT-CW), a program that extends the strongly evidence</w:t>
      </w:r>
      <w:r w:rsidR="00ED3751" w:rsidRPr="00AF329E">
        <w:rPr>
          <w:rFonts w:eastAsia="Times New Roman" w:cs="Arial"/>
          <w:color w:val="222222"/>
          <w:szCs w:val="22"/>
          <w:lang w:val="en-AU"/>
        </w:rPr>
        <w:t>-</w:t>
      </w:r>
      <w:r w:rsidR="00631EA2" w:rsidRPr="00AF329E">
        <w:rPr>
          <w:rFonts w:eastAsia="Times New Roman" w:cs="Arial"/>
          <w:color w:val="222222"/>
          <w:szCs w:val="22"/>
          <w:lang w:val="en-AU"/>
        </w:rPr>
        <w:t>based Family Functional Therapy model to provide targeted support for families to address issues that lead to child protection intervention</w:t>
      </w:r>
      <w:r w:rsidR="006F4E3C" w:rsidRPr="00AF329E">
        <w:rPr>
          <w:rFonts w:eastAsia="Times New Roman" w:cs="Arial"/>
          <w:color w:val="222222"/>
          <w:szCs w:val="22"/>
          <w:lang w:val="en-AU"/>
        </w:rPr>
        <w:t xml:space="preserve">. </w:t>
      </w:r>
      <w:r w:rsidR="00631EA2" w:rsidRPr="00AF329E">
        <w:rPr>
          <w:rFonts w:eastAsia="Times New Roman" w:cs="Arial"/>
          <w:color w:val="222222"/>
          <w:szCs w:val="22"/>
          <w:lang w:val="en-AU"/>
        </w:rPr>
        <w:t>A pilot study of FFT-CW in New York in 2010-11 found that 71</w:t>
      </w:r>
      <w:r w:rsidR="00ED3751" w:rsidRPr="00AF329E">
        <w:rPr>
          <w:rFonts w:eastAsia="Times New Roman" w:cs="Arial"/>
          <w:color w:val="222222"/>
          <w:szCs w:val="22"/>
          <w:lang w:val="en-AU"/>
        </w:rPr>
        <w:t xml:space="preserve"> per cent</w:t>
      </w:r>
      <w:r w:rsidR="00631EA2" w:rsidRPr="00AF329E">
        <w:rPr>
          <w:rFonts w:eastAsia="Times New Roman" w:cs="Arial"/>
          <w:color w:val="222222"/>
          <w:szCs w:val="22"/>
          <w:lang w:val="en-AU"/>
        </w:rPr>
        <w:t xml:space="preserve"> of high risk famil</w:t>
      </w:r>
      <w:r w:rsidR="009B06A6" w:rsidRPr="00AF329E">
        <w:rPr>
          <w:rFonts w:eastAsia="Times New Roman" w:cs="Arial"/>
          <w:color w:val="222222"/>
          <w:szCs w:val="22"/>
          <w:lang w:val="en-AU"/>
        </w:rPr>
        <w:t>i</w:t>
      </w:r>
      <w:r w:rsidR="00631EA2" w:rsidRPr="00AF329E">
        <w:rPr>
          <w:rFonts w:eastAsia="Times New Roman" w:cs="Arial"/>
          <w:color w:val="222222"/>
          <w:szCs w:val="22"/>
          <w:lang w:val="en-AU"/>
        </w:rPr>
        <w:t>es met all treatment goals, 55</w:t>
      </w:r>
      <w:r w:rsidR="00ED3751" w:rsidRPr="00AF329E">
        <w:rPr>
          <w:rFonts w:eastAsia="Times New Roman" w:cs="Arial"/>
          <w:color w:val="222222"/>
          <w:szCs w:val="22"/>
          <w:lang w:val="en-AU"/>
        </w:rPr>
        <w:t xml:space="preserve"> per cent</w:t>
      </w:r>
      <w:r w:rsidR="00631EA2" w:rsidRPr="00AF329E">
        <w:rPr>
          <w:rFonts w:eastAsia="Times New Roman" w:cs="Arial"/>
          <w:color w:val="222222"/>
          <w:szCs w:val="22"/>
          <w:lang w:val="en-AU"/>
        </w:rPr>
        <w:t xml:space="preserve"> of high risk cases were closed within 6 months and only 2</w:t>
      </w:r>
      <w:r w:rsidR="00ED3751" w:rsidRPr="00AF329E">
        <w:rPr>
          <w:rFonts w:eastAsia="Times New Roman" w:cs="Arial"/>
          <w:color w:val="222222"/>
          <w:szCs w:val="22"/>
          <w:lang w:val="en-AU"/>
        </w:rPr>
        <w:t xml:space="preserve"> per cent</w:t>
      </w:r>
      <w:r w:rsidR="00631EA2" w:rsidRPr="00AF329E">
        <w:rPr>
          <w:rFonts w:eastAsia="Times New Roman" w:cs="Arial"/>
          <w:color w:val="222222"/>
          <w:szCs w:val="22"/>
          <w:lang w:val="en-AU"/>
        </w:rPr>
        <w:t xml:space="preserve"> of families required an out-of-home care placement.</w:t>
      </w:r>
      <w:r w:rsidR="00631EA2" w:rsidRPr="00AF329E">
        <w:rPr>
          <w:rStyle w:val="EndnoteReference"/>
          <w:rFonts w:eastAsia="Times New Roman" w:cs="Arial"/>
          <w:color w:val="222222"/>
          <w:szCs w:val="22"/>
          <w:lang w:val="en-AU"/>
        </w:rPr>
        <w:endnoteReference w:id="23"/>
      </w:r>
      <w:r w:rsidRPr="00AF329E">
        <w:rPr>
          <w:rFonts w:eastAsia="Times New Roman" w:cs="Arial"/>
          <w:color w:val="222222"/>
          <w:szCs w:val="22"/>
          <w:lang w:val="en-AU"/>
        </w:rPr>
        <w:t xml:space="preserve">  If these kind</w:t>
      </w:r>
      <w:r w:rsidR="00BD772E" w:rsidRPr="00AF329E">
        <w:rPr>
          <w:rFonts w:eastAsia="Times New Roman" w:cs="Arial"/>
          <w:color w:val="222222"/>
          <w:szCs w:val="22"/>
          <w:lang w:val="en-AU"/>
        </w:rPr>
        <w:t>s</w:t>
      </w:r>
      <w:r w:rsidRPr="00AF329E">
        <w:rPr>
          <w:rFonts w:eastAsia="Times New Roman" w:cs="Arial"/>
          <w:color w:val="222222"/>
          <w:szCs w:val="22"/>
          <w:lang w:val="en-AU"/>
        </w:rPr>
        <w:t xml:space="preserve"> of results could be replicated in Australia, the social benefits and cost saving</w:t>
      </w:r>
      <w:r w:rsidR="00974888" w:rsidRPr="00AF329E">
        <w:rPr>
          <w:rFonts w:eastAsia="Times New Roman" w:cs="Arial"/>
          <w:color w:val="222222"/>
          <w:szCs w:val="22"/>
          <w:lang w:val="en-AU"/>
        </w:rPr>
        <w:t>s</w:t>
      </w:r>
      <w:r w:rsidRPr="00AF329E">
        <w:rPr>
          <w:rFonts w:eastAsia="Times New Roman" w:cs="Arial"/>
          <w:color w:val="222222"/>
          <w:szCs w:val="22"/>
          <w:lang w:val="en-AU"/>
        </w:rPr>
        <w:t xml:space="preserve"> for our society would be enormous.</w:t>
      </w:r>
    </w:p>
    <w:p w14:paraId="68F6E1DB" w14:textId="77777777" w:rsidR="00631EA2" w:rsidRPr="00AF329E" w:rsidRDefault="00631EA2" w:rsidP="00631EA2">
      <w:pPr>
        <w:rPr>
          <w:rFonts w:eastAsia="Times New Roman" w:cs="Arial"/>
          <w:color w:val="222222"/>
          <w:szCs w:val="22"/>
          <w:lang w:val="en-AU"/>
        </w:rPr>
      </w:pPr>
    </w:p>
    <w:p w14:paraId="6243725C" w14:textId="0DA6F587" w:rsidR="00716ABC" w:rsidRPr="00AF329E" w:rsidRDefault="00134FA9" w:rsidP="00631EA2">
      <w:pPr>
        <w:rPr>
          <w:rFonts w:eastAsia="Times New Roman" w:cs="Arial"/>
          <w:color w:val="222222"/>
          <w:szCs w:val="22"/>
          <w:lang w:val="en-AU"/>
        </w:rPr>
      </w:pPr>
      <w:r w:rsidRPr="00AF329E">
        <w:rPr>
          <w:rFonts w:eastAsia="Times New Roman" w:cs="Arial"/>
          <w:color w:val="222222"/>
          <w:szCs w:val="22"/>
          <w:lang w:val="en-AU"/>
        </w:rPr>
        <w:t xml:space="preserve">However, </w:t>
      </w:r>
      <w:r w:rsidR="00631EA2" w:rsidRPr="00AF329E">
        <w:rPr>
          <w:rFonts w:eastAsia="Times New Roman" w:cs="Arial"/>
          <w:color w:val="222222"/>
          <w:szCs w:val="22"/>
          <w:lang w:val="en-AU"/>
        </w:rPr>
        <w:t>International evidence</w:t>
      </w:r>
      <w:r w:rsidR="00DA0B82" w:rsidRPr="00AF329E">
        <w:rPr>
          <w:rFonts w:eastAsia="Times New Roman" w:cs="Arial"/>
          <w:color w:val="222222"/>
          <w:szCs w:val="22"/>
          <w:lang w:val="en-AU"/>
        </w:rPr>
        <w:t>-</w:t>
      </w:r>
      <w:r w:rsidR="00631EA2" w:rsidRPr="00AF329E">
        <w:rPr>
          <w:rFonts w:eastAsia="Times New Roman" w:cs="Arial"/>
          <w:color w:val="222222"/>
          <w:szCs w:val="22"/>
          <w:lang w:val="en-AU"/>
        </w:rPr>
        <w:t>based programs will still fail to engage and meet the needs of Aboriginal and Torres Strait Islander families where they are not adapted to local culture and context.</w:t>
      </w:r>
      <w:r w:rsidR="00631EA2" w:rsidRPr="00AF329E">
        <w:rPr>
          <w:rStyle w:val="EndnoteReference"/>
          <w:rFonts w:eastAsia="Times New Roman" w:cs="Arial"/>
          <w:color w:val="222222"/>
          <w:szCs w:val="22"/>
          <w:lang w:val="en-AU"/>
        </w:rPr>
        <w:endnoteReference w:id="24"/>
      </w:r>
      <w:r w:rsidR="00631EA2" w:rsidRPr="00AF329E">
        <w:rPr>
          <w:rFonts w:eastAsia="Times New Roman" w:cs="Arial"/>
          <w:color w:val="222222"/>
          <w:szCs w:val="22"/>
          <w:lang w:val="en-AU"/>
        </w:rPr>
        <w:t xml:space="preserve"> </w:t>
      </w:r>
      <w:r w:rsidR="00631EA2" w:rsidRPr="00AF329E">
        <w:rPr>
          <w:rFonts w:eastAsia="Times New Roman" w:cs="Arial"/>
          <w:i/>
          <w:color w:val="222222"/>
          <w:szCs w:val="22"/>
          <w:lang w:val="en-AU"/>
        </w:rPr>
        <w:t>SNAICC</w:t>
      </w:r>
      <w:r w:rsidR="00F87DAC" w:rsidRPr="00AF329E">
        <w:rPr>
          <w:rFonts w:eastAsia="Times New Roman" w:cs="Arial"/>
          <w:i/>
          <w:color w:val="222222"/>
          <w:szCs w:val="22"/>
          <w:lang w:val="en-AU"/>
        </w:rPr>
        <w:t xml:space="preserve"> – National Voice for our Children </w:t>
      </w:r>
      <w:r w:rsidR="00F87DAC" w:rsidRPr="00AF329E">
        <w:rPr>
          <w:rFonts w:eastAsia="Times New Roman" w:cs="Arial"/>
          <w:color w:val="222222"/>
          <w:szCs w:val="22"/>
          <w:lang w:val="en-AU"/>
        </w:rPr>
        <w:t>(SNAICC)</w:t>
      </w:r>
      <w:r w:rsidR="00631EA2" w:rsidRPr="00AF329E">
        <w:rPr>
          <w:rFonts w:eastAsia="Times New Roman" w:cs="Arial"/>
          <w:color w:val="222222"/>
          <w:szCs w:val="22"/>
          <w:lang w:val="en-AU"/>
        </w:rPr>
        <w:t xml:space="preserve"> has undertaken research supported by the Australian Government Department of Social Services under the National Research Agenda for Protecting Australia’s Children with Aboriginal and Torres Strait Islander service providers delivering intensive and targeted family support programs which has shown the elements of support programs that are being adapted to meet the needs of Aboriginal and Torres Strait Islander children and families.</w:t>
      </w:r>
      <w:r w:rsidR="00631EA2" w:rsidRPr="00AF329E">
        <w:rPr>
          <w:rStyle w:val="EndnoteReference"/>
          <w:rFonts w:eastAsia="Times New Roman" w:cs="Arial"/>
          <w:color w:val="222222"/>
          <w:szCs w:val="22"/>
          <w:lang w:val="en-AU"/>
        </w:rPr>
        <w:endnoteReference w:id="25"/>
      </w:r>
      <w:r w:rsidR="00631EA2" w:rsidRPr="00AF329E">
        <w:rPr>
          <w:rFonts w:eastAsia="Times New Roman" w:cs="Arial"/>
          <w:color w:val="222222"/>
          <w:szCs w:val="22"/>
          <w:lang w:val="en-AU"/>
        </w:rPr>
        <w:t xml:space="preserve">  Th</w:t>
      </w:r>
      <w:r w:rsidR="004D6403" w:rsidRPr="00AF329E">
        <w:rPr>
          <w:rFonts w:eastAsia="Times New Roman" w:cs="Arial"/>
          <w:color w:val="222222"/>
          <w:szCs w:val="22"/>
          <w:lang w:val="en-AU"/>
        </w:rPr>
        <w:t>e 2</w:t>
      </w:r>
      <w:r w:rsidR="00DA0B82" w:rsidRPr="00AF329E">
        <w:rPr>
          <w:rFonts w:eastAsia="Times New Roman" w:cs="Arial"/>
          <w:color w:val="222222"/>
          <w:szCs w:val="22"/>
          <w:lang w:val="en-AU"/>
        </w:rPr>
        <w:t>-</w:t>
      </w:r>
      <w:r w:rsidR="004D6403" w:rsidRPr="00AF329E">
        <w:rPr>
          <w:rFonts w:eastAsia="Times New Roman" w:cs="Arial"/>
          <w:color w:val="222222"/>
          <w:szCs w:val="22"/>
          <w:lang w:val="en-AU"/>
        </w:rPr>
        <w:t>year research project</w:t>
      </w:r>
      <w:r w:rsidR="00611304" w:rsidRPr="00AF329E">
        <w:rPr>
          <w:rFonts w:eastAsia="Times New Roman" w:cs="Arial"/>
          <w:color w:val="222222"/>
          <w:szCs w:val="22"/>
          <w:lang w:val="en-AU"/>
        </w:rPr>
        <w:t xml:space="preserve"> across </w:t>
      </w:r>
      <w:r w:rsidR="00C60D3B">
        <w:rPr>
          <w:rFonts w:eastAsia="Times New Roman" w:cs="Arial"/>
          <w:color w:val="222222"/>
          <w:szCs w:val="22"/>
          <w:lang w:val="en-AU"/>
        </w:rPr>
        <w:t>four</w:t>
      </w:r>
      <w:r w:rsidR="00611304" w:rsidRPr="00AF329E">
        <w:rPr>
          <w:rFonts w:eastAsia="Times New Roman" w:cs="Arial"/>
          <w:color w:val="222222"/>
          <w:szCs w:val="22"/>
          <w:lang w:val="en-AU"/>
        </w:rPr>
        <w:t xml:space="preserve"> jurisdictions conducted</w:t>
      </w:r>
      <w:r w:rsidR="004D6403" w:rsidRPr="00AF329E">
        <w:rPr>
          <w:rFonts w:eastAsia="Times New Roman" w:cs="Arial"/>
          <w:color w:val="222222"/>
          <w:szCs w:val="22"/>
          <w:lang w:val="en-AU"/>
        </w:rPr>
        <w:t xml:space="preserve"> in collaboration with Griffith University found that the Aboriginal and Torres Strait Islander services were effectively engaging Aboriginal and Torres Strait Islander families and operating at </w:t>
      </w:r>
      <w:r w:rsidR="00611304" w:rsidRPr="00AF329E">
        <w:rPr>
          <w:rFonts w:eastAsia="Times New Roman" w:cs="Arial"/>
          <w:color w:val="222222"/>
          <w:szCs w:val="22"/>
          <w:lang w:val="en-AU"/>
        </w:rPr>
        <w:t xml:space="preserve">a </w:t>
      </w:r>
      <w:r w:rsidR="004D6403" w:rsidRPr="00AF329E">
        <w:rPr>
          <w:rFonts w:eastAsia="Times New Roman" w:cs="Arial"/>
          <w:color w:val="222222"/>
          <w:szCs w:val="22"/>
          <w:lang w:val="en-AU"/>
        </w:rPr>
        <w:t>high level of quality with “skilled and experienced staff supported by good supervision and management, with s</w:t>
      </w:r>
      <w:r w:rsidR="00611304" w:rsidRPr="00AF329E">
        <w:rPr>
          <w:rFonts w:eastAsia="Times New Roman" w:cs="Arial"/>
          <w:color w:val="222222"/>
          <w:szCs w:val="22"/>
          <w:lang w:val="en-AU"/>
        </w:rPr>
        <w:t>trong team functioning</w:t>
      </w:r>
      <w:r w:rsidR="008B438C" w:rsidRPr="00AF329E">
        <w:rPr>
          <w:rFonts w:eastAsia="Times New Roman" w:cs="Arial"/>
          <w:color w:val="222222"/>
          <w:szCs w:val="22"/>
          <w:lang w:val="en-AU"/>
        </w:rPr>
        <w:t>.</w:t>
      </w:r>
      <w:r w:rsidR="004D6403" w:rsidRPr="00AF329E">
        <w:rPr>
          <w:rFonts w:eastAsia="Times New Roman" w:cs="Arial"/>
          <w:color w:val="222222"/>
          <w:szCs w:val="22"/>
          <w:lang w:val="en-AU"/>
        </w:rPr>
        <w:t>”</w:t>
      </w:r>
      <w:r w:rsidR="00611304" w:rsidRPr="00AF329E">
        <w:rPr>
          <w:rStyle w:val="EndnoteReference"/>
          <w:rFonts w:eastAsia="Times New Roman" w:cs="Arial"/>
          <w:color w:val="222222"/>
          <w:szCs w:val="22"/>
          <w:lang w:val="en-AU"/>
        </w:rPr>
        <w:endnoteReference w:id="26"/>
      </w:r>
      <w:r w:rsidR="00611304" w:rsidRPr="00AF329E">
        <w:rPr>
          <w:rFonts w:eastAsia="Times New Roman" w:cs="Arial"/>
          <w:color w:val="222222"/>
          <w:szCs w:val="22"/>
          <w:lang w:val="en-AU"/>
        </w:rPr>
        <w:t xml:space="preserve">  </w:t>
      </w:r>
      <w:r w:rsidR="008B438C" w:rsidRPr="00AF329E">
        <w:rPr>
          <w:rFonts w:eastAsia="Times New Roman" w:cs="Arial"/>
          <w:color w:val="222222"/>
          <w:szCs w:val="22"/>
          <w:lang w:val="en-AU"/>
        </w:rPr>
        <w:t>Services in the study</w:t>
      </w:r>
      <w:r w:rsidR="00611304" w:rsidRPr="00AF329E">
        <w:rPr>
          <w:rFonts w:eastAsia="Times New Roman" w:cs="Arial"/>
          <w:color w:val="222222"/>
          <w:szCs w:val="22"/>
          <w:lang w:val="en-AU"/>
        </w:rPr>
        <w:t xml:space="preserve"> were engaging families in helpful and constructive ways to develop clear goals that addressed the underlying causes of child protection intervention.</w:t>
      </w:r>
      <w:r w:rsidR="00611304" w:rsidRPr="00AF329E">
        <w:rPr>
          <w:rStyle w:val="EndnoteReference"/>
          <w:rFonts w:eastAsia="Times New Roman" w:cs="Arial"/>
          <w:color w:val="222222"/>
          <w:szCs w:val="22"/>
          <w:lang w:val="en-AU"/>
        </w:rPr>
        <w:endnoteReference w:id="27"/>
      </w:r>
      <w:r w:rsidR="00611304" w:rsidRPr="00AF329E">
        <w:rPr>
          <w:rFonts w:eastAsia="Times New Roman" w:cs="Arial"/>
          <w:color w:val="222222"/>
          <w:szCs w:val="22"/>
          <w:lang w:val="en-AU"/>
        </w:rPr>
        <w:t xml:space="preserve"> </w:t>
      </w:r>
      <w:r w:rsidR="008B438C" w:rsidRPr="00AF329E">
        <w:rPr>
          <w:rFonts w:eastAsia="Times New Roman" w:cs="Arial"/>
          <w:color w:val="222222"/>
          <w:szCs w:val="22"/>
          <w:lang w:val="en-AU"/>
        </w:rPr>
        <w:t xml:space="preserve"> </w:t>
      </w:r>
      <w:r w:rsidR="004D6403" w:rsidRPr="00AF329E">
        <w:rPr>
          <w:rFonts w:eastAsia="Times New Roman" w:cs="Arial"/>
          <w:color w:val="222222"/>
          <w:szCs w:val="22"/>
          <w:lang w:val="en-AU"/>
        </w:rPr>
        <w:t>Importantly</w:t>
      </w:r>
      <w:r w:rsidR="00611304" w:rsidRPr="00AF329E">
        <w:rPr>
          <w:rFonts w:eastAsia="Times New Roman" w:cs="Arial"/>
          <w:color w:val="222222"/>
          <w:szCs w:val="22"/>
          <w:lang w:val="en-AU"/>
        </w:rPr>
        <w:t>,</w:t>
      </w:r>
      <w:r w:rsidR="004D6403" w:rsidRPr="00AF329E">
        <w:rPr>
          <w:rFonts w:eastAsia="Times New Roman" w:cs="Arial"/>
          <w:color w:val="222222"/>
          <w:szCs w:val="22"/>
          <w:lang w:val="en-AU"/>
        </w:rPr>
        <w:t xml:space="preserve"> the re</w:t>
      </w:r>
      <w:r w:rsidR="00611304" w:rsidRPr="00AF329E">
        <w:rPr>
          <w:rFonts w:eastAsia="Times New Roman" w:cs="Arial"/>
          <w:color w:val="222222"/>
          <w:szCs w:val="22"/>
          <w:lang w:val="en-AU"/>
        </w:rPr>
        <w:t>search</w:t>
      </w:r>
      <w:r w:rsidR="004D6403" w:rsidRPr="00AF329E">
        <w:rPr>
          <w:rFonts w:eastAsia="Times New Roman" w:cs="Arial"/>
          <w:color w:val="222222"/>
          <w:szCs w:val="22"/>
          <w:lang w:val="en-AU"/>
        </w:rPr>
        <w:t xml:space="preserve"> found that adaptation of evidence-based family support approaches </w:t>
      </w:r>
      <w:r w:rsidR="00BD772E" w:rsidRPr="00AF329E">
        <w:rPr>
          <w:rFonts w:eastAsia="Times New Roman" w:cs="Arial"/>
          <w:color w:val="222222"/>
          <w:szCs w:val="22"/>
          <w:lang w:val="en-AU"/>
        </w:rPr>
        <w:t xml:space="preserve">for </w:t>
      </w:r>
      <w:r w:rsidR="004D6403" w:rsidRPr="00AF329E">
        <w:rPr>
          <w:rFonts w:eastAsia="Times New Roman" w:cs="Arial"/>
          <w:color w:val="222222"/>
          <w:szCs w:val="22"/>
          <w:lang w:val="en-AU"/>
        </w:rPr>
        <w:t xml:space="preserve">Aboriginal and </w:t>
      </w:r>
      <w:r w:rsidR="00BD772E" w:rsidRPr="00AF329E">
        <w:rPr>
          <w:rFonts w:eastAsia="Times New Roman" w:cs="Arial"/>
          <w:color w:val="222222"/>
          <w:szCs w:val="22"/>
          <w:lang w:val="en-AU"/>
        </w:rPr>
        <w:t>Torres Strait Islander communities was showing success</w:t>
      </w:r>
      <w:r w:rsidR="004D6403" w:rsidRPr="00AF329E">
        <w:rPr>
          <w:rFonts w:eastAsia="Times New Roman" w:cs="Arial"/>
          <w:color w:val="222222"/>
          <w:szCs w:val="22"/>
          <w:lang w:val="en-AU"/>
        </w:rPr>
        <w:t xml:space="preserve"> and </w:t>
      </w:r>
      <w:r w:rsidR="00BD772E" w:rsidRPr="00AF329E">
        <w:rPr>
          <w:rFonts w:eastAsia="Times New Roman" w:cs="Arial"/>
          <w:color w:val="222222"/>
          <w:szCs w:val="22"/>
          <w:lang w:val="en-AU"/>
        </w:rPr>
        <w:t>th</w:t>
      </w:r>
      <w:r w:rsidRPr="00AF329E">
        <w:rPr>
          <w:rFonts w:eastAsia="Times New Roman" w:cs="Arial"/>
          <w:color w:val="222222"/>
          <w:szCs w:val="22"/>
          <w:lang w:val="en-AU"/>
        </w:rPr>
        <w:t xml:space="preserve">at </w:t>
      </w:r>
      <w:r w:rsidR="00BD772E" w:rsidRPr="00AF329E">
        <w:rPr>
          <w:rFonts w:eastAsia="Times New Roman" w:cs="Arial"/>
          <w:color w:val="222222"/>
          <w:szCs w:val="22"/>
          <w:lang w:val="en-AU"/>
        </w:rPr>
        <w:t>Indigenous</w:t>
      </w:r>
      <w:r w:rsidR="004D6403" w:rsidRPr="00AF329E">
        <w:rPr>
          <w:rFonts w:eastAsia="Times New Roman" w:cs="Arial"/>
          <w:color w:val="222222"/>
          <w:szCs w:val="22"/>
          <w:lang w:val="en-AU"/>
        </w:rPr>
        <w:t xml:space="preserve"> leadership was integral to that success – concluding that:</w:t>
      </w:r>
    </w:p>
    <w:p w14:paraId="50873187" w14:textId="77777777" w:rsidR="004D6403" w:rsidRPr="00AF329E" w:rsidRDefault="004D6403" w:rsidP="00631EA2">
      <w:pPr>
        <w:rPr>
          <w:rFonts w:eastAsia="Times New Roman" w:cs="Arial"/>
          <w:color w:val="222222"/>
          <w:szCs w:val="22"/>
          <w:lang w:val="en-AU"/>
        </w:rPr>
      </w:pPr>
    </w:p>
    <w:p w14:paraId="6D83D66A" w14:textId="77777777" w:rsidR="004D6403" w:rsidRPr="00AF329E" w:rsidRDefault="004D6403" w:rsidP="004D6403">
      <w:pPr>
        <w:ind w:left="720"/>
        <w:rPr>
          <w:rFonts w:eastAsia="Times New Roman" w:cs="Arial"/>
          <w:i/>
          <w:color w:val="222222"/>
          <w:szCs w:val="22"/>
          <w:lang w:val="en-AU"/>
        </w:rPr>
      </w:pPr>
      <w:r w:rsidRPr="00AF329E">
        <w:rPr>
          <w:rFonts w:cs="Myriad Pro"/>
          <w:i/>
          <w:color w:val="000000"/>
          <w:szCs w:val="22"/>
          <w:lang w:val="en-AU"/>
        </w:rPr>
        <w:t>“The research demonstrates the capacity of services to adapt the core elements of best practice for Aboriginal and Torres Strait Islander families. Providing services in culturally competent and respectful ways was intrinsic to the services. Their standing as Aboriginal and Torres Strait Islander community services was important to engagement and take-up… The value lies in the services being delivered by Aboriginal community-controlled agencies as these entities are framed by the philosophy that co</w:t>
      </w:r>
      <w:r w:rsidR="008B438C" w:rsidRPr="00AF329E">
        <w:rPr>
          <w:rFonts w:cs="Myriad Pro"/>
          <w:i/>
          <w:color w:val="000000"/>
          <w:szCs w:val="22"/>
          <w:lang w:val="en-AU"/>
        </w:rPr>
        <w:t>mmunity owns the service, that ‘</w:t>
      </w:r>
      <w:r w:rsidRPr="00AF329E">
        <w:rPr>
          <w:rFonts w:cs="Myriad Pro"/>
          <w:i/>
          <w:color w:val="000000"/>
          <w:szCs w:val="22"/>
          <w:lang w:val="en-AU"/>
        </w:rPr>
        <w:t xml:space="preserve">it is </w:t>
      </w:r>
      <w:r w:rsidRPr="00AF329E">
        <w:rPr>
          <w:rFonts w:cs="Myriad Pro"/>
          <w:i/>
          <w:iCs/>
          <w:color w:val="000000"/>
          <w:szCs w:val="22"/>
          <w:lang w:val="en-AU"/>
        </w:rPr>
        <w:t xml:space="preserve">our </w:t>
      </w:r>
      <w:r w:rsidRPr="00AF329E">
        <w:rPr>
          <w:rFonts w:cs="Myriad Pro"/>
          <w:i/>
          <w:color w:val="000000"/>
          <w:szCs w:val="22"/>
          <w:lang w:val="en-AU"/>
        </w:rPr>
        <w:t>service, for our community.</w:t>
      </w:r>
      <w:r w:rsidR="008B438C" w:rsidRPr="00AF329E">
        <w:rPr>
          <w:rFonts w:cs="Myriad Pro"/>
          <w:i/>
          <w:color w:val="000000"/>
          <w:szCs w:val="22"/>
          <w:lang w:val="en-AU"/>
        </w:rPr>
        <w:t>’</w:t>
      </w:r>
      <w:r w:rsidRPr="00AF329E">
        <w:rPr>
          <w:rFonts w:cs="Myriad Pro"/>
          <w:i/>
          <w:color w:val="000000"/>
          <w:szCs w:val="22"/>
          <w:lang w:val="en-AU"/>
        </w:rPr>
        <w:t>”</w:t>
      </w:r>
      <w:r w:rsidRPr="00AF329E">
        <w:rPr>
          <w:rStyle w:val="EndnoteReference"/>
          <w:rFonts w:cs="Myriad Pro"/>
          <w:i/>
          <w:color w:val="000000"/>
          <w:szCs w:val="22"/>
          <w:lang w:val="en-AU"/>
        </w:rPr>
        <w:endnoteReference w:id="28"/>
      </w:r>
    </w:p>
    <w:p w14:paraId="75C5A08F" w14:textId="77777777" w:rsidR="00631EA2" w:rsidRPr="00AF329E" w:rsidRDefault="00631EA2" w:rsidP="00631EA2">
      <w:pPr>
        <w:ind w:right="-199"/>
        <w:rPr>
          <w:szCs w:val="22"/>
          <w:lang w:val="en-AU"/>
        </w:rPr>
      </w:pPr>
    </w:p>
    <w:p w14:paraId="4EE625F0" w14:textId="1F039C61" w:rsidR="00631EA2" w:rsidRPr="00AF329E" w:rsidRDefault="00631EA2" w:rsidP="00AE641F">
      <w:pPr>
        <w:ind w:right="-199"/>
        <w:rPr>
          <w:szCs w:val="22"/>
          <w:lang w:val="en-AU"/>
        </w:rPr>
      </w:pPr>
      <w:r w:rsidRPr="00AF329E">
        <w:rPr>
          <w:szCs w:val="22"/>
          <w:lang w:val="en-AU"/>
        </w:rPr>
        <w:t>Further funding is essential across the child protection spectrum, however, the rate of removal of Aboriginal and Torres Strait Islander children into out-of-home care cannot change without a focus on intervening early to support, strengthen and heal families</w:t>
      </w:r>
      <w:r w:rsidR="006F4E3C" w:rsidRPr="00AF329E">
        <w:rPr>
          <w:szCs w:val="22"/>
          <w:lang w:val="en-AU"/>
        </w:rPr>
        <w:t xml:space="preserve">. </w:t>
      </w:r>
      <w:r w:rsidRPr="00AF329E">
        <w:rPr>
          <w:rFonts w:eastAsia="Times New Roman" w:cs="Times New Roman"/>
          <w:szCs w:val="22"/>
          <w:lang w:val="en-AU"/>
        </w:rPr>
        <w:t xml:space="preserve">What is most urgent is </w:t>
      </w:r>
      <w:r w:rsidRPr="00AF329E">
        <w:rPr>
          <w:szCs w:val="22"/>
          <w:lang w:val="en-AU"/>
        </w:rPr>
        <w:t>nation-wide emphasis on Aboriginal and Torres Strait Islander led</w:t>
      </w:r>
      <w:r w:rsidR="00AE641F" w:rsidRPr="00AF329E">
        <w:rPr>
          <w:b/>
          <w:szCs w:val="22"/>
          <w:lang w:val="en-AU"/>
        </w:rPr>
        <w:t xml:space="preserve"> h</w:t>
      </w:r>
      <w:r w:rsidRPr="00AF329E">
        <w:rPr>
          <w:b/>
          <w:szCs w:val="22"/>
          <w:lang w:val="en-AU"/>
        </w:rPr>
        <w:t>olistic, best practice, intensive family support, preservation and reunification services</w:t>
      </w:r>
      <w:r w:rsidRPr="00AF329E">
        <w:rPr>
          <w:szCs w:val="22"/>
          <w:lang w:val="en-AU"/>
        </w:rPr>
        <w:t xml:space="preserve"> tailored to vulnerable Aboriginal and Torres Strait Islander families, provided at the earliest possible point.</w:t>
      </w:r>
    </w:p>
    <w:p w14:paraId="6E4A3882" w14:textId="77777777" w:rsidR="00631EA2" w:rsidRPr="00AF329E" w:rsidRDefault="00631EA2" w:rsidP="00631EA2">
      <w:pPr>
        <w:pStyle w:val="ListParagraph"/>
        <w:ind w:right="-199"/>
        <w:rPr>
          <w:szCs w:val="22"/>
          <w:lang w:val="en-AU"/>
        </w:rPr>
      </w:pPr>
    </w:p>
    <w:p w14:paraId="3066C8A4" w14:textId="496EEA2E" w:rsidR="00631EA2" w:rsidRPr="00AF329E" w:rsidRDefault="00631EA2" w:rsidP="00631EA2">
      <w:pPr>
        <w:ind w:right="-199"/>
        <w:rPr>
          <w:szCs w:val="22"/>
          <w:lang w:val="en-AU"/>
        </w:rPr>
      </w:pPr>
      <w:r w:rsidRPr="00AF329E">
        <w:rPr>
          <w:szCs w:val="22"/>
          <w:lang w:val="en-AU"/>
        </w:rPr>
        <w:t>Therefore, Family Matters calls for federal intervention to drive increased investment in Aboriginal and Torres Strait Islander family support services that prevent child protection intervention and its long-term social and economic costs, including incarceration, welfare dependency, poor health and mental illness</w:t>
      </w:r>
      <w:r w:rsidR="006F4E3C" w:rsidRPr="00AF329E">
        <w:rPr>
          <w:szCs w:val="22"/>
          <w:lang w:val="en-AU"/>
        </w:rPr>
        <w:t xml:space="preserve">. </w:t>
      </w:r>
      <w:r w:rsidRPr="00AF329E">
        <w:rPr>
          <w:szCs w:val="22"/>
          <w:lang w:val="en-AU"/>
        </w:rPr>
        <w:t xml:space="preserve">This program could be delivered </w:t>
      </w:r>
      <w:r w:rsidR="00DE2D27" w:rsidRPr="00AF329E">
        <w:rPr>
          <w:szCs w:val="22"/>
          <w:lang w:val="en-AU"/>
        </w:rPr>
        <w:t>by</w:t>
      </w:r>
      <w:r w:rsidRPr="00AF329E">
        <w:rPr>
          <w:szCs w:val="22"/>
          <w:lang w:val="en-AU"/>
        </w:rPr>
        <w:t xml:space="preserve"> creating a dedicated family support component within the </w:t>
      </w:r>
      <w:r w:rsidR="00AE641F" w:rsidRPr="00AF329E">
        <w:rPr>
          <w:szCs w:val="22"/>
          <w:lang w:val="en-AU"/>
        </w:rPr>
        <w:t>Safety and Wellbeing</w:t>
      </w:r>
      <w:r w:rsidRPr="00AF329E">
        <w:rPr>
          <w:szCs w:val="22"/>
          <w:lang w:val="en-AU"/>
        </w:rPr>
        <w:t xml:space="preserve"> stream of the federal government’s Indigenous Advancement Strategy</w:t>
      </w:r>
      <w:r w:rsidR="006F4E3C" w:rsidRPr="00AF329E">
        <w:rPr>
          <w:szCs w:val="22"/>
          <w:lang w:val="en-AU"/>
        </w:rPr>
        <w:t xml:space="preserve">. </w:t>
      </w:r>
      <w:r w:rsidRPr="00AF329E">
        <w:rPr>
          <w:szCs w:val="22"/>
          <w:lang w:val="en-AU"/>
        </w:rPr>
        <w:t>Elements of the program would include:</w:t>
      </w:r>
    </w:p>
    <w:p w14:paraId="722C0754" w14:textId="5925E1BB" w:rsidR="00631EA2" w:rsidRPr="00AF329E" w:rsidRDefault="00631EA2" w:rsidP="00631EA2">
      <w:pPr>
        <w:pStyle w:val="ListParagraph"/>
        <w:numPr>
          <w:ilvl w:val="0"/>
          <w:numId w:val="4"/>
        </w:numPr>
        <w:ind w:right="-199"/>
        <w:rPr>
          <w:szCs w:val="22"/>
          <w:lang w:val="en-AU"/>
        </w:rPr>
      </w:pPr>
      <w:r w:rsidRPr="00AF329E">
        <w:rPr>
          <w:szCs w:val="22"/>
          <w:lang w:val="en-AU"/>
        </w:rPr>
        <w:t>drawing on proven successful local and international evidence</w:t>
      </w:r>
      <w:r w:rsidR="00DA0B82" w:rsidRPr="00AF329E">
        <w:rPr>
          <w:szCs w:val="22"/>
          <w:lang w:val="en-AU"/>
        </w:rPr>
        <w:t>-</w:t>
      </w:r>
      <w:r w:rsidRPr="00AF329E">
        <w:rPr>
          <w:szCs w:val="22"/>
          <w:lang w:val="en-AU"/>
        </w:rPr>
        <w:t>based family support programs;</w:t>
      </w:r>
    </w:p>
    <w:p w14:paraId="1E2213DC" w14:textId="1D51AAC9" w:rsidR="00631EA2" w:rsidRPr="00AF329E" w:rsidRDefault="00631EA2" w:rsidP="00631EA2">
      <w:pPr>
        <w:pStyle w:val="ListParagraph"/>
        <w:numPr>
          <w:ilvl w:val="0"/>
          <w:numId w:val="4"/>
        </w:numPr>
        <w:ind w:right="-199"/>
        <w:rPr>
          <w:szCs w:val="22"/>
          <w:lang w:val="en-AU"/>
        </w:rPr>
      </w:pPr>
      <w:r w:rsidRPr="00AF329E">
        <w:rPr>
          <w:szCs w:val="22"/>
          <w:lang w:val="en-AU"/>
        </w:rPr>
        <w:t>consultation with Aboriginal and Torres Strait Islander communities to determine local and cultural adaptations of evidence</w:t>
      </w:r>
      <w:r w:rsidR="00DA0B82" w:rsidRPr="00AF329E">
        <w:rPr>
          <w:szCs w:val="22"/>
          <w:lang w:val="en-AU"/>
        </w:rPr>
        <w:t>-</w:t>
      </w:r>
      <w:r w:rsidRPr="00AF329E">
        <w:rPr>
          <w:szCs w:val="22"/>
          <w:lang w:val="en-AU"/>
        </w:rPr>
        <w:t>based programs;</w:t>
      </w:r>
    </w:p>
    <w:p w14:paraId="1C609998" w14:textId="71D9A231" w:rsidR="00631EA2" w:rsidRPr="00AF329E" w:rsidRDefault="00631EA2" w:rsidP="00631EA2">
      <w:pPr>
        <w:pStyle w:val="ListParagraph"/>
        <w:numPr>
          <w:ilvl w:val="0"/>
          <w:numId w:val="4"/>
        </w:numPr>
        <w:ind w:right="-199"/>
        <w:rPr>
          <w:szCs w:val="22"/>
          <w:lang w:val="en-AU"/>
        </w:rPr>
      </w:pPr>
      <w:r w:rsidRPr="00AF329E">
        <w:rPr>
          <w:szCs w:val="22"/>
          <w:lang w:val="en-AU"/>
        </w:rPr>
        <w:t>resourcing family support services through Aboriginal and Torres Strait Islander organisations to drive community capacity development, local employment and culturally safe services;</w:t>
      </w:r>
      <w:r w:rsidR="00974888" w:rsidRPr="00AF329E">
        <w:rPr>
          <w:szCs w:val="22"/>
          <w:lang w:val="en-AU"/>
        </w:rPr>
        <w:t xml:space="preserve"> and</w:t>
      </w:r>
    </w:p>
    <w:p w14:paraId="40F11850" w14:textId="77777777" w:rsidR="00631EA2" w:rsidRPr="00AF329E" w:rsidRDefault="00631EA2" w:rsidP="00631EA2">
      <w:pPr>
        <w:pStyle w:val="ListParagraph"/>
        <w:numPr>
          <w:ilvl w:val="0"/>
          <w:numId w:val="4"/>
        </w:numPr>
        <w:ind w:right="-199"/>
        <w:rPr>
          <w:szCs w:val="22"/>
          <w:lang w:val="en-AU"/>
        </w:rPr>
      </w:pPr>
      <w:r w:rsidRPr="00AF329E">
        <w:rPr>
          <w:szCs w:val="22"/>
          <w:lang w:val="en-AU"/>
        </w:rPr>
        <w:t>targeting supports to family preservation and reunification to both prevent entry to out-of-home care and safely reunify children to the care of their families.</w:t>
      </w:r>
    </w:p>
    <w:p w14:paraId="7C3E8276" w14:textId="77777777" w:rsidR="00631EA2" w:rsidRPr="00AF329E" w:rsidRDefault="00631EA2" w:rsidP="00631EA2">
      <w:pPr>
        <w:spacing w:after="120"/>
        <w:ind w:right="-199"/>
        <w:rPr>
          <w:rFonts w:eastAsia="Times New Roman" w:cs="Arial"/>
          <w:color w:val="222222"/>
          <w:szCs w:val="22"/>
          <w:lang w:val="en-AU"/>
        </w:rPr>
      </w:pPr>
    </w:p>
    <w:tbl>
      <w:tblPr>
        <w:tblStyle w:val="TableGrid"/>
        <w:tblW w:w="0" w:type="auto"/>
        <w:tblLook w:val="04A0" w:firstRow="1" w:lastRow="0" w:firstColumn="1" w:lastColumn="0" w:noHBand="0" w:noVBand="1"/>
      </w:tblPr>
      <w:tblGrid>
        <w:gridCol w:w="8516"/>
      </w:tblGrid>
      <w:tr w:rsidR="009306FA" w:rsidRPr="00AF329E" w14:paraId="382A1192" w14:textId="77777777" w:rsidTr="009306FA">
        <w:tc>
          <w:tcPr>
            <w:tcW w:w="8516" w:type="dxa"/>
            <w:tcBorders>
              <w:top w:val="nil"/>
              <w:left w:val="nil"/>
              <w:bottom w:val="nil"/>
              <w:right w:val="nil"/>
            </w:tcBorders>
            <w:shd w:val="clear" w:color="auto" w:fill="F1D0CD" w:themeFill="accent1" w:themeFillTint="33"/>
          </w:tcPr>
          <w:p w14:paraId="1075C111" w14:textId="41C175F6" w:rsidR="009306FA" w:rsidRPr="00AF329E" w:rsidRDefault="009306FA" w:rsidP="009306FA">
            <w:pPr>
              <w:pStyle w:val="Heading4"/>
              <w:outlineLvl w:val="3"/>
              <w:rPr>
                <w:lang w:val="en-AU"/>
              </w:rPr>
            </w:pPr>
            <w:r w:rsidRPr="00AF329E">
              <w:rPr>
                <w:lang w:val="en-AU"/>
              </w:rPr>
              <w:t xml:space="preserve">Recommendation 2: </w:t>
            </w:r>
          </w:p>
          <w:p w14:paraId="74167EC1" w14:textId="08C9D372" w:rsidR="009306FA" w:rsidRPr="00AF329E" w:rsidRDefault="009306FA" w:rsidP="009306FA">
            <w:pPr>
              <w:rPr>
                <w:lang w:val="en-AU"/>
              </w:rPr>
            </w:pPr>
            <w:r w:rsidRPr="00AF329E">
              <w:rPr>
                <w:lang w:val="en-AU"/>
              </w:rPr>
              <w:t>Invest in a national Aboriginal and Torres Strait Islander family support program for early intervention, prevention and family reunification.</w:t>
            </w:r>
          </w:p>
          <w:p w14:paraId="107C6F89" w14:textId="77777777" w:rsidR="009306FA" w:rsidRPr="00AF329E" w:rsidRDefault="009306FA" w:rsidP="00A84BF8">
            <w:pPr>
              <w:pStyle w:val="Heading6"/>
              <w:outlineLvl w:val="5"/>
              <w:rPr>
                <w:lang w:val="en-AU"/>
              </w:rPr>
            </w:pPr>
            <w:r w:rsidRPr="00AF329E">
              <w:rPr>
                <w:lang w:val="en-AU"/>
              </w:rPr>
              <w:t xml:space="preserve">Budget impact: </w:t>
            </w:r>
          </w:p>
          <w:p w14:paraId="2E2E100A" w14:textId="35D72507" w:rsidR="009306FA" w:rsidRPr="00AF329E" w:rsidRDefault="009306FA" w:rsidP="00C401CE">
            <w:pPr>
              <w:rPr>
                <w:lang w:val="en-AU"/>
              </w:rPr>
            </w:pPr>
            <w:r w:rsidRPr="00AF329E">
              <w:rPr>
                <w:lang w:val="en-AU"/>
              </w:rPr>
              <w:t xml:space="preserve">Reallocation of funding within the Community Safety stream of the Commonwealth Government’s Indigenous Advancement Strategy, accompanied by a $60m p.a. new investment to establish a nation-wide program for intensive family support with a total additional cost of $240m over 4 years. </w:t>
            </w:r>
          </w:p>
        </w:tc>
      </w:tr>
    </w:tbl>
    <w:p w14:paraId="66FA4308" w14:textId="77777777" w:rsidR="00631EA2" w:rsidRPr="00AF329E" w:rsidRDefault="00631EA2" w:rsidP="00C401CE">
      <w:pPr>
        <w:rPr>
          <w:lang w:val="en-AU"/>
        </w:rPr>
      </w:pPr>
    </w:p>
    <w:p w14:paraId="29EA8265" w14:textId="77777777" w:rsidR="00294AF7" w:rsidRPr="00AF329E" w:rsidRDefault="00294AF7" w:rsidP="00294AF7">
      <w:pPr>
        <w:pStyle w:val="Heading3"/>
        <w:rPr>
          <w:sz w:val="28"/>
          <w:szCs w:val="28"/>
          <w:lang w:val="en-AU"/>
        </w:rPr>
      </w:pPr>
      <w:r w:rsidRPr="00AF329E">
        <w:rPr>
          <w:sz w:val="28"/>
          <w:szCs w:val="28"/>
          <w:lang w:val="en-AU"/>
        </w:rPr>
        <w:t xml:space="preserve">3. </w:t>
      </w:r>
      <w:r w:rsidR="00347E7D" w:rsidRPr="00AF329E">
        <w:rPr>
          <w:sz w:val="28"/>
          <w:szCs w:val="28"/>
          <w:lang w:val="en-AU"/>
        </w:rPr>
        <w:t>Dedicated funding for early childhood education and care services to effectively address Aboriginal and Torres Strait Islander children’s educational disadvantage</w:t>
      </w:r>
      <w:r w:rsidR="00347E7D" w:rsidRPr="00AF329E">
        <w:rPr>
          <w:lang w:val="en-AU"/>
        </w:rPr>
        <w:t xml:space="preserve">   </w:t>
      </w:r>
    </w:p>
    <w:p w14:paraId="2499132B" w14:textId="77777777" w:rsidR="00294AF7" w:rsidRPr="00AF329E" w:rsidRDefault="00294AF7" w:rsidP="00C401CE">
      <w:pPr>
        <w:rPr>
          <w:lang w:val="en-AU"/>
        </w:rPr>
      </w:pPr>
    </w:p>
    <w:p w14:paraId="1F810E1F" w14:textId="2D05765C" w:rsidR="0050236E" w:rsidRPr="00AF329E" w:rsidRDefault="0050367E" w:rsidP="0050367E">
      <w:pPr>
        <w:rPr>
          <w:rFonts w:eastAsia="Times New Roman" w:cs="Times New Roman"/>
          <w:lang w:val="en-AU"/>
        </w:rPr>
      </w:pPr>
      <w:r w:rsidRPr="00AF329E">
        <w:rPr>
          <w:szCs w:val="22"/>
          <w:lang w:val="en-AU"/>
        </w:rPr>
        <w:t>Currently, Aboriginal and Torres Strait Islander Children are twice as likely to be developmentally vulnerable early in life,</w:t>
      </w:r>
      <w:r w:rsidR="0050236E" w:rsidRPr="00AF329E">
        <w:rPr>
          <w:szCs w:val="22"/>
          <w:vertAlign w:val="superscript"/>
          <w:lang w:val="en-AU"/>
        </w:rPr>
        <w:endnoteReference w:id="29"/>
      </w:r>
      <w:r w:rsidR="0050236E" w:rsidRPr="00AF329E">
        <w:rPr>
          <w:szCs w:val="22"/>
          <w:lang w:val="en-AU"/>
        </w:rPr>
        <w:t xml:space="preserve"> and only half as likely to access early education as non-Indigenous children.</w:t>
      </w:r>
      <w:r w:rsidR="0050236E" w:rsidRPr="00AF329E">
        <w:rPr>
          <w:szCs w:val="22"/>
          <w:vertAlign w:val="superscript"/>
          <w:lang w:val="en-AU"/>
        </w:rPr>
        <w:endnoteReference w:id="30"/>
      </w:r>
      <w:r w:rsidR="0050236E" w:rsidRPr="00AF329E">
        <w:rPr>
          <w:szCs w:val="22"/>
          <w:lang w:val="en-AU"/>
        </w:rPr>
        <w:t xml:space="preserve">  The Productivity Commission has identified a 15,000 place gap in early learning places for Aboriginal and Torres Strait Islander children.</w:t>
      </w:r>
      <w:r w:rsidR="0050236E" w:rsidRPr="00AF329E">
        <w:rPr>
          <w:szCs w:val="22"/>
          <w:vertAlign w:val="superscript"/>
          <w:lang w:val="en-AU"/>
        </w:rPr>
        <w:endnoteReference w:id="31"/>
      </w:r>
      <w:r w:rsidR="0050236E" w:rsidRPr="00AF329E">
        <w:rPr>
          <w:szCs w:val="22"/>
          <w:lang w:val="en-AU"/>
        </w:rPr>
        <w:t xml:space="preserve"> </w:t>
      </w:r>
      <w:r w:rsidR="0050236E" w:rsidRPr="00AF329E">
        <w:rPr>
          <w:rFonts w:eastAsia="Times New Roman" w:cs="Times New Roman"/>
          <w:lang w:val="en-AU"/>
        </w:rPr>
        <w:t>The Commonwealth has a clear responsibility to ensure that the inequality that exists between Aboriginal and Torres Strait Islander children and non-Indigenous children in accessing early childhood services is redressed, through continued and increased support for quality and culturally safe service delivery driven by Aboriginal and Torres Strait Islander peoples. The current reform process being undertaken through the Jobs for Families Child Care package offers a key opportunity to directly invest in the safety and well</w:t>
      </w:r>
      <w:r w:rsidR="00AF329E" w:rsidRPr="00AF329E">
        <w:rPr>
          <w:rFonts w:eastAsia="Times New Roman" w:cs="Times New Roman"/>
          <w:lang w:val="en-AU"/>
        </w:rPr>
        <w:t>-</w:t>
      </w:r>
      <w:r w:rsidR="0050236E" w:rsidRPr="00AF329E">
        <w:rPr>
          <w:rFonts w:eastAsia="Times New Roman" w:cs="Times New Roman"/>
          <w:lang w:val="en-AU"/>
        </w:rPr>
        <w:t>being of our children, however</w:t>
      </w:r>
      <w:r w:rsidR="00AF329E" w:rsidRPr="00AF329E">
        <w:rPr>
          <w:rFonts w:eastAsia="Times New Roman" w:cs="Times New Roman"/>
          <w:lang w:val="en-AU"/>
        </w:rPr>
        <w:t>,</w:t>
      </w:r>
      <w:r w:rsidR="0050236E" w:rsidRPr="00AF329E">
        <w:rPr>
          <w:rFonts w:eastAsia="Times New Roman" w:cs="Times New Roman"/>
          <w:lang w:val="en-AU"/>
        </w:rPr>
        <w:t xml:space="preserve"> SNAICC has repeatedly raised concerns about the devastating and inadvertent impact these reforms could have without a direct and specific consideration of the needs of Aboriginal and Torres Strait Islander children. The proposed amendments to this package are minimal: firstly for a dedicated funding stream for Aboriginal and Torres Strait Islander services, and secondly an increase in the number of subsidised hours Aboriginal and Torres Strait Islander families can access.</w:t>
      </w:r>
    </w:p>
    <w:p w14:paraId="7D29AC8C" w14:textId="53C8143A" w:rsidR="0050236E" w:rsidRPr="00AF329E" w:rsidRDefault="0050236E" w:rsidP="0050367E">
      <w:pPr>
        <w:rPr>
          <w:rFonts w:eastAsia="Times New Roman" w:cs="Times New Roman"/>
          <w:lang w:val="en-AU"/>
        </w:rPr>
      </w:pPr>
      <w:r w:rsidRPr="00AF329E">
        <w:rPr>
          <w:rFonts w:eastAsia="Times New Roman" w:cs="Times New Roman"/>
          <w:lang w:val="en-AU"/>
        </w:rPr>
        <w:br/>
        <w:t>Early education and care (ECEC) is recognised extensively in Australia and internationally as the most effective intervention to support vulnerable children and families. Early investment in strengthening families can provide long-term social and economic benefits by interrupting trajectories that lead to health problems, criminalisation, and child protection intervention. It is well known that efforts to strengthen families need to target whole communities to address situations of poverty, disadvantage, trauma and housing instability for communities that are dealing with the inter-generational impacts of colonisation, racism and dispossession. The evidence shows that Aboriginal and Torres Strait Islander peoples are grossly over</w:t>
      </w:r>
      <w:r w:rsidR="00AF329E">
        <w:rPr>
          <w:rFonts w:eastAsia="Times New Roman" w:cs="Times New Roman"/>
          <w:lang w:val="en-AU"/>
        </w:rPr>
        <w:t>-</w:t>
      </w:r>
      <w:r w:rsidRPr="00AF329E">
        <w:rPr>
          <w:rFonts w:eastAsia="Times New Roman" w:cs="Times New Roman"/>
          <w:lang w:val="en-AU"/>
        </w:rPr>
        <w:t>represented on measures of disadvantage that contribute to child protection risks, and similarly under-represented in participation in services that could respond and prevent entry to out-of-home care.</w:t>
      </w:r>
      <w:r w:rsidRPr="00AF329E">
        <w:rPr>
          <w:rStyle w:val="EndnoteReference"/>
          <w:rFonts w:eastAsia="Times New Roman" w:cs="Times New Roman"/>
          <w:lang w:val="en-AU"/>
        </w:rPr>
        <w:endnoteReference w:id="32"/>
      </w:r>
    </w:p>
    <w:p w14:paraId="5F23F525" w14:textId="633ACDE8" w:rsidR="0050236E" w:rsidRPr="00AF329E" w:rsidRDefault="0050236E" w:rsidP="0050367E">
      <w:pPr>
        <w:rPr>
          <w:rFonts w:eastAsia="Times New Roman" w:cs="Times New Roman"/>
          <w:lang w:val="en-AU"/>
        </w:rPr>
      </w:pPr>
      <w:r w:rsidRPr="00AF329E">
        <w:rPr>
          <w:rFonts w:eastAsia="Times New Roman" w:cs="Times New Roman"/>
          <w:lang w:val="en-AU"/>
        </w:rPr>
        <w:t>The government has declared a commitment to increasing the participation of Aboriginal and Torres Strait Islander children through the new child care system.</w:t>
      </w:r>
      <w:r w:rsidRPr="00AF329E">
        <w:rPr>
          <w:vertAlign w:val="superscript"/>
          <w:lang w:val="en-AU"/>
        </w:rPr>
        <w:endnoteReference w:id="33"/>
      </w:r>
      <w:r w:rsidRPr="00AF329E">
        <w:rPr>
          <w:rFonts w:eastAsia="Times New Roman" w:cs="Times New Roman"/>
          <w:lang w:val="en-AU"/>
        </w:rPr>
        <w:t xml:space="preserve"> All research indicates that the extreme gaps in utilisation between Aboriginal and Torres Strait Islander people and non-Indigenous people of universal services – including early childhood education and care – are a product of the historical, cultural and social factors intertwined in mainstream service delivery which generate experiences of discrimination and then</w:t>
      </w:r>
      <w:r w:rsidR="00FE0134">
        <w:rPr>
          <w:rFonts w:eastAsia="Times New Roman" w:cs="Times New Roman"/>
          <w:lang w:val="en-AU"/>
        </w:rPr>
        <w:t>,</w:t>
      </w:r>
      <w:r w:rsidRPr="00AF329E">
        <w:rPr>
          <w:rFonts w:eastAsia="Times New Roman" w:cs="Times New Roman"/>
          <w:lang w:val="en-AU"/>
        </w:rPr>
        <w:t xml:space="preserve"> in turn</w:t>
      </w:r>
      <w:r w:rsidR="00FE0134">
        <w:rPr>
          <w:rFonts w:eastAsia="Times New Roman" w:cs="Times New Roman"/>
          <w:lang w:val="en-AU"/>
        </w:rPr>
        <w:t>,</w:t>
      </w:r>
      <w:r w:rsidRPr="00AF329E">
        <w:rPr>
          <w:rFonts w:eastAsia="Times New Roman" w:cs="Times New Roman"/>
          <w:lang w:val="en-AU"/>
        </w:rPr>
        <w:t xml:space="preserve"> disengagement.</w:t>
      </w:r>
    </w:p>
    <w:p w14:paraId="49DDE449" w14:textId="77777777" w:rsidR="00DC02D2" w:rsidRPr="00AF329E" w:rsidRDefault="00DC02D2" w:rsidP="0050367E">
      <w:pPr>
        <w:rPr>
          <w:rFonts w:eastAsia="Times New Roman" w:cs="Times New Roman"/>
          <w:lang w:val="en-AU"/>
        </w:rPr>
      </w:pPr>
    </w:p>
    <w:p w14:paraId="0180727F" w14:textId="1E7173F1" w:rsidR="0050236E" w:rsidRPr="00AF329E" w:rsidRDefault="0050236E" w:rsidP="0050367E">
      <w:pPr>
        <w:rPr>
          <w:rFonts w:eastAsia="Times New Roman" w:cs="Times New Roman"/>
          <w:lang w:val="en-AU"/>
        </w:rPr>
      </w:pPr>
      <w:r w:rsidRPr="00AF329E">
        <w:rPr>
          <w:rFonts w:eastAsia="Times New Roman" w:cs="Times New Roman"/>
          <w:lang w:val="en-AU"/>
        </w:rPr>
        <w:t>Aboriginal and Torres Strait Islander ECEC services are an essential part of the Australian child care system. Aboriginal and Torres Strait Islander organisations have been identified as best placed to provide culturally competent services that are attuned to the needs of their communities, and evidence confirms that these services are more likely to be used. Research describes that Indigenous specific services offer Indigenous families a safe, comfortable, culturally appropriate environment that is easier to access and engage with.</w:t>
      </w:r>
      <w:r w:rsidRPr="00AF329E">
        <w:rPr>
          <w:rStyle w:val="EndnoteReference"/>
          <w:rFonts w:eastAsia="Times New Roman" w:cs="Times New Roman"/>
          <w:lang w:val="en-AU"/>
        </w:rPr>
        <w:endnoteReference w:id="34"/>
      </w:r>
    </w:p>
    <w:p w14:paraId="3DB56F96" w14:textId="508ACB7D" w:rsidR="0050367E" w:rsidRPr="00AF329E" w:rsidRDefault="0050367E" w:rsidP="0050367E">
      <w:pPr>
        <w:rPr>
          <w:lang w:val="en-AU"/>
        </w:rPr>
      </w:pPr>
      <w:r w:rsidRPr="00AF329E">
        <w:rPr>
          <w:lang w:val="en-AU"/>
        </w:rPr>
        <w:t>Aboriginal and Torres Strait Islander ECEC services have a different purpose to other services. Their aim is to support the well</w:t>
      </w:r>
      <w:r w:rsidR="008F3D61">
        <w:rPr>
          <w:lang w:val="en-AU"/>
        </w:rPr>
        <w:t>-</w:t>
      </w:r>
      <w:r w:rsidRPr="00AF329E">
        <w:rPr>
          <w:lang w:val="en-AU"/>
        </w:rPr>
        <w:t>being of the most vulnerable children and families in our community by reducing the service access barriers that many Aboriginal and Torres Strait Islander families experience in the mainstream system. Evidence strongly supports Aboriginal and Torres Strait Islander ECEC services as the most successful organisations in engaging successfully with Aboriginal and Torres Strait Islander children because:</w:t>
      </w:r>
    </w:p>
    <w:p w14:paraId="74869785" w14:textId="6111B16A" w:rsidR="0050367E" w:rsidRPr="00AF329E" w:rsidRDefault="005B068C" w:rsidP="0050367E">
      <w:pPr>
        <w:pStyle w:val="ListParagraph"/>
        <w:numPr>
          <w:ilvl w:val="0"/>
          <w:numId w:val="8"/>
        </w:numPr>
        <w:rPr>
          <w:rFonts w:eastAsiaTheme="minorHAnsi"/>
          <w:lang w:val="en-AU" w:eastAsia="en-US"/>
        </w:rPr>
      </w:pPr>
      <w:r>
        <w:rPr>
          <w:rFonts w:eastAsiaTheme="minorHAnsi"/>
          <w:lang w:val="en-AU" w:eastAsia="en-US"/>
        </w:rPr>
        <w:t>t</w:t>
      </w:r>
      <w:r w:rsidR="0050367E" w:rsidRPr="00AF329E">
        <w:rPr>
          <w:rFonts w:eastAsiaTheme="minorHAnsi"/>
          <w:lang w:val="en-AU" w:eastAsia="en-US"/>
        </w:rPr>
        <w:t>hey actively access vulnerable children who are not accessing services – particularly due to the discrimination families experience in mainstream services</w:t>
      </w:r>
      <w:r w:rsidR="002F65B5" w:rsidRPr="00AF329E">
        <w:rPr>
          <w:rFonts w:eastAsiaTheme="minorHAnsi"/>
          <w:lang w:val="en-AU" w:eastAsia="en-US"/>
        </w:rPr>
        <w:t>;</w:t>
      </w:r>
    </w:p>
    <w:p w14:paraId="6A6FB4D6" w14:textId="7ED02BE3" w:rsidR="0050367E" w:rsidRPr="00AF329E" w:rsidRDefault="005B068C" w:rsidP="0050367E">
      <w:pPr>
        <w:pStyle w:val="ListParagraph"/>
        <w:numPr>
          <w:ilvl w:val="0"/>
          <w:numId w:val="8"/>
        </w:numPr>
        <w:rPr>
          <w:rFonts w:eastAsiaTheme="minorHAnsi"/>
          <w:lang w:val="en-AU" w:eastAsia="en-US"/>
        </w:rPr>
      </w:pPr>
      <w:r>
        <w:rPr>
          <w:rFonts w:eastAsiaTheme="minorHAnsi"/>
          <w:lang w:val="en-AU" w:eastAsia="en-US"/>
        </w:rPr>
        <w:t>t</w:t>
      </w:r>
      <w:r w:rsidR="0050367E" w:rsidRPr="00AF329E">
        <w:rPr>
          <w:rFonts w:eastAsiaTheme="minorHAnsi"/>
          <w:lang w:val="en-AU" w:eastAsia="en-US"/>
        </w:rPr>
        <w:t>hey engage with the most vulnerable and isolated families in our community and are a key entry point for vulnerable families to engage with a broad range of support services that can enhance the sa</w:t>
      </w:r>
      <w:r w:rsidR="002F65B5" w:rsidRPr="00AF329E">
        <w:rPr>
          <w:rFonts w:eastAsiaTheme="minorHAnsi"/>
          <w:lang w:val="en-AU" w:eastAsia="en-US"/>
        </w:rPr>
        <w:t>fety and well</w:t>
      </w:r>
      <w:r w:rsidR="000D7C64">
        <w:rPr>
          <w:rFonts w:eastAsiaTheme="minorHAnsi"/>
          <w:lang w:val="en-AU" w:eastAsia="en-US"/>
        </w:rPr>
        <w:t>-</w:t>
      </w:r>
      <w:r w:rsidR="002F65B5" w:rsidRPr="00AF329E">
        <w:rPr>
          <w:rFonts w:eastAsiaTheme="minorHAnsi"/>
          <w:lang w:val="en-AU" w:eastAsia="en-US"/>
        </w:rPr>
        <w:t>being of children; and</w:t>
      </w:r>
    </w:p>
    <w:p w14:paraId="5A7968C1" w14:textId="13309163" w:rsidR="0050367E" w:rsidRPr="00AF329E" w:rsidRDefault="000D7C64" w:rsidP="0050367E">
      <w:pPr>
        <w:pStyle w:val="ListParagraph"/>
        <w:numPr>
          <w:ilvl w:val="0"/>
          <w:numId w:val="8"/>
        </w:numPr>
        <w:rPr>
          <w:rFonts w:eastAsiaTheme="minorHAnsi"/>
          <w:lang w:val="en-AU" w:eastAsia="en-US"/>
        </w:rPr>
      </w:pPr>
      <w:r>
        <w:rPr>
          <w:rFonts w:eastAsiaTheme="minorHAnsi"/>
          <w:lang w:val="en-AU" w:eastAsia="en-US"/>
        </w:rPr>
        <w:t>t</w:t>
      </w:r>
      <w:r w:rsidR="0050367E" w:rsidRPr="00AF329E">
        <w:rPr>
          <w:rFonts w:eastAsiaTheme="minorHAnsi"/>
          <w:lang w:val="en-AU" w:eastAsia="en-US"/>
        </w:rPr>
        <w:t>hey support parents who may be experiencing long-term or entrenched unemployment to access support in their transition into the workforce and provide an incentive to transition into the workforce. They often offer culturally safe options for training and a stepping stone into paid local work, some being among the larger employers in their communities.</w:t>
      </w:r>
    </w:p>
    <w:p w14:paraId="384D4569" w14:textId="4946486C" w:rsidR="002F65B5" w:rsidRPr="00AF329E" w:rsidRDefault="00B201AC" w:rsidP="00DC02D2">
      <w:pPr>
        <w:rPr>
          <w:lang w:val="en-AU"/>
        </w:rPr>
      </w:pPr>
      <w:r w:rsidRPr="00AF329E">
        <w:rPr>
          <w:lang w:val="en-AU"/>
        </w:rPr>
        <w:t>Adequately understanding and accommodating for the</w:t>
      </w:r>
      <w:r w:rsidR="003F3B49" w:rsidRPr="00AF329E">
        <w:rPr>
          <w:lang w:val="en-AU"/>
        </w:rPr>
        <w:t xml:space="preserve"> ECEC service</w:t>
      </w:r>
      <w:r w:rsidRPr="00AF329E">
        <w:rPr>
          <w:lang w:val="en-AU"/>
        </w:rPr>
        <w:t xml:space="preserve"> needs of Aboriginal and Torres Strait Islander children and families experiencing vulnerability </w:t>
      </w:r>
      <w:r w:rsidR="003F3B49" w:rsidRPr="00AF329E">
        <w:rPr>
          <w:lang w:val="en-AU"/>
        </w:rPr>
        <w:t>can only occur when specific consideration is given to the increased costs services face when delivering culturally informed and integrated education and care. The increase in comparative delivery costs for Aboriginal and Torres Strait Islander services is particularly notable for services operating in remote or rural areas where there is no market for childcare and all services incur higher costs. However</w:t>
      </w:r>
      <w:r w:rsidR="000033E7">
        <w:rPr>
          <w:lang w:val="en-AU"/>
        </w:rPr>
        <w:t>,</w:t>
      </w:r>
      <w:r w:rsidR="003F3B49" w:rsidRPr="00AF329E">
        <w:rPr>
          <w:lang w:val="en-AU"/>
        </w:rPr>
        <w:t xml:space="preserve"> there are key funding considerations that extend much further than remoteness – notably the additional costs of engaging with a higher number of high risk children and families and providing effective trauma</w:t>
      </w:r>
      <w:r w:rsidR="000033E7">
        <w:rPr>
          <w:lang w:val="en-AU"/>
        </w:rPr>
        <w:t>-</w:t>
      </w:r>
      <w:r w:rsidR="003F3B49" w:rsidRPr="00AF329E">
        <w:rPr>
          <w:lang w:val="en-AU"/>
        </w:rPr>
        <w:t xml:space="preserve">informed culturally based services. </w:t>
      </w:r>
      <w:r w:rsidR="00FF503C" w:rsidRPr="00AF329E">
        <w:rPr>
          <w:lang w:val="en-AU"/>
        </w:rPr>
        <w:t xml:space="preserve">Aboriginal and Torres Strait Islander ECEC services are faced with </w:t>
      </w:r>
      <w:r w:rsidR="0087734A" w:rsidRPr="00AF329E">
        <w:rPr>
          <w:lang w:val="en-AU"/>
        </w:rPr>
        <w:t>highly complex and diverse demands on staff and programs, and these demands can only be met with</w:t>
      </w:r>
      <w:r w:rsidR="002F65B5" w:rsidRPr="00AF329E">
        <w:rPr>
          <w:lang w:val="en-AU"/>
        </w:rPr>
        <w:t>:</w:t>
      </w:r>
    </w:p>
    <w:p w14:paraId="2924C5EF" w14:textId="619EFED6" w:rsidR="002F65B5" w:rsidRPr="00AF329E" w:rsidRDefault="0087734A" w:rsidP="002F65B5">
      <w:pPr>
        <w:pStyle w:val="ListParagraph"/>
        <w:numPr>
          <w:ilvl w:val="0"/>
          <w:numId w:val="15"/>
        </w:numPr>
        <w:rPr>
          <w:lang w:val="en-AU"/>
        </w:rPr>
      </w:pPr>
      <w:r w:rsidRPr="00AF329E">
        <w:rPr>
          <w:lang w:val="en-AU"/>
        </w:rPr>
        <w:t>higher staffing levels</w:t>
      </w:r>
      <w:r w:rsidR="002F65B5" w:rsidRPr="00AF329E">
        <w:rPr>
          <w:lang w:val="en-AU"/>
        </w:rPr>
        <w:t>;</w:t>
      </w:r>
    </w:p>
    <w:p w14:paraId="5C5B55FB" w14:textId="77777777" w:rsidR="002F65B5" w:rsidRPr="00AF329E" w:rsidRDefault="0087734A" w:rsidP="002F65B5">
      <w:pPr>
        <w:pStyle w:val="ListParagraph"/>
        <w:numPr>
          <w:ilvl w:val="0"/>
          <w:numId w:val="15"/>
        </w:numPr>
        <w:rPr>
          <w:lang w:val="en-AU"/>
        </w:rPr>
      </w:pPr>
      <w:r w:rsidRPr="00AF329E">
        <w:rPr>
          <w:lang w:val="en-AU"/>
        </w:rPr>
        <w:t>increased and varied forms of training for staff (e.g. family violence, drug and alcohol, mental health)</w:t>
      </w:r>
      <w:r w:rsidR="002F65B5" w:rsidRPr="00AF329E">
        <w:rPr>
          <w:lang w:val="en-AU"/>
        </w:rPr>
        <w:t>;</w:t>
      </w:r>
    </w:p>
    <w:p w14:paraId="2E91782A" w14:textId="51F50644" w:rsidR="002F65B5" w:rsidRPr="00AF329E" w:rsidRDefault="0087734A" w:rsidP="002F65B5">
      <w:pPr>
        <w:pStyle w:val="ListParagraph"/>
        <w:numPr>
          <w:ilvl w:val="0"/>
          <w:numId w:val="15"/>
        </w:numPr>
        <w:rPr>
          <w:lang w:val="en-AU"/>
        </w:rPr>
      </w:pPr>
      <w:r w:rsidRPr="00AF329E">
        <w:rPr>
          <w:lang w:val="en-AU"/>
        </w:rPr>
        <w:t>funding for cultural programming and effective engagement with community boards and governance struct</w:t>
      </w:r>
      <w:r w:rsidR="002F65B5" w:rsidRPr="00AF329E">
        <w:rPr>
          <w:lang w:val="en-AU"/>
        </w:rPr>
        <w:t>ures to ensure community buy in; and</w:t>
      </w:r>
    </w:p>
    <w:p w14:paraId="475802D7" w14:textId="7AB9C16C" w:rsidR="002F65B5" w:rsidRPr="00AF329E" w:rsidRDefault="002F65B5" w:rsidP="002F65B5">
      <w:pPr>
        <w:pStyle w:val="ListParagraph"/>
        <w:numPr>
          <w:ilvl w:val="0"/>
          <w:numId w:val="15"/>
        </w:numPr>
        <w:rPr>
          <w:lang w:val="en-AU"/>
        </w:rPr>
      </w:pPr>
      <w:r w:rsidRPr="00AF329E">
        <w:rPr>
          <w:lang w:val="en-AU"/>
        </w:rPr>
        <w:t>funding to reme</w:t>
      </w:r>
      <w:r w:rsidR="0087734A" w:rsidRPr="00AF329E">
        <w:rPr>
          <w:lang w:val="en-AU"/>
        </w:rPr>
        <w:t>dy higher levels of administration for children experiencing vulnerability and the need for a more diverse and comprehensive range of support pr</w:t>
      </w:r>
      <w:r w:rsidRPr="00AF329E">
        <w:rPr>
          <w:lang w:val="en-AU"/>
        </w:rPr>
        <w:t>ograms for parents and families.</w:t>
      </w:r>
    </w:p>
    <w:p w14:paraId="433E43BF" w14:textId="00F2244E" w:rsidR="002F65B5" w:rsidRPr="00AF329E" w:rsidRDefault="002F65B5" w:rsidP="002F65B5">
      <w:pPr>
        <w:rPr>
          <w:lang w:val="en-AU"/>
        </w:rPr>
      </w:pPr>
      <w:r w:rsidRPr="00AF329E">
        <w:rPr>
          <w:lang w:val="en-AU"/>
        </w:rPr>
        <w:t>If the federal government is to cl</w:t>
      </w:r>
      <w:r w:rsidR="00F04B7D" w:rsidRPr="00AF329E">
        <w:rPr>
          <w:lang w:val="en-AU"/>
        </w:rPr>
        <w:t>ose the gap in access to ECEC for Aboriginal and Torres Strait Islander children, these additional funding needs that are critical to engagement with and support of families will need to be met.</w:t>
      </w:r>
    </w:p>
    <w:p w14:paraId="746B051F" w14:textId="0568B3C3" w:rsidR="0050367E" w:rsidRPr="00AF329E" w:rsidRDefault="0050367E" w:rsidP="0050367E">
      <w:pPr>
        <w:rPr>
          <w:lang w:val="en-AU"/>
        </w:rPr>
      </w:pPr>
      <w:r w:rsidRPr="00AF329E">
        <w:rPr>
          <w:rFonts w:eastAsia="Times New Roman" w:cs="Times New Roman"/>
          <w:lang w:val="en-AU"/>
        </w:rPr>
        <w:t xml:space="preserve">The </w:t>
      </w:r>
      <w:r w:rsidRPr="00AF329E">
        <w:rPr>
          <w:rFonts w:eastAsia="Times New Roman" w:cs="Times New Roman"/>
          <w:i/>
          <w:lang w:val="en-AU"/>
        </w:rPr>
        <w:t xml:space="preserve">Family Assistance Legislation Amendment (Jobs for Families Child Care Package) Bill 2016 </w:t>
      </w:r>
      <w:r w:rsidRPr="00AF329E">
        <w:rPr>
          <w:rFonts w:eastAsia="Times New Roman" w:cs="Times New Roman"/>
          <w:lang w:val="en-AU"/>
        </w:rPr>
        <w:t>proposes dramatic reform of the early childhood education and care sector. As identified by a large range of organisations including SNAICC, the package will have devastating consequences for Aboriginal and Torres Strait Islander ECEC services without reform. The two key areas of concern are the abolishment of the Budget Based Funding (BBF) program and the reduction in the minimum subsidised hours available to families. The impact of these changes will be reduced</w:t>
      </w:r>
      <w:r w:rsidRPr="00AF329E">
        <w:rPr>
          <w:lang w:val="en-AU"/>
        </w:rPr>
        <w:t xml:space="preserve"> income for services and higher costs for families, the combination of which will have a devastating impact on Aboriginal and Torres Strait Islander children and families by reducing the ability for families to access services, and reducing the capacity of services to offer a broad range of holistic services.</w:t>
      </w:r>
    </w:p>
    <w:p w14:paraId="5E6BF267" w14:textId="4159D4F7" w:rsidR="0016754C" w:rsidRPr="00AF329E" w:rsidRDefault="006F5880" w:rsidP="0050367E">
      <w:pPr>
        <w:rPr>
          <w:lang w:val="en-AU"/>
        </w:rPr>
      </w:pPr>
      <w:r w:rsidRPr="006F5880">
        <w:rPr>
          <w:lang w:val="en-AU"/>
        </w:rPr>
        <w:t>For Aboriginal and Torres Strait Islander families experiencing vulnerability or hardship, a reduction in support to access ECEC services has a significant impact on their children. This is particularly true for families with multiple children, who will now face significantly higher costs and a reduction in subsidised hours. The reduction in the minimum child care entitlement for low income families from 24 to 12 hours of subsided care per week will result in either higher out-of-pocket costs or reduced attendance for families who are in the lowest income bracket and do not meet the activity test. Given the high proportion of low-income and vulnerable families serviced by Aboriginal and Torres Strait Islander child care centres, this is expected to have a significant impact on service revenue.</w:t>
      </w:r>
      <w:r w:rsidR="00F04B7D" w:rsidRPr="00AF329E">
        <w:rPr>
          <w:rStyle w:val="EndnoteReference"/>
          <w:lang w:val="en-AU"/>
        </w:rPr>
        <w:endnoteReference w:id="35"/>
      </w:r>
    </w:p>
    <w:p w14:paraId="34A0C646" w14:textId="5A24F577" w:rsidR="0050367E" w:rsidRPr="00AF329E" w:rsidRDefault="0050367E" w:rsidP="0050367E">
      <w:pPr>
        <w:rPr>
          <w:lang w:val="en-AU"/>
        </w:rPr>
      </w:pPr>
      <w:r w:rsidRPr="00AF329E">
        <w:rPr>
          <w:lang w:val="en-AU"/>
        </w:rPr>
        <w:t>By placing Aboriginal and Torres Strait Islander ECEC services in competition for funding</w:t>
      </w:r>
      <w:r w:rsidR="00F04B7D" w:rsidRPr="00AF329E">
        <w:rPr>
          <w:lang w:val="en-AU"/>
        </w:rPr>
        <w:t xml:space="preserve"> with other mainstream provider</w:t>
      </w:r>
      <w:r w:rsidR="00D52E2A">
        <w:rPr>
          <w:lang w:val="en-AU"/>
        </w:rPr>
        <w:t>s</w:t>
      </w:r>
      <w:r w:rsidRPr="00AF329E">
        <w:rPr>
          <w:lang w:val="en-AU"/>
        </w:rPr>
        <w:t xml:space="preserve"> under the Community Child Care Fund, the Commonweal</w:t>
      </w:r>
      <w:r w:rsidR="00F04B7D" w:rsidRPr="00AF329E">
        <w:rPr>
          <w:lang w:val="en-AU"/>
        </w:rPr>
        <w:t>th is generating a system that has the potential to</w:t>
      </w:r>
      <w:r w:rsidRPr="00AF329E">
        <w:rPr>
          <w:lang w:val="en-AU"/>
        </w:rPr>
        <w:t xml:space="preserve"> marginalise small</w:t>
      </w:r>
      <w:r w:rsidR="00D52E2A">
        <w:rPr>
          <w:lang w:val="en-AU"/>
        </w:rPr>
        <w:t>-</w:t>
      </w:r>
      <w:r w:rsidRPr="00AF329E">
        <w:rPr>
          <w:lang w:val="en-AU"/>
        </w:rPr>
        <w:t>scale community organisations and support larger, established organisations to secure more funding</w:t>
      </w:r>
      <w:r w:rsidR="00F04B7D" w:rsidRPr="00AF329E">
        <w:rPr>
          <w:lang w:val="en-AU"/>
        </w:rPr>
        <w:t>, thus eroding local community and cultural leadership in service delivery</w:t>
      </w:r>
      <w:r w:rsidRPr="00AF329E">
        <w:rPr>
          <w:lang w:val="en-AU"/>
        </w:rPr>
        <w:t>. This was the experience of the implementation of the Indigenous Advancement Strategy by the Department of the Prime Min</w:t>
      </w:r>
      <w:r w:rsidR="00D52E2A">
        <w:rPr>
          <w:lang w:val="en-AU"/>
        </w:rPr>
        <w:t>i</w:t>
      </w:r>
      <w:r w:rsidRPr="00AF329E">
        <w:rPr>
          <w:lang w:val="en-AU"/>
        </w:rPr>
        <w:t>ster and Cabinet (PM&amp;C) which saw</w:t>
      </w:r>
      <w:r w:rsidR="00F04B7D" w:rsidRPr="00AF329E">
        <w:rPr>
          <w:lang w:val="en-AU"/>
        </w:rPr>
        <w:t xml:space="preserve"> many small and under-</w:t>
      </w:r>
      <w:r w:rsidRPr="00AF329E">
        <w:rPr>
          <w:lang w:val="en-AU"/>
        </w:rPr>
        <w:t>resourced Aboriginal and Torres Strait Islander organisations struggling to compete for funding against large and well</w:t>
      </w:r>
      <w:r w:rsidR="00ED5160">
        <w:rPr>
          <w:lang w:val="en-AU"/>
        </w:rPr>
        <w:t>-</w:t>
      </w:r>
      <w:r w:rsidRPr="00AF329E">
        <w:rPr>
          <w:lang w:val="en-AU"/>
        </w:rPr>
        <w:t>established mainstrea</w:t>
      </w:r>
      <w:r w:rsidR="00F04B7D" w:rsidRPr="00AF329E">
        <w:rPr>
          <w:lang w:val="en-AU"/>
        </w:rPr>
        <w:t>m non-government organisations.</w:t>
      </w:r>
      <w:r w:rsidR="00F04B7D" w:rsidRPr="00AF329E">
        <w:rPr>
          <w:rStyle w:val="EndnoteReference"/>
          <w:lang w:val="en-AU"/>
        </w:rPr>
        <w:endnoteReference w:id="36"/>
      </w:r>
      <w:r w:rsidR="00F04B7D" w:rsidRPr="00AF329E">
        <w:rPr>
          <w:lang w:val="en-AU"/>
        </w:rPr>
        <w:t xml:space="preserve"> </w:t>
      </w:r>
      <w:r w:rsidRPr="00AF329E">
        <w:rPr>
          <w:lang w:val="en-AU"/>
        </w:rPr>
        <w:t>We have been encourage</w:t>
      </w:r>
      <w:r w:rsidR="00F04B7D" w:rsidRPr="00AF329E">
        <w:rPr>
          <w:lang w:val="en-AU"/>
        </w:rPr>
        <w:t>d</w:t>
      </w:r>
      <w:r w:rsidRPr="00AF329E">
        <w:rPr>
          <w:lang w:val="en-AU"/>
        </w:rPr>
        <w:t xml:space="preserve"> by the recent advice to sector organisations </w:t>
      </w:r>
      <w:r w:rsidR="005B1F4F">
        <w:rPr>
          <w:lang w:val="en-AU"/>
        </w:rPr>
        <w:t>provided by</w:t>
      </w:r>
      <w:r w:rsidRPr="00AF329E">
        <w:rPr>
          <w:lang w:val="en-AU"/>
        </w:rPr>
        <w:t xml:space="preserve"> </w:t>
      </w:r>
      <w:r w:rsidR="005B1F4F">
        <w:rPr>
          <w:lang w:val="en-AU"/>
        </w:rPr>
        <w:t xml:space="preserve">the </w:t>
      </w:r>
      <w:r w:rsidRPr="00AF329E">
        <w:rPr>
          <w:lang w:val="en-AU"/>
        </w:rPr>
        <w:t>Minister</w:t>
      </w:r>
      <w:r w:rsidR="005B1F4F">
        <w:rPr>
          <w:lang w:val="en-AU"/>
        </w:rPr>
        <w:t xml:space="preserve"> for Education and Training, Senator the Hon. Simon</w:t>
      </w:r>
      <w:r w:rsidRPr="00AF329E">
        <w:rPr>
          <w:lang w:val="en-AU"/>
        </w:rPr>
        <w:t xml:space="preserve"> Birmingham</w:t>
      </w:r>
      <w:r w:rsidR="005B1F4F">
        <w:rPr>
          <w:lang w:val="en-AU"/>
        </w:rPr>
        <w:t>,</w:t>
      </w:r>
      <w:r w:rsidRPr="00AF329E">
        <w:rPr>
          <w:lang w:val="en-AU"/>
        </w:rPr>
        <w:t xml:space="preserve"> that a discretionary component of funding within the Community Child Care Fund will assist to ensure that Aboriginal and Torres Strait Islander services are not unfairly disadvantaged through the competitive funding process</w:t>
      </w:r>
      <w:r w:rsidR="006F4E3C" w:rsidRPr="00AF329E">
        <w:rPr>
          <w:lang w:val="en-AU"/>
        </w:rPr>
        <w:t xml:space="preserve">. </w:t>
      </w:r>
      <w:r w:rsidRPr="00AF329E">
        <w:rPr>
          <w:lang w:val="en-AU"/>
        </w:rPr>
        <w:t>However, we strongly believe that a sustainable approach that meets the government’s responsibility to address the inequities in service access and outcomes for Aboriginal and Torres Strait Islander children requires a dedicated Aboriginal and Torres Strait Islander service stream.</w:t>
      </w:r>
    </w:p>
    <w:p w14:paraId="16E32846" w14:textId="77777777" w:rsidR="0050367E" w:rsidRPr="00AF329E" w:rsidRDefault="0050367E" w:rsidP="0050367E">
      <w:pPr>
        <w:pStyle w:val="NoSpacing"/>
        <w:rPr>
          <w:sz w:val="22"/>
          <w:lang w:val="en-AU"/>
        </w:rPr>
      </w:pPr>
    </w:p>
    <w:p w14:paraId="238CCBCA" w14:textId="77777777" w:rsidR="0050367E" w:rsidRPr="00AF329E" w:rsidRDefault="0050367E" w:rsidP="0050367E">
      <w:pPr>
        <w:pStyle w:val="NoSpacing"/>
        <w:rPr>
          <w:sz w:val="22"/>
          <w:lang w:val="en-AU"/>
        </w:rPr>
      </w:pPr>
      <w:r w:rsidRPr="00AF329E">
        <w:rPr>
          <w:sz w:val="22"/>
          <w:lang w:val="en-AU"/>
        </w:rPr>
        <w:t xml:space="preserve">The proposed remedy for these impacts is in two parts:  </w:t>
      </w:r>
    </w:p>
    <w:p w14:paraId="6B72CD5C" w14:textId="77777777" w:rsidR="0050367E" w:rsidRPr="00AF329E" w:rsidRDefault="0050367E" w:rsidP="0050367E">
      <w:pPr>
        <w:rPr>
          <w:lang w:val="en-AU"/>
        </w:rPr>
      </w:pPr>
    </w:p>
    <w:p w14:paraId="2E3D3F7B" w14:textId="77777777" w:rsidR="0050367E" w:rsidRPr="00AF329E" w:rsidRDefault="0050367E" w:rsidP="0050367E">
      <w:pPr>
        <w:pStyle w:val="ListParagraph"/>
        <w:numPr>
          <w:ilvl w:val="0"/>
          <w:numId w:val="9"/>
        </w:numPr>
        <w:rPr>
          <w:rFonts w:eastAsiaTheme="minorHAnsi"/>
          <w:b/>
          <w:lang w:val="en-AU" w:eastAsia="en-US"/>
        </w:rPr>
      </w:pPr>
      <w:r w:rsidRPr="00AF329E">
        <w:rPr>
          <w:rFonts w:eastAsiaTheme="minorHAnsi"/>
          <w:b/>
          <w:lang w:val="en-AU" w:eastAsia="en-US"/>
        </w:rPr>
        <w:t xml:space="preserve">An Aboriginal and Torres Strait Islander specific program within the Child Care Safety Net and an attuned funding model for other rural and remote services. </w:t>
      </w:r>
    </w:p>
    <w:p w14:paraId="7EB90B4D" w14:textId="77777777" w:rsidR="0050367E" w:rsidRPr="00AF329E" w:rsidRDefault="0050367E" w:rsidP="0050367E">
      <w:pPr>
        <w:pStyle w:val="ListParagraph"/>
        <w:rPr>
          <w:rFonts w:eastAsiaTheme="minorHAnsi"/>
          <w:lang w:val="en-AU" w:eastAsia="en-US"/>
        </w:rPr>
      </w:pPr>
      <w:r w:rsidRPr="00AF329E">
        <w:rPr>
          <w:rFonts w:eastAsiaTheme="minorHAnsi"/>
          <w:lang w:val="en-AU" w:eastAsia="en-US"/>
        </w:rPr>
        <w:t xml:space="preserve">The objective of the Aboriginal and Torres Strait Islander program would be to provide repeated three year grants to top-up the income to Aboriginal and Torres Strait Islander services to enable them to continue flexible service provision to the most disadvantaged children within their communities. Savings from the delayed roll-out of the </w:t>
      </w:r>
      <w:r w:rsidRPr="00AF329E">
        <w:rPr>
          <w:rFonts w:eastAsiaTheme="minorHAnsi"/>
          <w:i/>
          <w:lang w:val="en-AU" w:eastAsia="en-US"/>
        </w:rPr>
        <w:t xml:space="preserve">Jobs for Families Childcare Package </w:t>
      </w:r>
      <w:r w:rsidRPr="00AF329E">
        <w:rPr>
          <w:rFonts w:eastAsiaTheme="minorHAnsi"/>
          <w:lang w:val="en-AU" w:eastAsia="en-US"/>
        </w:rPr>
        <w:t>could be drawn upon to provide the estimated additional $100m p.a. required to implement this program on top of funds reallocated from the proposed Community Child Care Fund.</w:t>
      </w:r>
    </w:p>
    <w:p w14:paraId="1BF37CF7" w14:textId="77777777" w:rsidR="0050367E" w:rsidRPr="00AF329E" w:rsidRDefault="0050367E" w:rsidP="0050367E">
      <w:pPr>
        <w:pStyle w:val="ListParagraph"/>
        <w:rPr>
          <w:rFonts w:eastAsiaTheme="minorHAnsi"/>
          <w:lang w:val="en-AU" w:eastAsia="en-US"/>
        </w:rPr>
      </w:pPr>
    </w:p>
    <w:p w14:paraId="670DCA19" w14:textId="1C579A1A" w:rsidR="0050367E" w:rsidRPr="00AF329E" w:rsidRDefault="0050367E" w:rsidP="0050367E">
      <w:pPr>
        <w:pStyle w:val="ListParagraph"/>
        <w:rPr>
          <w:rFonts w:eastAsiaTheme="minorHAnsi"/>
          <w:lang w:val="en-AU" w:eastAsia="en-US"/>
        </w:rPr>
      </w:pPr>
      <w:r w:rsidRPr="00AF329E">
        <w:rPr>
          <w:rFonts w:eastAsiaTheme="minorHAnsi"/>
          <w:lang w:val="en-AU" w:eastAsia="en-US"/>
        </w:rPr>
        <w:t>Funding agreements under this stream of funding would be provided on a long</w:t>
      </w:r>
      <w:r w:rsidR="00786FB0">
        <w:rPr>
          <w:rFonts w:eastAsiaTheme="minorHAnsi"/>
          <w:lang w:val="en-AU" w:eastAsia="en-US"/>
        </w:rPr>
        <w:t>-</w:t>
      </w:r>
      <w:r w:rsidRPr="00AF329E">
        <w:rPr>
          <w:rFonts w:eastAsiaTheme="minorHAnsi"/>
          <w:lang w:val="en-AU" w:eastAsia="en-US"/>
        </w:rPr>
        <w:t>term basis to ensure the sustainability of services and enable effective programming to support the needs of families in light of best</w:t>
      </w:r>
      <w:r w:rsidR="00786FB0">
        <w:rPr>
          <w:rFonts w:eastAsiaTheme="minorHAnsi"/>
          <w:lang w:val="en-AU" w:eastAsia="en-US"/>
        </w:rPr>
        <w:t>-</w:t>
      </w:r>
      <w:r w:rsidRPr="00AF329E">
        <w:rPr>
          <w:rFonts w:eastAsiaTheme="minorHAnsi"/>
          <w:lang w:val="en-AU" w:eastAsia="en-US"/>
        </w:rPr>
        <w:t>practice models for intervention surrounding family violence, drug and alcohol misu</w:t>
      </w:r>
      <w:r w:rsidR="009100E1" w:rsidRPr="00AF329E">
        <w:rPr>
          <w:rFonts w:eastAsiaTheme="minorHAnsi"/>
          <w:lang w:val="en-AU" w:eastAsia="en-US"/>
        </w:rPr>
        <w:t>s</w:t>
      </w:r>
      <w:r w:rsidRPr="00AF329E">
        <w:rPr>
          <w:rFonts w:eastAsiaTheme="minorHAnsi"/>
          <w:lang w:val="en-AU" w:eastAsia="en-US"/>
        </w:rPr>
        <w:t>e and community violence.</w:t>
      </w:r>
    </w:p>
    <w:p w14:paraId="170F0E08" w14:textId="77777777" w:rsidR="0050367E" w:rsidRPr="00AF329E" w:rsidRDefault="0050367E" w:rsidP="0050367E">
      <w:pPr>
        <w:pStyle w:val="ListParagraph"/>
        <w:rPr>
          <w:rFonts w:eastAsiaTheme="minorHAnsi"/>
          <w:lang w:val="en-AU" w:eastAsia="en-US"/>
        </w:rPr>
      </w:pPr>
    </w:p>
    <w:p w14:paraId="379A006E" w14:textId="77777777" w:rsidR="0050367E" w:rsidRPr="00AF329E" w:rsidRDefault="0050367E" w:rsidP="0050367E">
      <w:pPr>
        <w:pStyle w:val="ListParagraph"/>
        <w:numPr>
          <w:ilvl w:val="0"/>
          <w:numId w:val="9"/>
        </w:numPr>
        <w:rPr>
          <w:rFonts w:eastAsiaTheme="minorHAnsi"/>
          <w:b/>
          <w:lang w:val="en-AU" w:eastAsia="en-US"/>
        </w:rPr>
      </w:pPr>
      <w:r w:rsidRPr="00AF329E">
        <w:rPr>
          <w:rFonts w:eastAsiaTheme="minorHAnsi"/>
          <w:b/>
          <w:lang w:val="en-AU" w:eastAsia="en-US"/>
        </w:rPr>
        <w:t xml:space="preserve">Provision of at least two full days (20 hours) of subsidised quality early learning to all children to support their development, regardless of their parents’ activities. </w:t>
      </w:r>
    </w:p>
    <w:p w14:paraId="2A0F464B" w14:textId="70A5BEDA" w:rsidR="0050367E" w:rsidRPr="00AF329E" w:rsidRDefault="0050367E" w:rsidP="0050367E">
      <w:pPr>
        <w:pStyle w:val="ListParagraph"/>
        <w:rPr>
          <w:rFonts w:eastAsiaTheme="minorHAnsi"/>
          <w:lang w:val="en-AU" w:eastAsia="en-US"/>
        </w:rPr>
      </w:pPr>
      <w:r w:rsidRPr="00AF329E">
        <w:rPr>
          <w:rFonts w:eastAsiaTheme="minorHAnsi"/>
          <w:lang w:val="en-AU" w:eastAsia="en-US"/>
        </w:rPr>
        <w:t>This is a compromised position from the full 24 hours provided now, offered in the spirit of compromise as a part of a package of recommendations. This requires an amendment to the</w:t>
      </w:r>
      <w:r w:rsidR="009100E1" w:rsidRPr="00AF329E">
        <w:rPr>
          <w:rFonts w:eastAsiaTheme="minorHAnsi"/>
          <w:lang w:val="en-AU" w:eastAsia="en-US"/>
        </w:rPr>
        <w:t xml:space="preserve"> </w:t>
      </w:r>
      <w:r w:rsidRPr="00AF329E">
        <w:rPr>
          <w:rFonts w:eastAsiaTheme="minorHAnsi"/>
          <w:lang w:val="en-AU" w:eastAsia="en-US"/>
        </w:rPr>
        <w:t>Bill to ensure that families on incomes less than $100,000 per annum receive two full days (20 hours) of subsidised care per week. This could taper down between the current proposed $65,700 and $100,000 p.a. This proposal would require</w:t>
      </w:r>
      <w:r w:rsidR="00133D6B">
        <w:rPr>
          <w:rFonts w:eastAsiaTheme="minorHAnsi"/>
          <w:lang w:val="en-AU" w:eastAsia="en-US"/>
        </w:rPr>
        <w:t>,</w:t>
      </w:r>
      <w:r w:rsidRPr="00AF329E">
        <w:rPr>
          <w:rFonts w:eastAsiaTheme="minorHAnsi"/>
          <w:lang w:val="en-AU" w:eastAsia="en-US"/>
        </w:rPr>
        <w:t xml:space="preserve"> specifically</w:t>
      </w:r>
      <w:r w:rsidR="00133D6B">
        <w:rPr>
          <w:rFonts w:eastAsiaTheme="minorHAnsi"/>
          <w:lang w:val="en-AU" w:eastAsia="en-US"/>
        </w:rPr>
        <w:t>,</w:t>
      </w:r>
      <w:r w:rsidRPr="00AF329E">
        <w:rPr>
          <w:rFonts w:eastAsiaTheme="minorHAnsi"/>
          <w:lang w:val="en-AU" w:eastAsia="en-US"/>
        </w:rPr>
        <w:t xml:space="preserve"> an amendment of Schedule 1, Clause 13 1) of the Bill to state that </w:t>
      </w:r>
      <w:r w:rsidR="00133D6B">
        <w:rPr>
          <w:rFonts w:eastAsiaTheme="minorHAnsi"/>
          <w:lang w:val="en-AU" w:eastAsia="en-US"/>
        </w:rPr>
        <w:t>“</w:t>
      </w:r>
      <w:r w:rsidRPr="00AF329E">
        <w:rPr>
          <w:rFonts w:eastAsiaTheme="minorHAnsi"/>
          <w:lang w:val="en-AU" w:eastAsia="en-US"/>
        </w:rPr>
        <w:t>The low income result is 48</w:t>
      </w:r>
      <w:r w:rsidR="00133D6B">
        <w:rPr>
          <w:rFonts w:eastAsiaTheme="minorHAnsi"/>
          <w:lang w:val="en-AU" w:eastAsia="en-US"/>
        </w:rPr>
        <w:t>”</w:t>
      </w:r>
      <w:r w:rsidRPr="00AF329E">
        <w:rPr>
          <w:rFonts w:eastAsiaTheme="minorHAnsi"/>
          <w:lang w:val="en-AU" w:eastAsia="en-US"/>
        </w:rPr>
        <w:t xml:space="preserve"> so that families on incomes less than the lower income threshold ($100,000) per annum receive two full days (up to 20 hours) of subsidised care per week or an amendment reflecting the tapering component. This removes unfair cuts in subsidy caused by the </w:t>
      </w:r>
      <w:r w:rsidRPr="00C53B11">
        <w:rPr>
          <w:rFonts w:eastAsiaTheme="minorHAnsi"/>
          <w:i/>
          <w:lang w:val="en-AU" w:eastAsia="en-US"/>
        </w:rPr>
        <w:t>cliff</w:t>
      </w:r>
      <w:r w:rsidRPr="00AF329E">
        <w:rPr>
          <w:rFonts w:eastAsiaTheme="minorHAnsi"/>
          <w:lang w:val="en-AU" w:eastAsia="en-US"/>
        </w:rPr>
        <w:t xml:space="preserve"> at $65,710 which would mean children have to drop out of early learning or have a significant increase in their fees if their estimated income goes above $65,710. It also retains workforce incentives for families with incomes over $65,710 because subsidy for working families will be paid at a higher Child Care Subsidy (CCS) percentage as well as including additional CCS hours. It finally ensures families in the bottom two quintiles who do not meet the activity test are not worse off moving to CCS.</w:t>
      </w:r>
    </w:p>
    <w:p w14:paraId="270865EB" w14:textId="77777777" w:rsidR="0050367E" w:rsidRPr="00AF329E" w:rsidRDefault="0050367E" w:rsidP="0050367E">
      <w:pPr>
        <w:pStyle w:val="ListParagraph"/>
        <w:rPr>
          <w:rFonts w:eastAsiaTheme="minorHAnsi"/>
          <w:lang w:val="en-AU" w:eastAsia="en-US"/>
        </w:rPr>
      </w:pPr>
    </w:p>
    <w:p w14:paraId="4CC436A2" w14:textId="41793BB2" w:rsidR="0050367E" w:rsidRPr="00AF329E" w:rsidRDefault="0050367E" w:rsidP="009100E1">
      <w:pPr>
        <w:pStyle w:val="ListParagraph"/>
        <w:rPr>
          <w:rFonts w:eastAsiaTheme="minorHAnsi"/>
          <w:lang w:val="en-AU"/>
        </w:rPr>
      </w:pPr>
      <w:r w:rsidRPr="00AF329E">
        <w:rPr>
          <w:rFonts w:eastAsiaTheme="minorHAnsi"/>
          <w:lang w:val="en-AU" w:eastAsia="en-US"/>
        </w:rPr>
        <w:t>Given the budget ask for shifting the number of subsidized hours for all children to 20 hours is significant, a potential option would be to implement a special measure t</w:t>
      </w:r>
      <w:r w:rsidRPr="00AF329E">
        <w:rPr>
          <w:rFonts w:eastAsiaTheme="minorHAnsi"/>
          <w:lang w:val="en-AU"/>
        </w:rPr>
        <w:t xml:space="preserve">o enable a specific provision for 20 subsidised hours for all Aboriginal and Torres Strait Islander children in recognition </w:t>
      </w:r>
      <w:r w:rsidR="009100E1" w:rsidRPr="00AF329E">
        <w:rPr>
          <w:rFonts w:eastAsiaTheme="minorHAnsi"/>
          <w:lang w:val="en-AU"/>
        </w:rPr>
        <w:t>of</w:t>
      </w:r>
      <w:r w:rsidRPr="00AF329E">
        <w:rPr>
          <w:rFonts w:eastAsiaTheme="minorHAnsi"/>
          <w:lang w:val="en-AU"/>
        </w:rPr>
        <w:t xml:space="preserve"> the need to close the gap in early childhood services access and outcomes for Aboriginal and Torres Strait Islander children.</w:t>
      </w:r>
    </w:p>
    <w:p w14:paraId="6436D628" w14:textId="2988CFE9" w:rsidR="0050367E" w:rsidRPr="00AF329E" w:rsidRDefault="0050367E" w:rsidP="0050367E">
      <w:pPr>
        <w:rPr>
          <w:b/>
          <w:lang w:val="en-AU"/>
        </w:rPr>
      </w:pPr>
      <w:r w:rsidRPr="00AF329E">
        <w:rPr>
          <w:b/>
          <w:lang w:val="en-AU"/>
        </w:rPr>
        <w:t>Cost saving measures</w:t>
      </w:r>
    </w:p>
    <w:p w14:paraId="463BE233" w14:textId="71A4C77A" w:rsidR="006A148D" w:rsidRPr="00AF329E" w:rsidRDefault="0050367E" w:rsidP="00C401CE">
      <w:pPr>
        <w:rPr>
          <w:lang w:val="en-AU"/>
        </w:rPr>
      </w:pPr>
      <w:r w:rsidRPr="00AF329E">
        <w:rPr>
          <w:lang w:val="en-AU"/>
        </w:rPr>
        <w:t>There are a series of cost savings that could be made to redress any increased costs through these recommendations. The sector has been working on identifying some potential measures that range from reducing the income threshold for the cap from $185,000 to reallocating underspends from the Nanny Pilot and redirecting some of the $1.1 billion of budget savings the Government will achieve in 2017-18 from the delay in the commencement of the Child Care Subsidy.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D0CD" w:themeFill="accent1" w:themeFillTint="33"/>
        <w:tblLook w:val="04A0" w:firstRow="1" w:lastRow="0" w:firstColumn="1" w:lastColumn="0" w:noHBand="0" w:noVBand="1"/>
      </w:tblPr>
      <w:tblGrid>
        <w:gridCol w:w="8516"/>
      </w:tblGrid>
      <w:tr w:rsidR="009306FA" w:rsidRPr="00AF329E" w14:paraId="4B62A627" w14:textId="77777777" w:rsidTr="009306FA">
        <w:tc>
          <w:tcPr>
            <w:tcW w:w="8516" w:type="dxa"/>
            <w:shd w:val="clear" w:color="auto" w:fill="F1D0CD" w:themeFill="accent1" w:themeFillTint="33"/>
          </w:tcPr>
          <w:p w14:paraId="703C8F5E" w14:textId="77777777" w:rsidR="009306FA" w:rsidRPr="00AF329E" w:rsidRDefault="009306FA" w:rsidP="009306FA">
            <w:pPr>
              <w:pStyle w:val="Heading4"/>
              <w:outlineLvl w:val="3"/>
              <w:rPr>
                <w:lang w:val="en-AU"/>
              </w:rPr>
            </w:pPr>
            <w:r w:rsidRPr="00AF329E">
              <w:rPr>
                <w:lang w:val="en-AU"/>
              </w:rPr>
              <w:t xml:space="preserve">Recommendation 3: </w:t>
            </w:r>
          </w:p>
          <w:p w14:paraId="069C75B2" w14:textId="273C6415" w:rsidR="009306FA" w:rsidRPr="00AF329E" w:rsidRDefault="009306FA" w:rsidP="009306FA">
            <w:pPr>
              <w:rPr>
                <w:lang w:val="en-AU"/>
              </w:rPr>
            </w:pPr>
            <w:r w:rsidRPr="00AF329E">
              <w:rPr>
                <w:lang w:val="en-AU"/>
              </w:rPr>
              <w:t>Establish an Aboriginal and Torres Strait Islander specific program within the Child Care Safety Net of the Federal Government’s Jobs for Families Package.</w:t>
            </w:r>
          </w:p>
          <w:p w14:paraId="7BF91A08" w14:textId="77777777" w:rsidR="009306FA" w:rsidRPr="00AF329E" w:rsidRDefault="009306FA" w:rsidP="009306FA">
            <w:pPr>
              <w:pStyle w:val="Heading6"/>
              <w:outlineLvl w:val="5"/>
              <w:rPr>
                <w:lang w:val="en-AU"/>
              </w:rPr>
            </w:pPr>
            <w:r w:rsidRPr="00AF329E">
              <w:rPr>
                <w:lang w:val="en-AU"/>
              </w:rPr>
              <w:t xml:space="preserve">Budget impact: </w:t>
            </w:r>
          </w:p>
          <w:p w14:paraId="3B5BF18D" w14:textId="6A6D8A1E" w:rsidR="009306FA" w:rsidRDefault="009100E1" w:rsidP="009306FA">
            <w:pPr>
              <w:rPr>
                <w:lang w:val="en-AU"/>
              </w:rPr>
            </w:pPr>
            <w:r w:rsidRPr="00AF329E">
              <w:rPr>
                <w:lang w:val="en-AU"/>
              </w:rPr>
              <w:t>$100m per annum additional cost drawing on</w:t>
            </w:r>
            <w:r w:rsidR="009306FA" w:rsidRPr="00AF329E">
              <w:rPr>
                <w:lang w:val="en-AU"/>
              </w:rPr>
              <w:t xml:space="preserve"> savings from the delayed implementation of the Jobs for Families package.</w:t>
            </w:r>
          </w:p>
          <w:p w14:paraId="075898DD" w14:textId="77777777" w:rsidR="002D7C67" w:rsidRPr="00AF329E" w:rsidRDefault="002D7C67" w:rsidP="009306FA">
            <w:pPr>
              <w:rPr>
                <w:lang w:val="en-AU"/>
              </w:rPr>
            </w:pPr>
          </w:p>
          <w:p w14:paraId="64B50FD7" w14:textId="64EE5B96" w:rsidR="009306FA" w:rsidRPr="00AF329E" w:rsidRDefault="009306FA" w:rsidP="002D7C67">
            <w:pPr>
              <w:pStyle w:val="Heading4"/>
              <w:keepNext/>
              <w:keepLines/>
              <w:outlineLvl w:val="3"/>
              <w:rPr>
                <w:lang w:val="en-AU"/>
              </w:rPr>
            </w:pPr>
            <w:r w:rsidRPr="00AF329E">
              <w:rPr>
                <w:lang w:val="en-AU"/>
              </w:rPr>
              <w:t xml:space="preserve">Recommendation 4: </w:t>
            </w:r>
          </w:p>
          <w:p w14:paraId="514E776D" w14:textId="5004D6E6" w:rsidR="009306FA" w:rsidRPr="00AF329E" w:rsidRDefault="009306FA" w:rsidP="002D7C67">
            <w:pPr>
              <w:keepNext/>
              <w:keepLines/>
              <w:rPr>
                <w:lang w:val="en-AU"/>
              </w:rPr>
            </w:pPr>
            <w:r w:rsidRPr="00AF329E">
              <w:rPr>
                <w:lang w:val="en-AU"/>
              </w:rPr>
              <w:t>Provide at least 20hrs of subsidised quality early learning to all children to support their development, regardless of their parents’ activities.</w:t>
            </w:r>
          </w:p>
          <w:p w14:paraId="7230E717" w14:textId="591E5B9C" w:rsidR="009100E1" w:rsidRPr="00AF329E" w:rsidRDefault="009306FA" w:rsidP="009100E1">
            <w:pPr>
              <w:pStyle w:val="Heading6"/>
              <w:outlineLvl w:val="5"/>
              <w:rPr>
                <w:lang w:val="en-AU"/>
              </w:rPr>
            </w:pPr>
            <w:r w:rsidRPr="00AF329E">
              <w:rPr>
                <w:lang w:val="en-AU"/>
              </w:rPr>
              <w:t xml:space="preserve">Budget impact: </w:t>
            </w:r>
          </w:p>
          <w:p w14:paraId="44CEC4DA" w14:textId="6FA575EB" w:rsidR="009306FA" w:rsidRPr="00AF329E" w:rsidRDefault="009100E1" w:rsidP="00C401CE">
            <w:pPr>
              <w:rPr>
                <w:lang w:val="en-AU"/>
              </w:rPr>
            </w:pPr>
            <w:r w:rsidRPr="00AF329E">
              <w:rPr>
                <w:lang w:val="en-AU"/>
              </w:rPr>
              <w:t>Family Matters is yet to develop a clear costing on the proposed increase in minimum subsidised hours</w:t>
            </w:r>
            <w:r w:rsidR="006F4E3C" w:rsidRPr="00AF329E">
              <w:rPr>
                <w:lang w:val="en-AU"/>
              </w:rPr>
              <w:t xml:space="preserve">. </w:t>
            </w:r>
            <w:r w:rsidRPr="00AF329E">
              <w:rPr>
                <w:lang w:val="en-AU"/>
              </w:rPr>
              <w:t>We would be prepared to work with the Government to fully detail costs and potential savings.</w:t>
            </w:r>
          </w:p>
        </w:tc>
      </w:tr>
    </w:tbl>
    <w:p w14:paraId="264B6DE2" w14:textId="77777777" w:rsidR="009306FA" w:rsidRPr="00AF329E" w:rsidRDefault="009306FA" w:rsidP="00C401CE">
      <w:pPr>
        <w:rPr>
          <w:lang w:val="en-AU"/>
        </w:rPr>
      </w:pPr>
    </w:p>
    <w:p w14:paraId="36C33871" w14:textId="77777777" w:rsidR="009306FA" w:rsidRPr="00AF329E" w:rsidRDefault="009306FA" w:rsidP="00C401CE">
      <w:pPr>
        <w:rPr>
          <w:lang w:val="en-AU"/>
        </w:rPr>
      </w:pPr>
    </w:p>
    <w:p w14:paraId="3B30AC39" w14:textId="51DBB206" w:rsidR="006A148D" w:rsidRPr="00AF329E" w:rsidRDefault="00F227A4" w:rsidP="006A148D">
      <w:pPr>
        <w:pStyle w:val="Heading3"/>
        <w:rPr>
          <w:sz w:val="28"/>
          <w:szCs w:val="28"/>
          <w:lang w:val="en-AU"/>
        </w:rPr>
      </w:pPr>
      <w:r w:rsidRPr="00AF329E">
        <w:rPr>
          <w:sz w:val="28"/>
          <w:szCs w:val="28"/>
          <w:lang w:val="en-AU"/>
        </w:rPr>
        <w:t>4</w:t>
      </w:r>
      <w:r w:rsidR="006A148D" w:rsidRPr="00AF329E">
        <w:rPr>
          <w:sz w:val="28"/>
          <w:szCs w:val="28"/>
          <w:lang w:val="en-AU"/>
        </w:rPr>
        <w:t xml:space="preserve">. </w:t>
      </w:r>
      <w:r w:rsidR="00691D3A" w:rsidRPr="00AF329E">
        <w:rPr>
          <w:sz w:val="28"/>
          <w:szCs w:val="28"/>
          <w:lang w:val="en-AU"/>
        </w:rPr>
        <w:t>National data sets for child protection aligned with gaps identified in the 2016 Family Matters Report</w:t>
      </w:r>
    </w:p>
    <w:p w14:paraId="554BD7B4" w14:textId="77777777" w:rsidR="00294AF7" w:rsidRPr="00AF329E" w:rsidRDefault="00294AF7" w:rsidP="00C401CE">
      <w:pPr>
        <w:rPr>
          <w:lang w:val="en-AU"/>
        </w:rPr>
      </w:pPr>
    </w:p>
    <w:p w14:paraId="599EFBCA" w14:textId="77777777" w:rsidR="00EC6C2C" w:rsidRPr="00AF329E" w:rsidRDefault="00EC6C2C" w:rsidP="006028B8">
      <w:pPr>
        <w:widowControl w:val="0"/>
        <w:autoSpaceDE w:val="0"/>
        <w:autoSpaceDN w:val="0"/>
        <w:adjustRightInd w:val="0"/>
        <w:rPr>
          <w:rFonts w:cs="Times New Roman"/>
          <w:szCs w:val="22"/>
          <w:lang w:val="en-AU"/>
        </w:rPr>
      </w:pPr>
      <w:r w:rsidRPr="00AF329E">
        <w:rPr>
          <w:rFonts w:cs="Times New Roman"/>
          <w:szCs w:val="22"/>
          <w:lang w:val="en-AU"/>
        </w:rPr>
        <w:t xml:space="preserve">In 2016, Family Matters </w:t>
      </w:r>
      <w:r w:rsidR="00691D3A" w:rsidRPr="00AF329E">
        <w:rPr>
          <w:rFonts w:cs="Times New Roman"/>
          <w:szCs w:val="22"/>
          <w:lang w:val="en-AU"/>
        </w:rPr>
        <w:t xml:space="preserve">formed a </w:t>
      </w:r>
      <w:r w:rsidRPr="00AF329E">
        <w:rPr>
          <w:rFonts w:cs="Times New Roman"/>
          <w:szCs w:val="22"/>
          <w:lang w:val="en-AU"/>
        </w:rPr>
        <w:t xml:space="preserve">partnership </w:t>
      </w:r>
      <w:r w:rsidR="00691D3A" w:rsidRPr="00AF329E">
        <w:rPr>
          <w:rFonts w:cs="Times New Roman"/>
          <w:szCs w:val="22"/>
          <w:lang w:val="en-AU"/>
        </w:rPr>
        <w:t>between the University of Melbourne, the Centre for Evidence and Implementation, SNAICC and Save the Children</w:t>
      </w:r>
      <w:r w:rsidRPr="00AF329E">
        <w:rPr>
          <w:rFonts w:cs="Times New Roman"/>
          <w:szCs w:val="22"/>
          <w:lang w:val="en-AU"/>
        </w:rPr>
        <w:t xml:space="preserve"> </w:t>
      </w:r>
      <w:r w:rsidR="00691D3A" w:rsidRPr="00AF329E">
        <w:rPr>
          <w:rFonts w:cs="Times New Roman"/>
          <w:szCs w:val="22"/>
          <w:lang w:val="en-AU"/>
        </w:rPr>
        <w:t>to research and produce a report on available data reflecting:</w:t>
      </w:r>
    </w:p>
    <w:p w14:paraId="432E67B3" w14:textId="2197AEDA" w:rsidR="00691D3A" w:rsidRPr="00AF329E" w:rsidRDefault="00D82056" w:rsidP="00691D3A">
      <w:pPr>
        <w:pStyle w:val="ListParagraph"/>
        <w:widowControl w:val="0"/>
        <w:numPr>
          <w:ilvl w:val="0"/>
          <w:numId w:val="11"/>
        </w:numPr>
        <w:autoSpaceDE w:val="0"/>
        <w:autoSpaceDN w:val="0"/>
        <w:adjustRightInd w:val="0"/>
        <w:rPr>
          <w:rFonts w:cs="Times New Roman"/>
          <w:szCs w:val="22"/>
          <w:lang w:val="en-AU"/>
        </w:rPr>
      </w:pPr>
      <w:r>
        <w:rPr>
          <w:rFonts w:cs="Times New Roman"/>
          <w:szCs w:val="22"/>
          <w:lang w:val="en-AU"/>
        </w:rPr>
        <w:t>a</w:t>
      </w:r>
      <w:r w:rsidR="00691D3A" w:rsidRPr="00AF329E">
        <w:rPr>
          <w:rFonts w:cs="Times New Roman"/>
          <w:szCs w:val="22"/>
          <w:lang w:val="en-AU"/>
        </w:rPr>
        <w:t xml:space="preserve"> benchmarking of the current over-representation of Aboriginal and Torres Strait Islander children in out-of-home care;</w:t>
      </w:r>
    </w:p>
    <w:p w14:paraId="664D0668" w14:textId="531BAC33" w:rsidR="00691D3A" w:rsidRPr="00AF329E" w:rsidRDefault="00D82056" w:rsidP="00691D3A">
      <w:pPr>
        <w:pStyle w:val="ListParagraph"/>
        <w:widowControl w:val="0"/>
        <w:numPr>
          <w:ilvl w:val="0"/>
          <w:numId w:val="11"/>
        </w:numPr>
        <w:autoSpaceDE w:val="0"/>
        <w:autoSpaceDN w:val="0"/>
        <w:adjustRightInd w:val="0"/>
        <w:rPr>
          <w:rFonts w:cs="Times New Roman"/>
          <w:szCs w:val="22"/>
          <w:lang w:val="en-AU"/>
        </w:rPr>
      </w:pPr>
      <w:r>
        <w:rPr>
          <w:rFonts w:cs="Times New Roman"/>
          <w:szCs w:val="22"/>
          <w:lang w:val="en-AU"/>
        </w:rPr>
        <w:t>m</w:t>
      </w:r>
      <w:r w:rsidR="00691D3A" w:rsidRPr="00AF329E">
        <w:rPr>
          <w:rFonts w:cs="Times New Roman"/>
          <w:szCs w:val="22"/>
          <w:lang w:val="en-AU"/>
        </w:rPr>
        <w:t>easures of the economic, community and social factors that drive over-representation</w:t>
      </w:r>
      <w:r w:rsidR="00992952" w:rsidRPr="00AF329E">
        <w:rPr>
          <w:rFonts w:cs="Times New Roman"/>
          <w:szCs w:val="22"/>
          <w:lang w:val="en-AU"/>
        </w:rPr>
        <w:t xml:space="preserve"> and service responses</w:t>
      </w:r>
      <w:r w:rsidR="00691D3A" w:rsidRPr="00AF329E">
        <w:rPr>
          <w:rFonts w:cs="Times New Roman"/>
          <w:szCs w:val="22"/>
          <w:lang w:val="en-AU"/>
        </w:rPr>
        <w:t>; and</w:t>
      </w:r>
    </w:p>
    <w:p w14:paraId="33FBAF74" w14:textId="67A9F38C" w:rsidR="00691D3A" w:rsidRPr="00AF329E" w:rsidRDefault="00D82056" w:rsidP="00691D3A">
      <w:pPr>
        <w:pStyle w:val="ListParagraph"/>
        <w:widowControl w:val="0"/>
        <w:numPr>
          <w:ilvl w:val="0"/>
          <w:numId w:val="11"/>
        </w:numPr>
        <w:autoSpaceDE w:val="0"/>
        <w:autoSpaceDN w:val="0"/>
        <w:adjustRightInd w:val="0"/>
        <w:rPr>
          <w:rFonts w:cs="Times New Roman"/>
          <w:szCs w:val="22"/>
          <w:lang w:val="en-AU"/>
        </w:rPr>
      </w:pPr>
      <w:r>
        <w:rPr>
          <w:rFonts w:cs="Times New Roman"/>
          <w:szCs w:val="22"/>
          <w:lang w:val="en-AU"/>
        </w:rPr>
        <w:t>m</w:t>
      </w:r>
      <w:r w:rsidR="00691D3A" w:rsidRPr="00AF329E">
        <w:rPr>
          <w:rFonts w:cs="Times New Roman"/>
          <w:szCs w:val="22"/>
          <w:lang w:val="en-AU"/>
        </w:rPr>
        <w:t>easures of progress towards enabling Aboriginal and Torres Strait Islander participation and cultural respect in the response to over-representation.</w:t>
      </w:r>
    </w:p>
    <w:p w14:paraId="5986CFA7" w14:textId="0F6E5266" w:rsidR="00691D3A" w:rsidRPr="00AF329E" w:rsidRDefault="00691D3A" w:rsidP="006028B8">
      <w:pPr>
        <w:widowControl w:val="0"/>
        <w:autoSpaceDE w:val="0"/>
        <w:autoSpaceDN w:val="0"/>
        <w:adjustRightInd w:val="0"/>
        <w:rPr>
          <w:rFonts w:cs="Times New Roman"/>
          <w:szCs w:val="22"/>
          <w:lang w:val="en-AU"/>
        </w:rPr>
      </w:pPr>
      <w:r w:rsidRPr="00AF329E">
        <w:rPr>
          <w:rFonts w:cs="Times New Roman"/>
          <w:szCs w:val="22"/>
          <w:lang w:val="en-AU"/>
        </w:rPr>
        <w:t>These efforts led to the November 2016 publication of the Family Matters Report</w:t>
      </w:r>
      <w:r w:rsidR="006F4E3C" w:rsidRPr="00AF329E">
        <w:rPr>
          <w:rFonts w:cs="Times New Roman"/>
          <w:szCs w:val="22"/>
          <w:lang w:val="en-AU"/>
        </w:rPr>
        <w:t xml:space="preserve">. </w:t>
      </w:r>
      <w:r w:rsidRPr="00AF329E">
        <w:rPr>
          <w:rFonts w:cs="Times New Roman"/>
          <w:szCs w:val="22"/>
          <w:lang w:val="en-AU"/>
        </w:rPr>
        <w:t>While the report provided a valuable baseline o</w:t>
      </w:r>
      <w:r w:rsidR="003B09C9" w:rsidRPr="00AF329E">
        <w:rPr>
          <w:rFonts w:cs="Times New Roman"/>
          <w:szCs w:val="22"/>
          <w:lang w:val="en-AU"/>
        </w:rPr>
        <w:t>n</w:t>
      </w:r>
      <w:r w:rsidRPr="00AF329E">
        <w:rPr>
          <w:rFonts w:cs="Times New Roman"/>
          <w:szCs w:val="22"/>
          <w:lang w:val="en-AU"/>
        </w:rPr>
        <w:t xml:space="preserve"> current issues and trends to promote Aboriginal and Torres Strait Islander child safety and well</w:t>
      </w:r>
      <w:r w:rsidR="00291342">
        <w:rPr>
          <w:rFonts w:cs="Times New Roman"/>
          <w:szCs w:val="22"/>
          <w:lang w:val="en-AU"/>
        </w:rPr>
        <w:t>-</w:t>
      </w:r>
      <w:r w:rsidRPr="00AF329E">
        <w:rPr>
          <w:rFonts w:cs="Times New Roman"/>
          <w:szCs w:val="22"/>
          <w:lang w:val="en-AU"/>
        </w:rPr>
        <w:t xml:space="preserve">being, it also revealed </w:t>
      </w:r>
      <w:r w:rsidR="003B09C9" w:rsidRPr="00AF329E">
        <w:rPr>
          <w:rFonts w:cs="Times New Roman"/>
          <w:szCs w:val="22"/>
          <w:lang w:val="en-AU"/>
        </w:rPr>
        <w:t>extensive gaps in available data.</w:t>
      </w:r>
    </w:p>
    <w:p w14:paraId="678E244C" w14:textId="156EB89B" w:rsidR="00381435" w:rsidRPr="00AF329E" w:rsidRDefault="0016754C" w:rsidP="0016754C">
      <w:pPr>
        <w:outlineLvl w:val="0"/>
        <w:rPr>
          <w:lang w:val="en-AU"/>
        </w:rPr>
      </w:pPr>
      <w:r w:rsidRPr="00AF329E">
        <w:rPr>
          <w:lang w:val="en-AU"/>
        </w:rPr>
        <w:t>The lack of comprehensive and detailed data relevant to the situation</w:t>
      </w:r>
      <w:r w:rsidR="00254136">
        <w:rPr>
          <w:lang w:val="en-AU"/>
        </w:rPr>
        <w:t xml:space="preserve"> of</w:t>
      </w:r>
      <w:r w:rsidRPr="00AF329E">
        <w:rPr>
          <w:lang w:val="en-AU"/>
        </w:rPr>
        <w:t>, causes and responses to Aboriginal and Torres Strait Islander children’s over</w:t>
      </w:r>
      <w:r w:rsidR="00450D26">
        <w:rPr>
          <w:lang w:val="en-AU"/>
        </w:rPr>
        <w:t>-</w:t>
      </w:r>
      <w:r w:rsidRPr="00AF329E">
        <w:rPr>
          <w:lang w:val="en-AU"/>
        </w:rPr>
        <w:t xml:space="preserve">representation in </w:t>
      </w:r>
      <w:r w:rsidR="00254136">
        <w:rPr>
          <w:lang w:val="en-AU"/>
        </w:rPr>
        <w:t>out-of-home care (</w:t>
      </w:r>
      <w:r w:rsidRPr="00AF329E">
        <w:rPr>
          <w:lang w:val="en-AU"/>
        </w:rPr>
        <w:t>OOHC</w:t>
      </w:r>
      <w:r w:rsidR="00254136">
        <w:rPr>
          <w:lang w:val="en-AU"/>
        </w:rPr>
        <w:t xml:space="preserve">) </w:t>
      </w:r>
      <w:r w:rsidR="00381435" w:rsidRPr="00AF329E">
        <w:rPr>
          <w:lang w:val="en-AU"/>
        </w:rPr>
        <w:t>should be of great concern to governments. Effective policy making is guided by accurate data and information, and data is also essential to monitor and evaluate the impact and cost effectiveness of policies designed to improve and address the safety and well</w:t>
      </w:r>
      <w:r w:rsidR="00E31BA7">
        <w:rPr>
          <w:lang w:val="en-AU"/>
        </w:rPr>
        <w:t>-</w:t>
      </w:r>
      <w:r w:rsidR="00381435" w:rsidRPr="00AF329E">
        <w:rPr>
          <w:lang w:val="en-AU"/>
        </w:rPr>
        <w:t xml:space="preserve">being of Aboriginal and Torres Strait Islander children. </w:t>
      </w:r>
      <w:r w:rsidR="003E7EDB" w:rsidRPr="00AF329E">
        <w:rPr>
          <w:lang w:val="en-AU"/>
        </w:rPr>
        <w:t xml:space="preserve">The substantial gaps in data relevant to Aboriginal and Torres Strait Islander children’s experience of child welfare systems highlights the potential for serious risks to children including: governments and authorities not being aware of elevated risks to children’s safety; the rights of children to access health, education and justice being compromised; </w:t>
      </w:r>
      <w:r w:rsidR="0063124A" w:rsidRPr="00AF329E">
        <w:rPr>
          <w:lang w:val="en-AU"/>
        </w:rPr>
        <w:t xml:space="preserve">and </w:t>
      </w:r>
      <w:r w:rsidR="003E7EDB" w:rsidRPr="00AF329E">
        <w:rPr>
          <w:lang w:val="en-AU"/>
        </w:rPr>
        <w:t xml:space="preserve">the inadequate and </w:t>
      </w:r>
      <w:r w:rsidR="00F13C7C" w:rsidRPr="00AF329E">
        <w:rPr>
          <w:lang w:val="en-AU"/>
        </w:rPr>
        <w:t>delayed</w:t>
      </w:r>
      <w:r w:rsidR="003E7EDB" w:rsidRPr="00AF329E">
        <w:rPr>
          <w:lang w:val="en-AU"/>
        </w:rPr>
        <w:t xml:space="preserve"> investment of governments in targeted and evidence</w:t>
      </w:r>
      <w:r w:rsidR="00C96DBD">
        <w:rPr>
          <w:lang w:val="en-AU"/>
        </w:rPr>
        <w:t>-</w:t>
      </w:r>
      <w:r w:rsidR="003E7EDB" w:rsidRPr="00AF329E">
        <w:rPr>
          <w:lang w:val="en-AU"/>
        </w:rPr>
        <w:t xml:space="preserve">based solutions to </w:t>
      </w:r>
      <w:r w:rsidR="00F13C7C" w:rsidRPr="00AF329E">
        <w:rPr>
          <w:lang w:val="en-AU"/>
        </w:rPr>
        <w:t>address the chronic situation we are facing today</w:t>
      </w:r>
      <w:r w:rsidR="006F4E3C" w:rsidRPr="00AF329E">
        <w:rPr>
          <w:lang w:val="en-AU"/>
        </w:rPr>
        <w:t>.</w:t>
      </w:r>
    </w:p>
    <w:p w14:paraId="5C3B17F6" w14:textId="27E72DC7" w:rsidR="006028B8" w:rsidRPr="00AF329E" w:rsidRDefault="003B09C9" w:rsidP="006028B8">
      <w:pPr>
        <w:widowControl w:val="0"/>
        <w:autoSpaceDE w:val="0"/>
        <w:autoSpaceDN w:val="0"/>
        <w:adjustRightInd w:val="0"/>
        <w:rPr>
          <w:rFonts w:cs="Times New Roman"/>
          <w:szCs w:val="22"/>
          <w:lang w:val="en-AU"/>
        </w:rPr>
      </w:pPr>
      <w:r w:rsidRPr="00AF329E">
        <w:rPr>
          <w:rFonts w:cs="Times New Roman"/>
          <w:szCs w:val="22"/>
          <w:lang w:val="en-AU"/>
        </w:rPr>
        <w:t xml:space="preserve">A significant </w:t>
      </w:r>
      <w:r w:rsidR="00992952" w:rsidRPr="00AF329E">
        <w:rPr>
          <w:rFonts w:cs="Times New Roman"/>
          <w:szCs w:val="22"/>
          <w:lang w:val="en-AU"/>
        </w:rPr>
        <w:t>investment in data development is needed to</w:t>
      </w:r>
      <w:r w:rsidRPr="00AF329E">
        <w:rPr>
          <w:rFonts w:cs="Times New Roman"/>
          <w:szCs w:val="22"/>
          <w:lang w:val="en-AU"/>
        </w:rPr>
        <w:t xml:space="preserve"> ensure access to a range of relevant data that would inform a better understanding of the</w:t>
      </w:r>
      <w:r w:rsidR="00992952" w:rsidRPr="00AF329E">
        <w:rPr>
          <w:rFonts w:cs="Times New Roman"/>
          <w:szCs w:val="22"/>
          <w:lang w:val="en-AU"/>
        </w:rPr>
        <w:t xml:space="preserve"> </w:t>
      </w:r>
      <w:r w:rsidRPr="00AF329E">
        <w:rPr>
          <w:rFonts w:cs="Times New Roman"/>
          <w:szCs w:val="22"/>
          <w:lang w:val="en-AU"/>
        </w:rPr>
        <w:t>current situation of over-representation, the progress towards reform and the targeting of future efforts</w:t>
      </w:r>
      <w:r w:rsidR="006F4E3C" w:rsidRPr="00AF329E">
        <w:rPr>
          <w:rFonts w:cs="Times New Roman"/>
          <w:szCs w:val="22"/>
          <w:lang w:val="en-AU"/>
        </w:rPr>
        <w:t xml:space="preserve">. </w:t>
      </w:r>
      <w:r w:rsidRPr="00AF329E">
        <w:rPr>
          <w:rFonts w:cs="Times New Roman"/>
          <w:szCs w:val="22"/>
          <w:lang w:val="en-AU"/>
        </w:rPr>
        <w:t>D</w:t>
      </w:r>
      <w:r w:rsidR="006028B8" w:rsidRPr="00AF329E">
        <w:rPr>
          <w:rFonts w:cs="Times New Roman"/>
          <w:szCs w:val="22"/>
          <w:lang w:val="en-AU"/>
        </w:rPr>
        <w:t>ata development should take account of identified gaps throughout the 2016 Family Matters Report</w:t>
      </w:r>
      <w:r w:rsidRPr="00AF329E">
        <w:rPr>
          <w:rFonts w:cs="Times New Roman"/>
          <w:szCs w:val="22"/>
          <w:lang w:val="en-AU"/>
        </w:rPr>
        <w:t xml:space="preserve"> </w:t>
      </w:r>
      <w:r w:rsidR="00E223B2">
        <w:rPr>
          <w:rFonts w:cs="Times New Roman"/>
          <w:szCs w:val="22"/>
          <w:lang w:val="en-AU"/>
        </w:rPr>
        <w:t>that</w:t>
      </w:r>
      <w:r w:rsidR="00E223B2" w:rsidRPr="00AF329E">
        <w:rPr>
          <w:rFonts w:cs="Times New Roman"/>
          <w:szCs w:val="22"/>
          <w:lang w:val="en-AU"/>
        </w:rPr>
        <w:t xml:space="preserve"> </w:t>
      </w:r>
      <w:r w:rsidRPr="00AF329E">
        <w:rPr>
          <w:rFonts w:cs="Times New Roman"/>
          <w:szCs w:val="22"/>
          <w:lang w:val="en-AU"/>
        </w:rPr>
        <w:t>have been mapped against the evidence</w:t>
      </w:r>
      <w:r w:rsidR="00E223B2">
        <w:rPr>
          <w:rFonts w:cs="Times New Roman"/>
          <w:szCs w:val="22"/>
          <w:lang w:val="en-AU"/>
        </w:rPr>
        <w:t>-</w:t>
      </w:r>
      <w:r w:rsidRPr="00AF329E">
        <w:rPr>
          <w:rFonts w:cs="Times New Roman"/>
          <w:szCs w:val="22"/>
          <w:lang w:val="en-AU"/>
        </w:rPr>
        <w:t xml:space="preserve">based </w:t>
      </w:r>
      <w:r w:rsidR="004662F5" w:rsidRPr="00AF329E">
        <w:rPr>
          <w:rFonts w:cs="Times New Roman"/>
          <w:szCs w:val="22"/>
          <w:lang w:val="en-AU"/>
        </w:rPr>
        <w:t>building blocks to addressing over-representation</w:t>
      </w:r>
      <w:r w:rsidRPr="00AF329E">
        <w:rPr>
          <w:rFonts w:cs="Times New Roman"/>
          <w:szCs w:val="22"/>
          <w:lang w:val="en-AU"/>
        </w:rPr>
        <w:t xml:space="preserve"> outlined in the </w:t>
      </w:r>
      <w:r w:rsidRPr="00AF329E">
        <w:rPr>
          <w:rFonts w:cs="Times New Roman"/>
          <w:i/>
          <w:szCs w:val="22"/>
          <w:lang w:val="en-AU"/>
        </w:rPr>
        <w:t>Family Matters Roadmap</w:t>
      </w:r>
      <w:r w:rsidR="006028B8" w:rsidRPr="00AF329E">
        <w:rPr>
          <w:rFonts w:cs="Times New Roman"/>
          <w:szCs w:val="22"/>
          <w:lang w:val="en-AU"/>
        </w:rPr>
        <w:t>. In particular, there should be a priority to ensure the following priority data gaps are redressed and reported against in the Productivity Commission’s annual Report on Government Service, the AIHW Child Protection Australia Report, and/or the Overcoming Indigenous Disadvantage Report:</w:t>
      </w:r>
    </w:p>
    <w:p w14:paraId="62133053" w14:textId="77777777" w:rsidR="006028B8" w:rsidRPr="00AF329E" w:rsidRDefault="006028B8" w:rsidP="006028B8">
      <w:pPr>
        <w:pStyle w:val="ListParagraph"/>
        <w:widowControl w:val="0"/>
        <w:numPr>
          <w:ilvl w:val="0"/>
          <w:numId w:val="10"/>
        </w:numPr>
        <w:autoSpaceDE w:val="0"/>
        <w:autoSpaceDN w:val="0"/>
        <w:adjustRightInd w:val="0"/>
        <w:rPr>
          <w:rFonts w:cs="Times New Roman"/>
          <w:szCs w:val="22"/>
          <w:lang w:val="en-AU"/>
        </w:rPr>
      </w:pPr>
      <w:r w:rsidRPr="00AF329E">
        <w:rPr>
          <w:rFonts w:cs="Times New Roman"/>
          <w:szCs w:val="22"/>
          <w:lang w:val="en-AU"/>
        </w:rPr>
        <w:t>Reunification rates of Aboriginal and Torres Strait Islander children in OOHC;</w:t>
      </w:r>
    </w:p>
    <w:p w14:paraId="1531D8F1" w14:textId="77777777" w:rsidR="006028B8" w:rsidRPr="00AF329E" w:rsidRDefault="006028B8" w:rsidP="006028B8">
      <w:pPr>
        <w:pStyle w:val="ListParagraph"/>
        <w:widowControl w:val="0"/>
        <w:numPr>
          <w:ilvl w:val="0"/>
          <w:numId w:val="10"/>
        </w:numPr>
        <w:autoSpaceDE w:val="0"/>
        <w:autoSpaceDN w:val="0"/>
        <w:adjustRightInd w:val="0"/>
        <w:rPr>
          <w:rFonts w:cs="Times New Roman"/>
          <w:szCs w:val="22"/>
          <w:lang w:val="en-AU"/>
        </w:rPr>
      </w:pPr>
      <w:r w:rsidRPr="00AF329E">
        <w:rPr>
          <w:rFonts w:cs="Times New Roman"/>
          <w:szCs w:val="22"/>
          <w:lang w:val="en-AU"/>
        </w:rPr>
        <w:t>Aboriginal and Torres Strait Islander child entry and re-entry to OOHC;</w:t>
      </w:r>
    </w:p>
    <w:p w14:paraId="345C4189" w14:textId="77777777" w:rsidR="006028B8" w:rsidRPr="00AF329E" w:rsidRDefault="006028B8" w:rsidP="006028B8">
      <w:pPr>
        <w:pStyle w:val="ListParagraph"/>
        <w:widowControl w:val="0"/>
        <w:numPr>
          <w:ilvl w:val="0"/>
          <w:numId w:val="10"/>
        </w:numPr>
        <w:autoSpaceDE w:val="0"/>
        <w:autoSpaceDN w:val="0"/>
        <w:adjustRightInd w:val="0"/>
        <w:rPr>
          <w:rFonts w:cs="Times New Roman"/>
          <w:szCs w:val="22"/>
          <w:lang w:val="en-AU"/>
        </w:rPr>
      </w:pPr>
      <w:r w:rsidRPr="00AF329E">
        <w:rPr>
          <w:rFonts w:cs="Times New Roman"/>
          <w:szCs w:val="22"/>
          <w:lang w:val="en-AU"/>
        </w:rPr>
        <w:t>Inclusion of access to long day care under the Budget Based Funding Program in early childhood education and care data;</w:t>
      </w:r>
    </w:p>
    <w:p w14:paraId="524AF026" w14:textId="77777777" w:rsidR="006028B8" w:rsidRPr="00AF329E" w:rsidRDefault="006028B8" w:rsidP="006028B8">
      <w:pPr>
        <w:pStyle w:val="ListParagraph"/>
        <w:widowControl w:val="0"/>
        <w:numPr>
          <w:ilvl w:val="0"/>
          <w:numId w:val="10"/>
        </w:numPr>
        <w:autoSpaceDE w:val="0"/>
        <w:autoSpaceDN w:val="0"/>
        <w:adjustRightInd w:val="0"/>
        <w:rPr>
          <w:rFonts w:cs="Times New Roman"/>
          <w:szCs w:val="22"/>
          <w:lang w:val="en-AU"/>
        </w:rPr>
      </w:pPr>
      <w:r w:rsidRPr="00AF329E">
        <w:rPr>
          <w:rFonts w:cs="Times New Roman"/>
          <w:szCs w:val="22"/>
          <w:lang w:val="en-AU"/>
        </w:rPr>
        <w:t>Expenditure in child protection and family support both provided to Aboriginal and Torres Strait Islander children and provided by community-controlled services;</w:t>
      </w:r>
    </w:p>
    <w:p w14:paraId="1FEBB14E" w14:textId="77777777" w:rsidR="006028B8" w:rsidRPr="00AF329E" w:rsidRDefault="006028B8" w:rsidP="006028B8">
      <w:pPr>
        <w:pStyle w:val="ListParagraph"/>
        <w:widowControl w:val="0"/>
        <w:numPr>
          <w:ilvl w:val="0"/>
          <w:numId w:val="10"/>
        </w:numPr>
        <w:autoSpaceDE w:val="0"/>
        <w:autoSpaceDN w:val="0"/>
        <w:adjustRightInd w:val="0"/>
        <w:rPr>
          <w:rFonts w:cs="Times New Roman"/>
          <w:szCs w:val="22"/>
          <w:lang w:val="en-AU"/>
        </w:rPr>
      </w:pPr>
      <w:r w:rsidRPr="00AF329E">
        <w:rPr>
          <w:rFonts w:cs="Times New Roman"/>
          <w:szCs w:val="22"/>
          <w:lang w:val="en-AU"/>
        </w:rPr>
        <w:t>Aboriginal and Torres Strait Islander access to family support and intensive family support services;</w:t>
      </w:r>
    </w:p>
    <w:p w14:paraId="2FFDCC76" w14:textId="77777777" w:rsidR="006028B8" w:rsidRPr="00AF329E" w:rsidRDefault="006028B8" w:rsidP="006028B8">
      <w:pPr>
        <w:pStyle w:val="ListParagraph"/>
        <w:widowControl w:val="0"/>
        <w:numPr>
          <w:ilvl w:val="0"/>
          <w:numId w:val="10"/>
        </w:numPr>
        <w:autoSpaceDE w:val="0"/>
        <w:autoSpaceDN w:val="0"/>
        <w:adjustRightInd w:val="0"/>
        <w:rPr>
          <w:rFonts w:cs="Times New Roman"/>
          <w:szCs w:val="22"/>
          <w:lang w:val="en-AU"/>
        </w:rPr>
      </w:pPr>
      <w:r w:rsidRPr="00AF329E">
        <w:rPr>
          <w:rFonts w:cs="Times New Roman"/>
          <w:szCs w:val="22"/>
          <w:lang w:val="en-AU"/>
        </w:rPr>
        <w:t>The rate of domestic and family violence reports and substantiations across all jurisdictions and by remoteness for Aboriginal and Torres Strait Islander women and children;</w:t>
      </w:r>
    </w:p>
    <w:p w14:paraId="36999D84" w14:textId="77777777" w:rsidR="006028B8" w:rsidRPr="00AF329E" w:rsidRDefault="006028B8" w:rsidP="006028B8">
      <w:pPr>
        <w:pStyle w:val="ListParagraph"/>
        <w:widowControl w:val="0"/>
        <w:numPr>
          <w:ilvl w:val="0"/>
          <w:numId w:val="10"/>
        </w:numPr>
        <w:autoSpaceDE w:val="0"/>
        <w:autoSpaceDN w:val="0"/>
        <w:adjustRightInd w:val="0"/>
        <w:rPr>
          <w:rFonts w:cs="Times New Roman"/>
          <w:szCs w:val="22"/>
          <w:lang w:val="en-AU"/>
        </w:rPr>
      </w:pPr>
      <w:r w:rsidRPr="00AF329E">
        <w:rPr>
          <w:rFonts w:cs="Times New Roman"/>
          <w:szCs w:val="22"/>
          <w:lang w:val="en-AU"/>
        </w:rPr>
        <w:t>Nationally consistent measures of compliance with the Aboriginal and Torres Strait Islander Child Placement Principle aligned with its intent and five distinct elements;</w:t>
      </w:r>
    </w:p>
    <w:p w14:paraId="3E3C91D7" w14:textId="77777777" w:rsidR="006028B8" w:rsidRPr="00AF329E" w:rsidRDefault="006028B8" w:rsidP="006028B8">
      <w:pPr>
        <w:pStyle w:val="ListParagraph"/>
        <w:widowControl w:val="0"/>
        <w:numPr>
          <w:ilvl w:val="0"/>
          <w:numId w:val="10"/>
        </w:numPr>
        <w:autoSpaceDE w:val="0"/>
        <w:autoSpaceDN w:val="0"/>
        <w:adjustRightInd w:val="0"/>
        <w:rPr>
          <w:rFonts w:cs="Times New Roman"/>
          <w:szCs w:val="22"/>
          <w:lang w:val="en-AU"/>
        </w:rPr>
      </w:pPr>
      <w:r w:rsidRPr="00AF329E">
        <w:rPr>
          <w:rFonts w:cs="Times New Roman"/>
          <w:szCs w:val="22"/>
          <w:lang w:val="en-AU"/>
        </w:rPr>
        <w:t>Housing tenure type and quality of housing amongst Aboriginal and Torres Strait Islander families with children; and</w:t>
      </w:r>
    </w:p>
    <w:p w14:paraId="34B3CA7C" w14:textId="77777777" w:rsidR="006028B8" w:rsidRPr="00AF329E" w:rsidRDefault="006028B8" w:rsidP="006028B8">
      <w:pPr>
        <w:pStyle w:val="ListParagraph"/>
        <w:widowControl w:val="0"/>
        <w:numPr>
          <w:ilvl w:val="0"/>
          <w:numId w:val="10"/>
        </w:numPr>
        <w:autoSpaceDE w:val="0"/>
        <w:autoSpaceDN w:val="0"/>
        <w:adjustRightInd w:val="0"/>
        <w:rPr>
          <w:rFonts w:cs="Times New Roman"/>
          <w:szCs w:val="22"/>
          <w:lang w:val="en-AU"/>
        </w:rPr>
      </w:pPr>
      <w:r w:rsidRPr="00AF329E">
        <w:rPr>
          <w:rFonts w:cs="Times New Roman"/>
          <w:szCs w:val="22"/>
          <w:lang w:val="en-AU"/>
        </w:rPr>
        <w:t>Homelessness and issues relating to housing and overcrowding experienced by Aboriginal and Torres Strait Islander children and their families involved with child protection.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D0CD" w:themeFill="accent1" w:themeFillTint="33"/>
        <w:tblLook w:val="04A0" w:firstRow="1" w:lastRow="0" w:firstColumn="1" w:lastColumn="0" w:noHBand="0" w:noVBand="1"/>
      </w:tblPr>
      <w:tblGrid>
        <w:gridCol w:w="8516"/>
      </w:tblGrid>
      <w:tr w:rsidR="00A84BF8" w:rsidRPr="00AF329E" w14:paraId="35DBA956" w14:textId="77777777" w:rsidTr="00A84BF8">
        <w:tc>
          <w:tcPr>
            <w:tcW w:w="8516" w:type="dxa"/>
            <w:shd w:val="clear" w:color="auto" w:fill="F1D0CD" w:themeFill="accent1" w:themeFillTint="33"/>
          </w:tcPr>
          <w:p w14:paraId="0DAA10FD" w14:textId="1BE9B794" w:rsidR="00A84BF8" w:rsidRPr="00AF329E" w:rsidRDefault="00A84BF8" w:rsidP="00A84BF8">
            <w:pPr>
              <w:pStyle w:val="Heading4"/>
              <w:outlineLvl w:val="3"/>
              <w:rPr>
                <w:lang w:val="en-AU"/>
              </w:rPr>
            </w:pPr>
            <w:r w:rsidRPr="00AF329E">
              <w:rPr>
                <w:lang w:val="en-AU"/>
              </w:rPr>
              <w:t>Recommendation</w:t>
            </w:r>
            <w:r w:rsidR="00445409" w:rsidRPr="00AF329E">
              <w:rPr>
                <w:lang w:val="en-AU"/>
              </w:rPr>
              <w:t xml:space="preserve"> 5</w:t>
            </w:r>
            <w:r w:rsidRPr="00AF329E">
              <w:rPr>
                <w:lang w:val="en-AU"/>
              </w:rPr>
              <w:t>:</w:t>
            </w:r>
          </w:p>
          <w:p w14:paraId="3F5C21E2" w14:textId="34EE0CF0" w:rsidR="00A84BF8" w:rsidRPr="00AF329E" w:rsidRDefault="00A84BF8" w:rsidP="00A84BF8">
            <w:pPr>
              <w:ind w:left="360"/>
              <w:rPr>
                <w:lang w:val="en-AU"/>
              </w:rPr>
            </w:pPr>
            <w:r w:rsidRPr="00AF329E">
              <w:rPr>
                <w:lang w:val="en-AU"/>
              </w:rPr>
              <w:t>Development and publication of data to better measure the situation of, causes and responses to over-representation of Aboriginal and Torres Strait Islander children. A data development project could be led by either the Productivity Commission or the Australian Institute of Health and Welfare which both report annually on a number of relevant existing data sets.</w:t>
            </w:r>
          </w:p>
          <w:p w14:paraId="38E6B7D8" w14:textId="77777777" w:rsidR="00A84BF8" w:rsidRPr="00AF329E" w:rsidRDefault="00A84BF8" w:rsidP="00A84BF8">
            <w:pPr>
              <w:pStyle w:val="Heading6"/>
              <w:outlineLvl w:val="5"/>
              <w:rPr>
                <w:lang w:val="en-AU"/>
              </w:rPr>
            </w:pPr>
            <w:r w:rsidRPr="00AF329E">
              <w:rPr>
                <w:lang w:val="en-AU"/>
              </w:rPr>
              <w:t xml:space="preserve">Budget impact: </w:t>
            </w:r>
          </w:p>
          <w:p w14:paraId="1F4BB140" w14:textId="3A450453" w:rsidR="00A84BF8" w:rsidRPr="00AF329E" w:rsidRDefault="00A84BF8" w:rsidP="00A84BF8">
            <w:pPr>
              <w:ind w:left="360"/>
              <w:rPr>
                <w:lang w:val="en-AU"/>
              </w:rPr>
            </w:pPr>
            <w:r w:rsidRPr="00AF329E">
              <w:rPr>
                <w:lang w:val="en-AU"/>
              </w:rPr>
              <w:t>Nil – This measure could be implemented through reallocation of priorities of the agency completing the data development project.</w:t>
            </w:r>
          </w:p>
        </w:tc>
      </w:tr>
    </w:tbl>
    <w:p w14:paraId="02564DE0" w14:textId="77777777" w:rsidR="00A84BF8" w:rsidRPr="00AF329E" w:rsidRDefault="00A84BF8" w:rsidP="00A84BF8">
      <w:pPr>
        <w:widowControl w:val="0"/>
        <w:autoSpaceDE w:val="0"/>
        <w:autoSpaceDN w:val="0"/>
        <w:adjustRightInd w:val="0"/>
        <w:rPr>
          <w:rFonts w:cs="Times New Roman"/>
          <w:szCs w:val="22"/>
          <w:lang w:val="en-AU"/>
        </w:rPr>
      </w:pPr>
    </w:p>
    <w:p w14:paraId="1494F571" w14:textId="4A2D680A" w:rsidR="00F227A4" w:rsidRPr="00AF329E" w:rsidRDefault="00F227A4" w:rsidP="00F227A4">
      <w:pPr>
        <w:pStyle w:val="Heading3"/>
        <w:rPr>
          <w:sz w:val="28"/>
          <w:szCs w:val="28"/>
          <w:lang w:val="en-AU"/>
        </w:rPr>
      </w:pPr>
      <w:r w:rsidRPr="00AF329E">
        <w:rPr>
          <w:sz w:val="28"/>
          <w:szCs w:val="28"/>
          <w:lang w:val="en-AU"/>
        </w:rPr>
        <w:t>5. Community participation in child protection decision making trials</w:t>
      </w:r>
    </w:p>
    <w:p w14:paraId="56416CC4" w14:textId="39293BE2" w:rsidR="00AE641F" w:rsidRPr="00AF329E" w:rsidRDefault="00F227A4" w:rsidP="00F227A4">
      <w:pPr>
        <w:rPr>
          <w:lang w:val="en-AU"/>
        </w:rPr>
      </w:pPr>
      <w:r w:rsidRPr="00AF329E">
        <w:rPr>
          <w:lang w:val="en-AU"/>
        </w:rPr>
        <w:t>Shifting practice</w:t>
      </w:r>
      <w:r w:rsidR="007E5C92">
        <w:rPr>
          <w:lang w:val="en-AU"/>
        </w:rPr>
        <w:t xml:space="preserve"> –</w:t>
      </w:r>
      <w:r w:rsidRPr="00AF329E">
        <w:rPr>
          <w:lang w:val="en-AU"/>
        </w:rPr>
        <w:t xml:space="preserve"> from service delivery responses that echo historical government interventions, to the empowerment of Aboriginal and Torres Strait Islander people to drive the agenda </w:t>
      </w:r>
      <w:r w:rsidR="00A607FA" w:rsidRPr="00AF329E">
        <w:rPr>
          <w:lang w:val="en-AU"/>
        </w:rPr>
        <w:t>through</w:t>
      </w:r>
      <w:r w:rsidRPr="00AF329E">
        <w:rPr>
          <w:lang w:val="en-AU"/>
        </w:rPr>
        <w:t xml:space="preserve"> community</w:t>
      </w:r>
      <w:r w:rsidR="00A607FA" w:rsidRPr="00AF329E">
        <w:rPr>
          <w:lang w:val="en-AU"/>
        </w:rPr>
        <w:t xml:space="preserve">-led </w:t>
      </w:r>
      <w:r w:rsidRPr="00AF329E">
        <w:rPr>
          <w:lang w:val="en-AU"/>
        </w:rPr>
        <w:t>approaches</w:t>
      </w:r>
      <w:r w:rsidR="00A607FA" w:rsidRPr="00AF329E">
        <w:rPr>
          <w:lang w:val="en-AU"/>
        </w:rPr>
        <w:t xml:space="preserve"> </w:t>
      </w:r>
      <w:r w:rsidR="007E5C92">
        <w:rPr>
          <w:lang w:val="en-AU"/>
        </w:rPr>
        <w:t xml:space="preserve">– </w:t>
      </w:r>
      <w:r w:rsidR="00A607FA" w:rsidRPr="00AF329E">
        <w:rPr>
          <w:lang w:val="en-AU"/>
        </w:rPr>
        <w:t xml:space="preserve">is critical </w:t>
      </w:r>
      <w:r w:rsidRPr="00AF329E">
        <w:rPr>
          <w:lang w:val="en-AU"/>
        </w:rPr>
        <w:t>to</w:t>
      </w:r>
      <w:r w:rsidR="00A607FA" w:rsidRPr="00AF329E">
        <w:rPr>
          <w:lang w:val="en-AU"/>
        </w:rPr>
        <w:t xml:space="preserve"> sustainable change for</w:t>
      </w:r>
      <w:r w:rsidRPr="00AF329E">
        <w:rPr>
          <w:lang w:val="en-AU"/>
        </w:rPr>
        <w:t xml:space="preserve"> child safety and well</w:t>
      </w:r>
      <w:r w:rsidR="007E5C92">
        <w:rPr>
          <w:lang w:val="en-AU"/>
        </w:rPr>
        <w:t>-</w:t>
      </w:r>
      <w:r w:rsidRPr="00AF329E">
        <w:rPr>
          <w:lang w:val="en-AU"/>
        </w:rPr>
        <w:t xml:space="preserve">being. </w:t>
      </w:r>
      <w:r w:rsidR="00AE641F" w:rsidRPr="00AF329E">
        <w:rPr>
          <w:lang w:val="en-AU"/>
        </w:rPr>
        <w:t>Many of the challenges communities face in providing safe care for their children have their roots in the historical loss of culture and control</w:t>
      </w:r>
      <w:r w:rsidR="009119EC" w:rsidRPr="00AF329E">
        <w:rPr>
          <w:lang w:val="en-AU"/>
        </w:rPr>
        <w:t>, and the resulting experiences of trauma and disadvantage that are passed from one generation to the next</w:t>
      </w:r>
      <w:r w:rsidR="006F4E3C" w:rsidRPr="00AF329E">
        <w:rPr>
          <w:lang w:val="en-AU"/>
        </w:rPr>
        <w:t xml:space="preserve">. </w:t>
      </w:r>
      <w:r w:rsidR="00AE641F" w:rsidRPr="00AF329E">
        <w:rPr>
          <w:lang w:val="en-AU"/>
        </w:rPr>
        <w:t>As such, these issues can only be addressed by returning responsibility and leadership to Aboriginal and Torres Strait Islander people to create and provide safe and nurturing families and communities for their children</w:t>
      </w:r>
      <w:r w:rsidR="006F4E3C" w:rsidRPr="00AF329E">
        <w:rPr>
          <w:lang w:val="en-AU"/>
        </w:rPr>
        <w:t xml:space="preserve">. </w:t>
      </w:r>
      <w:r w:rsidR="00AE641F" w:rsidRPr="00AF329E">
        <w:rPr>
          <w:lang w:val="en-AU"/>
        </w:rPr>
        <w:t xml:space="preserve">To enable this to occur the Australian Government needs to foster community leadership </w:t>
      </w:r>
      <w:r w:rsidR="009119EC" w:rsidRPr="00AF329E">
        <w:rPr>
          <w:lang w:val="en-AU"/>
        </w:rPr>
        <w:t>on matters of</w:t>
      </w:r>
      <w:r w:rsidR="00AE641F" w:rsidRPr="00AF329E">
        <w:rPr>
          <w:lang w:val="en-AU"/>
        </w:rPr>
        <w:t xml:space="preserve"> child </w:t>
      </w:r>
      <w:r w:rsidR="009119EC" w:rsidRPr="00AF329E">
        <w:rPr>
          <w:lang w:val="en-AU"/>
        </w:rPr>
        <w:t>safety and well</w:t>
      </w:r>
      <w:r w:rsidR="003B2968">
        <w:rPr>
          <w:lang w:val="en-AU"/>
        </w:rPr>
        <w:t>-</w:t>
      </w:r>
      <w:r w:rsidR="009119EC" w:rsidRPr="00AF329E">
        <w:rPr>
          <w:lang w:val="en-AU"/>
        </w:rPr>
        <w:t>being</w:t>
      </w:r>
      <w:r w:rsidR="006F4E3C" w:rsidRPr="00AF329E">
        <w:rPr>
          <w:lang w:val="en-AU"/>
        </w:rPr>
        <w:t xml:space="preserve">. </w:t>
      </w:r>
      <w:r w:rsidR="009119EC" w:rsidRPr="00AF329E">
        <w:rPr>
          <w:lang w:val="en-AU"/>
        </w:rPr>
        <w:t>While other sections of the submission call for services that address immediate support needs for families, this section calls for the community empowerment that will make family changes sustainable in the context of supportive and thriving communities.</w:t>
      </w:r>
    </w:p>
    <w:p w14:paraId="050D04D7" w14:textId="77777777" w:rsidR="000F6031" w:rsidRPr="00AF329E" w:rsidRDefault="000F6031" w:rsidP="00F227A4">
      <w:pPr>
        <w:rPr>
          <w:lang w:val="en-AU"/>
        </w:rPr>
      </w:pPr>
    </w:p>
    <w:p w14:paraId="5F7F6367" w14:textId="6AD3EFDA" w:rsidR="000F6031" w:rsidRPr="00AF329E" w:rsidRDefault="000F6031" w:rsidP="00F227A4">
      <w:pPr>
        <w:rPr>
          <w:lang w:val="en-AU"/>
        </w:rPr>
      </w:pPr>
      <w:r w:rsidRPr="00AF329E">
        <w:rPr>
          <w:lang w:val="en-AU"/>
        </w:rPr>
        <w:t xml:space="preserve">A strong base of </w:t>
      </w:r>
      <w:r w:rsidR="00F37412" w:rsidRPr="00AF329E">
        <w:rPr>
          <w:lang w:val="en-AU"/>
        </w:rPr>
        <w:t>capacity</w:t>
      </w:r>
      <w:r w:rsidRPr="00AF329E">
        <w:rPr>
          <w:lang w:val="en-AU"/>
        </w:rPr>
        <w:t xml:space="preserve"> to care for and support children remains the dominant paradigm in Aboriginal and Torres Strait Islander</w:t>
      </w:r>
      <w:r w:rsidR="00765CBC" w:rsidRPr="00AF329E">
        <w:rPr>
          <w:lang w:val="en-AU"/>
        </w:rPr>
        <w:t xml:space="preserve"> culture and</w:t>
      </w:r>
      <w:r w:rsidRPr="00AF329E">
        <w:rPr>
          <w:lang w:val="en-AU"/>
        </w:rPr>
        <w:t xml:space="preserve"> communities</w:t>
      </w:r>
      <w:r w:rsidR="00F37412" w:rsidRPr="00AF329E">
        <w:rPr>
          <w:lang w:val="en-AU"/>
        </w:rPr>
        <w:t xml:space="preserve">, </w:t>
      </w:r>
      <w:r w:rsidR="00765CBC" w:rsidRPr="00AF329E">
        <w:rPr>
          <w:lang w:val="en-AU"/>
        </w:rPr>
        <w:t>indicating a clear pathway for community and culturally based safe care</w:t>
      </w:r>
      <w:r w:rsidR="006F4E3C" w:rsidRPr="00AF329E">
        <w:rPr>
          <w:lang w:val="en-AU"/>
        </w:rPr>
        <w:t xml:space="preserve">. </w:t>
      </w:r>
      <w:r w:rsidR="005431DB" w:rsidRPr="00AF329E">
        <w:rPr>
          <w:lang w:val="en-AU"/>
        </w:rPr>
        <w:t>The cultural strengths of Aboriginal and Torres Strait Islande</w:t>
      </w:r>
      <w:r w:rsidR="00F37412" w:rsidRPr="00AF329E">
        <w:rPr>
          <w:lang w:val="en-AU"/>
        </w:rPr>
        <w:t>r</w:t>
      </w:r>
      <w:r w:rsidR="005431DB" w:rsidRPr="00AF329E">
        <w:rPr>
          <w:lang w:val="en-AU"/>
        </w:rPr>
        <w:t xml:space="preserve"> child rearing practices contribute to create safe and nurturing environments for children – indeed, the literature has recognised the value of Indigenous kin and community systems that provide holistic care for children.</w:t>
      </w:r>
      <w:r w:rsidR="000C73D3" w:rsidRPr="00AF329E">
        <w:rPr>
          <w:rStyle w:val="EndnoteReference"/>
          <w:lang w:val="en-AU"/>
        </w:rPr>
        <w:endnoteReference w:id="37"/>
      </w:r>
      <w:r w:rsidR="00765CBC" w:rsidRPr="00AF329E">
        <w:rPr>
          <w:lang w:val="en-AU"/>
        </w:rPr>
        <w:t xml:space="preserve"> </w:t>
      </w:r>
      <w:r w:rsidR="00F37412" w:rsidRPr="00AF329E">
        <w:rPr>
          <w:lang w:val="en-AU"/>
        </w:rPr>
        <w:t>Also, d</w:t>
      </w:r>
      <w:r w:rsidR="009406CA" w:rsidRPr="00AF329E">
        <w:rPr>
          <w:lang w:val="en-AU"/>
        </w:rPr>
        <w:t>espite the over-representation of Aboriginal and Torres Strait Islander children in out-of-home care, almost 95</w:t>
      </w:r>
      <w:r w:rsidR="002D228B">
        <w:rPr>
          <w:lang w:val="en-AU"/>
        </w:rPr>
        <w:t xml:space="preserve"> per cent</w:t>
      </w:r>
      <w:r w:rsidR="009406CA" w:rsidRPr="00AF329E">
        <w:rPr>
          <w:lang w:val="en-AU"/>
        </w:rPr>
        <w:t xml:space="preserve"> of Aboriginal and Torres Strait Islander children are cared for by their families and communities, and of those in care, just over half</w:t>
      </w:r>
      <w:r w:rsidR="005431DB" w:rsidRPr="00AF329E">
        <w:rPr>
          <w:lang w:val="en-AU"/>
        </w:rPr>
        <w:t xml:space="preserve"> are care</w:t>
      </w:r>
      <w:r w:rsidR="00957E19">
        <w:rPr>
          <w:lang w:val="en-AU"/>
        </w:rPr>
        <w:t>d</w:t>
      </w:r>
      <w:r w:rsidR="005431DB" w:rsidRPr="00AF329E">
        <w:rPr>
          <w:lang w:val="en-AU"/>
        </w:rPr>
        <w:t xml:space="preserve"> for by Aboriginal and Torres Strait Islander carers</w:t>
      </w:r>
      <w:r w:rsidR="00F37412" w:rsidRPr="00AF329E">
        <w:rPr>
          <w:lang w:val="en-AU"/>
        </w:rPr>
        <w:t>,</w:t>
      </w:r>
      <w:r w:rsidR="0063124A" w:rsidRPr="00AF329E">
        <w:rPr>
          <w:rStyle w:val="EndnoteReference"/>
          <w:lang w:val="en-AU"/>
        </w:rPr>
        <w:endnoteReference w:id="38"/>
      </w:r>
      <w:r w:rsidR="00F37412" w:rsidRPr="00AF329E">
        <w:rPr>
          <w:lang w:val="en-AU"/>
        </w:rPr>
        <w:t xml:space="preserve"> indicating the enormous degree of successful care provided by Aboriginal and Torres Strait Islander people</w:t>
      </w:r>
      <w:r w:rsidR="006F4E3C" w:rsidRPr="00AF329E">
        <w:rPr>
          <w:lang w:val="en-AU"/>
        </w:rPr>
        <w:t>.</w:t>
      </w:r>
    </w:p>
    <w:p w14:paraId="58035805" w14:textId="77777777" w:rsidR="00AE641F" w:rsidRPr="00AF329E" w:rsidRDefault="00AE641F" w:rsidP="00F227A4">
      <w:pPr>
        <w:rPr>
          <w:lang w:val="en-AU"/>
        </w:rPr>
      </w:pPr>
    </w:p>
    <w:p w14:paraId="311F5719" w14:textId="5FA55FC0" w:rsidR="006D7C7D" w:rsidRPr="00AF329E" w:rsidRDefault="00F227A4" w:rsidP="006D7C7D">
      <w:pPr>
        <w:rPr>
          <w:lang w:val="en-AU"/>
        </w:rPr>
      </w:pPr>
      <w:r w:rsidRPr="00AF329E">
        <w:rPr>
          <w:lang w:val="en-AU"/>
        </w:rPr>
        <w:t xml:space="preserve">Australian and international evidence has confirmed </w:t>
      </w:r>
      <w:r w:rsidR="0063124A" w:rsidRPr="00AF329E">
        <w:rPr>
          <w:lang w:val="en-AU"/>
        </w:rPr>
        <w:t xml:space="preserve">the effectiveness of Indigenous </w:t>
      </w:r>
      <w:r w:rsidRPr="00AF329E">
        <w:rPr>
          <w:lang w:val="en-AU"/>
        </w:rPr>
        <w:t>le</w:t>
      </w:r>
      <w:r w:rsidR="00AE641F" w:rsidRPr="00AF329E">
        <w:rPr>
          <w:lang w:val="en-AU"/>
        </w:rPr>
        <w:t>a</w:t>
      </w:r>
      <w:r w:rsidRPr="00AF329E">
        <w:rPr>
          <w:lang w:val="en-AU"/>
        </w:rPr>
        <w:t>d</w:t>
      </w:r>
      <w:r w:rsidR="00AE641F" w:rsidRPr="00AF329E">
        <w:rPr>
          <w:lang w:val="en-AU"/>
        </w:rPr>
        <w:t>ership</w:t>
      </w:r>
      <w:r w:rsidRPr="00AF329E">
        <w:rPr>
          <w:lang w:val="en-AU"/>
        </w:rPr>
        <w:t xml:space="preserve"> </w:t>
      </w:r>
      <w:r w:rsidR="00AE641F" w:rsidRPr="00AF329E">
        <w:rPr>
          <w:lang w:val="en-AU"/>
        </w:rPr>
        <w:t>to identify needs and shape responses that consistently produce</w:t>
      </w:r>
      <w:r w:rsidRPr="00AF329E">
        <w:rPr>
          <w:lang w:val="en-AU"/>
        </w:rPr>
        <w:t xml:space="preserve"> better results,</w:t>
      </w:r>
      <w:r w:rsidR="002D506D" w:rsidRPr="00AF329E">
        <w:rPr>
          <w:rStyle w:val="EndnoteReference"/>
          <w:lang w:val="en-AU"/>
        </w:rPr>
        <w:endnoteReference w:id="39"/>
      </w:r>
      <w:r w:rsidR="002D506D" w:rsidRPr="00AF329E">
        <w:rPr>
          <w:lang w:val="en-AU"/>
        </w:rPr>
        <w:t xml:space="preserve"> and has linked Indigenous community empowerment to broadly positive social and emotional well-being outcomes for community members.</w:t>
      </w:r>
      <w:r w:rsidR="002D506D" w:rsidRPr="00AF329E">
        <w:rPr>
          <w:rStyle w:val="EndnoteReference"/>
          <w:lang w:val="en-AU"/>
        </w:rPr>
        <w:endnoteReference w:id="40"/>
      </w:r>
      <w:r w:rsidR="002D506D" w:rsidRPr="00AF329E">
        <w:rPr>
          <w:lang w:val="en-AU"/>
        </w:rPr>
        <w:t xml:space="preserve"> </w:t>
      </w:r>
      <w:r w:rsidR="006D7C7D" w:rsidRPr="00AF329E">
        <w:rPr>
          <w:lang w:val="en-AU"/>
        </w:rPr>
        <w:t>Community</w:t>
      </w:r>
      <w:r w:rsidR="00397100">
        <w:rPr>
          <w:lang w:val="en-AU"/>
        </w:rPr>
        <w:t>-</w:t>
      </w:r>
      <w:r w:rsidR="006D7C7D" w:rsidRPr="00AF329E">
        <w:rPr>
          <w:lang w:val="en-AU"/>
        </w:rPr>
        <w:t>driven solutions have the potential to meet communities’ specific needs with realistic and culturally appropriate approaches</w:t>
      </w:r>
      <w:r w:rsidR="006F4E3C" w:rsidRPr="00AF329E">
        <w:rPr>
          <w:lang w:val="en-AU"/>
        </w:rPr>
        <w:t xml:space="preserve">. </w:t>
      </w:r>
      <w:r w:rsidR="006D7C7D" w:rsidRPr="00AF329E">
        <w:rPr>
          <w:lang w:val="en-AU"/>
        </w:rPr>
        <w:t>As a result of the community participation, involvement and delivery of these solutions, a sense of control, trust, and awareness can be created within communities. Community values and beliefs are also promoted through these processes, reinforcing a positive sense of cultural identity and knowledge. Children are the direct beneficiaries of strong functioning communities that exercise self-governance.</w:t>
      </w:r>
      <w:r w:rsidR="000C73D3" w:rsidRPr="00AF329E">
        <w:rPr>
          <w:rStyle w:val="EndnoteReference"/>
          <w:lang w:val="en-AU"/>
        </w:rPr>
        <w:endnoteReference w:id="41"/>
      </w:r>
    </w:p>
    <w:p w14:paraId="7BC84FB7" w14:textId="77777777" w:rsidR="006D7C7D" w:rsidRPr="00AF329E" w:rsidRDefault="006D7C7D" w:rsidP="00F227A4">
      <w:pPr>
        <w:rPr>
          <w:lang w:val="en-AU"/>
        </w:rPr>
      </w:pPr>
    </w:p>
    <w:p w14:paraId="63ADA92C" w14:textId="0141A28E" w:rsidR="006D7C7D" w:rsidRPr="00AF329E" w:rsidRDefault="006D7C7D" w:rsidP="00F227A4">
      <w:pPr>
        <w:rPr>
          <w:lang w:val="en-AU"/>
        </w:rPr>
      </w:pPr>
      <w:r w:rsidRPr="00AF329E">
        <w:rPr>
          <w:lang w:val="en-AU"/>
        </w:rPr>
        <w:t>A framework for genuinely enabling such participation requires the development and recognition of community representative structures that can participate in decision-making, and good faith negotiations with those community representatives to obtain their free, prior and informed consent for decisions made.</w:t>
      </w:r>
      <w:r w:rsidRPr="00AF329E">
        <w:rPr>
          <w:rStyle w:val="EndnoteReference"/>
          <w:lang w:val="en-AU"/>
        </w:rPr>
        <w:endnoteReference w:id="42"/>
      </w:r>
      <w:r w:rsidRPr="00AF329E">
        <w:rPr>
          <w:lang w:val="en-AU"/>
        </w:rPr>
        <w:t xml:space="preserve"> Enabling community leadership on matters of child safety </w:t>
      </w:r>
      <w:r w:rsidR="00C00B98" w:rsidRPr="00AF329E">
        <w:rPr>
          <w:lang w:val="en-AU"/>
        </w:rPr>
        <w:t>and well</w:t>
      </w:r>
      <w:r w:rsidR="0055653C">
        <w:rPr>
          <w:lang w:val="en-AU"/>
        </w:rPr>
        <w:t>-</w:t>
      </w:r>
      <w:r w:rsidR="00C00B98" w:rsidRPr="00AF329E">
        <w:rPr>
          <w:lang w:val="en-AU"/>
        </w:rPr>
        <w:t>being is a complex task that confronts a broad range of barriers</w:t>
      </w:r>
      <w:r w:rsidR="00A80F2A" w:rsidRPr="00AF329E">
        <w:rPr>
          <w:lang w:val="en-AU"/>
        </w:rPr>
        <w:t>, including</w:t>
      </w:r>
      <w:r w:rsidR="00C00B98" w:rsidRPr="00AF329E">
        <w:rPr>
          <w:lang w:val="en-AU"/>
        </w:rPr>
        <w:t>:</w:t>
      </w:r>
    </w:p>
    <w:p w14:paraId="6D7BCB21" w14:textId="0EC01256" w:rsidR="00C00B98" w:rsidRPr="00AF329E" w:rsidRDefault="00C00B98" w:rsidP="00C00B98">
      <w:pPr>
        <w:pStyle w:val="ListParagraph"/>
        <w:numPr>
          <w:ilvl w:val="0"/>
          <w:numId w:val="12"/>
        </w:numPr>
        <w:rPr>
          <w:lang w:val="en-AU"/>
        </w:rPr>
      </w:pPr>
      <w:r w:rsidRPr="00AF329E">
        <w:rPr>
          <w:lang w:val="en-AU"/>
        </w:rPr>
        <w:t>Disparate systems of governance and leadership through</w:t>
      </w:r>
      <w:r w:rsidR="000F6031" w:rsidRPr="00AF329E">
        <w:rPr>
          <w:lang w:val="en-AU"/>
        </w:rPr>
        <w:t xml:space="preserve"> service organisations,</w:t>
      </w:r>
      <w:r w:rsidRPr="00AF329E">
        <w:rPr>
          <w:lang w:val="en-AU"/>
        </w:rPr>
        <w:t xml:space="preserve"> reference groups and committees </w:t>
      </w:r>
      <w:r w:rsidR="000F6031" w:rsidRPr="00AF329E">
        <w:rPr>
          <w:lang w:val="en-AU"/>
        </w:rPr>
        <w:t xml:space="preserve">that are </w:t>
      </w:r>
      <w:r w:rsidRPr="00AF329E">
        <w:rPr>
          <w:lang w:val="en-AU"/>
        </w:rPr>
        <w:t>often aligned to siloed government service responses – rather than holistic</w:t>
      </w:r>
      <w:r w:rsidR="00335BD6" w:rsidRPr="00AF329E">
        <w:rPr>
          <w:lang w:val="en-AU"/>
        </w:rPr>
        <w:t>, community-led</w:t>
      </w:r>
      <w:r w:rsidRPr="00AF329E">
        <w:rPr>
          <w:lang w:val="en-AU"/>
        </w:rPr>
        <w:t xml:space="preserve"> safety and well</w:t>
      </w:r>
      <w:r w:rsidR="00016FF3">
        <w:rPr>
          <w:lang w:val="en-AU"/>
        </w:rPr>
        <w:t>-</w:t>
      </w:r>
      <w:r w:rsidRPr="00AF329E">
        <w:rPr>
          <w:lang w:val="en-AU"/>
        </w:rPr>
        <w:t>being approaches;</w:t>
      </w:r>
    </w:p>
    <w:p w14:paraId="38A26A7E" w14:textId="18D2C86A" w:rsidR="00C00B98" w:rsidRPr="00AF329E" w:rsidRDefault="00C00B98" w:rsidP="00C00B98">
      <w:pPr>
        <w:pStyle w:val="ListParagraph"/>
        <w:numPr>
          <w:ilvl w:val="0"/>
          <w:numId w:val="12"/>
        </w:numPr>
        <w:rPr>
          <w:lang w:val="en-AU"/>
        </w:rPr>
      </w:pPr>
      <w:r w:rsidRPr="00AF329E">
        <w:rPr>
          <w:lang w:val="en-AU"/>
        </w:rPr>
        <w:t xml:space="preserve">Reluctance to engage because of the failure to follow-through or achieve outcomes through previous government or mainstream </w:t>
      </w:r>
      <w:r w:rsidR="000F6031" w:rsidRPr="00AF329E">
        <w:rPr>
          <w:lang w:val="en-AU"/>
        </w:rPr>
        <w:t>led respons</w:t>
      </w:r>
      <w:r w:rsidRPr="00AF329E">
        <w:rPr>
          <w:lang w:val="en-AU"/>
        </w:rPr>
        <w:t>es;</w:t>
      </w:r>
    </w:p>
    <w:p w14:paraId="4FCE10A8" w14:textId="66DDC6E7" w:rsidR="00C00B98" w:rsidRPr="00AF329E" w:rsidRDefault="00C00B98" w:rsidP="00C00B98">
      <w:pPr>
        <w:pStyle w:val="ListParagraph"/>
        <w:numPr>
          <w:ilvl w:val="0"/>
          <w:numId w:val="12"/>
        </w:numPr>
        <w:rPr>
          <w:lang w:val="en-AU"/>
        </w:rPr>
      </w:pPr>
      <w:r w:rsidRPr="00AF329E">
        <w:rPr>
          <w:lang w:val="en-AU"/>
        </w:rPr>
        <w:t>Fractured communities</w:t>
      </w:r>
      <w:r w:rsidR="000F6031" w:rsidRPr="00AF329E">
        <w:rPr>
          <w:lang w:val="en-AU"/>
        </w:rPr>
        <w:t xml:space="preserve"> where inter-generational disadvantage and struggle have contributed to community divisions, and competition for resources and authority;  </w:t>
      </w:r>
    </w:p>
    <w:p w14:paraId="58DF03F0" w14:textId="089CDE69" w:rsidR="00C00B98" w:rsidRPr="00AF329E" w:rsidRDefault="00C00B98" w:rsidP="00C00B98">
      <w:pPr>
        <w:pStyle w:val="ListParagraph"/>
        <w:numPr>
          <w:ilvl w:val="0"/>
          <w:numId w:val="12"/>
        </w:numPr>
        <w:rPr>
          <w:lang w:val="en-AU"/>
        </w:rPr>
      </w:pPr>
      <w:r w:rsidRPr="00AF329E">
        <w:rPr>
          <w:lang w:val="en-AU"/>
        </w:rPr>
        <w:t>Damaged relationships between government and mainstream services and communities</w:t>
      </w:r>
      <w:r w:rsidR="000F6031" w:rsidRPr="00AF329E">
        <w:rPr>
          <w:lang w:val="en-AU"/>
        </w:rPr>
        <w:t xml:space="preserve"> that require support for rebuilding trust and genuine partnership; and</w:t>
      </w:r>
    </w:p>
    <w:p w14:paraId="47525507" w14:textId="5107CD51" w:rsidR="00C00B98" w:rsidRPr="00AF329E" w:rsidRDefault="000F6031" w:rsidP="00C00B98">
      <w:pPr>
        <w:pStyle w:val="ListParagraph"/>
        <w:numPr>
          <w:ilvl w:val="0"/>
          <w:numId w:val="12"/>
        </w:numPr>
        <w:rPr>
          <w:lang w:val="en-AU"/>
        </w:rPr>
      </w:pPr>
      <w:r w:rsidRPr="00AF329E">
        <w:rPr>
          <w:lang w:val="en-AU"/>
        </w:rPr>
        <w:t>Persistent d</w:t>
      </w:r>
      <w:r w:rsidR="00C00B98" w:rsidRPr="00AF329E">
        <w:rPr>
          <w:lang w:val="en-AU"/>
        </w:rPr>
        <w:t>iscriminatory, racist and/or paternalistic attitudes</w:t>
      </w:r>
      <w:r w:rsidR="00BB7FF6" w:rsidRPr="00AF329E">
        <w:rPr>
          <w:lang w:val="en-AU"/>
        </w:rPr>
        <w:t xml:space="preserve"> of</w:t>
      </w:r>
      <w:r w:rsidR="0063124A" w:rsidRPr="00AF329E">
        <w:rPr>
          <w:lang w:val="en-AU"/>
        </w:rPr>
        <w:t xml:space="preserve"> some</w:t>
      </w:r>
      <w:r w:rsidR="00C00B98" w:rsidRPr="00AF329E">
        <w:rPr>
          <w:lang w:val="en-AU"/>
        </w:rPr>
        <w:t xml:space="preserve"> non-Indigenous </w:t>
      </w:r>
      <w:r w:rsidRPr="00AF329E">
        <w:rPr>
          <w:lang w:val="en-AU"/>
        </w:rPr>
        <w:t>service organisations and staff.</w:t>
      </w:r>
    </w:p>
    <w:p w14:paraId="00D0897B" w14:textId="77777777" w:rsidR="002D506D" w:rsidRPr="00AF329E" w:rsidRDefault="002D506D" w:rsidP="00F227A4">
      <w:pPr>
        <w:rPr>
          <w:lang w:val="en-AU"/>
        </w:rPr>
      </w:pPr>
    </w:p>
    <w:p w14:paraId="5DC108CA" w14:textId="56D13694" w:rsidR="008E7DC1" w:rsidRPr="00AF329E" w:rsidRDefault="006D7C7D" w:rsidP="00F227A4">
      <w:pPr>
        <w:rPr>
          <w:lang w:val="en-AU"/>
        </w:rPr>
      </w:pPr>
      <w:r w:rsidRPr="00AF329E">
        <w:rPr>
          <w:lang w:val="en-AU"/>
        </w:rPr>
        <w:t xml:space="preserve">What is needed to address these barriers and support community empowerment is </w:t>
      </w:r>
      <w:r w:rsidR="00BB7FF6" w:rsidRPr="00AF329E">
        <w:rPr>
          <w:lang w:val="en-AU"/>
        </w:rPr>
        <w:t>the</w:t>
      </w:r>
      <w:r w:rsidRPr="00AF329E">
        <w:rPr>
          <w:lang w:val="en-AU"/>
        </w:rPr>
        <w:t xml:space="preserve"> facilitated development of </w:t>
      </w:r>
      <w:r w:rsidR="00335BD6" w:rsidRPr="00AF329E">
        <w:rPr>
          <w:lang w:val="en-AU"/>
        </w:rPr>
        <w:t>community leadership for ensuring child safety and well</w:t>
      </w:r>
      <w:r w:rsidR="00B85D88">
        <w:rPr>
          <w:lang w:val="en-AU"/>
        </w:rPr>
        <w:t>-</w:t>
      </w:r>
      <w:r w:rsidR="00335BD6" w:rsidRPr="00AF329E">
        <w:rPr>
          <w:lang w:val="en-AU"/>
        </w:rPr>
        <w:t>being</w:t>
      </w:r>
      <w:r w:rsidR="006F4E3C" w:rsidRPr="00AF329E">
        <w:rPr>
          <w:lang w:val="en-AU"/>
        </w:rPr>
        <w:t xml:space="preserve">. </w:t>
      </w:r>
      <w:r w:rsidR="00335BD6" w:rsidRPr="00AF329E">
        <w:rPr>
          <w:lang w:val="en-AU"/>
        </w:rPr>
        <w:t>Enabling such leadership would necessarily draw and build</w:t>
      </w:r>
      <w:r w:rsidR="00C00B98" w:rsidRPr="00AF329E">
        <w:rPr>
          <w:lang w:val="en-AU"/>
        </w:rPr>
        <w:t xml:space="preserve"> on the strengths of existing community leadership and</w:t>
      </w:r>
      <w:r w:rsidR="00BB7FF6" w:rsidRPr="00AF329E">
        <w:rPr>
          <w:lang w:val="en-AU"/>
        </w:rPr>
        <w:t xml:space="preserve"> cultural</w:t>
      </w:r>
      <w:r w:rsidR="00C00B98" w:rsidRPr="00AF329E">
        <w:rPr>
          <w:lang w:val="en-AU"/>
        </w:rPr>
        <w:t xml:space="preserve"> </w:t>
      </w:r>
      <w:r w:rsidR="00BB7FF6" w:rsidRPr="00AF329E">
        <w:rPr>
          <w:lang w:val="en-AU"/>
        </w:rPr>
        <w:t>strengths in providing for the safe care of Aboriginal and Torres Strait Islander children</w:t>
      </w:r>
      <w:r w:rsidR="006F4E3C" w:rsidRPr="00AF329E">
        <w:rPr>
          <w:lang w:val="en-AU"/>
        </w:rPr>
        <w:t xml:space="preserve">. </w:t>
      </w:r>
      <w:r w:rsidR="008E7DC1" w:rsidRPr="00AF329E">
        <w:rPr>
          <w:lang w:val="en-AU"/>
        </w:rPr>
        <w:t>Family Matters proposes a trial of a facilitated approach to working with Aboriginal and Torres Strait Islander communities to develop child safety and well</w:t>
      </w:r>
      <w:r w:rsidR="00B85D88">
        <w:rPr>
          <w:lang w:val="en-AU"/>
        </w:rPr>
        <w:t>-</w:t>
      </w:r>
      <w:r w:rsidR="008E7DC1" w:rsidRPr="00AF329E">
        <w:rPr>
          <w:lang w:val="en-AU"/>
        </w:rPr>
        <w:t>being leadership</w:t>
      </w:r>
      <w:r w:rsidR="006F4E3C" w:rsidRPr="00AF329E">
        <w:rPr>
          <w:lang w:val="en-AU"/>
        </w:rPr>
        <w:t xml:space="preserve">. </w:t>
      </w:r>
      <w:r w:rsidR="008E7DC1" w:rsidRPr="00AF329E">
        <w:rPr>
          <w:lang w:val="en-AU"/>
        </w:rPr>
        <w:t>The trial would include elements such as:</w:t>
      </w:r>
    </w:p>
    <w:p w14:paraId="2C2B3805" w14:textId="65725527" w:rsidR="006D7C7D" w:rsidRPr="00AF329E" w:rsidRDefault="008E7DC1" w:rsidP="008E7DC1">
      <w:pPr>
        <w:pStyle w:val="ListParagraph"/>
        <w:numPr>
          <w:ilvl w:val="0"/>
          <w:numId w:val="13"/>
        </w:numPr>
        <w:rPr>
          <w:lang w:val="en-AU"/>
        </w:rPr>
      </w:pPr>
      <w:r w:rsidRPr="00AF329E">
        <w:rPr>
          <w:lang w:val="en-AU"/>
        </w:rPr>
        <w:t>Facilitating the formation of a leadership group with appropriate representation and drawing on existing community governance structures;</w:t>
      </w:r>
    </w:p>
    <w:p w14:paraId="19A4E1AC" w14:textId="01AE25E9" w:rsidR="008E7DC1" w:rsidRPr="00AF329E" w:rsidRDefault="008E7DC1" w:rsidP="008E7DC1">
      <w:pPr>
        <w:pStyle w:val="ListParagraph"/>
        <w:numPr>
          <w:ilvl w:val="0"/>
          <w:numId w:val="13"/>
        </w:numPr>
        <w:rPr>
          <w:lang w:val="en-AU"/>
        </w:rPr>
      </w:pPr>
      <w:r w:rsidRPr="00AF329E">
        <w:rPr>
          <w:lang w:val="en-AU"/>
        </w:rPr>
        <w:t>Supporting community representatives to define their aspirations, needs and strengths for ensuring the safety and well</w:t>
      </w:r>
      <w:r w:rsidR="0066459B">
        <w:rPr>
          <w:lang w:val="en-AU"/>
        </w:rPr>
        <w:t>-</w:t>
      </w:r>
      <w:r w:rsidRPr="00AF329E">
        <w:rPr>
          <w:lang w:val="en-AU"/>
        </w:rPr>
        <w:t>being of their children;</w:t>
      </w:r>
    </w:p>
    <w:p w14:paraId="67E67EA2" w14:textId="174B370F" w:rsidR="00F842FE" w:rsidRPr="00AF329E" w:rsidRDefault="00F842FE" w:rsidP="00F842FE">
      <w:pPr>
        <w:pStyle w:val="ListParagraph"/>
        <w:numPr>
          <w:ilvl w:val="0"/>
          <w:numId w:val="13"/>
        </w:numPr>
        <w:rPr>
          <w:lang w:val="en-AU"/>
        </w:rPr>
      </w:pPr>
      <w:r w:rsidRPr="00AF329E">
        <w:rPr>
          <w:lang w:val="en-AU"/>
        </w:rPr>
        <w:t>Supporting</w:t>
      </w:r>
      <w:r w:rsidR="0063124A" w:rsidRPr="00AF329E">
        <w:rPr>
          <w:lang w:val="en-AU"/>
        </w:rPr>
        <w:t xml:space="preserve"> the</w:t>
      </w:r>
      <w:r w:rsidRPr="00AF329E">
        <w:rPr>
          <w:lang w:val="en-AU"/>
        </w:rPr>
        <w:t xml:space="preserve"> development of community strategies to </w:t>
      </w:r>
      <w:r w:rsidR="0063124A" w:rsidRPr="00AF329E">
        <w:rPr>
          <w:lang w:val="en-AU"/>
        </w:rPr>
        <w:t>address child abuse and neglect;</w:t>
      </w:r>
    </w:p>
    <w:p w14:paraId="6E39B8EB" w14:textId="05AC7564" w:rsidR="008E7DC1" w:rsidRPr="00AF329E" w:rsidRDefault="008E7DC1" w:rsidP="008E7DC1">
      <w:pPr>
        <w:pStyle w:val="ListParagraph"/>
        <w:numPr>
          <w:ilvl w:val="0"/>
          <w:numId w:val="13"/>
        </w:numPr>
        <w:rPr>
          <w:lang w:val="en-AU"/>
        </w:rPr>
      </w:pPr>
      <w:r w:rsidRPr="00AF329E">
        <w:rPr>
          <w:lang w:val="en-AU"/>
        </w:rPr>
        <w:t>Facilitating the development of relationships and engagement protocols between community representative and government and community services;</w:t>
      </w:r>
      <w:r w:rsidR="00F842FE" w:rsidRPr="00AF329E">
        <w:rPr>
          <w:lang w:val="en-AU"/>
        </w:rPr>
        <w:t xml:space="preserve"> and</w:t>
      </w:r>
    </w:p>
    <w:p w14:paraId="25547F29" w14:textId="181C0304" w:rsidR="008E7DC1" w:rsidRPr="00AF329E" w:rsidRDefault="008E7DC1" w:rsidP="008E7DC1">
      <w:pPr>
        <w:pStyle w:val="ListParagraph"/>
        <w:numPr>
          <w:ilvl w:val="0"/>
          <w:numId w:val="13"/>
        </w:numPr>
        <w:rPr>
          <w:lang w:val="en-AU"/>
        </w:rPr>
      </w:pPr>
      <w:r w:rsidRPr="00AF329E">
        <w:rPr>
          <w:lang w:val="en-AU"/>
        </w:rPr>
        <w:t>Providing community education on child pr</w:t>
      </w:r>
      <w:r w:rsidR="00C63827" w:rsidRPr="00AF329E">
        <w:rPr>
          <w:lang w:val="en-AU"/>
        </w:rPr>
        <w:t>otec</w:t>
      </w:r>
      <w:r w:rsidR="00F842FE" w:rsidRPr="00AF329E">
        <w:rPr>
          <w:lang w:val="en-AU"/>
        </w:rPr>
        <w:t>tion processes and services.</w:t>
      </w:r>
    </w:p>
    <w:p w14:paraId="1110E9CB" w14:textId="77777777" w:rsidR="006D7C7D" w:rsidRPr="00AF329E" w:rsidRDefault="006D7C7D" w:rsidP="00F227A4">
      <w:pPr>
        <w:rPr>
          <w:lang w:val="en-AU"/>
        </w:rPr>
      </w:pPr>
    </w:p>
    <w:p w14:paraId="5B36E4C3" w14:textId="665735C5" w:rsidR="002D506D" w:rsidRPr="00AF329E" w:rsidRDefault="002D506D" w:rsidP="00F227A4">
      <w:pPr>
        <w:rPr>
          <w:lang w:val="en-AU"/>
        </w:rPr>
      </w:pPr>
      <w:r w:rsidRPr="00AF329E">
        <w:rPr>
          <w:lang w:val="en-AU"/>
        </w:rPr>
        <w:t>The proposal of a trial recognises that community</w:t>
      </w:r>
      <w:r w:rsidR="00226BFE">
        <w:rPr>
          <w:lang w:val="en-AU"/>
        </w:rPr>
        <w:t>-</w:t>
      </w:r>
      <w:r w:rsidRPr="00AF329E">
        <w:rPr>
          <w:lang w:val="en-AU"/>
        </w:rPr>
        <w:t>driven mechanisms can take many shapes – both formal and informal – and that the form of community organisation cannot be prescribed. The process involves governments trusting and strengthening community knowledge and expertise through building community capacity and confidence and ultimately allowing community control over local responses.</w:t>
      </w:r>
    </w:p>
    <w:p w14:paraId="63F2E5B4" w14:textId="77777777" w:rsidR="002D506D" w:rsidRPr="00AF329E" w:rsidRDefault="002D506D" w:rsidP="00F227A4">
      <w:pPr>
        <w:rPr>
          <w:lang w:val="en-AU"/>
        </w:rPr>
      </w:pPr>
    </w:p>
    <w:p w14:paraId="737983D9" w14:textId="6CED0257" w:rsidR="00BF0943" w:rsidRPr="00AF329E" w:rsidRDefault="002D506D" w:rsidP="00BF0943">
      <w:pPr>
        <w:rPr>
          <w:lang w:val="en-AU"/>
        </w:rPr>
      </w:pPr>
      <w:r w:rsidRPr="00AF329E">
        <w:rPr>
          <w:lang w:val="en-AU"/>
        </w:rPr>
        <w:t>It is proposed that the trial would commence by appointing an Aboriginal or Torres Strait Islander facilitator to work with communities to determine the most appropriate community structure for enabling participation. Key objectives of capacity strengthening within the context of child and family welfare include the strengthening of identity and sense of belonging of community members, strengthening the community’s nurturance and protection of children and families</w:t>
      </w:r>
      <w:r w:rsidR="0084642B">
        <w:rPr>
          <w:lang w:val="en-AU"/>
        </w:rPr>
        <w:t>,</w:t>
      </w:r>
      <w:r w:rsidRPr="00AF329E">
        <w:rPr>
          <w:lang w:val="en-AU"/>
        </w:rPr>
        <w:t xml:space="preserve"> and creating a collaborative and supportive network to assist a families.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D9C3" w:themeFill="background2" w:themeFillShade="E6"/>
        <w:tblLook w:val="04A0" w:firstRow="1" w:lastRow="0" w:firstColumn="1" w:lastColumn="0" w:noHBand="0" w:noVBand="1"/>
      </w:tblPr>
      <w:tblGrid>
        <w:gridCol w:w="8516"/>
      </w:tblGrid>
      <w:tr w:rsidR="00BF0943" w:rsidRPr="00AF329E" w14:paraId="417F8F74" w14:textId="77777777" w:rsidTr="00A84BF8">
        <w:tc>
          <w:tcPr>
            <w:tcW w:w="9010" w:type="dxa"/>
            <w:shd w:val="clear" w:color="auto" w:fill="DDD9C3" w:themeFill="background2" w:themeFillShade="E6"/>
          </w:tcPr>
          <w:p w14:paraId="17C4009D" w14:textId="7317A420" w:rsidR="00BF0943" w:rsidRPr="00AF329E" w:rsidRDefault="008E7DC1" w:rsidP="00A84BF8">
            <w:pPr>
              <w:pStyle w:val="Heading4"/>
              <w:outlineLvl w:val="3"/>
              <w:rPr>
                <w:lang w:val="en-AU"/>
              </w:rPr>
            </w:pPr>
            <w:r w:rsidRPr="00AF329E">
              <w:rPr>
                <w:lang w:val="en-AU"/>
              </w:rPr>
              <w:t xml:space="preserve">Case Study: </w:t>
            </w:r>
            <w:r w:rsidR="00BF0943" w:rsidRPr="00AF329E">
              <w:rPr>
                <w:lang w:val="en-AU"/>
              </w:rPr>
              <w:t>Grandmothers Against Removals (GMAR)</w:t>
            </w:r>
          </w:p>
          <w:p w14:paraId="55584659" w14:textId="77777777" w:rsidR="00BF0943" w:rsidRPr="00AF329E" w:rsidRDefault="00BF0943" w:rsidP="00134FA9">
            <w:pPr>
              <w:rPr>
                <w:lang w:val="en-AU"/>
              </w:rPr>
            </w:pPr>
          </w:p>
          <w:p w14:paraId="368FB0D4" w14:textId="4BAC1475" w:rsidR="00BF0943" w:rsidRPr="00AF329E" w:rsidRDefault="00BF0943" w:rsidP="00983C2E">
            <w:pPr>
              <w:rPr>
                <w:lang w:val="en-AU"/>
              </w:rPr>
            </w:pPr>
            <w:r w:rsidRPr="00AF329E">
              <w:rPr>
                <w:lang w:val="en-AU"/>
              </w:rPr>
              <w:t>GMAR is a key community</w:t>
            </w:r>
            <w:r w:rsidR="00983C2E">
              <w:rPr>
                <w:lang w:val="en-AU"/>
              </w:rPr>
              <w:t>-</w:t>
            </w:r>
            <w:r w:rsidRPr="00AF329E">
              <w:rPr>
                <w:lang w:val="en-AU"/>
              </w:rPr>
              <w:t>driven solution to the escalating numbers of Aboriginal and Torres Strait Islander children in care. Formed in 2014 in response to the high levels of Aboriginal children in out</w:t>
            </w:r>
            <w:r w:rsidR="00983C2E">
              <w:rPr>
                <w:lang w:val="en-AU"/>
              </w:rPr>
              <w:t>-</w:t>
            </w:r>
            <w:r w:rsidRPr="00AF329E">
              <w:rPr>
                <w:lang w:val="en-AU"/>
              </w:rPr>
              <w:t>of</w:t>
            </w:r>
            <w:r w:rsidR="00983C2E">
              <w:rPr>
                <w:lang w:val="en-AU"/>
              </w:rPr>
              <w:t>-</w:t>
            </w:r>
            <w:r w:rsidRPr="00AF329E">
              <w:rPr>
                <w:lang w:val="en-AU"/>
              </w:rPr>
              <w:t>home care in New South Wales, GMAR has</w:t>
            </w:r>
            <w:r w:rsidR="008E7DC1" w:rsidRPr="00AF329E">
              <w:rPr>
                <w:lang w:val="en-AU"/>
              </w:rPr>
              <w:t xml:space="preserve"> been led by concerned grandparents who have</w:t>
            </w:r>
            <w:r w:rsidRPr="00AF329E">
              <w:rPr>
                <w:lang w:val="en-AU"/>
              </w:rPr>
              <w:t xml:space="preserve"> advocated for stronger relationships between child protection services and communities and agreed on a Guiding Principles document with </w:t>
            </w:r>
            <w:r w:rsidR="008E7DC1" w:rsidRPr="00AF329E">
              <w:rPr>
                <w:lang w:val="en-AU"/>
              </w:rPr>
              <w:t>the New South Wales G</w:t>
            </w:r>
            <w:r w:rsidRPr="00AF329E">
              <w:rPr>
                <w:lang w:val="en-AU"/>
              </w:rPr>
              <w:t>overnment</w:t>
            </w:r>
            <w:r w:rsidR="006F4E3C" w:rsidRPr="00AF329E">
              <w:rPr>
                <w:lang w:val="en-AU"/>
              </w:rPr>
              <w:t xml:space="preserve">. </w:t>
            </w:r>
            <w:r w:rsidRPr="00AF329E">
              <w:rPr>
                <w:lang w:val="en-AU"/>
              </w:rPr>
              <w:t>The Guiding Principles highlight the role of local</w:t>
            </w:r>
            <w:r w:rsidR="008B0563" w:rsidRPr="00AF329E">
              <w:rPr>
                <w:lang w:val="en-AU"/>
              </w:rPr>
              <w:t xml:space="preserve"> Aboriginal</w:t>
            </w:r>
            <w:r w:rsidRPr="00AF329E">
              <w:rPr>
                <w:lang w:val="en-AU"/>
              </w:rPr>
              <w:t xml:space="preserve"> communities and </w:t>
            </w:r>
            <w:r w:rsidR="008B0563" w:rsidRPr="00AF329E">
              <w:rPr>
                <w:lang w:val="en-AU"/>
              </w:rPr>
              <w:t>their organisation</w:t>
            </w:r>
            <w:r w:rsidRPr="00AF329E">
              <w:rPr>
                <w:lang w:val="en-AU"/>
              </w:rPr>
              <w:t>s in decision-making, inputting into child protection and out-of-home care service delivery, and ensuring compliance with various requirements including the Aboriginal and Torres Strait Islander Child Placement Principle and cultural care planning.</w:t>
            </w:r>
            <w:r w:rsidR="000C73D3" w:rsidRPr="00AF329E">
              <w:rPr>
                <w:rStyle w:val="EndnoteReference"/>
                <w:lang w:val="en-AU"/>
              </w:rPr>
              <w:endnoteReference w:id="43"/>
            </w:r>
          </w:p>
        </w:tc>
      </w:tr>
    </w:tbl>
    <w:p w14:paraId="404D21F0" w14:textId="77777777" w:rsidR="00A84BF8" w:rsidRPr="00AF329E" w:rsidRDefault="00A84BF8" w:rsidP="00A84BF8">
      <w:pPr>
        <w:rPr>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D0CD" w:themeFill="accent1" w:themeFillTint="33"/>
        <w:tblLook w:val="04A0" w:firstRow="1" w:lastRow="0" w:firstColumn="1" w:lastColumn="0" w:noHBand="0" w:noVBand="1"/>
      </w:tblPr>
      <w:tblGrid>
        <w:gridCol w:w="8516"/>
      </w:tblGrid>
      <w:tr w:rsidR="00A84BF8" w:rsidRPr="00AF329E" w14:paraId="2913E263" w14:textId="77777777" w:rsidTr="00A84BF8">
        <w:tc>
          <w:tcPr>
            <w:tcW w:w="8516" w:type="dxa"/>
            <w:shd w:val="clear" w:color="auto" w:fill="F1D0CD" w:themeFill="accent1" w:themeFillTint="33"/>
          </w:tcPr>
          <w:p w14:paraId="3459DD57" w14:textId="2178DCE1" w:rsidR="00A84BF8" w:rsidRPr="00AF329E" w:rsidRDefault="00A84BF8" w:rsidP="00A84BF8">
            <w:pPr>
              <w:pStyle w:val="Heading4"/>
              <w:outlineLvl w:val="3"/>
              <w:rPr>
                <w:lang w:val="en-AU"/>
              </w:rPr>
            </w:pPr>
            <w:r w:rsidRPr="00AF329E">
              <w:rPr>
                <w:lang w:val="en-AU"/>
              </w:rPr>
              <w:t xml:space="preserve">Recommendation 6: </w:t>
            </w:r>
          </w:p>
          <w:p w14:paraId="281433D7" w14:textId="7DABA37D" w:rsidR="00A84BF8" w:rsidRPr="00AF329E" w:rsidRDefault="00A84BF8" w:rsidP="00A84BF8">
            <w:pPr>
              <w:rPr>
                <w:lang w:val="en-AU"/>
              </w:rPr>
            </w:pPr>
            <w:r w:rsidRPr="00AF329E">
              <w:rPr>
                <w:lang w:val="en-AU"/>
              </w:rPr>
              <w:t>Undertake a trial of local Aboriginal and Torres Strait Islander community strategies to strengthen families, redress local risks of abuse and neglect for children, oversee child safety and well</w:t>
            </w:r>
            <w:r w:rsidR="004618B8">
              <w:rPr>
                <w:lang w:val="en-AU"/>
              </w:rPr>
              <w:t>-</w:t>
            </w:r>
            <w:r w:rsidRPr="00AF329E">
              <w:rPr>
                <w:lang w:val="en-AU"/>
              </w:rPr>
              <w:t>being, and input to decision-making on the care and safety of Aboriginal and Torres Strait Islander children</w:t>
            </w:r>
            <w:r w:rsidR="006F4E3C" w:rsidRPr="00AF329E">
              <w:rPr>
                <w:lang w:val="en-AU"/>
              </w:rPr>
              <w:t xml:space="preserve">. </w:t>
            </w:r>
            <w:r w:rsidRPr="00AF329E">
              <w:rPr>
                <w:lang w:val="en-AU"/>
              </w:rPr>
              <w:t>The trial could be conducted in 6-7 locations in urban, regional and remote locations</w:t>
            </w:r>
            <w:r w:rsidR="008B0563" w:rsidRPr="00AF329E">
              <w:rPr>
                <w:lang w:val="en-AU"/>
              </w:rPr>
              <w:t xml:space="preserve"> to establish a firm base of evidence to inform the consideration of broader implementation</w:t>
            </w:r>
            <w:r w:rsidRPr="00AF329E">
              <w:rPr>
                <w:lang w:val="en-AU"/>
              </w:rPr>
              <w:t>.</w:t>
            </w:r>
          </w:p>
          <w:p w14:paraId="1737E901" w14:textId="77777777" w:rsidR="00A84BF8" w:rsidRPr="00AF329E" w:rsidRDefault="00A84BF8" w:rsidP="00A84BF8">
            <w:pPr>
              <w:pStyle w:val="Heading6"/>
              <w:outlineLvl w:val="5"/>
              <w:rPr>
                <w:lang w:val="en-AU"/>
              </w:rPr>
            </w:pPr>
            <w:r w:rsidRPr="00AF329E">
              <w:rPr>
                <w:lang w:val="en-AU"/>
              </w:rPr>
              <w:t xml:space="preserve">Budget impact: </w:t>
            </w:r>
          </w:p>
          <w:p w14:paraId="51183772" w14:textId="09F2F34E" w:rsidR="00A84BF8" w:rsidRPr="00AF329E" w:rsidRDefault="00A84BF8" w:rsidP="00F227A4">
            <w:pPr>
              <w:rPr>
                <w:lang w:val="en-AU"/>
              </w:rPr>
            </w:pPr>
            <w:r w:rsidRPr="00AF329E">
              <w:rPr>
                <w:lang w:val="en-AU"/>
              </w:rPr>
              <w:t>$8 million over 4 years</w:t>
            </w:r>
          </w:p>
        </w:tc>
      </w:tr>
    </w:tbl>
    <w:p w14:paraId="66C52153" w14:textId="77777777" w:rsidR="00F227A4" w:rsidRPr="00AF329E" w:rsidRDefault="00F227A4" w:rsidP="00F227A4">
      <w:pPr>
        <w:rPr>
          <w:lang w:val="en-AU"/>
        </w:rPr>
      </w:pPr>
    </w:p>
    <w:p w14:paraId="644DAE24" w14:textId="77777777" w:rsidR="000D0C62" w:rsidRPr="00AF329E" w:rsidRDefault="000D0C62" w:rsidP="000D0C62">
      <w:pPr>
        <w:pStyle w:val="Heading3"/>
        <w:rPr>
          <w:sz w:val="28"/>
          <w:szCs w:val="28"/>
          <w:lang w:val="en-AU"/>
        </w:rPr>
      </w:pPr>
      <w:r w:rsidRPr="00AF329E">
        <w:rPr>
          <w:sz w:val="28"/>
          <w:szCs w:val="28"/>
          <w:lang w:val="en-AU"/>
        </w:rPr>
        <w:t>6. A national peak body for Aboriginal and Torres Strait Islander children</w:t>
      </w:r>
    </w:p>
    <w:p w14:paraId="131E9A29" w14:textId="77777777" w:rsidR="000D0C62" w:rsidRPr="00AF329E" w:rsidRDefault="000D0C62" w:rsidP="000D0C62">
      <w:pPr>
        <w:rPr>
          <w:lang w:val="en-AU"/>
        </w:rPr>
      </w:pPr>
    </w:p>
    <w:p w14:paraId="180CCCC5" w14:textId="5952C6D8" w:rsidR="00294AF7" w:rsidRPr="00AF329E" w:rsidRDefault="00294AF7" w:rsidP="00294AF7">
      <w:pPr>
        <w:rPr>
          <w:rFonts w:cs="Arial"/>
          <w:szCs w:val="22"/>
          <w:lang w:val="en-AU"/>
        </w:rPr>
      </w:pPr>
      <w:r w:rsidRPr="00AF329E">
        <w:rPr>
          <w:rFonts w:cs="Arial"/>
          <w:szCs w:val="22"/>
          <w:lang w:val="en-AU"/>
        </w:rPr>
        <w:t>Effectively engaging with Aboriginal and Torres Strait Islander families experiencing vulnerability and strengthening the safety and well</w:t>
      </w:r>
      <w:r w:rsidR="002250DB">
        <w:rPr>
          <w:rFonts w:cs="Arial"/>
          <w:szCs w:val="22"/>
          <w:lang w:val="en-AU"/>
        </w:rPr>
        <w:t>-</w:t>
      </w:r>
      <w:r w:rsidRPr="00AF329E">
        <w:rPr>
          <w:rFonts w:cs="Arial"/>
          <w:szCs w:val="22"/>
          <w:lang w:val="en-AU"/>
        </w:rPr>
        <w:t>being of children requires a high level of knowledge and experience to understand and respond to their needs. The over-representation of Aboriginal and Torres Strait Islander children in out</w:t>
      </w:r>
      <w:r w:rsidR="002250DB">
        <w:rPr>
          <w:rFonts w:cs="Arial"/>
          <w:szCs w:val="22"/>
          <w:lang w:val="en-AU"/>
        </w:rPr>
        <w:t>-</w:t>
      </w:r>
      <w:r w:rsidRPr="00AF329E">
        <w:rPr>
          <w:rFonts w:cs="Arial"/>
          <w:szCs w:val="22"/>
          <w:lang w:val="en-AU"/>
        </w:rPr>
        <w:t>of</w:t>
      </w:r>
      <w:r w:rsidR="002250DB">
        <w:rPr>
          <w:rFonts w:cs="Arial"/>
          <w:szCs w:val="22"/>
          <w:lang w:val="en-AU"/>
        </w:rPr>
        <w:t>-</w:t>
      </w:r>
      <w:r w:rsidRPr="00AF329E">
        <w:rPr>
          <w:rFonts w:cs="Arial"/>
          <w:szCs w:val="22"/>
          <w:lang w:val="en-AU"/>
        </w:rPr>
        <w:t>home care is symptomatic of a child and family service sector that broadly fails to respond to and prioritise the specific needs, circumstances and experiences of Aboriginal and Torres Strait Islander children and families. Addressing this gap requires the active engagement of government with Aboriginal and Torres Strait Islander communities that have the best knowledge about their</w:t>
      </w:r>
      <w:r w:rsidR="008B0563" w:rsidRPr="00AF329E">
        <w:rPr>
          <w:rFonts w:cs="Arial"/>
          <w:szCs w:val="22"/>
          <w:lang w:val="en-AU"/>
        </w:rPr>
        <w:t xml:space="preserve"> own</w:t>
      </w:r>
      <w:r w:rsidRPr="00AF329E">
        <w:rPr>
          <w:rFonts w:cs="Arial"/>
          <w:szCs w:val="22"/>
          <w:lang w:val="en-AU"/>
        </w:rPr>
        <w:t xml:space="preserve"> unique needs and</w:t>
      </w:r>
      <w:r w:rsidR="008B0563" w:rsidRPr="00AF329E">
        <w:rPr>
          <w:rFonts w:cs="Arial"/>
          <w:szCs w:val="22"/>
          <w:lang w:val="en-AU"/>
        </w:rPr>
        <w:t xml:space="preserve"> the</w:t>
      </w:r>
      <w:r w:rsidRPr="00AF329E">
        <w:rPr>
          <w:rFonts w:cs="Arial"/>
          <w:szCs w:val="22"/>
          <w:lang w:val="en-AU"/>
        </w:rPr>
        <w:t xml:space="preserve"> responses required.</w:t>
      </w:r>
    </w:p>
    <w:p w14:paraId="3E186C0C" w14:textId="77777777" w:rsidR="00294AF7" w:rsidRPr="00AF329E" w:rsidRDefault="00294AF7" w:rsidP="00294AF7">
      <w:pPr>
        <w:rPr>
          <w:rFonts w:cs="Arial"/>
          <w:szCs w:val="22"/>
          <w:lang w:val="en-AU"/>
        </w:rPr>
      </w:pPr>
    </w:p>
    <w:p w14:paraId="49F5D0F7" w14:textId="0AA52E85" w:rsidR="00294AF7" w:rsidRPr="00AF329E" w:rsidRDefault="00294AF7" w:rsidP="00294AF7">
      <w:pPr>
        <w:rPr>
          <w:szCs w:val="22"/>
          <w:lang w:val="en-AU"/>
        </w:rPr>
      </w:pPr>
      <w:r w:rsidRPr="00AF329E">
        <w:rPr>
          <w:szCs w:val="22"/>
          <w:lang w:val="en-AU"/>
        </w:rPr>
        <w:t>Governments have increasingly recognised the need to engage in productive policy partnerships with Aboriginal and Torres Strait Islander peoples to address the chronic gaps in access, engagement and outcomes from child and family interventions</w:t>
      </w:r>
      <w:r w:rsidR="006F4E3C" w:rsidRPr="00AF329E">
        <w:rPr>
          <w:szCs w:val="22"/>
          <w:lang w:val="en-AU"/>
        </w:rPr>
        <w:t xml:space="preserve">. </w:t>
      </w:r>
      <w:r w:rsidRPr="00AF329E">
        <w:rPr>
          <w:szCs w:val="22"/>
          <w:lang w:val="en-AU"/>
        </w:rPr>
        <w:t>The principle of active participation of, and engagement with, Aboriginal and Torres Strait Islander communities is recognised within the National Indigenous Reform Agreement (NIRA) as fundamental in designing programs to effectively overcome disadvantage</w:t>
      </w:r>
      <w:r w:rsidR="006F4E3C" w:rsidRPr="00AF329E">
        <w:rPr>
          <w:szCs w:val="22"/>
          <w:lang w:val="en-AU"/>
        </w:rPr>
        <w:t xml:space="preserve">. </w:t>
      </w:r>
      <w:r w:rsidRPr="00AF329E">
        <w:rPr>
          <w:szCs w:val="22"/>
          <w:lang w:val="en-AU"/>
        </w:rPr>
        <w:t>The NIRA identifies that “strong relationship/partnerships between government, community and service providers increase the capacity to achieve identified outcomes.”</w:t>
      </w:r>
      <w:r w:rsidR="008B0563" w:rsidRPr="00AF329E">
        <w:rPr>
          <w:rStyle w:val="EndnoteReference"/>
          <w:szCs w:val="22"/>
          <w:lang w:val="en-AU"/>
        </w:rPr>
        <w:endnoteReference w:id="44"/>
      </w:r>
    </w:p>
    <w:p w14:paraId="765E6DF1" w14:textId="77777777" w:rsidR="00294AF7" w:rsidRPr="00AF329E" w:rsidRDefault="00294AF7" w:rsidP="00294AF7">
      <w:pPr>
        <w:rPr>
          <w:rFonts w:cs="Arial"/>
          <w:szCs w:val="22"/>
          <w:lang w:val="en-AU"/>
        </w:rPr>
      </w:pPr>
    </w:p>
    <w:p w14:paraId="1FACAB11" w14:textId="77777777" w:rsidR="00294AF7" w:rsidRPr="00AF329E" w:rsidRDefault="00294AF7" w:rsidP="00294AF7">
      <w:pPr>
        <w:rPr>
          <w:rFonts w:cs="Arial"/>
          <w:szCs w:val="22"/>
          <w:lang w:val="en-AU"/>
        </w:rPr>
      </w:pPr>
      <w:r w:rsidRPr="00AF329E">
        <w:rPr>
          <w:rFonts w:cs="Arial"/>
          <w:szCs w:val="22"/>
          <w:lang w:val="en-AU"/>
        </w:rPr>
        <w:t>The efforts of government to engage with and be informed by Aboriginal and Torres Strait Islander communities are often hampered by multiple engagement challenges including:</w:t>
      </w:r>
    </w:p>
    <w:p w14:paraId="3E2B7009" w14:textId="1C7C09A7" w:rsidR="00294AF7" w:rsidRPr="00AF329E" w:rsidRDefault="00294AF7" w:rsidP="00294AF7">
      <w:pPr>
        <w:pStyle w:val="ListParagraph"/>
        <w:numPr>
          <w:ilvl w:val="0"/>
          <w:numId w:val="6"/>
        </w:numPr>
        <w:rPr>
          <w:rFonts w:cs="Arial"/>
          <w:szCs w:val="22"/>
          <w:lang w:val="en-AU"/>
        </w:rPr>
      </w:pPr>
      <w:r w:rsidRPr="00AF329E">
        <w:rPr>
          <w:rFonts w:cs="Arial"/>
          <w:szCs w:val="22"/>
          <w:lang w:val="en-AU"/>
        </w:rPr>
        <w:t>Overcoming distrust of Aboriginal and Torres Strait Islander people and communities of government due to past discriminatory polic</w:t>
      </w:r>
      <w:r w:rsidR="008B0563" w:rsidRPr="00AF329E">
        <w:rPr>
          <w:rFonts w:cs="Arial"/>
          <w:szCs w:val="22"/>
          <w:lang w:val="en-AU"/>
        </w:rPr>
        <w:t>ies</w:t>
      </w:r>
      <w:r w:rsidRPr="00AF329E">
        <w:rPr>
          <w:rFonts w:cs="Arial"/>
          <w:szCs w:val="22"/>
          <w:lang w:val="en-AU"/>
        </w:rPr>
        <w:t xml:space="preserve"> and persistent </w:t>
      </w:r>
      <w:r w:rsidR="008B0563" w:rsidRPr="00AF329E">
        <w:rPr>
          <w:rFonts w:cs="Arial"/>
          <w:szCs w:val="22"/>
          <w:lang w:val="en-AU"/>
        </w:rPr>
        <w:t>poor</w:t>
      </w:r>
      <w:r w:rsidRPr="00AF329E">
        <w:rPr>
          <w:rFonts w:cs="Arial"/>
          <w:szCs w:val="22"/>
          <w:lang w:val="en-AU"/>
        </w:rPr>
        <w:t xml:space="preserve"> outcomes;</w:t>
      </w:r>
    </w:p>
    <w:p w14:paraId="2375E057" w14:textId="093C2469" w:rsidR="00294AF7" w:rsidRPr="00AF329E" w:rsidRDefault="00294AF7" w:rsidP="00294AF7">
      <w:pPr>
        <w:pStyle w:val="ListParagraph"/>
        <w:numPr>
          <w:ilvl w:val="0"/>
          <w:numId w:val="6"/>
        </w:numPr>
        <w:rPr>
          <w:rFonts w:cs="Arial"/>
          <w:szCs w:val="22"/>
          <w:lang w:val="en-AU"/>
        </w:rPr>
      </w:pPr>
      <w:r w:rsidRPr="00AF329E">
        <w:rPr>
          <w:rFonts w:cs="Arial"/>
          <w:szCs w:val="22"/>
          <w:lang w:val="en-AU"/>
        </w:rPr>
        <w:t>Difficulty in clearly determining the priorities of Aboriginal and Torres Strait Islander people due to multiple and disparate voice reflecting a large diversity o</w:t>
      </w:r>
      <w:r w:rsidR="002D506D" w:rsidRPr="00AF329E">
        <w:rPr>
          <w:rFonts w:cs="Arial"/>
          <w:szCs w:val="22"/>
          <w:lang w:val="en-AU"/>
        </w:rPr>
        <w:t>f cultures and perspectives;</w:t>
      </w:r>
    </w:p>
    <w:p w14:paraId="7C2C1FA0" w14:textId="20B36B38" w:rsidR="00294AF7" w:rsidRPr="00AF329E" w:rsidRDefault="00294AF7" w:rsidP="00294AF7">
      <w:pPr>
        <w:pStyle w:val="ListParagraph"/>
        <w:numPr>
          <w:ilvl w:val="0"/>
          <w:numId w:val="6"/>
        </w:numPr>
        <w:rPr>
          <w:rFonts w:cs="Arial"/>
          <w:szCs w:val="22"/>
          <w:lang w:val="en-AU"/>
        </w:rPr>
      </w:pPr>
      <w:r w:rsidRPr="00AF329E">
        <w:rPr>
          <w:rFonts w:cs="Arial"/>
          <w:szCs w:val="22"/>
          <w:lang w:val="en-AU"/>
        </w:rPr>
        <w:t>Identifying collective needs and interests versus local, individual and organisation</w:t>
      </w:r>
      <w:r w:rsidR="002D506D" w:rsidRPr="00AF329E">
        <w:rPr>
          <w:rFonts w:cs="Arial"/>
          <w:szCs w:val="22"/>
          <w:lang w:val="en-AU"/>
        </w:rPr>
        <w:t>al needs and interests; and</w:t>
      </w:r>
    </w:p>
    <w:p w14:paraId="317148E8" w14:textId="3AD4178E" w:rsidR="002D506D" w:rsidRPr="00AF329E" w:rsidRDefault="002D506D" w:rsidP="00294AF7">
      <w:pPr>
        <w:pStyle w:val="ListParagraph"/>
        <w:numPr>
          <w:ilvl w:val="0"/>
          <w:numId w:val="6"/>
        </w:numPr>
        <w:rPr>
          <w:rFonts w:cs="Arial"/>
          <w:szCs w:val="22"/>
          <w:lang w:val="en-AU"/>
        </w:rPr>
      </w:pPr>
      <w:r w:rsidRPr="00AF329E">
        <w:rPr>
          <w:rFonts w:cs="Arial"/>
          <w:szCs w:val="22"/>
          <w:lang w:val="en-AU"/>
        </w:rPr>
        <w:t>Inadequate capacity for culturally competent engagement practice.</w:t>
      </w:r>
    </w:p>
    <w:p w14:paraId="43C63BE7" w14:textId="77777777" w:rsidR="00294AF7" w:rsidRPr="00AF329E" w:rsidRDefault="00294AF7" w:rsidP="00294AF7">
      <w:pPr>
        <w:rPr>
          <w:rFonts w:cs="Arial"/>
          <w:szCs w:val="22"/>
          <w:lang w:val="en-AU"/>
        </w:rPr>
      </w:pPr>
    </w:p>
    <w:p w14:paraId="1E33DBE8" w14:textId="57A34088" w:rsidR="00294AF7" w:rsidRPr="00AF329E" w:rsidRDefault="00294AF7" w:rsidP="00294AF7">
      <w:pPr>
        <w:rPr>
          <w:szCs w:val="22"/>
          <w:lang w:val="en-AU"/>
        </w:rPr>
      </w:pPr>
      <w:r w:rsidRPr="00AF329E">
        <w:rPr>
          <w:szCs w:val="22"/>
          <w:lang w:val="en-AU"/>
        </w:rPr>
        <w:t>To function effectively government requires mechanisms for engaging with Aboriginal and Torres Strait Islander leadership and community</w:t>
      </w:r>
      <w:r w:rsidR="00432B70">
        <w:rPr>
          <w:szCs w:val="22"/>
          <w:lang w:val="en-AU"/>
        </w:rPr>
        <w:t>-</w:t>
      </w:r>
      <w:r w:rsidRPr="00AF329E">
        <w:rPr>
          <w:szCs w:val="22"/>
          <w:lang w:val="en-AU"/>
        </w:rPr>
        <w:t>controlled organisations to ensure that the relevant expertise, knowledge and community connections are embedded in policy approaches to addressing the disadvantage experienced by Aboriginal and Torres Strait Islander peoples. Engaging with Aboriginal and Torres Strait Islander peak organisations provides a key platform for overcoming engagement barriers and translating community knowledge and the collective voices of Aboriginal and Torres Strait Islander peoples to inform government policy</w:t>
      </w:r>
      <w:r w:rsidR="006F4E3C" w:rsidRPr="00AF329E">
        <w:rPr>
          <w:szCs w:val="22"/>
          <w:lang w:val="en-AU"/>
        </w:rPr>
        <w:t xml:space="preserve">. </w:t>
      </w:r>
      <w:r w:rsidRPr="00AF329E">
        <w:rPr>
          <w:szCs w:val="22"/>
          <w:lang w:val="en-AU"/>
        </w:rPr>
        <w:t>Key functions of Aboriginal and Torres Strait Islander peaks that benefit government include:</w:t>
      </w:r>
    </w:p>
    <w:p w14:paraId="46881A63" w14:textId="77777777" w:rsidR="00294AF7" w:rsidRPr="00AF329E" w:rsidRDefault="00294AF7" w:rsidP="00294AF7">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22"/>
          <w:lang w:val="en-AU"/>
        </w:rPr>
      </w:pPr>
      <w:r w:rsidRPr="00AF329E">
        <w:rPr>
          <w:rFonts w:cs="Arial"/>
          <w:color w:val="000000"/>
          <w:szCs w:val="22"/>
          <w:lang w:val="en-AU"/>
        </w:rPr>
        <w:t xml:space="preserve">Providing a cost effective conduit to garner the perspectives of disadvantaged or marginalised groups, which contributes to improve the development of social policy and programs; </w:t>
      </w:r>
    </w:p>
    <w:p w14:paraId="6E693043" w14:textId="3B3F5F86" w:rsidR="00294AF7" w:rsidRPr="00AF329E" w:rsidRDefault="00294AF7" w:rsidP="00294AF7">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22"/>
          <w:lang w:val="en-AU"/>
        </w:rPr>
      </w:pPr>
      <w:r w:rsidRPr="00AF329E">
        <w:rPr>
          <w:rFonts w:cs="Arial"/>
          <w:color w:val="000000"/>
          <w:szCs w:val="22"/>
          <w:lang w:val="en-AU"/>
        </w:rPr>
        <w:t>Bringing cultural expertise</w:t>
      </w:r>
      <w:r w:rsidR="002D506D" w:rsidRPr="00AF329E">
        <w:rPr>
          <w:rFonts w:cs="Arial"/>
          <w:color w:val="000000"/>
          <w:szCs w:val="22"/>
          <w:lang w:val="en-AU"/>
        </w:rPr>
        <w:t xml:space="preserve"> and connections to communicate</w:t>
      </w:r>
      <w:r w:rsidRPr="00AF329E">
        <w:rPr>
          <w:rFonts w:cs="Arial"/>
          <w:color w:val="000000"/>
          <w:szCs w:val="22"/>
          <w:lang w:val="en-AU"/>
        </w:rPr>
        <w:t xml:space="preserve"> effectively with Aboriginal and Torres Strait Islander people</w:t>
      </w:r>
      <w:r w:rsidR="008B0563" w:rsidRPr="00AF329E">
        <w:rPr>
          <w:rFonts w:cs="Arial"/>
          <w:color w:val="000000"/>
          <w:szCs w:val="22"/>
          <w:lang w:val="en-AU"/>
        </w:rPr>
        <w:t>;</w:t>
      </w:r>
    </w:p>
    <w:p w14:paraId="546D748C" w14:textId="09406E60" w:rsidR="00294AF7" w:rsidRPr="00AF329E" w:rsidRDefault="00294AF7" w:rsidP="00294AF7">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22"/>
          <w:lang w:val="en-AU"/>
        </w:rPr>
      </w:pPr>
      <w:r w:rsidRPr="00AF329E">
        <w:rPr>
          <w:rFonts w:cs="Arial"/>
          <w:color w:val="000000"/>
          <w:szCs w:val="22"/>
          <w:lang w:val="en-AU"/>
        </w:rPr>
        <w:t>Overcoming distrust of government through Aboriginal and Torres Strait Islander leadership and decades of engagement with Aboriginal and Torres Strait Islander people and representation of their needs and priorities</w:t>
      </w:r>
      <w:r w:rsidR="008B0563" w:rsidRPr="00AF329E">
        <w:rPr>
          <w:rFonts w:cs="Arial"/>
          <w:color w:val="000000"/>
          <w:szCs w:val="22"/>
          <w:lang w:val="en-AU"/>
        </w:rPr>
        <w:t>;</w:t>
      </w:r>
    </w:p>
    <w:p w14:paraId="061D0298" w14:textId="77777777" w:rsidR="00294AF7" w:rsidRPr="00AF329E" w:rsidRDefault="00294AF7" w:rsidP="00294AF7">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22"/>
          <w:lang w:val="en-AU"/>
        </w:rPr>
      </w:pPr>
      <w:r w:rsidRPr="00AF329E">
        <w:rPr>
          <w:rFonts w:cs="Arial"/>
          <w:color w:val="000000"/>
          <w:szCs w:val="22"/>
          <w:lang w:val="en-AU"/>
        </w:rPr>
        <w:t>Acting as a repository of sector knowledge and expertise in relation to the needs and circumstances of Aboriginal and Torres Strait Islander people, through specialist knowledge and consultation with members;</w:t>
      </w:r>
    </w:p>
    <w:p w14:paraId="21F92BA1" w14:textId="3267028D" w:rsidR="00294AF7" w:rsidRPr="00AF329E" w:rsidRDefault="00294AF7" w:rsidP="00294AF7">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22"/>
          <w:lang w:val="en-AU"/>
        </w:rPr>
      </w:pPr>
      <w:r w:rsidRPr="00AF329E">
        <w:rPr>
          <w:rFonts w:cs="Arial"/>
          <w:color w:val="000000"/>
          <w:szCs w:val="22"/>
          <w:lang w:val="en-AU"/>
        </w:rPr>
        <w:t>Instigating and promoting public debate which assists in fostering participatory democracy while contributing to sound social policy development;</w:t>
      </w:r>
    </w:p>
    <w:p w14:paraId="6F0B91FB" w14:textId="2CEF891C" w:rsidR="00294AF7" w:rsidRPr="00AF329E" w:rsidRDefault="00294AF7" w:rsidP="00294AF7">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22"/>
          <w:lang w:val="en-AU"/>
        </w:rPr>
      </w:pPr>
      <w:r w:rsidRPr="00AF329E">
        <w:rPr>
          <w:rFonts w:cs="Arial"/>
          <w:color w:val="000000"/>
          <w:szCs w:val="22"/>
          <w:lang w:val="en-AU"/>
        </w:rPr>
        <w:t>Providing a low</w:t>
      </w:r>
      <w:r w:rsidR="00FF72B1">
        <w:rPr>
          <w:rFonts w:cs="Arial"/>
          <w:color w:val="000000"/>
          <w:szCs w:val="22"/>
          <w:lang w:val="en-AU"/>
        </w:rPr>
        <w:t>-</w:t>
      </w:r>
      <w:r w:rsidRPr="00AF329E">
        <w:rPr>
          <w:rFonts w:cs="Arial"/>
          <w:color w:val="000000"/>
          <w:szCs w:val="22"/>
          <w:lang w:val="en-AU"/>
        </w:rPr>
        <w:t>cost mechanism by which governments can access the knowledge and expertise of the sector to improve the quality, efficiency and relevance of their programs and services; and</w:t>
      </w:r>
    </w:p>
    <w:p w14:paraId="68DA6A8A" w14:textId="340BA7BF" w:rsidR="00294AF7" w:rsidRPr="00AF329E" w:rsidRDefault="00294AF7" w:rsidP="00294AF7">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iCs/>
          <w:color w:val="000000"/>
          <w:szCs w:val="22"/>
          <w:lang w:val="en-AU"/>
        </w:rPr>
      </w:pPr>
      <w:r w:rsidRPr="00AF329E">
        <w:rPr>
          <w:rFonts w:cs="Arial"/>
          <w:color w:val="000000"/>
          <w:szCs w:val="22"/>
          <w:lang w:val="en-AU"/>
        </w:rPr>
        <w:t>Assisting in facilitating dialogue and information sharing amongst community sector organisations.</w:t>
      </w:r>
    </w:p>
    <w:p w14:paraId="3E2F298C" w14:textId="77777777" w:rsidR="008B0563" w:rsidRPr="00AF329E" w:rsidRDefault="008B0563" w:rsidP="008B0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iCs/>
          <w:color w:val="000000"/>
          <w:szCs w:val="22"/>
          <w:lang w:val="en-AU"/>
        </w:rPr>
      </w:pPr>
    </w:p>
    <w:p w14:paraId="1E36265F" w14:textId="1E90FDA9" w:rsidR="00294AF7" w:rsidRPr="00AF329E" w:rsidRDefault="00294AF7" w:rsidP="00294AF7">
      <w:pPr>
        <w:rPr>
          <w:szCs w:val="22"/>
          <w:lang w:val="en-AU"/>
        </w:rPr>
      </w:pPr>
      <w:r w:rsidRPr="00AF329E">
        <w:rPr>
          <w:rFonts w:cs="Arial"/>
          <w:szCs w:val="22"/>
          <w:lang w:val="en-AU"/>
        </w:rPr>
        <w:t>Additionally</w:t>
      </w:r>
      <w:r w:rsidR="00FF72B1">
        <w:rPr>
          <w:rFonts w:cs="Arial"/>
          <w:szCs w:val="22"/>
          <w:lang w:val="en-AU"/>
        </w:rPr>
        <w:t>,</w:t>
      </w:r>
      <w:r w:rsidRPr="00AF329E">
        <w:rPr>
          <w:rFonts w:cs="Arial"/>
          <w:szCs w:val="22"/>
          <w:lang w:val="en-AU"/>
        </w:rPr>
        <w:t xml:space="preserve"> and critically, Aboriginal and Torres Strait Islander peak bodies, because they are governed by representative groups of Aboriginal and Torres Strait Islander leaders, provide a platform for self-determination</w:t>
      </w:r>
      <w:r w:rsidR="006F4E3C" w:rsidRPr="00AF329E">
        <w:rPr>
          <w:rFonts w:cs="Arial"/>
          <w:szCs w:val="22"/>
          <w:lang w:val="en-AU"/>
        </w:rPr>
        <w:t xml:space="preserve">. </w:t>
      </w:r>
      <w:r w:rsidRPr="00AF329E">
        <w:rPr>
          <w:rFonts w:cs="Arial"/>
          <w:szCs w:val="22"/>
          <w:lang w:val="en-AU"/>
        </w:rPr>
        <w:t>They serve as vehicles for the empowerment of both the Aboriginal and Torres Strait Islander people who operate them and the communities that they represent and serve</w:t>
      </w:r>
      <w:r w:rsidR="006F4E3C" w:rsidRPr="00AF329E">
        <w:rPr>
          <w:rFonts w:cs="Arial"/>
          <w:szCs w:val="22"/>
          <w:lang w:val="en-AU"/>
        </w:rPr>
        <w:t xml:space="preserve">. </w:t>
      </w:r>
      <w:r w:rsidRPr="00AF329E">
        <w:rPr>
          <w:rFonts w:cs="Arial"/>
          <w:szCs w:val="22"/>
          <w:lang w:val="en-AU"/>
        </w:rPr>
        <w:t xml:space="preserve">They are a key mechanism through which government can enable Indigenous leadership, in line with compelling international evidence that </w:t>
      </w:r>
      <w:r w:rsidRPr="00AF329E">
        <w:rPr>
          <w:szCs w:val="22"/>
          <w:lang w:val="en-AU"/>
        </w:rPr>
        <w:t>“</w:t>
      </w:r>
      <w:r w:rsidRPr="00AF329E">
        <w:rPr>
          <w:i/>
          <w:szCs w:val="22"/>
          <w:lang w:val="en-AU"/>
        </w:rPr>
        <w:t>the best outcomes in community well-being and development for Indigenous peoples are achieved where those peoples have control over their own lives and are empowered to respond to and address the problems facing their own communities</w:t>
      </w:r>
      <w:r w:rsidRPr="00AF329E">
        <w:rPr>
          <w:szCs w:val="22"/>
          <w:lang w:val="en-AU"/>
        </w:rPr>
        <w:t>.”</w:t>
      </w:r>
      <w:r w:rsidRPr="00AF329E">
        <w:rPr>
          <w:szCs w:val="22"/>
          <w:vertAlign w:val="superscript"/>
          <w:lang w:val="en-AU"/>
        </w:rPr>
        <w:endnoteReference w:id="45"/>
      </w:r>
      <w:r w:rsidRPr="00AF329E">
        <w:rPr>
          <w:szCs w:val="22"/>
          <w:vertAlign w:val="superscript"/>
          <w:lang w:val="en-AU"/>
        </w:rPr>
        <w:t xml:space="preserve"> </w:t>
      </w:r>
    </w:p>
    <w:p w14:paraId="1E6AD61E" w14:textId="77777777" w:rsidR="00294AF7" w:rsidRPr="00AF329E" w:rsidRDefault="00294AF7" w:rsidP="00294AF7">
      <w:pPr>
        <w:rPr>
          <w:szCs w:val="22"/>
          <w:lang w:val="en-AU"/>
        </w:rPr>
      </w:pPr>
    </w:p>
    <w:p w14:paraId="03A4FAF1" w14:textId="7BC6B25A" w:rsidR="00294AF7" w:rsidRPr="00AF329E" w:rsidRDefault="00294AF7" w:rsidP="00294AF7">
      <w:pPr>
        <w:shd w:val="clear" w:color="auto" w:fill="FFFFFF"/>
        <w:rPr>
          <w:szCs w:val="22"/>
          <w:lang w:val="en-AU"/>
        </w:rPr>
      </w:pPr>
      <w:r w:rsidRPr="00AF329E">
        <w:rPr>
          <w:szCs w:val="22"/>
          <w:lang w:val="en-AU"/>
        </w:rPr>
        <w:t>In the child and family services sector, SNAICC has a unique role as the only national body providing a representative voice for Aboriginal and Torres Strait Islander community members and organisations</w:t>
      </w:r>
      <w:r w:rsidR="006F4E3C" w:rsidRPr="00AF329E">
        <w:rPr>
          <w:szCs w:val="22"/>
          <w:lang w:val="en-AU"/>
        </w:rPr>
        <w:t xml:space="preserve">. </w:t>
      </w:r>
      <w:r w:rsidRPr="00AF329E">
        <w:rPr>
          <w:szCs w:val="22"/>
          <w:lang w:val="en-AU"/>
        </w:rPr>
        <w:t xml:space="preserve">SNAICC is strongly recognised by government and non-government stakeholders as a leading representative voice on Aboriginal and Torres Strait Islander child and family issues. Established in 1983, SNAICC is an Aboriginal and Torres Strait Islander community-controlled organisation governed by a national board and council of Aboriginal and Torres Strait Islander community and service leaders from across the country. In partnership with </w:t>
      </w:r>
      <w:r w:rsidR="008B0563" w:rsidRPr="00AF329E">
        <w:rPr>
          <w:szCs w:val="22"/>
          <w:lang w:val="en-AU"/>
        </w:rPr>
        <w:t>its</w:t>
      </w:r>
      <w:r w:rsidRPr="00AF329E">
        <w:rPr>
          <w:szCs w:val="22"/>
          <w:lang w:val="en-AU"/>
        </w:rPr>
        <w:t xml:space="preserve"> board and council members, SNAICC undertakes strong, participatory and ongoing consultation with Aboriginal and Torres Strait Islander communities and organisations across the country. SNAICC’s deep connection to, understanding of and accountability to Aboriginal and Torres Strait Islander communities is grounded in its Indigenous-controlled and national representative governance structure, and its long history representing the interests of Aboriginal and Torres Strait Islander children and families. SNAICC represents the voices of Aboriginal and Torres Strait Islander communities in processes that affect them, including government reviews, inquiries, and consultative processes</w:t>
      </w:r>
      <w:r w:rsidR="008B0563" w:rsidRPr="00AF329E">
        <w:rPr>
          <w:szCs w:val="22"/>
          <w:lang w:val="en-AU"/>
        </w:rPr>
        <w:t>.</w:t>
      </w:r>
    </w:p>
    <w:p w14:paraId="6B3BB24F" w14:textId="77777777" w:rsidR="00294AF7" w:rsidRPr="00AF329E" w:rsidRDefault="00294AF7" w:rsidP="00294AF7">
      <w:pPr>
        <w:rPr>
          <w:szCs w:val="22"/>
          <w:lang w:val="en-AU"/>
        </w:rPr>
      </w:pPr>
    </w:p>
    <w:p w14:paraId="6C347AD4" w14:textId="7C6BB9A1" w:rsidR="00294AF7" w:rsidRPr="00AF329E" w:rsidRDefault="00294AF7" w:rsidP="00294AF7">
      <w:pPr>
        <w:rPr>
          <w:szCs w:val="22"/>
          <w:lang w:val="en-AU"/>
        </w:rPr>
      </w:pPr>
      <w:r w:rsidRPr="00AF329E">
        <w:rPr>
          <w:szCs w:val="22"/>
          <w:lang w:val="en-AU"/>
        </w:rPr>
        <w:t>Since the introduction of the Indigenous Advancement Strategy (IAS) in 2014, SNAICC has not received funding to fulfil peak body functions – including to consult with Aboriginal and Torres Strait Islander communities and services and draw on their knowledge and perspectives to inform policy and program development</w:t>
      </w:r>
      <w:r w:rsidR="006F4E3C" w:rsidRPr="00AF329E">
        <w:rPr>
          <w:szCs w:val="22"/>
          <w:lang w:val="en-AU"/>
        </w:rPr>
        <w:t xml:space="preserve">. </w:t>
      </w:r>
      <w:r w:rsidRPr="00AF329E">
        <w:rPr>
          <w:szCs w:val="22"/>
          <w:lang w:val="en-AU"/>
        </w:rPr>
        <w:t>SNAICC currently primarily receives funding through the Department of Prime Minister and Cabinet for conducting training programs</w:t>
      </w:r>
      <w:r w:rsidR="008B0563" w:rsidRPr="00AF329E">
        <w:rPr>
          <w:szCs w:val="22"/>
          <w:lang w:val="en-AU"/>
        </w:rPr>
        <w:t>, providing resources</w:t>
      </w:r>
      <w:r w:rsidRPr="00AF329E">
        <w:rPr>
          <w:szCs w:val="22"/>
          <w:lang w:val="en-AU"/>
        </w:rPr>
        <w:t xml:space="preserve"> and coordinati</w:t>
      </w:r>
      <w:r w:rsidR="008B0563" w:rsidRPr="00AF329E">
        <w:rPr>
          <w:szCs w:val="22"/>
          <w:lang w:val="en-AU"/>
        </w:rPr>
        <w:t xml:space="preserve">ng </w:t>
      </w:r>
      <w:r w:rsidRPr="00AF329E">
        <w:rPr>
          <w:szCs w:val="22"/>
          <w:lang w:val="en-AU"/>
        </w:rPr>
        <w:t>National Aboriginal and Torres Strait Islander Children’s Day.</w:t>
      </w:r>
    </w:p>
    <w:p w14:paraId="34591A37" w14:textId="77777777" w:rsidR="00294AF7" w:rsidRPr="00AF329E" w:rsidRDefault="00294AF7" w:rsidP="00294AF7">
      <w:pPr>
        <w:rPr>
          <w:szCs w:val="22"/>
          <w:lang w:val="en-AU"/>
        </w:rPr>
      </w:pPr>
    </w:p>
    <w:p w14:paraId="594F8BEB" w14:textId="640FA923" w:rsidR="00294AF7" w:rsidRPr="00AF329E" w:rsidRDefault="00294AF7" w:rsidP="00294AF7">
      <w:pPr>
        <w:rPr>
          <w:szCs w:val="22"/>
          <w:lang w:val="en-AU"/>
        </w:rPr>
      </w:pPr>
      <w:r w:rsidRPr="00AF329E">
        <w:rPr>
          <w:szCs w:val="22"/>
          <w:lang w:val="en-AU"/>
        </w:rPr>
        <w:t xml:space="preserve">Despite limitations of its current funding arrangements, SNAICC continues </w:t>
      </w:r>
      <w:r w:rsidR="002C1F34">
        <w:rPr>
          <w:szCs w:val="22"/>
          <w:lang w:val="en-AU"/>
        </w:rPr>
        <w:t xml:space="preserve">– </w:t>
      </w:r>
      <w:r w:rsidRPr="00AF329E">
        <w:rPr>
          <w:szCs w:val="22"/>
          <w:lang w:val="en-AU"/>
        </w:rPr>
        <w:t>to a more limited extent</w:t>
      </w:r>
      <w:r w:rsidR="002C1F34">
        <w:rPr>
          <w:szCs w:val="22"/>
          <w:lang w:val="en-AU"/>
        </w:rPr>
        <w:t xml:space="preserve"> –</w:t>
      </w:r>
      <w:r w:rsidRPr="00AF329E">
        <w:rPr>
          <w:szCs w:val="22"/>
          <w:lang w:val="en-AU"/>
        </w:rPr>
        <w:t xml:space="preserve"> to provide policy advice to government, extending its strong track record of playing an active facilitation role between Aboriginal and Torres Strait Islander community</w:t>
      </w:r>
      <w:r w:rsidR="002C1F34">
        <w:rPr>
          <w:szCs w:val="22"/>
          <w:lang w:val="en-AU"/>
        </w:rPr>
        <w:t>-</w:t>
      </w:r>
      <w:r w:rsidRPr="00AF329E">
        <w:rPr>
          <w:szCs w:val="22"/>
          <w:lang w:val="en-AU"/>
        </w:rPr>
        <w:t>controlled organisations and governments. SNAICC is engaged in a range of partnerships with governments to share expertise and knowledge, and inform best</w:t>
      </w:r>
      <w:r w:rsidR="002C1F34">
        <w:rPr>
          <w:szCs w:val="22"/>
          <w:lang w:val="en-AU"/>
        </w:rPr>
        <w:t>-</w:t>
      </w:r>
      <w:r w:rsidRPr="00AF329E">
        <w:rPr>
          <w:szCs w:val="22"/>
          <w:lang w:val="en-AU"/>
        </w:rPr>
        <w:t>practice approaches to safety and well</w:t>
      </w:r>
      <w:r w:rsidR="002C1F34">
        <w:rPr>
          <w:szCs w:val="22"/>
          <w:lang w:val="en-AU"/>
        </w:rPr>
        <w:t>-</w:t>
      </w:r>
      <w:r w:rsidRPr="00AF329E">
        <w:rPr>
          <w:szCs w:val="22"/>
          <w:lang w:val="en-AU"/>
        </w:rPr>
        <w:t>being for Aboriginal and Torres Strait Islander children</w:t>
      </w:r>
      <w:r w:rsidR="006F4E3C" w:rsidRPr="00AF329E">
        <w:rPr>
          <w:szCs w:val="22"/>
          <w:lang w:val="en-AU"/>
        </w:rPr>
        <w:t xml:space="preserve">. </w:t>
      </w:r>
      <w:r w:rsidRPr="00AF329E">
        <w:rPr>
          <w:szCs w:val="22"/>
          <w:lang w:val="en-AU"/>
        </w:rPr>
        <w:t xml:space="preserve">A recent example has been the work of SNAICC to coordinate the </w:t>
      </w:r>
      <w:r w:rsidRPr="00AF329E">
        <w:rPr>
          <w:i/>
          <w:szCs w:val="22"/>
          <w:lang w:val="en-AU"/>
        </w:rPr>
        <w:t>Family Maters</w:t>
      </w:r>
      <w:r w:rsidRPr="00AF329E">
        <w:rPr>
          <w:szCs w:val="22"/>
          <w:lang w:val="en-AU"/>
        </w:rPr>
        <w:t xml:space="preserve"> campaign, bringing together over 150 Aboriginal and Torres Strait Islander and mainstream sector organisations to provide advice and direction to government on the strategies to overcome the persistent and rising over-representation of Aboriginal and Torres Strait Islander children in out-of-home care</w:t>
      </w:r>
      <w:r w:rsidR="006F4E3C" w:rsidRPr="00AF329E">
        <w:rPr>
          <w:szCs w:val="22"/>
          <w:lang w:val="en-AU"/>
        </w:rPr>
        <w:t xml:space="preserve">. </w:t>
      </w:r>
      <w:r w:rsidRPr="00AF329E">
        <w:rPr>
          <w:szCs w:val="22"/>
          <w:lang w:val="en-AU"/>
        </w:rPr>
        <w:t xml:space="preserve">SNAICC recently worked with </w:t>
      </w:r>
      <w:r w:rsidRPr="00AF329E">
        <w:rPr>
          <w:i/>
          <w:szCs w:val="22"/>
          <w:lang w:val="en-AU"/>
        </w:rPr>
        <w:t xml:space="preserve">Family Matters </w:t>
      </w:r>
      <w:r w:rsidRPr="00AF329E">
        <w:rPr>
          <w:szCs w:val="22"/>
          <w:lang w:val="en-AU"/>
        </w:rPr>
        <w:t>partners to produce and publish an evidence</w:t>
      </w:r>
      <w:r w:rsidR="00721CF0">
        <w:rPr>
          <w:szCs w:val="22"/>
          <w:lang w:val="en-AU"/>
        </w:rPr>
        <w:t>-</w:t>
      </w:r>
      <w:r w:rsidRPr="00AF329E">
        <w:rPr>
          <w:szCs w:val="22"/>
          <w:lang w:val="en-AU"/>
        </w:rPr>
        <w:t>based roadmap for reform and an extensive overview of baseline data on outcomes and progress to address over-representation</w:t>
      </w:r>
      <w:r w:rsidR="006F4E3C" w:rsidRPr="00AF329E">
        <w:rPr>
          <w:szCs w:val="22"/>
          <w:lang w:val="en-AU"/>
        </w:rPr>
        <w:t xml:space="preserve">. </w:t>
      </w:r>
      <w:r w:rsidR="004662F5" w:rsidRPr="00AF329E">
        <w:rPr>
          <w:szCs w:val="22"/>
          <w:lang w:val="en-AU"/>
        </w:rPr>
        <w:t xml:space="preserve">The report and roadmap have been recognised as quality and informative guiding documents by a broad range of government and non-government stakeholders – reflected in the over </w:t>
      </w:r>
      <w:r w:rsidR="004D21CF" w:rsidRPr="00AF329E">
        <w:rPr>
          <w:szCs w:val="22"/>
          <w:lang w:val="en-AU"/>
        </w:rPr>
        <w:t xml:space="preserve">88 non-government organisations, 29 state and federal politicians and </w:t>
      </w:r>
      <w:r w:rsidR="00E0426A" w:rsidRPr="00AF329E">
        <w:rPr>
          <w:szCs w:val="22"/>
          <w:lang w:val="en-AU"/>
        </w:rPr>
        <w:t>6</w:t>
      </w:r>
      <w:r w:rsidR="004D21CF" w:rsidRPr="00AF329E">
        <w:rPr>
          <w:szCs w:val="22"/>
          <w:lang w:val="en-AU"/>
        </w:rPr>
        <w:t xml:space="preserve"> children’s commissioners who have signed the Family Matters Statement of Commitment.</w:t>
      </w:r>
    </w:p>
    <w:p w14:paraId="5BB78B57" w14:textId="77777777" w:rsidR="00294AF7" w:rsidRPr="00AF329E" w:rsidRDefault="00294AF7" w:rsidP="00294AF7">
      <w:pPr>
        <w:shd w:val="clear" w:color="auto" w:fill="FFFFFF"/>
        <w:rPr>
          <w:szCs w:val="22"/>
          <w:lang w:val="en-AU"/>
        </w:rPr>
      </w:pPr>
    </w:p>
    <w:p w14:paraId="2B6961B2" w14:textId="785F6326" w:rsidR="00294AF7" w:rsidRPr="00AF329E" w:rsidRDefault="00294AF7" w:rsidP="00294AF7">
      <w:pPr>
        <w:shd w:val="clear" w:color="auto" w:fill="FFFFFF"/>
        <w:rPr>
          <w:szCs w:val="22"/>
          <w:lang w:val="en-AU"/>
        </w:rPr>
      </w:pPr>
      <w:r w:rsidRPr="00AF329E">
        <w:rPr>
          <w:szCs w:val="22"/>
          <w:lang w:val="en-AU"/>
        </w:rPr>
        <w:t>Though SNAICC has been able to sustain a small scope of peak body operation with non-government and philanthropic support, to fully and sustainably provide peak functions, it requires a government re-investment in SNAICC as a peak body</w:t>
      </w:r>
      <w:r w:rsidR="006F4E3C" w:rsidRPr="00AF329E">
        <w:rPr>
          <w:szCs w:val="22"/>
          <w:lang w:val="en-AU"/>
        </w:rPr>
        <w:t xml:space="preserve">. </w:t>
      </w:r>
      <w:r w:rsidRPr="00AF329E">
        <w:rPr>
          <w:szCs w:val="22"/>
          <w:lang w:val="en-AU"/>
        </w:rPr>
        <w:t>SNAICC estimates that an additional $700,000 p.a. dedicated to peak functions</w:t>
      </w:r>
      <w:r w:rsidR="008B2D25">
        <w:rPr>
          <w:szCs w:val="22"/>
          <w:lang w:val="en-AU"/>
        </w:rPr>
        <w:t xml:space="preserve"> –</w:t>
      </w:r>
      <w:r w:rsidRPr="00AF329E">
        <w:rPr>
          <w:szCs w:val="22"/>
          <w:lang w:val="en-AU"/>
        </w:rPr>
        <w:t xml:space="preserve"> including community and sector consultation, policy development, and advising government </w:t>
      </w:r>
      <w:r w:rsidR="008B2D25">
        <w:rPr>
          <w:szCs w:val="22"/>
          <w:lang w:val="en-AU"/>
        </w:rPr>
        <w:t xml:space="preserve">– </w:t>
      </w:r>
      <w:r w:rsidRPr="00AF329E">
        <w:rPr>
          <w:szCs w:val="22"/>
          <w:lang w:val="en-AU"/>
        </w:rPr>
        <w:t>would enable it to fulfil its peak body functions, including:</w:t>
      </w:r>
    </w:p>
    <w:p w14:paraId="04D5C262" w14:textId="77777777" w:rsidR="00294AF7" w:rsidRPr="00AF329E" w:rsidRDefault="00294AF7" w:rsidP="00294AF7">
      <w:pPr>
        <w:shd w:val="clear" w:color="auto" w:fill="FFFFFF"/>
        <w:rPr>
          <w:szCs w:val="22"/>
          <w:lang w:val="en-AU"/>
        </w:rPr>
      </w:pPr>
    </w:p>
    <w:p w14:paraId="178EDF7A" w14:textId="47D87FCD" w:rsidR="00294AF7" w:rsidRPr="00AF329E" w:rsidRDefault="00D26C92" w:rsidP="00294AF7">
      <w:pPr>
        <w:pStyle w:val="ListParagraph"/>
        <w:numPr>
          <w:ilvl w:val="0"/>
          <w:numId w:val="7"/>
        </w:numPr>
        <w:shd w:val="clear" w:color="auto" w:fill="FFFFFF"/>
        <w:rPr>
          <w:rFonts w:cs="Arial"/>
          <w:color w:val="222222"/>
          <w:sz w:val="19"/>
          <w:szCs w:val="19"/>
          <w:lang w:val="en-AU"/>
        </w:rPr>
      </w:pPr>
      <w:r>
        <w:rPr>
          <w:szCs w:val="22"/>
          <w:lang w:val="en-AU"/>
        </w:rPr>
        <w:t>K</w:t>
      </w:r>
      <w:r w:rsidR="00294AF7" w:rsidRPr="00AF329E">
        <w:rPr>
          <w:szCs w:val="22"/>
          <w:lang w:val="en-AU"/>
        </w:rPr>
        <w:t>ey consultation forums to continually document and track emerging evidence around effective approaches to service delivery for Aboriginal and Torres Strait Islander children and families;</w:t>
      </w:r>
    </w:p>
    <w:p w14:paraId="5F2015CC" w14:textId="72B36015" w:rsidR="00294AF7" w:rsidRPr="00AF329E" w:rsidRDefault="00087F1B" w:rsidP="00294AF7">
      <w:pPr>
        <w:pStyle w:val="ListParagraph"/>
        <w:numPr>
          <w:ilvl w:val="0"/>
          <w:numId w:val="7"/>
        </w:numPr>
        <w:shd w:val="clear" w:color="auto" w:fill="FFFFFF"/>
        <w:rPr>
          <w:rFonts w:cs="Arial"/>
          <w:color w:val="222222"/>
          <w:sz w:val="19"/>
          <w:szCs w:val="19"/>
          <w:lang w:val="en-AU"/>
        </w:rPr>
      </w:pPr>
      <w:r>
        <w:rPr>
          <w:szCs w:val="22"/>
          <w:lang w:val="en-AU"/>
        </w:rPr>
        <w:t>M</w:t>
      </w:r>
      <w:r w:rsidR="00294AF7" w:rsidRPr="00AF329E">
        <w:rPr>
          <w:szCs w:val="22"/>
          <w:lang w:val="en-AU"/>
        </w:rPr>
        <w:t>aintenance of networks and relationships between Aboriginal and Torres Strait Islander community</w:t>
      </w:r>
      <w:r w:rsidR="007A1B42">
        <w:rPr>
          <w:szCs w:val="22"/>
          <w:lang w:val="en-AU"/>
        </w:rPr>
        <w:t>-</w:t>
      </w:r>
      <w:r w:rsidR="00294AF7" w:rsidRPr="00AF329E">
        <w:rPr>
          <w:szCs w:val="22"/>
          <w:lang w:val="en-AU"/>
        </w:rPr>
        <w:t>controlled organisations to build organisational capacity, enable the exchange of knowledge and expertise</w:t>
      </w:r>
      <w:r w:rsidR="00D0050B">
        <w:rPr>
          <w:szCs w:val="22"/>
          <w:lang w:val="en-AU"/>
        </w:rPr>
        <w:t>,</w:t>
      </w:r>
      <w:r w:rsidR="00294AF7" w:rsidRPr="00AF329E">
        <w:rPr>
          <w:szCs w:val="22"/>
          <w:lang w:val="en-AU"/>
        </w:rPr>
        <w:t xml:space="preserve"> and to provide a platform for Aboriginal and Torres Strait Islander leadership to communicate and share the experiences of their communities;</w:t>
      </w:r>
    </w:p>
    <w:p w14:paraId="6CF12213" w14:textId="667A0574" w:rsidR="00294AF7" w:rsidRPr="00AF329E" w:rsidRDefault="00852CA3" w:rsidP="00294AF7">
      <w:pPr>
        <w:pStyle w:val="ListParagraph"/>
        <w:numPr>
          <w:ilvl w:val="0"/>
          <w:numId w:val="7"/>
        </w:numPr>
        <w:shd w:val="clear" w:color="auto" w:fill="FFFFFF"/>
        <w:rPr>
          <w:rFonts w:cs="Arial"/>
          <w:color w:val="222222"/>
          <w:sz w:val="19"/>
          <w:szCs w:val="19"/>
          <w:lang w:val="en-AU"/>
        </w:rPr>
      </w:pPr>
      <w:r>
        <w:rPr>
          <w:szCs w:val="22"/>
          <w:lang w:val="en-AU"/>
        </w:rPr>
        <w:t>T</w:t>
      </w:r>
      <w:r w:rsidR="00294AF7" w:rsidRPr="00AF329E">
        <w:rPr>
          <w:szCs w:val="22"/>
          <w:lang w:val="en-AU"/>
        </w:rPr>
        <w:t>he facilitation of advice, knowledge and mentoring for governments engaged in addressing the vulnerability and disadvantage experienced by Aboriginal and Torres Strait Islander families;</w:t>
      </w:r>
    </w:p>
    <w:p w14:paraId="79B5337A" w14:textId="3D821067" w:rsidR="00294AF7" w:rsidRPr="00AF329E" w:rsidRDefault="00D22678" w:rsidP="00294AF7">
      <w:pPr>
        <w:pStyle w:val="ListParagraph"/>
        <w:numPr>
          <w:ilvl w:val="0"/>
          <w:numId w:val="7"/>
        </w:numPr>
        <w:shd w:val="clear" w:color="auto" w:fill="FFFFFF"/>
        <w:rPr>
          <w:rFonts w:cs="Arial"/>
          <w:color w:val="222222"/>
          <w:sz w:val="19"/>
          <w:szCs w:val="19"/>
          <w:lang w:val="en-AU"/>
        </w:rPr>
      </w:pPr>
      <w:r>
        <w:rPr>
          <w:szCs w:val="22"/>
          <w:lang w:val="en-AU"/>
        </w:rPr>
        <w:t>T</w:t>
      </w:r>
      <w:r w:rsidR="00294AF7" w:rsidRPr="00AF329E">
        <w:rPr>
          <w:szCs w:val="22"/>
          <w:lang w:val="en-AU"/>
        </w:rPr>
        <w:t>he contribution of in</w:t>
      </w:r>
      <w:r w:rsidR="00F51CC4">
        <w:rPr>
          <w:szCs w:val="22"/>
          <w:lang w:val="en-AU"/>
        </w:rPr>
        <w:t>-</w:t>
      </w:r>
      <w:r w:rsidR="00294AF7" w:rsidRPr="00AF329E">
        <w:rPr>
          <w:szCs w:val="22"/>
          <w:lang w:val="en-AU"/>
        </w:rPr>
        <w:t xml:space="preserve">depth policy analysis and advice to a broad range of government policy, legislation and sector development and review processes; </w:t>
      </w:r>
      <w:r w:rsidR="004662F5" w:rsidRPr="00AF329E">
        <w:rPr>
          <w:szCs w:val="22"/>
          <w:lang w:val="en-AU"/>
        </w:rPr>
        <w:t>and</w:t>
      </w:r>
    </w:p>
    <w:p w14:paraId="217B5601" w14:textId="41BC03AE" w:rsidR="00E0426A" w:rsidRPr="00AF329E" w:rsidRDefault="00F51CC4" w:rsidP="00294AF7">
      <w:pPr>
        <w:pStyle w:val="ListParagraph"/>
        <w:numPr>
          <w:ilvl w:val="0"/>
          <w:numId w:val="7"/>
        </w:numPr>
        <w:shd w:val="clear" w:color="auto" w:fill="FFFFFF"/>
        <w:rPr>
          <w:rFonts w:cs="Arial"/>
          <w:color w:val="222222"/>
          <w:sz w:val="19"/>
          <w:szCs w:val="19"/>
          <w:lang w:val="en-AU"/>
        </w:rPr>
      </w:pPr>
      <w:r>
        <w:rPr>
          <w:szCs w:val="22"/>
          <w:lang w:val="en-AU"/>
        </w:rPr>
        <w:t>T</w:t>
      </w:r>
      <w:r w:rsidR="00294AF7" w:rsidRPr="00AF329E">
        <w:rPr>
          <w:szCs w:val="22"/>
          <w:lang w:val="en-AU"/>
        </w:rPr>
        <w:t>he facilitation of best practice advice and mentoring for non-government organisations in engaging in effective service delivery approaches; and</w:t>
      </w:r>
    </w:p>
    <w:p w14:paraId="3784C3D6" w14:textId="64E5EFE4" w:rsidR="00294AF7" w:rsidRPr="00AF329E" w:rsidRDefault="00476D08" w:rsidP="00294AF7">
      <w:pPr>
        <w:pStyle w:val="ListParagraph"/>
        <w:numPr>
          <w:ilvl w:val="0"/>
          <w:numId w:val="7"/>
        </w:numPr>
        <w:shd w:val="clear" w:color="auto" w:fill="FFFFFF"/>
        <w:rPr>
          <w:rFonts w:cs="Arial"/>
          <w:color w:val="222222"/>
          <w:sz w:val="19"/>
          <w:szCs w:val="19"/>
          <w:lang w:val="en-AU"/>
        </w:rPr>
      </w:pPr>
      <w:r>
        <w:rPr>
          <w:szCs w:val="22"/>
          <w:lang w:val="en-AU"/>
        </w:rPr>
        <w:t>T</w:t>
      </w:r>
      <w:r w:rsidR="00294AF7" w:rsidRPr="00AF329E">
        <w:rPr>
          <w:szCs w:val="22"/>
          <w:lang w:val="en-AU"/>
        </w:rPr>
        <w:t>he convening of national policy development spaces such as the biennial SNAICC National Conference.</w:t>
      </w:r>
    </w:p>
    <w:p w14:paraId="7B59AD99" w14:textId="77777777" w:rsidR="00F87DAC" w:rsidRPr="00AF329E" w:rsidRDefault="00F87DAC" w:rsidP="00294AF7">
      <w:pPr>
        <w:rPr>
          <w:rFonts w:eastAsia="Times New Roman" w:cs="Arial"/>
          <w:color w:val="222222"/>
          <w:szCs w:val="22"/>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D0CD" w:themeFill="accent1" w:themeFillTint="33"/>
        <w:tblLook w:val="04A0" w:firstRow="1" w:lastRow="0" w:firstColumn="1" w:lastColumn="0" w:noHBand="0" w:noVBand="1"/>
      </w:tblPr>
      <w:tblGrid>
        <w:gridCol w:w="8516"/>
      </w:tblGrid>
      <w:tr w:rsidR="00A84BF8" w:rsidRPr="00AF329E" w14:paraId="532C6901" w14:textId="77777777" w:rsidTr="00A84BF8">
        <w:tc>
          <w:tcPr>
            <w:tcW w:w="8516" w:type="dxa"/>
            <w:shd w:val="clear" w:color="auto" w:fill="F1D0CD" w:themeFill="accent1" w:themeFillTint="33"/>
          </w:tcPr>
          <w:p w14:paraId="2AB00718" w14:textId="0F015B52" w:rsidR="00A84BF8" w:rsidRPr="00AF329E" w:rsidRDefault="00A84BF8" w:rsidP="00A84BF8">
            <w:pPr>
              <w:pStyle w:val="Heading4"/>
              <w:outlineLvl w:val="3"/>
              <w:rPr>
                <w:lang w:val="en-AU"/>
              </w:rPr>
            </w:pPr>
            <w:r w:rsidRPr="00AF329E">
              <w:rPr>
                <w:lang w:val="en-AU"/>
              </w:rPr>
              <w:t xml:space="preserve">Recommendation 7: </w:t>
            </w:r>
          </w:p>
          <w:p w14:paraId="4DEE6E02" w14:textId="1F4B4FCC" w:rsidR="00A84BF8" w:rsidRPr="00AF329E" w:rsidRDefault="00A84BF8" w:rsidP="00A84BF8">
            <w:pPr>
              <w:rPr>
                <w:lang w:val="en-AU"/>
              </w:rPr>
            </w:pPr>
            <w:r w:rsidRPr="00AF329E">
              <w:rPr>
                <w:lang w:val="en-AU"/>
              </w:rPr>
              <w:t>Adequate r</w:t>
            </w:r>
            <w:r w:rsidR="00E0426A" w:rsidRPr="00AF329E">
              <w:rPr>
                <w:lang w:val="en-AU"/>
              </w:rPr>
              <w:t>esourcing is provided to SNAICC –</w:t>
            </w:r>
            <w:r w:rsidRPr="00AF329E">
              <w:rPr>
                <w:lang w:val="en-AU"/>
              </w:rPr>
              <w:t xml:space="preserve"> National Voice for Our Children to fulfil its role as the national peak body representing the interests of Aboriginal and Torres Strait Islander children.</w:t>
            </w:r>
          </w:p>
          <w:p w14:paraId="42191003" w14:textId="77777777" w:rsidR="00A84BF8" w:rsidRPr="00AF329E" w:rsidRDefault="00A84BF8" w:rsidP="00A84BF8">
            <w:pPr>
              <w:pStyle w:val="Heading6"/>
              <w:outlineLvl w:val="5"/>
              <w:rPr>
                <w:lang w:val="en-AU"/>
              </w:rPr>
            </w:pPr>
            <w:r w:rsidRPr="00AF329E">
              <w:rPr>
                <w:lang w:val="en-AU"/>
              </w:rPr>
              <w:t xml:space="preserve">Budget impact: </w:t>
            </w:r>
          </w:p>
          <w:p w14:paraId="638A7EB9" w14:textId="23334312" w:rsidR="00A84BF8" w:rsidRPr="00AF329E" w:rsidRDefault="00A84BF8" w:rsidP="000D0C62">
            <w:pPr>
              <w:rPr>
                <w:lang w:val="en-AU"/>
              </w:rPr>
            </w:pPr>
            <w:r w:rsidRPr="00AF329E">
              <w:rPr>
                <w:lang w:val="en-AU"/>
              </w:rPr>
              <w:t>$2.8m over 4 years</w:t>
            </w:r>
          </w:p>
        </w:tc>
      </w:tr>
    </w:tbl>
    <w:p w14:paraId="23A761F5" w14:textId="77777777" w:rsidR="00294AF7" w:rsidRPr="00AF329E" w:rsidRDefault="00294AF7" w:rsidP="000D0C62">
      <w:pPr>
        <w:rPr>
          <w:rFonts w:eastAsia="Times New Roman" w:cs="Arial"/>
          <w:color w:val="222222"/>
          <w:szCs w:val="22"/>
          <w:lang w:val="en-AU"/>
        </w:rPr>
      </w:pPr>
    </w:p>
    <w:p w14:paraId="44357011" w14:textId="270E957D" w:rsidR="000D0C62" w:rsidRPr="00AF329E" w:rsidRDefault="00810D87" w:rsidP="00810D87">
      <w:pPr>
        <w:pStyle w:val="Heading2"/>
        <w:rPr>
          <w:b/>
          <w:color w:val="73261E" w:themeColor="accent1" w:themeShade="BF"/>
          <w:sz w:val="32"/>
          <w:szCs w:val="32"/>
          <w:lang w:val="en-AU"/>
        </w:rPr>
      </w:pPr>
      <w:r w:rsidRPr="00AF329E">
        <w:rPr>
          <w:b/>
          <w:color w:val="73261E" w:themeColor="accent1" w:themeShade="BF"/>
          <w:sz w:val="32"/>
          <w:szCs w:val="32"/>
          <w:lang w:val="en-AU"/>
        </w:rPr>
        <w:t>TOTAL Budget IMPACT and OFFSETS</w:t>
      </w:r>
    </w:p>
    <w:p w14:paraId="758994AE" w14:textId="09089643" w:rsidR="00810D87" w:rsidRPr="00AF329E" w:rsidRDefault="00810D87" w:rsidP="00445409">
      <w:pPr>
        <w:pStyle w:val="Heading3"/>
        <w:rPr>
          <w:lang w:val="en-AU"/>
        </w:rPr>
      </w:pPr>
      <w:r w:rsidRPr="00AF329E">
        <w:rPr>
          <w:lang w:val="en-AU"/>
        </w:rPr>
        <w:t>Costs</w:t>
      </w:r>
    </w:p>
    <w:p w14:paraId="32B74A9E" w14:textId="77777777" w:rsidR="00445409" w:rsidRPr="00AF329E" w:rsidRDefault="00445409" w:rsidP="00445409">
      <w:pPr>
        <w:rPr>
          <w:lang w:val="en-AU"/>
        </w:rPr>
      </w:pPr>
    </w:p>
    <w:tbl>
      <w:tblPr>
        <w:tblStyle w:val="TableGrid"/>
        <w:tblW w:w="0" w:type="auto"/>
        <w:tblLook w:val="04A0" w:firstRow="1" w:lastRow="0" w:firstColumn="1" w:lastColumn="0" w:noHBand="0" w:noVBand="1"/>
      </w:tblPr>
      <w:tblGrid>
        <w:gridCol w:w="6020"/>
        <w:gridCol w:w="2496"/>
      </w:tblGrid>
      <w:tr w:rsidR="00810D87" w:rsidRPr="00AF329E" w14:paraId="56FBD3EE" w14:textId="77777777" w:rsidTr="002D7C67">
        <w:trPr>
          <w:cantSplit/>
        </w:trPr>
        <w:tc>
          <w:tcPr>
            <w:tcW w:w="6020" w:type="dxa"/>
          </w:tcPr>
          <w:p w14:paraId="7B43BD8D" w14:textId="62F9D7AE" w:rsidR="00810D87" w:rsidRPr="00AF329E" w:rsidRDefault="00810D87" w:rsidP="00810D87">
            <w:pPr>
              <w:rPr>
                <w:b/>
                <w:lang w:val="en-AU"/>
              </w:rPr>
            </w:pPr>
            <w:r w:rsidRPr="00AF329E">
              <w:rPr>
                <w:b/>
                <w:lang w:val="en-AU"/>
              </w:rPr>
              <w:t>Recommendation</w:t>
            </w:r>
          </w:p>
        </w:tc>
        <w:tc>
          <w:tcPr>
            <w:tcW w:w="2496" w:type="dxa"/>
          </w:tcPr>
          <w:p w14:paraId="70CBD6C9" w14:textId="38FF4D20" w:rsidR="00810D87" w:rsidRPr="00AF329E" w:rsidRDefault="00DA72F9" w:rsidP="00810D87">
            <w:pPr>
              <w:rPr>
                <w:b/>
                <w:lang w:val="en-AU"/>
              </w:rPr>
            </w:pPr>
            <w:r w:rsidRPr="00AF329E">
              <w:rPr>
                <w:b/>
                <w:lang w:val="en-AU"/>
              </w:rPr>
              <w:t>Cost over 4 years</w:t>
            </w:r>
          </w:p>
        </w:tc>
      </w:tr>
      <w:tr w:rsidR="00810D87" w:rsidRPr="00AF329E" w14:paraId="2537A677" w14:textId="77777777" w:rsidTr="002D7C67">
        <w:trPr>
          <w:cantSplit/>
        </w:trPr>
        <w:tc>
          <w:tcPr>
            <w:tcW w:w="6020" w:type="dxa"/>
          </w:tcPr>
          <w:p w14:paraId="15FE357E" w14:textId="353E9985" w:rsidR="00810D87" w:rsidRPr="00AF329E" w:rsidRDefault="00810D87" w:rsidP="00810D87">
            <w:pPr>
              <w:rPr>
                <w:lang w:val="en-AU"/>
              </w:rPr>
            </w:pPr>
            <w:r w:rsidRPr="00AF329E">
              <w:rPr>
                <w:lang w:val="en-AU"/>
              </w:rPr>
              <w:t>A COAG target and national strategy to address over-representa</w:t>
            </w:r>
            <w:r w:rsidR="00DA72F9" w:rsidRPr="00AF329E">
              <w:rPr>
                <w:lang w:val="en-AU"/>
              </w:rPr>
              <w:t>t</w:t>
            </w:r>
            <w:r w:rsidRPr="00AF329E">
              <w:rPr>
                <w:lang w:val="en-AU"/>
              </w:rPr>
              <w:t>ion</w:t>
            </w:r>
          </w:p>
        </w:tc>
        <w:tc>
          <w:tcPr>
            <w:tcW w:w="2496" w:type="dxa"/>
          </w:tcPr>
          <w:p w14:paraId="5456E90E" w14:textId="229B9E8B" w:rsidR="00810D87" w:rsidRPr="00AF329E" w:rsidRDefault="00DA72F9" w:rsidP="00810D87">
            <w:pPr>
              <w:rPr>
                <w:lang w:val="en-AU"/>
              </w:rPr>
            </w:pPr>
            <w:r w:rsidRPr="00AF329E">
              <w:rPr>
                <w:lang w:val="en-AU"/>
              </w:rPr>
              <w:t>$40 million</w:t>
            </w:r>
          </w:p>
        </w:tc>
      </w:tr>
      <w:tr w:rsidR="00DA72F9" w:rsidRPr="00AF329E" w14:paraId="05CE4559" w14:textId="77777777" w:rsidTr="002D7C67">
        <w:trPr>
          <w:cantSplit/>
        </w:trPr>
        <w:tc>
          <w:tcPr>
            <w:tcW w:w="6020" w:type="dxa"/>
          </w:tcPr>
          <w:p w14:paraId="08B77B75" w14:textId="2B8C9CC8" w:rsidR="00DA72F9" w:rsidRPr="00AF329E" w:rsidRDefault="00DA72F9" w:rsidP="00810D87">
            <w:pPr>
              <w:rPr>
                <w:lang w:val="en-AU"/>
              </w:rPr>
            </w:pPr>
            <w:r w:rsidRPr="00AF329E">
              <w:rPr>
                <w:lang w:val="en-AU"/>
              </w:rPr>
              <w:t>A national Aboriginal and Torres Strait Islander early intervention, prevention and reunification program</w:t>
            </w:r>
          </w:p>
        </w:tc>
        <w:tc>
          <w:tcPr>
            <w:tcW w:w="2496" w:type="dxa"/>
          </w:tcPr>
          <w:p w14:paraId="0207F1A7" w14:textId="4C67817E" w:rsidR="00DA72F9" w:rsidRPr="00AF329E" w:rsidRDefault="00DA72F9" w:rsidP="00810D87">
            <w:pPr>
              <w:rPr>
                <w:lang w:val="en-AU"/>
              </w:rPr>
            </w:pPr>
            <w:r w:rsidRPr="00AF329E">
              <w:rPr>
                <w:lang w:val="en-AU"/>
              </w:rPr>
              <w:t>$240 million</w:t>
            </w:r>
          </w:p>
        </w:tc>
      </w:tr>
      <w:tr w:rsidR="00DA72F9" w:rsidRPr="00AF329E" w14:paraId="235DC8D7" w14:textId="77777777" w:rsidTr="002D7C67">
        <w:trPr>
          <w:cantSplit/>
        </w:trPr>
        <w:tc>
          <w:tcPr>
            <w:tcW w:w="6020" w:type="dxa"/>
          </w:tcPr>
          <w:p w14:paraId="699F7430" w14:textId="6430FB2E" w:rsidR="00DA72F9" w:rsidRPr="00AF329E" w:rsidRDefault="00DA72F9" w:rsidP="00810D87">
            <w:pPr>
              <w:rPr>
                <w:lang w:val="en-AU"/>
              </w:rPr>
            </w:pPr>
            <w:r w:rsidRPr="00AF329E">
              <w:rPr>
                <w:lang w:val="en-AU"/>
              </w:rPr>
              <w:t>An Aboriginal and Torres Strait Islander specific program within the Child Care Safety Net of the Federal Government’s Jobs for Families Package</w:t>
            </w:r>
          </w:p>
        </w:tc>
        <w:tc>
          <w:tcPr>
            <w:tcW w:w="2496" w:type="dxa"/>
          </w:tcPr>
          <w:p w14:paraId="25395425" w14:textId="46E2EBED" w:rsidR="00DA72F9" w:rsidRPr="00AF329E" w:rsidRDefault="00DA72F9" w:rsidP="00810D87">
            <w:pPr>
              <w:rPr>
                <w:i/>
                <w:lang w:val="en-AU"/>
              </w:rPr>
            </w:pPr>
            <w:r w:rsidRPr="00AF329E">
              <w:rPr>
                <w:lang w:val="en-AU"/>
              </w:rPr>
              <w:t xml:space="preserve">$400 million </w:t>
            </w:r>
            <w:r w:rsidRPr="00AF329E">
              <w:rPr>
                <w:i/>
                <w:lang w:val="en-AU"/>
              </w:rPr>
              <w:t>reduced to Nil by savings within the existing package</w:t>
            </w:r>
          </w:p>
        </w:tc>
      </w:tr>
      <w:tr w:rsidR="00DA72F9" w:rsidRPr="00AF329E" w14:paraId="1D39E64C" w14:textId="77777777" w:rsidTr="002D7C67">
        <w:trPr>
          <w:cantSplit/>
        </w:trPr>
        <w:tc>
          <w:tcPr>
            <w:tcW w:w="6020" w:type="dxa"/>
          </w:tcPr>
          <w:p w14:paraId="53C0FE01" w14:textId="46210F7E" w:rsidR="00DA72F9" w:rsidRPr="00AF329E" w:rsidRDefault="00445409" w:rsidP="00810D87">
            <w:pPr>
              <w:rPr>
                <w:lang w:val="en-AU"/>
              </w:rPr>
            </w:pPr>
            <w:r w:rsidRPr="00AF329E">
              <w:rPr>
                <w:lang w:val="en-AU"/>
              </w:rPr>
              <w:t>At least 20hrs of subsidised quality early learning to all children to support their development, regardless of their parents’ activities</w:t>
            </w:r>
          </w:p>
        </w:tc>
        <w:tc>
          <w:tcPr>
            <w:tcW w:w="2496" w:type="dxa"/>
          </w:tcPr>
          <w:p w14:paraId="2DDD48AD" w14:textId="5369D7C1" w:rsidR="00DA72F9" w:rsidRPr="00AF329E" w:rsidRDefault="00445409" w:rsidP="00810D87">
            <w:pPr>
              <w:rPr>
                <w:i/>
                <w:lang w:val="en-AU"/>
              </w:rPr>
            </w:pPr>
            <w:r w:rsidRPr="00AF329E">
              <w:rPr>
                <w:i/>
                <w:lang w:val="en-AU"/>
              </w:rPr>
              <w:t>Not costed in this submission</w:t>
            </w:r>
          </w:p>
        </w:tc>
      </w:tr>
      <w:tr w:rsidR="00445409" w:rsidRPr="00AF329E" w14:paraId="58E9C9A5" w14:textId="77777777" w:rsidTr="002D7C67">
        <w:trPr>
          <w:cantSplit/>
        </w:trPr>
        <w:tc>
          <w:tcPr>
            <w:tcW w:w="6020" w:type="dxa"/>
          </w:tcPr>
          <w:p w14:paraId="442C1887" w14:textId="3DFA0DF7" w:rsidR="00445409" w:rsidRPr="00AF329E" w:rsidRDefault="00445409" w:rsidP="00810D87">
            <w:pPr>
              <w:rPr>
                <w:rFonts w:cs="Times New Roman"/>
                <w:szCs w:val="22"/>
                <w:lang w:val="en-AU"/>
              </w:rPr>
            </w:pPr>
            <w:r w:rsidRPr="00AF329E">
              <w:rPr>
                <w:rFonts w:cs="Times New Roman"/>
                <w:szCs w:val="22"/>
                <w:lang w:val="en-AU"/>
              </w:rPr>
              <w:t>National data sets for child protection aligned with gaps identified in the 2016 Family Matters Report</w:t>
            </w:r>
          </w:p>
        </w:tc>
        <w:tc>
          <w:tcPr>
            <w:tcW w:w="2496" w:type="dxa"/>
          </w:tcPr>
          <w:p w14:paraId="6AB5BB92" w14:textId="3CF685DC" w:rsidR="00445409" w:rsidRPr="00AF329E" w:rsidRDefault="00445409" w:rsidP="00810D87">
            <w:pPr>
              <w:rPr>
                <w:lang w:val="en-AU"/>
              </w:rPr>
            </w:pPr>
            <w:r w:rsidRPr="00AF329E">
              <w:rPr>
                <w:lang w:val="en-AU"/>
              </w:rPr>
              <w:t>Nil</w:t>
            </w:r>
          </w:p>
        </w:tc>
      </w:tr>
      <w:tr w:rsidR="00445409" w:rsidRPr="00AF329E" w14:paraId="3C604A08" w14:textId="77777777" w:rsidTr="002D7C67">
        <w:trPr>
          <w:cantSplit/>
        </w:trPr>
        <w:tc>
          <w:tcPr>
            <w:tcW w:w="6020" w:type="dxa"/>
          </w:tcPr>
          <w:p w14:paraId="3F7C5F3C" w14:textId="5504FA0F" w:rsidR="00445409" w:rsidRPr="00AF329E" w:rsidRDefault="00445409" w:rsidP="00810D87">
            <w:pPr>
              <w:rPr>
                <w:rFonts w:cs="Times New Roman"/>
                <w:szCs w:val="22"/>
                <w:lang w:val="en-AU"/>
              </w:rPr>
            </w:pPr>
            <w:r w:rsidRPr="00AF329E">
              <w:rPr>
                <w:rFonts w:cs="Times New Roman"/>
                <w:szCs w:val="22"/>
                <w:lang w:val="en-AU"/>
              </w:rPr>
              <w:t>Community participation in children protection decision-making trials</w:t>
            </w:r>
          </w:p>
        </w:tc>
        <w:tc>
          <w:tcPr>
            <w:tcW w:w="2496" w:type="dxa"/>
          </w:tcPr>
          <w:p w14:paraId="215E5E9C" w14:textId="3AF9F388" w:rsidR="00445409" w:rsidRPr="00AF329E" w:rsidRDefault="00445409" w:rsidP="00810D87">
            <w:pPr>
              <w:rPr>
                <w:lang w:val="en-AU"/>
              </w:rPr>
            </w:pPr>
            <w:r w:rsidRPr="00AF329E">
              <w:rPr>
                <w:lang w:val="en-AU"/>
              </w:rPr>
              <w:t>$8 million</w:t>
            </w:r>
          </w:p>
        </w:tc>
      </w:tr>
      <w:tr w:rsidR="00445409" w:rsidRPr="00AF329E" w14:paraId="51C1E038" w14:textId="77777777" w:rsidTr="002D7C67">
        <w:trPr>
          <w:cantSplit/>
        </w:trPr>
        <w:tc>
          <w:tcPr>
            <w:tcW w:w="6020" w:type="dxa"/>
          </w:tcPr>
          <w:p w14:paraId="0DA91A5A" w14:textId="7D5C314E" w:rsidR="00445409" w:rsidRPr="00AF329E" w:rsidRDefault="00445409" w:rsidP="00810D87">
            <w:pPr>
              <w:rPr>
                <w:rFonts w:cs="Times New Roman"/>
                <w:szCs w:val="22"/>
                <w:lang w:val="en-AU"/>
              </w:rPr>
            </w:pPr>
            <w:r w:rsidRPr="00AF329E">
              <w:rPr>
                <w:lang w:val="en-AU"/>
              </w:rPr>
              <w:t>Adequate resourcing is provided to SNAICC – National Voice for Our Children to fulfil its role as the national peak body representing the interests of Aboriginal and Torres Strait Islander children</w:t>
            </w:r>
          </w:p>
        </w:tc>
        <w:tc>
          <w:tcPr>
            <w:tcW w:w="2496" w:type="dxa"/>
          </w:tcPr>
          <w:p w14:paraId="2B64B6B4" w14:textId="1E62EBBA" w:rsidR="00445409" w:rsidRPr="00AF329E" w:rsidRDefault="00445409" w:rsidP="00810D87">
            <w:pPr>
              <w:rPr>
                <w:lang w:val="en-AU"/>
              </w:rPr>
            </w:pPr>
            <w:r w:rsidRPr="00AF329E">
              <w:rPr>
                <w:lang w:val="en-AU"/>
              </w:rPr>
              <w:t>$2.8 million</w:t>
            </w:r>
          </w:p>
        </w:tc>
      </w:tr>
      <w:tr w:rsidR="00445409" w:rsidRPr="00AF329E" w14:paraId="64B07E7F" w14:textId="77777777" w:rsidTr="002D7C67">
        <w:trPr>
          <w:cantSplit/>
        </w:trPr>
        <w:tc>
          <w:tcPr>
            <w:tcW w:w="6020" w:type="dxa"/>
          </w:tcPr>
          <w:p w14:paraId="700423F1" w14:textId="61F1B66F" w:rsidR="00445409" w:rsidRPr="00AF329E" w:rsidRDefault="00445409" w:rsidP="00810D87">
            <w:pPr>
              <w:rPr>
                <w:b/>
                <w:lang w:val="en-AU"/>
              </w:rPr>
            </w:pPr>
            <w:r w:rsidRPr="00AF329E">
              <w:rPr>
                <w:b/>
                <w:lang w:val="en-AU"/>
              </w:rPr>
              <w:t>TOTAL</w:t>
            </w:r>
          </w:p>
        </w:tc>
        <w:tc>
          <w:tcPr>
            <w:tcW w:w="2496" w:type="dxa"/>
          </w:tcPr>
          <w:p w14:paraId="69E3D6B3" w14:textId="7E30D70F" w:rsidR="00445409" w:rsidRPr="00AF329E" w:rsidRDefault="00445409" w:rsidP="00810D87">
            <w:pPr>
              <w:rPr>
                <w:lang w:val="en-AU"/>
              </w:rPr>
            </w:pPr>
            <w:r w:rsidRPr="00AF329E">
              <w:rPr>
                <w:lang w:val="en-AU"/>
              </w:rPr>
              <w:t>$290.8 million</w:t>
            </w:r>
          </w:p>
        </w:tc>
      </w:tr>
    </w:tbl>
    <w:p w14:paraId="42D43893" w14:textId="77777777" w:rsidR="00810D87" w:rsidRPr="00AF329E" w:rsidRDefault="00810D87" w:rsidP="00810D87">
      <w:pPr>
        <w:rPr>
          <w:b/>
          <w:lang w:val="en-AU"/>
        </w:rPr>
      </w:pPr>
    </w:p>
    <w:p w14:paraId="3A19C0DC" w14:textId="29792FC1" w:rsidR="00810D87" w:rsidRPr="00AF329E" w:rsidRDefault="00810D87" w:rsidP="00445409">
      <w:pPr>
        <w:pStyle w:val="Heading3"/>
        <w:rPr>
          <w:lang w:val="en-AU"/>
        </w:rPr>
      </w:pPr>
      <w:r w:rsidRPr="00AF329E">
        <w:rPr>
          <w:lang w:val="en-AU"/>
        </w:rPr>
        <w:t>Offsets</w:t>
      </w:r>
    </w:p>
    <w:p w14:paraId="324E43A4" w14:textId="77777777" w:rsidR="00445409" w:rsidRPr="00AF329E" w:rsidRDefault="00445409" w:rsidP="00445409">
      <w:pPr>
        <w:spacing w:before="120" w:after="120"/>
        <w:rPr>
          <w:lang w:val="en-AU"/>
        </w:rPr>
      </w:pPr>
    </w:p>
    <w:p w14:paraId="3E82763E" w14:textId="6716C5CF" w:rsidR="003D73AA" w:rsidRPr="003D73AA" w:rsidRDefault="003D73AA" w:rsidP="003D73AA">
      <w:pPr>
        <w:spacing w:before="120" w:after="120"/>
        <w:rPr>
          <w:lang w:val="en-AU"/>
        </w:rPr>
      </w:pPr>
      <w:r w:rsidRPr="003D73AA">
        <w:t>SNAICC understands the need for structural reform to return the budget to surplus. However, in recent years significant funds have been stripped from the services that are critically needed to improve outcomes Aboriginal and Torres Strait Islander children. This included $534 million that was cut from existing programs within the Indigenous Affairs budget in 2014 and the discontinuation of the Aboriginal Children and Family Centres program in the same year. The continuing failure to advance the closing the gap agenda across a broad range of outcomes reflects persistent failures to achieve adequate service reach, quality and accessibility for Aboriginal and Torres Strait Islander people</w:t>
      </w:r>
      <w:r>
        <w:t>,</w:t>
      </w:r>
      <w:r w:rsidRPr="003D73AA">
        <w:t xml:space="preserve"> and reflects the need for targeted investments. The continuing escalation in over-representation of Aboriginal and Torres Strait Islander children in child protection systems and the long-term social and economic returns of early intervention investment detailed in this submission compellingly inform the case to increase overall funding for Indigenous child safety and well</w:t>
      </w:r>
      <w:r>
        <w:t>-</w:t>
      </w:r>
      <w:r w:rsidRPr="003D73AA">
        <w:t>being initiatives.</w:t>
      </w:r>
    </w:p>
    <w:p w14:paraId="2DFEEB83" w14:textId="4A88502C" w:rsidR="003D73AA" w:rsidRPr="003D73AA" w:rsidRDefault="003D73AA" w:rsidP="003D73AA">
      <w:pPr>
        <w:spacing w:before="120" w:after="120"/>
        <w:rPr>
          <w:lang w:val="en-AU"/>
        </w:rPr>
      </w:pPr>
      <w:r w:rsidRPr="003D73AA">
        <w:t xml:space="preserve">Our recommendation is that the total of $290.8 million in additional expenditures identified in this submission are offset against a decline in the </w:t>
      </w:r>
      <w:r w:rsidR="00301E4C">
        <w:t>Government’s planned increase in defence</w:t>
      </w:r>
      <w:r w:rsidRPr="003D73AA">
        <w:t xml:space="preserve"> expenditures, as outlined in Save the Children Australia’s federal budget submission which incorporates the majority of Family Matters budget proposals.</w:t>
      </w:r>
    </w:p>
    <w:p w14:paraId="2B02D769" w14:textId="77777777" w:rsidR="00810D87" w:rsidRPr="00AF329E" w:rsidRDefault="00810D87" w:rsidP="00C401CE">
      <w:pPr>
        <w:rPr>
          <w:lang w:val="en-AU"/>
        </w:rPr>
      </w:pPr>
    </w:p>
    <w:sectPr w:rsidR="00810D87" w:rsidRPr="00AF329E" w:rsidSect="00632C39">
      <w:headerReference w:type="even" r:id="rId25"/>
      <w:headerReference w:type="default" r:id="rId26"/>
      <w:footerReference w:type="even" r:id="rId27"/>
      <w:footerReference w:type="default" r:id="rId28"/>
      <w:headerReference w:type="first" r:id="rId29"/>
      <w:endnotePr>
        <w:numFmt w:val="decimal"/>
      </w:endnotePr>
      <w:pgSz w:w="11900" w:h="16840"/>
      <w:pgMar w:top="1440" w:right="1800" w:bottom="1440" w:left="1800" w:header="708" w:footer="708" w:gutter="0"/>
      <w:cols w:space="708"/>
      <w:titlePg/>
      <w:docGrid w:linePitch="272"/>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A04E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8E8A4" w14:textId="77777777" w:rsidR="00993586" w:rsidRDefault="00993586">
      <w:r>
        <w:separator/>
      </w:r>
    </w:p>
  </w:endnote>
  <w:endnote w:type="continuationSeparator" w:id="0">
    <w:p w14:paraId="1A96F196" w14:textId="77777777" w:rsidR="00993586" w:rsidRDefault="00993586">
      <w:r>
        <w:continuationSeparator/>
      </w:r>
    </w:p>
  </w:endnote>
  <w:endnote w:id="1">
    <w:p w14:paraId="6F876071" w14:textId="6084F98B" w:rsidR="00993586" w:rsidRPr="002D7C67" w:rsidRDefault="00993586">
      <w:pPr>
        <w:pStyle w:val="EndnoteText"/>
        <w:rPr>
          <w:sz w:val="18"/>
          <w:szCs w:val="18"/>
        </w:rPr>
      </w:pPr>
      <w:r w:rsidRPr="002D7C67">
        <w:rPr>
          <w:rStyle w:val="EndnoteReference"/>
          <w:sz w:val="18"/>
          <w:szCs w:val="18"/>
        </w:rPr>
        <w:endnoteRef/>
      </w:r>
      <w:r w:rsidRPr="002D7C67">
        <w:rPr>
          <w:sz w:val="18"/>
          <w:szCs w:val="18"/>
        </w:rPr>
        <w:t xml:space="preserve"> </w:t>
      </w:r>
      <w:r w:rsidRPr="002D7C67">
        <w:rPr>
          <w:rFonts w:eastAsia="Times New Roman" w:cs="Arial"/>
          <w:sz w:val="18"/>
          <w:szCs w:val="18"/>
        </w:rPr>
        <w:t xml:space="preserve">SNAICC – National Voice for our Children (2016), </w:t>
      </w:r>
      <w:r w:rsidRPr="002D7C67">
        <w:rPr>
          <w:rFonts w:eastAsia="Times New Roman" w:cs="Arial"/>
          <w:i/>
          <w:sz w:val="18"/>
          <w:szCs w:val="18"/>
        </w:rPr>
        <w:t>Family Matters Report</w:t>
      </w:r>
      <w:r w:rsidRPr="002D7C67">
        <w:rPr>
          <w:rFonts w:eastAsia="Times New Roman" w:cs="Arial"/>
          <w:sz w:val="18"/>
          <w:szCs w:val="18"/>
        </w:rPr>
        <w:t>, Melbourne.</w:t>
      </w:r>
    </w:p>
  </w:endnote>
  <w:endnote w:id="2">
    <w:p w14:paraId="39852DB1" w14:textId="4D5A4274" w:rsidR="00993586" w:rsidRPr="002D7C67" w:rsidRDefault="00993586" w:rsidP="006D1B31">
      <w:pPr>
        <w:pStyle w:val="EndnoteText"/>
        <w:rPr>
          <w:sz w:val="18"/>
          <w:szCs w:val="18"/>
        </w:rPr>
      </w:pPr>
      <w:r w:rsidRPr="002D7C67">
        <w:rPr>
          <w:rStyle w:val="EndnoteReference"/>
          <w:sz w:val="18"/>
          <w:szCs w:val="18"/>
        </w:rPr>
        <w:endnoteRef/>
      </w:r>
      <w:r w:rsidRPr="002D7C67">
        <w:rPr>
          <w:sz w:val="18"/>
          <w:szCs w:val="18"/>
        </w:rPr>
        <w:t xml:space="preserve"> Australian Institute of Health and Welfare (2016) </w:t>
      </w:r>
      <w:r w:rsidRPr="002D7C67">
        <w:rPr>
          <w:i/>
          <w:sz w:val="18"/>
          <w:szCs w:val="18"/>
        </w:rPr>
        <w:t xml:space="preserve">Child Protection Australia 2014-15, </w:t>
      </w:r>
      <w:r w:rsidRPr="002D7C67">
        <w:rPr>
          <w:sz w:val="18"/>
          <w:szCs w:val="18"/>
        </w:rPr>
        <w:t>Child welfare series no. 63. Cat. no. CWS 57. Canberra.</w:t>
      </w:r>
    </w:p>
  </w:endnote>
  <w:endnote w:id="3">
    <w:p w14:paraId="4536B0F9" w14:textId="7D3EB1C7" w:rsidR="00993586" w:rsidRPr="002D7C67" w:rsidRDefault="00993586" w:rsidP="006D1B31">
      <w:pPr>
        <w:pStyle w:val="EndnoteText"/>
        <w:rPr>
          <w:sz w:val="18"/>
          <w:szCs w:val="18"/>
        </w:rPr>
      </w:pPr>
      <w:r w:rsidRPr="002D7C67">
        <w:rPr>
          <w:rStyle w:val="EndnoteReference"/>
          <w:sz w:val="18"/>
          <w:szCs w:val="18"/>
        </w:rPr>
        <w:endnoteRef/>
      </w:r>
      <w:r w:rsidRPr="002D7C67">
        <w:rPr>
          <w:sz w:val="18"/>
          <w:szCs w:val="18"/>
        </w:rPr>
        <w:t xml:space="preserve"> </w:t>
      </w:r>
      <w:r w:rsidRPr="002D7C67">
        <w:rPr>
          <w:rFonts w:eastAsia="Times New Roman" w:cs="Arial"/>
          <w:sz w:val="18"/>
          <w:szCs w:val="18"/>
        </w:rPr>
        <w:t xml:space="preserve">SNAICC – National Voice for our Children (2016), </w:t>
      </w:r>
      <w:r w:rsidRPr="002D7C67">
        <w:rPr>
          <w:rFonts w:eastAsia="Times New Roman" w:cs="Arial"/>
          <w:i/>
          <w:sz w:val="18"/>
          <w:szCs w:val="18"/>
        </w:rPr>
        <w:t>Family Matters Report</w:t>
      </w:r>
      <w:r w:rsidRPr="002D7C67">
        <w:rPr>
          <w:rFonts w:eastAsia="Times New Roman" w:cs="Arial"/>
          <w:sz w:val="18"/>
          <w:szCs w:val="18"/>
        </w:rPr>
        <w:t>, Melbourne.</w:t>
      </w:r>
    </w:p>
  </w:endnote>
  <w:endnote w:id="4">
    <w:p w14:paraId="5E3019D8" w14:textId="1B381AD5" w:rsidR="00993586" w:rsidRPr="002D7C67" w:rsidRDefault="00993586" w:rsidP="006D1B31">
      <w:pPr>
        <w:pStyle w:val="EndnoteText"/>
        <w:rPr>
          <w:sz w:val="18"/>
          <w:szCs w:val="18"/>
        </w:rPr>
      </w:pPr>
      <w:r w:rsidRPr="002D7C67">
        <w:rPr>
          <w:rStyle w:val="EndnoteReference"/>
          <w:sz w:val="18"/>
          <w:szCs w:val="18"/>
        </w:rPr>
        <w:endnoteRef/>
      </w:r>
      <w:r w:rsidRPr="002D7C67">
        <w:rPr>
          <w:sz w:val="18"/>
          <w:szCs w:val="18"/>
        </w:rPr>
        <w:t xml:space="preserve"> Australian Institute of Family Studies (2016), </w:t>
      </w:r>
      <w:r w:rsidRPr="002D7C67">
        <w:rPr>
          <w:i/>
          <w:sz w:val="18"/>
          <w:szCs w:val="18"/>
        </w:rPr>
        <w:t>The economic costs of child abuse and neglect</w:t>
      </w:r>
      <w:r w:rsidRPr="002D7C67">
        <w:rPr>
          <w:sz w:val="18"/>
          <w:szCs w:val="18"/>
        </w:rPr>
        <w:t xml:space="preserve">, CFCA Resource Sheet, </w:t>
      </w:r>
      <w:r w:rsidRPr="002D7C67">
        <w:rPr>
          <w:rFonts w:eastAsia="Times New Roman" w:cs="Arial"/>
          <w:sz w:val="18"/>
          <w:szCs w:val="18"/>
        </w:rPr>
        <w:t>available at</w:t>
      </w:r>
      <w:r w:rsidRPr="002D7C67">
        <w:rPr>
          <w:sz w:val="18"/>
          <w:szCs w:val="18"/>
        </w:rPr>
        <w:t>: https://aifs.gov.au/cfca/publications/economic-costs-child-abuse-and-neglect.</w:t>
      </w:r>
    </w:p>
  </w:endnote>
  <w:endnote w:id="5">
    <w:p w14:paraId="15FB090A" w14:textId="77777777" w:rsidR="00993586" w:rsidRPr="002D7C67" w:rsidRDefault="00993586" w:rsidP="00810D87">
      <w:pPr>
        <w:widowControl w:val="0"/>
        <w:autoSpaceDE w:val="0"/>
        <w:autoSpaceDN w:val="0"/>
        <w:adjustRightInd w:val="0"/>
        <w:spacing w:before="0" w:after="0" w:line="240" w:lineRule="auto"/>
        <w:rPr>
          <w:rFonts w:cs="Times New Roman"/>
          <w:sz w:val="18"/>
          <w:szCs w:val="18"/>
        </w:rPr>
      </w:pPr>
      <w:r w:rsidRPr="002D7C67">
        <w:rPr>
          <w:rStyle w:val="EndnoteReference"/>
          <w:sz w:val="18"/>
          <w:szCs w:val="18"/>
        </w:rPr>
        <w:endnoteRef/>
      </w:r>
      <w:r w:rsidRPr="002D7C67">
        <w:rPr>
          <w:sz w:val="18"/>
          <w:szCs w:val="18"/>
        </w:rPr>
        <w:t xml:space="preserve"> </w:t>
      </w:r>
      <w:r w:rsidRPr="002D7C67">
        <w:rPr>
          <w:rFonts w:cs="Times New Roman"/>
          <w:sz w:val="18"/>
          <w:szCs w:val="18"/>
        </w:rPr>
        <w:t>Fox, S., Southwell, A., Stafford, N., Goodhue, R., Jackson, D. and Smith, C. (2015). Better Systems, Better</w:t>
      </w:r>
    </w:p>
    <w:p w14:paraId="765C680E" w14:textId="56E11974" w:rsidR="00993586" w:rsidRPr="002D7C67" w:rsidRDefault="00993586" w:rsidP="00810D87">
      <w:pPr>
        <w:widowControl w:val="0"/>
        <w:autoSpaceDE w:val="0"/>
        <w:autoSpaceDN w:val="0"/>
        <w:adjustRightInd w:val="0"/>
        <w:spacing w:before="0" w:after="0" w:line="240" w:lineRule="auto"/>
        <w:rPr>
          <w:rFonts w:cs="Times New Roman"/>
          <w:sz w:val="18"/>
          <w:szCs w:val="18"/>
        </w:rPr>
      </w:pPr>
      <w:r w:rsidRPr="002D7C67">
        <w:rPr>
          <w:rFonts w:cs="Times New Roman"/>
          <w:sz w:val="18"/>
          <w:szCs w:val="18"/>
        </w:rPr>
        <w:t>Chances: A Review of Research and Practice for Prevention and Early Intervention. Canberra: Australian Research Alliance for Children and Youth.</w:t>
      </w:r>
    </w:p>
  </w:endnote>
  <w:endnote w:id="6">
    <w:p w14:paraId="7283DAB9" w14:textId="406893D4" w:rsidR="00993586" w:rsidRPr="002D7C67" w:rsidRDefault="00993586" w:rsidP="00C53B11">
      <w:pPr>
        <w:rPr>
          <w:rFonts w:eastAsia="Times New Roman" w:cs="Times New Roman"/>
          <w:sz w:val="18"/>
          <w:szCs w:val="18"/>
          <w:lang w:val="en-AU" w:eastAsia="en-US"/>
        </w:rPr>
      </w:pPr>
      <w:r w:rsidRPr="002D7C67">
        <w:rPr>
          <w:rStyle w:val="EndnoteReference"/>
          <w:sz w:val="18"/>
          <w:szCs w:val="18"/>
        </w:rPr>
        <w:endnoteRef/>
      </w:r>
      <w:r w:rsidRPr="002D7C67">
        <w:rPr>
          <w:sz w:val="18"/>
          <w:szCs w:val="18"/>
        </w:rPr>
        <w:t xml:space="preserve"> </w:t>
      </w:r>
      <w:r w:rsidRPr="002D7C67">
        <w:rPr>
          <w:rFonts w:eastAsia="Times New Roman" w:cs="Arial"/>
          <w:sz w:val="18"/>
          <w:szCs w:val="18"/>
          <w:shd w:val="clear" w:color="auto" w:fill="FFFFFF"/>
          <w:lang w:val="en-AU" w:eastAsia="en-US"/>
        </w:rPr>
        <w:t>Children and Families Ministers, </w:t>
      </w:r>
      <w:r w:rsidRPr="002D7C67">
        <w:rPr>
          <w:rFonts w:eastAsia="Times New Roman" w:cs="Arial"/>
          <w:i/>
          <w:iCs/>
          <w:sz w:val="18"/>
          <w:szCs w:val="18"/>
          <w:shd w:val="clear" w:color="auto" w:fill="FFFFFF"/>
          <w:lang w:val="en-AU" w:eastAsia="en-US"/>
        </w:rPr>
        <w:t>Communique</w:t>
      </w:r>
      <w:r w:rsidRPr="002D7C67">
        <w:rPr>
          <w:rFonts w:eastAsia="Times New Roman" w:cs="Arial"/>
          <w:sz w:val="18"/>
          <w:szCs w:val="18"/>
          <w:shd w:val="clear" w:color="auto" w:fill="FFFFFF"/>
          <w:lang w:val="en-AU" w:eastAsia="en-US"/>
        </w:rPr>
        <w:t>, 24 June 2016.</w:t>
      </w:r>
    </w:p>
  </w:endnote>
  <w:endnote w:id="7">
    <w:p w14:paraId="095CF4F2" w14:textId="680E4EC5" w:rsidR="00993586" w:rsidRPr="002D7C67" w:rsidRDefault="00993586" w:rsidP="00C53B11">
      <w:pPr>
        <w:rPr>
          <w:rFonts w:eastAsia="Times New Roman" w:cs="Times New Roman"/>
          <w:sz w:val="18"/>
          <w:szCs w:val="18"/>
        </w:rPr>
      </w:pPr>
      <w:r w:rsidRPr="002D7C67">
        <w:rPr>
          <w:rStyle w:val="EndnoteReference"/>
          <w:sz w:val="18"/>
          <w:szCs w:val="18"/>
        </w:rPr>
        <w:endnoteRef/>
      </w:r>
      <w:r w:rsidRPr="002D7C67">
        <w:rPr>
          <w:sz w:val="18"/>
          <w:szCs w:val="18"/>
        </w:rPr>
        <w:t xml:space="preserve"> </w:t>
      </w:r>
      <w:r w:rsidRPr="002D7C67">
        <w:rPr>
          <w:rFonts w:eastAsia="Times New Roman" w:cs="Times New Roman"/>
          <w:sz w:val="18"/>
          <w:szCs w:val="18"/>
          <w:shd w:val="clear" w:color="auto" w:fill="FFFFFF"/>
        </w:rPr>
        <w:t>Council of Australian Governments, </w:t>
      </w:r>
      <w:r w:rsidRPr="002D7C67">
        <w:rPr>
          <w:rFonts w:eastAsia="Times New Roman" w:cs="Times New Roman"/>
          <w:i/>
          <w:iCs/>
          <w:sz w:val="18"/>
          <w:szCs w:val="18"/>
          <w:shd w:val="clear" w:color="auto" w:fill="FFFFFF"/>
        </w:rPr>
        <w:t>COAG Meeting Communique</w:t>
      </w:r>
      <w:r w:rsidRPr="002D7C67">
        <w:rPr>
          <w:rFonts w:eastAsia="Times New Roman" w:cs="Times New Roman"/>
          <w:sz w:val="18"/>
          <w:szCs w:val="18"/>
          <w:shd w:val="clear" w:color="auto" w:fill="FFFFFF"/>
        </w:rPr>
        <w:t>, 9 December 2016, available at: </w:t>
      </w:r>
      <w:hyperlink r:id="rId1" w:tgtFrame="_blank" w:history="1">
        <w:r w:rsidRPr="002D7C67">
          <w:rPr>
            <w:rStyle w:val="Hyperlink"/>
            <w:rFonts w:eastAsia="Times New Roman" w:cs="Arial"/>
            <w:color w:val="auto"/>
            <w:sz w:val="18"/>
            <w:szCs w:val="18"/>
            <w:shd w:val="clear" w:color="auto" w:fill="FFFFFF"/>
          </w:rPr>
          <w:t>https://www.coag.gov.au/meeting-outcomes/coag-meeting-communiqu%C3%A9-9-december-2016</w:t>
        </w:r>
      </w:hyperlink>
      <w:r w:rsidRPr="002D7C67">
        <w:rPr>
          <w:rFonts w:eastAsia="Times New Roman" w:cs="Times New Roman"/>
          <w:sz w:val="18"/>
          <w:szCs w:val="18"/>
        </w:rPr>
        <w:t>.</w:t>
      </w:r>
    </w:p>
  </w:endnote>
  <w:endnote w:id="8">
    <w:p w14:paraId="5210D333" w14:textId="77777777" w:rsidR="00993586" w:rsidRPr="002D7C67" w:rsidRDefault="00993586" w:rsidP="006D1B31">
      <w:pPr>
        <w:pStyle w:val="EndnoteText"/>
        <w:rPr>
          <w:sz w:val="18"/>
          <w:szCs w:val="18"/>
        </w:rPr>
      </w:pPr>
      <w:r w:rsidRPr="002D7C67">
        <w:rPr>
          <w:rStyle w:val="EndnoteReference"/>
          <w:sz w:val="18"/>
          <w:szCs w:val="18"/>
        </w:rPr>
        <w:endnoteRef/>
      </w:r>
      <w:r w:rsidRPr="002D7C67">
        <w:rPr>
          <w:sz w:val="18"/>
          <w:szCs w:val="18"/>
        </w:rPr>
        <w:t xml:space="preserve"> Available at: http://www.familymatters.org.au/wp-content/uploads/2016/11/Family-Matters-Statement-of-Commitment-website.pdf</w:t>
      </w:r>
    </w:p>
  </w:endnote>
  <w:endnote w:id="9">
    <w:p w14:paraId="2EC7ED17" w14:textId="5D6B21D5" w:rsidR="00993586" w:rsidRPr="002D7C67" w:rsidRDefault="00993586" w:rsidP="00993586">
      <w:pPr>
        <w:widowControl w:val="0"/>
        <w:autoSpaceDE w:val="0"/>
        <w:autoSpaceDN w:val="0"/>
        <w:adjustRightInd w:val="0"/>
        <w:rPr>
          <w:i/>
          <w:sz w:val="18"/>
          <w:szCs w:val="18"/>
        </w:rPr>
      </w:pPr>
      <w:r w:rsidRPr="002D7C67">
        <w:rPr>
          <w:rStyle w:val="EndnoteReference"/>
          <w:sz w:val="18"/>
          <w:szCs w:val="18"/>
        </w:rPr>
        <w:endnoteRef/>
      </w:r>
      <w:r w:rsidRPr="002D7C67">
        <w:rPr>
          <w:sz w:val="18"/>
          <w:szCs w:val="18"/>
        </w:rPr>
        <w:t xml:space="preserve"> Fox, S., Southwell, A., Stafford, N., Goodhue, R., Jackson, D. and Smith, C. (2015). </w:t>
      </w:r>
      <w:r w:rsidRPr="002D7C67">
        <w:rPr>
          <w:i/>
          <w:sz w:val="18"/>
          <w:szCs w:val="18"/>
        </w:rPr>
        <w:t>Better Systems, Better Chances: A Review of Research and Practice for Prevention and Early Intervention</w:t>
      </w:r>
      <w:r w:rsidRPr="002D7C67">
        <w:rPr>
          <w:sz w:val="18"/>
          <w:szCs w:val="18"/>
        </w:rPr>
        <w:t>. Canberra: Australian Research Alliance for Children and Youth.</w:t>
      </w:r>
    </w:p>
    <w:p w14:paraId="6A833DF1" w14:textId="71FDCCDB" w:rsidR="00993586" w:rsidRPr="002D7C67" w:rsidRDefault="00993586" w:rsidP="00993586">
      <w:pPr>
        <w:pStyle w:val="EndnoteText"/>
        <w:rPr>
          <w:sz w:val="18"/>
          <w:szCs w:val="18"/>
        </w:rPr>
      </w:pPr>
      <w:r w:rsidRPr="002D7C67">
        <w:rPr>
          <w:rStyle w:val="EndnoteReference"/>
          <w:sz w:val="18"/>
          <w:szCs w:val="18"/>
        </w:rPr>
        <w:endnoteRef/>
      </w:r>
      <w:r w:rsidRPr="002D7C67">
        <w:rPr>
          <w:sz w:val="18"/>
          <w:szCs w:val="18"/>
        </w:rPr>
        <w:t xml:space="preserve"> </w:t>
      </w:r>
      <w:r w:rsidRPr="002D7C67">
        <w:rPr>
          <w:rFonts w:eastAsia="Times New Roman" w:cs="Arial"/>
          <w:sz w:val="18"/>
          <w:szCs w:val="18"/>
        </w:rPr>
        <w:t>ARACY (2014) cited in Fox et al (2015), p36.</w:t>
      </w:r>
    </w:p>
  </w:endnote>
  <w:endnote w:id="10">
    <w:p w14:paraId="47EC2E67" w14:textId="77777777" w:rsidR="00993586" w:rsidRPr="002D7C67" w:rsidRDefault="00993586" w:rsidP="00631EA2">
      <w:pPr>
        <w:pStyle w:val="EndnoteText"/>
        <w:rPr>
          <w:sz w:val="18"/>
          <w:szCs w:val="18"/>
        </w:rPr>
      </w:pPr>
      <w:r w:rsidRPr="002D7C67">
        <w:rPr>
          <w:rStyle w:val="EndnoteReference"/>
          <w:sz w:val="18"/>
          <w:szCs w:val="18"/>
        </w:rPr>
        <w:endnoteRef/>
      </w:r>
      <w:r w:rsidRPr="002D7C67">
        <w:rPr>
          <w:sz w:val="18"/>
          <w:szCs w:val="18"/>
        </w:rPr>
        <w:t xml:space="preserve"> </w:t>
      </w:r>
      <w:r w:rsidRPr="002D7C67">
        <w:rPr>
          <w:rFonts w:eastAsia="Times New Roman" w:cs="Arial"/>
          <w:sz w:val="18"/>
          <w:szCs w:val="18"/>
        </w:rPr>
        <w:t>ARACY (2014) cited in Fox et al (2015), p36</w:t>
      </w:r>
    </w:p>
  </w:endnote>
  <w:endnote w:id="11">
    <w:p w14:paraId="4ABCF5D1" w14:textId="30A8F4A8" w:rsidR="00993586" w:rsidRPr="002D7C67" w:rsidRDefault="00993586" w:rsidP="00631EA2">
      <w:pPr>
        <w:pStyle w:val="EndnoteText"/>
        <w:rPr>
          <w:sz w:val="18"/>
          <w:szCs w:val="18"/>
        </w:rPr>
      </w:pPr>
      <w:r w:rsidRPr="002D7C67">
        <w:rPr>
          <w:rStyle w:val="EndnoteReference"/>
          <w:sz w:val="18"/>
          <w:szCs w:val="18"/>
        </w:rPr>
        <w:endnoteRef/>
      </w:r>
      <w:r w:rsidRPr="002D7C67">
        <w:rPr>
          <w:sz w:val="18"/>
          <w:szCs w:val="18"/>
        </w:rPr>
        <w:t xml:space="preserve">  </w:t>
      </w:r>
      <w:r w:rsidRPr="002D7C67">
        <w:rPr>
          <w:rFonts w:eastAsia="Times New Roman" w:cs="Arial"/>
          <w:sz w:val="18"/>
          <w:szCs w:val="18"/>
        </w:rPr>
        <w:t>Segal, Dalziel, and Papandrea (2013, p623) cited in Fox et al (2015), p36.</w:t>
      </w:r>
    </w:p>
  </w:endnote>
  <w:endnote w:id="12">
    <w:p w14:paraId="4E2F28F1" w14:textId="7BF365BF" w:rsidR="00993586" w:rsidRPr="002D7C67" w:rsidRDefault="00993586" w:rsidP="00631EA2">
      <w:pPr>
        <w:pStyle w:val="EndnoteText"/>
        <w:rPr>
          <w:sz w:val="18"/>
          <w:szCs w:val="18"/>
        </w:rPr>
      </w:pPr>
      <w:r w:rsidRPr="002D7C67">
        <w:rPr>
          <w:rStyle w:val="EndnoteReference"/>
          <w:sz w:val="18"/>
          <w:szCs w:val="18"/>
        </w:rPr>
        <w:endnoteRef/>
      </w:r>
      <w:r w:rsidRPr="002D7C67">
        <w:rPr>
          <w:sz w:val="18"/>
          <w:szCs w:val="18"/>
        </w:rPr>
        <w:t xml:space="preserve"> </w:t>
      </w:r>
      <w:r w:rsidRPr="002D7C67">
        <w:rPr>
          <w:rFonts w:eastAsia="Times New Roman" w:cs="Arial"/>
          <w:sz w:val="18"/>
          <w:szCs w:val="18"/>
        </w:rPr>
        <w:t xml:space="preserve">Morgan Disney &amp; Associates Pty Ltd and Applied Economics Pty Ltd (2006), </w:t>
      </w:r>
      <w:r w:rsidRPr="002D7C67">
        <w:rPr>
          <w:rFonts w:eastAsia="Times New Roman" w:cs="Arial"/>
          <w:i/>
          <w:sz w:val="18"/>
          <w:szCs w:val="18"/>
        </w:rPr>
        <w:t>Transition from care: Avoidable costs to governments of alternative pathways of young people exiting the formal child protection system in Australia</w:t>
      </w:r>
      <w:r w:rsidRPr="002D7C67">
        <w:rPr>
          <w:rFonts w:eastAsia="Times New Roman" w:cs="Arial"/>
          <w:sz w:val="18"/>
          <w:szCs w:val="18"/>
        </w:rPr>
        <w:t>, available at: https://www.dss.gov.au/sites/default/files/documents/05_2012/vol1_transition_care_0.rtf.</w:t>
      </w:r>
    </w:p>
  </w:endnote>
  <w:endnote w:id="13">
    <w:p w14:paraId="0242937A" w14:textId="0D180BBC" w:rsidR="00993586" w:rsidRPr="002D7C67" w:rsidRDefault="00993586" w:rsidP="00631EA2">
      <w:pPr>
        <w:pStyle w:val="EndnoteText"/>
        <w:rPr>
          <w:sz w:val="18"/>
          <w:szCs w:val="18"/>
        </w:rPr>
      </w:pPr>
      <w:r w:rsidRPr="002D7C67">
        <w:rPr>
          <w:rStyle w:val="EndnoteReference"/>
          <w:sz w:val="18"/>
          <w:szCs w:val="18"/>
        </w:rPr>
        <w:endnoteRef/>
      </w:r>
      <w:r w:rsidRPr="002D7C67">
        <w:rPr>
          <w:sz w:val="18"/>
          <w:szCs w:val="18"/>
        </w:rPr>
        <w:t xml:space="preserve"> </w:t>
      </w:r>
      <w:r w:rsidRPr="002D7C67">
        <w:rPr>
          <w:rFonts w:eastAsia="Times New Roman" w:cs="Arial"/>
          <w:sz w:val="18"/>
          <w:szCs w:val="18"/>
        </w:rPr>
        <w:t>Lee, Aos and Miller (2008) cited in Fox et al (2015), p47.</w:t>
      </w:r>
    </w:p>
  </w:endnote>
  <w:endnote w:id="14">
    <w:p w14:paraId="4F204E57" w14:textId="3F01F976" w:rsidR="00993586" w:rsidRPr="002D7C67" w:rsidRDefault="00993586" w:rsidP="00631EA2">
      <w:pPr>
        <w:pStyle w:val="EndnoteText"/>
        <w:rPr>
          <w:sz w:val="18"/>
          <w:szCs w:val="18"/>
        </w:rPr>
      </w:pPr>
      <w:r w:rsidRPr="002D7C67">
        <w:rPr>
          <w:rStyle w:val="EndnoteReference"/>
          <w:sz w:val="18"/>
          <w:szCs w:val="18"/>
        </w:rPr>
        <w:endnoteRef/>
      </w:r>
      <w:r w:rsidRPr="002D7C67">
        <w:rPr>
          <w:sz w:val="18"/>
          <w:szCs w:val="18"/>
        </w:rPr>
        <w:t xml:space="preserve"> Heckman, J. (2008) </w:t>
      </w:r>
      <w:r w:rsidRPr="002D7C67">
        <w:rPr>
          <w:i/>
          <w:sz w:val="18"/>
          <w:szCs w:val="18"/>
        </w:rPr>
        <w:t>The Case for Investing in Disadvantaged Young Children</w:t>
      </w:r>
      <w:r w:rsidRPr="002D7C67">
        <w:rPr>
          <w:sz w:val="18"/>
          <w:szCs w:val="18"/>
        </w:rPr>
        <w:t xml:space="preserve">, </w:t>
      </w:r>
      <w:r w:rsidRPr="002D7C67">
        <w:rPr>
          <w:rFonts w:eastAsia="Times New Roman" w:cs="Arial"/>
          <w:sz w:val="18"/>
          <w:szCs w:val="18"/>
        </w:rPr>
        <w:t>available at:</w:t>
      </w:r>
      <w:r w:rsidRPr="002D7C67">
        <w:rPr>
          <w:sz w:val="18"/>
          <w:szCs w:val="18"/>
        </w:rPr>
        <w:t xml:space="preserve"> http://www.heckmanequation.org/content/resource/case-investing-disadvantaged-young-children; Allen, K. (2013). </w:t>
      </w:r>
      <w:r w:rsidRPr="002D7C67">
        <w:rPr>
          <w:i/>
          <w:sz w:val="18"/>
          <w:szCs w:val="18"/>
        </w:rPr>
        <w:t>Value for Everyone: Understanding the social and economic benefits of family support services</w:t>
      </w:r>
      <w:r w:rsidRPr="002D7C67">
        <w:rPr>
          <w:sz w:val="18"/>
          <w:szCs w:val="18"/>
        </w:rPr>
        <w:t>. Canberra: Family Relationships Services Australia, p49-50.</w:t>
      </w:r>
    </w:p>
  </w:endnote>
  <w:endnote w:id="15">
    <w:p w14:paraId="256A4117" w14:textId="7770F14B" w:rsidR="00993586" w:rsidRPr="002D7C67" w:rsidRDefault="00993586" w:rsidP="00631EA2">
      <w:pPr>
        <w:pStyle w:val="EndnoteText"/>
        <w:rPr>
          <w:sz w:val="18"/>
          <w:szCs w:val="18"/>
        </w:rPr>
      </w:pPr>
      <w:r w:rsidRPr="002D7C67">
        <w:rPr>
          <w:rStyle w:val="EndnoteReference"/>
          <w:sz w:val="18"/>
          <w:szCs w:val="18"/>
        </w:rPr>
        <w:endnoteRef/>
      </w:r>
      <w:r w:rsidRPr="002D7C67">
        <w:rPr>
          <w:sz w:val="18"/>
          <w:szCs w:val="18"/>
        </w:rPr>
        <w:t xml:space="preserve"> </w:t>
      </w:r>
      <w:r w:rsidR="00866609" w:rsidRPr="002D7C67">
        <w:rPr>
          <w:rFonts w:eastAsia="Times New Roman" w:cs="Arial"/>
          <w:sz w:val="18"/>
          <w:szCs w:val="18"/>
        </w:rPr>
        <w:t xml:space="preserve">SNAICC – National Voice for our Children (2016), </w:t>
      </w:r>
      <w:r w:rsidR="00866609" w:rsidRPr="002D7C67">
        <w:rPr>
          <w:rFonts w:eastAsia="Times New Roman" w:cs="Arial"/>
          <w:i/>
          <w:sz w:val="18"/>
          <w:szCs w:val="18"/>
        </w:rPr>
        <w:t>Family Matters Report</w:t>
      </w:r>
      <w:r w:rsidR="00866609" w:rsidRPr="002D7C67">
        <w:rPr>
          <w:rFonts w:eastAsia="Times New Roman" w:cs="Arial"/>
          <w:sz w:val="18"/>
          <w:szCs w:val="18"/>
        </w:rPr>
        <w:t>, Melbourne</w:t>
      </w:r>
      <w:r w:rsidRPr="002D7C67">
        <w:rPr>
          <w:rFonts w:eastAsia="Times New Roman" w:cs="Arial"/>
          <w:sz w:val="18"/>
          <w:szCs w:val="18"/>
        </w:rPr>
        <w:t>, p46.</w:t>
      </w:r>
    </w:p>
  </w:endnote>
  <w:endnote w:id="16">
    <w:p w14:paraId="784FE5E5" w14:textId="4A40B910" w:rsidR="00993586" w:rsidRPr="002D7C67" w:rsidRDefault="00993586">
      <w:pPr>
        <w:pStyle w:val="EndnoteText"/>
        <w:rPr>
          <w:sz w:val="18"/>
          <w:szCs w:val="18"/>
        </w:rPr>
      </w:pPr>
      <w:r w:rsidRPr="002D7C67">
        <w:rPr>
          <w:rStyle w:val="EndnoteReference"/>
          <w:sz w:val="18"/>
          <w:szCs w:val="18"/>
        </w:rPr>
        <w:endnoteRef/>
      </w:r>
      <w:r w:rsidRPr="002D7C67">
        <w:rPr>
          <w:sz w:val="18"/>
          <w:szCs w:val="18"/>
        </w:rPr>
        <w:t xml:space="preserve"> </w:t>
      </w:r>
      <w:r w:rsidRPr="002D7C67">
        <w:rPr>
          <w:rFonts w:eastAsia="Times New Roman" w:cs="Arial"/>
          <w:sz w:val="18"/>
          <w:szCs w:val="18"/>
        </w:rPr>
        <w:t>Steering Committee for the Review of Government Service Provision (2016) Report on Government Services 2016. Productivity Commission: Melbourne.</w:t>
      </w:r>
    </w:p>
  </w:endnote>
  <w:endnote w:id="17">
    <w:p w14:paraId="2C337A87" w14:textId="4614A9D4" w:rsidR="00993586" w:rsidRPr="002D7C67" w:rsidRDefault="00993586" w:rsidP="00631EA2">
      <w:pPr>
        <w:pStyle w:val="EndnoteText"/>
        <w:rPr>
          <w:sz w:val="18"/>
          <w:szCs w:val="18"/>
        </w:rPr>
      </w:pPr>
      <w:r w:rsidRPr="002D7C67">
        <w:rPr>
          <w:rStyle w:val="EndnoteReference"/>
          <w:sz w:val="18"/>
          <w:szCs w:val="18"/>
        </w:rPr>
        <w:endnoteRef/>
      </w:r>
      <w:r w:rsidRPr="002D7C67">
        <w:rPr>
          <w:sz w:val="18"/>
          <w:szCs w:val="18"/>
        </w:rPr>
        <w:t xml:space="preserve"> </w:t>
      </w:r>
      <w:r w:rsidRPr="002D7C67">
        <w:rPr>
          <w:rFonts w:eastAsia="Times New Roman" w:cs="Arial"/>
          <w:sz w:val="18"/>
          <w:szCs w:val="18"/>
        </w:rPr>
        <w:t>Steering Committee for the Review of Government Service Provision (2013) Report on Government Services (2012). Productivity Commission: Melbourne; Steering Committee for the Review of Government Service Provision (2016) Report on Government Services 2016. Productivity Commission: Melbourne.</w:t>
      </w:r>
    </w:p>
  </w:endnote>
  <w:endnote w:id="18">
    <w:p w14:paraId="4DF05C17" w14:textId="2277AF26" w:rsidR="00993586" w:rsidRPr="002D7C67" w:rsidRDefault="00993586" w:rsidP="00631EA2">
      <w:pPr>
        <w:pStyle w:val="EndnoteText"/>
        <w:rPr>
          <w:sz w:val="18"/>
          <w:szCs w:val="18"/>
        </w:rPr>
      </w:pPr>
      <w:r w:rsidRPr="002D7C67">
        <w:rPr>
          <w:rStyle w:val="EndnoteReference"/>
          <w:sz w:val="18"/>
          <w:szCs w:val="18"/>
        </w:rPr>
        <w:endnoteRef/>
      </w:r>
      <w:r w:rsidRPr="002D7C67">
        <w:rPr>
          <w:sz w:val="18"/>
          <w:szCs w:val="18"/>
        </w:rPr>
        <w:t xml:space="preserve"> </w:t>
      </w:r>
      <w:r w:rsidRPr="002D7C67">
        <w:rPr>
          <w:rFonts w:eastAsia="Times New Roman" w:cs="Arial"/>
          <w:sz w:val="18"/>
          <w:szCs w:val="18"/>
        </w:rPr>
        <w:t>SNAICC – National Voice for our Children (2016), Family Matters Report, Melbourne.</w:t>
      </w:r>
    </w:p>
  </w:endnote>
  <w:endnote w:id="19">
    <w:p w14:paraId="1909D066" w14:textId="79CEA377" w:rsidR="00993586" w:rsidRPr="002D7C67" w:rsidRDefault="00993586" w:rsidP="00457F65">
      <w:pPr>
        <w:rPr>
          <w:rFonts w:eastAsia="Times New Roman" w:cs="Times New Roman"/>
          <w:sz w:val="18"/>
          <w:szCs w:val="18"/>
          <w:lang w:eastAsia="en-US"/>
        </w:rPr>
      </w:pPr>
      <w:r w:rsidRPr="002D7C67">
        <w:rPr>
          <w:rStyle w:val="EndnoteReference"/>
          <w:sz w:val="18"/>
          <w:szCs w:val="18"/>
        </w:rPr>
        <w:endnoteRef/>
      </w:r>
      <w:r w:rsidRPr="002D7C67">
        <w:rPr>
          <w:sz w:val="18"/>
          <w:szCs w:val="18"/>
        </w:rPr>
        <w:t xml:space="preserve"> </w:t>
      </w:r>
      <w:r w:rsidRPr="002D7C67">
        <w:rPr>
          <w:rFonts w:eastAsia="Times New Roman" w:cs="Arial"/>
          <w:sz w:val="18"/>
          <w:szCs w:val="18"/>
        </w:rPr>
        <w:t>Steering Committee for the Review of Government Service Provision (2016) Report on Government Services 2016. Productivity Commission: Melbourne.</w:t>
      </w:r>
      <w:r w:rsidRPr="002D7C67">
        <w:rPr>
          <w:rFonts w:eastAsia="Times New Roman" w:cs="Times New Roman"/>
          <w:sz w:val="18"/>
          <w:szCs w:val="18"/>
          <w:lang w:eastAsia="en-US"/>
        </w:rPr>
        <w:t xml:space="preserve"> </w:t>
      </w:r>
    </w:p>
  </w:endnote>
  <w:endnote w:id="20">
    <w:p w14:paraId="288C9E11" w14:textId="69CF8218" w:rsidR="00993586" w:rsidRPr="002D7C67" w:rsidRDefault="00993586" w:rsidP="00631EA2">
      <w:pPr>
        <w:pStyle w:val="EndnoteText"/>
        <w:rPr>
          <w:sz w:val="18"/>
          <w:szCs w:val="18"/>
        </w:rPr>
      </w:pPr>
      <w:r w:rsidRPr="002D7C67">
        <w:rPr>
          <w:rStyle w:val="EndnoteReference"/>
          <w:sz w:val="18"/>
          <w:szCs w:val="18"/>
        </w:rPr>
        <w:endnoteRef/>
      </w:r>
      <w:r w:rsidRPr="002D7C67">
        <w:rPr>
          <w:sz w:val="18"/>
          <w:szCs w:val="18"/>
        </w:rPr>
        <w:t xml:space="preserve"> </w:t>
      </w:r>
      <w:r w:rsidR="00866609" w:rsidRPr="002D7C67">
        <w:rPr>
          <w:sz w:val="18"/>
          <w:szCs w:val="18"/>
        </w:rPr>
        <w:t xml:space="preserve">Australian Institute of Health and Welfare (2016) </w:t>
      </w:r>
      <w:r w:rsidR="00866609" w:rsidRPr="002D7C67">
        <w:rPr>
          <w:i/>
          <w:sz w:val="18"/>
          <w:szCs w:val="18"/>
        </w:rPr>
        <w:t xml:space="preserve">Child Protection Australia 2014-15, </w:t>
      </w:r>
      <w:r w:rsidR="00866609" w:rsidRPr="002D7C67">
        <w:rPr>
          <w:sz w:val="18"/>
          <w:szCs w:val="18"/>
        </w:rPr>
        <w:t xml:space="preserve">Child welfare series no. 63. Cat. no. CWS 57. Canberra, </w:t>
      </w:r>
      <w:r w:rsidR="00866609" w:rsidRPr="002D7C67">
        <w:rPr>
          <w:rFonts w:eastAsia="Times New Roman" w:cs="Arial"/>
          <w:sz w:val="18"/>
          <w:szCs w:val="18"/>
        </w:rPr>
        <w:t>table A45.</w:t>
      </w:r>
    </w:p>
  </w:endnote>
  <w:endnote w:id="21">
    <w:p w14:paraId="3598B0D1" w14:textId="2B6DD71F" w:rsidR="00993586" w:rsidRPr="002D7C67" w:rsidRDefault="00993586" w:rsidP="00631EA2">
      <w:pPr>
        <w:pStyle w:val="EndnoteText"/>
        <w:rPr>
          <w:sz w:val="18"/>
          <w:szCs w:val="18"/>
        </w:rPr>
      </w:pPr>
      <w:r w:rsidRPr="002D7C67">
        <w:rPr>
          <w:rStyle w:val="EndnoteReference"/>
          <w:sz w:val="18"/>
          <w:szCs w:val="18"/>
        </w:rPr>
        <w:endnoteRef/>
      </w:r>
      <w:r w:rsidRPr="002D7C67">
        <w:rPr>
          <w:sz w:val="18"/>
          <w:szCs w:val="18"/>
        </w:rPr>
        <w:t xml:space="preserve">  </w:t>
      </w:r>
      <w:r w:rsidRPr="002D7C67">
        <w:rPr>
          <w:rFonts w:eastAsia="Times New Roman" w:cs="Arial"/>
          <w:sz w:val="18"/>
          <w:szCs w:val="18"/>
        </w:rPr>
        <w:t>SNAICC – National Voice for our Children (2016), Family Matters Report, Melbourne.</w:t>
      </w:r>
    </w:p>
  </w:endnote>
  <w:endnote w:id="22">
    <w:p w14:paraId="3DC41612" w14:textId="77777777" w:rsidR="00993586" w:rsidRPr="002D7C67" w:rsidRDefault="00993586" w:rsidP="00631EA2">
      <w:pPr>
        <w:pStyle w:val="EndnoteText"/>
        <w:tabs>
          <w:tab w:val="left" w:pos="993"/>
        </w:tabs>
        <w:rPr>
          <w:sz w:val="18"/>
          <w:szCs w:val="18"/>
        </w:rPr>
      </w:pPr>
      <w:r w:rsidRPr="002D7C67">
        <w:rPr>
          <w:rStyle w:val="EndnoteReference"/>
          <w:sz w:val="18"/>
          <w:szCs w:val="18"/>
        </w:rPr>
        <w:endnoteRef/>
      </w:r>
      <w:r w:rsidRPr="002D7C67">
        <w:rPr>
          <w:sz w:val="18"/>
          <w:szCs w:val="18"/>
        </w:rPr>
        <w:t xml:space="preserve"> </w:t>
      </w:r>
      <w:r w:rsidRPr="002D7C67">
        <w:rPr>
          <w:rFonts w:eastAsia="Times New Roman" w:cs="Arial"/>
          <w:sz w:val="18"/>
          <w:szCs w:val="18"/>
        </w:rPr>
        <w:t>Lutzker, J. and Edwards, A. (2009). Safe Care: Towards wide-scale implementation of a child maltreatment prevention program, International Journal of Child Health and Human Development, Volume 2, Issue 1, 7-15.</w:t>
      </w:r>
    </w:p>
  </w:endnote>
  <w:endnote w:id="23">
    <w:p w14:paraId="268F89B5" w14:textId="77777777" w:rsidR="00993586" w:rsidRPr="002D7C67" w:rsidRDefault="00993586" w:rsidP="00631EA2">
      <w:pPr>
        <w:pStyle w:val="EndnoteText"/>
        <w:rPr>
          <w:sz w:val="18"/>
          <w:szCs w:val="18"/>
        </w:rPr>
      </w:pPr>
      <w:r w:rsidRPr="002D7C67">
        <w:rPr>
          <w:rStyle w:val="EndnoteReference"/>
          <w:sz w:val="18"/>
          <w:szCs w:val="18"/>
        </w:rPr>
        <w:endnoteRef/>
      </w:r>
      <w:r w:rsidRPr="002D7C67">
        <w:rPr>
          <w:sz w:val="18"/>
          <w:szCs w:val="18"/>
        </w:rPr>
        <w:t xml:space="preserve"> </w:t>
      </w:r>
      <w:r w:rsidRPr="002D7C67">
        <w:rPr>
          <w:rFonts w:eastAsia="Times New Roman" w:cs="Arial"/>
          <w:sz w:val="18"/>
          <w:szCs w:val="18"/>
        </w:rPr>
        <w:t>Robins and Rowlands (2012) cited in ‘FFT Evidence Studies Implementation’, p14, available at: http://www.fftllc.com/documents/FFT-CW-Model-Effectiveness.pdf.</w:t>
      </w:r>
    </w:p>
  </w:endnote>
  <w:endnote w:id="24">
    <w:p w14:paraId="6BA29E12" w14:textId="6F8A9AA9" w:rsidR="00993586" w:rsidRPr="002D7C67" w:rsidRDefault="00993586" w:rsidP="00631EA2">
      <w:pPr>
        <w:pStyle w:val="EndnoteText"/>
        <w:rPr>
          <w:sz w:val="18"/>
          <w:szCs w:val="18"/>
        </w:rPr>
      </w:pPr>
      <w:r w:rsidRPr="002D7C67">
        <w:rPr>
          <w:rStyle w:val="EndnoteReference"/>
          <w:sz w:val="18"/>
          <w:szCs w:val="18"/>
        </w:rPr>
        <w:endnoteRef/>
      </w:r>
      <w:r w:rsidRPr="002D7C67">
        <w:rPr>
          <w:sz w:val="18"/>
          <w:szCs w:val="18"/>
        </w:rPr>
        <w:t xml:space="preserve"> </w:t>
      </w:r>
      <w:r w:rsidRPr="002D7C67">
        <w:rPr>
          <w:rFonts w:eastAsia="Times New Roman" w:cs="Arial"/>
          <w:sz w:val="18"/>
          <w:szCs w:val="18"/>
        </w:rPr>
        <w:t>SNAICC (2010). Towards Aboriginal and Torres Strait Islander access and engagement: Overcoming barriers to child and family services; Flaxman, S., Muir, K., and Oprea, I. (2009). Indigenous families and children: coordination and provision of services. Occasional Paper No 23. Canberra: FaHCSIA, p.23;</w:t>
      </w:r>
      <w:r w:rsidRPr="002D7C67">
        <w:rPr>
          <w:sz w:val="18"/>
          <w:szCs w:val="18"/>
        </w:rPr>
        <w:t xml:space="preserve"> </w:t>
      </w:r>
    </w:p>
  </w:endnote>
  <w:endnote w:id="25">
    <w:p w14:paraId="58971704" w14:textId="6DD21772" w:rsidR="00993586" w:rsidRPr="002D7C67" w:rsidRDefault="00993586" w:rsidP="00631EA2">
      <w:pPr>
        <w:pStyle w:val="EndnoteText"/>
        <w:rPr>
          <w:sz w:val="18"/>
          <w:szCs w:val="18"/>
        </w:rPr>
      </w:pPr>
      <w:r w:rsidRPr="002D7C67">
        <w:rPr>
          <w:rStyle w:val="EndnoteReference"/>
          <w:sz w:val="18"/>
          <w:szCs w:val="18"/>
        </w:rPr>
        <w:endnoteRef/>
      </w:r>
      <w:r w:rsidRPr="002D7C67">
        <w:rPr>
          <w:sz w:val="18"/>
          <w:szCs w:val="18"/>
        </w:rPr>
        <w:t xml:space="preserve"> </w:t>
      </w:r>
      <w:r w:rsidRPr="002D7C67">
        <w:rPr>
          <w:rFonts w:eastAsia="Times New Roman" w:cs="Arial"/>
          <w:sz w:val="18"/>
          <w:szCs w:val="18"/>
        </w:rPr>
        <w:t>Tilbury, C (2015) Moving to Prevention: Intensive family support services for Aboriginal and Torres Strait Islander children. Melbourne: SNAICC.</w:t>
      </w:r>
    </w:p>
  </w:endnote>
  <w:endnote w:id="26">
    <w:p w14:paraId="375AE5AC" w14:textId="2FDA6C89" w:rsidR="00993586" w:rsidRPr="002D7C67" w:rsidRDefault="00993586">
      <w:pPr>
        <w:pStyle w:val="EndnoteText"/>
        <w:rPr>
          <w:sz w:val="18"/>
          <w:szCs w:val="18"/>
        </w:rPr>
      </w:pPr>
      <w:r w:rsidRPr="002D7C67">
        <w:rPr>
          <w:rStyle w:val="EndnoteReference"/>
          <w:sz w:val="18"/>
          <w:szCs w:val="18"/>
        </w:rPr>
        <w:endnoteRef/>
      </w:r>
      <w:r w:rsidRPr="002D7C67">
        <w:rPr>
          <w:sz w:val="18"/>
          <w:szCs w:val="18"/>
        </w:rPr>
        <w:t xml:space="preserve"> </w:t>
      </w:r>
      <w:r w:rsidRPr="002D7C67">
        <w:rPr>
          <w:rFonts w:eastAsia="Times New Roman" w:cs="Arial"/>
          <w:sz w:val="18"/>
          <w:szCs w:val="18"/>
        </w:rPr>
        <w:t>Tilbury, C (2015) Moving to Prevention: Intensive family support services for Aboriginal and Torres Strait Islander children. Melbourne: SNAICC, p28</w:t>
      </w:r>
    </w:p>
  </w:endnote>
  <w:endnote w:id="27">
    <w:p w14:paraId="3529BC92" w14:textId="6982863B" w:rsidR="00993586" w:rsidRPr="002D7C67" w:rsidRDefault="00993586">
      <w:pPr>
        <w:pStyle w:val="EndnoteText"/>
        <w:rPr>
          <w:sz w:val="18"/>
          <w:szCs w:val="18"/>
        </w:rPr>
      </w:pPr>
      <w:r w:rsidRPr="002D7C67">
        <w:rPr>
          <w:rStyle w:val="EndnoteReference"/>
          <w:sz w:val="18"/>
          <w:szCs w:val="18"/>
        </w:rPr>
        <w:endnoteRef/>
      </w:r>
      <w:r w:rsidRPr="002D7C67">
        <w:rPr>
          <w:sz w:val="18"/>
          <w:szCs w:val="18"/>
        </w:rPr>
        <w:t xml:space="preserve"> </w:t>
      </w:r>
      <w:r w:rsidRPr="002D7C67">
        <w:rPr>
          <w:rFonts w:eastAsia="Times New Roman" w:cs="Arial"/>
          <w:sz w:val="18"/>
          <w:szCs w:val="18"/>
        </w:rPr>
        <w:t>Tilbury, C (2015) Moving to Prevention: Intensive family support services for Aboriginal and Torres Strait Islander children. Melbourne: SNAICC, p28-29</w:t>
      </w:r>
    </w:p>
  </w:endnote>
  <w:endnote w:id="28">
    <w:p w14:paraId="1D33F2A6" w14:textId="4F6463B1" w:rsidR="00993586" w:rsidRPr="002D7C67" w:rsidRDefault="00993586">
      <w:pPr>
        <w:pStyle w:val="EndnoteText"/>
        <w:rPr>
          <w:sz w:val="18"/>
          <w:szCs w:val="18"/>
        </w:rPr>
      </w:pPr>
      <w:r w:rsidRPr="002D7C67">
        <w:rPr>
          <w:rStyle w:val="EndnoteReference"/>
          <w:sz w:val="18"/>
          <w:szCs w:val="18"/>
        </w:rPr>
        <w:endnoteRef/>
      </w:r>
      <w:r w:rsidRPr="002D7C67">
        <w:rPr>
          <w:sz w:val="18"/>
          <w:szCs w:val="18"/>
        </w:rPr>
        <w:t xml:space="preserve"> </w:t>
      </w:r>
      <w:r w:rsidRPr="002D7C67">
        <w:rPr>
          <w:rFonts w:eastAsia="Times New Roman" w:cs="Arial"/>
          <w:sz w:val="18"/>
          <w:szCs w:val="18"/>
        </w:rPr>
        <w:t>Tilbury, C (2015) Moving to Prevention: Intensive family support services for Aboriginal and Torres Strait Islander children. Melbourne: SNAICC, p29.</w:t>
      </w:r>
    </w:p>
  </w:endnote>
  <w:endnote w:id="29">
    <w:p w14:paraId="01B46421" w14:textId="50676152" w:rsidR="00993586" w:rsidRPr="002D7C67" w:rsidRDefault="00993586" w:rsidP="0050367E">
      <w:pPr>
        <w:pStyle w:val="EndnoteText"/>
        <w:rPr>
          <w:sz w:val="18"/>
          <w:szCs w:val="18"/>
        </w:rPr>
      </w:pPr>
      <w:r w:rsidRPr="002D7C67">
        <w:rPr>
          <w:rStyle w:val="EndnoteReference"/>
          <w:sz w:val="18"/>
          <w:szCs w:val="18"/>
        </w:rPr>
        <w:endnoteRef/>
      </w:r>
      <w:r w:rsidRPr="002D7C67">
        <w:rPr>
          <w:sz w:val="18"/>
          <w:szCs w:val="18"/>
        </w:rPr>
        <w:t xml:space="preserve"> </w:t>
      </w:r>
      <w:r w:rsidRPr="002D7C67">
        <w:rPr>
          <w:rFonts w:cs="Arial"/>
          <w:sz w:val="18"/>
          <w:szCs w:val="18"/>
        </w:rPr>
        <w:t>Productivity Commission. (2014). Child Care and Early Childhood Learning. Productivity Commission Inquiry Report Volume 2.No. 73. Australian Government, p. 526</w:t>
      </w:r>
    </w:p>
  </w:endnote>
  <w:endnote w:id="30">
    <w:p w14:paraId="0071E6A9" w14:textId="77777777" w:rsidR="00993586" w:rsidRPr="002D7C67" w:rsidRDefault="00993586" w:rsidP="0050367E">
      <w:pPr>
        <w:pStyle w:val="EndnoteText"/>
        <w:rPr>
          <w:sz w:val="18"/>
          <w:szCs w:val="18"/>
        </w:rPr>
      </w:pPr>
      <w:r w:rsidRPr="002D7C67">
        <w:rPr>
          <w:rStyle w:val="EndnoteReference"/>
          <w:sz w:val="18"/>
          <w:szCs w:val="18"/>
        </w:rPr>
        <w:endnoteRef/>
      </w:r>
      <w:r w:rsidRPr="002D7C67">
        <w:rPr>
          <w:sz w:val="18"/>
          <w:szCs w:val="18"/>
        </w:rPr>
        <w:t xml:space="preserve"> </w:t>
      </w:r>
      <w:r w:rsidRPr="002D7C67">
        <w:rPr>
          <w:rFonts w:cs="Arial"/>
          <w:sz w:val="18"/>
          <w:szCs w:val="18"/>
        </w:rPr>
        <w:t>Australian Government  (2013). A Snapshot of Early Childhood Development in Australia 2012 – AEDI National Report. Re-issue November 2013. Australian Government, Canberra, p.13</w:t>
      </w:r>
    </w:p>
  </w:endnote>
  <w:endnote w:id="31">
    <w:p w14:paraId="2CAA9C5E" w14:textId="01F02A46" w:rsidR="00993586" w:rsidRPr="002D7C67" w:rsidRDefault="00993586" w:rsidP="0050367E">
      <w:pPr>
        <w:rPr>
          <w:rFonts w:eastAsia="Times New Roman"/>
          <w:sz w:val="18"/>
          <w:szCs w:val="18"/>
        </w:rPr>
      </w:pPr>
      <w:r w:rsidRPr="002D7C67">
        <w:rPr>
          <w:rStyle w:val="EndnoteReference"/>
          <w:rFonts w:cs="Arial"/>
          <w:sz w:val="18"/>
          <w:szCs w:val="18"/>
        </w:rPr>
        <w:endnoteRef/>
      </w:r>
      <w:r w:rsidRPr="002D7C67">
        <w:rPr>
          <w:rFonts w:eastAsia="Times New Roman" w:cs="Arial"/>
          <w:sz w:val="18"/>
          <w:szCs w:val="18"/>
        </w:rPr>
        <w:t xml:space="preserve"> Productivity Commission. (2014). Child Care and Early Childhood Learning. Productivity Commission Inquiry Report Volume 2.No. 73. Australian Government, p. 644.</w:t>
      </w:r>
    </w:p>
  </w:endnote>
  <w:endnote w:id="32">
    <w:p w14:paraId="283D8AC0" w14:textId="33CD546C" w:rsidR="00993586" w:rsidRPr="002D7C67" w:rsidRDefault="00993586" w:rsidP="0050367E">
      <w:pPr>
        <w:pStyle w:val="EndnoteText"/>
        <w:rPr>
          <w:rFonts w:eastAsia="Times New Roman" w:cs="Arial"/>
          <w:sz w:val="18"/>
          <w:szCs w:val="18"/>
        </w:rPr>
      </w:pPr>
      <w:r w:rsidRPr="002D7C67">
        <w:rPr>
          <w:rStyle w:val="EndnoteReference"/>
          <w:sz w:val="18"/>
          <w:szCs w:val="18"/>
        </w:rPr>
        <w:endnoteRef/>
      </w:r>
      <w:r w:rsidRPr="002D7C67">
        <w:rPr>
          <w:sz w:val="18"/>
          <w:szCs w:val="18"/>
        </w:rPr>
        <w:t xml:space="preserve"> </w:t>
      </w:r>
      <w:r w:rsidRPr="002D7C67">
        <w:rPr>
          <w:rFonts w:eastAsia="Times New Roman" w:cs="Arial"/>
          <w:sz w:val="18"/>
          <w:szCs w:val="18"/>
        </w:rPr>
        <w:t xml:space="preserve">SNAICC – National Voice for our Children (2016), Family Matters Report, Melbourne, p.8. </w:t>
      </w:r>
    </w:p>
  </w:endnote>
  <w:endnote w:id="33">
    <w:p w14:paraId="5C00AED1" w14:textId="77777777" w:rsidR="00993586" w:rsidRPr="002D7C67" w:rsidRDefault="00993586" w:rsidP="0050367E">
      <w:pPr>
        <w:rPr>
          <w:rFonts w:eastAsia="Times New Roman" w:cs="Arial"/>
          <w:sz w:val="18"/>
          <w:szCs w:val="18"/>
        </w:rPr>
      </w:pPr>
      <w:r w:rsidRPr="002D7C67">
        <w:rPr>
          <w:rStyle w:val="EndnoteReference"/>
          <w:sz w:val="18"/>
          <w:szCs w:val="18"/>
        </w:rPr>
        <w:endnoteRef/>
      </w:r>
      <w:r w:rsidRPr="002D7C67">
        <w:rPr>
          <w:sz w:val="18"/>
          <w:szCs w:val="18"/>
        </w:rPr>
        <w:t xml:space="preserve"> </w:t>
      </w:r>
      <w:r w:rsidRPr="002D7C67">
        <w:rPr>
          <w:rFonts w:eastAsia="Times New Roman" w:cs="Arial"/>
          <w:sz w:val="18"/>
          <w:szCs w:val="18"/>
        </w:rPr>
        <w:t xml:space="preserve">Australian Government 2016). ‘Minister Morrison: Better start for Indigenous children’, media release, 19 August 2015, available: http://www.indigenous.gov.au/news-and-media/announcements/minister-morrison-better-startindigenous-children. </w:t>
      </w:r>
    </w:p>
  </w:endnote>
  <w:endnote w:id="34">
    <w:p w14:paraId="1C1B69C9" w14:textId="1B73B664" w:rsidR="00993586" w:rsidRPr="002D7C67" w:rsidRDefault="00993586" w:rsidP="0050367E">
      <w:pPr>
        <w:pStyle w:val="EndnoteText"/>
        <w:rPr>
          <w:sz w:val="18"/>
          <w:szCs w:val="18"/>
        </w:rPr>
      </w:pPr>
      <w:r w:rsidRPr="002D7C67">
        <w:rPr>
          <w:rStyle w:val="EndnoteReference"/>
          <w:sz w:val="18"/>
          <w:szCs w:val="18"/>
        </w:rPr>
        <w:endnoteRef/>
      </w:r>
      <w:r w:rsidRPr="002D7C67">
        <w:rPr>
          <w:sz w:val="18"/>
          <w:szCs w:val="18"/>
        </w:rPr>
        <w:t xml:space="preserve"> </w:t>
      </w:r>
      <w:r w:rsidRPr="002D7C67">
        <w:rPr>
          <w:rFonts w:eastAsia="Times New Roman" w:cs="Arial"/>
          <w:sz w:val="18"/>
          <w:szCs w:val="18"/>
        </w:rPr>
        <w:t>Flaxman, S., Muir, K., and Oprea, I. (2009). Indigenous families and children: coordination and provision of  services, Occasional Paper No 23. Canberra: Department of Families, Housing, Community Services, and Indigenous Affairs (FaHCSIA), p23; See also: SNAICC. (2010). Towards Aboriginal and Torres Strait Islander access and engagement: overcoming barriers to child and family services, Melbourne: Author.</w:t>
      </w:r>
    </w:p>
  </w:endnote>
  <w:endnote w:id="35">
    <w:p w14:paraId="3FE7CCDF" w14:textId="0EF7C309" w:rsidR="00993586" w:rsidRPr="002D7C67" w:rsidRDefault="00993586" w:rsidP="00C53B11">
      <w:pPr>
        <w:rPr>
          <w:rFonts w:eastAsia="Times New Roman" w:cs="Times New Roman"/>
          <w:sz w:val="18"/>
          <w:szCs w:val="18"/>
          <w:lang w:val="en-AU" w:eastAsia="en-US"/>
        </w:rPr>
      </w:pPr>
      <w:r w:rsidRPr="002D7C67">
        <w:rPr>
          <w:rStyle w:val="EndnoteReference"/>
          <w:sz w:val="18"/>
          <w:szCs w:val="18"/>
        </w:rPr>
        <w:endnoteRef/>
      </w:r>
      <w:r w:rsidRPr="002D7C67">
        <w:rPr>
          <w:sz w:val="18"/>
          <w:szCs w:val="18"/>
        </w:rPr>
        <w:t xml:space="preserve"> </w:t>
      </w:r>
      <w:r w:rsidRPr="002D7C67">
        <w:rPr>
          <w:rFonts w:eastAsia="Times New Roman" w:cs="Times New Roman"/>
          <w:sz w:val="18"/>
          <w:szCs w:val="18"/>
          <w:shd w:val="clear" w:color="auto" w:fill="FFFFFF"/>
          <w:lang w:val="en-AU" w:eastAsia="en-US"/>
        </w:rPr>
        <w:t>Senate Finance and Public Administration References Committee (2016), </w:t>
      </w:r>
      <w:r w:rsidRPr="002D7C67">
        <w:rPr>
          <w:rFonts w:eastAsia="Times New Roman" w:cs="Times New Roman"/>
          <w:i/>
          <w:iCs/>
          <w:sz w:val="18"/>
          <w:szCs w:val="18"/>
          <w:lang w:val="en-AU" w:eastAsia="en-US"/>
        </w:rPr>
        <w:t>Commonwealth Indigenous Advancement Strategy tendering processes, </w:t>
      </w:r>
      <w:r w:rsidRPr="002D7C67">
        <w:rPr>
          <w:rFonts w:eastAsia="Times New Roman" w:cs="Times New Roman"/>
          <w:sz w:val="18"/>
          <w:szCs w:val="18"/>
          <w:shd w:val="clear" w:color="auto" w:fill="FFFFFF"/>
          <w:lang w:val="en-AU" w:eastAsia="en-US"/>
        </w:rPr>
        <w:t>Australian Government, Canberra, p.16.</w:t>
      </w:r>
    </w:p>
  </w:endnote>
  <w:endnote w:id="36">
    <w:p w14:paraId="071F18F3" w14:textId="02027967" w:rsidR="00993586" w:rsidRPr="002D7C67" w:rsidRDefault="00993586" w:rsidP="00C53B11">
      <w:pPr>
        <w:rPr>
          <w:rFonts w:eastAsia="Times New Roman" w:cs="Times New Roman"/>
          <w:sz w:val="18"/>
          <w:szCs w:val="18"/>
          <w:lang w:val="en-AU" w:eastAsia="en-US"/>
        </w:rPr>
      </w:pPr>
      <w:r w:rsidRPr="002D7C67">
        <w:rPr>
          <w:rStyle w:val="EndnoteReference"/>
          <w:sz w:val="18"/>
          <w:szCs w:val="18"/>
        </w:rPr>
        <w:endnoteRef/>
      </w:r>
      <w:r w:rsidRPr="002D7C67">
        <w:rPr>
          <w:sz w:val="18"/>
          <w:szCs w:val="18"/>
        </w:rPr>
        <w:t xml:space="preserve"> </w:t>
      </w:r>
      <w:r w:rsidR="00866609" w:rsidRPr="002D7C67">
        <w:rPr>
          <w:rFonts w:eastAsia="Times New Roman" w:cs="Arial"/>
          <w:sz w:val="18"/>
          <w:szCs w:val="18"/>
          <w:shd w:val="clear" w:color="auto" w:fill="FFFFFF"/>
          <w:lang w:val="en-AU"/>
        </w:rPr>
        <w:t xml:space="preserve">SNAICC - </w:t>
      </w:r>
      <w:r w:rsidR="00866609" w:rsidRPr="002D7C67">
        <w:rPr>
          <w:rFonts w:eastAsia="Times New Roman" w:cs="Arial"/>
          <w:sz w:val="18"/>
          <w:szCs w:val="18"/>
        </w:rPr>
        <w:t>National Voice for our Children</w:t>
      </w:r>
      <w:r w:rsidR="00866609" w:rsidRPr="002D7C67">
        <w:rPr>
          <w:rFonts w:eastAsia="Times New Roman" w:cs="Arial"/>
          <w:sz w:val="18"/>
          <w:szCs w:val="18"/>
          <w:shd w:val="clear" w:color="auto" w:fill="FFFFFF"/>
          <w:lang w:val="en-AU"/>
        </w:rPr>
        <w:t xml:space="preserve"> (2016), </w:t>
      </w:r>
      <w:r w:rsidR="00866609" w:rsidRPr="002D7C67">
        <w:rPr>
          <w:rFonts w:eastAsia="Times New Roman" w:cs="Arial"/>
          <w:i/>
          <w:iCs/>
          <w:sz w:val="18"/>
          <w:szCs w:val="18"/>
          <w:shd w:val="clear" w:color="auto" w:fill="FFFFFF"/>
          <w:lang w:val="en-AU"/>
        </w:rPr>
        <w:t>Submission into the Inquiry into the provisions of the Family Assistance Legislation Amendment Jobs for Families Child Care Package Bill 2015</w:t>
      </w:r>
      <w:r w:rsidR="00866609" w:rsidRPr="002D7C67">
        <w:rPr>
          <w:rFonts w:eastAsia="Times New Roman" w:cs="Arial"/>
          <w:sz w:val="18"/>
          <w:szCs w:val="18"/>
          <w:shd w:val="clear" w:color="auto" w:fill="FFFFFF"/>
          <w:lang w:val="en-AU"/>
        </w:rPr>
        <w:t>, Melbourne.</w:t>
      </w:r>
    </w:p>
  </w:endnote>
  <w:endnote w:id="37">
    <w:p w14:paraId="7B4CAE35" w14:textId="39A1400F" w:rsidR="00993586" w:rsidRPr="002D7C67" w:rsidRDefault="00993586">
      <w:pPr>
        <w:pStyle w:val="EndnoteText"/>
        <w:rPr>
          <w:sz w:val="18"/>
          <w:szCs w:val="18"/>
          <w:lang w:val="en-AU"/>
        </w:rPr>
      </w:pPr>
      <w:r w:rsidRPr="002D7C67">
        <w:rPr>
          <w:rStyle w:val="EndnoteReference"/>
          <w:sz w:val="18"/>
          <w:szCs w:val="18"/>
        </w:rPr>
        <w:endnoteRef/>
      </w:r>
      <w:r w:rsidRPr="002D7C67">
        <w:rPr>
          <w:sz w:val="18"/>
          <w:szCs w:val="18"/>
        </w:rPr>
        <w:t xml:space="preserve"> Department of Families, Housing, Community Services and Indigenous Affairs (FaHCSIA) (2009). Footprints in Time: The Longitudinal Study of Indigenous Children—Key Summary Report from Wave 1, Canberra: Author, p42; SNAICC (2004). Indigenous Parenting Project: Final Report, Melbourne: Author, p.40; Yeo, S. (2003). Bonding and attachment of Australian Aboriginal children. Child Abuse Review, 12, 299; Taylor, J. (2011). Coming, ready or not: Aboriginal children’s transition to school in urban Australia and the policy push. International Journal of Early Years Education, 19(2), 145, p.148; Armstrong, S, Buckley, S., Lonsdale, M., Milgate, G., Kneebone, L., Cook, L., and Skelton, F. (2012). Starting school: a strengths-based approach towards Aboriginal and Torres Strait Islander children, pp.11-12.</w:t>
      </w:r>
    </w:p>
  </w:endnote>
  <w:endnote w:id="38">
    <w:p w14:paraId="1FDB754A" w14:textId="1DE2135F" w:rsidR="00993586" w:rsidRPr="002D7C67" w:rsidRDefault="00993586">
      <w:pPr>
        <w:pStyle w:val="EndnoteText"/>
        <w:rPr>
          <w:sz w:val="18"/>
          <w:szCs w:val="18"/>
        </w:rPr>
      </w:pPr>
      <w:r w:rsidRPr="002D7C67">
        <w:rPr>
          <w:rStyle w:val="EndnoteReference"/>
          <w:sz w:val="18"/>
          <w:szCs w:val="18"/>
        </w:rPr>
        <w:endnoteRef/>
      </w:r>
      <w:r w:rsidRPr="002D7C67">
        <w:rPr>
          <w:sz w:val="18"/>
          <w:szCs w:val="18"/>
        </w:rPr>
        <w:t xml:space="preserve"> </w:t>
      </w:r>
      <w:r w:rsidR="00866609" w:rsidRPr="002D7C67">
        <w:rPr>
          <w:sz w:val="18"/>
          <w:szCs w:val="18"/>
        </w:rPr>
        <w:t xml:space="preserve">Australian Institute of Health and Welfare (2016), </w:t>
      </w:r>
      <w:r w:rsidR="00866609" w:rsidRPr="002D7C67">
        <w:rPr>
          <w:i/>
          <w:sz w:val="18"/>
          <w:szCs w:val="18"/>
        </w:rPr>
        <w:t xml:space="preserve">Child Protection Australia 2014-15, </w:t>
      </w:r>
      <w:r w:rsidR="00866609" w:rsidRPr="002D7C67">
        <w:rPr>
          <w:sz w:val="18"/>
          <w:szCs w:val="18"/>
        </w:rPr>
        <w:t>Child welfare series no. 63. Cat. no. CWS 57. Canberra.</w:t>
      </w:r>
    </w:p>
  </w:endnote>
  <w:endnote w:id="39">
    <w:p w14:paraId="0DD08D21" w14:textId="14BA89DE" w:rsidR="00993586" w:rsidRPr="002D7C67" w:rsidRDefault="00993586" w:rsidP="000F2084">
      <w:pPr>
        <w:rPr>
          <w:rFonts w:eastAsia="Times New Roman" w:cs="Times New Roman"/>
          <w:sz w:val="18"/>
          <w:szCs w:val="18"/>
          <w:lang w:eastAsia="en-US"/>
        </w:rPr>
      </w:pPr>
      <w:r w:rsidRPr="002D7C67">
        <w:rPr>
          <w:rStyle w:val="EndnoteReference"/>
          <w:sz w:val="18"/>
          <w:szCs w:val="18"/>
        </w:rPr>
        <w:endnoteRef/>
      </w:r>
      <w:r w:rsidRPr="002D7C67">
        <w:rPr>
          <w:sz w:val="18"/>
          <w:szCs w:val="18"/>
        </w:rPr>
        <w:t xml:space="preserve"> </w:t>
      </w:r>
      <w:r w:rsidR="00866609" w:rsidRPr="002D7C67">
        <w:rPr>
          <w:rFonts w:eastAsia="Times New Roman" w:cs="Arial"/>
          <w:sz w:val="18"/>
          <w:szCs w:val="18"/>
        </w:rPr>
        <w:t xml:space="preserve">Australian National Audit Office. (2012). </w:t>
      </w:r>
      <w:r w:rsidR="00866609" w:rsidRPr="002D7C67">
        <w:rPr>
          <w:rFonts w:eastAsia="Times New Roman" w:cs="Arial"/>
          <w:i/>
          <w:sz w:val="18"/>
          <w:szCs w:val="18"/>
        </w:rPr>
        <w:t>Capacity development for Indigenous service delivery</w:t>
      </w:r>
      <w:r w:rsidR="00866609" w:rsidRPr="002D7C67">
        <w:rPr>
          <w:rFonts w:eastAsia="Times New Roman" w:cs="Arial"/>
          <w:sz w:val="18"/>
          <w:szCs w:val="18"/>
        </w:rPr>
        <w:t xml:space="preserve">, No 26, Canberra, p17; Cornell, S., and Taylor J. (2000). </w:t>
      </w:r>
      <w:r w:rsidR="00866609" w:rsidRPr="002D7C67">
        <w:rPr>
          <w:rFonts w:eastAsia="Times New Roman" w:cs="Arial"/>
          <w:i/>
          <w:sz w:val="18"/>
          <w:szCs w:val="18"/>
        </w:rPr>
        <w:t>Sovereignty, devolution, and the future of tribal-state relations</w:t>
      </w:r>
      <w:r w:rsidR="00866609" w:rsidRPr="002D7C67">
        <w:rPr>
          <w:rFonts w:eastAsia="Times New Roman" w:cs="Arial"/>
          <w:sz w:val="18"/>
          <w:szCs w:val="18"/>
        </w:rPr>
        <w:t xml:space="preserve">, Cambridge: Harvard University, pp6-7 available at: http://hpaied.org/sites/default/files/ publications/PRS00-4.pdf; Denato, R., and Segal, L. (2013). ‘Does Australia have the appropriate health reform agenda to close the gap in Indigenous health?’, </w:t>
      </w:r>
      <w:r w:rsidR="00866609" w:rsidRPr="002D7C67">
        <w:rPr>
          <w:rFonts w:eastAsia="Times New Roman" w:cs="Arial"/>
          <w:i/>
          <w:sz w:val="18"/>
          <w:szCs w:val="18"/>
        </w:rPr>
        <w:t>Australian Health Review</w:t>
      </w:r>
      <w:r w:rsidR="00866609" w:rsidRPr="002D7C67">
        <w:rPr>
          <w:rFonts w:eastAsia="Times New Roman" w:cs="Arial"/>
          <w:sz w:val="18"/>
          <w:szCs w:val="18"/>
        </w:rPr>
        <w:t>, 37(2), May, 232.</w:t>
      </w:r>
    </w:p>
  </w:endnote>
  <w:endnote w:id="40">
    <w:p w14:paraId="14C2E3B6" w14:textId="7F841FF7" w:rsidR="00993586" w:rsidRPr="002D7C67" w:rsidRDefault="00993586" w:rsidP="000F2084">
      <w:pPr>
        <w:rPr>
          <w:rFonts w:eastAsia="Times New Roman" w:cs="Times New Roman"/>
          <w:sz w:val="18"/>
          <w:szCs w:val="18"/>
          <w:lang w:eastAsia="en-US"/>
        </w:rPr>
      </w:pPr>
      <w:r w:rsidRPr="002D7C67">
        <w:rPr>
          <w:rStyle w:val="EndnoteReference"/>
          <w:sz w:val="18"/>
          <w:szCs w:val="18"/>
        </w:rPr>
        <w:endnoteRef/>
      </w:r>
      <w:r w:rsidRPr="002D7C67">
        <w:rPr>
          <w:sz w:val="18"/>
          <w:szCs w:val="18"/>
        </w:rPr>
        <w:t xml:space="preserve"> </w:t>
      </w:r>
      <w:r w:rsidRPr="002D7C67">
        <w:rPr>
          <w:rFonts w:eastAsia="Times New Roman" w:cs="Arial"/>
          <w:sz w:val="18"/>
          <w:szCs w:val="18"/>
        </w:rPr>
        <w:t>Chandler, M., and Lalonde, C. (1998). Cultural continuity as a hedge against suicide in Canada’s First Nations; Lavoie, J. et al. (2010). ‘Have investments in on-reserve health services and initiatives promoting community control improved First Nations’ health in Manitoba?’, Social Science and Medicine, 71(4), August, 717.</w:t>
      </w:r>
    </w:p>
  </w:endnote>
  <w:endnote w:id="41">
    <w:p w14:paraId="0FC3CD00" w14:textId="07D486D2" w:rsidR="00993586" w:rsidRPr="002D7C67" w:rsidRDefault="00993586" w:rsidP="000C73D3">
      <w:pPr>
        <w:rPr>
          <w:rFonts w:cs="Times New Roman"/>
          <w:i/>
          <w:sz w:val="18"/>
          <w:szCs w:val="18"/>
        </w:rPr>
      </w:pPr>
      <w:r w:rsidRPr="002D7C67">
        <w:rPr>
          <w:rStyle w:val="EndnoteReference"/>
          <w:sz w:val="18"/>
          <w:szCs w:val="18"/>
        </w:rPr>
        <w:endnoteRef/>
      </w:r>
      <w:r w:rsidRPr="002D7C67">
        <w:rPr>
          <w:sz w:val="18"/>
          <w:szCs w:val="18"/>
        </w:rPr>
        <w:t xml:space="preserve"> </w:t>
      </w:r>
      <w:r w:rsidRPr="002D7C67">
        <w:rPr>
          <w:rFonts w:eastAsia="Times New Roman" w:cs="Arial"/>
          <w:sz w:val="18"/>
          <w:szCs w:val="18"/>
        </w:rPr>
        <w:t>Lohar, S., Price-Robertson, R., &amp; Nair, L. (2013). Applying community capacity building  approaches to child and welfare practice and policy. Child, Family and Community Australia, 13.</w:t>
      </w:r>
      <w:r w:rsidRPr="002D7C67">
        <w:rPr>
          <w:rFonts w:cs="Times New Roman"/>
          <w:i/>
          <w:sz w:val="18"/>
          <w:szCs w:val="18"/>
        </w:rPr>
        <w:t xml:space="preserve"> </w:t>
      </w:r>
    </w:p>
  </w:endnote>
  <w:endnote w:id="42">
    <w:p w14:paraId="73D2B50F" w14:textId="1BF9DAE6" w:rsidR="00993586" w:rsidRPr="002D7C67" w:rsidRDefault="00993586" w:rsidP="00356D69">
      <w:pPr>
        <w:rPr>
          <w:rFonts w:eastAsia="Times New Roman" w:cs="Times New Roman"/>
          <w:sz w:val="18"/>
          <w:szCs w:val="18"/>
          <w:lang w:eastAsia="en-US"/>
        </w:rPr>
      </w:pPr>
      <w:r w:rsidRPr="002D7C67">
        <w:rPr>
          <w:rStyle w:val="EndnoteReference"/>
          <w:sz w:val="18"/>
          <w:szCs w:val="18"/>
        </w:rPr>
        <w:endnoteRef/>
      </w:r>
      <w:r w:rsidRPr="002D7C67">
        <w:rPr>
          <w:sz w:val="18"/>
          <w:szCs w:val="18"/>
        </w:rPr>
        <w:t xml:space="preserve"> </w:t>
      </w:r>
      <w:r w:rsidRPr="002D7C67">
        <w:rPr>
          <w:rFonts w:eastAsia="Times New Roman" w:cs="Arial"/>
          <w:sz w:val="18"/>
          <w:szCs w:val="18"/>
        </w:rPr>
        <w:t>SNAICC. (2013). Whose voice counts: Aboriginal and Torres Strait Islander participation in child protection decision-making, Melbourne.</w:t>
      </w:r>
    </w:p>
  </w:endnote>
  <w:endnote w:id="43">
    <w:p w14:paraId="7BDF3564" w14:textId="6C6855C0" w:rsidR="00993586" w:rsidRPr="002D7C67" w:rsidRDefault="00993586">
      <w:pPr>
        <w:pStyle w:val="EndnoteText"/>
        <w:rPr>
          <w:sz w:val="18"/>
          <w:szCs w:val="18"/>
          <w:lang w:val="en-AU"/>
        </w:rPr>
      </w:pPr>
      <w:r w:rsidRPr="002D7C67">
        <w:rPr>
          <w:rStyle w:val="EndnoteReference"/>
          <w:sz w:val="18"/>
          <w:szCs w:val="18"/>
        </w:rPr>
        <w:endnoteRef/>
      </w:r>
      <w:r w:rsidRPr="002D7C67">
        <w:rPr>
          <w:sz w:val="18"/>
          <w:szCs w:val="18"/>
        </w:rPr>
        <w:t xml:space="preserve"> </w:t>
      </w:r>
      <w:r w:rsidR="00866609" w:rsidRPr="002D7C67">
        <w:rPr>
          <w:rFonts w:eastAsia="Times New Roman" w:cs="Arial"/>
          <w:sz w:val="18"/>
          <w:szCs w:val="18"/>
        </w:rPr>
        <w:t xml:space="preserve">Grandmothers Against Removals (2016), ‘About Us’, available at: </w:t>
      </w:r>
      <w:hyperlink r:id="rId2" w:history="1">
        <w:r w:rsidR="00866609" w:rsidRPr="002D7C67">
          <w:rPr>
            <w:rStyle w:val="Hyperlink"/>
            <w:color w:val="auto"/>
            <w:sz w:val="18"/>
            <w:szCs w:val="18"/>
          </w:rPr>
          <w:t>http://stopstolengenerations.com.au/</w:t>
        </w:r>
      </w:hyperlink>
      <w:r w:rsidR="00866609" w:rsidRPr="002D7C67">
        <w:rPr>
          <w:sz w:val="18"/>
          <w:szCs w:val="18"/>
        </w:rPr>
        <w:t>.</w:t>
      </w:r>
    </w:p>
  </w:endnote>
  <w:endnote w:id="44">
    <w:p w14:paraId="32E2F2B0" w14:textId="2BD31BD9" w:rsidR="00993586" w:rsidRPr="002D7C67" w:rsidRDefault="00993586" w:rsidP="00C53B11">
      <w:pPr>
        <w:rPr>
          <w:rFonts w:eastAsia="Times New Roman" w:cs="Times New Roman"/>
          <w:sz w:val="18"/>
          <w:szCs w:val="18"/>
        </w:rPr>
      </w:pPr>
      <w:r w:rsidRPr="002D7C67">
        <w:rPr>
          <w:rStyle w:val="EndnoteReference"/>
          <w:sz w:val="18"/>
          <w:szCs w:val="18"/>
        </w:rPr>
        <w:endnoteRef/>
      </w:r>
      <w:r w:rsidRPr="002D7C67">
        <w:rPr>
          <w:sz w:val="18"/>
          <w:szCs w:val="18"/>
        </w:rPr>
        <w:t xml:space="preserve"> </w:t>
      </w:r>
      <w:r w:rsidRPr="002D7C67">
        <w:rPr>
          <w:rFonts w:eastAsia="Times New Roman" w:cs="Times New Roman"/>
          <w:sz w:val="18"/>
          <w:szCs w:val="18"/>
          <w:shd w:val="clear" w:color="auto" w:fill="FFFFFF"/>
        </w:rPr>
        <w:t>Council of Australian Governments, National Indigenous Reform Agreement (Closing the Gap), 2008, available</w:t>
      </w:r>
      <w:r w:rsidRPr="002D7C67">
        <w:rPr>
          <w:rStyle w:val="apple-converted-space"/>
          <w:rFonts w:eastAsia="Times New Roman" w:cs="Arial"/>
          <w:sz w:val="18"/>
          <w:szCs w:val="18"/>
          <w:shd w:val="clear" w:color="auto" w:fill="FFFFFF"/>
        </w:rPr>
        <w:t> </w:t>
      </w:r>
      <w:r w:rsidRPr="002D7C67">
        <w:rPr>
          <w:rFonts w:eastAsia="Times New Roman" w:cs="Arial"/>
          <w:sz w:val="18"/>
          <w:szCs w:val="18"/>
          <w:shd w:val="clear" w:color="auto" w:fill="FFFFFF"/>
        </w:rPr>
        <w:t>at</w:t>
      </w:r>
      <w:r w:rsidRPr="002D7C67">
        <w:rPr>
          <w:rFonts w:eastAsia="Times New Roman" w:cs="Times New Roman"/>
          <w:sz w:val="18"/>
          <w:szCs w:val="18"/>
          <w:shd w:val="clear" w:color="auto" w:fill="FFFFFF"/>
        </w:rPr>
        <w:t>: </w:t>
      </w:r>
      <w:hyperlink r:id="rId3" w:tgtFrame="_blank" w:history="1">
        <w:r w:rsidRPr="002D7C67">
          <w:rPr>
            <w:rStyle w:val="Hyperlink"/>
            <w:rFonts w:eastAsia="Times New Roman" w:cs="Arial"/>
            <w:color w:val="auto"/>
            <w:sz w:val="18"/>
            <w:szCs w:val="18"/>
            <w:shd w:val="clear" w:color="auto" w:fill="FFFFFF"/>
          </w:rPr>
          <w:t>http://www.coag.gov.au/intergov_agreements/federal_financial_relations/index.cfm</w:t>
        </w:r>
      </w:hyperlink>
      <w:r w:rsidRPr="002D7C67">
        <w:rPr>
          <w:rFonts w:eastAsia="Times New Roman" w:cs="Times New Roman"/>
          <w:sz w:val="18"/>
          <w:szCs w:val="18"/>
          <w:shd w:val="clear" w:color="auto" w:fill="FFFFFF"/>
        </w:rPr>
        <w:t>, p. D-67.</w:t>
      </w:r>
    </w:p>
  </w:endnote>
  <w:endnote w:id="45">
    <w:p w14:paraId="6CF09A53" w14:textId="39D92F04" w:rsidR="00993586" w:rsidRPr="00D426E6" w:rsidRDefault="00993586" w:rsidP="00294AF7">
      <w:pPr>
        <w:pStyle w:val="EndnoteText"/>
        <w:rPr>
          <w:rFonts w:eastAsia="Times New Roman" w:cs="Arial"/>
          <w:sz w:val="18"/>
          <w:szCs w:val="18"/>
        </w:rPr>
      </w:pPr>
      <w:r w:rsidRPr="002D7C67">
        <w:rPr>
          <w:rStyle w:val="EndnoteReference"/>
          <w:sz w:val="18"/>
          <w:szCs w:val="18"/>
        </w:rPr>
        <w:endnoteRef/>
      </w:r>
      <w:r w:rsidRPr="002D7C67">
        <w:rPr>
          <w:sz w:val="18"/>
          <w:szCs w:val="18"/>
        </w:rPr>
        <w:t xml:space="preserve"> </w:t>
      </w:r>
      <w:r w:rsidR="00866609" w:rsidRPr="002D7C67">
        <w:rPr>
          <w:rFonts w:eastAsia="Times New Roman" w:cs="Arial"/>
          <w:sz w:val="18"/>
          <w:szCs w:val="18"/>
        </w:rPr>
        <w:t>Harvard Project on American Indian Economic Development, available at:</w:t>
      </w:r>
      <w:r w:rsidR="00866609" w:rsidRPr="002D7C67">
        <w:rPr>
          <w:sz w:val="18"/>
          <w:szCs w:val="18"/>
        </w:rPr>
        <w:t xml:space="preserve"> </w:t>
      </w:r>
      <w:hyperlink r:id="rId4" w:history="1">
        <w:r w:rsidR="00866609" w:rsidRPr="002D7C67">
          <w:rPr>
            <w:rStyle w:val="Hyperlink"/>
            <w:color w:val="auto"/>
            <w:sz w:val="18"/>
            <w:szCs w:val="18"/>
          </w:rPr>
          <w:t>http://hpaied.org/about-hpaied/overview</w:t>
        </w:r>
      </w:hyperlink>
      <w:r w:rsidR="00866609" w:rsidRPr="002D7C67">
        <w:rPr>
          <w:rStyle w:val="Hyperlink"/>
          <w:color w:val="auto"/>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B3220" w14:textId="77777777" w:rsidR="00993586" w:rsidRDefault="00993586" w:rsidP="00BB3A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C1EE3FF" w14:textId="77777777" w:rsidR="00993586" w:rsidRPr="00632C39" w:rsidRDefault="00993586" w:rsidP="00632C39">
    <w:pPr>
      <w:pStyle w:val="Footer"/>
      <w:ind w:right="360"/>
      <w:jc w:val="center"/>
      <w:rPr>
        <w:b/>
        <w:i/>
        <w:color w:val="9A3429" w:themeColor="accent1"/>
      </w:rPr>
    </w:pPr>
    <w:r w:rsidRPr="00632C39">
      <w:rPr>
        <w:b/>
        <w:i/>
        <w:color w:val="9A3429" w:themeColor="accent1"/>
      </w:rPr>
      <w:t>Family Matters – Strong communities. Strong culture. Stronger children.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98238" w14:textId="77777777" w:rsidR="00993586" w:rsidRDefault="00993586" w:rsidP="00BB3A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DE58260" w14:textId="77777777" w:rsidR="00993586" w:rsidRPr="00632C39" w:rsidRDefault="00993586" w:rsidP="00632C39">
    <w:pPr>
      <w:pStyle w:val="Footer"/>
      <w:ind w:right="360"/>
      <w:jc w:val="center"/>
      <w:rPr>
        <w:i/>
        <w:color w:val="9A3429" w:themeColor="accent1"/>
      </w:rPr>
    </w:pPr>
    <w:r w:rsidRPr="00632C39">
      <w:rPr>
        <w:i/>
        <w:color w:val="9A3429" w:themeColor="accent1"/>
      </w:rPr>
      <w:t>2017 – 18 Federal Budget Submission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BEFA3" w14:textId="77777777" w:rsidR="00993586" w:rsidRDefault="00993586" w:rsidP="00BB3A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2537">
      <w:rPr>
        <w:rStyle w:val="PageNumber"/>
        <w:noProof/>
      </w:rPr>
      <w:t>26</w:t>
    </w:r>
    <w:r>
      <w:rPr>
        <w:rStyle w:val="PageNumber"/>
      </w:rPr>
      <w:fldChar w:fldCharType="end"/>
    </w:r>
  </w:p>
  <w:p w14:paraId="48580B87" w14:textId="74BF1CF2" w:rsidR="00993586" w:rsidRPr="00632C39" w:rsidRDefault="00993586" w:rsidP="00632C39">
    <w:pPr>
      <w:pStyle w:val="Footer"/>
      <w:ind w:right="360"/>
      <w:jc w:val="center"/>
      <w:rPr>
        <w:b/>
        <w:i/>
        <w:color w:val="9A3429" w:themeColor="accent1"/>
      </w:rPr>
    </w:pPr>
    <w:r w:rsidRPr="00632C39">
      <w:rPr>
        <w:b/>
        <w:i/>
        <w:color w:val="9A3429" w:themeColor="accent1"/>
      </w:rPr>
      <w:t>Family Matters – Strong communities. Strong culture. Stronger children.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D4787" w14:textId="77777777" w:rsidR="00993586" w:rsidRDefault="00993586" w:rsidP="00BB3A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2537">
      <w:rPr>
        <w:rStyle w:val="PageNumber"/>
        <w:noProof/>
      </w:rPr>
      <w:t>25</w:t>
    </w:r>
    <w:r>
      <w:rPr>
        <w:rStyle w:val="PageNumber"/>
      </w:rPr>
      <w:fldChar w:fldCharType="end"/>
    </w:r>
  </w:p>
  <w:p w14:paraId="4AADF396" w14:textId="7EDFADE4" w:rsidR="00993586" w:rsidRPr="00632C39" w:rsidRDefault="00993586" w:rsidP="00632C39">
    <w:pPr>
      <w:pStyle w:val="Footer"/>
      <w:ind w:right="360"/>
      <w:jc w:val="center"/>
      <w:rPr>
        <w:i/>
        <w:color w:val="9A3429" w:themeColor="accent1"/>
      </w:rPr>
    </w:pPr>
    <w:r w:rsidRPr="00632C39">
      <w:rPr>
        <w:i/>
        <w:color w:val="9A3429" w:themeColor="accent1"/>
      </w:rPr>
      <w:t>2017 – 18 Federal Budget Submission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E6AAD" w14:textId="77777777" w:rsidR="00993586" w:rsidRDefault="00993586">
      <w:r>
        <w:separator/>
      </w:r>
    </w:p>
  </w:footnote>
  <w:footnote w:type="continuationSeparator" w:id="0">
    <w:p w14:paraId="3C0842CB" w14:textId="77777777" w:rsidR="00993586" w:rsidRDefault="00993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3D95D" w14:textId="77777777" w:rsidR="00993586" w:rsidRDefault="001F1AED">
    <w:pPr>
      <w:pStyle w:val="Header"/>
    </w:pPr>
    <w:r>
      <w:rPr>
        <w:noProof/>
        <w:lang w:eastAsia="en-US"/>
      </w:rPr>
      <w:pict w14:anchorId="5FAAC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38.8pt;height:146.25pt;rotation:315;z-index:-251650048;mso-wrap-edited:f;mso-position-horizontal:center;mso-position-horizontal-relative:margin;mso-position-vertical:center;mso-position-vertical-relative:margin" wrapcoords="21378 5427 18018 5316 17760 5427 17649 6313 17169 5316 15433 5316 14732 5427 14621 5760 14547 7310 14547 12406 12295 5981 11630 4541 11261 5538 10966 6535 10707 8418 10412 10080 10375 10190 8196 5981 7938 5649 7236 5206 5796 5427 5686 5427 5575 5760 5538 10412 4061 7089 3249 5427 3064 5649 2806 5427 2141 5316 1292 5316 812 5427 701 5538 590 5870 627 15950 923 16836 2695 16836 3323 16393 3876 15618 4320 14400 4578 15064 5907 17169 5981 16947 6276 16726 6350 16504 6424 13070 8492 16947 8492 16947 8935 16836 9046 16504 9267 16504 9969 17169 10116 16726 10449 15175 10929 13956 11704 13956 12073 14953 13403 17169 13513 16947 13846 16726 13919 16393 13587 14621 13919 15507 15064 17280 15359 16726 15359 16061 15433 12406 16135 12073 16873 11963 17206 11741 17280 10744 19310 16615 19716 17501 20049 16393 20049 8972 20307 7089 21452 6867 21526 6756 21599 6092 21378 5427"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F2A64" w14:textId="77777777" w:rsidR="00993586" w:rsidRDefault="001F1AED">
    <w:pPr>
      <w:pStyle w:val="Header"/>
    </w:pPr>
    <w:r>
      <w:rPr>
        <w:noProof/>
        <w:lang w:eastAsia="en-US"/>
      </w:rPr>
      <w:pict w14:anchorId="360584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38.8pt;height:146.25pt;rotation:315;z-index:-251651072;mso-wrap-edited:f;mso-position-horizontal:center;mso-position-horizontal-relative:margin;mso-position-vertical:center;mso-position-vertical-relative:margin" wrapcoords="21378 5427 18018 5316 17760 5427 17649 6313 17169 5316 15433 5316 14732 5427 14621 5760 14547 7310 14547 12406 12295 5981 11630 4541 11261 5538 10966 6535 10707 8418 10412 10080 10375 10190 8196 5981 7938 5649 7236 5206 5796 5427 5686 5427 5575 5760 5538 10412 4061 7089 3249 5427 3064 5649 2806 5427 2141 5316 1292 5316 812 5427 701 5538 590 5870 627 15950 923 16836 2695 16836 3323 16393 3876 15618 4320 14400 4578 15064 5907 17169 5981 16947 6276 16726 6350 16504 6424 13070 8492 16947 8492 16947 8935 16836 9046 16504 9267 16504 9969 17169 10116 16726 10449 15175 10929 13956 11704 13956 12073 14953 13403 17169 13513 16947 13846 16726 13919 16393 13587 14621 13919 15507 15064 17280 15359 16726 15359 16061 15433 12406 16135 12073 16873 11963 17206 11741 17280 10744 19310 16615 19716 17501 20049 16393 20049 8972 20307 7089 21452 6867 21526 6756 21599 6092 21378 5427"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3DDE7" w14:textId="77777777" w:rsidR="00993586" w:rsidRDefault="001F1AED">
    <w:pPr>
      <w:pStyle w:val="Header"/>
    </w:pPr>
    <w:r>
      <w:rPr>
        <w:noProof/>
        <w:lang w:eastAsia="en-US"/>
      </w:rPr>
      <w:pict w14:anchorId="0CB11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38.8pt;height:146.25pt;rotation:315;z-index:-251649024;mso-wrap-edited:f;mso-position-horizontal:center;mso-position-horizontal-relative:margin;mso-position-vertical:center;mso-position-vertical-relative:margin" wrapcoords="21378 5427 18018 5316 17760 5427 17649 6313 17169 5316 15433 5316 14732 5427 14621 5760 14547 7310 14547 12406 12295 5981 11630 4541 11261 5538 10966 6535 10707 8418 10412 10080 10375 10190 8196 5981 7938 5649 7236 5206 5796 5427 5686 5427 5575 5760 5538 10412 4061 7089 3249 5427 3064 5649 2806 5427 2141 5316 1292 5316 812 5427 701 5538 590 5870 627 15950 923 16836 2695 16836 3323 16393 3876 15618 4320 14400 4578 15064 5907 17169 5981 16947 6276 16726 6350 16504 6424 13070 8492 16947 8492 16947 8935 16836 9046 16504 9267 16504 9969 17169 10116 16726 10449 15175 10929 13956 11704 13956 12073 14953 13403 17169 13513 16947 13846 16726 13919 16393 13587 14621 13919 15507 15064 17280 15359 16726 15359 16061 15433 12406 16135 12073 16873 11963 17206 11741 17280 10744 19310 16615 19716 17501 20049 16393 20049 8972 20307 7089 21452 6867 21526 6756 21599 6092 21378 5427" fillcolor="silver" stroked="f">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361E0" w14:textId="01BBCBD9" w:rsidR="00993586" w:rsidRDefault="0099358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10822" w14:textId="1C88064C" w:rsidR="00993586" w:rsidRDefault="0099358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1D4BF" w14:textId="29664983" w:rsidR="00993586" w:rsidRDefault="009935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2EF3"/>
    <w:multiLevelType w:val="hybridMultilevel"/>
    <w:tmpl w:val="B2329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968A3"/>
    <w:multiLevelType w:val="hybridMultilevel"/>
    <w:tmpl w:val="E93AEC1E"/>
    <w:lvl w:ilvl="0" w:tplc="BE764542">
      <w:start w:val="1"/>
      <w:numFmt w:val="bullet"/>
      <w:lvlText w:val=""/>
      <w:lvlJc w:val="left"/>
      <w:pPr>
        <w:ind w:left="510" w:hanging="15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0B79BC"/>
    <w:multiLevelType w:val="hybridMultilevel"/>
    <w:tmpl w:val="179AC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20C1C"/>
    <w:multiLevelType w:val="hybridMultilevel"/>
    <w:tmpl w:val="7620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915BE5"/>
    <w:multiLevelType w:val="hybridMultilevel"/>
    <w:tmpl w:val="44A2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AA617C"/>
    <w:multiLevelType w:val="hybridMultilevel"/>
    <w:tmpl w:val="FCDC4994"/>
    <w:lvl w:ilvl="0" w:tplc="2028145C">
      <w:start w:val="1"/>
      <w:numFmt w:val="lowerLetter"/>
      <w:lvlText w:val="%1)"/>
      <w:lvlJc w:val="left"/>
      <w:pPr>
        <w:tabs>
          <w:tab w:val="num" w:pos="720"/>
        </w:tabs>
        <w:ind w:left="720" w:hanging="360"/>
      </w:pPr>
      <w:rPr>
        <w:rFonts w:asciiTheme="majorHAnsi" w:eastAsiaTheme="minorEastAsia" w:hAnsiTheme="majorHAnsi" w:cstheme="minorBidi"/>
      </w:rPr>
    </w:lvl>
    <w:lvl w:ilvl="1" w:tplc="786C2876">
      <w:start w:val="1"/>
      <w:numFmt w:val="lowerLetter"/>
      <w:lvlText w:val="%2)"/>
      <w:lvlJc w:val="left"/>
      <w:pPr>
        <w:tabs>
          <w:tab w:val="num" w:pos="1440"/>
        </w:tabs>
        <w:ind w:left="1440" w:hanging="360"/>
      </w:pPr>
    </w:lvl>
    <w:lvl w:ilvl="2" w:tplc="1C0E99D0">
      <w:start w:val="1"/>
      <w:numFmt w:val="lowerLetter"/>
      <w:lvlText w:val="(%3)"/>
      <w:lvlJc w:val="left"/>
      <w:pPr>
        <w:ind w:left="1495" w:hanging="360"/>
      </w:pPr>
      <w:rPr>
        <w:rFonts w:hint="default"/>
      </w:rPr>
    </w:lvl>
    <w:lvl w:ilvl="3" w:tplc="32368796" w:tentative="1">
      <w:start w:val="1"/>
      <w:numFmt w:val="decimal"/>
      <w:lvlText w:val="%4."/>
      <w:lvlJc w:val="left"/>
      <w:pPr>
        <w:tabs>
          <w:tab w:val="num" w:pos="2880"/>
        </w:tabs>
        <w:ind w:left="2880" w:hanging="360"/>
      </w:pPr>
    </w:lvl>
    <w:lvl w:ilvl="4" w:tplc="2FBE0586" w:tentative="1">
      <w:start w:val="1"/>
      <w:numFmt w:val="decimal"/>
      <w:lvlText w:val="%5."/>
      <w:lvlJc w:val="left"/>
      <w:pPr>
        <w:tabs>
          <w:tab w:val="num" w:pos="3600"/>
        </w:tabs>
        <w:ind w:left="3600" w:hanging="360"/>
      </w:pPr>
    </w:lvl>
    <w:lvl w:ilvl="5" w:tplc="2CFE50E0" w:tentative="1">
      <w:start w:val="1"/>
      <w:numFmt w:val="decimal"/>
      <w:lvlText w:val="%6."/>
      <w:lvlJc w:val="left"/>
      <w:pPr>
        <w:tabs>
          <w:tab w:val="num" w:pos="4320"/>
        </w:tabs>
        <w:ind w:left="4320" w:hanging="360"/>
      </w:pPr>
    </w:lvl>
    <w:lvl w:ilvl="6" w:tplc="31260A4E" w:tentative="1">
      <w:start w:val="1"/>
      <w:numFmt w:val="decimal"/>
      <w:lvlText w:val="%7."/>
      <w:lvlJc w:val="left"/>
      <w:pPr>
        <w:tabs>
          <w:tab w:val="num" w:pos="5040"/>
        </w:tabs>
        <w:ind w:left="5040" w:hanging="360"/>
      </w:pPr>
    </w:lvl>
    <w:lvl w:ilvl="7" w:tplc="A2B69C90" w:tentative="1">
      <w:start w:val="1"/>
      <w:numFmt w:val="decimal"/>
      <w:lvlText w:val="%8."/>
      <w:lvlJc w:val="left"/>
      <w:pPr>
        <w:tabs>
          <w:tab w:val="num" w:pos="5760"/>
        </w:tabs>
        <w:ind w:left="5760" w:hanging="360"/>
      </w:pPr>
    </w:lvl>
    <w:lvl w:ilvl="8" w:tplc="BA284B20" w:tentative="1">
      <w:start w:val="1"/>
      <w:numFmt w:val="decimal"/>
      <w:lvlText w:val="%9."/>
      <w:lvlJc w:val="left"/>
      <w:pPr>
        <w:tabs>
          <w:tab w:val="num" w:pos="6480"/>
        </w:tabs>
        <w:ind w:left="6480" w:hanging="360"/>
      </w:pPr>
    </w:lvl>
  </w:abstractNum>
  <w:abstractNum w:abstractNumId="6">
    <w:nsid w:val="5465696A"/>
    <w:multiLevelType w:val="hybridMultilevel"/>
    <w:tmpl w:val="8C283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1818AF"/>
    <w:multiLevelType w:val="hybridMultilevel"/>
    <w:tmpl w:val="FCDC4994"/>
    <w:lvl w:ilvl="0" w:tplc="2028145C">
      <w:start w:val="1"/>
      <w:numFmt w:val="lowerLetter"/>
      <w:lvlText w:val="%1)"/>
      <w:lvlJc w:val="left"/>
      <w:pPr>
        <w:tabs>
          <w:tab w:val="num" w:pos="720"/>
        </w:tabs>
        <w:ind w:left="720" w:hanging="360"/>
      </w:pPr>
      <w:rPr>
        <w:rFonts w:asciiTheme="majorHAnsi" w:eastAsiaTheme="minorEastAsia" w:hAnsiTheme="majorHAnsi" w:cstheme="minorBidi"/>
      </w:rPr>
    </w:lvl>
    <w:lvl w:ilvl="1" w:tplc="786C2876">
      <w:start w:val="1"/>
      <w:numFmt w:val="lowerLetter"/>
      <w:lvlText w:val="%2)"/>
      <w:lvlJc w:val="left"/>
      <w:pPr>
        <w:tabs>
          <w:tab w:val="num" w:pos="1440"/>
        </w:tabs>
        <w:ind w:left="1440" w:hanging="360"/>
      </w:pPr>
    </w:lvl>
    <w:lvl w:ilvl="2" w:tplc="1C0E99D0">
      <w:start w:val="1"/>
      <w:numFmt w:val="lowerLetter"/>
      <w:lvlText w:val="(%3)"/>
      <w:lvlJc w:val="left"/>
      <w:pPr>
        <w:ind w:left="1495" w:hanging="360"/>
      </w:pPr>
      <w:rPr>
        <w:rFonts w:hint="default"/>
      </w:rPr>
    </w:lvl>
    <w:lvl w:ilvl="3" w:tplc="32368796" w:tentative="1">
      <w:start w:val="1"/>
      <w:numFmt w:val="decimal"/>
      <w:lvlText w:val="%4."/>
      <w:lvlJc w:val="left"/>
      <w:pPr>
        <w:tabs>
          <w:tab w:val="num" w:pos="2880"/>
        </w:tabs>
        <w:ind w:left="2880" w:hanging="360"/>
      </w:pPr>
    </w:lvl>
    <w:lvl w:ilvl="4" w:tplc="2FBE0586" w:tentative="1">
      <w:start w:val="1"/>
      <w:numFmt w:val="decimal"/>
      <w:lvlText w:val="%5."/>
      <w:lvlJc w:val="left"/>
      <w:pPr>
        <w:tabs>
          <w:tab w:val="num" w:pos="3600"/>
        </w:tabs>
        <w:ind w:left="3600" w:hanging="360"/>
      </w:pPr>
    </w:lvl>
    <w:lvl w:ilvl="5" w:tplc="2CFE50E0" w:tentative="1">
      <w:start w:val="1"/>
      <w:numFmt w:val="decimal"/>
      <w:lvlText w:val="%6."/>
      <w:lvlJc w:val="left"/>
      <w:pPr>
        <w:tabs>
          <w:tab w:val="num" w:pos="4320"/>
        </w:tabs>
        <w:ind w:left="4320" w:hanging="360"/>
      </w:pPr>
    </w:lvl>
    <w:lvl w:ilvl="6" w:tplc="31260A4E" w:tentative="1">
      <w:start w:val="1"/>
      <w:numFmt w:val="decimal"/>
      <w:lvlText w:val="%7."/>
      <w:lvlJc w:val="left"/>
      <w:pPr>
        <w:tabs>
          <w:tab w:val="num" w:pos="5040"/>
        </w:tabs>
        <w:ind w:left="5040" w:hanging="360"/>
      </w:pPr>
    </w:lvl>
    <w:lvl w:ilvl="7" w:tplc="A2B69C90" w:tentative="1">
      <w:start w:val="1"/>
      <w:numFmt w:val="decimal"/>
      <w:lvlText w:val="%8."/>
      <w:lvlJc w:val="left"/>
      <w:pPr>
        <w:tabs>
          <w:tab w:val="num" w:pos="5760"/>
        </w:tabs>
        <w:ind w:left="5760" w:hanging="360"/>
      </w:pPr>
    </w:lvl>
    <w:lvl w:ilvl="8" w:tplc="BA284B20" w:tentative="1">
      <w:start w:val="1"/>
      <w:numFmt w:val="decimal"/>
      <w:lvlText w:val="%9."/>
      <w:lvlJc w:val="left"/>
      <w:pPr>
        <w:tabs>
          <w:tab w:val="num" w:pos="6480"/>
        </w:tabs>
        <w:ind w:left="6480" w:hanging="360"/>
      </w:pPr>
    </w:lvl>
  </w:abstractNum>
  <w:abstractNum w:abstractNumId="8">
    <w:nsid w:val="5CF459C7"/>
    <w:multiLevelType w:val="hybridMultilevel"/>
    <w:tmpl w:val="05B8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063142"/>
    <w:multiLevelType w:val="hybridMultilevel"/>
    <w:tmpl w:val="C9D8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8B20BB"/>
    <w:multiLevelType w:val="hybridMultilevel"/>
    <w:tmpl w:val="11E4BE8E"/>
    <w:lvl w:ilvl="0" w:tplc="AE5A69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3C784C"/>
    <w:multiLevelType w:val="hybridMultilevel"/>
    <w:tmpl w:val="80BC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B87D21"/>
    <w:multiLevelType w:val="hybridMultilevel"/>
    <w:tmpl w:val="47E8181E"/>
    <w:lvl w:ilvl="0" w:tplc="AE5A69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8A4AB6"/>
    <w:multiLevelType w:val="hybridMultilevel"/>
    <w:tmpl w:val="D2B6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4715C1"/>
    <w:multiLevelType w:val="hybridMultilevel"/>
    <w:tmpl w:val="97B09EB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13"/>
  </w:num>
  <w:num w:numId="2">
    <w:abstractNumId w:val="4"/>
  </w:num>
  <w:num w:numId="3">
    <w:abstractNumId w:val="7"/>
  </w:num>
  <w:num w:numId="4">
    <w:abstractNumId w:val="5"/>
  </w:num>
  <w:num w:numId="5">
    <w:abstractNumId w:val="1"/>
  </w:num>
  <w:num w:numId="6">
    <w:abstractNumId w:val="6"/>
  </w:num>
  <w:num w:numId="7">
    <w:abstractNumId w:val="3"/>
  </w:num>
  <w:num w:numId="8">
    <w:abstractNumId w:val="10"/>
  </w:num>
  <w:num w:numId="9">
    <w:abstractNumId w:val="2"/>
  </w:num>
  <w:num w:numId="10">
    <w:abstractNumId w:val="8"/>
  </w:num>
  <w:num w:numId="11">
    <w:abstractNumId w:val="9"/>
  </w:num>
  <w:num w:numId="12">
    <w:abstractNumId w:val="11"/>
  </w:num>
  <w:num w:numId="13">
    <w:abstractNumId w:val="14"/>
  </w:num>
  <w:num w:numId="14">
    <w:abstractNumId w:val="0"/>
  </w:num>
  <w:num w:numId="15">
    <w:abstractNumId w:val="1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embedSystemFonts/>
  <w:defaultTabStop w:val="720"/>
  <w:evenAndOddHeaders/>
  <w:drawingGridHorizontalSpacing w:val="100"/>
  <w:drawingGridVerticalSpacing w:val="136"/>
  <w:displayHorizontalDrawingGridEvery w:val="0"/>
  <w:displayVerticalDrawingGridEvery w:val="0"/>
  <w:characterSpacingControl w:val="doNotCompress"/>
  <w:hdrShapeDefaults>
    <o:shapedefaults v:ext="edit" spidmax="2056"/>
    <o:shapelayout v:ext="edit">
      <o:idmap v:ext="edit" data="2"/>
    </o:shapelayout>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1CE"/>
    <w:rsid w:val="000033E7"/>
    <w:rsid w:val="00016FF3"/>
    <w:rsid w:val="00043B70"/>
    <w:rsid w:val="0006231F"/>
    <w:rsid w:val="000778DC"/>
    <w:rsid w:val="00087F1B"/>
    <w:rsid w:val="000914A3"/>
    <w:rsid w:val="000A197B"/>
    <w:rsid w:val="000C0D78"/>
    <w:rsid w:val="000C73D3"/>
    <w:rsid w:val="000D0C62"/>
    <w:rsid w:val="000D1073"/>
    <w:rsid w:val="000D4E47"/>
    <w:rsid w:val="000D7C64"/>
    <w:rsid w:val="000F2084"/>
    <w:rsid w:val="000F6031"/>
    <w:rsid w:val="0011016C"/>
    <w:rsid w:val="00111E1C"/>
    <w:rsid w:val="00132A0C"/>
    <w:rsid w:val="001332E0"/>
    <w:rsid w:val="00133D6B"/>
    <w:rsid w:val="00134FA9"/>
    <w:rsid w:val="00143DB7"/>
    <w:rsid w:val="00157978"/>
    <w:rsid w:val="001670F6"/>
    <w:rsid w:val="0016754C"/>
    <w:rsid w:val="0017139C"/>
    <w:rsid w:val="001A1A99"/>
    <w:rsid w:val="001B4C65"/>
    <w:rsid w:val="001C129E"/>
    <w:rsid w:val="001E1B2E"/>
    <w:rsid w:val="001F1AED"/>
    <w:rsid w:val="002250DB"/>
    <w:rsid w:val="00226BFE"/>
    <w:rsid w:val="00254136"/>
    <w:rsid w:val="002556A7"/>
    <w:rsid w:val="00264809"/>
    <w:rsid w:val="00291342"/>
    <w:rsid w:val="00294AF7"/>
    <w:rsid w:val="002A76FE"/>
    <w:rsid w:val="002B0BF5"/>
    <w:rsid w:val="002B1E4E"/>
    <w:rsid w:val="002C1F34"/>
    <w:rsid w:val="002C6C73"/>
    <w:rsid w:val="002D0F19"/>
    <w:rsid w:val="002D228B"/>
    <w:rsid w:val="002D506D"/>
    <w:rsid w:val="002D6BE5"/>
    <w:rsid w:val="002D7C67"/>
    <w:rsid w:val="002F4F6C"/>
    <w:rsid w:val="002F65B5"/>
    <w:rsid w:val="00301E4C"/>
    <w:rsid w:val="003210B0"/>
    <w:rsid w:val="00335BD6"/>
    <w:rsid w:val="003433B9"/>
    <w:rsid w:val="00347E7D"/>
    <w:rsid w:val="0035193E"/>
    <w:rsid w:val="00351C6C"/>
    <w:rsid w:val="003564C5"/>
    <w:rsid w:val="00356D69"/>
    <w:rsid w:val="0035705D"/>
    <w:rsid w:val="00381435"/>
    <w:rsid w:val="003861C8"/>
    <w:rsid w:val="00397100"/>
    <w:rsid w:val="003A0050"/>
    <w:rsid w:val="003A1C7F"/>
    <w:rsid w:val="003A560A"/>
    <w:rsid w:val="003B09C9"/>
    <w:rsid w:val="003B2968"/>
    <w:rsid w:val="003B3AEC"/>
    <w:rsid w:val="003B6B69"/>
    <w:rsid w:val="003D73AA"/>
    <w:rsid w:val="003E7EDB"/>
    <w:rsid w:val="003F3B49"/>
    <w:rsid w:val="0040283F"/>
    <w:rsid w:val="004253A2"/>
    <w:rsid w:val="004253A3"/>
    <w:rsid w:val="00432B70"/>
    <w:rsid w:val="0043329A"/>
    <w:rsid w:val="00445409"/>
    <w:rsid w:val="00450D26"/>
    <w:rsid w:val="00457F65"/>
    <w:rsid w:val="004618B8"/>
    <w:rsid w:val="004662F5"/>
    <w:rsid w:val="00476D08"/>
    <w:rsid w:val="0049344A"/>
    <w:rsid w:val="004B3739"/>
    <w:rsid w:val="004C47F8"/>
    <w:rsid w:val="004D21CF"/>
    <w:rsid w:val="004D6403"/>
    <w:rsid w:val="004E2256"/>
    <w:rsid w:val="0050236E"/>
    <w:rsid w:val="0050367E"/>
    <w:rsid w:val="005265BB"/>
    <w:rsid w:val="00526CB2"/>
    <w:rsid w:val="0053390C"/>
    <w:rsid w:val="005431DB"/>
    <w:rsid w:val="0055653C"/>
    <w:rsid w:val="0059506F"/>
    <w:rsid w:val="005B068C"/>
    <w:rsid w:val="005B1F4F"/>
    <w:rsid w:val="005C4178"/>
    <w:rsid w:val="005E793F"/>
    <w:rsid w:val="005F13F5"/>
    <w:rsid w:val="00600937"/>
    <w:rsid w:val="006028B8"/>
    <w:rsid w:val="00602F00"/>
    <w:rsid w:val="00611304"/>
    <w:rsid w:val="00625169"/>
    <w:rsid w:val="0063124A"/>
    <w:rsid w:val="00631EA2"/>
    <w:rsid w:val="00632C39"/>
    <w:rsid w:val="00641E10"/>
    <w:rsid w:val="0066459B"/>
    <w:rsid w:val="00691D3A"/>
    <w:rsid w:val="006A148D"/>
    <w:rsid w:val="006D1B31"/>
    <w:rsid w:val="006D5143"/>
    <w:rsid w:val="006D7C7D"/>
    <w:rsid w:val="006F4E3C"/>
    <w:rsid w:val="006F5880"/>
    <w:rsid w:val="00703F17"/>
    <w:rsid w:val="0071617D"/>
    <w:rsid w:val="00716ABC"/>
    <w:rsid w:val="00721CF0"/>
    <w:rsid w:val="00724BC8"/>
    <w:rsid w:val="00741C31"/>
    <w:rsid w:val="00751F37"/>
    <w:rsid w:val="0075278B"/>
    <w:rsid w:val="00765CBC"/>
    <w:rsid w:val="00773FB1"/>
    <w:rsid w:val="00777ACD"/>
    <w:rsid w:val="00783C8B"/>
    <w:rsid w:val="00786FB0"/>
    <w:rsid w:val="007A1B42"/>
    <w:rsid w:val="007E0E63"/>
    <w:rsid w:val="007E5C92"/>
    <w:rsid w:val="00806739"/>
    <w:rsid w:val="00810D87"/>
    <w:rsid w:val="00824E97"/>
    <w:rsid w:val="00831FC7"/>
    <w:rsid w:val="0084642B"/>
    <w:rsid w:val="00852CA3"/>
    <w:rsid w:val="00863564"/>
    <w:rsid w:val="00866609"/>
    <w:rsid w:val="00874C0B"/>
    <w:rsid w:val="0087734A"/>
    <w:rsid w:val="00885DF2"/>
    <w:rsid w:val="00892A50"/>
    <w:rsid w:val="008A7B61"/>
    <w:rsid w:val="008B0563"/>
    <w:rsid w:val="008B2D25"/>
    <w:rsid w:val="008B438C"/>
    <w:rsid w:val="008D6FF0"/>
    <w:rsid w:val="008E1115"/>
    <w:rsid w:val="008E1EAC"/>
    <w:rsid w:val="008E7701"/>
    <w:rsid w:val="008E7DC1"/>
    <w:rsid w:val="008F3D61"/>
    <w:rsid w:val="009100E1"/>
    <w:rsid w:val="009119EC"/>
    <w:rsid w:val="00921F01"/>
    <w:rsid w:val="009306FA"/>
    <w:rsid w:val="009406CA"/>
    <w:rsid w:val="00943F81"/>
    <w:rsid w:val="00957E19"/>
    <w:rsid w:val="00973613"/>
    <w:rsid w:val="00974888"/>
    <w:rsid w:val="00975F7E"/>
    <w:rsid w:val="0097662D"/>
    <w:rsid w:val="00983C2E"/>
    <w:rsid w:val="00992952"/>
    <w:rsid w:val="00993586"/>
    <w:rsid w:val="009B06A6"/>
    <w:rsid w:val="009B1DCF"/>
    <w:rsid w:val="009B6D58"/>
    <w:rsid w:val="009B6F62"/>
    <w:rsid w:val="009D246D"/>
    <w:rsid w:val="009F1189"/>
    <w:rsid w:val="009F3718"/>
    <w:rsid w:val="00A055A0"/>
    <w:rsid w:val="00A10B82"/>
    <w:rsid w:val="00A16AF5"/>
    <w:rsid w:val="00A607FA"/>
    <w:rsid w:val="00A651B3"/>
    <w:rsid w:val="00A7068C"/>
    <w:rsid w:val="00A75A4F"/>
    <w:rsid w:val="00A80F2A"/>
    <w:rsid w:val="00A84BF8"/>
    <w:rsid w:val="00A95D19"/>
    <w:rsid w:val="00AA573A"/>
    <w:rsid w:val="00AC5C41"/>
    <w:rsid w:val="00AC65BE"/>
    <w:rsid w:val="00AD67B1"/>
    <w:rsid w:val="00AD6FB9"/>
    <w:rsid w:val="00AE474F"/>
    <w:rsid w:val="00AE641F"/>
    <w:rsid w:val="00AF329E"/>
    <w:rsid w:val="00B05DFC"/>
    <w:rsid w:val="00B201AC"/>
    <w:rsid w:val="00B337A4"/>
    <w:rsid w:val="00B40A9A"/>
    <w:rsid w:val="00B412C0"/>
    <w:rsid w:val="00B55EF9"/>
    <w:rsid w:val="00B63986"/>
    <w:rsid w:val="00B70C3A"/>
    <w:rsid w:val="00B85D88"/>
    <w:rsid w:val="00BB2782"/>
    <w:rsid w:val="00BB3A41"/>
    <w:rsid w:val="00BB7FF6"/>
    <w:rsid w:val="00BD3D4C"/>
    <w:rsid w:val="00BD772E"/>
    <w:rsid w:val="00BE5555"/>
    <w:rsid w:val="00BF0943"/>
    <w:rsid w:val="00BF17A6"/>
    <w:rsid w:val="00C00B98"/>
    <w:rsid w:val="00C067B9"/>
    <w:rsid w:val="00C1001B"/>
    <w:rsid w:val="00C17DE3"/>
    <w:rsid w:val="00C2533F"/>
    <w:rsid w:val="00C25CB5"/>
    <w:rsid w:val="00C34245"/>
    <w:rsid w:val="00C401CE"/>
    <w:rsid w:val="00C443F7"/>
    <w:rsid w:val="00C53B11"/>
    <w:rsid w:val="00C60D3B"/>
    <w:rsid w:val="00C63827"/>
    <w:rsid w:val="00C70B55"/>
    <w:rsid w:val="00C807F5"/>
    <w:rsid w:val="00C96DBD"/>
    <w:rsid w:val="00CB3ED0"/>
    <w:rsid w:val="00CB5B0F"/>
    <w:rsid w:val="00CB5D5E"/>
    <w:rsid w:val="00CB677E"/>
    <w:rsid w:val="00CC274C"/>
    <w:rsid w:val="00CC56AB"/>
    <w:rsid w:val="00CD12C6"/>
    <w:rsid w:val="00D0050B"/>
    <w:rsid w:val="00D043D4"/>
    <w:rsid w:val="00D124A4"/>
    <w:rsid w:val="00D22678"/>
    <w:rsid w:val="00D26C92"/>
    <w:rsid w:val="00D33BF3"/>
    <w:rsid w:val="00D426E6"/>
    <w:rsid w:val="00D51CF8"/>
    <w:rsid w:val="00D52E2A"/>
    <w:rsid w:val="00D6132B"/>
    <w:rsid w:val="00D63971"/>
    <w:rsid w:val="00D82056"/>
    <w:rsid w:val="00DA0B82"/>
    <w:rsid w:val="00DA2890"/>
    <w:rsid w:val="00DA72F9"/>
    <w:rsid w:val="00DB33C9"/>
    <w:rsid w:val="00DC02D2"/>
    <w:rsid w:val="00DD1BB8"/>
    <w:rsid w:val="00DD2537"/>
    <w:rsid w:val="00DD7949"/>
    <w:rsid w:val="00DE2D27"/>
    <w:rsid w:val="00DE60E4"/>
    <w:rsid w:val="00DF3360"/>
    <w:rsid w:val="00E0426A"/>
    <w:rsid w:val="00E223B2"/>
    <w:rsid w:val="00E31BA7"/>
    <w:rsid w:val="00E35E56"/>
    <w:rsid w:val="00EA5F9A"/>
    <w:rsid w:val="00EC10E0"/>
    <w:rsid w:val="00EC6B34"/>
    <w:rsid w:val="00EC6C2C"/>
    <w:rsid w:val="00ED3751"/>
    <w:rsid w:val="00ED4C8D"/>
    <w:rsid w:val="00ED5160"/>
    <w:rsid w:val="00EE0471"/>
    <w:rsid w:val="00EE4619"/>
    <w:rsid w:val="00EF3579"/>
    <w:rsid w:val="00F01772"/>
    <w:rsid w:val="00F04B7D"/>
    <w:rsid w:val="00F1026D"/>
    <w:rsid w:val="00F13C7C"/>
    <w:rsid w:val="00F227A4"/>
    <w:rsid w:val="00F37234"/>
    <w:rsid w:val="00F37412"/>
    <w:rsid w:val="00F474A4"/>
    <w:rsid w:val="00F51CC4"/>
    <w:rsid w:val="00F842FE"/>
    <w:rsid w:val="00F86314"/>
    <w:rsid w:val="00F87DAC"/>
    <w:rsid w:val="00F901B3"/>
    <w:rsid w:val="00F93E98"/>
    <w:rsid w:val="00FB36AC"/>
    <w:rsid w:val="00FB669B"/>
    <w:rsid w:val="00FD2723"/>
    <w:rsid w:val="00FE0134"/>
    <w:rsid w:val="00FF503C"/>
    <w:rsid w:val="00FF72B1"/>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4D92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C39"/>
    <w:rPr>
      <w:sz w:val="20"/>
      <w:szCs w:val="20"/>
    </w:rPr>
  </w:style>
  <w:style w:type="paragraph" w:styleId="Heading1">
    <w:name w:val="heading 1"/>
    <w:basedOn w:val="Normal"/>
    <w:next w:val="Normal"/>
    <w:link w:val="Heading1Char"/>
    <w:uiPriority w:val="9"/>
    <w:qFormat/>
    <w:rsid w:val="00632C39"/>
    <w:pPr>
      <w:pBdr>
        <w:top w:val="single" w:sz="24" w:space="0" w:color="9A3429" w:themeColor="accent1"/>
        <w:left w:val="single" w:sz="24" w:space="0" w:color="9A3429" w:themeColor="accent1"/>
        <w:bottom w:val="single" w:sz="24" w:space="0" w:color="9A3429" w:themeColor="accent1"/>
        <w:right w:val="single" w:sz="24" w:space="0" w:color="9A3429" w:themeColor="accent1"/>
      </w:pBdr>
      <w:shd w:val="clear" w:color="auto" w:fill="9A3429"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632C39"/>
    <w:pPr>
      <w:pBdr>
        <w:top w:val="single" w:sz="24" w:space="0" w:color="F1D0CD" w:themeColor="accent1" w:themeTint="33"/>
        <w:left w:val="single" w:sz="24" w:space="0" w:color="F1D0CD" w:themeColor="accent1" w:themeTint="33"/>
        <w:bottom w:val="single" w:sz="24" w:space="0" w:color="F1D0CD" w:themeColor="accent1" w:themeTint="33"/>
        <w:right w:val="single" w:sz="24" w:space="0" w:color="F1D0CD" w:themeColor="accent1" w:themeTint="33"/>
      </w:pBdr>
      <w:shd w:val="clear" w:color="auto" w:fill="F1D0CD"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632C39"/>
    <w:pPr>
      <w:pBdr>
        <w:top w:val="single" w:sz="6" w:space="2" w:color="9A3429" w:themeColor="accent1"/>
        <w:left w:val="single" w:sz="6" w:space="2" w:color="9A3429" w:themeColor="accent1"/>
      </w:pBdr>
      <w:spacing w:before="300" w:after="0"/>
      <w:outlineLvl w:val="2"/>
    </w:pPr>
    <w:rPr>
      <w:caps/>
      <w:color w:val="4C1914" w:themeColor="accent1" w:themeShade="7F"/>
      <w:spacing w:val="15"/>
      <w:sz w:val="22"/>
      <w:szCs w:val="22"/>
    </w:rPr>
  </w:style>
  <w:style w:type="paragraph" w:styleId="Heading4">
    <w:name w:val="heading 4"/>
    <w:basedOn w:val="Normal"/>
    <w:next w:val="Normal"/>
    <w:link w:val="Heading4Char"/>
    <w:uiPriority w:val="9"/>
    <w:unhideWhenUsed/>
    <w:qFormat/>
    <w:rsid w:val="00632C39"/>
    <w:pPr>
      <w:pBdr>
        <w:top w:val="dotted" w:sz="6" w:space="2" w:color="9A3429" w:themeColor="accent1"/>
        <w:left w:val="dotted" w:sz="6" w:space="2" w:color="9A3429" w:themeColor="accent1"/>
      </w:pBdr>
      <w:spacing w:before="300" w:after="0"/>
      <w:outlineLvl w:val="3"/>
    </w:pPr>
    <w:rPr>
      <w:caps/>
      <w:color w:val="73261E" w:themeColor="accent1" w:themeShade="BF"/>
      <w:spacing w:val="10"/>
      <w:sz w:val="22"/>
      <w:szCs w:val="22"/>
    </w:rPr>
  </w:style>
  <w:style w:type="paragraph" w:styleId="Heading5">
    <w:name w:val="heading 5"/>
    <w:basedOn w:val="Normal"/>
    <w:next w:val="Normal"/>
    <w:link w:val="Heading5Char"/>
    <w:uiPriority w:val="9"/>
    <w:unhideWhenUsed/>
    <w:qFormat/>
    <w:rsid w:val="00632C39"/>
    <w:pPr>
      <w:pBdr>
        <w:bottom w:val="single" w:sz="6" w:space="1" w:color="9A3429" w:themeColor="accent1"/>
      </w:pBdr>
      <w:spacing w:before="300" w:after="0"/>
      <w:outlineLvl w:val="4"/>
    </w:pPr>
    <w:rPr>
      <w:caps/>
      <w:color w:val="73261E" w:themeColor="accent1" w:themeShade="BF"/>
      <w:spacing w:val="10"/>
      <w:sz w:val="22"/>
      <w:szCs w:val="22"/>
    </w:rPr>
  </w:style>
  <w:style w:type="paragraph" w:styleId="Heading6">
    <w:name w:val="heading 6"/>
    <w:basedOn w:val="Normal"/>
    <w:next w:val="Normal"/>
    <w:link w:val="Heading6Char"/>
    <w:uiPriority w:val="9"/>
    <w:unhideWhenUsed/>
    <w:qFormat/>
    <w:rsid w:val="00632C39"/>
    <w:pPr>
      <w:pBdr>
        <w:bottom w:val="dotted" w:sz="6" w:space="1" w:color="9A3429" w:themeColor="accent1"/>
      </w:pBdr>
      <w:spacing w:before="300" w:after="0"/>
      <w:outlineLvl w:val="5"/>
    </w:pPr>
    <w:rPr>
      <w:caps/>
      <w:color w:val="73261E" w:themeColor="accent1" w:themeShade="BF"/>
      <w:spacing w:val="10"/>
      <w:sz w:val="22"/>
      <w:szCs w:val="22"/>
    </w:rPr>
  </w:style>
  <w:style w:type="paragraph" w:styleId="Heading7">
    <w:name w:val="heading 7"/>
    <w:basedOn w:val="Normal"/>
    <w:next w:val="Normal"/>
    <w:link w:val="Heading7Char"/>
    <w:uiPriority w:val="9"/>
    <w:semiHidden/>
    <w:unhideWhenUsed/>
    <w:qFormat/>
    <w:rsid w:val="00632C39"/>
    <w:pPr>
      <w:spacing w:before="300" w:after="0"/>
      <w:outlineLvl w:val="6"/>
    </w:pPr>
    <w:rPr>
      <w:caps/>
      <w:color w:val="73261E" w:themeColor="accent1" w:themeShade="BF"/>
      <w:spacing w:val="10"/>
      <w:sz w:val="22"/>
      <w:szCs w:val="22"/>
    </w:rPr>
  </w:style>
  <w:style w:type="paragraph" w:styleId="Heading8">
    <w:name w:val="heading 8"/>
    <w:basedOn w:val="Normal"/>
    <w:next w:val="Normal"/>
    <w:link w:val="Heading8Char"/>
    <w:uiPriority w:val="9"/>
    <w:semiHidden/>
    <w:unhideWhenUsed/>
    <w:qFormat/>
    <w:rsid w:val="00632C3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32C3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2782"/>
    <w:pPr>
      <w:tabs>
        <w:tab w:val="center" w:pos="4320"/>
        <w:tab w:val="right" w:pos="8640"/>
      </w:tabs>
    </w:pPr>
  </w:style>
  <w:style w:type="character" w:customStyle="1" w:styleId="FooterChar">
    <w:name w:val="Footer Char"/>
    <w:basedOn w:val="DefaultParagraphFont"/>
    <w:link w:val="Footer"/>
    <w:uiPriority w:val="99"/>
    <w:rsid w:val="00BB2782"/>
    <w:rPr>
      <w:rFonts w:ascii="Calibri" w:hAnsi="Calibri"/>
      <w:sz w:val="22"/>
      <w:lang w:val="en-AU"/>
    </w:rPr>
  </w:style>
  <w:style w:type="character" w:styleId="PageNumber">
    <w:name w:val="page number"/>
    <w:basedOn w:val="DefaultParagraphFont"/>
    <w:uiPriority w:val="99"/>
    <w:semiHidden/>
    <w:unhideWhenUsed/>
    <w:rsid w:val="00BB2782"/>
  </w:style>
  <w:style w:type="character" w:customStyle="1" w:styleId="Heading1Char">
    <w:name w:val="Heading 1 Char"/>
    <w:basedOn w:val="DefaultParagraphFont"/>
    <w:link w:val="Heading1"/>
    <w:uiPriority w:val="9"/>
    <w:rsid w:val="00632C39"/>
    <w:rPr>
      <w:b/>
      <w:bCs/>
      <w:caps/>
      <w:color w:val="FFFFFF" w:themeColor="background1"/>
      <w:spacing w:val="15"/>
      <w:shd w:val="clear" w:color="auto" w:fill="9A3429" w:themeFill="accent1"/>
    </w:rPr>
  </w:style>
  <w:style w:type="paragraph" w:styleId="ListParagraph">
    <w:name w:val="List Paragraph"/>
    <w:aliases w:val="First level bullet point"/>
    <w:basedOn w:val="Normal"/>
    <w:link w:val="ListParagraphChar"/>
    <w:uiPriority w:val="34"/>
    <w:qFormat/>
    <w:rsid w:val="00632C39"/>
    <w:pPr>
      <w:ind w:left="720"/>
      <w:contextualSpacing/>
    </w:pPr>
  </w:style>
  <w:style w:type="character" w:customStyle="1" w:styleId="Heading2Char">
    <w:name w:val="Heading 2 Char"/>
    <w:basedOn w:val="DefaultParagraphFont"/>
    <w:link w:val="Heading2"/>
    <w:uiPriority w:val="9"/>
    <w:rsid w:val="00632C39"/>
    <w:rPr>
      <w:caps/>
      <w:spacing w:val="15"/>
      <w:shd w:val="clear" w:color="auto" w:fill="F1D0CD" w:themeFill="accent1" w:themeFillTint="33"/>
    </w:rPr>
  </w:style>
  <w:style w:type="character" w:customStyle="1" w:styleId="Heading3Char">
    <w:name w:val="Heading 3 Char"/>
    <w:basedOn w:val="DefaultParagraphFont"/>
    <w:link w:val="Heading3"/>
    <w:uiPriority w:val="9"/>
    <w:rsid w:val="00632C39"/>
    <w:rPr>
      <w:caps/>
      <w:color w:val="4C1914" w:themeColor="accent1" w:themeShade="7F"/>
      <w:spacing w:val="15"/>
    </w:rPr>
  </w:style>
  <w:style w:type="paragraph" w:styleId="EndnoteText">
    <w:name w:val="endnote text"/>
    <w:basedOn w:val="Normal"/>
    <w:link w:val="EndnoteTextChar"/>
    <w:uiPriority w:val="99"/>
    <w:unhideWhenUsed/>
    <w:rsid w:val="006D1B31"/>
    <w:rPr>
      <w:sz w:val="24"/>
    </w:rPr>
  </w:style>
  <w:style w:type="character" w:customStyle="1" w:styleId="EndnoteTextChar">
    <w:name w:val="Endnote Text Char"/>
    <w:basedOn w:val="DefaultParagraphFont"/>
    <w:link w:val="EndnoteText"/>
    <w:uiPriority w:val="99"/>
    <w:rsid w:val="006D1B31"/>
    <w:rPr>
      <w:rFonts w:ascii="Calibri" w:hAnsi="Calibri"/>
      <w:lang w:val="en-AU"/>
    </w:rPr>
  </w:style>
  <w:style w:type="character" w:styleId="EndnoteReference">
    <w:name w:val="endnote reference"/>
    <w:basedOn w:val="DefaultParagraphFont"/>
    <w:uiPriority w:val="99"/>
    <w:unhideWhenUsed/>
    <w:rsid w:val="006D1B31"/>
    <w:rPr>
      <w:vertAlign w:val="superscript"/>
    </w:rPr>
  </w:style>
  <w:style w:type="paragraph" w:styleId="BalloonText">
    <w:name w:val="Balloon Text"/>
    <w:basedOn w:val="Normal"/>
    <w:link w:val="BalloonTextChar"/>
    <w:uiPriority w:val="99"/>
    <w:semiHidden/>
    <w:unhideWhenUsed/>
    <w:rsid w:val="006D1B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1B31"/>
    <w:rPr>
      <w:rFonts w:ascii="Lucida Grande" w:hAnsi="Lucida Grande" w:cs="Lucida Grande"/>
      <w:sz w:val="18"/>
      <w:szCs w:val="18"/>
      <w:lang w:val="en-AU"/>
    </w:rPr>
  </w:style>
  <w:style w:type="character" w:customStyle="1" w:styleId="ListParagraphChar">
    <w:name w:val="List Paragraph Char"/>
    <w:aliases w:val="First level bullet point Char"/>
    <w:link w:val="ListParagraph"/>
    <w:uiPriority w:val="34"/>
    <w:rsid w:val="00631EA2"/>
    <w:rPr>
      <w:sz w:val="20"/>
      <w:szCs w:val="20"/>
    </w:rPr>
  </w:style>
  <w:style w:type="character" w:styleId="CommentReference">
    <w:name w:val="annotation reference"/>
    <w:basedOn w:val="DefaultParagraphFont"/>
    <w:uiPriority w:val="99"/>
    <w:semiHidden/>
    <w:unhideWhenUsed/>
    <w:rsid w:val="000D0C62"/>
    <w:rPr>
      <w:sz w:val="18"/>
      <w:szCs w:val="18"/>
    </w:rPr>
  </w:style>
  <w:style w:type="paragraph" w:styleId="CommentText">
    <w:name w:val="annotation text"/>
    <w:basedOn w:val="Normal"/>
    <w:link w:val="CommentTextChar"/>
    <w:uiPriority w:val="99"/>
    <w:semiHidden/>
    <w:unhideWhenUsed/>
    <w:rsid w:val="000D0C62"/>
    <w:rPr>
      <w:rFonts w:eastAsiaTheme="minorHAnsi"/>
      <w:sz w:val="24"/>
      <w:lang w:eastAsia="en-US"/>
    </w:rPr>
  </w:style>
  <w:style w:type="character" w:customStyle="1" w:styleId="CommentTextChar">
    <w:name w:val="Comment Text Char"/>
    <w:basedOn w:val="DefaultParagraphFont"/>
    <w:link w:val="CommentText"/>
    <w:uiPriority w:val="99"/>
    <w:semiHidden/>
    <w:rsid w:val="000D0C62"/>
    <w:rPr>
      <w:rFonts w:eastAsiaTheme="minorHAnsi"/>
      <w:lang w:eastAsia="en-US"/>
    </w:rPr>
  </w:style>
  <w:style w:type="character" w:styleId="Hyperlink">
    <w:name w:val="Hyperlink"/>
    <w:uiPriority w:val="99"/>
    <w:unhideWhenUsed/>
    <w:rsid w:val="00F87DAC"/>
    <w:rPr>
      <w:color w:val="0000FF"/>
      <w:u w:val="single"/>
    </w:rPr>
  </w:style>
  <w:style w:type="paragraph" w:styleId="FootnoteText">
    <w:name w:val="footnote text"/>
    <w:basedOn w:val="Normal"/>
    <w:link w:val="FootnoteTextChar"/>
    <w:uiPriority w:val="99"/>
    <w:unhideWhenUsed/>
    <w:rsid w:val="0050367E"/>
    <w:rPr>
      <w:rFonts w:eastAsiaTheme="minorHAnsi"/>
      <w:sz w:val="24"/>
      <w:lang w:eastAsia="en-US"/>
    </w:rPr>
  </w:style>
  <w:style w:type="character" w:customStyle="1" w:styleId="FootnoteTextChar">
    <w:name w:val="Footnote Text Char"/>
    <w:basedOn w:val="DefaultParagraphFont"/>
    <w:link w:val="FootnoteText"/>
    <w:uiPriority w:val="99"/>
    <w:rsid w:val="0050367E"/>
    <w:rPr>
      <w:rFonts w:eastAsiaTheme="minorHAnsi"/>
      <w:lang w:eastAsia="en-US"/>
    </w:rPr>
  </w:style>
  <w:style w:type="character" w:styleId="FootnoteReference">
    <w:name w:val="footnote reference"/>
    <w:basedOn w:val="DefaultParagraphFont"/>
    <w:uiPriority w:val="99"/>
    <w:unhideWhenUsed/>
    <w:rsid w:val="0050367E"/>
    <w:rPr>
      <w:vertAlign w:val="superscript"/>
    </w:rPr>
  </w:style>
  <w:style w:type="paragraph" w:styleId="NoSpacing">
    <w:name w:val="No Spacing"/>
    <w:basedOn w:val="Normal"/>
    <w:link w:val="NoSpacingChar"/>
    <w:uiPriority w:val="1"/>
    <w:qFormat/>
    <w:rsid w:val="00632C39"/>
    <w:pPr>
      <w:spacing w:before="0" w:after="0" w:line="240" w:lineRule="auto"/>
    </w:pPr>
  </w:style>
  <w:style w:type="table" w:styleId="TableGrid">
    <w:name w:val="Table Grid"/>
    <w:basedOn w:val="TableNormal"/>
    <w:uiPriority w:val="39"/>
    <w:rsid w:val="00BF094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33C9"/>
    <w:pPr>
      <w:tabs>
        <w:tab w:val="center" w:pos="4320"/>
        <w:tab w:val="right" w:pos="8640"/>
      </w:tabs>
    </w:pPr>
  </w:style>
  <w:style w:type="character" w:customStyle="1" w:styleId="HeaderChar">
    <w:name w:val="Header Char"/>
    <w:basedOn w:val="DefaultParagraphFont"/>
    <w:link w:val="Header"/>
    <w:uiPriority w:val="99"/>
    <w:rsid w:val="00DB33C9"/>
    <w:rPr>
      <w:rFonts w:ascii="Calibri" w:hAnsi="Calibri"/>
      <w:sz w:val="22"/>
      <w:lang w:val="en-AU"/>
    </w:rPr>
  </w:style>
  <w:style w:type="paragraph" w:customStyle="1" w:styleId="PersonalName">
    <w:name w:val="Personal Name"/>
    <w:basedOn w:val="Title"/>
    <w:rsid w:val="00632C39"/>
    <w:rPr>
      <w:b/>
      <w:caps w:val="0"/>
      <w:color w:val="000000"/>
      <w:sz w:val="28"/>
      <w:szCs w:val="28"/>
    </w:rPr>
  </w:style>
  <w:style w:type="paragraph" w:styleId="Title">
    <w:name w:val="Title"/>
    <w:basedOn w:val="Normal"/>
    <w:next w:val="Normal"/>
    <w:link w:val="TitleChar"/>
    <w:uiPriority w:val="10"/>
    <w:qFormat/>
    <w:rsid w:val="00632C39"/>
    <w:pPr>
      <w:spacing w:before="720"/>
    </w:pPr>
    <w:rPr>
      <w:caps/>
      <w:color w:val="9A3429" w:themeColor="accent1"/>
      <w:spacing w:val="10"/>
      <w:kern w:val="28"/>
      <w:sz w:val="52"/>
      <w:szCs w:val="52"/>
    </w:rPr>
  </w:style>
  <w:style w:type="character" w:customStyle="1" w:styleId="TitleChar">
    <w:name w:val="Title Char"/>
    <w:basedOn w:val="DefaultParagraphFont"/>
    <w:link w:val="Title"/>
    <w:uiPriority w:val="10"/>
    <w:rsid w:val="00632C39"/>
    <w:rPr>
      <w:caps/>
      <w:color w:val="9A3429" w:themeColor="accent1"/>
      <w:spacing w:val="10"/>
      <w:kern w:val="28"/>
      <w:sz w:val="52"/>
      <w:szCs w:val="52"/>
    </w:rPr>
  </w:style>
  <w:style w:type="character" w:customStyle="1" w:styleId="Heading4Char">
    <w:name w:val="Heading 4 Char"/>
    <w:basedOn w:val="DefaultParagraphFont"/>
    <w:link w:val="Heading4"/>
    <w:uiPriority w:val="9"/>
    <w:rsid w:val="00632C39"/>
    <w:rPr>
      <w:caps/>
      <w:color w:val="73261E" w:themeColor="accent1" w:themeShade="BF"/>
      <w:spacing w:val="10"/>
    </w:rPr>
  </w:style>
  <w:style w:type="character" w:customStyle="1" w:styleId="Heading5Char">
    <w:name w:val="Heading 5 Char"/>
    <w:basedOn w:val="DefaultParagraphFont"/>
    <w:link w:val="Heading5"/>
    <w:uiPriority w:val="9"/>
    <w:rsid w:val="00632C39"/>
    <w:rPr>
      <w:caps/>
      <w:color w:val="73261E" w:themeColor="accent1" w:themeShade="BF"/>
      <w:spacing w:val="10"/>
    </w:rPr>
  </w:style>
  <w:style w:type="character" w:customStyle="1" w:styleId="Heading6Char">
    <w:name w:val="Heading 6 Char"/>
    <w:basedOn w:val="DefaultParagraphFont"/>
    <w:link w:val="Heading6"/>
    <w:uiPriority w:val="9"/>
    <w:rsid w:val="00632C39"/>
    <w:rPr>
      <w:caps/>
      <w:color w:val="73261E" w:themeColor="accent1" w:themeShade="BF"/>
      <w:spacing w:val="10"/>
    </w:rPr>
  </w:style>
  <w:style w:type="character" w:customStyle="1" w:styleId="Heading7Char">
    <w:name w:val="Heading 7 Char"/>
    <w:basedOn w:val="DefaultParagraphFont"/>
    <w:link w:val="Heading7"/>
    <w:uiPriority w:val="9"/>
    <w:semiHidden/>
    <w:rsid w:val="00632C39"/>
    <w:rPr>
      <w:caps/>
      <w:color w:val="73261E" w:themeColor="accent1" w:themeShade="BF"/>
      <w:spacing w:val="10"/>
    </w:rPr>
  </w:style>
  <w:style w:type="character" w:customStyle="1" w:styleId="Heading8Char">
    <w:name w:val="Heading 8 Char"/>
    <w:basedOn w:val="DefaultParagraphFont"/>
    <w:link w:val="Heading8"/>
    <w:uiPriority w:val="9"/>
    <w:semiHidden/>
    <w:rsid w:val="00632C39"/>
    <w:rPr>
      <w:caps/>
      <w:spacing w:val="10"/>
      <w:sz w:val="18"/>
      <w:szCs w:val="18"/>
    </w:rPr>
  </w:style>
  <w:style w:type="character" w:customStyle="1" w:styleId="Heading9Char">
    <w:name w:val="Heading 9 Char"/>
    <w:basedOn w:val="DefaultParagraphFont"/>
    <w:link w:val="Heading9"/>
    <w:uiPriority w:val="9"/>
    <w:semiHidden/>
    <w:rsid w:val="00632C39"/>
    <w:rPr>
      <w:i/>
      <w:caps/>
      <w:spacing w:val="10"/>
      <w:sz w:val="18"/>
      <w:szCs w:val="18"/>
    </w:rPr>
  </w:style>
  <w:style w:type="paragraph" w:styleId="Caption">
    <w:name w:val="caption"/>
    <w:basedOn w:val="Normal"/>
    <w:next w:val="Normal"/>
    <w:uiPriority w:val="35"/>
    <w:semiHidden/>
    <w:unhideWhenUsed/>
    <w:qFormat/>
    <w:rsid w:val="00632C39"/>
    <w:rPr>
      <w:b/>
      <w:bCs/>
      <w:color w:val="73261E" w:themeColor="accent1" w:themeShade="BF"/>
      <w:sz w:val="16"/>
      <w:szCs w:val="16"/>
    </w:rPr>
  </w:style>
  <w:style w:type="paragraph" w:styleId="Subtitle">
    <w:name w:val="Subtitle"/>
    <w:basedOn w:val="Normal"/>
    <w:next w:val="Normal"/>
    <w:link w:val="SubtitleChar"/>
    <w:uiPriority w:val="11"/>
    <w:qFormat/>
    <w:rsid w:val="00632C3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632C39"/>
    <w:rPr>
      <w:caps/>
      <w:color w:val="595959" w:themeColor="text1" w:themeTint="A6"/>
      <w:spacing w:val="10"/>
      <w:sz w:val="24"/>
      <w:szCs w:val="24"/>
    </w:rPr>
  </w:style>
  <w:style w:type="character" w:styleId="Strong">
    <w:name w:val="Strong"/>
    <w:uiPriority w:val="22"/>
    <w:qFormat/>
    <w:rsid w:val="00632C39"/>
    <w:rPr>
      <w:b/>
      <w:bCs/>
    </w:rPr>
  </w:style>
  <w:style w:type="character" w:styleId="Emphasis">
    <w:name w:val="Emphasis"/>
    <w:uiPriority w:val="20"/>
    <w:qFormat/>
    <w:rsid w:val="00632C39"/>
    <w:rPr>
      <w:caps/>
      <w:color w:val="4C1914" w:themeColor="accent1" w:themeShade="7F"/>
      <w:spacing w:val="5"/>
    </w:rPr>
  </w:style>
  <w:style w:type="character" w:customStyle="1" w:styleId="NoSpacingChar">
    <w:name w:val="No Spacing Char"/>
    <w:basedOn w:val="DefaultParagraphFont"/>
    <w:link w:val="NoSpacing"/>
    <w:uiPriority w:val="1"/>
    <w:rsid w:val="00632C39"/>
    <w:rPr>
      <w:sz w:val="20"/>
      <w:szCs w:val="20"/>
    </w:rPr>
  </w:style>
  <w:style w:type="paragraph" w:styleId="Quote">
    <w:name w:val="Quote"/>
    <w:basedOn w:val="Normal"/>
    <w:next w:val="Normal"/>
    <w:link w:val="QuoteChar"/>
    <w:uiPriority w:val="29"/>
    <w:qFormat/>
    <w:rsid w:val="00632C39"/>
    <w:rPr>
      <w:i/>
      <w:iCs/>
    </w:rPr>
  </w:style>
  <w:style w:type="character" w:customStyle="1" w:styleId="QuoteChar">
    <w:name w:val="Quote Char"/>
    <w:basedOn w:val="DefaultParagraphFont"/>
    <w:link w:val="Quote"/>
    <w:uiPriority w:val="29"/>
    <w:rsid w:val="00632C39"/>
    <w:rPr>
      <w:i/>
      <w:iCs/>
      <w:sz w:val="20"/>
      <w:szCs w:val="20"/>
    </w:rPr>
  </w:style>
  <w:style w:type="paragraph" w:styleId="IntenseQuote">
    <w:name w:val="Intense Quote"/>
    <w:basedOn w:val="Normal"/>
    <w:next w:val="Normal"/>
    <w:link w:val="IntenseQuoteChar"/>
    <w:uiPriority w:val="30"/>
    <w:qFormat/>
    <w:rsid w:val="00632C39"/>
    <w:pPr>
      <w:pBdr>
        <w:top w:val="single" w:sz="4" w:space="10" w:color="9A3429" w:themeColor="accent1"/>
        <w:left w:val="single" w:sz="4" w:space="10" w:color="9A3429" w:themeColor="accent1"/>
      </w:pBdr>
      <w:spacing w:after="0"/>
      <w:ind w:left="1296" w:right="1152"/>
      <w:jc w:val="both"/>
    </w:pPr>
    <w:rPr>
      <w:i/>
      <w:iCs/>
      <w:color w:val="9A3429" w:themeColor="accent1"/>
    </w:rPr>
  </w:style>
  <w:style w:type="character" w:customStyle="1" w:styleId="IntenseQuoteChar">
    <w:name w:val="Intense Quote Char"/>
    <w:basedOn w:val="DefaultParagraphFont"/>
    <w:link w:val="IntenseQuote"/>
    <w:uiPriority w:val="30"/>
    <w:rsid w:val="00632C39"/>
    <w:rPr>
      <w:i/>
      <w:iCs/>
      <w:color w:val="9A3429" w:themeColor="accent1"/>
      <w:sz w:val="20"/>
      <w:szCs w:val="20"/>
    </w:rPr>
  </w:style>
  <w:style w:type="character" w:styleId="SubtleEmphasis">
    <w:name w:val="Subtle Emphasis"/>
    <w:uiPriority w:val="19"/>
    <w:qFormat/>
    <w:rsid w:val="00632C39"/>
    <w:rPr>
      <w:i/>
      <w:iCs/>
      <w:color w:val="4C1914" w:themeColor="accent1" w:themeShade="7F"/>
    </w:rPr>
  </w:style>
  <w:style w:type="character" w:styleId="IntenseEmphasis">
    <w:name w:val="Intense Emphasis"/>
    <w:uiPriority w:val="21"/>
    <w:qFormat/>
    <w:rsid w:val="00632C39"/>
    <w:rPr>
      <w:b/>
      <w:bCs/>
      <w:caps/>
      <w:color w:val="4C1914" w:themeColor="accent1" w:themeShade="7F"/>
      <w:spacing w:val="10"/>
    </w:rPr>
  </w:style>
  <w:style w:type="character" w:styleId="SubtleReference">
    <w:name w:val="Subtle Reference"/>
    <w:uiPriority w:val="31"/>
    <w:qFormat/>
    <w:rsid w:val="00632C39"/>
    <w:rPr>
      <w:b/>
      <w:bCs/>
      <w:color w:val="9A3429" w:themeColor="accent1"/>
    </w:rPr>
  </w:style>
  <w:style w:type="character" w:styleId="IntenseReference">
    <w:name w:val="Intense Reference"/>
    <w:uiPriority w:val="32"/>
    <w:qFormat/>
    <w:rsid w:val="00632C39"/>
    <w:rPr>
      <w:b/>
      <w:bCs/>
      <w:i/>
      <w:iCs/>
      <w:caps/>
      <w:color w:val="9A3429" w:themeColor="accent1"/>
    </w:rPr>
  </w:style>
  <w:style w:type="character" w:styleId="BookTitle">
    <w:name w:val="Book Title"/>
    <w:uiPriority w:val="33"/>
    <w:qFormat/>
    <w:rsid w:val="00632C39"/>
    <w:rPr>
      <w:b/>
      <w:bCs/>
      <w:i/>
      <w:iCs/>
      <w:spacing w:val="9"/>
    </w:rPr>
  </w:style>
  <w:style w:type="paragraph" w:styleId="TOCHeading">
    <w:name w:val="TOC Heading"/>
    <w:basedOn w:val="Heading1"/>
    <w:next w:val="Normal"/>
    <w:uiPriority w:val="39"/>
    <w:semiHidden/>
    <w:unhideWhenUsed/>
    <w:qFormat/>
    <w:rsid w:val="00632C39"/>
    <w:pPr>
      <w:outlineLvl w:val="9"/>
    </w:pPr>
    <w:rPr>
      <w:lang w:bidi="en-US"/>
    </w:rPr>
  </w:style>
  <w:style w:type="paragraph" w:styleId="CommentSubject">
    <w:name w:val="annotation subject"/>
    <w:basedOn w:val="CommentText"/>
    <w:next w:val="CommentText"/>
    <w:link w:val="CommentSubjectChar"/>
    <w:uiPriority w:val="99"/>
    <w:semiHidden/>
    <w:unhideWhenUsed/>
    <w:rsid w:val="000C73D3"/>
    <w:pPr>
      <w:spacing w:line="240" w:lineRule="auto"/>
    </w:pPr>
    <w:rPr>
      <w:rFonts w:eastAsiaTheme="minorEastAsia"/>
      <w:b/>
      <w:bCs/>
      <w:sz w:val="20"/>
      <w:lang w:eastAsia="ja-JP"/>
    </w:rPr>
  </w:style>
  <w:style w:type="character" w:customStyle="1" w:styleId="CommentSubjectChar">
    <w:name w:val="Comment Subject Char"/>
    <w:basedOn w:val="CommentTextChar"/>
    <w:link w:val="CommentSubject"/>
    <w:uiPriority w:val="99"/>
    <w:semiHidden/>
    <w:rsid w:val="000C73D3"/>
    <w:rPr>
      <w:rFonts w:eastAsiaTheme="minorHAnsi"/>
      <w:b/>
      <w:bCs/>
      <w:sz w:val="20"/>
      <w:szCs w:val="20"/>
      <w:lang w:eastAsia="en-US"/>
    </w:rPr>
  </w:style>
  <w:style w:type="character" w:styleId="FollowedHyperlink">
    <w:name w:val="FollowedHyperlink"/>
    <w:basedOn w:val="DefaultParagraphFont"/>
    <w:uiPriority w:val="99"/>
    <w:semiHidden/>
    <w:unhideWhenUsed/>
    <w:rsid w:val="00D426E6"/>
    <w:rPr>
      <w:color w:val="800080" w:themeColor="followedHyperlink"/>
      <w:u w:val="single"/>
    </w:rPr>
  </w:style>
  <w:style w:type="character" w:customStyle="1" w:styleId="apple-converted-space">
    <w:name w:val="apple-converted-space"/>
    <w:basedOn w:val="DefaultParagraphFont"/>
    <w:rsid w:val="006F58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C39"/>
    <w:rPr>
      <w:sz w:val="20"/>
      <w:szCs w:val="20"/>
    </w:rPr>
  </w:style>
  <w:style w:type="paragraph" w:styleId="Heading1">
    <w:name w:val="heading 1"/>
    <w:basedOn w:val="Normal"/>
    <w:next w:val="Normal"/>
    <w:link w:val="Heading1Char"/>
    <w:uiPriority w:val="9"/>
    <w:qFormat/>
    <w:rsid w:val="00632C39"/>
    <w:pPr>
      <w:pBdr>
        <w:top w:val="single" w:sz="24" w:space="0" w:color="9A3429" w:themeColor="accent1"/>
        <w:left w:val="single" w:sz="24" w:space="0" w:color="9A3429" w:themeColor="accent1"/>
        <w:bottom w:val="single" w:sz="24" w:space="0" w:color="9A3429" w:themeColor="accent1"/>
        <w:right w:val="single" w:sz="24" w:space="0" w:color="9A3429" w:themeColor="accent1"/>
      </w:pBdr>
      <w:shd w:val="clear" w:color="auto" w:fill="9A3429"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632C39"/>
    <w:pPr>
      <w:pBdr>
        <w:top w:val="single" w:sz="24" w:space="0" w:color="F1D0CD" w:themeColor="accent1" w:themeTint="33"/>
        <w:left w:val="single" w:sz="24" w:space="0" w:color="F1D0CD" w:themeColor="accent1" w:themeTint="33"/>
        <w:bottom w:val="single" w:sz="24" w:space="0" w:color="F1D0CD" w:themeColor="accent1" w:themeTint="33"/>
        <w:right w:val="single" w:sz="24" w:space="0" w:color="F1D0CD" w:themeColor="accent1" w:themeTint="33"/>
      </w:pBdr>
      <w:shd w:val="clear" w:color="auto" w:fill="F1D0CD"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632C39"/>
    <w:pPr>
      <w:pBdr>
        <w:top w:val="single" w:sz="6" w:space="2" w:color="9A3429" w:themeColor="accent1"/>
        <w:left w:val="single" w:sz="6" w:space="2" w:color="9A3429" w:themeColor="accent1"/>
      </w:pBdr>
      <w:spacing w:before="300" w:after="0"/>
      <w:outlineLvl w:val="2"/>
    </w:pPr>
    <w:rPr>
      <w:caps/>
      <w:color w:val="4C1914" w:themeColor="accent1" w:themeShade="7F"/>
      <w:spacing w:val="15"/>
      <w:sz w:val="22"/>
      <w:szCs w:val="22"/>
    </w:rPr>
  </w:style>
  <w:style w:type="paragraph" w:styleId="Heading4">
    <w:name w:val="heading 4"/>
    <w:basedOn w:val="Normal"/>
    <w:next w:val="Normal"/>
    <w:link w:val="Heading4Char"/>
    <w:uiPriority w:val="9"/>
    <w:unhideWhenUsed/>
    <w:qFormat/>
    <w:rsid w:val="00632C39"/>
    <w:pPr>
      <w:pBdr>
        <w:top w:val="dotted" w:sz="6" w:space="2" w:color="9A3429" w:themeColor="accent1"/>
        <w:left w:val="dotted" w:sz="6" w:space="2" w:color="9A3429" w:themeColor="accent1"/>
      </w:pBdr>
      <w:spacing w:before="300" w:after="0"/>
      <w:outlineLvl w:val="3"/>
    </w:pPr>
    <w:rPr>
      <w:caps/>
      <w:color w:val="73261E" w:themeColor="accent1" w:themeShade="BF"/>
      <w:spacing w:val="10"/>
      <w:sz w:val="22"/>
      <w:szCs w:val="22"/>
    </w:rPr>
  </w:style>
  <w:style w:type="paragraph" w:styleId="Heading5">
    <w:name w:val="heading 5"/>
    <w:basedOn w:val="Normal"/>
    <w:next w:val="Normal"/>
    <w:link w:val="Heading5Char"/>
    <w:uiPriority w:val="9"/>
    <w:unhideWhenUsed/>
    <w:qFormat/>
    <w:rsid w:val="00632C39"/>
    <w:pPr>
      <w:pBdr>
        <w:bottom w:val="single" w:sz="6" w:space="1" w:color="9A3429" w:themeColor="accent1"/>
      </w:pBdr>
      <w:spacing w:before="300" w:after="0"/>
      <w:outlineLvl w:val="4"/>
    </w:pPr>
    <w:rPr>
      <w:caps/>
      <w:color w:val="73261E" w:themeColor="accent1" w:themeShade="BF"/>
      <w:spacing w:val="10"/>
      <w:sz w:val="22"/>
      <w:szCs w:val="22"/>
    </w:rPr>
  </w:style>
  <w:style w:type="paragraph" w:styleId="Heading6">
    <w:name w:val="heading 6"/>
    <w:basedOn w:val="Normal"/>
    <w:next w:val="Normal"/>
    <w:link w:val="Heading6Char"/>
    <w:uiPriority w:val="9"/>
    <w:unhideWhenUsed/>
    <w:qFormat/>
    <w:rsid w:val="00632C39"/>
    <w:pPr>
      <w:pBdr>
        <w:bottom w:val="dotted" w:sz="6" w:space="1" w:color="9A3429" w:themeColor="accent1"/>
      </w:pBdr>
      <w:spacing w:before="300" w:after="0"/>
      <w:outlineLvl w:val="5"/>
    </w:pPr>
    <w:rPr>
      <w:caps/>
      <w:color w:val="73261E" w:themeColor="accent1" w:themeShade="BF"/>
      <w:spacing w:val="10"/>
      <w:sz w:val="22"/>
      <w:szCs w:val="22"/>
    </w:rPr>
  </w:style>
  <w:style w:type="paragraph" w:styleId="Heading7">
    <w:name w:val="heading 7"/>
    <w:basedOn w:val="Normal"/>
    <w:next w:val="Normal"/>
    <w:link w:val="Heading7Char"/>
    <w:uiPriority w:val="9"/>
    <w:semiHidden/>
    <w:unhideWhenUsed/>
    <w:qFormat/>
    <w:rsid w:val="00632C39"/>
    <w:pPr>
      <w:spacing w:before="300" w:after="0"/>
      <w:outlineLvl w:val="6"/>
    </w:pPr>
    <w:rPr>
      <w:caps/>
      <w:color w:val="73261E" w:themeColor="accent1" w:themeShade="BF"/>
      <w:spacing w:val="10"/>
      <w:sz w:val="22"/>
      <w:szCs w:val="22"/>
    </w:rPr>
  </w:style>
  <w:style w:type="paragraph" w:styleId="Heading8">
    <w:name w:val="heading 8"/>
    <w:basedOn w:val="Normal"/>
    <w:next w:val="Normal"/>
    <w:link w:val="Heading8Char"/>
    <w:uiPriority w:val="9"/>
    <w:semiHidden/>
    <w:unhideWhenUsed/>
    <w:qFormat/>
    <w:rsid w:val="00632C3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32C3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2782"/>
    <w:pPr>
      <w:tabs>
        <w:tab w:val="center" w:pos="4320"/>
        <w:tab w:val="right" w:pos="8640"/>
      </w:tabs>
    </w:pPr>
  </w:style>
  <w:style w:type="character" w:customStyle="1" w:styleId="FooterChar">
    <w:name w:val="Footer Char"/>
    <w:basedOn w:val="DefaultParagraphFont"/>
    <w:link w:val="Footer"/>
    <w:uiPriority w:val="99"/>
    <w:rsid w:val="00BB2782"/>
    <w:rPr>
      <w:rFonts w:ascii="Calibri" w:hAnsi="Calibri"/>
      <w:sz w:val="22"/>
      <w:lang w:val="en-AU"/>
    </w:rPr>
  </w:style>
  <w:style w:type="character" w:styleId="PageNumber">
    <w:name w:val="page number"/>
    <w:basedOn w:val="DefaultParagraphFont"/>
    <w:uiPriority w:val="99"/>
    <w:semiHidden/>
    <w:unhideWhenUsed/>
    <w:rsid w:val="00BB2782"/>
  </w:style>
  <w:style w:type="character" w:customStyle="1" w:styleId="Heading1Char">
    <w:name w:val="Heading 1 Char"/>
    <w:basedOn w:val="DefaultParagraphFont"/>
    <w:link w:val="Heading1"/>
    <w:uiPriority w:val="9"/>
    <w:rsid w:val="00632C39"/>
    <w:rPr>
      <w:b/>
      <w:bCs/>
      <w:caps/>
      <w:color w:val="FFFFFF" w:themeColor="background1"/>
      <w:spacing w:val="15"/>
      <w:shd w:val="clear" w:color="auto" w:fill="9A3429" w:themeFill="accent1"/>
    </w:rPr>
  </w:style>
  <w:style w:type="paragraph" w:styleId="ListParagraph">
    <w:name w:val="List Paragraph"/>
    <w:aliases w:val="First level bullet point"/>
    <w:basedOn w:val="Normal"/>
    <w:link w:val="ListParagraphChar"/>
    <w:uiPriority w:val="34"/>
    <w:qFormat/>
    <w:rsid w:val="00632C39"/>
    <w:pPr>
      <w:ind w:left="720"/>
      <w:contextualSpacing/>
    </w:pPr>
  </w:style>
  <w:style w:type="character" w:customStyle="1" w:styleId="Heading2Char">
    <w:name w:val="Heading 2 Char"/>
    <w:basedOn w:val="DefaultParagraphFont"/>
    <w:link w:val="Heading2"/>
    <w:uiPriority w:val="9"/>
    <w:rsid w:val="00632C39"/>
    <w:rPr>
      <w:caps/>
      <w:spacing w:val="15"/>
      <w:shd w:val="clear" w:color="auto" w:fill="F1D0CD" w:themeFill="accent1" w:themeFillTint="33"/>
    </w:rPr>
  </w:style>
  <w:style w:type="character" w:customStyle="1" w:styleId="Heading3Char">
    <w:name w:val="Heading 3 Char"/>
    <w:basedOn w:val="DefaultParagraphFont"/>
    <w:link w:val="Heading3"/>
    <w:uiPriority w:val="9"/>
    <w:rsid w:val="00632C39"/>
    <w:rPr>
      <w:caps/>
      <w:color w:val="4C1914" w:themeColor="accent1" w:themeShade="7F"/>
      <w:spacing w:val="15"/>
    </w:rPr>
  </w:style>
  <w:style w:type="paragraph" w:styleId="EndnoteText">
    <w:name w:val="endnote text"/>
    <w:basedOn w:val="Normal"/>
    <w:link w:val="EndnoteTextChar"/>
    <w:uiPriority w:val="99"/>
    <w:unhideWhenUsed/>
    <w:rsid w:val="006D1B31"/>
    <w:rPr>
      <w:sz w:val="24"/>
    </w:rPr>
  </w:style>
  <w:style w:type="character" w:customStyle="1" w:styleId="EndnoteTextChar">
    <w:name w:val="Endnote Text Char"/>
    <w:basedOn w:val="DefaultParagraphFont"/>
    <w:link w:val="EndnoteText"/>
    <w:uiPriority w:val="99"/>
    <w:rsid w:val="006D1B31"/>
    <w:rPr>
      <w:rFonts w:ascii="Calibri" w:hAnsi="Calibri"/>
      <w:lang w:val="en-AU"/>
    </w:rPr>
  </w:style>
  <w:style w:type="character" w:styleId="EndnoteReference">
    <w:name w:val="endnote reference"/>
    <w:basedOn w:val="DefaultParagraphFont"/>
    <w:uiPriority w:val="99"/>
    <w:unhideWhenUsed/>
    <w:rsid w:val="006D1B31"/>
    <w:rPr>
      <w:vertAlign w:val="superscript"/>
    </w:rPr>
  </w:style>
  <w:style w:type="paragraph" w:styleId="BalloonText">
    <w:name w:val="Balloon Text"/>
    <w:basedOn w:val="Normal"/>
    <w:link w:val="BalloonTextChar"/>
    <w:uiPriority w:val="99"/>
    <w:semiHidden/>
    <w:unhideWhenUsed/>
    <w:rsid w:val="006D1B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1B31"/>
    <w:rPr>
      <w:rFonts w:ascii="Lucida Grande" w:hAnsi="Lucida Grande" w:cs="Lucida Grande"/>
      <w:sz w:val="18"/>
      <w:szCs w:val="18"/>
      <w:lang w:val="en-AU"/>
    </w:rPr>
  </w:style>
  <w:style w:type="character" w:customStyle="1" w:styleId="ListParagraphChar">
    <w:name w:val="List Paragraph Char"/>
    <w:aliases w:val="First level bullet point Char"/>
    <w:link w:val="ListParagraph"/>
    <w:uiPriority w:val="34"/>
    <w:rsid w:val="00631EA2"/>
    <w:rPr>
      <w:sz w:val="20"/>
      <w:szCs w:val="20"/>
    </w:rPr>
  </w:style>
  <w:style w:type="character" w:styleId="CommentReference">
    <w:name w:val="annotation reference"/>
    <w:basedOn w:val="DefaultParagraphFont"/>
    <w:uiPriority w:val="99"/>
    <w:semiHidden/>
    <w:unhideWhenUsed/>
    <w:rsid w:val="000D0C62"/>
    <w:rPr>
      <w:sz w:val="18"/>
      <w:szCs w:val="18"/>
    </w:rPr>
  </w:style>
  <w:style w:type="paragraph" w:styleId="CommentText">
    <w:name w:val="annotation text"/>
    <w:basedOn w:val="Normal"/>
    <w:link w:val="CommentTextChar"/>
    <w:uiPriority w:val="99"/>
    <w:semiHidden/>
    <w:unhideWhenUsed/>
    <w:rsid w:val="000D0C62"/>
    <w:rPr>
      <w:rFonts w:eastAsiaTheme="minorHAnsi"/>
      <w:sz w:val="24"/>
      <w:lang w:eastAsia="en-US"/>
    </w:rPr>
  </w:style>
  <w:style w:type="character" w:customStyle="1" w:styleId="CommentTextChar">
    <w:name w:val="Comment Text Char"/>
    <w:basedOn w:val="DefaultParagraphFont"/>
    <w:link w:val="CommentText"/>
    <w:uiPriority w:val="99"/>
    <w:semiHidden/>
    <w:rsid w:val="000D0C62"/>
    <w:rPr>
      <w:rFonts w:eastAsiaTheme="minorHAnsi"/>
      <w:lang w:eastAsia="en-US"/>
    </w:rPr>
  </w:style>
  <w:style w:type="character" w:styleId="Hyperlink">
    <w:name w:val="Hyperlink"/>
    <w:uiPriority w:val="99"/>
    <w:unhideWhenUsed/>
    <w:rsid w:val="00F87DAC"/>
    <w:rPr>
      <w:color w:val="0000FF"/>
      <w:u w:val="single"/>
    </w:rPr>
  </w:style>
  <w:style w:type="paragraph" w:styleId="FootnoteText">
    <w:name w:val="footnote text"/>
    <w:basedOn w:val="Normal"/>
    <w:link w:val="FootnoteTextChar"/>
    <w:uiPriority w:val="99"/>
    <w:unhideWhenUsed/>
    <w:rsid w:val="0050367E"/>
    <w:rPr>
      <w:rFonts w:eastAsiaTheme="minorHAnsi"/>
      <w:sz w:val="24"/>
      <w:lang w:eastAsia="en-US"/>
    </w:rPr>
  </w:style>
  <w:style w:type="character" w:customStyle="1" w:styleId="FootnoteTextChar">
    <w:name w:val="Footnote Text Char"/>
    <w:basedOn w:val="DefaultParagraphFont"/>
    <w:link w:val="FootnoteText"/>
    <w:uiPriority w:val="99"/>
    <w:rsid w:val="0050367E"/>
    <w:rPr>
      <w:rFonts w:eastAsiaTheme="minorHAnsi"/>
      <w:lang w:eastAsia="en-US"/>
    </w:rPr>
  </w:style>
  <w:style w:type="character" w:styleId="FootnoteReference">
    <w:name w:val="footnote reference"/>
    <w:basedOn w:val="DefaultParagraphFont"/>
    <w:uiPriority w:val="99"/>
    <w:unhideWhenUsed/>
    <w:rsid w:val="0050367E"/>
    <w:rPr>
      <w:vertAlign w:val="superscript"/>
    </w:rPr>
  </w:style>
  <w:style w:type="paragraph" w:styleId="NoSpacing">
    <w:name w:val="No Spacing"/>
    <w:basedOn w:val="Normal"/>
    <w:link w:val="NoSpacingChar"/>
    <w:uiPriority w:val="1"/>
    <w:qFormat/>
    <w:rsid w:val="00632C39"/>
    <w:pPr>
      <w:spacing w:before="0" w:after="0" w:line="240" w:lineRule="auto"/>
    </w:pPr>
  </w:style>
  <w:style w:type="table" w:styleId="TableGrid">
    <w:name w:val="Table Grid"/>
    <w:basedOn w:val="TableNormal"/>
    <w:uiPriority w:val="39"/>
    <w:rsid w:val="00BF094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33C9"/>
    <w:pPr>
      <w:tabs>
        <w:tab w:val="center" w:pos="4320"/>
        <w:tab w:val="right" w:pos="8640"/>
      </w:tabs>
    </w:pPr>
  </w:style>
  <w:style w:type="character" w:customStyle="1" w:styleId="HeaderChar">
    <w:name w:val="Header Char"/>
    <w:basedOn w:val="DefaultParagraphFont"/>
    <w:link w:val="Header"/>
    <w:uiPriority w:val="99"/>
    <w:rsid w:val="00DB33C9"/>
    <w:rPr>
      <w:rFonts w:ascii="Calibri" w:hAnsi="Calibri"/>
      <w:sz w:val="22"/>
      <w:lang w:val="en-AU"/>
    </w:rPr>
  </w:style>
  <w:style w:type="paragraph" w:customStyle="1" w:styleId="PersonalName">
    <w:name w:val="Personal Name"/>
    <w:basedOn w:val="Title"/>
    <w:rsid w:val="00632C39"/>
    <w:rPr>
      <w:b/>
      <w:caps w:val="0"/>
      <w:color w:val="000000"/>
      <w:sz w:val="28"/>
      <w:szCs w:val="28"/>
    </w:rPr>
  </w:style>
  <w:style w:type="paragraph" w:styleId="Title">
    <w:name w:val="Title"/>
    <w:basedOn w:val="Normal"/>
    <w:next w:val="Normal"/>
    <w:link w:val="TitleChar"/>
    <w:uiPriority w:val="10"/>
    <w:qFormat/>
    <w:rsid w:val="00632C39"/>
    <w:pPr>
      <w:spacing w:before="720"/>
    </w:pPr>
    <w:rPr>
      <w:caps/>
      <w:color w:val="9A3429" w:themeColor="accent1"/>
      <w:spacing w:val="10"/>
      <w:kern w:val="28"/>
      <w:sz w:val="52"/>
      <w:szCs w:val="52"/>
    </w:rPr>
  </w:style>
  <w:style w:type="character" w:customStyle="1" w:styleId="TitleChar">
    <w:name w:val="Title Char"/>
    <w:basedOn w:val="DefaultParagraphFont"/>
    <w:link w:val="Title"/>
    <w:uiPriority w:val="10"/>
    <w:rsid w:val="00632C39"/>
    <w:rPr>
      <w:caps/>
      <w:color w:val="9A3429" w:themeColor="accent1"/>
      <w:spacing w:val="10"/>
      <w:kern w:val="28"/>
      <w:sz w:val="52"/>
      <w:szCs w:val="52"/>
    </w:rPr>
  </w:style>
  <w:style w:type="character" w:customStyle="1" w:styleId="Heading4Char">
    <w:name w:val="Heading 4 Char"/>
    <w:basedOn w:val="DefaultParagraphFont"/>
    <w:link w:val="Heading4"/>
    <w:uiPriority w:val="9"/>
    <w:rsid w:val="00632C39"/>
    <w:rPr>
      <w:caps/>
      <w:color w:val="73261E" w:themeColor="accent1" w:themeShade="BF"/>
      <w:spacing w:val="10"/>
    </w:rPr>
  </w:style>
  <w:style w:type="character" w:customStyle="1" w:styleId="Heading5Char">
    <w:name w:val="Heading 5 Char"/>
    <w:basedOn w:val="DefaultParagraphFont"/>
    <w:link w:val="Heading5"/>
    <w:uiPriority w:val="9"/>
    <w:rsid w:val="00632C39"/>
    <w:rPr>
      <w:caps/>
      <w:color w:val="73261E" w:themeColor="accent1" w:themeShade="BF"/>
      <w:spacing w:val="10"/>
    </w:rPr>
  </w:style>
  <w:style w:type="character" w:customStyle="1" w:styleId="Heading6Char">
    <w:name w:val="Heading 6 Char"/>
    <w:basedOn w:val="DefaultParagraphFont"/>
    <w:link w:val="Heading6"/>
    <w:uiPriority w:val="9"/>
    <w:rsid w:val="00632C39"/>
    <w:rPr>
      <w:caps/>
      <w:color w:val="73261E" w:themeColor="accent1" w:themeShade="BF"/>
      <w:spacing w:val="10"/>
    </w:rPr>
  </w:style>
  <w:style w:type="character" w:customStyle="1" w:styleId="Heading7Char">
    <w:name w:val="Heading 7 Char"/>
    <w:basedOn w:val="DefaultParagraphFont"/>
    <w:link w:val="Heading7"/>
    <w:uiPriority w:val="9"/>
    <w:semiHidden/>
    <w:rsid w:val="00632C39"/>
    <w:rPr>
      <w:caps/>
      <w:color w:val="73261E" w:themeColor="accent1" w:themeShade="BF"/>
      <w:spacing w:val="10"/>
    </w:rPr>
  </w:style>
  <w:style w:type="character" w:customStyle="1" w:styleId="Heading8Char">
    <w:name w:val="Heading 8 Char"/>
    <w:basedOn w:val="DefaultParagraphFont"/>
    <w:link w:val="Heading8"/>
    <w:uiPriority w:val="9"/>
    <w:semiHidden/>
    <w:rsid w:val="00632C39"/>
    <w:rPr>
      <w:caps/>
      <w:spacing w:val="10"/>
      <w:sz w:val="18"/>
      <w:szCs w:val="18"/>
    </w:rPr>
  </w:style>
  <w:style w:type="character" w:customStyle="1" w:styleId="Heading9Char">
    <w:name w:val="Heading 9 Char"/>
    <w:basedOn w:val="DefaultParagraphFont"/>
    <w:link w:val="Heading9"/>
    <w:uiPriority w:val="9"/>
    <w:semiHidden/>
    <w:rsid w:val="00632C39"/>
    <w:rPr>
      <w:i/>
      <w:caps/>
      <w:spacing w:val="10"/>
      <w:sz w:val="18"/>
      <w:szCs w:val="18"/>
    </w:rPr>
  </w:style>
  <w:style w:type="paragraph" w:styleId="Caption">
    <w:name w:val="caption"/>
    <w:basedOn w:val="Normal"/>
    <w:next w:val="Normal"/>
    <w:uiPriority w:val="35"/>
    <w:semiHidden/>
    <w:unhideWhenUsed/>
    <w:qFormat/>
    <w:rsid w:val="00632C39"/>
    <w:rPr>
      <w:b/>
      <w:bCs/>
      <w:color w:val="73261E" w:themeColor="accent1" w:themeShade="BF"/>
      <w:sz w:val="16"/>
      <w:szCs w:val="16"/>
    </w:rPr>
  </w:style>
  <w:style w:type="paragraph" w:styleId="Subtitle">
    <w:name w:val="Subtitle"/>
    <w:basedOn w:val="Normal"/>
    <w:next w:val="Normal"/>
    <w:link w:val="SubtitleChar"/>
    <w:uiPriority w:val="11"/>
    <w:qFormat/>
    <w:rsid w:val="00632C3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632C39"/>
    <w:rPr>
      <w:caps/>
      <w:color w:val="595959" w:themeColor="text1" w:themeTint="A6"/>
      <w:spacing w:val="10"/>
      <w:sz w:val="24"/>
      <w:szCs w:val="24"/>
    </w:rPr>
  </w:style>
  <w:style w:type="character" w:styleId="Strong">
    <w:name w:val="Strong"/>
    <w:uiPriority w:val="22"/>
    <w:qFormat/>
    <w:rsid w:val="00632C39"/>
    <w:rPr>
      <w:b/>
      <w:bCs/>
    </w:rPr>
  </w:style>
  <w:style w:type="character" w:styleId="Emphasis">
    <w:name w:val="Emphasis"/>
    <w:uiPriority w:val="20"/>
    <w:qFormat/>
    <w:rsid w:val="00632C39"/>
    <w:rPr>
      <w:caps/>
      <w:color w:val="4C1914" w:themeColor="accent1" w:themeShade="7F"/>
      <w:spacing w:val="5"/>
    </w:rPr>
  </w:style>
  <w:style w:type="character" w:customStyle="1" w:styleId="NoSpacingChar">
    <w:name w:val="No Spacing Char"/>
    <w:basedOn w:val="DefaultParagraphFont"/>
    <w:link w:val="NoSpacing"/>
    <w:uiPriority w:val="1"/>
    <w:rsid w:val="00632C39"/>
    <w:rPr>
      <w:sz w:val="20"/>
      <w:szCs w:val="20"/>
    </w:rPr>
  </w:style>
  <w:style w:type="paragraph" w:styleId="Quote">
    <w:name w:val="Quote"/>
    <w:basedOn w:val="Normal"/>
    <w:next w:val="Normal"/>
    <w:link w:val="QuoteChar"/>
    <w:uiPriority w:val="29"/>
    <w:qFormat/>
    <w:rsid w:val="00632C39"/>
    <w:rPr>
      <w:i/>
      <w:iCs/>
    </w:rPr>
  </w:style>
  <w:style w:type="character" w:customStyle="1" w:styleId="QuoteChar">
    <w:name w:val="Quote Char"/>
    <w:basedOn w:val="DefaultParagraphFont"/>
    <w:link w:val="Quote"/>
    <w:uiPriority w:val="29"/>
    <w:rsid w:val="00632C39"/>
    <w:rPr>
      <w:i/>
      <w:iCs/>
      <w:sz w:val="20"/>
      <w:szCs w:val="20"/>
    </w:rPr>
  </w:style>
  <w:style w:type="paragraph" w:styleId="IntenseQuote">
    <w:name w:val="Intense Quote"/>
    <w:basedOn w:val="Normal"/>
    <w:next w:val="Normal"/>
    <w:link w:val="IntenseQuoteChar"/>
    <w:uiPriority w:val="30"/>
    <w:qFormat/>
    <w:rsid w:val="00632C39"/>
    <w:pPr>
      <w:pBdr>
        <w:top w:val="single" w:sz="4" w:space="10" w:color="9A3429" w:themeColor="accent1"/>
        <w:left w:val="single" w:sz="4" w:space="10" w:color="9A3429" w:themeColor="accent1"/>
      </w:pBdr>
      <w:spacing w:after="0"/>
      <w:ind w:left="1296" w:right="1152"/>
      <w:jc w:val="both"/>
    </w:pPr>
    <w:rPr>
      <w:i/>
      <w:iCs/>
      <w:color w:val="9A3429" w:themeColor="accent1"/>
    </w:rPr>
  </w:style>
  <w:style w:type="character" w:customStyle="1" w:styleId="IntenseQuoteChar">
    <w:name w:val="Intense Quote Char"/>
    <w:basedOn w:val="DefaultParagraphFont"/>
    <w:link w:val="IntenseQuote"/>
    <w:uiPriority w:val="30"/>
    <w:rsid w:val="00632C39"/>
    <w:rPr>
      <w:i/>
      <w:iCs/>
      <w:color w:val="9A3429" w:themeColor="accent1"/>
      <w:sz w:val="20"/>
      <w:szCs w:val="20"/>
    </w:rPr>
  </w:style>
  <w:style w:type="character" w:styleId="SubtleEmphasis">
    <w:name w:val="Subtle Emphasis"/>
    <w:uiPriority w:val="19"/>
    <w:qFormat/>
    <w:rsid w:val="00632C39"/>
    <w:rPr>
      <w:i/>
      <w:iCs/>
      <w:color w:val="4C1914" w:themeColor="accent1" w:themeShade="7F"/>
    </w:rPr>
  </w:style>
  <w:style w:type="character" w:styleId="IntenseEmphasis">
    <w:name w:val="Intense Emphasis"/>
    <w:uiPriority w:val="21"/>
    <w:qFormat/>
    <w:rsid w:val="00632C39"/>
    <w:rPr>
      <w:b/>
      <w:bCs/>
      <w:caps/>
      <w:color w:val="4C1914" w:themeColor="accent1" w:themeShade="7F"/>
      <w:spacing w:val="10"/>
    </w:rPr>
  </w:style>
  <w:style w:type="character" w:styleId="SubtleReference">
    <w:name w:val="Subtle Reference"/>
    <w:uiPriority w:val="31"/>
    <w:qFormat/>
    <w:rsid w:val="00632C39"/>
    <w:rPr>
      <w:b/>
      <w:bCs/>
      <w:color w:val="9A3429" w:themeColor="accent1"/>
    </w:rPr>
  </w:style>
  <w:style w:type="character" w:styleId="IntenseReference">
    <w:name w:val="Intense Reference"/>
    <w:uiPriority w:val="32"/>
    <w:qFormat/>
    <w:rsid w:val="00632C39"/>
    <w:rPr>
      <w:b/>
      <w:bCs/>
      <w:i/>
      <w:iCs/>
      <w:caps/>
      <w:color w:val="9A3429" w:themeColor="accent1"/>
    </w:rPr>
  </w:style>
  <w:style w:type="character" w:styleId="BookTitle">
    <w:name w:val="Book Title"/>
    <w:uiPriority w:val="33"/>
    <w:qFormat/>
    <w:rsid w:val="00632C39"/>
    <w:rPr>
      <w:b/>
      <w:bCs/>
      <w:i/>
      <w:iCs/>
      <w:spacing w:val="9"/>
    </w:rPr>
  </w:style>
  <w:style w:type="paragraph" w:styleId="TOCHeading">
    <w:name w:val="TOC Heading"/>
    <w:basedOn w:val="Heading1"/>
    <w:next w:val="Normal"/>
    <w:uiPriority w:val="39"/>
    <w:semiHidden/>
    <w:unhideWhenUsed/>
    <w:qFormat/>
    <w:rsid w:val="00632C39"/>
    <w:pPr>
      <w:outlineLvl w:val="9"/>
    </w:pPr>
    <w:rPr>
      <w:lang w:bidi="en-US"/>
    </w:rPr>
  </w:style>
  <w:style w:type="paragraph" w:styleId="CommentSubject">
    <w:name w:val="annotation subject"/>
    <w:basedOn w:val="CommentText"/>
    <w:next w:val="CommentText"/>
    <w:link w:val="CommentSubjectChar"/>
    <w:uiPriority w:val="99"/>
    <w:semiHidden/>
    <w:unhideWhenUsed/>
    <w:rsid w:val="000C73D3"/>
    <w:pPr>
      <w:spacing w:line="240" w:lineRule="auto"/>
    </w:pPr>
    <w:rPr>
      <w:rFonts w:eastAsiaTheme="minorEastAsia"/>
      <w:b/>
      <w:bCs/>
      <w:sz w:val="20"/>
      <w:lang w:eastAsia="ja-JP"/>
    </w:rPr>
  </w:style>
  <w:style w:type="character" w:customStyle="1" w:styleId="CommentSubjectChar">
    <w:name w:val="Comment Subject Char"/>
    <w:basedOn w:val="CommentTextChar"/>
    <w:link w:val="CommentSubject"/>
    <w:uiPriority w:val="99"/>
    <w:semiHidden/>
    <w:rsid w:val="000C73D3"/>
    <w:rPr>
      <w:rFonts w:eastAsiaTheme="minorHAnsi"/>
      <w:b/>
      <w:bCs/>
      <w:sz w:val="20"/>
      <w:szCs w:val="20"/>
      <w:lang w:eastAsia="en-US"/>
    </w:rPr>
  </w:style>
  <w:style w:type="character" w:styleId="FollowedHyperlink">
    <w:name w:val="FollowedHyperlink"/>
    <w:basedOn w:val="DefaultParagraphFont"/>
    <w:uiPriority w:val="99"/>
    <w:semiHidden/>
    <w:unhideWhenUsed/>
    <w:rsid w:val="00D426E6"/>
    <w:rPr>
      <w:color w:val="800080" w:themeColor="followedHyperlink"/>
      <w:u w:val="single"/>
    </w:rPr>
  </w:style>
  <w:style w:type="character" w:customStyle="1" w:styleId="apple-converted-space">
    <w:name w:val="apple-converted-space"/>
    <w:basedOn w:val="DefaultParagraphFont"/>
    <w:rsid w:val="006F5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4828">
      <w:bodyDiv w:val="1"/>
      <w:marLeft w:val="0"/>
      <w:marRight w:val="0"/>
      <w:marTop w:val="0"/>
      <w:marBottom w:val="0"/>
      <w:divBdr>
        <w:top w:val="none" w:sz="0" w:space="0" w:color="auto"/>
        <w:left w:val="none" w:sz="0" w:space="0" w:color="auto"/>
        <w:bottom w:val="none" w:sz="0" w:space="0" w:color="auto"/>
        <w:right w:val="none" w:sz="0" w:space="0" w:color="auto"/>
      </w:divBdr>
    </w:div>
    <w:div w:id="64687096">
      <w:bodyDiv w:val="1"/>
      <w:marLeft w:val="0"/>
      <w:marRight w:val="0"/>
      <w:marTop w:val="0"/>
      <w:marBottom w:val="0"/>
      <w:divBdr>
        <w:top w:val="none" w:sz="0" w:space="0" w:color="auto"/>
        <w:left w:val="none" w:sz="0" w:space="0" w:color="auto"/>
        <w:bottom w:val="none" w:sz="0" w:space="0" w:color="auto"/>
        <w:right w:val="none" w:sz="0" w:space="0" w:color="auto"/>
      </w:divBdr>
    </w:div>
    <w:div w:id="164168696">
      <w:bodyDiv w:val="1"/>
      <w:marLeft w:val="0"/>
      <w:marRight w:val="0"/>
      <w:marTop w:val="0"/>
      <w:marBottom w:val="0"/>
      <w:divBdr>
        <w:top w:val="none" w:sz="0" w:space="0" w:color="auto"/>
        <w:left w:val="none" w:sz="0" w:space="0" w:color="auto"/>
        <w:bottom w:val="none" w:sz="0" w:space="0" w:color="auto"/>
        <w:right w:val="none" w:sz="0" w:space="0" w:color="auto"/>
      </w:divBdr>
    </w:div>
    <w:div w:id="329910956">
      <w:bodyDiv w:val="1"/>
      <w:marLeft w:val="0"/>
      <w:marRight w:val="0"/>
      <w:marTop w:val="0"/>
      <w:marBottom w:val="0"/>
      <w:divBdr>
        <w:top w:val="none" w:sz="0" w:space="0" w:color="auto"/>
        <w:left w:val="none" w:sz="0" w:space="0" w:color="auto"/>
        <w:bottom w:val="none" w:sz="0" w:space="0" w:color="auto"/>
        <w:right w:val="none" w:sz="0" w:space="0" w:color="auto"/>
      </w:divBdr>
    </w:div>
    <w:div w:id="338823386">
      <w:bodyDiv w:val="1"/>
      <w:marLeft w:val="0"/>
      <w:marRight w:val="0"/>
      <w:marTop w:val="0"/>
      <w:marBottom w:val="0"/>
      <w:divBdr>
        <w:top w:val="none" w:sz="0" w:space="0" w:color="auto"/>
        <w:left w:val="none" w:sz="0" w:space="0" w:color="auto"/>
        <w:bottom w:val="none" w:sz="0" w:space="0" w:color="auto"/>
        <w:right w:val="none" w:sz="0" w:space="0" w:color="auto"/>
      </w:divBdr>
    </w:div>
    <w:div w:id="341247548">
      <w:bodyDiv w:val="1"/>
      <w:marLeft w:val="0"/>
      <w:marRight w:val="0"/>
      <w:marTop w:val="0"/>
      <w:marBottom w:val="0"/>
      <w:divBdr>
        <w:top w:val="none" w:sz="0" w:space="0" w:color="auto"/>
        <w:left w:val="none" w:sz="0" w:space="0" w:color="auto"/>
        <w:bottom w:val="none" w:sz="0" w:space="0" w:color="auto"/>
        <w:right w:val="none" w:sz="0" w:space="0" w:color="auto"/>
      </w:divBdr>
    </w:div>
    <w:div w:id="525021491">
      <w:bodyDiv w:val="1"/>
      <w:marLeft w:val="0"/>
      <w:marRight w:val="0"/>
      <w:marTop w:val="0"/>
      <w:marBottom w:val="0"/>
      <w:divBdr>
        <w:top w:val="none" w:sz="0" w:space="0" w:color="auto"/>
        <w:left w:val="none" w:sz="0" w:space="0" w:color="auto"/>
        <w:bottom w:val="none" w:sz="0" w:space="0" w:color="auto"/>
        <w:right w:val="none" w:sz="0" w:space="0" w:color="auto"/>
      </w:divBdr>
    </w:div>
    <w:div w:id="797645757">
      <w:bodyDiv w:val="1"/>
      <w:marLeft w:val="0"/>
      <w:marRight w:val="0"/>
      <w:marTop w:val="0"/>
      <w:marBottom w:val="0"/>
      <w:divBdr>
        <w:top w:val="none" w:sz="0" w:space="0" w:color="auto"/>
        <w:left w:val="none" w:sz="0" w:space="0" w:color="auto"/>
        <w:bottom w:val="none" w:sz="0" w:space="0" w:color="auto"/>
        <w:right w:val="none" w:sz="0" w:space="0" w:color="auto"/>
      </w:divBdr>
    </w:div>
    <w:div w:id="862717037">
      <w:bodyDiv w:val="1"/>
      <w:marLeft w:val="0"/>
      <w:marRight w:val="0"/>
      <w:marTop w:val="0"/>
      <w:marBottom w:val="0"/>
      <w:divBdr>
        <w:top w:val="none" w:sz="0" w:space="0" w:color="auto"/>
        <w:left w:val="none" w:sz="0" w:space="0" w:color="auto"/>
        <w:bottom w:val="none" w:sz="0" w:space="0" w:color="auto"/>
        <w:right w:val="none" w:sz="0" w:space="0" w:color="auto"/>
      </w:divBdr>
    </w:div>
    <w:div w:id="907495649">
      <w:bodyDiv w:val="1"/>
      <w:marLeft w:val="0"/>
      <w:marRight w:val="0"/>
      <w:marTop w:val="0"/>
      <w:marBottom w:val="0"/>
      <w:divBdr>
        <w:top w:val="none" w:sz="0" w:space="0" w:color="auto"/>
        <w:left w:val="none" w:sz="0" w:space="0" w:color="auto"/>
        <w:bottom w:val="none" w:sz="0" w:space="0" w:color="auto"/>
        <w:right w:val="none" w:sz="0" w:space="0" w:color="auto"/>
      </w:divBdr>
    </w:div>
    <w:div w:id="1021518813">
      <w:bodyDiv w:val="1"/>
      <w:marLeft w:val="0"/>
      <w:marRight w:val="0"/>
      <w:marTop w:val="0"/>
      <w:marBottom w:val="0"/>
      <w:divBdr>
        <w:top w:val="none" w:sz="0" w:space="0" w:color="auto"/>
        <w:left w:val="none" w:sz="0" w:space="0" w:color="auto"/>
        <w:bottom w:val="none" w:sz="0" w:space="0" w:color="auto"/>
        <w:right w:val="none" w:sz="0" w:space="0" w:color="auto"/>
      </w:divBdr>
    </w:div>
    <w:div w:id="1081834535">
      <w:bodyDiv w:val="1"/>
      <w:marLeft w:val="0"/>
      <w:marRight w:val="0"/>
      <w:marTop w:val="0"/>
      <w:marBottom w:val="0"/>
      <w:divBdr>
        <w:top w:val="none" w:sz="0" w:space="0" w:color="auto"/>
        <w:left w:val="none" w:sz="0" w:space="0" w:color="auto"/>
        <w:bottom w:val="none" w:sz="0" w:space="0" w:color="auto"/>
        <w:right w:val="none" w:sz="0" w:space="0" w:color="auto"/>
      </w:divBdr>
    </w:div>
    <w:div w:id="1151946536">
      <w:bodyDiv w:val="1"/>
      <w:marLeft w:val="0"/>
      <w:marRight w:val="0"/>
      <w:marTop w:val="0"/>
      <w:marBottom w:val="0"/>
      <w:divBdr>
        <w:top w:val="none" w:sz="0" w:space="0" w:color="auto"/>
        <w:left w:val="none" w:sz="0" w:space="0" w:color="auto"/>
        <w:bottom w:val="none" w:sz="0" w:space="0" w:color="auto"/>
        <w:right w:val="none" w:sz="0" w:space="0" w:color="auto"/>
      </w:divBdr>
    </w:div>
    <w:div w:id="1416635900">
      <w:bodyDiv w:val="1"/>
      <w:marLeft w:val="0"/>
      <w:marRight w:val="0"/>
      <w:marTop w:val="0"/>
      <w:marBottom w:val="0"/>
      <w:divBdr>
        <w:top w:val="none" w:sz="0" w:space="0" w:color="auto"/>
        <w:left w:val="none" w:sz="0" w:space="0" w:color="auto"/>
        <w:bottom w:val="none" w:sz="0" w:space="0" w:color="auto"/>
        <w:right w:val="none" w:sz="0" w:space="0" w:color="auto"/>
      </w:divBdr>
    </w:div>
    <w:div w:id="1445035459">
      <w:bodyDiv w:val="1"/>
      <w:marLeft w:val="0"/>
      <w:marRight w:val="0"/>
      <w:marTop w:val="0"/>
      <w:marBottom w:val="0"/>
      <w:divBdr>
        <w:top w:val="none" w:sz="0" w:space="0" w:color="auto"/>
        <w:left w:val="none" w:sz="0" w:space="0" w:color="auto"/>
        <w:bottom w:val="none" w:sz="0" w:space="0" w:color="auto"/>
        <w:right w:val="none" w:sz="0" w:space="0" w:color="auto"/>
      </w:divBdr>
    </w:div>
    <w:div w:id="1703358919">
      <w:bodyDiv w:val="1"/>
      <w:marLeft w:val="0"/>
      <w:marRight w:val="0"/>
      <w:marTop w:val="0"/>
      <w:marBottom w:val="0"/>
      <w:divBdr>
        <w:top w:val="none" w:sz="0" w:space="0" w:color="auto"/>
        <w:left w:val="none" w:sz="0" w:space="0" w:color="auto"/>
        <w:bottom w:val="none" w:sz="0" w:space="0" w:color="auto"/>
        <w:right w:val="none" w:sz="0" w:space="0" w:color="auto"/>
      </w:divBdr>
    </w:div>
    <w:div w:id="1739860798">
      <w:bodyDiv w:val="1"/>
      <w:marLeft w:val="0"/>
      <w:marRight w:val="0"/>
      <w:marTop w:val="0"/>
      <w:marBottom w:val="0"/>
      <w:divBdr>
        <w:top w:val="none" w:sz="0" w:space="0" w:color="auto"/>
        <w:left w:val="none" w:sz="0" w:space="0" w:color="auto"/>
        <w:bottom w:val="none" w:sz="0" w:space="0" w:color="auto"/>
        <w:right w:val="none" w:sz="0" w:space="0" w:color="auto"/>
      </w:divBdr>
    </w:div>
    <w:div w:id="1802113024">
      <w:bodyDiv w:val="1"/>
      <w:marLeft w:val="0"/>
      <w:marRight w:val="0"/>
      <w:marTop w:val="0"/>
      <w:marBottom w:val="0"/>
      <w:divBdr>
        <w:top w:val="none" w:sz="0" w:space="0" w:color="auto"/>
        <w:left w:val="none" w:sz="0" w:space="0" w:color="auto"/>
        <w:bottom w:val="none" w:sz="0" w:space="0" w:color="auto"/>
        <w:right w:val="none" w:sz="0" w:space="0" w:color="auto"/>
      </w:divBdr>
    </w:div>
    <w:div w:id="2004385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familymatters@snaicc.org.a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4.xml"/><Relationship Id="rId33"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tiff"/><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image" Target="media/image1.jpeg"/><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image" Target="media/image3.jpeg"/><Relationship Id="rId27" Type="http://schemas.openxmlformats.org/officeDocument/2006/relationships/footer" Target="footer3.xm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www.coag.gov.au/intergov_agreements/federal_financial_relations/index.cfm" TargetMode="External"/><Relationship Id="rId2" Type="http://schemas.openxmlformats.org/officeDocument/2006/relationships/hyperlink" Target="http://stopstolengenerations.com.au/" TargetMode="External"/><Relationship Id="rId1" Type="http://schemas.openxmlformats.org/officeDocument/2006/relationships/hyperlink" Target="https://www.coag.gov.au/meeting-outcomes/coag-meeting-communiqu%C3%A9-9-december-2016" TargetMode="External"/><Relationship Id="rId4" Type="http://schemas.openxmlformats.org/officeDocument/2006/relationships/hyperlink" Target="http://hpaied.org/about-hpaied/overview" TargetMode="External"/></Relationships>
</file>

<file path=word/theme/theme1.xml><?xml version="1.0" encoding="utf-8"?>
<a:theme xmlns:a="http://schemas.openxmlformats.org/drawingml/2006/main" name="Family Matters">
  <a:themeElements>
    <a:clrScheme name="Family Matters">
      <a:dk1>
        <a:srgbClr val="000000"/>
      </a:dk1>
      <a:lt1>
        <a:srgbClr val="FFFFFF"/>
      </a:lt1>
      <a:dk2>
        <a:srgbClr val="1F497D"/>
      </a:dk2>
      <a:lt2>
        <a:srgbClr val="EEECE1"/>
      </a:lt2>
      <a:accent1>
        <a:srgbClr val="9A3429"/>
      </a:accent1>
      <a:accent2>
        <a:srgbClr val="00A79D"/>
      </a:accent2>
      <a:accent3>
        <a:srgbClr val="39B54A"/>
      </a:accent3>
      <a:accent4>
        <a:srgbClr val="F15B2C"/>
      </a:accent4>
      <a:accent5>
        <a:srgbClr val="F58220"/>
      </a:accent5>
      <a:accent6>
        <a:srgbClr val="000000"/>
      </a:accent6>
      <a:hlink>
        <a:srgbClr val="0000FF"/>
      </a:hlink>
      <a:folHlink>
        <a:srgbClr val="800080"/>
      </a:folHlink>
    </a:clrScheme>
    <a:fontScheme name="Office Them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Family Matters" id="{F71BD62C-B292-F74A-B0EF-2090CD4098C0}" vid="{AD2FBA99-C6E5-F24F-B216-DDA457661A8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2017FG-94-5716</_dlc_DocId>
    <TaxCatchAll xmlns="e544e5cc-ab70-42e1-849e-1a0f8bb1f4ef">
      <Value>2</Value>
    </TaxCatchAll>
    <_dlc_DocIdUrl xmlns="e544e5cc-ab70-42e1-849e-1a0f8bb1f4ef">
      <Url>http://tweb/sites/fg/bpd/_layouts/15/DocIdRedir.aspx?ID=2017FG-94-5716</Url>
      <Description>2017FG-94-5716</Description>
    </_dlc_DocIdUrl>
    <IconOverlay xmlns="http://schemas.microsoft.com/sharepoint/v4" xsi:nil="true"/>
    <Pressure_x002f_Measure xmlns="43a7eba2-7c75-424c-9682-3d9e41d868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3C88514-0DEB-4E55-9049-8F3C662DA523}">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2.xml><?xml version="1.0" encoding="utf-8"?>
<ds:datastoreItem xmlns:ds="http://schemas.openxmlformats.org/officeDocument/2006/customXml" ds:itemID="{D932515F-1FD8-46DB-A09D-2ADD0B233536}">
  <ds:schemaRefs>
    <ds:schemaRef ds:uri="http://schemas.microsoft.com/sharepoint/v3/contenttype/forms"/>
  </ds:schemaRefs>
</ds:datastoreItem>
</file>

<file path=customXml/itemProps3.xml><?xml version="1.0" encoding="utf-8"?>
<ds:datastoreItem xmlns:ds="http://schemas.openxmlformats.org/officeDocument/2006/customXml" ds:itemID="{ADC5348F-5C22-4B5C-AE4A-A3B2C242ABCD}">
  <ds:schemaRefs>
    <ds:schemaRef ds:uri="office.server.policy"/>
  </ds:schemaRefs>
</ds:datastoreItem>
</file>

<file path=customXml/itemProps4.xml><?xml version="1.0" encoding="utf-8"?>
<ds:datastoreItem xmlns:ds="http://schemas.openxmlformats.org/officeDocument/2006/customXml" ds:itemID="{F45CE0ED-5EE1-4E10-8D57-26E249A07BFF}">
  <ds:schemaRefs>
    <ds:schemaRef ds:uri="http://schemas.microsoft.com/sharepoint/events"/>
  </ds:schemaRefs>
</ds:datastoreItem>
</file>

<file path=customXml/itemProps5.xml><?xml version="1.0" encoding="utf-8"?>
<ds:datastoreItem xmlns:ds="http://schemas.openxmlformats.org/officeDocument/2006/customXml" ds:itemID="{0166D989-1790-42BE-A7B7-48041C0AA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D51FAC-17C8-4F6A-BF04-5A7C12276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8600</Words>
  <Characters>51469</Characters>
  <Application>Microsoft Office Word</Application>
  <DocSecurity>0</DocSecurity>
  <Lines>801</Lines>
  <Paragraphs>193</Paragraphs>
  <ScaleCrop>false</ScaleCrop>
  <Company/>
  <LinksUpToDate>false</LinksUpToDate>
  <CharactersWithSpaces>59998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Matters - 2017-18 Pre-Budget Submission</dc:title>
  <dc:subject/>
  <dc:creator/>
  <cp:keywords/>
  <dc:description/>
  <cp:lastModifiedBy/>
  <cp:revision>1</cp:revision>
  <dcterms:created xsi:type="dcterms:W3CDTF">2017-02-13T23:03:00Z</dcterms:created>
  <dcterms:modified xsi:type="dcterms:W3CDTF">2017-02-13T23:03:00Z</dcterms:modified>
  <dc:language>English</dc:language>
</cp:coreProperties>
</file>