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16" w:rsidRDefault="00E17C9A" w:rsidP="00720A16">
      <w:pPr>
        <w:pStyle w:val="Title"/>
      </w:pPr>
      <w:bookmarkStart w:id="0" w:name="_GoBack"/>
      <w:bookmarkEnd w:id="0"/>
      <w:r>
        <w:rPr>
          <w:noProof/>
          <w:lang w:val="en-AU" w:eastAsia="en-AU"/>
        </w:rPr>
        <w:t xml:space="preserve">         </w:t>
      </w:r>
      <w:r w:rsidRPr="00E17C9A">
        <w:rPr>
          <w:noProof/>
          <w:lang w:val="en-AU" w:eastAsia="en-AU"/>
        </w:rPr>
        <w:drawing>
          <wp:inline distT="0" distB="0" distL="0" distR="0">
            <wp:extent cx="4539389" cy="1764576"/>
            <wp:effectExtent l="0" t="0" r="0" b="7620"/>
            <wp:docPr id="7" name="Picture 7" descr="X:\h@H Marketing\Logos\HospiceAtHome Logo Final\CMYK_HospiceAtHome-DistrictNur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H Marketing\Logos\HospiceAtHome Logo Final\CMYK_HospiceAtHome-DistrictNurs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9389" cy="1764576"/>
                    </a:xfrm>
                    <a:prstGeom prst="rect">
                      <a:avLst/>
                    </a:prstGeom>
                    <a:noFill/>
                    <a:ln>
                      <a:noFill/>
                    </a:ln>
                  </pic:spPr>
                </pic:pic>
              </a:graphicData>
            </a:graphic>
          </wp:inline>
        </w:drawing>
      </w:r>
    </w:p>
    <w:p w:rsidR="00436A6A" w:rsidRPr="00436A6A" w:rsidRDefault="00436A6A" w:rsidP="00436A6A"/>
    <w:p w:rsidR="00E17C9A" w:rsidRDefault="00E17C9A" w:rsidP="00720A16">
      <w:pPr>
        <w:pStyle w:val="Title"/>
        <w:jc w:val="center"/>
        <w:rPr>
          <w:color w:val="1F3864" w:themeColor="accent5" w:themeShade="80"/>
        </w:rPr>
      </w:pPr>
    </w:p>
    <w:p w:rsidR="00720A16" w:rsidRDefault="00356AD3" w:rsidP="00720A16">
      <w:pPr>
        <w:pStyle w:val="Title"/>
        <w:jc w:val="center"/>
        <w:rPr>
          <w:color w:val="1F3864" w:themeColor="accent5" w:themeShade="80"/>
        </w:rPr>
      </w:pPr>
      <w:r w:rsidRPr="00757934">
        <w:rPr>
          <w:color w:val="1F3864" w:themeColor="accent5" w:themeShade="80"/>
        </w:rPr>
        <w:t>T</w:t>
      </w:r>
      <w:r w:rsidR="00C638F0">
        <w:rPr>
          <w:color w:val="1F3864" w:themeColor="accent5" w:themeShade="80"/>
        </w:rPr>
        <w:t>he</w:t>
      </w:r>
      <w:r w:rsidR="00720A16" w:rsidRPr="00757934">
        <w:rPr>
          <w:color w:val="1F3864" w:themeColor="accent5" w:themeShade="80"/>
        </w:rPr>
        <w:t xml:space="preserve"> </w:t>
      </w:r>
      <w:r w:rsidRPr="00757934">
        <w:rPr>
          <w:color w:val="1F3864" w:themeColor="accent5" w:themeShade="80"/>
        </w:rPr>
        <w:t>D</w:t>
      </w:r>
      <w:r w:rsidR="00720A16" w:rsidRPr="00757934">
        <w:rPr>
          <w:color w:val="1F3864" w:themeColor="accent5" w:themeShade="80"/>
        </w:rPr>
        <w:t xml:space="preserve">istrict </w:t>
      </w:r>
      <w:r w:rsidRPr="00757934">
        <w:rPr>
          <w:color w:val="1F3864" w:themeColor="accent5" w:themeShade="80"/>
        </w:rPr>
        <w:t>N</w:t>
      </w:r>
      <w:r w:rsidR="00720A16" w:rsidRPr="00757934">
        <w:rPr>
          <w:color w:val="1F3864" w:themeColor="accent5" w:themeShade="80"/>
        </w:rPr>
        <w:t>urses</w:t>
      </w:r>
    </w:p>
    <w:p w:rsidR="002E7C7F" w:rsidRPr="002E7C7F" w:rsidRDefault="007B2D58" w:rsidP="002E7C7F">
      <w:pPr>
        <w:pStyle w:val="Title"/>
        <w:jc w:val="center"/>
        <w:rPr>
          <w:color w:val="1F3864" w:themeColor="accent5" w:themeShade="80"/>
        </w:rPr>
      </w:pPr>
      <w:r w:rsidRPr="00757934">
        <w:rPr>
          <w:color w:val="1F3864" w:themeColor="accent5" w:themeShade="80"/>
        </w:rPr>
        <w:t xml:space="preserve">2017-18 </w:t>
      </w:r>
      <w:r w:rsidR="002E7C7F" w:rsidRPr="002E7C7F">
        <w:rPr>
          <w:color w:val="1F3864" w:themeColor="accent5" w:themeShade="80"/>
        </w:rPr>
        <w:t>Pr</w:t>
      </w:r>
      <w:r>
        <w:rPr>
          <w:color w:val="1F3864" w:themeColor="accent5" w:themeShade="80"/>
        </w:rPr>
        <w:t>e-Budget Submission</w:t>
      </w:r>
    </w:p>
    <w:p w:rsidR="0000724F" w:rsidRPr="00757934" w:rsidRDefault="007B2D58" w:rsidP="00720A16">
      <w:pPr>
        <w:pStyle w:val="Title"/>
        <w:jc w:val="center"/>
        <w:rPr>
          <w:color w:val="1F3864" w:themeColor="accent5" w:themeShade="80"/>
        </w:rPr>
      </w:pPr>
      <w:r>
        <w:rPr>
          <w:color w:val="1F3864" w:themeColor="accent5" w:themeShade="80"/>
        </w:rPr>
        <w:t>to the Australian Government</w:t>
      </w:r>
    </w:p>
    <w:p w:rsidR="00D32A14" w:rsidRPr="00757934" w:rsidRDefault="00D32A14" w:rsidP="00720A16">
      <w:pPr>
        <w:pStyle w:val="Title"/>
        <w:rPr>
          <w:color w:val="1F3864" w:themeColor="accent5" w:themeShade="80"/>
        </w:rPr>
      </w:pPr>
    </w:p>
    <w:p w:rsidR="00D32A14" w:rsidRPr="00757934" w:rsidRDefault="00D32A14" w:rsidP="00720A16">
      <w:pPr>
        <w:pStyle w:val="Heading4"/>
        <w:spacing w:before="240"/>
        <w:ind w:left="720" w:right="851"/>
        <w:jc w:val="center"/>
        <w:rPr>
          <w:color w:val="1F3864" w:themeColor="accent5" w:themeShade="80"/>
          <w:lang w:eastAsia="en-GB"/>
        </w:rPr>
      </w:pPr>
      <w:r w:rsidRPr="00757934">
        <w:rPr>
          <w:rFonts w:eastAsia="Times New Roman"/>
          <w:color w:val="1F3864" w:themeColor="accent5" w:themeShade="80"/>
          <w:sz w:val="20"/>
          <w:szCs w:val="20"/>
          <w:lang w:eastAsia="en-GB"/>
        </w:rPr>
        <w:t>That most people do not experience death in a place of their choice is evidence of our failing as a society at a time of life that occurs for all of us…</w:t>
      </w:r>
    </w:p>
    <w:p w:rsidR="00D32A14" w:rsidRPr="00757934" w:rsidRDefault="00D32A14"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C42566" w:rsidRPr="00757934" w:rsidRDefault="00C42566"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36A6A" w:rsidP="00720A16">
      <w:pPr>
        <w:shd w:val="clear" w:color="auto" w:fill="FFFFFF"/>
        <w:spacing w:before="60" w:after="0" w:line="276" w:lineRule="auto"/>
        <w:jc w:val="center"/>
        <w:rPr>
          <w:rFonts w:eastAsia="Times New Roman" w:cstheme="minorHAnsi"/>
          <w:color w:val="1F3864" w:themeColor="accent5" w:themeShade="80"/>
          <w:lang w:eastAsia="en-GB"/>
        </w:rPr>
      </w:pPr>
    </w:p>
    <w:p w:rsidR="00436A6A" w:rsidRPr="00757934" w:rsidRDefault="004E75E5" w:rsidP="00436A6A">
      <w:pPr>
        <w:shd w:val="clear" w:color="auto" w:fill="FFFFFF"/>
        <w:spacing w:before="60" w:after="0" w:line="276" w:lineRule="auto"/>
        <w:jc w:val="right"/>
        <w:rPr>
          <w:rFonts w:eastAsia="Times New Roman" w:cstheme="minorHAnsi"/>
          <w:color w:val="1F3864" w:themeColor="accent5" w:themeShade="80"/>
          <w:lang w:eastAsia="en-GB"/>
        </w:rPr>
      </w:pPr>
      <w:r>
        <w:rPr>
          <w:rFonts w:eastAsia="Times New Roman" w:cstheme="minorHAnsi"/>
          <w:color w:val="1F3864" w:themeColor="accent5" w:themeShade="80"/>
          <w:lang w:eastAsia="en-GB"/>
        </w:rPr>
        <w:t>January 2017</w:t>
      </w:r>
    </w:p>
    <w:p w:rsidR="00974CF9" w:rsidRPr="00064954" w:rsidRDefault="00C42566" w:rsidP="00C42566">
      <w:pPr>
        <w:shd w:val="clear" w:color="auto" w:fill="FFFFFF" w:themeFill="background1"/>
        <w:tabs>
          <w:tab w:val="center" w:pos="4677"/>
          <w:tab w:val="right" w:pos="9354"/>
        </w:tabs>
        <w:spacing w:line="276" w:lineRule="auto"/>
        <w:rPr>
          <w:rFonts w:cstheme="minorHAnsi"/>
          <w:b/>
          <w:color w:val="C45911" w:themeColor="accent2" w:themeShade="BF"/>
          <w:sz w:val="32"/>
          <w:szCs w:val="32"/>
        </w:rPr>
      </w:pPr>
      <w:r>
        <w:tab/>
      </w:r>
      <w:r w:rsidR="0064751F">
        <w:br w:type="page"/>
      </w:r>
      <w:r>
        <w:lastRenderedPageBreak/>
        <w:tab/>
      </w:r>
    </w:p>
    <w:p w:rsidR="00935614" w:rsidRDefault="00935614"/>
    <w:p w:rsidR="00974CF9" w:rsidRDefault="00974CF9">
      <w:r w:rsidRPr="00B91D70">
        <w:rPr>
          <w:rFonts w:asciiTheme="majorHAnsi" w:eastAsiaTheme="majorEastAsia" w:hAnsiTheme="majorHAnsi" w:cstheme="majorBidi"/>
          <w:noProof/>
          <w:spacing w:val="-10"/>
          <w:kern w:val="28"/>
          <w:sz w:val="56"/>
          <w:szCs w:val="56"/>
          <w:lang w:val="en-AU" w:eastAsia="en-AU"/>
        </w:rPr>
        <mc:AlternateContent>
          <mc:Choice Requires="wps">
            <w:drawing>
              <wp:anchor distT="45720" distB="45720" distL="114300" distR="114300" simplePos="0" relativeHeight="251665408" behindDoc="0" locked="0" layoutInCell="1" allowOverlap="1" wp14:anchorId="7DB8E676" wp14:editId="396E46A9">
                <wp:simplePos x="0" y="0"/>
                <wp:positionH relativeFrom="column">
                  <wp:posOffset>366395</wp:posOffset>
                </wp:positionH>
                <wp:positionV relativeFrom="paragraph">
                  <wp:posOffset>122555</wp:posOffset>
                </wp:positionV>
                <wp:extent cx="4836160" cy="70008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7000875"/>
                        </a:xfrm>
                        <a:prstGeom prst="roundRect">
                          <a:avLst/>
                        </a:prstGeom>
                        <a:noFill/>
                        <a:ln w="9525" cap="flat" cmpd="sng" algn="ctr">
                          <a:solidFill>
                            <a:schemeClr val="accent5">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5473E1" w:rsidRPr="00F722CD" w:rsidRDefault="005473E1" w:rsidP="0032087C">
                            <w:pPr>
                              <w:shd w:val="clear" w:color="auto" w:fill="FFFFFF" w:themeFill="background1"/>
                              <w:spacing w:before="240" w:after="120" w:line="276" w:lineRule="auto"/>
                              <w:jc w:val="center"/>
                              <w:rPr>
                                <w:rFonts w:cstheme="minorHAnsi"/>
                                <w:color w:val="C45911" w:themeColor="accent2" w:themeShade="BF"/>
                                <w:sz w:val="20"/>
                                <w:szCs w:val="20"/>
                              </w:rPr>
                            </w:pPr>
                            <w:r w:rsidRPr="00F722CD">
                              <w:rPr>
                                <w:rFonts w:cstheme="minorHAnsi"/>
                                <w:b/>
                                <w:color w:val="C45911" w:themeColor="accent2" w:themeShade="BF"/>
                                <w:sz w:val="32"/>
                                <w:szCs w:val="32"/>
                              </w:rPr>
                              <w:t>2015-2016 hospice@HOME snapshot</w:t>
                            </w:r>
                          </w:p>
                          <w:p w:rsidR="005473E1" w:rsidRPr="00974CF9" w:rsidRDefault="005473E1" w:rsidP="00974CF9">
                            <w:pPr>
                              <w:pStyle w:val="ListParagraph"/>
                              <w:numPr>
                                <w:ilvl w:val="0"/>
                                <w:numId w:val="18"/>
                              </w:numPr>
                              <w:shd w:val="clear" w:color="auto" w:fill="FFFFFF" w:themeFill="background1"/>
                              <w:spacing w:before="240" w:after="120" w:line="276" w:lineRule="auto"/>
                              <w:ind w:left="567" w:hanging="357"/>
                              <w:contextualSpacing w:val="0"/>
                              <w:rPr>
                                <w:rFonts w:cstheme="minorHAnsi"/>
                                <w:color w:val="2F5496" w:themeColor="accent5" w:themeShade="BF"/>
                                <w:sz w:val="20"/>
                                <w:szCs w:val="20"/>
                              </w:rPr>
                            </w:pPr>
                            <w:r>
                              <w:rPr>
                                <w:rFonts w:cstheme="minorHAnsi"/>
                                <w:color w:val="2F5496" w:themeColor="accent5" w:themeShade="BF"/>
                                <w:sz w:val="20"/>
                                <w:szCs w:val="20"/>
                              </w:rPr>
                              <w:t xml:space="preserve">hospice@HOME </w:t>
                            </w:r>
                            <w:r w:rsidRPr="00974CF9">
                              <w:rPr>
                                <w:rFonts w:cstheme="minorHAnsi"/>
                                <w:color w:val="2F5496" w:themeColor="accent5" w:themeShade="BF"/>
                                <w:sz w:val="20"/>
                                <w:szCs w:val="20"/>
                              </w:rPr>
                              <w:t>provided care packages for 1,112 clients and their families.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62% of clients who wished to die at home were able to do so.</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45% of clients lived in outer regional or remote areas, as compared with 35.3% of the Tasmanian population overall, indicating the success of the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in reaching rural communities.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Clients who contacted the after</w:t>
                            </w:r>
                            <w:r>
                              <w:rPr>
                                <w:rFonts w:cstheme="minorHAnsi"/>
                                <w:color w:val="2F5496" w:themeColor="accent5" w:themeShade="BF"/>
                                <w:sz w:val="20"/>
                                <w:szCs w:val="20"/>
                              </w:rPr>
                              <w:t>-</w:t>
                            </w:r>
                            <w:r w:rsidRPr="00974CF9">
                              <w:rPr>
                                <w:rFonts w:cstheme="minorHAnsi"/>
                                <w:color w:val="2F5496" w:themeColor="accent5" w:themeShade="BF"/>
                                <w:sz w:val="20"/>
                                <w:szCs w:val="20"/>
                              </w:rPr>
                              <w:t xml:space="preserve">hours service were significantly less likely to present at </w:t>
                            </w:r>
                            <w:r>
                              <w:rPr>
                                <w:rFonts w:cstheme="minorHAnsi"/>
                                <w:color w:val="2F5496" w:themeColor="accent5" w:themeShade="BF"/>
                                <w:sz w:val="20"/>
                                <w:szCs w:val="20"/>
                              </w:rPr>
                              <w:t xml:space="preserve">an </w:t>
                            </w:r>
                            <w:r w:rsidRPr="00974CF9">
                              <w:rPr>
                                <w:rFonts w:cstheme="minorHAnsi"/>
                                <w:color w:val="2F5496" w:themeColor="accent5" w:themeShade="BF"/>
                                <w:sz w:val="20"/>
                                <w:szCs w:val="20"/>
                              </w:rPr>
                              <w:t>E</w:t>
                            </w:r>
                            <w:r>
                              <w:rPr>
                                <w:rFonts w:cstheme="minorHAnsi"/>
                                <w:color w:val="2F5496" w:themeColor="accent5" w:themeShade="BF"/>
                                <w:sz w:val="20"/>
                                <w:szCs w:val="20"/>
                              </w:rPr>
                              <w:t xml:space="preserve">mergency </w:t>
                            </w:r>
                            <w:r w:rsidRPr="00974CF9">
                              <w:rPr>
                                <w:rFonts w:cstheme="minorHAnsi"/>
                                <w:color w:val="2F5496" w:themeColor="accent5" w:themeShade="BF"/>
                                <w:sz w:val="20"/>
                                <w:szCs w:val="20"/>
                              </w:rPr>
                              <w:t>D</w:t>
                            </w:r>
                            <w:r>
                              <w:rPr>
                                <w:rFonts w:cstheme="minorHAnsi"/>
                                <w:color w:val="2F5496" w:themeColor="accent5" w:themeShade="BF"/>
                                <w:sz w:val="20"/>
                                <w:szCs w:val="20"/>
                              </w:rPr>
                              <w:t>epartment</w:t>
                            </w:r>
                            <w:r w:rsidRPr="00974CF9">
                              <w:rPr>
                                <w:rFonts w:cstheme="minorHAnsi"/>
                                <w:color w:val="2F5496" w:themeColor="accent5" w:themeShade="BF"/>
                                <w:sz w:val="20"/>
                                <w:szCs w:val="20"/>
                              </w:rPr>
                              <w:t xml:space="preserve"> or request an ambulance.</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Almost half of clients had contact with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social workers, receiving services such as advance care planning, advocacy, counselling, carer support, financial assistance and bereavement support.</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Clients and carers responding to an internationally</w:t>
                            </w:r>
                            <w:r>
                              <w:rPr>
                                <w:rFonts w:cstheme="minorHAnsi"/>
                                <w:color w:val="2F5496" w:themeColor="accent5" w:themeShade="BF"/>
                                <w:sz w:val="20"/>
                                <w:szCs w:val="20"/>
                              </w:rPr>
                              <w:t>-</w:t>
                            </w:r>
                            <w:r w:rsidRPr="00974CF9">
                              <w:rPr>
                                <w:rFonts w:cstheme="minorHAnsi"/>
                                <w:color w:val="2F5496" w:themeColor="accent5" w:themeShade="BF"/>
                                <w:sz w:val="20"/>
                                <w:szCs w:val="20"/>
                              </w:rPr>
                              <w:t>benchmarked survey and follow</w:t>
                            </w:r>
                            <w:r>
                              <w:rPr>
                                <w:rFonts w:cstheme="minorHAnsi"/>
                                <w:color w:val="2F5496" w:themeColor="accent5" w:themeShade="BF"/>
                                <w:sz w:val="20"/>
                                <w:szCs w:val="20"/>
                              </w:rPr>
                              <w:t>-</w:t>
                            </w:r>
                            <w:r w:rsidRPr="00974CF9">
                              <w:rPr>
                                <w:rFonts w:cstheme="minorHAnsi"/>
                                <w:color w:val="2F5496" w:themeColor="accent5" w:themeShade="BF"/>
                                <w:sz w:val="20"/>
                                <w:szCs w:val="20"/>
                              </w:rPr>
                              <w:t>up interviews reported high levels of satisfaction with the services they received.</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Pr>
                                <w:rFonts w:cstheme="minorHAnsi"/>
                                <w:color w:val="2F5496" w:themeColor="accent5" w:themeShade="BF"/>
                                <w:sz w:val="20"/>
                                <w:szCs w:val="20"/>
                              </w:rPr>
                              <w:t>54</w:t>
                            </w:r>
                            <w:r w:rsidRPr="00974CF9">
                              <w:rPr>
                                <w:rFonts w:cstheme="minorHAnsi"/>
                                <w:color w:val="2F5496" w:themeColor="accent5" w:themeShade="BF"/>
                                <w:sz w:val="20"/>
                                <w:szCs w:val="20"/>
                              </w:rPr>
                              <w:t xml:space="preserve"> service providers across Tasmania </w:t>
                            </w:r>
                            <w:r>
                              <w:rPr>
                                <w:rFonts w:cstheme="minorHAnsi"/>
                                <w:color w:val="2F5496" w:themeColor="accent5" w:themeShade="BF"/>
                                <w:sz w:val="20"/>
                                <w:szCs w:val="20"/>
                              </w:rPr>
                              <w:t>(</w:t>
                            </w:r>
                            <w:r w:rsidRPr="00974CF9">
                              <w:rPr>
                                <w:rFonts w:cstheme="minorHAnsi"/>
                                <w:color w:val="2F5496" w:themeColor="accent5" w:themeShade="BF"/>
                                <w:sz w:val="20"/>
                                <w:szCs w:val="20"/>
                              </w:rPr>
                              <w:t>in 2015-16</w:t>
                            </w:r>
                            <w:r>
                              <w:rPr>
                                <w:rFonts w:cstheme="minorHAnsi"/>
                                <w:color w:val="2F5496" w:themeColor="accent5" w:themeShade="BF"/>
                                <w:sz w:val="20"/>
                                <w:szCs w:val="20"/>
                              </w:rPr>
                              <w:t>)</w:t>
                            </w:r>
                            <w:r w:rsidRPr="00974CF9">
                              <w:rPr>
                                <w:rFonts w:cstheme="minorHAnsi"/>
                                <w:color w:val="2F5496" w:themeColor="accent5" w:themeShade="BF"/>
                                <w:sz w:val="20"/>
                                <w:szCs w:val="20"/>
                              </w:rPr>
                              <w:t xml:space="preserve"> were contracted by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to provide assistance to clients.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Respite care, domestic assistance, personal care and the provision of equipment were most highly valued by clients who responded to a survey.</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312 types of equipment were provided, with clients using </w:t>
                            </w:r>
                            <w:r>
                              <w:rPr>
                                <w:rFonts w:cstheme="minorHAnsi"/>
                                <w:color w:val="2F5496" w:themeColor="accent5" w:themeShade="BF"/>
                                <w:sz w:val="20"/>
                                <w:szCs w:val="20"/>
                              </w:rPr>
                              <w:t>four</w:t>
                            </w:r>
                            <w:r w:rsidRPr="00974CF9">
                              <w:rPr>
                                <w:rFonts w:cstheme="minorHAnsi"/>
                                <w:color w:val="2F5496" w:themeColor="accent5" w:themeShade="BF"/>
                                <w:sz w:val="20"/>
                                <w:szCs w:val="20"/>
                              </w:rPr>
                              <w:t xml:space="preserve"> items over 69 days on average.</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A new client management system, Procura, was developed</w:t>
                            </w:r>
                            <w:r>
                              <w:rPr>
                                <w:rFonts w:cstheme="minorHAnsi"/>
                                <w:color w:val="2F5496" w:themeColor="accent5" w:themeShade="BF"/>
                                <w:sz w:val="20"/>
                                <w:szCs w:val="20"/>
                              </w:rPr>
                              <w:t>. It</w:t>
                            </w:r>
                            <w:r w:rsidRPr="00974CF9">
                              <w:rPr>
                                <w:rFonts w:cstheme="minorHAnsi"/>
                                <w:color w:val="2F5496" w:themeColor="accent5" w:themeShade="BF"/>
                                <w:sz w:val="20"/>
                                <w:szCs w:val="20"/>
                              </w:rPr>
                              <w:t xml:space="preserve"> </w:t>
                            </w:r>
                            <w:r>
                              <w:rPr>
                                <w:rFonts w:cstheme="minorHAnsi"/>
                                <w:color w:val="2F5496" w:themeColor="accent5" w:themeShade="BF"/>
                                <w:sz w:val="20"/>
                                <w:szCs w:val="20"/>
                              </w:rPr>
                              <w:t>was</w:t>
                            </w:r>
                            <w:r w:rsidRPr="00974CF9">
                              <w:rPr>
                                <w:rFonts w:cstheme="minorHAnsi"/>
                                <w:color w:val="2F5496" w:themeColor="accent5" w:themeShade="BF"/>
                                <w:sz w:val="20"/>
                                <w:szCs w:val="20"/>
                              </w:rPr>
                              <w:t xml:space="preserve"> built around the complex needs of the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brokerage model.</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A ‘Just in Case Box’ project saw the development of a kit of palliative care medications to be used in the home, with appropriate guidelines and safeguards, and the education of lay carers interested in administering pain relief.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margin-left:28.85pt;margin-top:9.65pt;width:380.8pt;height:55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" filled="f" strokecolor="#2f5496 [2408]">
                <v:textbox>
                  <w:txbxContent>
                    <w:p w:rsidR="005473E1" w:rsidRPr="00F722CD" w:rsidRDefault="005473E1" w:rsidP="0032087C">
                      <w:pPr>
                        <w:shd w:val="clear" w:color="auto" w:fill="FFFFFF" w:themeFill="background1"/>
                        <w:spacing w:before="240" w:after="120" w:line="276" w:lineRule="auto"/>
                        <w:jc w:val="center"/>
                        <w:rPr>
                          <w:rFonts w:cstheme="minorHAnsi"/>
                          <w:color w:val="C45911" w:themeColor="accent2" w:themeShade="BF"/>
                          <w:sz w:val="20"/>
                          <w:szCs w:val="20"/>
                        </w:rPr>
                      </w:pPr>
                      <w:r w:rsidRPr="00F722CD">
                        <w:rPr>
                          <w:rFonts w:cstheme="minorHAnsi"/>
                          <w:b/>
                          <w:color w:val="C45911" w:themeColor="accent2" w:themeShade="BF"/>
                          <w:sz w:val="32"/>
                          <w:szCs w:val="32"/>
                        </w:rPr>
                        <w:t>2015-2016 hospice@HOME snapshot</w:t>
                      </w:r>
                    </w:p>
                    <w:p w:rsidR="005473E1" w:rsidRPr="00974CF9" w:rsidRDefault="005473E1" w:rsidP="00974CF9">
                      <w:pPr>
                        <w:pStyle w:val="ListParagraph"/>
                        <w:numPr>
                          <w:ilvl w:val="0"/>
                          <w:numId w:val="18"/>
                        </w:numPr>
                        <w:shd w:val="clear" w:color="auto" w:fill="FFFFFF" w:themeFill="background1"/>
                        <w:spacing w:before="240" w:after="120" w:line="276" w:lineRule="auto"/>
                        <w:ind w:left="567" w:hanging="357"/>
                        <w:contextualSpacing w:val="0"/>
                        <w:rPr>
                          <w:rFonts w:cstheme="minorHAnsi"/>
                          <w:color w:val="2F5496" w:themeColor="accent5" w:themeShade="BF"/>
                          <w:sz w:val="20"/>
                          <w:szCs w:val="20"/>
                        </w:rPr>
                      </w:pPr>
                      <w:r>
                        <w:rPr>
                          <w:rFonts w:cstheme="minorHAnsi"/>
                          <w:color w:val="2F5496" w:themeColor="accent5" w:themeShade="BF"/>
                          <w:sz w:val="20"/>
                          <w:szCs w:val="20"/>
                        </w:rPr>
                        <w:t xml:space="preserve">hospice@HOME </w:t>
                      </w:r>
                      <w:r w:rsidRPr="00974CF9">
                        <w:rPr>
                          <w:rFonts w:cstheme="minorHAnsi"/>
                          <w:color w:val="2F5496" w:themeColor="accent5" w:themeShade="BF"/>
                          <w:sz w:val="20"/>
                          <w:szCs w:val="20"/>
                        </w:rPr>
                        <w:t>provided care packages for 1,112 clients and their families.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62% of clients who wished to die at home were able to do so.</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45% of clients lived in outer regional or remote areas, as compared with 35.3% of the Tasmanian population overall, indicating the success of the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in reaching rural communities.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Clients who contacted the after</w:t>
                      </w:r>
                      <w:r>
                        <w:rPr>
                          <w:rFonts w:cstheme="minorHAnsi"/>
                          <w:color w:val="2F5496" w:themeColor="accent5" w:themeShade="BF"/>
                          <w:sz w:val="20"/>
                          <w:szCs w:val="20"/>
                        </w:rPr>
                        <w:t>-</w:t>
                      </w:r>
                      <w:r w:rsidRPr="00974CF9">
                        <w:rPr>
                          <w:rFonts w:cstheme="minorHAnsi"/>
                          <w:color w:val="2F5496" w:themeColor="accent5" w:themeShade="BF"/>
                          <w:sz w:val="20"/>
                          <w:szCs w:val="20"/>
                        </w:rPr>
                        <w:t xml:space="preserve">hours service were significantly less likely to present at </w:t>
                      </w:r>
                      <w:r>
                        <w:rPr>
                          <w:rFonts w:cstheme="minorHAnsi"/>
                          <w:color w:val="2F5496" w:themeColor="accent5" w:themeShade="BF"/>
                          <w:sz w:val="20"/>
                          <w:szCs w:val="20"/>
                        </w:rPr>
                        <w:t xml:space="preserve">an </w:t>
                      </w:r>
                      <w:r w:rsidRPr="00974CF9">
                        <w:rPr>
                          <w:rFonts w:cstheme="minorHAnsi"/>
                          <w:color w:val="2F5496" w:themeColor="accent5" w:themeShade="BF"/>
                          <w:sz w:val="20"/>
                          <w:szCs w:val="20"/>
                        </w:rPr>
                        <w:t>E</w:t>
                      </w:r>
                      <w:r>
                        <w:rPr>
                          <w:rFonts w:cstheme="minorHAnsi"/>
                          <w:color w:val="2F5496" w:themeColor="accent5" w:themeShade="BF"/>
                          <w:sz w:val="20"/>
                          <w:szCs w:val="20"/>
                        </w:rPr>
                        <w:t xml:space="preserve">mergency </w:t>
                      </w:r>
                      <w:r w:rsidRPr="00974CF9">
                        <w:rPr>
                          <w:rFonts w:cstheme="minorHAnsi"/>
                          <w:color w:val="2F5496" w:themeColor="accent5" w:themeShade="BF"/>
                          <w:sz w:val="20"/>
                          <w:szCs w:val="20"/>
                        </w:rPr>
                        <w:t>D</w:t>
                      </w:r>
                      <w:r>
                        <w:rPr>
                          <w:rFonts w:cstheme="minorHAnsi"/>
                          <w:color w:val="2F5496" w:themeColor="accent5" w:themeShade="BF"/>
                          <w:sz w:val="20"/>
                          <w:szCs w:val="20"/>
                        </w:rPr>
                        <w:t>epartment</w:t>
                      </w:r>
                      <w:r w:rsidRPr="00974CF9">
                        <w:rPr>
                          <w:rFonts w:cstheme="minorHAnsi"/>
                          <w:color w:val="2F5496" w:themeColor="accent5" w:themeShade="BF"/>
                          <w:sz w:val="20"/>
                          <w:szCs w:val="20"/>
                        </w:rPr>
                        <w:t xml:space="preserve"> or request an ambulance.</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Almost half of clients had contact with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social workers, receiving services such as advance care planning, advocacy, counselling, carer support, financial assistance and bereavement support.</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Clients and carers responding to an internationally</w:t>
                      </w:r>
                      <w:r>
                        <w:rPr>
                          <w:rFonts w:cstheme="minorHAnsi"/>
                          <w:color w:val="2F5496" w:themeColor="accent5" w:themeShade="BF"/>
                          <w:sz w:val="20"/>
                          <w:szCs w:val="20"/>
                        </w:rPr>
                        <w:t>-</w:t>
                      </w:r>
                      <w:r w:rsidRPr="00974CF9">
                        <w:rPr>
                          <w:rFonts w:cstheme="minorHAnsi"/>
                          <w:color w:val="2F5496" w:themeColor="accent5" w:themeShade="BF"/>
                          <w:sz w:val="20"/>
                          <w:szCs w:val="20"/>
                        </w:rPr>
                        <w:t>benchmarked survey and follow</w:t>
                      </w:r>
                      <w:r>
                        <w:rPr>
                          <w:rFonts w:cstheme="minorHAnsi"/>
                          <w:color w:val="2F5496" w:themeColor="accent5" w:themeShade="BF"/>
                          <w:sz w:val="20"/>
                          <w:szCs w:val="20"/>
                        </w:rPr>
                        <w:t>-</w:t>
                      </w:r>
                      <w:r w:rsidRPr="00974CF9">
                        <w:rPr>
                          <w:rFonts w:cstheme="minorHAnsi"/>
                          <w:color w:val="2F5496" w:themeColor="accent5" w:themeShade="BF"/>
                          <w:sz w:val="20"/>
                          <w:szCs w:val="20"/>
                        </w:rPr>
                        <w:t>up interviews reported high levels of satisfaction with the services they received.</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Pr>
                          <w:rFonts w:cstheme="minorHAnsi"/>
                          <w:color w:val="2F5496" w:themeColor="accent5" w:themeShade="BF"/>
                          <w:sz w:val="20"/>
                          <w:szCs w:val="20"/>
                        </w:rPr>
                        <w:t>54</w:t>
                      </w:r>
                      <w:r w:rsidRPr="00974CF9">
                        <w:rPr>
                          <w:rFonts w:cstheme="minorHAnsi"/>
                          <w:color w:val="2F5496" w:themeColor="accent5" w:themeShade="BF"/>
                          <w:sz w:val="20"/>
                          <w:szCs w:val="20"/>
                        </w:rPr>
                        <w:t xml:space="preserve"> service providers across Tasmania </w:t>
                      </w:r>
                      <w:r>
                        <w:rPr>
                          <w:rFonts w:cstheme="minorHAnsi"/>
                          <w:color w:val="2F5496" w:themeColor="accent5" w:themeShade="BF"/>
                          <w:sz w:val="20"/>
                          <w:szCs w:val="20"/>
                        </w:rPr>
                        <w:t>(</w:t>
                      </w:r>
                      <w:r w:rsidRPr="00974CF9">
                        <w:rPr>
                          <w:rFonts w:cstheme="minorHAnsi"/>
                          <w:color w:val="2F5496" w:themeColor="accent5" w:themeShade="BF"/>
                          <w:sz w:val="20"/>
                          <w:szCs w:val="20"/>
                        </w:rPr>
                        <w:t>in 2015-16</w:t>
                      </w:r>
                      <w:r>
                        <w:rPr>
                          <w:rFonts w:cstheme="minorHAnsi"/>
                          <w:color w:val="2F5496" w:themeColor="accent5" w:themeShade="BF"/>
                          <w:sz w:val="20"/>
                          <w:szCs w:val="20"/>
                        </w:rPr>
                        <w:t>)</w:t>
                      </w:r>
                      <w:r w:rsidRPr="00974CF9">
                        <w:rPr>
                          <w:rFonts w:cstheme="minorHAnsi"/>
                          <w:color w:val="2F5496" w:themeColor="accent5" w:themeShade="BF"/>
                          <w:sz w:val="20"/>
                          <w:szCs w:val="20"/>
                        </w:rPr>
                        <w:t xml:space="preserve"> were contracted by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to provide assistance to clients.</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Respite care, domestic assistance, personal care and the provision of equipment were most highly valued by clients who responded to a survey.</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 xml:space="preserve">312 types of equipment were provided, with clients using </w:t>
                      </w:r>
                      <w:r>
                        <w:rPr>
                          <w:rFonts w:cstheme="minorHAnsi"/>
                          <w:color w:val="2F5496" w:themeColor="accent5" w:themeShade="BF"/>
                          <w:sz w:val="20"/>
                          <w:szCs w:val="20"/>
                        </w:rPr>
                        <w:t>four</w:t>
                      </w:r>
                      <w:r w:rsidRPr="00974CF9">
                        <w:rPr>
                          <w:rFonts w:cstheme="minorHAnsi"/>
                          <w:color w:val="2F5496" w:themeColor="accent5" w:themeShade="BF"/>
                          <w:sz w:val="20"/>
                          <w:szCs w:val="20"/>
                        </w:rPr>
                        <w:t xml:space="preserve"> items over 69 days on average.</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A new client management system, Procura, was developed</w:t>
                      </w:r>
                      <w:r>
                        <w:rPr>
                          <w:rFonts w:cstheme="minorHAnsi"/>
                          <w:color w:val="2F5496" w:themeColor="accent5" w:themeShade="BF"/>
                          <w:sz w:val="20"/>
                          <w:szCs w:val="20"/>
                        </w:rPr>
                        <w:t>. It</w:t>
                      </w:r>
                      <w:r w:rsidRPr="00974CF9">
                        <w:rPr>
                          <w:rFonts w:cstheme="minorHAnsi"/>
                          <w:color w:val="2F5496" w:themeColor="accent5" w:themeShade="BF"/>
                          <w:sz w:val="20"/>
                          <w:szCs w:val="20"/>
                        </w:rPr>
                        <w:t xml:space="preserve"> </w:t>
                      </w:r>
                      <w:r>
                        <w:rPr>
                          <w:rFonts w:cstheme="minorHAnsi"/>
                          <w:color w:val="2F5496" w:themeColor="accent5" w:themeShade="BF"/>
                          <w:sz w:val="20"/>
                          <w:szCs w:val="20"/>
                        </w:rPr>
                        <w:t>was</w:t>
                      </w:r>
                      <w:r w:rsidRPr="00974CF9">
                        <w:rPr>
                          <w:rFonts w:cstheme="minorHAnsi"/>
                          <w:color w:val="2F5496" w:themeColor="accent5" w:themeShade="BF"/>
                          <w:sz w:val="20"/>
                          <w:szCs w:val="20"/>
                        </w:rPr>
                        <w:t xml:space="preserve"> built around the complex needs of the </w:t>
                      </w:r>
                      <w:r>
                        <w:rPr>
                          <w:rFonts w:cstheme="minorHAnsi"/>
                          <w:color w:val="2F5496" w:themeColor="accent5" w:themeShade="BF"/>
                          <w:sz w:val="20"/>
                          <w:szCs w:val="20"/>
                        </w:rPr>
                        <w:t>hospice@HOME</w:t>
                      </w:r>
                      <w:r w:rsidRPr="00974CF9">
                        <w:rPr>
                          <w:rFonts w:cstheme="minorHAnsi"/>
                          <w:color w:val="2F5496" w:themeColor="accent5" w:themeShade="BF"/>
                          <w:sz w:val="20"/>
                          <w:szCs w:val="20"/>
                        </w:rPr>
                        <w:t xml:space="preserve"> brokerage model.</w:t>
                      </w:r>
                    </w:p>
                    <w:p w:rsidR="005473E1" w:rsidRPr="00974CF9" w:rsidRDefault="005473E1" w:rsidP="00974CF9">
                      <w:pPr>
                        <w:pStyle w:val="ListParagraph"/>
                        <w:numPr>
                          <w:ilvl w:val="0"/>
                          <w:numId w:val="18"/>
                        </w:numPr>
                        <w:shd w:val="clear" w:color="auto" w:fill="FFFFFF" w:themeFill="background1"/>
                        <w:spacing w:after="120" w:line="276" w:lineRule="auto"/>
                        <w:ind w:left="567"/>
                        <w:contextualSpacing w:val="0"/>
                        <w:rPr>
                          <w:rFonts w:cstheme="minorHAnsi"/>
                          <w:color w:val="2F5496" w:themeColor="accent5" w:themeShade="BF"/>
                          <w:sz w:val="20"/>
                          <w:szCs w:val="20"/>
                        </w:rPr>
                      </w:pPr>
                      <w:r w:rsidRPr="00974CF9">
                        <w:rPr>
                          <w:rFonts w:cstheme="minorHAnsi"/>
                          <w:color w:val="2F5496" w:themeColor="accent5" w:themeShade="BF"/>
                          <w:sz w:val="20"/>
                          <w:szCs w:val="20"/>
                        </w:rPr>
                        <w:t>A ‘Just in Case Box’ project saw the development of a kit of palliative care medications to be used in the home, with appropriate guidelines and safeguards, and the education of lay carers interested in administering pain relief.</w:t>
                      </w:r>
                    </w:p>
                  </w:txbxContent>
                </v:textbox>
                <w10:wrap type="square"/>
              </v:roundrect>
            </w:pict>
          </mc:Fallback>
        </mc:AlternateContent>
      </w:r>
      <w:r>
        <w:br w:type="page"/>
      </w:r>
    </w:p>
    <w:p w:rsidR="00935614" w:rsidRPr="005952A9" w:rsidRDefault="00935614" w:rsidP="00935614">
      <w:pPr>
        <w:pStyle w:val="Title"/>
        <w:pBdr>
          <w:bottom w:val="single" w:sz="2" w:space="1" w:color="auto"/>
        </w:pBdr>
        <w:rPr>
          <w:color w:val="2F5496" w:themeColor="accent5" w:themeShade="BF"/>
        </w:rPr>
      </w:pPr>
      <w:r w:rsidRPr="005952A9">
        <w:rPr>
          <w:color w:val="2F5496" w:themeColor="accent5" w:themeShade="BF"/>
        </w:rPr>
        <w:lastRenderedPageBreak/>
        <w:t>Summary</w:t>
      </w:r>
    </w:p>
    <w:p w:rsidR="00514D57" w:rsidRPr="00AF281B" w:rsidRDefault="00514D57" w:rsidP="00AF281B">
      <w:pPr>
        <w:spacing w:after="0" w:line="276" w:lineRule="auto"/>
        <w:rPr>
          <w:rFonts w:eastAsia="Times New Roman" w:cstheme="minorHAnsi"/>
          <w:color w:val="000000"/>
          <w:sz w:val="16"/>
          <w:szCs w:val="16"/>
          <w:lang w:eastAsia="en-GB"/>
        </w:rPr>
      </w:pPr>
    </w:p>
    <w:p w:rsidR="004041E8" w:rsidRPr="000C5DE2" w:rsidRDefault="00DE2B90" w:rsidP="00406544">
      <w:pPr>
        <w:rPr>
          <w:rFonts w:cstheme="minorHAnsi"/>
        </w:rPr>
      </w:pPr>
      <w:r>
        <w:rPr>
          <w:rFonts w:eastAsia="Times New Roman" w:cstheme="minorHAnsi"/>
          <w:color w:val="000000"/>
          <w:lang w:eastAsia="en-GB"/>
        </w:rPr>
        <w:t xml:space="preserve">This submission outlines ways the Australian Government can build on the momentum for change in the way we manage death and dying </w:t>
      </w:r>
      <w:r w:rsidR="00AC6BFB">
        <w:rPr>
          <w:rFonts w:eastAsia="Times New Roman" w:cstheme="minorHAnsi"/>
          <w:color w:val="000000"/>
          <w:lang w:eastAsia="en-GB"/>
        </w:rPr>
        <w:t xml:space="preserve">in Australia </w:t>
      </w:r>
      <w:r w:rsidR="00BA6ACB">
        <w:rPr>
          <w:rFonts w:eastAsia="Times New Roman" w:cstheme="minorHAnsi"/>
          <w:color w:val="000000"/>
          <w:lang w:eastAsia="en-GB"/>
        </w:rPr>
        <w:t>that w</w:t>
      </w:r>
      <w:r>
        <w:rPr>
          <w:rFonts w:eastAsia="Times New Roman" w:cstheme="minorHAnsi"/>
          <w:color w:val="000000"/>
          <w:lang w:eastAsia="en-GB"/>
        </w:rPr>
        <w:t xml:space="preserve">as </w:t>
      </w:r>
      <w:r w:rsidR="00BA6ACB">
        <w:rPr>
          <w:rFonts w:eastAsia="Times New Roman" w:cstheme="minorHAnsi"/>
          <w:color w:val="000000"/>
          <w:lang w:eastAsia="en-GB"/>
        </w:rPr>
        <w:t>initiated</w:t>
      </w:r>
      <w:r>
        <w:rPr>
          <w:rFonts w:eastAsia="Times New Roman" w:cstheme="minorHAnsi"/>
          <w:color w:val="000000"/>
          <w:lang w:eastAsia="en-GB"/>
        </w:rPr>
        <w:t xml:space="preserve"> under the B</w:t>
      </w:r>
      <w:r w:rsidR="00A01C00">
        <w:rPr>
          <w:rFonts w:eastAsia="Times New Roman" w:cstheme="minorHAnsi"/>
          <w:color w:val="000000"/>
          <w:lang w:eastAsia="en-GB"/>
        </w:rPr>
        <w:t xml:space="preserve">etter </w:t>
      </w:r>
      <w:r>
        <w:rPr>
          <w:rFonts w:eastAsia="Times New Roman" w:cstheme="minorHAnsi"/>
          <w:color w:val="000000"/>
          <w:lang w:eastAsia="en-GB"/>
        </w:rPr>
        <w:t>A</w:t>
      </w:r>
      <w:r w:rsidR="00A01C00">
        <w:rPr>
          <w:rFonts w:eastAsia="Times New Roman" w:cstheme="minorHAnsi"/>
          <w:color w:val="000000"/>
          <w:lang w:eastAsia="en-GB"/>
        </w:rPr>
        <w:t xml:space="preserve">ccess to </w:t>
      </w:r>
      <w:r>
        <w:rPr>
          <w:rFonts w:eastAsia="Times New Roman" w:cstheme="minorHAnsi"/>
          <w:color w:val="000000"/>
          <w:lang w:eastAsia="en-GB"/>
        </w:rPr>
        <w:t>P</w:t>
      </w:r>
      <w:r w:rsidR="00A01C00">
        <w:rPr>
          <w:rFonts w:eastAsia="Times New Roman" w:cstheme="minorHAnsi"/>
          <w:color w:val="000000"/>
          <w:lang w:eastAsia="en-GB"/>
        </w:rPr>
        <w:t xml:space="preserve">alliative </w:t>
      </w:r>
      <w:r>
        <w:rPr>
          <w:rFonts w:eastAsia="Times New Roman" w:cstheme="minorHAnsi"/>
          <w:color w:val="000000"/>
          <w:lang w:eastAsia="en-GB"/>
        </w:rPr>
        <w:t>C</w:t>
      </w:r>
      <w:r w:rsidR="00A01C00">
        <w:rPr>
          <w:rFonts w:eastAsia="Times New Roman" w:cstheme="minorHAnsi"/>
          <w:color w:val="000000"/>
          <w:lang w:eastAsia="en-GB"/>
        </w:rPr>
        <w:t>are</w:t>
      </w:r>
      <w:r>
        <w:rPr>
          <w:rFonts w:eastAsia="Times New Roman" w:cstheme="minorHAnsi"/>
          <w:color w:val="000000"/>
          <w:lang w:eastAsia="en-GB"/>
        </w:rPr>
        <w:t xml:space="preserve"> </w:t>
      </w:r>
      <w:r w:rsidR="00AC6BFB">
        <w:rPr>
          <w:rFonts w:eastAsia="Times New Roman" w:cstheme="minorHAnsi"/>
          <w:color w:val="000000"/>
          <w:lang w:eastAsia="en-GB"/>
        </w:rPr>
        <w:t>(BAPC) program</w:t>
      </w:r>
      <w:r>
        <w:rPr>
          <w:rFonts w:eastAsia="Times New Roman" w:cstheme="minorHAnsi"/>
          <w:color w:val="000000"/>
          <w:lang w:eastAsia="en-GB"/>
        </w:rPr>
        <w:t xml:space="preserve">. We suggest </w:t>
      </w:r>
      <w:r w:rsidR="00AC6BFB">
        <w:rPr>
          <w:rFonts w:eastAsia="Times New Roman" w:cstheme="minorHAnsi"/>
          <w:color w:val="000000"/>
          <w:lang w:eastAsia="en-GB"/>
        </w:rPr>
        <w:t>that, using the learnings from the Tasmanian hospice@HOME program, the Australian Government and The District Nurses Tasmania work together</w:t>
      </w:r>
      <w:r w:rsidR="00BA6ACB">
        <w:rPr>
          <w:rFonts w:eastAsia="Times New Roman" w:cstheme="minorHAnsi"/>
          <w:color w:val="000000"/>
          <w:lang w:eastAsia="en-GB"/>
        </w:rPr>
        <w:t xml:space="preserve"> </w:t>
      </w:r>
      <w:r w:rsidR="00A01C00">
        <w:rPr>
          <w:rFonts w:eastAsia="Times New Roman" w:cstheme="minorHAnsi"/>
          <w:color w:val="000000"/>
          <w:lang w:eastAsia="en-GB"/>
        </w:rPr>
        <w:t xml:space="preserve">to develop </w:t>
      </w:r>
      <w:r w:rsidR="00406544" w:rsidRPr="00406544">
        <w:rPr>
          <w:rFonts w:eastAsia="Times New Roman" w:cstheme="minorHAnsi"/>
          <w:color w:val="000000"/>
          <w:lang w:eastAsia="en-GB"/>
        </w:rPr>
        <w:t xml:space="preserve">a cost-effective and sustainable end-of-life bundled model of care </w:t>
      </w:r>
      <w:r>
        <w:rPr>
          <w:rFonts w:eastAsia="Times New Roman" w:cstheme="minorHAnsi"/>
          <w:color w:val="000000"/>
          <w:lang w:eastAsia="en-GB"/>
        </w:rPr>
        <w:t xml:space="preserve">for the Australian Government to </w:t>
      </w:r>
      <w:r w:rsidR="001F2B2F">
        <w:rPr>
          <w:rFonts w:eastAsia="Times New Roman" w:cstheme="minorHAnsi"/>
          <w:color w:val="000000"/>
          <w:lang w:eastAsia="en-GB"/>
        </w:rPr>
        <w:t>roll</w:t>
      </w:r>
      <w:r w:rsidR="00406544">
        <w:rPr>
          <w:rFonts w:eastAsia="Times New Roman" w:cstheme="minorHAnsi"/>
          <w:color w:val="000000"/>
          <w:lang w:eastAsia="en-GB"/>
        </w:rPr>
        <w:t xml:space="preserve"> </w:t>
      </w:r>
      <w:r w:rsidR="00BA6ACB">
        <w:rPr>
          <w:rFonts w:eastAsia="Times New Roman" w:cstheme="minorHAnsi"/>
          <w:color w:val="000000"/>
          <w:lang w:eastAsia="en-GB"/>
        </w:rPr>
        <w:t>out across Australia. This model will be cost effective and sustainable, reducing costs to the acute care system and</w:t>
      </w:r>
      <w:r w:rsidR="001F2B2F">
        <w:rPr>
          <w:rFonts w:eastAsia="Times New Roman" w:cstheme="minorHAnsi"/>
          <w:color w:val="000000"/>
          <w:lang w:eastAsia="en-GB"/>
        </w:rPr>
        <w:t xml:space="preserve"> meeting </w:t>
      </w:r>
      <w:r>
        <w:rPr>
          <w:rFonts w:eastAsia="Times New Roman" w:cstheme="minorHAnsi"/>
          <w:color w:val="000000"/>
          <w:lang w:eastAsia="en-GB"/>
        </w:rPr>
        <w:t xml:space="preserve">future increases in demand for high quality in-home end-of-life care. </w:t>
      </w:r>
      <w:r w:rsidR="00075802">
        <w:rPr>
          <w:rFonts w:cstheme="minorHAnsi"/>
        </w:rPr>
        <w:t>We believe ou</w:t>
      </w:r>
      <w:r w:rsidR="00406544">
        <w:rPr>
          <w:rFonts w:cstheme="minorHAnsi"/>
        </w:rPr>
        <w:t>r</w:t>
      </w:r>
      <w:r w:rsidR="00075802">
        <w:rPr>
          <w:rFonts w:cstheme="minorHAnsi"/>
        </w:rPr>
        <w:t xml:space="preserve"> proposal will </w:t>
      </w:r>
      <w:r w:rsidR="00406544">
        <w:rPr>
          <w:rFonts w:cstheme="minorHAnsi"/>
        </w:rPr>
        <w:t>expedite</w:t>
      </w:r>
      <w:r w:rsidR="00075802">
        <w:rPr>
          <w:rFonts w:cstheme="minorHAnsi"/>
        </w:rPr>
        <w:t xml:space="preserve"> the</w:t>
      </w:r>
      <w:r w:rsidR="00406544">
        <w:rPr>
          <w:rFonts w:cstheme="minorHAnsi"/>
        </w:rPr>
        <w:t xml:space="preserve"> </w:t>
      </w:r>
      <w:r w:rsidR="00075802" w:rsidRPr="003B2DA1">
        <w:rPr>
          <w:rFonts w:cstheme="minorHAnsi"/>
        </w:rPr>
        <w:t xml:space="preserve">Productivity Commission’s </w:t>
      </w:r>
      <w:r w:rsidR="00406544">
        <w:rPr>
          <w:rFonts w:cstheme="minorHAnsi"/>
        </w:rPr>
        <w:t>call for</w:t>
      </w:r>
      <w:r w:rsidR="00075802" w:rsidRPr="003B2DA1">
        <w:rPr>
          <w:rFonts w:cstheme="minorHAnsi"/>
        </w:rPr>
        <w:t xml:space="preserve"> ‘greater competition, contestability and user choice</w:t>
      </w:r>
      <w:r w:rsidR="00406544">
        <w:rPr>
          <w:rFonts w:cstheme="minorHAnsi"/>
        </w:rPr>
        <w:t>’</w:t>
      </w:r>
      <w:r w:rsidR="00075802" w:rsidRPr="003B2DA1">
        <w:rPr>
          <w:rFonts w:cstheme="minorHAnsi"/>
        </w:rPr>
        <w:t xml:space="preserve"> </w:t>
      </w:r>
      <w:r w:rsidR="00406544">
        <w:rPr>
          <w:rFonts w:cstheme="minorHAnsi"/>
        </w:rPr>
        <w:t>in end-of-life services and will firmly place clients at the centre of their care</w:t>
      </w:r>
      <w:r w:rsidR="004E4FFF">
        <w:rPr>
          <w:rStyle w:val="FootnoteReference"/>
          <w:rFonts w:cstheme="minorHAnsi"/>
        </w:rPr>
        <w:footnoteReference w:id="1"/>
      </w:r>
      <w:r w:rsidR="00406544">
        <w:rPr>
          <w:rFonts w:cstheme="minorHAnsi"/>
        </w:rPr>
        <w:t>.</w:t>
      </w:r>
    </w:p>
    <w:p w:rsidR="00DE2B90" w:rsidRDefault="00406544" w:rsidP="00DE2B90">
      <w:pPr>
        <w:shd w:val="clear" w:color="auto" w:fill="FFFFFF"/>
        <w:spacing w:before="60" w:after="0" w:line="276" w:lineRule="auto"/>
        <w:rPr>
          <w:rFonts w:eastAsia="Times New Roman" w:cstheme="minorHAnsi"/>
          <w:color w:val="000000"/>
          <w:lang w:eastAsia="en-GB"/>
        </w:rPr>
      </w:pPr>
      <w:r>
        <w:rPr>
          <w:rFonts w:eastAsia="Times New Roman" w:cstheme="minorHAnsi"/>
          <w:color w:val="000000"/>
          <w:lang w:eastAsia="en-GB"/>
        </w:rPr>
        <w:t xml:space="preserve">The proposed </w:t>
      </w:r>
      <w:r w:rsidR="00A01C00" w:rsidRPr="00A01C00">
        <w:rPr>
          <w:rFonts w:eastAsia="Times New Roman" w:cstheme="minorHAnsi"/>
          <w:color w:val="000000"/>
          <w:lang w:eastAsia="en-GB"/>
        </w:rPr>
        <w:t>model would</w:t>
      </w:r>
      <w:r w:rsidR="00DE2B90" w:rsidRPr="00A01C00">
        <w:rPr>
          <w:rFonts w:eastAsia="Times New Roman" w:cstheme="minorHAnsi"/>
          <w:color w:val="000000"/>
          <w:lang w:eastAsia="en-GB"/>
        </w:rPr>
        <w:t xml:space="preserve"> </w:t>
      </w:r>
      <w:r w:rsidR="00A01C00">
        <w:rPr>
          <w:rFonts w:eastAsia="Times New Roman" w:cstheme="minorHAnsi"/>
          <w:color w:val="000000"/>
          <w:lang w:eastAsia="en-GB"/>
        </w:rPr>
        <w:t xml:space="preserve">cut across the aged care, tertiary care, primary health care, and community care systems, </w:t>
      </w:r>
      <w:r w:rsidR="00DE2B90" w:rsidRPr="00A01C00">
        <w:rPr>
          <w:rFonts w:eastAsia="Times New Roman" w:cstheme="minorHAnsi"/>
          <w:color w:val="000000"/>
          <w:lang w:eastAsia="en-GB"/>
        </w:rPr>
        <w:t>complement</w:t>
      </w:r>
      <w:r w:rsidR="00A01C00">
        <w:rPr>
          <w:rFonts w:eastAsia="Times New Roman" w:cstheme="minorHAnsi"/>
          <w:color w:val="000000"/>
          <w:lang w:eastAsia="en-GB"/>
        </w:rPr>
        <w:t>ing</w:t>
      </w:r>
      <w:r w:rsidR="00DE2B90" w:rsidRPr="00A01C00">
        <w:rPr>
          <w:rFonts w:eastAsia="Times New Roman" w:cstheme="minorHAnsi"/>
          <w:color w:val="000000"/>
          <w:lang w:eastAsia="en-GB"/>
        </w:rPr>
        <w:t xml:space="preserve"> </w:t>
      </w:r>
      <w:r w:rsidR="00BA6ACB">
        <w:rPr>
          <w:rFonts w:eastAsia="Times New Roman" w:cstheme="minorHAnsi"/>
          <w:color w:val="000000"/>
          <w:lang w:eastAsia="en-GB"/>
        </w:rPr>
        <w:t>other care support streams</w:t>
      </w:r>
      <w:r w:rsidR="00DE2B90" w:rsidRPr="00A01C00">
        <w:rPr>
          <w:rFonts w:eastAsia="Times New Roman" w:cstheme="minorHAnsi"/>
          <w:color w:val="000000"/>
          <w:lang w:eastAsia="en-GB"/>
        </w:rPr>
        <w:t xml:space="preserve"> </w:t>
      </w:r>
      <w:r w:rsidR="00BA6ACB">
        <w:rPr>
          <w:rFonts w:eastAsia="Times New Roman" w:cstheme="minorHAnsi"/>
          <w:color w:val="000000"/>
          <w:lang w:eastAsia="en-GB"/>
        </w:rPr>
        <w:t xml:space="preserve">such as the </w:t>
      </w:r>
      <w:r w:rsidR="00DE2B90" w:rsidRPr="00A01C00">
        <w:rPr>
          <w:rFonts w:eastAsia="Times New Roman" w:cstheme="minorHAnsi"/>
          <w:color w:val="000000"/>
          <w:lang w:eastAsia="en-GB"/>
        </w:rPr>
        <w:t>Commonwealth Home Support Programme (CHSP) a</w:t>
      </w:r>
      <w:r w:rsidR="001F2B2F">
        <w:rPr>
          <w:rFonts w:eastAsia="Times New Roman" w:cstheme="minorHAnsi"/>
          <w:color w:val="000000"/>
          <w:lang w:eastAsia="en-GB"/>
        </w:rPr>
        <w:t>nd Home Care Packages.</w:t>
      </w:r>
      <w:r w:rsidR="00DE2B90">
        <w:rPr>
          <w:rFonts w:eastAsia="Times New Roman" w:cstheme="minorHAnsi"/>
          <w:color w:val="000000"/>
          <w:lang w:eastAsia="en-GB"/>
        </w:rPr>
        <w:t xml:space="preserve"> </w:t>
      </w:r>
      <w:r w:rsidR="00A01C00">
        <w:rPr>
          <w:rFonts w:eastAsia="Times New Roman" w:cstheme="minorHAnsi"/>
          <w:color w:val="000000"/>
          <w:lang w:eastAsia="en-GB"/>
        </w:rPr>
        <w:t xml:space="preserve">It would </w:t>
      </w:r>
      <w:r w:rsidR="00DE2B90">
        <w:rPr>
          <w:rFonts w:eastAsia="Times New Roman" w:cstheme="minorHAnsi"/>
          <w:color w:val="000000"/>
          <w:lang w:eastAsia="en-GB"/>
        </w:rPr>
        <w:t>prov</w:t>
      </w:r>
      <w:r w:rsidR="00A01C00">
        <w:rPr>
          <w:rFonts w:eastAsia="Times New Roman" w:cstheme="minorHAnsi"/>
          <w:color w:val="000000"/>
          <w:lang w:eastAsia="en-GB"/>
        </w:rPr>
        <w:t>ide</w:t>
      </w:r>
      <w:r w:rsidR="00DE2B90">
        <w:rPr>
          <w:rFonts w:eastAsia="Times New Roman" w:cstheme="minorHAnsi"/>
          <w:color w:val="000000"/>
          <w:lang w:eastAsia="en-GB"/>
        </w:rPr>
        <w:t xml:space="preserve"> an extra level of support </w:t>
      </w:r>
      <w:r w:rsidR="00A01C00">
        <w:rPr>
          <w:rFonts w:eastAsia="Times New Roman" w:cstheme="minorHAnsi"/>
          <w:color w:val="000000"/>
          <w:lang w:eastAsia="en-GB"/>
        </w:rPr>
        <w:t>enabling</w:t>
      </w:r>
      <w:r w:rsidR="00DE2B90">
        <w:rPr>
          <w:rFonts w:eastAsia="Times New Roman" w:cstheme="minorHAnsi"/>
          <w:color w:val="000000"/>
          <w:lang w:eastAsia="en-GB"/>
        </w:rPr>
        <w:t xml:space="preserve"> people nearing the end of life to remain at home rather than in a less familiar and more costly acute care setting.</w:t>
      </w:r>
    </w:p>
    <w:p w:rsidR="00F600C0" w:rsidRDefault="00406544" w:rsidP="00D4221A">
      <w:pPr>
        <w:shd w:val="clear" w:color="auto" w:fill="FFFFFF"/>
        <w:spacing w:before="60" w:after="0" w:line="276" w:lineRule="auto"/>
        <w:rPr>
          <w:rFonts w:cstheme="minorHAnsi"/>
        </w:rPr>
      </w:pPr>
      <w:r>
        <w:rPr>
          <w:rFonts w:eastAsia="Times New Roman" w:cstheme="minorHAnsi"/>
          <w:color w:val="000000"/>
          <w:lang w:eastAsia="en-GB"/>
        </w:rPr>
        <w:t xml:space="preserve">The hospice@HOME program, on which </w:t>
      </w:r>
      <w:r w:rsidR="00BC6201">
        <w:rPr>
          <w:rFonts w:eastAsia="Times New Roman" w:cstheme="minorHAnsi"/>
          <w:color w:val="000000"/>
          <w:lang w:eastAsia="en-GB"/>
        </w:rPr>
        <w:t>this</w:t>
      </w:r>
      <w:r>
        <w:rPr>
          <w:rFonts w:eastAsia="Times New Roman" w:cstheme="minorHAnsi"/>
          <w:color w:val="000000"/>
          <w:lang w:eastAsia="en-GB"/>
        </w:rPr>
        <w:t xml:space="preserve"> proposal is based, </w:t>
      </w:r>
      <w:r w:rsidR="006663E9">
        <w:rPr>
          <w:rFonts w:eastAsia="Times New Roman" w:cstheme="minorHAnsi"/>
          <w:color w:val="000000"/>
          <w:lang w:eastAsia="en-GB"/>
        </w:rPr>
        <w:t>is a highly successful model of care developed by The District Nurses (TDN) Tasmania for people approaching end of life</w:t>
      </w:r>
      <w:r w:rsidR="00BC6201">
        <w:rPr>
          <w:rFonts w:eastAsia="Times New Roman" w:cstheme="minorHAnsi"/>
          <w:color w:val="000000"/>
          <w:lang w:eastAsia="en-GB"/>
        </w:rPr>
        <w:t xml:space="preserve"> and their carers. </w:t>
      </w:r>
      <w:r w:rsidR="00F600C0">
        <w:rPr>
          <w:rFonts w:eastAsia="Times New Roman" w:cstheme="minorHAnsi"/>
          <w:color w:val="000000"/>
          <w:lang w:eastAsia="en-GB"/>
        </w:rPr>
        <w:t xml:space="preserve">The program has been </w:t>
      </w:r>
      <w:r w:rsidR="00F600C0" w:rsidRPr="0094048F">
        <w:rPr>
          <w:rFonts w:cstheme="minorHAnsi"/>
        </w:rPr>
        <w:t>funded through the Australian Government’s Tasmanian Health Assis</w:t>
      </w:r>
      <w:r w:rsidR="00F600C0">
        <w:rPr>
          <w:rFonts w:cstheme="minorHAnsi"/>
        </w:rPr>
        <w:t xml:space="preserve">tance Package, as part of the BAPC </w:t>
      </w:r>
      <w:r w:rsidR="00F600C0" w:rsidRPr="0094048F">
        <w:rPr>
          <w:rFonts w:cstheme="minorHAnsi"/>
        </w:rPr>
        <w:t>program.</w:t>
      </w:r>
      <w:r w:rsidR="00F600C0">
        <w:rPr>
          <w:rFonts w:cstheme="minorHAnsi"/>
        </w:rPr>
        <w:t xml:space="preserve"> </w:t>
      </w:r>
    </w:p>
    <w:p w:rsidR="006663E9" w:rsidRPr="00A06358" w:rsidRDefault="00F600C0" w:rsidP="00D4221A">
      <w:pPr>
        <w:shd w:val="clear" w:color="auto" w:fill="FFFFFF"/>
        <w:spacing w:before="60" w:after="0" w:line="276" w:lineRule="auto"/>
        <w:rPr>
          <w:rFonts w:eastAsia="Times New Roman" w:cstheme="minorHAnsi"/>
          <w:color w:val="000000"/>
          <w:lang w:eastAsia="en-GB"/>
        </w:rPr>
      </w:pPr>
      <w:r>
        <w:rPr>
          <w:rFonts w:eastAsia="Times New Roman" w:cstheme="minorHAnsi"/>
          <w:color w:val="000000"/>
          <w:lang w:eastAsia="en-GB"/>
        </w:rPr>
        <w:t>hospice@HOME</w:t>
      </w:r>
      <w:r w:rsidR="00BC6201">
        <w:rPr>
          <w:rFonts w:eastAsia="Times New Roman" w:cstheme="minorHAnsi"/>
          <w:color w:val="000000"/>
          <w:lang w:eastAsia="en-GB"/>
        </w:rPr>
        <w:t xml:space="preserve"> </w:t>
      </w:r>
      <w:r>
        <w:rPr>
          <w:rFonts w:eastAsia="Times New Roman" w:cstheme="minorHAnsi"/>
          <w:color w:val="000000"/>
          <w:lang w:eastAsia="en-GB"/>
        </w:rPr>
        <w:t>offers</w:t>
      </w:r>
      <w:r w:rsidR="006663E9">
        <w:rPr>
          <w:rFonts w:eastAsia="Times New Roman" w:cstheme="minorHAnsi"/>
          <w:color w:val="000000"/>
          <w:lang w:eastAsia="en-GB"/>
        </w:rPr>
        <w:t xml:space="preserve"> care packages that </w:t>
      </w:r>
      <w:r w:rsidR="00BC6201">
        <w:rPr>
          <w:rFonts w:eastAsia="Times New Roman" w:cstheme="minorHAnsi"/>
          <w:color w:val="000000"/>
          <w:lang w:eastAsia="en-GB"/>
        </w:rPr>
        <w:t xml:space="preserve">coordinate and </w:t>
      </w:r>
      <w:r w:rsidR="006663E9">
        <w:rPr>
          <w:rFonts w:eastAsia="Times New Roman" w:cstheme="minorHAnsi"/>
          <w:color w:val="000000"/>
          <w:lang w:eastAsia="en-GB"/>
        </w:rPr>
        <w:t xml:space="preserve">complement </w:t>
      </w:r>
      <w:r w:rsidR="00406544">
        <w:rPr>
          <w:rFonts w:eastAsia="Times New Roman" w:cstheme="minorHAnsi"/>
          <w:color w:val="000000"/>
          <w:lang w:eastAsia="en-GB"/>
        </w:rPr>
        <w:t>other</w:t>
      </w:r>
      <w:r w:rsidR="006663E9">
        <w:rPr>
          <w:rFonts w:eastAsia="Times New Roman" w:cstheme="minorHAnsi"/>
          <w:color w:val="000000"/>
          <w:lang w:eastAsia="en-GB"/>
        </w:rPr>
        <w:t xml:space="preserve"> services</w:t>
      </w:r>
      <w:r w:rsidR="00406544">
        <w:rPr>
          <w:rFonts w:eastAsia="Times New Roman" w:cstheme="minorHAnsi"/>
          <w:color w:val="000000"/>
          <w:lang w:eastAsia="en-GB"/>
        </w:rPr>
        <w:t xml:space="preserve"> available </w:t>
      </w:r>
      <w:r w:rsidR="00672490">
        <w:rPr>
          <w:rFonts w:eastAsia="Times New Roman" w:cstheme="minorHAnsi"/>
          <w:color w:val="000000"/>
          <w:lang w:eastAsia="en-GB"/>
        </w:rPr>
        <w:t>in the community</w:t>
      </w:r>
      <w:r w:rsidR="006663E9">
        <w:rPr>
          <w:rFonts w:eastAsia="Times New Roman" w:cstheme="minorHAnsi"/>
          <w:color w:val="000000"/>
          <w:lang w:eastAsia="en-GB"/>
        </w:rPr>
        <w:t>, provid</w:t>
      </w:r>
      <w:r>
        <w:rPr>
          <w:rFonts w:eastAsia="Times New Roman" w:cstheme="minorHAnsi"/>
          <w:color w:val="000000"/>
          <w:lang w:eastAsia="en-GB"/>
        </w:rPr>
        <w:t>ing</w:t>
      </w:r>
      <w:r w:rsidR="00672490">
        <w:rPr>
          <w:rFonts w:eastAsia="Times New Roman" w:cstheme="minorHAnsi"/>
          <w:color w:val="000000"/>
          <w:lang w:eastAsia="en-GB"/>
        </w:rPr>
        <w:t xml:space="preserve"> clients with the service mix and level</w:t>
      </w:r>
      <w:r w:rsidR="006663E9">
        <w:rPr>
          <w:rFonts w:eastAsia="Times New Roman" w:cstheme="minorHAnsi"/>
          <w:color w:val="000000"/>
          <w:lang w:eastAsia="en-GB"/>
        </w:rPr>
        <w:t xml:space="preserve"> they need to enable ‘a good death’ at home if they so choose.</w:t>
      </w:r>
      <w:r>
        <w:rPr>
          <w:rFonts w:eastAsia="Times New Roman" w:cstheme="minorHAnsi"/>
          <w:color w:val="000000"/>
          <w:lang w:eastAsia="en-GB"/>
        </w:rPr>
        <w:t xml:space="preserve"> </w:t>
      </w:r>
      <w:r w:rsidR="003C4C02">
        <w:rPr>
          <w:rFonts w:cstheme="minorHAnsi"/>
        </w:rPr>
        <w:t>These care packages allow</w:t>
      </w:r>
      <w:r w:rsidR="006663E9">
        <w:rPr>
          <w:rFonts w:cstheme="minorHAnsi"/>
        </w:rPr>
        <w:t xml:space="preserve"> people to take charge of their end</w:t>
      </w:r>
      <w:r w:rsidR="00885C01">
        <w:rPr>
          <w:rFonts w:cstheme="minorHAnsi"/>
        </w:rPr>
        <w:t>-</w:t>
      </w:r>
      <w:r w:rsidR="006663E9">
        <w:rPr>
          <w:rFonts w:cstheme="minorHAnsi"/>
        </w:rPr>
        <w:t>of</w:t>
      </w:r>
      <w:r w:rsidR="00885C01">
        <w:rPr>
          <w:rFonts w:cstheme="minorHAnsi"/>
        </w:rPr>
        <w:t>-</w:t>
      </w:r>
      <w:r w:rsidR="006663E9">
        <w:rPr>
          <w:rFonts w:cstheme="minorHAnsi"/>
        </w:rPr>
        <w:t xml:space="preserve">life journey by providing the care and support they need to die with as much dignity and as little pain as possible. </w:t>
      </w:r>
      <w:r w:rsidR="006663E9" w:rsidRPr="00842D55">
        <w:rPr>
          <w:rFonts w:cstheme="minorHAnsi"/>
          <w:b/>
        </w:rPr>
        <w:t>BAPC funding for hospice@HOME will cease in June 2017.</w:t>
      </w:r>
    </w:p>
    <w:p w:rsidR="00F600C0" w:rsidRDefault="00F600C0" w:rsidP="00D4221A">
      <w:pPr>
        <w:spacing w:after="0" w:line="276" w:lineRule="auto"/>
        <w:rPr>
          <w:rFonts w:cstheme="minorHAnsi"/>
        </w:rPr>
      </w:pPr>
    </w:p>
    <w:p w:rsidR="008F3084" w:rsidRDefault="00900C35" w:rsidP="00D4221A">
      <w:pPr>
        <w:spacing w:after="0" w:line="276" w:lineRule="auto"/>
        <w:rPr>
          <w:rFonts w:cstheme="minorHAnsi"/>
        </w:rPr>
      </w:pPr>
      <w:r>
        <w:rPr>
          <w:rFonts w:cstheme="minorHAnsi"/>
        </w:rPr>
        <w:t>T</w:t>
      </w:r>
      <w:r w:rsidR="008F3084">
        <w:rPr>
          <w:rFonts w:cstheme="minorHAnsi"/>
        </w:rPr>
        <w:t xml:space="preserve">he benefits of the </w:t>
      </w:r>
      <w:r w:rsidR="00D829D9">
        <w:rPr>
          <w:rFonts w:cstheme="minorHAnsi"/>
        </w:rPr>
        <w:t>hospice@HOME</w:t>
      </w:r>
      <w:r w:rsidR="008F3084">
        <w:rPr>
          <w:rFonts w:cstheme="minorHAnsi"/>
        </w:rPr>
        <w:t xml:space="preserve"> program to the Australian aged care system </w:t>
      </w:r>
      <w:r w:rsidR="00672490">
        <w:rPr>
          <w:rFonts w:cstheme="minorHAnsi"/>
        </w:rPr>
        <w:t>have been</w:t>
      </w:r>
      <w:r w:rsidR="008F3084">
        <w:rPr>
          <w:rFonts w:cstheme="minorHAnsi"/>
        </w:rPr>
        <w:t>:</w:t>
      </w:r>
    </w:p>
    <w:p w:rsidR="00900C35" w:rsidRPr="00646FF5" w:rsidRDefault="00900C35" w:rsidP="00D4221A">
      <w:pPr>
        <w:pStyle w:val="ListParagraph"/>
        <w:numPr>
          <w:ilvl w:val="0"/>
          <w:numId w:val="15"/>
        </w:numPr>
        <w:spacing w:before="60" w:after="60" w:line="240" w:lineRule="auto"/>
        <w:ind w:left="709" w:hanging="284"/>
        <w:contextualSpacing w:val="0"/>
        <w:rPr>
          <w:rFonts w:cstheme="minorHAnsi"/>
        </w:rPr>
      </w:pPr>
      <w:r>
        <w:rPr>
          <w:rFonts w:cstheme="minorHAnsi"/>
        </w:rPr>
        <w:t>D</w:t>
      </w:r>
      <w:r w:rsidRPr="00646FF5">
        <w:rPr>
          <w:rFonts w:cstheme="minorHAnsi"/>
        </w:rPr>
        <w:t>irect savings to the health system through:</w:t>
      </w:r>
    </w:p>
    <w:p w:rsidR="00900C35" w:rsidRPr="00646FF5" w:rsidRDefault="00900C35" w:rsidP="00D4221A">
      <w:pPr>
        <w:pStyle w:val="ListParagraph"/>
        <w:numPr>
          <w:ilvl w:val="1"/>
          <w:numId w:val="15"/>
        </w:numPr>
        <w:spacing w:before="60" w:after="60" w:line="240" w:lineRule="auto"/>
        <w:contextualSpacing w:val="0"/>
        <w:rPr>
          <w:rFonts w:cstheme="minorHAnsi"/>
        </w:rPr>
      </w:pPr>
      <w:r w:rsidRPr="00646FF5">
        <w:rPr>
          <w:rFonts w:cstheme="minorHAnsi"/>
        </w:rPr>
        <w:t>reduced impost on hospitals</w:t>
      </w:r>
    </w:p>
    <w:p w:rsidR="00900C35" w:rsidRPr="00646FF5" w:rsidRDefault="00900C35" w:rsidP="00D4221A">
      <w:pPr>
        <w:pStyle w:val="ListParagraph"/>
        <w:numPr>
          <w:ilvl w:val="1"/>
          <w:numId w:val="15"/>
        </w:numPr>
        <w:spacing w:before="60" w:after="60" w:line="240" w:lineRule="auto"/>
        <w:contextualSpacing w:val="0"/>
        <w:rPr>
          <w:rFonts w:cstheme="minorHAnsi"/>
        </w:rPr>
      </w:pPr>
      <w:r w:rsidRPr="00646FF5">
        <w:rPr>
          <w:rFonts w:cstheme="minorHAnsi"/>
        </w:rPr>
        <w:t>reduced use of ambulances</w:t>
      </w:r>
    </w:p>
    <w:p w:rsidR="00900C35" w:rsidRPr="00646FF5" w:rsidRDefault="00900C35" w:rsidP="00D4221A">
      <w:pPr>
        <w:pStyle w:val="ListParagraph"/>
        <w:numPr>
          <w:ilvl w:val="1"/>
          <w:numId w:val="15"/>
        </w:numPr>
        <w:spacing w:before="60" w:after="60" w:line="240" w:lineRule="auto"/>
        <w:ind w:left="1077" w:hanging="357"/>
        <w:contextualSpacing w:val="0"/>
        <w:rPr>
          <w:rFonts w:cstheme="minorHAnsi"/>
        </w:rPr>
      </w:pPr>
      <w:r w:rsidRPr="00646FF5">
        <w:rPr>
          <w:rFonts w:cstheme="minorHAnsi"/>
        </w:rPr>
        <w:t>a better, more collaborative and more holistic service model</w:t>
      </w:r>
    </w:p>
    <w:p w:rsidR="00900C35" w:rsidRPr="00646FF5" w:rsidRDefault="00900C35" w:rsidP="00D4221A">
      <w:pPr>
        <w:pStyle w:val="ListParagraph"/>
        <w:numPr>
          <w:ilvl w:val="0"/>
          <w:numId w:val="15"/>
        </w:numPr>
        <w:spacing w:before="60" w:after="60" w:line="240" w:lineRule="auto"/>
        <w:ind w:left="709" w:hanging="284"/>
        <w:contextualSpacing w:val="0"/>
        <w:rPr>
          <w:rFonts w:cstheme="minorHAnsi"/>
        </w:rPr>
      </w:pPr>
      <w:r w:rsidRPr="00646FF5">
        <w:rPr>
          <w:rFonts w:cstheme="minorHAnsi"/>
        </w:rPr>
        <w:t xml:space="preserve">Providing </w:t>
      </w:r>
      <w:r>
        <w:rPr>
          <w:rFonts w:cstheme="minorHAnsi"/>
        </w:rPr>
        <w:t>people approaching end of life</w:t>
      </w:r>
      <w:r w:rsidRPr="00646FF5">
        <w:rPr>
          <w:rFonts w:cstheme="minorHAnsi"/>
        </w:rPr>
        <w:t xml:space="preserve"> and their families with a ‘good death’ at home</w:t>
      </w:r>
    </w:p>
    <w:p w:rsidR="008F3084" w:rsidRPr="00646FF5" w:rsidRDefault="008F3084" w:rsidP="00D4221A">
      <w:pPr>
        <w:pStyle w:val="ListParagraph"/>
        <w:numPr>
          <w:ilvl w:val="0"/>
          <w:numId w:val="15"/>
        </w:numPr>
        <w:spacing w:before="60" w:after="60" w:line="240" w:lineRule="auto"/>
        <w:ind w:left="709" w:hanging="284"/>
        <w:contextualSpacing w:val="0"/>
        <w:rPr>
          <w:rFonts w:cstheme="minorHAnsi"/>
        </w:rPr>
      </w:pPr>
      <w:r>
        <w:rPr>
          <w:rFonts w:cstheme="minorHAnsi"/>
        </w:rPr>
        <w:t>Providing a model for</w:t>
      </w:r>
      <w:r w:rsidRPr="00646FF5">
        <w:rPr>
          <w:rFonts w:cstheme="minorHAnsi"/>
        </w:rPr>
        <w:t xml:space="preserve"> innovative home-based end of life care</w:t>
      </w:r>
      <w:r w:rsidR="00FC2E02">
        <w:rPr>
          <w:rStyle w:val="FootnoteReference"/>
          <w:rFonts w:cstheme="minorHAnsi"/>
        </w:rPr>
        <w:footnoteReference w:id="2"/>
      </w:r>
    </w:p>
    <w:p w:rsidR="008F3084" w:rsidRPr="00646FF5" w:rsidRDefault="008F3084" w:rsidP="00D4221A">
      <w:pPr>
        <w:pStyle w:val="ListParagraph"/>
        <w:numPr>
          <w:ilvl w:val="0"/>
          <w:numId w:val="15"/>
        </w:numPr>
        <w:spacing w:before="60" w:after="60" w:line="240" w:lineRule="auto"/>
        <w:ind w:left="709" w:hanging="283"/>
        <w:contextualSpacing w:val="0"/>
        <w:rPr>
          <w:rFonts w:cstheme="minorHAnsi"/>
        </w:rPr>
      </w:pPr>
      <w:r w:rsidRPr="00646FF5">
        <w:rPr>
          <w:rFonts w:cstheme="minorHAnsi"/>
        </w:rPr>
        <w:t>Value-adding, both economically and socially</w:t>
      </w:r>
      <w:r>
        <w:rPr>
          <w:rFonts w:cstheme="minorHAnsi"/>
        </w:rPr>
        <w:t>,</w:t>
      </w:r>
      <w:r w:rsidRPr="00646FF5">
        <w:rPr>
          <w:rFonts w:cstheme="minorHAnsi"/>
        </w:rPr>
        <w:t xml:space="preserve"> to local communities</w:t>
      </w:r>
    </w:p>
    <w:p w:rsidR="008F3084" w:rsidRPr="00646FF5" w:rsidRDefault="008F3084" w:rsidP="00D4221A">
      <w:pPr>
        <w:pStyle w:val="ListParagraph"/>
        <w:numPr>
          <w:ilvl w:val="0"/>
          <w:numId w:val="15"/>
        </w:numPr>
        <w:spacing w:before="60" w:after="60" w:line="240" w:lineRule="auto"/>
        <w:ind w:left="709" w:hanging="283"/>
        <w:contextualSpacing w:val="0"/>
        <w:rPr>
          <w:rFonts w:cstheme="minorHAnsi"/>
        </w:rPr>
      </w:pPr>
      <w:r w:rsidRPr="00646FF5">
        <w:rPr>
          <w:rFonts w:cstheme="minorHAnsi"/>
        </w:rPr>
        <w:t>Supporting a network of community based services and strengthening collaborative practice</w:t>
      </w:r>
    </w:p>
    <w:p w:rsidR="008F3084" w:rsidRPr="00646FF5" w:rsidRDefault="008F3084" w:rsidP="00D4221A">
      <w:pPr>
        <w:pStyle w:val="ListParagraph"/>
        <w:numPr>
          <w:ilvl w:val="0"/>
          <w:numId w:val="15"/>
        </w:numPr>
        <w:spacing w:before="60" w:after="60" w:line="240" w:lineRule="auto"/>
        <w:ind w:left="709" w:hanging="283"/>
        <w:contextualSpacing w:val="0"/>
        <w:rPr>
          <w:rFonts w:cstheme="minorHAnsi"/>
        </w:rPr>
      </w:pPr>
      <w:r w:rsidRPr="00646FF5">
        <w:rPr>
          <w:rFonts w:cstheme="minorHAnsi"/>
        </w:rPr>
        <w:t>Increasing skills of contracted staff and volunteers in palliative and end of life care</w:t>
      </w:r>
    </w:p>
    <w:p w:rsidR="008F3084" w:rsidRPr="00646FF5" w:rsidRDefault="008F3084" w:rsidP="00D4221A">
      <w:pPr>
        <w:pStyle w:val="ListParagraph"/>
        <w:numPr>
          <w:ilvl w:val="0"/>
          <w:numId w:val="15"/>
        </w:numPr>
        <w:spacing w:before="60" w:after="60" w:line="240" w:lineRule="auto"/>
        <w:ind w:left="709" w:hanging="283"/>
        <w:contextualSpacing w:val="0"/>
        <w:rPr>
          <w:rFonts w:cstheme="minorHAnsi"/>
        </w:rPr>
      </w:pPr>
      <w:r w:rsidRPr="00646FF5">
        <w:rPr>
          <w:rFonts w:cstheme="minorHAnsi"/>
        </w:rPr>
        <w:t>Developing innovative approaches to</w:t>
      </w:r>
      <w:r>
        <w:rPr>
          <w:rFonts w:cstheme="minorHAnsi"/>
        </w:rPr>
        <w:t>wards</w:t>
      </w:r>
      <w:r w:rsidRPr="00646FF5">
        <w:rPr>
          <w:rFonts w:cstheme="minorHAnsi"/>
        </w:rPr>
        <w:t xml:space="preserve"> care</w:t>
      </w:r>
      <w:r>
        <w:rPr>
          <w:rFonts w:cstheme="minorHAnsi"/>
        </w:rPr>
        <w:t xml:space="preserve"> in the community</w:t>
      </w:r>
    </w:p>
    <w:p w:rsidR="008F3084" w:rsidRDefault="008F3084" w:rsidP="00D4221A">
      <w:pPr>
        <w:pStyle w:val="ListParagraph"/>
        <w:numPr>
          <w:ilvl w:val="0"/>
          <w:numId w:val="15"/>
        </w:numPr>
        <w:spacing w:before="60" w:after="60" w:line="240" w:lineRule="auto"/>
        <w:ind w:left="709" w:hanging="283"/>
        <w:contextualSpacing w:val="0"/>
        <w:rPr>
          <w:rFonts w:cstheme="minorHAnsi"/>
        </w:rPr>
      </w:pPr>
      <w:r w:rsidRPr="00646FF5">
        <w:rPr>
          <w:rFonts w:cstheme="minorHAnsi"/>
        </w:rPr>
        <w:t>Developing a robust research base.</w:t>
      </w:r>
    </w:p>
    <w:p w:rsidR="00F600C0" w:rsidRDefault="00F600C0" w:rsidP="00443252">
      <w:pPr>
        <w:shd w:val="clear" w:color="auto" w:fill="FFFFFF"/>
        <w:spacing w:before="120" w:after="0" w:line="276" w:lineRule="auto"/>
        <w:rPr>
          <w:rFonts w:eastAsia="Times New Roman" w:cstheme="minorHAnsi"/>
          <w:color w:val="000000"/>
          <w:lang w:eastAsia="en-GB"/>
        </w:rPr>
      </w:pPr>
    </w:p>
    <w:p w:rsidR="00F600C0" w:rsidRDefault="003F4CC5" w:rsidP="00443252">
      <w:pPr>
        <w:shd w:val="clear" w:color="auto" w:fill="FFFFFF"/>
        <w:spacing w:before="120" w:after="0" w:line="276" w:lineRule="auto"/>
        <w:rPr>
          <w:rFonts w:cstheme="minorHAnsi"/>
        </w:rPr>
      </w:pPr>
      <w:r>
        <w:rPr>
          <w:rFonts w:eastAsia="Times New Roman" w:cstheme="minorHAnsi"/>
          <w:color w:val="000000"/>
          <w:lang w:eastAsia="en-GB"/>
        </w:rPr>
        <w:lastRenderedPageBreak/>
        <w:t xml:space="preserve">TDN is highly aware of the Productivity </w:t>
      </w:r>
      <w:r w:rsidR="00CE2CF7">
        <w:rPr>
          <w:rFonts w:eastAsia="Times New Roman" w:cstheme="minorHAnsi"/>
          <w:color w:val="000000"/>
          <w:lang w:eastAsia="en-GB"/>
        </w:rPr>
        <w:t>Commission’s</w:t>
      </w:r>
      <w:r>
        <w:rPr>
          <w:rFonts w:eastAsia="Times New Roman" w:cstheme="minorHAnsi"/>
          <w:color w:val="000000"/>
          <w:lang w:eastAsia="en-GB"/>
        </w:rPr>
        <w:t xml:space="preserve"> 2011 report, </w:t>
      </w:r>
      <w:r w:rsidRPr="00672490">
        <w:rPr>
          <w:rFonts w:eastAsia="Times New Roman" w:cstheme="minorHAnsi"/>
          <w:i/>
          <w:color w:val="000000"/>
          <w:lang w:eastAsia="en-GB"/>
        </w:rPr>
        <w:t>Caring for Older Australians</w:t>
      </w:r>
      <w:r w:rsidR="00CE2CF7" w:rsidRPr="00672490">
        <w:rPr>
          <w:vertAlign w:val="superscript"/>
        </w:rPr>
        <w:footnoteReference w:id="3"/>
      </w:r>
      <w:r w:rsidR="00FB0696" w:rsidRPr="00672490">
        <w:rPr>
          <w:rFonts w:eastAsia="Times New Roman" w:cstheme="minorHAnsi"/>
          <w:color w:val="000000"/>
          <w:vertAlign w:val="superscript"/>
          <w:lang w:eastAsia="en-GB"/>
        </w:rPr>
        <w:t>,</w:t>
      </w:r>
      <w:r>
        <w:rPr>
          <w:rFonts w:eastAsia="Times New Roman" w:cstheme="minorHAnsi"/>
          <w:color w:val="000000"/>
          <w:lang w:eastAsia="en-GB"/>
        </w:rPr>
        <w:t xml:space="preserve"> </w:t>
      </w:r>
      <w:r w:rsidR="00FB0696">
        <w:rPr>
          <w:rFonts w:eastAsia="Times New Roman" w:cstheme="minorHAnsi"/>
          <w:color w:val="000000"/>
          <w:lang w:eastAsia="en-GB"/>
        </w:rPr>
        <w:t>the Australian Government’s move towards a market driven system</w:t>
      </w:r>
      <w:r w:rsidR="00C73C76">
        <w:rPr>
          <w:rFonts w:eastAsia="Times New Roman" w:cstheme="minorHAnsi"/>
          <w:color w:val="000000"/>
          <w:lang w:eastAsia="en-GB"/>
        </w:rPr>
        <w:t>, and the introduction of income testing arrangements.</w:t>
      </w:r>
      <w:r>
        <w:rPr>
          <w:rFonts w:eastAsia="Times New Roman" w:cstheme="minorHAnsi"/>
          <w:color w:val="000000"/>
          <w:lang w:eastAsia="en-GB"/>
        </w:rPr>
        <w:t xml:space="preserve"> </w:t>
      </w:r>
      <w:r w:rsidR="00672490">
        <w:rPr>
          <w:rFonts w:eastAsia="Times New Roman" w:cstheme="minorHAnsi"/>
          <w:color w:val="000000"/>
          <w:lang w:eastAsia="en-GB"/>
        </w:rPr>
        <w:t xml:space="preserve">We are also aware of </w:t>
      </w:r>
      <w:r w:rsidR="00672490">
        <w:rPr>
          <w:rFonts w:cstheme="minorHAnsi"/>
        </w:rPr>
        <w:t>t</w:t>
      </w:r>
      <w:r w:rsidR="00672490" w:rsidRPr="003B2DA1">
        <w:rPr>
          <w:rFonts w:cstheme="minorHAnsi"/>
        </w:rPr>
        <w:t xml:space="preserve">he recent Productivity Commission Issues Paper on </w:t>
      </w:r>
      <w:r w:rsidR="00672490" w:rsidRPr="003B2DA1">
        <w:rPr>
          <w:rFonts w:cstheme="minorHAnsi"/>
          <w:i/>
        </w:rPr>
        <w:t>Reforms to Human Services</w:t>
      </w:r>
      <w:r w:rsidR="00672490" w:rsidRPr="003B2DA1">
        <w:rPr>
          <w:rStyle w:val="FootnoteReference"/>
          <w:rFonts w:cstheme="minorHAnsi"/>
          <w:i/>
        </w:rPr>
        <w:footnoteReference w:id="4"/>
      </w:r>
      <w:r w:rsidR="00672490" w:rsidRPr="003B2DA1">
        <w:rPr>
          <w:rFonts w:cstheme="minorHAnsi"/>
          <w:i/>
        </w:rPr>
        <w:t xml:space="preserve"> </w:t>
      </w:r>
      <w:r w:rsidR="00672490" w:rsidRPr="003B2DA1">
        <w:rPr>
          <w:rFonts w:cstheme="minorHAnsi"/>
        </w:rPr>
        <w:t xml:space="preserve">and </w:t>
      </w:r>
      <w:r w:rsidR="00672490">
        <w:rPr>
          <w:rFonts w:cstheme="minorHAnsi"/>
        </w:rPr>
        <w:t>the proposal for</w:t>
      </w:r>
      <w:r w:rsidR="00672490" w:rsidRPr="003B2DA1">
        <w:rPr>
          <w:rFonts w:cstheme="minorHAnsi"/>
        </w:rPr>
        <w:t xml:space="preserve"> a tailored service to ‘bundle’ services to meet the needs of individuals with life-limiting illness. </w:t>
      </w:r>
    </w:p>
    <w:p w:rsidR="00443252" w:rsidRDefault="00672490" w:rsidP="00443252">
      <w:pPr>
        <w:shd w:val="clear" w:color="auto" w:fill="FFFFFF"/>
        <w:spacing w:before="120" w:after="0" w:line="276" w:lineRule="auto"/>
        <w:rPr>
          <w:rFonts w:cstheme="minorHAnsi"/>
        </w:rPr>
      </w:pPr>
      <w:r w:rsidRPr="00672490">
        <w:rPr>
          <w:rFonts w:eastAsia="Times New Roman" w:cstheme="minorHAnsi"/>
          <w:color w:val="000000"/>
          <w:lang w:eastAsia="en-GB"/>
        </w:rPr>
        <w:t>We believe that a model of care based on hospice @HOME would provide a viable solution to the issues raised by the Commission</w:t>
      </w:r>
      <w:r w:rsidR="00443252">
        <w:rPr>
          <w:rFonts w:eastAsia="Times New Roman" w:cstheme="minorHAnsi"/>
          <w:color w:val="000000"/>
          <w:lang w:eastAsia="en-GB"/>
        </w:rPr>
        <w:t xml:space="preserve">. Our proposed model </w:t>
      </w:r>
      <w:r w:rsidR="00443252" w:rsidRPr="00CD7B2C">
        <w:rPr>
          <w:rFonts w:cstheme="minorHAnsi"/>
        </w:rPr>
        <w:t xml:space="preserve">would </w:t>
      </w:r>
      <w:r w:rsidR="00443252">
        <w:rPr>
          <w:rFonts w:cstheme="minorHAnsi"/>
        </w:rPr>
        <w:t>be highly cost-effective, reducing reliance on the acute system, limiting</w:t>
      </w:r>
      <w:r w:rsidR="00443252" w:rsidRPr="00CD7B2C">
        <w:rPr>
          <w:rFonts w:cstheme="minorHAnsi"/>
        </w:rPr>
        <w:t xml:space="preserve"> the need for specialist care involvement in the community, building on the critical role played by GPs, and supporting families in their role as primary carers.</w:t>
      </w:r>
      <w:r w:rsidR="00443252">
        <w:rPr>
          <w:rFonts w:eastAsia="Times New Roman" w:cstheme="minorHAnsi"/>
          <w:color w:val="000000"/>
          <w:lang w:eastAsia="en-GB"/>
        </w:rPr>
        <w:t xml:space="preserve"> We </w:t>
      </w:r>
      <w:r w:rsidRPr="00672490">
        <w:rPr>
          <w:rFonts w:eastAsia="Times New Roman" w:cstheme="minorHAnsi"/>
          <w:color w:val="000000"/>
          <w:lang w:eastAsia="en-GB"/>
        </w:rPr>
        <w:t xml:space="preserve">will be making a submission to the Commission </w:t>
      </w:r>
      <w:r w:rsidR="00F600C0">
        <w:rPr>
          <w:rFonts w:cstheme="minorHAnsi"/>
        </w:rPr>
        <w:t>in response to its</w:t>
      </w:r>
      <w:r w:rsidR="00F600C0" w:rsidRPr="003B2DA1">
        <w:rPr>
          <w:rFonts w:cstheme="minorHAnsi"/>
        </w:rPr>
        <w:t xml:space="preserve"> </w:t>
      </w:r>
      <w:r w:rsidR="00F600C0" w:rsidRPr="003B2DA1">
        <w:rPr>
          <w:rFonts w:cstheme="minorHAnsi"/>
          <w:i/>
        </w:rPr>
        <w:t>Reforms to Human Services</w:t>
      </w:r>
      <w:r w:rsidR="00F600C0" w:rsidRPr="00672490">
        <w:rPr>
          <w:rFonts w:eastAsia="Times New Roman" w:cstheme="minorHAnsi"/>
          <w:color w:val="000000"/>
          <w:lang w:eastAsia="en-GB"/>
        </w:rPr>
        <w:t xml:space="preserve"> </w:t>
      </w:r>
      <w:r w:rsidR="00F600C0">
        <w:rPr>
          <w:rFonts w:eastAsia="Times New Roman" w:cstheme="minorHAnsi"/>
          <w:color w:val="000000"/>
          <w:lang w:eastAsia="en-GB"/>
        </w:rPr>
        <w:t xml:space="preserve">Issues Paper, </w:t>
      </w:r>
      <w:r w:rsidRPr="00672490">
        <w:rPr>
          <w:rFonts w:eastAsia="Times New Roman" w:cstheme="minorHAnsi"/>
          <w:color w:val="000000"/>
          <w:lang w:eastAsia="en-GB"/>
        </w:rPr>
        <w:t xml:space="preserve">expanding on </w:t>
      </w:r>
      <w:r>
        <w:rPr>
          <w:rFonts w:eastAsia="Times New Roman" w:cstheme="minorHAnsi"/>
          <w:color w:val="000000"/>
          <w:lang w:eastAsia="en-GB"/>
        </w:rPr>
        <w:t>our</w:t>
      </w:r>
      <w:r w:rsidRPr="00672490">
        <w:rPr>
          <w:rFonts w:eastAsia="Times New Roman" w:cstheme="minorHAnsi"/>
          <w:color w:val="000000"/>
          <w:lang w:eastAsia="en-GB"/>
        </w:rPr>
        <w:t xml:space="preserve"> </w:t>
      </w:r>
      <w:r>
        <w:rPr>
          <w:rFonts w:eastAsia="Times New Roman" w:cstheme="minorHAnsi"/>
          <w:color w:val="000000"/>
          <w:lang w:eastAsia="en-GB"/>
        </w:rPr>
        <w:t>ideas</w:t>
      </w:r>
      <w:r w:rsidRPr="00672490">
        <w:rPr>
          <w:rFonts w:eastAsia="Times New Roman" w:cstheme="minorHAnsi"/>
          <w:color w:val="000000"/>
          <w:lang w:eastAsia="en-GB"/>
        </w:rPr>
        <w:t xml:space="preserve"> outlined in this submission.</w:t>
      </w:r>
      <w:r w:rsidR="00443252" w:rsidRPr="00443252">
        <w:rPr>
          <w:rFonts w:cstheme="minorHAnsi"/>
        </w:rPr>
        <w:t xml:space="preserve"> </w:t>
      </w:r>
    </w:p>
    <w:p w:rsidR="001B16D8" w:rsidRDefault="00672490" w:rsidP="00443252">
      <w:pPr>
        <w:shd w:val="clear" w:color="auto" w:fill="FFFFFF"/>
        <w:spacing w:before="120" w:after="0" w:line="276" w:lineRule="auto"/>
        <w:rPr>
          <w:rFonts w:cstheme="minorHAnsi"/>
        </w:rPr>
      </w:pPr>
      <w:r w:rsidRPr="00CD7B2C">
        <w:rPr>
          <w:rFonts w:cstheme="minorHAnsi"/>
        </w:rPr>
        <w:t xml:space="preserve">We </w:t>
      </w:r>
      <w:r>
        <w:rPr>
          <w:rFonts w:cstheme="minorHAnsi"/>
        </w:rPr>
        <w:t xml:space="preserve">are keen to work with the Australian government to further develop </w:t>
      </w:r>
      <w:r w:rsidR="00F600C0">
        <w:rPr>
          <w:rFonts w:cstheme="minorHAnsi"/>
        </w:rPr>
        <w:t>a community-based end-of-life model of care a</w:t>
      </w:r>
      <w:r>
        <w:rPr>
          <w:rFonts w:cstheme="minorHAnsi"/>
        </w:rPr>
        <w:t>nd an implementation process to roll it out across Australia.</w:t>
      </w:r>
      <w:r w:rsidR="00443252" w:rsidRPr="00443252">
        <w:rPr>
          <w:rFonts w:cstheme="minorHAnsi"/>
        </w:rPr>
        <w:t xml:space="preserve"> </w:t>
      </w:r>
      <w:r w:rsidR="00443252">
        <w:rPr>
          <w:rFonts w:cstheme="minorHAnsi"/>
        </w:rPr>
        <w:t>We offer extensive knowledge gained from the hospice@HOME program, as well as our considerable passion, commitment and expertise</w:t>
      </w:r>
      <w:r w:rsidR="00F600C0">
        <w:rPr>
          <w:rFonts w:cstheme="minorHAnsi"/>
        </w:rPr>
        <w:t xml:space="preserve">, to enable this rollout to be expedited with optimal efficiency and effectiveness. We are keen to work with your government to look at costs and payment arrangements, including how </w:t>
      </w:r>
      <w:r w:rsidR="001B16D8">
        <w:rPr>
          <w:rFonts w:cstheme="minorHAnsi"/>
        </w:rPr>
        <w:t>a fair and equitable co-payment arrangement might be implemented.</w:t>
      </w:r>
      <w:r w:rsidR="00443252">
        <w:rPr>
          <w:rFonts w:cstheme="minorHAnsi"/>
        </w:rPr>
        <w:t xml:space="preserve"> </w:t>
      </w:r>
    </w:p>
    <w:p w:rsidR="00443252" w:rsidRPr="002D12EC" w:rsidRDefault="00672490" w:rsidP="002D12EC">
      <w:pPr>
        <w:shd w:val="clear" w:color="auto" w:fill="FFFFFF"/>
        <w:spacing w:before="120" w:after="0" w:line="276" w:lineRule="auto"/>
        <w:rPr>
          <w:rFonts w:cstheme="minorHAnsi"/>
        </w:rPr>
      </w:pPr>
      <w:r>
        <w:rPr>
          <w:rFonts w:cstheme="minorHAnsi"/>
        </w:rPr>
        <w:t>We look forward to further discussions with your government regarding this proposal and how we can work together to capitalise on the learnings of the hos</w:t>
      </w:r>
      <w:r w:rsidR="001B16D8">
        <w:rPr>
          <w:rFonts w:cstheme="minorHAnsi"/>
        </w:rPr>
        <w:t>pice@HOME program and implement a world class</w:t>
      </w:r>
      <w:r>
        <w:rPr>
          <w:rFonts w:cstheme="minorHAnsi"/>
        </w:rPr>
        <w:t xml:space="preserve"> end of life bundled model of care</w:t>
      </w:r>
      <w:r w:rsidR="001B16D8">
        <w:rPr>
          <w:rFonts w:cstheme="minorHAnsi"/>
        </w:rPr>
        <w:t xml:space="preserve"> across Australia</w:t>
      </w:r>
      <w:r>
        <w:rPr>
          <w:rFonts w:cstheme="minorHAnsi"/>
        </w:rPr>
        <w:t>.</w:t>
      </w:r>
      <w:r w:rsidRPr="004412AE">
        <w:rPr>
          <w:rFonts w:cstheme="minorHAnsi"/>
        </w:rPr>
        <w:t xml:space="preserve"> </w:t>
      </w:r>
    </w:p>
    <w:p w:rsidR="00935614" w:rsidRPr="005952A9" w:rsidRDefault="000F3F90" w:rsidP="00D4221A">
      <w:pPr>
        <w:pStyle w:val="Title"/>
        <w:pBdr>
          <w:bottom w:val="single" w:sz="4" w:space="1" w:color="auto"/>
        </w:pBdr>
        <w:rPr>
          <w:color w:val="2F5496" w:themeColor="accent5" w:themeShade="BF"/>
        </w:rPr>
      </w:pPr>
      <w:r w:rsidRPr="00443252">
        <w:br w:type="page"/>
      </w:r>
      <w:r w:rsidR="008757FB" w:rsidRPr="005952A9">
        <w:rPr>
          <w:color w:val="2F5496" w:themeColor="accent5" w:themeShade="BF"/>
        </w:rPr>
        <w:t>Proposal</w:t>
      </w:r>
    </w:p>
    <w:p w:rsidR="00935614" w:rsidRPr="0060337B" w:rsidRDefault="00935614" w:rsidP="00822BB1">
      <w:pPr>
        <w:spacing w:after="0" w:line="276" w:lineRule="auto"/>
        <w:rPr>
          <w:rFonts w:cstheme="minorHAnsi"/>
          <w:b/>
          <w:color w:val="C45911" w:themeColor="accent2" w:themeShade="BF"/>
          <w:sz w:val="16"/>
          <w:szCs w:val="16"/>
        </w:rPr>
      </w:pPr>
    </w:p>
    <w:p w:rsidR="002C573A" w:rsidRPr="00F14C55" w:rsidRDefault="002C573A">
      <w:pPr>
        <w:rPr>
          <w:rFonts w:cstheme="minorHAnsi"/>
          <w:b/>
          <w:i/>
          <w:color w:val="C45911" w:themeColor="accent2" w:themeShade="BF"/>
        </w:rPr>
      </w:pPr>
      <w:r w:rsidRPr="00F14C55">
        <w:rPr>
          <w:rFonts w:cstheme="minorHAnsi"/>
          <w:b/>
          <w:i/>
          <w:color w:val="C45911" w:themeColor="accent2" w:themeShade="BF"/>
        </w:rPr>
        <w:t xml:space="preserve">The District Nurses Tasmania, to work with the Australian Government to develop a </w:t>
      </w:r>
      <w:r w:rsidR="00FD20B5" w:rsidRPr="00F14C55">
        <w:rPr>
          <w:rFonts w:cstheme="minorHAnsi"/>
          <w:b/>
          <w:i/>
          <w:color w:val="C45911" w:themeColor="accent2" w:themeShade="BF"/>
        </w:rPr>
        <w:t xml:space="preserve">cost-effective and </w:t>
      </w:r>
      <w:r w:rsidRPr="00F14C55">
        <w:rPr>
          <w:rFonts w:cstheme="minorHAnsi"/>
          <w:b/>
          <w:i/>
          <w:color w:val="C45911" w:themeColor="accent2" w:themeShade="BF"/>
        </w:rPr>
        <w:t>sustainable end-of-life bundled model of care to be rolled out across Australia.</w:t>
      </w:r>
    </w:p>
    <w:p w:rsidR="002D038A" w:rsidRPr="002D038A" w:rsidRDefault="002C573A">
      <w:pPr>
        <w:rPr>
          <w:rFonts w:cstheme="minorHAnsi"/>
        </w:rPr>
      </w:pPr>
      <w:r>
        <w:rPr>
          <w:rFonts w:cstheme="minorHAnsi"/>
        </w:rPr>
        <w:t xml:space="preserve">This model will be based on the learnings from the hospice@HOME program, developed </w:t>
      </w:r>
      <w:r w:rsidR="00615FB0">
        <w:rPr>
          <w:rFonts w:cstheme="minorHAnsi"/>
        </w:rPr>
        <w:t>by The District Nurses</w:t>
      </w:r>
      <w:r w:rsidR="002D038A">
        <w:rPr>
          <w:rFonts w:cstheme="minorHAnsi"/>
        </w:rPr>
        <w:t xml:space="preserve"> </w:t>
      </w:r>
      <w:r w:rsidR="00551EE0">
        <w:rPr>
          <w:rFonts w:cstheme="minorHAnsi"/>
        </w:rPr>
        <w:t xml:space="preserve">(TDN) </w:t>
      </w:r>
      <w:r w:rsidR="002D038A">
        <w:rPr>
          <w:rFonts w:cstheme="minorHAnsi"/>
        </w:rPr>
        <w:t xml:space="preserve">Tasmania </w:t>
      </w:r>
      <w:r>
        <w:rPr>
          <w:rFonts w:cstheme="minorHAnsi"/>
        </w:rPr>
        <w:t xml:space="preserve">as part of the Better Access to Palliative Care Program over the past four years. </w:t>
      </w:r>
      <w:r w:rsidR="002D038A" w:rsidRPr="002D038A">
        <w:rPr>
          <w:rFonts w:cstheme="minorHAnsi"/>
        </w:rPr>
        <w:t>The hospice@HOME program has been demonstrated to deliver considerable savings to the healthcare system, while providing a quality end-of-life experience for clients</w:t>
      </w:r>
      <w:r w:rsidR="0009221F">
        <w:rPr>
          <w:rFonts w:cstheme="minorHAnsi"/>
        </w:rPr>
        <w:t xml:space="preserve"> and carers</w:t>
      </w:r>
      <w:r w:rsidR="002D038A" w:rsidRPr="002D038A">
        <w:rPr>
          <w:rFonts w:cstheme="minorHAnsi"/>
        </w:rPr>
        <w:t xml:space="preserve">. </w:t>
      </w:r>
    </w:p>
    <w:p w:rsidR="002B3668" w:rsidRDefault="002C573A">
      <w:pPr>
        <w:rPr>
          <w:rFonts w:cstheme="minorHAnsi"/>
        </w:rPr>
      </w:pPr>
      <w:r>
        <w:rPr>
          <w:rFonts w:cstheme="minorHAnsi"/>
        </w:rPr>
        <w:t xml:space="preserve">As per the Productivity Commission’s </w:t>
      </w:r>
      <w:r w:rsidR="00351D8F">
        <w:rPr>
          <w:rFonts w:cstheme="minorHAnsi"/>
        </w:rPr>
        <w:t xml:space="preserve">Issues Paper on </w:t>
      </w:r>
      <w:r w:rsidR="00351D8F" w:rsidRPr="00351D8F">
        <w:rPr>
          <w:rFonts w:cstheme="minorHAnsi"/>
          <w:i/>
        </w:rPr>
        <w:t>Reforms to Human Services</w:t>
      </w:r>
      <w:r w:rsidR="003F0F17">
        <w:rPr>
          <w:rStyle w:val="FootnoteReference"/>
          <w:rFonts w:cstheme="minorHAnsi"/>
          <w:i/>
        </w:rPr>
        <w:footnoteReference w:id="5"/>
      </w:r>
      <w:r w:rsidR="00351D8F">
        <w:rPr>
          <w:rFonts w:cstheme="minorHAnsi"/>
        </w:rPr>
        <w:t xml:space="preserve">, </w:t>
      </w:r>
      <w:r w:rsidR="00B645A0">
        <w:rPr>
          <w:rFonts w:cstheme="minorHAnsi"/>
        </w:rPr>
        <w:t>our</w:t>
      </w:r>
      <w:r w:rsidR="005E3087">
        <w:rPr>
          <w:rFonts w:cstheme="minorHAnsi"/>
        </w:rPr>
        <w:t xml:space="preserve"> proposed</w:t>
      </w:r>
      <w:r w:rsidR="00351D8F">
        <w:rPr>
          <w:rFonts w:cstheme="minorHAnsi"/>
        </w:rPr>
        <w:t xml:space="preserve"> model will enhance potential for</w:t>
      </w:r>
      <w:r>
        <w:rPr>
          <w:rFonts w:cstheme="minorHAnsi"/>
        </w:rPr>
        <w:t xml:space="preserve"> ‘greater competition, contestability and user choice in end-of-life care</w:t>
      </w:r>
      <w:r w:rsidR="00351D8F">
        <w:rPr>
          <w:rFonts w:cstheme="minorHAnsi"/>
        </w:rPr>
        <w:t>.’</w:t>
      </w:r>
      <w:r w:rsidR="005E3087">
        <w:rPr>
          <w:rFonts w:cstheme="minorHAnsi"/>
        </w:rPr>
        <w:t xml:space="preserve"> It </w:t>
      </w:r>
      <w:r w:rsidR="002973B8">
        <w:rPr>
          <w:rFonts w:cstheme="minorHAnsi"/>
        </w:rPr>
        <w:t>will</w:t>
      </w:r>
      <w:r w:rsidR="002B3668">
        <w:rPr>
          <w:rFonts w:cstheme="minorHAnsi"/>
        </w:rPr>
        <w:t>:</w:t>
      </w:r>
    </w:p>
    <w:p w:rsidR="00355D28" w:rsidRDefault="002973B8" w:rsidP="00312C9B">
      <w:pPr>
        <w:pStyle w:val="ListParagraph"/>
        <w:numPr>
          <w:ilvl w:val="0"/>
          <w:numId w:val="24"/>
        </w:numPr>
        <w:spacing w:after="120"/>
        <w:ind w:left="714" w:hanging="357"/>
        <w:contextualSpacing w:val="0"/>
        <w:rPr>
          <w:rFonts w:cstheme="minorHAnsi"/>
        </w:rPr>
      </w:pPr>
      <w:r w:rsidRPr="002B3668">
        <w:rPr>
          <w:rFonts w:cstheme="minorHAnsi"/>
        </w:rPr>
        <w:t xml:space="preserve">sit outside the traditional aged care, tertiary </w:t>
      </w:r>
      <w:r w:rsidR="007B7436">
        <w:rPr>
          <w:rFonts w:cstheme="minorHAnsi"/>
        </w:rPr>
        <w:t xml:space="preserve">health, primary health or community care systems but will </w:t>
      </w:r>
      <w:r w:rsidRPr="002B3668">
        <w:rPr>
          <w:rFonts w:cstheme="minorHAnsi"/>
        </w:rPr>
        <w:t>coordinate end-of-life services across these systems</w:t>
      </w:r>
    </w:p>
    <w:p w:rsidR="002B3668" w:rsidRDefault="00355D28" w:rsidP="00312C9B">
      <w:pPr>
        <w:pStyle w:val="ListParagraph"/>
        <w:numPr>
          <w:ilvl w:val="0"/>
          <w:numId w:val="24"/>
        </w:numPr>
        <w:spacing w:after="120"/>
        <w:ind w:left="714" w:hanging="357"/>
        <w:contextualSpacing w:val="0"/>
        <w:rPr>
          <w:rFonts w:cstheme="minorHAnsi"/>
        </w:rPr>
      </w:pPr>
      <w:r>
        <w:rPr>
          <w:rFonts w:cstheme="minorHAnsi"/>
        </w:rPr>
        <w:t xml:space="preserve">support </w:t>
      </w:r>
      <w:r w:rsidR="00FD20B5">
        <w:rPr>
          <w:rFonts w:cstheme="minorHAnsi"/>
        </w:rPr>
        <w:t xml:space="preserve">clients to navigate </w:t>
      </w:r>
      <w:r>
        <w:rPr>
          <w:rFonts w:cstheme="minorHAnsi"/>
        </w:rPr>
        <w:t>through systems and services</w:t>
      </w:r>
      <w:r w:rsidR="00FD20B5">
        <w:rPr>
          <w:rFonts w:cstheme="minorHAnsi"/>
        </w:rPr>
        <w:t xml:space="preserve"> towards their </w:t>
      </w:r>
      <w:r w:rsidR="007B7436">
        <w:rPr>
          <w:rFonts w:cstheme="minorHAnsi"/>
        </w:rPr>
        <w:t>preferred</w:t>
      </w:r>
      <w:r w:rsidR="00FD20B5">
        <w:rPr>
          <w:rFonts w:cstheme="minorHAnsi"/>
        </w:rPr>
        <w:t xml:space="preserve"> place and circumstances of death</w:t>
      </w:r>
    </w:p>
    <w:p w:rsidR="007B7436" w:rsidRDefault="007B7436" w:rsidP="00312C9B">
      <w:pPr>
        <w:pStyle w:val="ListParagraph"/>
        <w:numPr>
          <w:ilvl w:val="0"/>
          <w:numId w:val="24"/>
        </w:numPr>
        <w:spacing w:after="120"/>
        <w:ind w:left="714" w:hanging="357"/>
        <w:contextualSpacing w:val="0"/>
        <w:rPr>
          <w:rFonts w:cstheme="minorHAnsi"/>
        </w:rPr>
      </w:pPr>
      <w:r>
        <w:rPr>
          <w:rFonts w:cstheme="minorHAnsi"/>
        </w:rPr>
        <w:t>provide a rapid response with no, or minimal waiting times for clients with complex end-of-life needs and their carers</w:t>
      </w:r>
    </w:p>
    <w:p w:rsidR="002B3668" w:rsidRDefault="00351D8F" w:rsidP="00312C9B">
      <w:pPr>
        <w:pStyle w:val="ListParagraph"/>
        <w:numPr>
          <w:ilvl w:val="0"/>
          <w:numId w:val="24"/>
        </w:numPr>
        <w:spacing w:after="120"/>
        <w:ind w:left="714" w:hanging="357"/>
        <w:contextualSpacing w:val="0"/>
        <w:rPr>
          <w:rFonts w:cstheme="minorHAnsi"/>
        </w:rPr>
      </w:pPr>
      <w:r w:rsidRPr="002B3668">
        <w:rPr>
          <w:rFonts w:cstheme="minorHAnsi"/>
        </w:rPr>
        <w:t xml:space="preserve">cater for clients of </w:t>
      </w:r>
      <w:r w:rsidR="0014471B" w:rsidRPr="002B3668">
        <w:rPr>
          <w:rFonts w:cstheme="minorHAnsi"/>
        </w:rPr>
        <w:t xml:space="preserve">all ages who are suffering from a life-limiting illness, providing them with a tailored bundle of care to suit their </w:t>
      </w:r>
      <w:r w:rsidR="007B7436">
        <w:rPr>
          <w:rFonts w:cstheme="minorHAnsi"/>
        </w:rPr>
        <w:t>particular</w:t>
      </w:r>
      <w:r w:rsidR="0014471B" w:rsidRPr="002B3668">
        <w:rPr>
          <w:rFonts w:cstheme="minorHAnsi"/>
        </w:rPr>
        <w:t xml:space="preserve"> needs</w:t>
      </w:r>
    </w:p>
    <w:p w:rsidR="00351D8F" w:rsidRDefault="002B3668" w:rsidP="00312C9B">
      <w:pPr>
        <w:pStyle w:val="ListParagraph"/>
        <w:numPr>
          <w:ilvl w:val="0"/>
          <w:numId w:val="24"/>
        </w:numPr>
        <w:spacing w:after="120"/>
        <w:ind w:left="714" w:hanging="357"/>
        <w:contextualSpacing w:val="0"/>
        <w:rPr>
          <w:rFonts w:cstheme="minorHAnsi"/>
        </w:rPr>
      </w:pPr>
      <w:r>
        <w:rPr>
          <w:rFonts w:cstheme="minorHAnsi"/>
        </w:rPr>
        <w:t>ensure c</w:t>
      </w:r>
      <w:r w:rsidR="00FF07AA" w:rsidRPr="002B3668">
        <w:rPr>
          <w:rFonts w:cstheme="minorHAnsi"/>
        </w:rPr>
        <w:t xml:space="preserve">lients and their carers </w:t>
      </w:r>
      <w:r w:rsidRPr="002B3668">
        <w:rPr>
          <w:rFonts w:cstheme="minorHAnsi"/>
        </w:rPr>
        <w:t xml:space="preserve">remain at the centre of service provision and </w:t>
      </w:r>
      <w:r>
        <w:rPr>
          <w:rFonts w:cstheme="minorHAnsi"/>
        </w:rPr>
        <w:t>are</w:t>
      </w:r>
      <w:r w:rsidRPr="002B3668">
        <w:rPr>
          <w:rFonts w:cstheme="minorHAnsi"/>
        </w:rPr>
        <w:t xml:space="preserve"> provided with the support they need to navigate the system and procure the services they want</w:t>
      </w:r>
    </w:p>
    <w:p w:rsidR="002B3668" w:rsidRDefault="002B3668" w:rsidP="00312C9B">
      <w:pPr>
        <w:pStyle w:val="ListParagraph"/>
        <w:numPr>
          <w:ilvl w:val="0"/>
          <w:numId w:val="24"/>
        </w:numPr>
        <w:spacing w:after="120"/>
        <w:ind w:left="714" w:hanging="357"/>
        <w:contextualSpacing w:val="0"/>
        <w:rPr>
          <w:rFonts w:cstheme="minorHAnsi"/>
        </w:rPr>
      </w:pPr>
      <w:r>
        <w:rPr>
          <w:rFonts w:cstheme="minorHAnsi"/>
        </w:rPr>
        <w:t xml:space="preserve">offer users greater choice of services and providers, consistently and equitably across regional and state boundaries, and independent of </w:t>
      </w:r>
      <w:r w:rsidR="0021242F">
        <w:rPr>
          <w:rFonts w:cstheme="minorHAnsi"/>
        </w:rPr>
        <w:t>any social or economic parameters</w:t>
      </w:r>
    </w:p>
    <w:p w:rsidR="0021242F" w:rsidRDefault="0021242F" w:rsidP="00312C9B">
      <w:pPr>
        <w:pStyle w:val="ListParagraph"/>
        <w:numPr>
          <w:ilvl w:val="0"/>
          <w:numId w:val="24"/>
        </w:numPr>
        <w:spacing w:after="120"/>
        <w:ind w:left="714" w:hanging="357"/>
        <w:contextualSpacing w:val="0"/>
        <w:rPr>
          <w:rFonts w:cstheme="minorHAnsi"/>
        </w:rPr>
      </w:pPr>
      <w:r>
        <w:rPr>
          <w:rFonts w:cstheme="minorHAnsi"/>
        </w:rPr>
        <w:t xml:space="preserve">support the development of expertise in </w:t>
      </w:r>
      <w:r w:rsidR="00EC0DE7">
        <w:rPr>
          <w:rFonts w:cstheme="minorHAnsi"/>
        </w:rPr>
        <w:t>end-of-life</w:t>
      </w:r>
      <w:r>
        <w:rPr>
          <w:rFonts w:cstheme="minorHAnsi"/>
        </w:rPr>
        <w:t xml:space="preserve"> care both in new services and </w:t>
      </w:r>
      <w:r w:rsidR="00EC0DE7">
        <w:rPr>
          <w:rFonts w:cstheme="minorHAnsi"/>
        </w:rPr>
        <w:t xml:space="preserve">in </w:t>
      </w:r>
      <w:r>
        <w:rPr>
          <w:rFonts w:cstheme="minorHAnsi"/>
        </w:rPr>
        <w:t>existing services, thus increasing competition and contestability</w:t>
      </w:r>
    </w:p>
    <w:p w:rsidR="0021242F" w:rsidRDefault="0021242F" w:rsidP="00312C9B">
      <w:pPr>
        <w:pStyle w:val="ListParagraph"/>
        <w:numPr>
          <w:ilvl w:val="0"/>
          <w:numId w:val="24"/>
        </w:numPr>
        <w:spacing w:after="120"/>
        <w:ind w:left="714" w:hanging="357"/>
        <w:contextualSpacing w:val="0"/>
        <w:rPr>
          <w:rFonts w:cstheme="minorHAnsi"/>
        </w:rPr>
      </w:pPr>
      <w:r>
        <w:rPr>
          <w:rFonts w:cstheme="minorHAnsi"/>
        </w:rPr>
        <w:t xml:space="preserve">provide a </w:t>
      </w:r>
      <w:r w:rsidR="00FD20B5">
        <w:rPr>
          <w:rFonts w:cstheme="minorHAnsi"/>
        </w:rPr>
        <w:t xml:space="preserve">comprehensive </w:t>
      </w:r>
      <w:r>
        <w:rPr>
          <w:rFonts w:cstheme="minorHAnsi"/>
        </w:rPr>
        <w:t xml:space="preserve">range of care and support services that </w:t>
      </w:r>
      <w:r w:rsidR="00FD20B5">
        <w:rPr>
          <w:rFonts w:cstheme="minorHAnsi"/>
        </w:rPr>
        <w:t xml:space="preserve">are evidence-based and </w:t>
      </w:r>
      <w:r>
        <w:rPr>
          <w:rFonts w:cstheme="minorHAnsi"/>
        </w:rPr>
        <w:t>have been well-received by end-of-life clients and their carers</w:t>
      </w:r>
    </w:p>
    <w:p w:rsidR="00EC0DE7" w:rsidRDefault="00EC0DE7" w:rsidP="00312C9B">
      <w:pPr>
        <w:pStyle w:val="ListParagraph"/>
        <w:numPr>
          <w:ilvl w:val="0"/>
          <w:numId w:val="24"/>
        </w:numPr>
        <w:spacing w:after="120"/>
        <w:ind w:left="714" w:hanging="357"/>
        <w:contextualSpacing w:val="0"/>
        <w:rPr>
          <w:rFonts w:cstheme="minorHAnsi"/>
        </w:rPr>
      </w:pPr>
      <w:r>
        <w:rPr>
          <w:rFonts w:cstheme="minorHAnsi"/>
        </w:rPr>
        <w:t xml:space="preserve">inform clients about end-of-life care options and promote </w:t>
      </w:r>
      <w:r w:rsidR="00627508">
        <w:rPr>
          <w:rFonts w:cstheme="minorHAnsi"/>
        </w:rPr>
        <w:t>the use of advance care plans by all clients</w:t>
      </w:r>
    </w:p>
    <w:p w:rsidR="00DD150E" w:rsidRDefault="00DD150E" w:rsidP="00312C9B">
      <w:pPr>
        <w:pStyle w:val="ListParagraph"/>
        <w:numPr>
          <w:ilvl w:val="0"/>
          <w:numId w:val="24"/>
        </w:numPr>
        <w:spacing w:after="120"/>
        <w:ind w:left="714" w:hanging="357"/>
        <w:contextualSpacing w:val="0"/>
        <w:rPr>
          <w:rFonts w:cstheme="minorHAnsi"/>
        </w:rPr>
      </w:pPr>
      <w:r>
        <w:rPr>
          <w:rFonts w:cstheme="minorHAnsi"/>
        </w:rPr>
        <w:t>acknowledge and support clients’ informal care networks</w:t>
      </w:r>
    </w:p>
    <w:p w:rsidR="00A9143D" w:rsidRDefault="004641E7" w:rsidP="00312C9B">
      <w:pPr>
        <w:pStyle w:val="ListParagraph"/>
        <w:numPr>
          <w:ilvl w:val="0"/>
          <w:numId w:val="24"/>
        </w:numPr>
        <w:spacing w:after="120"/>
        <w:ind w:left="714" w:hanging="357"/>
        <w:contextualSpacing w:val="0"/>
        <w:rPr>
          <w:rFonts w:cstheme="minorHAnsi"/>
        </w:rPr>
      </w:pPr>
      <w:r>
        <w:rPr>
          <w:rFonts w:cstheme="minorHAnsi"/>
        </w:rPr>
        <w:t>entail an appropriate co-payment/financial input from clients</w:t>
      </w:r>
    </w:p>
    <w:p w:rsidR="004641E7" w:rsidRDefault="00A9143D" w:rsidP="00312C9B">
      <w:pPr>
        <w:pStyle w:val="ListParagraph"/>
        <w:numPr>
          <w:ilvl w:val="0"/>
          <w:numId w:val="24"/>
        </w:numPr>
        <w:spacing w:after="120"/>
        <w:ind w:left="714" w:hanging="357"/>
        <w:contextualSpacing w:val="0"/>
        <w:rPr>
          <w:rFonts w:cstheme="minorHAnsi"/>
        </w:rPr>
      </w:pPr>
      <w:r>
        <w:rPr>
          <w:rFonts w:cstheme="minorHAnsi"/>
        </w:rPr>
        <w:t>require a</w:t>
      </w:r>
      <w:r w:rsidR="007951C8">
        <w:rPr>
          <w:rFonts w:cstheme="minorHAnsi"/>
        </w:rPr>
        <w:t xml:space="preserve"> process to procure the services of appropriate </w:t>
      </w:r>
      <w:r>
        <w:rPr>
          <w:rFonts w:cstheme="minorHAnsi"/>
        </w:rPr>
        <w:t>fund-holding organisation</w:t>
      </w:r>
      <w:r w:rsidR="007951C8">
        <w:rPr>
          <w:rFonts w:cstheme="minorHAnsi"/>
        </w:rPr>
        <w:t>s</w:t>
      </w:r>
      <w:r>
        <w:rPr>
          <w:rFonts w:cstheme="minorHAnsi"/>
        </w:rPr>
        <w:t xml:space="preserve"> </w:t>
      </w:r>
      <w:r w:rsidR="007951C8">
        <w:rPr>
          <w:rFonts w:cstheme="minorHAnsi"/>
        </w:rPr>
        <w:t>across Australia</w:t>
      </w:r>
      <w:r w:rsidR="009878C2">
        <w:rPr>
          <w:rFonts w:cstheme="minorHAnsi"/>
        </w:rPr>
        <w:t xml:space="preserve"> </w:t>
      </w:r>
      <w:r>
        <w:rPr>
          <w:rFonts w:cstheme="minorHAnsi"/>
        </w:rPr>
        <w:t>to manage care coordination and system navigation on behalf of clients</w:t>
      </w:r>
      <w:r w:rsidR="004641E7">
        <w:rPr>
          <w:rFonts w:cstheme="minorHAnsi"/>
        </w:rPr>
        <w:t>.</w:t>
      </w:r>
    </w:p>
    <w:p w:rsidR="005673DD" w:rsidRPr="005673DD" w:rsidRDefault="005F119F" w:rsidP="005673DD">
      <w:pPr>
        <w:spacing w:after="120"/>
        <w:rPr>
          <w:rFonts w:cstheme="minorHAnsi"/>
        </w:rPr>
      </w:pPr>
      <w:r>
        <w:rPr>
          <w:rFonts w:cstheme="minorHAnsi"/>
        </w:rPr>
        <w:t xml:space="preserve">While </w:t>
      </w:r>
      <w:r w:rsidR="003F2A6A">
        <w:rPr>
          <w:rFonts w:cstheme="minorHAnsi"/>
        </w:rPr>
        <w:t xml:space="preserve">referrals for an end-of-life bundled care package will be channelled from various sources including self-referral, </w:t>
      </w:r>
      <w:r w:rsidR="0009221F">
        <w:rPr>
          <w:rFonts w:cstheme="minorHAnsi"/>
        </w:rPr>
        <w:t>General Practitioners (</w:t>
      </w:r>
      <w:r w:rsidR="003F2A6A">
        <w:rPr>
          <w:rFonts w:cstheme="minorHAnsi"/>
        </w:rPr>
        <w:t>GPs</w:t>
      </w:r>
      <w:r w:rsidR="0009221F">
        <w:rPr>
          <w:rFonts w:cstheme="minorHAnsi"/>
        </w:rPr>
        <w:t>)</w:t>
      </w:r>
      <w:r w:rsidR="003F2A6A">
        <w:rPr>
          <w:rFonts w:cstheme="minorHAnsi"/>
        </w:rPr>
        <w:t xml:space="preserve"> will be required to confirm eligibility (</w:t>
      </w:r>
      <w:r w:rsidR="00CD4446">
        <w:rPr>
          <w:rFonts w:cstheme="minorHAnsi"/>
        </w:rPr>
        <w:t>i.e.</w:t>
      </w:r>
      <w:r w:rsidR="003F2A6A">
        <w:rPr>
          <w:rFonts w:cstheme="minorHAnsi"/>
        </w:rPr>
        <w:t xml:space="preserve"> that they would not be surprised if the client dies within 12 months). </w:t>
      </w:r>
      <w:r w:rsidR="00DF5CA3">
        <w:rPr>
          <w:rFonts w:cstheme="minorHAnsi"/>
        </w:rPr>
        <w:t xml:space="preserve">GPs will also be the clinical lead in decisions regarding care and will be responsible for developing a ‘Goals of Care’ plan with the client – the </w:t>
      </w:r>
      <w:r w:rsidR="00036E7C">
        <w:rPr>
          <w:rFonts w:cstheme="minorHAnsi"/>
        </w:rPr>
        <w:t>client’s wishes to be paramount at all times.</w:t>
      </w:r>
    </w:p>
    <w:p w:rsidR="00A200F9" w:rsidRDefault="00A200F9">
      <w:pPr>
        <w:rPr>
          <w:rFonts w:cstheme="minorHAnsi"/>
          <w:b/>
          <w:color w:val="C45911" w:themeColor="accent2" w:themeShade="BF"/>
          <w:sz w:val="28"/>
          <w:szCs w:val="28"/>
        </w:rPr>
      </w:pPr>
      <w:r>
        <w:rPr>
          <w:rFonts w:cstheme="minorHAnsi"/>
          <w:b/>
          <w:color w:val="C45911" w:themeColor="accent2" w:themeShade="BF"/>
          <w:sz w:val="28"/>
          <w:szCs w:val="28"/>
        </w:rPr>
        <w:br w:type="page"/>
      </w:r>
    </w:p>
    <w:p w:rsidR="00DF5CA3" w:rsidRPr="00F14C55" w:rsidRDefault="00DF5CA3" w:rsidP="004641E7">
      <w:pPr>
        <w:rPr>
          <w:rFonts w:cstheme="minorHAnsi"/>
          <w:b/>
          <w:color w:val="C45911" w:themeColor="accent2" w:themeShade="BF"/>
          <w:sz w:val="28"/>
          <w:szCs w:val="28"/>
        </w:rPr>
      </w:pPr>
      <w:r w:rsidRPr="00F14C55">
        <w:rPr>
          <w:rFonts w:cstheme="minorHAnsi"/>
          <w:b/>
          <w:color w:val="C45911" w:themeColor="accent2" w:themeShade="BF"/>
          <w:sz w:val="28"/>
          <w:szCs w:val="28"/>
        </w:rPr>
        <w:t>Development of the End-of-life model</w:t>
      </w:r>
    </w:p>
    <w:p w:rsidR="00FD20B5" w:rsidRDefault="004641E7" w:rsidP="004641E7">
      <w:pPr>
        <w:rPr>
          <w:rFonts w:cstheme="minorHAnsi"/>
        </w:rPr>
      </w:pPr>
      <w:r>
        <w:rPr>
          <w:rFonts w:cstheme="minorHAnsi"/>
        </w:rPr>
        <w:t>Th</w:t>
      </w:r>
      <w:r w:rsidR="009878C2">
        <w:rPr>
          <w:rFonts w:cstheme="minorHAnsi"/>
        </w:rPr>
        <w:t>e model will be developed in three</w:t>
      </w:r>
      <w:r>
        <w:rPr>
          <w:rFonts w:cstheme="minorHAnsi"/>
        </w:rPr>
        <w:t xml:space="preserve"> phases: </w:t>
      </w:r>
    </w:p>
    <w:p w:rsidR="004641E7" w:rsidRPr="00F14C55" w:rsidRDefault="005673DD" w:rsidP="005673DD">
      <w:pPr>
        <w:rPr>
          <w:rFonts w:cstheme="minorHAnsi"/>
          <w:b/>
          <w:i/>
          <w:color w:val="C45911" w:themeColor="accent2" w:themeShade="BF"/>
          <w:sz w:val="24"/>
          <w:szCs w:val="24"/>
        </w:rPr>
      </w:pPr>
      <w:r w:rsidRPr="00F14C55">
        <w:rPr>
          <w:rFonts w:cstheme="minorHAnsi"/>
          <w:b/>
          <w:i/>
          <w:color w:val="C45911" w:themeColor="accent2" w:themeShade="BF"/>
          <w:sz w:val="24"/>
          <w:szCs w:val="24"/>
        </w:rPr>
        <w:t>Phase 1: July 2017-June 2018</w:t>
      </w:r>
    </w:p>
    <w:p w:rsidR="002C573A" w:rsidRDefault="00D72D85" w:rsidP="00B0120E">
      <w:pPr>
        <w:pStyle w:val="ListParagraph"/>
        <w:numPr>
          <w:ilvl w:val="0"/>
          <w:numId w:val="26"/>
        </w:numPr>
        <w:ind w:left="714" w:hanging="357"/>
        <w:contextualSpacing w:val="0"/>
        <w:rPr>
          <w:rFonts w:cstheme="minorHAnsi"/>
        </w:rPr>
      </w:pPr>
      <w:r w:rsidRPr="00D72D85">
        <w:rPr>
          <w:rFonts w:cstheme="minorHAnsi"/>
        </w:rPr>
        <w:t>Based on the learnings from the hospice@HOME program</w:t>
      </w:r>
      <w:r w:rsidR="00EC0DE7">
        <w:rPr>
          <w:rFonts w:cstheme="minorHAnsi"/>
        </w:rPr>
        <w:t xml:space="preserve"> and in discussion with the Australian Government</w:t>
      </w:r>
      <w:r w:rsidRPr="00D72D85">
        <w:rPr>
          <w:rFonts w:cstheme="minorHAnsi"/>
        </w:rPr>
        <w:t>, TDN will continue to develop an evidence-based end-of-life bundled model of care</w:t>
      </w:r>
      <w:r>
        <w:rPr>
          <w:rFonts w:cstheme="minorHAnsi"/>
        </w:rPr>
        <w:t>, to include a comprehensive set of policies, procedures and protocols; training packages; model service contracts; staffing, IT and infrastructure requirements; and navigation/coordination mechanisms.</w:t>
      </w:r>
    </w:p>
    <w:p w:rsidR="00B0120E" w:rsidRPr="00C42566" w:rsidRDefault="00B0120E" w:rsidP="00B0120E">
      <w:pPr>
        <w:spacing w:before="120" w:after="120" w:line="240" w:lineRule="auto"/>
        <w:ind w:left="714"/>
        <w:rPr>
          <w:rFonts w:cstheme="minorHAnsi"/>
          <w:color w:val="2F5496" w:themeColor="accent5" w:themeShade="BF"/>
        </w:rPr>
      </w:pPr>
      <w:r w:rsidRPr="00C42566">
        <w:rPr>
          <w:rFonts w:cstheme="minorHAnsi"/>
          <w:color w:val="2F5496" w:themeColor="accent5" w:themeShade="BF"/>
        </w:rPr>
        <w:t xml:space="preserve">Cost: </w:t>
      </w:r>
      <w:r w:rsidR="00FA36A6" w:rsidRPr="00C42566">
        <w:rPr>
          <w:rFonts w:cstheme="minorHAnsi"/>
          <w:color w:val="2F5496" w:themeColor="accent5" w:themeShade="BF"/>
        </w:rPr>
        <w:t>$2</w:t>
      </w:r>
      <w:r w:rsidR="00575206" w:rsidRPr="00C42566">
        <w:rPr>
          <w:rFonts w:cstheme="minorHAnsi"/>
          <w:color w:val="2F5496" w:themeColor="accent5" w:themeShade="BF"/>
        </w:rPr>
        <w:t>5</w:t>
      </w:r>
      <w:r w:rsidR="00FA36A6" w:rsidRPr="00C42566">
        <w:rPr>
          <w:rFonts w:cstheme="minorHAnsi"/>
          <w:color w:val="2F5496" w:themeColor="accent5" w:themeShade="BF"/>
        </w:rPr>
        <w:t>0,000</w:t>
      </w:r>
    </w:p>
    <w:p w:rsidR="00355D28" w:rsidRPr="002C546C" w:rsidRDefault="00355D28" w:rsidP="00B0120E">
      <w:pPr>
        <w:spacing w:before="120" w:after="120" w:line="240" w:lineRule="auto"/>
        <w:ind w:left="714"/>
        <w:rPr>
          <w:rFonts w:cstheme="minorHAnsi"/>
          <w:b/>
          <w:color w:val="2F5496" w:themeColor="accent5" w:themeShade="BF"/>
        </w:rPr>
      </w:pPr>
    </w:p>
    <w:p w:rsidR="00D72D85" w:rsidRPr="00D72D85" w:rsidRDefault="00D72D85" w:rsidP="002C546C">
      <w:pPr>
        <w:pStyle w:val="ListParagraph"/>
        <w:numPr>
          <w:ilvl w:val="0"/>
          <w:numId w:val="26"/>
        </w:numPr>
        <w:rPr>
          <w:rFonts w:cstheme="minorHAnsi"/>
        </w:rPr>
      </w:pPr>
      <w:r>
        <w:rPr>
          <w:rFonts w:cstheme="minorHAnsi"/>
        </w:rPr>
        <w:t xml:space="preserve">hospice@HOME packages will continue to be provided </w:t>
      </w:r>
      <w:r w:rsidR="00E43906">
        <w:rPr>
          <w:rFonts w:cstheme="minorHAnsi"/>
        </w:rPr>
        <w:t xml:space="preserve">in Tasmania </w:t>
      </w:r>
      <w:r>
        <w:rPr>
          <w:rFonts w:cstheme="minorHAnsi"/>
        </w:rPr>
        <w:t>up to a limit of 1,000 packages.</w:t>
      </w:r>
    </w:p>
    <w:p w:rsidR="00B0120E" w:rsidRPr="00C42566" w:rsidRDefault="00B0120E" w:rsidP="00B0120E">
      <w:pPr>
        <w:spacing w:before="120" w:after="120" w:line="240" w:lineRule="auto"/>
        <w:ind w:left="720"/>
        <w:rPr>
          <w:rFonts w:cstheme="minorHAnsi"/>
          <w:color w:val="2F5496" w:themeColor="accent5" w:themeShade="BF"/>
        </w:rPr>
      </w:pPr>
      <w:r w:rsidRPr="00C42566">
        <w:rPr>
          <w:rFonts w:cstheme="minorHAnsi"/>
          <w:color w:val="2F5496" w:themeColor="accent5" w:themeShade="BF"/>
        </w:rPr>
        <w:t>Cost: 1,000 packages @ $2,890 per package, or $2.89 million per annum</w:t>
      </w:r>
      <w:r w:rsidRPr="00C42566">
        <w:rPr>
          <w:vertAlign w:val="superscript"/>
        </w:rPr>
        <w:footnoteReference w:id="6"/>
      </w:r>
    </w:p>
    <w:p w:rsidR="00B0120E" w:rsidRPr="00B0120E" w:rsidRDefault="00B0120E" w:rsidP="00C42566">
      <w:pPr>
        <w:spacing w:before="240" w:after="120" w:line="240" w:lineRule="auto"/>
        <w:ind w:left="720"/>
        <w:rPr>
          <w:rFonts w:cstheme="minorHAnsi"/>
          <w:b/>
          <w:color w:val="2F5496" w:themeColor="accent5" w:themeShade="BF"/>
        </w:rPr>
      </w:pPr>
      <w:r w:rsidRPr="00B0120E">
        <w:rPr>
          <w:rFonts w:cstheme="minorHAnsi"/>
          <w:b/>
          <w:color w:val="2F5496" w:themeColor="accent5" w:themeShade="BF"/>
        </w:rPr>
        <w:t>Total cost, Phase 1:</w:t>
      </w:r>
      <w:r w:rsidR="00FA36A6">
        <w:rPr>
          <w:rFonts w:cstheme="minorHAnsi"/>
          <w:b/>
          <w:color w:val="2F5496" w:themeColor="accent5" w:themeShade="BF"/>
        </w:rPr>
        <w:t xml:space="preserve"> $3.</w:t>
      </w:r>
      <w:r w:rsidR="00575206">
        <w:rPr>
          <w:rFonts w:cstheme="minorHAnsi"/>
          <w:b/>
          <w:color w:val="2F5496" w:themeColor="accent5" w:themeShade="BF"/>
        </w:rPr>
        <w:t>14</w:t>
      </w:r>
      <w:r w:rsidR="00FA36A6">
        <w:rPr>
          <w:rFonts w:cstheme="minorHAnsi"/>
          <w:b/>
          <w:color w:val="2F5496" w:themeColor="accent5" w:themeShade="BF"/>
        </w:rPr>
        <w:t xml:space="preserve"> million</w:t>
      </w:r>
      <w:r w:rsidR="00C42566">
        <w:rPr>
          <w:rFonts w:cstheme="minorHAnsi"/>
          <w:b/>
          <w:color w:val="2F5496" w:themeColor="accent5" w:themeShade="BF"/>
        </w:rPr>
        <w:t>.</w:t>
      </w:r>
    </w:p>
    <w:p w:rsidR="00EC0DE7" w:rsidRDefault="00EC0DE7" w:rsidP="00B0120E">
      <w:pPr>
        <w:rPr>
          <w:rFonts w:cstheme="minorHAnsi"/>
          <w:b/>
          <w:i/>
          <w:color w:val="2F5496" w:themeColor="accent5" w:themeShade="BF"/>
          <w:sz w:val="24"/>
          <w:szCs w:val="24"/>
        </w:rPr>
      </w:pPr>
    </w:p>
    <w:p w:rsidR="00B0120E" w:rsidRPr="002C546C" w:rsidRDefault="00B0120E" w:rsidP="00B0120E">
      <w:pPr>
        <w:rPr>
          <w:rFonts w:cstheme="minorHAnsi"/>
          <w:b/>
          <w:i/>
          <w:color w:val="C45911" w:themeColor="accent2" w:themeShade="BF"/>
          <w:sz w:val="24"/>
          <w:szCs w:val="24"/>
        </w:rPr>
      </w:pPr>
      <w:r w:rsidRPr="002C546C">
        <w:rPr>
          <w:rFonts w:cstheme="minorHAnsi"/>
          <w:b/>
          <w:i/>
          <w:color w:val="C45911" w:themeColor="accent2" w:themeShade="BF"/>
          <w:sz w:val="24"/>
          <w:szCs w:val="24"/>
        </w:rPr>
        <w:t>Phase 2: July 2018-June 2019</w:t>
      </w:r>
    </w:p>
    <w:p w:rsidR="00B0120E" w:rsidRDefault="00C973D9" w:rsidP="00EC0DE7">
      <w:pPr>
        <w:pStyle w:val="ListParagraph"/>
        <w:numPr>
          <w:ilvl w:val="0"/>
          <w:numId w:val="26"/>
        </w:numPr>
        <w:ind w:left="714" w:hanging="357"/>
        <w:contextualSpacing w:val="0"/>
        <w:rPr>
          <w:rFonts w:cstheme="minorHAnsi"/>
        </w:rPr>
      </w:pPr>
      <w:r w:rsidRPr="00C973D9">
        <w:rPr>
          <w:rFonts w:cstheme="minorHAnsi"/>
        </w:rPr>
        <w:t xml:space="preserve">TDN will work with the Australian Government to develop an Implementation Plan and rollout process for </w:t>
      </w:r>
      <w:r w:rsidR="00EC0DE7">
        <w:rPr>
          <w:rFonts w:cstheme="minorHAnsi"/>
        </w:rPr>
        <w:t>an</w:t>
      </w:r>
      <w:r w:rsidRPr="00C973D9">
        <w:rPr>
          <w:rFonts w:cstheme="minorHAnsi"/>
        </w:rPr>
        <w:t xml:space="preserve"> end-of-life bundled model of care across Australia</w:t>
      </w:r>
      <w:r w:rsidR="00EC0DE7">
        <w:rPr>
          <w:rFonts w:cstheme="minorHAnsi"/>
        </w:rPr>
        <w:t>, to incl</w:t>
      </w:r>
      <w:r w:rsidR="00A9143D">
        <w:rPr>
          <w:rFonts w:cstheme="minorHAnsi"/>
        </w:rPr>
        <w:t xml:space="preserve">ude processes to tender for </w:t>
      </w:r>
      <w:r w:rsidR="009878C2">
        <w:rPr>
          <w:rFonts w:cstheme="minorHAnsi"/>
        </w:rPr>
        <w:t>appropriate fund-</w:t>
      </w:r>
      <w:r w:rsidR="00EC0DE7">
        <w:rPr>
          <w:rFonts w:cstheme="minorHAnsi"/>
        </w:rPr>
        <w:t>holders</w:t>
      </w:r>
      <w:r w:rsidR="009878C2">
        <w:rPr>
          <w:rFonts w:cstheme="minorHAnsi"/>
        </w:rPr>
        <w:t xml:space="preserve"> to manage care coordination and system navigation on behalf of end-of-life clients</w:t>
      </w:r>
      <w:r w:rsidRPr="00C973D9">
        <w:rPr>
          <w:rFonts w:cstheme="minorHAnsi"/>
        </w:rPr>
        <w:t>.</w:t>
      </w:r>
    </w:p>
    <w:p w:rsidR="00EC0DE7" w:rsidRPr="00C42566" w:rsidRDefault="00EC0DE7" w:rsidP="00C42566">
      <w:pPr>
        <w:spacing w:before="120" w:after="120" w:line="240" w:lineRule="auto"/>
        <w:ind w:left="714"/>
        <w:rPr>
          <w:rFonts w:cstheme="minorHAnsi"/>
          <w:color w:val="2F5496" w:themeColor="accent5" w:themeShade="BF"/>
        </w:rPr>
      </w:pPr>
      <w:r w:rsidRPr="00C42566">
        <w:rPr>
          <w:rFonts w:cstheme="minorHAnsi"/>
          <w:color w:val="2F5496" w:themeColor="accent5" w:themeShade="BF"/>
        </w:rPr>
        <w:t xml:space="preserve">Cost: </w:t>
      </w:r>
      <w:r w:rsidR="00575206" w:rsidRPr="00C42566">
        <w:rPr>
          <w:rFonts w:cstheme="minorHAnsi"/>
          <w:color w:val="2F5496" w:themeColor="accent5" w:themeShade="BF"/>
        </w:rPr>
        <w:t>$30</w:t>
      </w:r>
      <w:r w:rsidR="00FA36A6" w:rsidRPr="00C42566">
        <w:rPr>
          <w:rFonts w:cstheme="minorHAnsi"/>
          <w:color w:val="2F5496" w:themeColor="accent5" w:themeShade="BF"/>
        </w:rPr>
        <w:t>0,000</w:t>
      </w:r>
    </w:p>
    <w:p w:rsidR="00FA36A6" w:rsidRPr="00C42566" w:rsidRDefault="00FA36A6" w:rsidP="00C42566">
      <w:pPr>
        <w:pStyle w:val="ListParagraph"/>
        <w:numPr>
          <w:ilvl w:val="0"/>
          <w:numId w:val="26"/>
        </w:numPr>
        <w:ind w:left="714" w:hanging="357"/>
        <w:contextualSpacing w:val="0"/>
        <w:rPr>
          <w:rFonts w:cstheme="minorHAnsi"/>
        </w:rPr>
      </w:pPr>
      <w:r w:rsidRPr="00C42566">
        <w:rPr>
          <w:rFonts w:cstheme="minorHAnsi"/>
        </w:rPr>
        <w:t>hospice@HOME packages will continue to be provided in Tasmania up to a limit of 1,000 packages.</w:t>
      </w:r>
    </w:p>
    <w:p w:rsidR="00FA36A6" w:rsidRPr="00C42566" w:rsidRDefault="00FA36A6" w:rsidP="00C42566">
      <w:pPr>
        <w:spacing w:before="120" w:after="120" w:line="240" w:lineRule="auto"/>
        <w:ind w:left="714"/>
        <w:rPr>
          <w:rFonts w:cstheme="minorHAnsi"/>
          <w:color w:val="2F5496" w:themeColor="accent5" w:themeShade="BF"/>
        </w:rPr>
      </w:pPr>
      <w:r w:rsidRPr="00C42566">
        <w:rPr>
          <w:rFonts w:cstheme="minorHAnsi"/>
          <w:color w:val="2F5496" w:themeColor="accent5" w:themeShade="BF"/>
        </w:rPr>
        <w:t>Cost: 1,000 packages @ $2,890 per package, or $2.89 million per annum</w:t>
      </w:r>
    </w:p>
    <w:p w:rsidR="00EC0DE7" w:rsidRPr="002C546C" w:rsidRDefault="00EC0DE7" w:rsidP="00C42566">
      <w:pPr>
        <w:spacing w:before="120" w:after="120" w:line="240" w:lineRule="auto"/>
        <w:ind w:left="714"/>
        <w:rPr>
          <w:rFonts w:cstheme="minorHAnsi"/>
          <w:b/>
          <w:color w:val="2F5496" w:themeColor="accent5" w:themeShade="BF"/>
        </w:rPr>
      </w:pPr>
      <w:r w:rsidRPr="002C546C">
        <w:rPr>
          <w:rFonts w:cstheme="minorHAnsi"/>
          <w:b/>
          <w:color w:val="2F5496" w:themeColor="accent5" w:themeShade="BF"/>
        </w:rPr>
        <w:t>Total cost, Phase 2:</w:t>
      </w:r>
      <w:r w:rsidR="00575206">
        <w:rPr>
          <w:rFonts w:cstheme="minorHAnsi"/>
          <w:b/>
          <w:color w:val="2F5496" w:themeColor="accent5" w:themeShade="BF"/>
        </w:rPr>
        <w:t xml:space="preserve"> $3.19</w:t>
      </w:r>
      <w:r w:rsidR="00FA36A6">
        <w:rPr>
          <w:rFonts w:cstheme="minorHAnsi"/>
          <w:b/>
          <w:color w:val="2F5496" w:themeColor="accent5" w:themeShade="BF"/>
        </w:rPr>
        <w:t xml:space="preserve"> million</w:t>
      </w:r>
      <w:r w:rsidR="00C42566">
        <w:rPr>
          <w:rFonts w:cstheme="minorHAnsi"/>
          <w:b/>
          <w:color w:val="2F5496" w:themeColor="accent5" w:themeShade="BF"/>
        </w:rPr>
        <w:t>.</w:t>
      </w:r>
    </w:p>
    <w:p w:rsidR="00EC0DE7" w:rsidRDefault="00EC0DE7" w:rsidP="00EC0DE7">
      <w:pPr>
        <w:rPr>
          <w:rFonts w:cstheme="minorHAnsi"/>
        </w:rPr>
      </w:pPr>
    </w:p>
    <w:p w:rsidR="009878C2" w:rsidRDefault="009878C2" w:rsidP="00EC0DE7">
      <w:pPr>
        <w:rPr>
          <w:rFonts w:cstheme="minorHAnsi"/>
          <w:b/>
          <w:i/>
          <w:color w:val="C45911" w:themeColor="accent2" w:themeShade="BF"/>
          <w:sz w:val="24"/>
          <w:szCs w:val="24"/>
        </w:rPr>
      </w:pPr>
      <w:r w:rsidRPr="009878C2">
        <w:rPr>
          <w:rFonts w:cstheme="minorHAnsi"/>
          <w:b/>
          <w:i/>
          <w:color w:val="C45911" w:themeColor="accent2" w:themeShade="BF"/>
          <w:sz w:val="24"/>
          <w:szCs w:val="24"/>
        </w:rPr>
        <w:t>Phase 3: July 2019 and beyond</w:t>
      </w:r>
    </w:p>
    <w:p w:rsidR="009878C2" w:rsidRDefault="009878C2" w:rsidP="009878C2">
      <w:pPr>
        <w:pStyle w:val="ListParagraph"/>
        <w:numPr>
          <w:ilvl w:val="0"/>
          <w:numId w:val="26"/>
        </w:numPr>
        <w:ind w:left="714" w:hanging="357"/>
        <w:contextualSpacing w:val="0"/>
        <w:rPr>
          <w:rFonts w:cstheme="minorHAnsi"/>
        </w:rPr>
      </w:pPr>
      <w:r>
        <w:rPr>
          <w:rFonts w:cstheme="minorHAnsi"/>
        </w:rPr>
        <w:t>TDN will provide consultancy services to organisations across Australia who successfully tender for management of end-of-life bundled packages.</w:t>
      </w:r>
    </w:p>
    <w:p w:rsidR="00D222EB" w:rsidRPr="00DF5CA3" w:rsidRDefault="00D222EB" w:rsidP="00C42566">
      <w:pPr>
        <w:spacing w:before="120" w:after="120" w:line="240" w:lineRule="auto"/>
        <w:ind w:left="714"/>
        <w:rPr>
          <w:rFonts w:cstheme="minorHAnsi"/>
          <w:b/>
          <w:color w:val="2F5496" w:themeColor="accent5" w:themeShade="BF"/>
        </w:rPr>
      </w:pPr>
      <w:r w:rsidRPr="00DF5CA3">
        <w:rPr>
          <w:rFonts w:cstheme="minorHAnsi"/>
          <w:b/>
          <w:color w:val="2F5496" w:themeColor="accent5" w:themeShade="BF"/>
        </w:rPr>
        <w:t>Uncosted</w:t>
      </w:r>
      <w:r w:rsidR="00C42566">
        <w:rPr>
          <w:rFonts w:cstheme="minorHAnsi"/>
          <w:b/>
          <w:color w:val="2F5496" w:themeColor="accent5" w:themeShade="BF"/>
        </w:rPr>
        <w:t>.</w:t>
      </w:r>
    </w:p>
    <w:p w:rsidR="005C6167" w:rsidRDefault="005C6167">
      <w:pPr>
        <w:rPr>
          <w:rFonts w:cstheme="minorHAnsi"/>
        </w:rPr>
      </w:pPr>
    </w:p>
    <w:p w:rsidR="00FE4557" w:rsidRDefault="00FE4557" w:rsidP="009D193B">
      <w:pPr>
        <w:spacing w:line="276" w:lineRule="auto"/>
        <w:rPr>
          <w:rFonts w:cstheme="minorHAnsi"/>
        </w:rPr>
      </w:pPr>
    </w:p>
    <w:p w:rsidR="00FE4557" w:rsidRPr="00FE4557" w:rsidRDefault="00FE4557" w:rsidP="009D193B">
      <w:pPr>
        <w:spacing w:line="276" w:lineRule="auto"/>
        <w:rPr>
          <w:rFonts w:cstheme="minorHAnsi"/>
        </w:rPr>
      </w:pPr>
    </w:p>
    <w:p w:rsidR="00910E12" w:rsidRPr="00942995" w:rsidRDefault="00910E12" w:rsidP="00942995">
      <w:pPr>
        <w:spacing w:line="276" w:lineRule="auto"/>
        <w:rPr>
          <w:rFonts w:cstheme="minorHAnsi"/>
          <w:i/>
        </w:rPr>
      </w:pPr>
      <w:r w:rsidRPr="00942995">
        <w:rPr>
          <w:rFonts w:cstheme="minorHAnsi"/>
          <w:i/>
        </w:rPr>
        <w:br w:type="page"/>
      </w:r>
    </w:p>
    <w:p w:rsidR="00C20F4F" w:rsidRDefault="00C20F4F" w:rsidP="00FD6EC1">
      <w:pPr>
        <w:pStyle w:val="Title"/>
        <w:pBdr>
          <w:bottom w:val="single" w:sz="2" w:space="1" w:color="auto"/>
        </w:pBdr>
      </w:pPr>
      <w:r>
        <w:t>Introduction</w:t>
      </w:r>
    </w:p>
    <w:p w:rsidR="00466514" w:rsidRDefault="00466514" w:rsidP="00D222EB">
      <w:pPr>
        <w:shd w:val="clear" w:color="auto" w:fill="FFFFFF"/>
        <w:spacing w:after="0" w:line="276" w:lineRule="auto"/>
        <w:rPr>
          <w:rFonts w:eastAsia="Times New Roman" w:cstheme="minorHAnsi"/>
          <w:color w:val="000000"/>
          <w:lang w:eastAsia="en-GB"/>
        </w:rPr>
      </w:pPr>
    </w:p>
    <w:p w:rsidR="00B424B6" w:rsidRDefault="00294842" w:rsidP="00D222EB">
      <w:pPr>
        <w:shd w:val="clear" w:color="auto" w:fill="FFFFFF"/>
        <w:spacing w:after="120" w:line="276" w:lineRule="auto"/>
        <w:rPr>
          <w:rFonts w:eastAsia="Times New Roman" w:cstheme="minorHAnsi"/>
          <w:color w:val="000000"/>
          <w:lang w:eastAsia="en-GB"/>
        </w:rPr>
      </w:pPr>
      <w:r>
        <w:rPr>
          <w:rFonts w:eastAsia="Times New Roman" w:cstheme="minorHAnsi"/>
          <w:color w:val="000000"/>
          <w:lang w:eastAsia="en-GB"/>
        </w:rPr>
        <w:t>While dying at home used to be a common experience, m</w:t>
      </w:r>
      <w:r w:rsidR="00501CFE" w:rsidRPr="00B424B6">
        <w:rPr>
          <w:rFonts w:eastAsia="Times New Roman" w:cstheme="minorHAnsi"/>
          <w:color w:val="000000"/>
          <w:lang w:eastAsia="en-GB"/>
        </w:rPr>
        <w:t>ost</w:t>
      </w:r>
      <w:r w:rsidR="00330687" w:rsidRPr="00B424B6">
        <w:rPr>
          <w:rFonts w:eastAsia="Times New Roman" w:cstheme="minorHAnsi"/>
          <w:color w:val="000000"/>
          <w:lang w:eastAsia="en-GB"/>
        </w:rPr>
        <w:t xml:space="preserve"> </w:t>
      </w:r>
      <w:r w:rsidR="00330687">
        <w:rPr>
          <w:rFonts w:eastAsia="Times New Roman" w:cstheme="minorHAnsi"/>
          <w:color w:val="000000"/>
          <w:lang w:eastAsia="en-GB"/>
        </w:rPr>
        <w:t>Australians</w:t>
      </w:r>
      <w:r w:rsidR="00330687" w:rsidRPr="00B424B6">
        <w:rPr>
          <w:rFonts w:eastAsia="Times New Roman" w:cstheme="minorHAnsi"/>
          <w:color w:val="000000"/>
          <w:lang w:eastAsia="en-GB"/>
        </w:rPr>
        <w:t xml:space="preserve"> </w:t>
      </w:r>
      <w:r>
        <w:rPr>
          <w:rFonts w:eastAsia="Times New Roman" w:cstheme="minorHAnsi"/>
          <w:color w:val="000000"/>
          <w:lang w:eastAsia="en-GB"/>
        </w:rPr>
        <w:t xml:space="preserve">now </w:t>
      </w:r>
      <w:r w:rsidR="00330687" w:rsidRPr="00B424B6">
        <w:rPr>
          <w:rFonts w:eastAsia="Times New Roman" w:cstheme="minorHAnsi"/>
          <w:color w:val="000000"/>
          <w:lang w:eastAsia="en-GB"/>
        </w:rPr>
        <w:t xml:space="preserve">die in hospitals, often in intensive care units. Not only does this strain our hospital and ambulance systems but </w:t>
      </w:r>
      <w:r w:rsidR="005F10D5">
        <w:rPr>
          <w:rFonts w:eastAsia="Times New Roman" w:cstheme="minorHAnsi"/>
          <w:color w:val="000000"/>
          <w:lang w:eastAsia="en-GB"/>
        </w:rPr>
        <w:t xml:space="preserve">many people </w:t>
      </w:r>
      <w:r w:rsidR="00330687" w:rsidRPr="00B424B6">
        <w:rPr>
          <w:rFonts w:eastAsia="Times New Roman" w:cstheme="minorHAnsi"/>
          <w:color w:val="000000"/>
          <w:lang w:eastAsia="en-GB"/>
        </w:rPr>
        <w:t>die in an environment and under circumstances that are less than optimal.</w:t>
      </w:r>
      <w:r w:rsidR="00330687">
        <w:rPr>
          <w:rFonts w:eastAsia="Times New Roman" w:cstheme="minorHAnsi"/>
          <w:color w:val="000000"/>
          <w:lang w:eastAsia="en-GB"/>
        </w:rPr>
        <w:t xml:space="preserve"> </w:t>
      </w:r>
      <w:r>
        <w:rPr>
          <w:rFonts w:eastAsia="Times New Roman" w:cstheme="minorHAnsi"/>
          <w:color w:val="000000"/>
          <w:lang w:eastAsia="en-GB"/>
        </w:rPr>
        <w:t xml:space="preserve">This institutional approach towards dying is increasingly being questioned. </w:t>
      </w:r>
      <w:r w:rsidR="00B424B6" w:rsidRPr="00B424B6">
        <w:rPr>
          <w:rFonts w:eastAsia="Times New Roman" w:cstheme="minorHAnsi"/>
          <w:color w:val="000000"/>
          <w:lang w:eastAsia="en-GB"/>
        </w:rPr>
        <w:t>Research sho</w:t>
      </w:r>
      <w:r w:rsidR="005D3700">
        <w:rPr>
          <w:rFonts w:eastAsia="Times New Roman" w:cstheme="minorHAnsi"/>
          <w:color w:val="000000"/>
          <w:lang w:eastAsia="en-GB"/>
        </w:rPr>
        <w:t>w</w:t>
      </w:r>
      <w:r w:rsidR="00FD7CD3">
        <w:rPr>
          <w:rFonts w:eastAsia="Times New Roman" w:cstheme="minorHAnsi"/>
          <w:color w:val="000000"/>
          <w:lang w:eastAsia="en-GB"/>
        </w:rPr>
        <w:t>s</w:t>
      </w:r>
      <w:r w:rsidR="005D3700">
        <w:rPr>
          <w:rFonts w:eastAsia="Times New Roman" w:cstheme="minorHAnsi"/>
          <w:color w:val="000000"/>
          <w:lang w:eastAsia="en-GB"/>
        </w:rPr>
        <w:t xml:space="preserve"> that approximately 70</w:t>
      </w:r>
      <w:r w:rsidR="00B424B6" w:rsidRPr="00B424B6">
        <w:rPr>
          <w:rFonts w:eastAsia="Times New Roman" w:cstheme="minorHAnsi"/>
          <w:color w:val="000000"/>
          <w:lang w:eastAsia="en-GB"/>
        </w:rPr>
        <w:t xml:space="preserve">% of Australians </w:t>
      </w:r>
      <w:r w:rsidR="005D3700">
        <w:rPr>
          <w:rFonts w:eastAsia="Times New Roman" w:cstheme="minorHAnsi"/>
          <w:color w:val="000000"/>
          <w:lang w:eastAsia="en-GB"/>
        </w:rPr>
        <w:t>would prefer to die at home – in a familiar place with family by their side.</w:t>
      </w:r>
      <w:r>
        <w:rPr>
          <w:rFonts w:eastAsia="Times New Roman" w:cstheme="minorHAnsi"/>
          <w:color w:val="000000"/>
          <w:lang w:eastAsia="en-GB"/>
        </w:rPr>
        <w:t xml:space="preserve"> </w:t>
      </w:r>
    </w:p>
    <w:p w:rsidR="009842C2" w:rsidRDefault="005D3700" w:rsidP="00D222EB">
      <w:pPr>
        <w:spacing w:line="276" w:lineRule="auto"/>
        <w:rPr>
          <w:rFonts w:cstheme="minorHAnsi"/>
        </w:rPr>
      </w:pPr>
      <w:r>
        <w:rPr>
          <w:rFonts w:eastAsia="Times New Roman" w:cstheme="minorHAnsi"/>
          <w:color w:val="000000"/>
          <w:lang w:eastAsia="en-GB"/>
        </w:rPr>
        <w:t>TDN Tasmania has spent the past four years developing an alternative model of care for people nearing death that enables them to die at home if they so choose. This model, hospice@HOME</w:t>
      </w:r>
      <w:r w:rsidR="00D829D9">
        <w:rPr>
          <w:rFonts w:eastAsia="Times New Roman" w:cstheme="minorHAnsi"/>
          <w:color w:val="000000"/>
          <w:lang w:eastAsia="en-GB"/>
        </w:rPr>
        <w:t xml:space="preserve">, </w:t>
      </w:r>
      <w:r>
        <w:rPr>
          <w:rFonts w:eastAsia="Times New Roman" w:cstheme="minorHAnsi"/>
          <w:color w:val="000000"/>
          <w:lang w:eastAsia="en-GB"/>
        </w:rPr>
        <w:t xml:space="preserve">has been </w:t>
      </w:r>
      <w:r w:rsidRPr="0094048F">
        <w:rPr>
          <w:rFonts w:cstheme="minorHAnsi"/>
        </w:rPr>
        <w:t>funded through the Australian Government’s Tasmanian Health Assis</w:t>
      </w:r>
      <w:r w:rsidR="0064751F">
        <w:rPr>
          <w:rFonts w:cstheme="minorHAnsi"/>
        </w:rPr>
        <w:t>tance Package, as part of the Be</w:t>
      </w:r>
      <w:r w:rsidRPr="0094048F">
        <w:rPr>
          <w:rFonts w:cstheme="minorHAnsi"/>
        </w:rPr>
        <w:t>tter</w:t>
      </w:r>
      <w:r w:rsidR="00C74FA2">
        <w:rPr>
          <w:rFonts w:cstheme="minorHAnsi"/>
        </w:rPr>
        <w:t xml:space="preserve"> Access to Palliative Care (BAPC</w:t>
      </w:r>
      <w:r w:rsidRPr="0094048F">
        <w:rPr>
          <w:rFonts w:cstheme="minorHAnsi"/>
        </w:rPr>
        <w:t>) program.</w:t>
      </w:r>
      <w:r w:rsidR="005F10D5">
        <w:rPr>
          <w:rFonts w:cstheme="minorHAnsi"/>
        </w:rPr>
        <w:t xml:space="preserve"> </w:t>
      </w:r>
      <w:r w:rsidR="00D829D9">
        <w:rPr>
          <w:rFonts w:cstheme="minorHAnsi"/>
        </w:rPr>
        <w:t>hospice@HOME</w:t>
      </w:r>
      <w:r w:rsidR="005F10D5">
        <w:rPr>
          <w:rFonts w:cstheme="minorHAnsi"/>
        </w:rPr>
        <w:t xml:space="preserve"> allows people to take charge of the end of their life by providing the care and support they need to </w:t>
      </w:r>
      <w:r w:rsidR="00FD7CD3">
        <w:rPr>
          <w:rFonts w:cstheme="minorHAnsi"/>
        </w:rPr>
        <w:t>die</w:t>
      </w:r>
      <w:r w:rsidR="009842C2">
        <w:rPr>
          <w:rFonts w:cstheme="minorHAnsi"/>
        </w:rPr>
        <w:t xml:space="preserve"> with </w:t>
      </w:r>
      <w:r w:rsidR="00C74FA2">
        <w:rPr>
          <w:rFonts w:cstheme="minorHAnsi"/>
        </w:rPr>
        <w:t xml:space="preserve">as much </w:t>
      </w:r>
      <w:r w:rsidR="009842C2">
        <w:rPr>
          <w:rFonts w:cstheme="minorHAnsi"/>
        </w:rPr>
        <w:t xml:space="preserve">dignity and </w:t>
      </w:r>
      <w:r w:rsidR="005F10D5">
        <w:rPr>
          <w:rFonts w:cstheme="minorHAnsi"/>
        </w:rPr>
        <w:t xml:space="preserve">as </w:t>
      </w:r>
      <w:r w:rsidR="00C74FA2">
        <w:rPr>
          <w:rFonts w:cstheme="minorHAnsi"/>
        </w:rPr>
        <w:t>little</w:t>
      </w:r>
      <w:r w:rsidR="005F10D5">
        <w:rPr>
          <w:rFonts w:cstheme="minorHAnsi"/>
        </w:rPr>
        <w:t xml:space="preserve"> pain as possible</w:t>
      </w:r>
      <w:r w:rsidR="0009221F">
        <w:rPr>
          <w:rFonts w:cstheme="minorHAnsi"/>
        </w:rPr>
        <w:t xml:space="preserve"> and in the setting of their choice</w:t>
      </w:r>
      <w:r w:rsidR="005F10D5">
        <w:rPr>
          <w:rFonts w:cstheme="minorHAnsi"/>
        </w:rPr>
        <w:t>.</w:t>
      </w:r>
      <w:r w:rsidR="009842C2">
        <w:rPr>
          <w:rFonts w:cstheme="minorHAnsi"/>
        </w:rPr>
        <w:t xml:space="preserve"> </w:t>
      </w:r>
    </w:p>
    <w:p w:rsidR="005D3700" w:rsidRDefault="009842C2" w:rsidP="00D222EB">
      <w:pPr>
        <w:spacing w:line="276" w:lineRule="auto"/>
        <w:rPr>
          <w:rFonts w:cstheme="minorHAnsi"/>
        </w:rPr>
      </w:pPr>
      <w:r>
        <w:rPr>
          <w:rFonts w:cstheme="minorHAnsi"/>
        </w:rPr>
        <w:t xml:space="preserve">We take great </w:t>
      </w:r>
      <w:r w:rsidRPr="00944C15">
        <w:rPr>
          <w:rFonts w:cstheme="minorHAnsi"/>
        </w:rPr>
        <w:t xml:space="preserve">pride in what we have achieved with </w:t>
      </w:r>
      <w:r w:rsidR="00C74FA2" w:rsidRPr="00944C15">
        <w:rPr>
          <w:rFonts w:cstheme="minorHAnsi"/>
        </w:rPr>
        <w:t xml:space="preserve">the </w:t>
      </w:r>
      <w:r w:rsidR="00D829D9" w:rsidRPr="00944C15">
        <w:rPr>
          <w:rFonts w:cstheme="minorHAnsi"/>
        </w:rPr>
        <w:t>hospice@HOME</w:t>
      </w:r>
      <w:r w:rsidRPr="00944C15">
        <w:rPr>
          <w:rFonts w:cstheme="minorHAnsi"/>
        </w:rPr>
        <w:t xml:space="preserve"> program</w:t>
      </w:r>
      <w:r w:rsidR="00C74FA2" w:rsidRPr="00944C15">
        <w:rPr>
          <w:rFonts w:cstheme="minorHAnsi"/>
        </w:rPr>
        <w:t>,</w:t>
      </w:r>
      <w:r w:rsidRPr="00944C15">
        <w:rPr>
          <w:rFonts w:cstheme="minorHAnsi"/>
        </w:rPr>
        <w:t xml:space="preserve"> which </w:t>
      </w:r>
      <w:r w:rsidR="006112C2" w:rsidRPr="00944C15">
        <w:rPr>
          <w:rFonts w:cstheme="minorHAnsi"/>
        </w:rPr>
        <w:t>has far exceeded all</w:t>
      </w:r>
      <w:r w:rsidR="007B36F9" w:rsidRPr="00944C15">
        <w:rPr>
          <w:rFonts w:cstheme="minorHAnsi"/>
        </w:rPr>
        <w:t xml:space="preserve"> </w:t>
      </w:r>
      <w:r w:rsidRPr="00944C15">
        <w:rPr>
          <w:rFonts w:cstheme="minorHAnsi"/>
        </w:rPr>
        <w:t xml:space="preserve">expectations. </w:t>
      </w:r>
      <w:r w:rsidR="004B78DE" w:rsidRPr="00E03611">
        <w:rPr>
          <w:rFonts w:cstheme="minorHAnsi"/>
        </w:rPr>
        <w:t>While the program has evolved over the course of its operation</w:t>
      </w:r>
      <w:r w:rsidRPr="00944C15">
        <w:rPr>
          <w:rFonts w:cstheme="minorHAnsi"/>
        </w:rPr>
        <w:t xml:space="preserve">, the </w:t>
      </w:r>
      <w:r w:rsidR="00522BE9" w:rsidRPr="00944C15">
        <w:rPr>
          <w:rFonts w:cstheme="minorHAnsi"/>
        </w:rPr>
        <w:t>approach</w:t>
      </w:r>
      <w:r w:rsidRPr="00944C15">
        <w:rPr>
          <w:rFonts w:cstheme="minorHAnsi"/>
        </w:rPr>
        <w:t xml:space="preserve"> we now have in place has </w:t>
      </w:r>
      <w:r w:rsidR="00C74FA2" w:rsidRPr="00944C15">
        <w:rPr>
          <w:rFonts w:cstheme="minorHAnsi"/>
        </w:rPr>
        <w:t>met with</w:t>
      </w:r>
      <w:r w:rsidRPr="00944C15">
        <w:rPr>
          <w:rFonts w:cstheme="minorHAnsi"/>
        </w:rPr>
        <w:t xml:space="preserve"> very high levels of satisfaction </w:t>
      </w:r>
      <w:r w:rsidR="00366055" w:rsidRPr="00944C15">
        <w:rPr>
          <w:rFonts w:cstheme="minorHAnsi"/>
        </w:rPr>
        <w:t>from clients and carers</w:t>
      </w:r>
      <w:r w:rsidR="004B78DE" w:rsidRPr="00944C15">
        <w:rPr>
          <w:rFonts w:cstheme="minorHAnsi"/>
        </w:rPr>
        <w:t>,</w:t>
      </w:r>
      <w:r w:rsidR="00366055">
        <w:rPr>
          <w:rFonts w:cstheme="minorHAnsi"/>
        </w:rPr>
        <w:t xml:space="preserve"> </w:t>
      </w:r>
      <w:r>
        <w:rPr>
          <w:rFonts w:cstheme="minorHAnsi"/>
        </w:rPr>
        <w:t xml:space="preserve">and </w:t>
      </w:r>
      <w:r w:rsidR="005E54AB">
        <w:rPr>
          <w:rFonts w:cstheme="minorHAnsi"/>
        </w:rPr>
        <w:t>broad</w:t>
      </w:r>
      <w:r w:rsidR="00366055">
        <w:rPr>
          <w:rFonts w:cstheme="minorHAnsi"/>
        </w:rPr>
        <w:t xml:space="preserve"> </w:t>
      </w:r>
      <w:r>
        <w:rPr>
          <w:rFonts w:cstheme="minorHAnsi"/>
        </w:rPr>
        <w:t>acclaim</w:t>
      </w:r>
      <w:r w:rsidR="00366055">
        <w:rPr>
          <w:rFonts w:cstheme="minorHAnsi"/>
        </w:rPr>
        <w:t xml:space="preserve"> from the health sector and </w:t>
      </w:r>
      <w:r w:rsidR="00ED0E40">
        <w:rPr>
          <w:rFonts w:cstheme="minorHAnsi"/>
        </w:rPr>
        <w:t xml:space="preserve">the </w:t>
      </w:r>
      <w:r w:rsidR="00366055">
        <w:rPr>
          <w:rFonts w:cstheme="minorHAnsi"/>
        </w:rPr>
        <w:t>community</w:t>
      </w:r>
      <w:r w:rsidR="00C74FA2">
        <w:rPr>
          <w:rFonts w:cstheme="minorHAnsi"/>
        </w:rPr>
        <w:t>. N</w:t>
      </w:r>
      <w:r>
        <w:rPr>
          <w:rFonts w:cstheme="minorHAnsi"/>
        </w:rPr>
        <w:t xml:space="preserve">ot only </w:t>
      </w:r>
      <w:r w:rsidR="00C74FA2">
        <w:rPr>
          <w:rFonts w:cstheme="minorHAnsi"/>
        </w:rPr>
        <w:t xml:space="preserve">has it </w:t>
      </w:r>
      <w:r>
        <w:rPr>
          <w:rFonts w:cstheme="minorHAnsi"/>
        </w:rPr>
        <w:t xml:space="preserve">helped </w:t>
      </w:r>
      <w:r w:rsidR="005924EA">
        <w:rPr>
          <w:rFonts w:cstheme="minorHAnsi"/>
        </w:rPr>
        <w:t xml:space="preserve">clients </w:t>
      </w:r>
      <w:r>
        <w:rPr>
          <w:rFonts w:cstheme="minorHAnsi"/>
        </w:rPr>
        <w:t xml:space="preserve">in their end-of-life journey, but it has </w:t>
      </w:r>
      <w:r w:rsidR="00C74FA2">
        <w:rPr>
          <w:rFonts w:cstheme="minorHAnsi"/>
        </w:rPr>
        <w:t xml:space="preserve">also </w:t>
      </w:r>
      <w:r>
        <w:rPr>
          <w:rFonts w:cstheme="minorHAnsi"/>
        </w:rPr>
        <w:t xml:space="preserve">strengthened families and carers and helped build a resilient </w:t>
      </w:r>
      <w:r w:rsidR="00366055">
        <w:rPr>
          <w:rFonts w:cstheme="minorHAnsi"/>
        </w:rPr>
        <w:t>environment</w:t>
      </w:r>
      <w:r>
        <w:rPr>
          <w:rFonts w:cstheme="minorHAnsi"/>
        </w:rPr>
        <w:t xml:space="preserve"> where death is accepted as an inevitable part of life.</w:t>
      </w:r>
      <w:r w:rsidR="00FD7CD3">
        <w:rPr>
          <w:rFonts w:cstheme="minorHAnsi"/>
        </w:rPr>
        <w:t xml:space="preserve"> </w:t>
      </w:r>
    </w:p>
    <w:p w:rsidR="00ED0E40" w:rsidRPr="006777CE" w:rsidRDefault="009B16C4" w:rsidP="00D222EB">
      <w:pPr>
        <w:spacing w:line="276" w:lineRule="auto"/>
        <w:rPr>
          <w:rFonts w:cstheme="minorHAnsi"/>
        </w:rPr>
      </w:pPr>
      <w:r w:rsidRPr="009B16C4">
        <w:rPr>
          <w:rFonts w:cstheme="minorHAnsi"/>
          <w:noProof/>
          <w:lang w:val="en-AU" w:eastAsia="en-AU"/>
        </w:rPr>
        <mc:AlternateContent>
          <mc:Choice Requires="wps">
            <w:drawing>
              <wp:anchor distT="45720" distB="45720" distL="114300" distR="114300" simplePos="0" relativeHeight="251653120" behindDoc="0" locked="0" layoutInCell="1" allowOverlap="1" wp14:anchorId="1EB4CB64" wp14:editId="18EB85CF">
                <wp:simplePos x="0" y="0"/>
                <wp:positionH relativeFrom="margin">
                  <wp:align>right</wp:align>
                </wp:positionH>
                <wp:positionV relativeFrom="paragraph">
                  <wp:posOffset>5080</wp:posOffset>
                </wp:positionV>
                <wp:extent cx="2406650" cy="132334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1323340"/>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7344CD" w:rsidRDefault="005473E1" w:rsidP="009B16C4">
                            <w:pPr>
                              <w:pStyle w:val="Heading4"/>
                              <w:rPr>
                                <w:color w:val="2F5496" w:themeColor="accent5" w:themeShade="BF"/>
                                <w:sz w:val="20"/>
                                <w:szCs w:val="20"/>
                              </w:rPr>
                            </w:pPr>
                            <w:r w:rsidRPr="007344CD">
                              <w:rPr>
                                <w:color w:val="2F5496" w:themeColor="accent5" w:themeShade="BF"/>
                                <w:sz w:val="20"/>
                                <w:szCs w:val="20"/>
                              </w:rPr>
                              <w:t>‘It wouldn’t have entered our heads that we could do it – they gave us the confidence. We did things we never thought we could we do.’</w:t>
                            </w:r>
                          </w:p>
                          <w:p w:rsidR="005473E1" w:rsidRPr="007344CD" w:rsidRDefault="005473E1" w:rsidP="00C5274B">
                            <w:pPr>
                              <w:pStyle w:val="Heading4"/>
                              <w:spacing w:before="120"/>
                              <w:rPr>
                                <w:color w:val="2F5496" w:themeColor="accent5" w:themeShade="BF"/>
                                <w:sz w:val="20"/>
                                <w:szCs w:val="20"/>
                              </w:rPr>
                            </w:pPr>
                            <w:r w:rsidRPr="007344CD">
                              <w:rPr>
                                <w:color w:val="2F5496" w:themeColor="accent5" w:themeShade="BF"/>
                                <w:sz w:val="20"/>
                                <w:szCs w:val="20"/>
                              </w:rPr>
                              <w:t>‘We only had to start thinking about something, and they would organise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38.3pt;margin-top:.4pt;width:189.5pt;height:104.2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" strokecolor="#8496b0 [1951]">
                <v:stroke joinstyle="miter"/>
                <v:textbox>
                  <w:txbxContent>
                    <w:p w:rsidR="005473E1" w:rsidRPr="007344CD" w:rsidRDefault="005473E1" w:rsidP="009B16C4">
                      <w:pPr>
                        <w:pStyle w:val="Heading4"/>
                        <w:rPr>
                          <w:color w:val="2F5496" w:themeColor="accent5" w:themeShade="BF"/>
                          <w:sz w:val="20"/>
                          <w:szCs w:val="20"/>
                        </w:rPr>
                      </w:pPr>
                      <w:r w:rsidRPr="007344CD">
                        <w:rPr>
                          <w:color w:val="2F5496" w:themeColor="accent5" w:themeShade="BF"/>
                          <w:sz w:val="20"/>
                          <w:szCs w:val="20"/>
                        </w:rPr>
                        <w:t>‘It wouldn’t have entered our heads that we could do it – they gave us the confidence. We did things we never thought we could we do.’</w:t>
                      </w:r>
                    </w:p>
                    <w:p w:rsidR="005473E1" w:rsidRPr="007344CD" w:rsidRDefault="005473E1" w:rsidP="00C5274B">
                      <w:pPr>
                        <w:pStyle w:val="Heading4"/>
                        <w:spacing w:before="120"/>
                        <w:rPr>
                          <w:color w:val="2F5496" w:themeColor="accent5" w:themeShade="BF"/>
                          <w:sz w:val="20"/>
                          <w:szCs w:val="20"/>
                        </w:rPr>
                      </w:pPr>
                      <w:r w:rsidRPr="007344CD">
                        <w:rPr>
                          <w:color w:val="2F5496" w:themeColor="accent5" w:themeShade="BF"/>
                          <w:sz w:val="20"/>
                          <w:szCs w:val="20"/>
                        </w:rPr>
                        <w:t>‘We only had to start thinking about something, and they would organise it.’</w:t>
                      </w:r>
                    </w:p>
                  </w:txbxContent>
                </v:textbox>
                <w10:wrap type="square" anchorx="margin"/>
              </v:roundrect>
            </w:pict>
          </mc:Fallback>
        </mc:AlternateContent>
      </w:r>
      <w:r w:rsidR="00D829D9">
        <w:rPr>
          <w:rFonts w:cstheme="minorHAnsi"/>
        </w:rPr>
        <w:t>hospice@HOME</w:t>
      </w:r>
      <w:r w:rsidR="007C3291">
        <w:rPr>
          <w:rFonts w:cstheme="minorHAnsi"/>
        </w:rPr>
        <w:t xml:space="preserve"> </w:t>
      </w:r>
      <w:r w:rsidR="00C74FA2">
        <w:rPr>
          <w:rFonts w:cstheme="minorHAnsi"/>
        </w:rPr>
        <w:t>contributes to</w:t>
      </w:r>
      <w:r w:rsidR="007C3291">
        <w:rPr>
          <w:rFonts w:cstheme="minorHAnsi"/>
        </w:rPr>
        <w:t xml:space="preserve"> a much broader </w:t>
      </w:r>
      <w:r w:rsidR="00C74FA2">
        <w:rPr>
          <w:rFonts w:cstheme="minorHAnsi"/>
        </w:rPr>
        <w:t>reform agenda</w:t>
      </w:r>
      <w:r w:rsidR="007C3291">
        <w:rPr>
          <w:rFonts w:cstheme="minorHAnsi"/>
        </w:rPr>
        <w:t xml:space="preserve"> </w:t>
      </w:r>
      <w:r w:rsidR="00C74FA2">
        <w:rPr>
          <w:rFonts w:cstheme="minorHAnsi"/>
        </w:rPr>
        <w:t>led by the</w:t>
      </w:r>
      <w:r w:rsidR="007C3291">
        <w:rPr>
          <w:rFonts w:cstheme="minorHAnsi"/>
        </w:rPr>
        <w:t xml:space="preserve"> </w:t>
      </w:r>
      <w:r w:rsidR="005E54AB">
        <w:rPr>
          <w:rFonts w:cstheme="minorHAnsi"/>
        </w:rPr>
        <w:t>Australian</w:t>
      </w:r>
      <w:r w:rsidR="00C74FA2">
        <w:rPr>
          <w:rFonts w:cstheme="minorHAnsi"/>
        </w:rPr>
        <w:t xml:space="preserve"> government</w:t>
      </w:r>
      <w:r w:rsidR="007C3291">
        <w:rPr>
          <w:rFonts w:cstheme="minorHAnsi"/>
        </w:rPr>
        <w:t xml:space="preserve"> to transform the health </w:t>
      </w:r>
      <w:r w:rsidR="005E54AB">
        <w:rPr>
          <w:rFonts w:cstheme="minorHAnsi"/>
        </w:rPr>
        <w:t xml:space="preserve">and community care </w:t>
      </w:r>
      <w:r w:rsidR="007C3291">
        <w:rPr>
          <w:rFonts w:cstheme="minorHAnsi"/>
        </w:rPr>
        <w:t xml:space="preserve">system and deliver better health outcomes for all </w:t>
      </w:r>
      <w:r w:rsidR="005E54AB">
        <w:rPr>
          <w:rFonts w:cstheme="minorHAnsi"/>
        </w:rPr>
        <w:t>Australians</w:t>
      </w:r>
      <w:r w:rsidR="007C3291">
        <w:rPr>
          <w:rFonts w:cstheme="minorHAnsi"/>
        </w:rPr>
        <w:t xml:space="preserve">. </w:t>
      </w:r>
      <w:r w:rsidR="007C3291" w:rsidRPr="006777CE">
        <w:rPr>
          <w:rFonts w:cstheme="minorHAnsi"/>
        </w:rPr>
        <w:t xml:space="preserve">This includes moves to </w:t>
      </w:r>
      <w:r w:rsidR="002B250A">
        <w:rPr>
          <w:rFonts w:cstheme="minorHAnsi"/>
        </w:rPr>
        <w:t>provide</w:t>
      </w:r>
      <w:r w:rsidR="006777CE" w:rsidRPr="006777CE">
        <w:rPr>
          <w:rFonts w:cstheme="minorHAnsi"/>
        </w:rPr>
        <w:t xml:space="preserve"> a more flexible model of care and develop a consumer led system.</w:t>
      </w:r>
      <w:r w:rsidR="00ED0E40" w:rsidRPr="006777CE">
        <w:rPr>
          <w:rFonts w:cstheme="minorHAnsi"/>
        </w:rPr>
        <w:t xml:space="preserve"> </w:t>
      </w:r>
    </w:p>
    <w:p w:rsidR="00111942" w:rsidRPr="007C3291" w:rsidRDefault="00111942" w:rsidP="00D222EB">
      <w:pPr>
        <w:spacing w:line="276" w:lineRule="auto"/>
        <w:rPr>
          <w:rFonts w:cstheme="minorHAnsi"/>
          <w:i/>
        </w:rPr>
      </w:pPr>
      <w:r>
        <w:rPr>
          <w:rFonts w:cstheme="minorHAnsi"/>
        </w:rPr>
        <w:t xml:space="preserve">We note that demand for </w:t>
      </w:r>
      <w:r w:rsidR="005E54AB">
        <w:rPr>
          <w:rFonts w:cstheme="minorHAnsi"/>
        </w:rPr>
        <w:t>end</w:t>
      </w:r>
      <w:r w:rsidR="00AA18C4">
        <w:rPr>
          <w:rFonts w:cstheme="minorHAnsi"/>
        </w:rPr>
        <w:t>-</w:t>
      </w:r>
      <w:r w:rsidR="005E54AB">
        <w:rPr>
          <w:rFonts w:cstheme="minorHAnsi"/>
        </w:rPr>
        <w:t>of</w:t>
      </w:r>
      <w:r w:rsidR="00AA18C4">
        <w:rPr>
          <w:rFonts w:cstheme="minorHAnsi"/>
        </w:rPr>
        <w:t>-</w:t>
      </w:r>
      <w:r w:rsidR="005E54AB">
        <w:rPr>
          <w:rFonts w:cstheme="minorHAnsi"/>
        </w:rPr>
        <w:t>life</w:t>
      </w:r>
      <w:r>
        <w:rPr>
          <w:rFonts w:cstheme="minorHAnsi"/>
        </w:rPr>
        <w:t xml:space="preserve"> care in Tasmania is greater </w:t>
      </w:r>
      <w:r w:rsidR="00FD6EC1">
        <w:rPr>
          <w:rFonts w:cstheme="minorHAnsi"/>
        </w:rPr>
        <w:t>than</w:t>
      </w:r>
      <w:r>
        <w:rPr>
          <w:rFonts w:cstheme="minorHAnsi"/>
        </w:rPr>
        <w:t xml:space="preserve"> </w:t>
      </w:r>
      <w:r w:rsidR="00726389">
        <w:rPr>
          <w:rFonts w:cstheme="minorHAnsi"/>
        </w:rPr>
        <w:t xml:space="preserve">in </w:t>
      </w:r>
      <w:r>
        <w:rPr>
          <w:rFonts w:cstheme="minorHAnsi"/>
        </w:rPr>
        <w:t xml:space="preserve">the rest of Australia due to </w:t>
      </w:r>
      <w:r w:rsidR="00AA18C4">
        <w:rPr>
          <w:rFonts w:cstheme="minorHAnsi"/>
        </w:rPr>
        <w:t xml:space="preserve">the State’s </w:t>
      </w:r>
      <w:r>
        <w:rPr>
          <w:rFonts w:cstheme="minorHAnsi"/>
        </w:rPr>
        <w:t>rapidly ageing population and high rates of chronic disease and cancers.</w:t>
      </w:r>
      <w:r>
        <w:rPr>
          <w:rStyle w:val="FootnoteReference"/>
          <w:rFonts w:cstheme="minorHAnsi"/>
        </w:rPr>
        <w:footnoteReference w:id="7"/>
      </w:r>
    </w:p>
    <w:p w:rsidR="00726389" w:rsidRPr="006777CE" w:rsidRDefault="009030C5" w:rsidP="00D222EB">
      <w:pPr>
        <w:shd w:val="clear" w:color="auto" w:fill="FFFFFF"/>
        <w:spacing w:before="240" w:after="120" w:line="276" w:lineRule="auto"/>
        <w:rPr>
          <w:rFonts w:eastAsia="Times New Roman" w:cstheme="minorHAnsi"/>
          <w:lang w:eastAsia="en-GB"/>
        </w:rPr>
      </w:pPr>
      <w:r w:rsidRPr="00DF5CA3">
        <w:rPr>
          <w:rFonts w:eastAsia="Times New Roman" w:cstheme="minorHAnsi"/>
          <w:color w:val="000000"/>
          <w:lang w:eastAsia="en-GB"/>
        </w:rPr>
        <w:t xml:space="preserve">This submission proposes </w:t>
      </w:r>
      <w:r w:rsidR="006777CE" w:rsidRPr="00DF5CA3">
        <w:rPr>
          <w:rFonts w:eastAsia="Times New Roman" w:cstheme="minorHAnsi"/>
          <w:color w:val="000000"/>
          <w:lang w:eastAsia="en-GB"/>
        </w:rPr>
        <w:t>way</w:t>
      </w:r>
      <w:r w:rsidR="00EE65CA" w:rsidRPr="00DF5CA3">
        <w:rPr>
          <w:rFonts w:eastAsia="Times New Roman" w:cstheme="minorHAnsi"/>
          <w:color w:val="000000"/>
          <w:lang w:eastAsia="en-GB"/>
        </w:rPr>
        <w:t>s that</w:t>
      </w:r>
      <w:r w:rsidR="006777CE" w:rsidRPr="00DF5CA3">
        <w:rPr>
          <w:rFonts w:eastAsia="Times New Roman" w:cstheme="minorHAnsi"/>
          <w:color w:val="000000"/>
          <w:lang w:eastAsia="en-GB"/>
        </w:rPr>
        <w:t xml:space="preserve"> </w:t>
      </w:r>
      <w:r w:rsidRPr="00DF5CA3">
        <w:rPr>
          <w:rFonts w:eastAsia="Times New Roman" w:cstheme="minorHAnsi"/>
          <w:color w:val="000000"/>
          <w:lang w:eastAsia="en-GB"/>
        </w:rPr>
        <w:t xml:space="preserve">the </w:t>
      </w:r>
      <w:r w:rsidR="005E54AB" w:rsidRPr="00DF5CA3">
        <w:rPr>
          <w:rFonts w:eastAsia="Times New Roman" w:cstheme="minorHAnsi"/>
          <w:color w:val="000000"/>
          <w:lang w:eastAsia="en-GB"/>
        </w:rPr>
        <w:t>Australian</w:t>
      </w:r>
      <w:r w:rsidRPr="00DF5CA3">
        <w:rPr>
          <w:rFonts w:eastAsia="Times New Roman" w:cstheme="minorHAnsi"/>
          <w:color w:val="000000"/>
          <w:lang w:eastAsia="en-GB"/>
        </w:rPr>
        <w:t xml:space="preserve"> Government </w:t>
      </w:r>
      <w:r w:rsidR="006777CE" w:rsidRPr="00DF5CA3">
        <w:rPr>
          <w:rFonts w:eastAsia="Times New Roman" w:cstheme="minorHAnsi"/>
          <w:color w:val="000000"/>
          <w:lang w:eastAsia="en-GB"/>
        </w:rPr>
        <w:t xml:space="preserve">can </w:t>
      </w:r>
      <w:r w:rsidRPr="00DF5CA3">
        <w:rPr>
          <w:rFonts w:eastAsia="Times New Roman" w:cstheme="minorHAnsi"/>
          <w:color w:val="000000"/>
          <w:lang w:eastAsia="en-GB"/>
        </w:rPr>
        <w:t xml:space="preserve">build on the momentum for change that has occurred </w:t>
      </w:r>
      <w:r w:rsidR="00EE65CA" w:rsidRPr="00DF5CA3">
        <w:rPr>
          <w:rFonts w:eastAsia="Times New Roman" w:cstheme="minorHAnsi"/>
          <w:color w:val="000000"/>
          <w:lang w:eastAsia="en-GB"/>
        </w:rPr>
        <w:t xml:space="preserve">under the BAPC program </w:t>
      </w:r>
      <w:r w:rsidR="00AA18C4" w:rsidRPr="00DF5CA3">
        <w:rPr>
          <w:rFonts w:eastAsia="Times New Roman" w:cstheme="minorHAnsi"/>
          <w:color w:val="000000"/>
          <w:lang w:eastAsia="en-GB"/>
        </w:rPr>
        <w:t>over the last four years in the way we manage death and dying in Australia</w:t>
      </w:r>
      <w:r w:rsidR="00EE65CA" w:rsidRPr="00DF5CA3">
        <w:rPr>
          <w:rFonts w:eastAsia="Times New Roman" w:cstheme="minorHAnsi"/>
          <w:color w:val="000000"/>
          <w:lang w:eastAsia="en-GB"/>
        </w:rPr>
        <w:t>.</w:t>
      </w:r>
      <w:r w:rsidR="00726389" w:rsidRPr="00DF5CA3">
        <w:rPr>
          <w:rFonts w:eastAsia="Times New Roman" w:cstheme="minorHAnsi"/>
          <w:color w:val="000000"/>
          <w:lang w:eastAsia="en-GB"/>
        </w:rPr>
        <w:t xml:space="preserve"> Our vision is to see a viable, sustainable and well-coordinated in-home </w:t>
      </w:r>
      <w:r w:rsidR="005E54AB" w:rsidRPr="00DF5CA3">
        <w:rPr>
          <w:rFonts w:eastAsia="Times New Roman" w:cstheme="minorHAnsi"/>
          <w:color w:val="000000"/>
          <w:lang w:eastAsia="en-GB"/>
        </w:rPr>
        <w:t>end of life</w:t>
      </w:r>
      <w:r w:rsidR="00726389" w:rsidRPr="00DF5CA3">
        <w:rPr>
          <w:rFonts w:eastAsia="Times New Roman" w:cstheme="minorHAnsi"/>
          <w:color w:val="000000"/>
          <w:lang w:eastAsia="en-GB"/>
        </w:rPr>
        <w:t xml:space="preserve"> care option available for all </w:t>
      </w:r>
      <w:r w:rsidR="005E54AB" w:rsidRPr="00DF5CA3">
        <w:rPr>
          <w:rFonts w:eastAsia="Times New Roman" w:cstheme="minorHAnsi"/>
          <w:color w:val="000000"/>
          <w:lang w:eastAsia="en-GB"/>
        </w:rPr>
        <w:t>Australians</w:t>
      </w:r>
      <w:r w:rsidR="00726389" w:rsidRPr="00DF5CA3">
        <w:rPr>
          <w:rFonts w:eastAsia="Times New Roman" w:cstheme="minorHAnsi"/>
          <w:color w:val="000000"/>
          <w:lang w:eastAsia="en-GB"/>
        </w:rPr>
        <w:t xml:space="preserve"> who wish to die at home</w:t>
      </w:r>
      <w:r w:rsidR="006777CE" w:rsidRPr="00DF5CA3">
        <w:rPr>
          <w:rFonts w:eastAsia="Times New Roman" w:cstheme="minorHAnsi"/>
          <w:color w:val="000000"/>
          <w:lang w:eastAsia="en-GB"/>
        </w:rPr>
        <w:t>.</w:t>
      </w:r>
      <w:r w:rsidR="00E662AC" w:rsidRPr="00DF5CA3">
        <w:rPr>
          <w:rFonts w:eastAsia="Times New Roman" w:cstheme="minorHAnsi"/>
          <w:color w:val="000000"/>
          <w:lang w:eastAsia="en-GB"/>
        </w:rPr>
        <w:t xml:space="preserve"> This option will complement other options (acute care and residential aged care) and will see </w:t>
      </w:r>
      <w:r w:rsidR="00502F63" w:rsidRPr="00DF5CA3">
        <w:rPr>
          <w:rFonts w:eastAsia="Times New Roman" w:cstheme="minorHAnsi"/>
          <w:color w:val="000000"/>
          <w:lang w:eastAsia="en-GB"/>
        </w:rPr>
        <w:t xml:space="preserve">primary health care providers, community based services, </w:t>
      </w:r>
      <w:r w:rsidR="00726389" w:rsidRPr="00DF5CA3">
        <w:rPr>
          <w:rFonts w:eastAsia="Times New Roman" w:cstheme="minorHAnsi"/>
          <w:color w:val="000000"/>
          <w:lang w:eastAsia="en-GB"/>
        </w:rPr>
        <w:t xml:space="preserve">specialist palliative care services, </w:t>
      </w:r>
      <w:r w:rsidR="00E662AC" w:rsidRPr="00DF5CA3">
        <w:rPr>
          <w:rFonts w:eastAsia="Times New Roman" w:cstheme="minorHAnsi"/>
          <w:color w:val="000000"/>
          <w:lang w:eastAsia="en-GB"/>
        </w:rPr>
        <w:t xml:space="preserve">and clients’ formal and informal networks working together to </w:t>
      </w:r>
      <w:r w:rsidR="00E662AC" w:rsidRPr="00DF5CA3">
        <w:rPr>
          <w:rFonts w:eastAsia="Times New Roman" w:cstheme="minorHAnsi"/>
          <w:lang w:eastAsia="en-GB"/>
        </w:rPr>
        <w:t>provide compassionate, client-centred care.</w:t>
      </w:r>
    </w:p>
    <w:p w:rsidR="006777CE" w:rsidRDefault="006777CE" w:rsidP="00D222EB">
      <w:pPr>
        <w:spacing w:after="60" w:line="276" w:lineRule="auto"/>
        <w:rPr>
          <w:rFonts w:cstheme="minorHAnsi"/>
          <w:b/>
          <w:color w:val="C45911" w:themeColor="accent2" w:themeShade="BF"/>
          <w:sz w:val="24"/>
          <w:szCs w:val="24"/>
        </w:rPr>
      </w:pPr>
    </w:p>
    <w:p w:rsidR="006777CE" w:rsidRDefault="006777CE" w:rsidP="00D222EB">
      <w:pPr>
        <w:spacing w:after="60" w:line="276" w:lineRule="auto"/>
        <w:rPr>
          <w:rFonts w:cstheme="minorHAnsi"/>
          <w:b/>
          <w:color w:val="C45911" w:themeColor="accent2" w:themeShade="BF"/>
          <w:sz w:val="24"/>
          <w:szCs w:val="24"/>
        </w:rPr>
      </w:pPr>
    </w:p>
    <w:p w:rsidR="006777CE" w:rsidRDefault="006777CE" w:rsidP="00D222EB">
      <w:pPr>
        <w:spacing w:after="60" w:line="276" w:lineRule="auto"/>
        <w:rPr>
          <w:rFonts w:cstheme="minorHAnsi"/>
          <w:b/>
          <w:color w:val="C45911" w:themeColor="accent2" w:themeShade="BF"/>
          <w:sz w:val="24"/>
          <w:szCs w:val="24"/>
        </w:rPr>
      </w:pPr>
    </w:p>
    <w:p w:rsidR="002B250A" w:rsidRDefault="002B250A" w:rsidP="00D222EB">
      <w:pPr>
        <w:rPr>
          <w:rFonts w:cstheme="minorHAnsi"/>
          <w:b/>
          <w:color w:val="C45911" w:themeColor="accent2" w:themeShade="BF"/>
          <w:sz w:val="24"/>
          <w:szCs w:val="24"/>
        </w:rPr>
      </w:pPr>
      <w:r>
        <w:rPr>
          <w:rFonts w:cstheme="minorHAnsi"/>
          <w:b/>
          <w:color w:val="C45911" w:themeColor="accent2" w:themeShade="BF"/>
          <w:sz w:val="24"/>
          <w:szCs w:val="24"/>
        </w:rPr>
        <w:br w:type="page"/>
      </w:r>
    </w:p>
    <w:p w:rsidR="0064751F" w:rsidRPr="00F722CD" w:rsidRDefault="0064751F" w:rsidP="00D222EB">
      <w:pPr>
        <w:spacing w:after="60" w:line="276" w:lineRule="auto"/>
        <w:rPr>
          <w:rFonts w:cstheme="minorHAnsi"/>
          <w:b/>
          <w:color w:val="C45911" w:themeColor="accent2" w:themeShade="BF"/>
          <w:sz w:val="24"/>
          <w:szCs w:val="24"/>
        </w:rPr>
      </w:pPr>
      <w:r w:rsidRPr="00F722CD">
        <w:rPr>
          <w:rFonts w:cstheme="minorHAnsi"/>
          <w:b/>
          <w:color w:val="C45911" w:themeColor="accent2" w:themeShade="BF"/>
          <w:sz w:val="24"/>
          <w:szCs w:val="24"/>
        </w:rPr>
        <w:t>The District Nurses</w:t>
      </w:r>
    </w:p>
    <w:p w:rsidR="0064751F" w:rsidRPr="0064751F" w:rsidRDefault="0064751F" w:rsidP="00D222EB">
      <w:pPr>
        <w:spacing w:line="276" w:lineRule="auto"/>
        <w:rPr>
          <w:rFonts w:eastAsia="Times New Roman" w:cstheme="minorHAnsi"/>
          <w:color w:val="000000"/>
          <w:lang w:eastAsia="en-GB"/>
        </w:rPr>
      </w:pPr>
      <w:r w:rsidRPr="0064751F">
        <w:rPr>
          <w:rFonts w:eastAsia="Times New Roman" w:cstheme="minorHAnsi"/>
          <w:color w:val="000000"/>
          <w:lang w:eastAsia="en-GB"/>
        </w:rPr>
        <w:t xml:space="preserve">The District Nurses </w:t>
      </w:r>
      <w:r w:rsidR="00FD7CD3">
        <w:rPr>
          <w:rFonts w:eastAsia="Times New Roman" w:cstheme="minorHAnsi"/>
          <w:color w:val="000000"/>
          <w:lang w:eastAsia="en-GB"/>
        </w:rPr>
        <w:t xml:space="preserve">(TDN) </w:t>
      </w:r>
      <w:r w:rsidR="00E6007B">
        <w:rPr>
          <w:rFonts w:eastAsia="Times New Roman" w:cstheme="minorHAnsi"/>
          <w:color w:val="000000"/>
          <w:lang w:eastAsia="en-GB"/>
        </w:rPr>
        <w:t>is a long-established and well-respected</w:t>
      </w:r>
      <w:r w:rsidRPr="0064751F">
        <w:rPr>
          <w:rFonts w:eastAsia="Times New Roman" w:cstheme="minorHAnsi"/>
          <w:color w:val="000000"/>
          <w:lang w:eastAsia="en-GB"/>
        </w:rPr>
        <w:t xml:space="preserve"> part of Tasmania’s primary health care landscape. We have grown and changed over the past </w:t>
      </w:r>
      <w:r w:rsidRPr="0064751F">
        <w:rPr>
          <w:rFonts w:cstheme="minorHAnsi"/>
        </w:rPr>
        <w:t>120</w:t>
      </w:r>
      <w:r w:rsidRPr="0064751F">
        <w:rPr>
          <w:rFonts w:eastAsia="Times New Roman" w:cstheme="minorHAnsi"/>
          <w:color w:val="000000"/>
          <w:lang w:eastAsia="en-GB"/>
        </w:rPr>
        <w:t xml:space="preserve"> years, continuously re-evaluating our service delivery to best meet the changing needs of </w:t>
      </w:r>
      <w:r w:rsidR="006777CE">
        <w:rPr>
          <w:rFonts w:eastAsia="Times New Roman" w:cstheme="minorHAnsi"/>
          <w:color w:val="000000"/>
          <w:lang w:eastAsia="en-GB"/>
        </w:rPr>
        <w:t>older Tasmanians</w:t>
      </w:r>
      <w:r w:rsidRPr="0064751F">
        <w:rPr>
          <w:rFonts w:eastAsia="Times New Roman" w:cstheme="minorHAnsi"/>
          <w:color w:val="000000"/>
          <w:lang w:eastAsia="en-GB"/>
        </w:rPr>
        <w:t xml:space="preserve">. </w:t>
      </w:r>
    </w:p>
    <w:p w:rsidR="0064751F" w:rsidRPr="0064751F" w:rsidRDefault="0064751F" w:rsidP="00D222EB">
      <w:pPr>
        <w:spacing w:line="276" w:lineRule="auto"/>
        <w:rPr>
          <w:rFonts w:eastAsia="Times New Roman" w:cstheme="minorHAnsi"/>
          <w:color w:val="000000"/>
          <w:lang w:eastAsia="en-GB"/>
        </w:rPr>
      </w:pPr>
      <w:r w:rsidRPr="0064751F">
        <w:rPr>
          <w:rFonts w:eastAsia="Times New Roman" w:cstheme="minorHAnsi"/>
          <w:color w:val="000000"/>
          <w:lang w:eastAsia="en-GB"/>
        </w:rPr>
        <w:t xml:space="preserve">With the opportunities provided through the </w:t>
      </w:r>
      <w:r w:rsidR="00D829D9">
        <w:rPr>
          <w:rFonts w:eastAsia="Times New Roman" w:cstheme="minorHAnsi"/>
          <w:color w:val="000000"/>
          <w:lang w:eastAsia="en-GB"/>
        </w:rPr>
        <w:t>hospice@HOME</w:t>
      </w:r>
      <w:r w:rsidRPr="0064751F">
        <w:rPr>
          <w:rFonts w:eastAsia="Times New Roman" w:cstheme="minorHAnsi"/>
          <w:color w:val="000000"/>
          <w:lang w:eastAsia="en-GB"/>
        </w:rPr>
        <w:t xml:space="preserve"> program, TDN has expanded its reach </w:t>
      </w:r>
      <w:r w:rsidR="00AA18C4" w:rsidRPr="0064751F">
        <w:rPr>
          <w:rFonts w:eastAsia="Times New Roman" w:cstheme="minorHAnsi"/>
          <w:color w:val="000000"/>
          <w:lang w:eastAsia="en-GB"/>
        </w:rPr>
        <w:t>statewide</w:t>
      </w:r>
      <w:r w:rsidR="00AA18C4">
        <w:rPr>
          <w:rFonts w:eastAsia="Times New Roman" w:cstheme="minorHAnsi"/>
          <w:color w:val="000000"/>
          <w:lang w:eastAsia="en-GB"/>
        </w:rPr>
        <w:t>.</w:t>
      </w:r>
      <w:r w:rsidRPr="0064751F">
        <w:rPr>
          <w:rFonts w:eastAsia="Times New Roman" w:cstheme="minorHAnsi"/>
          <w:color w:val="000000"/>
          <w:lang w:eastAsia="en-GB"/>
        </w:rPr>
        <w:t xml:space="preserve"> </w:t>
      </w:r>
      <w:r w:rsidR="00AA18C4">
        <w:rPr>
          <w:rFonts w:eastAsia="Times New Roman" w:cstheme="minorHAnsi"/>
          <w:color w:val="000000"/>
          <w:lang w:eastAsia="en-GB"/>
        </w:rPr>
        <w:t xml:space="preserve">It </w:t>
      </w:r>
      <w:r w:rsidRPr="0064751F">
        <w:rPr>
          <w:rFonts w:eastAsia="Times New Roman" w:cstheme="minorHAnsi"/>
          <w:color w:val="000000"/>
          <w:lang w:eastAsia="en-GB"/>
        </w:rPr>
        <w:t>has developed strong networks both within</w:t>
      </w:r>
      <w:r w:rsidR="00A27F6B">
        <w:rPr>
          <w:rFonts w:eastAsia="Times New Roman" w:cstheme="minorHAnsi"/>
          <w:color w:val="000000"/>
          <w:lang w:eastAsia="en-GB"/>
        </w:rPr>
        <w:t xml:space="preserve"> the</w:t>
      </w:r>
      <w:r w:rsidRPr="0064751F">
        <w:rPr>
          <w:rFonts w:eastAsia="Times New Roman" w:cstheme="minorHAnsi"/>
          <w:color w:val="000000"/>
          <w:lang w:eastAsia="en-GB"/>
        </w:rPr>
        <w:t xml:space="preserve"> public health</w:t>
      </w:r>
      <w:r w:rsidR="00E6007B">
        <w:rPr>
          <w:rFonts w:eastAsia="Times New Roman" w:cstheme="minorHAnsi"/>
          <w:color w:val="000000"/>
          <w:lang w:eastAsia="en-GB"/>
        </w:rPr>
        <w:t xml:space="preserve"> system</w:t>
      </w:r>
      <w:r w:rsidRPr="0064751F">
        <w:rPr>
          <w:rFonts w:eastAsia="Times New Roman" w:cstheme="minorHAnsi"/>
          <w:color w:val="000000"/>
          <w:lang w:eastAsia="en-GB"/>
        </w:rPr>
        <w:t xml:space="preserve"> and in local communities</w:t>
      </w:r>
      <w:r w:rsidR="00C03D8D">
        <w:rPr>
          <w:rFonts w:eastAsia="Times New Roman" w:cstheme="minorHAnsi"/>
          <w:color w:val="000000"/>
          <w:lang w:eastAsia="en-GB"/>
        </w:rPr>
        <w:t>,</w:t>
      </w:r>
      <w:r w:rsidRPr="0064751F">
        <w:rPr>
          <w:rFonts w:eastAsia="Times New Roman" w:cstheme="minorHAnsi"/>
          <w:color w:val="000000"/>
          <w:lang w:eastAsia="en-GB"/>
        </w:rPr>
        <w:t xml:space="preserve"> where it has brokered services from </w:t>
      </w:r>
      <w:r w:rsidR="00C638F0">
        <w:rPr>
          <w:rFonts w:eastAsia="Times New Roman" w:cstheme="minorHAnsi"/>
          <w:color w:val="000000"/>
          <w:lang w:eastAsia="en-GB"/>
        </w:rPr>
        <w:t>over 65</w:t>
      </w:r>
      <w:r w:rsidRPr="0064751F">
        <w:rPr>
          <w:rFonts w:eastAsia="Times New Roman" w:cstheme="minorHAnsi"/>
          <w:color w:val="000000"/>
          <w:lang w:eastAsia="en-GB"/>
        </w:rPr>
        <w:t xml:space="preserve"> different providers. </w:t>
      </w:r>
      <w:r w:rsidR="005924EA">
        <w:rPr>
          <w:rFonts w:eastAsia="Times New Roman" w:cstheme="minorHAnsi"/>
          <w:color w:val="000000"/>
          <w:lang w:eastAsia="en-GB"/>
        </w:rPr>
        <w:t>These providers</w:t>
      </w:r>
      <w:r w:rsidR="00FA36A6">
        <w:rPr>
          <w:rFonts w:eastAsia="Times New Roman" w:cstheme="minorHAnsi"/>
          <w:color w:val="000000"/>
          <w:lang w:eastAsia="en-GB"/>
        </w:rPr>
        <w:t xml:space="preserve"> </w:t>
      </w:r>
      <w:r w:rsidRPr="0064751F">
        <w:rPr>
          <w:rFonts w:eastAsia="Times New Roman" w:cstheme="minorHAnsi"/>
          <w:color w:val="000000"/>
          <w:lang w:eastAsia="en-GB"/>
        </w:rPr>
        <w:t>directly employ hundreds of Tasmanians and offer a broad range of services including community nursing, domestic assistance, home help, personal care, transport, equipment, and clinic-based treatment.</w:t>
      </w:r>
    </w:p>
    <w:p w:rsidR="0064751F" w:rsidRPr="0064751F" w:rsidRDefault="005924EA" w:rsidP="00D222EB">
      <w:pPr>
        <w:spacing w:line="276" w:lineRule="auto"/>
        <w:rPr>
          <w:rFonts w:eastAsia="Times New Roman" w:cstheme="minorHAnsi"/>
          <w:color w:val="000000"/>
          <w:lang w:eastAsia="en-GB"/>
        </w:rPr>
      </w:pPr>
      <w:r>
        <w:rPr>
          <w:rFonts w:eastAsia="Times New Roman" w:cstheme="minorHAnsi"/>
          <w:color w:val="000000"/>
          <w:lang w:eastAsia="en-GB"/>
        </w:rPr>
        <w:t>TDN</w:t>
      </w:r>
      <w:r w:rsidR="0064751F" w:rsidRPr="0064751F">
        <w:rPr>
          <w:rFonts w:eastAsia="Times New Roman" w:cstheme="minorHAnsi"/>
          <w:color w:val="000000"/>
          <w:lang w:eastAsia="en-GB"/>
        </w:rPr>
        <w:t xml:space="preserve"> understand that no single provider can </w:t>
      </w:r>
      <w:r w:rsidR="00C03D8D">
        <w:rPr>
          <w:rFonts w:eastAsia="Times New Roman" w:cstheme="minorHAnsi"/>
          <w:color w:val="000000"/>
          <w:lang w:eastAsia="en-GB"/>
        </w:rPr>
        <w:t>offer</w:t>
      </w:r>
      <w:r w:rsidR="0064751F" w:rsidRPr="0064751F">
        <w:rPr>
          <w:rFonts w:eastAsia="Times New Roman" w:cstheme="minorHAnsi"/>
          <w:color w:val="000000"/>
          <w:lang w:eastAsia="en-GB"/>
        </w:rPr>
        <w:t xml:space="preserve"> the holistic care necessary for clients and their families </w:t>
      </w:r>
      <w:r w:rsidR="005E54AB">
        <w:rPr>
          <w:rFonts w:eastAsia="Times New Roman" w:cstheme="minorHAnsi"/>
          <w:color w:val="000000"/>
          <w:lang w:eastAsia="en-GB"/>
        </w:rPr>
        <w:t>during their end of life journey</w:t>
      </w:r>
      <w:r w:rsidR="0064751F" w:rsidRPr="0064751F">
        <w:rPr>
          <w:rFonts w:eastAsia="Times New Roman" w:cstheme="minorHAnsi"/>
          <w:color w:val="000000"/>
          <w:lang w:eastAsia="en-GB"/>
        </w:rPr>
        <w:t xml:space="preserve">. We have spent considerable effort driving a collaborative approach towards care. Above all, we understand the value of good working relationships with government and have worked tirelessly to </w:t>
      </w:r>
      <w:r w:rsidR="00DB20CE">
        <w:rPr>
          <w:rFonts w:eastAsia="Times New Roman" w:cstheme="minorHAnsi"/>
          <w:color w:val="000000"/>
          <w:lang w:eastAsia="en-GB"/>
        </w:rPr>
        <w:t>foster those relationships</w:t>
      </w:r>
      <w:r w:rsidR="0064751F" w:rsidRPr="0064751F">
        <w:rPr>
          <w:rFonts w:eastAsia="Times New Roman" w:cstheme="minorHAnsi"/>
          <w:color w:val="000000"/>
          <w:lang w:eastAsia="en-GB"/>
        </w:rPr>
        <w:t>.</w:t>
      </w:r>
    </w:p>
    <w:p w:rsidR="008E3CA2" w:rsidRPr="00F722CD" w:rsidRDefault="008E3CA2" w:rsidP="00D222EB">
      <w:pPr>
        <w:spacing w:after="60" w:line="276" w:lineRule="auto"/>
        <w:rPr>
          <w:rFonts w:cstheme="minorHAnsi"/>
          <w:b/>
          <w:color w:val="C45911" w:themeColor="accent2" w:themeShade="BF"/>
          <w:sz w:val="24"/>
          <w:szCs w:val="24"/>
        </w:rPr>
      </w:pPr>
      <w:r w:rsidRPr="00F722CD">
        <w:rPr>
          <w:rFonts w:cstheme="minorHAnsi"/>
          <w:b/>
          <w:color w:val="C45911" w:themeColor="accent2" w:themeShade="BF"/>
          <w:sz w:val="24"/>
          <w:szCs w:val="24"/>
        </w:rPr>
        <w:t xml:space="preserve">Links with </w:t>
      </w:r>
      <w:r w:rsidR="005E54AB">
        <w:rPr>
          <w:rFonts w:cstheme="minorHAnsi"/>
          <w:b/>
          <w:color w:val="C45911" w:themeColor="accent2" w:themeShade="BF"/>
          <w:sz w:val="24"/>
          <w:szCs w:val="24"/>
        </w:rPr>
        <w:t>Australian</w:t>
      </w:r>
      <w:r w:rsidRPr="00F722CD">
        <w:rPr>
          <w:rFonts w:cstheme="minorHAnsi"/>
          <w:b/>
          <w:color w:val="C45911" w:themeColor="accent2" w:themeShade="BF"/>
          <w:sz w:val="24"/>
          <w:szCs w:val="24"/>
        </w:rPr>
        <w:t xml:space="preserve"> Government </w:t>
      </w:r>
      <w:r w:rsidR="00302A3F" w:rsidRPr="00F722CD">
        <w:rPr>
          <w:rFonts w:cstheme="minorHAnsi"/>
          <w:b/>
          <w:color w:val="C45911" w:themeColor="accent2" w:themeShade="BF"/>
          <w:sz w:val="24"/>
          <w:szCs w:val="24"/>
        </w:rPr>
        <w:t>priorities</w:t>
      </w:r>
    </w:p>
    <w:p w:rsidR="00633C86" w:rsidRPr="0063185F" w:rsidRDefault="00633C86" w:rsidP="00D222EB">
      <w:pPr>
        <w:spacing w:line="276" w:lineRule="auto"/>
        <w:rPr>
          <w:rFonts w:eastAsia="Times New Roman" w:cstheme="minorHAnsi"/>
          <w:lang w:eastAsia="en-GB"/>
        </w:rPr>
      </w:pPr>
      <w:r w:rsidRPr="0063185F">
        <w:rPr>
          <w:rFonts w:cstheme="minorHAnsi"/>
        </w:rPr>
        <w:t xml:space="preserve">TDN is confident the </w:t>
      </w:r>
      <w:r w:rsidR="00D829D9">
        <w:rPr>
          <w:rFonts w:cstheme="minorHAnsi"/>
        </w:rPr>
        <w:t>hospice@HOME</w:t>
      </w:r>
      <w:r w:rsidRPr="0063185F">
        <w:rPr>
          <w:rFonts w:cstheme="minorHAnsi"/>
        </w:rPr>
        <w:t xml:space="preserve"> program has not only met all expectations of both the Australian and Tasmanian governments but has far exceeded these expectations. It </w:t>
      </w:r>
      <w:r w:rsidRPr="0063185F">
        <w:rPr>
          <w:rFonts w:eastAsia="Times New Roman" w:cstheme="minorHAnsi"/>
          <w:lang w:eastAsia="en-GB"/>
        </w:rPr>
        <w:t>has proved highly successful during its four-year pilot phase and has been particularly effective in meeting the gaps in services, linking services around the needs of clients and their families, helping to build a high</w:t>
      </w:r>
      <w:r w:rsidR="00DB20CE">
        <w:rPr>
          <w:rFonts w:eastAsia="Times New Roman" w:cstheme="minorHAnsi"/>
          <w:lang w:eastAsia="en-GB"/>
        </w:rPr>
        <w:t>-</w:t>
      </w:r>
      <w:r w:rsidRPr="0063185F">
        <w:rPr>
          <w:rFonts w:eastAsia="Times New Roman" w:cstheme="minorHAnsi"/>
          <w:lang w:eastAsia="en-GB"/>
        </w:rPr>
        <w:t>quality end of life care sector in the community, and reducing the burden on the acute system.</w:t>
      </w:r>
    </w:p>
    <w:p w:rsidR="00294842" w:rsidRPr="0063185F" w:rsidRDefault="007731D4" w:rsidP="00D222EB">
      <w:pPr>
        <w:spacing w:line="276" w:lineRule="auto"/>
        <w:rPr>
          <w:rFonts w:eastAsia="Times New Roman" w:cstheme="minorHAnsi"/>
          <w:lang w:eastAsia="en-GB"/>
        </w:rPr>
      </w:pPr>
      <w:r w:rsidRPr="0063185F">
        <w:rPr>
          <w:rFonts w:eastAsia="Times New Roman" w:cstheme="minorHAnsi"/>
          <w:lang w:eastAsia="en-GB"/>
        </w:rPr>
        <w:t xml:space="preserve">As defined by the Australian Commission on Safety and Quality in Health Care (ACSQHC) end of life care straddles the health and community care systems. As such, there </w:t>
      </w:r>
      <w:r w:rsidR="00DB20CE">
        <w:rPr>
          <w:rFonts w:eastAsia="Times New Roman" w:cstheme="minorHAnsi"/>
          <w:lang w:eastAsia="en-GB"/>
        </w:rPr>
        <w:t>is</w:t>
      </w:r>
      <w:r w:rsidR="00DB20CE" w:rsidRPr="0063185F">
        <w:rPr>
          <w:rFonts w:eastAsia="Times New Roman" w:cstheme="minorHAnsi"/>
          <w:lang w:eastAsia="en-GB"/>
        </w:rPr>
        <w:t xml:space="preserve"> </w:t>
      </w:r>
      <w:r w:rsidRPr="0063185F">
        <w:rPr>
          <w:rFonts w:eastAsia="Times New Roman" w:cstheme="minorHAnsi"/>
          <w:lang w:eastAsia="en-GB"/>
        </w:rPr>
        <w:t xml:space="preserve">a </w:t>
      </w:r>
      <w:r w:rsidR="00C24C8F" w:rsidRPr="0063185F">
        <w:rPr>
          <w:rFonts w:eastAsia="Times New Roman" w:cstheme="minorHAnsi"/>
          <w:lang w:eastAsia="en-GB"/>
        </w:rPr>
        <w:t xml:space="preserve">broad </w:t>
      </w:r>
      <w:r w:rsidRPr="0063185F">
        <w:rPr>
          <w:rFonts w:eastAsia="Times New Roman" w:cstheme="minorHAnsi"/>
          <w:lang w:eastAsia="en-GB"/>
        </w:rPr>
        <w:t>range of Australian Government policies and priorities that i</w:t>
      </w:r>
      <w:r w:rsidR="00C24C8F" w:rsidRPr="0063185F">
        <w:rPr>
          <w:rFonts w:eastAsia="Times New Roman" w:cstheme="minorHAnsi"/>
          <w:lang w:eastAsia="en-GB"/>
        </w:rPr>
        <w:t>mpact end of life care, j</w:t>
      </w:r>
      <w:r w:rsidR="00633C86" w:rsidRPr="0063185F">
        <w:rPr>
          <w:rFonts w:eastAsia="Times New Roman" w:cstheme="minorHAnsi"/>
          <w:lang w:eastAsia="en-GB"/>
        </w:rPr>
        <w:t>u</w:t>
      </w:r>
      <w:r w:rsidR="00C24C8F" w:rsidRPr="0063185F">
        <w:rPr>
          <w:rFonts w:eastAsia="Times New Roman" w:cstheme="minorHAnsi"/>
          <w:lang w:eastAsia="en-GB"/>
        </w:rPr>
        <w:t>st a few that we note below.</w:t>
      </w:r>
    </w:p>
    <w:p w:rsidR="0039002D" w:rsidRPr="0063185F" w:rsidRDefault="00C24C8F" w:rsidP="00D222EB">
      <w:pPr>
        <w:spacing w:line="276" w:lineRule="auto"/>
        <w:rPr>
          <w:rFonts w:eastAsia="Times New Roman" w:cstheme="minorHAnsi"/>
          <w:lang w:eastAsia="en-GB"/>
        </w:rPr>
      </w:pPr>
      <w:r w:rsidRPr="0063185F">
        <w:rPr>
          <w:rFonts w:eastAsia="Times New Roman" w:cstheme="minorHAnsi"/>
          <w:lang w:eastAsia="en-GB"/>
        </w:rPr>
        <w:t xml:space="preserve">The operation of the </w:t>
      </w:r>
      <w:r w:rsidR="00D829D9">
        <w:rPr>
          <w:rFonts w:eastAsia="Times New Roman" w:cstheme="minorHAnsi"/>
          <w:lang w:eastAsia="en-GB"/>
        </w:rPr>
        <w:t>hospice@HOME</w:t>
      </w:r>
      <w:r w:rsidR="00F14400" w:rsidRPr="0063185F">
        <w:rPr>
          <w:rFonts w:eastAsia="Times New Roman" w:cstheme="minorHAnsi"/>
          <w:lang w:eastAsia="en-GB"/>
        </w:rPr>
        <w:t xml:space="preserve"> </w:t>
      </w:r>
      <w:r w:rsidRPr="0063185F">
        <w:rPr>
          <w:rFonts w:eastAsia="Times New Roman" w:cstheme="minorHAnsi"/>
          <w:lang w:eastAsia="en-GB"/>
        </w:rPr>
        <w:t xml:space="preserve">program </w:t>
      </w:r>
      <w:r w:rsidR="00F14400" w:rsidRPr="0063185F">
        <w:rPr>
          <w:rFonts w:eastAsia="Times New Roman" w:cstheme="minorHAnsi"/>
          <w:lang w:eastAsia="en-GB"/>
        </w:rPr>
        <w:t xml:space="preserve">is very much in line with the national policy direction for </w:t>
      </w:r>
      <w:r w:rsidR="007731D4" w:rsidRPr="0063185F">
        <w:rPr>
          <w:rFonts w:eastAsia="Times New Roman" w:cstheme="minorHAnsi"/>
          <w:lang w:eastAsia="en-GB"/>
        </w:rPr>
        <w:t>palliative</w:t>
      </w:r>
      <w:r w:rsidR="00F14400" w:rsidRPr="0063185F">
        <w:rPr>
          <w:rFonts w:eastAsia="Times New Roman" w:cstheme="minorHAnsi"/>
          <w:lang w:eastAsia="en-GB"/>
        </w:rPr>
        <w:t xml:space="preserve"> care set out in t</w:t>
      </w:r>
      <w:r w:rsidR="0039002D" w:rsidRPr="0063185F">
        <w:rPr>
          <w:rFonts w:eastAsia="Times New Roman" w:cstheme="minorHAnsi"/>
          <w:lang w:eastAsia="en-GB"/>
        </w:rPr>
        <w:t xml:space="preserve">he Australian Government’s document, </w:t>
      </w:r>
      <w:r w:rsidR="0039002D" w:rsidRPr="0063185F">
        <w:rPr>
          <w:rFonts w:eastAsia="Times New Roman" w:cstheme="minorHAnsi"/>
          <w:i/>
          <w:lang w:eastAsia="en-GB"/>
        </w:rPr>
        <w:t>National Strategy for Palliative Care 2010: Supporting Australians to Live Well at the End of Life</w:t>
      </w:r>
      <w:r w:rsidR="00A64D8F">
        <w:rPr>
          <w:rStyle w:val="FootnoteReference"/>
          <w:rFonts w:eastAsia="Times New Roman" w:cstheme="minorHAnsi"/>
          <w:i/>
          <w:lang w:eastAsia="en-GB"/>
        </w:rPr>
        <w:footnoteReference w:id="8"/>
      </w:r>
      <w:r w:rsidR="0039002D" w:rsidRPr="0063185F">
        <w:rPr>
          <w:rFonts w:eastAsia="Times New Roman" w:cstheme="minorHAnsi"/>
          <w:lang w:eastAsia="en-GB"/>
        </w:rPr>
        <w:t>,</w:t>
      </w:r>
      <w:r w:rsidR="00F57B13" w:rsidRPr="0063185F">
        <w:rPr>
          <w:rFonts w:eastAsia="Times New Roman" w:cstheme="minorHAnsi"/>
          <w:lang w:eastAsia="en-GB"/>
        </w:rPr>
        <w:t xml:space="preserve"> and its four goal areas for improving palliative care in Australia: awareness and understanding of death and dying, appropriateness and effectiveness of palliative care, national leadership and governance, and enhanced capacity and capa</w:t>
      </w:r>
      <w:r w:rsidRPr="0063185F">
        <w:rPr>
          <w:rFonts w:eastAsia="Times New Roman" w:cstheme="minorHAnsi"/>
          <w:lang w:eastAsia="en-GB"/>
        </w:rPr>
        <w:t xml:space="preserve">bility of all relevant sectors. TDN welcomes the findings of the evaluation of this Strategy and its consideration of how continuous improvement of palliative care in Australia can occur. </w:t>
      </w:r>
      <w:r w:rsidRPr="0063185F">
        <w:rPr>
          <w:rFonts w:cstheme="minorHAnsi"/>
        </w:rPr>
        <w:t>Likewise, t</w:t>
      </w:r>
      <w:r w:rsidR="0039002D" w:rsidRPr="0063185F">
        <w:rPr>
          <w:rFonts w:cstheme="minorHAnsi"/>
        </w:rPr>
        <w:t xml:space="preserve">he </w:t>
      </w:r>
      <w:r w:rsidR="0039002D" w:rsidRPr="0063185F">
        <w:rPr>
          <w:rFonts w:cstheme="minorHAnsi"/>
          <w:i/>
        </w:rPr>
        <w:t>National Palliative Care Standards</w:t>
      </w:r>
      <w:r w:rsidR="00A64D8F">
        <w:rPr>
          <w:rStyle w:val="FootnoteReference"/>
          <w:rFonts w:cstheme="minorHAnsi"/>
          <w:i/>
        </w:rPr>
        <w:footnoteReference w:id="9"/>
      </w:r>
      <w:r w:rsidR="0039002D" w:rsidRPr="0063185F">
        <w:rPr>
          <w:rFonts w:cstheme="minorHAnsi"/>
        </w:rPr>
        <w:t>, developed</w:t>
      </w:r>
      <w:r w:rsidR="00F14400" w:rsidRPr="0063185F">
        <w:rPr>
          <w:rFonts w:cstheme="minorHAnsi"/>
        </w:rPr>
        <w:t xml:space="preserve"> by Palliative Care Australia</w:t>
      </w:r>
      <w:r w:rsidRPr="0063185F">
        <w:rPr>
          <w:rFonts w:cstheme="minorHAnsi"/>
        </w:rPr>
        <w:t>, provide a key guiding document</w:t>
      </w:r>
      <w:r w:rsidR="0039002D" w:rsidRPr="0063185F">
        <w:rPr>
          <w:rFonts w:cstheme="minorHAnsi"/>
        </w:rPr>
        <w:t>.</w:t>
      </w:r>
    </w:p>
    <w:p w:rsidR="00D57CFF" w:rsidRPr="00DB20CE" w:rsidRDefault="006919B6" w:rsidP="00D222EB">
      <w:pPr>
        <w:spacing w:line="276" w:lineRule="auto"/>
        <w:rPr>
          <w:rFonts w:cstheme="minorHAnsi"/>
        </w:rPr>
      </w:pPr>
      <w:r w:rsidRPr="00DB20CE">
        <w:rPr>
          <w:rFonts w:eastAsia="Times New Roman" w:cstheme="minorHAnsi"/>
          <w:lang w:eastAsia="en-GB"/>
        </w:rPr>
        <w:t xml:space="preserve">The </w:t>
      </w:r>
      <w:r w:rsidR="00294842" w:rsidRPr="00DB20CE">
        <w:rPr>
          <w:rFonts w:eastAsia="Times New Roman" w:cstheme="minorHAnsi"/>
          <w:lang w:eastAsia="en-GB"/>
        </w:rPr>
        <w:t xml:space="preserve">national consensus statement produced by the Australian Commission on Safety and Quality in Health Care (the ACSQHC), </w:t>
      </w:r>
      <w:r w:rsidR="00294842" w:rsidRPr="00DB20CE">
        <w:rPr>
          <w:rFonts w:eastAsia="Times New Roman" w:cstheme="minorHAnsi"/>
          <w:i/>
          <w:lang w:eastAsia="en-GB"/>
        </w:rPr>
        <w:t>Essential elements for a safe and high-quality end-of-life care</w:t>
      </w:r>
      <w:r w:rsidR="00A64D8F" w:rsidRPr="00DB20CE">
        <w:rPr>
          <w:rStyle w:val="FootnoteReference"/>
          <w:rFonts w:cstheme="minorHAnsi"/>
          <w:i/>
        </w:rPr>
        <w:footnoteReference w:id="10"/>
      </w:r>
      <w:r w:rsidR="00AF281B" w:rsidRPr="00842D55">
        <w:rPr>
          <w:rFonts w:eastAsia="Times New Roman" w:cstheme="minorHAnsi"/>
          <w:lang w:eastAsia="en-GB"/>
        </w:rPr>
        <w:t xml:space="preserve">, </w:t>
      </w:r>
      <w:r w:rsidR="007731D4" w:rsidRPr="00DB20CE">
        <w:rPr>
          <w:rFonts w:eastAsia="Times New Roman" w:cstheme="minorHAnsi"/>
          <w:lang w:eastAsia="en-GB"/>
        </w:rPr>
        <w:t xml:space="preserve">is also highly relevant to </w:t>
      </w:r>
      <w:r w:rsidR="00D829D9" w:rsidRPr="00DB20CE">
        <w:rPr>
          <w:rFonts w:eastAsia="Times New Roman" w:cstheme="minorHAnsi"/>
          <w:lang w:eastAsia="en-GB"/>
        </w:rPr>
        <w:t>hospice@HOME</w:t>
      </w:r>
      <w:r w:rsidR="007731D4" w:rsidRPr="00DB20CE">
        <w:rPr>
          <w:rFonts w:eastAsia="Times New Roman" w:cstheme="minorHAnsi"/>
          <w:lang w:eastAsia="en-GB"/>
        </w:rPr>
        <w:t xml:space="preserve">. </w:t>
      </w:r>
      <w:r w:rsidR="00DB20CE">
        <w:rPr>
          <w:rFonts w:eastAsia="Times New Roman" w:cstheme="minorHAnsi"/>
          <w:lang w:eastAsia="en-GB"/>
        </w:rPr>
        <w:t>TDN</w:t>
      </w:r>
      <w:r w:rsidR="00C24C8F" w:rsidRPr="00DB20CE">
        <w:rPr>
          <w:rFonts w:eastAsia="Times New Roman" w:cstheme="minorHAnsi"/>
          <w:lang w:eastAsia="en-GB"/>
        </w:rPr>
        <w:t xml:space="preserve"> </w:t>
      </w:r>
      <w:r w:rsidR="00842D55">
        <w:rPr>
          <w:rFonts w:eastAsia="Times New Roman" w:cstheme="minorHAnsi"/>
          <w:lang w:eastAsia="en-GB"/>
        </w:rPr>
        <w:t>services are</w:t>
      </w:r>
      <w:r w:rsidR="00D57CFF" w:rsidRPr="00DB20CE">
        <w:rPr>
          <w:rFonts w:eastAsia="Times New Roman" w:cstheme="minorHAnsi"/>
          <w:lang w:eastAsia="en-GB"/>
        </w:rPr>
        <w:t xml:space="preserve"> very aware of the principles and essential elements of the Consensus Statement </w:t>
      </w:r>
      <w:r w:rsidR="00103FAB" w:rsidRPr="00DB20CE">
        <w:rPr>
          <w:rFonts w:eastAsia="Times New Roman" w:cstheme="minorHAnsi"/>
          <w:lang w:eastAsia="en-GB"/>
        </w:rPr>
        <w:t xml:space="preserve">and </w:t>
      </w:r>
      <w:r w:rsidR="00D57CFF" w:rsidRPr="00DB20CE">
        <w:rPr>
          <w:rFonts w:eastAsia="Times New Roman" w:cstheme="minorHAnsi"/>
          <w:lang w:eastAsia="en-GB"/>
        </w:rPr>
        <w:t xml:space="preserve">use them as a guide to improving the safety and quality of the end-of-life care that </w:t>
      </w:r>
      <w:r w:rsidR="00842D55">
        <w:rPr>
          <w:rFonts w:eastAsia="Times New Roman" w:cstheme="minorHAnsi"/>
          <w:lang w:eastAsia="en-GB"/>
        </w:rPr>
        <w:t>they</w:t>
      </w:r>
      <w:r w:rsidR="00D57CFF" w:rsidRPr="00DB20CE">
        <w:rPr>
          <w:rFonts w:eastAsia="Times New Roman" w:cstheme="minorHAnsi"/>
          <w:lang w:eastAsia="en-GB"/>
        </w:rPr>
        <w:t xml:space="preserve"> offer.</w:t>
      </w:r>
    </w:p>
    <w:p w:rsidR="0019528A" w:rsidRPr="0063185F" w:rsidRDefault="0019528A" w:rsidP="00D222EB">
      <w:pPr>
        <w:pStyle w:val="NormalWeb"/>
        <w:shd w:val="clear" w:color="auto" w:fill="FFFFFF"/>
        <w:spacing w:before="0" w:beforeAutospacing="0" w:after="225" w:afterAutospacing="0"/>
        <w:rPr>
          <w:rFonts w:asciiTheme="minorHAnsi" w:hAnsiTheme="minorHAnsi" w:cstheme="minorHAnsi"/>
          <w:sz w:val="22"/>
          <w:szCs w:val="22"/>
        </w:rPr>
      </w:pPr>
      <w:r w:rsidRPr="0063185F">
        <w:rPr>
          <w:rFonts w:asciiTheme="minorHAnsi" w:hAnsiTheme="minorHAnsi" w:cstheme="minorHAnsi"/>
          <w:sz w:val="22"/>
          <w:szCs w:val="22"/>
        </w:rPr>
        <w:t xml:space="preserve">The Productivity Commission’s 2011 report, </w:t>
      </w:r>
      <w:r w:rsidRPr="0063185F">
        <w:rPr>
          <w:rFonts w:asciiTheme="minorHAnsi" w:hAnsiTheme="minorHAnsi" w:cstheme="minorHAnsi"/>
          <w:i/>
          <w:sz w:val="22"/>
          <w:szCs w:val="22"/>
        </w:rPr>
        <w:t>Caring for Older Australians</w:t>
      </w:r>
      <w:r w:rsidR="00A64D8F">
        <w:rPr>
          <w:rStyle w:val="FootnoteReference"/>
          <w:rFonts w:asciiTheme="minorHAnsi" w:hAnsiTheme="minorHAnsi" w:cstheme="minorHAnsi"/>
          <w:i/>
          <w:sz w:val="22"/>
          <w:szCs w:val="22"/>
        </w:rPr>
        <w:footnoteReference w:id="11"/>
      </w:r>
      <w:r w:rsidRPr="0063185F">
        <w:rPr>
          <w:rFonts w:asciiTheme="minorHAnsi" w:hAnsiTheme="minorHAnsi" w:cstheme="minorHAnsi"/>
          <w:sz w:val="22"/>
          <w:szCs w:val="22"/>
        </w:rPr>
        <w:t xml:space="preserve">, identified a clear need for reform of the aged care system to make it easier to navigate, to </w:t>
      </w:r>
      <w:r w:rsidR="00842D55">
        <w:rPr>
          <w:rFonts w:asciiTheme="minorHAnsi" w:hAnsiTheme="minorHAnsi" w:cstheme="minorHAnsi"/>
          <w:sz w:val="22"/>
          <w:szCs w:val="22"/>
        </w:rPr>
        <w:t>increase</w:t>
      </w:r>
      <w:r w:rsidR="00842D55" w:rsidRPr="0063185F">
        <w:rPr>
          <w:rFonts w:asciiTheme="minorHAnsi" w:hAnsiTheme="minorHAnsi" w:cstheme="minorHAnsi"/>
          <w:sz w:val="22"/>
          <w:szCs w:val="22"/>
        </w:rPr>
        <w:t xml:space="preserve"> </w:t>
      </w:r>
      <w:r w:rsidRPr="0063185F">
        <w:rPr>
          <w:rFonts w:asciiTheme="minorHAnsi" w:hAnsiTheme="minorHAnsi" w:cstheme="minorHAnsi"/>
          <w:sz w:val="22"/>
          <w:szCs w:val="22"/>
        </w:rPr>
        <w:t xml:space="preserve">consumer choice, to ensure quality and consistency of services, and to </w:t>
      </w:r>
      <w:r w:rsidR="00842D55">
        <w:rPr>
          <w:rFonts w:asciiTheme="minorHAnsi" w:hAnsiTheme="minorHAnsi" w:cstheme="minorHAnsi"/>
          <w:sz w:val="22"/>
          <w:szCs w:val="22"/>
        </w:rPr>
        <w:t>enhance</w:t>
      </w:r>
      <w:r w:rsidR="00842D55" w:rsidRPr="0063185F">
        <w:rPr>
          <w:rFonts w:asciiTheme="minorHAnsi" w:hAnsiTheme="minorHAnsi" w:cstheme="minorHAnsi"/>
          <w:sz w:val="22"/>
          <w:szCs w:val="22"/>
        </w:rPr>
        <w:t xml:space="preserve"> </w:t>
      </w:r>
      <w:r w:rsidRPr="0063185F">
        <w:rPr>
          <w:rFonts w:asciiTheme="minorHAnsi" w:hAnsiTheme="minorHAnsi" w:cstheme="minorHAnsi"/>
          <w:sz w:val="22"/>
          <w:szCs w:val="22"/>
        </w:rPr>
        <w:t>system sustainability.</w:t>
      </w:r>
    </w:p>
    <w:p w:rsidR="0019528A" w:rsidRDefault="00BD7066" w:rsidP="00D222EB">
      <w:pPr>
        <w:pStyle w:val="NormalWeb"/>
        <w:shd w:val="clear" w:color="auto" w:fill="FFFFFF"/>
        <w:spacing w:before="0" w:beforeAutospacing="0" w:after="225" w:afterAutospacing="0"/>
        <w:rPr>
          <w:rFonts w:asciiTheme="minorHAnsi" w:hAnsiTheme="minorHAnsi" w:cstheme="minorHAnsi"/>
          <w:sz w:val="22"/>
          <w:szCs w:val="22"/>
        </w:rPr>
      </w:pPr>
      <w:r w:rsidRPr="0063185F">
        <w:rPr>
          <w:rFonts w:asciiTheme="minorHAnsi" w:hAnsiTheme="minorHAnsi" w:cstheme="minorHAnsi"/>
          <w:sz w:val="22"/>
          <w:szCs w:val="22"/>
        </w:rPr>
        <w:t xml:space="preserve">The subsequent </w:t>
      </w:r>
      <w:r w:rsidRPr="0063185F">
        <w:rPr>
          <w:rFonts w:asciiTheme="minorHAnsi" w:hAnsiTheme="minorHAnsi" w:cstheme="minorHAnsi"/>
          <w:i/>
          <w:sz w:val="22"/>
          <w:szCs w:val="22"/>
        </w:rPr>
        <w:t xml:space="preserve">Aged Care </w:t>
      </w:r>
      <w:r w:rsidR="00EE5DC0" w:rsidRPr="0063185F">
        <w:rPr>
          <w:rFonts w:asciiTheme="minorHAnsi" w:hAnsiTheme="minorHAnsi" w:cstheme="minorHAnsi"/>
          <w:i/>
          <w:sz w:val="22"/>
          <w:szCs w:val="22"/>
        </w:rPr>
        <w:t>Roadmap</w:t>
      </w:r>
      <w:r w:rsidR="00A64D8F">
        <w:rPr>
          <w:rStyle w:val="FootnoteReference"/>
          <w:rFonts w:asciiTheme="minorHAnsi" w:hAnsiTheme="minorHAnsi" w:cstheme="minorHAnsi"/>
          <w:i/>
          <w:sz w:val="22"/>
          <w:szCs w:val="22"/>
        </w:rPr>
        <w:footnoteReference w:id="12"/>
      </w:r>
      <w:r w:rsidR="00EE5DC0" w:rsidRPr="0063185F">
        <w:rPr>
          <w:rFonts w:asciiTheme="minorHAnsi" w:hAnsiTheme="minorHAnsi" w:cstheme="minorHAnsi"/>
          <w:sz w:val="22"/>
          <w:szCs w:val="22"/>
        </w:rPr>
        <w:t xml:space="preserve">, Aged Care Sector </w:t>
      </w:r>
      <w:r w:rsidR="00EE5DC0" w:rsidRPr="002B250A">
        <w:rPr>
          <w:rFonts w:asciiTheme="minorHAnsi" w:hAnsiTheme="minorHAnsi" w:cstheme="minorHAnsi"/>
          <w:i/>
          <w:sz w:val="22"/>
          <w:szCs w:val="22"/>
        </w:rPr>
        <w:t>Statement of Principles</w:t>
      </w:r>
      <w:r w:rsidR="00A64D8F">
        <w:rPr>
          <w:rStyle w:val="FootnoteReference"/>
          <w:rFonts w:asciiTheme="minorHAnsi" w:hAnsiTheme="minorHAnsi" w:cstheme="minorHAnsi"/>
          <w:i/>
          <w:sz w:val="22"/>
          <w:szCs w:val="22"/>
        </w:rPr>
        <w:footnoteReference w:id="13"/>
      </w:r>
      <w:r w:rsidR="00EE5DC0" w:rsidRPr="0063185F">
        <w:rPr>
          <w:rFonts w:asciiTheme="minorHAnsi" w:hAnsiTheme="minorHAnsi" w:cstheme="minorHAnsi"/>
          <w:sz w:val="22"/>
          <w:szCs w:val="22"/>
        </w:rPr>
        <w:t xml:space="preserve"> and the National Aged Care Alliance’s Blueprint, </w:t>
      </w:r>
      <w:r w:rsidR="00EE5DC0" w:rsidRPr="0063185F">
        <w:rPr>
          <w:rFonts w:asciiTheme="minorHAnsi" w:hAnsiTheme="minorHAnsi" w:cstheme="minorHAnsi"/>
          <w:i/>
          <w:sz w:val="22"/>
          <w:szCs w:val="22"/>
        </w:rPr>
        <w:t>Enhancing the quality of life of older people through better support and care</w:t>
      </w:r>
      <w:r w:rsidR="00A64D8F">
        <w:rPr>
          <w:rStyle w:val="FootnoteReference"/>
          <w:rFonts w:asciiTheme="minorHAnsi" w:hAnsiTheme="minorHAnsi" w:cstheme="minorHAnsi"/>
          <w:i/>
          <w:sz w:val="22"/>
          <w:szCs w:val="22"/>
        </w:rPr>
        <w:footnoteReference w:id="14"/>
      </w:r>
      <w:r w:rsidR="00EE5DC0" w:rsidRPr="0063185F">
        <w:rPr>
          <w:rFonts w:asciiTheme="minorHAnsi" w:hAnsiTheme="minorHAnsi" w:cstheme="minorHAnsi"/>
          <w:sz w:val="22"/>
          <w:szCs w:val="22"/>
        </w:rPr>
        <w:t xml:space="preserve">, </w:t>
      </w:r>
      <w:r w:rsidR="00530110" w:rsidRPr="0063185F">
        <w:rPr>
          <w:rFonts w:asciiTheme="minorHAnsi" w:hAnsiTheme="minorHAnsi" w:cstheme="minorHAnsi"/>
          <w:sz w:val="22"/>
          <w:szCs w:val="22"/>
        </w:rPr>
        <w:t xml:space="preserve">all provide consistent messages </w:t>
      </w:r>
      <w:r w:rsidR="00F56357" w:rsidRPr="0063185F">
        <w:rPr>
          <w:rFonts w:asciiTheme="minorHAnsi" w:hAnsiTheme="minorHAnsi" w:cstheme="minorHAnsi"/>
          <w:sz w:val="22"/>
          <w:szCs w:val="22"/>
        </w:rPr>
        <w:t>and future directions for</w:t>
      </w:r>
      <w:r w:rsidR="00530110" w:rsidRPr="0063185F">
        <w:rPr>
          <w:rFonts w:asciiTheme="minorHAnsi" w:hAnsiTheme="minorHAnsi" w:cstheme="minorHAnsi"/>
          <w:sz w:val="22"/>
          <w:szCs w:val="22"/>
        </w:rPr>
        <w:t xml:space="preserve"> end of life care in Australia.</w:t>
      </w:r>
      <w:r w:rsidR="00633C86" w:rsidRPr="0063185F">
        <w:rPr>
          <w:rFonts w:asciiTheme="minorHAnsi" w:hAnsiTheme="minorHAnsi" w:cstheme="minorHAnsi"/>
          <w:sz w:val="22"/>
          <w:szCs w:val="22"/>
        </w:rPr>
        <w:t xml:space="preserve"> TDN believes that </w:t>
      </w:r>
      <w:r w:rsidR="00D829D9">
        <w:rPr>
          <w:rFonts w:asciiTheme="minorHAnsi" w:hAnsiTheme="minorHAnsi" w:cstheme="minorHAnsi"/>
          <w:sz w:val="22"/>
          <w:szCs w:val="22"/>
        </w:rPr>
        <w:t>hospice@HOME</w:t>
      </w:r>
      <w:r w:rsidR="00633C86" w:rsidRPr="0063185F">
        <w:rPr>
          <w:rFonts w:asciiTheme="minorHAnsi" w:hAnsiTheme="minorHAnsi" w:cstheme="minorHAnsi"/>
          <w:sz w:val="22"/>
          <w:szCs w:val="22"/>
        </w:rPr>
        <w:t xml:space="preserve"> can provide a key element of these future directions.</w:t>
      </w:r>
    </w:p>
    <w:p w:rsidR="00C64F0F" w:rsidRPr="003B2DA1" w:rsidRDefault="004558A1" w:rsidP="00D222EB">
      <w:pPr>
        <w:pStyle w:val="NormalWeb"/>
        <w:shd w:val="clear" w:color="auto" w:fill="FFFFFF"/>
        <w:spacing w:before="0" w:beforeAutospacing="0" w:after="225" w:afterAutospacing="0"/>
        <w:rPr>
          <w:rFonts w:asciiTheme="minorHAnsi" w:hAnsiTheme="minorHAnsi" w:cstheme="minorHAnsi"/>
          <w:sz w:val="22"/>
          <w:szCs w:val="22"/>
        </w:rPr>
      </w:pPr>
      <w:r w:rsidRPr="003B2DA1">
        <w:rPr>
          <w:rFonts w:asciiTheme="minorHAnsi" w:hAnsiTheme="minorHAnsi" w:cstheme="minorHAnsi"/>
          <w:sz w:val="22"/>
          <w:szCs w:val="22"/>
        </w:rPr>
        <w:t xml:space="preserve">The recent Productivity Commission Issues Paper on </w:t>
      </w:r>
      <w:r w:rsidRPr="003B2DA1">
        <w:rPr>
          <w:rFonts w:asciiTheme="minorHAnsi" w:hAnsiTheme="minorHAnsi" w:cstheme="minorHAnsi"/>
          <w:i/>
          <w:sz w:val="22"/>
          <w:szCs w:val="22"/>
        </w:rPr>
        <w:t>Reforms to Human Services</w:t>
      </w:r>
      <w:r w:rsidRPr="003B2DA1">
        <w:rPr>
          <w:rStyle w:val="FootnoteReference"/>
          <w:rFonts w:asciiTheme="minorHAnsi" w:hAnsiTheme="minorHAnsi" w:cstheme="minorHAnsi"/>
          <w:i/>
          <w:sz w:val="22"/>
          <w:szCs w:val="22"/>
        </w:rPr>
        <w:footnoteReference w:id="15"/>
      </w:r>
      <w:r w:rsidRPr="003B2DA1">
        <w:rPr>
          <w:rFonts w:asciiTheme="minorHAnsi" w:hAnsiTheme="minorHAnsi" w:cstheme="minorHAnsi"/>
          <w:i/>
          <w:sz w:val="22"/>
          <w:szCs w:val="22"/>
        </w:rPr>
        <w:t xml:space="preserve"> </w:t>
      </w:r>
      <w:r w:rsidRPr="003B2DA1">
        <w:rPr>
          <w:rFonts w:asciiTheme="minorHAnsi" w:hAnsiTheme="minorHAnsi" w:cstheme="minorHAnsi"/>
          <w:sz w:val="22"/>
          <w:szCs w:val="22"/>
        </w:rPr>
        <w:t xml:space="preserve">comments specifically on end-of-life care services in Australia and </w:t>
      </w:r>
      <w:r w:rsidR="00B5267F" w:rsidRPr="003B2DA1">
        <w:rPr>
          <w:rFonts w:asciiTheme="minorHAnsi" w:hAnsiTheme="minorHAnsi" w:cstheme="minorHAnsi"/>
          <w:sz w:val="22"/>
          <w:szCs w:val="22"/>
        </w:rPr>
        <w:t>proposes a tailored service to ‘bundle’ services to meet the needs of individuals with life-limiting illness. The Commission notes that ‘high-quality end-of-life care will often involve coordinating diverse services, some of which will be non-medical, across a range of settings.’ It acknowledges that most Australians would like to be given the choice to die at home and seeks information on how patients can remain at the centre of service provision at a time when they ’may lack the capacity to make decisions about their end-of-life care.</w:t>
      </w:r>
      <w:r w:rsidR="003B2DA1" w:rsidRPr="003B2DA1">
        <w:rPr>
          <w:rFonts w:asciiTheme="minorHAnsi" w:hAnsiTheme="minorHAnsi" w:cstheme="minorHAnsi"/>
          <w:sz w:val="22"/>
          <w:szCs w:val="22"/>
        </w:rPr>
        <w:t>’</w:t>
      </w:r>
    </w:p>
    <w:p w:rsidR="00C64F0F" w:rsidRPr="003B2DA1" w:rsidRDefault="00C64F0F" w:rsidP="00D222EB">
      <w:pPr>
        <w:pStyle w:val="NormalWeb"/>
        <w:shd w:val="clear" w:color="auto" w:fill="FFFFFF"/>
        <w:spacing w:before="0" w:beforeAutospacing="0" w:after="225" w:afterAutospacing="0"/>
        <w:rPr>
          <w:rFonts w:asciiTheme="minorHAnsi" w:hAnsiTheme="minorHAnsi" w:cstheme="minorHAnsi"/>
          <w:sz w:val="22"/>
          <w:szCs w:val="22"/>
        </w:rPr>
      </w:pPr>
      <w:r w:rsidRPr="003B2DA1">
        <w:rPr>
          <w:rFonts w:asciiTheme="minorHAnsi" w:hAnsiTheme="minorHAnsi" w:cstheme="minorHAnsi"/>
          <w:sz w:val="22"/>
          <w:szCs w:val="22"/>
        </w:rPr>
        <w:t xml:space="preserve">TDN notes </w:t>
      </w:r>
      <w:r w:rsidR="003B2DA1" w:rsidRPr="003B2DA1">
        <w:rPr>
          <w:rFonts w:asciiTheme="minorHAnsi" w:hAnsiTheme="minorHAnsi" w:cstheme="minorHAnsi"/>
          <w:sz w:val="22"/>
          <w:szCs w:val="22"/>
        </w:rPr>
        <w:t>the issues raised in the Productivity Commission’s report and agrees with the intent to ‘introduce greater competition, contestability and user choice to end-of-life services’. We believe that a model of care based on hospice @HOME would provide a viable solution to the issues raised by the Commission and will be making a submission to the Commission expanding on the proposal outlined in this submission.</w:t>
      </w:r>
    </w:p>
    <w:p w:rsidR="00910E12" w:rsidRPr="00F722CD" w:rsidRDefault="006738F1" w:rsidP="00D222EB">
      <w:pPr>
        <w:spacing w:after="60" w:line="276" w:lineRule="auto"/>
        <w:rPr>
          <w:rFonts w:cstheme="minorHAnsi"/>
          <w:b/>
          <w:color w:val="C45911" w:themeColor="accent2" w:themeShade="BF"/>
          <w:sz w:val="24"/>
          <w:szCs w:val="24"/>
        </w:rPr>
      </w:pPr>
      <w:r w:rsidRPr="00F722CD">
        <w:rPr>
          <w:rFonts w:cstheme="minorHAnsi"/>
          <w:b/>
          <w:color w:val="C45911" w:themeColor="accent2" w:themeShade="BF"/>
          <w:sz w:val="24"/>
          <w:szCs w:val="24"/>
        </w:rPr>
        <w:t xml:space="preserve">The </w:t>
      </w:r>
      <w:r w:rsidR="00D829D9">
        <w:rPr>
          <w:rFonts w:cstheme="minorHAnsi"/>
          <w:b/>
          <w:color w:val="C45911" w:themeColor="accent2" w:themeShade="BF"/>
          <w:sz w:val="24"/>
          <w:szCs w:val="24"/>
        </w:rPr>
        <w:t>hospice@HOME</w:t>
      </w:r>
      <w:r w:rsidRPr="00F722CD">
        <w:rPr>
          <w:rFonts w:cstheme="minorHAnsi"/>
          <w:b/>
          <w:color w:val="C45911" w:themeColor="accent2" w:themeShade="BF"/>
          <w:sz w:val="24"/>
          <w:szCs w:val="24"/>
        </w:rPr>
        <w:t xml:space="preserve"> Program</w:t>
      </w:r>
    </w:p>
    <w:p w:rsidR="005042A5" w:rsidRDefault="0090340C" w:rsidP="00D222EB">
      <w:pPr>
        <w:spacing w:line="276" w:lineRule="auto"/>
        <w:rPr>
          <w:rFonts w:cstheme="minorHAnsi"/>
        </w:rPr>
      </w:pPr>
      <w:r w:rsidRPr="00DF5CA3">
        <w:rPr>
          <w:rFonts w:cstheme="minorHAnsi"/>
        </w:rPr>
        <w:t xml:space="preserve">The </w:t>
      </w:r>
      <w:r w:rsidR="00D829D9" w:rsidRPr="00DF5CA3">
        <w:rPr>
          <w:rFonts w:cstheme="minorHAnsi"/>
        </w:rPr>
        <w:t>hospice@HOME</w:t>
      </w:r>
      <w:r w:rsidRPr="00DF5CA3">
        <w:rPr>
          <w:rFonts w:cstheme="minorHAnsi"/>
        </w:rPr>
        <w:t xml:space="preserve"> program </w:t>
      </w:r>
      <w:r w:rsidR="00AE35ED" w:rsidRPr="00DF5CA3">
        <w:rPr>
          <w:rFonts w:cstheme="minorHAnsi"/>
        </w:rPr>
        <w:t>w</w:t>
      </w:r>
      <w:r w:rsidR="009D2D94" w:rsidRPr="00DF5CA3">
        <w:rPr>
          <w:rFonts w:cstheme="minorHAnsi"/>
        </w:rPr>
        <w:t xml:space="preserve">as </w:t>
      </w:r>
      <w:r w:rsidRPr="00DF5CA3">
        <w:rPr>
          <w:rFonts w:cstheme="minorHAnsi"/>
        </w:rPr>
        <w:t>funded through the Australian Government’s Tasmanian Health Assis</w:t>
      </w:r>
      <w:r w:rsidR="005E54AB" w:rsidRPr="00DF5CA3">
        <w:rPr>
          <w:rFonts w:cstheme="minorHAnsi"/>
        </w:rPr>
        <w:t xml:space="preserve">tance Package, as part of the </w:t>
      </w:r>
      <w:r w:rsidR="00A27F6B" w:rsidRPr="00DF5CA3">
        <w:rPr>
          <w:rFonts w:cstheme="minorHAnsi"/>
        </w:rPr>
        <w:t>BAPC</w:t>
      </w:r>
      <w:r w:rsidRPr="00DF5CA3">
        <w:rPr>
          <w:rFonts w:cstheme="minorHAnsi"/>
        </w:rPr>
        <w:t xml:space="preserve"> program</w:t>
      </w:r>
      <w:r w:rsidR="009D2D94" w:rsidRPr="00DF5CA3">
        <w:rPr>
          <w:rFonts w:cstheme="minorHAnsi"/>
        </w:rPr>
        <w:t>, i</w:t>
      </w:r>
      <w:r w:rsidR="00D66CDF" w:rsidRPr="00DF5CA3">
        <w:rPr>
          <w:rFonts w:cstheme="minorHAnsi"/>
        </w:rPr>
        <w:t xml:space="preserve">nitially for three years, </w:t>
      </w:r>
      <w:r w:rsidR="009D2D94" w:rsidRPr="00DF5CA3">
        <w:rPr>
          <w:rFonts w:cstheme="minorHAnsi"/>
        </w:rPr>
        <w:t xml:space="preserve">with a further one year extension </w:t>
      </w:r>
      <w:r w:rsidR="005042A5" w:rsidRPr="00DF5CA3">
        <w:rPr>
          <w:rFonts w:cstheme="minorHAnsi"/>
        </w:rPr>
        <w:t xml:space="preserve">using budget savings. All funding will cease in June </w:t>
      </w:r>
      <w:r w:rsidR="00A27F6B" w:rsidRPr="00DF5CA3">
        <w:rPr>
          <w:rFonts w:cstheme="minorHAnsi"/>
        </w:rPr>
        <w:t>2017</w:t>
      </w:r>
      <w:r w:rsidR="005042A5" w:rsidRPr="00DF5CA3">
        <w:rPr>
          <w:rFonts w:cstheme="minorHAnsi"/>
        </w:rPr>
        <w:t>.</w:t>
      </w:r>
      <w:r w:rsidR="005042A5">
        <w:rPr>
          <w:rFonts w:cstheme="minorHAnsi"/>
        </w:rPr>
        <w:t xml:space="preserve"> </w:t>
      </w:r>
    </w:p>
    <w:p w:rsidR="00EE0C1C" w:rsidRDefault="00D829D9" w:rsidP="00D222EB">
      <w:pPr>
        <w:spacing w:line="276" w:lineRule="auto"/>
        <w:rPr>
          <w:rFonts w:cstheme="minorHAnsi"/>
        </w:rPr>
      </w:pPr>
      <w:r>
        <w:rPr>
          <w:rFonts w:cstheme="minorHAnsi"/>
        </w:rPr>
        <w:t>hospice@HOME</w:t>
      </w:r>
      <w:r w:rsidR="005042A5">
        <w:rPr>
          <w:rFonts w:cstheme="minorHAnsi"/>
        </w:rPr>
        <w:t xml:space="preserve"> </w:t>
      </w:r>
      <w:r w:rsidR="007A0040">
        <w:rPr>
          <w:rFonts w:cstheme="minorHAnsi"/>
        </w:rPr>
        <w:t>provides a ‘wrap-around’ service model, topping up and complementing existing services and building a package around the specific needs of the client. Services might include nursing</w:t>
      </w:r>
      <w:r w:rsidR="00A27F6B">
        <w:rPr>
          <w:rFonts w:cstheme="minorHAnsi"/>
        </w:rPr>
        <w:t>,</w:t>
      </w:r>
      <w:r w:rsidR="007A0040">
        <w:rPr>
          <w:rFonts w:cstheme="minorHAnsi"/>
        </w:rPr>
        <w:t xml:space="preserve"> personal care, home help, home maintenance</w:t>
      </w:r>
      <w:r w:rsidR="00E04C30">
        <w:rPr>
          <w:rFonts w:cstheme="minorHAnsi"/>
        </w:rPr>
        <w:t xml:space="preserve">, equipment </w:t>
      </w:r>
      <w:r w:rsidR="007A0040">
        <w:rPr>
          <w:rFonts w:cstheme="minorHAnsi"/>
        </w:rPr>
        <w:t>and respite; or the less traditional areas of child care, gardening, dog-walking, music therapy, art therapy and massage.</w:t>
      </w:r>
    </w:p>
    <w:p w:rsidR="00DF5CA3" w:rsidRPr="00DF5CA3" w:rsidRDefault="00DF5CA3" w:rsidP="00DF5CA3">
      <w:pPr>
        <w:spacing w:line="276" w:lineRule="auto"/>
        <w:rPr>
          <w:rFonts w:cstheme="minorHAnsi"/>
        </w:rPr>
      </w:pPr>
      <w:r w:rsidRPr="00DF5CA3">
        <w:rPr>
          <w:rFonts w:cstheme="minorHAnsi"/>
        </w:rPr>
        <w:t xml:space="preserve">hospice@HOME packages intersect seamlessly with the current health system to ensure quality, timely and equitable responsiveness for all clients. Packages can commence immediately with no waiting period. A key aspect of the packages is collaboration with other services. </w:t>
      </w:r>
      <w:r w:rsidR="00551EE0">
        <w:rPr>
          <w:rFonts w:cstheme="minorHAnsi"/>
        </w:rPr>
        <w:t>hospice@HOME</w:t>
      </w:r>
      <w:r w:rsidRPr="00DF5CA3">
        <w:rPr>
          <w:rFonts w:cstheme="minorHAnsi"/>
        </w:rPr>
        <w:t xml:space="preserve"> staff provide care coordination and end-of-life care navigation. These services often commence before the person receiving the package leaves an Acute Care facility.</w:t>
      </w:r>
    </w:p>
    <w:p w:rsidR="00DF5CA3" w:rsidRPr="00DF5CA3" w:rsidRDefault="00DF5CA3" w:rsidP="00D222EB">
      <w:pPr>
        <w:spacing w:line="276" w:lineRule="auto"/>
        <w:rPr>
          <w:rFonts w:cstheme="minorHAnsi"/>
        </w:rPr>
      </w:pPr>
      <w:r w:rsidRPr="00DF5CA3">
        <w:rPr>
          <w:rFonts w:cstheme="minorHAnsi"/>
        </w:rPr>
        <w:t>Referrals proceed either through My Aged Care or, if urgent, through the TasCarePoint portal. hospice@HOME contacts all package recipients on receipt of a referral, as well as the client’s GP and the Specialist Palliative Care Service (SPCS) if they have been involved with the client. The GP is required to confirm eligibility for a package on the basis that the client is ‘likely to die in the next 12 months’. The GP is deemed the primary provider of care for all the packages unless the GP requests that the SPCS take over the role of primary provider.</w:t>
      </w:r>
    </w:p>
    <w:p w:rsidR="00C1125B" w:rsidRPr="00DF5CA3" w:rsidRDefault="00DF5CA3" w:rsidP="00D222EB">
      <w:pPr>
        <w:spacing w:line="276" w:lineRule="auto"/>
        <w:rPr>
          <w:rFonts w:cstheme="minorHAnsi"/>
        </w:rPr>
      </w:pPr>
      <w:r w:rsidRPr="00DF5CA3">
        <w:rPr>
          <w:rFonts w:cstheme="minorHAnsi"/>
          <w:b/>
        </w:rPr>
        <w:t>T</w:t>
      </w:r>
      <w:r w:rsidR="00C1125B" w:rsidRPr="00DF5CA3">
        <w:rPr>
          <w:rFonts w:cstheme="minorHAnsi"/>
          <w:b/>
        </w:rPr>
        <w:t>he hospice@HOME program has been demonstrated to deliver considerable savings to the healthcare system.</w:t>
      </w:r>
      <w:r w:rsidR="00C1125B" w:rsidRPr="00DF5CA3">
        <w:rPr>
          <w:rFonts w:cstheme="minorHAnsi"/>
        </w:rPr>
        <w:t xml:space="preserve"> In a report prepared for </w:t>
      </w:r>
      <w:r w:rsidR="005924EA">
        <w:rPr>
          <w:rFonts w:cstheme="minorHAnsi"/>
        </w:rPr>
        <w:t>TDN</w:t>
      </w:r>
      <w:r w:rsidR="00C1125B" w:rsidRPr="00DF5CA3">
        <w:rPr>
          <w:rFonts w:cstheme="minorHAnsi"/>
        </w:rPr>
        <w:t xml:space="preserve"> in December 2015, Quantitative analysis of outcomes of the Better Access to Palliative Care in Tasmania program, KPHealth identified </w:t>
      </w:r>
      <w:r w:rsidR="00C1125B" w:rsidRPr="00DF5CA3">
        <w:rPr>
          <w:rFonts w:cstheme="minorHAnsi"/>
          <w:b/>
        </w:rPr>
        <w:t>savings of $3,975 per client resulting from reduced use of hospital services</w:t>
      </w:r>
      <w:r w:rsidR="00C1125B" w:rsidRPr="00DF5CA3">
        <w:rPr>
          <w:rFonts w:cstheme="minorHAnsi"/>
        </w:rPr>
        <w:t xml:space="preserve"> (ward beds, </w:t>
      </w:r>
      <w:r w:rsidR="00AF5663">
        <w:rPr>
          <w:rFonts w:cstheme="minorHAnsi"/>
        </w:rPr>
        <w:t>Intensive Care Units (</w:t>
      </w:r>
      <w:r w:rsidR="00C1125B" w:rsidRPr="00DF5CA3">
        <w:rPr>
          <w:rFonts w:cstheme="minorHAnsi"/>
        </w:rPr>
        <w:t>ICU</w:t>
      </w:r>
      <w:r w:rsidR="00AF5663">
        <w:rPr>
          <w:rFonts w:cstheme="minorHAnsi"/>
        </w:rPr>
        <w:t>)</w:t>
      </w:r>
      <w:r w:rsidR="00C1125B" w:rsidRPr="00DF5CA3">
        <w:rPr>
          <w:rFonts w:cstheme="minorHAnsi"/>
        </w:rPr>
        <w:t xml:space="preserve"> and </w:t>
      </w:r>
      <w:r w:rsidR="00AF5663">
        <w:rPr>
          <w:rFonts w:cstheme="minorHAnsi"/>
        </w:rPr>
        <w:t>Emergency Departments(</w:t>
      </w:r>
      <w:r w:rsidR="00AF5663" w:rsidRPr="00DF5CA3">
        <w:rPr>
          <w:rFonts w:cstheme="minorHAnsi"/>
        </w:rPr>
        <w:t>E</w:t>
      </w:r>
      <w:r w:rsidR="00C1125B" w:rsidRPr="00DF5CA3">
        <w:rPr>
          <w:rFonts w:cstheme="minorHAnsi"/>
        </w:rPr>
        <w:t>D</w:t>
      </w:r>
      <w:r w:rsidR="00AF5663">
        <w:rPr>
          <w:rFonts w:cstheme="minorHAnsi"/>
        </w:rPr>
        <w:t>)</w:t>
      </w:r>
      <w:r w:rsidR="00C1125B" w:rsidRPr="00DF5CA3">
        <w:rPr>
          <w:rFonts w:cstheme="minorHAnsi"/>
        </w:rPr>
        <w:t xml:space="preserve"> costs). This figure is an underestimate of overall savings as it does not include reduced use of ambulance services by hospice@HOME clients. While these savings would primarily benefit the Tasmanian health system, they also have considerable implications nationally for the Australian Government.</w:t>
      </w:r>
    </w:p>
    <w:p w:rsidR="00DF5CA3" w:rsidRDefault="00DF5CA3" w:rsidP="00D222EB">
      <w:pPr>
        <w:spacing w:line="276" w:lineRule="auto"/>
        <w:rPr>
          <w:rFonts w:cstheme="minorHAnsi"/>
          <w:color w:val="FF0000"/>
        </w:rPr>
      </w:pPr>
    </w:p>
    <w:p w:rsidR="00DF5CA3" w:rsidRPr="00DF5CA3" w:rsidRDefault="00DF5CA3" w:rsidP="00DF5CA3">
      <w:pPr>
        <w:spacing w:after="60" w:line="276" w:lineRule="auto"/>
        <w:rPr>
          <w:rFonts w:cstheme="minorHAnsi"/>
          <w:b/>
          <w:color w:val="C45911" w:themeColor="accent2" w:themeShade="BF"/>
          <w:sz w:val="24"/>
          <w:szCs w:val="24"/>
        </w:rPr>
      </w:pPr>
      <w:r w:rsidRPr="00DF5CA3">
        <w:rPr>
          <w:rFonts w:cstheme="minorHAnsi"/>
          <w:b/>
          <w:color w:val="C45911" w:themeColor="accent2" w:themeShade="BF"/>
          <w:sz w:val="24"/>
          <w:szCs w:val="24"/>
        </w:rPr>
        <w:t xml:space="preserve">Achievements of the </w:t>
      </w:r>
      <w:r w:rsidR="00551EE0">
        <w:rPr>
          <w:rFonts w:cstheme="minorHAnsi"/>
          <w:b/>
          <w:color w:val="C45911" w:themeColor="accent2" w:themeShade="BF"/>
          <w:sz w:val="24"/>
          <w:szCs w:val="24"/>
        </w:rPr>
        <w:t>hospice@HOME</w:t>
      </w:r>
      <w:r w:rsidRPr="00DF5CA3">
        <w:rPr>
          <w:rFonts w:cstheme="minorHAnsi"/>
          <w:b/>
          <w:color w:val="C45911" w:themeColor="accent2" w:themeShade="BF"/>
          <w:sz w:val="24"/>
          <w:szCs w:val="24"/>
        </w:rPr>
        <w:t xml:space="preserve"> program</w:t>
      </w:r>
    </w:p>
    <w:p w:rsidR="00D4792F" w:rsidRDefault="00D4792F" w:rsidP="00D222EB">
      <w:pPr>
        <w:spacing w:line="276" w:lineRule="auto"/>
        <w:rPr>
          <w:rFonts w:cstheme="minorHAnsi"/>
        </w:rPr>
      </w:pPr>
      <w:r>
        <w:rPr>
          <w:rFonts w:cstheme="minorHAnsi"/>
        </w:rPr>
        <w:t xml:space="preserve">Some of the key </w:t>
      </w:r>
      <w:r w:rsidR="00C349F7">
        <w:rPr>
          <w:rFonts w:cstheme="minorHAnsi"/>
        </w:rPr>
        <w:t>achievements</w:t>
      </w:r>
      <w:r>
        <w:rPr>
          <w:rFonts w:cstheme="minorHAnsi"/>
        </w:rPr>
        <w:t xml:space="preserve"> of the program are as follows.</w:t>
      </w:r>
    </w:p>
    <w:p w:rsidR="00C349F7" w:rsidRPr="00545A9C" w:rsidRDefault="00C349F7" w:rsidP="00D222EB">
      <w:pPr>
        <w:spacing w:after="0" w:line="276" w:lineRule="auto"/>
        <w:rPr>
          <w:rStyle w:val="IntenseEmphasis"/>
          <w:b/>
          <w:color w:val="2F5496" w:themeColor="accent5" w:themeShade="BF"/>
        </w:rPr>
      </w:pPr>
      <w:r w:rsidRPr="00545A9C">
        <w:rPr>
          <w:rStyle w:val="IntenseEmphasis"/>
          <w:b/>
          <w:color w:val="2F5496" w:themeColor="accent5" w:themeShade="BF"/>
        </w:rPr>
        <w:t>Client outcomes</w:t>
      </w:r>
    </w:p>
    <w:p w:rsidR="00C349F7" w:rsidRPr="00C349F7" w:rsidRDefault="00D829D9" w:rsidP="00D222EB">
      <w:pPr>
        <w:spacing w:line="276" w:lineRule="auto"/>
        <w:rPr>
          <w:rFonts w:cstheme="minorHAnsi"/>
          <w:iCs/>
        </w:rPr>
      </w:pPr>
      <w:r>
        <w:rPr>
          <w:rFonts w:cstheme="minorHAnsi"/>
          <w:iCs/>
        </w:rPr>
        <w:t>hospice@HOME</w:t>
      </w:r>
      <w:r w:rsidR="008520AE">
        <w:rPr>
          <w:rFonts w:cstheme="minorHAnsi"/>
          <w:iCs/>
        </w:rPr>
        <w:t xml:space="preserve"> has been very successful in boosting the number of Tasmanians able to die at home, with 62% of clients who wished to die at home </w:t>
      </w:r>
      <w:r w:rsidR="00F80375">
        <w:rPr>
          <w:rFonts w:cstheme="minorHAnsi"/>
          <w:iCs/>
        </w:rPr>
        <w:t>fulfilling this wish in</w:t>
      </w:r>
      <w:r w:rsidR="008520AE">
        <w:rPr>
          <w:rFonts w:cstheme="minorHAnsi"/>
          <w:iCs/>
        </w:rPr>
        <w:t xml:space="preserve"> 2015-16. But this is not just a</w:t>
      </w:r>
      <w:r w:rsidR="00DB20CE">
        <w:rPr>
          <w:rFonts w:cstheme="minorHAnsi"/>
          <w:iCs/>
        </w:rPr>
        <w:t>bout</w:t>
      </w:r>
      <w:r w:rsidR="008520AE">
        <w:rPr>
          <w:rFonts w:cstheme="minorHAnsi"/>
          <w:iCs/>
        </w:rPr>
        <w:t xml:space="preserve"> numbers. Clients and their families </w:t>
      </w:r>
      <w:r w:rsidR="00F80375">
        <w:rPr>
          <w:rFonts w:cstheme="minorHAnsi"/>
          <w:iCs/>
        </w:rPr>
        <w:t>have been able</w:t>
      </w:r>
      <w:r w:rsidR="008520AE">
        <w:rPr>
          <w:rFonts w:cstheme="minorHAnsi"/>
          <w:iCs/>
        </w:rPr>
        <w:t xml:space="preserve"> to have a </w:t>
      </w:r>
      <w:r w:rsidR="00E903A0">
        <w:rPr>
          <w:rFonts w:cstheme="minorHAnsi"/>
          <w:iCs/>
        </w:rPr>
        <w:t>‘</w:t>
      </w:r>
      <w:r w:rsidR="008520AE">
        <w:rPr>
          <w:rFonts w:cstheme="minorHAnsi"/>
          <w:iCs/>
        </w:rPr>
        <w:t>g</w:t>
      </w:r>
      <w:r w:rsidR="00C349F7">
        <w:rPr>
          <w:rFonts w:cstheme="minorHAnsi"/>
          <w:iCs/>
        </w:rPr>
        <w:t>ood deat</w:t>
      </w:r>
      <w:r w:rsidR="00E903A0">
        <w:rPr>
          <w:rFonts w:cstheme="minorHAnsi"/>
          <w:iCs/>
        </w:rPr>
        <w:t>h’</w:t>
      </w:r>
      <w:r w:rsidR="00C349F7">
        <w:rPr>
          <w:rFonts w:cstheme="minorHAnsi"/>
          <w:iCs/>
        </w:rPr>
        <w:t xml:space="preserve"> at home</w:t>
      </w:r>
      <w:r w:rsidR="008520AE">
        <w:rPr>
          <w:rFonts w:cstheme="minorHAnsi"/>
          <w:iCs/>
        </w:rPr>
        <w:t>, that is respectful, centred on their wishes, and responsive to their needs.</w:t>
      </w:r>
      <w:r w:rsidR="00E903A0" w:rsidRPr="00E903A0">
        <w:rPr>
          <w:rFonts w:cstheme="minorHAnsi"/>
        </w:rPr>
        <w:t xml:space="preserve"> </w:t>
      </w:r>
      <w:r>
        <w:rPr>
          <w:rFonts w:cstheme="minorHAnsi"/>
        </w:rPr>
        <w:t>hospice@HOME</w:t>
      </w:r>
      <w:r w:rsidR="00E903A0" w:rsidRPr="00864F67">
        <w:rPr>
          <w:rFonts w:cstheme="minorHAnsi"/>
        </w:rPr>
        <w:t xml:space="preserve"> not only provides optimal care to </w:t>
      </w:r>
      <w:r w:rsidR="00E903A0">
        <w:rPr>
          <w:rFonts w:cstheme="minorHAnsi"/>
        </w:rPr>
        <w:t>our</w:t>
      </w:r>
      <w:r w:rsidR="00E903A0" w:rsidRPr="00864F67">
        <w:rPr>
          <w:rFonts w:cstheme="minorHAnsi"/>
        </w:rPr>
        <w:t xml:space="preserve"> client</w:t>
      </w:r>
      <w:r w:rsidR="00E903A0">
        <w:rPr>
          <w:rFonts w:cstheme="minorHAnsi"/>
        </w:rPr>
        <w:t>s based on national standards</w:t>
      </w:r>
      <w:r w:rsidR="00E903A0" w:rsidRPr="00864F67">
        <w:rPr>
          <w:rFonts w:cstheme="minorHAnsi"/>
        </w:rPr>
        <w:t xml:space="preserve"> but </w:t>
      </w:r>
      <w:r w:rsidR="00E903A0">
        <w:rPr>
          <w:rFonts w:cstheme="minorHAnsi"/>
        </w:rPr>
        <w:t xml:space="preserve">also </w:t>
      </w:r>
      <w:r w:rsidR="00E903A0" w:rsidRPr="00864F67">
        <w:rPr>
          <w:rFonts w:cstheme="minorHAnsi"/>
        </w:rPr>
        <w:t>enhances the resilience of families during their bereavement and grieving processes.</w:t>
      </w:r>
    </w:p>
    <w:p w:rsidR="00E903A0" w:rsidRPr="00545A9C" w:rsidRDefault="000308EA" w:rsidP="00D222EB">
      <w:pPr>
        <w:spacing w:after="0" w:line="276" w:lineRule="auto"/>
        <w:rPr>
          <w:rStyle w:val="IntenseEmphasis"/>
          <w:b/>
          <w:color w:val="2F5496" w:themeColor="accent5" w:themeShade="BF"/>
        </w:rPr>
      </w:pPr>
      <w:r w:rsidRPr="00545A9C">
        <w:rPr>
          <w:rFonts w:cstheme="minorHAnsi"/>
          <w:noProof/>
          <w:color w:val="2F5496" w:themeColor="accent5" w:themeShade="BF"/>
          <w:lang w:val="en-AU" w:eastAsia="en-AU"/>
        </w:rPr>
        <mc:AlternateContent>
          <mc:Choice Requires="wps">
            <w:drawing>
              <wp:anchor distT="45720" distB="45720" distL="114300" distR="114300" simplePos="0" relativeHeight="251654144" behindDoc="0" locked="0" layoutInCell="1" allowOverlap="1" wp14:anchorId="1E791ECF" wp14:editId="279F9F0D">
                <wp:simplePos x="0" y="0"/>
                <wp:positionH relativeFrom="margin">
                  <wp:align>left</wp:align>
                </wp:positionH>
                <wp:positionV relativeFrom="paragraph">
                  <wp:posOffset>3175</wp:posOffset>
                </wp:positionV>
                <wp:extent cx="2019300" cy="1108075"/>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08075"/>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545A9C" w:rsidRDefault="005473E1" w:rsidP="005419FE">
                            <w:pPr>
                              <w:pStyle w:val="Quote"/>
                              <w:spacing w:after="60"/>
                              <w:ind w:left="181"/>
                              <w:rPr>
                                <w:rFonts w:asciiTheme="majorHAnsi" w:eastAsiaTheme="majorEastAsia" w:hAnsiTheme="majorHAnsi" w:cstheme="majorBidi"/>
                                <w:iCs/>
                                <w:color w:val="2F5496" w:themeColor="accent5" w:themeShade="BF"/>
                                <w:lang w:val="en-US"/>
                              </w:rPr>
                            </w:pPr>
                            <w:r w:rsidRPr="00545A9C">
                              <w:rPr>
                                <w:rFonts w:asciiTheme="majorHAnsi" w:eastAsiaTheme="majorEastAsia" w:hAnsiTheme="majorHAnsi" w:cstheme="majorBidi"/>
                                <w:iCs/>
                                <w:color w:val="2F5496" w:themeColor="accent5" w:themeShade="BF"/>
                                <w:lang w:val="en-US"/>
                              </w:rPr>
                              <w:t>‘The staff that came were amazing –they are special people that work in this area. They’re not just carers, they are caring.’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0;margin-top:.25pt;width:159pt;height:87.2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" strokecolor="#8496b0 [1951]">
                <v:stroke joinstyle="miter"/>
                <v:textbox>
                  <w:txbxContent>
                    <w:p w:rsidR="005473E1" w:rsidRPr="00545A9C" w:rsidRDefault="005473E1" w:rsidP="005419FE">
                      <w:pPr>
                        <w:pStyle w:val="Quote"/>
                        <w:spacing w:after="60"/>
                        <w:ind w:left="181"/>
                        <w:rPr>
                          <w:rFonts w:asciiTheme="majorHAnsi" w:eastAsiaTheme="majorEastAsia" w:hAnsiTheme="majorHAnsi" w:cstheme="majorBidi"/>
                          <w:iCs/>
                          <w:color w:val="2F5496" w:themeColor="accent5" w:themeShade="BF"/>
                          <w:lang w:val="en-US"/>
                        </w:rPr>
                      </w:pPr>
                      <w:r w:rsidRPr="00545A9C">
                        <w:rPr>
                          <w:rFonts w:asciiTheme="majorHAnsi" w:eastAsiaTheme="majorEastAsia" w:hAnsiTheme="majorHAnsi" w:cstheme="majorBidi"/>
                          <w:iCs/>
                          <w:color w:val="2F5496" w:themeColor="accent5" w:themeShade="BF"/>
                          <w:lang w:val="en-US"/>
                        </w:rPr>
                        <w:t>‘The staff that came were amazing –they are special people that work in this area. They’re not just carers, they are caring.’</w:t>
                      </w:r>
                    </w:p>
                  </w:txbxContent>
                </v:textbox>
                <w10:wrap type="square" anchorx="margin"/>
              </v:roundrect>
            </w:pict>
          </mc:Fallback>
        </mc:AlternateContent>
      </w:r>
      <w:r w:rsidR="00E903A0" w:rsidRPr="00545A9C">
        <w:rPr>
          <w:rStyle w:val="IntenseEmphasis"/>
          <w:b/>
          <w:color w:val="2F5496" w:themeColor="accent5" w:themeShade="BF"/>
        </w:rPr>
        <w:t>Client satisfaction</w:t>
      </w:r>
    </w:p>
    <w:p w:rsidR="00E903A0" w:rsidRDefault="0078091B" w:rsidP="00D222EB">
      <w:pPr>
        <w:spacing w:line="276" w:lineRule="auto"/>
        <w:rPr>
          <w:rFonts w:cstheme="minorHAnsi"/>
        </w:rPr>
      </w:pPr>
      <w:r>
        <w:rPr>
          <w:rFonts w:cstheme="minorHAnsi"/>
        </w:rPr>
        <w:t>Internationally benchmarked s</w:t>
      </w:r>
      <w:r w:rsidR="00E903A0">
        <w:rPr>
          <w:rFonts w:cstheme="minorHAnsi"/>
        </w:rPr>
        <w:t xml:space="preserve">urveys </w:t>
      </w:r>
      <w:r>
        <w:rPr>
          <w:rFonts w:cstheme="minorHAnsi"/>
        </w:rPr>
        <w:t xml:space="preserve">and an in-depth qualitative evaluation </w:t>
      </w:r>
      <w:r w:rsidR="00E903A0">
        <w:rPr>
          <w:rFonts w:cstheme="minorHAnsi"/>
        </w:rPr>
        <w:t xml:space="preserve">of clients and their families </w:t>
      </w:r>
      <w:r>
        <w:rPr>
          <w:rFonts w:cstheme="minorHAnsi"/>
        </w:rPr>
        <w:t xml:space="preserve">indicated </w:t>
      </w:r>
      <w:r w:rsidR="00E903A0">
        <w:rPr>
          <w:rFonts w:cstheme="minorHAnsi"/>
        </w:rPr>
        <w:t>high levels of satisfaction with the program</w:t>
      </w:r>
      <w:r>
        <w:rPr>
          <w:rFonts w:cstheme="minorHAnsi"/>
        </w:rPr>
        <w:t xml:space="preserve">, with most </w:t>
      </w:r>
      <w:r w:rsidR="00D829D9">
        <w:rPr>
          <w:rFonts w:cstheme="minorHAnsi"/>
        </w:rPr>
        <w:t>hospice@HOME</w:t>
      </w:r>
      <w:r>
        <w:rPr>
          <w:rFonts w:cstheme="minorHAnsi"/>
        </w:rPr>
        <w:t xml:space="preserve"> recipients indicating </w:t>
      </w:r>
      <w:r w:rsidR="00E903A0">
        <w:rPr>
          <w:rFonts w:cstheme="minorHAnsi"/>
        </w:rPr>
        <w:t>that it has been very effective in meeting their needs.</w:t>
      </w:r>
      <w:r w:rsidR="00A0047A">
        <w:rPr>
          <w:rStyle w:val="FootnoteReference"/>
          <w:rFonts w:cstheme="minorHAnsi"/>
        </w:rPr>
        <w:footnoteReference w:id="16"/>
      </w:r>
    </w:p>
    <w:p w:rsidR="00E903A0" w:rsidRPr="00545A9C" w:rsidRDefault="00E903A0" w:rsidP="00D222EB">
      <w:pPr>
        <w:spacing w:after="0" w:line="276" w:lineRule="auto"/>
        <w:rPr>
          <w:rStyle w:val="IntenseEmphasis"/>
          <w:b/>
          <w:color w:val="2F5496" w:themeColor="accent5" w:themeShade="BF"/>
        </w:rPr>
      </w:pPr>
      <w:r w:rsidRPr="00545A9C">
        <w:rPr>
          <w:rStyle w:val="IntenseEmphasis"/>
          <w:b/>
          <w:color w:val="2F5496" w:themeColor="accent5" w:themeShade="BF"/>
        </w:rPr>
        <w:t>Efficiency</w:t>
      </w:r>
    </w:p>
    <w:p w:rsidR="00E903A0" w:rsidRPr="00A40713" w:rsidRDefault="00D829D9" w:rsidP="00D222EB">
      <w:pPr>
        <w:spacing w:line="276" w:lineRule="auto"/>
        <w:rPr>
          <w:rFonts w:cstheme="minorHAnsi"/>
        </w:rPr>
      </w:pPr>
      <w:r>
        <w:rPr>
          <w:rFonts w:cstheme="minorHAnsi"/>
        </w:rPr>
        <w:t>hospice@HOME</w:t>
      </w:r>
      <w:r w:rsidR="00E903A0">
        <w:rPr>
          <w:rFonts w:cstheme="minorHAnsi"/>
        </w:rPr>
        <w:t xml:space="preserve"> h</w:t>
      </w:r>
      <w:r w:rsidR="00E903A0" w:rsidRPr="00A40713">
        <w:rPr>
          <w:rFonts w:cstheme="minorHAnsi"/>
        </w:rPr>
        <w:t xml:space="preserve">as saved the public health </w:t>
      </w:r>
      <w:r w:rsidR="00E903A0" w:rsidRPr="00AB14B6">
        <w:rPr>
          <w:rFonts w:cstheme="minorHAnsi"/>
        </w:rPr>
        <w:t xml:space="preserve">system an estimated </w:t>
      </w:r>
      <w:r w:rsidR="005419FE" w:rsidRPr="00AB14B6">
        <w:rPr>
          <w:rFonts w:cstheme="minorHAnsi"/>
        </w:rPr>
        <w:t>$12.4</w:t>
      </w:r>
      <w:r w:rsidR="00E903A0" w:rsidRPr="00AB14B6">
        <w:rPr>
          <w:rFonts w:cstheme="minorHAnsi"/>
        </w:rPr>
        <w:t xml:space="preserve"> million</w:t>
      </w:r>
      <w:r w:rsidR="008B6B04" w:rsidRPr="00AB14B6">
        <w:rPr>
          <w:rFonts w:cstheme="minorHAnsi"/>
        </w:rPr>
        <w:t xml:space="preserve"> </w:t>
      </w:r>
      <w:r w:rsidR="00E903A0" w:rsidRPr="00AB14B6">
        <w:rPr>
          <w:rFonts w:cstheme="minorHAnsi"/>
        </w:rPr>
        <w:t xml:space="preserve">over </w:t>
      </w:r>
      <w:r w:rsidR="005419FE" w:rsidRPr="00AB14B6">
        <w:rPr>
          <w:rFonts w:cstheme="minorHAnsi"/>
        </w:rPr>
        <w:t>four</w:t>
      </w:r>
      <w:r w:rsidR="00E903A0" w:rsidRPr="00AB14B6">
        <w:rPr>
          <w:rFonts w:cstheme="minorHAnsi"/>
        </w:rPr>
        <w:t xml:space="preserve"> years and</w:t>
      </w:r>
      <w:r w:rsidR="00E903A0" w:rsidRPr="00A40713">
        <w:rPr>
          <w:rFonts w:cstheme="minorHAnsi"/>
        </w:rPr>
        <w:t xml:space="preserve"> has freed up hospital beds as well as reducing pressure on ambulance services</w:t>
      </w:r>
      <w:r w:rsidR="00C01313">
        <w:rPr>
          <w:rStyle w:val="FootnoteReference"/>
          <w:rFonts w:cstheme="minorHAnsi"/>
        </w:rPr>
        <w:footnoteReference w:id="17"/>
      </w:r>
      <w:r w:rsidR="00E903A0">
        <w:rPr>
          <w:rFonts w:cstheme="minorHAnsi"/>
        </w:rPr>
        <w:t>. T</w:t>
      </w:r>
      <w:r w:rsidR="005042A5">
        <w:rPr>
          <w:rFonts w:cstheme="minorHAnsi"/>
        </w:rPr>
        <w:t xml:space="preserve">he average </w:t>
      </w:r>
      <w:r>
        <w:rPr>
          <w:rFonts w:cstheme="minorHAnsi"/>
        </w:rPr>
        <w:t>hospice@HOME</w:t>
      </w:r>
      <w:r w:rsidR="005042A5">
        <w:rPr>
          <w:rFonts w:cstheme="minorHAnsi"/>
        </w:rPr>
        <w:t xml:space="preserve"> package costs $39</w:t>
      </w:r>
      <w:r w:rsidR="00E903A0">
        <w:rPr>
          <w:rFonts w:cstheme="minorHAnsi"/>
        </w:rPr>
        <w:t xml:space="preserve"> per day as compared </w:t>
      </w:r>
      <w:r w:rsidR="00DB20CE">
        <w:rPr>
          <w:rFonts w:cstheme="minorHAnsi"/>
        </w:rPr>
        <w:t xml:space="preserve">with </w:t>
      </w:r>
      <w:r w:rsidR="005E54AB">
        <w:rPr>
          <w:rFonts w:cstheme="minorHAnsi"/>
        </w:rPr>
        <w:t xml:space="preserve">an </w:t>
      </w:r>
      <w:r w:rsidR="005042A5">
        <w:rPr>
          <w:rFonts w:cstheme="minorHAnsi"/>
        </w:rPr>
        <w:t>Acute Care admission of $1,645</w:t>
      </w:r>
      <w:r w:rsidR="00E903A0">
        <w:rPr>
          <w:rFonts w:cstheme="minorHAnsi"/>
        </w:rPr>
        <w:t xml:space="preserve"> per day</w:t>
      </w:r>
      <w:r w:rsidR="005042A5">
        <w:rPr>
          <w:rStyle w:val="FootnoteReference"/>
          <w:rFonts w:cstheme="minorHAnsi"/>
        </w:rPr>
        <w:footnoteReference w:id="18"/>
      </w:r>
      <w:r w:rsidR="00E903A0">
        <w:rPr>
          <w:rFonts w:cstheme="minorHAnsi"/>
        </w:rPr>
        <w:t>.</w:t>
      </w:r>
    </w:p>
    <w:p w:rsidR="00D4792F" w:rsidRPr="00545A9C" w:rsidRDefault="00D4792F" w:rsidP="00D222EB">
      <w:pPr>
        <w:spacing w:after="0" w:line="276" w:lineRule="auto"/>
        <w:rPr>
          <w:rStyle w:val="IntenseEmphasis"/>
          <w:b/>
          <w:color w:val="2F5496" w:themeColor="accent5" w:themeShade="BF"/>
        </w:rPr>
      </w:pPr>
      <w:r w:rsidRPr="00545A9C">
        <w:rPr>
          <w:rStyle w:val="IntenseEmphasis"/>
          <w:b/>
          <w:color w:val="2F5496" w:themeColor="accent5" w:themeShade="BF"/>
        </w:rPr>
        <w:t>Partnerships and collaboration</w:t>
      </w:r>
    </w:p>
    <w:p w:rsidR="00D4792F" w:rsidRPr="00864F67" w:rsidRDefault="00D4792F" w:rsidP="00D222EB">
      <w:pPr>
        <w:spacing w:line="276" w:lineRule="auto"/>
        <w:rPr>
          <w:rFonts w:cstheme="minorHAnsi"/>
        </w:rPr>
      </w:pPr>
      <w:r w:rsidRPr="00864F67">
        <w:rPr>
          <w:rFonts w:cstheme="minorHAnsi"/>
        </w:rPr>
        <w:t xml:space="preserve">While the integration of the </w:t>
      </w:r>
      <w:r w:rsidR="00D829D9">
        <w:rPr>
          <w:rFonts w:cstheme="minorHAnsi"/>
        </w:rPr>
        <w:t>hospice@HOME</w:t>
      </w:r>
      <w:r w:rsidRPr="00864F67">
        <w:rPr>
          <w:rFonts w:cstheme="minorHAnsi"/>
        </w:rPr>
        <w:t xml:space="preserve"> program into an already complex </w:t>
      </w:r>
      <w:r w:rsidR="005E54AB">
        <w:rPr>
          <w:rFonts w:cstheme="minorHAnsi"/>
        </w:rPr>
        <w:t xml:space="preserve">health and community care </w:t>
      </w:r>
      <w:r w:rsidRPr="00864F67">
        <w:rPr>
          <w:rFonts w:cstheme="minorHAnsi"/>
        </w:rPr>
        <w:t xml:space="preserve">system was initially a challenge, TDN has worked hard to build relationships within the sector and to streamline service delivery and processes. </w:t>
      </w:r>
      <w:r w:rsidR="00D829D9">
        <w:rPr>
          <w:rFonts w:cstheme="minorHAnsi"/>
        </w:rPr>
        <w:t>hospice@HOME</w:t>
      </w:r>
      <w:r w:rsidRPr="00864F67">
        <w:rPr>
          <w:rFonts w:cstheme="minorHAnsi"/>
        </w:rPr>
        <w:t xml:space="preserve"> staff have been active participants in </w:t>
      </w:r>
      <w:r w:rsidR="005E54AB">
        <w:rPr>
          <w:rFonts w:cstheme="minorHAnsi"/>
        </w:rPr>
        <w:t>a</w:t>
      </w:r>
      <w:r w:rsidRPr="00864F67">
        <w:rPr>
          <w:rFonts w:cstheme="minorHAnsi"/>
        </w:rPr>
        <w:t xml:space="preserve"> Partners in Palliative Care forum</w:t>
      </w:r>
      <w:r w:rsidR="00864F67" w:rsidRPr="00864F67">
        <w:rPr>
          <w:rFonts w:cstheme="minorHAnsi"/>
        </w:rPr>
        <w:t>. They have also</w:t>
      </w:r>
      <w:r w:rsidRPr="00864F67">
        <w:rPr>
          <w:rFonts w:cstheme="minorHAnsi"/>
        </w:rPr>
        <w:t xml:space="preserve"> taken a leading role in the development of a </w:t>
      </w:r>
      <w:r w:rsidR="0071041D">
        <w:rPr>
          <w:rFonts w:cstheme="minorHAnsi"/>
          <w:i/>
        </w:rPr>
        <w:t>Collaborative Practice Protocol</w:t>
      </w:r>
      <w:r w:rsidRPr="00864F67">
        <w:rPr>
          <w:rFonts w:cstheme="minorHAnsi"/>
          <w:i/>
        </w:rPr>
        <w:t xml:space="preserve"> </w:t>
      </w:r>
      <w:r w:rsidR="008B3A70" w:rsidRPr="00864F67">
        <w:rPr>
          <w:rFonts w:cstheme="minorHAnsi"/>
        </w:rPr>
        <w:t xml:space="preserve">that promotes cooperation, mutual respect and a clear </w:t>
      </w:r>
      <w:r w:rsidR="00864F67" w:rsidRPr="00864F67">
        <w:rPr>
          <w:rFonts w:cstheme="minorHAnsi"/>
        </w:rPr>
        <w:t>understanding</w:t>
      </w:r>
      <w:r w:rsidR="008B3A70" w:rsidRPr="00864F67">
        <w:rPr>
          <w:rFonts w:cstheme="minorHAnsi"/>
        </w:rPr>
        <w:t xml:space="preserve"> of </w:t>
      </w:r>
      <w:r w:rsidR="00864F67" w:rsidRPr="00864F67">
        <w:rPr>
          <w:rFonts w:cstheme="minorHAnsi"/>
        </w:rPr>
        <w:t xml:space="preserve">the </w:t>
      </w:r>
      <w:r w:rsidR="008B3A70" w:rsidRPr="00864F67">
        <w:rPr>
          <w:rFonts w:cstheme="minorHAnsi"/>
        </w:rPr>
        <w:t xml:space="preserve">respective roles of </w:t>
      </w:r>
      <w:r w:rsidR="00D829D9">
        <w:rPr>
          <w:rFonts w:cstheme="minorHAnsi"/>
        </w:rPr>
        <w:t>hospice@HOME</w:t>
      </w:r>
      <w:r w:rsidR="008B3A70" w:rsidRPr="00864F67">
        <w:rPr>
          <w:rFonts w:cstheme="minorHAnsi"/>
        </w:rPr>
        <w:t xml:space="preserve"> </w:t>
      </w:r>
      <w:r w:rsidR="005E54AB">
        <w:rPr>
          <w:rFonts w:cstheme="minorHAnsi"/>
        </w:rPr>
        <w:t xml:space="preserve">staff in providing care coordination, </w:t>
      </w:r>
      <w:r w:rsidR="008B3A70" w:rsidRPr="00864F67">
        <w:rPr>
          <w:rFonts w:cstheme="minorHAnsi"/>
        </w:rPr>
        <w:t xml:space="preserve">and </w:t>
      </w:r>
      <w:r w:rsidR="005E54AB">
        <w:rPr>
          <w:rFonts w:cstheme="minorHAnsi"/>
        </w:rPr>
        <w:t xml:space="preserve">the Tasmanian </w:t>
      </w:r>
      <w:r w:rsidR="00AB14B6">
        <w:rPr>
          <w:rFonts w:cstheme="minorHAnsi"/>
        </w:rPr>
        <w:t xml:space="preserve">Health Service’s </w:t>
      </w:r>
      <w:r w:rsidR="005E54AB">
        <w:rPr>
          <w:rFonts w:cstheme="minorHAnsi"/>
        </w:rPr>
        <w:t xml:space="preserve">specialist </w:t>
      </w:r>
      <w:r w:rsidR="00A4552C">
        <w:rPr>
          <w:rFonts w:cstheme="minorHAnsi"/>
        </w:rPr>
        <w:t xml:space="preserve">palliative care </w:t>
      </w:r>
      <w:r w:rsidR="008B3A70" w:rsidRPr="00864F67">
        <w:rPr>
          <w:rFonts w:cstheme="minorHAnsi"/>
        </w:rPr>
        <w:t xml:space="preserve">staff in the delivery of services to community-based clients with </w:t>
      </w:r>
      <w:r w:rsidR="00A4552C">
        <w:rPr>
          <w:rFonts w:cstheme="minorHAnsi"/>
        </w:rPr>
        <w:t>end of life</w:t>
      </w:r>
      <w:r w:rsidR="008B3A70" w:rsidRPr="00864F67">
        <w:rPr>
          <w:rFonts w:cstheme="minorHAnsi"/>
        </w:rPr>
        <w:t xml:space="preserve"> care needs.</w:t>
      </w:r>
    </w:p>
    <w:p w:rsidR="00AA1C73" w:rsidRPr="00545A9C" w:rsidRDefault="00AA1C73" w:rsidP="00D222EB">
      <w:pPr>
        <w:spacing w:after="0" w:line="276" w:lineRule="auto"/>
        <w:rPr>
          <w:rStyle w:val="IntenseEmphasis"/>
          <w:b/>
          <w:color w:val="2F5496" w:themeColor="accent5" w:themeShade="BF"/>
        </w:rPr>
      </w:pPr>
      <w:r w:rsidRPr="00545A9C">
        <w:rPr>
          <w:rStyle w:val="IntenseEmphasis"/>
          <w:b/>
          <w:color w:val="2F5496" w:themeColor="accent5" w:themeShade="BF"/>
        </w:rPr>
        <w:t>Value-adding</w:t>
      </w:r>
    </w:p>
    <w:p w:rsidR="00AA1C73" w:rsidRDefault="00D829D9" w:rsidP="00D222EB">
      <w:pPr>
        <w:spacing w:line="276" w:lineRule="auto"/>
        <w:rPr>
          <w:rFonts w:cstheme="minorHAnsi"/>
        </w:rPr>
      </w:pPr>
      <w:r>
        <w:rPr>
          <w:rFonts w:cstheme="minorHAnsi"/>
        </w:rPr>
        <w:t>hospice@HOME</w:t>
      </w:r>
      <w:r w:rsidR="008F2864">
        <w:rPr>
          <w:rFonts w:cstheme="minorHAnsi"/>
        </w:rPr>
        <w:t xml:space="preserve"> </w:t>
      </w:r>
      <w:r w:rsidR="0071041D">
        <w:rPr>
          <w:rFonts w:cstheme="minorHAnsi"/>
        </w:rPr>
        <w:t>has value-added</w:t>
      </w:r>
      <w:r w:rsidR="008F2864">
        <w:rPr>
          <w:rFonts w:cstheme="minorHAnsi"/>
        </w:rPr>
        <w:t xml:space="preserve"> to </w:t>
      </w:r>
      <w:r w:rsidR="0071041D">
        <w:rPr>
          <w:rFonts w:cstheme="minorHAnsi"/>
        </w:rPr>
        <w:t xml:space="preserve">the skills base of the network of community services it contracts </w:t>
      </w:r>
      <w:r w:rsidR="008F2864">
        <w:rPr>
          <w:rFonts w:cstheme="minorHAnsi"/>
        </w:rPr>
        <w:t>by up-</w:t>
      </w:r>
      <w:r w:rsidR="00A4552C">
        <w:rPr>
          <w:rFonts w:cstheme="minorHAnsi"/>
        </w:rPr>
        <w:t>skilling staff in</w:t>
      </w:r>
      <w:r w:rsidR="008F2864">
        <w:rPr>
          <w:rFonts w:cstheme="minorHAnsi"/>
        </w:rPr>
        <w:t xml:space="preserve"> end</w:t>
      </w:r>
      <w:r w:rsidR="00DB20CE">
        <w:rPr>
          <w:rFonts w:cstheme="minorHAnsi"/>
        </w:rPr>
        <w:t>-</w:t>
      </w:r>
      <w:r w:rsidR="008F2864">
        <w:rPr>
          <w:rFonts w:cstheme="minorHAnsi"/>
        </w:rPr>
        <w:t>of</w:t>
      </w:r>
      <w:r w:rsidR="00DB20CE">
        <w:rPr>
          <w:rFonts w:cstheme="minorHAnsi"/>
        </w:rPr>
        <w:t>-</w:t>
      </w:r>
      <w:r w:rsidR="008F2864">
        <w:rPr>
          <w:rFonts w:cstheme="minorHAnsi"/>
        </w:rPr>
        <w:t xml:space="preserve">life care, advanced care planning and </w:t>
      </w:r>
      <w:r w:rsidR="001131D0">
        <w:rPr>
          <w:rFonts w:cstheme="minorHAnsi"/>
        </w:rPr>
        <w:t xml:space="preserve">meeting </w:t>
      </w:r>
      <w:r w:rsidR="008F2864">
        <w:rPr>
          <w:rFonts w:cstheme="minorHAnsi"/>
        </w:rPr>
        <w:t>other identified training needs.</w:t>
      </w:r>
      <w:r w:rsidR="001131D0">
        <w:rPr>
          <w:rFonts w:cstheme="minorHAnsi"/>
        </w:rPr>
        <w:t xml:space="preserve"> It has also been instrumental in increasing communication and collaborative practice among these organisations.</w:t>
      </w:r>
    </w:p>
    <w:p w:rsidR="00864F67" w:rsidRPr="00545A9C" w:rsidRDefault="00864F67" w:rsidP="00D222EB">
      <w:pPr>
        <w:spacing w:after="0" w:line="276" w:lineRule="auto"/>
        <w:rPr>
          <w:rStyle w:val="IntenseEmphasis"/>
          <w:b/>
          <w:color w:val="2F5496" w:themeColor="accent5" w:themeShade="BF"/>
        </w:rPr>
      </w:pPr>
      <w:r w:rsidRPr="00545A9C">
        <w:rPr>
          <w:rStyle w:val="IntenseEmphasis"/>
          <w:b/>
          <w:color w:val="2F5496" w:themeColor="accent5" w:themeShade="BF"/>
        </w:rPr>
        <w:t>Equity</w:t>
      </w:r>
    </w:p>
    <w:p w:rsidR="00864F67" w:rsidRPr="00AB14B6" w:rsidRDefault="00D829D9" w:rsidP="00D222EB">
      <w:pPr>
        <w:spacing w:line="276" w:lineRule="auto"/>
        <w:rPr>
          <w:rFonts w:cstheme="minorHAnsi"/>
        </w:rPr>
      </w:pPr>
      <w:r>
        <w:rPr>
          <w:rFonts w:cstheme="minorHAnsi"/>
        </w:rPr>
        <w:t>hospice@HOME</w:t>
      </w:r>
      <w:r w:rsidR="00864F67">
        <w:rPr>
          <w:rFonts w:cstheme="minorHAnsi"/>
        </w:rPr>
        <w:t xml:space="preserve"> has promoted equitable access to services, particularly in rural and remote areas, and among population groups who often receive less than optimal services. </w:t>
      </w:r>
      <w:r w:rsidR="00864F67" w:rsidRPr="00AB14B6">
        <w:rPr>
          <w:rFonts w:cstheme="minorHAnsi"/>
        </w:rPr>
        <w:t xml:space="preserve">Current </w:t>
      </w:r>
      <w:r w:rsidR="00BB7012" w:rsidRPr="00AB14B6">
        <w:rPr>
          <w:rFonts w:cstheme="minorHAnsi"/>
        </w:rPr>
        <w:t xml:space="preserve">research </w:t>
      </w:r>
      <w:r w:rsidR="00864F67" w:rsidRPr="00AB14B6">
        <w:rPr>
          <w:rFonts w:cstheme="minorHAnsi"/>
        </w:rPr>
        <w:t>priorities include</w:t>
      </w:r>
      <w:r w:rsidR="001437D5" w:rsidRPr="00AB14B6">
        <w:rPr>
          <w:rFonts w:cstheme="minorHAnsi"/>
        </w:rPr>
        <w:t xml:space="preserve"> </w:t>
      </w:r>
      <w:r w:rsidR="00BB7012" w:rsidRPr="00AB14B6">
        <w:rPr>
          <w:rFonts w:cstheme="minorHAnsi"/>
        </w:rPr>
        <w:t>investigations</w:t>
      </w:r>
      <w:r w:rsidR="001437D5" w:rsidRPr="00AB14B6">
        <w:rPr>
          <w:rFonts w:cstheme="minorHAnsi"/>
        </w:rPr>
        <w:t xml:space="preserve"> into how the program might better meet</w:t>
      </w:r>
      <w:r w:rsidR="00095E18" w:rsidRPr="00AB14B6">
        <w:rPr>
          <w:rFonts w:cstheme="minorHAnsi"/>
        </w:rPr>
        <w:t xml:space="preserve"> the palliative </w:t>
      </w:r>
      <w:r w:rsidR="001437D5" w:rsidRPr="00AB14B6">
        <w:rPr>
          <w:rFonts w:cstheme="minorHAnsi"/>
        </w:rPr>
        <w:t>care needs of people with dementia, those who have mental health issues, and those who are homeless or at risk of homelessness.</w:t>
      </w:r>
    </w:p>
    <w:p w:rsidR="001437D5" w:rsidRPr="00545A9C" w:rsidRDefault="001437D5" w:rsidP="00D222EB">
      <w:pPr>
        <w:spacing w:after="0" w:line="276" w:lineRule="auto"/>
        <w:rPr>
          <w:rStyle w:val="IntenseEmphasis"/>
          <w:b/>
          <w:color w:val="2F5496" w:themeColor="accent5" w:themeShade="BF"/>
        </w:rPr>
      </w:pPr>
      <w:r w:rsidRPr="00545A9C">
        <w:rPr>
          <w:rStyle w:val="IntenseEmphasis"/>
          <w:b/>
          <w:color w:val="2F5496" w:themeColor="accent5" w:themeShade="BF"/>
        </w:rPr>
        <w:t>Research</w:t>
      </w:r>
    </w:p>
    <w:p w:rsidR="003C12FB" w:rsidRDefault="000B2B83" w:rsidP="00D222EB">
      <w:pPr>
        <w:spacing w:line="276" w:lineRule="auto"/>
        <w:rPr>
          <w:rFonts w:cstheme="minorHAnsi"/>
        </w:rPr>
      </w:pPr>
      <w:r>
        <w:rPr>
          <w:rFonts w:cstheme="minorHAnsi"/>
        </w:rPr>
        <w:t xml:space="preserve">Research has been a high priority of the </w:t>
      </w:r>
      <w:r w:rsidR="00D829D9">
        <w:rPr>
          <w:rFonts w:cstheme="minorHAnsi"/>
        </w:rPr>
        <w:t>hospice@HOME</w:t>
      </w:r>
      <w:r>
        <w:rPr>
          <w:rFonts w:cstheme="minorHAnsi"/>
        </w:rPr>
        <w:t xml:space="preserve"> program. </w:t>
      </w:r>
      <w:r w:rsidR="00095E18">
        <w:rPr>
          <w:rFonts w:cstheme="minorHAnsi"/>
        </w:rPr>
        <w:t>TDN has</w:t>
      </w:r>
      <w:r w:rsidR="001437D5">
        <w:rPr>
          <w:rFonts w:cstheme="minorHAnsi"/>
        </w:rPr>
        <w:t xml:space="preserve"> been cognisant of the</w:t>
      </w:r>
      <w:r>
        <w:rPr>
          <w:rFonts w:cstheme="minorHAnsi"/>
        </w:rPr>
        <w:t xml:space="preserve"> program’s pilot nature</w:t>
      </w:r>
      <w:r w:rsidR="001437D5">
        <w:rPr>
          <w:rFonts w:cstheme="minorHAnsi"/>
        </w:rPr>
        <w:t xml:space="preserve"> and </w:t>
      </w:r>
      <w:r w:rsidR="00DB20CE">
        <w:rPr>
          <w:rFonts w:cstheme="minorHAnsi"/>
        </w:rPr>
        <w:t xml:space="preserve">the </w:t>
      </w:r>
      <w:r w:rsidR="001437D5">
        <w:rPr>
          <w:rFonts w:cstheme="minorHAnsi"/>
        </w:rPr>
        <w:t xml:space="preserve">obligation </w:t>
      </w:r>
      <w:r w:rsidR="00095E18">
        <w:rPr>
          <w:rFonts w:cstheme="minorHAnsi"/>
        </w:rPr>
        <w:t xml:space="preserve">that, as a national priority project, </w:t>
      </w:r>
      <w:r w:rsidR="00D829D9">
        <w:rPr>
          <w:rFonts w:cstheme="minorHAnsi"/>
        </w:rPr>
        <w:t>hospice@HOME</w:t>
      </w:r>
      <w:r w:rsidR="00095E18">
        <w:rPr>
          <w:rFonts w:cstheme="minorHAnsi"/>
        </w:rPr>
        <w:t xml:space="preserve"> </w:t>
      </w:r>
      <w:r w:rsidR="001437D5">
        <w:rPr>
          <w:rFonts w:cstheme="minorHAnsi"/>
        </w:rPr>
        <w:t>develop</w:t>
      </w:r>
      <w:r w:rsidR="00095E18">
        <w:rPr>
          <w:rFonts w:cstheme="minorHAnsi"/>
        </w:rPr>
        <w:t>s</w:t>
      </w:r>
      <w:r w:rsidR="001437D5">
        <w:rPr>
          <w:rFonts w:cstheme="minorHAnsi"/>
        </w:rPr>
        <w:t xml:space="preserve"> a strong knowledge base for potential application in other jurisdictions in Australia. </w:t>
      </w:r>
      <w:r w:rsidR="00D829D9">
        <w:rPr>
          <w:rFonts w:cstheme="minorHAnsi"/>
        </w:rPr>
        <w:t>hospice@HOME</w:t>
      </w:r>
      <w:r w:rsidR="00545A9C">
        <w:rPr>
          <w:rFonts w:cstheme="minorHAnsi"/>
        </w:rPr>
        <w:t xml:space="preserve"> has</w:t>
      </w:r>
      <w:r w:rsidR="001437D5">
        <w:rPr>
          <w:rFonts w:cstheme="minorHAnsi"/>
        </w:rPr>
        <w:t xml:space="preserve"> </w:t>
      </w:r>
      <w:r w:rsidR="00545A9C">
        <w:rPr>
          <w:rFonts w:cstheme="minorHAnsi"/>
        </w:rPr>
        <w:t>established</w:t>
      </w:r>
      <w:r w:rsidR="001437D5">
        <w:rPr>
          <w:rFonts w:cstheme="minorHAnsi"/>
        </w:rPr>
        <w:t xml:space="preserve"> a robust client information system and </w:t>
      </w:r>
      <w:r w:rsidR="00655AB8">
        <w:rPr>
          <w:rFonts w:cstheme="minorHAnsi"/>
        </w:rPr>
        <w:t>research capacity and has</w:t>
      </w:r>
      <w:r w:rsidR="001437D5">
        <w:rPr>
          <w:rFonts w:cstheme="minorHAnsi"/>
        </w:rPr>
        <w:t xml:space="preserve"> taken action to ensure knowledge transfer through the delivery of papers at major conferences, presentations at other forums, the preparation of journal articles, and ad hoc responses to requests for information. </w:t>
      </w:r>
    </w:p>
    <w:p w:rsidR="001437D5" w:rsidRDefault="00D829D9" w:rsidP="00D222EB">
      <w:pPr>
        <w:spacing w:line="276" w:lineRule="auto"/>
        <w:rPr>
          <w:rFonts w:cstheme="minorHAnsi"/>
        </w:rPr>
      </w:pPr>
      <w:r>
        <w:rPr>
          <w:rFonts w:cstheme="minorHAnsi"/>
        </w:rPr>
        <w:t>hospice@HOME</w:t>
      </w:r>
      <w:r w:rsidR="00C74EF1">
        <w:rPr>
          <w:rFonts w:cstheme="minorHAnsi"/>
        </w:rPr>
        <w:t xml:space="preserve"> has </w:t>
      </w:r>
      <w:r w:rsidR="00655AB8">
        <w:rPr>
          <w:rFonts w:cstheme="minorHAnsi"/>
        </w:rPr>
        <w:t>been subject to</w:t>
      </w:r>
      <w:r w:rsidR="002262FB">
        <w:rPr>
          <w:rFonts w:cstheme="minorHAnsi"/>
        </w:rPr>
        <w:t xml:space="preserve"> </w:t>
      </w:r>
      <w:r w:rsidR="00522BE9">
        <w:rPr>
          <w:rFonts w:cstheme="minorHAnsi"/>
        </w:rPr>
        <w:t xml:space="preserve">a </w:t>
      </w:r>
      <w:r w:rsidR="00F67C8C">
        <w:rPr>
          <w:rFonts w:cstheme="minorHAnsi"/>
        </w:rPr>
        <w:t>rigorous</w:t>
      </w:r>
      <w:r w:rsidR="002262FB">
        <w:rPr>
          <w:rFonts w:cstheme="minorHAnsi"/>
        </w:rPr>
        <w:t xml:space="preserve"> evaluation by </w:t>
      </w:r>
      <w:r w:rsidR="00522BE9">
        <w:rPr>
          <w:rFonts w:cstheme="minorHAnsi"/>
        </w:rPr>
        <w:t xml:space="preserve">external </w:t>
      </w:r>
      <w:r w:rsidR="003C12FB">
        <w:rPr>
          <w:rFonts w:cstheme="minorHAnsi"/>
        </w:rPr>
        <w:t>research</w:t>
      </w:r>
      <w:r w:rsidR="00522BE9">
        <w:rPr>
          <w:rFonts w:cstheme="minorHAnsi"/>
        </w:rPr>
        <w:t>ers</w:t>
      </w:r>
      <w:r w:rsidR="003C12FB">
        <w:rPr>
          <w:rFonts w:cstheme="minorHAnsi"/>
        </w:rPr>
        <w:t xml:space="preserve"> </w:t>
      </w:r>
      <w:r w:rsidR="002262FB">
        <w:rPr>
          <w:rFonts w:cstheme="minorHAnsi"/>
        </w:rPr>
        <w:t>appointed by the Australian Government</w:t>
      </w:r>
      <w:r w:rsidR="002262FB" w:rsidRPr="00AB14B6">
        <w:rPr>
          <w:rFonts w:cstheme="minorHAnsi"/>
        </w:rPr>
        <w:t xml:space="preserve">. It has also </w:t>
      </w:r>
      <w:r w:rsidR="00F67C8C">
        <w:rPr>
          <w:rFonts w:cstheme="minorHAnsi"/>
        </w:rPr>
        <w:t>initiated</w:t>
      </w:r>
      <w:r w:rsidR="002262FB">
        <w:rPr>
          <w:rFonts w:cstheme="minorHAnsi"/>
        </w:rPr>
        <w:t xml:space="preserve"> research into the cost effectiveness of the model in term</w:t>
      </w:r>
      <w:r w:rsidR="000B2B83">
        <w:rPr>
          <w:rFonts w:cstheme="minorHAnsi"/>
        </w:rPr>
        <w:t>s of reducing acute</w:t>
      </w:r>
      <w:r w:rsidR="00DB20CE">
        <w:rPr>
          <w:rFonts w:cstheme="minorHAnsi"/>
        </w:rPr>
        <w:t>-</w:t>
      </w:r>
      <w:r w:rsidR="000B2B83">
        <w:rPr>
          <w:rFonts w:cstheme="minorHAnsi"/>
        </w:rPr>
        <w:t xml:space="preserve">care costs and </w:t>
      </w:r>
      <w:r w:rsidR="002262FB">
        <w:rPr>
          <w:rFonts w:cstheme="minorHAnsi"/>
        </w:rPr>
        <w:t xml:space="preserve">has employed </w:t>
      </w:r>
      <w:r w:rsidR="00A4552C">
        <w:rPr>
          <w:rFonts w:cstheme="minorHAnsi"/>
        </w:rPr>
        <w:t>the</w:t>
      </w:r>
      <w:r w:rsidR="002262FB">
        <w:rPr>
          <w:rFonts w:cstheme="minorHAnsi"/>
        </w:rPr>
        <w:t xml:space="preserve"> international benchmarking organisation</w:t>
      </w:r>
      <w:r w:rsidR="00A4552C">
        <w:rPr>
          <w:rFonts w:cstheme="minorHAnsi"/>
        </w:rPr>
        <w:t>,</w:t>
      </w:r>
      <w:r w:rsidR="002262FB">
        <w:rPr>
          <w:rFonts w:cstheme="minorHAnsi"/>
        </w:rPr>
        <w:t xml:space="preserve"> </w:t>
      </w:r>
      <w:r w:rsidR="00A4552C">
        <w:rPr>
          <w:rFonts w:cstheme="minorHAnsi"/>
        </w:rPr>
        <w:t xml:space="preserve">Press Ganey, </w:t>
      </w:r>
      <w:r w:rsidR="002262FB">
        <w:rPr>
          <w:rFonts w:cstheme="minorHAnsi"/>
        </w:rPr>
        <w:t>to conduct in-depth client satisfaction surveys.</w:t>
      </w:r>
      <w:r w:rsidR="000B2B83">
        <w:rPr>
          <w:rFonts w:cstheme="minorHAnsi"/>
        </w:rPr>
        <w:t xml:space="preserve"> It has developed a strong internal research capacity and has an evolving research program.</w:t>
      </w:r>
    </w:p>
    <w:p w:rsidR="002F51D5" w:rsidRPr="000B2B83" w:rsidRDefault="002F51D5" w:rsidP="00D222EB">
      <w:pPr>
        <w:spacing w:after="0" w:line="276" w:lineRule="auto"/>
        <w:rPr>
          <w:rStyle w:val="IntenseEmphasis"/>
          <w:b/>
          <w:color w:val="2F5496" w:themeColor="accent5" w:themeShade="BF"/>
        </w:rPr>
      </w:pPr>
      <w:r w:rsidRPr="000B2B83">
        <w:rPr>
          <w:rStyle w:val="IntenseEmphasis"/>
          <w:b/>
          <w:color w:val="2F5496" w:themeColor="accent5" w:themeShade="BF"/>
        </w:rPr>
        <w:t>Innovation</w:t>
      </w:r>
    </w:p>
    <w:p w:rsidR="002F51D5" w:rsidRDefault="002F51D5" w:rsidP="00D222EB">
      <w:pPr>
        <w:spacing w:line="276" w:lineRule="auto"/>
        <w:rPr>
          <w:rFonts w:cstheme="minorHAnsi"/>
          <w:lang w:val="en-AU"/>
        </w:rPr>
      </w:pPr>
      <w:r>
        <w:rPr>
          <w:rFonts w:cstheme="minorHAnsi"/>
          <w:lang w:val="en-AU"/>
        </w:rPr>
        <w:t xml:space="preserve">While </w:t>
      </w:r>
      <w:r w:rsidR="00D829D9">
        <w:rPr>
          <w:rFonts w:cstheme="minorHAnsi"/>
          <w:lang w:val="en-AU"/>
        </w:rPr>
        <w:t>hospice@HOME</w:t>
      </w:r>
      <w:r>
        <w:rPr>
          <w:rFonts w:cstheme="minorHAnsi"/>
          <w:lang w:val="en-AU"/>
        </w:rPr>
        <w:t xml:space="preserve"> </w:t>
      </w:r>
      <w:r w:rsidR="00A404C0">
        <w:rPr>
          <w:rFonts w:cstheme="minorHAnsi"/>
          <w:lang w:val="en-AU"/>
        </w:rPr>
        <w:t>builds on existent service capacity and resources within communities</w:t>
      </w:r>
      <w:r>
        <w:rPr>
          <w:rFonts w:cstheme="minorHAnsi"/>
          <w:lang w:val="en-AU"/>
        </w:rPr>
        <w:t>, several new approaches are being trialled within this model.</w:t>
      </w:r>
    </w:p>
    <w:p w:rsidR="002F51D5" w:rsidRDefault="002F51D5" w:rsidP="00D222EB">
      <w:pPr>
        <w:spacing w:line="276" w:lineRule="auto"/>
        <w:rPr>
          <w:rFonts w:cstheme="minorHAnsi"/>
          <w:lang w:val="en-US"/>
        </w:rPr>
      </w:pPr>
      <w:r w:rsidRPr="003C12FB">
        <w:rPr>
          <w:rFonts w:cstheme="minorHAnsi"/>
          <w:lang w:val="en-AU"/>
        </w:rPr>
        <w:t>Emergency medication kits</w:t>
      </w:r>
      <w:r w:rsidR="00925B14">
        <w:rPr>
          <w:rFonts w:cstheme="minorHAnsi"/>
          <w:lang w:val="en-AU"/>
        </w:rPr>
        <w:t xml:space="preserve">, known as ‘Just in Case’ boxes have been </w:t>
      </w:r>
      <w:r w:rsidR="00A45175">
        <w:rPr>
          <w:rFonts w:cstheme="minorHAnsi"/>
          <w:lang w:val="en-AU"/>
        </w:rPr>
        <w:t>initiated</w:t>
      </w:r>
      <w:r w:rsidR="00925B14">
        <w:rPr>
          <w:rFonts w:cstheme="minorHAnsi"/>
          <w:lang w:val="en-AU"/>
        </w:rPr>
        <w:t xml:space="preserve"> and trials of these have commenced. These </w:t>
      </w:r>
      <w:r w:rsidR="00A404C0">
        <w:rPr>
          <w:rFonts w:cstheme="minorHAnsi"/>
          <w:lang w:val="en-AU"/>
        </w:rPr>
        <w:t xml:space="preserve">kits </w:t>
      </w:r>
      <w:r w:rsidR="00925B14">
        <w:rPr>
          <w:rFonts w:cstheme="minorHAnsi"/>
          <w:lang w:val="en-AU"/>
        </w:rPr>
        <w:t xml:space="preserve">were developed in response to data analysis by TDN that </w:t>
      </w:r>
      <w:r w:rsidR="00925B14">
        <w:rPr>
          <w:rFonts w:cstheme="minorHAnsi"/>
        </w:rPr>
        <w:t xml:space="preserve">indicated that </w:t>
      </w:r>
      <w:r w:rsidRPr="00C31677">
        <w:rPr>
          <w:rFonts w:cstheme="minorHAnsi"/>
          <w:lang w:val="en-US"/>
        </w:rPr>
        <w:t>the most common reason</w:t>
      </w:r>
      <w:r w:rsidR="00A404C0">
        <w:rPr>
          <w:rFonts w:cstheme="minorHAnsi"/>
          <w:lang w:val="en-US"/>
        </w:rPr>
        <w:t>s</w:t>
      </w:r>
      <w:r w:rsidRPr="00C31677">
        <w:rPr>
          <w:rFonts w:cstheme="minorHAnsi"/>
          <w:lang w:val="en-US"/>
        </w:rPr>
        <w:t xml:space="preserve"> for admiss</w:t>
      </w:r>
      <w:r w:rsidR="00A404C0">
        <w:rPr>
          <w:rFonts w:cstheme="minorHAnsi"/>
          <w:lang w:val="en-US"/>
        </w:rPr>
        <w:t>ion to an Acute Care setting were</w:t>
      </w:r>
      <w:r w:rsidRPr="00C31677">
        <w:rPr>
          <w:rFonts w:cstheme="minorHAnsi"/>
          <w:lang w:val="en-US"/>
        </w:rPr>
        <w:t xml:space="preserve"> symptom management</w:t>
      </w:r>
      <w:r w:rsidR="00925B14">
        <w:rPr>
          <w:rFonts w:cstheme="minorHAnsi"/>
          <w:lang w:val="en-US"/>
        </w:rPr>
        <w:t xml:space="preserve"> and pain. Detailed guidelines regarding the use of these</w:t>
      </w:r>
      <w:r w:rsidR="00C93157">
        <w:rPr>
          <w:rFonts w:cstheme="minorHAnsi"/>
          <w:lang w:val="en-US"/>
        </w:rPr>
        <w:t xml:space="preserve"> kits and their safety have been</w:t>
      </w:r>
      <w:r w:rsidR="00A404C0">
        <w:rPr>
          <w:rFonts w:cstheme="minorHAnsi"/>
          <w:lang w:val="en-US"/>
        </w:rPr>
        <w:t xml:space="preserve"> developed</w:t>
      </w:r>
      <w:r w:rsidR="00925B14">
        <w:rPr>
          <w:rFonts w:cstheme="minorHAnsi"/>
          <w:lang w:val="en-US"/>
        </w:rPr>
        <w:t xml:space="preserve"> in consultation with clinicians and potential users. These kits comply with</w:t>
      </w:r>
      <w:r w:rsidR="00CE1D1D">
        <w:rPr>
          <w:rFonts w:cstheme="minorHAnsi"/>
          <w:lang w:val="en-US"/>
        </w:rPr>
        <w:t xml:space="preserve"> the </w:t>
      </w:r>
      <w:r w:rsidR="00A27F6B">
        <w:rPr>
          <w:rFonts w:cstheme="minorHAnsi"/>
          <w:lang w:val="en-US"/>
        </w:rPr>
        <w:t xml:space="preserve">Australian and New Zealand </w:t>
      </w:r>
      <w:r w:rsidR="004D74C3">
        <w:rPr>
          <w:rFonts w:cstheme="minorHAnsi"/>
          <w:lang w:val="en-US"/>
        </w:rPr>
        <w:t>Palliative Care Medicine</w:t>
      </w:r>
      <w:r w:rsidR="00CE1D1D">
        <w:rPr>
          <w:rFonts w:cstheme="minorHAnsi"/>
          <w:lang w:val="en-US"/>
        </w:rPr>
        <w:t xml:space="preserve"> </w:t>
      </w:r>
      <w:r w:rsidR="00027B1F">
        <w:rPr>
          <w:rFonts w:cstheme="minorHAnsi"/>
          <w:lang w:val="en-US"/>
        </w:rPr>
        <w:t>‘Recommendations</w:t>
      </w:r>
      <w:r w:rsidR="00CE1D1D">
        <w:rPr>
          <w:rFonts w:cstheme="minorHAnsi"/>
          <w:lang w:val="en-US"/>
        </w:rPr>
        <w:t xml:space="preserve"> for Older Australians Living in the C</w:t>
      </w:r>
      <w:r w:rsidRPr="00C31677">
        <w:rPr>
          <w:rFonts w:cstheme="minorHAnsi"/>
          <w:lang w:val="en-US"/>
        </w:rPr>
        <w:t>ommunity</w:t>
      </w:r>
      <w:r w:rsidR="00CE1D1D">
        <w:rPr>
          <w:rFonts w:cstheme="minorHAnsi"/>
          <w:lang w:val="en-US"/>
        </w:rPr>
        <w:t>’</w:t>
      </w:r>
      <w:r w:rsidR="00925B14">
        <w:rPr>
          <w:rFonts w:cstheme="minorHAnsi"/>
          <w:lang w:val="en-US"/>
        </w:rPr>
        <w:t>. They will be subject to an intensive evaluation process.</w:t>
      </w:r>
      <w:r w:rsidRPr="00C31677">
        <w:rPr>
          <w:rFonts w:cstheme="minorHAnsi"/>
          <w:lang w:val="en-US"/>
        </w:rPr>
        <w:t xml:space="preserve"> </w:t>
      </w:r>
    </w:p>
    <w:p w:rsidR="003C12FB" w:rsidRDefault="003C12FB" w:rsidP="00D222EB">
      <w:pPr>
        <w:spacing w:line="276" w:lineRule="auto"/>
        <w:rPr>
          <w:rFonts w:cstheme="minorHAnsi"/>
          <w:lang w:val="en-US"/>
        </w:rPr>
      </w:pPr>
      <w:r>
        <w:rPr>
          <w:rFonts w:cstheme="minorHAnsi"/>
          <w:lang w:val="en-US"/>
        </w:rPr>
        <w:t xml:space="preserve">Clientranet is a digital tablet-based platform. It has been designed for client and carer use, to provide them with clinical information and to enable communication with family, friends and professionals. This project is being </w:t>
      </w:r>
      <w:r w:rsidR="00FA0653">
        <w:rPr>
          <w:rFonts w:cstheme="minorHAnsi"/>
          <w:lang w:val="en-US"/>
        </w:rPr>
        <w:t>trialed</w:t>
      </w:r>
      <w:r>
        <w:rPr>
          <w:rFonts w:cstheme="minorHAnsi"/>
          <w:lang w:val="en-US"/>
        </w:rPr>
        <w:t xml:space="preserve"> in conjunction with the ‘Just in Case’ box.</w:t>
      </w:r>
    </w:p>
    <w:p w:rsidR="00AA1C73" w:rsidRPr="000B035F" w:rsidRDefault="00AA1C73" w:rsidP="00D222EB">
      <w:pPr>
        <w:spacing w:after="0" w:line="276" w:lineRule="auto"/>
        <w:rPr>
          <w:rStyle w:val="IntenseEmphasis"/>
          <w:b/>
          <w:color w:val="2F5496" w:themeColor="accent5" w:themeShade="BF"/>
        </w:rPr>
      </w:pPr>
      <w:r w:rsidRPr="000B035F">
        <w:rPr>
          <w:rStyle w:val="IntenseEmphasis"/>
          <w:b/>
          <w:color w:val="2F5496" w:themeColor="accent5" w:themeShade="BF"/>
        </w:rPr>
        <w:t>IT capacity</w:t>
      </w:r>
    </w:p>
    <w:p w:rsidR="00AA1C73" w:rsidRDefault="00AA1C73" w:rsidP="00D222EB">
      <w:pPr>
        <w:spacing w:line="276" w:lineRule="auto"/>
        <w:rPr>
          <w:rFonts w:cstheme="minorHAnsi"/>
        </w:rPr>
      </w:pPr>
      <w:r>
        <w:rPr>
          <w:rFonts w:cstheme="minorHAnsi"/>
        </w:rPr>
        <w:t xml:space="preserve">The Procura client management system developed by </w:t>
      </w:r>
      <w:r w:rsidR="00D829D9">
        <w:rPr>
          <w:rFonts w:cstheme="minorHAnsi"/>
        </w:rPr>
        <w:t>hospice@HOME</w:t>
      </w:r>
      <w:r>
        <w:rPr>
          <w:rFonts w:cstheme="minorHAnsi"/>
        </w:rPr>
        <w:t xml:space="preserve"> has been specifically road-tested and tailored to the </w:t>
      </w:r>
      <w:r w:rsidR="000B035F">
        <w:rPr>
          <w:rFonts w:cstheme="minorHAnsi"/>
        </w:rPr>
        <w:t>requirements</w:t>
      </w:r>
      <w:r>
        <w:rPr>
          <w:rFonts w:cstheme="minorHAnsi"/>
        </w:rPr>
        <w:t xml:space="preserve"> of the </w:t>
      </w:r>
      <w:r w:rsidR="00D829D9">
        <w:rPr>
          <w:rFonts w:cstheme="minorHAnsi"/>
        </w:rPr>
        <w:t>hospice@HOME</w:t>
      </w:r>
      <w:r>
        <w:rPr>
          <w:rFonts w:cstheme="minorHAnsi"/>
        </w:rPr>
        <w:t xml:space="preserve"> service model. This platform could readily be adapted for use by other services.</w:t>
      </w:r>
    </w:p>
    <w:p w:rsidR="00A200F9" w:rsidRPr="00E647F3" w:rsidRDefault="00A200F9" w:rsidP="00E647F3">
      <w:pPr>
        <w:spacing w:line="276" w:lineRule="auto"/>
        <w:rPr>
          <w:rFonts w:cstheme="minorHAnsi"/>
          <w:i/>
          <w:iCs/>
        </w:rPr>
      </w:pPr>
    </w:p>
    <w:p w:rsidR="00A200F9" w:rsidRPr="00E647F3" w:rsidRDefault="00A200F9" w:rsidP="00E647F3">
      <w:pPr>
        <w:spacing w:line="276" w:lineRule="auto"/>
        <w:rPr>
          <w:rFonts w:cstheme="minorHAnsi"/>
          <w:i/>
          <w:iCs/>
        </w:rPr>
      </w:pPr>
    </w:p>
    <w:p w:rsidR="00A200F9" w:rsidRPr="00E647F3" w:rsidRDefault="00A200F9" w:rsidP="00E647F3">
      <w:pPr>
        <w:spacing w:line="276" w:lineRule="auto"/>
        <w:rPr>
          <w:rFonts w:cstheme="minorHAnsi"/>
          <w:i/>
          <w:iCs/>
        </w:rPr>
      </w:pPr>
    </w:p>
    <w:p w:rsidR="008F2864" w:rsidRPr="000B035F" w:rsidRDefault="008F2864" w:rsidP="00D222EB">
      <w:pPr>
        <w:spacing w:after="0" w:line="276" w:lineRule="auto"/>
        <w:rPr>
          <w:rStyle w:val="IntenseEmphasis"/>
          <w:b/>
          <w:color w:val="2F5496" w:themeColor="accent5" w:themeShade="BF"/>
        </w:rPr>
      </w:pPr>
      <w:r w:rsidRPr="000B035F">
        <w:rPr>
          <w:rStyle w:val="IntenseEmphasis"/>
          <w:b/>
          <w:color w:val="2F5496" w:themeColor="accent5" w:themeShade="BF"/>
        </w:rPr>
        <w:t>Economic multiplier</w:t>
      </w:r>
    </w:p>
    <w:p w:rsidR="008F2864" w:rsidRDefault="002B2ECB" w:rsidP="00D222EB">
      <w:pPr>
        <w:spacing w:line="276" w:lineRule="auto"/>
        <w:rPr>
          <w:rFonts w:cstheme="minorHAnsi"/>
        </w:rPr>
      </w:pPr>
      <w:r w:rsidRPr="009B16C4">
        <w:rPr>
          <w:rFonts w:cstheme="minorHAnsi"/>
          <w:noProof/>
          <w:lang w:val="en-AU" w:eastAsia="en-AU"/>
        </w:rPr>
        <mc:AlternateContent>
          <mc:Choice Requires="wps">
            <w:drawing>
              <wp:anchor distT="45720" distB="45720" distL="114300" distR="114300" simplePos="0" relativeHeight="251655168" behindDoc="0" locked="0" layoutInCell="1" allowOverlap="1" wp14:anchorId="31A583E0" wp14:editId="35C0ED29">
                <wp:simplePos x="0" y="0"/>
                <wp:positionH relativeFrom="margin">
                  <wp:align>right</wp:align>
                </wp:positionH>
                <wp:positionV relativeFrom="paragraph">
                  <wp:posOffset>520065</wp:posOffset>
                </wp:positionV>
                <wp:extent cx="2223770" cy="1318895"/>
                <wp:effectExtent l="0" t="0" r="24130"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1318895"/>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3C6A0A" w:rsidRDefault="005473E1" w:rsidP="000308EA">
                            <w:pPr>
                              <w:pStyle w:val="Quote"/>
                              <w:rPr>
                                <w:rFonts w:asciiTheme="majorHAnsi" w:eastAsiaTheme="majorEastAsia" w:hAnsiTheme="majorHAnsi" w:cstheme="majorBidi"/>
                                <w:iCs/>
                                <w:color w:val="2F5496" w:themeColor="accent5" w:themeShade="BF"/>
                                <w:lang w:val="en-US"/>
                              </w:rPr>
                            </w:pPr>
                            <w:r w:rsidRPr="003C6A0A">
                              <w:rPr>
                                <w:rFonts w:asciiTheme="majorHAnsi" w:eastAsiaTheme="majorEastAsia" w:hAnsiTheme="majorHAnsi" w:cstheme="majorBidi"/>
                                <w:iCs/>
                                <w:color w:val="2F5496" w:themeColor="accent5" w:themeShade="BF"/>
                                <w:lang w:val="en-US"/>
                              </w:rPr>
                              <w:t>‘When we couldn’t get mum out of bed, they arrived hours later with nappies and bed pans.  When we couldn’t manage her in her own bed, within hours they had a hospital bed there.’</w:t>
                            </w:r>
                          </w:p>
                          <w:p w:rsidR="005473E1" w:rsidRPr="000308EA" w:rsidRDefault="005473E1" w:rsidP="000308EA">
                            <w:pPr>
                              <w:pStyle w:val="Quote"/>
                              <w:rPr>
                                <w:rFonts w:asciiTheme="majorHAnsi" w:eastAsiaTheme="majorEastAsia" w:hAnsiTheme="majorHAnsi" w:cstheme="majorBidi"/>
                                <w:iCs/>
                                <w:color w:val="2E74B5" w:themeColor="accent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3" o:spid="_x0000_s1029" style="position:absolute;margin-left:123.9pt;margin-top:40.95pt;width:175.1pt;height:103.8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" strokecolor="#8496b0 [1951]">
                <v:stroke joinstyle="miter"/>
                <v:textbox>
                  <w:txbxContent>
                    <w:p w:rsidR="005473E1" w:rsidRPr="003C6A0A" w:rsidRDefault="005473E1" w:rsidP="000308EA">
                      <w:pPr>
                        <w:pStyle w:val="Quote"/>
                        <w:rPr>
                          <w:rFonts w:asciiTheme="majorHAnsi" w:eastAsiaTheme="majorEastAsia" w:hAnsiTheme="majorHAnsi" w:cstheme="majorBidi"/>
                          <w:iCs/>
                          <w:color w:val="2F5496" w:themeColor="accent5" w:themeShade="BF"/>
                          <w:lang w:val="en-US"/>
                        </w:rPr>
                      </w:pPr>
                      <w:r w:rsidRPr="003C6A0A">
                        <w:rPr>
                          <w:rFonts w:asciiTheme="majorHAnsi" w:eastAsiaTheme="majorEastAsia" w:hAnsiTheme="majorHAnsi" w:cstheme="majorBidi"/>
                          <w:iCs/>
                          <w:color w:val="2F5496" w:themeColor="accent5" w:themeShade="BF"/>
                          <w:lang w:val="en-US"/>
                        </w:rPr>
                        <w:t>‘When we couldn’t get mum out of bed, they arrived hours later with nappies and bed pans.  When we couldn’t manage her in her own bed, within hours they had a hospital bed there.’</w:t>
                      </w:r>
                    </w:p>
                    <w:p w:rsidR="005473E1" w:rsidRPr="000308EA" w:rsidRDefault="005473E1" w:rsidP="000308EA">
                      <w:pPr>
                        <w:pStyle w:val="Quote"/>
                        <w:rPr>
                          <w:rFonts w:asciiTheme="majorHAnsi" w:eastAsiaTheme="majorEastAsia" w:hAnsiTheme="majorHAnsi" w:cstheme="majorBidi"/>
                          <w:iCs/>
                          <w:color w:val="2E74B5" w:themeColor="accent1" w:themeShade="BF"/>
                          <w:lang w:val="en-US"/>
                        </w:rPr>
                      </w:pPr>
                    </w:p>
                  </w:txbxContent>
                </v:textbox>
                <w10:wrap type="square" anchorx="margin"/>
              </v:roundrect>
            </w:pict>
          </mc:Fallback>
        </mc:AlternateContent>
      </w:r>
      <w:r w:rsidR="008F2864" w:rsidRPr="008F2864">
        <w:rPr>
          <w:rFonts w:cstheme="minorHAnsi"/>
        </w:rPr>
        <w:t xml:space="preserve">Over </w:t>
      </w:r>
      <w:r w:rsidR="008F2864">
        <w:rPr>
          <w:rFonts w:cstheme="minorHAnsi"/>
        </w:rPr>
        <w:t xml:space="preserve">a </w:t>
      </w:r>
      <w:r w:rsidR="00CE22A4">
        <w:rPr>
          <w:rFonts w:cstheme="minorHAnsi"/>
        </w:rPr>
        <w:t>four</w:t>
      </w:r>
      <w:r w:rsidR="008F2864">
        <w:rPr>
          <w:rFonts w:cstheme="minorHAnsi"/>
        </w:rPr>
        <w:t xml:space="preserve"> year period, </w:t>
      </w:r>
      <w:r w:rsidR="00D829D9">
        <w:rPr>
          <w:rFonts w:cstheme="minorHAnsi"/>
        </w:rPr>
        <w:t>hospice@HOME</w:t>
      </w:r>
      <w:r w:rsidR="008F2864">
        <w:rPr>
          <w:rFonts w:cstheme="minorHAnsi"/>
        </w:rPr>
        <w:t xml:space="preserve"> has contracted over </w:t>
      </w:r>
      <w:r w:rsidR="00FA0653">
        <w:rPr>
          <w:rFonts w:cstheme="minorHAnsi"/>
        </w:rPr>
        <w:t xml:space="preserve">65 </w:t>
      </w:r>
      <w:r w:rsidR="008F2864">
        <w:rPr>
          <w:rFonts w:cstheme="minorHAnsi"/>
        </w:rPr>
        <w:t xml:space="preserve">aged and community service providers, employing over 1,000 people across Tasmania. Wherever possible, local providers have been used and this has increased employment and the flow of capital in communities </w:t>
      </w:r>
      <w:r w:rsidR="00FD155B">
        <w:rPr>
          <w:rFonts w:cstheme="minorHAnsi"/>
        </w:rPr>
        <w:t>throughout the state</w:t>
      </w:r>
      <w:r w:rsidR="008F2864">
        <w:rPr>
          <w:rFonts w:cstheme="minorHAnsi"/>
        </w:rPr>
        <w:t>.</w:t>
      </w:r>
    </w:p>
    <w:p w:rsidR="00E903A0" w:rsidRPr="00F722CD" w:rsidRDefault="00921657" w:rsidP="00D222EB">
      <w:pPr>
        <w:spacing w:after="60" w:line="276" w:lineRule="auto"/>
        <w:rPr>
          <w:rFonts w:cstheme="minorHAnsi"/>
          <w:b/>
          <w:color w:val="C45911" w:themeColor="accent2" w:themeShade="BF"/>
          <w:sz w:val="24"/>
          <w:szCs w:val="24"/>
        </w:rPr>
      </w:pPr>
      <w:r w:rsidRPr="00F722CD">
        <w:rPr>
          <w:rFonts w:cstheme="minorHAnsi"/>
          <w:b/>
          <w:color w:val="C45911" w:themeColor="accent2" w:themeShade="BF"/>
          <w:sz w:val="24"/>
          <w:szCs w:val="24"/>
        </w:rPr>
        <w:t xml:space="preserve">The </w:t>
      </w:r>
      <w:r w:rsidR="00D829D9">
        <w:rPr>
          <w:rFonts w:cstheme="minorHAnsi"/>
          <w:b/>
          <w:color w:val="C45911" w:themeColor="accent2" w:themeShade="BF"/>
          <w:sz w:val="24"/>
          <w:szCs w:val="24"/>
        </w:rPr>
        <w:t>hospice@HOME</w:t>
      </w:r>
      <w:r w:rsidR="00E903A0" w:rsidRPr="00F722CD">
        <w:rPr>
          <w:rFonts w:cstheme="minorHAnsi"/>
          <w:b/>
          <w:color w:val="C45911" w:themeColor="accent2" w:themeShade="BF"/>
          <w:sz w:val="24"/>
          <w:szCs w:val="24"/>
        </w:rPr>
        <w:t xml:space="preserve"> </w:t>
      </w:r>
      <w:r w:rsidRPr="00F722CD">
        <w:rPr>
          <w:rFonts w:cstheme="minorHAnsi"/>
          <w:b/>
          <w:color w:val="C45911" w:themeColor="accent2" w:themeShade="BF"/>
          <w:sz w:val="24"/>
          <w:szCs w:val="24"/>
        </w:rPr>
        <w:t>e</w:t>
      </w:r>
      <w:r w:rsidR="00251C50" w:rsidRPr="00F722CD">
        <w:rPr>
          <w:rFonts w:cstheme="minorHAnsi"/>
          <w:b/>
          <w:color w:val="C45911" w:themeColor="accent2" w:themeShade="BF"/>
          <w:sz w:val="24"/>
          <w:szCs w:val="24"/>
        </w:rPr>
        <w:t>quipment</w:t>
      </w:r>
      <w:r w:rsidRPr="00F722CD">
        <w:rPr>
          <w:rFonts w:cstheme="minorHAnsi"/>
          <w:b/>
          <w:color w:val="C45911" w:themeColor="accent2" w:themeShade="BF"/>
          <w:sz w:val="24"/>
          <w:szCs w:val="24"/>
        </w:rPr>
        <w:t xml:space="preserve"> scheme</w:t>
      </w:r>
    </w:p>
    <w:p w:rsidR="00C67F61" w:rsidRDefault="00C67F61" w:rsidP="00D222EB">
      <w:pPr>
        <w:spacing w:line="276" w:lineRule="auto"/>
        <w:rPr>
          <w:rFonts w:cstheme="minorHAnsi"/>
        </w:rPr>
      </w:pPr>
      <w:r>
        <w:rPr>
          <w:rFonts w:cstheme="minorHAnsi"/>
        </w:rPr>
        <w:t xml:space="preserve">The </w:t>
      </w:r>
      <w:r w:rsidR="00D829D9">
        <w:rPr>
          <w:rFonts w:cstheme="minorHAnsi"/>
        </w:rPr>
        <w:t>hospice@HOME</w:t>
      </w:r>
      <w:r>
        <w:rPr>
          <w:rFonts w:cstheme="minorHAnsi"/>
        </w:rPr>
        <w:t xml:space="preserve"> equipment scheme has been invaluable in assisting people to realise their goal of remaining in their own home</w:t>
      </w:r>
      <w:r w:rsidR="00092A64">
        <w:rPr>
          <w:rFonts w:cstheme="minorHAnsi"/>
        </w:rPr>
        <w:t>s</w:t>
      </w:r>
      <w:r>
        <w:rPr>
          <w:rFonts w:cstheme="minorHAnsi"/>
        </w:rPr>
        <w:t xml:space="preserve"> and has been a strong factor in client satisfaction with the service. </w:t>
      </w:r>
      <w:r w:rsidR="00D829D9">
        <w:rPr>
          <w:rFonts w:cstheme="minorHAnsi"/>
        </w:rPr>
        <w:t>hospice@HOME</w:t>
      </w:r>
      <w:r>
        <w:rPr>
          <w:rFonts w:cstheme="minorHAnsi"/>
        </w:rPr>
        <w:t xml:space="preserve"> maintains 312 different types of equipment, with the greatest demand being for beds, mattresses, seating and mobility aids.</w:t>
      </w:r>
    </w:p>
    <w:p w:rsidR="00C20DBA" w:rsidRDefault="00CA6CB2" w:rsidP="00D222EB">
      <w:pPr>
        <w:spacing w:line="276" w:lineRule="auto"/>
        <w:rPr>
          <w:rFonts w:cstheme="minorHAnsi"/>
        </w:rPr>
      </w:pPr>
      <w:r>
        <w:rPr>
          <w:rFonts w:cstheme="minorHAnsi"/>
        </w:rPr>
        <w:t xml:space="preserve">In accordance with the BAPC program guidelines, all </w:t>
      </w:r>
      <w:r w:rsidR="00D829D9">
        <w:rPr>
          <w:rFonts w:cstheme="minorHAnsi"/>
        </w:rPr>
        <w:t>hospice@HOME</w:t>
      </w:r>
      <w:r>
        <w:rPr>
          <w:rFonts w:cstheme="minorHAnsi"/>
        </w:rPr>
        <w:t xml:space="preserve"> equipment will be </w:t>
      </w:r>
      <w:r w:rsidR="00A4552C">
        <w:rPr>
          <w:rFonts w:cstheme="minorHAnsi"/>
        </w:rPr>
        <w:t xml:space="preserve">transferred </w:t>
      </w:r>
      <w:r w:rsidR="007555C8">
        <w:rPr>
          <w:rFonts w:cstheme="minorHAnsi"/>
        </w:rPr>
        <w:t>to the</w:t>
      </w:r>
      <w:r>
        <w:rPr>
          <w:rFonts w:cstheme="minorHAnsi"/>
        </w:rPr>
        <w:t xml:space="preserve"> </w:t>
      </w:r>
      <w:r w:rsidR="00581B67">
        <w:rPr>
          <w:rFonts w:cstheme="minorHAnsi"/>
        </w:rPr>
        <w:t>Tasmanian</w:t>
      </w:r>
      <w:r w:rsidR="007555C8">
        <w:rPr>
          <w:rFonts w:cstheme="minorHAnsi"/>
        </w:rPr>
        <w:t xml:space="preserve"> public </w:t>
      </w:r>
      <w:r w:rsidR="00A4552C">
        <w:rPr>
          <w:rFonts w:cstheme="minorHAnsi"/>
        </w:rPr>
        <w:t xml:space="preserve">equipment </w:t>
      </w:r>
      <w:r w:rsidR="007555C8">
        <w:rPr>
          <w:rFonts w:cstheme="minorHAnsi"/>
        </w:rPr>
        <w:t xml:space="preserve">pool </w:t>
      </w:r>
      <w:r>
        <w:rPr>
          <w:rFonts w:cstheme="minorHAnsi"/>
        </w:rPr>
        <w:t xml:space="preserve">when the </w:t>
      </w:r>
      <w:r w:rsidR="00027B1F">
        <w:rPr>
          <w:rFonts w:cstheme="minorHAnsi"/>
        </w:rPr>
        <w:t>BAPC</w:t>
      </w:r>
      <w:r w:rsidR="00673130">
        <w:rPr>
          <w:rFonts w:cstheme="minorHAnsi"/>
        </w:rPr>
        <w:t>-funded</w:t>
      </w:r>
      <w:r>
        <w:rPr>
          <w:rFonts w:cstheme="minorHAnsi"/>
        </w:rPr>
        <w:t xml:space="preserve"> </w:t>
      </w:r>
      <w:r w:rsidR="00D829D9">
        <w:rPr>
          <w:rFonts w:cstheme="minorHAnsi"/>
        </w:rPr>
        <w:t>hospice@HOME</w:t>
      </w:r>
      <w:r>
        <w:rPr>
          <w:rFonts w:cstheme="minorHAnsi"/>
        </w:rPr>
        <w:t xml:space="preserve"> program ceases at the end of June in 2017. </w:t>
      </w:r>
      <w:r w:rsidR="00E0075D">
        <w:rPr>
          <w:rFonts w:cstheme="minorHAnsi"/>
        </w:rPr>
        <w:t>Thereafter, the Tasmanian Government will be responsible for all equipment provided to end</w:t>
      </w:r>
      <w:r w:rsidR="00DB20CE">
        <w:rPr>
          <w:rFonts w:cstheme="minorHAnsi"/>
        </w:rPr>
        <w:t>-</w:t>
      </w:r>
      <w:r w:rsidR="00E0075D">
        <w:rPr>
          <w:rFonts w:cstheme="minorHAnsi"/>
        </w:rPr>
        <w:t>of</w:t>
      </w:r>
      <w:r w:rsidR="00DB20CE">
        <w:rPr>
          <w:rFonts w:cstheme="minorHAnsi"/>
        </w:rPr>
        <w:t>-</w:t>
      </w:r>
      <w:r w:rsidR="00E0075D">
        <w:rPr>
          <w:rFonts w:cstheme="minorHAnsi"/>
        </w:rPr>
        <w:t xml:space="preserve">life clients. </w:t>
      </w:r>
      <w:r w:rsidR="00A4552C">
        <w:rPr>
          <w:rFonts w:cstheme="minorHAnsi"/>
        </w:rPr>
        <w:t xml:space="preserve">The Tasmanian Government is currently developing a more generic and integrated </w:t>
      </w:r>
      <w:r w:rsidR="00C20DBA">
        <w:rPr>
          <w:rFonts w:cstheme="minorHAnsi"/>
        </w:rPr>
        <w:t xml:space="preserve">equipment </w:t>
      </w:r>
      <w:r w:rsidR="00A4552C">
        <w:rPr>
          <w:rFonts w:cstheme="minorHAnsi"/>
        </w:rPr>
        <w:t>scheme</w:t>
      </w:r>
      <w:r w:rsidR="00DB20CE">
        <w:rPr>
          <w:rFonts w:cstheme="minorHAnsi"/>
        </w:rPr>
        <w:t>,</w:t>
      </w:r>
      <w:r w:rsidR="00A4552C">
        <w:rPr>
          <w:rFonts w:cstheme="minorHAnsi"/>
        </w:rPr>
        <w:t xml:space="preserve"> </w:t>
      </w:r>
      <w:r w:rsidR="00C20DBA">
        <w:rPr>
          <w:rFonts w:cstheme="minorHAnsi"/>
        </w:rPr>
        <w:t xml:space="preserve">which will have revised guidelines and a </w:t>
      </w:r>
      <w:r w:rsidR="008B0DD0">
        <w:rPr>
          <w:rFonts w:cstheme="minorHAnsi"/>
        </w:rPr>
        <w:t>statewide</w:t>
      </w:r>
      <w:r w:rsidR="00C20DBA">
        <w:rPr>
          <w:rFonts w:cstheme="minorHAnsi"/>
        </w:rPr>
        <w:t xml:space="preserve"> management system.</w:t>
      </w:r>
      <w:r w:rsidR="00A4552C">
        <w:rPr>
          <w:rFonts w:cstheme="minorHAnsi"/>
        </w:rPr>
        <w:t xml:space="preserve"> </w:t>
      </w:r>
    </w:p>
    <w:p w:rsidR="00892700" w:rsidRPr="00DF5CA3" w:rsidRDefault="00892700" w:rsidP="00D222EB">
      <w:pPr>
        <w:spacing w:line="276" w:lineRule="auto"/>
        <w:rPr>
          <w:rFonts w:cstheme="minorHAnsi"/>
        </w:rPr>
      </w:pPr>
      <w:r w:rsidRPr="00DF5CA3">
        <w:rPr>
          <w:rFonts w:cstheme="minorHAnsi"/>
        </w:rPr>
        <w:t xml:space="preserve">To ensure the </w:t>
      </w:r>
      <w:r w:rsidR="00551EE0">
        <w:rPr>
          <w:rFonts w:cstheme="minorHAnsi"/>
        </w:rPr>
        <w:t>hospice@HOME</w:t>
      </w:r>
      <w:r w:rsidRPr="00DF5CA3">
        <w:rPr>
          <w:rFonts w:cstheme="minorHAnsi"/>
        </w:rPr>
        <w:t xml:space="preserve"> equipment continues to be </w:t>
      </w:r>
      <w:r w:rsidR="009B6891" w:rsidRPr="00DF5CA3">
        <w:rPr>
          <w:rFonts w:cstheme="minorHAnsi"/>
        </w:rPr>
        <w:t>provided</w:t>
      </w:r>
      <w:r w:rsidR="00BD3711" w:rsidRPr="00DF5CA3">
        <w:rPr>
          <w:rFonts w:cstheme="minorHAnsi"/>
        </w:rPr>
        <w:t xml:space="preserve"> in a timely and direct way to end-of-life clients, </w:t>
      </w:r>
      <w:r w:rsidRPr="00DF5CA3">
        <w:rPr>
          <w:rFonts w:cstheme="minorHAnsi"/>
        </w:rPr>
        <w:t xml:space="preserve">TDN has proposed that </w:t>
      </w:r>
      <w:r w:rsidR="00BD3711" w:rsidRPr="00DF5CA3">
        <w:rPr>
          <w:rFonts w:cstheme="minorHAnsi"/>
        </w:rPr>
        <w:t>this</w:t>
      </w:r>
      <w:r w:rsidRPr="00DF5CA3">
        <w:rPr>
          <w:rFonts w:cstheme="minorHAnsi"/>
        </w:rPr>
        <w:t xml:space="preserve"> equipment be delivered in a priority system outside of the current </w:t>
      </w:r>
      <w:r w:rsidR="009B6891" w:rsidRPr="00DF5CA3">
        <w:rPr>
          <w:rFonts w:cstheme="minorHAnsi"/>
        </w:rPr>
        <w:t>Tasmanian Government Equipment Scheme</w:t>
      </w:r>
      <w:r w:rsidR="00BD3711" w:rsidRPr="00DF5CA3">
        <w:rPr>
          <w:rFonts w:cstheme="minorHAnsi"/>
        </w:rPr>
        <w:t>. We believe t</w:t>
      </w:r>
      <w:r w:rsidRPr="00DF5CA3">
        <w:rPr>
          <w:rFonts w:cstheme="minorHAnsi"/>
        </w:rPr>
        <w:t xml:space="preserve">his </w:t>
      </w:r>
      <w:r w:rsidR="00BD3711" w:rsidRPr="00DF5CA3">
        <w:rPr>
          <w:rFonts w:cstheme="minorHAnsi"/>
        </w:rPr>
        <w:t xml:space="preserve">service should </w:t>
      </w:r>
      <w:r w:rsidRPr="00DF5CA3">
        <w:rPr>
          <w:rFonts w:cstheme="minorHAnsi"/>
        </w:rPr>
        <w:t>be tendered out to a private organisation with specific expertise in this area and the a</w:t>
      </w:r>
      <w:r w:rsidR="00BD3711" w:rsidRPr="00DF5CA3">
        <w:rPr>
          <w:rFonts w:cstheme="minorHAnsi"/>
        </w:rPr>
        <w:t>bility to meet</w:t>
      </w:r>
      <w:r w:rsidRPr="00DF5CA3">
        <w:rPr>
          <w:rFonts w:cstheme="minorHAnsi"/>
        </w:rPr>
        <w:t xml:space="preserve"> competition and contestability </w:t>
      </w:r>
      <w:r w:rsidR="00BD3711" w:rsidRPr="00DF5CA3">
        <w:rPr>
          <w:rFonts w:cstheme="minorHAnsi"/>
        </w:rPr>
        <w:t xml:space="preserve">requirements </w:t>
      </w:r>
      <w:r w:rsidRPr="00DF5CA3">
        <w:rPr>
          <w:rFonts w:cstheme="minorHAnsi"/>
        </w:rPr>
        <w:t xml:space="preserve">in </w:t>
      </w:r>
      <w:r w:rsidR="00BD3711" w:rsidRPr="00DF5CA3">
        <w:rPr>
          <w:rFonts w:cstheme="minorHAnsi"/>
        </w:rPr>
        <w:t>delivering</w:t>
      </w:r>
      <w:r w:rsidRPr="00DF5CA3">
        <w:rPr>
          <w:rFonts w:cstheme="minorHAnsi"/>
        </w:rPr>
        <w:t xml:space="preserve"> a rapid response to the needs of aged care clients throughout the State.</w:t>
      </w:r>
    </w:p>
    <w:p w:rsidR="00892700" w:rsidRDefault="00892700" w:rsidP="00D222EB">
      <w:pPr>
        <w:spacing w:line="276" w:lineRule="auto"/>
        <w:rPr>
          <w:rFonts w:cstheme="minorHAnsi"/>
        </w:rPr>
      </w:pPr>
    </w:p>
    <w:p w:rsidR="00E903A0" w:rsidRPr="00F722CD" w:rsidRDefault="007344CD" w:rsidP="00D222EB">
      <w:pPr>
        <w:spacing w:after="60" w:line="276" w:lineRule="auto"/>
        <w:rPr>
          <w:rFonts w:cstheme="minorHAnsi"/>
          <w:b/>
          <w:color w:val="C45911" w:themeColor="accent2" w:themeShade="BF"/>
          <w:sz w:val="24"/>
          <w:szCs w:val="24"/>
        </w:rPr>
      </w:pPr>
      <w:r w:rsidRPr="009B16C4">
        <w:rPr>
          <w:rFonts w:cstheme="minorHAnsi"/>
          <w:noProof/>
          <w:lang w:val="en-AU" w:eastAsia="en-AU"/>
        </w:rPr>
        <mc:AlternateContent>
          <mc:Choice Requires="wps">
            <w:drawing>
              <wp:anchor distT="45720" distB="45720" distL="114300" distR="114300" simplePos="0" relativeHeight="251656192" behindDoc="0" locked="0" layoutInCell="1" allowOverlap="1" wp14:anchorId="45570DFE" wp14:editId="37C0A9C8">
                <wp:simplePos x="0" y="0"/>
                <wp:positionH relativeFrom="margin">
                  <wp:align>right</wp:align>
                </wp:positionH>
                <wp:positionV relativeFrom="paragraph">
                  <wp:posOffset>57785</wp:posOffset>
                </wp:positionV>
                <wp:extent cx="2171700" cy="1318895"/>
                <wp:effectExtent l="0" t="0" r="19050" b="146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18895"/>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3C6A0A" w:rsidRDefault="005473E1" w:rsidP="000308EA">
                            <w:pPr>
                              <w:pStyle w:val="Quote"/>
                              <w:rPr>
                                <w:rFonts w:asciiTheme="majorHAnsi" w:eastAsiaTheme="majorEastAsia" w:hAnsiTheme="majorHAnsi" w:cstheme="majorBidi"/>
                                <w:iCs/>
                                <w:color w:val="2F5496" w:themeColor="accent5" w:themeShade="BF"/>
                                <w:lang w:val="en-US"/>
                              </w:rPr>
                            </w:pPr>
                            <w:r w:rsidRPr="003C6A0A">
                              <w:rPr>
                                <w:rFonts w:asciiTheme="majorHAnsi" w:eastAsiaTheme="majorEastAsia" w:hAnsiTheme="majorHAnsi" w:cstheme="majorBidi"/>
                                <w:iCs/>
                                <w:color w:val="2F5496" w:themeColor="accent5" w:themeShade="BF"/>
                                <w:lang w:val="en-US"/>
                              </w:rPr>
                              <w:t>Having someone on the phone that you can ask and knows the situation and what’s been happening … that’s a great help. I know I can call at any time and they will listen.</w:t>
                            </w:r>
                          </w:p>
                          <w:p w:rsidR="005473E1" w:rsidRPr="000308EA" w:rsidRDefault="005473E1" w:rsidP="000308EA">
                            <w:pPr>
                              <w:pStyle w:val="Quote"/>
                              <w:rPr>
                                <w:rFonts w:asciiTheme="majorHAnsi" w:eastAsiaTheme="majorEastAsia" w:hAnsiTheme="majorHAnsi" w:cstheme="majorBidi"/>
                                <w:iCs/>
                                <w:color w:val="2E74B5" w:themeColor="accent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4" o:spid="_x0000_s1030" style="position:absolute;margin-left:119.8pt;margin-top:4.55pt;width:171pt;height:103.8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" strokecolor="#8496b0 [1951]">
                <v:stroke joinstyle="miter"/>
                <v:textbox>
                  <w:txbxContent>
                    <w:p w:rsidR="005473E1" w:rsidRPr="003C6A0A" w:rsidRDefault="005473E1" w:rsidP="000308EA">
                      <w:pPr>
                        <w:pStyle w:val="Quote"/>
                        <w:rPr>
                          <w:rFonts w:asciiTheme="majorHAnsi" w:eastAsiaTheme="majorEastAsia" w:hAnsiTheme="majorHAnsi" w:cstheme="majorBidi"/>
                          <w:iCs/>
                          <w:color w:val="2F5496" w:themeColor="accent5" w:themeShade="BF"/>
                          <w:lang w:val="en-US"/>
                        </w:rPr>
                      </w:pPr>
                      <w:r w:rsidRPr="003C6A0A">
                        <w:rPr>
                          <w:rFonts w:asciiTheme="majorHAnsi" w:eastAsiaTheme="majorEastAsia" w:hAnsiTheme="majorHAnsi" w:cstheme="majorBidi"/>
                          <w:iCs/>
                          <w:color w:val="2F5496" w:themeColor="accent5" w:themeShade="BF"/>
                          <w:lang w:val="en-US"/>
                        </w:rPr>
                        <w:t>Having someone on the phone that you can ask and knows the situation and what’s been happening … that’s a great help. I know I can call at any time and they will listen.</w:t>
                      </w:r>
                    </w:p>
                    <w:p w:rsidR="005473E1" w:rsidRPr="000308EA" w:rsidRDefault="005473E1" w:rsidP="000308EA">
                      <w:pPr>
                        <w:pStyle w:val="Quote"/>
                        <w:rPr>
                          <w:rFonts w:asciiTheme="majorHAnsi" w:eastAsiaTheme="majorEastAsia" w:hAnsiTheme="majorHAnsi" w:cstheme="majorBidi"/>
                          <w:iCs/>
                          <w:color w:val="2E74B5" w:themeColor="accent1" w:themeShade="BF"/>
                          <w:lang w:val="en-US"/>
                        </w:rPr>
                      </w:pPr>
                    </w:p>
                  </w:txbxContent>
                </v:textbox>
                <w10:wrap type="square" anchorx="margin"/>
              </v:roundrect>
            </w:pict>
          </mc:Fallback>
        </mc:AlternateContent>
      </w:r>
      <w:r w:rsidR="00E903A0" w:rsidRPr="00F722CD">
        <w:rPr>
          <w:rFonts w:cstheme="minorHAnsi"/>
          <w:b/>
          <w:color w:val="C45911" w:themeColor="accent2" w:themeShade="BF"/>
          <w:sz w:val="24"/>
          <w:szCs w:val="24"/>
        </w:rPr>
        <w:t xml:space="preserve">The </w:t>
      </w:r>
      <w:r w:rsidR="00D829D9">
        <w:rPr>
          <w:rFonts w:cstheme="minorHAnsi"/>
          <w:b/>
          <w:color w:val="C45911" w:themeColor="accent2" w:themeShade="BF"/>
          <w:sz w:val="24"/>
          <w:szCs w:val="24"/>
        </w:rPr>
        <w:t>hospice@HOME</w:t>
      </w:r>
      <w:r w:rsidR="00A85D9F" w:rsidRPr="00F722CD">
        <w:rPr>
          <w:rFonts w:cstheme="minorHAnsi"/>
          <w:b/>
          <w:color w:val="C45911" w:themeColor="accent2" w:themeShade="BF"/>
          <w:sz w:val="24"/>
          <w:szCs w:val="24"/>
        </w:rPr>
        <w:t xml:space="preserve"> </w:t>
      </w:r>
      <w:r w:rsidR="00E903A0" w:rsidRPr="00F722CD">
        <w:rPr>
          <w:rFonts w:cstheme="minorHAnsi"/>
          <w:b/>
          <w:color w:val="C45911" w:themeColor="accent2" w:themeShade="BF"/>
          <w:sz w:val="24"/>
          <w:szCs w:val="24"/>
        </w:rPr>
        <w:t>After Hours Service</w:t>
      </w:r>
    </w:p>
    <w:p w:rsidR="00EB1E9B" w:rsidRDefault="00E903A0" w:rsidP="00D222EB">
      <w:pPr>
        <w:spacing w:line="276" w:lineRule="auto"/>
        <w:rPr>
          <w:rFonts w:cstheme="minorHAnsi"/>
        </w:rPr>
      </w:pPr>
      <w:r w:rsidRPr="00E903A0">
        <w:rPr>
          <w:rFonts w:cstheme="minorHAnsi"/>
        </w:rPr>
        <w:t xml:space="preserve">1800HOSPICE is a free, coordinated, </w:t>
      </w:r>
      <w:r w:rsidR="008B0DD0" w:rsidRPr="00E903A0">
        <w:rPr>
          <w:rFonts w:cstheme="minorHAnsi"/>
        </w:rPr>
        <w:t>statewide</w:t>
      </w:r>
      <w:r w:rsidRPr="00E903A0">
        <w:rPr>
          <w:rFonts w:cstheme="minorHAnsi"/>
        </w:rPr>
        <w:t xml:space="preserve"> call centre that provides phone advice to clients, carers, and others involved in palliative and end of life care. It</w:t>
      </w:r>
      <w:r w:rsidR="00C93157">
        <w:rPr>
          <w:rFonts w:cstheme="minorHAnsi"/>
        </w:rPr>
        <w:t xml:space="preserve"> also instigates the</w:t>
      </w:r>
      <w:r w:rsidRPr="00E903A0">
        <w:rPr>
          <w:rFonts w:cstheme="minorHAnsi"/>
        </w:rPr>
        <w:t xml:space="preserve"> deployment of local on-call nursing staff or carers. A Palliative Triage Pathway ensures streamlined processes and a rapid response to callers. </w:t>
      </w:r>
    </w:p>
    <w:p w:rsidR="00EB1E9B" w:rsidRDefault="00EB1E9B" w:rsidP="00D222EB">
      <w:pPr>
        <w:spacing w:line="276" w:lineRule="auto"/>
        <w:rPr>
          <w:rFonts w:cstheme="minorHAnsi"/>
        </w:rPr>
      </w:pPr>
      <w:r>
        <w:rPr>
          <w:rFonts w:cstheme="minorHAnsi"/>
        </w:rPr>
        <w:t>Analysi</w:t>
      </w:r>
      <w:r w:rsidRPr="00E903A0">
        <w:rPr>
          <w:rFonts w:cstheme="minorHAnsi"/>
        </w:rPr>
        <w:t xml:space="preserve">s of </w:t>
      </w:r>
      <w:r w:rsidR="00D829D9">
        <w:rPr>
          <w:rFonts w:cstheme="minorHAnsi"/>
        </w:rPr>
        <w:t>hospice@HOME</w:t>
      </w:r>
      <w:r>
        <w:rPr>
          <w:rFonts w:cstheme="minorHAnsi"/>
        </w:rPr>
        <w:t xml:space="preserve"> </w:t>
      </w:r>
      <w:r w:rsidRPr="00E903A0">
        <w:rPr>
          <w:rFonts w:cstheme="minorHAnsi"/>
        </w:rPr>
        <w:t xml:space="preserve">client data indicates that contact with the </w:t>
      </w:r>
      <w:r>
        <w:rPr>
          <w:rFonts w:cstheme="minorHAnsi"/>
        </w:rPr>
        <w:t>1800HOSPICE service</w:t>
      </w:r>
      <w:r w:rsidRPr="00E903A0">
        <w:rPr>
          <w:rFonts w:cstheme="minorHAnsi"/>
        </w:rPr>
        <w:t xml:space="preserve"> correlates with </w:t>
      </w:r>
      <w:r>
        <w:rPr>
          <w:rFonts w:cstheme="minorHAnsi"/>
        </w:rPr>
        <w:t>a reduction in</w:t>
      </w:r>
      <w:r w:rsidRPr="00E903A0">
        <w:rPr>
          <w:rFonts w:cstheme="minorHAnsi"/>
        </w:rPr>
        <w:t xml:space="preserve"> attendances at hospital emergency departments </w:t>
      </w:r>
      <w:r>
        <w:rPr>
          <w:rFonts w:cstheme="minorHAnsi"/>
        </w:rPr>
        <w:t>as well as</w:t>
      </w:r>
      <w:r w:rsidRPr="00E903A0">
        <w:rPr>
          <w:rFonts w:cstheme="minorHAnsi"/>
        </w:rPr>
        <w:t xml:space="preserve"> callouts to the ambulance service. </w:t>
      </w:r>
    </w:p>
    <w:p w:rsidR="00F473F2" w:rsidRDefault="00EB1E9B" w:rsidP="00D222EB">
      <w:pPr>
        <w:spacing w:line="276" w:lineRule="auto"/>
        <w:rPr>
          <w:rFonts w:cstheme="minorHAnsi"/>
        </w:rPr>
      </w:pPr>
      <w:r w:rsidRPr="009B16C4">
        <w:rPr>
          <w:rFonts w:cstheme="minorHAnsi"/>
          <w:noProof/>
          <w:lang w:val="en-AU" w:eastAsia="en-AU"/>
        </w:rPr>
        <mc:AlternateContent>
          <mc:Choice Requires="wps">
            <w:drawing>
              <wp:anchor distT="45720" distB="45720" distL="114300" distR="114300" simplePos="0" relativeHeight="251657216" behindDoc="0" locked="0" layoutInCell="1" allowOverlap="1" wp14:anchorId="753E35B2" wp14:editId="6E9ED7E9">
                <wp:simplePos x="0" y="0"/>
                <wp:positionH relativeFrom="margin">
                  <wp:posOffset>1905</wp:posOffset>
                </wp:positionH>
                <wp:positionV relativeFrom="paragraph">
                  <wp:posOffset>753110</wp:posOffset>
                </wp:positionV>
                <wp:extent cx="2319020" cy="1047750"/>
                <wp:effectExtent l="0" t="0" r="2413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1047750"/>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3C6A0A" w:rsidRDefault="005473E1" w:rsidP="000308EA">
                            <w:pPr>
                              <w:pStyle w:val="Heading4"/>
                              <w:rPr>
                                <w:color w:val="2F5496" w:themeColor="accent5" w:themeShade="BF"/>
                                <w:sz w:val="20"/>
                                <w:szCs w:val="20"/>
                              </w:rPr>
                            </w:pPr>
                            <w:r w:rsidRPr="003C6A0A">
                              <w:rPr>
                                <w:color w:val="2F5496" w:themeColor="accent5" w:themeShade="BF"/>
                                <w:sz w:val="20"/>
                                <w:szCs w:val="20"/>
                                <w:lang w:val="en-US"/>
                              </w:rPr>
                              <w:t xml:space="preserve">I was on the phone with you the night dad died. You were a tremendous help to me and supported me to navigate the final hours of Dad’s life with dignity and control.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5" o:spid="_x0000_s1031" style="position:absolute;margin-left:.15pt;margin-top:59.3pt;width:182.6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" strokecolor="#8496b0 [1951]">
                <v:stroke joinstyle="miter"/>
                <v:textbox>
                  <w:txbxContent>
                    <w:p w:rsidR="005473E1" w:rsidRPr="003C6A0A" w:rsidRDefault="005473E1" w:rsidP="000308EA">
                      <w:pPr>
                        <w:pStyle w:val="Heading4"/>
                        <w:rPr>
                          <w:color w:val="2F5496" w:themeColor="accent5" w:themeShade="BF"/>
                          <w:sz w:val="20"/>
                          <w:szCs w:val="20"/>
                        </w:rPr>
                      </w:pPr>
                      <w:r w:rsidRPr="003C6A0A">
                        <w:rPr>
                          <w:color w:val="2F5496" w:themeColor="accent5" w:themeShade="BF"/>
                          <w:sz w:val="20"/>
                          <w:szCs w:val="20"/>
                          <w:lang w:val="en-US"/>
                        </w:rPr>
                        <w:t xml:space="preserve">I was on the phone with you the night dad died. You were a tremendous help to me and supported me to navigate the final hours of Dad’s life with dignity and control. </w:t>
                      </w:r>
                    </w:p>
                  </w:txbxContent>
                </v:textbox>
                <w10:wrap type="square" anchorx="margin"/>
              </v:roundrect>
            </w:pict>
          </mc:Fallback>
        </mc:AlternateContent>
      </w:r>
      <w:r w:rsidR="00E903A0" w:rsidRPr="00E903A0">
        <w:rPr>
          <w:rFonts w:cstheme="minorHAnsi"/>
        </w:rPr>
        <w:t>P</w:t>
      </w:r>
      <w:r>
        <w:rPr>
          <w:rFonts w:cstheme="minorHAnsi"/>
        </w:rPr>
        <w:t>rior to the introduction of 1800HOSPICE</w:t>
      </w:r>
      <w:r w:rsidR="00E903A0" w:rsidRPr="00E903A0">
        <w:rPr>
          <w:rFonts w:cstheme="minorHAnsi"/>
        </w:rPr>
        <w:t>, after</w:t>
      </w:r>
      <w:r w:rsidR="005924EA" w:rsidRPr="00E903A0">
        <w:rPr>
          <w:rFonts w:cstheme="minorHAnsi"/>
        </w:rPr>
        <w:t>hours’</w:t>
      </w:r>
      <w:r w:rsidR="00E903A0" w:rsidRPr="00E903A0">
        <w:rPr>
          <w:rFonts w:cstheme="minorHAnsi"/>
        </w:rPr>
        <w:t xml:space="preserve"> palliative care support </w:t>
      </w:r>
      <w:r>
        <w:rPr>
          <w:rFonts w:cstheme="minorHAnsi"/>
        </w:rPr>
        <w:t xml:space="preserve">in Tasmania </w:t>
      </w:r>
      <w:r w:rsidR="00E903A0" w:rsidRPr="00E903A0">
        <w:rPr>
          <w:rFonts w:cstheme="minorHAnsi"/>
        </w:rPr>
        <w:t xml:space="preserve">was fragmented and variable depending on the region and locality in which it was sought. </w:t>
      </w:r>
      <w:r w:rsidR="00D829D9">
        <w:rPr>
          <w:rFonts w:cstheme="minorHAnsi"/>
        </w:rPr>
        <w:t>hospice@HOME</w:t>
      </w:r>
      <w:r w:rsidR="00C63A39">
        <w:rPr>
          <w:rFonts w:cstheme="minorHAnsi"/>
        </w:rPr>
        <w:t xml:space="preserve"> assumed responsibility for the Northern SPCS after hours calls in August 2015 and for the Southern SPCS in June 2016. </w:t>
      </w:r>
      <w:r w:rsidR="000D60AB">
        <w:rPr>
          <w:rFonts w:cstheme="minorHAnsi"/>
        </w:rPr>
        <w:t>Before the introduction of</w:t>
      </w:r>
      <w:r w:rsidR="00C63A39">
        <w:rPr>
          <w:rFonts w:cstheme="minorHAnsi"/>
        </w:rPr>
        <w:t xml:space="preserve"> </w:t>
      </w:r>
      <w:r w:rsidR="00D829D9">
        <w:rPr>
          <w:rFonts w:cstheme="minorHAnsi"/>
        </w:rPr>
        <w:t>hospice@HOME</w:t>
      </w:r>
      <w:r w:rsidR="00C63A39">
        <w:rPr>
          <w:rFonts w:cstheme="minorHAnsi"/>
        </w:rPr>
        <w:t xml:space="preserve"> the North West had no </w:t>
      </w:r>
      <w:r w:rsidR="003F4CFA">
        <w:rPr>
          <w:rFonts w:cstheme="minorHAnsi"/>
        </w:rPr>
        <w:t xml:space="preserve">palliative </w:t>
      </w:r>
      <w:r w:rsidR="00C63A39">
        <w:rPr>
          <w:rFonts w:cstheme="minorHAnsi"/>
        </w:rPr>
        <w:t xml:space="preserve">after </w:t>
      </w:r>
      <w:r w:rsidR="005924EA">
        <w:rPr>
          <w:rFonts w:cstheme="minorHAnsi"/>
        </w:rPr>
        <w:t>hours’</w:t>
      </w:r>
      <w:r w:rsidR="00C63A39">
        <w:rPr>
          <w:rFonts w:cstheme="minorHAnsi"/>
        </w:rPr>
        <w:t xml:space="preserve"> service.</w:t>
      </w:r>
      <w:r>
        <w:rPr>
          <w:rFonts w:cstheme="minorHAnsi"/>
        </w:rPr>
        <w:t xml:space="preserve"> </w:t>
      </w:r>
      <w:r w:rsidR="002C435C">
        <w:rPr>
          <w:rFonts w:cstheme="minorHAnsi"/>
        </w:rPr>
        <w:t>The withdrawal of Specialist Palliative Care teams from</w:t>
      </w:r>
      <w:r>
        <w:rPr>
          <w:rFonts w:cstheme="minorHAnsi"/>
        </w:rPr>
        <w:t xml:space="preserve"> </w:t>
      </w:r>
      <w:r w:rsidR="005924EA">
        <w:rPr>
          <w:rFonts w:cstheme="minorHAnsi"/>
        </w:rPr>
        <w:t>after-hours’</w:t>
      </w:r>
      <w:r>
        <w:rPr>
          <w:rFonts w:cstheme="minorHAnsi"/>
        </w:rPr>
        <w:t xml:space="preserve"> service provision has occurred as a result of</w:t>
      </w:r>
      <w:r w:rsidR="002C435C">
        <w:rPr>
          <w:rFonts w:cstheme="minorHAnsi"/>
        </w:rPr>
        <w:t xml:space="preserve"> a realignment of their functions</w:t>
      </w:r>
      <w:r>
        <w:rPr>
          <w:rFonts w:cstheme="minorHAnsi"/>
        </w:rPr>
        <w:t>. As part of this role review, t</w:t>
      </w:r>
      <w:r w:rsidR="002C435C">
        <w:rPr>
          <w:rFonts w:cstheme="minorHAnsi"/>
        </w:rPr>
        <w:t xml:space="preserve">hey have </w:t>
      </w:r>
      <w:r>
        <w:rPr>
          <w:rFonts w:cstheme="minorHAnsi"/>
        </w:rPr>
        <w:t xml:space="preserve">also ceased direct service delivery in the community and have </w:t>
      </w:r>
      <w:r w:rsidR="00952D70">
        <w:rPr>
          <w:rFonts w:cstheme="minorHAnsi"/>
        </w:rPr>
        <w:t>taken on a consultancy role to primary health workers</w:t>
      </w:r>
      <w:r w:rsidR="002C435C">
        <w:rPr>
          <w:rFonts w:cstheme="minorHAnsi"/>
        </w:rPr>
        <w:t>. They no longer offer after</w:t>
      </w:r>
      <w:r w:rsidR="005924EA">
        <w:rPr>
          <w:rFonts w:cstheme="minorHAnsi"/>
        </w:rPr>
        <w:t>-hours’</w:t>
      </w:r>
      <w:r w:rsidR="002C435C">
        <w:rPr>
          <w:rFonts w:cstheme="minorHAnsi"/>
        </w:rPr>
        <w:t xml:space="preserve"> services to </w:t>
      </w:r>
      <w:r>
        <w:rPr>
          <w:rFonts w:cstheme="minorHAnsi"/>
        </w:rPr>
        <w:t xml:space="preserve">home-based </w:t>
      </w:r>
      <w:r w:rsidR="002C435C">
        <w:rPr>
          <w:rFonts w:cstheme="minorHAnsi"/>
        </w:rPr>
        <w:t xml:space="preserve">clients or have any </w:t>
      </w:r>
      <w:r>
        <w:rPr>
          <w:rFonts w:cstheme="minorHAnsi"/>
        </w:rPr>
        <w:t xml:space="preserve">direct </w:t>
      </w:r>
      <w:r w:rsidR="00952D70">
        <w:rPr>
          <w:rFonts w:cstheme="minorHAnsi"/>
        </w:rPr>
        <w:t>contact with them, other than via the client’s primary health providers.</w:t>
      </w:r>
    </w:p>
    <w:p w:rsidR="003F4CFA" w:rsidRPr="00952D70" w:rsidRDefault="00FA0653" w:rsidP="00D222EB">
      <w:pPr>
        <w:spacing w:line="276" w:lineRule="auto"/>
        <w:rPr>
          <w:rFonts w:cstheme="minorHAnsi"/>
        </w:rPr>
      </w:pPr>
      <w:r w:rsidRPr="00952D70">
        <w:rPr>
          <w:rFonts w:cstheme="minorHAnsi"/>
        </w:rPr>
        <w:t>T</w:t>
      </w:r>
      <w:r w:rsidR="002B4319" w:rsidRPr="00952D70">
        <w:rPr>
          <w:rFonts w:cstheme="minorHAnsi"/>
        </w:rPr>
        <w:t xml:space="preserve">he </w:t>
      </w:r>
      <w:r w:rsidR="00D829D9">
        <w:rPr>
          <w:rFonts w:cstheme="minorHAnsi"/>
        </w:rPr>
        <w:t>hospice@HOME</w:t>
      </w:r>
      <w:r w:rsidR="00581B67" w:rsidRPr="00952D70">
        <w:rPr>
          <w:rFonts w:cstheme="minorHAnsi"/>
        </w:rPr>
        <w:t xml:space="preserve"> </w:t>
      </w:r>
      <w:r w:rsidR="002B4319" w:rsidRPr="00952D70">
        <w:rPr>
          <w:rFonts w:cstheme="minorHAnsi"/>
        </w:rPr>
        <w:t xml:space="preserve">after </w:t>
      </w:r>
      <w:r w:rsidR="00662A60" w:rsidRPr="00952D70">
        <w:rPr>
          <w:rFonts w:cstheme="minorHAnsi"/>
        </w:rPr>
        <w:t>hours</w:t>
      </w:r>
      <w:r w:rsidR="00CD7B2C">
        <w:rPr>
          <w:rFonts w:cstheme="minorHAnsi"/>
        </w:rPr>
        <w:t>’</w:t>
      </w:r>
      <w:r w:rsidR="00952D70" w:rsidRPr="00952D70">
        <w:rPr>
          <w:rFonts w:cstheme="minorHAnsi"/>
        </w:rPr>
        <w:t xml:space="preserve"> service</w:t>
      </w:r>
      <w:r w:rsidR="00952D70">
        <w:rPr>
          <w:rFonts w:cstheme="minorHAnsi"/>
        </w:rPr>
        <w:t xml:space="preserve"> model</w:t>
      </w:r>
      <w:r w:rsidR="002B4319" w:rsidRPr="00952D70">
        <w:rPr>
          <w:rFonts w:cstheme="minorHAnsi"/>
        </w:rPr>
        <w:t xml:space="preserve"> </w:t>
      </w:r>
      <w:r w:rsidR="00952D70">
        <w:rPr>
          <w:rFonts w:cstheme="minorHAnsi"/>
        </w:rPr>
        <w:t xml:space="preserve">is built on strong </w:t>
      </w:r>
      <w:r w:rsidR="00952D70" w:rsidRPr="00952D70">
        <w:rPr>
          <w:rFonts w:cstheme="minorHAnsi"/>
        </w:rPr>
        <w:t xml:space="preserve">ongoing collaboration with primary care providers and </w:t>
      </w:r>
      <w:r w:rsidR="00952D70">
        <w:rPr>
          <w:rFonts w:cstheme="minorHAnsi"/>
        </w:rPr>
        <w:t>the SPCS</w:t>
      </w:r>
      <w:r w:rsidR="00404724">
        <w:rPr>
          <w:rFonts w:cstheme="minorHAnsi"/>
        </w:rPr>
        <w:t xml:space="preserve"> and this collaboration</w:t>
      </w:r>
      <w:r w:rsidR="00952D70" w:rsidRPr="00952D70">
        <w:rPr>
          <w:rFonts w:cstheme="minorHAnsi"/>
        </w:rPr>
        <w:t xml:space="preserve"> is integral to enhancing client’s outcomes</w:t>
      </w:r>
      <w:r w:rsidR="00404724">
        <w:rPr>
          <w:rFonts w:cstheme="minorHAnsi"/>
        </w:rPr>
        <w:t xml:space="preserve">. Tasmanian clients </w:t>
      </w:r>
      <w:r w:rsidR="002B4319" w:rsidRPr="00952D70">
        <w:rPr>
          <w:rFonts w:cstheme="minorHAnsi"/>
        </w:rPr>
        <w:t xml:space="preserve">benefit </w:t>
      </w:r>
      <w:r w:rsidR="00404724">
        <w:rPr>
          <w:rFonts w:cstheme="minorHAnsi"/>
        </w:rPr>
        <w:t>by having</w:t>
      </w:r>
      <w:r w:rsidR="002B4319" w:rsidRPr="00952D70">
        <w:rPr>
          <w:rFonts w:cstheme="minorHAnsi"/>
        </w:rPr>
        <w:t xml:space="preserve"> their call managed locally and </w:t>
      </w:r>
      <w:r w:rsidR="00404724">
        <w:rPr>
          <w:rFonts w:cstheme="minorHAnsi"/>
        </w:rPr>
        <w:t xml:space="preserve">effectively. </w:t>
      </w:r>
      <w:r w:rsidR="002B4319" w:rsidRPr="00952D70">
        <w:rPr>
          <w:rFonts w:cstheme="minorHAnsi"/>
        </w:rPr>
        <w:t xml:space="preserve">We </w:t>
      </w:r>
      <w:r w:rsidR="000D60AB">
        <w:rPr>
          <w:rFonts w:cstheme="minorHAnsi"/>
        </w:rPr>
        <w:t>have proposed</w:t>
      </w:r>
      <w:r w:rsidR="002B4319" w:rsidRPr="00952D70">
        <w:rPr>
          <w:rFonts w:cstheme="minorHAnsi"/>
        </w:rPr>
        <w:t xml:space="preserve"> </w:t>
      </w:r>
      <w:r w:rsidR="00EB1E9B">
        <w:rPr>
          <w:rFonts w:cstheme="minorHAnsi"/>
        </w:rPr>
        <w:t>that the</w:t>
      </w:r>
      <w:r w:rsidR="000D60AB">
        <w:rPr>
          <w:rFonts w:cstheme="minorHAnsi"/>
        </w:rPr>
        <w:t xml:space="preserve"> Tasmanian G</w:t>
      </w:r>
      <w:r w:rsidR="00662A60" w:rsidRPr="00952D70">
        <w:rPr>
          <w:rFonts w:cstheme="minorHAnsi"/>
        </w:rPr>
        <w:t>overnment fund</w:t>
      </w:r>
      <w:r w:rsidR="000D60AB">
        <w:rPr>
          <w:rFonts w:cstheme="minorHAnsi"/>
        </w:rPr>
        <w:t>s</w:t>
      </w:r>
      <w:r w:rsidR="00662A60" w:rsidRPr="00952D70">
        <w:rPr>
          <w:rFonts w:cstheme="minorHAnsi"/>
        </w:rPr>
        <w:t xml:space="preserve"> the </w:t>
      </w:r>
      <w:r w:rsidR="005924EA" w:rsidRPr="00952D70">
        <w:rPr>
          <w:rFonts w:cstheme="minorHAnsi"/>
        </w:rPr>
        <w:t>after-hours</w:t>
      </w:r>
      <w:r w:rsidR="005924EA">
        <w:rPr>
          <w:rFonts w:cstheme="minorHAnsi"/>
        </w:rPr>
        <w:t>’</w:t>
      </w:r>
      <w:r w:rsidR="00581B67" w:rsidRPr="00952D70">
        <w:rPr>
          <w:rFonts w:cstheme="minorHAnsi"/>
        </w:rPr>
        <w:t xml:space="preserve"> </w:t>
      </w:r>
      <w:r w:rsidR="00404724">
        <w:rPr>
          <w:rFonts w:cstheme="minorHAnsi"/>
        </w:rPr>
        <w:t xml:space="preserve">service </w:t>
      </w:r>
      <w:r w:rsidR="00662A60" w:rsidRPr="00952D70">
        <w:rPr>
          <w:rFonts w:cstheme="minorHAnsi"/>
        </w:rPr>
        <w:t xml:space="preserve">and </w:t>
      </w:r>
      <w:r w:rsidR="00404724">
        <w:rPr>
          <w:rFonts w:cstheme="minorHAnsi"/>
        </w:rPr>
        <w:t xml:space="preserve">its current governance structures which encompass </w:t>
      </w:r>
      <w:r w:rsidR="00662A60" w:rsidRPr="00952D70">
        <w:rPr>
          <w:rFonts w:cstheme="minorHAnsi"/>
        </w:rPr>
        <w:t xml:space="preserve">collaborative arrangements between </w:t>
      </w:r>
      <w:r w:rsidR="00404724">
        <w:rPr>
          <w:rFonts w:cstheme="minorHAnsi"/>
        </w:rPr>
        <w:t>the T</w:t>
      </w:r>
      <w:r w:rsidR="000D60AB">
        <w:rPr>
          <w:rFonts w:cstheme="minorHAnsi"/>
        </w:rPr>
        <w:t xml:space="preserve">asmanian </w:t>
      </w:r>
      <w:r w:rsidR="00404724">
        <w:rPr>
          <w:rFonts w:cstheme="minorHAnsi"/>
        </w:rPr>
        <w:t>H</w:t>
      </w:r>
      <w:r w:rsidR="000D60AB">
        <w:rPr>
          <w:rFonts w:cstheme="minorHAnsi"/>
        </w:rPr>
        <w:t xml:space="preserve">ealth </w:t>
      </w:r>
      <w:r w:rsidR="00404724">
        <w:rPr>
          <w:rFonts w:cstheme="minorHAnsi"/>
        </w:rPr>
        <w:t>S</w:t>
      </w:r>
      <w:r w:rsidR="000D60AB">
        <w:rPr>
          <w:rFonts w:cstheme="minorHAnsi"/>
        </w:rPr>
        <w:t>ervice</w:t>
      </w:r>
      <w:r w:rsidR="00404724">
        <w:rPr>
          <w:rFonts w:cstheme="minorHAnsi"/>
        </w:rPr>
        <w:t>, community based services</w:t>
      </w:r>
      <w:r w:rsidR="00662A60" w:rsidRPr="00952D70">
        <w:rPr>
          <w:rFonts w:cstheme="minorHAnsi"/>
        </w:rPr>
        <w:t xml:space="preserve"> and </w:t>
      </w:r>
      <w:r w:rsidR="00D829D9">
        <w:rPr>
          <w:rFonts w:cstheme="minorHAnsi"/>
        </w:rPr>
        <w:t>hospice@HOME</w:t>
      </w:r>
      <w:r w:rsidR="00662A60" w:rsidRPr="00952D70">
        <w:rPr>
          <w:rFonts w:cstheme="minorHAnsi"/>
        </w:rPr>
        <w:t>.</w:t>
      </w:r>
    </w:p>
    <w:p w:rsidR="002F22C0" w:rsidRDefault="002F22C0" w:rsidP="00D222EB">
      <w:pPr>
        <w:spacing w:after="60" w:line="276" w:lineRule="auto"/>
        <w:rPr>
          <w:rFonts w:cstheme="minorHAnsi"/>
          <w:b/>
          <w:color w:val="C45911" w:themeColor="accent2" w:themeShade="BF"/>
          <w:sz w:val="24"/>
          <w:szCs w:val="24"/>
        </w:rPr>
      </w:pPr>
    </w:p>
    <w:p w:rsidR="002F22C0" w:rsidRDefault="002F22C0" w:rsidP="00D222EB">
      <w:pPr>
        <w:spacing w:after="60" w:line="276" w:lineRule="auto"/>
        <w:rPr>
          <w:rFonts w:cstheme="minorHAnsi"/>
          <w:b/>
          <w:color w:val="C45911" w:themeColor="accent2" w:themeShade="BF"/>
          <w:sz w:val="24"/>
          <w:szCs w:val="24"/>
        </w:rPr>
      </w:pPr>
      <w:r>
        <w:rPr>
          <w:rFonts w:cstheme="minorHAnsi"/>
          <w:b/>
          <w:color w:val="C45911" w:themeColor="accent2" w:themeShade="BF"/>
          <w:sz w:val="24"/>
          <w:szCs w:val="24"/>
        </w:rPr>
        <w:t>Learnings from the hospice@HOME program</w:t>
      </w:r>
    </w:p>
    <w:p w:rsidR="002F22C0" w:rsidRPr="009649CD" w:rsidRDefault="002F22C0" w:rsidP="002F22C0">
      <w:pPr>
        <w:spacing w:line="276" w:lineRule="auto"/>
        <w:rPr>
          <w:rFonts w:cstheme="minorHAnsi"/>
          <w:b/>
          <w:i/>
          <w:color w:val="2F5496" w:themeColor="accent5" w:themeShade="BF"/>
        </w:rPr>
      </w:pPr>
      <w:r w:rsidRPr="009649CD">
        <w:rPr>
          <w:rFonts w:cstheme="minorHAnsi"/>
          <w:b/>
          <w:i/>
          <w:color w:val="2F5496" w:themeColor="accent5" w:themeShade="BF"/>
        </w:rPr>
        <w:t>Collaboration</w:t>
      </w:r>
    </w:p>
    <w:p w:rsidR="00DF5CA3" w:rsidRDefault="00CC35E4" w:rsidP="003A4A49">
      <w:pPr>
        <w:spacing w:line="276" w:lineRule="auto"/>
        <w:rPr>
          <w:rFonts w:cstheme="minorHAnsi"/>
        </w:rPr>
      </w:pPr>
      <w:r>
        <w:rPr>
          <w:rFonts w:cstheme="minorHAnsi"/>
        </w:rPr>
        <w:t xml:space="preserve">TDN initially met with some systemic </w:t>
      </w:r>
      <w:r w:rsidR="003A4A49">
        <w:rPr>
          <w:rFonts w:cstheme="minorHAnsi"/>
        </w:rPr>
        <w:t>resistance</w:t>
      </w:r>
      <w:r>
        <w:rPr>
          <w:rFonts w:cstheme="minorHAnsi"/>
        </w:rPr>
        <w:t xml:space="preserve"> in introducing the </w:t>
      </w:r>
      <w:r w:rsidR="00551EE0">
        <w:rPr>
          <w:rFonts w:cstheme="minorHAnsi"/>
        </w:rPr>
        <w:t>hospice@HOME</w:t>
      </w:r>
      <w:r>
        <w:rPr>
          <w:rFonts w:cstheme="minorHAnsi"/>
        </w:rPr>
        <w:t xml:space="preserve"> program in Tasmania </w:t>
      </w:r>
      <w:r w:rsidR="003A4A49">
        <w:rPr>
          <w:rFonts w:cstheme="minorHAnsi"/>
        </w:rPr>
        <w:t>due to various hist</w:t>
      </w:r>
      <w:r w:rsidR="006F248F">
        <w:rPr>
          <w:rFonts w:cstheme="minorHAnsi"/>
        </w:rPr>
        <w:t>orical and cultural issues. T</w:t>
      </w:r>
      <w:r w:rsidR="003A4A49">
        <w:rPr>
          <w:rFonts w:cstheme="minorHAnsi"/>
        </w:rPr>
        <w:t xml:space="preserve">he rapid establishment of the program </w:t>
      </w:r>
      <w:r w:rsidR="006F248F">
        <w:rPr>
          <w:rFonts w:cstheme="minorHAnsi"/>
        </w:rPr>
        <w:t xml:space="preserve">and its integration into the Tasmanian health and human services’ system </w:t>
      </w:r>
      <w:r w:rsidR="003A4A49">
        <w:rPr>
          <w:rFonts w:cstheme="minorHAnsi"/>
        </w:rPr>
        <w:t xml:space="preserve">is testimony to our commitment to the </w:t>
      </w:r>
      <w:r w:rsidR="00551EE0">
        <w:rPr>
          <w:rFonts w:cstheme="minorHAnsi"/>
        </w:rPr>
        <w:t>hospice@HOME</w:t>
      </w:r>
      <w:r w:rsidR="003A4A49">
        <w:rPr>
          <w:rFonts w:cstheme="minorHAnsi"/>
        </w:rPr>
        <w:t xml:space="preserve"> concept. </w:t>
      </w:r>
    </w:p>
    <w:p w:rsidR="003A4A49" w:rsidRDefault="003A4A49" w:rsidP="003A4A49">
      <w:pPr>
        <w:spacing w:line="276" w:lineRule="auto"/>
        <w:rPr>
          <w:rFonts w:cstheme="minorHAnsi"/>
        </w:rPr>
      </w:pPr>
      <w:r>
        <w:rPr>
          <w:rFonts w:cstheme="minorHAnsi"/>
        </w:rPr>
        <w:t>The establishment of collaborative arrangements across the board – with clinicians, GPs, contracted organisations and other partners in care, and with clients, their carers and their broader networks – has been key to the success of the program. The high levels of satisfaction expressed by clients and carer</w:t>
      </w:r>
      <w:r w:rsidR="00DF5CA3">
        <w:rPr>
          <w:rFonts w:cstheme="minorHAnsi"/>
        </w:rPr>
        <w:t xml:space="preserve">s is testimony to this success. </w:t>
      </w:r>
      <w:r>
        <w:rPr>
          <w:rFonts w:cstheme="minorHAnsi"/>
        </w:rPr>
        <w:t>This collaboration is built on extensive knowledge of local networks, providers, circumstances and politics.</w:t>
      </w:r>
    </w:p>
    <w:p w:rsidR="003A4A49" w:rsidRDefault="003A4A49" w:rsidP="003A4A49">
      <w:pPr>
        <w:spacing w:line="276" w:lineRule="auto"/>
        <w:rPr>
          <w:rFonts w:cstheme="minorHAnsi"/>
        </w:rPr>
      </w:pPr>
      <w:r>
        <w:rPr>
          <w:rFonts w:cstheme="minorHAnsi"/>
        </w:rPr>
        <w:t xml:space="preserve">For ‘partners in care’ </w:t>
      </w:r>
      <w:r w:rsidR="00DF5CA3">
        <w:rPr>
          <w:rFonts w:cstheme="minorHAnsi"/>
        </w:rPr>
        <w:t xml:space="preserve">organisations, </w:t>
      </w:r>
      <w:r w:rsidR="00551EE0">
        <w:rPr>
          <w:rFonts w:cstheme="minorHAnsi"/>
        </w:rPr>
        <w:t>hospice@HOME</w:t>
      </w:r>
      <w:r>
        <w:rPr>
          <w:rFonts w:cstheme="minorHAnsi"/>
        </w:rPr>
        <w:t xml:space="preserve"> has introduced a</w:t>
      </w:r>
      <w:r w:rsidR="008904D9">
        <w:rPr>
          <w:rFonts w:cstheme="minorHAnsi"/>
        </w:rPr>
        <w:t xml:space="preserve"> </w:t>
      </w:r>
      <w:r w:rsidR="00DF5CA3">
        <w:rPr>
          <w:rFonts w:cstheme="minorHAnsi"/>
        </w:rPr>
        <w:t xml:space="preserve">Collaborative </w:t>
      </w:r>
      <w:r w:rsidR="008904D9">
        <w:rPr>
          <w:rFonts w:cstheme="minorHAnsi"/>
        </w:rPr>
        <w:t>Protocol which has improved communication</w:t>
      </w:r>
      <w:r w:rsidR="00DF5CA3">
        <w:rPr>
          <w:rFonts w:cstheme="minorHAnsi"/>
        </w:rPr>
        <w:t xml:space="preserve">, </w:t>
      </w:r>
      <w:r w:rsidR="008904D9">
        <w:rPr>
          <w:rFonts w:cstheme="minorHAnsi"/>
        </w:rPr>
        <w:t>cooperation</w:t>
      </w:r>
      <w:r w:rsidR="00DF5CA3">
        <w:rPr>
          <w:rFonts w:cstheme="minorHAnsi"/>
        </w:rPr>
        <w:t xml:space="preserve"> and collaborative practice</w:t>
      </w:r>
      <w:r w:rsidR="006F248F">
        <w:rPr>
          <w:rFonts w:cstheme="minorHAnsi"/>
        </w:rPr>
        <w:t xml:space="preserve"> among organisations directly involved in clients’ care and clinical support</w:t>
      </w:r>
      <w:r w:rsidR="008904D9">
        <w:rPr>
          <w:rFonts w:cstheme="minorHAnsi"/>
        </w:rPr>
        <w:t>.</w:t>
      </w:r>
    </w:p>
    <w:p w:rsidR="008904D9" w:rsidRPr="009649CD" w:rsidRDefault="008904D9" w:rsidP="009649CD">
      <w:pPr>
        <w:spacing w:after="0" w:line="276" w:lineRule="auto"/>
        <w:rPr>
          <w:rStyle w:val="IntenseEmphasis"/>
          <w:b/>
          <w:color w:val="2F5496" w:themeColor="accent5" w:themeShade="BF"/>
        </w:rPr>
      </w:pPr>
      <w:r w:rsidRPr="009649CD">
        <w:rPr>
          <w:rStyle w:val="IntenseEmphasis"/>
          <w:b/>
          <w:color w:val="2F5496" w:themeColor="accent5" w:themeShade="BF"/>
        </w:rPr>
        <w:t>Brokerage</w:t>
      </w:r>
    </w:p>
    <w:p w:rsidR="008904D9" w:rsidRDefault="008904D9" w:rsidP="003A4A49">
      <w:pPr>
        <w:spacing w:line="276" w:lineRule="auto"/>
        <w:rPr>
          <w:rFonts w:cstheme="minorHAnsi"/>
        </w:rPr>
      </w:pPr>
      <w:r>
        <w:rPr>
          <w:rFonts w:cstheme="minorHAnsi"/>
        </w:rPr>
        <w:t>The de</w:t>
      </w:r>
      <w:r w:rsidR="002F22C0">
        <w:rPr>
          <w:rFonts w:cstheme="minorHAnsi"/>
        </w:rPr>
        <w:t xml:space="preserve">velopment of </w:t>
      </w:r>
      <w:r>
        <w:rPr>
          <w:rFonts w:cstheme="minorHAnsi"/>
        </w:rPr>
        <w:t xml:space="preserve">a brokerage model, with local service providers contracted to provide aspects of the </w:t>
      </w:r>
      <w:r w:rsidR="00551EE0">
        <w:rPr>
          <w:rFonts w:cstheme="minorHAnsi"/>
        </w:rPr>
        <w:t>hospice@HOME</w:t>
      </w:r>
      <w:r>
        <w:rPr>
          <w:rFonts w:cstheme="minorHAnsi"/>
        </w:rPr>
        <w:t xml:space="preserve"> service package, has been a very positive learning process. While there were initially some issues with </w:t>
      </w:r>
      <w:r w:rsidR="00994EEA">
        <w:rPr>
          <w:rFonts w:cstheme="minorHAnsi"/>
        </w:rPr>
        <w:t xml:space="preserve">levels of </w:t>
      </w:r>
      <w:r>
        <w:rPr>
          <w:rFonts w:cstheme="minorHAnsi"/>
        </w:rPr>
        <w:t>st</w:t>
      </w:r>
      <w:r w:rsidR="00994EEA">
        <w:rPr>
          <w:rFonts w:cstheme="minorHAnsi"/>
        </w:rPr>
        <w:t xml:space="preserve">aff palliative care knowledge and </w:t>
      </w:r>
      <w:r>
        <w:rPr>
          <w:rFonts w:cstheme="minorHAnsi"/>
        </w:rPr>
        <w:t xml:space="preserve">expertise, </w:t>
      </w:r>
      <w:r w:rsidR="00994EEA">
        <w:rPr>
          <w:rFonts w:cstheme="minorHAnsi"/>
        </w:rPr>
        <w:t xml:space="preserve">and with service </w:t>
      </w:r>
      <w:r>
        <w:rPr>
          <w:rFonts w:cstheme="minorHAnsi"/>
        </w:rPr>
        <w:t xml:space="preserve">quality control and scheduling, these problems have all been overcome and processes </w:t>
      </w:r>
      <w:r w:rsidR="00A057BE">
        <w:rPr>
          <w:rFonts w:cstheme="minorHAnsi"/>
        </w:rPr>
        <w:t>are</w:t>
      </w:r>
      <w:r>
        <w:rPr>
          <w:rFonts w:cstheme="minorHAnsi"/>
        </w:rPr>
        <w:t xml:space="preserve"> in place to mitigate them. </w:t>
      </w:r>
      <w:r w:rsidR="00551EE0">
        <w:rPr>
          <w:rFonts w:cstheme="minorHAnsi"/>
        </w:rPr>
        <w:t>hospice@HOME</w:t>
      </w:r>
      <w:r>
        <w:rPr>
          <w:rFonts w:cstheme="minorHAnsi"/>
        </w:rPr>
        <w:t xml:space="preserve"> now provides expert training and advice to contracted services.</w:t>
      </w:r>
    </w:p>
    <w:p w:rsidR="002F22C0" w:rsidRDefault="008904D9" w:rsidP="003A4A49">
      <w:pPr>
        <w:spacing w:line="276" w:lineRule="auto"/>
        <w:rPr>
          <w:rFonts w:cstheme="minorHAnsi"/>
        </w:rPr>
      </w:pPr>
      <w:r>
        <w:rPr>
          <w:rFonts w:cstheme="minorHAnsi"/>
        </w:rPr>
        <w:t>The establishment of a provider network of contracted services has been another outcome of the program. Many of these providers work cooperatively</w:t>
      </w:r>
      <w:r w:rsidRPr="008904D9">
        <w:rPr>
          <w:rFonts w:cstheme="minorHAnsi"/>
        </w:rPr>
        <w:t xml:space="preserve"> </w:t>
      </w:r>
      <w:r>
        <w:rPr>
          <w:rFonts w:cstheme="minorHAnsi"/>
        </w:rPr>
        <w:t xml:space="preserve">rather than competitively, sharing knowledge and resources, and this collaboration is facilitated by </w:t>
      </w:r>
      <w:r w:rsidR="00551EE0">
        <w:rPr>
          <w:rFonts w:cstheme="minorHAnsi"/>
        </w:rPr>
        <w:t>hospice@HOME</w:t>
      </w:r>
      <w:r>
        <w:rPr>
          <w:rFonts w:cstheme="minorHAnsi"/>
        </w:rPr>
        <w:t>.</w:t>
      </w:r>
    </w:p>
    <w:p w:rsidR="002F22C0" w:rsidRPr="009649CD" w:rsidRDefault="00AD00B5" w:rsidP="009649CD">
      <w:pPr>
        <w:spacing w:after="0" w:line="276" w:lineRule="auto"/>
        <w:rPr>
          <w:rStyle w:val="IntenseEmphasis"/>
          <w:b/>
          <w:color w:val="2F5496" w:themeColor="accent5" w:themeShade="BF"/>
        </w:rPr>
      </w:pPr>
      <w:r w:rsidRPr="009649CD">
        <w:rPr>
          <w:rStyle w:val="IntenseEmphasis"/>
          <w:b/>
          <w:color w:val="2F5496" w:themeColor="accent5" w:themeShade="BF"/>
        </w:rPr>
        <w:t>Program costs</w:t>
      </w:r>
    </w:p>
    <w:p w:rsidR="002F22C0" w:rsidRDefault="002F22C0" w:rsidP="00316BD2">
      <w:pPr>
        <w:spacing w:line="276" w:lineRule="auto"/>
        <w:rPr>
          <w:rFonts w:cstheme="minorHAnsi"/>
        </w:rPr>
      </w:pPr>
      <w:r>
        <w:rPr>
          <w:rFonts w:cstheme="minorHAnsi"/>
        </w:rPr>
        <w:t xml:space="preserve">While </w:t>
      </w:r>
      <w:r w:rsidR="00551EE0">
        <w:rPr>
          <w:rFonts w:cstheme="minorHAnsi"/>
        </w:rPr>
        <w:t>hospice@HOME</w:t>
      </w:r>
      <w:r>
        <w:rPr>
          <w:rFonts w:cstheme="minorHAnsi"/>
        </w:rPr>
        <w:t xml:space="preserve"> was costed as a pilot model, with generous </w:t>
      </w:r>
      <w:r w:rsidR="001D0EA3">
        <w:rPr>
          <w:rFonts w:cstheme="minorHAnsi"/>
        </w:rPr>
        <w:t>allowances</w:t>
      </w:r>
      <w:r>
        <w:rPr>
          <w:rFonts w:cstheme="minorHAnsi"/>
        </w:rPr>
        <w:t xml:space="preserve"> for establishment and infrastructure set-up, actual service delivery costs fell far short of what was anticipated, allowing for an additional fourth year of service delivery </w:t>
      </w:r>
      <w:r w:rsidR="00B8600A">
        <w:rPr>
          <w:rFonts w:cstheme="minorHAnsi"/>
        </w:rPr>
        <w:t xml:space="preserve">to be implemented </w:t>
      </w:r>
      <w:r w:rsidR="00225962">
        <w:rPr>
          <w:rFonts w:cstheme="minorHAnsi"/>
        </w:rPr>
        <w:t>within the</w:t>
      </w:r>
      <w:r>
        <w:rPr>
          <w:rFonts w:cstheme="minorHAnsi"/>
        </w:rPr>
        <w:t xml:space="preserve"> </w:t>
      </w:r>
      <w:r w:rsidR="00F7090D">
        <w:rPr>
          <w:rFonts w:cstheme="minorHAnsi"/>
        </w:rPr>
        <w:t xml:space="preserve">parameters of the </w:t>
      </w:r>
      <w:r w:rsidR="009907E2">
        <w:rPr>
          <w:rFonts w:cstheme="minorHAnsi"/>
        </w:rPr>
        <w:t>three-year</w:t>
      </w:r>
      <w:r>
        <w:rPr>
          <w:rFonts w:cstheme="minorHAnsi"/>
        </w:rPr>
        <w:t xml:space="preserve"> project</w:t>
      </w:r>
      <w:r w:rsidR="00225962">
        <w:rPr>
          <w:rFonts w:cstheme="minorHAnsi"/>
        </w:rPr>
        <w:t xml:space="preserve"> budget</w:t>
      </w:r>
      <w:r>
        <w:rPr>
          <w:rFonts w:cstheme="minorHAnsi"/>
        </w:rPr>
        <w:t>.</w:t>
      </w:r>
    </w:p>
    <w:p w:rsidR="008D6947" w:rsidRDefault="008D6947" w:rsidP="00316BD2">
      <w:pPr>
        <w:spacing w:line="276" w:lineRule="auto"/>
        <w:rPr>
          <w:rFonts w:cstheme="minorHAnsi"/>
        </w:rPr>
      </w:pPr>
    </w:p>
    <w:p w:rsidR="008D6947" w:rsidRDefault="008D6947" w:rsidP="00316BD2">
      <w:pPr>
        <w:spacing w:line="276" w:lineRule="auto"/>
        <w:rPr>
          <w:rFonts w:cstheme="minorHAnsi"/>
        </w:rPr>
      </w:pPr>
    </w:p>
    <w:p w:rsidR="002F22C0" w:rsidRDefault="00316BD2" w:rsidP="00316BD2">
      <w:pPr>
        <w:spacing w:line="276" w:lineRule="auto"/>
        <w:rPr>
          <w:rFonts w:cstheme="minorHAnsi"/>
        </w:rPr>
      </w:pPr>
      <w:r>
        <w:rPr>
          <w:rFonts w:cstheme="minorHAnsi"/>
        </w:rPr>
        <w:t>The program budget has</w:t>
      </w:r>
      <w:r w:rsidR="002F22C0">
        <w:rPr>
          <w:rFonts w:cstheme="minorHAnsi"/>
        </w:rPr>
        <w:t xml:space="preserve"> also included an </w:t>
      </w:r>
      <w:r w:rsidR="005924EA">
        <w:rPr>
          <w:rFonts w:cstheme="minorHAnsi"/>
        </w:rPr>
        <w:t>after-hours</w:t>
      </w:r>
      <w:r w:rsidR="002F22C0">
        <w:rPr>
          <w:rFonts w:cstheme="minorHAnsi"/>
        </w:rPr>
        <w:t xml:space="preserve"> service and an equipment scheme, that TDN believes should be supported by state/territory governments</w:t>
      </w:r>
      <w:r>
        <w:rPr>
          <w:rFonts w:cstheme="minorHAnsi"/>
        </w:rPr>
        <w:t xml:space="preserve"> in future</w:t>
      </w:r>
      <w:r w:rsidR="002F22C0">
        <w:rPr>
          <w:rFonts w:cstheme="minorHAnsi"/>
        </w:rPr>
        <w:t>.</w:t>
      </w:r>
    </w:p>
    <w:p w:rsidR="002F22C0" w:rsidRDefault="002F22C0" w:rsidP="00316BD2">
      <w:pPr>
        <w:spacing w:line="276" w:lineRule="auto"/>
        <w:rPr>
          <w:rFonts w:cstheme="minorHAnsi"/>
        </w:rPr>
      </w:pPr>
      <w:r>
        <w:rPr>
          <w:rFonts w:cstheme="minorHAnsi"/>
        </w:rPr>
        <w:t xml:space="preserve">The average per package cost of service delivery is currently </w:t>
      </w:r>
      <w:r w:rsidRPr="002F22C0">
        <w:rPr>
          <w:rFonts w:cstheme="minorHAnsi"/>
        </w:rPr>
        <w:t>$2,890</w:t>
      </w:r>
      <w:r w:rsidR="009D584D">
        <w:rPr>
          <w:rFonts w:cstheme="minorHAnsi"/>
        </w:rPr>
        <w:t xml:space="preserve"> (excluding After Hours and Equipment services). </w:t>
      </w:r>
      <w:r w:rsidR="00AD00B5">
        <w:rPr>
          <w:rFonts w:cstheme="minorHAnsi"/>
        </w:rPr>
        <w:t xml:space="preserve">TDN is confident that similar </w:t>
      </w:r>
      <w:r w:rsidR="009D584D">
        <w:rPr>
          <w:rFonts w:cstheme="minorHAnsi"/>
        </w:rPr>
        <w:t>programs</w:t>
      </w:r>
      <w:r w:rsidR="00AD00B5">
        <w:rPr>
          <w:rFonts w:cstheme="minorHAnsi"/>
        </w:rPr>
        <w:t xml:space="preserve"> could be established in other areas</w:t>
      </w:r>
      <w:r w:rsidR="009D584D">
        <w:rPr>
          <w:rFonts w:cstheme="minorHAnsi"/>
        </w:rPr>
        <w:t xml:space="preserve"> of Australia</w:t>
      </w:r>
      <w:r w:rsidR="00AD00B5">
        <w:rPr>
          <w:rFonts w:cstheme="minorHAnsi"/>
        </w:rPr>
        <w:t xml:space="preserve"> based on this </w:t>
      </w:r>
      <w:r w:rsidR="005924EA">
        <w:rPr>
          <w:rFonts w:cstheme="minorHAnsi"/>
        </w:rPr>
        <w:t>much-reduced</w:t>
      </w:r>
      <w:r w:rsidR="00AD00B5">
        <w:rPr>
          <w:rFonts w:cstheme="minorHAnsi"/>
        </w:rPr>
        <w:t xml:space="preserve"> cost, </w:t>
      </w:r>
      <w:r w:rsidR="009D584D">
        <w:rPr>
          <w:rFonts w:cstheme="minorHAnsi"/>
        </w:rPr>
        <w:t>plus</w:t>
      </w:r>
      <w:r w:rsidR="00AD00B5">
        <w:rPr>
          <w:rFonts w:cstheme="minorHAnsi"/>
        </w:rPr>
        <w:t xml:space="preserve"> some additional overhead costs for </w:t>
      </w:r>
      <w:r w:rsidR="009D584D">
        <w:rPr>
          <w:rFonts w:cstheme="minorHAnsi"/>
        </w:rPr>
        <w:t xml:space="preserve">program </w:t>
      </w:r>
      <w:r w:rsidR="00AD00B5">
        <w:rPr>
          <w:rFonts w:cstheme="minorHAnsi"/>
        </w:rPr>
        <w:t xml:space="preserve">administration. </w:t>
      </w:r>
      <w:r w:rsidR="009907E2">
        <w:rPr>
          <w:rFonts w:cstheme="minorHAnsi"/>
        </w:rPr>
        <w:t xml:space="preserve">A client co-payment, as recommended by the Productivity Commission, could further reduce this cost. </w:t>
      </w:r>
      <w:r w:rsidR="00AD00B5">
        <w:rPr>
          <w:rFonts w:cstheme="minorHAnsi"/>
        </w:rPr>
        <w:t xml:space="preserve">TDN’s Intellectual Property – for example, our client management system; data collection processes; </w:t>
      </w:r>
      <w:r w:rsidR="00404065">
        <w:rPr>
          <w:rFonts w:cstheme="minorHAnsi"/>
        </w:rPr>
        <w:t xml:space="preserve">staffing structure; </w:t>
      </w:r>
      <w:r w:rsidR="00AD00B5">
        <w:rPr>
          <w:rFonts w:cstheme="minorHAnsi"/>
        </w:rPr>
        <w:t>policies, protocols and procedures; training materials; and research expertise</w:t>
      </w:r>
      <w:r w:rsidR="00BD284E">
        <w:rPr>
          <w:rFonts w:cstheme="minorHAnsi"/>
        </w:rPr>
        <w:t xml:space="preserve"> – </w:t>
      </w:r>
      <w:r w:rsidR="00AD00B5">
        <w:rPr>
          <w:rFonts w:cstheme="minorHAnsi"/>
        </w:rPr>
        <w:t>are readily adaptive for other jurisdictions.</w:t>
      </w:r>
    </w:p>
    <w:p w:rsidR="00404065" w:rsidRPr="009649CD" w:rsidRDefault="009907E2" w:rsidP="009649CD">
      <w:pPr>
        <w:spacing w:after="0" w:line="276" w:lineRule="auto"/>
        <w:rPr>
          <w:rStyle w:val="IntenseEmphasis"/>
          <w:b/>
          <w:color w:val="2F5496" w:themeColor="accent5" w:themeShade="BF"/>
        </w:rPr>
      </w:pPr>
      <w:r w:rsidRPr="009649CD">
        <w:rPr>
          <w:rStyle w:val="IntenseEmphasis"/>
          <w:b/>
          <w:color w:val="2F5496" w:themeColor="accent5" w:themeShade="BF"/>
        </w:rPr>
        <w:t>Service mix</w:t>
      </w:r>
    </w:p>
    <w:p w:rsidR="009907E2" w:rsidRDefault="009907E2" w:rsidP="007B12C3">
      <w:pPr>
        <w:spacing w:line="276" w:lineRule="auto"/>
        <w:rPr>
          <w:rFonts w:cstheme="minorHAnsi"/>
        </w:rPr>
      </w:pPr>
      <w:r>
        <w:rPr>
          <w:rFonts w:cstheme="minorHAnsi"/>
        </w:rPr>
        <w:t>TDN has conducted in-depth research with clients to ascertain the types of services that are most beneficial. Carer respite is often a key to maintaining people in their own homes. Allied health services such as social work and physiotherapy, and home help and gardening assistance are also highly valued. Complementary therapies have been very useful for some clients.</w:t>
      </w:r>
    </w:p>
    <w:p w:rsidR="009907E2" w:rsidRPr="002F22C0" w:rsidRDefault="009907E2" w:rsidP="007B12C3">
      <w:pPr>
        <w:spacing w:line="276" w:lineRule="auto"/>
        <w:rPr>
          <w:rFonts w:cstheme="minorHAnsi"/>
        </w:rPr>
      </w:pPr>
      <w:r>
        <w:rPr>
          <w:rFonts w:cstheme="minorHAnsi"/>
        </w:rPr>
        <w:t>TDN has introduced an Emergency Medicine Kit to assist clients and carers with symptom management at the end-of-life. This is currently being evaluated and could have applicability in other areas of Australia.</w:t>
      </w:r>
    </w:p>
    <w:p w:rsidR="00CC35E4" w:rsidRPr="009649CD" w:rsidRDefault="00CC35E4" w:rsidP="009649CD">
      <w:pPr>
        <w:spacing w:after="0" w:line="276" w:lineRule="auto"/>
        <w:rPr>
          <w:rStyle w:val="IntenseEmphasis"/>
          <w:b/>
          <w:color w:val="2F5496" w:themeColor="accent5" w:themeShade="BF"/>
        </w:rPr>
      </w:pPr>
      <w:r w:rsidRPr="009649CD">
        <w:rPr>
          <w:rStyle w:val="IntenseEmphasis"/>
          <w:b/>
          <w:color w:val="2F5496" w:themeColor="accent5" w:themeShade="BF"/>
        </w:rPr>
        <w:t>Staffing</w:t>
      </w:r>
    </w:p>
    <w:p w:rsidR="00CC35E4" w:rsidRDefault="00CC35E4" w:rsidP="002F22C0">
      <w:pPr>
        <w:spacing w:line="276" w:lineRule="auto"/>
        <w:rPr>
          <w:rFonts w:cstheme="minorHAnsi"/>
        </w:rPr>
      </w:pPr>
      <w:r>
        <w:rPr>
          <w:rFonts w:cstheme="minorHAnsi"/>
        </w:rPr>
        <w:t xml:space="preserve">Key to </w:t>
      </w:r>
      <w:r w:rsidR="00551EE0">
        <w:rPr>
          <w:rFonts w:cstheme="minorHAnsi"/>
        </w:rPr>
        <w:t>hospice@HOME</w:t>
      </w:r>
      <w:r>
        <w:rPr>
          <w:rFonts w:cstheme="minorHAnsi"/>
        </w:rPr>
        <w:t xml:space="preserve">’s success has been the staffing mix, which has evolved over the lifespan of the program. Non-clinical coordinators, social workers and a research team are now essential components of the staff complement. </w:t>
      </w:r>
      <w:r w:rsidR="00551EE0">
        <w:rPr>
          <w:rFonts w:cstheme="minorHAnsi"/>
        </w:rPr>
        <w:t>hospice@HOME</w:t>
      </w:r>
      <w:r>
        <w:rPr>
          <w:rFonts w:cstheme="minorHAnsi"/>
        </w:rPr>
        <w:t xml:space="preserve"> has attracted a very dedicated and skilled team of workers. TDN can provide advice to other areas on staffing requirements.</w:t>
      </w:r>
    </w:p>
    <w:p w:rsidR="00AD00B5" w:rsidRPr="009649CD" w:rsidRDefault="00AD00B5" w:rsidP="009649CD">
      <w:pPr>
        <w:spacing w:after="0" w:line="276" w:lineRule="auto"/>
        <w:rPr>
          <w:rStyle w:val="IntenseEmphasis"/>
          <w:b/>
          <w:color w:val="2F5496" w:themeColor="accent5" w:themeShade="BF"/>
        </w:rPr>
      </w:pPr>
      <w:r w:rsidRPr="009649CD">
        <w:rPr>
          <w:rStyle w:val="IntenseEmphasis"/>
          <w:b/>
          <w:color w:val="2F5496" w:themeColor="accent5" w:themeShade="BF"/>
        </w:rPr>
        <w:t>Equipment</w:t>
      </w:r>
    </w:p>
    <w:p w:rsidR="002F22C0" w:rsidRDefault="00AD00B5" w:rsidP="002F22C0">
      <w:pPr>
        <w:spacing w:line="276" w:lineRule="auto"/>
        <w:rPr>
          <w:rFonts w:cstheme="minorHAnsi"/>
        </w:rPr>
      </w:pPr>
      <w:r>
        <w:rPr>
          <w:rFonts w:cstheme="minorHAnsi"/>
        </w:rPr>
        <w:t xml:space="preserve">During its initial establishment, </w:t>
      </w:r>
      <w:r w:rsidR="00551EE0">
        <w:rPr>
          <w:rFonts w:cstheme="minorHAnsi"/>
        </w:rPr>
        <w:t>hospice@HOME</w:t>
      </w:r>
      <w:r>
        <w:rPr>
          <w:rFonts w:cstheme="minorHAnsi"/>
        </w:rPr>
        <w:t xml:space="preserve"> access</w:t>
      </w:r>
      <w:r w:rsidR="008E5CA6">
        <w:rPr>
          <w:rFonts w:cstheme="minorHAnsi"/>
        </w:rPr>
        <w:t>ed</w:t>
      </w:r>
      <w:r>
        <w:rPr>
          <w:rFonts w:cstheme="minorHAnsi"/>
        </w:rPr>
        <w:t xml:space="preserve"> the generic Tasmanian Government equipment scheme. This proved to be unwieldy,</w:t>
      </w:r>
      <w:r w:rsidR="008E5CA6">
        <w:rPr>
          <w:rFonts w:cstheme="minorHAnsi"/>
        </w:rPr>
        <w:t xml:space="preserve"> with</w:t>
      </w:r>
      <w:r>
        <w:rPr>
          <w:rFonts w:cstheme="minorHAnsi"/>
        </w:rPr>
        <w:t xml:space="preserve"> ongoing problems accessing the right equipment</w:t>
      </w:r>
      <w:r w:rsidR="000A3D1E">
        <w:rPr>
          <w:rFonts w:cstheme="minorHAnsi"/>
        </w:rPr>
        <w:t>,</w:t>
      </w:r>
      <w:r>
        <w:rPr>
          <w:rFonts w:cstheme="minorHAnsi"/>
        </w:rPr>
        <w:t xml:space="preserve"> at the right time </w:t>
      </w:r>
      <w:r w:rsidR="000A3D1E">
        <w:rPr>
          <w:rFonts w:cstheme="minorHAnsi"/>
        </w:rPr>
        <w:t xml:space="preserve">and </w:t>
      </w:r>
      <w:r>
        <w:rPr>
          <w:rFonts w:cstheme="minorHAnsi"/>
        </w:rPr>
        <w:t xml:space="preserve">in the right place. </w:t>
      </w:r>
      <w:r w:rsidR="00404065">
        <w:rPr>
          <w:rFonts w:cstheme="minorHAnsi"/>
        </w:rPr>
        <w:t>A specialised rapid-response scheme was then established through a private provider and this has proved to be very satisfactory.</w:t>
      </w:r>
    </w:p>
    <w:p w:rsidR="009907E2" w:rsidRDefault="00CC35E4" w:rsidP="002F22C0">
      <w:pPr>
        <w:spacing w:line="276" w:lineRule="auto"/>
        <w:rPr>
          <w:rFonts w:cstheme="minorHAnsi"/>
        </w:rPr>
      </w:pPr>
      <w:r>
        <w:rPr>
          <w:rFonts w:cstheme="minorHAnsi"/>
        </w:rPr>
        <w:t xml:space="preserve">While TDN believes that state/territory jurisdictions should be responsible for the provision and maintenance of equipment, we believe we now have considerable experience in </w:t>
      </w:r>
      <w:r w:rsidR="005924EA">
        <w:rPr>
          <w:rFonts w:cstheme="minorHAnsi"/>
        </w:rPr>
        <w:t xml:space="preserve">coordinating </w:t>
      </w:r>
      <w:r>
        <w:rPr>
          <w:rFonts w:cstheme="minorHAnsi"/>
        </w:rPr>
        <w:t xml:space="preserve">this essential part of the </w:t>
      </w:r>
      <w:r w:rsidR="00551EE0">
        <w:rPr>
          <w:rFonts w:cstheme="minorHAnsi"/>
        </w:rPr>
        <w:t>hospice@HOME</w:t>
      </w:r>
      <w:r>
        <w:rPr>
          <w:rFonts w:cstheme="minorHAnsi"/>
        </w:rPr>
        <w:t xml:space="preserve"> program.</w:t>
      </w:r>
    </w:p>
    <w:p w:rsidR="00404065" w:rsidRPr="009649CD" w:rsidRDefault="00404065" w:rsidP="009649CD">
      <w:pPr>
        <w:spacing w:after="0" w:line="276" w:lineRule="auto"/>
        <w:rPr>
          <w:rStyle w:val="IntenseEmphasis"/>
          <w:b/>
          <w:color w:val="2F5496" w:themeColor="accent5" w:themeShade="BF"/>
        </w:rPr>
      </w:pPr>
      <w:r w:rsidRPr="009649CD">
        <w:rPr>
          <w:rStyle w:val="IntenseEmphasis"/>
          <w:b/>
          <w:color w:val="2F5496" w:themeColor="accent5" w:themeShade="BF"/>
        </w:rPr>
        <w:t>After Hours</w:t>
      </w:r>
    </w:p>
    <w:p w:rsidR="008D6947" w:rsidRDefault="00404065" w:rsidP="002F22C0">
      <w:pPr>
        <w:spacing w:line="276" w:lineRule="auto"/>
        <w:rPr>
          <w:rFonts w:cstheme="minorHAnsi"/>
        </w:rPr>
      </w:pPr>
      <w:r>
        <w:rPr>
          <w:rFonts w:cstheme="minorHAnsi"/>
        </w:rPr>
        <w:t xml:space="preserve">Initially there were difficulties with the </w:t>
      </w:r>
      <w:r w:rsidR="00551EE0">
        <w:rPr>
          <w:rFonts w:cstheme="minorHAnsi"/>
        </w:rPr>
        <w:t>hospice@HOME</w:t>
      </w:r>
      <w:r>
        <w:rPr>
          <w:rFonts w:cstheme="minorHAnsi"/>
        </w:rPr>
        <w:t xml:space="preserve"> after</w:t>
      </w:r>
      <w:r w:rsidR="005924EA">
        <w:rPr>
          <w:rFonts w:cstheme="minorHAnsi"/>
        </w:rPr>
        <w:t>-hours’</w:t>
      </w:r>
      <w:r>
        <w:rPr>
          <w:rFonts w:cstheme="minorHAnsi"/>
        </w:rPr>
        <w:t xml:space="preserve"> service, with overlap in some areas </w:t>
      </w:r>
      <w:r w:rsidR="008D6947">
        <w:rPr>
          <w:rFonts w:cstheme="minorHAnsi"/>
        </w:rPr>
        <w:t>of</w:t>
      </w:r>
      <w:r>
        <w:rPr>
          <w:rFonts w:cstheme="minorHAnsi"/>
        </w:rPr>
        <w:t xml:space="preserve"> the State </w:t>
      </w:r>
      <w:r w:rsidR="008D6947">
        <w:rPr>
          <w:rFonts w:cstheme="minorHAnsi"/>
        </w:rPr>
        <w:t>with the g</w:t>
      </w:r>
      <w:r>
        <w:rPr>
          <w:rFonts w:cstheme="minorHAnsi"/>
        </w:rPr>
        <w:t>overnment’s Specialist Palliative Care Service and gaps in other areas where the government did not offer any after</w:t>
      </w:r>
      <w:r w:rsidR="005924EA">
        <w:rPr>
          <w:rFonts w:cstheme="minorHAnsi"/>
        </w:rPr>
        <w:t>-</w:t>
      </w:r>
      <w:r>
        <w:rPr>
          <w:rFonts w:cstheme="minorHAnsi"/>
        </w:rPr>
        <w:t>hours</w:t>
      </w:r>
      <w:r w:rsidR="005924EA">
        <w:rPr>
          <w:rFonts w:cstheme="minorHAnsi"/>
        </w:rPr>
        <w:t>’</w:t>
      </w:r>
      <w:r>
        <w:rPr>
          <w:rFonts w:cstheme="minorHAnsi"/>
        </w:rPr>
        <w:t xml:space="preserve"> palliative care phone advice. There were also some issues in tendering out the </w:t>
      </w:r>
      <w:r w:rsidR="00551EE0">
        <w:rPr>
          <w:rFonts w:cstheme="minorHAnsi"/>
        </w:rPr>
        <w:t>hospice@HOME</w:t>
      </w:r>
      <w:r>
        <w:rPr>
          <w:rFonts w:cstheme="minorHAnsi"/>
        </w:rPr>
        <w:t xml:space="preserve"> service to a more generic after</w:t>
      </w:r>
      <w:r w:rsidR="005924EA">
        <w:rPr>
          <w:rFonts w:cstheme="minorHAnsi"/>
        </w:rPr>
        <w:t>-hours’</w:t>
      </w:r>
      <w:r w:rsidR="008D6947">
        <w:rPr>
          <w:rFonts w:cstheme="minorHAnsi"/>
        </w:rPr>
        <w:t xml:space="preserve"> provider. </w:t>
      </w:r>
    </w:p>
    <w:p w:rsidR="00404065" w:rsidRPr="002F22C0" w:rsidRDefault="008D6947" w:rsidP="002F22C0">
      <w:pPr>
        <w:spacing w:line="276" w:lineRule="auto"/>
        <w:rPr>
          <w:rFonts w:cstheme="minorHAnsi"/>
        </w:rPr>
      </w:pPr>
      <w:r>
        <w:rPr>
          <w:rFonts w:cstheme="minorHAnsi"/>
        </w:rPr>
        <w:t>As t</w:t>
      </w:r>
      <w:r w:rsidR="00404065">
        <w:rPr>
          <w:rFonts w:cstheme="minorHAnsi"/>
        </w:rPr>
        <w:t xml:space="preserve">he </w:t>
      </w:r>
      <w:r>
        <w:rPr>
          <w:rFonts w:cstheme="minorHAnsi"/>
        </w:rPr>
        <w:t>Tasmanian G</w:t>
      </w:r>
      <w:r w:rsidR="00404065">
        <w:rPr>
          <w:rFonts w:cstheme="minorHAnsi"/>
        </w:rPr>
        <w:t>overnment no longer provides after hours palliative care advice</w:t>
      </w:r>
      <w:r>
        <w:rPr>
          <w:rFonts w:cstheme="minorHAnsi"/>
        </w:rPr>
        <w:t>,</w:t>
      </w:r>
      <w:r w:rsidR="00404065">
        <w:rPr>
          <w:rFonts w:cstheme="minorHAnsi"/>
        </w:rPr>
        <w:t xml:space="preserve"> </w:t>
      </w:r>
      <w:r w:rsidR="00551EE0">
        <w:rPr>
          <w:rFonts w:cstheme="minorHAnsi"/>
        </w:rPr>
        <w:t>hospice@HOME</w:t>
      </w:r>
      <w:r w:rsidR="00404065">
        <w:rPr>
          <w:rFonts w:cstheme="minorHAnsi"/>
        </w:rPr>
        <w:t xml:space="preserve"> now offers a fully established statewide service directly under the TDN umbrella.</w:t>
      </w:r>
    </w:p>
    <w:p w:rsidR="002F22C0" w:rsidRPr="002F22C0" w:rsidRDefault="002F22C0" w:rsidP="002F22C0">
      <w:pPr>
        <w:spacing w:line="276" w:lineRule="auto"/>
        <w:rPr>
          <w:rFonts w:cstheme="minorHAnsi"/>
        </w:rPr>
      </w:pPr>
    </w:p>
    <w:p w:rsidR="008D6947" w:rsidRPr="008D6947" w:rsidRDefault="008D6947" w:rsidP="008D6947">
      <w:pPr>
        <w:spacing w:line="276" w:lineRule="auto"/>
        <w:rPr>
          <w:rFonts w:cstheme="minorHAnsi"/>
        </w:rPr>
      </w:pPr>
    </w:p>
    <w:p w:rsidR="008D6947" w:rsidRPr="008D6947" w:rsidRDefault="008D6947" w:rsidP="008D6947">
      <w:pPr>
        <w:spacing w:line="276" w:lineRule="auto"/>
        <w:rPr>
          <w:rFonts w:cstheme="minorHAnsi"/>
        </w:rPr>
      </w:pPr>
    </w:p>
    <w:p w:rsidR="002F51D5" w:rsidRPr="00F722CD" w:rsidRDefault="00D829D9" w:rsidP="008D6947">
      <w:pPr>
        <w:spacing w:line="276" w:lineRule="auto"/>
        <w:rPr>
          <w:rFonts w:cstheme="minorHAnsi"/>
          <w:b/>
          <w:color w:val="C45911" w:themeColor="accent2" w:themeShade="BF"/>
          <w:sz w:val="24"/>
          <w:szCs w:val="24"/>
        </w:rPr>
      </w:pPr>
      <w:r>
        <w:rPr>
          <w:rFonts w:cstheme="minorHAnsi"/>
          <w:b/>
          <w:color w:val="C45911" w:themeColor="accent2" w:themeShade="BF"/>
          <w:sz w:val="24"/>
          <w:szCs w:val="24"/>
        </w:rPr>
        <w:t>hospice@HOME</w:t>
      </w:r>
      <w:r w:rsidR="002F51D5" w:rsidRPr="00F722CD">
        <w:rPr>
          <w:rFonts w:cstheme="minorHAnsi"/>
          <w:b/>
          <w:color w:val="C45911" w:themeColor="accent2" w:themeShade="BF"/>
          <w:sz w:val="24"/>
          <w:szCs w:val="24"/>
        </w:rPr>
        <w:t xml:space="preserve"> into the future</w:t>
      </w:r>
    </w:p>
    <w:p w:rsidR="006A42D3" w:rsidRDefault="00A81B4E" w:rsidP="00D222EB">
      <w:pPr>
        <w:spacing w:line="276" w:lineRule="auto"/>
        <w:rPr>
          <w:rFonts w:cstheme="minorHAnsi"/>
        </w:rPr>
      </w:pPr>
      <w:r>
        <w:rPr>
          <w:rFonts w:cstheme="minorHAnsi"/>
        </w:rPr>
        <w:t>TDN</w:t>
      </w:r>
      <w:r w:rsidR="008B62F5" w:rsidRPr="00B424B6">
        <w:rPr>
          <w:rFonts w:cstheme="minorHAnsi"/>
        </w:rPr>
        <w:t xml:space="preserve"> </w:t>
      </w:r>
      <w:r w:rsidR="00D800E2">
        <w:rPr>
          <w:rFonts w:cstheme="minorHAnsi"/>
        </w:rPr>
        <w:t>wishes</w:t>
      </w:r>
      <w:r>
        <w:rPr>
          <w:rFonts w:cstheme="minorHAnsi"/>
        </w:rPr>
        <w:t xml:space="preserve"> to continue </w:t>
      </w:r>
      <w:r w:rsidR="00E0075D">
        <w:rPr>
          <w:rFonts w:cstheme="minorHAnsi"/>
        </w:rPr>
        <w:t xml:space="preserve">to provide in-home </w:t>
      </w:r>
      <w:r w:rsidR="00D800E2">
        <w:rPr>
          <w:rFonts w:cstheme="minorHAnsi"/>
        </w:rPr>
        <w:t>end of life care</w:t>
      </w:r>
      <w:r w:rsidR="008B62F5" w:rsidRPr="00B424B6">
        <w:rPr>
          <w:rFonts w:cstheme="minorHAnsi"/>
        </w:rPr>
        <w:t xml:space="preserve"> </w:t>
      </w:r>
      <w:r w:rsidR="00E0075D">
        <w:rPr>
          <w:rFonts w:cstheme="minorHAnsi"/>
        </w:rPr>
        <w:t xml:space="preserve">services </w:t>
      </w:r>
      <w:r w:rsidR="008B62F5" w:rsidRPr="00B424B6">
        <w:rPr>
          <w:rFonts w:cstheme="minorHAnsi"/>
        </w:rPr>
        <w:t xml:space="preserve">in Tasmania, and </w:t>
      </w:r>
      <w:r w:rsidR="000D60AB">
        <w:rPr>
          <w:rFonts w:cstheme="minorHAnsi"/>
        </w:rPr>
        <w:t>we believe</w:t>
      </w:r>
      <w:r w:rsidR="00D800E2">
        <w:rPr>
          <w:rFonts w:cstheme="minorHAnsi"/>
        </w:rPr>
        <w:t xml:space="preserve"> that the</w:t>
      </w:r>
      <w:r w:rsidR="00D32A14">
        <w:rPr>
          <w:rFonts w:cstheme="minorHAnsi"/>
        </w:rPr>
        <w:t xml:space="preserve"> </w:t>
      </w:r>
      <w:r w:rsidR="00D32A14" w:rsidRPr="00EB28F9">
        <w:rPr>
          <w:rFonts w:cstheme="minorHAnsi"/>
        </w:rPr>
        <w:t xml:space="preserve">model </w:t>
      </w:r>
      <w:r w:rsidR="00EB28F9">
        <w:rPr>
          <w:rFonts w:cstheme="minorHAnsi"/>
        </w:rPr>
        <w:t xml:space="preserve">outlined in this proposal would </w:t>
      </w:r>
      <w:r w:rsidR="00D800E2">
        <w:rPr>
          <w:rFonts w:cstheme="minorHAnsi"/>
        </w:rPr>
        <w:t xml:space="preserve">best </w:t>
      </w:r>
      <w:r w:rsidR="00EB28F9">
        <w:rPr>
          <w:rFonts w:cstheme="minorHAnsi"/>
        </w:rPr>
        <w:t xml:space="preserve">support </w:t>
      </w:r>
      <w:r w:rsidR="00E0075D">
        <w:rPr>
          <w:rFonts w:cstheme="minorHAnsi"/>
        </w:rPr>
        <w:t>clients and their carers</w:t>
      </w:r>
      <w:r w:rsidR="006A42D3">
        <w:rPr>
          <w:rFonts w:cstheme="minorHAnsi"/>
        </w:rPr>
        <w:t>.</w:t>
      </w:r>
      <w:r w:rsidR="006A42D3" w:rsidRPr="006A42D3">
        <w:rPr>
          <w:rFonts w:cstheme="minorHAnsi"/>
        </w:rPr>
        <w:t xml:space="preserve"> </w:t>
      </w:r>
      <w:r w:rsidR="006A42D3">
        <w:rPr>
          <w:rFonts w:cstheme="minorHAnsi"/>
        </w:rPr>
        <w:t xml:space="preserve">We believe the </w:t>
      </w:r>
      <w:r w:rsidR="00D829D9">
        <w:rPr>
          <w:rFonts w:cstheme="minorHAnsi"/>
        </w:rPr>
        <w:t>hospice@HOME</w:t>
      </w:r>
      <w:r w:rsidR="006A42D3">
        <w:rPr>
          <w:rFonts w:cstheme="minorHAnsi"/>
        </w:rPr>
        <w:t xml:space="preserve"> program </w:t>
      </w:r>
      <w:r w:rsidR="00E0075D">
        <w:rPr>
          <w:rFonts w:cstheme="minorHAnsi"/>
        </w:rPr>
        <w:t xml:space="preserve">has </w:t>
      </w:r>
      <w:r w:rsidR="006A42D3">
        <w:rPr>
          <w:rFonts w:cstheme="minorHAnsi"/>
        </w:rPr>
        <w:t>deliver</w:t>
      </w:r>
      <w:r w:rsidR="00E0075D">
        <w:rPr>
          <w:rFonts w:cstheme="minorHAnsi"/>
        </w:rPr>
        <w:t>ed</w:t>
      </w:r>
      <w:r w:rsidR="006A42D3">
        <w:rPr>
          <w:rFonts w:cstheme="minorHAnsi"/>
        </w:rPr>
        <w:t xml:space="preserve"> a ‘</w:t>
      </w:r>
      <w:r w:rsidR="005673C2">
        <w:rPr>
          <w:rFonts w:cstheme="minorHAnsi"/>
        </w:rPr>
        <w:t>c</w:t>
      </w:r>
      <w:r w:rsidR="006A42D3">
        <w:rPr>
          <w:rFonts w:cstheme="minorHAnsi"/>
        </w:rPr>
        <w:t>ompassionate</w:t>
      </w:r>
      <w:r w:rsidR="005673C2">
        <w:rPr>
          <w:rFonts w:cstheme="minorHAnsi"/>
        </w:rPr>
        <w:t xml:space="preserve"> community’</w:t>
      </w:r>
      <w:r w:rsidR="000D60AB">
        <w:rPr>
          <w:rFonts w:cstheme="minorHAnsi"/>
        </w:rPr>
        <w:t xml:space="preserve"> model</w:t>
      </w:r>
      <w:r w:rsidR="00E0075D">
        <w:rPr>
          <w:rFonts w:cstheme="minorHAnsi"/>
        </w:rPr>
        <w:t>, and that the further development of this model will see it as a blueprint for end of life services throughout Australia</w:t>
      </w:r>
      <w:r w:rsidR="005673C2">
        <w:rPr>
          <w:rFonts w:cstheme="minorHAnsi"/>
        </w:rPr>
        <w:t>.</w:t>
      </w:r>
      <w:r w:rsidR="00E0075D">
        <w:rPr>
          <w:rFonts w:cstheme="minorHAnsi"/>
        </w:rPr>
        <w:t xml:space="preserve"> T</w:t>
      </w:r>
      <w:r w:rsidR="006A42D3">
        <w:rPr>
          <w:rFonts w:cstheme="minorHAnsi"/>
        </w:rPr>
        <w:t xml:space="preserve">he </w:t>
      </w:r>
      <w:r w:rsidR="005673C2">
        <w:rPr>
          <w:rFonts w:cstheme="minorHAnsi"/>
        </w:rPr>
        <w:t>‘compassionate communities’</w:t>
      </w:r>
      <w:r w:rsidR="006A42D3">
        <w:rPr>
          <w:rFonts w:cstheme="minorHAnsi"/>
        </w:rPr>
        <w:t xml:space="preserve"> concept</w:t>
      </w:r>
      <w:r w:rsidR="007555C8">
        <w:rPr>
          <w:rFonts w:cstheme="minorHAnsi"/>
        </w:rPr>
        <w:t xml:space="preserve"> is </w:t>
      </w:r>
      <w:r w:rsidR="006A42D3">
        <w:rPr>
          <w:rFonts w:cstheme="minorHAnsi"/>
        </w:rPr>
        <w:t xml:space="preserve">now internationally recognised as innovative </w:t>
      </w:r>
      <w:r w:rsidR="00E0075D">
        <w:rPr>
          <w:rFonts w:cstheme="minorHAnsi"/>
        </w:rPr>
        <w:t xml:space="preserve">best </w:t>
      </w:r>
      <w:r w:rsidR="006A42D3">
        <w:rPr>
          <w:rFonts w:cstheme="minorHAnsi"/>
        </w:rPr>
        <w:t>practice</w:t>
      </w:r>
      <w:r w:rsidR="007555C8">
        <w:rPr>
          <w:rFonts w:cstheme="minorHAnsi"/>
        </w:rPr>
        <w:t>.</w:t>
      </w:r>
    </w:p>
    <w:p w:rsidR="000D60AB" w:rsidRDefault="007555C8" w:rsidP="00D222EB">
      <w:pPr>
        <w:spacing w:line="276" w:lineRule="auto"/>
        <w:rPr>
          <w:rFonts w:cstheme="minorHAnsi"/>
        </w:rPr>
      </w:pPr>
      <w:r>
        <w:rPr>
          <w:rFonts w:cstheme="minorHAnsi"/>
        </w:rPr>
        <w:t xml:space="preserve">The </w:t>
      </w:r>
      <w:r w:rsidR="005673C2">
        <w:rPr>
          <w:rFonts w:cstheme="minorHAnsi"/>
        </w:rPr>
        <w:t xml:space="preserve">Tasmanian </w:t>
      </w:r>
      <w:r w:rsidR="00D829D9">
        <w:rPr>
          <w:rFonts w:cstheme="minorHAnsi"/>
        </w:rPr>
        <w:t>hospice@HOME</w:t>
      </w:r>
      <w:r w:rsidR="005673C2">
        <w:rPr>
          <w:rFonts w:cstheme="minorHAnsi"/>
        </w:rPr>
        <w:t xml:space="preserve"> </w:t>
      </w:r>
      <w:r w:rsidR="00713677">
        <w:rPr>
          <w:rFonts w:cstheme="minorHAnsi"/>
        </w:rPr>
        <w:t>end-of-</w:t>
      </w:r>
      <w:r>
        <w:rPr>
          <w:rFonts w:cstheme="minorHAnsi"/>
        </w:rPr>
        <w:t xml:space="preserve">life model </w:t>
      </w:r>
      <w:r w:rsidR="005673C2">
        <w:rPr>
          <w:rFonts w:cstheme="minorHAnsi"/>
        </w:rPr>
        <w:t xml:space="preserve">is unique in Australia. </w:t>
      </w:r>
      <w:r>
        <w:rPr>
          <w:rFonts w:cstheme="minorHAnsi"/>
        </w:rPr>
        <w:t xml:space="preserve">We have </w:t>
      </w:r>
      <w:r w:rsidR="005673C2">
        <w:rPr>
          <w:rFonts w:cstheme="minorHAnsi"/>
        </w:rPr>
        <w:t>been particularly successful in reaching</w:t>
      </w:r>
      <w:r>
        <w:rPr>
          <w:rFonts w:cstheme="minorHAnsi"/>
        </w:rPr>
        <w:t xml:space="preserve"> rural </w:t>
      </w:r>
      <w:r w:rsidR="005673C2">
        <w:rPr>
          <w:rFonts w:cstheme="minorHAnsi"/>
        </w:rPr>
        <w:t>communities</w:t>
      </w:r>
      <w:r w:rsidR="00D2327C">
        <w:rPr>
          <w:rFonts w:cstheme="minorHAnsi"/>
        </w:rPr>
        <w:t>,</w:t>
      </w:r>
      <w:r>
        <w:rPr>
          <w:rFonts w:cstheme="minorHAnsi"/>
        </w:rPr>
        <w:t xml:space="preserve"> </w:t>
      </w:r>
      <w:r w:rsidR="005673C2">
        <w:rPr>
          <w:rFonts w:cstheme="minorHAnsi"/>
        </w:rPr>
        <w:t xml:space="preserve">with </w:t>
      </w:r>
      <w:r w:rsidR="005673C2" w:rsidRPr="002B4319">
        <w:rPr>
          <w:rFonts w:cstheme="minorHAnsi"/>
        </w:rPr>
        <w:t>45% of clients</w:t>
      </w:r>
      <w:r w:rsidR="005673C2">
        <w:rPr>
          <w:rFonts w:cstheme="minorHAnsi"/>
        </w:rPr>
        <w:t xml:space="preserve"> living</w:t>
      </w:r>
      <w:r w:rsidR="005673C2" w:rsidRPr="002B4319">
        <w:rPr>
          <w:rFonts w:cstheme="minorHAnsi"/>
        </w:rPr>
        <w:t xml:space="preserve"> in </w:t>
      </w:r>
      <w:r w:rsidR="005673C2">
        <w:rPr>
          <w:rFonts w:cstheme="minorHAnsi"/>
        </w:rPr>
        <w:t>outer regional or remote areas (</w:t>
      </w:r>
      <w:r w:rsidR="005673C2" w:rsidRPr="002B4319">
        <w:rPr>
          <w:rFonts w:cstheme="minorHAnsi"/>
        </w:rPr>
        <w:t>as compared with 35.3% of t</w:t>
      </w:r>
      <w:r w:rsidR="005673C2">
        <w:rPr>
          <w:rFonts w:cstheme="minorHAnsi"/>
        </w:rPr>
        <w:t xml:space="preserve">he Tasmanian population overall). While </w:t>
      </w:r>
      <w:r w:rsidR="00F63CAB">
        <w:rPr>
          <w:rFonts w:cstheme="minorHAnsi"/>
        </w:rPr>
        <w:t>other services in Australia (e.g. Silver Chain WA, SA, QLD, NSW, Hammond Care NSW) provide end-</w:t>
      </w:r>
      <w:r w:rsidR="00A11039">
        <w:rPr>
          <w:rFonts w:cstheme="minorHAnsi"/>
        </w:rPr>
        <w:t>of life care in the community</w:t>
      </w:r>
      <w:r w:rsidR="00F63CAB">
        <w:rPr>
          <w:rFonts w:cstheme="minorHAnsi"/>
        </w:rPr>
        <w:t>, none</w:t>
      </w:r>
      <w:r w:rsidR="00A11039">
        <w:rPr>
          <w:rFonts w:cstheme="minorHAnsi"/>
        </w:rPr>
        <w:t xml:space="preserve"> </w:t>
      </w:r>
      <w:r w:rsidR="005673C2">
        <w:rPr>
          <w:rFonts w:cstheme="minorHAnsi"/>
        </w:rPr>
        <w:t xml:space="preserve">have achieved </w:t>
      </w:r>
      <w:r w:rsidR="00F63CAB">
        <w:rPr>
          <w:rFonts w:cstheme="minorHAnsi"/>
        </w:rPr>
        <w:t xml:space="preserve">the a similar </w:t>
      </w:r>
      <w:r w:rsidR="00642C0A">
        <w:rPr>
          <w:rFonts w:cstheme="minorHAnsi"/>
        </w:rPr>
        <w:t>level of</w:t>
      </w:r>
      <w:r w:rsidR="005673C2">
        <w:rPr>
          <w:rFonts w:cstheme="minorHAnsi"/>
        </w:rPr>
        <w:t xml:space="preserve"> </w:t>
      </w:r>
      <w:r w:rsidR="008B0DD0">
        <w:rPr>
          <w:rFonts w:cstheme="minorHAnsi"/>
        </w:rPr>
        <w:t>statewide</w:t>
      </w:r>
      <w:r w:rsidR="005673C2">
        <w:rPr>
          <w:rFonts w:cstheme="minorHAnsi"/>
        </w:rPr>
        <w:t xml:space="preserve"> coverage.</w:t>
      </w:r>
      <w:r w:rsidR="00642C0A">
        <w:rPr>
          <w:rFonts w:cstheme="minorHAnsi"/>
        </w:rPr>
        <w:t xml:space="preserve"> </w:t>
      </w:r>
    </w:p>
    <w:p w:rsidR="00D800E2" w:rsidRDefault="00D800E2" w:rsidP="00D222EB">
      <w:pPr>
        <w:spacing w:line="276" w:lineRule="auto"/>
        <w:rPr>
          <w:rFonts w:cstheme="minorHAnsi"/>
        </w:rPr>
      </w:pPr>
      <w:r w:rsidRPr="00CD7B2C">
        <w:rPr>
          <w:rFonts w:cstheme="minorHAnsi"/>
        </w:rPr>
        <w:t xml:space="preserve">We </w:t>
      </w:r>
      <w:r w:rsidR="00CE277D" w:rsidRPr="00CD7B2C">
        <w:rPr>
          <w:rFonts w:cstheme="minorHAnsi"/>
        </w:rPr>
        <w:t>understand</w:t>
      </w:r>
      <w:r w:rsidRPr="00CD7B2C">
        <w:rPr>
          <w:rFonts w:cstheme="minorHAnsi"/>
        </w:rPr>
        <w:t xml:space="preserve"> this </w:t>
      </w:r>
      <w:r w:rsidR="006512BC" w:rsidRPr="00CD7B2C">
        <w:rPr>
          <w:rFonts w:cstheme="minorHAnsi"/>
        </w:rPr>
        <w:t xml:space="preserve">proposal represents a significant funding commitment by the </w:t>
      </w:r>
      <w:r w:rsidR="00E0075D" w:rsidRPr="00CD7B2C">
        <w:rPr>
          <w:rFonts w:cstheme="minorHAnsi"/>
        </w:rPr>
        <w:t>Australian G</w:t>
      </w:r>
      <w:r w:rsidR="006512BC" w:rsidRPr="00CD7B2C">
        <w:rPr>
          <w:rFonts w:cstheme="minorHAnsi"/>
        </w:rPr>
        <w:t>overnment</w:t>
      </w:r>
      <w:r w:rsidRPr="00CD7B2C">
        <w:rPr>
          <w:rFonts w:cstheme="minorHAnsi"/>
        </w:rPr>
        <w:t xml:space="preserve"> in a time of fiscal restraint but we b</w:t>
      </w:r>
      <w:r w:rsidR="006512BC" w:rsidRPr="00CD7B2C">
        <w:rPr>
          <w:rFonts w:cstheme="minorHAnsi"/>
        </w:rPr>
        <w:t xml:space="preserve">elieve it </w:t>
      </w:r>
      <w:r w:rsidR="00E0075D" w:rsidRPr="00CD7B2C">
        <w:rPr>
          <w:rFonts w:cstheme="minorHAnsi"/>
        </w:rPr>
        <w:t>will</w:t>
      </w:r>
      <w:r w:rsidR="006512BC" w:rsidRPr="00CD7B2C">
        <w:rPr>
          <w:rFonts w:cstheme="minorHAnsi"/>
        </w:rPr>
        <w:t xml:space="preserve"> deliver increasing </w:t>
      </w:r>
      <w:r w:rsidR="000D60AB" w:rsidRPr="00CD7B2C">
        <w:rPr>
          <w:rFonts w:cstheme="minorHAnsi"/>
        </w:rPr>
        <w:t>efficiencies</w:t>
      </w:r>
      <w:r w:rsidRPr="00CD7B2C">
        <w:rPr>
          <w:rFonts w:cstheme="minorHAnsi"/>
        </w:rPr>
        <w:t xml:space="preserve"> </w:t>
      </w:r>
      <w:r w:rsidR="000D60AB" w:rsidRPr="00CD7B2C">
        <w:rPr>
          <w:rFonts w:cstheme="minorHAnsi"/>
        </w:rPr>
        <w:t>for</w:t>
      </w:r>
      <w:r w:rsidR="0049512B" w:rsidRPr="00CD7B2C">
        <w:rPr>
          <w:rFonts w:cstheme="minorHAnsi"/>
        </w:rPr>
        <w:t xml:space="preserve"> the </w:t>
      </w:r>
      <w:r w:rsidR="00E0075D" w:rsidRPr="00CD7B2C">
        <w:rPr>
          <w:rFonts w:cstheme="minorHAnsi"/>
        </w:rPr>
        <w:t xml:space="preserve">aged care and </w:t>
      </w:r>
      <w:r w:rsidR="0049512B" w:rsidRPr="00CD7B2C">
        <w:rPr>
          <w:rFonts w:cstheme="minorHAnsi"/>
        </w:rPr>
        <w:t xml:space="preserve">health </w:t>
      </w:r>
      <w:r w:rsidR="008E5CA6">
        <w:rPr>
          <w:rFonts w:cstheme="minorHAnsi"/>
        </w:rPr>
        <w:t xml:space="preserve">care </w:t>
      </w:r>
      <w:r w:rsidR="0049512B" w:rsidRPr="00CD7B2C">
        <w:rPr>
          <w:rFonts w:cstheme="minorHAnsi"/>
        </w:rPr>
        <w:t>system</w:t>
      </w:r>
      <w:r w:rsidR="00E0075D" w:rsidRPr="00CD7B2C">
        <w:rPr>
          <w:rFonts w:cstheme="minorHAnsi"/>
        </w:rPr>
        <w:t>s</w:t>
      </w:r>
      <w:r w:rsidR="0049512B" w:rsidRPr="00CD7B2C">
        <w:rPr>
          <w:rFonts w:cstheme="minorHAnsi"/>
        </w:rPr>
        <w:t xml:space="preserve"> </w:t>
      </w:r>
      <w:r w:rsidR="006512BC" w:rsidRPr="00CD7B2C">
        <w:rPr>
          <w:rFonts w:cstheme="minorHAnsi"/>
        </w:rPr>
        <w:t>by reducing</w:t>
      </w:r>
      <w:r w:rsidRPr="00CD7B2C">
        <w:rPr>
          <w:rFonts w:cstheme="minorHAnsi"/>
        </w:rPr>
        <w:t xml:space="preserve"> </w:t>
      </w:r>
      <w:r w:rsidR="006512BC" w:rsidRPr="00CD7B2C">
        <w:rPr>
          <w:rFonts w:cstheme="minorHAnsi"/>
        </w:rPr>
        <w:t xml:space="preserve">the </w:t>
      </w:r>
      <w:r w:rsidRPr="00CD7B2C">
        <w:rPr>
          <w:rFonts w:cstheme="minorHAnsi"/>
        </w:rPr>
        <w:t xml:space="preserve">burden </w:t>
      </w:r>
      <w:r w:rsidR="00F63CAB">
        <w:rPr>
          <w:rFonts w:cstheme="minorHAnsi"/>
        </w:rPr>
        <w:t xml:space="preserve">of end-of-life care </w:t>
      </w:r>
      <w:r w:rsidRPr="00CD7B2C">
        <w:rPr>
          <w:rFonts w:cstheme="minorHAnsi"/>
        </w:rPr>
        <w:t>on acute care and ambulance services</w:t>
      </w:r>
      <w:r w:rsidR="0049512B" w:rsidRPr="00CD7B2C">
        <w:rPr>
          <w:rFonts w:cstheme="minorHAnsi"/>
        </w:rPr>
        <w:t xml:space="preserve">, while providing a </w:t>
      </w:r>
      <w:r w:rsidR="007648B0" w:rsidRPr="00CD7B2C">
        <w:rPr>
          <w:rFonts w:cstheme="minorHAnsi"/>
        </w:rPr>
        <w:t>better-quality</w:t>
      </w:r>
      <w:r w:rsidR="0049512B" w:rsidRPr="00CD7B2C">
        <w:rPr>
          <w:rFonts w:cstheme="minorHAnsi"/>
        </w:rPr>
        <w:t xml:space="preserve"> experience for clients</w:t>
      </w:r>
      <w:r w:rsidRPr="00CD7B2C">
        <w:rPr>
          <w:rFonts w:cstheme="minorHAnsi"/>
        </w:rPr>
        <w:t xml:space="preserve">. It would </w:t>
      </w:r>
      <w:r w:rsidR="0049512B" w:rsidRPr="00CD7B2C">
        <w:rPr>
          <w:rFonts w:cstheme="minorHAnsi"/>
        </w:rPr>
        <w:t xml:space="preserve">also </w:t>
      </w:r>
      <w:r w:rsidR="000D60AB" w:rsidRPr="00CD7B2C">
        <w:rPr>
          <w:rFonts w:cstheme="minorHAnsi"/>
        </w:rPr>
        <w:t>reduce the need for</w:t>
      </w:r>
      <w:r w:rsidRPr="00CD7B2C">
        <w:rPr>
          <w:rFonts w:cstheme="minorHAnsi"/>
        </w:rPr>
        <w:t xml:space="preserve"> specialist ca</w:t>
      </w:r>
      <w:r w:rsidR="000D60AB" w:rsidRPr="00CD7B2C">
        <w:rPr>
          <w:rFonts w:cstheme="minorHAnsi"/>
        </w:rPr>
        <w:t>re involvement in the community</w:t>
      </w:r>
      <w:r w:rsidR="00D17A01" w:rsidRPr="00CD7B2C">
        <w:rPr>
          <w:rFonts w:cstheme="minorHAnsi"/>
        </w:rPr>
        <w:t xml:space="preserve">, </w:t>
      </w:r>
      <w:r w:rsidR="000D60AB" w:rsidRPr="00CD7B2C">
        <w:rPr>
          <w:rFonts w:cstheme="minorHAnsi"/>
        </w:rPr>
        <w:t xml:space="preserve">building on the critical role played by GPs, </w:t>
      </w:r>
      <w:r w:rsidR="00D17A01" w:rsidRPr="00CD7B2C">
        <w:rPr>
          <w:rFonts w:cstheme="minorHAnsi"/>
        </w:rPr>
        <w:t xml:space="preserve">and </w:t>
      </w:r>
      <w:r w:rsidR="000D60AB" w:rsidRPr="00CD7B2C">
        <w:rPr>
          <w:rFonts w:cstheme="minorHAnsi"/>
        </w:rPr>
        <w:t xml:space="preserve">supporting </w:t>
      </w:r>
      <w:r w:rsidR="00D17A01" w:rsidRPr="00CD7B2C">
        <w:rPr>
          <w:rFonts w:cstheme="minorHAnsi"/>
        </w:rPr>
        <w:t>families</w:t>
      </w:r>
      <w:r w:rsidRPr="00CD7B2C">
        <w:rPr>
          <w:rFonts w:cstheme="minorHAnsi"/>
        </w:rPr>
        <w:t xml:space="preserve"> </w:t>
      </w:r>
      <w:r w:rsidR="00D17A01" w:rsidRPr="00CD7B2C">
        <w:rPr>
          <w:rFonts w:cstheme="minorHAnsi"/>
        </w:rPr>
        <w:t>in their</w:t>
      </w:r>
      <w:r w:rsidRPr="00CD7B2C">
        <w:rPr>
          <w:rFonts w:cstheme="minorHAnsi"/>
        </w:rPr>
        <w:t xml:space="preserve"> role </w:t>
      </w:r>
      <w:r w:rsidR="00D17A01" w:rsidRPr="00CD7B2C">
        <w:rPr>
          <w:rFonts w:cstheme="minorHAnsi"/>
        </w:rPr>
        <w:t>as primary carers</w:t>
      </w:r>
      <w:r w:rsidRPr="00CD7B2C">
        <w:rPr>
          <w:rFonts w:cstheme="minorHAnsi"/>
        </w:rPr>
        <w:t>.</w:t>
      </w:r>
    </w:p>
    <w:p w:rsidR="00AB6B9E" w:rsidRPr="00CD7B2C" w:rsidRDefault="0019146B" w:rsidP="00D222EB">
      <w:pPr>
        <w:spacing w:line="276" w:lineRule="auto"/>
        <w:rPr>
          <w:rFonts w:cstheme="minorHAnsi"/>
        </w:rPr>
      </w:pPr>
      <w:r>
        <w:rPr>
          <w:rFonts w:cstheme="minorHAnsi"/>
        </w:rPr>
        <w:t xml:space="preserve">We look forward to further discussions with your government regarding this proposal and </w:t>
      </w:r>
      <w:r w:rsidR="004412AE">
        <w:rPr>
          <w:rFonts w:cstheme="minorHAnsi"/>
        </w:rPr>
        <w:t xml:space="preserve">how we can work together to capitalise on the learnings of the </w:t>
      </w:r>
      <w:r w:rsidR="00551EE0">
        <w:rPr>
          <w:rFonts w:cstheme="minorHAnsi"/>
        </w:rPr>
        <w:t>hospice@HOME</w:t>
      </w:r>
      <w:r w:rsidR="004412AE">
        <w:rPr>
          <w:rFonts w:cstheme="minorHAnsi"/>
        </w:rPr>
        <w:t xml:space="preserve"> program and</w:t>
      </w:r>
      <w:r>
        <w:rPr>
          <w:rFonts w:cstheme="minorHAnsi"/>
        </w:rPr>
        <w:t xml:space="preserve"> </w:t>
      </w:r>
      <w:r w:rsidR="004412AE">
        <w:rPr>
          <w:rFonts w:cstheme="minorHAnsi"/>
        </w:rPr>
        <w:t xml:space="preserve">develop an Australia-wide </w:t>
      </w:r>
      <w:r>
        <w:rPr>
          <w:rFonts w:cstheme="minorHAnsi"/>
        </w:rPr>
        <w:t xml:space="preserve">end of life </w:t>
      </w:r>
      <w:r w:rsidR="004412AE">
        <w:rPr>
          <w:rFonts w:cstheme="minorHAnsi"/>
        </w:rPr>
        <w:t>bundled model of care.</w:t>
      </w:r>
      <w:r w:rsidR="004412AE" w:rsidRPr="004412AE">
        <w:rPr>
          <w:rFonts w:cstheme="minorHAnsi"/>
        </w:rPr>
        <w:t xml:space="preserve"> </w:t>
      </w:r>
      <w:r w:rsidR="004412AE">
        <w:rPr>
          <w:rFonts w:cstheme="minorHAnsi"/>
        </w:rPr>
        <w:t xml:space="preserve">We also offer </w:t>
      </w:r>
      <w:r w:rsidR="00F63CAB">
        <w:rPr>
          <w:rFonts w:cstheme="minorHAnsi"/>
        </w:rPr>
        <w:t xml:space="preserve">our </w:t>
      </w:r>
      <w:r w:rsidR="004412AE">
        <w:rPr>
          <w:rFonts w:cstheme="minorHAnsi"/>
        </w:rPr>
        <w:t>considerable passion, commitment and expertise to this process.</w:t>
      </w:r>
    </w:p>
    <w:p w:rsidR="00D800E2" w:rsidRPr="00CE277D" w:rsidRDefault="00DF5CA3" w:rsidP="00D222EB">
      <w:pPr>
        <w:spacing w:line="276" w:lineRule="auto"/>
        <w:rPr>
          <w:rFonts w:cstheme="minorHAnsi"/>
          <w:color w:val="FF0000"/>
        </w:rPr>
      </w:pPr>
      <w:r w:rsidRPr="00885C01">
        <w:rPr>
          <w:rFonts w:cstheme="minorHAnsi"/>
          <w:noProof/>
          <w:lang w:val="en-AU" w:eastAsia="en-AU"/>
        </w:rPr>
        <mc:AlternateContent>
          <mc:Choice Requires="wps">
            <w:drawing>
              <wp:anchor distT="45720" distB="45720" distL="114300" distR="114300" simplePos="0" relativeHeight="251662336" behindDoc="0" locked="0" layoutInCell="1" allowOverlap="1" wp14:anchorId="531356DD" wp14:editId="27F84DCE">
                <wp:simplePos x="0" y="0"/>
                <wp:positionH relativeFrom="margin">
                  <wp:posOffset>-171450</wp:posOffset>
                </wp:positionH>
                <wp:positionV relativeFrom="paragraph">
                  <wp:posOffset>790575</wp:posOffset>
                </wp:positionV>
                <wp:extent cx="5705475" cy="1476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76375"/>
                        </a:xfrm>
                        <a:prstGeom prst="roundRect">
                          <a:avLst/>
                        </a:prstGeom>
                        <a:solidFill>
                          <a:srgbClr val="FFFFFF"/>
                        </a:solidFill>
                        <a:ln w="9525">
                          <a:solidFill>
                            <a:schemeClr val="tx2">
                              <a:lumMod val="60000"/>
                              <a:lumOff val="40000"/>
                            </a:schemeClr>
                          </a:solidFill>
                          <a:miter lim="800000"/>
                          <a:headEnd/>
                          <a:tailEnd/>
                        </a:ln>
                      </wps:spPr>
                      <wps:txbx>
                        <w:txbxContent>
                          <w:p w:rsidR="005473E1" w:rsidRPr="00545A9C" w:rsidRDefault="005473E1" w:rsidP="007344CD">
                            <w:pPr>
                              <w:pStyle w:val="Heading4"/>
                              <w:rPr>
                                <w:color w:val="2F5496" w:themeColor="accent5" w:themeShade="BF"/>
                                <w:sz w:val="20"/>
                                <w:szCs w:val="20"/>
                              </w:rPr>
                            </w:pPr>
                            <w:r w:rsidRPr="00545A9C">
                              <w:rPr>
                                <w:color w:val="2F5496" w:themeColor="accent5" w:themeShade="BF"/>
                                <w:sz w:val="20"/>
                                <w:szCs w:val="20"/>
                              </w:rPr>
                              <w:t>A husband whose wife had dementia and confusion and was extremely agitated and distressed called the service. She had been doubly incontinent, but would not allow him near her. Our staff member looked up the client’s electronic record and contacted one of her ‘participants in care’ services who had an after-hours facility. The service sent out a carer within 15minutes of the original call. The carer settled the woman and sorted out the issues in the home. If that rapid response had not been implemented, it is likely that the husband would have called an ambulance and they would have ended up in the Emergency Department. This woman later died at home with her family.</w:t>
                            </w:r>
                          </w:p>
                          <w:p w:rsidR="005473E1" w:rsidRPr="009B16C4" w:rsidRDefault="005473E1" w:rsidP="007344CD">
                            <w:pPr>
                              <w:rPr>
                                <w:rFonts w:asciiTheme="majorHAnsi" w:eastAsiaTheme="majorEastAsia" w:hAnsiTheme="majorHAnsi" w:cstheme="majorBidi"/>
                                <w:i/>
                                <w:iCs/>
                                <w:color w:val="2E74B5" w:themeColor="accent1" w:themeShade="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3.5pt;margin-top:62.25pt;width:449.25pt;height:11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" strokecolor="#8496b0 [1951]">
                <v:stroke joinstyle="miter"/>
                <v:textbox>
                  <w:txbxContent>
                    <w:p w:rsidR="005473E1" w:rsidRPr="00545A9C" w:rsidRDefault="005473E1" w:rsidP="007344CD">
                      <w:pPr>
                        <w:pStyle w:val="Heading4"/>
                        <w:rPr>
                          <w:color w:val="2F5496" w:themeColor="accent5" w:themeShade="BF"/>
                          <w:sz w:val="20"/>
                          <w:szCs w:val="20"/>
                        </w:rPr>
                      </w:pPr>
                      <w:r w:rsidRPr="00545A9C">
                        <w:rPr>
                          <w:color w:val="2F5496" w:themeColor="accent5" w:themeShade="BF"/>
                          <w:sz w:val="20"/>
                          <w:szCs w:val="20"/>
                        </w:rPr>
                        <w:t>A husband whose wife had dementia and confusion and was extremely agitated and distressed called the service. She had been doubly incontinent, but would not allow him near her. Our staff member looked up the client’s electronic record and contacted one of her ‘participants in care’ services who had an after-hours facility. The service sent out a carer within 15minutes of the original call. The carer settled the woman and sorted out the issues in the home. If that rapid response had not been implemented, it is likely that the husband would have called an ambulance and they would have ended up in the Emergency Department. This woman later died at home with her family.</w:t>
                      </w:r>
                    </w:p>
                    <w:p w:rsidR="005473E1" w:rsidRPr="009B16C4" w:rsidRDefault="005473E1" w:rsidP="007344CD">
                      <w:pPr>
                        <w:rPr>
                          <w:rFonts w:asciiTheme="majorHAnsi" w:eastAsiaTheme="majorEastAsia" w:hAnsiTheme="majorHAnsi" w:cstheme="majorBidi"/>
                          <w:i/>
                          <w:iCs/>
                          <w:color w:val="2E74B5" w:themeColor="accent1" w:themeShade="BF"/>
                          <w:sz w:val="20"/>
                          <w:szCs w:val="20"/>
                        </w:rPr>
                      </w:pPr>
                    </w:p>
                  </w:txbxContent>
                </v:textbox>
                <w10:wrap type="square" anchorx="margin"/>
              </v:roundrect>
            </w:pict>
          </mc:Fallback>
        </mc:AlternateContent>
      </w:r>
    </w:p>
    <w:sectPr w:rsidR="00D800E2" w:rsidRPr="00CE277D" w:rsidSect="00E647F3">
      <w:footerReference w:type="defaul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52" w:rsidRDefault="00C46D52" w:rsidP="00C701D7">
      <w:pPr>
        <w:spacing w:after="0" w:line="240" w:lineRule="auto"/>
      </w:pPr>
      <w:r>
        <w:separator/>
      </w:r>
    </w:p>
  </w:endnote>
  <w:endnote w:type="continuationSeparator" w:id="0">
    <w:p w:rsidR="00C46D52" w:rsidRDefault="00C46D52" w:rsidP="00C7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E1" w:rsidRDefault="005473E1">
    <w:pPr>
      <w:pStyle w:val="Footer"/>
    </w:pPr>
    <w:r>
      <w:tab/>
    </w:r>
    <w:r>
      <w:tab/>
    </w:r>
    <w:sdt>
      <w:sdtPr>
        <w:id w:val="-4090720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0519">
          <w:rPr>
            <w:noProof/>
          </w:rPr>
          <w:t>3</w:t>
        </w:r>
        <w:r>
          <w:rPr>
            <w:noProof/>
          </w:rPr>
          <w:fldChar w:fldCharType="end"/>
        </w:r>
      </w:sdtContent>
    </w:sdt>
  </w:p>
  <w:p w:rsidR="005473E1" w:rsidRDefault="005473E1" w:rsidP="005C743E">
    <w:pPr>
      <w:pStyle w:val="Footer"/>
      <w:ind w:left="4847" w:firstLine="417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52" w:rsidRDefault="00C46D52" w:rsidP="00C701D7">
      <w:pPr>
        <w:spacing w:after="0" w:line="240" w:lineRule="auto"/>
      </w:pPr>
      <w:r>
        <w:separator/>
      </w:r>
    </w:p>
  </w:footnote>
  <w:footnote w:type="continuationSeparator" w:id="0">
    <w:p w:rsidR="00C46D52" w:rsidRDefault="00C46D52" w:rsidP="00C701D7">
      <w:pPr>
        <w:spacing w:after="0" w:line="240" w:lineRule="auto"/>
      </w:pPr>
      <w:r>
        <w:continuationSeparator/>
      </w:r>
    </w:p>
  </w:footnote>
  <w:footnote w:id="1">
    <w:p w:rsidR="005473E1" w:rsidRPr="004E4FFF" w:rsidRDefault="005473E1">
      <w:pPr>
        <w:pStyle w:val="FootnoteText"/>
        <w:rPr>
          <w:sz w:val="16"/>
          <w:szCs w:val="16"/>
          <w:lang w:val="en-AU"/>
        </w:rPr>
      </w:pPr>
      <w:r w:rsidRPr="004E4FFF">
        <w:rPr>
          <w:rStyle w:val="FootnoteReference"/>
          <w:sz w:val="16"/>
          <w:szCs w:val="16"/>
        </w:rPr>
        <w:footnoteRef/>
      </w:r>
      <w:r w:rsidRPr="004E4FFF">
        <w:rPr>
          <w:sz w:val="16"/>
          <w:szCs w:val="16"/>
        </w:rPr>
        <w:t xml:space="preserve"> Productivity Commission Issues Paper. </w:t>
      </w:r>
      <w:r w:rsidRPr="004E4FFF">
        <w:rPr>
          <w:i/>
          <w:sz w:val="16"/>
          <w:szCs w:val="16"/>
        </w:rPr>
        <w:t xml:space="preserve">Reforms to Human Services. </w:t>
      </w:r>
      <w:r w:rsidRPr="004E4FFF">
        <w:rPr>
          <w:sz w:val="16"/>
          <w:szCs w:val="16"/>
        </w:rPr>
        <w:t>December 2016.</w:t>
      </w:r>
    </w:p>
  </w:footnote>
  <w:footnote w:id="2">
    <w:p w:rsidR="005473E1" w:rsidRPr="00FC2E02" w:rsidRDefault="005473E1">
      <w:pPr>
        <w:pStyle w:val="FootnoteText"/>
        <w:rPr>
          <w:sz w:val="16"/>
          <w:szCs w:val="16"/>
          <w:lang w:val="en-AU"/>
        </w:rPr>
      </w:pPr>
      <w:r>
        <w:rPr>
          <w:rStyle w:val="FootnoteReference"/>
        </w:rPr>
        <w:footnoteRef/>
      </w:r>
      <w:r>
        <w:t xml:space="preserve"> </w:t>
      </w:r>
      <w:r w:rsidRPr="00FC2E02">
        <w:rPr>
          <w:sz w:val="16"/>
          <w:szCs w:val="16"/>
        </w:rPr>
        <w:t xml:space="preserve">As defined by the </w:t>
      </w:r>
      <w:r w:rsidRPr="00FC2E02">
        <w:rPr>
          <w:rFonts w:eastAsia="Times New Roman" w:cstheme="minorHAnsi"/>
          <w:sz w:val="16"/>
          <w:szCs w:val="16"/>
          <w:lang w:eastAsia="en-GB"/>
        </w:rPr>
        <w:t xml:space="preserve">Australian Commission on Safety and Quality in Health Care (the ACSQHC), in </w:t>
      </w:r>
      <w:r w:rsidRPr="00FC2E02">
        <w:rPr>
          <w:rFonts w:eastAsia="Times New Roman" w:cstheme="minorHAnsi"/>
          <w:i/>
          <w:sz w:val="16"/>
          <w:szCs w:val="16"/>
          <w:lang w:eastAsia="en-GB"/>
        </w:rPr>
        <w:t>Essential elements for a safe and high-quality end-of-life care</w:t>
      </w:r>
      <w:r w:rsidRPr="00FC2E02">
        <w:rPr>
          <w:rFonts w:eastAsia="Times New Roman" w:cstheme="minorHAnsi"/>
          <w:sz w:val="16"/>
          <w:szCs w:val="16"/>
          <w:lang w:eastAsia="en-GB"/>
        </w:rPr>
        <w:t>, e</w:t>
      </w:r>
      <w:r w:rsidRPr="00FC2E02">
        <w:rPr>
          <w:sz w:val="16"/>
          <w:szCs w:val="16"/>
        </w:rPr>
        <w:t>nd-of-life care combines the broad set of health and community services that care for the population as they approach the end of life.</w:t>
      </w:r>
    </w:p>
  </w:footnote>
  <w:footnote w:id="3">
    <w:p w:rsidR="005473E1" w:rsidRPr="005473E1" w:rsidRDefault="005473E1">
      <w:pPr>
        <w:pStyle w:val="FootnoteText"/>
        <w:rPr>
          <w:sz w:val="16"/>
          <w:szCs w:val="16"/>
          <w:lang w:val="en-AU"/>
        </w:rPr>
      </w:pPr>
      <w:r w:rsidRPr="0074158B">
        <w:rPr>
          <w:rStyle w:val="FootnoteReference"/>
          <w:sz w:val="16"/>
          <w:szCs w:val="16"/>
        </w:rPr>
        <w:footnoteRef/>
      </w:r>
      <w:r w:rsidRPr="0074158B">
        <w:rPr>
          <w:sz w:val="16"/>
          <w:szCs w:val="16"/>
        </w:rPr>
        <w:t xml:space="preserve"> </w:t>
      </w:r>
      <w:r w:rsidRPr="0074158B">
        <w:rPr>
          <w:rFonts w:eastAsia="Times New Roman" w:cstheme="minorHAnsi"/>
          <w:color w:val="000000"/>
          <w:sz w:val="16"/>
          <w:szCs w:val="16"/>
          <w:lang w:eastAsia="en-GB"/>
        </w:rPr>
        <w:t xml:space="preserve">Productivity Commission. </w:t>
      </w:r>
      <w:r w:rsidRPr="0074158B">
        <w:rPr>
          <w:rFonts w:eastAsia="Times New Roman" w:cstheme="minorHAnsi"/>
          <w:i/>
          <w:color w:val="000000"/>
          <w:sz w:val="16"/>
          <w:szCs w:val="16"/>
          <w:lang w:eastAsia="en-GB"/>
        </w:rPr>
        <w:t>Caring for Older Australians</w:t>
      </w:r>
      <w:r w:rsidRPr="0074158B">
        <w:rPr>
          <w:sz w:val="16"/>
          <w:szCs w:val="16"/>
          <w:vertAlign w:val="superscript"/>
        </w:rPr>
        <w:t xml:space="preserve">. </w:t>
      </w:r>
      <w:r w:rsidRPr="005473E1">
        <w:rPr>
          <w:sz w:val="16"/>
          <w:szCs w:val="16"/>
        </w:rPr>
        <w:t>Inquiry Report</w:t>
      </w:r>
      <w:r>
        <w:rPr>
          <w:sz w:val="16"/>
          <w:szCs w:val="16"/>
        </w:rPr>
        <w:t xml:space="preserve">. </w:t>
      </w:r>
      <w:r w:rsidR="00EA7689">
        <w:rPr>
          <w:sz w:val="16"/>
          <w:szCs w:val="16"/>
        </w:rPr>
        <w:t>August 2011.</w:t>
      </w:r>
    </w:p>
  </w:footnote>
  <w:footnote w:id="4">
    <w:p w:rsidR="0018177A" w:rsidRPr="004E4FFF" w:rsidRDefault="005473E1" w:rsidP="0018177A">
      <w:pPr>
        <w:pStyle w:val="FootnoteText"/>
        <w:rPr>
          <w:sz w:val="16"/>
          <w:szCs w:val="16"/>
          <w:lang w:val="en-AU"/>
        </w:rPr>
      </w:pPr>
      <w:r>
        <w:rPr>
          <w:rStyle w:val="FootnoteReference"/>
        </w:rPr>
        <w:footnoteRef/>
      </w:r>
      <w:r>
        <w:t xml:space="preserve"> </w:t>
      </w:r>
      <w:r w:rsidR="0018177A" w:rsidRPr="004E4FFF">
        <w:rPr>
          <w:sz w:val="16"/>
          <w:szCs w:val="16"/>
        </w:rPr>
        <w:t xml:space="preserve">Productivity Commission Issues Paper. </w:t>
      </w:r>
      <w:r w:rsidR="0018177A" w:rsidRPr="004E4FFF">
        <w:rPr>
          <w:i/>
          <w:sz w:val="16"/>
          <w:szCs w:val="16"/>
        </w:rPr>
        <w:t xml:space="preserve">Reforms to Human Services. </w:t>
      </w:r>
      <w:r w:rsidR="0018177A" w:rsidRPr="004E4FFF">
        <w:rPr>
          <w:sz w:val="16"/>
          <w:szCs w:val="16"/>
        </w:rPr>
        <w:t>December 2016.</w:t>
      </w:r>
    </w:p>
    <w:p w:rsidR="005473E1" w:rsidRPr="004558A1" w:rsidRDefault="005473E1" w:rsidP="00672490">
      <w:pPr>
        <w:pStyle w:val="FootnoteText"/>
        <w:rPr>
          <w:lang w:val="en-AU"/>
        </w:rPr>
      </w:pPr>
    </w:p>
  </w:footnote>
  <w:footnote w:id="5">
    <w:p w:rsidR="005473E1" w:rsidRPr="003F0F17" w:rsidRDefault="005473E1">
      <w:pPr>
        <w:pStyle w:val="FootnoteText"/>
        <w:rPr>
          <w:lang w:val="en-AU"/>
        </w:rPr>
      </w:pPr>
      <w:r>
        <w:rPr>
          <w:rStyle w:val="FootnoteReference"/>
        </w:rPr>
        <w:footnoteRef/>
      </w:r>
      <w:r>
        <w:t xml:space="preserve"> </w:t>
      </w:r>
      <w:r w:rsidRPr="004E4FFF">
        <w:rPr>
          <w:sz w:val="16"/>
          <w:szCs w:val="16"/>
        </w:rPr>
        <w:t xml:space="preserve">Productivity Commission Issues Paper. </w:t>
      </w:r>
      <w:r w:rsidRPr="004E4FFF">
        <w:rPr>
          <w:i/>
          <w:sz w:val="16"/>
          <w:szCs w:val="16"/>
        </w:rPr>
        <w:t xml:space="preserve">Reforms to Human Services. </w:t>
      </w:r>
      <w:r w:rsidRPr="004E4FFF">
        <w:rPr>
          <w:sz w:val="16"/>
          <w:szCs w:val="16"/>
        </w:rPr>
        <w:t>December 2016.</w:t>
      </w:r>
    </w:p>
  </w:footnote>
  <w:footnote w:id="6">
    <w:p w:rsidR="005473E1" w:rsidRPr="006860CC" w:rsidRDefault="005473E1" w:rsidP="00B0120E">
      <w:pPr>
        <w:pStyle w:val="FootnoteText"/>
        <w:rPr>
          <w:sz w:val="16"/>
          <w:szCs w:val="16"/>
          <w:lang w:val="en-AU"/>
        </w:rPr>
      </w:pPr>
      <w:r w:rsidRPr="006860CC">
        <w:rPr>
          <w:rStyle w:val="FootnoteReference"/>
          <w:sz w:val="16"/>
          <w:szCs w:val="16"/>
        </w:rPr>
        <w:footnoteRef/>
      </w:r>
      <w:r w:rsidRPr="006860CC">
        <w:rPr>
          <w:sz w:val="16"/>
          <w:szCs w:val="16"/>
        </w:rPr>
        <w:t xml:space="preserve"> </w:t>
      </w:r>
      <w:r w:rsidRPr="006860CC">
        <w:rPr>
          <w:sz w:val="16"/>
          <w:szCs w:val="16"/>
          <w:lang w:val="en-AU"/>
        </w:rPr>
        <w:t>Excludes equipment and after</w:t>
      </w:r>
      <w:r>
        <w:rPr>
          <w:sz w:val="16"/>
          <w:szCs w:val="16"/>
          <w:lang w:val="en-AU"/>
        </w:rPr>
        <w:t>-</w:t>
      </w:r>
      <w:r w:rsidRPr="006860CC">
        <w:rPr>
          <w:sz w:val="16"/>
          <w:szCs w:val="16"/>
          <w:lang w:val="en-AU"/>
        </w:rPr>
        <w:t>hours service costs</w:t>
      </w:r>
      <w:r>
        <w:rPr>
          <w:sz w:val="16"/>
          <w:szCs w:val="16"/>
          <w:lang w:val="en-AU"/>
        </w:rPr>
        <w:t xml:space="preserve"> which will become the responsibility of the Tasmanian Government</w:t>
      </w:r>
      <w:r w:rsidRPr="006860CC">
        <w:rPr>
          <w:sz w:val="16"/>
          <w:szCs w:val="16"/>
          <w:lang w:val="en-AU"/>
        </w:rPr>
        <w:t>.</w:t>
      </w:r>
    </w:p>
  </w:footnote>
  <w:footnote w:id="7">
    <w:p w:rsidR="005473E1" w:rsidRPr="00111942" w:rsidRDefault="005473E1">
      <w:pPr>
        <w:pStyle w:val="FootnoteText"/>
        <w:rPr>
          <w:sz w:val="16"/>
          <w:szCs w:val="16"/>
          <w:lang w:val="en-AU"/>
        </w:rPr>
      </w:pPr>
      <w:r w:rsidRPr="00111942">
        <w:rPr>
          <w:rStyle w:val="FootnoteReference"/>
          <w:sz w:val="16"/>
          <w:szCs w:val="16"/>
        </w:rPr>
        <w:footnoteRef/>
      </w:r>
      <w:r w:rsidRPr="00111942">
        <w:rPr>
          <w:sz w:val="16"/>
          <w:szCs w:val="16"/>
        </w:rPr>
        <w:t xml:space="preserve"> </w:t>
      </w:r>
      <w:r w:rsidRPr="00111942">
        <w:rPr>
          <w:sz w:val="16"/>
          <w:szCs w:val="16"/>
          <w:lang w:val="en-AU"/>
        </w:rPr>
        <w:t xml:space="preserve">Australian Institute of Health and Welfare, </w:t>
      </w:r>
      <w:r w:rsidRPr="00111942">
        <w:rPr>
          <w:i/>
          <w:sz w:val="16"/>
          <w:szCs w:val="16"/>
          <w:lang w:val="en-AU"/>
        </w:rPr>
        <w:t xml:space="preserve">Palliative Care Services in Australia, 2013. </w:t>
      </w:r>
      <w:r w:rsidRPr="00111942">
        <w:rPr>
          <w:sz w:val="16"/>
          <w:szCs w:val="16"/>
          <w:lang w:val="en-AU"/>
        </w:rPr>
        <w:t>Canberra 2013.</w:t>
      </w:r>
    </w:p>
  </w:footnote>
  <w:footnote w:id="8">
    <w:p w:rsidR="005473E1" w:rsidRPr="001F2CDF" w:rsidRDefault="005473E1">
      <w:pPr>
        <w:pStyle w:val="FootnoteText"/>
        <w:rPr>
          <w:sz w:val="16"/>
          <w:szCs w:val="16"/>
          <w:lang w:val="en-AU"/>
        </w:rPr>
      </w:pPr>
      <w:r w:rsidRPr="001F2CDF">
        <w:rPr>
          <w:rStyle w:val="FootnoteReference"/>
          <w:sz w:val="16"/>
          <w:szCs w:val="16"/>
        </w:rPr>
        <w:footnoteRef/>
      </w:r>
      <w:r w:rsidRPr="001F2CDF">
        <w:rPr>
          <w:sz w:val="16"/>
          <w:szCs w:val="16"/>
        </w:rPr>
        <w:t xml:space="preserve"> </w:t>
      </w:r>
      <w:r w:rsidR="00DA7079" w:rsidRPr="001F2CDF">
        <w:rPr>
          <w:sz w:val="16"/>
          <w:szCs w:val="16"/>
        </w:rPr>
        <w:t xml:space="preserve">National Palliative Care Strategy 2010. </w:t>
      </w:r>
      <w:r w:rsidR="00DA7079" w:rsidRPr="001F2CDF">
        <w:rPr>
          <w:i/>
          <w:sz w:val="16"/>
          <w:szCs w:val="16"/>
        </w:rPr>
        <w:t>Supporting</w:t>
      </w:r>
      <w:r w:rsidR="00DA7079" w:rsidRPr="001F2CDF">
        <w:rPr>
          <w:rFonts w:eastAsia="Times New Roman" w:cstheme="minorHAnsi"/>
          <w:i/>
          <w:sz w:val="16"/>
          <w:szCs w:val="16"/>
          <w:lang w:eastAsia="en-GB"/>
        </w:rPr>
        <w:t xml:space="preserve"> Australians to Live Well at the End of Life</w:t>
      </w:r>
      <w:r w:rsidR="00DA7079" w:rsidRPr="001F2CDF">
        <w:rPr>
          <w:rFonts w:eastAsia="Times New Roman" w:cstheme="minorHAnsi"/>
          <w:sz w:val="16"/>
          <w:szCs w:val="16"/>
          <w:lang w:eastAsia="en-GB"/>
        </w:rPr>
        <w:t>. Commonwealth of Australia, 2010.</w:t>
      </w:r>
    </w:p>
  </w:footnote>
  <w:footnote w:id="9">
    <w:p w:rsidR="005473E1" w:rsidRPr="001F2CDF" w:rsidRDefault="005473E1">
      <w:pPr>
        <w:pStyle w:val="FootnoteText"/>
        <w:rPr>
          <w:sz w:val="16"/>
          <w:szCs w:val="16"/>
          <w:lang w:val="en-AU"/>
        </w:rPr>
      </w:pPr>
      <w:r w:rsidRPr="001F2CDF">
        <w:rPr>
          <w:rStyle w:val="FootnoteReference"/>
          <w:sz w:val="16"/>
          <w:szCs w:val="16"/>
        </w:rPr>
        <w:footnoteRef/>
      </w:r>
      <w:r w:rsidRPr="001F2CDF">
        <w:rPr>
          <w:sz w:val="16"/>
          <w:szCs w:val="16"/>
        </w:rPr>
        <w:t xml:space="preserve"> </w:t>
      </w:r>
      <w:r w:rsidR="001F2CDF" w:rsidRPr="001F2CDF">
        <w:rPr>
          <w:sz w:val="16"/>
          <w:szCs w:val="16"/>
        </w:rPr>
        <w:t xml:space="preserve">Palliative Care Australia. </w:t>
      </w:r>
      <w:r w:rsidR="001F2CDF" w:rsidRPr="001F2CDF">
        <w:rPr>
          <w:rFonts w:cstheme="minorHAnsi"/>
          <w:i/>
          <w:sz w:val="16"/>
          <w:szCs w:val="16"/>
        </w:rPr>
        <w:t xml:space="preserve">National Palliative Care Standards. </w:t>
      </w:r>
      <w:r w:rsidR="001F2CDF">
        <w:rPr>
          <w:rFonts w:cstheme="minorHAnsi"/>
          <w:sz w:val="16"/>
          <w:szCs w:val="16"/>
        </w:rPr>
        <w:t xml:space="preserve">Fourth Edition. </w:t>
      </w:r>
      <w:r w:rsidR="001F2CDF" w:rsidRPr="001F2CDF">
        <w:rPr>
          <w:rFonts w:cstheme="minorHAnsi"/>
          <w:sz w:val="16"/>
          <w:szCs w:val="16"/>
        </w:rPr>
        <w:t>May 2005</w:t>
      </w:r>
    </w:p>
  </w:footnote>
  <w:footnote w:id="10">
    <w:p w:rsidR="005473E1" w:rsidRPr="00DD1766" w:rsidRDefault="005473E1">
      <w:pPr>
        <w:pStyle w:val="FootnoteText"/>
        <w:rPr>
          <w:sz w:val="16"/>
          <w:szCs w:val="16"/>
          <w:lang w:val="en-AU"/>
        </w:rPr>
      </w:pPr>
      <w:r w:rsidRPr="00DD1766">
        <w:rPr>
          <w:rStyle w:val="FootnoteReference"/>
          <w:sz w:val="16"/>
          <w:szCs w:val="16"/>
        </w:rPr>
        <w:footnoteRef/>
      </w:r>
      <w:r w:rsidRPr="00DD1766">
        <w:rPr>
          <w:sz w:val="16"/>
          <w:szCs w:val="16"/>
        </w:rPr>
        <w:t xml:space="preserve"> </w:t>
      </w:r>
      <w:r w:rsidR="00DD1766" w:rsidRPr="00DD1766">
        <w:rPr>
          <w:rFonts w:eastAsia="Times New Roman" w:cstheme="minorHAnsi"/>
          <w:sz w:val="16"/>
          <w:szCs w:val="16"/>
          <w:lang w:eastAsia="en-GB"/>
        </w:rPr>
        <w:t xml:space="preserve">Australian Commission on Safety and Quality in Health Care. </w:t>
      </w:r>
      <w:r w:rsidR="00DD1766" w:rsidRPr="00DD1766">
        <w:rPr>
          <w:rFonts w:eastAsia="Times New Roman" w:cstheme="minorHAnsi"/>
          <w:i/>
          <w:sz w:val="16"/>
          <w:szCs w:val="16"/>
          <w:lang w:eastAsia="en-GB"/>
        </w:rPr>
        <w:t>Essential elements for a safe and high-quality end-of-life care.</w:t>
      </w:r>
      <w:r w:rsidR="00DD1766" w:rsidRPr="00DD1766">
        <w:rPr>
          <w:sz w:val="16"/>
          <w:szCs w:val="16"/>
        </w:rPr>
        <w:t xml:space="preserve"> Commonwealth of Australia 2015.</w:t>
      </w:r>
    </w:p>
  </w:footnote>
  <w:footnote w:id="11">
    <w:p w:rsidR="005473E1" w:rsidRPr="00A64D8F" w:rsidRDefault="005473E1">
      <w:pPr>
        <w:pStyle w:val="FootnoteText"/>
        <w:rPr>
          <w:lang w:val="en-AU"/>
        </w:rPr>
      </w:pPr>
      <w:r>
        <w:rPr>
          <w:rStyle w:val="FootnoteReference"/>
        </w:rPr>
        <w:footnoteRef/>
      </w:r>
      <w:r>
        <w:t xml:space="preserve"> </w:t>
      </w:r>
      <w:r w:rsidR="00DD1766" w:rsidRPr="0074158B">
        <w:rPr>
          <w:rFonts w:eastAsia="Times New Roman" w:cstheme="minorHAnsi"/>
          <w:color w:val="000000"/>
          <w:sz w:val="16"/>
          <w:szCs w:val="16"/>
          <w:lang w:eastAsia="en-GB"/>
        </w:rPr>
        <w:t xml:space="preserve">Productivity Commission. </w:t>
      </w:r>
      <w:r w:rsidR="00DD1766" w:rsidRPr="0074158B">
        <w:rPr>
          <w:rFonts w:eastAsia="Times New Roman" w:cstheme="minorHAnsi"/>
          <w:i/>
          <w:color w:val="000000"/>
          <w:sz w:val="16"/>
          <w:szCs w:val="16"/>
          <w:lang w:eastAsia="en-GB"/>
        </w:rPr>
        <w:t>Caring for Older Australians</w:t>
      </w:r>
      <w:r w:rsidR="00DD1766" w:rsidRPr="0074158B">
        <w:rPr>
          <w:sz w:val="16"/>
          <w:szCs w:val="16"/>
          <w:vertAlign w:val="superscript"/>
        </w:rPr>
        <w:t xml:space="preserve">. </w:t>
      </w:r>
      <w:r w:rsidR="00DD1766" w:rsidRPr="005473E1">
        <w:rPr>
          <w:sz w:val="16"/>
          <w:szCs w:val="16"/>
        </w:rPr>
        <w:t>Inquiry Report</w:t>
      </w:r>
      <w:r w:rsidR="00DD1766">
        <w:rPr>
          <w:sz w:val="16"/>
          <w:szCs w:val="16"/>
        </w:rPr>
        <w:t>. August 2011.</w:t>
      </w:r>
    </w:p>
  </w:footnote>
  <w:footnote w:id="12">
    <w:p w:rsidR="005473E1" w:rsidRPr="00E8622A" w:rsidRDefault="005473E1">
      <w:pPr>
        <w:pStyle w:val="FootnoteText"/>
        <w:rPr>
          <w:sz w:val="16"/>
          <w:szCs w:val="16"/>
          <w:lang w:val="en-AU"/>
        </w:rPr>
      </w:pPr>
      <w:r w:rsidRPr="00E8622A">
        <w:rPr>
          <w:rStyle w:val="FootnoteReference"/>
          <w:sz w:val="16"/>
          <w:szCs w:val="16"/>
        </w:rPr>
        <w:footnoteRef/>
      </w:r>
      <w:r w:rsidRPr="00E8622A">
        <w:rPr>
          <w:sz w:val="16"/>
          <w:szCs w:val="16"/>
        </w:rPr>
        <w:t xml:space="preserve"> </w:t>
      </w:r>
      <w:r w:rsidR="0063746C" w:rsidRPr="00E8622A">
        <w:rPr>
          <w:sz w:val="16"/>
          <w:szCs w:val="16"/>
        </w:rPr>
        <w:t xml:space="preserve">Aged Care Sector Committee. </w:t>
      </w:r>
      <w:r w:rsidR="0063746C" w:rsidRPr="00E8622A">
        <w:rPr>
          <w:rFonts w:cstheme="minorHAnsi"/>
          <w:i/>
          <w:sz w:val="16"/>
          <w:szCs w:val="16"/>
        </w:rPr>
        <w:t xml:space="preserve">Aged Care Roadmap. </w:t>
      </w:r>
      <w:r w:rsidR="0063746C" w:rsidRPr="00E8622A">
        <w:rPr>
          <w:rFonts w:cstheme="minorHAnsi"/>
          <w:sz w:val="16"/>
          <w:szCs w:val="16"/>
        </w:rPr>
        <w:t>March 2016.</w:t>
      </w:r>
    </w:p>
  </w:footnote>
  <w:footnote w:id="13">
    <w:p w:rsidR="005473E1" w:rsidRPr="00E8622A" w:rsidRDefault="005473E1">
      <w:pPr>
        <w:pStyle w:val="FootnoteText"/>
        <w:rPr>
          <w:sz w:val="16"/>
          <w:szCs w:val="16"/>
          <w:lang w:val="en-AU"/>
        </w:rPr>
      </w:pPr>
      <w:r w:rsidRPr="00E8622A">
        <w:rPr>
          <w:rStyle w:val="FootnoteReference"/>
          <w:sz w:val="16"/>
          <w:szCs w:val="16"/>
        </w:rPr>
        <w:footnoteRef/>
      </w:r>
      <w:r w:rsidRPr="00E8622A">
        <w:rPr>
          <w:sz w:val="16"/>
          <w:szCs w:val="16"/>
        </w:rPr>
        <w:t xml:space="preserve"> </w:t>
      </w:r>
      <w:r w:rsidR="00E8622A" w:rsidRPr="00E8622A">
        <w:rPr>
          <w:rFonts w:cstheme="minorHAnsi"/>
          <w:sz w:val="16"/>
          <w:szCs w:val="16"/>
        </w:rPr>
        <w:t xml:space="preserve">Aged Care Sector </w:t>
      </w:r>
      <w:r w:rsidR="00E8622A" w:rsidRPr="00E8622A">
        <w:rPr>
          <w:rFonts w:cstheme="minorHAnsi"/>
          <w:i/>
          <w:sz w:val="16"/>
          <w:szCs w:val="16"/>
        </w:rPr>
        <w:t>Statement of Principles</w:t>
      </w:r>
      <w:r w:rsidR="00E8622A">
        <w:rPr>
          <w:rFonts w:cstheme="minorHAnsi"/>
          <w:i/>
          <w:sz w:val="16"/>
          <w:szCs w:val="16"/>
        </w:rPr>
        <w:t xml:space="preserve">. </w:t>
      </w:r>
      <w:r w:rsidR="00E8622A">
        <w:rPr>
          <w:rFonts w:cstheme="minorHAnsi"/>
          <w:sz w:val="16"/>
          <w:szCs w:val="16"/>
        </w:rPr>
        <w:t>February 2015.</w:t>
      </w:r>
    </w:p>
  </w:footnote>
  <w:footnote w:id="14">
    <w:p w:rsidR="005473E1" w:rsidRPr="00E8622A" w:rsidRDefault="005473E1">
      <w:pPr>
        <w:pStyle w:val="FootnoteText"/>
        <w:rPr>
          <w:sz w:val="16"/>
          <w:szCs w:val="16"/>
          <w:lang w:val="en-AU"/>
        </w:rPr>
      </w:pPr>
      <w:r w:rsidRPr="00E8622A">
        <w:rPr>
          <w:rStyle w:val="FootnoteReference"/>
          <w:sz w:val="16"/>
          <w:szCs w:val="16"/>
        </w:rPr>
        <w:footnoteRef/>
      </w:r>
      <w:r w:rsidRPr="00E8622A">
        <w:rPr>
          <w:sz w:val="16"/>
          <w:szCs w:val="16"/>
        </w:rPr>
        <w:t xml:space="preserve"> </w:t>
      </w:r>
      <w:r w:rsidR="00E8622A">
        <w:rPr>
          <w:rFonts w:cstheme="minorHAnsi"/>
          <w:sz w:val="16"/>
          <w:szCs w:val="16"/>
        </w:rPr>
        <w:t>National Aged Care Alliance.</w:t>
      </w:r>
      <w:r w:rsidR="00E8622A" w:rsidRPr="00E8622A">
        <w:rPr>
          <w:rFonts w:cstheme="minorHAnsi"/>
          <w:sz w:val="16"/>
          <w:szCs w:val="16"/>
        </w:rPr>
        <w:t xml:space="preserve"> </w:t>
      </w:r>
      <w:r w:rsidR="00E8622A" w:rsidRPr="00E8622A">
        <w:rPr>
          <w:rFonts w:cstheme="minorHAnsi"/>
          <w:i/>
          <w:sz w:val="16"/>
          <w:szCs w:val="16"/>
        </w:rPr>
        <w:t>Enhancing the quality of life of older people through better support and care</w:t>
      </w:r>
      <w:r w:rsidR="00E8622A" w:rsidRPr="00E27A33">
        <w:rPr>
          <w:rFonts w:cstheme="minorHAnsi"/>
          <w:sz w:val="16"/>
          <w:szCs w:val="16"/>
        </w:rPr>
        <w:t>. NACA Blueprint Series, June 2015</w:t>
      </w:r>
      <w:r w:rsidR="00E8622A">
        <w:rPr>
          <w:rFonts w:cstheme="minorHAnsi"/>
          <w:i/>
          <w:sz w:val="16"/>
          <w:szCs w:val="16"/>
        </w:rPr>
        <w:t>.</w:t>
      </w:r>
    </w:p>
  </w:footnote>
  <w:footnote w:id="15">
    <w:p w:rsidR="005473E1" w:rsidRPr="004558A1" w:rsidRDefault="005473E1">
      <w:pPr>
        <w:pStyle w:val="FootnoteText"/>
        <w:rPr>
          <w:lang w:val="en-AU"/>
        </w:rPr>
      </w:pPr>
      <w:r>
        <w:rPr>
          <w:rStyle w:val="FootnoteReference"/>
        </w:rPr>
        <w:footnoteRef/>
      </w:r>
      <w:r>
        <w:t xml:space="preserve"> </w:t>
      </w:r>
      <w:r w:rsidR="00E8622A" w:rsidRPr="004E4FFF">
        <w:rPr>
          <w:sz w:val="16"/>
          <w:szCs w:val="16"/>
        </w:rPr>
        <w:t xml:space="preserve">Productivity Commission Issues Paper. </w:t>
      </w:r>
      <w:r w:rsidR="00E8622A" w:rsidRPr="004E4FFF">
        <w:rPr>
          <w:i/>
          <w:sz w:val="16"/>
          <w:szCs w:val="16"/>
        </w:rPr>
        <w:t xml:space="preserve">Reforms to Human Services. </w:t>
      </w:r>
      <w:r w:rsidR="00E8622A" w:rsidRPr="004E4FFF">
        <w:rPr>
          <w:sz w:val="16"/>
          <w:szCs w:val="16"/>
        </w:rPr>
        <w:t>December 2016.</w:t>
      </w:r>
    </w:p>
  </w:footnote>
  <w:footnote w:id="16">
    <w:p w:rsidR="005473E1" w:rsidRPr="005042A5" w:rsidRDefault="005473E1" w:rsidP="00B94708">
      <w:pPr>
        <w:spacing w:after="0" w:line="240" w:lineRule="auto"/>
        <w:rPr>
          <w:sz w:val="16"/>
          <w:szCs w:val="16"/>
          <w:lang w:val="en-AU"/>
        </w:rPr>
      </w:pPr>
      <w:r>
        <w:rPr>
          <w:rStyle w:val="FootnoteReference"/>
        </w:rPr>
        <w:footnoteRef/>
      </w:r>
      <w:r>
        <w:t xml:space="preserve"> </w:t>
      </w:r>
      <w:r w:rsidRPr="005042A5">
        <w:rPr>
          <w:rFonts w:eastAsia="Cambria" w:cstheme="minorHAnsi"/>
          <w:sz w:val="16"/>
          <w:szCs w:val="16"/>
        </w:rPr>
        <w:t>Press Ganey (</w:t>
      </w:r>
      <w:r>
        <w:rPr>
          <w:rFonts w:eastAsia="Cambria" w:cstheme="minorHAnsi"/>
          <w:sz w:val="16"/>
          <w:szCs w:val="16"/>
        </w:rPr>
        <w:t xml:space="preserve">2014, </w:t>
      </w:r>
      <w:r w:rsidRPr="005042A5">
        <w:rPr>
          <w:rFonts w:eastAsia="Cambria" w:cstheme="minorHAnsi"/>
          <w:sz w:val="16"/>
          <w:szCs w:val="16"/>
        </w:rPr>
        <w:t>2015) Client Satisfaction Survey</w:t>
      </w:r>
      <w:r>
        <w:rPr>
          <w:rFonts w:eastAsia="Cambria" w:cstheme="minorHAnsi"/>
          <w:sz w:val="16"/>
          <w:szCs w:val="16"/>
        </w:rPr>
        <w:t>s</w:t>
      </w:r>
      <w:r w:rsidRPr="005042A5">
        <w:rPr>
          <w:rFonts w:eastAsia="Cambria" w:cstheme="minorHAnsi"/>
          <w:sz w:val="16"/>
          <w:szCs w:val="16"/>
        </w:rPr>
        <w:t xml:space="preserve"> - hospice@HOME Palliative Care Reports (unpublished)</w:t>
      </w:r>
      <w:r w:rsidRPr="005042A5">
        <w:rPr>
          <w:rFonts w:cstheme="minorHAnsi"/>
          <w:sz w:val="16"/>
          <w:szCs w:val="16"/>
        </w:rPr>
        <w:t xml:space="preserve">; </w:t>
      </w:r>
      <w:r w:rsidRPr="005042A5">
        <w:rPr>
          <w:rFonts w:eastAsia="Cambria" w:cstheme="minorHAnsi"/>
          <w:sz w:val="16"/>
          <w:szCs w:val="16"/>
        </w:rPr>
        <w:t>Andrews, M., Roach, J., D’Silva, N., Ezzy, S., Hutchison, T.</w:t>
      </w:r>
      <w:r>
        <w:rPr>
          <w:rFonts w:eastAsia="Cambria" w:cstheme="minorHAnsi"/>
          <w:sz w:val="16"/>
          <w:szCs w:val="16"/>
        </w:rPr>
        <w:t>, Jarvis, L., &amp; Kelly, L</w:t>
      </w:r>
      <w:r w:rsidRPr="005042A5">
        <w:rPr>
          <w:rFonts w:eastAsia="Cambria" w:cstheme="minorHAnsi"/>
          <w:sz w:val="16"/>
          <w:szCs w:val="16"/>
        </w:rPr>
        <w:t>. hospice@HOME Client Satisfaction Report [unpublished]</w:t>
      </w:r>
      <w:r>
        <w:rPr>
          <w:rFonts w:eastAsia="Cambria" w:cstheme="minorHAnsi"/>
          <w:sz w:val="16"/>
          <w:szCs w:val="16"/>
        </w:rPr>
        <w:t xml:space="preserve"> August 2016.</w:t>
      </w:r>
    </w:p>
  </w:footnote>
  <w:footnote w:id="17">
    <w:p w:rsidR="005473E1" w:rsidRPr="00C01313" w:rsidRDefault="005473E1" w:rsidP="00B94708">
      <w:pPr>
        <w:pStyle w:val="FootnoteText"/>
        <w:rPr>
          <w:lang w:val="en-AU"/>
        </w:rPr>
      </w:pPr>
      <w:r>
        <w:rPr>
          <w:rStyle w:val="FootnoteReference"/>
        </w:rPr>
        <w:footnoteRef/>
      </w:r>
      <w:r>
        <w:t xml:space="preserve"> </w:t>
      </w:r>
      <w:r w:rsidRPr="00F8677B">
        <w:rPr>
          <w:sz w:val="16"/>
          <w:szCs w:val="16"/>
        </w:rPr>
        <w:t xml:space="preserve">KPHealth, </w:t>
      </w:r>
      <w:r w:rsidRPr="00F8677B">
        <w:rPr>
          <w:i/>
          <w:sz w:val="16"/>
          <w:szCs w:val="16"/>
        </w:rPr>
        <w:t xml:space="preserve">Quantitative analysis of outcomes of the Better Access to Palliative Care in Tasmania program, </w:t>
      </w:r>
      <w:r w:rsidRPr="00F8677B">
        <w:rPr>
          <w:sz w:val="16"/>
          <w:szCs w:val="16"/>
        </w:rPr>
        <w:t>prepared for The District Nurses</w:t>
      </w:r>
      <w:r>
        <w:rPr>
          <w:sz w:val="16"/>
          <w:szCs w:val="16"/>
        </w:rPr>
        <w:t xml:space="preserve"> [unpublished] </w:t>
      </w:r>
      <w:r w:rsidRPr="00F8677B">
        <w:rPr>
          <w:sz w:val="16"/>
          <w:szCs w:val="16"/>
        </w:rPr>
        <w:t>December 2015</w:t>
      </w:r>
      <w:r>
        <w:rPr>
          <w:sz w:val="16"/>
          <w:szCs w:val="16"/>
        </w:rPr>
        <w:t>.</w:t>
      </w:r>
    </w:p>
  </w:footnote>
  <w:footnote w:id="18">
    <w:p w:rsidR="005473E1" w:rsidRPr="005042A5" w:rsidRDefault="005473E1" w:rsidP="00B94708">
      <w:pPr>
        <w:pStyle w:val="FootnoteText"/>
        <w:rPr>
          <w:sz w:val="16"/>
          <w:szCs w:val="16"/>
        </w:rPr>
      </w:pPr>
      <w:r>
        <w:rPr>
          <w:rStyle w:val="FootnoteReference"/>
        </w:rPr>
        <w:footnoteRef/>
      </w:r>
      <w:r>
        <w:rPr>
          <w:sz w:val="16"/>
          <w:szCs w:val="16"/>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E0A"/>
    <w:multiLevelType w:val="hybridMultilevel"/>
    <w:tmpl w:val="3914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A0F99"/>
    <w:multiLevelType w:val="hybridMultilevel"/>
    <w:tmpl w:val="1BA275C8"/>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C374F4"/>
    <w:multiLevelType w:val="hybridMultilevel"/>
    <w:tmpl w:val="74A41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4F5010"/>
    <w:multiLevelType w:val="hybridMultilevel"/>
    <w:tmpl w:val="9CCA92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78650A"/>
    <w:multiLevelType w:val="hybridMultilevel"/>
    <w:tmpl w:val="DB1659A4"/>
    <w:lvl w:ilvl="0" w:tplc="9BA0ADE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AD3902"/>
    <w:multiLevelType w:val="hybridMultilevel"/>
    <w:tmpl w:val="05B2F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885981"/>
    <w:multiLevelType w:val="hybridMultilevel"/>
    <w:tmpl w:val="FF7AB28E"/>
    <w:lvl w:ilvl="0" w:tplc="83CA6E9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130233"/>
    <w:multiLevelType w:val="hybridMultilevel"/>
    <w:tmpl w:val="FBEE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E87C94"/>
    <w:multiLevelType w:val="hybridMultilevel"/>
    <w:tmpl w:val="33C8D6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414B9A"/>
    <w:multiLevelType w:val="hybridMultilevel"/>
    <w:tmpl w:val="45F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43F8B"/>
    <w:multiLevelType w:val="hybridMultilevel"/>
    <w:tmpl w:val="DA96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226F4"/>
    <w:multiLevelType w:val="hybridMultilevel"/>
    <w:tmpl w:val="487AD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CC6397"/>
    <w:multiLevelType w:val="hybridMultilevel"/>
    <w:tmpl w:val="C020317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395C4941"/>
    <w:multiLevelType w:val="hybridMultilevel"/>
    <w:tmpl w:val="03DEA3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A46052"/>
    <w:multiLevelType w:val="hybridMultilevel"/>
    <w:tmpl w:val="D36E9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852A80"/>
    <w:multiLevelType w:val="hybridMultilevel"/>
    <w:tmpl w:val="4D8A2A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2D1682B"/>
    <w:multiLevelType w:val="multilevel"/>
    <w:tmpl w:val="28BA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4F06D0"/>
    <w:multiLevelType w:val="hybridMultilevel"/>
    <w:tmpl w:val="FE0485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865709A"/>
    <w:multiLevelType w:val="hybridMultilevel"/>
    <w:tmpl w:val="09FA0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9552A8"/>
    <w:multiLevelType w:val="hybridMultilevel"/>
    <w:tmpl w:val="B70C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CF0278"/>
    <w:multiLevelType w:val="hybridMultilevel"/>
    <w:tmpl w:val="DCF2D5FC"/>
    <w:lvl w:ilvl="0" w:tplc="C592F19E">
      <w:start w:val="1"/>
      <w:numFmt w:val="bullet"/>
      <w:lvlText w:val="•"/>
      <w:lvlJc w:val="left"/>
      <w:pPr>
        <w:tabs>
          <w:tab w:val="num" w:pos="720"/>
        </w:tabs>
        <w:ind w:left="720" w:hanging="360"/>
      </w:pPr>
      <w:rPr>
        <w:rFonts w:ascii="Times New Roman" w:hAnsi="Times New Roman" w:hint="default"/>
      </w:rPr>
    </w:lvl>
    <w:lvl w:ilvl="1" w:tplc="CF7EA9FE" w:tentative="1">
      <w:start w:val="1"/>
      <w:numFmt w:val="bullet"/>
      <w:lvlText w:val="•"/>
      <w:lvlJc w:val="left"/>
      <w:pPr>
        <w:tabs>
          <w:tab w:val="num" w:pos="1440"/>
        </w:tabs>
        <w:ind w:left="1440" w:hanging="360"/>
      </w:pPr>
      <w:rPr>
        <w:rFonts w:ascii="Times New Roman" w:hAnsi="Times New Roman" w:hint="default"/>
      </w:rPr>
    </w:lvl>
    <w:lvl w:ilvl="2" w:tplc="1C3A3FC2" w:tentative="1">
      <w:start w:val="1"/>
      <w:numFmt w:val="bullet"/>
      <w:lvlText w:val="•"/>
      <w:lvlJc w:val="left"/>
      <w:pPr>
        <w:tabs>
          <w:tab w:val="num" w:pos="2160"/>
        </w:tabs>
        <w:ind w:left="2160" w:hanging="360"/>
      </w:pPr>
      <w:rPr>
        <w:rFonts w:ascii="Times New Roman" w:hAnsi="Times New Roman" w:hint="default"/>
      </w:rPr>
    </w:lvl>
    <w:lvl w:ilvl="3" w:tplc="63C4F35E" w:tentative="1">
      <w:start w:val="1"/>
      <w:numFmt w:val="bullet"/>
      <w:lvlText w:val="•"/>
      <w:lvlJc w:val="left"/>
      <w:pPr>
        <w:tabs>
          <w:tab w:val="num" w:pos="2880"/>
        </w:tabs>
        <w:ind w:left="2880" w:hanging="360"/>
      </w:pPr>
      <w:rPr>
        <w:rFonts w:ascii="Times New Roman" w:hAnsi="Times New Roman" w:hint="default"/>
      </w:rPr>
    </w:lvl>
    <w:lvl w:ilvl="4" w:tplc="1E305998" w:tentative="1">
      <w:start w:val="1"/>
      <w:numFmt w:val="bullet"/>
      <w:lvlText w:val="•"/>
      <w:lvlJc w:val="left"/>
      <w:pPr>
        <w:tabs>
          <w:tab w:val="num" w:pos="3600"/>
        </w:tabs>
        <w:ind w:left="3600" w:hanging="360"/>
      </w:pPr>
      <w:rPr>
        <w:rFonts w:ascii="Times New Roman" w:hAnsi="Times New Roman" w:hint="default"/>
      </w:rPr>
    </w:lvl>
    <w:lvl w:ilvl="5" w:tplc="94CAAB66" w:tentative="1">
      <w:start w:val="1"/>
      <w:numFmt w:val="bullet"/>
      <w:lvlText w:val="•"/>
      <w:lvlJc w:val="left"/>
      <w:pPr>
        <w:tabs>
          <w:tab w:val="num" w:pos="4320"/>
        </w:tabs>
        <w:ind w:left="4320" w:hanging="360"/>
      </w:pPr>
      <w:rPr>
        <w:rFonts w:ascii="Times New Roman" w:hAnsi="Times New Roman" w:hint="default"/>
      </w:rPr>
    </w:lvl>
    <w:lvl w:ilvl="6" w:tplc="14742B22" w:tentative="1">
      <w:start w:val="1"/>
      <w:numFmt w:val="bullet"/>
      <w:lvlText w:val="•"/>
      <w:lvlJc w:val="left"/>
      <w:pPr>
        <w:tabs>
          <w:tab w:val="num" w:pos="5040"/>
        </w:tabs>
        <w:ind w:left="5040" w:hanging="360"/>
      </w:pPr>
      <w:rPr>
        <w:rFonts w:ascii="Times New Roman" w:hAnsi="Times New Roman" w:hint="default"/>
      </w:rPr>
    </w:lvl>
    <w:lvl w:ilvl="7" w:tplc="228CA356" w:tentative="1">
      <w:start w:val="1"/>
      <w:numFmt w:val="bullet"/>
      <w:lvlText w:val="•"/>
      <w:lvlJc w:val="left"/>
      <w:pPr>
        <w:tabs>
          <w:tab w:val="num" w:pos="5760"/>
        </w:tabs>
        <w:ind w:left="5760" w:hanging="360"/>
      </w:pPr>
      <w:rPr>
        <w:rFonts w:ascii="Times New Roman" w:hAnsi="Times New Roman" w:hint="default"/>
      </w:rPr>
    </w:lvl>
    <w:lvl w:ilvl="8" w:tplc="8FA8960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2BE5844"/>
    <w:multiLevelType w:val="hybridMultilevel"/>
    <w:tmpl w:val="F6AA8FBE"/>
    <w:lvl w:ilvl="0" w:tplc="9BA0AD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FF64A6"/>
    <w:multiLevelType w:val="multilevel"/>
    <w:tmpl w:val="EA7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A191E"/>
    <w:multiLevelType w:val="hybridMultilevel"/>
    <w:tmpl w:val="A5FA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4A5BE3"/>
    <w:multiLevelType w:val="hybridMultilevel"/>
    <w:tmpl w:val="CE122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AD6454F"/>
    <w:multiLevelType w:val="hybridMultilevel"/>
    <w:tmpl w:val="C44E9D3A"/>
    <w:lvl w:ilvl="0" w:tplc="9BA0ADE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E817999"/>
    <w:multiLevelType w:val="hybridMultilevel"/>
    <w:tmpl w:val="715EB9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14"/>
  </w:num>
  <w:num w:numId="4">
    <w:abstractNumId w:val="16"/>
    <w:lvlOverride w:ilvl="0">
      <w:lvl w:ilvl="0">
        <w:numFmt w:val="decimal"/>
        <w:lvlText w:val="%1."/>
        <w:lvlJc w:val="left"/>
      </w:lvl>
    </w:lvlOverride>
  </w:num>
  <w:num w:numId="5">
    <w:abstractNumId w:val="10"/>
  </w:num>
  <w:num w:numId="6">
    <w:abstractNumId w:val="0"/>
  </w:num>
  <w:num w:numId="7">
    <w:abstractNumId w:val="17"/>
  </w:num>
  <w:num w:numId="8">
    <w:abstractNumId w:val="12"/>
  </w:num>
  <w:num w:numId="9">
    <w:abstractNumId w:val="20"/>
  </w:num>
  <w:num w:numId="10">
    <w:abstractNumId w:val="8"/>
  </w:num>
  <w:num w:numId="11">
    <w:abstractNumId w:val="1"/>
  </w:num>
  <w:num w:numId="12">
    <w:abstractNumId w:val="3"/>
  </w:num>
  <w:num w:numId="13">
    <w:abstractNumId w:val="24"/>
  </w:num>
  <w:num w:numId="14">
    <w:abstractNumId w:val="13"/>
  </w:num>
  <w:num w:numId="15">
    <w:abstractNumId w:val="15"/>
  </w:num>
  <w:num w:numId="16">
    <w:abstractNumId w:val="26"/>
  </w:num>
  <w:num w:numId="17">
    <w:abstractNumId w:val="6"/>
  </w:num>
  <w:num w:numId="18">
    <w:abstractNumId w:val="4"/>
  </w:num>
  <w:num w:numId="19">
    <w:abstractNumId w:val="25"/>
  </w:num>
  <w:num w:numId="20">
    <w:abstractNumId w:val="21"/>
  </w:num>
  <w:num w:numId="21">
    <w:abstractNumId w:val="11"/>
  </w:num>
  <w:num w:numId="22">
    <w:abstractNumId w:val="18"/>
  </w:num>
  <w:num w:numId="23">
    <w:abstractNumId w:val="22"/>
  </w:num>
  <w:num w:numId="24">
    <w:abstractNumId w:val="7"/>
  </w:num>
  <w:num w:numId="25">
    <w:abstractNumId w:val="9"/>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CE"/>
    <w:rsid w:val="0000328C"/>
    <w:rsid w:val="0000400A"/>
    <w:rsid w:val="0000724F"/>
    <w:rsid w:val="00012D0D"/>
    <w:rsid w:val="00015EBD"/>
    <w:rsid w:val="00027B1F"/>
    <w:rsid w:val="00027C11"/>
    <w:rsid w:val="000308EA"/>
    <w:rsid w:val="00031343"/>
    <w:rsid w:val="00036E7C"/>
    <w:rsid w:val="00045FE8"/>
    <w:rsid w:val="00052C3E"/>
    <w:rsid w:val="00061EAE"/>
    <w:rsid w:val="00064954"/>
    <w:rsid w:val="00075714"/>
    <w:rsid w:val="00075802"/>
    <w:rsid w:val="00076A52"/>
    <w:rsid w:val="00087C12"/>
    <w:rsid w:val="0009221F"/>
    <w:rsid w:val="00092A64"/>
    <w:rsid w:val="00095E18"/>
    <w:rsid w:val="000A3D1E"/>
    <w:rsid w:val="000A6486"/>
    <w:rsid w:val="000A7713"/>
    <w:rsid w:val="000B035F"/>
    <w:rsid w:val="000B2B83"/>
    <w:rsid w:val="000B2E3F"/>
    <w:rsid w:val="000C5DE2"/>
    <w:rsid w:val="000D5C91"/>
    <w:rsid w:val="000D60AB"/>
    <w:rsid w:val="000D74D6"/>
    <w:rsid w:val="000F31BE"/>
    <w:rsid w:val="000F3F90"/>
    <w:rsid w:val="00103FAB"/>
    <w:rsid w:val="001103EE"/>
    <w:rsid w:val="00111942"/>
    <w:rsid w:val="00111963"/>
    <w:rsid w:val="00111D1A"/>
    <w:rsid w:val="00111E6E"/>
    <w:rsid w:val="001131D0"/>
    <w:rsid w:val="00116EB7"/>
    <w:rsid w:val="00117E90"/>
    <w:rsid w:val="00130166"/>
    <w:rsid w:val="001437D5"/>
    <w:rsid w:val="001439DB"/>
    <w:rsid w:val="0014471B"/>
    <w:rsid w:val="00155544"/>
    <w:rsid w:val="001643B3"/>
    <w:rsid w:val="00171C8E"/>
    <w:rsid w:val="0018177A"/>
    <w:rsid w:val="0019146B"/>
    <w:rsid w:val="0019528A"/>
    <w:rsid w:val="001B16D8"/>
    <w:rsid w:val="001B4159"/>
    <w:rsid w:val="001D0EA3"/>
    <w:rsid w:val="001F02CE"/>
    <w:rsid w:val="001F2B2F"/>
    <w:rsid w:val="001F2CDF"/>
    <w:rsid w:val="001F458F"/>
    <w:rsid w:val="001F548F"/>
    <w:rsid w:val="00203812"/>
    <w:rsid w:val="00207228"/>
    <w:rsid w:val="00211B64"/>
    <w:rsid w:val="0021242F"/>
    <w:rsid w:val="002238AD"/>
    <w:rsid w:val="00225962"/>
    <w:rsid w:val="002262FB"/>
    <w:rsid w:val="002335E6"/>
    <w:rsid w:val="00234ED2"/>
    <w:rsid w:val="0023724E"/>
    <w:rsid w:val="00243582"/>
    <w:rsid w:val="00251C50"/>
    <w:rsid w:val="00255927"/>
    <w:rsid w:val="00257A0E"/>
    <w:rsid w:val="002715D2"/>
    <w:rsid w:val="0027611B"/>
    <w:rsid w:val="00280519"/>
    <w:rsid w:val="002822E0"/>
    <w:rsid w:val="00284110"/>
    <w:rsid w:val="002907E4"/>
    <w:rsid w:val="00294842"/>
    <w:rsid w:val="002973B8"/>
    <w:rsid w:val="002A6302"/>
    <w:rsid w:val="002B250A"/>
    <w:rsid w:val="002B2ECB"/>
    <w:rsid w:val="002B3668"/>
    <w:rsid w:val="002B3799"/>
    <w:rsid w:val="002B3C66"/>
    <w:rsid w:val="002B4319"/>
    <w:rsid w:val="002C25E5"/>
    <w:rsid w:val="002C2721"/>
    <w:rsid w:val="002C435C"/>
    <w:rsid w:val="002C546C"/>
    <w:rsid w:val="002C573A"/>
    <w:rsid w:val="002D038A"/>
    <w:rsid w:val="002D12EC"/>
    <w:rsid w:val="002D2552"/>
    <w:rsid w:val="002E0827"/>
    <w:rsid w:val="002E60D1"/>
    <w:rsid w:val="002E7C7F"/>
    <w:rsid w:val="002F22C0"/>
    <w:rsid w:val="002F51D5"/>
    <w:rsid w:val="003004BC"/>
    <w:rsid w:val="00302A3F"/>
    <w:rsid w:val="00312C9B"/>
    <w:rsid w:val="00313557"/>
    <w:rsid w:val="003139AB"/>
    <w:rsid w:val="003139B8"/>
    <w:rsid w:val="00316BD2"/>
    <w:rsid w:val="0032087C"/>
    <w:rsid w:val="00325D8D"/>
    <w:rsid w:val="00326B44"/>
    <w:rsid w:val="00330687"/>
    <w:rsid w:val="00333FFF"/>
    <w:rsid w:val="00351D8F"/>
    <w:rsid w:val="0035310F"/>
    <w:rsid w:val="0035523B"/>
    <w:rsid w:val="00355D28"/>
    <w:rsid w:val="00356AD3"/>
    <w:rsid w:val="00366055"/>
    <w:rsid w:val="003708B3"/>
    <w:rsid w:val="00373C98"/>
    <w:rsid w:val="00382649"/>
    <w:rsid w:val="0039002D"/>
    <w:rsid w:val="00392327"/>
    <w:rsid w:val="003A0D27"/>
    <w:rsid w:val="003A3D88"/>
    <w:rsid w:val="003A4A49"/>
    <w:rsid w:val="003B2DA1"/>
    <w:rsid w:val="003C12FB"/>
    <w:rsid w:val="003C4C02"/>
    <w:rsid w:val="003C6A0A"/>
    <w:rsid w:val="003C701B"/>
    <w:rsid w:val="003D7252"/>
    <w:rsid w:val="003F0F17"/>
    <w:rsid w:val="003F2A6A"/>
    <w:rsid w:val="003F4CC5"/>
    <w:rsid w:val="003F4CFA"/>
    <w:rsid w:val="003F5431"/>
    <w:rsid w:val="00400F00"/>
    <w:rsid w:val="00404065"/>
    <w:rsid w:val="004041E8"/>
    <w:rsid w:val="00404724"/>
    <w:rsid w:val="00406544"/>
    <w:rsid w:val="00411393"/>
    <w:rsid w:val="00436A6A"/>
    <w:rsid w:val="004412AE"/>
    <w:rsid w:val="00441E2C"/>
    <w:rsid w:val="00443252"/>
    <w:rsid w:val="004513CE"/>
    <w:rsid w:val="004558A1"/>
    <w:rsid w:val="00456A95"/>
    <w:rsid w:val="00456B03"/>
    <w:rsid w:val="004641E7"/>
    <w:rsid w:val="00466514"/>
    <w:rsid w:val="00471031"/>
    <w:rsid w:val="00475736"/>
    <w:rsid w:val="004861EB"/>
    <w:rsid w:val="0049004C"/>
    <w:rsid w:val="0049512B"/>
    <w:rsid w:val="004953CE"/>
    <w:rsid w:val="004B6777"/>
    <w:rsid w:val="004B78DE"/>
    <w:rsid w:val="004C60F2"/>
    <w:rsid w:val="004D74C3"/>
    <w:rsid w:val="004E4FFF"/>
    <w:rsid w:val="004E75AE"/>
    <w:rsid w:val="004E75E5"/>
    <w:rsid w:val="004F3F51"/>
    <w:rsid w:val="00501CFE"/>
    <w:rsid w:val="00502F63"/>
    <w:rsid w:val="005042A5"/>
    <w:rsid w:val="00510B3A"/>
    <w:rsid w:val="00511FB3"/>
    <w:rsid w:val="00512F63"/>
    <w:rsid w:val="00514D57"/>
    <w:rsid w:val="00522BE9"/>
    <w:rsid w:val="00530110"/>
    <w:rsid w:val="00533C9C"/>
    <w:rsid w:val="00537040"/>
    <w:rsid w:val="005419FE"/>
    <w:rsid w:val="0054443B"/>
    <w:rsid w:val="00545A9C"/>
    <w:rsid w:val="005473E1"/>
    <w:rsid w:val="00551EE0"/>
    <w:rsid w:val="0055372F"/>
    <w:rsid w:val="00555827"/>
    <w:rsid w:val="005558B2"/>
    <w:rsid w:val="005574A9"/>
    <w:rsid w:val="005654E6"/>
    <w:rsid w:val="005673C2"/>
    <w:rsid w:val="005673DD"/>
    <w:rsid w:val="00570B25"/>
    <w:rsid w:val="00575206"/>
    <w:rsid w:val="00580805"/>
    <w:rsid w:val="00581304"/>
    <w:rsid w:val="00581B67"/>
    <w:rsid w:val="005924EA"/>
    <w:rsid w:val="005952A9"/>
    <w:rsid w:val="005B048A"/>
    <w:rsid w:val="005B1B3F"/>
    <w:rsid w:val="005B566C"/>
    <w:rsid w:val="005C09AE"/>
    <w:rsid w:val="005C2A1F"/>
    <w:rsid w:val="005C6167"/>
    <w:rsid w:val="005C743E"/>
    <w:rsid w:val="005D11E8"/>
    <w:rsid w:val="005D280B"/>
    <w:rsid w:val="005D3700"/>
    <w:rsid w:val="005E3087"/>
    <w:rsid w:val="005E4359"/>
    <w:rsid w:val="005E54AB"/>
    <w:rsid w:val="005F10D5"/>
    <w:rsid w:val="005F119F"/>
    <w:rsid w:val="005F5712"/>
    <w:rsid w:val="00600E03"/>
    <w:rsid w:val="0060337B"/>
    <w:rsid w:val="006112C2"/>
    <w:rsid w:val="00615FB0"/>
    <w:rsid w:val="0062726F"/>
    <w:rsid w:val="00627508"/>
    <w:rsid w:val="0063185F"/>
    <w:rsid w:val="00633C86"/>
    <w:rsid w:val="0063746C"/>
    <w:rsid w:val="00641AEC"/>
    <w:rsid w:val="00642C0A"/>
    <w:rsid w:val="00646FF5"/>
    <w:rsid w:val="0064751F"/>
    <w:rsid w:val="00650987"/>
    <w:rsid w:val="006512BC"/>
    <w:rsid w:val="0065490C"/>
    <w:rsid w:val="00655AB8"/>
    <w:rsid w:val="00662A60"/>
    <w:rsid w:val="00664483"/>
    <w:rsid w:val="006663E9"/>
    <w:rsid w:val="00672490"/>
    <w:rsid w:val="00673130"/>
    <w:rsid w:val="006738F1"/>
    <w:rsid w:val="006770F7"/>
    <w:rsid w:val="006777CE"/>
    <w:rsid w:val="006828B0"/>
    <w:rsid w:val="006860CC"/>
    <w:rsid w:val="006919B6"/>
    <w:rsid w:val="00691ED3"/>
    <w:rsid w:val="006A42D3"/>
    <w:rsid w:val="006A5ED7"/>
    <w:rsid w:val="006C38B9"/>
    <w:rsid w:val="006C5FF1"/>
    <w:rsid w:val="006C6D88"/>
    <w:rsid w:val="006D085C"/>
    <w:rsid w:val="006E15A9"/>
    <w:rsid w:val="006E4BB5"/>
    <w:rsid w:val="006F248F"/>
    <w:rsid w:val="007027B1"/>
    <w:rsid w:val="0071041D"/>
    <w:rsid w:val="007115E5"/>
    <w:rsid w:val="00713677"/>
    <w:rsid w:val="00720A16"/>
    <w:rsid w:val="0072489B"/>
    <w:rsid w:val="00726389"/>
    <w:rsid w:val="00730682"/>
    <w:rsid w:val="00730F22"/>
    <w:rsid w:val="0073179A"/>
    <w:rsid w:val="007344CD"/>
    <w:rsid w:val="0074158B"/>
    <w:rsid w:val="00750445"/>
    <w:rsid w:val="007555C8"/>
    <w:rsid w:val="00757934"/>
    <w:rsid w:val="0076244B"/>
    <w:rsid w:val="007648B0"/>
    <w:rsid w:val="007731D4"/>
    <w:rsid w:val="00773ABC"/>
    <w:rsid w:val="0078091B"/>
    <w:rsid w:val="00784E62"/>
    <w:rsid w:val="00785B55"/>
    <w:rsid w:val="00785D83"/>
    <w:rsid w:val="00786DF9"/>
    <w:rsid w:val="007951C8"/>
    <w:rsid w:val="007A0040"/>
    <w:rsid w:val="007A04D8"/>
    <w:rsid w:val="007A68FC"/>
    <w:rsid w:val="007B12C3"/>
    <w:rsid w:val="007B2D58"/>
    <w:rsid w:val="007B36F9"/>
    <w:rsid w:val="007B7436"/>
    <w:rsid w:val="007C3291"/>
    <w:rsid w:val="007D238F"/>
    <w:rsid w:val="007D434B"/>
    <w:rsid w:val="007D50C4"/>
    <w:rsid w:val="007D70C4"/>
    <w:rsid w:val="007E6E54"/>
    <w:rsid w:val="008027C6"/>
    <w:rsid w:val="00822BB1"/>
    <w:rsid w:val="0082499E"/>
    <w:rsid w:val="0083396F"/>
    <w:rsid w:val="00834AB8"/>
    <w:rsid w:val="00837160"/>
    <w:rsid w:val="00837226"/>
    <w:rsid w:val="00842D55"/>
    <w:rsid w:val="00843423"/>
    <w:rsid w:val="008520AE"/>
    <w:rsid w:val="00854473"/>
    <w:rsid w:val="0085515B"/>
    <w:rsid w:val="00857E49"/>
    <w:rsid w:val="00864F67"/>
    <w:rsid w:val="0086500E"/>
    <w:rsid w:val="00865E17"/>
    <w:rsid w:val="008757FB"/>
    <w:rsid w:val="00876FF8"/>
    <w:rsid w:val="008827F0"/>
    <w:rsid w:val="00885C01"/>
    <w:rsid w:val="00885F0C"/>
    <w:rsid w:val="008904D9"/>
    <w:rsid w:val="00892700"/>
    <w:rsid w:val="008930AA"/>
    <w:rsid w:val="008B0DD0"/>
    <w:rsid w:val="008B3A70"/>
    <w:rsid w:val="008B4611"/>
    <w:rsid w:val="008B55CD"/>
    <w:rsid w:val="008B62F5"/>
    <w:rsid w:val="008B6B04"/>
    <w:rsid w:val="008B6F59"/>
    <w:rsid w:val="008D3559"/>
    <w:rsid w:val="008D575D"/>
    <w:rsid w:val="008D6947"/>
    <w:rsid w:val="008E00F6"/>
    <w:rsid w:val="008E0DC2"/>
    <w:rsid w:val="008E3CA2"/>
    <w:rsid w:val="008E5BA0"/>
    <w:rsid w:val="008E5CA6"/>
    <w:rsid w:val="008F233E"/>
    <w:rsid w:val="008F2864"/>
    <w:rsid w:val="008F2A30"/>
    <w:rsid w:val="008F3084"/>
    <w:rsid w:val="008F6E29"/>
    <w:rsid w:val="00900C35"/>
    <w:rsid w:val="009030C5"/>
    <w:rsid w:val="0090340C"/>
    <w:rsid w:val="00910E12"/>
    <w:rsid w:val="009115B2"/>
    <w:rsid w:val="00912047"/>
    <w:rsid w:val="0091370E"/>
    <w:rsid w:val="00913BC9"/>
    <w:rsid w:val="00916404"/>
    <w:rsid w:val="00921467"/>
    <w:rsid w:val="00921657"/>
    <w:rsid w:val="00925B14"/>
    <w:rsid w:val="00933072"/>
    <w:rsid w:val="009341EF"/>
    <w:rsid w:val="00934686"/>
    <w:rsid w:val="00935614"/>
    <w:rsid w:val="0094048F"/>
    <w:rsid w:val="00942995"/>
    <w:rsid w:val="00944C15"/>
    <w:rsid w:val="00945461"/>
    <w:rsid w:val="00952D70"/>
    <w:rsid w:val="00953CC3"/>
    <w:rsid w:val="00960002"/>
    <w:rsid w:val="009649CD"/>
    <w:rsid w:val="00973156"/>
    <w:rsid w:val="00974CF9"/>
    <w:rsid w:val="009842C2"/>
    <w:rsid w:val="009878C2"/>
    <w:rsid w:val="009907E2"/>
    <w:rsid w:val="00994EEA"/>
    <w:rsid w:val="009A1EBA"/>
    <w:rsid w:val="009A4038"/>
    <w:rsid w:val="009A6561"/>
    <w:rsid w:val="009B16C4"/>
    <w:rsid w:val="009B6891"/>
    <w:rsid w:val="009C3346"/>
    <w:rsid w:val="009D150F"/>
    <w:rsid w:val="009D193B"/>
    <w:rsid w:val="009D2A83"/>
    <w:rsid w:val="009D2D94"/>
    <w:rsid w:val="009D584D"/>
    <w:rsid w:val="009E019D"/>
    <w:rsid w:val="009E5A4D"/>
    <w:rsid w:val="009E6134"/>
    <w:rsid w:val="00A0047A"/>
    <w:rsid w:val="00A01C00"/>
    <w:rsid w:val="00A057BE"/>
    <w:rsid w:val="00A059BA"/>
    <w:rsid w:val="00A062F5"/>
    <w:rsid w:val="00A06358"/>
    <w:rsid w:val="00A076F1"/>
    <w:rsid w:val="00A11039"/>
    <w:rsid w:val="00A1641E"/>
    <w:rsid w:val="00A200F9"/>
    <w:rsid w:val="00A27F6B"/>
    <w:rsid w:val="00A301BF"/>
    <w:rsid w:val="00A37C3D"/>
    <w:rsid w:val="00A404C0"/>
    <w:rsid w:val="00A40713"/>
    <w:rsid w:val="00A45175"/>
    <w:rsid w:val="00A4552C"/>
    <w:rsid w:val="00A45DA1"/>
    <w:rsid w:val="00A63A07"/>
    <w:rsid w:val="00A64D8F"/>
    <w:rsid w:val="00A73C4F"/>
    <w:rsid w:val="00A81B4E"/>
    <w:rsid w:val="00A85D9F"/>
    <w:rsid w:val="00A902F8"/>
    <w:rsid w:val="00A9143D"/>
    <w:rsid w:val="00A9323C"/>
    <w:rsid w:val="00AA17CD"/>
    <w:rsid w:val="00AA18C4"/>
    <w:rsid w:val="00AA1C73"/>
    <w:rsid w:val="00AB14B6"/>
    <w:rsid w:val="00AB3B5D"/>
    <w:rsid w:val="00AB6B9E"/>
    <w:rsid w:val="00AB7F71"/>
    <w:rsid w:val="00AC58E6"/>
    <w:rsid w:val="00AC6BFB"/>
    <w:rsid w:val="00AD00B5"/>
    <w:rsid w:val="00AD25D5"/>
    <w:rsid w:val="00AD4EFE"/>
    <w:rsid w:val="00AD7730"/>
    <w:rsid w:val="00AD7C5F"/>
    <w:rsid w:val="00AD7F37"/>
    <w:rsid w:val="00AE319A"/>
    <w:rsid w:val="00AE35ED"/>
    <w:rsid w:val="00AF281B"/>
    <w:rsid w:val="00AF5663"/>
    <w:rsid w:val="00AF6623"/>
    <w:rsid w:val="00AF7A4A"/>
    <w:rsid w:val="00B0120E"/>
    <w:rsid w:val="00B01442"/>
    <w:rsid w:val="00B01AF5"/>
    <w:rsid w:val="00B16122"/>
    <w:rsid w:val="00B25F4F"/>
    <w:rsid w:val="00B37286"/>
    <w:rsid w:val="00B420E5"/>
    <w:rsid w:val="00B424B6"/>
    <w:rsid w:val="00B42797"/>
    <w:rsid w:val="00B50819"/>
    <w:rsid w:val="00B51637"/>
    <w:rsid w:val="00B5267F"/>
    <w:rsid w:val="00B53840"/>
    <w:rsid w:val="00B645A0"/>
    <w:rsid w:val="00B6468A"/>
    <w:rsid w:val="00B8600A"/>
    <w:rsid w:val="00B91D70"/>
    <w:rsid w:val="00B94708"/>
    <w:rsid w:val="00BA1555"/>
    <w:rsid w:val="00BA6ACB"/>
    <w:rsid w:val="00BB7012"/>
    <w:rsid w:val="00BC26D6"/>
    <w:rsid w:val="00BC6201"/>
    <w:rsid w:val="00BD284E"/>
    <w:rsid w:val="00BD3711"/>
    <w:rsid w:val="00BD7066"/>
    <w:rsid w:val="00BF2504"/>
    <w:rsid w:val="00BF2BF3"/>
    <w:rsid w:val="00BF42D9"/>
    <w:rsid w:val="00C01313"/>
    <w:rsid w:val="00C03D8D"/>
    <w:rsid w:val="00C07155"/>
    <w:rsid w:val="00C07DC0"/>
    <w:rsid w:val="00C1125B"/>
    <w:rsid w:val="00C13BE4"/>
    <w:rsid w:val="00C1569D"/>
    <w:rsid w:val="00C15CC3"/>
    <w:rsid w:val="00C20DBA"/>
    <w:rsid w:val="00C20F4F"/>
    <w:rsid w:val="00C24C8F"/>
    <w:rsid w:val="00C3154B"/>
    <w:rsid w:val="00C31677"/>
    <w:rsid w:val="00C349F7"/>
    <w:rsid w:val="00C42566"/>
    <w:rsid w:val="00C46D52"/>
    <w:rsid w:val="00C50267"/>
    <w:rsid w:val="00C5274B"/>
    <w:rsid w:val="00C638F0"/>
    <w:rsid w:val="00C63A39"/>
    <w:rsid w:val="00C64F0F"/>
    <w:rsid w:val="00C67F61"/>
    <w:rsid w:val="00C701D7"/>
    <w:rsid w:val="00C717D8"/>
    <w:rsid w:val="00C73A91"/>
    <w:rsid w:val="00C73AF9"/>
    <w:rsid w:val="00C73C76"/>
    <w:rsid w:val="00C74EF1"/>
    <w:rsid w:val="00C74FA2"/>
    <w:rsid w:val="00C775D4"/>
    <w:rsid w:val="00C83AF0"/>
    <w:rsid w:val="00C85FCC"/>
    <w:rsid w:val="00C93157"/>
    <w:rsid w:val="00C973D9"/>
    <w:rsid w:val="00CA524D"/>
    <w:rsid w:val="00CA6CB2"/>
    <w:rsid w:val="00CA7E67"/>
    <w:rsid w:val="00CB434F"/>
    <w:rsid w:val="00CB4897"/>
    <w:rsid w:val="00CB7D06"/>
    <w:rsid w:val="00CC35E4"/>
    <w:rsid w:val="00CD4446"/>
    <w:rsid w:val="00CD7B2C"/>
    <w:rsid w:val="00CE0E0A"/>
    <w:rsid w:val="00CE1D1D"/>
    <w:rsid w:val="00CE22A4"/>
    <w:rsid w:val="00CE277D"/>
    <w:rsid w:val="00CE2CF7"/>
    <w:rsid w:val="00D03107"/>
    <w:rsid w:val="00D10708"/>
    <w:rsid w:val="00D12C80"/>
    <w:rsid w:val="00D13ED6"/>
    <w:rsid w:val="00D17A01"/>
    <w:rsid w:val="00D222EB"/>
    <w:rsid w:val="00D2327C"/>
    <w:rsid w:val="00D32A14"/>
    <w:rsid w:val="00D4221A"/>
    <w:rsid w:val="00D42E3B"/>
    <w:rsid w:val="00D435A5"/>
    <w:rsid w:val="00D45809"/>
    <w:rsid w:val="00D474B8"/>
    <w:rsid w:val="00D478B8"/>
    <w:rsid w:val="00D4792F"/>
    <w:rsid w:val="00D57CFF"/>
    <w:rsid w:val="00D66CDF"/>
    <w:rsid w:val="00D72D85"/>
    <w:rsid w:val="00D800E2"/>
    <w:rsid w:val="00D81794"/>
    <w:rsid w:val="00D829D9"/>
    <w:rsid w:val="00D84FA4"/>
    <w:rsid w:val="00D92B33"/>
    <w:rsid w:val="00DA7079"/>
    <w:rsid w:val="00DA7A46"/>
    <w:rsid w:val="00DA7BBC"/>
    <w:rsid w:val="00DA7FE6"/>
    <w:rsid w:val="00DB20CE"/>
    <w:rsid w:val="00DB38E0"/>
    <w:rsid w:val="00DB4E10"/>
    <w:rsid w:val="00DC3FE3"/>
    <w:rsid w:val="00DC57E7"/>
    <w:rsid w:val="00DD150E"/>
    <w:rsid w:val="00DD1766"/>
    <w:rsid w:val="00DD1D28"/>
    <w:rsid w:val="00DD388B"/>
    <w:rsid w:val="00DE2B90"/>
    <w:rsid w:val="00DE62E0"/>
    <w:rsid w:val="00DE65AD"/>
    <w:rsid w:val="00DF04EE"/>
    <w:rsid w:val="00DF05FA"/>
    <w:rsid w:val="00DF5CA3"/>
    <w:rsid w:val="00E00381"/>
    <w:rsid w:val="00E0075D"/>
    <w:rsid w:val="00E02230"/>
    <w:rsid w:val="00E03611"/>
    <w:rsid w:val="00E04C30"/>
    <w:rsid w:val="00E17C9A"/>
    <w:rsid w:val="00E27A33"/>
    <w:rsid w:val="00E3146D"/>
    <w:rsid w:val="00E36E8A"/>
    <w:rsid w:val="00E41124"/>
    <w:rsid w:val="00E43906"/>
    <w:rsid w:val="00E47903"/>
    <w:rsid w:val="00E50AC7"/>
    <w:rsid w:val="00E6007B"/>
    <w:rsid w:val="00E61CA7"/>
    <w:rsid w:val="00E647F3"/>
    <w:rsid w:val="00E662AC"/>
    <w:rsid w:val="00E6778F"/>
    <w:rsid w:val="00E751D3"/>
    <w:rsid w:val="00E76D6D"/>
    <w:rsid w:val="00E85808"/>
    <w:rsid w:val="00E8622A"/>
    <w:rsid w:val="00E903A0"/>
    <w:rsid w:val="00E94095"/>
    <w:rsid w:val="00EA7689"/>
    <w:rsid w:val="00EB1E9B"/>
    <w:rsid w:val="00EB28F9"/>
    <w:rsid w:val="00EC0DE7"/>
    <w:rsid w:val="00EC4E30"/>
    <w:rsid w:val="00ED0E40"/>
    <w:rsid w:val="00ED1ACB"/>
    <w:rsid w:val="00EE0ACD"/>
    <w:rsid w:val="00EE0C1C"/>
    <w:rsid w:val="00EE0EA6"/>
    <w:rsid w:val="00EE1527"/>
    <w:rsid w:val="00EE2890"/>
    <w:rsid w:val="00EE5DC0"/>
    <w:rsid w:val="00EE65CA"/>
    <w:rsid w:val="00EF16BA"/>
    <w:rsid w:val="00F11DE5"/>
    <w:rsid w:val="00F14400"/>
    <w:rsid w:val="00F14C55"/>
    <w:rsid w:val="00F16B2B"/>
    <w:rsid w:val="00F230A0"/>
    <w:rsid w:val="00F27A69"/>
    <w:rsid w:val="00F3358F"/>
    <w:rsid w:val="00F362F6"/>
    <w:rsid w:val="00F41D08"/>
    <w:rsid w:val="00F473F2"/>
    <w:rsid w:val="00F51E51"/>
    <w:rsid w:val="00F56357"/>
    <w:rsid w:val="00F5643E"/>
    <w:rsid w:val="00F57B13"/>
    <w:rsid w:val="00F600C0"/>
    <w:rsid w:val="00F63CAB"/>
    <w:rsid w:val="00F67C8C"/>
    <w:rsid w:val="00F7090D"/>
    <w:rsid w:val="00F722CD"/>
    <w:rsid w:val="00F80375"/>
    <w:rsid w:val="00F81152"/>
    <w:rsid w:val="00F8677B"/>
    <w:rsid w:val="00FA05EE"/>
    <w:rsid w:val="00FA0653"/>
    <w:rsid w:val="00FA36A6"/>
    <w:rsid w:val="00FA6CB8"/>
    <w:rsid w:val="00FB0696"/>
    <w:rsid w:val="00FB1516"/>
    <w:rsid w:val="00FB66CB"/>
    <w:rsid w:val="00FC2E02"/>
    <w:rsid w:val="00FD155B"/>
    <w:rsid w:val="00FD20B5"/>
    <w:rsid w:val="00FD40BD"/>
    <w:rsid w:val="00FD6EC1"/>
    <w:rsid w:val="00FD7CD3"/>
    <w:rsid w:val="00FE1DDE"/>
    <w:rsid w:val="00FE3D0B"/>
    <w:rsid w:val="00FE4557"/>
    <w:rsid w:val="00FF07AA"/>
    <w:rsid w:val="00FF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2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72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2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44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0F"/>
    <w:pPr>
      <w:ind w:left="720"/>
      <w:contextualSpacing/>
    </w:pPr>
  </w:style>
  <w:style w:type="character" w:customStyle="1" w:styleId="Heading1Char">
    <w:name w:val="Heading 1 Char"/>
    <w:basedOn w:val="DefaultParagraphFont"/>
    <w:link w:val="Heading1"/>
    <w:uiPriority w:val="9"/>
    <w:rsid w:val="000072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72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724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F5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8F"/>
    <w:rPr>
      <w:rFonts w:ascii="Segoe UI" w:hAnsi="Segoe UI" w:cs="Segoe UI"/>
      <w:sz w:val="18"/>
      <w:szCs w:val="18"/>
    </w:rPr>
  </w:style>
  <w:style w:type="paragraph" w:styleId="FootnoteText">
    <w:name w:val="footnote text"/>
    <w:basedOn w:val="Normal"/>
    <w:link w:val="FootnoteTextChar"/>
    <w:uiPriority w:val="99"/>
    <w:semiHidden/>
    <w:unhideWhenUsed/>
    <w:rsid w:val="00C70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1D7"/>
    <w:rPr>
      <w:sz w:val="20"/>
      <w:szCs w:val="20"/>
    </w:rPr>
  </w:style>
  <w:style w:type="character" w:styleId="FootnoteReference">
    <w:name w:val="footnote reference"/>
    <w:basedOn w:val="DefaultParagraphFont"/>
    <w:uiPriority w:val="99"/>
    <w:semiHidden/>
    <w:unhideWhenUsed/>
    <w:rsid w:val="00C701D7"/>
    <w:rPr>
      <w:vertAlign w:val="superscript"/>
    </w:rPr>
  </w:style>
  <w:style w:type="paragraph" w:styleId="Title">
    <w:name w:val="Title"/>
    <w:basedOn w:val="Normal"/>
    <w:next w:val="Normal"/>
    <w:link w:val="TitleChar"/>
    <w:uiPriority w:val="10"/>
    <w:qFormat/>
    <w:rsid w:val="00A93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3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3C"/>
  </w:style>
  <w:style w:type="paragraph" w:styleId="Footer">
    <w:name w:val="footer"/>
    <w:basedOn w:val="Normal"/>
    <w:link w:val="FooterChar"/>
    <w:uiPriority w:val="99"/>
    <w:unhideWhenUsed/>
    <w:rsid w:val="00A9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3C"/>
  </w:style>
  <w:style w:type="character" w:styleId="IntenseEmphasis">
    <w:name w:val="Intense Emphasis"/>
    <w:basedOn w:val="DefaultParagraphFont"/>
    <w:uiPriority w:val="21"/>
    <w:qFormat/>
    <w:rsid w:val="00A40713"/>
    <w:rPr>
      <w:i/>
      <w:iCs/>
      <w:color w:val="5B9BD5" w:themeColor="accent1"/>
    </w:rPr>
  </w:style>
  <w:style w:type="character" w:customStyle="1" w:styleId="Heading4Char">
    <w:name w:val="Heading 4 Char"/>
    <w:basedOn w:val="DefaultParagraphFont"/>
    <w:link w:val="Heading4"/>
    <w:uiPriority w:val="9"/>
    <w:rsid w:val="0054443B"/>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FD7CD3"/>
    <w:rPr>
      <w:sz w:val="16"/>
      <w:szCs w:val="16"/>
    </w:rPr>
  </w:style>
  <w:style w:type="paragraph" w:styleId="CommentText">
    <w:name w:val="annotation text"/>
    <w:basedOn w:val="Normal"/>
    <w:link w:val="CommentTextChar"/>
    <w:uiPriority w:val="99"/>
    <w:semiHidden/>
    <w:unhideWhenUsed/>
    <w:rsid w:val="00FD7CD3"/>
    <w:pPr>
      <w:spacing w:line="240" w:lineRule="auto"/>
    </w:pPr>
    <w:rPr>
      <w:sz w:val="20"/>
      <w:szCs w:val="20"/>
    </w:rPr>
  </w:style>
  <w:style w:type="character" w:customStyle="1" w:styleId="CommentTextChar">
    <w:name w:val="Comment Text Char"/>
    <w:basedOn w:val="DefaultParagraphFont"/>
    <w:link w:val="CommentText"/>
    <w:uiPriority w:val="99"/>
    <w:semiHidden/>
    <w:rsid w:val="00FD7CD3"/>
    <w:rPr>
      <w:sz w:val="20"/>
      <w:szCs w:val="20"/>
    </w:rPr>
  </w:style>
  <w:style w:type="paragraph" w:styleId="CommentSubject">
    <w:name w:val="annotation subject"/>
    <w:basedOn w:val="CommentText"/>
    <w:next w:val="CommentText"/>
    <w:link w:val="CommentSubjectChar"/>
    <w:uiPriority w:val="99"/>
    <w:semiHidden/>
    <w:unhideWhenUsed/>
    <w:rsid w:val="00FD7CD3"/>
    <w:rPr>
      <w:b/>
      <w:bCs/>
    </w:rPr>
  </w:style>
  <w:style w:type="character" w:customStyle="1" w:styleId="CommentSubjectChar">
    <w:name w:val="Comment Subject Char"/>
    <w:basedOn w:val="CommentTextChar"/>
    <w:link w:val="CommentSubject"/>
    <w:uiPriority w:val="99"/>
    <w:semiHidden/>
    <w:rsid w:val="00FD7CD3"/>
    <w:rPr>
      <w:b/>
      <w:bCs/>
      <w:sz w:val="20"/>
      <w:szCs w:val="20"/>
    </w:rPr>
  </w:style>
  <w:style w:type="paragraph" w:styleId="Quote">
    <w:name w:val="Quote"/>
    <w:basedOn w:val="Normal"/>
    <w:next w:val="Normal"/>
    <w:link w:val="QuoteChar"/>
    <w:uiPriority w:val="29"/>
    <w:qFormat/>
    <w:rsid w:val="00E41124"/>
    <w:pPr>
      <w:spacing w:after="200" w:line="276" w:lineRule="auto"/>
      <w:ind w:left="180"/>
    </w:pPr>
    <w:rPr>
      <w:rFonts w:ascii="Arial" w:hAnsi="Arial" w:cs="Arial"/>
      <w:i/>
      <w:color w:val="C45911" w:themeColor="accent2" w:themeShade="BF"/>
      <w:sz w:val="20"/>
      <w:szCs w:val="20"/>
      <w:lang w:val="en-AU"/>
    </w:rPr>
  </w:style>
  <w:style w:type="character" w:customStyle="1" w:styleId="QuoteChar">
    <w:name w:val="Quote Char"/>
    <w:basedOn w:val="DefaultParagraphFont"/>
    <w:link w:val="Quote"/>
    <w:uiPriority w:val="29"/>
    <w:rsid w:val="00E41124"/>
    <w:rPr>
      <w:rFonts w:ascii="Arial" w:hAnsi="Arial" w:cs="Arial"/>
      <w:i/>
      <w:color w:val="C45911" w:themeColor="accent2" w:themeShade="BF"/>
      <w:sz w:val="20"/>
      <w:szCs w:val="20"/>
      <w:lang w:val="en-AU"/>
    </w:rPr>
  </w:style>
  <w:style w:type="paragraph" w:styleId="NormalWeb">
    <w:name w:val="Normal (Web)"/>
    <w:basedOn w:val="Normal"/>
    <w:uiPriority w:val="99"/>
    <w:semiHidden/>
    <w:unhideWhenUsed/>
    <w:rsid w:val="00773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731D4"/>
  </w:style>
  <w:style w:type="character" w:styleId="Emphasis">
    <w:name w:val="Emphasis"/>
    <w:basedOn w:val="DefaultParagraphFont"/>
    <w:uiPriority w:val="20"/>
    <w:qFormat/>
    <w:rsid w:val="007731D4"/>
    <w:rPr>
      <w:i/>
      <w:iCs/>
    </w:rPr>
  </w:style>
  <w:style w:type="character" w:styleId="Hyperlink">
    <w:name w:val="Hyperlink"/>
    <w:basedOn w:val="DefaultParagraphFont"/>
    <w:uiPriority w:val="99"/>
    <w:semiHidden/>
    <w:unhideWhenUsed/>
    <w:rsid w:val="00773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2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72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2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44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0F"/>
    <w:pPr>
      <w:ind w:left="720"/>
      <w:contextualSpacing/>
    </w:pPr>
  </w:style>
  <w:style w:type="character" w:customStyle="1" w:styleId="Heading1Char">
    <w:name w:val="Heading 1 Char"/>
    <w:basedOn w:val="DefaultParagraphFont"/>
    <w:link w:val="Heading1"/>
    <w:uiPriority w:val="9"/>
    <w:rsid w:val="000072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72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724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F5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8F"/>
    <w:rPr>
      <w:rFonts w:ascii="Segoe UI" w:hAnsi="Segoe UI" w:cs="Segoe UI"/>
      <w:sz w:val="18"/>
      <w:szCs w:val="18"/>
    </w:rPr>
  </w:style>
  <w:style w:type="paragraph" w:styleId="FootnoteText">
    <w:name w:val="footnote text"/>
    <w:basedOn w:val="Normal"/>
    <w:link w:val="FootnoteTextChar"/>
    <w:uiPriority w:val="99"/>
    <w:semiHidden/>
    <w:unhideWhenUsed/>
    <w:rsid w:val="00C70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1D7"/>
    <w:rPr>
      <w:sz w:val="20"/>
      <w:szCs w:val="20"/>
    </w:rPr>
  </w:style>
  <w:style w:type="character" w:styleId="FootnoteReference">
    <w:name w:val="footnote reference"/>
    <w:basedOn w:val="DefaultParagraphFont"/>
    <w:uiPriority w:val="99"/>
    <w:semiHidden/>
    <w:unhideWhenUsed/>
    <w:rsid w:val="00C701D7"/>
    <w:rPr>
      <w:vertAlign w:val="superscript"/>
    </w:rPr>
  </w:style>
  <w:style w:type="paragraph" w:styleId="Title">
    <w:name w:val="Title"/>
    <w:basedOn w:val="Normal"/>
    <w:next w:val="Normal"/>
    <w:link w:val="TitleChar"/>
    <w:uiPriority w:val="10"/>
    <w:qFormat/>
    <w:rsid w:val="00A93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3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3C"/>
  </w:style>
  <w:style w:type="paragraph" w:styleId="Footer">
    <w:name w:val="footer"/>
    <w:basedOn w:val="Normal"/>
    <w:link w:val="FooterChar"/>
    <w:uiPriority w:val="99"/>
    <w:unhideWhenUsed/>
    <w:rsid w:val="00A9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3C"/>
  </w:style>
  <w:style w:type="character" w:styleId="IntenseEmphasis">
    <w:name w:val="Intense Emphasis"/>
    <w:basedOn w:val="DefaultParagraphFont"/>
    <w:uiPriority w:val="21"/>
    <w:qFormat/>
    <w:rsid w:val="00A40713"/>
    <w:rPr>
      <w:i/>
      <w:iCs/>
      <w:color w:val="5B9BD5" w:themeColor="accent1"/>
    </w:rPr>
  </w:style>
  <w:style w:type="character" w:customStyle="1" w:styleId="Heading4Char">
    <w:name w:val="Heading 4 Char"/>
    <w:basedOn w:val="DefaultParagraphFont"/>
    <w:link w:val="Heading4"/>
    <w:uiPriority w:val="9"/>
    <w:rsid w:val="0054443B"/>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FD7CD3"/>
    <w:rPr>
      <w:sz w:val="16"/>
      <w:szCs w:val="16"/>
    </w:rPr>
  </w:style>
  <w:style w:type="paragraph" w:styleId="CommentText">
    <w:name w:val="annotation text"/>
    <w:basedOn w:val="Normal"/>
    <w:link w:val="CommentTextChar"/>
    <w:uiPriority w:val="99"/>
    <w:semiHidden/>
    <w:unhideWhenUsed/>
    <w:rsid w:val="00FD7CD3"/>
    <w:pPr>
      <w:spacing w:line="240" w:lineRule="auto"/>
    </w:pPr>
    <w:rPr>
      <w:sz w:val="20"/>
      <w:szCs w:val="20"/>
    </w:rPr>
  </w:style>
  <w:style w:type="character" w:customStyle="1" w:styleId="CommentTextChar">
    <w:name w:val="Comment Text Char"/>
    <w:basedOn w:val="DefaultParagraphFont"/>
    <w:link w:val="CommentText"/>
    <w:uiPriority w:val="99"/>
    <w:semiHidden/>
    <w:rsid w:val="00FD7CD3"/>
    <w:rPr>
      <w:sz w:val="20"/>
      <w:szCs w:val="20"/>
    </w:rPr>
  </w:style>
  <w:style w:type="paragraph" w:styleId="CommentSubject">
    <w:name w:val="annotation subject"/>
    <w:basedOn w:val="CommentText"/>
    <w:next w:val="CommentText"/>
    <w:link w:val="CommentSubjectChar"/>
    <w:uiPriority w:val="99"/>
    <w:semiHidden/>
    <w:unhideWhenUsed/>
    <w:rsid w:val="00FD7CD3"/>
    <w:rPr>
      <w:b/>
      <w:bCs/>
    </w:rPr>
  </w:style>
  <w:style w:type="character" w:customStyle="1" w:styleId="CommentSubjectChar">
    <w:name w:val="Comment Subject Char"/>
    <w:basedOn w:val="CommentTextChar"/>
    <w:link w:val="CommentSubject"/>
    <w:uiPriority w:val="99"/>
    <w:semiHidden/>
    <w:rsid w:val="00FD7CD3"/>
    <w:rPr>
      <w:b/>
      <w:bCs/>
      <w:sz w:val="20"/>
      <w:szCs w:val="20"/>
    </w:rPr>
  </w:style>
  <w:style w:type="paragraph" w:styleId="Quote">
    <w:name w:val="Quote"/>
    <w:basedOn w:val="Normal"/>
    <w:next w:val="Normal"/>
    <w:link w:val="QuoteChar"/>
    <w:uiPriority w:val="29"/>
    <w:qFormat/>
    <w:rsid w:val="00E41124"/>
    <w:pPr>
      <w:spacing w:after="200" w:line="276" w:lineRule="auto"/>
      <w:ind w:left="180"/>
    </w:pPr>
    <w:rPr>
      <w:rFonts w:ascii="Arial" w:hAnsi="Arial" w:cs="Arial"/>
      <w:i/>
      <w:color w:val="C45911" w:themeColor="accent2" w:themeShade="BF"/>
      <w:sz w:val="20"/>
      <w:szCs w:val="20"/>
      <w:lang w:val="en-AU"/>
    </w:rPr>
  </w:style>
  <w:style w:type="character" w:customStyle="1" w:styleId="QuoteChar">
    <w:name w:val="Quote Char"/>
    <w:basedOn w:val="DefaultParagraphFont"/>
    <w:link w:val="Quote"/>
    <w:uiPriority w:val="29"/>
    <w:rsid w:val="00E41124"/>
    <w:rPr>
      <w:rFonts w:ascii="Arial" w:hAnsi="Arial" w:cs="Arial"/>
      <w:i/>
      <w:color w:val="C45911" w:themeColor="accent2" w:themeShade="BF"/>
      <w:sz w:val="20"/>
      <w:szCs w:val="20"/>
      <w:lang w:val="en-AU"/>
    </w:rPr>
  </w:style>
  <w:style w:type="paragraph" w:styleId="NormalWeb">
    <w:name w:val="Normal (Web)"/>
    <w:basedOn w:val="Normal"/>
    <w:uiPriority w:val="99"/>
    <w:semiHidden/>
    <w:unhideWhenUsed/>
    <w:rsid w:val="00773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731D4"/>
  </w:style>
  <w:style w:type="character" w:styleId="Emphasis">
    <w:name w:val="Emphasis"/>
    <w:basedOn w:val="DefaultParagraphFont"/>
    <w:uiPriority w:val="20"/>
    <w:qFormat/>
    <w:rsid w:val="007731D4"/>
    <w:rPr>
      <w:i/>
      <w:iCs/>
    </w:rPr>
  </w:style>
  <w:style w:type="character" w:styleId="Hyperlink">
    <w:name w:val="Hyperlink"/>
    <w:basedOn w:val="DefaultParagraphFont"/>
    <w:uiPriority w:val="99"/>
    <w:semiHidden/>
    <w:unhideWhenUsed/>
    <w:rsid w:val="00773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39">
      <w:bodyDiv w:val="1"/>
      <w:marLeft w:val="0"/>
      <w:marRight w:val="0"/>
      <w:marTop w:val="0"/>
      <w:marBottom w:val="0"/>
      <w:divBdr>
        <w:top w:val="none" w:sz="0" w:space="0" w:color="auto"/>
        <w:left w:val="none" w:sz="0" w:space="0" w:color="auto"/>
        <w:bottom w:val="none" w:sz="0" w:space="0" w:color="auto"/>
        <w:right w:val="none" w:sz="0" w:space="0" w:color="auto"/>
      </w:divBdr>
      <w:divsChild>
        <w:div w:id="1886285101">
          <w:marLeft w:val="547"/>
          <w:marRight w:val="0"/>
          <w:marTop w:val="0"/>
          <w:marBottom w:val="0"/>
          <w:divBdr>
            <w:top w:val="none" w:sz="0" w:space="0" w:color="auto"/>
            <w:left w:val="none" w:sz="0" w:space="0" w:color="auto"/>
            <w:bottom w:val="none" w:sz="0" w:space="0" w:color="auto"/>
            <w:right w:val="none" w:sz="0" w:space="0" w:color="auto"/>
          </w:divBdr>
        </w:div>
      </w:divsChild>
    </w:div>
    <w:div w:id="131294321">
      <w:bodyDiv w:val="1"/>
      <w:marLeft w:val="0"/>
      <w:marRight w:val="0"/>
      <w:marTop w:val="0"/>
      <w:marBottom w:val="0"/>
      <w:divBdr>
        <w:top w:val="none" w:sz="0" w:space="0" w:color="auto"/>
        <w:left w:val="none" w:sz="0" w:space="0" w:color="auto"/>
        <w:bottom w:val="none" w:sz="0" w:space="0" w:color="auto"/>
        <w:right w:val="none" w:sz="0" w:space="0" w:color="auto"/>
      </w:divBdr>
    </w:div>
    <w:div w:id="182981051">
      <w:bodyDiv w:val="1"/>
      <w:marLeft w:val="0"/>
      <w:marRight w:val="0"/>
      <w:marTop w:val="0"/>
      <w:marBottom w:val="0"/>
      <w:divBdr>
        <w:top w:val="none" w:sz="0" w:space="0" w:color="auto"/>
        <w:left w:val="none" w:sz="0" w:space="0" w:color="auto"/>
        <w:bottom w:val="none" w:sz="0" w:space="0" w:color="auto"/>
        <w:right w:val="none" w:sz="0" w:space="0" w:color="auto"/>
      </w:divBdr>
    </w:div>
    <w:div w:id="537663033">
      <w:bodyDiv w:val="1"/>
      <w:marLeft w:val="0"/>
      <w:marRight w:val="0"/>
      <w:marTop w:val="0"/>
      <w:marBottom w:val="0"/>
      <w:divBdr>
        <w:top w:val="none" w:sz="0" w:space="0" w:color="auto"/>
        <w:left w:val="none" w:sz="0" w:space="0" w:color="auto"/>
        <w:bottom w:val="none" w:sz="0" w:space="0" w:color="auto"/>
        <w:right w:val="none" w:sz="0" w:space="0" w:color="auto"/>
      </w:divBdr>
      <w:divsChild>
        <w:div w:id="271862284">
          <w:marLeft w:val="547"/>
          <w:marRight w:val="0"/>
          <w:marTop w:val="115"/>
          <w:marBottom w:val="0"/>
          <w:divBdr>
            <w:top w:val="none" w:sz="0" w:space="0" w:color="auto"/>
            <w:left w:val="none" w:sz="0" w:space="0" w:color="auto"/>
            <w:bottom w:val="none" w:sz="0" w:space="0" w:color="auto"/>
            <w:right w:val="none" w:sz="0" w:space="0" w:color="auto"/>
          </w:divBdr>
        </w:div>
        <w:div w:id="299458343">
          <w:marLeft w:val="547"/>
          <w:marRight w:val="0"/>
          <w:marTop w:val="115"/>
          <w:marBottom w:val="0"/>
          <w:divBdr>
            <w:top w:val="none" w:sz="0" w:space="0" w:color="auto"/>
            <w:left w:val="none" w:sz="0" w:space="0" w:color="auto"/>
            <w:bottom w:val="none" w:sz="0" w:space="0" w:color="auto"/>
            <w:right w:val="none" w:sz="0" w:space="0" w:color="auto"/>
          </w:divBdr>
        </w:div>
        <w:div w:id="1804617156">
          <w:marLeft w:val="547"/>
          <w:marRight w:val="0"/>
          <w:marTop w:val="115"/>
          <w:marBottom w:val="0"/>
          <w:divBdr>
            <w:top w:val="none" w:sz="0" w:space="0" w:color="auto"/>
            <w:left w:val="none" w:sz="0" w:space="0" w:color="auto"/>
            <w:bottom w:val="none" w:sz="0" w:space="0" w:color="auto"/>
            <w:right w:val="none" w:sz="0" w:space="0" w:color="auto"/>
          </w:divBdr>
        </w:div>
        <w:div w:id="1839879866">
          <w:marLeft w:val="547"/>
          <w:marRight w:val="0"/>
          <w:marTop w:val="115"/>
          <w:marBottom w:val="0"/>
          <w:divBdr>
            <w:top w:val="none" w:sz="0" w:space="0" w:color="auto"/>
            <w:left w:val="none" w:sz="0" w:space="0" w:color="auto"/>
            <w:bottom w:val="none" w:sz="0" w:space="0" w:color="auto"/>
            <w:right w:val="none" w:sz="0" w:space="0" w:color="auto"/>
          </w:divBdr>
        </w:div>
      </w:divsChild>
    </w:div>
    <w:div w:id="788009980">
      <w:bodyDiv w:val="1"/>
      <w:marLeft w:val="0"/>
      <w:marRight w:val="0"/>
      <w:marTop w:val="0"/>
      <w:marBottom w:val="0"/>
      <w:divBdr>
        <w:top w:val="none" w:sz="0" w:space="0" w:color="auto"/>
        <w:left w:val="none" w:sz="0" w:space="0" w:color="auto"/>
        <w:bottom w:val="none" w:sz="0" w:space="0" w:color="auto"/>
        <w:right w:val="none" w:sz="0" w:space="0" w:color="auto"/>
      </w:divBdr>
    </w:div>
    <w:div w:id="1297176528">
      <w:bodyDiv w:val="1"/>
      <w:marLeft w:val="0"/>
      <w:marRight w:val="0"/>
      <w:marTop w:val="0"/>
      <w:marBottom w:val="0"/>
      <w:divBdr>
        <w:top w:val="none" w:sz="0" w:space="0" w:color="auto"/>
        <w:left w:val="none" w:sz="0" w:space="0" w:color="auto"/>
        <w:bottom w:val="none" w:sz="0" w:space="0" w:color="auto"/>
        <w:right w:val="none" w:sz="0" w:space="0" w:color="auto"/>
      </w:divBdr>
    </w:div>
    <w:div w:id="1939869891">
      <w:bodyDiv w:val="1"/>
      <w:marLeft w:val="0"/>
      <w:marRight w:val="0"/>
      <w:marTop w:val="0"/>
      <w:marBottom w:val="0"/>
      <w:divBdr>
        <w:top w:val="none" w:sz="0" w:space="0" w:color="auto"/>
        <w:left w:val="none" w:sz="0" w:space="0" w:color="auto"/>
        <w:bottom w:val="none" w:sz="0" w:space="0" w:color="auto"/>
        <w:right w:val="none" w:sz="0" w:space="0" w:color="auto"/>
      </w:divBdr>
      <w:divsChild>
        <w:div w:id="2118327137">
          <w:marLeft w:val="547"/>
          <w:marRight w:val="0"/>
          <w:marTop w:val="0"/>
          <w:marBottom w:val="0"/>
          <w:divBdr>
            <w:top w:val="none" w:sz="0" w:space="0" w:color="auto"/>
            <w:left w:val="none" w:sz="0" w:space="0" w:color="auto"/>
            <w:bottom w:val="none" w:sz="0" w:space="0" w:color="auto"/>
            <w:right w:val="none" w:sz="0" w:space="0" w:color="auto"/>
          </w:divBdr>
        </w:div>
      </w:divsChild>
    </w:div>
    <w:div w:id="1974360916">
      <w:bodyDiv w:val="1"/>
      <w:marLeft w:val="0"/>
      <w:marRight w:val="0"/>
      <w:marTop w:val="0"/>
      <w:marBottom w:val="0"/>
      <w:divBdr>
        <w:top w:val="none" w:sz="0" w:space="0" w:color="auto"/>
        <w:left w:val="none" w:sz="0" w:space="0" w:color="auto"/>
        <w:bottom w:val="none" w:sz="0" w:space="0" w:color="auto"/>
        <w:right w:val="none" w:sz="0" w:space="0" w:color="auto"/>
      </w:divBdr>
      <w:divsChild>
        <w:div w:id="5129145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2017FG-94-5935</_dlc_DocId>
    <TaxCatchAll xmlns="e544e5cc-ab70-42e1-849e-1a0f8bb1f4ef">
      <Value>2</Value>
    </TaxCatchAll>
    <_dlc_DocIdUrl xmlns="e544e5cc-ab70-42e1-849e-1a0f8bb1f4ef">
      <Url>http://tweb/sites/fg/bpd/_layouts/15/DocIdRedir.aspx?ID=2017FG-94-5935</Url>
      <Description>2017FG-94-5935</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537C-8BB3-404C-B83B-A161FAC2FAD4}">
  <ds:schemaRefs>
    <ds:schemaRef ds:uri="http://schemas.microsoft.com/sharepoint/events"/>
  </ds:schemaRefs>
</ds:datastoreItem>
</file>

<file path=customXml/itemProps2.xml><?xml version="1.0" encoding="utf-8"?>
<ds:datastoreItem xmlns:ds="http://schemas.openxmlformats.org/officeDocument/2006/customXml" ds:itemID="{5DB91448-CB5F-4F7A-A6BB-47AC72CD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63B7F-75E7-4B8A-8A72-42886636CF49}">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31696C02-1E50-4F91-9228-70C138D09F43}">
  <ds:schemaRefs>
    <ds:schemaRef ds:uri="http://schemas.microsoft.com/sharepoint/v3/contenttype/forms"/>
  </ds:schemaRefs>
</ds:datastoreItem>
</file>

<file path=customXml/itemProps5.xml><?xml version="1.0" encoding="utf-8"?>
<ds:datastoreItem xmlns:ds="http://schemas.openxmlformats.org/officeDocument/2006/customXml" ds:itemID="{AE836D00-69CE-4D44-A84E-A0821A80E5C4}">
  <ds:schemaRefs>
    <ds:schemaRef ds:uri="office.server.policy"/>
  </ds:schemaRefs>
</ds:datastoreItem>
</file>

<file path=customXml/itemProps6.xml><?xml version="1.0" encoding="utf-8"?>
<ds:datastoreItem xmlns:ds="http://schemas.openxmlformats.org/officeDocument/2006/customXml" ds:itemID="{8B622BF8-DC03-45CD-9460-9F3A42B1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5282</Words>
  <Characters>29651</Characters>
  <Application>Microsoft Office Word</Application>
  <DocSecurity>0</DocSecurity>
  <Lines>488</Lines>
  <Paragraphs>148</Paragraphs>
  <ScaleCrop>false</ScaleCrop>
  <Company/>
  <LinksUpToDate>false</LinksUpToDate>
  <CharactersWithSpaces>34837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Nurses - 2017-18 Pre-Budget Submission</dc:title>
  <dc:creator/>
  <cp:lastModifiedBy/>
  <cp:revision>1</cp:revision>
  <dcterms:created xsi:type="dcterms:W3CDTF">2017-02-13T23:03:00Z</dcterms:created>
  <dcterms:modified xsi:type="dcterms:W3CDTF">2017-02-13T23:03:00Z</dcterms:modified>
  <dc:language>English</dc:language>
</cp:coreProperties>
</file>